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6203E-5191-4541-8628-77B30C4126A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BD5ADF0-364C-476D-8FC7-10C198459D03}"/>
</file>

<file path=customXml/itemProps4.xml><?xml version="1.0" encoding="utf-8"?>
<ds:datastoreItem xmlns:ds="http://schemas.openxmlformats.org/officeDocument/2006/customXml" ds:itemID="{125B846C-9980-44D7-95AE-9EC607BE48B5}"/>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