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707BB2">
        <w:tblPrEx>
          <w:tblCellMar>
            <w:top w:w="0" w:type="dxa"/>
            <w:bottom w:w="0" w:type="dxa"/>
          </w:tblCellMar>
        </w:tblPrEx>
        <w:tc>
          <w:tcPr>
            <w:tcW w:w="2268" w:type="dxa"/>
          </w:tcPr>
          <w:p w:rsidR="006E4E11" w:rsidRPr="00707BB2"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07BB2" w:rsidRDefault="006E4E11" w:rsidP="007242A3">
            <w:pPr>
              <w:framePr w:w="5035" w:h="1644" w:wrap="notBeside" w:vAnchor="page" w:hAnchor="page" w:x="6573" w:y="721"/>
              <w:rPr>
                <w:rFonts w:ascii="TradeGothic" w:hAnsi="TradeGothic"/>
                <w:i/>
                <w:sz w:val="18"/>
              </w:rPr>
            </w:pPr>
          </w:p>
        </w:tc>
      </w:tr>
      <w:tr w:rsidR="006E4E11" w:rsidRPr="00707BB2">
        <w:tblPrEx>
          <w:tblCellMar>
            <w:top w:w="0" w:type="dxa"/>
            <w:bottom w:w="0" w:type="dxa"/>
          </w:tblCellMar>
        </w:tblPrEx>
        <w:tc>
          <w:tcPr>
            <w:tcW w:w="2268" w:type="dxa"/>
          </w:tcPr>
          <w:p w:rsidR="006E4E11" w:rsidRPr="00707BB2" w:rsidRDefault="0081789E" w:rsidP="007242A3">
            <w:pPr>
              <w:framePr w:w="5035" w:h="1644" w:wrap="notBeside" w:vAnchor="page" w:hAnchor="page" w:x="6573" w:y="721"/>
              <w:rPr>
                <w:rFonts w:ascii="TradeGothic" w:hAnsi="TradeGothic"/>
                <w:b/>
                <w:sz w:val="22"/>
              </w:rPr>
            </w:pPr>
            <w:r w:rsidRPr="00707BB2">
              <w:rPr>
                <w:rFonts w:ascii="TradeGothic" w:hAnsi="TradeGothic"/>
                <w:b/>
                <w:sz w:val="22"/>
              </w:rPr>
              <w:t xml:space="preserve">Promemoria </w:t>
            </w:r>
          </w:p>
        </w:tc>
        <w:tc>
          <w:tcPr>
            <w:tcW w:w="2999" w:type="dxa"/>
            <w:gridSpan w:val="2"/>
          </w:tcPr>
          <w:p w:rsidR="006E4E11" w:rsidRPr="00707BB2" w:rsidRDefault="006E4E11" w:rsidP="007242A3">
            <w:pPr>
              <w:framePr w:w="5035" w:h="1644" w:wrap="notBeside" w:vAnchor="page" w:hAnchor="page" w:x="6573" w:y="721"/>
              <w:rPr>
                <w:rFonts w:ascii="TradeGothic" w:hAnsi="TradeGothic"/>
                <w:b/>
                <w:sz w:val="22"/>
              </w:rPr>
            </w:pPr>
          </w:p>
        </w:tc>
      </w:tr>
      <w:tr w:rsidR="006E4E11" w:rsidRPr="00707BB2">
        <w:tblPrEx>
          <w:tblCellMar>
            <w:top w:w="0" w:type="dxa"/>
            <w:bottom w:w="0" w:type="dxa"/>
          </w:tblCellMar>
        </w:tblPrEx>
        <w:tc>
          <w:tcPr>
            <w:tcW w:w="3402" w:type="dxa"/>
            <w:gridSpan w:val="2"/>
          </w:tcPr>
          <w:p w:rsidR="006E4E11" w:rsidRPr="00707BB2" w:rsidRDefault="006E4E11" w:rsidP="007242A3">
            <w:pPr>
              <w:framePr w:w="5035" w:h="1644" w:wrap="notBeside" w:vAnchor="page" w:hAnchor="page" w:x="6573" w:y="721"/>
            </w:pPr>
          </w:p>
        </w:tc>
        <w:tc>
          <w:tcPr>
            <w:tcW w:w="1865" w:type="dxa"/>
          </w:tcPr>
          <w:p w:rsidR="006E4E11" w:rsidRPr="00707BB2" w:rsidRDefault="006E4E11" w:rsidP="007242A3">
            <w:pPr>
              <w:framePr w:w="5035" w:h="1644" w:wrap="notBeside" w:vAnchor="page" w:hAnchor="page" w:x="6573" w:y="721"/>
            </w:pPr>
          </w:p>
        </w:tc>
      </w:tr>
      <w:tr w:rsidR="006E4E11" w:rsidRPr="00707BB2">
        <w:tblPrEx>
          <w:tblCellMar>
            <w:top w:w="0" w:type="dxa"/>
            <w:bottom w:w="0" w:type="dxa"/>
          </w:tblCellMar>
        </w:tblPrEx>
        <w:tc>
          <w:tcPr>
            <w:tcW w:w="2268" w:type="dxa"/>
          </w:tcPr>
          <w:p w:rsidR="006E4E11" w:rsidRPr="00707BB2" w:rsidRDefault="0081789E" w:rsidP="007242A3">
            <w:pPr>
              <w:framePr w:w="5035" w:h="1644" w:wrap="notBeside" w:vAnchor="page" w:hAnchor="page" w:x="6573" w:y="721"/>
            </w:pPr>
            <w:r w:rsidRPr="00707BB2">
              <w:t>2008-04-09</w:t>
            </w:r>
          </w:p>
        </w:tc>
        <w:tc>
          <w:tcPr>
            <w:tcW w:w="2999" w:type="dxa"/>
            <w:gridSpan w:val="2"/>
          </w:tcPr>
          <w:p w:rsidR="006E4E11" w:rsidRPr="00707BB2" w:rsidRDefault="006E4E11" w:rsidP="007242A3">
            <w:pPr>
              <w:framePr w:w="5035" w:h="1644" w:wrap="notBeside" w:vAnchor="page" w:hAnchor="page" w:x="6573" w:y="721"/>
            </w:pPr>
          </w:p>
        </w:tc>
      </w:tr>
      <w:tr w:rsidR="006E4E11" w:rsidRPr="00707BB2">
        <w:tblPrEx>
          <w:tblCellMar>
            <w:top w:w="0" w:type="dxa"/>
            <w:bottom w:w="0" w:type="dxa"/>
          </w:tblCellMar>
        </w:tblPrEx>
        <w:tc>
          <w:tcPr>
            <w:tcW w:w="2268" w:type="dxa"/>
          </w:tcPr>
          <w:p w:rsidR="006E4E11" w:rsidRPr="00707BB2" w:rsidRDefault="006E4E11" w:rsidP="007242A3">
            <w:pPr>
              <w:framePr w:w="5035" w:h="1644" w:wrap="notBeside" w:vAnchor="page" w:hAnchor="page" w:x="6573" w:y="721"/>
            </w:pPr>
          </w:p>
        </w:tc>
        <w:tc>
          <w:tcPr>
            <w:tcW w:w="2999" w:type="dxa"/>
            <w:gridSpan w:val="2"/>
          </w:tcPr>
          <w:p w:rsidR="006E4E11" w:rsidRPr="00707BB2"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07BB2">
        <w:tblPrEx>
          <w:tblCellMar>
            <w:top w:w="0" w:type="dxa"/>
            <w:bottom w:w="0" w:type="dxa"/>
          </w:tblCellMar>
        </w:tblPrEx>
        <w:trPr>
          <w:trHeight w:val="284"/>
        </w:trPr>
        <w:tc>
          <w:tcPr>
            <w:tcW w:w="4911" w:type="dxa"/>
          </w:tcPr>
          <w:p w:rsidR="006E4E11" w:rsidRPr="00707BB2" w:rsidRDefault="0081789E">
            <w:pPr>
              <w:pStyle w:val="Avsndare"/>
              <w:framePr w:h="2483" w:wrap="notBeside" w:x="1504"/>
              <w:rPr>
                <w:b/>
                <w:i w:val="0"/>
                <w:sz w:val="22"/>
              </w:rPr>
            </w:pPr>
            <w:r w:rsidRPr="00707BB2">
              <w:rPr>
                <w:b/>
                <w:i w:val="0"/>
                <w:sz w:val="22"/>
              </w:rPr>
              <w:t>Justitiedepartementet</w:t>
            </w:r>
          </w:p>
        </w:tc>
      </w:tr>
      <w:tr w:rsidR="006E4E11" w:rsidRPr="00707BB2">
        <w:tblPrEx>
          <w:tblCellMar>
            <w:top w:w="0" w:type="dxa"/>
            <w:bottom w:w="0" w:type="dxa"/>
          </w:tblCellMar>
        </w:tblPrEx>
        <w:trPr>
          <w:trHeight w:val="284"/>
        </w:trPr>
        <w:tc>
          <w:tcPr>
            <w:tcW w:w="4911" w:type="dxa"/>
          </w:tcPr>
          <w:p w:rsidR="006E4E11" w:rsidRPr="00707BB2" w:rsidRDefault="006E4E11">
            <w:pPr>
              <w:pStyle w:val="Avsndare"/>
              <w:framePr w:h="2483" w:wrap="notBeside" w:x="1504"/>
              <w:rPr>
                <w:bCs/>
                <w:iCs/>
              </w:rPr>
            </w:pPr>
          </w:p>
        </w:tc>
      </w:tr>
      <w:tr w:rsidR="006E4E11" w:rsidRPr="00707BB2">
        <w:tblPrEx>
          <w:tblCellMar>
            <w:top w:w="0" w:type="dxa"/>
            <w:bottom w:w="0" w:type="dxa"/>
          </w:tblCellMar>
        </w:tblPrEx>
        <w:trPr>
          <w:trHeight w:val="284"/>
        </w:trPr>
        <w:tc>
          <w:tcPr>
            <w:tcW w:w="4911" w:type="dxa"/>
          </w:tcPr>
          <w:p w:rsidR="006E4E11" w:rsidRPr="00707BB2" w:rsidRDefault="0081789E">
            <w:pPr>
              <w:pStyle w:val="Avsndare"/>
              <w:framePr w:h="2483" w:wrap="notBeside" w:x="1504"/>
              <w:rPr>
                <w:bCs/>
                <w:iCs/>
              </w:rPr>
            </w:pPr>
            <w:r w:rsidRPr="00707BB2">
              <w:rPr>
                <w:bCs/>
                <w:iCs/>
              </w:rPr>
              <w:t>EU-enheten</w:t>
            </w:r>
          </w:p>
        </w:tc>
      </w:tr>
      <w:tr w:rsidR="0081789E" w:rsidRPr="00707BB2">
        <w:tblPrEx>
          <w:tblCellMar>
            <w:top w:w="0" w:type="dxa"/>
            <w:bottom w:w="0" w:type="dxa"/>
          </w:tblCellMar>
        </w:tblPrEx>
        <w:trPr>
          <w:trHeight w:val="284"/>
        </w:trPr>
        <w:tc>
          <w:tcPr>
            <w:tcW w:w="4911" w:type="dxa"/>
          </w:tcPr>
          <w:p w:rsidR="0081789E" w:rsidRPr="00707BB2" w:rsidRDefault="0081789E">
            <w:pPr>
              <w:pStyle w:val="Avsndare"/>
              <w:framePr w:h="2483" w:wrap="notBeside" w:x="1504"/>
              <w:rPr>
                <w:bCs/>
                <w:iCs/>
              </w:rPr>
            </w:pPr>
          </w:p>
        </w:tc>
      </w:tr>
    </w:tbl>
    <w:p w:rsidR="006E4E11" w:rsidRPr="00707BB2" w:rsidRDefault="006E4E11">
      <w:pPr>
        <w:framePr w:w="4400" w:h="2523" w:wrap="notBeside" w:vAnchor="page" w:hAnchor="page" w:x="6453" w:y="2445"/>
        <w:ind w:left="142"/>
      </w:pPr>
    </w:p>
    <w:p w:rsidR="006E4E11" w:rsidRPr="00707BB2" w:rsidRDefault="00707BB2" w:rsidP="0081789E">
      <w:pPr>
        <w:pStyle w:val="RKrubrik"/>
        <w:pBdr>
          <w:bottom w:val="single" w:sz="4" w:space="1" w:color="000000"/>
        </w:pBdr>
        <w:spacing w:before="0" w:after="0"/>
      </w:pPr>
      <w:r w:rsidRPr="00707BB2">
        <w:rPr>
          <w:i/>
          <w:noProof/>
          <w:sz w:val="18"/>
          <w:lang w:eastAsia="sv-SE"/>
        </w:rPr>
        <mc:AlternateContent>
          <mc:Choice Requires="wps">
            <w:drawing>
              <wp:anchor distT="0" distB="0" distL="114300" distR="114300" simplePos="0" relativeHeight="251657728" behindDoc="0" locked="0" layoutInCell="1" allowOverlap="1">
                <wp:simplePos x="0" y="0"/>
                <wp:positionH relativeFrom="column">
                  <wp:posOffset>3776345</wp:posOffset>
                </wp:positionH>
                <wp:positionV relativeFrom="paragraph">
                  <wp:posOffset>-1155700</wp:posOffset>
                </wp:positionV>
                <wp:extent cx="1066800" cy="381000"/>
                <wp:effectExtent l="0" t="0" r="0" b="0"/>
                <wp:wrapNone/>
                <wp:docPr id="8364442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81000"/>
                        </a:xfrm>
                        <a:prstGeom prst="rect">
                          <a:avLst/>
                        </a:prstGeom>
                        <a:solidFill>
                          <a:srgbClr val="FFFFFF"/>
                        </a:solidFill>
                        <a:ln w="9525">
                          <a:solidFill>
                            <a:srgbClr val="000000"/>
                          </a:solidFill>
                          <a:miter lim="800000"/>
                          <a:headEnd/>
                          <a:tailEnd/>
                        </a:ln>
                      </wps:spPr>
                      <wps:txbx>
                        <w:txbxContent>
                          <w:p w:rsidR="00D82E0D" w:rsidRPr="00707BB2" w:rsidRDefault="00D82E0D">
                            <w:pPr>
                              <w:rPr>
                                <w:b/>
                              </w:rPr>
                            </w:pPr>
                            <w:r w:rsidRPr="00707BB2">
                              <w:rPr>
                                <w:b/>
                                <w:szCs w:val="24"/>
                              </w:rPr>
                              <w:t>RiF</w:t>
                            </w:r>
                            <w:r w:rsidRPr="00707BB2">
                              <w:rPr>
                                <w:b/>
                              </w:rPr>
                              <w:t xml:space="preserve"> DP. </w:t>
                            </w:r>
                            <w:r w:rsidRPr="00707BB2">
                              <w:rPr>
                                <w:b/>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35pt;margin-top:-91pt;width:84pt;height: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">
                <v:textbox>
                  <w:txbxContent>
                    <w:p w:rsidR="00D82E0D" w:rsidRPr="00707BB2" w:rsidRDefault="00D82E0D">
                      <w:pPr>
                        <w:rPr>
                          <w:b/>
                        </w:rPr>
                      </w:pPr>
                      <w:r w:rsidRPr="00707BB2">
                        <w:rPr>
                          <w:b/>
                          <w:szCs w:val="24"/>
                        </w:rPr>
                        <w:t>RiF</w:t>
                      </w:r>
                      <w:r w:rsidRPr="00707BB2">
                        <w:rPr>
                          <w:b/>
                        </w:rPr>
                        <w:t xml:space="preserve"> DP. </w:t>
                      </w:r>
                      <w:r w:rsidRPr="00707BB2">
                        <w:rPr>
                          <w:b/>
                          <w:sz w:val="32"/>
                          <w:szCs w:val="32"/>
                        </w:rPr>
                        <w:t>2</w:t>
                      </w:r>
                    </w:p>
                  </w:txbxContent>
                </v:textbox>
              </v:shape>
            </w:pict>
          </mc:Fallback>
        </mc:AlternateContent>
      </w:r>
      <w:r w:rsidR="0081789E" w:rsidRPr="00707BB2">
        <w:t>Rådets möte (rättsliga och inrikes frågor) den 18 april 2008</w:t>
      </w:r>
    </w:p>
    <w:p w:rsidR="0081789E" w:rsidRPr="00707BB2" w:rsidRDefault="0081789E" w:rsidP="0081789E">
      <w:pPr>
        <w:pStyle w:val="RKnormal"/>
      </w:pPr>
    </w:p>
    <w:p w:rsidR="0081789E" w:rsidRPr="00707BB2" w:rsidRDefault="0081789E" w:rsidP="0081789E">
      <w:pPr>
        <w:pStyle w:val="RKnormal"/>
        <w:rPr>
          <w:b/>
          <w:bCs/>
        </w:rPr>
      </w:pPr>
      <w:r w:rsidRPr="00707BB2">
        <w:rPr>
          <w:b/>
          <w:bCs/>
        </w:rPr>
        <w:t>Dagordningspunkt 2</w:t>
      </w:r>
    </w:p>
    <w:p w:rsidR="0081789E" w:rsidRPr="00707BB2" w:rsidRDefault="0081789E" w:rsidP="0081789E">
      <w:pPr>
        <w:pStyle w:val="RKnormal"/>
        <w:rPr>
          <w:b/>
          <w:bCs/>
        </w:rPr>
      </w:pPr>
    </w:p>
    <w:p w:rsidR="0081789E" w:rsidRPr="00707BB2" w:rsidRDefault="0081789E" w:rsidP="0081789E">
      <w:pPr>
        <w:pStyle w:val="RKnormal"/>
        <w:rPr>
          <w:b/>
          <w:bCs/>
        </w:rPr>
      </w:pPr>
      <w:r w:rsidRPr="00707BB2">
        <w:rPr>
          <w:b/>
          <w:bCs/>
        </w:rPr>
        <w:t>A-punkter (troliga)</w:t>
      </w:r>
    </w:p>
    <w:p w:rsidR="0081789E" w:rsidRPr="00707BB2" w:rsidRDefault="0081789E" w:rsidP="0081789E">
      <w:pPr>
        <w:pStyle w:val="RKnormal"/>
      </w:pPr>
    </w:p>
    <w:p w:rsidR="0081789E" w:rsidRPr="00707BB2" w:rsidRDefault="0081789E" w:rsidP="0081789E">
      <w:pPr>
        <w:pStyle w:val="RKnormal"/>
        <w:rPr>
          <w:i/>
        </w:rPr>
      </w:pPr>
      <w:r w:rsidRPr="00707BB2">
        <w:rPr>
          <w:i/>
        </w:rPr>
        <w:t xml:space="preserve">Dokument </w:t>
      </w:r>
    </w:p>
    <w:p w:rsidR="0081789E" w:rsidRPr="00707BB2" w:rsidRDefault="0081789E" w:rsidP="0081789E">
      <w:r w:rsidRPr="00707BB2">
        <w:t>Dokument saknas</w:t>
      </w:r>
    </w:p>
    <w:p w:rsidR="0081789E" w:rsidRPr="00707BB2" w:rsidRDefault="0081789E" w:rsidP="0081789E"/>
    <w:p w:rsidR="0081789E" w:rsidRPr="00707BB2" w:rsidRDefault="0081789E" w:rsidP="0081789E"/>
    <w:p w:rsidR="0081789E" w:rsidRPr="00707BB2" w:rsidRDefault="0081789E" w:rsidP="0081789E">
      <w:pPr>
        <w:rPr>
          <w:b/>
        </w:rPr>
      </w:pPr>
      <w:r w:rsidRPr="00707BB2">
        <w:rPr>
          <w:b/>
        </w:rPr>
        <w:t>1.Årsrapport från det europeiska nätverket för skydd av offentliga personer</w:t>
      </w:r>
    </w:p>
    <w:p w:rsidR="0081789E" w:rsidRPr="00707BB2" w:rsidRDefault="0081789E" w:rsidP="0081789E">
      <w:pPr>
        <w:rPr>
          <w:b/>
        </w:rPr>
      </w:pPr>
    </w:p>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r w:rsidRPr="00707BB2">
        <w:t xml:space="preserve">7352/08 ENFOPOL 46 </w:t>
      </w:r>
    </w:p>
    <w:p w:rsidR="0081789E" w:rsidRPr="00707BB2" w:rsidRDefault="0081789E" w:rsidP="0081789E">
      <w:r w:rsidRPr="00707BB2">
        <w:t>5573/08 ENFOPOL 15 + COR 1</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r w:rsidRPr="00707BB2">
        <w:t>Nätverket inrättades i november 2002 och består av personal från medlemsstaternas säkerhetsmyndigheter. Nätverket främsta syfte är att främja informations- och erfarenhetsutbyte mellan myndigheterna rörande skydd av offentliga personer samt att främja utvecklingen av en gemensam bästa praxis för operativa åtgärder. Nätverkets fjärde möte hölls i Berlin den 8-10 oktober 2007 där följande frågor diskuterades:</w:t>
      </w:r>
    </w:p>
    <w:p w:rsidR="0081789E" w:rsidRPr="00707BB2" w:rsidRDefault="0081789E" w:rsidP="0081789E"/>
    <w:p w:rsidR="0081789E" w:rsidRPr="00707BB2" w:rsidRDefault="0081789E" w:rsidP="0081789E">
      <w:pPr>
        <w:rPr>
          <w:rFonts w:cs="OrigGarmnd BT"/>
        </w:rPr>
      </w:pPr>
      <w:r w:rsidRPr="00707BB2">
        <w:t xml:space="preserve">-  </w:t>
      </w:r>
      <w:r w:rsidRPr="00707BB2">
        <w:rPr>
          <w:rFonts w:cs="OrigGarmnd BT"/>
        </w:rPr>
        <w:t>Ett intensifierat samarbete inom träning för skydd av offentliga personer.</w:t>
      </w:r>
    </w:p>
    <w:p w:rsidR="0081789E" w:rsidRPr="00707BB2" w:rsidRDefault="0081789E" w:rsidP="0081789E">
      <w:r w:rsidRPr="00707BB2">
        <w:t xml:space="preserve">-  </w:t>
      </w:r>
      <w:r w:rsidRPr="00707BB2">
        <w:rPr>
          <w:rFonts w:cs="OrigGarmnd BT"/>
        </w:rPr>
        <w:t>Införandet av ”Chiasm</w:t>
      </w:r>
      <w:r w:rsidRPr="00707BB2">
        <w:t>us software” som ett säkert kommunikationssystem, vilket möjliggör ett större utbyte av sekretessklassade meddelanden via mail.</w:t>
      </w:r>
    </w:p>
    <w:p w:rsidR="0081789E" w:rsidRPr="00707BB2" w:rsidRDefault="0081789E" w:rsidP="0081789E">
      <w:r w:rsidRPr="00707BB2">
        <w:t xml:space="preserve">- </w:t>
      </w:r>
      <w:r w:rsidRPr="00707BB2">
        <w:rPr>
          <w:rFonts w:cs="OrigGarmnd BT"/>
        </w:rPr>
        <w:t>Bärande av tjänstevapen av utländska säkerhetstjänstemän inom EU där harmonisering av regler ansågs användbara och nödvändiga.</w:t>
      </w:r>
      <w:r w:rsidRPr="00707BB2">
        <w:t xml:space="preserve"> En arbetsgrupp </w:t>
      </w:r>
      <w:r w:rsidRPr="00707BB2">
        <w:lastRenderedPageBreak/>
        <w:t xml:space="preserve">ska tillsättas för att se över sådana möjligheter och ska rapportera resultatet på kommande möte i nätverket. </w:t>
      </w:r>
    </w:p>
    <w:p w:rsidR="0081789E" w:rsidRPr="00707BB2" w:rsidRDefault="0081789E" w:rsidP="0081789E"/>
    <w:p w:rsidR="0081789E" w:rsidRPr="00707BB2" w:rsidRDefault="0081789E" w:rsidP="0081789E">
      <w:pPr>
        <w:pStyle w:val="RKnormal"/>
        <w:rPr>
          <w:i/>
          <w:iCs/>
        </w:rPr>
      </w:pPr>
      <w:r w:rsidRPr="00707BB2">
        <w:rPr>
          <w:i/>
          <w:iCs/>
        </w:rPr>
        <w:t>Åtgärd</w:t>
      </w:r>
    </w:p>
    <w:p w:rsidR="0081789E" w:rsidRPr="00707BB2" w:rsidRDefault="0081789E" w:rsidP="0081789E">
      <w:pPr>
        <w:rPr>
          <w:iCs/>
        </w:rPr>
      </w:pPr>
      <w:r w:rsidRPr="00707BB2">
        <w:rPr>
          <w:iCs/>
        </w:rPr>
        <w:t xml:space="preserve">Rådet föreslås </w:t>
      </w:r>
      <w:r w:rsidRPr="00707BB2">
        <w:rPr>
          <w:u w:val="single"/>
        </w:rPr>
        <w:t>notera</w:t>
      </w:r>
      <w:r w:rsidRPr="00707BB2">
        <w:t xml:space="preserve"> årsrapporten</w:t>
      </w:r>
      <w:r w:rsidRPr="00707BB2">
        <w:rPr>
          <w:iCs/>
        </w:rPr>
        <w:t>.</w:t>
      </w:r>
    </w:p>
    <w:p w:rsidR="0081789E" w:rsidRPr="00707BB2" w:rsidRDefault="0081789E" w:rsidP="0081789E">
      <w:pPr>
        <w:rPr>
          <w:iCs/>
        </w:rPr>
      </w:pPr>
    </w:p>
    <w:p w:rsidR="0081789E" w:rsidRPr="00707BB2" w:rsidRDefault="0081789E" w:rsidP="0081789E">
      <w:pPr>
        <w:rPr>
          <w:iCs/>
        </w:rPr>
      </w:pPr>
    </w:p>
    <w:p w:rsidR="0081789E" w:rsidRPr="00707BB2" w:rsidRDefault="00F71E1B" w:rsidP="0081789E">
      <w:pPr>
        <w:rPr>
          <w:b/>
        </w:rPr>
      </w:pPr>
      <w:r w:rsidRPr="00707BB2">
        <w:rPr>
          <w:b/>
        </w:rPr>
        <w:t xml:space="preserve">2. </w:t>
      </w:r>
      <w:r w:rsidR="0081789E" w:rsidRPr="00707BB2">
        <w:rPr>
          <w:b/>
        </w:rPr>
        <w:t>Utkast till rådets beslut om bemyndigande för kommissionen att inleda förhandlingar om ingående av ett avtal mellan Europeiska gemenskapen, å ena sidan, och Schweiziska edsförbundet och Furstendömet Liechtenstein, å andra sidan, om villkoren för dessa staters deltagande i Europeiska byrån för förvaltningen av det operativa samarbetet vid Europeiska unionens medlemsstaters yttre gränser</w:t>
      </w:r>
    </w:p>
    <w:p w:rsidR="0081789E" w:rsidRPr="00707BB2" w:rsidRDefault="0081789E" w:rsidP="0081789E">
      <w:pPr>
        <w:rPr>
          <w:iCs/>
        </w:rPr>
      </w:pPr>
    </w:p>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r w:rsidRPr="00707BB2">
        <w:t>7414/08 FRONT 30</w:t>
      </w:r>
    </w:p>
    <w:p w:rsidR="0081789E" w:rsidRPr="00707BB2" w:rsidRDefault="0081789E" w:rsidP="0081789E">
      <w:r w:rsidRPr="00707BB2">
        <w:t>7406/08 FRONT 29 RESTREINT UE</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r w:rsidRPr="00707BB2">
        <w:t>Enligt förordningen om inrättande av den europeiska gränsbyrån (Frontex) ska länder som associeras till Schengenregelverket delta i byråns arbete. De ska företrädas i styrelsen och man ska sluta avtal om de närmare reglerna kring deras deltagande i verksamheten (bl.a. gällande gemensamma operationer, riskanalyser, utbildning, personal och finansiering). Enligt avtalen om Schweiz och Liechtensteins associering till Schengenregelverket ska avtalet om dessa länders deltagande i Frontex följa de avtal som ingåtts med Norge och Island i samma syfte. Rådet ska nu bemyndiga kommissionen att inleda förhandlingarna om ett avtal med Schweiz och Liechtenstein. Detta är både i linje med ländernas associering till Schengenregelverket och bra för det operativa samarbetet i Europa.</w:t>
      </w:r>
    </w:p>
    <w:p w:rsidR="0081789E" w:rsidRPr="00707BB2" w:rsidRDefault="0081789E" w:rsidP="0081789E"/>
    <w:p w:rsidR="0081789E" w:rsidRPr="00707BB2" w:rsidRDefault="0081789E" w:rsidP="0081789E">
      <w:pPr>
        <w:pStyle w:val="RKnormal"/>
        <w:rPr>
          <w:i/>
          <w:iCs/>
        </w:rPr>
      </w:pPr>
      <w:r w:rsidRPr="00707BB2">
        <w:rPr>
          <w:i/>
          <w:iCs/>
        </w:rPr>
        <w:t>Åtgärd</w:t>
      </w:r>
    </w:p>
    <w:p w:rsidR="0081789E" w:rsidRPr="00707BB2" w:rsidRDefault="0081789E" w:rsidP="0081789E">
      <w:r w:rsidRPr="00707BB2">
        <w:rPr>
          <w:iCs/>
        </w:rPr>
        <w:t xml:space="preserve">Rådet föreslås </w:t>
      </w:r>
      <w:r w:rsidRPr="00707BB2">
        <w:rPr>
          <w:u w:val="single"/>
        </w:rPr>
        <w:t>anta</w:t>
      </w:r>
      <w:r w:rsidRPr="00707BB2">
        <w:t xml:space="preserve"> utkastet till rådets beslut.</w:t>
      </w:r>
    </w:p>
    <w:p w:rsidR="0081789E" w:rsidRPr="00707BB2" w:rsidRDefault="0081789E" w:rsidP="0081789E"/>
    <w:p w:rsidR="0081789E" w:rsidRPr="00707BB2" w:rsidRDefault="0081789E" w:rsidP="0081789E"/>
    <w:p w:rsidR="00F71E1B" w:rsidRPr="00707BB2" w:rsidRDefault="00F71E1B" w:rsidP="0081789E">
      <w:pPr>
        <w:rPr>
          <w:b/>
        </w:rPr>
      </w:pPr>
    </w:p>
    <w:p w:rsidR="00F71E1B" w:rsidRPr="00707BB2" w:rsidRDefault="00F71E1B" w:rsidP="0081789E">
      <w:pPr>
        <w:rPr>
          <w:b/>
        </w:rPr>
      </w:pPr>
    </w:p>
    <w:p w:rsidR="00F71E1B" w:rsidRPr="00707BB2" w:rsidRDefault="00F71E1B" w:rsidP="0081789E">
      <w:pPr>
        <w:rPr>
          <w:b/>
        </w:rPr>
      </w:pPr>
    </w:p>
    <w:p w:rsidR="0081789E" w:rsidRPr="00707BB2" w:rsidRDefault="00F71E1B" w:rsidP="0081789E">
      <w:pPr>
        <w:rPr>
          <w:b/>
        </w:rPr>
      </w:pPr>
      <w:r w:rsidRPr="00707BB2">
        <w:rPr>
          <w:b/>
        </w:rPr>
        <w:t xml:space="preserve">3. </w:t>
      </w:r>
      <w:r w:rsidR="0081789E" w:rsidRPr="00707BB2">
        <w:rPr>
          <w:b/>
        </w:rPr>
        <w:t>Rådets förordning om ändring av förordning (EG) nr 1030/2002 om en enhetlig utformning av uppehållstillstånd för medborgare i tredjeland</w:t>
      </w:r>
    </w:p>
    <w:p w:rsidR="0081789E" w:rsidRPr="00707BB2" w:rsidRDefault="0081789E" w:rsidP="0081789E">
      <w:pPr>
        <w:pStyle w:val="RKnormal"/>
        <w:rPr>
          <w:i/>
          <w:iCs/>
        </w:rPr>
      </w:pPr>
    </w:p>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pPr>
        <w:pStyle w:val="RKnormal"/>
      </w:pPr>
      <w:r w:rsidRPr="00707BB2">
        <w:t>13502/2/07 REV 2 VISA 303 COMIX 838 + REV 3 (mt)</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r w:rsidRPr="00707BB2">
        <w:t xml:space="preserve">Den 13 mars 2006 lade kommissionen fram ett ändrat förslag till rådets förordning om ändring av förordning (EG) nr 1030/2002 om en enhetlig utformning av uppehållstillstånd för medborgare i tredjeland. Förslaget innehåller bestämmelser om införande av biometriska säkringar (ansiktsfotografi och fingeravtryck av två fingrar) i tredjelandsmedborgares uppehållstillstånd. Fingeravtryck ska tas från och med sex års ålder. Lagringen av ansiktsbilder och lagringen av fingeravtryck ska genomföras senast två respektive tre år efter förordningens antagande. </w:t>
      </w:r>
    </w:p>
    <w:p w:rsidR="0081789E" w:rsidRPr="00707BB2" w:rsidRDefault="0081789E" w:rsidP="0081789E"/>
    <w:p w:rsidR="0081789E" w:rsidRPr="00707BB2" w:rsidRDefault="0081789E" w:rsidP="0081789E">
      <w:r w:rsidRPr="00707BB2">
        <w:t>Europaparlamentet yttrade sig om förslaget den 20 juni 2007. Den 18 september 2007</w:t>
      </w:r>
      <w:r w:rsidR="00F71E1B" w:rsidRPr="00707BB2">
        <w:t xml:space="preserve"> </w:t>
      </w:r>
      <w:r w:rsidRPr="00707BB2">
        <w:t>antog rådet</w:t>
      </w:r>
      <w:r w:rsidR="00F71E1B" w:rsidRPr="00707BB2">
        <w:t xml:space="preserve"> </w:t>
      </w:r>
      <w:r w:rsidRPr="00707BB2">
        <w:t xml:space="preserve">en allmän riktlinje avseende förordningstexten. Till rådets protokoll skulle uttalanden biläggas som innebar att MS vid utfärdande av uppehållskort för unionsmedborgares familjemedlemmar kommer att använda sig av den enhetliga utformningen av uppehållstillstånd varvid titeln ersätts med ”Uppehållskort för en unionsmedborgares familjemedlem” samt att KOM senast före 2008 års utgång ska avlägga rapport av att göra principen ”en person ett dokument” obligatorisk. Texten har nu granskats av juristlinvisterna. När det gäller Irlands deltagande i förordning nr 1030/02, fattade kommissionen den 11 oktober 2007 ett positivt beslut i frågan och ett lämpligt skäl rörande Irland har införts i ingressen. </w:t>
      </w:r>
    </w:p>
    <w:p w:rsidR="00F71E1B" w:rsidRPr="00707BB2" w:rsidRDefault="00F71E1B" w:rsidP="0081789E"/>
    <w:p w:rsidR="0081789E" w:rsidRPr="00707BB2" w:rsidRDefault="0081789E" w:rsidP="0081789E">
      <w:pPr>
        <w:pStyle w:val="RKnormal"/>
        <w:rPr>
          <w:i/>
          <w:iCs/>
        </w:rPr>
      </w:pPr>
      <w:r w:rsidRPr="00707BB2">
        <w:rPr>
          <w:i/>
          <w:iCs/>
        </w:rPr>
        <w:t>Åtgärd</w:t>
      </w:r>
    </w:p>
    <w:p w:rsidR="0081789E" w:rsidRPr="00707BB2" w:rsidRDefault="0081789E" w:rsidP="0081789E">
      <w:r w:rsidRPr="00707BB2">
        <w:rPr>
          <w:iCs/>
        </w:rPr>
        <w:t xml:space="preserve">Rådet föreslås </w:t>
      </w:r>
      <w:r w:rsidRPr="00707BB2">
        <w:rPr>
          <w:u w:val="single"/>
        </w:rPr>
        <w:t>anta</w:t>
      </w:r>
      <w:r w:rsidRPr="00707BB2">
        <w:t xml:space="preserve"> förordningen med enhällighet samt </w:t>
      </w:r>
      <w:r w:rsidRPr="00707BB2">
        <w:rPr>
          <w:u w:val="single"/>
        </w:rPr>
        <w:t>besluta</w:t>
      </w:r>
      <w:r w:rsidRPr="00707BB2">
        <w:t xml:space="preserve"> att uttalandena i bilagan ska tas till rådets protokoll.</w:t>
      </w:r>
    </w:p>
    <w:p w:rsidR="0081789E" w:rsidRPr="00707BB2" w:rsidRDefault="0081789E" w:rsidP="0081789E"/>
    <w:p w:rsidR="0081789E" w:rsidRPr="00707BB2" w:rsidRDefault="0081789E" w:rsidP="0081789E"/>
    <w:p w:rsidR="00F71E1B" w:rsidRPr="00707BB2" w:rsidRDefault="00F71E1B" w:rsidP="0081789E">
      <w:pPr>
        <w:rPr>
          <w:b/>
        </w:rPr>
      </w:pPr>
    </w:p>
    <w:p w:rsidR="00F71E1B" w:rsidRPr="00707BB2" w:rsidRDefault="00F71E1B" w:rsidP="0081789E">
      <w:pPr>
        <w:rPr>
          <w:b/>
        </w:rPr>
      </w:pPr>
    </w:p>
    <w:p w:rsidR="00F71E1B" w:rsidRPr="00707BB2" w:rsidRDefault="00F71E1B" w:rsidP="0081789E">
      <w:pPr>
        <w:rPr>
          <w:b/>
        </w:rPr>
      </w:pPr>
    </w:p>
    <w:p w:rsidR="00F71E1B" w:rsidRPr="00707BB2" w:rsidRDefault="00F71E1B" w:rsidP="0081789E">
      <w:pPr>
        <w:rPr>
          <w:b/>
        </w:rPr>
      </w:pPr>
    </w:p>
    <w:p w:rsidR="00F71E1B" w:rsidRPr="00707BB2" w:rsidRDefault="00F71E1B" w:rsidP="0081789E">
      <w:pPr>
        <w:rPr>
          <w:b/>
        </w:rPr>
      </w:pPr>
    </w:p>
    <w:p w:rsidR="0081789E" w:rsidRPr="00707BB2" w:rsidRDefault="00F71E1B" w:rsidP="0081789E">
      <w:pPr>
        <w:rPr>
          <w:b/>
        </w:rPr>
      </w:pPr>
      <w:r w:rsidRPr="00707BB2">
        <w:rPr>
          <w:b/>
        </w:rPr>
        <w:t xml:space="preserve">4. </w:t>
      </w:r>
      <w:r w:rsidR="0081789E" w:rsidRPr="00707BB2">
        <w:rPr>
          <w:b/>
        </w:rPr>
        <w:t>Utkast till gemensam ståndpunkt om det normativa förslaget till ett förenklat utlämningsförfarande i Europarådet</w:t>
      </w:r>
    </w:p>
    <w:p w:rsidR="0081789E" w:rsidRPr="00707BB2" w:rsidRDefault="0081789E" w:rsidP="0081789E">
      <w:pPr>
        <w:rPr>
          <w:b/>
        </w:rPr>
      </w:pPr>
    </w:p>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r w:rsidRPr="00707BB2">
        <w:t>7349/08 COPEN 50 CATS 17 RESTREINT UE</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r w:rsidRPr="00707BB2">
        <w:t>Europarådets expertkommitté för det straffrättsliga samarbetet (PC-OC) har övervägt olika sätt att förbättra och effektivisera det internationella straffrättsliga samarbetet. Vid sitt 51:a möte i mars 2006 beslöt PC-OC att till styrgruppen överlämna ett antal förslag till åtgärder för att förbättra det straffrättliga samarbetet. På grundval av P</w:t>
      </w:r>
      <w:r w:rsidR="00F71E1B" w:rsidRPr="00707BB2">
        <w:t>C-OC:s förslag har styrgruppen</w:t>
      </w:r>
      <w:r w:rsidRPr="00707BB2">
        <w:t xml:space="preserve"> gett PC-OC i mandat bland annat att förhandla om ett instrument om förenklat utlämningsförfarande. Med stöd av ett utkast till reglering om förenklad utlämning inledde PC-OC i november 2007 diskussionerna i frågan. En arbetsgrupp inom PC-OC diskutera</w:t>
      </w:r>
      <w:r w:rsidR="00F71E1B" w:rsidRPr="00707BB2">
        <w:t>de</w:t>
      </w:r>
      <w:r w:rsidRPr="00707BB2">
        <w:t xml:space="preserve"> utkastet vid ett möte den 17-20 mars 2008.</w:t>
      </w:r>
    </w:p>
    <w:p w:rsidR="0081789E" w:rsidRPr="00707BB2" w:rsidRDefault="0081789E" w:rsidP="0081789E"/>
    <w:p w:rsidR="00821500" w:rsidRPr="00707BB2" w:rsidRDefault="0081789E" w:rsidP="0081789E">
      <w:r w:rsidRPr="00707BB2">
        <w:t>Det slovenska ordförandeskapet har författat ett förslag till gemensam ståndpunkt för EU:s medlemsstater inför förhandlingarna i Europarådet. Utkastet till gemensam ståndpunkt har diskuterats i rådsarbetsgruppen och av rättsrådgivarna.</w:t>
      </w:r>
    </w:p>
    <w:p w:rsidR="0081789E" w:rsidRPr="00707BB2" w:rsidRDefault="0081789E" w:rsidP="0081789E">
      <w:r w:rsidRPr="00707BB2">
        <w:t xml:space="preserve">      </w:t>
      </w:r>
    </w:p>
    <w:p w:rsidR="0081789E" w:rsidRPr="00707BB2" w:rsidRDefault="0081789E" w:rsidP="0081789E">
      <w:r w:rsidRPr="00707BB2">
        <w:t>Förslaget om reglering avseende ett förenklat utlämningsförfarande syftar till att förenkla och effektivisera utlämningsförfarandet mellan Europarådets medlemsstater för de fall då den eftersökte samtycker till utlämning. EU:s gemensamma ståndpunkt går i korthet ut på följande:</w:t>
      </w:r>
    </w:p>
    <w:p w:rsidR="0081789E" w:rsidRPr="00707BB2" w:rsidRDefault="0081789E" w:rsidP="0081789E"/>
    <w:p w:rsidR="0081789E" w:rsidRPr="00707BB2" w:rsidRDefault="0081789E" w:rsidP="0081789E">
      <w:r w:rsidRPr="00707BB2">
        <w:t>•</w:t>
      </w:r>
      <w:r w:rsidRPr="00707BB2">
        <w:tab/>
        <w:t>Medlemsstaterna ska stödja framtagandet av ett instrument som etablerar ett effektivt och förenklat förfarande för utlämning. Instrumentet ska vara av bindande karaktär och i form av ett tilläggsprotokoll till 1957 års utlämningskonvention.</w:t>
      </w:r>
    </w:p>
    <w:p w:rsidR="0081789E" w:rsidRPr="00707BB2" w:rsidRDefault="0081789E" w:rsidP="0081789E">
      <w:r w:rsidRPr="00707BB2">
        <w:t>•</w:t>
      </w:r>
      <w:r w:rsidRPr="00707BB2">
        <w:tab/>
        <w:t xml:space="preserve">Medlemsstaterna ska överväga lösningar som bygger på EU:s konvention från 1995 om ett förenklat utlämningsförfarande. </w:t>
      </w:r>
    </w:p>
    <w:p w:rsidR="0081789E" w:rsidRPr="00707BB2" w:rsidRDefault="0081789E" w:rsidP="0081789E">
      <w:r w:rsidRPr="00707BB2">
        <w:t>•</w:t>
      </w:r>
      <w:r w:rsidRPr="00707BB2">
        <w:tab/>
        <w:t>Det förenklade förfarandet ska tillämpas när den eftersökte samtycker till utlämning. Samtycket ska inhämtas på ett rättssäkert sätt.</w:t>
      </w:r>
    </w:p>
    <w:p w:rsidR="0081789E" w:rsidRPr="00707BB2" w:rsidRDefault="0081789E" w:rsidP="0081789E">
      <w:r w:rsidRPr="00707BB2">
        <w:t>•</w:t>
      </w:r>
      <w:r w:rsidRPr="00707BB2">
        <w:tab/>
        <w:t>Medlemsstaterna ska verka för en begränsning av den dokumentation som sänds från den utfärdande staten till den anmodade staten.</w:t>
      </w:r>
    </w:p>
    <w:p w:rsidR="0081789E" w:rsidRPr="00707BB2" w:rsidRDefault="0081789E" w:rsidP="0081789E">
      <w:r w:rsidRPr="00707BB2">
        <w:t>•</w:t>
      </w:r>
      <w:r w:rsidRPr="00707BB2">
        <w:tab/>
        <w:t xml:space="preserve">Medlemsstaterna ska stödja införandet av tidsfrister i instrumentet. </w:t>
      </w:r>
    </w:p>
    <w:p w:rsidR="0081789E" w:rsidRPr="00707BB2" w:rsidRDefault="0081789E" w:rsidP="0081789E">
      <w:r w:rsidRPr="00707BB2">
        <w:t>•</w:t>
      </w:r>
      <w:r w:rsidRPr="00707BB2">
        <w:tab/>
        <w:t>Den eftersökte ska kunna avsäga sig tillämpning av specialitetsprincipen och detta avsägande ska i princip vara oåterkalleligt.</w:t>
      </w:r>
    </w:p>
    <w:p w:rsidR="0081789E" w:rsidRPr="00707BB2" w:rsidRDefault="0081789E" w:rsidP="0081789E"/>
    <w:p w:rsidR="0081789E" w:rsidRPr="00707BB2" w:rsidRDefault="0081789E" w:rsidP="0081789E">
      <w:pPr>
        <w:pStyle w:val="RKnormal"/>
        <w:rPr>
          <w:i/>
          <w:iCs/>
        </w:rPr>
      </w:pPr>
      <w:r w:rsidRPr="00707BB2">
        <w:rPr>
          <w:i/>
          <w:iCs/>
        </w:rPr>
        <w:t>Åtgärd</w:t>
      </w:r>
    </w:p>
    <w:p w:rsidR="0081789E" w:rsidRPr="00707BB2" w:rsidRDefault="0081789E" w:rsidP="0081789E">
      <w:pPr>
        <w:rPr>
          <w:iCs/>
        </w:rPr>
      </w:pPr>
      <w:r w:rsidRPr="00707BB2">
        <w:rPr>
          <w:iCs/>
        </w:rPr>
        <w:t xml:space="preserve">Rådet föreslås </w:t>
      </w:r>
      <w:r w:rsidRPr="00707BB2">
        <w:rPr>
          <w:iCs/>
          <w:u w:val="single"/>
        </w:rPr>
        <w:t>anta</w:t>
      </w:r>
      <w:r w:rsidRPr="00707BB2">
        <w:rPr>
          <w:iCs/>
        </w:rPr>
        <w:t xml:space="preserve"> den gemensamma ståndpunkten.</w:t>
      </w:r>
    </w:p>
    <w:p w:rsidR="0081789E" w:rsidRPr="00707BB2" w:rsidRDefault="0081789E" w:rsidP="0081789E">
      <w:pPr>
        <w:rPr>
          <w:iCs/>
        </w:rPr>
      </w:pPr>
    </w:p>
    <w:p w:rsidR="0081789E" w:rsidRPr="00707BB2" w:rsidRDefault="0081789E" w:rsidP="0081789E">
      <w:pPr>
        <w:rPr>
          <w:iCs/>
        </w:rPr>
      </w:pPr>
    </w:p>
    <w:p w:rsidR="0081789E" w:rsidRPr="00707BB2" w:rsidRDefault="00821500" w:rsidP="0081789E">
      <w:pPr>
        <w:rPr>
          <w:b/>
        </w:rPr>
      </w:pPr>
      <w:r w:rsidRPr="00707BB2">
        <w:rPr>
          <w:b/>
        </w:rPr>
        <w:t xml:space="preserve">5. </w:t>
      </w:r>
      <w:r w:rsidR="0081789E" w:rsidRPr="00707BB2">
        <w:rPr>
          <w:b/>
        </w:rPr>
        <w:t>Antagande av rådets slutsatser om praktiskt samarbete på asylområdet</w:t>
      </w:r>
    </w:p>
    <w:p w:rsidR="0081789E" w:rsidRPr="00707BB2" w:rsidRDefault="0081789E" w:rsidP="0081789E">
      <w:pPr>
        <w:rPr>
          <w:b/>
        </w:rPr>
      </w:pPr>
    </w:p>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r w:rsidRPr="00707BB2">
        <w:t>7978/08 ASILE 7</w:t>
      </w:r>
    </w:p>
    <w:p w:rsidR="0081789E" w:rsidRPr="00707BB2" w:rsidRDefault="0081789E" w:rsidP="0081789E"/>
    <w:p w:rsidR="0081789E" w:rsidRPr="00707BB2" w:rsidRDefault="0081789E" w:rsidP="0081789E">
      <w:pPr>
        <w:pStyle w:val="RKnormal"/>
        <w:rPr>
          <w:i/>
          <w:iCs/>
        </w:rPr>
      </w:pPr>
      <w:r w:rsidRPr="00707BB2">
        <w:rPr>
          <w:i/>
          <w:iCs/>
        </w:rPr>
        <w:t>Kommentar</w:t>
      </w:r>
    </w:p>
    <w:p w:rsidR="007C0946" w:rsidRPr="00707BB2" w:rsidRDefault="007C0946" w:rsidP="007C0946">
      <w:pPr>
        <w:rPr>
          <w:szCs w:val="24"/>
        </w:rPr>
      </w:pPr>
      <w:r w:rsidRPr="00707BB2">
        <w:rPr>
          <w:szCs w:val="24"/>
        </w:rPr>
        <w:t xml:space="preserve">Redan under Europeiska rådets möte i Tammerfors 1999 antogs ett femårsprogram för den europeiska migrations- och asylpolitiken med syftet att harmonisera de europeiska asylsystemen. Den ambition som sedan slogs fast i Haagprogrammet 2004 var att utveckla ett gemensamt asylsystem och att detta skulle vara genomfört före slutet av år 2010. </w:t>
      </w:r>
    </w:p>
    <w:p w:rsidR="007C0946" w:rsidRPr="00707BB2" w:rsidRDefault="007C0946" w:rsidP="007C0946">
      <w:pPr>
        <w:rPr>
          <w:szCs w:val="24"/>
        </w:rPr>
      </w:pPr>
    </w:p>
    <w:p w:rsidR="007C0946" w:rsidRPr="00707BB2" w:rsidRDefault="007C0946" w:rsidP="007C0946">
      <w:pPr>
        <w:rPr>
          <w:szCs w:val="24"/>
        </w:rPr>
      </w:pPr>
      <w:r w:rsidRPr="00707BB2">
        <w:rPr>
          <w:szCs w:val="24"/>
        </w:rPr>
        <w:t xml:space="preserve">Den 8 juni 2007 antog kommissionen en grönbok om det framtida gemensamma europeiska asylsystemet, KOM (2007) 301. I mitten av juni 2008 förväntas </w:t>
      </w:r>
      <w:r w:rsidR="00DF4290" w:rsidRPr="00707BB2">
        <w:rPr>
          <w:szCs w:val="24"/>
        </w:rPr>
        <w:t>k</w:t>
      </w:r>
      <w:r w:rsidRPr="00707BB2">
        <w:rPr>
          <w:szCs w:val="24"/>
        </w:rPr>
        <w:t xml:space="preserve">ommissionen komma med en asylhandlingsplan för det fortsatta arbetet och först därefter kan de första konkreta förslagen till lagstiftning och andra initiativ komma. </w:t>
      </w:r>
    </w:p>
    <w:p w:rsidR="007C0946" w:rsidRPr="00707BB2" w:rsidRDefault="007C0946" w:rsidP="007C0946">
      <w:pPr>
        <w:rPr>
          <w:szCs w:val="24"/>
        </w:rPr>
      </w:pPr>
    </w:p>
    <w:p w:rsidR="0081789E" w:rsidRPr="00707BB2" w:rsidRDefault="007C0946" w:rsidP="0081789E">
      <w:pPr>
        <w:rPr>
          <w:szCs w:val="24"/>
        </w:rPr>
      </w:pPr>
      <w:r w:rsidRPr="00707BB2">
        <w:rPr>
          <w:szCs w:val="24"/>
        </w:rPr>
        <w:t xml:space="preserve">Redan vid det informella ministerrådet den 25-26 januari 2008 diskuterades dock frågan om praktiskt samarbete inklusive frågan om upprättandet att ett gemensamt stödkontor. Därefter har utkast till rådsslutsatser behandlats i arbetsgruppen. Sverige har fått gehör för de synpunkter som framförts. </w:t>
      </w:r>
      <w:r w:rsidR="0081789E" w:rsidRPr="00707BB2">
        <w:t>Slutsatserna innebär i korthet:</w:t>
      </w:r>
    </w:p>
    <w:p w:rsidR="0081789E" w:rsidRPr="00707BB2" w:rsidRDefault="0081789E" w:rsidP="0081789E"/>
    <w:p w:rsidR="0081789E" w:rsidRPr="00707BB2" w:rsidRDefault="0081789E" w:rsidP="0081789E">
      <w:r w:rsidRPr="00707BB2">
        <w:t>- betoning av det praktiska samarbetets vikt för inrättandet av det gemensamma europeiska asylsystemet,</w:t>
      </w:r>
    </w:p>
    <w:p w:rsidR="0081789E" w:rsidRPr="00707BB2" w:rsidRDefault="0081789E" w:rsidP="0081789E"/>
    <w:p w:rsidR="0081789E" w:rsidRPr="00707BB2" w:rsidRDefault="0081789E" w:rsidP="0081789E">
      <w:r w:rsidRPr="00707BB2">
        <w:t>- en uppmaning till kommissionen att lägga fram förslag till hur det praktiska samarbetet ytterligare kan förbättras,</w:t>
      </w:r>
    </w:p>
    <w:p w:rsidR="0081789E" w:rsidRPr="00707BB2" w:rsidRDefault="0081789E" w:rsidP="0081789E"/>
    <w:p w:rsidR="0081789E" w:rsidRPr="00707BB2" w:rsidRDefault="0081789E" w:rsidP="0081789E">
      <w:r w:rsidRPr="00707BB2">
        <w:t xml:space="preserve">- en uppmaning till kommissionen och medlemsstaterna att intensifiera åtgärderna inom befintliga strukturer på detta område (t.ex. inrättande av en gemensam EU portal för information om ursprungsland, utarbetande av ett europeiskt asylcurriculum och inrättandet av en översättarpool), </w:t>
      </w:r>
    </w:p>
    <w:p w:rsidR="0081789E" w:rsidRPr="00707BB2" w:rsidRDefault="0081789E" w:rsidP="0081789E"/>
    <w:p w:rsidR="0081789E" w:rsidRPr="00707BB2" w:rsidRDefault="0081789E" w:rsidP="0081789E">
      <w:r w:rsidRPr="00707BB2">
        <w:t xml:space="preserve">- ett välkomnande av den genomförbarhetsstudie som kommissionen inlett för att undersöka vilka medel som är lämpligast för att kunna ge lämpligt strukturellt stöd till det praktiska samarbetet på asylområdet, samt </w:t>
      </w:r>
    </w:p>
    <w:p w:rsidR="0081789E" w:rsidRPr="00707BB2" w:rsidRDefault="0081789E" w:rsidP="0081789E"/>
    <w:p w:rsidR="0081789E" w:rsidRPr="00707BB2" w:rsidRDefault="0081789E" w:rsidP="0081789E">
      <w:r w:rsidRPr="00707BB2">
        <w:t>- en önskan om att genomförbarhetsstudien särskilt ska behandla förutsättningarna för upprättandet av ett europeiska stödkontor, bl. a. alternativ för finansiella arrangemang och organisationsstruktur.</w:t>
      </w:r>
    </w:p>
    <w:p w:rsidR="0081789E" w:rsidRPr="00707BB2" w:rsidRDefault="0081789E" w:rsidP="0081789E"/>
    <w:p w:rsidR="0081789E" w:rsidRPr="00707BB2" w:rsidRDefault="0081789E" w:rsidP="0081789E">
      <w:pPr>
        <w:pStyle w:val="RKnormal"/>
        <w:rPr>
          <w:i/>
          <w:iCs/>
        </w:rPr>
      </w:pPr>
      <w:r w:rsidRPr="00707BB2">
        <w:rPr>
          <w:i/>
          <w:iCs/>
        </w:rPr>
        <w:t>Åtgärd</w:t>
      </w:r>
    </w:p>
    <w:p w:rsidR="0081789E" w:rsidRPr="00707BB2" w:rsidRDefault="0081789E" w:rsidP="0081789E">
      <w:r w:rsidRPr="00707BB2">
        <w:t xml:space="preserve">Rådet föreslås </w:t>
      </w:r>
      <w:r w:rsidRPr="00707BB2">
        <w:rPr>
          <w:u w:val="single"/>
        </w:rPr>
        <w:t>anta</w:t>
      </w:r>
      <w:r w:rsidRPr="00707BB2">
        <w:t xml:space="preserve"> slutsatserna om det praktiska samarbetet.</w:t>
      </w:r>
    </w:p>
    <w:p w:rsidR="0081789E" w:rsidRPr="00707BB2" w:rsidRDefault="0081789E" w:rsidP="0081789E"/>
    <w:p w:rsidR="0081789E" w:rsidRPr="00707BB2" w:rsidRDefault="0081789E" w:rsidP="0081789E">
      <w:pPr>
        <w:rPr>
          <w:b/>
        </w:rPr>
      </w:pPr>
    </w:p>
    <w:p w:rsidR="0081789E" w:rsidRPr="00707BB2" w:rsidRDefault="007C0946" w:rsidP="0081789E">
      <w:pPr>
        <w:rPr>
          <w:b/>
        </w:rPr>
      </w:pPr>
      <w:r w:rsidRPr="00707BB2">
        <w:rPr>
          <w:b/>
        </w:rPr>
        <w:t xml:space="preserve">6. </w:t>
      </w:r>
      <w:r w:rsidR="0081789E" w:rsidRPr="00707BB2">
        <w:rPr>
          <w:b/>
        </w:rPr>
        <w:t>Utkast till rådets beslut om bemyndigande för kommissionen att inleda förhandlingar om ingående av avtal om viseringsundantag för kortare vistelse mellan Europeiska gemenskapen och Brasilien</w:t>
      </w:r>
    </w:p>
    <w:p w:rsidR="0081789E" w:rsidRPr="00707BB2" w:rsidRDefault="0081789E" w:rsidP="0081789E"/>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r w:rsidRPr="00707BB2">
        <w:t>8010/08 VISA 121 AMLAT 36</w:t>
      </w:r>
    </w:p>
    <w:p w:rsidR="0081789E" w:rsidRPr="00707BB2" w:rsidRDefault="0081789E" w:rsidP="0081789E">
      <w:r w:rsidRPr="00707BB2">
        <w:t>8008/08 VISA 122 AMLAT 37 RESTEINT UE</w:t>
      </w:r>
    </w:p>
    <w:p w:rsidR="0081789E" w:rsidRPr="00707BB2" w:rsidRDefault="0081789E" w:rsidP="0081789E"/>
    <w:p w:rsidR="0081789E" w:rsidRPr="00707BB2" w:rsidRDefault="0081789E" w:rsidP="0081789E">
      <w:pPr>
        <w:pStyle w:val="RKnormal"/>
        <w:rPr>
          <w:i/>
        </w:rPr>
      </w:pPr>
      <w:r w:rsidRPr="00707BB2">
        <w:rPr>
          <w:i/>
        </w:rPr>
        <w:t>Kommentar</w:t>
      </w:r>
    </w:p>
    <w:p w:rsidR="0081789E" w:rsidRPr="00707BB2" w:rsidRDefault="0081789E" w:rsidP="0081789E">
      <w:pPr>
        <w:pStyle w:val="RKnormal"/>
      </w:pPr>
      <w:r w:rsidRPr="00707BB2">
        <w:t>KOM cirkulerade förslaget till mandat den 10 juli 2007. Ordförandeskapets mål är att kommissionen innan sommaren 2008 ska kunna inleda förhandlingar med Brasilien om ett avtal mellan Europeiska gemenskapen och Brasilien om ömsesidigt undantag från viseringskravet. Behovet från medlemsstaternas sida finns på grund av att Brasilien ännu upprätthåller viseringsskyldighet för medborgare i flera medlemsstater (Cypern, Estland, Lettland, Litauen, Malta, Rumänien och Tjeckien). Brasilien har avskaffat viseringsskyldighet för övriga medlemsstater. Fråga blir nu om ett avtal om ömsesidig dispens från viseringskravet. Svenska medborgare är redan undantagna viseringskrav för korttidsbesök i Brasilien om högst 90 dagar. Brasilianska medborgare är undantagna viseringskravet för inresa i Schengenområdet under 90 dagar i enlighet med förordning 539/2001 där Brasilien finns upptagna på den s.k. ”positiva” listan.</w:t>
      </w:r>
    </w:p>
    <w:p w:rsidR="0081789E" w:rsidRPr="00707BB2" w:rsidRDefault="0081789E" w:rsidP="0081789E">
      <w:pPr>
        <w:pStyle w:val="RKnormal"/>
      </w:pPr>
    </w:p>
    <w:p w:rsidR="0081789E" w:rsidRPr="00707BB2" w:rsidRDefault="0081789E" w:rsidP="0081789E">
      <w:pPr>
        <w:pStyle w:val="RKnormal"/>
        <w:rPr>
          <w:b/>
          <w:i/>
        </w:rPr>
      </w:pPr>
      <w:r w:rsidRPr="00707BB2">
        <w:rPr>
          <w:b/>
          <w:i/>
        </w:rPr>
        <w:t>Åtgärd</w:t>
      </w:r>
    </w:p>
    <w:p w:rsidR="0081789E" w:rsidRPr="00707BB2" w:rsidRDefault="0081789E" w:rsidP="0081789E">
      <w:pPr>
        <w:pStyle w:val="RKnormal"/>
      </w:pPr>
      <w:r w:rsidRPr="00707BB2">
        <w:t xml:space="preserve">Rådet föreslås </w:t>
      </w:r>
      <w:r w:rsidRPr="00707BB2">
        <w:rPr>
          <w:u w:val="single"/>
        </w:rPr>
        <w:t>anta</w:t>
      </w:r>
      <w:r w:rsidRPr="00707BB2">
        <w:t xml:space="preserve"> utkastet till rådets beslut.</w:t>
      </w:r>
    </w:p>
    <w:p w:rsidR="0081789E" w:rsidRPr="00707BB2" w:rsidRDefault="0081789E" w:rsidP="0081789E">
      <w:pPr>
        <w:pStyle w:val="RKnormal"/>
      </w:pPr>
    </w:p>
    <w:p w:rsidR="0081789E" w:rsidRPr="00707BB2" w:rsidRDefault="007C0946" w:rsidP="0081789E">
      <w:pPr>
        <w:rPr>
          <w:b/>
        </w:rPr>
      </w:pPr>
      <w:r w:rsidRPr="00707BB2">
        <w:rPr>
          <w:b/>
        </w:rPr>
        <w:t xml:space="preserve">7. </w:t>
      </w:r>
      <w:r w:rsidR="0081789E" w:rsidRPr="00707BB2">
        <w:rPr>
          <w:b/>
        </w:rPr>
        <w:t>Utkast till rådets slutsatser om Eurojusts årsrapport (kalenderåret 2007)</w:t>
      </w:r>
    </w:p>
    <w:p w:rsidR="0081789E" w:rsidRPr="00707BB2" w:rsidRDefault="0081789E" w:rsidP="0081789E"/>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r w:rsidRPr="00707BB2">
        <w:t>8062/08 COPEN 62 EUROJUST 28 EJN 23 CATS 31</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r w:rsidRPr="00707BB2">
        <w:t xml:space="preserve">I enlighet med rådets beslut om inrättande av Eurojust skall ordföranden i Eurojust varje år lämna rådet en skriftlig redogörelse för sin förvaltning av Eurojusts verksamhet. För detta ändamål skall ordföranden förelägga rådet en årsrapport om Eurojusts verksamhet och om de kriminalpolitiska problemen inom EU. Eurojust har lämnat en årsrapport för år 2007. </w:t>
      </w:r>
    </w:p>
    <w:p w:rsidR="0081789E" w:rsidRPr="00707BB2" w:rsidRDefault="0081789E" w:rsidP="0081789E"/>
    <w:p w:rsidR="0081789E" w:rsidRPr="00707BB2" w:rsidRDefault="0081789E" w:rsidP="0081789E">
      <w:r w:rsidRPr="00707BB2">
        <w:t>Ordföranden har utarbetat ett förslag till rådsslutsatser om den aktuella årsrapporten. Rådsslutsatsernas innehåll i urval:</w:t>
      </w:r>
    </w:p>
    <w:p w:rsidR="0081789E" w:rsidRPr="00707BB2" w:rsidRDefault="0081789E" w:rsidP="0081789E"/>
    <w:p w:rsidR="0081789E" w:rsidRPr="00707BB2" w:rsidRDefault="0081789E" w:rsidP="0081789E">
      <w:r w:rsidRPr="00707BB2">
        <w:t>• Rådet välkomnar den uppåtgående trenden i ärendestatistiken, med 1085 registrerade ärenden under 2007, vilket är en ökning med 41 % jämfört med 2006 (771 ärenden). Rådet noterar att komplexa och  multilaterala ärenden utgör endast 1/5 av ärendena och uppmanar  Eurojust att fortsätta bedömningen av ärendenas kvalitet och att inrikta sig på ärenden som rör allvarlig gränsöverskridande brottslighet och som kräver samordning.</w:t>
      </w:r>
    </w:p>
    <w:p w:rsidR="0081789E" w:rsidRPr="00707BB2" w:rsidRDefault="0081789E" w:rsidP="0081789E">
      <w:r w:rsidRPr="00707BB2">
        <w:t xml:space="preserve"> </w:t>
      </w:r>
    </w:p>
    <w:p w:rsidR="0081789E" w:rsidRPr="00707BB2" w:rsidRDefault="0081789E" w:rsidP="0081789E">
      <w:r w:rsidRPr="00707BB2">
        <w:t>• Rådet noterar att, trots den positiva trenden när det gäller att hänskjuta ärenden till Eurojust, särskilt bland de länder som anslöt sig till Europeiska unionen efter 2004, det fortfarande finns betydande skillnader mellan medlemsstaterna när det gäller att utnyttja Eurojusts bistånd. Rådet upprepar uppmaningen till de behöriga myndigheterna i medlemsstaterna att särskilt hänskjuta komplicerade och allvarliga ärenden till Eurojust genom att om möjligt vända sig till enheten i ett tidigt skede av utredningarna.</w:t>
      </w:r>
    </w:p>
    <w:p w:rsidR="0081789E" w:rsidRPr="00707BB2" w:rsidRDefault="0081789E" w:rsidP="0081789E"/>
    <w:p w:rsidR="0081789E" w:rsidRPr="00707BB2" w:rsidRDefault="0081789E" w:rsidP="0081789E">
      <w:r w:rsidRPr="00707BB2">
        <w:t>• Rådet noterar med uppskattning att Eurojust under 2007 i större utsträckning använde sig av artiklarna 6 och 7 i Eurojustbeslutet genom att be de nationella myndigheterna att överväga att genomföra utredningar eller åtal beträffande specificerade gärningar eller att godta att en av dem skulle kunna vara bättre skickad att väcka åtal. Rådet uppmanar Eurojust att fortsätta att ha en proaktiv inställning till samordning av utredningar och straffrättsliga förfaranden för att hjälpa de nationella behöriga myndigheterna att uppnå bästa möjliga resultat</w:t>
      </w:r>
      <w:r w:rsidR="007C0946" w:rsidRPr="00707BB2">
        <w:t>.</w:t>
      </w:r>
    </w:p>
    <w:p w:rsidR="0081789E" w:rsidRPr="00707BB2" w:rsidRDefault="0081789E" w:rsidP="0081789E"/>
    <w:p w:rsidR="0081789E" w:rsidRPr="00707BB2" w:rsidRDefault="0081789E" w:rsidP="0081789E">
      <w:r w:rsidRPr="00707BB2">
        <w:t>•   Rådet anser att ökningen och variationen av Eurojusts verksamhet kräver fortsatta överväganden beträffande att Eurojusts möjligheter att samordna  verksamheterna mellan medlemsstaternas behöriga myndigheter skall förstärkas, att den nationella medlemmens ställning sk</w:t>
      </w:r>
      <w:r w:rsidR="00B14AF2" w:rsidRPr="00707BB2">
        <w:t>all stärkas och ett klargörande</w:t>
      </w:r>
      <w:r w:rsidRPr="00707BB2">
        <w:t xml:space="preserve"> av vilka Eurojusts och </w:t>
      </w:r>
      <w:r w:rsidR="007C0946" w:rsidRPr="00707BB2">
        <w:t>det europeiska rättsliga nätverkets (</w:t>
      </w:r>
      <w:r w:rsidRPr="00707BB2">
        <w:t>EJN</w:t>
      </w:r>
      <w:r w:rsidR="007C0946" w:rsidRPr="00707BB2">
        <w:t>)</w:t>
      </w:r>
      <w:r w:rsidRPr="00707BB2">
        <w:t xml:space="preserve"> respektive uppgifter är, såsom föreslås i utkasten till nya Eurojust- och EJN beslut.  Rådet beslutar att en målsättning med detta förhandlingsarbete är att förslagen till nya Eurojust- och EJN beslut skall kunna antas så snart som möjligt. Rådet uppmuntrar Eurojust att dela med sig av sina erfarenheter i syfte att bidra till diskussionerna vid förhandlingarna.</w:t>
      </w:r>
    </w:p>
    <w:p w:rsidR="0081789E" w:rsidRPr="00707BB2" w:rsidRDefault="0081789E" w:rsidP="0081789E"/>
    <w:p w:rsidR="0081789E" w:rsidRPr="00707BB2" w:rsidRDefault="0081789E" w:rsidP="0081789E">
      <w:pPr>
        <w:pStyle w:val="RKnormal"/>
        <w:rPr>
          <w:i/>
          <w:iCs/>
        </w:rPr>
      </w:pPr>
      <w:r w:rsidRPr="00707BB2">
        <w:rPr>
          <w:i/>
          <w:iCs/>
        </w:rPr>
        <w:t>Åtgärd</w:t>
      </w:r>
    </w:p>
    <w:p w:rsidR="0081789E" w:rsidRPr="00707BB2" w:rsidRDefault="0081789E" w:rsidP="0081789E">
      <w:r w:rsidRPr="00707BB2">
        <w:rPr>
          <w:iCs/>
        </w:rPr>
        <w:t xml:space="preserve">Rådet föreslås </w:t>
      </w:r>
      <w:r w:rsidRPr="00707BB2">
        <w:rPr>
          <w:u w:val="single"/>
        </w:rPr>
        <w:t>anta</w:t>
      </w:r>
      <w:r w:rsidRPr="00707BB2">
        <w:t xml:space="preserve"> slutsatserna.</w:t>
      </w:r>
    </w:p>
    <w:p w:rsidR="0081789E" w:rsidRPr="00707BB2" w:rsidRDefault="0081789E" w:rsidP="0081789E"/>
    <w:p w:rsidR="0081789E" w:rsidRPr="00707BB2" w:rsidRDefault="0081789E" w:rsidP="0081789E"/>
    <w:p w:rsidR="0081789E" w:rsidRPr="00707BB2" w:rsidRDefault="00006FB5" w:rsidP="0081789E">
      <w:pPr>
        <w:rPr>
          <w:b/>
        </w:rPr>
      </w:pPr>
      <w:r w:rsidRPr="00707BB2">
        <w:rPr>
          <w:b/>
        </w:rPr>
        <w:t xml:space="preserve">8. </w:t>
      </w:r>
      <w:r w:rsidR="0081789E" w:rsidRPr="00707BB2">
        <w:rPr>
          <w:b/>
        </w:rPr>
        <w:t>Europol</w:t>
      </w:r>
    </w:p>
    <w:p w:rsidR="0081789E" w:rsidRPr="00707BB2" w:rsidRDefault="0081789E" w:rsidP="0081789E">
      <w:pPr>
        <w:rPr>
          <w:b/>
        </w:rPr>
      </w:pPr>
    </w:p>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rPr>
          <w:b/>
        </w:rPr>
      </w:pPr>
    </w:p>
    <w:p w:rsidR="0081789E" w:rsidRPr="00707BB2" w:rsidRDefault="0081789E" w:rsidP="0081789E">
      <w:pPr>
        <w:rPr>
          <w:b/>
        </w:rPr>
      </w:pPr>
      <w:r w:rsidRPr="00707BB2">
        <w:rPr>
          <w:b/>
        </w:rPr>
        <w:t>– Utkast till Europols årsrapport för 2007</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pPr>
        <w:pStyle w:val="RKnormal"/>
      </w:pPr>
      <w:r w:rsidRPr="00707BB2">
        <w:t>7804/08 EUROPOL 35</w:t>
      </w:r>
    </w:p>
    <w:p w:rsidR="0081789E" w:rsidRPr="00707BB2" w:rsidRDefault="0081789E" w:rsidP="0081789E">
      <w:pPr>
        <w:pStyle w:val="RKnormal"/>
      </w:pPr>
      <w:r w:rsidRPr="00707BB2">
        <w:t>8022/08 EUROPOL 40</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pPr>
        <w:pStyle w:val="RKnormal"/>
      </w:pPr>
      <w:r w:rsidRPr="00707BB2">
        <w:t>Europols styrelse beslutade vid sitt möte den 18-19 mars 2008 att godkänna årsrapporten för år 2007. Styrelsen diskuterade främst den ökande arbetsbelastningen och dess följder.</w:t>
      </w:r>
    </w:p>
    <w:p w:rsidR="0081789E" w:rsidRPr="00707BB2" w:rsidRDefault="0081789E" w:rsidP="0081789E">
      <w:pPr>
        <w:pStyle w:val="RKnormal"/>
      </w:pPr>
    </w:p>
    <w:p w:rsidR="0081789E" w:rsidRPr="00707BB2" w:rsidRDefault="0081789E" w:rsidP="0081789E">
      <w:pPr>
        <w:pStyle w:val="RKnormal"/>
      </w:pPr>
      <w:r w:rsidRPr="00707BB2">
        <w:t>I rapporten berörs bland annat:</w:t>
      </w:r>
    </w:p>
    <w:p w:rsidR="0081789E" w:rsidRPr="00707BB2" w:rsidRDefault="0081789E" w:rsidP="0081789E">
      <w:pPr>
        <w:pStyle w:val="RKnormal"/>
      </w:pPr>
      <w:r w:rsidRPr="00707BB2">
        <w:t>Ikraftträdandet av de tre ändringsprotokollen till Europolkonventionen som förbättrar förutsättningarna för Europols brottsbekämpning</w:t>
      </w:r>
      <w:r w:rsidR="006D2ECA" w:rsidRPr="00707BB2">
        <w:t>,</w:t>
      </w:r>
    </w:p>
    <w:p w:rsidR="0081789E" w:rsidRPr="00707BB2" w:rsidRDefault="0081789E" w:rsidP="0081789E">
      <w:pPr>
        <w:pStyle w:val="RKnormal"/>
      </w:pPr>
      <w:r w:rsidRPr="00707BB2">
        <w:t>Förhandlingarna om den nya rättsliga grunden (Europolrådsbeslutet) som skall ge större flexibilitet när det gäller anpassning av Europols arbete till brottslighetens utveckling och medlemsstaternas krav</w:t>
      </w:r>
      <w:r w:rsidR="006D2ECA" w:rsidRPr="00707BB2">
        <w:t>,</w:t>
      </w:r>
    </w:p>
    <w:p w:rsidR="0081789E" w:rsidRPr="00707BB2" w:rsidRDefault="0081789E" w:rsidP="0081789E">
      <w:pPr>
        <w:pStyle w:val="RKnormal"/>
      </w:pPr>
      <w:r w:rsidRPr="00707BB2">
        <w:t>Antagandet av Europols strategi och ”mission statement” som skall utgöra ledstjärnan för arbetet.</w:t>
      </w:r>
    </w:p>
    <w:p w:rsidR="0081789E" w:rsidRPr="00707BB2" w:rsidRDefault="0081789E" w:rsidP="0081789E">
      <w:pPr>
        <w:pStyle w:val="RKnormal"/>
      </w:pPr>
    </w:p>
    <w:p w:rsidR="0081789E" w:rsidRPr="00707BB2" w:rsidRDefault="0081789E" w:rsidP="0081789E">
      <w:pPr>
        <w:pStyle w:val="RKnormal"/>
      </w:pPr>
      <w:r w:rsidRPr="00707BB2">
        <w:t xml:space="preserve">I de olika kapitlen beskrivs brottsutveckling, informationsbehandling och –teknik, ledningsfrågor, relationer till tredje </w:t>
      </w:r>
      <w:r w:rsidR="00006FB5" w:rsidRPr="00707BB2">
        <w:t>lände</w:t>
      </w:r>
      <w:r w:rsidRPr="00707BB2">
        <w:t>r samt sambandskontorens verksamhet.</w:t>
      </w:r>
    </w:p>
    <w:p w:rsidR="0081789E" w:rsidRPr="00707BB2" w:rsidRDefault="0081789E" w:rsidP="0081789E">
      <w:pPr>
        <w:rPr>
          <w:b/>
        </w:rPr>
      </w:pPr>
    </w:p>
    <w:p w:rsidR="0081789E" w:rsidRPr="00707BB2" w:rsidRDefault="0081789E" w:rsidP="0081789E">
      <w:pPr>
        <w:pStyle w:val="RKnormal"/>
        <w:rPr>
          <w:i/>
          <w:iCs/>
        </w:rPr>
      </w:pPr>
      <w:r w:rsidRPr="00707BB2">
        <w:rPr>
          <w:i/>
          <w:iCs/>
        </w:rPr>
        <w:t>Åtgärd</w:t>
      </w:r>
    </w:p>
    <w:p w:rsidR="0081789E" w:rsidRPr="00707BB2" w:rsidRDefault="0081789E" w:rsidP="0081789E">
      <w:pPr>
        <w:pStyle w:val="RKnormal"/>
      </w:pPr>
      <w:r w:rsidRPr="00707BB2">
        <w:t xml:space="preserve">Rådet föreslås </w:t>
      </w:r>
      <w:r w:rsidRPr="00707BB2">
        <w:rPr>
          <w:u w:val="single"/>
        </w:rPr>
        <w:t>godkänna</w:t>
      </w:r>
      <w:r w:rsidRPr="00707BB2">
        <w:t xml:space="preserve"> Europols årsrapport 2007 och </w:t>
      </w:r>
      <w:r w:rsidRPr="00707BB2">
        <w:rPr>
          <w:u w:val="single"/>
        </w:rPr>
        <w:t>översända</w:t>
      </w:r>
      <w:r w:rsidRPr="00707BB2">
        <w:t xml:space="preserve"> den till Europaparlamentet för kännedom.</w:t>
      </w:r>
    </w:p>
    <w:p w:rsidR="0081789E" w:rsidRPr="00707BB2" w:rsidRDefault="0081789E" w:rsidP="0081789E">
      <w:pPr>
        <w:rPr>
          <w:b/>
        </w:rPr>
      </w:pPr>
    </w:p>
    <w:p w:rsidR="0081789E" w:rsidRPr="00707BB2" w:rsidRDefault="0081789E" w:rsidP="0081789E">
      <w:pPr>
        <w:rPr>
          <w:b/>
        </w:rPr>
      </w:pPr>
      <w:r w:rsidRPr="00707BB2">
        <w:rPr>
          <w:b/>
        </w:rPr>
        <w:t>– Utkast till Europols budget för 2009</w:t>
      </w:r>
    </w:p>
    <w:p w:rsidR="0081789E" w:rsidRPr="00707BB2" w:rsidRDefault="0081789E" w:rsidP="0081789E">
      <w:pPr>
        <w:rPr>
          <w:b/>
        </w:rPr>
      </w:pPr>
    </w:p>
    <w:p w:rsidR="0081789E" w:rsidRPr="00707BB2" w:rsidRDefault="0081789E" w:rsidP="0081789E">
      <w:pPr>
        <w:pStyle w:val="RKnormal"/>
        <w:rPr>
          <w:i/>
          <w:iCs/>
        </w:rPr>
      </w:pPr>
      <w:r w:rsidRPr="00707BB2">
        <w:rPr>
          <w:i/>
          <w:iCs/>
        </w:rPr>
        <w:t>Dokument</w:t>
      </w:r>
    </w:p>
    <w:p w:rsidR="0081789E" w:rsidRPr="00707BB2" w:rsidRDefault="0081789E" w:rsidP="0081789E">
      <w:pPr>
        <w:pStyle w:val="RKnormal"/>
      </w:pPr>
      <w:r w:rsidRPr="00707BB2">
        <w:t>7802/08 EUROPOL 33</w:t>
      </w:r>
    </w:p>
    <w:p w:rsidR="0081789E" w:rsidRPr="00707BB2" w:rsidRDefault="0081789E" w:rsidP="0081789E">
      <w:pPr>
        <w:pStyle w:val="RKnormal"/>
      </w:pPr>
      <w:r w:rsidRPr="00707BB2">
        <w:t>8023/08 EUROPOL 41</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pPr>
        <w:pStyle w:val="RKnormal"/>
      </w:pPr>
      <w:r w:rsidRPr="00707BB2">
        <w:t xml:space="preserve">Europols styrelse beslutade vid sitt möte den 18-19 mars 2008 att godkänna budgeten för år 2009. Budgeten innehåller 11 nya tillsvidareanställningar. Ett förslag om minskning av budgeten </w:t>
      </w:r>
      <w:r w:rsidR="006D2ECA" w:rsidRPr="00707BB2">
        <w:t xml:space="preserve">för </w:t>
      </w:r>
      <w:r w:rsidRPr="00707BB2">
        <w:t>tillsynsorganet för dataskyd</w:t>
      </w:r>
      <w:r w:rsidR="00006FB5" w:rsidRPr="00707BB2">
        <w:t>d</w:t>
      </w:r>
      <w:r w:rsidRPr="00707BB2">
        <w:t xml:space="preserve"> avslogs.</w:t>
      </w:r>
    </w:p>
    <w:p w:rsidR="0081789E" w:rsidRPr="00707BB2" w:rsidRDefault="0081789E" w:rsidP="0081789E">
      <w:pPr>
        <w:pStyle w:val="RKnormal"/>
      </w:pPr>
    </w:p>
    <w:p w:rsidR="0081789E" w:rsidRPr="00707BB2" w:rsidRDefault="00006FB5" w:rsidP="0081789E">
      <w:pPr>
        <w:pStyle w:val="RKnormal"/>
      </w:pPr>
      <w:r w:rsidRPr="00707BB2">
        <w:t>Budgeten omfattar 65,</w:t>
      </w:r>
      <w:r w:rsidR="0081789E" w:rsidRPr="00707BB2">
        <w:t>5 miljoner Euro vilket är en ökning med ca. 1,5 miljoner Euro gentemot 2008 års budget. Av detta utgör personalbudgeten 44,1 miljoner Euro och budgeten för informatio</w:t>
      </w:r>
      <w:r w:rsidRPr="00707BB2">
        <w:t>ns- och kommunikationsteknologi</w:t>
      </w:r>
      <w:r w:rsidR="0081789E" w:rsidRPr="00707BB2">
        <w:t xml:space="preserve"> 10,6 miljoner Euro. Sveriges bidrag till finansieringen år 2009 blir 1 484 817 Euro.</w:t>
      </w:r>
    </w:p>
    <w:p w:rsidR="0081789E" w:rsidRPr="00707BB2" w:rsidRDefault="0081789E" w:rsidP="0081789E">
      <w:pPr>
        <w:rPr>
          <w:b/>
        </w:rPr>
      </w:pPr>
    </w:p>
    <w:p w:rsidR="0081789E" w:rsidRPr="00707BB2" w:rsidRDefault="0081789E" w:rsidP="0081789E">
      <w:pPr>
        <w:pStyle w:val="RKnormal"/>
        <w:rPr>
          <w:i/>
          <w:iCs/>
        </w:rPr>
      </w:pPr>
      <w:r w:rsidRPr="00707BB2">
        <w:rPr>
          <w:i/>
          <w:iCs/>
        </w:rPr>
        <w:t>Åtgärd</w:t>
      </w:r>
    </w:p>
    <w:p w:rsidR="0081789E" w:rsidRPr="00707BB2" w:rsidRDefault="0081789E" w:rsidP="0081789E">
      <w:r w:rsidRPr="00707BB2">
        <w:t xml:space="preserve">Rådet föreslås </w:t>
      </w:r>
      <w:r w:rsidRPr="00707BB2">
        <w:rPr>
          <w:u w:val="single"/>
        </w:rPr>
        <w:t>anta</w:t>
      </w:r>
      <w:r w:rsidRPr="00707BB2">
        <w:t xml:space="preserve"> budgetförslaget för 2009.</w:t>
      </w:r>
    </w:p>
    <w:p w:rsidR="0081789E" w:rsidRPr="00707BB2" w:rsidRDefault="0081789E" w:rsidP="0081789E"/>
    <w:p w:rsidR="0081789E" w:rsidRPr="00707BB2" w:rsidRDefault="0081789E" w:rsidP="0081789E">
      <w:pPr>
        <w:rPr>
          <w:b/>
        </w:rPr>
      </w:pPr>
      <w:r w:rsidRPr="00707BB2">
        <w:rPr>
          <w:b/>
        </w:rPr>
        <w:t>– Utkast till Europols arbetsprogram för 2009</w:t>
      </w:r>
    </w:p>
    <w:p w:rsidR="0081789E" w:rsidRPr="00707BB2" w:rsidRDefault="0081789E" w:rsidP="0081789E">
      <w:pPr>
        <w:rPr>
          <w:b/>
        </w:rPr>
      </w:pPr>
    </w:p>
    <w:p w:rsidR="0081789E" w:rsidRPr="00707BB2" w:rsidRDefault="0081789E" w:rsidP="0081789E">
      <w:pPr>
        <w:pStyle w:val="RKnormal"/>
        <w:rPr>
          <w:i/>
          <w:iCs/>
        </w:rPr>
      </w:pPr>
      <w:r w:rsidRPr="00707BB2">
        <w:rPr>
          <w:i/>
          <w:iCs/>
        </w:rPr>
        <w:t>Dokument</w:t>
      </w:r>
    </w:p>
    <w:p w:rsidR="0081789E" w:rsidRPr="00707BB2" w:rsidRDefault="0081789E" w:rsidP="0081789E">
      <w:pPr>
        <w:pStyle w:val="RKnormal"/>
      </w:pPr>
      <w:r w:rsidRPr="00707BB2">
        <w:t>8024/08 EUROPOL 42</w:t>
      </w:r>
    </w:p>
    <w:p w:rsidR="0081789E" w:rsidRPr="00707BB2" w:rsidRDefault="0081789E" w:rsidP="0081789E">
      <w:pPr>
        <w:pStyle w:val="RKnormal"/>
      </w:pPr>
      <w:r w:rsidRPr="00707BB2">
        <w:t>7801/08 EUROPOL 32</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pPr>
        <w:pStyle w:val="RKnormal"/>
      </w:pPr>
      <w:r w:rsidRPr="00707BB2">
        <w:t xml:space="preserve">Europols styrelse beslutade vid sitt möte den 18-19 mars 2008 att godkänna arbetsprogrammet för år 2009. Styrelsen diskuterade särskilt önskemål om en starkare knytning av </w:t>
      </w:r>
      <w:r w:rsidR="00006FB5" w:rsidRPr="00707BB2">
        <w:t>programmet</w:t>
      </w:r>
      <w:r w:rsidRPr="00707BB2">
        <w:t xml:space="preserve"> till resultat och utfall.</w:t>
      </w:r>
    </w:p>
    <w:p w:rsidR="0081789E" w:rsidRPr="00707BB2" w:rsidRDefault="0081789E" w:rsidP="0081789E">
      <w:pPr>
        <w:pStyle w:val="RKnormal"/>
      </w:pPr>
    </w:p>
    <w:p w:rsidR="0081789E" w:rsidRPr="00707BB2" w:rsidRDefault="00006FB5" w:rsidP="0081789E">
      <w:pPr>
        <w:pStyle w:val="RKnormal"/>
      </w:pPr>
      <w:r w:rsidRPr="00707BB2">
        <w:t>Arbetsprogrammet r</w:t>
      </w:r>
      <w:r w:rsidR="0081789E" w:rsidRPr="00707BB2">
        <w:t xml:space="preserve">edovisar aktiviteter och mål inom de fyra verksamhetsområdena operativt arbete, strategier och uppföljning, logistik </w:t>
      </w:r>
      <w:r w:rsidR="002F7F9E" w:rsidRPr="00707BB2">
        <w:t>samt</w:t>
      </w:r>
      <w:r w:rsidR="0081789E" w:rsidRPr="00707BB2">
        <w:t xml:space="preserve"> ledning. Beskrivningen relaterar aktiviteterna till både Europols strategi och till den femåriga finansieringsplanen.</w:t>
      </w:r>
    </w:p>
    <w:p w:rsidR="0081789E" w:rsidRPr="00707BB2" w:rsidRDefault="0081789E" w:rsidP="0081789E">
      <w:pPr>
        <w:pStyle w:val="RKnormal"/>
      </w:pPr>
    </w:p>
    <w:p w:rsidR="0081789E" w:rsidRPr="00707BB2" w:rsidRDefault="0081789E" w:rsidP="0081789E">
      <w:pPr>
        <w:pStyle w:val="RKnormal"/>
      </w:pPr>
      <w:r w:rsidRPr="00707BB2">
        <w:t>Samtliga aktiviteter sägs stödja de fyra strategiska målen informationsutbyte, operativ och strategisk analys samt stöd till medlemsstaternas operationer.</w:t>
      </w:r>
    </w:p>
    <w:p w:rsidR="0081789E" w:rsidRPr="00707BB2" w:rsidRDefault="0081789E" w:rsidP="0081789E">
      <w:pPr>
        <w:rPr>
          <w:b/>
        </w:rPr>
      </w:pPr>
    </w:p>
    <w:p w:rsidR="0081789E" w:rsidRPr="00707BB2" w:rsidRDefault="0081789E" w:rsidP="0081789E">
      <w:pPr>
        <w:pStyle w:val="RKnormal"/>
        <w:rPr>
          <w:i/>
          <w:iCs/>
        </w:rPr>
      </w:pPr>
      <w:r w:rsidRPr="00707BB2">
        <w:rPr>
          <w:i/>
          <w:iCs/>
        </w:rPr>
        <w:t>Åtgärd</w:t>
      </w:r>
    </w:p>
    <w:p w:rsidR="0081789E" w:rsidRPr="00707BB2" w:rsidRDefault="0081789E" w:rsidP="0081789E">
      <w:r w:rsidRPr="00707BB2">
        <w:t xml:space="preserve">Rådet föreslås </w:t>
      </w:r>
      <w:r w:rsidRPr="00707BB2">
        <w:rPr>
          <w:u w:val="single"/>
        </w:rPr>
        <w:t>godkänna</w:t>
      </w:r>
      <w:r w:rsidRPr="00707BB2">
        <w:t xml:space="preserve"> Europols arbetsprogram för 2009.</w:t>
      </w:r>
    </w:p>
    <w:p w:rsidR="0081789E" w:rsidRPr="00707BB2" w:rsidRDefault="0081789E" w:rsidP="0081789E">
      <w:pPr>
        <w:rPr>
          <w:b/>
        </w:rPr>
      </w:pPr>
    </w:p>
    <w:p w:rsidR="0081789E" w:rsidRPr="00707BB2" w:rsidRDefault="0081789E" w:rsidP="0081789E">
      <w:pPr>
        <w:rPr>
          <w:b/>
        </w:rPr>
      </w:pPr>
      <w:r w:rsidRPr="00707BB2">
        <w:rPr>
          <w:b/>
        </w:rPr>
        <w:t>– Utkast till Europols femåriga finansieringsplan för 2009−2013</w:t>
      </w:r>
    </w:p>
    <w:p w:rsidR="0081789E" w:rsidRPr="00707BB2" w:rsidRDefault="0081789E" w:rsidP="0081789E"/>
    <w:p w:rsidR="0081789E" w:rsidRPr="00707BB2" w:rsidRDefault="0081789E" w:rsidP="0081789E">
      <w:pPr>
        <w:pStyle w:val="RKnormal"/>
        <w:rPr>
          <w:i/>
          <w:iCs/>
        </w:rPr>
      </w:pPr>
      <w:r w:rsidRPr="00707BB2">
        <w:rPr>
          <w:i/>
          <w:iCs/>
        </w:rPr>
        <w:t>Dokument</w:t>
      </w:r>
    </w:p>
    <w:p w:rsidR="0081789E" w:rsidRPr="00707BB2" w:rsidRDefault="0081789E" w:rsidP="0081789E">
      <w:pPr>
        <w:pStyle w:val="RKnormal"/>
      </w:pPr>
      <w:r w:rsidRPr="00707BB2">
        <w:t>7803/08 EUROPOL 34</w:t>
      </w:r>
    </w:p>
    <w:p w:rsidR="0081789E" w:rsidRPr="00707BB2" w:rsidRDefault="0081789E" w:rsidP="0081789E">
      <w:pPr>
        <w:pStyle w:val="RKnormal"/>
      </w:pPr>
      <w:r w:rsidRPr="00707BB2">
        <w:t>8025/08 EUROPOL 43</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pPr>
        <w:pStyle w:val="RKnormal"/>
      </w:pPr>
      <w:r w:rsidRPr="00707BB2">
        <w:t xml:space="preserve">Europols styrelse beslutade vid sitt möte den 18-19 mars 2008 att godkänna utkastet till Europols femåriga finansieringsplan 2009-2013. </w:t>
      </w:r>
    </w:p>
    <w:p w:rsidR="0081789E" w:rsidRPr="00707BB2" w:rsidRDefault="0081789E" w:rsidP="0081789E">
      <w:pPr>
        <w:pStyle w:val="RKnormal"/>
      </w:pPr>
    </w:p>
    <w:p w:rsidR="0081789E" w:rsidRPr="00707BB2" w:rsidRDefault="0081789E" w:rsidP="0081789E">
      <w:pPr>
        <w:pStyle w:val="RKnormal"/>
      </w:pPr>
      <w:r w:rsidRPr="00707BB2">
        <w:t>Jämfört med förra finansieringsplanen (2008-12) visar planen på en minskning av kostnaderna totalt med 8,1 miljon Euro. Minskningen förklaras helt av minskade personalkostnader p.g.a. vakanser.</w:t>
      </w:r>
    </w:p>
    <w:p w:rsidR="0081789E" w:rsidRPr="00707BB2" w:rsidRDefault="0081789E" w:rsidP="0081789E">
      <w:pPr>
        <w:pStyle w:val="RKnormal"/>
      </w:pPr>
    </w:p>
    <w:p w:rsidR="0081789E" w:rsidRPr="00707BB2" w:rsidRDefault="0081789E" w:rsidP="0081789E">
      <w:pPr>
        <w:pStyle w:val="RKnormal"/>
      </w:pPr>
      <w:r w:rsidRPr="00707BB2">
        <w:t>Finansieringsplanen är ett icke bindande planeringsinstrument.</w:t>
      </w:r>
    </w:p>
    <w:p w:rsidR="0081789E" w:rsidRPr="00707BB2" w:rsidRDefault="0081789E" w:rsidP="0081789E">
      <w:pPr>
        <w:pStyle w:val="RKnormal"/>
      </w:pPr>
    </w:p>
    <w:p w:rsidR="0081789E" w:rsidRPr="00707BB2" w:rsidRDefault="0081789E" w:rsidP="0081789E">
      <w:pPr>
        <w:pStyle w:val="RKnormal"/>
        <w:rPr>
          <w:i/>
          <w:iCs/>
        </w:rPr>
      </w:pPr>
      <w:r w:rsidRPr="00707BB2">
        <w:rPr>
          <w:i/>
          <w:iCs/>
        </w:rPr>
        <w:t>Åtgärd</w:t>
      </w:r>
    </w:p>
    <w:p w:rsidR="0081789E" w:rsidRPr="00707BB2" w:rsidRDefault="0081789E" w:rsidP="0081789E">
      <w:r w:rsidRPr="00707BB2">
        <w:t xml:space="preserve">Rådet föreslås </w:t>
      </w:r>
      <w:r w:rsidRPr="00707BB2">
        <w:rPr>
          <w:u w:val="single"/>
        </w:rPr>
        <w:t>godkänna</w:t>
      </w:r>
      <w:r w:rsidRPr="00707BB2">
        <w:t xml:space="preserve"> Europols femåriga finansieringsplan och </w:t>
      </w:r>
      <w:r w:rsidRPr="00707BB2">
        <w:rPr>
          <w:u w:val="single"/>
        </w:rPr>
        <w:t>översända</w:t>
      </w:r>
      <w:r w:rsidRPr="00707BB2">
        <w:t xml:space="preserve"> den till Europaparlamentet för kännedom.</w:t>
      </w:r>
    </w:p>
    <w:p w:rsidR="0081789E" w:rsidRPr="00707BB2" w:rsidRDefault="0081789E" w:rsidP="0081789E"/>
    <w:p w:rsidR="0081789E" w:rsidRPr="00707BB2" w:rsidRDefault="0081789E" w:rsidP="0081789E"/>
    <w:p w:rsidR="0081789E" w:rsidRPr="00707BB2" w:rsidRDefault="0081789E" w:rsidP="0081789E">
      <w:pPr>
        <w:jc w:val="center"/>
      </w:pPr>
      <w:r w:rsidRPr="00707BB2">
        <w:rPr>
          <w:b/>
          <w:i/>
          <w:u w:val="single"/>
        </w:rPr>
        <w:t>Punkter för offentlig överläggning</w:t>
      </w:r>
    </w:p>
    <w:p w:rsidR="0081789E" w:rsidRPr="00707BB2" w:rsidRDefault="0081789E" w:rsidP="0081789E"/>
    <w:p w:rsidR="0081789E" w:rsidRPr="00707BB2" w:rsidRDefault="002F7F9E" w:rsidP="0081789E">
      <w:pPr>
        <w:pStyle w:val="RKnormal"/>
        <w:rPr>
          <w:b/>
          <w:bCs/>
        </w:rPr>
      </w:pPr>
      <w:r w:rsidRPr="00707BB2">
        <w:rPr>
          <w:b/>
          <w:bCs/>
        </w:rPr>
        <w:t xml:space="preserve">9. </w:t>
      </w:r>
      <w:r w:rsidR="0081789E" w:rsidRPr="00707BB2">
        <w:rPr>
          <w:b/>
          <w:bCs/>
        </w:rPr>
        <w:t>Förslag till Europaparlamentets och rådets direktiv om ändring av rådets direktiv 91/477/EEG om kontroll av förvärv och innehav av vapen (R) (första behandlingen)</w:t>
      </w:r>
    </w:p>
    <w:p w:rsidR="0081789E" w:rsidRPr="00707BB2" w:rsidRDefault="0081789E" w:rsidP="0081789E"/>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pPr>
        <w:pStyle w:val="RKnormal"/>
      </w:pPr>
      <w:r w:rsidRPr="00707BB2">
        <w:t xml:space="preserve">PE-CONS 3690/07 CRIMORG </w:t>
      </w:r>
      <w:smartTag w:uri="urn:schemas-microsoft-com:office:smarttags" w:element="metricconverter">
        <w:smartTagPr>
          <w:attr w:name="ProductID" w:val="185 MI"/>
        </w:smartTagPr>
        <w:r w:rsidRPr="00707BB2">
          <w:t>185 MI</w:t>
        </w:r>
      </w:smartTag>
      <w:r w:rsidRPr="00707BB2">
        <w:t xml:space="preserve"> 328 CODEC 1400</w:t>
      </w:r>
    </w:p>
    <w:p w:rsidR="0081789E" w:rsidRPr="00707BB2" w:rsidRDefault="0081789E" w:rsidP="0081789E">
      <w:pPr>
        <w:pStyle w:val="RKnormal"/>
      </w:pPr>
      <w:r w:rsidRPr="00707BB2">
        <w:t>+ COR 1 (lv)</w:t>
      </w:r>
    </w:p>
    <w:p w:rsidR="0081789E" w:rsidRPr="00707BB2" w:rsidRDefault="0081789E" w:rsidP="0081789E">
      <w:pPr>
        <w:pStyle w:val="RKnormal"/>
      </w:pPr>
      <w:r w:rsidRPr="00707BB2">
        <w:t xml:space="preserve">7687/08 CODEC 387 CRIMORG </w:t>
      </w:r>
      <w:smartTag w:uri="urn:schemas-microsoft-com:office:smarttags" w:element="metricconverter">
        <w:smartTagPr>
          <w:attr w:name="ProductID" w:val="51 MI"/>
        </w:smartTagPr>
        <w:r w:rsidRPr="00707BB2">
          <w:t>51 MI</w:t>
        </w:r>
      </w:smartTag>
      <w:r w:rsidRPr="00707BB2">
        <w:t xml:space="preserve"> 98</w:t>
      </w:r>
    </w:p>
    <w:p w:rsidR="0081789E" w:rsidRPr="00707BB2" w:rsidRDefault="0081789E" w:rsidP="0081789E">
      <w:pPr>
        <w:pStyle w:val="RKnormal"/>
      </w:pPr>
      <w:r w:rsidRPr="00707BB2">
        <w:t>+ ADD 1</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r w:rsidRPr="00707BB2">
        <w:t xml:space="preserve">EG har tillträtt FN:s vapenprotokoll mot olaglig tillverkning av och handel med skjutvapen, delar till skjutvapen och ammunition, vilket är bifogat FN:s konvention mot gränsöverskridande organiserad brottslighet. Det nu aktuella ändringsdirektivet har till syfte att genomföra vapenprotokollet inom gemenskapsrätten genom att vapendirektivet (direktiv 91/477/EEG om kontroll av förvärv och innehav av vapen)anpassas till vapenprotokollet. Vissa andra ändringar som inte har sin grund i vapenprotokollet eller som är strängare än protokollet görs också.  </w:t>
      </w:r>
    </w:p>
    <w:p w:rsidR="0081789E" w:rsidRPr="00707BB2" w:rsidRDefault="0081789E" w:rsidP="0081789E"/>
    <w:p w:rsidR="0081789E" w:rsidRPr="00707BB2" w:rsidRDefault="0081789E" w:rsidP="0081789E">
      <w:r w:rsidRPr="00707BB2">
        <w:t>Förslaget tar sikte på huvudsakligen följande: begreppen olaglig tillverkning och olaglig handel med skjutvapen samt delar av skjutvapen och ammunition, spårning definieras, det införs en skyldighet att märka vapen vid tillverkning och då vapen i statliga depåer överförs till permanent civilt bruk, det införs en skyldighet att bevara register med vapeninformation i minst 20 år, det införs krav på nationella tillstånd för att få driva vapenhandel, förutsättningarna för när personer under 18 år får ha vapen skärps och kraven höjs på att medlemsstaternas sanktionssystem för överträdelser ska vara effektiva.</w:t>
      </w:r>
    </w:p>
    <w:p w:rsidR="0081789E" w:rsidRPr="00707BB2" w:rsidRDefault="0081789E" w:rsidP="0081789E"/>
    <w:p w:rsidR="0081789E" w:rsidRPr="00707BB2" w:rsidRDefault="0081789E" w:rsidP="0081789E">
      <w:pPr>
        <w:pStyle w:val="RKnormal"/>
        <w:rPr>
          <w:i/>
          <w:iCs/>
        </w:rPr>
      </w:pPr>
      <w:r w:rsidRPr="00707BB2">
        <w:rPr>
          <w:i/>
          <w:iCs/>
        </w:rPr>
        <w:t>Åtgärd</w:t>
      </w:r>
    </w:p>
    <w:p w:rsidR="0081789E" w:rsidRPr="00707BB2" w:rsidRDefault="0081789E" w:rsidP="0081789E">
      <w:pPr>
        <w:pStyle w:val="RKnormal"/>
      </w:pPr>
      <w:r w:rsidRPr="00707BB2">
        <w:t xml:space="preserve">Rådet föreslås </w:t>
      </w:r>
      <w:r w:rsidRPr="00707BB2">
        <w:rPr>
          <w:u w:val="single"/>
        </w:rPr>
        <w:t>anta</w:t>
      </w:r>
      <w:r w:rsidRPr="00707BB2">
        <w:t xml:space="preserve"> direktivet.</w:t>
      </w:r>
    </w:p>
    <w:p w:rsidR="0081789E" w:rsidRPr="00707BB2" w:rsidRDefault="0081789E" w:rsidP="0081789E">
      <w:pPr>
        <w:pStyle w:val="RKnormal"/>
      </w:pPr>
    </w:p>
    <w:p w:rsidR="0081789E" w:rsidRPr="00707BB2" w:rsidRDefault="0081789E" w:rsidP="0081789E"/>
    <w:p w:rsidR="0081789E" w:rsidRPr="00707BB2" w:rsidRDefault="002F7F9E" w:rsidP="0081789E">
      <w:pPr>
        <w:rPr>
          <w:b/>
        </w:rPr>
      </w:pPr>
      <w:r w:rsidRPr="00707BB2">
        <w:rPr>
          <w:b/>
        </w:rPr>
        <w:t xml:space="preserve">10. </w:t>
      </w:r>
      <w:r w:rsidR="0081789E" w:rsidRPr="00707BB2">
        <w:rPr>
          <w:b/>
        </w:rPr>
        <w:t>Förslag till Europaparlamentets och rådets förordning om tillämplig lag för avtalsförpliktelser (Rom I) (R) (första behandlingen)</w:t>
      </w:r>
    </w:p>
    <w:p w:rsidR="0081789E" w:rsidRPr="00707BB2" w:rsidRDefault="0081789E" w:rsidP="0081789E">
      <w:pPr>
        <w:rPr>
          <w:b/>
        </w:rPr>
      </w:pPr>
    </w:p>
    <w:p w:rsidR="0081789E" w:rsidRPr="00707BB2" w:rsidRDefault="0081789E" w:rsidP="0081789E">
      <w:pPr>
        <w:rPr>
          <w:b/>
        </w:rPr>
      </w:pPr>
    </w:p>
    <w:p w:rsidR="0081789E" w:rsidRPr="00707BB2" w:rsidRDefault="0081789E" w:rsidP="0081789E">
      <w:pPr>
        <w:pStyle w:val="RKnormal"/>
        <w:rPr>
          <w:i/>
          <w:iCs/>
        </w:rPr>
      </w:pPr>
      <w:r w:rsidRPr="00707BB2">
        <w:rPr>
          <w:i/>
          <w:iCs/>
        </w:rPr>
        <w:t>Ansvarigt departement</w:t>
      </w:r>
    </w:p>
    <w:p w:rsidR="0081789E" w:rsidRPr="00707BB2" w:rsidRDefault="0081789E" w:rsidP="0081789E">
      <w:pPr>
        <w:pStyle w:val="RKnormal"/>
      </w:pPr>
      <w:r w:rsidRPr="00707BB2">
        <w:t>Justitiedepartementet</w:t>
      </w:r>
    </w:p>
    <w:p w:rsidR="0081789E" w:rsidRPr="00707BB2" w:rsidRDefault="0081789E" w:rsidP="0081789E">
      <w:pPr>
        <w:pStyle w:val="RKnormal"/>
      </w:pPr>
    </w:p>
    <w:p w:rsidR="0081789E" w:rsidRPr="00707BB2" w:rsidRDefault="0081789E" w:rsidP="0081789E">
      <w:pPr>
        <w:pStyle w:val="RKnormal"/>
        <w:rPr>
          <w:i/>
          <w:iCs/>
        </w:rPr>
      </w:pPr>
      <w:r w:rsidRPr="00707BB2">
        <w:rPr>
          <w:i/>
          <w:iCs/>
        </w:rPr>
        <w:t>Dokument</w:t>
      </w:r>
    </w:p>
    <w:p w:rsidR="0081789E" w:rsidRPr="00707BB2" w:rsidRDefault="0081789E" w:rsidP="0081789E">
      <w:pPr>
        <w:pStyle w:val="RKnormal"/>
      </w:pPr>
      <w:r w:rsidRPr="00707BB2">
        <w:t>PE-CONS 3691/07 JUSTCIV 334 CODEC 1401</w:t>
      </w:r>
    </w:p>
    <w:p w:rsidR="0081789E" w:rsidRPr="00707BB2" w:rsidRDefault="0081789E" w:rsidP="0081789E">
      <w:pPr>
        <w:pStyle w:val="RKnormal"/>
      </w:pPr>
      <w:r w:rsidRPr="00707BB2">
        <w:t>+ COR 1 (sl)</w:t>
      </w:r>
    </w:p>
    <w:p w:rsidR="0081789E" w:rsidRPr="00707BB2" w:rsidRDefault="0081789E" w:rsidP="0081789E">
      <w:pPr>
        <w:pStyle w:val="RKnormal"/>
      </w:pPr>
      <w:r w:rsidRPr="00707BB2">
        <w:t>+ COR 2 (sv)</w:t>
      </w:r>
    </w:p>
    <w:p w:rsidR="0081789E" w:rsidRPr="00707BB2" w:rsidRDefault="0081789E" w:rsidP="0081789E">
      <w:pPr>
        <w:pStyle w:val="RKnormal"/>
      </w:pPr>
      <w:r w:rsidRPr="00707BB2">
        <w:t>+ REV 1 (es)</w:t>
      </w:r>
    </w:p>
    <w:p w:rsidR="0081789E" w:rsidRPr="00707BB2" w:rsidRDefault="0081789E" w:rsidP="0081789E">
      <w:pPr>
        <w:pStyle w:val="RKnormal"/>
      </w:pPr>
      <w:r w:rsidRPr="00707BB2">
        <w:t>7689/08 CODEC 388 JUSTCIV 55</w:t>
      </w:r>
    </w:p>
    <w:p w:rsidR="0081789E" w:rsidRPr="00707BB2" w:rsidRDefault="0081789E" w:rsidP="0081789E">
      <w:pPr>
        <w:pStyle w:val="RKnormal"/>
      </w:pPr>
      <w:r w:rsidRPr="00707BB2">
        <w:t>+ ADD 1</w:t>
      </w:r>
    </w:p>
    <w:p w:rsidR="0081789E" w:rsidRPr="00707BB2" w:rsidRDefault="0081789E" w:rsidP="0081789E"/>
    <w:p w:rsidR="0081789E" w:rsidRPr="00707BB2" w:rsidRDefault="0081789E" w:rsidP="0081789E">
      <w:pPr>
        <w:pStyle w:val="RKnormal"/>
        <w:rPr>
          <w:i/>
          <w:iCs/>
        </w:rPr>
      </w:pPr>
      <w:r w:rsidRPr="00707BB2">
        <w:rPr>
          <w:i/>
          <w:iCs/>
        </w:rPr>
        <w:t>Kommentar</w:t>
      </w:r>
    </w:p>
    <w:p w:rsidR="0081789E" w:rsidRPr="00707BB2" w:rsidRDefault="0081789E" w:rsidP="0081789E">
      <w:r w:rsidRPr="00707BB2">
        <w:t xml:space="preserve">Förslaget </w:t>
      </w:r>
      <w:r w:rsidR="002F7F9E" w:rsidRPr="00707BB2">
        <w:t xml:space="preserve">till förordning </w:t>
      </w:r>
      <w:r w:rsidRPr="00707BB2">
        <w:t>innehåller allmänna regler om tillämplig lag för avtalsförpliktelser. Det kan t.ex. handla om köp av varor eller tjänster. Förslaget innebär att den gällande s.k. Romkonventionen mellan medlemsstaterna omvandlas till en förordning (Rom I), samtidigt som bestämmelserna revideras i viss mån. En av de förändringar som görs är att de allmänna anknytningskriterier som tidigare funnits (t.ex. att lagen i det land där den avtalspart som utför den för avtalet mest karaktäristiska prestationen ska tillämpas) i viss utsträckning ersätts av fasta anknytningskriterier som har utvecklats i praxis (t.ex. att vid försäljningsavtal mellan näringsidkare ska säljarens lands lag tillämpas). Syftet med instrumentet är att främja den inre marknadens funktion.</w:t>
      </w:r>
    </w:p>
    <w:p w:rsidR="0081789E" w:rsidRPr="00707BB2" w:rsidRDefault="0081789E" w:rsidP="0081789E"/>
    <w:p w:rsidR="0081789E" w:rsidRPr="00707BB2" w:rsidRDefault="0081789E" w:rsidP="0081789E">
      <w:r w:rsidRPr="00707BB2">
        <w:t>Europaparlamentet och rådet har tidigare träffat en politisk överenskommelse om förslaget under den första läsningen. Sedan texten språkgranskats är det nu fråga om att formellt anta förordningen.</w:t>
      </w:r>
    </w:p>
    <w:p w:rsidR="0081789E" w:rsidRPr="00707BB2" w:rsidRDefault="0081789E" w:rsidP="0081789E"/>
    <w:p w:rsidR="0081789E" w:rsidRPr="00707BB2" w:rsidRDefault="0081789E" w:rsidP="0081789E">
      <w:pPr>
        <w:pStyle w:val="RKnormal"/>
        <w:rPr>
          <w:i/>
          <w:iCs/>
        </w:rPr>
      </w:pPr>
      <w:r w:rsidRPr="00707BB2">
        <w:rPr>
          <w:i/>
          <w:iCs/>
        </w:rPr>
        <w:t>Åtgärd</w:t>
      </w:r>
    </w:p>
    <w:p w:rsidR="0081789E" w:rsidRPr="00707BB2" w:rsidRDefault="0081789E" w:rsidP="0081789E">
      <w:r w:rsidRPr="00707BB2">
        <w:rPr>
          <w:iCs/>
        </w:rPr>
        <w:t xml:space="preserve">Rådet föreslås </w:t>
      </w:r>
      <w:r w:rsidRPr="00707BB2">
        <w:rPr>
          <w:u w:val="single"/>
        </w:rPr>
        <w:t>anta</w:t>
      </w:r>
      <w:r w:rsidRPr="00707BB2">
        <w:t xml:space="preserve"> förordningen.</w:t>
      </w:r>
    </w:p>
    <w:p w:rsidR="0081789E" w:rsidRPr="00707BB2" w:rsidRDefault="0081789E" w:rsidP="0081789E"/>
    <w:p w:rsidR="0081789E" w:rsidRPr="00707BB2" w:rsidRDefault="0081789E" w:rsidP="0081789E"/>
    <w:p w:rsidR="0081789E" w:rsidRPr="00707BB2" w:rsidRDefault="002F7F9E" w:rsidP="0081789E">
      <w:r w:rsidRPr="00707BB2">
        <w:tab/>
      </w:r>
      <w:r w:rsidRPr="00707BB2">
        <w:tab/>
      </w:r>
      <w:r w:rsidRPr="00707BB2">
        <w:tab/>
      </w:r>
      <w:r w:rsidRPr="00707BB2">
        <w:tab/>
        <w:t xml:space="preserve">  * * *</w:t>
      </w:r>
    </w:p>
    <w:p w:rsidR="0081789E" w:rsidRPr="00707BB2" w:rsidRDefault="0081789E" w:rsidP="0081789E"/>
    <w:p w:rsidR="006E4E11" w:rsidRPr="00707BB2" w:rsidRDefault="006E4E11">
      <w:pPr>
        <w:pStyle w:val="RKnormal"/>
      </w:pPr>
    </w:p>
    <w:sectPr w:rsidR="006E4E11" w:rsidRPr="00707BB2">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096" w:rsidRPr="00707BB2" w:rsidRDefault="00FB4096">
      <w:r w:rsidRPr="00707BB2">
        <w:separator/>
      </w:r>
    </w:p>
  </w:endnote>
  <w:endnote w:type="continuationSeparator" w:id="0">
    <w:p w:rsidR="00FB4096" w:rsidRPr="00707BB2" w:rsidRDefault="00FB4096">
      <w:r w:rsidRPr="00707B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096" w:rsidRPr="00707BB2" w:rsidRDefault="00FB4096">
      <w:r w:rsidRPr="00707BB2">
        <w:separator/>
      </w:r>
    </w:p>
  </w:footnote>
  <w:footnote w:type="continuationSeparator" w:id="0">
    <w:p w:rsidR="00FB4096" w:rsidRPr="00707BB2" w:rsidRDefault="00FB4096">
      <w:r w:rsidRPr="00707B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ECA" w:rsidRPr="00707BB2" w:rsidRDefault="006D2ECA">
    <w:pPr>
      <w:pStyle w:val="Sidhuvud"/>
      <w:framePr w:wrap="around" w:vAnchor="text" w:hAnchor="margin" w:xAlign="right" w:y="1"/>
      <w:rPr>
        <w:rStyle w:val="Sidnummer"/>
      </w:rPr>
    </w:pPr>
    <w:r w:rsidRPr="00707BB2">
      <w:rPr>
        <w:rStyle w:val="Sidnummer"/>
      </w:rPr>
      <w:fldChar w:fldCharType="begin" w:fldLock="1"/>
    </w:r>
    <w:r w:rsidRPr="00707BB2">
      <w:rPr>
        <w:rStyle w:val="Sidnummer"/>
      </w:rPr>
      <w:instrText xml:space="preserve">PAGE  </w:instrText>
    </w:r>
    <w:r w:rsidRPr="00707BB2">
      <w:rPr>
        <w:rStyle w:val="Sidnummer"/>
      </w:rPr>
      <w:fldChar w:fldCharType="separate"/>
    </w:r>
    <w:r w:rsidR="00D82E0D" w:rsidRPr="00707BB2">
      <w:rPr>
        <w:rStyle w:val="Sidnummer"/>
      </w:rPr>
      <w:t>12</w:t>
    </w:r>
    <w:r w:rsidRPr="00707BB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D2ECA" w:rsidRPr="00707BB2">
      <w:tblPrEx>
        <w:tblCellMar>
          <w:top w:w="0" w:type="dxa"/>
          <w:bottom w:w="0" w:type="dxa"/>
        </w:tblCellMar>
      </w:tblPrEx>
      <w:trPr>
        <w:cantSplit/>
      </w:trPr>
      <w:tc>
        <w:tcPr>
          <w:tcW w:w="3119" w:type="dxa"/>
        </w:tcPr>
        <w:p w:rsidR="006D2ECA" w:rsidRPr="00707BB2" w:rsidRDefault="006D2ECA">
          <w:pPr>
            <w:pStyle w:val="Sidhuvud"/>
            <w:spacing w:line="200" w:lineRule="atLeast"/>
            <w:ind w:right="357"/>
            <w:rPr>
              <w:rFonts w:ascii="TradeGothic" w:hAnsi="TradeGothic"/>
              <w:b/>
              <w:bCs/>
              <w:sz w:val="16"/>
            </w:rPr>
          </w:pPr>
        </w:p>
      </w:tc>
      <w:tc>
        <w:tcPr>
          <w:tcW w:w="4111" w:type="dxa"/>
          <w:tcMar>
            <w:left w:w="567" w:type="dxa"/>
          </w:tcMar>
        </w:tcPr>
        <w:p w:rsidR="006D2ECA" w:rsidRPr="00707BB2" w:rsidRDefault="006D2ECA">
          <w:pPr>
            <w:pStyle w:val="Sidhuvud"/>
            <w:ind w:right="360"/>
          </w:pPr>
        </w:p>
      </w:tc>
      <w:tc>
        <w:tcPr>
          <w:tcW w:w="1525" w:type="dxa"/>
        </w:tcPr>
        <w:p w:rsidR="006D2ECA" w:rsidRPr="00707BB2" w:rsidRDefault="006D2ECA">
          <w:pPr>
            <w:pStyle w:val="Sidhuvud"/>
            <w:ind w:right="360"/>
          </w:pPr>
        </w:p>
      </w:tc>
    </w:tr>
  </w:tbl>
  <w:p w:rsidR="006D2ECA" w:rsidRPr="00707BB2" w:rsidRDefault="006D2ECA">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ECA" w:rsidRPr="00707BB2" w:rsidRDefault="006D2ECA">
    <w:pPr>
      <w:pStyle w:val="Sidhuvud"/>
      <w:framePr w:wrap="around" w:vAnchor="text" w:hAnchor="margin" w:xAlign="right" w:y="1"/>
      <w:rPr>
        <w:rStyle w:val="Sidnummer"/>
      </w:rPr>
    </w:pPr>
    <w:r w:rsidRPr="00707BB2">
      <w:rPr>
        <w:rStyle w:val="Sidnummer"/>
      </w:rPr>
      <w:fldChar w:fldCharType="begin" w:fldLock="1"/>
    </w:r>
    <w:r w:rsidRPr="00707BB2">
      <w:rPr>
        <w:rStyle w:val="Sidnummer"/>
      </w:rPr>
      <w:instrText xml:space="preserve">PAGE  </w:instrText>
    </w:r>
    <w:r w:rsidRPr="00707BB2">
      <w:rPr>
        <w:rStyle w:val="Sidnummer"/>
      </w:rPr>
      <w:fldChar w:fldCharType="separate"/>
    </w:r>
    <w:r w:rsidR="00D82E0D" w:rsidRPr="00707BB2">
      <w:rPr>
        <w:rStyle w:val="Sidnummer"/>
      </w:rPr>
      <w:t>11</w:t>
    </w:r>
    <w:r w:rsidRPr="00707BB2">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D2ECA" w:rsidRPr="00707BB2">
      <w:tblPrEx>
        <w:tblCellMar>
          <w:top w:w="0" w:type="dxa"/>
          <w:bottom w:w="0" w:type="dxa"/>
        </w:tblCellMar>
      </w:tblPrEx>
      <w:trPr>
        <w:cantSplit/>
      </w:trPr>
      <w:tc>
        <w:tcPr>
          <w:tcW w:w="3119" w:type="dxa"/>
        </w:tcPr>
        <w:p w:rsidR="006D2ECA" w:rsidRPr="00707BB2" w:rsidRDefault="006D2ECA">
          <w:pPr>
            <w:pStyle w:val="Sidhuvud"/>
            <w:spacing w:line="200" w:lineRule="atLeast"/>
            <w:ind w:right="357"/>
            <w:rPr>
              <w:rFonts w:ascii="TradeGothic" w:hAnsi="TradeGothic"/>
              <w:b/>
              <w:bCs/>
              <w:sz w:val="16"/>
            </w:rPr>
          </w:pPr>
        </w:p>
      </w:tc>
      <w:tc>
        <w:tcPr>
          <w:tcW w:w="4111" w:type="dxa"/>
          <w:tcMar>
            <w:left w:w="567" w:type="dxa"/>
          </w:tcMar>
        </w:tcPr>
        <w:p w:rsidR="006D2ECA" w:rsidRPr="00707BB2" w:rsidRDefault="006D2ECA">
          <w:pPr>
            <w:pStyle w:val="Sidhuvud"/>
            <w:ind w:right="360"/>
          </w:pPr>
        </w:p>
      </w:tc>
      <w:tc>
        <w:tcPr>
          <w:tcW w:w="1525" w:type="dxa"/>
        </w:tcPr>
        <w:p w:rsidR="006D2ECA" w:rsidRPr="00707BB2" w:rsidRDefault="006D2ECA">
          <w:pPr>
            <w:pStyle w:val="Sidhuvud"/>
            <w:ind w:right="360"/>
          </w:pPr>
        </w:p>
      </w:tc>
    </w:tr>
  </w:tbl>
  <w:p w:rsidR="006D2ECA" w:rsidRPr="00707BB2" w:rsidRDefault="006D2ECA">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2ECA" w:rsidRPr="00707BB2" w:rsidRDefault="00707BB2">
    <w:pPr>
      <w:framePr w:w="2948" w:h="1321" w:hRule="exact" w:wrap="notBeside" w:vAnchor="page" w:hAnchor="page" w:x="1362" w:y="653"/>
    </w:pPr>
    <w:r w:rsidRPr="00707BB2">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6D2ECA" w:rsidRPr="00707BB2" w:rsidRDefault="006D2ECA">
    <w:pPr>
      <w:pStyle w:val="RKrubrik"/>
      <w:keepNext w:val="0"/>
      <w:tabs>
        <w:tab w:val="clear" w:pos="1134"/>
        <w:tab w:val="clear" w:pos="2835"/>
      </w:tabs>
      <w:spacing w:before="0" w:after="0" w:line="320" w:lineRule="atLeast"/>
      <w:rPr>
        <w:bCs/>
      </w:rPr>
    </w:pPr>
  </w:p>
  <w:p w:rsidR="006D2ECA" w:rsidRPr="00707BB2" w:rsidRDefault="006D2ECA">
    <w:pPr>
      <w:rPr>
        <w:rFonts w:ascii="TradeGothic" w:hAnsi="TradeGothic"/>
        <w:b/>
        <w:bCs/>
        <w:spacing w:val="12"/>
        <w:sz w:val="22"/>
      </w:rPr>
    </w:pPr>
  </w:p>
  <w:p w:rsidR="006D2ECA" w:rsidRPr="00707BB2" w:rsidRDefault="006D2ECA">
    <w:pPr>
      <w:pStyle w:val="RKrubrik"/>
      <w:keepNext w:val="0"/>
      <w:tabs>
        <w:tab w:val="clear" w:pos="1134"/>
        <w:tab w:val="clear" w:pos="2835"/>
      </w:tabs>
      <w:spacing w:before="0" w:after="0" w:line="320" w:lineRule="atLeast"/>
      <w:rPr>
        <w:bCs/>
      </w:rPr>
    </w:pPr>
  </w:p>
  <w:p w:rsidR="006D2ECA" w:rsidRPr="00707BB2" w:rsidRDefault="006D2ECA">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
    <w:docVar w:name="docDep" w:val="2"/>
    <w:docVar w:name="docSprak" w:val="0"/>
  </w:docVars>
  <w:rsids>
    <w:rsidRoot w:val="0081789E"/>
    <w:rsid w:val="00006FB5"/>
    <w:rsid w:val="00150384"/>
    <w:rsid w:val="001805B7"/>
    <w:rsid w:val="002F7F9E"/>
    <w:rsid w:val="004A328D"/>
    <w:rsid w:val="006D2ECA"/>
    <w:rsid w:val="006E4E11"/>
    <w:rsid w:val="00707BB2"/>
    <w:rsid w:val="007242A3"/>
    <w:rsid w:val="007C0946"/>
    <w:rsid w:val="0081789E"/>
    <w:rsid w:val="00821500"/>
    <w:rsid w:val="00862E0E"/>
    <w:rsid w:val="00A453C3"/>
    <w:rsid w:val="00B14AF2"/>
    <w:rsid w:val="00D82E0D"/>
    <w:rsid w:val="00DF4290"/>
    <w:rsid w:val="00E00352"/>
    <w:rsid w:val="00EC25F9"/>
    <w:rsid w:val="00F71E1B"/>
    <w:rsid w:val="00FB40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7E4B813-EC4F-42FD-BE73-36E1A079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1789E"/>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2610</Words>
  <Characters>16658</Characters>
  <Application>Microsoft Office Word</Application>
  <DocSecurity>4</DocSecurity>
  <Lines>504</Lines>
  <Paragraphs>202</Paragraphs>
  <ScaleCrop>false</ScaleCrop>
  <HeadingPairs>
    <vt:vector size="2" baseType="variant">
      <vt:variant>
        <vt:lpstr>Rubrik</vt:lpstr>
      </vt:variant>
      <vt:variant>
        <vt:i4>1</vt:i4>
      </vt:variant>
    </vt:vector>
  </HeadingPairs>
  <TitlesOfParts>
    <vt:vector size="1" baseType="lpstr">
      <vt:lpstr>Trolig A-</vt:lpstr>
    </vt:vector>
  </TitlesOfParts>
  <Company>Regeringskansliet</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Trolig A-</dc:title>
  <dc:subject>Trolig A-</dc:subject>
  <dc:creator>Riksdagen</dc:creator>
  <cp:keywords>Riksdagen</cp:keywords>
  <dc:description/>
  <cp:lastModifiedBy>Lars Brink</cp:lastModifiedBy>
  <cp:revision>2</cp:revision>
  <cp:lastPrinted>2008-04-09T11:47:00Z</cp:lastPrinted>
  <dcterms:created xsi:type="dcterms:W3CDTF">2025-12-17T13:14:00Z</dcterms:created>
  <dcterms:modified xsi:type="dcterms:W3CDTF">2025-12-17T13:14:00Z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7</vt:i4>
  </property>
</Properties>
</file>