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74D24">
        <w:tblPrEx>
          <w:tblCellMar>
            <w:top w:w="0" w:type="dxa"/>
            <w:bottom w:w="0" w:type="dxa"/>
          </w:tblCellMar>
        </w:tblPrEx>
        <w:tc>
          <w:tcPr>
            <w:tcW w:w="2268" w:type="dxa"/>
          </w:tcPr>
          <w:p w:rsidR="006E4E11" w:rsidRPr="00274D2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74D24" w:rsidRDefault="006E4E11" w:rsidP="007242A3">
            <w:pPr>
              <w:framePr w:w="5035" w:h="1644" w:wrap="notBeside" w:vAnchor="page" w:hAnchor="page" w:x="6573" w:y="721"/>
              <w:rPr>
                <w:rFonts w:ascii="TradeGothic" w:hAnsi="TradeGothic"/>
                <w:i/>
                <w:sz w:val="18"/>
              </w:rPr>
            </w:pPr>
          </w:p>
        </w:tc>
      </w:tr>
      <w:tr w:rsidR="006E4E11" w:rsidRPr="00274D24">
        <w:tblPrEx>
          <w:tblCellMar>
            <w:top w:w="0" w:type="dxa"/>
            <w:bottom w:w="0" w:type="dxa"/>
          </w:tblCellMar>
        </w:tblPrEx>
        <w:tc>
          <w:tcPr>
            <w:tcW w:w="2268" w:type="dxa"/>
          </w:tcPr>
          <w:p w:rsidR="006E4E11" w:rsidRPr="00274D24"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274D24" w:rsidRDefault="006E4E11" w:rsidP="007242A3">
            <w:pPr>
              <w:framePr w:w="5035" w:h="1644" w:wrap="notBeside" w:vAnchor="page" w:hAnchor="page" w:x="6573" w:y="721"/>
              <w:rPr>
                <w:rFonts w:ascii="TradeGothic" w:hAnsi="TradeGothic"/>
                <w:b/>
                <w:sz w:val="22"/>
              </w:rPr>
            </w:pPr>
          </w:p>
        </w:tc>
      </w:tr>
      <w:tr w:rsidR="006E4E11" w:rsidRPr="00274D24">
        <w:tblPrEx>
          <w:tblCellMar>
            <w:top w:w="0" w:type="dxa"/>
            <w:bottom w:w="0" w:type="dxa"/>
          </w:tblCellMar>
        </w:tblPrEx>
        <w:tc>
          <w:tcPr>
            <w:tcW w:w="3402" w:type="dxa"/>
            <w:gridSpan w:val="2"/>
          </w:tcPr>
          <w:p w:rsidR="006E4E11" w:rsidRPr="00274D24" w:rsidRDefault="006E4E11" w:rsidP="007242A3">
            <w:pPr>
              <w:framePr w:w="5035" w:h="1644" w:wrap="notBeside" w:vAnchor="page" w:hAnchor="page" w:x="6573" w:y="721"/>
            </w:pPr>
          </w:p>
        </w:tc>
        <w:tc>
          <w:tcPr>
            <w:tcW w:w="1865" w:type="dxa"/>
          </w:tcPr>
          <w:p w:rsidR="006E4E11" w:rsidRPr="00274D24" w:rsidRDefault="006E4E11" w:rsidP="007242A3">
            <w:pPr>
              <w:framePr w:w="5035" w:h="1644" w:wrap="notBeside" w:vAnchor="page" w:hAnchor="page" w:x="6573" w:y="721"/>
            </w:pPr>
          </w:p>
        </w:tc>
      </w:tr>
      <w:tr w:rsidR="006E4E11" w:rsidRPr="00274D24">
        <w:tblPrEx>
          <w:tblCellMar>
            <w:top w:w="0" w:type="dxa"/>
            <w:bottom w:w="0" w:type="dxa"/>
          </w:tblCellMar>
        </w:tblPrEx>
        <w:tc>
          <w:tcPr>
            <w:tcW w:w="2268" w:type="dxa"/>
          </w:tcPr>
          <w:p w:rsidR="006E4E11" w:rsidRPr="00274D24" w:rsidRDefault="00D64B26" w:rsidP="007242A3">
            <w:pPr>
              <w:framePr w:w="5035" w:h="1644" w:wrap="notBeside" w:vAnchor="page" w:hAnchor="page" w:x="6573" w:y="721"/>
            </w:pPr>
            <w:r w:rsidRPr="00274D24">
              <w:t>2007-11-19</w:t>
            </w:r>
          </w:p>
        </w:tc>
        <w:tc>
          <w:tcPr>
            <w:tcW w:w="2999" w:type="dxa"/>
            <w:gridSpan w:val="2"/>
          </w:tcPr>
          <w:p w:rsidR="006E4E11" w:rsidRPr="00274D24" w:rsidRDefault="006E4E11" w:rsidP="007242A3">
            <w:pPr>
              <w:framePr w:w="5035" w:h="1644" w:wrap="notBeside" w:vAnchor="page" w:hAnchor="page" w:x="6573" w:y="721"/>
            </w:pPr>
          </w:p>
        </w:tc>
      </w:tr>
      <w:tr w:rsidR="006E4E11" w:rsidRPr="00274D24">
        <w:tblPrEx>
          <w:tblCellMar>
            <w:top w:w="0" w:type="dxa"/>
            <w:bottom w:w="0" w:type="dxa"/>
          </w:tblCellMar>
        </w:tblPrEx>
        <w:tc>
          <w:tcPr>
            <w:tcW w:w="2268" w:type="dxa"/>
          </w:tcPr>
          <w:p w:rsidR="006E4E11" w:rsidRPr="00274D24" w:rsidRDefault="006E4E11" w:rsidP="007242A3">
            <w:pPr>
              <w:framePr w:w="5035" w:h="1644" w:wrap="notBeside" w:vAnchor="page" w:hAnchor="page" w:x="6573" w:y="721"/>
            </w:pPr>
          </w:p>
        </w:tc>
        <w:tc>
          <w:tcPr>
            <w:tcW w:w="2999" w:type="dxa"/>
            <w:gridSpan w:val="2"/>
          </w:tcPr>
          <w:p w:rsidR="006E4E11" w:rsidRPr="00274D2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74D24">
        <w:tblPrEx>
          <w:tblCellMar>
            <w:top w:w="0" w:type="dxa"/>
            <w:bottom w:w="0" w:type="dxa"/>
          </w:tblCellMar>
        </w:tblPrEx>
        <w:trPr>
          <w:trHeight w:val="284"/>
        </w:trPr>
        <w:tc>
          <w:tcPr>
            <w:tcW w:w="4911" w:type="dxa"/>
          </w:tcPr>
          <w:p w:rsidR="006E4E11" w:rsidRPr="00274D24" w:rsidRDefault="00D64B26">
            <w:pPr>
              <w:pStyle w:val="Avsndare"/>
              <w:framePr w:h="2483" w:wrap="notBeside" w:x="1504"/>
              <w:rPr>
                <w:b/>
                <w:i w:val="0"/>
                <w:sz w:val="22"/>
              </w:rPr>
            </w:pPr>
            <w:r w:rsidRPr="00274D24">
              <w:rPr>
                <w:b/>
                <w:i w:val="0"/>
                <w:sz w:val="22"/>
              </w:rPr>
              <w:t>Näringsdepartementet</w:t>
            </w:r>
          </w:p>
        </w:tc>
      </w:tr>
      <w:tr w:rsidR="006E4E11" w:rsidRPr="00274D24">
        <w:tblPrEx>
          <w:tblCellMar>
            <w:top w:w="0" w:type="dxa"/>
            <w:bottom w:w="0" w:type="dxa"/>
          </w:tblCellMar>
        </w:tblPrEx>
        <w:trPr>
          <w:trHeight w:val="284"/>
        </w:trPr>
        <w:tc>
          <w:tcPr>
            <w:tcW w:w="4911" w:type="dxa"/>
          </w:tcPr>
          <w:p w:rsidR="006E4E11" w:rsidRPr="00274D24" w:rsidRDefault="006E4E11">
            <w:pPr>
              <w:pStyle w:val="Avsndare"/>
              <w:framePr w:h="2483" w:wrap="notBeside" w:x="1504"/>
              <w:rPr>
                <w:bCs/>
                <w:iCs/>
              </w:rPr>
            </w:pPr>
          </w:p>
        </w:tc>
      </w:tr>
      <w:tr w:rsidR="006E4E11" w:rsidRPr="00274D24">
        <w:tblPrEx>
          <w:tblCellMar>
            <w:top w:w="0" w:type="dxa"/>
            <w:bottom w:w="0" w:type="dxa"/>
          </w:tblCellMar>
        </w:tblPrEx>
        <w:trPr>
          <w:trHeight w:val="284"/>
        </w:trPr>
        <w:tc>
          <w:tcPr>
            <w:tcW w:w="4911" w:type="dxa"/>
          </w:tcPr>
          <w:p w:rsidR="006E4E11" w:rsidRPr="00274D24" w:rsidRDefault="006E4E11">
            <w:pPr>
              <w:pStyle w:val="Avsndare"/>
              <w:framePr w:h="2483" w:wrap="notBeside" w:x="1504"/>
              <w:rPr>
                <w:bCs/>
                <w:iCs/>
              </w:rPr>
            </w:pPr>
          </w:p>
        </w:tc>
      </w:tr>
      <w:tr w:rsidR="006E4E11" w:rsidRPr="00274D24">
        <w:tblPrEx>
          <w:tblCellMar>
            <w:top w:w="0" w:type="dxa"/>
            <w:bottom w:w="0" w:type="dxa"/>
          </w:tblCellMar>
        </w:tblPrEx>
        <w:trPr>
          <w:trHeight w:val="284"/>
        </w:trPr>
        <w:tc>
          <w:tcPr>
            <w:tcW w:w="4911" w:type="dxa"/>
          </w:tcPr>
          <w:p w:rsidR="006E4E11" w:rsidRPr="00274D24" w:rsidRDefault="006E4E11">
            <w:pPr>
              <w:pStyle w:val="Avsndare"/>
              <w:framePr w:h="2483" w:wrap="notBeside" w:x="1504"/>
              <w:rPr>
                <w:bCs/>
                <w:iCs/>
              </w:rPr>
            </w:pPr>
          </w:p>
        </w:tc>
      </w:tr>
      <w:tr w:rsidR="006E4E11" w:rsidRPr="00274D24">
        <w:tblPrEx>
          <w:tblCellMar>
            <w:top w:w="0" w:type="dxa"/>
            <w:bottom w:w="0" w:type="dxa"/>
          </w:tblCellMar>
        </w:tblPrEx>
        <w:trPr>
          <w:trHeight w:val="284"/>
        </w:trPr>
        <w:tc>
          <w:tcPr>
            <w:tcW w:w="4911" w:type="dxa"/>
          </w:tcPr>
          <w:p w:rsidR="006E4E11" w:rsidRPr="00274D24" w:rsidRDefault="006E4E11">
            <w:pPr>
              <w:pStyle w:val="Avsndare"/>
              <w:framePr w:h="2483" w:wrap="notBeside" w:x="1504"/>
              <w:rPr>
                <w:bCs/>
                <w:iCs/>
              </w:rPr>
            </w:pPr>
          </w:p>
        </w:tc>
      </w:tr>
      <w:tr w:rsidR="006E4E11" w:rsidRPr="00274D24">
        <w:tblPrEx>
          <w:tblCellMar>
            <w:top w:w="0" w:type="dxa"/>
            <w:bottom w:w="0" w:type="dxa"/>
          </w:tblCellMar>
        </w:tblPrEx>
        <w:trPr>
          <w:trHeight w:val="284"/>
        </w:trPr>
        <w:tc>
          <w:tcPr>
            <w:tcW w:w="4911" w:type="dxa"/>
          </w:tcPr>
          <w:p w:rsidR="006E4E11" w:rsidRPr="00274D24" w:rsidRDefault="006E4E11">
            <w:pPr>
              <w:pStyle w:val="Avsndare"/>
              <w:framePr w:h="2483" w:wrap="notBeside" w:x="1504"/>
              <w:rPr>
                <w:bCs/>
                <w:iCs/>
              </w:rPr>
            </w:pPr>
          </w:p>
        </w:tc>
      </w:tr>
      <w:tr w:rsidR="006E4E11" w:rsidRPr="00274D24">
        <w:tblPrEx>
          <w:tblCellMar>
            <w:top w:w="0" w:type="dxa"/>
            <w:bottom w:w="0" w:type="dxa"/>
          </w:tblCellMar>
        </w:tblPrEx>
        <w:trPr>
          <w:trHeight w:val="284"/>
        </w:trPr>
        <w:tc>
          <w:tcPr>
            <w:tcW w:w="4911" w:type="dxa"/>
          </w:tcPr>
          <w:p w:rsidR="006E4E11" w:rsidRPr="00274D24" w:rsidRDefault="006E4E11">
            <w:pPr>
              <w:pStyle w:val="Avsndare"/>
              <w:framePr w:h="2483" w:wrap="notBeside" w:x="1504"/>
              <w:rPr>
                <w:bCs/>
                <w:iCs/>
              </w:rPr>
            </w:pPr>
          </w:p>
        </w:tc>
      </w:tr>
      <w:tr w:rsidR="00D64B26" w:rsidRPr="00274D24">
        <w:tblPrEx>
          <w:tblCellMar>
            <w:top w:w="0" w:type="dxa"/>
            <w:bottom w:w="0" w:type="dxa"/>
          </w:tblCellMar>
        </w:tblPrEx>
        <w:trPr>
          <w:trHeight w:val="284"/>
        </w:trPr>
        <w:tc>
          <w:tcPr>
            <w:tcW w:w="4911" w:type="dxa"/>
          </w:tcPr>
          <w:p w:rsidR="00D64B26" w:rsidRPr="00274D24" w:rsidRDefault="00D64B26">
            <w:pPr>
              <w:pStyle w:val="Avsndare"/>
              <w:framePr w:h="2483" w:wrap="notBeside" w:x="1504"/>
              <w:rPr>
                <w:bCs/>
                <w:iCs/>
              </w:rPr>
            </w:pPr>
          </w:p>
        </w:tc>
      </w:tr>
    </w:tbl>
    <w:p w:rsidR="006E4E11" w:rsidRPr="00274D24" w:rsidRDefault="006E4E11">
      <w:pPr>
        <w:framePr w:w="4400" w:h="2523" w:wrap="notBeside" w:vAnchor="page" w:hAnchor="page" w:x="6453" w:y="2445"/>
        <w:ind w:left="142"/>
      </w:pPr>
    </w:p>
    <w:p w:rsidR="006E4E11" w:rsidRPr="00274D24" w:rsidRDefault="00D64B26" w:rsidP="00D64B26">
      <w:pPr>
        <w:pStyle w:val="RKrubrik"/>
        <w:pBdr>
          <w:bottom w:val="single" w:sz="4" w:space="1" w:color="000000"/>
        </w:pBdr>
        <w:spacing w:before="0" w:after="0"/>
      </w:pPr>
      <w:r w:rsidRPr="00274D24">
        <w:t>Kommentar till dagordningen för rådets möte (TTE) den 29-30 november samt den 3 december 2007</w:t>
      </w:r>
    </w:p>
    <w:p w:rsidR="006E4E11" w:rsidRPr="00274D24" w:rsidRDefault="006E4E11">
      <w:pPr>
        <w:pStyle w:val="RKnormal"/>
      </w:pPr>
    </w:p>
    <w:p w:rsidR="006E4E11" w:rsidRPr="00274D24" w:rsidRDefault="00143222" w:rsidP="00143222">
      <w:pPr>
        <w:pStyle w:val="RKrubrik"/>
        <w:numPr>
          <w:ilvl w:val="0"/>
          <w:numId w:val="1"/>
        </w:numPr>
      </w:pPr>
      <w:r w:rsidRPr="00274D24">
        <w:t>Godkännande av dagordningen</w:t>
      </w:r>
    </w:p>
    <w:p w:rsidR="00143222" w:rsidRPr="00274D24" w:rsidRDefault="00143222" w:rsidP="00143222">
      <w:pPr>
        <w:pStyle w:val="RKrubrik"/>
        <w:numPr>
          <w:ilvl w:val="0"/>
          <w:numId w:val="1"/>
        </w:numPr>
      </w:pPr>
      <w:r w:rsidRPr="00274D24">
        <w:t>(ev.) Godkännande av A-punktslistan</w:t>
      </w:r>
    </w:p>
    <w:p w:rsidR="007769A3" w:rsidRPr="00274D24" w:rsidRDefault="007769A3" w:rsidP="007769A3">
      <w:pPr>
        <w:pStyle w:val="RKnormal"/>
      </w:pPr>
    </w:p>
    <w:p w:rsidR="00143222" w:rsidRPr="00274D24" w:rsidRDefault="00143222" w:rsidP="00A702FC">
      <w:pPr>
        <w:pStyle w:val="RKnormal"/>
        <w:rPr>
          <w:rFonts w:ascii="TradeGothic" w:hAnsi="TradeGothic"/>
          <w:b/>
          <w:bCs/>
          <w:sz w:val="22"/>
        </w:rPr>
      </w:pPr>
      <w:r w:rsidRPr="00274D24">
        <w:rPr>
          <w:rFonts w:ascii="TradeGothic" w:hAnsi="TradeGothic"/>
          <w:b/>
          <w:bCs/>
          <w:sz w:val="22"/>
        </w:rPr>
        <w:t>TELEKOMMUNIKATION</w:t>
      </w:r>
    </w:p>
    <w:p w:rsidR="00EA096D" w:rsidRPr="00274D24" w:rsidRDefault="00EA096D" w:rsidP="00EA096D">
      <w:pPr>
        <w:pStyle w:val="RKnormal"/>
      </w:pPr>
    </w:p>
    <w:p w:rsidR="00EA096D" w:rsidRPr="00274D24" w:rsidRDefault="00EA096D" w:rsidP="00EA096D">
      <w:pPr>
        <w:pStyle w:val="RKnormal"/>
        <w:rPr>
          <w:rFonts w:ascii="TradeGothic" w:hAnsi="TradeGothic"/>
          <w:sz w:val="22"/>
          <w:szCs w:val="22"/>
        </w:rPr>
      </w:pPr>
      <w:r w:rsidRPr="00274D24">
        <w:rPr>
          <w:rFonts w:ascii="TradeGothic" w:hAnsi="TradeGothic"/>
          <w:b/>
          <w:sz w:val="22"/>
          <w:szCs w:val="22"/>
        </w:rPr>
        <w:t>3)</w:t>
      </w:r>
      <w:r w:rsidRPr="00274D24">
        <w:rPr>
          <w:rFonts w:ascii="TradeGothic" w:hAnsi="TradeGothic"/>
          <w:sz w:val="22"/>
          <w:szCs w:val="22"/>
        </w:rPr>
        <w:t xml:space="preserve"> </w:t>
      </w:r>
      <w:r w:rsidRPr="00274D24">
        <w:rPr>
          <w:rFonts w:ascii="TradeGothic" w:hAnsi="TradeGothic"/>
          <w:b/>
          <w:bCs/>
          <w:sz w:val="22"/>
          <w:szCs w:val="22"/>
        </w:rPr>
        <w:t>Översyn av EU:s regelverk för elektroniska kommunikationsnät och tjänster.</w:t>
      </w:r>
    </w:p>
    <w:p w:rsidR="00EA096D" w:rsidRPr="00274D24" w:rsidRDefault="00CD5165" w:rsidP="00EA096D">
      <w:pPr>
        <w:pStyle w:val="RKnormal"/>
        <w:rPr>
          <w:i/>
        </w:rPr>
      </w:pPr>
      <w:r w:rsidRPr="00274D24">
        <w:rPr>
          <w:i/>
        </w:rPr>
        <w:t>- Föredragning av kommissionen.</w:t>
      </w:r>
    </w:p>
    <w:p w:rsidR="00CD5165" w:rsidRPr="00274D24" w:rsidRDefault="00CD5165" w:rsidP="00EA096D">
      <w:pPr>
        <w:pStyle w:val="RKnormal"/>
      </w:pPr>
    </w:p>
    <w:p w:rsidR="002B7A74" w:rsidRPr="00274D24" w:rsidRDefault="002B7A74" w:rsidP="002B7A74">
      <w:pPr>
        <w:pStyle w:val="RKnormal"/>
      </w:pPr>
      <w:r w:rsidRPr="00274D24">
        <w:t>Inga dokument presenterade ännu</w:t>
      </w:r>
    </w:p>
    <w:p w:rsidR="002B7A74" w:rsidRPr="00274D24" w:rsidRDefault="002B7A74" w:rsidP="00EA096D">
      <w:pPr>
        <w:pStyle w:val="RKnormal"/>
      </w:pPr>
    </w:p>
    <w:p w:rsidR="00EA096D" w:rsidRPr="00274D24" w:rsidRDefault="00EA096D" w:rsidP="00EA096D">
      <w:pPr>
        <w:pStyle w:val="RKnormal"/>
      </w:pPr>
      <w:r w:rsidRPr="00274D24">
        <w:t>Förslaget har inte behandlats i EU-nämnden tidigare.</w:t>
      </w:r>
    </w:p>
    <w:p w:rsidR="00EA096D" w:rsidRPr="00274D24" w:rsidRDefault="00EA096D" w:rsidP="00EA096D">
      <w:pPr>
        <w:pStyle w:val="RKnormal"/>
      </w:pPr>
    </w:p>
    <w:p w:rsidR="00EA096D" w:rsidRPr="00274D24" w:rsidRDefault="00EA096D" w:rsidP="00EA096D">
      <w:pPr>
        <w:pStyle w:val="RKnormal"/>
        <w:rPr>
          <w:b/>
          <w:bCs/>
        </w:rPr>
      </w:pPr>
      <w:r w:rsidRPr="00274D24">
        <w:rPr>
          <w:b/>
          <w:bCs/>
        </w:rPr>
        <w:t>Bakgrund</w:t>
      </w:r>
    </w:p>
    <w:p w:rsidR="00EA096D" w:rsidRPr="00274D24" w:rsidRDefault="00EA096D" w:rsidP="00EA096D">
      <w:pPr>
        <w:pStyle w:val="RKnormal"/>
        <w:rPr>
          <w:bCs/>
        </w:rPr>
      </w:pPr>
      <w:r w:rsidRPr="00274D24">
        <w:rPr>
          <w:bCs/>
        </w:rPr>
        <w:t>Det EG-regelverk för elektroniska kommunikationer som antogs 2001 och genomfördes i den svenska lagen om elektroniska kommunikationer 2003 har nu setts över av kommissionen. De uppdaterade förslagen antogs av kommissionen den 13 november och omfattar två direktiv som ändrar i de fem existerande direktiven på området (ramdirektivet, tillträdesdirektivet, auktorisationsdirektivet, e-dataskyddsdirektivet och USO-direktivet). Kommissionen har också presenterat ett förslag till förordning för att inrätta en ny regleringsmyndighet för hela EU.</w:t>
      </w:r>
    </w:p>
    <w:p w:rsidR="00EA096D" w:rsidRPr="00274D24" w:rsidRDefault="00EA096D" w:rsidP="00EA096D">
      <w:pPr>
        <w:pStyle w:val="RKnormal"/>
      </w:pPr>
    </w:p>
    <w:p w:rsidR="00EA096D" w:rsidRPr="00274D24" w:rsidRDefault="00EA096D" w:rsidP="00EA096D">
      <w:pPr>
        <w:pStyle w:val="RKnormal"/>
        <w:rPr>
          <w:b/>
          <w:bCs/>
        </w:rPr>
      </w:pPr>
      <w:r w:rsidRPr="00274D24">
        <w:rPr>
          <w:b/>
          <w:bCs/>
        </w:rPr>
        <w:t>Förslag till svensk ståndpunkt</w:t>
      </w:r>
    </w:p>
    <w:p w:rsidR="00EA096D" w:rsidRPr="00274D24" w:rsidRDefault="00975E36" w:rsidP="00EA096D">
      <w:pPr>
        <w:pStyle w:val="RKnormal"/>
      </w:pPr>
      <w:r w:rsidRPr="00274D24">
        <w:t>Regeringen</w:t>
      </w:r>
      <w:r w:rsidR="00EA096D" w:rsidRPr="00274D24">
        <w:t xml:space="preserve"> ställer sig positivt till att regelverket uppdateras och vi når en ökad harmonisering på området. </w:t>
      </w:r>
      <w:r w:rsidRPr="00274D24">
        <w:t>Regeringen</w:t>
      </w:r>
      <w:r w:rsidR="00EA096D" w:rsidRPr="00274D24">
        <w:t xml:space="preserve"> är ännu tveksam till nyttan av en ny myndighet på EU-nivå.</w:t>
      </w:r>
    </w:p>
    <w:p w:rsidR="00EA096D" w:rsidRPr="00274D24" w:rsidRDefault="00EA096D" w:rsidP="00EA096D">
      <w:pPr>
        <w:pStyle w:val="RKnormal"/>
      </w:pPr>
    </w:p>
    <w:p w:rsidR="00FE1429" w:rsidRPr="00274D24" w:rsidRDefault="00FE1429" w:rsidP="00EA096D">
      <w:pPr>
        <w:pStyle w:val="RKnormal"/>
        <w:rPr>
          <w:rFonts w:ascii="TradeGothic" w:hAnsi="TradeGothic"/>
          <w:b/>
          <w:sz w:val="22"/>
          <w:szCs w:val="22"/>
        </w:rPr>
      </w:pPr>
    </w:p>
    <w:p w:rsidR="00EA096D" w:rsidRPr="00274D24" w:rsidRDefault="00EA096D" w:rsidP="00EA096D">
      <w:pPr>
        <w:pStyle w:val="RKnormal"/>
        <w:rPr>
          <w:rFonts w:ascii="TradeGothic" w:hAnsi="TradeGothic"/>
          <w:b/>
          <w:bCs/>
          <w:sz w:val="22"/>
          <w:szCs w:val="22"/>
        </w:rPr>
      </w:pPr>
      <w:r w:rsidRPr="00274D24">
        <w:rPr>
          <w:rFonts w:ascii="TradeGothic" w:hAnsi="TradeGothic"/>
          <w:b/>
          <w:sz w:val="22"/>
          <w:szCs w:val="22"/>
        </w:rPr>
        <w:t>4) Meddelande från kommissionen om att stärka den inre marknaden för mobil-TV.</w:t>
      </w:r>
    </w:p>
    <w:p w:rsidR="00EA096D" w:rsidRPr="00274D24" w:rsidRDefault="00EA096D" w:rsidP="00EA096D">
      <w:pPr>
        <w:pStyle w:val="RKnormal"/>
        <w:rPr>
          <w:i/>
          <w:iCs/>
        </w:rPr>
      </w:pPr>
      <w:r w:rsidRPr="00274D24">
        <w:rPr>
          <w:i/>
          <w:iCs/>
        </w:rPr>
        <w:t>- Rådsslutsatser</w:t>
      </w:r>
    </w:p>
    <w:p w:rsidR="00EA096D" w:rsidRPr="00274D24" w:rsidRDefault="00EA096D" w:rsidP="00EA096D">
      <w:pPr>
        <w:pStyle w:val="RKnormal"/>
      </w:pPr>
    </w:p>
    <w:p w:rsidR="002B7A74" w:rsidRPr="00274D24" w:rsidRDefault="002B7A74" w:rsidP="00EA096D">
      <w:pPr>
        <w:pStyle w:val="RKnormal"/>
      </w:pPr>
      <w:r w:rsidRPr="00274D24">
        <w:lastRenderedPageBreak/>
        <w:t>12028/07 TELECOM 99 AUDIO 30</w:t>
      </w:r>
      <w:r w:rsidR="009F3E88" w:rsidRPr="00274D24">
        <w:t xml:space="preserve"> MI 188 COMPET 227</w:t>
      </w:r>
    </w:p>
    <w:p w:rsidR="009F3E88" w:rsidRPr="00274D24" w:rsidRDefault="009F3E88" w:rsidP="00EA096D">
      <w:pPr>
        <w:pStyle w:val="RKnormal"/>
      </w:pPr>
      <w:r w:rsidRPr="00274D24">
        <w:t>15201/07 TELECOM 142 AUDIO 38 MI 292 COMPET 386</w:t>
      </w:r>
    </w:p>
    <w:p w:rsidR="002B7A74" w:rsidRPr="00274D24" w:rsidRDefault="002B7A74" w:rsidP="00EA096D">
      <w:pPr>
        <w:pStyle w:val="RKnormal"/>
      </w:pPr>
    </w:p>
    <w:p w:rsidR="00EA096D" w:rsidRPr="00274D24" w:rsidRDefault="00EA096D" w:rsidP="00EA096D">
      <w:pPr>
        <w:pStyle w:val="RKnormal"/>
      </w:pPr>
      <w:r w:rsidRPr="00274D24">
        <w:t>Förslaget har inte behandlats i EU-nämnden tidigare</w:t>
      </w:r>
    </w:p>
    <w:p w:rsidR="00EA096D" w:rsidRPr="00274D24" w:rsidRDefault="00EA096D" w:rsidP="00EA096D">
      <w:pPr>
        <w:pStyle w:val="RKnormal"/>
      </w:pPr>
    </w:p>
    <w:p w:rsidR="00EA096D" w:rsidRPr="00274D24" w:rsidRDefault="00EA096D" w:rsidP="00EA096D">
      <w:pPr>
        <w:pStyle w:val="RKnormal"/>
        <w:rPr>
          <w:b/>
          <w:bCs/>
        </w:rPr>
      </w:pPr>
      <w:r w:rsidRPr="00274D24">
        <w:rPr>
          <w:b/>
          <w:bCs/>
        </w:rPr>
        <w:t>Bakgrund</w:t>
      </w:r>
    </w:p>
    <w:p w:rsidR="00EA096D" w:rsidRPr="00274D24" w:rsidRDefault="00EA096D" w:rsidP="00EA096D">
      <w:pPr>
        <w:pStyle w:val="RKnormal"/>
      </w:pPr>
      <w:r w:rsidRPr="00274D24">
        <w:t xml:space="preserve">Mobil-TV innebär att tittare kan ta emot rörliga bilder i någon form av mobil mottagare. Rådsslutsatserna bygger på ett meddelande från kommissionen om mobil-TV (KOM (2007) 409 slutlig). I meddelandet har kommissionen identifierat tre huvudområden av betydelse för mobil-TV med rundradioteknik; </w:t>
      </w:r>
    </w:p>
    <w:p w:rsidR="00EA096D" w:rsidRPr="00274D24" w:rsidRDefault="00EA096D" w:rsidP="00EA096D">
      <w:pPr>
        <w:pStyle w:val="RKnormal"/>
        <w:numPr>
          <w:ilvl w:val="0"/>
          <w:numId w:val="22"/>
        </w:numPr>
      </w:pPr>
      <w:r w:rsidRPr="00274D24">
        <w:t>teknik och standarder</w:t>
      </w:r>
    </w:p>
    <w:p w:rsidR="00EA096D" w:rsidRPr="00274D24" w:rsidRDefault="00EA096D" w:rsidP="00EA096D">
      <w:pPr>
        <w:pStyle w:val="RKnormal"/>
        <w:numPr>
          <w:ilvl w:val="0"/>
          <w:numId w:val="22"/>
        </w:numPr>
      </w:pPr>
      <w:r w:rsidRPr="00274D24">
        <w:t xml:space="preserve">reglering, särskilt tillståndsfrågor </w:t>
      </w:r>
    </w:p>
    <w:p w:rsidR="00EA096D" w:rsidRPr="00274D24" w:rsidRDefault="00EA096D" w:rsidP="00EA096D">
      <w:pPr>
        <w:pStyle w:val="RKnormal"/>
        <w:numPr>
          <w:ilvl w:val="0"/>
          <w:numId w:val="22"/>
        </w:numPr>
      </w:pPr>
      <w:r w:rsidRPr="00274D24">
        <w:t xml:space="preserve">tillgång till harmoniserat frekvensutrymme </w:t>
      </w:r>
    </w:p>
    <w:p w:rsidR="00EA096D" w:rsidRPr="00274D24" w:rsidRDefault="00EA096D" w:rsidP="00EA096D">
      <w:pPr>
        <w:pStyle w:val="RKnormal"/>
      </w:pPr>
    </w:p>
    <w:p w:rsidR="00EA096D" w:rsidRPr="00274D24" w:rsidRDefault="00EA096D" w:rsidP="00EA096D">
      <w:pPr>
        <w:pStyle w:val="RKnormal"/>
      </w:pPr>
      <w:r w:rsidRPr="00274D24">
        <w:t xml:space="preserve">Meddelandet har diskuterats i rådsarbetsgruppen. Det mesta av diskussionen har kretsat kring kommissionens förslag att EU ska välja en viss teknisk standard (DVB-H) för mobil-TV-sändningar med rundradioteknik (broadcastingteknik). Andra frågor som behandlas i meddelandet är användningen av radiofrekvenser och frågor kring den rättsliga regleringen av mobil-TV. </w:t>
      </w:r>
    </w:p>
    <w:p w:rsidR="00EA096D" w:rsidRPr="00274D24" w:rsidRDefault="00EA096D" w:rsidP="00EA096D">
      <w:pPr>
        <w:pStyle w:val="RKnormal"/>
      </w:pPr>
    </w:p>
    <w:p w:rsidR="00EA096D" w:rsidRPr="00274D24" w:rsidRDefault="00EA096D" w:rsidP="00EA096D">
      <w:pPr>
        <w:pStyle w:val="RKnormal"/>
      </w:pPr>
      <w:r w:rsidRPr="00274D24">
        <w:t>Ordförandeskapet har presenterat ett förslag till rådsslutsatser.</w:t>
      </w:r>
    </w:p>
    <w:p w:rsidR="0015629B" w:rsidRPr="00274D24" w:rsidRDefault="0015629B" w:rsidP="0015629B">
      <w:pPr>
        <w:pStyle w:val="RKnormal"/>
        <w:rPr>
          <w:b/>
          <w:bCs/>
        </w:rPr>
      </w:pPr>
    </w:p>
    <w:p w:rsidR="0015629B" w:rsidRPr="00274D24" w:rsidRDefault="0015629B" w:rsidP="0015629B">
      <w:pPr>
        <w:pStyle w:val="RKnormal"/>
        <w:rPr>
          <w:b/>
          <w:bCs/>
        </w:rPr>
      </w:pPr>
      <w:r w:rsidRPr="00274D24">
        <w:rPr>
          <w:b/>
          <w:bCs/>
        </w:rPr>
        <w:t>Förslag till svensk ståndpunkt</w:t>
      </w:r>
    </w:p>
    <w:p w:rsidR="0015629B" w:rsidRPr="00274D24" w:rsidRDefault="00975E36" w:rsidP="0015629B">
      <w:pPr>
        <w:pStyle w:val="RKnormal"/>
      </w:pPr>
      <w:r w:rsidRPr="00274D24">
        <w:t>Regeringen</w:t>
      </w:r>
      <w:r w:rsidR="0015629B" w:rsidRPr="00274D24">
        <w:t xml:space="preserve"> har identifierat flera svagheter i kommissionens resonemang i meddelandet och delar inte slutsatserna av kommissionens analys..</w:t>
      </w:r>
    </w:p>
    <w:p w:rsidR="0015629B" w:rsidRPr="00274D24" w:rsidRDefault="0015629B" w:rsidP="0015629B">
      <w:pPr>
        <w:pStyle w:val="RKnormal"/>
      </w:pPr>
    </w:p>
    <w:p w:rsidR="0015629B" w:rsidRPr="00274D24" w:rsidRDefault="00975E36" w:rsidP="0015629B">
      <w:pPr>
        <w:pStyle w:val="RKnormal"/>
      </w:pPr>
      <w:r w:rsidRPr="00274D24">
        <w:t>Regeringen föreslår att Sverige</w:t>
      </w:r>
      <w:r w:rsidR="0015629B" w:rsidRPr="00274D24">
        <w:t xml:space="preserve"> stödjer antagandet av rådsslutsatserna.</w:t>
      </w:r>
    </w:p>
    <w:p w:rsidR="00EA096D" w:rsidRPr="00274D24" w:rsidRDefault="00EA096D" w:rsidP="00EA096D">
      <w:pPr>
        <w:pStyle w:val="RKnormal"/>
        <w:rPr>
          <w:b/>
          <w:bCs/>
        </w:rPr>
      </w:pPr>
    </w:p>
    <w:p w:rsidR="00477525" w:rsidRPr="00274D24" w:rsidRDefault="00477525" w:rsidP="00EA096D">
      <w:pPr>
        <w:pStyle w:val="RKnormal"/>
        <w:rPr>
          <w:rFonts w:ascii="TradeGothic" w:hAnsi="TradeGothic"/>
          <w:b/>
          <w:sz w:val="22"/>
          <w:szCs w:val="22"/>
        </w:rPr>
      </w:pPr>
    </w:p>
    <w:p w:rsidR="00EA096D" w:rsidRPr="00274D24" w:rsidRDefault="00EA096D" w:rsidP="00EA096D">
      <w:pPr>
        <w:pStyle w:val="RKnormal"/>
        <w:rPr>
          <w:rFonts w:ascii="TradeGothic" w:hAnsi="TradeGothic"/>
          <w:b/>
          <w:sz w:val="22"/>
          <w:szCs w:val="22"/>
        </w:rPr>
      </w:pPr>
      <w:r w:rsidRPr="00274D24">
        <w:rPr>
          <w:rFonts w:ascii="TradeGothic" w:hAnsi="TradeGothic"/>
          <w:b/>
          <w:sz w:val="22"/>
          <w:szCs w:val="22"/>
        </w:rPr>
        <w:t>5) A-punkt</w:t>
      </w:r>
    </w:p>
    <w:p w:rsidR="00EA096D" w:rsidRPr="00274D24" w:rsidRDefault="00EA096D" w:rsidP="00EA096D">
      <w:pPr>
        <w:pStyle w:val="RKnormal"/>
      </w:pPr>
    </w:p>
    <w:p w:rsidR="00477525" w:rsidRPr="00274D24" w:rsidRDefault="00477525" w:rsidP="00EA096D">
      <w:pPr>
        <w:pStyle w:val="RKnormal"/>
      </w:pPr>
      <w:r w:rsidRPr="00274D24">
        <w:t xml:space="preserve">Vid Coreper den 14 november beslöts att denna punkt kommer att tas upp som en A-punkt vid rådet. </w:t>
      </w:r>
    </w:p>
    <w:p w:rsidR="00FE1429" w:rsidRPr="00274D24" w:rsidRDefault="00FE1429" w:rsidP="00EA096D">
      <w:pPr>
        <w:pStyle w:val="RKnormal"/>
      </w:pPr>
    </w:p>
    <w:p w:rsidR="0015629B" w:rsidRPr="00274D24" w:rsidRDefault="0015629B" w:rsidP="00EA096D">
      <w:pPr>
        <w:pStyle w:val="RKnormal"/>
      </w:pPr>
    </w:p>
    <w:p w:rsidR="00EA096D" w:rsidRPr="00274D24" w:rsidRDefault="00FE1429" w:rsidP="00EA096D">
      <w:pPr>
        <w:pStyle w:val="RKnormal"/>
        <w:rPr>
          <w:rFonts w:ascii="TradeGothic" w:hAnsi="TradeGothic"/>
          <w:b/>
          <w:sz w:val="22"/>
          <w:szCs w:val="22"/>
        </w:rPr>
      </w:pPr>
      <w:r w:rsidRPr="00274D24">
        <w:rPr>
          <w:rFonts w:ascii="TradeGothic" w:hAnsi="TradeGothic"/>
          <w:b/>
          <w:bCs/>
          <w:sz w:val="22"/>
          <w:szCs w:val="22"/>
        </w:rPr>
        <w:t>6)</w:t>
      </w:r>
      <w:r w:rsidR="00477525" w:rsidRPr="00274D24">
        <w:rPr>
          <w:rFonts w:ascii="TradeGothic" w:hAnsi="TradeGothic"/>
          <w:b/>
          <w:bCs/>
          <w:sz w:val="22"/>
          <w:szCs w:val="22"/>
        </w:rPr>
        <w:t xml:space="preserve">   </w:t>
      </w:r>
      <w:r w:rsidR="00EA096D" w:rsidRPr="00274D24">
        <w:rPr>
          <w:rFonts w:ascii="TradeGothic" w:hAnsi="TradeGothic"/>
          <w:b/>
          <w:bCs/>
          <w:sz w:val="22"/>
          <w:szCs w:val="22"/>
        </w:rPr>
        <w:t>Europaparlamentets och rådets beslut om urval och tillståndsgivning avseende system som tillhandahåller mobila satellittjänster</w:t>
      </w:r>
      <w:r w:rsidR="00477525" w:rsidRPr="00274D24">
        <w:rPr>
          <w:rFonts w:ascii="TradeGothic" w:hAnsi="TradeGothic"/>
          <w:b/>
          <w:bCs/>
          <w:sz w:val="22"/>
          <w:szCs w:val="22"/>
        </w:rPr>
        <w:t>.</w:t>
      </w:r>
      <w:r w:rsidR="00EA096D" w:rsidRPr="00274D24">
        <w:rPr>
          <w:rFonts w:ascii="TradeGothic" w:hAnsi="TradeGothic"/>
          <w:b/>
          <w:bCs/>
          <w:sz w:val="22"/>
          <w:szCs w:val="22"/>
        </w:rPr>
        <w:t xml:space="preserve"> </w:t>
      </w:r>
    </w:p>
    <w:p w:rsidR="00EA096D" w:rsidRPr="00274D24" w:rsidRDefault="00EA096D" w:rsidP="00EA096D">
      <w:pPr>
        <w:pStyle w:val="RKnormal"/>
        <w:rPr>
          <w:rFonts w:ascii="TradeGothic" w:hAnsi="TradeGothic"/>
          <w:b/>
          <w:i/>
          <w:iCs/>
          <w:sz w:val="22"/>
          <w:szCs w:val="22"/>
        </w:rPr>
      </w:pPr>
    </w:p>
    <w:p w:rsidR="00EA096D" w:rsidRPr="00274D24" w:rsidRDefault="00EA096D" w:rsidP="00EA096D">
      <w:pPr>
        <w:pStyle w:val="RKnormal"/>
        <w:rPr>
          <w:i/>
          <w:iCs/>
        </w:rPr>
      </w:pPr>
      <w:r w:rsidRPr="00274D24">
        <w:rPr>
          <w:i/>
          <w:iCs/>
        </w:rPr>
        <w:t>- Lägesrapport</w:t>
      </w:r>
    </w:p>
    <w:p w:rsidR="00EA096D" w:rsidRPr="00274D24" w:rsidRDefault="00EA096D" w:rsidP="00EA096D">
      <w:pPr>
        <w:pStyle w:val="RKnormal"/>
      </w:pPr>
    </w:p>
    <w:p w:rsidR="00E56D65" w:rsidRPr="00274D24" w:rsidRDefault="00E56D65" w:rsidP="00E56D65">
      <w:pPr>
        <w:pStyle w:val="RKnormal"/>
      </w:pPr>
      <w:r w:rsidRPr="00274D24">
        <w:t>12413/07 TELECOM 102 MI 193 CODEC 863</w:t>
      </w:r>
    </w:p>
    <w:p w:rsidR="00E56D65" w:rsidRPr="00274D24" w:rsidRDefault="00E56D65" w:rsidP="00E56D65">
      <w:pPr>
        <w:pStyle w:val="RKnormal"/>
      </w:pPr>
      <w:r w:rsidRPr="00274D24">
        <w:t>COM(2007)480 final</w:t>
      </w:r>
    </w:p>
    <w:p w:rsidR="00E56D65" w:rsidRPr="00274D24" w:rsidRDefault="00E56D65" w:rsidP="00EA096D">
      <w:pPr>
        <w:pStyle w:val="RKnormal"/>
      </w:pPr>
    </w:p>
    <w:p w:rsidR="00EA096D" w:rsidRPr="00274D24" w:rsidRDefault="00EA096D" w:rsidP="00EA096D">
      <w:pPr>
        <w:pStyle w:val="RKnormal"/>
      </w:pPr>
      <w:r w:rsidRPr="00274D24">
        <w:t>Förslaget har inte tidigare behandlats i EU-nämnden.</w:t>
      </w:r>
    </w:p>
    <w:p w:rsidR="00EA096D" w:rsidRPr="00274D24" w:rsidRDefault="00EA096D" w:rsidP="00EA096D">
      <w:pPr>
        <w:pStyle w:val="RKnormal"/>
      </w:pPr>
    </w:p>
    <w:p w:rsidR="00EA096D" w:rsidRPr="00274D24" w:rsidRDefault="00EA096D" w:rsidP="00EA096D">
      <w:pPr>
        <w:pStyle w:val="RKnormal"/>
        <w:rPr>
          <w:b/>
          <w:bCs/>
        </w:rPr>
      </w:pPr>
      <w:r w:rsidRPr="00274D24">
        <w:rPr>
          <w:b/>
          <w:bCs/>
        </w:rPr>
        <w:t>Bakgrund</w:t>
      </w:r>
    </w:p>
    <w:p w:rsidR="00EA096D" w:rsidRPr="00274D24" w:rsidRDefault="00EA096D" w:rsidP="00EA096D">
      <w:pPr>
        <w:pStyle w:val="RKnormal"/>
      </w:pPr>
      <w:r w:rsidRPr="00274D24">
        <w:t>Ett förslag till parlamentets- och rådets beslut har lagts av kommissionen 22 augusti 2007. Frågan gäller en gemensam urvals- och tillståndsprocess för mobila satellittjänster (MSS= Mobile Satellite Services) inom hela EU i 2 GHz-bandet.  Beslutet innebär en harmonisering av formerna för tilldelning av radiospektrumtillstånd. Syftet är att uppnå skalfördelar och undvika att varje land går sin egen väg och marknaden på så vis blir fragmenterad. Själva tillståndsgivningen och radiofrekvenshanteringen förblir nationell.</w:t>
      </w:r>
    </w:p>
    <w:p w:rsidR="00EA096D" w:rsidRPr="00274D24" w:rsidRDefault="00EA096D" w:rsidP="00EA096D">
      <w:pPr>
        <w:pStyle w:val="RKnormal"/>
      </w:pPr>
    </w:p>
    <w:p w:rsidR="0015629B" w:rsidRPr="00274D24" w:rsidRDefault="00EA096D" w:rsidP="00EA096D">
      <w:pPr>
        <w:pStyle w:val="RKnormal"/>
        <w:rPr>
          <w:b/>
          <w:bCs/>
        </w:rPr>
      </w:pPr>
      <w:r w:rsidRPr="00274D24">
        <w:rPr>
          <w:b/>
          <w:bCs/>
        </w:rPr>
        <w:t>Förslag till svensk ståndpunkt</w:t>
      </w:r>
    </w:p>
    <w:p w:rsidR="00EA096D" w:rsidRPr="00274D24" w:rsidRDefault="0022390A" w:rsidP="00EA096D">
      <w:pPr>
        <w:pStyle w:val="RKnormal"/>
        <w:rPr>
          <w:b/>
          <w:bCs/>
        </w:rPr>
      </w:pPr>
      <w:r w:rsidRPr="00274D24">
        <w:t>Regeringen an</w:t>
      </w:r>
      <w:r w:rsidR="00975E36" w:rsidRPr="00274D24">
        <w:t>ser att Sverige</w:t>
      </w:r>
      <w:r w:rsidR="00EA096D" w:rsidRPr="00274D24">
        <w:t xml:space="preserve"> bör vidhålla att det främsta syftet med mobila satellittjänster är att få så stor geografisk täckning som möjligt eftersom satelliter besitter extremt goda yttäckande egenskaper. Nuvarande förslag återspeglar inte detta faktum tillräckligt.  </w:t>
      </w:r>
      <w:r w:rsidR="00975E36" w:rsidRPr="00274D24">
        <w:t>Regeringens</w:t>
      </w:r>
      <w:r w:rsidR="00EA096D" w:rsidRPr="00274D24">
        <w:t xml:space="preserve"> hållning är därför att det måste finnas ett högt ställt grundkrav om en viss miniminivå av geografisk alternativt befolkningsmässig täckning för att kvalificera sig för urvalet att tillhandahålla dessa tjänster. Exakt var denna nivå ska ligga måste förhandlas fram utifrån bedömningar om vad som är tekniskt och kommersiellt möjligt.</w:t>
      </w:r>
    </w:p>
    <w:p w:rsidR="00EA096D" w:rsidRPr="00274D24" w:rsidRDefault="00EA096D" w:rsidP="00EA096D">
      <w:pPr>
        <w:pStyle w:val="RKnormal"/>
      </w:pPr>
    </w:p>
    <w:p w:rsidR="00FE1429" w:rsidRPr="00274D24" w:rsidRDefault="00FE1429" w:rsidP="00EA096D">
      <w:pPr>
        <w:pStyle w:val="RKnormal"/>
        <w:rPr>
          <w:b/>
          <w:bCs/>
        </w:rPr>
      </w:pPr>
    </w:p>
    <w:p w:rsidR="00EA096D" w:rsidRPr="00274D24" w:rsidRDefault="00EA096D" w:rsidP="00EA096D">
      <w:pPr>
        <w:pStyle w:val="RKnormal"/>
        <w:rPr>
          <w:rFonts w:ascii="TradeGothic" w:hAnsi="TradeGothic"/>
          <w:b/>
          <w:iCs/>
          <w:sz w:val="22"/>
          <w:szCs w:val="22"/>
        </w:rPr>
      </w:pPr>
      <w:r w:rsidRPr="00274D24">
        <w:rPr>
          <w:rFonts w:ascii="TradeGothic" w:hAnsi="TradeGothic"/>
          <w:b/>
          <w:bCs/>
          <w:sz w:val="22"/>
          <w:szCs w:val="22"/>
        </w:rPr>
        <w:t xml:space="preserve">7 a) </w:t>
      </w:r>
      <w:r w:rsidRPr="00274D24">
        <w:rPr>
          <w:rFonts w:ascii="TradeGothic" w:hAnsi="TradeGothic"/>
          <w:b/>
          <w:i/>
          <w:iCs/>
          <w:sz w:val="22"/>
          <w:szCs w:val="22"/>
        </w:rPr>
        <w:t xml:space="preserve"> </w:t>
      </w:r>
      <w:r w:rsidRPr="00274D24">
        <w:rPr>
          <w:rFonts w:ascii="TradeGothic" w:hAnsi="TradeGothic"/>
          <w:b/>
          <w:iCs/>
          <w:sz w:val="22"/>
          <w:szCs w:val="22"/>
        </w:rPr>
        <w:t>Meddelande från kommissionen om förbättrade villkor för åldrande i informationssamhället – Ett initiativ inom ramen för i2010 – Handlingsplan för ITK och åldrande.</w:t>
      </w:r>
    </w:p>
    <w:p w:rsidR="00B45581" w:rsidRPr="00274D24" w:rsidRDefault="00B45581" w:rsidP="00EA096D">
      <w:pPr>
        <w:pStyle w:val="RKnormal"/>
      </w:pPr>
    </w:p>
    <w:p w:rsidR="00EA096D" w:rsidRPr="00274D24" w:rsidRDefault="00EA096D" w:rsidP="00EA096D">
      <w:pPr>
        <w:pStyle w:val="RKnormal"/>
        <w:rPr>
          <w:i/>
        </w:rPr>
      </w:pPr>
      <w:r w:rsidRPr="00274D24">
        <w:rPr>
          <w:i/>
        </w:rPr>
        <w:t>- Rådsslutsatser</w:t>
      </w:r>
    </w:p>
    <w:p w:rsidR="00E56D65" w:rsidRPr="00274D24" w:rsidRDefault="00E56D65" w:rsidP="00E56D65">
      <w:pPr>
        <w:pStyle w:val="RKnormal"/>
      </w:pPr>
    </w:p>
    <w:p w:rsidR="00E56D65" w:rsidRPr="00274D24" w:rsidRDefault="00E56D65" w:rsidP="00E56D65">
      <w:pPr>
        <w:pStyle w:val="RKnormal"/>
      </w:pPr>
      <w:r w:rsidRPr="00274D24">
        <w:t xml:space="preserve">10971/07 TELECOM 90 SOC 258 RECH 194 SAN 137 </w:t>
      </w:r>
    </w:p>
    <w:p w:rsidR="00EA096D" w:rsidRPr="00274D24" w:rsidRDefault="00EE4F48" w:rsidP="00EA096D">
      <w:pPr>
        <w:pStyle w:val="RKnormal"/>
      </w:pPr>
      <w:r w:rsidRPr="00274D24">
        <w:t>15192/07 TELECOM 140 SOC 455 RECH 373 SAN 207</w:t>
      </w:r>
    </w:p>
    <w:p w:rsidR="009F3E88" w:rsidRPr="00274D24" w:rsidRDefault="009F3E88" w:rsidP="00EA096D">
      <w:pPr>
        <w:pStyle w:val="RKnormal"/>
      </w:pPr>
    </w:p>
    <w:p w:rsidR="00EA096D" w:rsidRPr="00274D24" w:rsidRDefault="00EA096D" w:rsidP="00EA096D">
      <w:pPr>
        <w:pStyle w:val="RKnormal"/>
      </w:pPr>
      <w:r w:rsidRPr="00274D24">
        <w:t>Förslaget har inte tidigare behandlats i EU-nämnden.</w:t>
      </w:r>
    </w:p>
    <w:p w:rsidR="00EA096D" w:rsidRPr="00274D24" w:rsidRDefault="00EA096D" w:rsidP="00EA096D">
      <w:pPr>
        <w:pStyle w:val="RKnormal"/>
      </w:pPr>
    </w:p>
    <w:p w:rsidR="00EA096D" w:rsidRPr="00274D24" w:rsidRDefault="00EA096D" w:rsidP="00EA096D">
      <w:pPr>
        <w:pStyle w:val="RKnormal"/>
        <w:rPr>
          <w:b/>
          <w:bCs/>
        </w:rPr>
      </w:pPr>
      <w:r w:rsidRPr="00274D24">
        <w:rPr>
          <w:b/>
          <w:bCs/>
        </w:rPr>
        <w:t xml:space="preserve">Bakgrund </w:t>
      </w:r>
    </w:p>
    <w:p w:rsidR="00EA096D" w:rsidRPr="00274D24" w:rsidRDefault="00EA096D" w:rsidP="00EA096D">
      <w:pPr>
        <w:pStyle w:val="RKnormal"/>
      </w:pPr>
      <w:r w:rsidRPr="00274D24">
        <w:t xml:space="preserve">Den 18 juni 2007 översände kommissionen till rådet sitt meddelande i ärendet. Kommissionen har beslutat att ta initiativ till en handlingsplan för bättre villkor för åldrandet i informationssamhället, som presenteras i det här meddelandet i enlighet med vad som aviserades i i2010. </w:t>
      </w:r>
    </w:p>
    <w:p w:rsidR="00EA096D" w:rsidRPr="00274D24" w:rsidRDefault="00EA096D" w:rsidP="00EA096D">
      <w:pPr>
        <w:pStyle w:val="RKnormal"/>
      </w:pPr>
    </w:p>
    <w:p w:rsidR="00EA096D" w:rsidRPr="00274D24" w:rsidRDefault="00EA096D" w:rsidP="00EA096D">
      <w:pPr>
        <w:pStyle w:val="RKnormal"/>
      </w:pPr>
      <w:r w:rsidRPr="00274D24">
        <w:t>Vid möten i september och oktober 2007 behandlade arbetsgruppen för telekommunikation och informationssamhället det utkast till rådets slutsatser i ärendet som föreslagits av ordförandeskapet och nådde en principöverenskommelse. Ärendet har därefter behandlats i Coreper den 14 november med enighet.</w:t>
      </w:r>
    </w:p>
    <w:p w:rsidR="00EA096D" w:rsidRPr="00274D24" w:rsidRDefault="00EA096D" w:rsidP="00EA096D">
      <w:pPr>
        <w:pStyle w:val="RKnormal"/>
      </w:pPr>
    </w:p>
    <w:p w:rsidR="00EA096D" w:rsidRPr="00274D24" w:rsidRDefault="00EA096D" w:rsidP="00EA096D">
      <w:pPr>
        <w:pStyle w:val="RKnormal"/>
        <w:rPr>
          <w:b/>
          <w:bCs/>
        </w:rPr>
      </w:pPr>
      <w:r w:rsidRPr="00274D24">
        <w:rPr>
          <w:b/>
          <w:bCs/>
        </w:rPr>
        <w:t>Förslag till svensk ståndpunkt</w:t>
      </w:r>
    </w:p>
    <w:p w:rsidR="00EA096D" w:rsidRPr="00274D24" w:rsidRDefault="00975E36" w:rsidP="00EA096D">
      <w:pPr>
        <w:pStyle w:val="Default"/>
        <w:rPr>
          <w:rFonts w:ascii="OrigGarmnd BT" w:hAnsi="OrigGarmnd BT" w:cs="OrigGarmnd BT"/>
          <w:color w:val="auto"/>
        </w:rPr>
      </w:pPr>
      <w:r w:rsidRPr="00274D24">
        <w:rPr>
          <w:rFonts w:ascii="OrigGarmnd BT" w:hAnsi="OrigGarmnd BT" w:cs="OrigGarmnd BT"/>
          <w:color w:val="auto"/>
        </w:rPr>
        <w:t xml:space="preserve">Regeringen anser att Sverige bör stödja </w:t>
      </w:r>
      <w:r w:rsidR="00EA096D" w:rsidRPr="00274D24">
        <w:rPr>
          <w:rFonts w:ascii="OrigGarmnd BT" w:hAnsi="OrigGarmnd BT" w:cs="OrigGarmnd BT"/>
          <w:color w:val="auto"/>
        </w:rPr>
        <w:t>rådets slutsatser.</w:t>
      </w:r>
      <w:r w:rsidR="00EA096D" w:rsidRPr="00274D24">
        <w:rPr>
          <w:rFonts w:ascii="OrigGarmnd BT" w:hAnsi="OrigGarmnd BT" w:cs="OrigGarmnd BT"/>
          <w:b/>
          <w:bCs/>
          <w:i/>
          <w:iCs/>
          <w:color w:val="auto"/>
        </w:rPr>
        <w:t xml:space="preserve"> </w:t>
      </w:r>
    </w:p>
    <w:p w:rsidR="00EA096D" w:rsidRPr="00274D24" w:rsidRDefault="00EA096D" w:rsidP="00EA096D">
      <w:pPr>
        <w:pStyle w:val="RKnormal"/>
      </w:pPr>
    </w:p>
    <w:p w:rsidR="00EA096D" w:rsidRPr="00274D24" w:rsidRDefault="00EA096D" w:rsidP="00EA096D"/>
    <w:p w:rsidR="00B45581" w:rsidRPr="00274D24" w:rsidRDefault="00EA096D" w:rsidP="00EA096D">
      <w:pPr>
        <w:pStyle w:val="RKnormal"/>
        <w:rPr>
          <w:rFonts w:ascii="TradeGothic" w:hAnsi="TradeGothic"/>
          <w:b/>
          <w:sz w:val="22"/>
          <w:szCs w:val="22"/>
        </w:rPr>
      </w:pPr>
      <w:r w:rsidRPr="00274D24">
        <w:rPr>
          <w:rFonts w:ascii="TradeGothic" w:hAnsi="TradeGothic"/>
          <w:b/>
          <w:bCs/>
          <w:sz w:val="22"/>
          <w:szCs w:val="22"/>
        </w:rPr>
        <w:t xml:space="preserve">7 b)  Meddelande från kommissionen avseende </w:t>
      </w:r>
      <w:r w:rsidRPr="00274D24">
        <w:rPr>
          <w:rFonts w:ascii="TradeGothic" w:hAnsi="TradeGothic"/>
          <w:b/>
          <w:sz w:val="22"/>
          <w:szCs w:val="22"/>
        </w:rPr>
        <w:t>det europeiska i2010-initiativet för e-integration - ”Att vara en del av informationssamhället”.</w:t>
      </w:r>
      <w:r w:rsidRPr="00274D24">
        <w:rPr>
          <w:rFonts w:ascii="TradeGothic" w:hAnsi="TradeGothic"/>
          <w:b/>
          <w:sz w:val="22"/>
          <w:szCs w:val="22"/>
        </w:rPr>
        <w:br/>
      </w:r>
    </w:p>
    <w:p w:rsidR="00EA096D" w:rsidRPr="00274D24" w:rsidRDefault="00EA096D" w:rsidP="00EA096D">
      <w:pPr>
        <w:pStyle w:val="RKnormal"/>
        <w:rPr>
          <w:b/>
          <w:bCs/>
          <w:i/>
        </w:rPr>
      </w:pPr>
      <w:r w:rsidRPr="00274D24">
        <w:rPr>
          <w:i/>
        </w:rPr>
        <w:t xml:space="preserve">- </w:t>
      </w:r>
      <w:r w:rsidRPr="00274D24">
        <w:rPr>
          <w:rFonts w:cs="OrigGarmnd BT"/>
          <w:i/>
        </w:rPr>
        <w:t>Presentation av KOM / Information från Ordförandeskapet</w:t>
      </w:r>
    </w:p>
    <w:p w:rsidR="00EA096D" w:rsidRPr="00274D24" w:rsidRDefault="00EA096D" w:rsidP="00EA096D">
      <w:pPr>
        <w:pStyle w:val="RKnormal"/>
      </w:pPr>
    </w:p>
    <w:p w:rsidR="009B739D" w:rsidRPr="00274D24" w:rsidRDefault="009B739D" w:rsidP="009B739D">
      <w:pPr>
        <w:pStyle w:val="RKnormal"/>
      </w:pPr>
      <w:r w:rsidRPr="00274D24">
        <w:t>14872/07 TELECOM 134 SOC 439 EDUC 207 RECH 350 REGIO 46 + ADD 2</w:t>
      </w:r>
    </w:p>
    <w:p w:rsidR="00E56D65" w:rsidRPr="00274D24" w:rsidRDefault="00E56D65" w:rsidP="00EA096D">
      <w:pPr>
        <w:pStyle w:val="RKnormal"/>
      </w:pPr>
      <w:r w:rsidRPr="00274D24">
        <w:t>COM(2007) 694 final</w:t>
      </w:r>
    </w:p>
    <w:p w:rsidR="00E56D65" w:rsidRPr="00274D24" w:rsidRDefault="00E56D65" w:rsidP="00EA096D">
      <w:pPr>
        <w:pStyle w:val="RKnormal"/>
      </w:pPr>
    </w:p>
    <w:p w:rsidR="00EA096D" w:rsidRPr="00274D24" w:rsidRDefault="00EA096D" w:rsidP="00EA096D">
      <w:pPr>
        <w:pStyle w:val="RKnormal"/>
      </w:pPr>
      <w:r w:rsidRPr="00274D24">
        <w:t>Förslaget har inte tidigare behandlats i EU-nämnden.</w:t>
      </w:r>
    </w:p>
    <w:p w:rsidR="00B45581" w:rsidRPr="00274D24" w:rsidRDefault="00B45581" w:rsidP="00EA096D">
      <w:pPr>
        <w:pStyle w:val="RKnormal"/>
        <w:rPr>
          <w:b/>
          <w:bCs/>
        </w:rPr>
      </w:pPr>
    </w:p>
    <w:p w:rsidR="00EA096D" w:rsidRPr="00274D24" w:rsidRDefault="00EA096D" w:rsidP="00EA096D">
      <w:pPr>
        <w:pStyle w:val="RKnormal"/>
        <w:rPr>
          <w:b/>
          <w:bCs/>
        </w:rPr>
      </w:pPr>
      <w:r w:rsidRPr="00274D24">
        <w:rPr>
          <w:b/>
          <w:bCs/>
        </w:rPr>
        <w:t>Bakgrund</w:t>
      </w:r>
    </w:p>
    <w:p w:rsidR="00EA096D" w:rsidRPr="00274D24" w:rsidRDefault="00EA096D" w:rsidP="00EA096D">
      <w:pPr>
        <w:pStyle w:val="RKnormal"/>
      </w:pPr>
      <w:r w:rsidRPr="00274D24">
        <w:t>Betydelsen av e-integration konstaterades i i2010, och medlemsstaterna, Europeiska kommissionen, industrin och användarnas organisationer har vidtagit flera åtgärder för att främja e-integration. En milstolpe var 2006 års ministerdeklaration från Riga om IT för ett integrerat informationssamhälle. Trots alla dessa värdefulla initiativ har framstegen varit små, och risken finns att de flesta Rigamålen inte kommer att uppnås. Därför föreslås i det här meddelandet ett EU-initiativ för e-integration.</w:t>
      </w:r>
    </w:p>
    <w:p w:rsidR="00EA096D" w:rsidRPr="00274D24" w:rsidRDefault="00EA096D" w:rsidP="00EA096D">
      <w:pPr>
        <w:pStyle w:val="RKnormal"/>
      </w:pPr>
    </w:p>
    <w:p w:rsidR="00EA096D" w:rsidRPr="00274D24" w:rsidRDefault="00EA096D" w:rsidP="00EA096D">
      <w:pPr>
        <w:pStyle w:val="RKnormal"/>
        <w:rPr>
          <w:b/>
          <w:bCs/>
        </w:rPr>
      </w:pPr>
      <w:r w:rsidRPr="00274D24">
        <w:rPr>
          <w:b/>
          <w:bCs/>
        </w:rPr>
        <w:t>Förslag till svensk ståndpunkt</w:t>
      </w:r>
    </w:p>
    <w:p w:rsidR="00EA096D" w:rsidRPr="00274D24" w:rsidRDefault="00975E36" w:rsidP="00EA096D">
      <w:pPr>
        <w:pStyle w:val="RKnormal"/>
      </w:pPr>
      <w:r w:rsidRPr="00274D24">
        <w:t xml:space="preserve">Regeringen anser att </w:t>
      </w:r>
      <w:r w:rsidR="00EA096D" w:rsidRPr="00274D24">
        <w:t xml:space="preserve">Sverige bör välkomna meddelandet som ett ramverk för gemensamma insatser för att motverka de digitala klyftorna och bidra till delaktighet i informationssamhället för medborgare och företag inom EU. Då meddelande kom den 8 november har regeringen inte hunnit ta ställning till de olika förslagen. Sverige ligger långt framme inom ett flertal IT-politiska områden och har en generellt sett hög IT-mognad hos medborgarna och hos företagen. </w:t>
      </w:r>
      <w:r w:rsidRPr="00274D24">
        <w:t>Regeringen anser att Sverige bör delta</w:t>
      </w:r>
      <w:r w:rsidR="00EA096D" w:rsidRPr="00274D24">
        <w:t xml:space="preserve"> i detta arbete men bör i dagsläget ställa sig avvaktande till alltför centralt styrda riktlinjer.</w:t>
      </w:r>
    </w:p>
    <w:p w:rsidR="00EA096D" w:rsidRPr="00274D24" w:rsidRDefault="00EA096D" w:rsidP="00EA096D"/>
    <w:p w:rsidR="00143222" w:rsidRPr="00274D24" w:rsidRDefault="00143222" w:rsidP="00143222">
      <w:pPr>
        <w:pStyle w:val="RKrubrik"/>
      </w:pPr>
      <w:r w:rsidRPr="00274D24">
        <w:t>TRANSPORT</w:t>
      </w:r>
    </w:p>
    <w:p w:rsidR="00143222" w:rsidRPr="00274D24" w:rsidRDefault="00143222" w:rsidP="00143222">
      <w:pPr>
        <w:pStyle w:val="RKrubrik"/>
      </w:pPr>
      <w:r w:rsidRPr="00274D24">
        <w:t>INTERMODALA TRANSPORTER OCH TRANSPORTNÄT</w:t>
      </w:r>
    </w:p>
    <w:p w:rsidR="00255EC0" w:rsidRPr="00274D24" w:rsidRDefault="00255EC0" w:rsidP="00255EC0">
      <w:pPr>
        <w:pStyle w:val="RKnormal"/>
        <w:rPr>
          <w:b/>
          <w:bCs/>
        </w:rPr>
      </w:pPr>
    </w:p>
    <w:p w:rsidR="00143222" w:rsidRPr="00274D24" w:rsidRDefault="00255EC0" w:rsidP="00255EC0">
      <w:pPr>
        <w:pStyle w:val="RKnormal"/>
        <w:rPr>
          <w:rFonts w:ascii="TradeGothic" w:hAnsi="TradeGothic"/>
          <w:b/>
          <w:bCs/>
          <w:sz w:val="22"/>
        </w:rPr>
      </w:pPr>
      <w:r w:rsidRPr="00274D24">
        <w:rPr>
          <w:rFonts w:ascii="TradeGothic" w:hAnsi="TradeGothic"/>
          <w:b/>
          <w:bCs/>
          <w:sz w:val="22"/>
        </w:rPr>
        <w:t xml:space="preserve">8 </w:t>
      </w:r>
      <w:r w:rsidR="00143222" w:rsidRPr="00274D24">
        <w:rPr>
          <w:rFonts w:ascii="TradeGothic" w:hAnsi="TradeGothic"/>
          <w:b/>
          <w:bCs/>
          <w:sz w:val="22"/>
        </w:rPr>
        <w:t>Globala satellitnavigeringsprogram (GALILEO)</w:t>
      </w:r>
    </w:p>
    <w:p w:rsidR="00255EC0" w:rsidRPr="00274D24" w:rsidRDefault="00255EC0" w:rsidP="00143222">
      <w:pPr>
        <w:pStyle w:val="RKnormal"/>
        <w:rPr>
          <w:i/>
        </w:rPr>
      </w:pPr>
    </w:p>
    <w:p w:rsidR="00143222" w:rsidRPr="00274D24" w:rsidRDefault="008A6A3D" w:rsidP="00143222">
      <w:pPr>
        <w:pStyle w:val="RKnormal"/>
        <w:rPr>
          <w:i/>
        </w:rPr>
      </w:pPr>
      <w:r w:rsidRPr="00274D24">
        <w:rPr>
          <w:i/>
        </w:rPr>
        <w:t>Rådsslutsatser</w:t>
      </w:r>
    </w:p>
    <w:p w:rsidR="00143222" w:rsidRPr="00274D24" w:rsidRDefault="00143222" w:rsidP="00143222">
      <w:pPr>
        <w:pStyle w:val="RKnormal"/>
      </w:pPr>
    </w:p>
    <w:p w:rsidR="00143222" w:rsidRPr="00274D24" w:rsidRDefault="00143222" w:rsidP="00143222">
      <w:pPr>
        <w:pStyle w:val="RKnormal"/>
      </w:pPr>
      <w:r w:rsidRPr="00274D24">
        <w:t>Kommissionens förslag behandlades förra gången inför TTE-rådet den 28 september 2007 i EU-nämnden.</w:t>
      </w:r>
    </w:p>
    <w:p w:rsidR="00143222" w:rsidRPr="00274D24" w:rsidRDefault="00143222" w:rsidP="00143222">
      <w:pPr>
        <w:pStyle w:val="RKnormal"/>
      </w:pPr>
    </w:p>
    <w:p w:rsidR="00143222" w:rsidRPr="00274D24" w:rsidRDefault="00143222" w:rsidP="00143222">
      <w:pPr>
        <w:pStyle w:val="RKnormal"/>
        <w:rPr>
          <w:b/>
        </w:rPr>
      </w:pPr>
      <w:r w:rsidRPr="00274D24">
        <w:rPr>
          <w:b/>
        </w:rPr>
        <w:t>Bakgrund</w:t>
      </w:r>
    </w:p>
    <w:p w:rsidR="00143222" w:rsidRPr="00274D24" w:rsidRDefault="00143222" w:rsidP="00143222">
      <w:pPr>
        <w:pStyle w:val="RKnormal"/>
      </w:pPr>
      <w:r w:rsidRPr="00274D24">
        <w:t xml:space="preserve">KOM presenterade den 19 september 2007 ett meddelande om läget för Galileoprogrammet där en omdirigering av programmet redovisas jämte ett förslag till en förordning om genomförandet. Dessutom presenterades ett meddelande och ett förslag till beslut att revidera den fleråriga budgetramen i syfte att finansiera Galileo och det Europeiska tekniska institutet (EIT). Förslaget att revidera den fleråriga budgetramen innebär att de ytterligare 2,4 miljarder euro som krävs under perioden 2007-2013 finansieras genom att hämtas från marginaler (i år och 2008). </w:t>
      </w:r>
    </w:p>
    <w:p w:rsidR="00143222" w:rsidRPr="00274D24" w:rsidRDefault="00143222" w:rsidP="00143222">
      <w:pPr>
        <w:pStyle w:val="RKnormal"/>
      </w:pPr>
    </w:p>
    <w:p w:rsidR="00143222" w:rsidRPr="00274D24" w:rsidRDefault="00143222" w:rsidP="00143222">
      <w:pPr>
        <w:pStyle w:val="RKnormal"/>
      </w:pPr>
      <w:r w:rsidRPr="00274D24">
        <w:t xml:space="preserve">Vid Europeiska rådets möt den 21-22 juni i år enades medlemsstaterna om att sträva efter ett integrerat beslut under hösten 2007. </w:t>
      </w:r>
    </w:p>
    <w:p w:rsidR="00143222" w:rsidRPr="00274D24" w:rsidRDefault="00143222" w:rsidP="00143222">
      <w:pPr>
        <w:pStyle w:val="RKnormal"/>
      </w:pPr>
    </w:p>
    <w:p w:rsidR="00143222" w:rsidRPr="00274D24" w:rsidRDefault="00143222" w:rsidP="00143222">
      <w:pPr>
        <w:pStyle w:val="RKnormal"/>
      </w:pPr>
      <w:r w:rsidRPr="00274D24">
        <w:t>Ordförandeskapets avsikt är att behandla finansieringsfrågan i EKOFIN och genomförandet i TTE-rådet före Europeiska rådets möte den 13-14 december då det integrerade beslutet om fortsättningen ska fattas.</w:t>
      </w:r>
    </w:p>
    <w:p w:rsidR="00143222" w:rsidRPr="00274D24" w:rsidRDefault="00143222" w:rsidP="00143222">
      <w:pPr>
        <w:pStyle w:val="RKnormal"/>
      </w:pPr>
    </w:p>
    <w:p w:rsidR="00143222" w:rsidRPr="00274D24" w:rsidRDefault="00143222" w:rsidP="00143222">
      <w:pPr>
        <w:pStyle w:val="RKnormal"/>
      </w:pPr>
      <w:r w:rsidRPr="00274D24">
        <w:t xml:space="preserve">Tiden medger inte att rådet antar en allmän inriktning om förordningen om genomförandet av satellitnavigeringsprogrammet före december i år. Ordförandeskapet har därför valt att föreslå slutsatser som anger huvuddragen för programmets fortsättning och som sedan kommer att bli vägledande för rådets behandling av förordningen. De viktiga frågorna att ta ställning till är främst formerna för programmets framtida styrning och kriterierna för upphandlingen av programmet under uppbyggnadsfasen. </w:t>
      </w:r>
    </w:p>
    <w:p w:rsidR="00143222" w:rsidRPr="00274D24" w:rsidRDefault="00143222" w:rsidP="00143222">
      <w:pPr>
        <w:pStyle w:val="RKnormal"/>
      </w:pPr>
    </w:p>
    <w:p w:rsidR="00143222" w:rsidRPr="00274D24" w:rsidRDefault="00143222" w:rsidP="00143222">
      <w:pPr>
        <w:pStyle w:val="RKnormal"/>
        <w:rPr>
          <w:b/>
        </w:rPr>
      </w:pPr>
      <w:r w:rsidRPr="00274D24">
        <w:rPr>
          <w:b/>
        </w:rPr>
        <w:t>Förslag till svensk ståndpunkt</w:t>
      </w:r>
    </w:p>
    <w:p w:rsidR="00143222" w:rsidRPr="00274D24" w:rsidRDefault="00143222" w:rsidP="00143222">
      <w:pPr>
        <w:pStyle w:val="RKnormal"/>
      </w:pPr>
      <w:r w:rsidRPr="00274D24">
        <w:t xml:space="preserve">Regeringen anser att Sverige bör välkomna att en översyn görs av styrningen av programmet i syfte att nå en tydlig sammanhållen offentlig styrning. </w:t>
      </w:r>
    </w:p>
    <w:p w:rsidR="00143222" w:rsidRPr="00274D24" w:rsidRDefault="00143222" w:rsidP="00143222">
      <w:pPr>
        <w:pStyle w:val="RKnormal"/>
      </w:pPr>
    </w:p>
    <w:p w:rsidR="00143222" w:rsidRPr="00274D24" w:rsidRDefault="00143222" w:rsidP="00143222">
      <w:pPr>
        <w:pStyle w:val="RKnormal"/>
      </w:pPr>
      <w:r w:rsidRPr="00274D24">
        <w:t>Sverige bör även välkomna att tydliga riktlinjer fastställs för upphandling. Dessa får inte utestänga eller på annat sätt diskriminera företag från konkurrens om objekt som de utvecklat inom ESA:s utvecklingsprogram för Galileo. Svensk industri har i hård konkurrens vunnit ett antal kvalificerade utvecklingskontrakt inom ramen för ESA:s Galileoprogram. Det är enligt regeringen av central betydelse att samtliga de resulterande produkterna får offereras på rättvisa villkor i den kommande upphandlingen.</w:t>
      </w:r>
    </w:p>
    <w:p w:rsidR="00255EC0" w:rsidRPr="00274D24" w:rsidRDefault="00255EC0" w:rsidP="00255EC0">
      <w:pPr>
        <w:pStyle w:val="RKnormal"/>
        <w:rPr>
          <w:rFonts w:ascii="TradeGothic" w:hAnsi="TradeGothic"/>
          <w:b/>
          <w:bCs/>
          <w:sz w:val="22"/>
        </w:rPr>
      </w:pPr>
    </w:p>
    <w:p w:rsidR="00255EC0" w:rsidRPr="00274D24" w:rsidRDefault="00255EC0" w:rsidP="00255EC0">
      <w:pPr>
        <w:pStyle w:val="RKnormal"/>
        <w:rPr>
          <w:rFonts w:ascii="TradeGothic" w:hAnsi="TradeGothic"/>
          <w:b/>
          <w:bCs/>
          <w:sz w:val="22"/>
        </w:rPr>
      </w:pPr>
    </w:p>
    <w:p w:rsidR="008A6A3D" w:rsidRPr="00274D24" w:rsidRDefault="00255EC0" w:rsidP="00255EC0">
      <w:pPr>
        <w:pStyle w:val="RKnormal"/>
        <w:rPr>
          <w:rFonts w:ascii="TradeGothic" w:hAnsi="TradeGothic"/>
          <w:b/>
          <w:bCs/>
          <w:sz w:val="22"/>
        </w:rPr>
      </w:pPr>
      <w:r w:rsidRPr="00274D24">
        <w:rPr>
          <w:rFonts w:ascii="TradeGothic" w:hAnsi="TradeGothic"/>
          <w:b/>
          <w:bCs/>
          <w:sz w:val="22"/>
        </w:rPr>
        <w:t xml:space="preserve">9 </w:t>
      </w:r>
      <w:r w:rsidR="008A6A3D" w:rsidRPr="00274D24">
        <w:rPr>
          <w:rFonts w:ascii="TradeGothic" w:hAnsi="TradeGothic"/>
          <w:b/>
          <w:bCs/>
          <w:sz w:val="22"/>
        </w:rPr>
        <w:t>Meddelande från kommissionen – Handlingsplan för godslogistik</w:t>
      </w:r>
    </w:p>
    <w:p w:rsidR="008A6A3D" w:rsidRPr="00274D24" w:rsidRDefault="008A6A3D" w:rsidP="008A6A3D">
      <w:pPr>
        <w:pStyle w:val="RKnormal"/>
        <w:rPr>
          <w:i/>
          <w:iCs/>
        </w:rPr>
      </w:pPr>
      <w:r w:rsidRPr="00274D24">
        <w:rPr>
          <w:i/>
          <w:iCs/>
        </w:rPr>
        <w:t xml:space="preserve"> Rådsslutsatser</w:t>
      </w:r>
    </w:p>
    <w:p w:rsidR="008A6A3D" w:rsidRPr="00274D24" w:rsidRDefault="008A6A3D" w:rsidP="008A6A3D">
      <w:pPr>
        <w:pStyle w:val="RKnormal"/>
      </w:pPr>
      <w:r w:rsidRPr="00274D24">
        <w:t>14266/07 TRANS 317 ENV 550 EDUC 175</w:t>
      </w:r>
    </w:p>
    <w:p w:rsidR="00255EC0" w:rsidRPr="00274D24" w:rsidRDefault="00255EC0" w:rsidP="008A6A3D">
      <w:pPr>
        <w:pStyle w:val="RKnormal"/>
      </w:pPr>
      <w:r w:rsidRPr="00274D24">
        <w:t>+ ADD 2</w:t>
      </w:r>
    </w:p>
    <w:p w:rsidR="008A6A3D" w:rsidRPr="00274D24" w:rsidRDefault="008A6A3D" w:rsidP="008A6A3D">
      <w:pPr>
        <w:pStyle w:val="RKnormal"/>
      </w:pPr>
    </w:p>
    <w:p w:rsidR="008A6A3D" w:rsidRPr="00274D24" w:rsidRDefault="008A6A3D" w:rsidP="008A6A3D">
      <w:pPr>
        <w:pStyle w:val="RKnormal"/>
      </w:pPr>
      <w:r w:rsidRPr="00274D24">
        <w:t>Förslaget har inte behandlats i EU-nämnden tidigare.</w:t>
      </w:r>
    </w:p>
    <w:p w:rsidR="008A6A3D" w:rsidRPr="00274D24" w:rsidRDefault="008A6A3D" w:rsidP="008A6A3D">
      <w:pPr>
        <w:pStyle w:val="RKnormal"/>
      </w:pPr>
    </w:p>
    <w:p w:rsidR="008A6A3D" w:rsidRPr="00274D24" w:rsidRDefault="008A6A3D" w:rsidP="008A6A3D">
      <w:pPr>
        <w:pStyle w:val="RKnormal"/>
        <w:rPr>
          <w:b/>
          <w:bCs/>
        </w:rPr>
      </w:pPr>
      <w:r w:rsidRPr="00274D24">
        <w:rPr>
          <w:b/>
          <w:bCs/>
        </w:rPr>
        <w:t>Bakgrund</w:t>
      </w:r>
    </w:p>
    <w:p w:rsidR="008A6A3D" w:rsidRPr="00274D24" w:rsidRDefault="008A6A3D" w:rsidP="008A6A3D">
      <w:pPr>
        <w:pStyle w:val="RKnormal"/>
      </w:pPr>
      <w:r w:rsidRPr="00274D24">
        <w:t xml:space="preserve">KOM fattade den 18 oktober 2007 beslut om en godstransportagenda (KOM(2007) 606), med syfte att förbättra det europeiska godstransportsystemets effektivitet och hållbarhet. Handlingsplanen för godslogistik (KOM(2007) 607) ingår som en del i detta initiativ. </w:t>
      </w:r>
    </w:p>
    <w:p w:rsidR="008A6A3D" w:rsidRPr="00274D24" w:rsidRDefault="008A6A3D" w:rsidP="008A6A3D">
      <w:pPr>
        <w:pStyle w:val="RKnormal"/>
      </w:pPr>
    </w:p>
    <w:p w:rsidR="008A6A3D" w:rsidRPr="00274D24" w:rsidRDefault="008A6A3D" w:rsidP="008A6A3D">
      <w:pPr>
        <w:pStyle w:val="RKnormal"/>
      </w:pPr>
      <w:r w:rsidRPr="00274D24">
        <w:t xml:space="preserve">I handlingsplanen föreslår KOM ett flertal åtgärder på kort och medellång sikt för att säkra ett konkurrenskraftigt och hållbart godstransportsystem i Europa, med sikte på att integrera även länder utanför EU i logistikkedjan. Åtgärdsförslagen omfattar bland annat planer för införande av e-transport och olika ITS-applikationer, arbete med att identifiera och lösa flaskhalsar (operativa, administrativa och infrastrukturrelaterade), administrativa förenklingar i transportkedjan, standarder för intermodala lastbärare och fordons mått/vikt och identifiering/stöd till/utbyggnad av gröna transportkorridorer (järnvägsnät inriktat på frakt och sjömotorvägar). </w:t>
      </w:r>
    </w:p>
    <w:p w:rsidR="008A6A3D" w:rsidRPr="00274D24" w:rsidRDefault="008A6A3D" w:rsidP="008A6A3D">
      <w:pPr>
        <w:pStyle w:val="RKnormal"/>
      </w:pPr>
    </w:p>
    <w:p w:rsidR="008A6A3D" w:rsidRPr="00274D24" w:rsidRDefault="008A6A3D" w:rsidP="008A6A3D">
      <w:pPr>
        <w:pStyle w:val="RKnormal"/>
      </w:pPr>
      <w:r w:rsidRPr="00274D24">
        <w:t xml:space="preserve">I förslaget till rådsslutsatser välkomnar rådet meddelandet och KOM:s integrerade tillvägagångssätt. Rådet uppmanar KOM att implementera handlingsplanen i samverkan med medlemsstaterna, näringsliv och organisationer. Vid förslag till åtgärder på gemenskapsnivå bör genomförandet ske med stöd av systematiska konsekvensanalyser. </w:t>
      </w:r>
    </w:p>
    <w:p w:rsidR="008A6A3D" w:rsidRPr="00274D24" w:rsidRDefault="008A6A3D" w:rsidP="008A6A3D">
      <w:pPr>
        <w:pStyle w:val="RKnormal"/>
      </w:pPr>
    </w:p>
    <w:p w:rsidR="008A6A3D" w:rsidRPr="00274D24" w:rsidRDefault="008A6A3D" w:rsidP="008A6A3D">
      <w:pPr>
        <w:pStyle w:val="RKnormal"/>
      </w:pPr>
      <w:r w:rsidRPr="00274D24">
        <w:t xml:space="preserve">Rådsslutsatserna kommer att behandlas i Coreper onsdagen den 21 november. </w:t>
      </w:r>
    </w:p>
    <w:p w:rsidR="008A6A3D" w:rsidRPr="00274D24" w:rsidRDefault="008A6A3D" w:rsidP="008A6A3D">
      <w:pPr>
        <w:pStyle w:val="RKnormal"/>
      </w:pPr>
    </w:p>
    <w:p w:rsidR="008A6A3D" w:rsidRPr="00274D24" w:rsidRDefault="008A6A3D" w:rsidP="008A6A3D">
      <w:pPr>
        <w:pStyle w:val="RKnormal"/>
        <w:rPr>
          <w:b/>
          <w:bCs/>
        </w:rPr>
      </w:pPr>
      <w:r w:rsidRPr="00274D24">
        <w:rPr>
          <w:b/>
          <w:bCs/>
        </w:rPr>
        <w:t>Förslag till svensk ståndpunkt</w:t>
      </w:r>
    </w:p>
    <w:p w:rsidR="008A6A3D" w:rsidRPr="00274D24" w:rsidRDefault="008A6A3D" w:rsidP="008A6A3D">
      <w:pPr>
        <w:pStyle w:val="RKnormal"/>
      </w:pPr>
      <w:r w:rsidRPr="00274D24">
        <w:t xml:space="preserve">Regeringen föreslår att SE bör stödja förslaget till rådsslutsatser. </w:t>
      </w:r>
    </w:p>
    <w:p w:rsidR="00255EC0" w:rsidRPr="00274D24" w:rsidRDefault="00255EC0" w:rsidP="00255EC0">
      <w:pPr>
        <w:pStyle w:val="RKnormal"/>
        <w:rPr>
          <w:rFonts w:ascii="TradeGothic" w:hAnsi="TradeGothic"/>
          <w:b/>
          <w:bCs/>
          <w:sz w:val="22"/>
        </w:rPr>
      </w:pPr>
    </w:p>
    <w:p w:rsidR="00255EC0" w:rsidRPr="00274D24" w:rsidRDefault="00255EC0" w:rsidP="00255EC0">
      <w:pPr>
        <w:pStyle w:val="RKnormal"/>
        <w:rPr>
          <w:rFonts w:ascii="TradeGothic" w:hAnsi="TradeGothic"/>
          <w:b/>
          <w:bCs/>
          <w:sz w:val="22"/>
        </w:rPr>
      </w:pPr>
    </w:p>
    <w:p w:rsidR="00AD4FEF" w:rsidRPr="00274D24" w:rsidRDefault="00255EC0" w:rsidP="00255EC0">
      <w:pPr>
        <w:pStyle w:val="RKnormal"/>
        <w:rPr>
          <w:rFonts w:ascii="TradeGothic" w:hAnsi="TradeGothic"/>
          <w:b/>
          <w:bCs/>
          <w:sz w:val="22"/>
        </w:rPr>
      </w:pPr>
      <w:r w:rsidRPr="00274D24">
        <w:rPr>
          <w:rFonts w:ascii="TradeGothic" w:hAnsi="TradeGothic"/>
          <w:b/>
          <w:bCs/>
          <w:sz w:val="22"/>
        </w:rPr>
        <w:t xml:space="preserve">10 </w:t>
      </w:r>
      <w:r w:rsidR="00AD4FEF" w:rsidRPr="00274D24">
        <w:rPr>
          <w:rFonts w:ascii="TradeGothic" w:hAnsi="TradeGothic"/>
          <w:b/>
          <w:bCs/>
          <w:sz w:val="22"/>
        </w:rPr>
        <w:t>EU:s förnyade strategi för hållbar utveckling</w:t>
      </w:r>
    </w:p>
    <w:p w:rsidR="00AD4FEF" w:rsidRPr="00274D24" w:rsidRDefault="00AD4FEF" w:rsidP="00AD4FEF">
      <w:pPr>
        <w:pStyle w:val="RKnormal"/>
        <w:rPr>
          <w:i/>
          <w:iCs/>
        </w:rPr>
      </w:pPr>
      <w:r w:rsidRPr="00274D24">
        <w:rPr>
          <w:i/>
          <w:iCs/>
        </w:rPr>
        <w:t>- Policydebatt</w:t>
      </w:r>
    </w:p>
    <w:p w:rsidR="00AD4FEF" w:rsidRPr="00274D24" w:rsidRDefault="00AD4FEF" w:rsidP="00AD4FEF">
      <w:pPr>
        <w:pStyle w:val="RKnormal"/>
        <w:rPr>
          <w:iCs/>
        </w:rPr>
      </w:pPr>
      <w:r w:rsidRPr="00274D24">
        <w:rPr>
          <w:iCs/>
        </w:rPr>
        <w:t>[Offentlig överläggning enligt artikel 8.3 rådets arbetsordning (förslag från ordförandeskapet)]</w:t>
      </w:r>
    </w:p>
    <w:p w:rsidR="00AD4FEF" w:rsidRPr="00274D24" w:rsidRDefault="00AD4FEF" w:rsidP="00AD4FEF">
      <w:pPr>
        <w:pStyle w:val="RKnormal"/>
      </w:pPr>
    </w:p>
    <w:p w:rsidR="00AD4FEF" w:rsidRPr="00274D24" w:rsidRDefault="00AD4FEF" w:rsidP="00AD4FEF">
      <w:pPr>
        <w:pStyle w:val="RKnormal"/>
      </w:pPr>
      <w:r w:rsidRPr="00274D24">
        <w:t>Tidigare behandlad i EU-nämnden:  26 oktober 2007 inför miljörådet.</w:t>
      </w:r>
    </w:p>
    <w:p w:rsidR="00AD4FEF" w:rsidRPr="00274D24" w:rsidRDefault="00AD4FEF" w:rsidP="00AD4FEF">
      <w:pPr>
        <w:pStyle w:val="RKnormal"/>
      </w:pPr>
    </w:p>
    <w:p w:rsidR="00AD4FEF" w:rsidRPr="00274D24" w:rsidRDefault="00AD4FEF" w:rsidP="00AD4FEF">
      <w:pPr>
        <w:pStyle w:val="RKnormal"/>
        <w:rPr>
          <w:b/>
          <w:bCs/>
        </w:rPr>
      </w:pPr>
      <w:r w:rsidRPr="00274D24">
        <w:rPr>
          <w:b/>
          <w:bCs/>
        </w:rPr>
        <w:t>Bakgrund</w:t>
      </w:r>
    </w:p>
    <w:p w:rsidR="00AD4FEF" w:rsidRPr="00274D24" w:rsidRDefault="00AD4FEF" w:rsidP="00AD4FEF">
      <w:pPr>
        <w:pStyle w:val="RKnormal"/>
      </w:pPr>
      <w:r w:rsidRPr="00274D24">
        <w:t>EU:s stats- och regeringschefer antog i juni 2006 en förnyad strategi för hållbar utveckling. Strategin är omfattande och berör ett stort antal rådsformationer. En av sju huvudutmaningar i strategin är hållbara transporter. Uppföljningen av strategin sker vartannat år vid Europeiska r</w:t>
      </w:r>
      <w:r w:rsidRPr="00274D24">
        <w:t>å</w:t>
      </w:r>
      <w:r w:rsidRPr="00274D24">
        <w:t xml:space="preserve">dets möte i december med början 2007. </w:t>
      </w:r>
    </w:p>
    <w:p w:rsidR="00AD4FEF" w:rsidRPr="00274D24" w:rsidRDefault="00AD4FEF" w:rsidP="00AD4FEF">
      <w:pPr>
        <w:pStyle w:val="RKnormal"/>
      </w:pPr>
    </w:p>
    <w:p w:rsidR="00AD4FEF" w:rsidRPr="00274D24" w:rsidRDefault="00AD4FEF" w:rsidP="00AD4FEF">
      <w:pPr>
        <w:pStyle w:val="RKnormal"/>
      </w:pPr>
      <w:r w:rsidRPr="00274D24">
        <w:t>KOM presenterade den 22 oktober en lägesrapport om g</w:t>
      </w:r>
      <w:r w:rsidRPr="00274D24">
        <w:t>e</w:t>
      </w:r>
      <w:r w:rsidRPr="00274D24">
        <w:t>nomförandet av strategin med fö</w:t>
      </w:r>
      <w:r w:rsidRPr="00274D24">
        <w:t>r</w:t>
      </w:r>
      <w:r w:rsidRPr="00274D24">
        <w:t xml:space="preserve">slag till framtida prioriteringar, riktlinjer och åtgärder. ORDF avser att ta upp lägesrapporten till diskussion i två rådskonstellationer (miljö och transport) innan den behandlas av Europeiska rådet 13-14 december 2007. </w:t>
      </w:r>
    </w:p>
    <w:p w:rsidR="00AD4FEF" w:rsidRPr="00274D24" w:rsidRDefault="00AD4FEF" w:rsidP="00AD4FEF">
      <w:pPr>
        <w:pStyle w:val="RKnormal"/>
      </w:pPr>
    </w:p>
    <w:p w:rsidR="00B051FB" w:rsidRPr="00274D24" w:rsidRDefault="00AD4FEF" w:rsidP="00B051FB">
      <w:pPr>
        <w:pStyle w:val="RKnormal"/>
      </w:pPr>
      <w:r w:rsidRPr="00274D24">
        <w:t>Ordförandeskapet har föreslagit två frågor som vägledning för diskussionen:</w:t>
      </w:r>
    </w:p>
    <w:p w:rsidR="00B051FB" w:rsidRPr="00274D24" w:rsidRDefault="00B051FB" w:rsidP="00B051FB">
      <w:pPr>
        <w:pStyle w:val="RKnormal"/>
      </w:pPr>
    </w:p>
    <w:p w:rsidR="00B051FB" w:rsidRPr="00274D24" w:rsidRDefault="00B051FB" w:rsidP="00B051FB">
      <w:pPr>
        <w:pStyle w:val="RKnormal"/>
      </w:pPr>
      <w:r w:rsidRPr="00274D24">
        <w:t xml:space="preserve">1. </w:t>
      </w:r>
      <w:r w:rsidR="00AD4FEF" w:rsidRPr="00274D24">
        <w:t>Delar medlemsstaterna kommissionens synpunkter rörande framsteg i genomförandet av den förnyade strategin för hållbar utveckling och vilka hinder har de träffat på?</w:t>
      </w:r>
    </w:p>
    <w:p w:rsidR="00AD4FEF" w:rsidRPr="00274D24" w:rsidRDefault="00B051FB" w:rsidP="00B051FB">
      <w:pPr>
        <w:pStyle w:val="RKnormal"/>
      </w:pPr>
      <w:r w:rsidRPr="00274D24">
        <w:t xml:space="preserve">2. </w:t>
      </w:r>
      <w:r w:rsidR="00AD4FEF" w:rsidRPr="00274D24">
        <w:t>Vad är medlemsstaternas syn på framtida prioriteringar i ett utvecklat EU-politiskt sammanhang?</w:t>
      </w:r>
    </w:p>
    <w:p w:rsidR="00AD4FEF" w:rsidRPr="00274D24" w:rsidRDefault="00AD4FEF" w:rsidP="00AD4FEF">
      <w:pPr>
        <w:pStyle w:val="RKnormal"/>
      </w:pPr>
    </w:p>
    <w:p w:rsidR="00AD4FEF" w:rsidRPr="00274D24" w:rsidRDefault="00AD4FEF" w:rsidP="00AD4FEF">
      <w:pPr>
        <w:pStyle w:val="RKnormal"/>
        <w:rPr>
          <w:b/>
          <w:bCs/>
        </w:rPr>
      </w:pPr>
      <w:r w:rsidRPr="00274D24">
        <w:rPr>
          <w:b/>
          <w:bCs/>
        </w:rPr>
        <w:t>Förslag till svensk ståndpunkt</w:t>
      </w:r>
    </w:p>
    <w:p w:rsidR="00AD4FEF" w:rsidRPr="00274D24" w:rsidRDefault="00AD4FEF" w:rsidP="00AD4FEF">
      <w:pPr>
        <w:pStyle w:val="RKnormal"/>
      </w:pPr>
      <w:r w:rsidRPr="00274D24">
        <w:t>EU:s strategi för hållbar utveckling är viktig för Sverige. Den första strategin antogs av Europeiska rådet i juni 2001 under Sveriges ordförandeskap och Sverige bidrog till att en mer omfattande och ambitiösare strategi antogs av Europeiska rådet i juni 2006 med en förstärkt uppföljning. Den andra uppföljningen av strategin kommer att ske under Sveriges ordförandeskap andra halvåret 2009.</w:t>
      </w:r>
    </w:p>
    <w:p w:rsidR="00AD4FEF" w:rsidRPr="00274D24" w:rsidRDefault="00AD4FEF" w:rsidP="00AD4FEF">
      <w:pPr>
        <w:pStyle w:val="RKnormal"/>
      </w:pPr>
    </w:p>
    <w:p w:rsidR="00B051FB" w:rsidRPr="00274D24" w:rsidRDefault="00AD4FEF" w:rsidP="00B051FB">
      <w:pPr>
        <w:pStyle w:val="RKnormal"/>
      </w:pPr>
      <w:r w:rsidRPr="00274D24">
        <w:t>Regeringen anser liksom KOM att prioriteringarna i strategin fortfarande är giltiga samt att fokus bör läggas på att genomföra åtgärderna i strategin. Det gäller särskilt på klimat- och energiområdet där Europeiska rådets nya ambitiösa mål på toppmötet i mars kräver ännu kraftfullare åtgärder, inte minst inom transportsektorn.</w:t>
      </w:r>
    </w:p>
    <w:p w:rsidR="00255EC0" w:rsidRPr="00274D24" w:rsidRDefault="00255EC0" w:rsidP="00B051FB">
      <w:pPr>
        <w:pStyle w:val="RKnormal"/>
      </w:pPr>
    </w:p>
    <w:p w:rsidR="00255EC0" w:rsidRPr="00274D24" w:rsidRDefault="00255EC0" w:rsidP="00255EC0">
      <w:pPr>
        <w:pStyle w:val="RKnormal"/>
        <w:rPr>
          <w:rFonts w:ascii="TradeGothic" w:hAnsi="TradeGothic"/>
          <w:b/>
          <w:bCs/>
          <w:sz w:val="22"/>
        </w:rPr>
      </w:pPr>
      <w:r w:rsidRPr="00274D24">
        <w:rPr>
          <w:rFonts w:ascii="TradeGothic" w:hAnsi="TradeGothic"/>
          <w:b/>
          <w:bCs/>
          <w:sz w:val="22"/>
        </w:rPr>
        <w:t>SJÖFART</w:t>
      </w:r>
    </w:p>
    <w:p w:rsidR="00255EC0" w:rsidRPr="00274D24" w:rsidRDefault="00255EC0" w:rsidP="00255EC0">
      <w:pPr>
        <w:pStyle w:val="RKnormal"/>
        <w:rPr>
          <w:rFonts w:ascii="TradeGothic" w:hAnsi="TradeGothic"/>
          <w:b/>
          <w:bCs/>
          <w:sz w:val="22"/>
        </w:rPr>
      </w:pPr>
    </w:p>
    <w:p w:rsidR="00AD4FEF" w:rsidRPr="00274D24" w:rsidRDefault="00255EC0" w:rsidP="00255EC0">
      <w:pPr>
        <w:pStyle w:val="RKnormal"/>
        <w:rPr>
          <w:rFonts w:ascii="TradeGothic" w:hAnsi="TradeGothic"/>
          <w:b/>
          <w:bCs/>
          <w:sz w:val="22"/>
        </w:rPr>
      </w:pPr>
      <w:r w:rsidRPr="00274D24">
        <w:rPr>
          <w:rFonts w:ascii="TradeGothic" w:hAnsi="TradeGothic"/>
          <w:b/>
          <w:bCs/>
          <w:sz w:val="22"/>
        </w:rPr>
        <w:t xml:space="preserve">11 </w:t>
      </w:r>
      <w:r w:rsidR="00B051FB" w:rsidRPr="00274D24">
        <w:rPr>
          <w:rFonts w:ascii="TradeGothic" w:hAnsi="TradeGothic"/>
          <w:b/>
          <w:bCs/>
          <w:sz w:val="22"/>
        </w:rPr>
        <w:t xml:space="preserve">a) </w:t>
      </w:r>
      <w:r w:rsidR="00604A1C" w:rsidRPr="00274D24">
        <w:rPr>
          <w:rFonts w:ascii="TradeGothic" w:hAnsi="TradeGothic"/>
          <w:b/>
          <w:bCs/>
          <w:sz w:val="22"/>
        </w:rPr>
        <w:t>F</w:t>
      </w:r>
      <w:r w:rsidR="00AD4FEF" w:rsidRPr="00274D24">
        <w:rPr>
          <w:rFonts w:ascii="TradeGothic" w:hAnsi="TradeGothic"/>
          <w:b/>
          <w:bCs/>
          <w:sz w:val="22"/>
        </w:rPr>
        <w:t>örslag till Europaparlamentets och rådets förordning om bortfraktarens skadeståndsansvar i samband med olyckor vid passagerarbefordran till sjöss och på inre vattenvägar.</w:t>
      </w:r>
    </w:p>
    <w:p w:rsidR="00AD4FEF" w:rsidRPr="00274D24" w:rsidRDefault="00AD4FEF" w:rsidP="00AD4FEF">
      <w:pPr>
        <w:pStyle w:val="RKnormal"/>
      </w:pPr>
    </w:p>
    <w:p w:rsidR="00AD4FEF" w:rsidRPr="00274D24" w:rsidRDefault="00604A1C" w:rsidP="00AD4FEF">
      <w:pPr>
        <w:pStyle w:val="RKnormal"/>
        <w:rPr>
          <w:i/>
        </w:rPr>
      </w:pPr>
      <w:r w:rsidRPr="00274D24">
        <w:rPr>
          <w:i/>
        </w:rPr>
        <w:t>Politisk överenskommelse</w:t>
      </w:r>
    </w:p>
    <w:p w:rsidR="00AD4FEF" w:rsidRPr="00274D24" w:rsidRDefault="00AD4FEF" w:rsidP="00AD4FEF">
      <w:pPr>
        <w:pStyle w:val="RKnormal"/>
      </w:pPr>
      <w:r w:rsidRPr="00274D24">
        <w:t>6827/06 LIMITE MAR 22 ENV 127 CODEC 195</w:t>
      </w:r>
    </w:p>
    <w:p w:rsidR="00AD4FEF" w:rsidRPr="00274D24" w:rsidRDefault="00AD4FEF" w:rsidP="00AD4FEF">
      <w:pPr>
        <w:pStyle w:val="RKnormal"/>
      </w:pPr>
    </w:p>
    <w:p w:rsidR="00AD4FEF" w:rsidRPr="00274D24" w:rsidRDefault="00AD4FEF" w:rsidP="00AD4FEF">
      <w:pPr>
        <w:pStyle w:val="RKnormal"/>
      </w:pPr>
      <w:r w:rsidRPr="00274D24">
        <w:t>Förslaget behandlades senast i EU-nämnden den 1 juni 2007 inför TTE-rådet.</w:t>
      </w:r>
    </w:p>
    <w:p w:rsidR="00AD4FEF" w:rsidRPr="00274D24" w:rsidRDefault="00AD4FEF" w:rsidP="00AD4FEF">
      <w:pPr>
        <w:pStyle w:val="RKnormal"/>
        <w:rPr>
          <w:b/>
        </w:rPr>
      </w:pPr>
    </w:p>
    <w:p w:rsidR="00AD4FEF" w:rsidRPr="00274D24" w:rsidRDefault="00AD4FEF" w:rsidP="00AD4FEF">
      <w:pPr>
        <w:pStyle w:val="RKnormal"/>
        <w:rPr>
          <w:b/>
        </w:rPr>
      </w:pPr>
      <w:r w:rsidRPr="00274D24">
        <w:rPr>
          <w:b/>
        </w:rPr>
        <w:t>Bakgrund</w:t>
      </w:r>
    </w:p>
    <w:p w:rsidR="00AD4FEF" w:rsidRPr="00274D24" w:rsidRDefault="00AD4FEF" w:rsidP="00AD4FEF">
      <w:r w:rsidRPr="00274D24">
        <w:t xml:space="preserve">Syftet med förslaget till förordning om transportörens skadeståndsansvar i samband med olyckor vid passagerarbefordran till sjöss och på inre vattenvägar är att harmonisera och stärka det ersättningsrättsliga skyddet för passagerare vid sjötransporter. Genom förslaget införlivas 1974 års Atenkonvention om passageraransvar i den lydelse den har genom 2002 års tilläggsprotokoll i gemenskapsrätten. </w:t>
      </w:r>
    </w:p>
    <w:p w:rsidR="00AD4FEF" w:rsidRPr="00274D24" w:rsidRDefault="00AD4FEF" w:rsidP="00AD4FEF"/>
    <w:p w:rsidR="00AD4FEF" w:rsidRPr="00274D24" w:rsidRDefault="00AD4FEF" w:rsidP="00AD4FEF">
      <w:r w:rsidRPr="00274D24">
        <w:t>Förslaget till rättsakt har under våren och hösten 2007 behandlats i rådsarbetsgruppen. Avsikten är att rådet ska kunna anta en gemensam ståndpunkt. EP kommer sedan att läsa förslaget till förordning en andra gång.</w:t>
      </w:r>
    </w:p>
    <w:p w:rsidR="00AD4FEF" w:rsidRPr="00274D24" w:rsidRDefault="00AD4FEF" w:rsidP="00AD4FEF"/>
    <w:p w:rsidR="00AD4FEF" w:rsidRPr="00274D24" w:rsidRDefault="00AD4FEF" w:rsidP="00AD4FEF">
      <w:pPr>
        <w:rPr>
          <w:b/>
        </w:rPr>
      </w:pPr>
      <w:r w:rsidRPr="00274D24">
        <w:rPr>
          <w:b/>
        </w:rPr>
        <w:t>Förslag till svensk ståndpunkt</w:t>
      </w:r>
    </w:p>
    <w:p w:rsidR="00AD4FEF" w:rsidRPr="00274D24" w:rsidRDefault="00604A1C" w:rsidP="00AD4FEF">
      <w:r w:rsidRPr="00274D24">
        <w:t xml:space="preserve">Regeringen välkomnar att konventionen införlivas i EG-rätten. </w:t>
      </w:r>
      <w:r w:rsidR="00AD4FEF" w:rsidRPr="00274D24">
        <w:t xml:space="preserve">SE har arbetat aktivt i den Internationella sjöfartsorganisationen (IMO) för att stärka det ersättningsrättsliga skyddet i samband med dödsfall och skador på passagerare vid sjötransporter. Arbetet resulterade i antagandet av 2002 års tilläggsprotokoll till Atenkonventionen. </w:t>
      </w:r>
    </w:p>
    <w:p w:rsidR="00AD4FEF" w:rsidRPr="00274D24" w:rsidRDefault="00AD4FEF" w:rsidP="00AD4FEF"/>
    <w:p w:rsidR="00646262" w:rsidRPr="00274D24" w:rsidRDefault="00AD4FEF" w:rsidP="00B051FB">
      <w:r w:rsidRPr="00274D24">
        <w:t xml:space="preserve">Reglerna är avsedda att tillämpas såväl i inrikes som utrikes trafik med passagerarfartyg. Förordningen gör dock undantag för det mindre tonnaget. Det gör att Sverige fortsatt har möjlighet att på nationell nivå anpassa villkoren för bland annat skärgårdstrafiken efter lokala förhållanden. </w:t>
      </w:r>
      <w:r w:rsidR="00604A1C" w:rsidRPr="00274D24">
        <w:t>Regeringen</w:t>
      </w:r>
      <w:r w:rsidRPr="00274D24">
        <w:t xml:space="preserve"> välkomnar d</w:t>
      </w:r>
      <w:r w:rsidR="00B051FB" w:rsidRPr="00274D24">
        <w:t>ärför undantaget i förordningen.</w:t>
      </w:r>
    </w:p>
    <w:p w:rsidR="00255EC0" w:rsidRPr="00274D24" w:rsidRDefault="00255EC0" w:rsidP="00255EC0">
      <w:pPr>
        <w:pStyle w:val="RKnormal"/>
        <w:rPr>
          <w:rFonts w:ascii="TradeGothic" w:hAnsi="TradeGothic"/>
          <w:b/>
          <w:bCs/>
          <w:sz w:val="22"/>
        </w:rPr>
      </w:pPr>
    </w:p>
    <w:p w:rsidR="00255EC0" w:rsidRPr="00274D24" w:rsidRDefault="00255EC0" w:rsidP="00255EC0">
      <w:pPr>
        <w:pStyle w:val="RKnormal"/>
        <w:rPr>
          <w:rFonts w:ascii="TradeGothic" w:hAnsi="TradeGothic"/>
          <w:b/>
          <w:bCs/>
          <w:sz w:val="22"/>
        </w:rPr>
      </w:pPr>
    </w:p>
    <w:p w:rsidR="00662B92" w:rsidRPr="00274D24" w:rsidRDefault="00255EC0" w:rsidP="00255EC0">
      <w:pPr>
        <w:pStyle w:val="RKnormal"/>
        <w:rPr>
          <w:rFonts w:ascii="TradeGothic" w:hAnsi="TradeGothic"/>
          <w:b/>
          <w:bCs/>
          <w:sz w:val="22"/>
        </w:rPr>
      </w:pPr>
      <w:r w:rsidRPr="00274D24">
        <w:rPr>
          <w:rFonts w:ascii="TradeGothic" w:hAnsi="TradeGothic"/>
          <w:b/>
          <w:bCs/>
          <w:sz w:val="22"/>
        </w:rPr>
        <w:t>11</w:t>
      </w:r>
      <w:r w:rsidR="00662B92" w:rsidRPr="00274D24">
        <w:rPr>
          <w:rFonts w:ascii="TradeGothic" w:hAnsi="TradeGothic"/>
          <w:b/>
          <w:bCs/>
          <w:sz w:val="22"/>
        </w:rPr>
        <w:t xml:space="preserve"> b) Förslag till Europarådets och rådets direktiv om gemensamma regler och standarder för organisationer som utför inspektioner och utövar tillsyn av fartyg och för sjöfartsadministrationernas verksamhet i förbindelse därmed</w:t>
      </w:r>
    </w:p>
    <w:p w:rsidR="00662B92" w:rsidRPr="00274D24" w:rsidRDefault="00662B92" w:rsidP="00662B92">
      <w:pPr>
        <w:pStyle w:val="RKnormal"/>
        <w:rPr>
          <w:i/>
          <w:iCs/>
        </w:rPr>
      </w:pPr>
      <w:r w:rsidRPr="00274D24">
        <w:rPr>
          <w:i/>
          <w:iCs/>
        </w:rPr>
        <w:t>Politisk överenskommelse</w:t>
      </w:r>
    </w:p>
    <w:p w:rsidR="00662B92" w:rsidRPr="00274D24" w:rsidRDefault="00662B92" w:rsidP="00662B92">
      <w:pPr>
        <w:pStyle w:val="RKnormal"/>
      </w:pPr>
      <w:r w:rsidRPr="00274D24">
        <w:t>5912/06 MAR 11 ENV 50 CODEC 95</w:t>
      </w:r>
      <w:r w:rsidRPr="00274D24">
        <w:cr/>
      </w:r>
    </w:p>
    <w:p w:rsidR="00662B92" w:rsidRPr="00274D24" w:rsidRDefault="00662B92" w:rsidP="00662B92">
      <w:pPr>
        <w:pStyle w:val="RKnormal"/>
      </w:pPr>
      <w:r w:rsidRPr="00274D24">
        <w:t>Förslaget har inte tidigare behandlats i EU-nämnden.</w:t>
      </w:r>
    </w:p>
    <w:p w:rsidR="00662B92" w:rsidRPr="00274D24" w:rsidRDefault="00662B92" w:rsidP="00662B92">
      <w:pPr>
        <w:pStyle w:val="RKnormal"/>
      </w:pPr>
    </w:p>
    <w:p w:rsidR="00662B92" w:rsidRPr="00274D24" w:rsidRDefault="00662B92" w:rsidP="00662B92">
      <w:pPr>
        <w:pStyle w:val="RKnormal"/>
        <w:rPr>
          <w:b/>
          <w:bCs/>
        </w:rPr>
      </w:pPr>
      <w:r w:rsidRPr="00274D24">
        <w:rPr>
          <w:b/>
          <w:bCs/>
        </w:rPr>
        <w:t>Bakgrund</w:t>
      </w:r>
    </w:p>
    <w:p w:rsidR="00662B92" w:rsidRPr="00274D24" w:rsidRDefault="00662B92" w:rsidP="00662B92">
      <w:pPr>
        <w:pStyle w:val="RKnormal"/>
      </w:pPr>
      <w:r w:rsidRPr="00274D24">
        <w:t>Som ett led i det tredje sjösäkerhetspaketet föreslår KOM skärpningar av EG-lagstiftningen om gemensamma regler och standarder för organisationer som utför inspektioner och utövar tillsyn av fartyg (s.k. klassificeringssällskap) och för sjöfartsadministrationernas verksamhet i förbindelse därmed. Förslaget behandlar hur EU ska skärpa kraven på klassificeringssällskapen, dvs. de organ som inspekterar och certifierar fartyg. Syftet är att reformera gällande bestämmelser om erkännande av klassificeringssällskap. Ändringarna omfattar bl.a. skärpt kontroll, kriterier för erkännande av klassificeringssällskap, påföljder, kommissionens tillsyn och sällskapens organisationsform.</w:t>
      </w:r>
    </w:p>
    <w:p w:rsidR="00662B92" w:rsidRPr="00274D24" w:rsidRDefault="00662B92" w:rsidP="00662B92">
      <w:pPr>
        <w:pStyle w:val="RKnormal"/>
      </w:pPr>
    </w:p>
    <w:p w:rsidR="00662B92" w:rsidRPr="00274D24" w:rsidRDefault="00662B92" w:rsidP="00662B92">
      <w:pPr>
        <w:pStyle w:val="RKnormal"/>
        <w:rPr>
          <w:b/>
          <w:bCs/>
        </w:rPr>
      </w:pPr>
      <w:r w:rsidRPr="00274D24">
        <w:rPr>
          <w:b/>
          <w:bCs/>
        </w:rPr>
        <w:t>Förslag till svensk ståndpunkt</w:t>
      </w:r>
    </w:p>
    <w:p w:rsidR="009021E5" w:rsidRPr="00274D24" w:rsidRDefault="00662B92" w:rsidP="009021E5">
      <w:pPr>
        <w:pStyle w:val="RKnormal"/>
      </w:pPr>
      <w:r w:rsidRPr="00274D24">
        <w:t>Regeringen är generellt sett positiv till att man ser över gemenskapens regler för klassificeringssällskap. Vissa delar av förslaget är dock kontroversiella även ur ett svenskt perspektiv. Regeringen vill undvika detaljstyrning och vill i stället skapa övergripande säkerhetsmål som sällskapen ska uppnå. På så sätt blir regelverket för sällskapen mer öppet och användarvänligt och MS kan lättare styra vilken säkerhetsnivå som ska gälla.</w:t>
      </w:r>
    </w:p>
    <w:p w:rsidR="0049038C" w:rsidRPr="00274D24" w:rsidRDefault="0049038C" w:rsidP="009021E5">
      <w:pPr>
        <w:pStyle w:val="RKnormal"/>
      </w:pPr>
    </w:p>
    <w:p w:rsidR="0049038C" w:rsidRPr="00274D24" w:rsidRDefault="0049038C" w:rsidP="00255EC0">
      <w:pPr>
        <w:pStyle w:val="RKnormal"/>
        <w:rPr>
          <w:rFonts w:ascii="TradeGothic" w:hAnsi="TradeGothic"/>
          <w:b/>
          <w:bCs/>
          <w:sz w:val="22"/>
        </w:rPr>
      </w:pPr>
      <w:r w:rsidRPr="00274D24">
        <w:rPr>
          <w:rFonts w:ascii="TradeGothic" w:hAnsi="TradeGothic"/>
          <w:b/>
          <w:bCs/>
          <w:sz w:val="22"/>
        </w:rPr>
        <w:t>LANDTRANSPORT</w:t>
      </w:r>
    </w:p>
    <w:p w:rsidR="0069664F" w:rsidRPr="00274D24" w:rsidRDefault="0069664F" w:rsidP="009021E5">
      <w:pPr>
        <w:pStyle w:val="RKnormal"/>
      </w:pPr>
    </w:p>
    <w:p w:rsidR="0069664F" w:rsidRPr="00274D24" w:rsidRDefault="00255EC0" w:rsidP="00255EC0">
      <w:pPr>
        <w:pStyle w:val="RKnormal"/>
        <w:rPr>
          <w:rFonts w:ascii="TradeGothic" w:hAnsi="TradeGothic"/>
          <w:b/>
          <w:bCs/>
          <w:sz w:val="22"/>
        </w:rPr>
      </w:pPr>
      <w:r w:rsidRPr="00274D24">
        <w:rPr>
          <w:rFonts w:ascii="TradeGothic" w:hAnsi="TradeGothic"/>
          <w:b/>
          <w:bCs/>
          <w:sz w:val="22"/>
        </w:rPr>
        <w:t xml:space="preserve">12 </w:t>
      </w:r>
      <w:r w:rsidR="0069664F" w:rsidRPr="00274D24">
        <w:rPr>
          <w:rFonts w:ascii="TradeGothic" w:hAnsi="TradeGothic"/>
          <w:b/>
          <w:bCs/>
          <w:sz w:val="22"/>
        </w:rPr>
        <w:t>Förslag till Europaparlamentets och rådets förordning om gemensamma regler för tillträde till den internationella marknaden för godstransporter på väg (omarbetning)</w:t>
      </w:r>
    </w:p>
    <w:p w:rsidR="00B72BB9" w:rsidRPr="00274D24" w:rsidRDefault="00B72BB9" w:rsidP="0069664F">
      <w:pPr>
        <w:pStyle w:val="RKnormal"/>
        <w:rPr>
          <w:i/>
          <w:iCs/>
        </w:rPr>
      </w:pPr>
    </w:p>
    <w:p w:rsidR="0069664F" w:rsidRPr="00274D24" w:rsidRDefault="0069664F" w:rsidP="0069664F">
      <w:pPr>
        <w:pStyle w:val="RKnormal"/>
        <w:rPr>
          <w:i/>
          <w:iCs/>
        </w:rPr>
      </w:pPr>
      <w:r w:rsidRPr="00274D24">
        <w:rPr>
          <w:i/>
          <w:iCs/>
        </w:rPr>
        <w:t>-lägesrapport</w:t>
      </w:r>
    </w:p>
    <w:p w:rsidR="0069664F" w:rsidRPr="00274D24" w:rsidRDefault="0069664F" w:rsidP="0069664F">
      <w:pPr>
        <w:pStyle w:val="RKnormal"/>
      </w:pPr>
      <w:r w:rsidRPr="00274D24">
        <w:t>10092/07 TRANS 189 CODEC 599</w:t>
      </w:r>
    </w:p>
    <w:p w:rsidR="0069664F" w:rsidRPr="00274D24" w:rsidRDefault="0069664F" w:rsidP="0069664F">
      <w:pPr>
        <w:pStyle w:val="RKnormal"/>
      </w:pPr>
      <w:r w:rsidRPr="00274D24">
        <w:t>+ REV 2 (en, fr, de)</w:t>
      </w:r>
    </w:p>
    <w:p w:rsidR="0069664F" w:rsidRPr="00274D24" w:rsidRDefault="0069664F" w:rsidP="0069664F">
      <w:pPr>
        <w:pStyle w:val="RKnormal"/>
      </w:pPr>
    </w:p>
    <w:p w:rsidR="0069664F" w:rsidRPr="00274D24" w:rsidRDefault="0069664F" w:rsidP="0069664F">
      <w:pPr>
        <w:pStyle w:val="RKnormal"/>
      </w:pPr>
      <w:r w:rsidRPr="00274D24">
        <w:t>Förslaget behandlas för första gången i EU-nämnden.</w:t>
      </w:r>
    </w:p>
    <w:p w:rsidR="0069664F" w:rsidRPr="00274D24" w:rsidRDefault="0069664F" w:rsidP="0069664F">
      <w:pPr>
        <w:pStyle w:val="RKnormal"/>
      </w:pPr>
    </w:p>
    <w:p w:rsidR="0069664F" w:rsidRPr="00274D24" w:rsidRDefault="0069664F" w:rsidP="00252289">
      <w:pPr>
        <w:pStyle w:val="RKnormal"/>
        <w:rPr>
          <w:b/>
          <w:bCs/>
        </w:rPr>
      </w:pPr>
      <w:r w:rsidRPr="00274D24">
        <w:rPr>
          <w:b/>
          <w:bCs/>
        </w:rPr>
        <w:t>Bakgrund</w:t>
      </w:r>
    </w:p>
    <w:p w:rsidR="0069664F" w:rsidRPr="00274D24" w:rsidRDefault="0069664F" w:rsidP="00252289">
      <w:pPr>
        <w:pStyle w:val="RKnormal"/>
      </w:pPr>
      <w:r w:rsidRPr="00274D24">
        <w:t>Syftet med förslagen är att göra den inre marknaden för gods- och busstransporter mer effektiv genom att ytterligare harmonisera vägtransportmarknaden och förbättra transportoperatörernas efterlevnad av sociallagstiftning och säkerhetsregler. Förslagen avses förtydliga och förbättra den befintliga lagstiftningen och KOM räknar med de ska leda till ytterligare harmonisering och en besparing vad gäller administrativa kostnader för företag och myndigheter med mer rättvisa konkurrensvillkor, lika yrkesmässiga kvalifikationer, tekniska krav och andra säkerhetskrav och minskning av den administrativa bördan.</w:t>
      </w:r>
    </w:p>
    <w:p w:rsidR="0069664F" w:rsidRPr="00274D24" w:rsidRDefault="0069664F" w:rsidP="00252289">
      <w:pPr>
        <w:pStyle w:val="RKnormal"/>
      </w:pPr>
    </w:p>
    <w:p w:rsidR="0069664F" w:rsidRPr="00274D24" w:rsidRDefault="0069664F" w:rsidP="00252289">
      <w:pPr>
        <w:pStyle w:val="RKnormal"/>
      </w:pPr>
      <w:r w:rsidRPr="00274D24">
        <w:t xml:space="preserve">I förslaget till förordning om gemensamma regler för tillträde till den internationella marknaden för godstransporter på väg föreslås tre större förändringar: att en tydligare definition av vägcabotage införs, att gemenskapstillståndens utformning standardiseras och att bestämmelserna om informationsutbyte mellan medlemsstaterna vad gäller transportföretagens överträdelser stärks. </w:t>
      </w:r>
    </w:p>
    <w:p w:rsidR="00B72BB9" w:rsidRPr="00274D24" w:rsidRDefault="00B72BB9" w:rsidP="00252289">
      <w:pPr>
        <w:pStyle w:val="RKnormal"/>
      </w:pPr>
    </w:p>
    <w:p w:rsidR="0069664F" w:rsidRPr="00274D24" w:rsidRDefault="0069664F" w:rsidP="00252289">
      <w:pPr>
        <w:pStyle w:val="RKnormal"/>
        <w:rPr>
          <w:b/>
          <w:bCs/>
        </w:rPr>
      </w:pPr>
      <w:r w:rsidRPr="00274D24">
        <w:rPr>
          <w:b/>
          <w:bCs/>
        </w:rPr>
        <w:t>Förslag till svensk ståndpunkt</w:t>
      </w:r>
    </w:p>
    <w:p w:rsidR="0069664F" w:rsidRPr="00274D24" w:rsidRDefault="0069664F" w:rsidP="00252289">
      <w:pPr>
        <w:pStyle w:val="RKnormal"/>
      </w:pPr>
      <w:r w:rsidRPr="00274D24">
        <w:t xml:space="preserve">Regeringen är positiv till förslagets huvudinriktning. </w:t>
      </w:r>
    </w:p>
    <w:p w:rsidR="00252289" w:rsidRPr="00274D24" w:rsidRDefault="00252289" w:rsidP="00252289">
      <w:pPr>
        <w:pStyle w:val="RKnormal"/>
      </w:pPr>
    </w:p>
    <w:p w:rsidR="00252289" w:rsidRPr="00274D24" w:rsidRDefault="00B72BB9" w:rsidP="00B72BB9">
      <w:pPr>
        <w:pStyle w:val="RKnormal"/>
        <w:rPr>
          <w:rFonts w:ascii="TradeGothic" w:hAnsi="TradeGothic"/>
          <w:b/>
          <w:bCs/>
          <w:sz w:val="22"/>
        </w:rPr>
      </w:pPr>
      <w:r w:rsidRPr="00274D24">
        <w:rPr>
          <w:rFonts w:ascii="TradeGothic" w:hAnsi="TradeGothic"/>
          <w:b/>
          <w:bCs/>
          <w:sz w:val="22"/>
        </w:rPr>
        <w:t xml:space="preserve">13 </w:t>
      </w:r>
      <w:r w:rsidR="00252289" w:rsidRPr="00274D24">
        <w:rPr>
          <w:rFonts w:ascii="TradeGothic" w:hAnsi="TradeGothic"/>
          <w:b/>
          <w:bCs/>
          <w:sz w:val="22"/>
        </w:rPr>
        <w:t>Förslag till Europaparlamentets och rådets förordning om gemensamma regler beträffande de villkor som skall uppfyllas av personer som yrkesmässigt bedriver transporter på väg</w:t>
      </w:r>
    </w:p>
    <w:p w:rsidR="00B72BB9" w:rsidRPr="00274D24" w:rsidRDefault="00B72BB9" w:rsidP="00252289">
      <w:pPr>
        <w:pStyle w:val="RKnormal"/>
        <w:rPr>
          <w:b/>
          <w:i/>
          <w:iCs/>
        </w:rPr>
      </w:pPr>
    </w:p>
    <w:p w:rsidR="00252289" w:rsidRPr="00274D24" w:rsidRDefault="00B72BB9" w:rsidP="00252289">
      <w:pPr>
        <w:pStyle w:val="RKnormal"/>
        <w:rPr>
          <w:i/>
          <w:iCs/>
        </w:rPr>
      </w:pPr>
      <w:r w:rsidRPr="00274D24">
        <w:rPr>
          <w:i/>
          <w:iCs/>
        </w:rPr>
        <w:t xml:space="preserve">- </w:t>
      </w:r>
      <w:r w:rsidR="00252289" w:rsidRPr="00274D24">
        <w:rPr>
          <w:i/>
          <w:iCs/>
        </w:rPr>
        <w:t>lägesrapport</w:t>
      </w:r>
    </w:p>
    <w:p w:rsidR="00252289" w:rsidRPr="00274D24" w:rsidRDefault="00252289" w:rsidP="00252289">
      <w:pPr>
        <w:pStyle w:val="RKnormal"/>
      </w:pPr>
      <w:r w:rsidRPr="00274D24">
        <w:t>10114/07 TRANS 194 CODEC 602</w:t>
      </w:r>
    </w:p>
    <w:p w:rsidR="00252289" w:rsidRPr="00274D24" w:rsidRDefault="00252289" w:rsidP="00252289">
      <w:pPr>
        <w:pStyle w:val="RKnormal"/>
      </w:pPr>
    </w:p>
    <w:p w:rsidR="00252289" w:rsidRPr="00274D24" w:rsidRDefault="00252289" w:rsidP="00252289">
      <w:pPr>
        <w:pStyle w:val="RKnormal"/>
      </w:pPr>
      <w:r w:rsidRPr="00274D24">
        <w:t>Förslaget har inte tidigare behandlats i EU-nämnden.</w:t>
      </w:r>
    </w:p>
    <w:p w:rsidR="00252289" w:rsidRPr="00274D24" w:rsidRDefault="00252289" w:rsidP="00252289">
      <w:pPr>
        <w:pStyle w:val="RKnormal"/>
      </w:pPr>
    </w:p>
    <w:p w:rsidR="00252289" w:rsidRPr="00274D24" w:rsidRDefault="00252289" w:rsidP="00252289">
      <w:pPr>
        <w:pStyle w:val="RKnormal"/>
        <w:rPr>
          <w:b/>
          <w:bCs/>
        </w:rPr>
      </w:pPr>
      <w:r w:rsidRPr="00274D24">
        <w:rPr>
          <w:b/>
          <w:bCs/>
        </w:rPr>
        <w:t>Bakgrund</w:t>
      </w:r>
    </w:p>
    <w:p w:rsidR="00252289" w:rsidRPr="00274D24" w:rsidRDefault="00252289" w:rsidP="00252289">
      <w:pPr>
        <w:pStyle w:val="RKnormal"/>
      </w:pPr>
      <w:r w:rsidRPr="00274D24">
        <w:t>Syftet med förslagen är att göra den inre marknaden för gods- och busstransporter mer effektiv genom att ytterligare harmonisera vägtransportmarknaden och förbättra transportoperatörernas efterlevnad av sociallagstiftning och säkerhetsregler. Förslagen avses förtydliga och förbättra den befintliga lagstiftningen och KOM räknar med de ska leda till ytterligare harmonisering och en besparing vad gäller administrativa kostnader för företag och myndigheter med mer rättvisa konkurrensvillkor, lika yrkesmässiga kvalifikationer, tekniska krav och andra säkerhetskrav och minskning av den administrativa bördan.</w:t>
      </w:r>
    </w:p>
    <w:p w:rsidR="00252289" w:rsidRPr="00274D24" w:rsidRDefault="00252289" w:rsidP="00252289">
      <w:pPr>
        <w:pStyle w:val="RKnormal"/>
      </w:pPr>
      <w:r w:rsidRPr="00274D24">
        <w:t xml:space="preserve"> </w:t>
      </w:r>
    </w:p>
    <w:p w:rsidR="00252289" w:rsidRPr="00274D24" w:rsidRDefault="00252289" w:rsidP="00252289">
      <w:pPr>
        <w:pStyle w:val="RKnormal"/>
      </w:pPr>
      <w:r w:rsidRPr="00274D24">
        <w:t>I förslaget till förordning om gemensamma regler beträffande de villkor som ska uppfyllas av personer som yrkesmässigt bedriver transporter på väg föreslår kommissionen bland annat att lagstiftningen ska avse alla fordon över 3,5 ton, att tydligare etableringsvillkor införs, ett ökat ansvar och förbättrad yrkesmässig kompetens för företagets transportansvarige, att utförligare föreskrifter om vilka överträdelser som kan leda till förlorat gott anseende och nya indikatorer för att bedöma ett företags ekonomiska kapacitet införs samt en förbättrad övervakning av reglerna och förenkling av det administrativa samarbetet möjliggörs bland annat genom införandet av ett elektroniskt företagsregister.</w:t>
      </w:r>
    </w:p>
    <w:p w:rsidR="00252289" w:rsidRPr="00274D24" w:rsidRDefault="00252289" w:rsidP="00252289">
      <w:pPr>
        <w:pStyle w:val="RKnormal"/>
      </w:pPr>
    </w:p>
    <w:p w:rsidR="00252289" w:rsidRPr="00274D24" w:rsidRDefault="00252289" w:rsidP="00252289">
      <w:pPr>
        <w:pStyle w:val="RKnormal"/>
        <w:rPr>
          <w:b/>
          <w:bCs/>
        </w:rPr>
      </w:pPr>
      <w:r w:rsidRPr="00274D24">
        <w:rPr>
          <w:b/>
          <w:bCs/>
        </w:rPr>
        <w:t>Förslag till svensk ståndpunkt</w:t>
      </w:r>
    </w:p>
    <w:p w:rsidR="00252289" w:rsidRPr="00274D24" w:rsidRDefault="00252289" w:rsidP="00252289">
      <w:pPr>
        <w:pStyle w:val="RKnormal"/>
      </w:pPr>
      <w:r w:rsidRPr="00274D24">
        <w:t>Regeringen är positiv till förslagets huvudinriktning.</w:t>
      </w:r>
    </w:p>
    <w:p w:rsidR="0069664F" w:rsidRPr="00274D24" w:rsidRDefault="0069664F" w:rsidP="009021E5">
      <w:pPr>
        <w:pStyle w:val="RKnormal"/>
      </w:pPr>
    </w:p>
    <w:p w:rsidR="009021E5" w:rsidRPr="00274D24" w:rsidRDefault="00B72BB9" w:rsidP="00B72BB9">
      <w:pPr>
        <w:pStyle w:val="RKnormal"/>
        <w:rPr>
          <w:rFonts w:ascii="TradeGothic" w:hAnsi="TradeGothic"/>
          <w:b/>
          <w:bCs/>
          <w:sz w:val="22"/>
        </w:rPr>
      </w:pPr>
      <w:r w:rsidRPr="00274D24">
        <w:rPr>
          <w:rFonts w:ascii="TradeGothic" w:hAnsi="TradeGothic"/>
          <w:b/>
          <w:bCs/>
          <w:sz w:val="22"/>
        </w:rPr>
        <w:t xml:space="preserve">14 </w:t>
      </w:r>
      <w:r w:rsidR="009021E5" w:rsidRPr="00274D24">
        <w:rPr>
          <w:rFonts w:ascii="TradeGothic" w:hAnsi="TradeGothic"/>
          <w:b/>
          <w:bCs/>
          <w:sz w:val="22"/>
        </w:rPr>
        <w:t>Förslag till direktiv om driftskompatibiliteten hos gemenskapens järnvägssystem</w:t>
      </w:r>
    </w:p>
    <w:p w:rsidR="00B72BB9" w:rsidRPr="00274D24" w:rsidRDefault="00B72BB9" w:rsidP="009021E5">
      <w:pPr>
        <w:pStyle w:val="RKnormal"/>
        <w:rPr>
          <w:b/>
          <w:bCs/>
        </w:rPr>
      </w:pPr>
    </w:p>
    <w:p w:rsidR="009021E5" w:rsidRPr="00274D24" w:rsidRDefault="009021E5" w:rsidP="009021E5">
      <w:pPr>
        <w:pStyle w:val="RKnormal"/>
        <w:rPr>
          <w:i/>
          <w:iCs/>
        </w:rPr>
      </w:pPr>
      <w:r w:rsidRPr="00274D24">
        <w:rPr>
          <w:b/>
          <w:bCs/>
        </w:rPr>
        <w:t xml:space="preserve"> </w:t>
      </w:r>
      <w:r w:rsidRPr="00274D24">
        <w:rPr>
          <w:i/>
          <w:iCs/>
        </w:rPr>
        <w:t xml:space="preserve">- Politisk överenskommelse </w:t>
      </w:r>
    </w:p>
    <w:p w:rsidR="009021E5" w:rsidRPr="00274D24" w:rsidRDefault="009021E5" w:rsidP="009021E5">
      <w:pPr>
        <w:pStyle w:val="RKnormal"/>
      </w:pPr>
      <w:r w:rsidRPr="00274D24">
        <w:t>17038/06 TRANS 348 CODEC 1598</w:t>
      </w:r>
    </w:p>
    <w:p w:rsidR="009021E5" w:rsidRPr="00274D24" w:rsidRDefault="009021E5" w:rsidP="009021E5">
      <w:pPr>
        <w:pStyle w:val="RKnormal"/>
      </w:pPr>
    </w:p>
    <w:p w:rsidR="009021E5" w:rsidRPr="00274D24" w:rsidRDefault="009021E5" w:rsidP="009021E5">
      <w:pPr>
        <w:pStyle w:val="RKnormal"/>
      </w:pPr>
      <w:r w:rsidRPr="00274D24">
        <w:t>Förslaget behandlades inför TTE-rådet i EU-nämnden den 28 september 2007.</w:t>
      </w:r>
    </w:p>
    <w:p w:rsidR="009021E5" w:rsidRPr="00274D24" w:rsidRDefault="009021E5" w:rsidP="009021E5">
      <w:pPr>
        <w:pStyle w:val="RKnormal"/>
      </w:pPr>
    </w:p>
    <w:p w:rsidR="009021E5" w:rsidRPr="00274D24" w:rsidRDefault="009021E5" w:rsidP="009021E5">
      <w:pPr>
        <w:pStyle w:val="RKnormal"/>
        <w:rPr>
          <w:b/>
          <w:bCs/>
        </w:rPr>
      </w:pPr>
      <w:r w:rsidRPr="00274D24">
        <w:rPr>
          <w:b/>
          <w:bCs/>
        </w:rPr>
        <w:t>Bakgrund</w:t>
      </w:r>
    </w:p>
    <w:p w:rsidR="009021E5" w:rsidRPr="00274D24" w:rsidRDefault="009021E5" w:rsidP="009021E5">
      <w:pPr>
        <w:pStyle w:val="RKnormal"/>
      </w:pPr>
    </w:p>
    <w:p w:rsidR="009021E5" w:rsidRPr="00274D24" w:rsidRDefault="009021E5" w:rsidP="009021E5">
      <w:pPr>
        <w:pStyle w:val="RKnormal"/>
      </w:pPr>
      <w:r w:rsidRPr="00274D24">
        <w:t>Förslaget till rättsakt ingår som en del i ett paket benämnt ”Att underlätta rörligheten för lokomotiv i gemenskapen”. Paketet innehåller, förutom förslaget till driftskompatibilitetsdirektiv, även förslag till revidering av direktiv 2004/49/EG om järnvägssäkerhet och av förordning 881/2004, om inrättandet av den Europeiska järnvägssäkerhetsbyrån. Förslaget till direktiv om driftskompatibilitet föreslås ersätta de nu gällande direktiven 96/48/EG om driftskompatibiliteten hos det transeuropeiska systemet för höghastighetståg och 2001/16/EG om driftskompatibiliteten hos järnvägssystemet för konventionella tåg. Motiven bakom förslaget till nytt direktiv är:</w:t>
      </w:r>
    </w:p>
    <w:p w:rsidR="009021E5" w:rsidRPr="00274D24" w:rsidRDefault="009021E5" w:rsidP="009021E5">
      <w:pPr>
        <w:pStyle w:val="RKnormal"/>
        <w:numPr>
          <w:ilvl w:val="0"/>
          <w:numId w:val="19"/>
        </w:numPr>
      </w:pPr>
      <w:r w:rsidRPr="00274D24">
        <w:t>att åstadkomma ett förbättrat förfarande för godkännande av främst lokomotiv i syfte att underlätta den fria rörligheten inom gemenskapen,</w:t>
      </w:r>
    </w:p>
    <w:p w:rsidR="009021E5" w:rsidRPr="00274D24" w:rsidRDefault="009021E5" w:rsidP="009021E5">
      <w:pPr>
        <w:pStyle w:val="RKnormal"/>
        <w:numPr>
          <w:ilvl w:val="0"/>
          <w:numId w:val="19"/>
        </w:numPr>
      </w:pPr>
      <w:r w:rsidRPr="00274D24">
        <w:t>att åstadkomma ett konsoliderat och förenklat regelverk för driftskompatibilitet på järnvägsområdet (s.k. recast),</w:t>
      </w:r>
    </w:p>
    <w:p w:rsidR="009021E5" w:rsidRPr="00274D24" w:rsidRDefault="009021E5" w:rsidP="009021E5">
      <w:pPr>
        <w:pStyle w:val="RKnormal"/>
        <w:numPr>
          <w:ilvl w:val="0"/>
          <w:numId w:val="19"/>
        </w:numPr>
      </w:pPr>
      <w:r w:rsidRPr="00274D24">
        <w:t xml:space="preserve">att, mot bakgrund av vunna tillämpningserfarenheter, åstadkomma ett antal tekniska förbättringar av regelverket för driftskompatibilitet. </w:t>
      </w:r>
    </w:p>
    <w:p w:rsidR="009021E5" w:rsidRPr="00274D24" w:rsidRDefault="009021E5" w:rsidP="009021E5">
      <w:pPr>
        <w:pStyle w:val="RKnormal"/>
        <w:rPr>
          <w:b/>
        </w:rPr>
      </w:pPr>
    </w:p>
    <w:p w:rsidR="009021E5" w:rsidRPr="00274D24" w:rsidRDefault="009021E5" w:rsidP="009021E5">
      <w:pPr>
        <w:pStyle w:val="RKnormal"/>
      </w:pPr>
      <w:r w:rsidRPr="00274D24">
        <w:t xml:space="preserve">Rådet fattade ett beslut om allmän inriktning i oktober 2007. Därefter har informella förhandlingar förts i syfte att nå en uppgörelse om paketet i första läsningen. Förhandlingarna har resulterat i vissa förändringar av den aktuella rättsakten. </w:t>
      </w:r>
    </w:p>
    <w:p w:rsidR="009021E5" w:rsidRPr="00274D24" w:rsidRDefault="009021E5" w:rsidP="009021E5">
      <w:pPr>
        <w:pStyle w:val="RKnormal"/>
      </w:pPr>
    </w:p>
    <w:p w:rsidR="009021E5" w:rsidRPr="00274D24" w:rsidRDefault="009021E5" w:rsidP="009021E5">
      <w:pPr>
        <w:pStyle w:val="RKnormal"/>
        <w:rPr>
          <w:b/>
          <w:bCs/>
        </w:rPr>
      </w:pPr>
      <w:r w:rsidRPr="00274D24">
        <w:rPr>
          <w:b/>
          <w:bCs/>
        </w:rPr>
        <w:t>Förslag till svensk ståndpunkt</w:t>
      </w:r>
    </w:p>
    <w:p w:rsidR="009021E5" w:rsidRPr="00274D24" w:rsidRDefault="009021E5" w:rsidP="009021E5">
      <w:pPr>
        <w:pStyle w:val="RKnormal"/>
      </w:pPr>
      <w:r w:rsidRPr="00274D24">
        <w:t>Regeringen föreslår att Sverige godkänner den föreslagna politiska överenskommelsen.</w:t>
      </w:r>
    </w:p>
    <w:p w:rsidR="009021E5" w:rsidRPr="00274D24" w:rsidRDefault="009021E5" w:rsidP="009021E5">
      <w:pPr>
        <w:pStyle w:val="RKnormal"/>
      </w:pPr>
    </w:p>
    <w:p w:rsidR="009021E5" w:rsidRPr="00274D24" w:rsidRDefault="009021E5" w:rsidP="009021E5">
      <w:r w:rsidRPr="00274D24">
        <w:t xml:space="preserve">Se även ministerrådspromemoria. </w:t>
      </w:r>
    </w:p>
    <w:p w:rsidR="009021E5" w:rsidRPr="00274D24" w:rsidRDefault="009021E5" w:rsidP="009021E5">
      <w:pPr>
        <w:pStyle w:val="RKnormal"/>
      </w:pPr>
    </w:p>
    <w:p w:rsidR="009021E5" w:rsidRPr="00274D24" w:rsidRDefault="00B72BB9" w:rsidP="00B72BB9">
      <w:pPr>
        <w:pStyle w:val="RKnormal"/>
        <w:rPr>
          <w:rFonts w:ascii="TradeGothic" w:hAnsi="TradeGothic"/>
          <w:b/>
          <w:bCs/>
          <w:sz w:val="22"/>
        </w:rPr>
      </w:pPr>
      <w:r w:rsidRPr="00274D24">
        <w:rPr>
          <w:rFonts w:ascii="TradeGothic" w:hAnsi="TradeGothic"/>
          <w:b/>
          <w:bCs/>
          <w:sz w:val="22"/>
        </w:rPr>
        <w:t xml:space="preserve">15 </w:t>
      </w:r>
      <w:r w:rsidR="009021E5" w:rsidRPr="00274D24">
        <w:rPr>
          <w:rFonts w:ascii="TradeGothic" w:hAnsi="TradeGothic"/>
          <w:b/>
          <w:bCs/>
          <w:sz w:val="22"/>
        </w:rPr>
        <w:t>Förslag till direktiv om ändring av rådets och Europaparlamentets direktiv om säkerheten vid gemenskapens järnvägar (2004/49/EG)</w:t>
      </w:r>
    </w:p>
    <w:p w:rsidR="00B72BB9" w:rsidRPr="00274D24" w:rsidRDefault="00B72BB9" w:rsidP="009021E5">
      <w:pPr>
        <w:pStyle w:val="RKnormal"/>
        <w:rPr>
          <w:i/>
          <w:iCs/>
        </w:rPr>
      </w:pPr>
    </w:p>
    <w:p w:rsidR="009021E5" w:rsidRPr="00274D24" w:rsidRDefault="009021E5" w:rsidP="009021E5">
      <w:pPr>
        <w:pStyle w:val="RKnormal"/>
        <w:rPr>
          <w:i/>
          <w:iCs/>
        </w:rPr>
      </w:pPr>
      <w:r w:rsidRPr="00274D24">
        <w:rPr>
          <w:i/>
          <w:iCs/>
        </w:rPr>
        <w:t>Politisk överenskommelse</w:t>
      </w:r>
    </w:p>
    <w:p w:rsidR="009021E5" w:rsidRPr="00274D24" w:rsidRDefault="009021E5" w:rsidP="009021E5">
      <w:pPr>
        <w:pStyle w:val="RKnormal"/>
      </w:pPr>
      <w:r w:rsidRPr="00274D24">
        <w:t>17039/06 TRANS 349 CODEC 1599</w:t>
      </w:r>
    </w:p>
    <w:p w:rsidR="009021E5" w:rsidRPr="00274D24" w:rsidRDefault="009021E5" w:rsidP="009021E5">
      <w:pPr>
        <w:pStyle w:val="RKnormal"/>
      </w:pPr>
    </w:p>
    <w:p w:rsidR="009021E5" w:rsidRPr="00274D24" w:rsidRDefault="009021E5" w:rsidP="009021E5">
      <w:pPr>
        <w:pStyle w:val="RKnormal"/>
      </w:pPr>
      <w:r w:rsidRPr="00274D24">
        <w:t>Förslaget behandlades den  28 september 2007 i EU-nämnden inför TTE-rådet.</w:t>
      </w:r>
    </w:p>
    <w:p w:rsidR="009021E5" w:rsidRPr="00274D24" w:rsidRDefault="009021E5" w:rsidP="009021E5">
      <w:pPr>
        <w:pStyle w:val="RKnormal"/>
      </w:pPr>
    </w:p>
    <w:p w:rsidR="009021E5" w:rsidRPr="00274D24" w:rsidRDefault="009021E5" w:rsidP="009021E5">
      <w:pPr>
        <w:pStyle w:val="RKnormal"/>
        <w:rPr>
          <w:b/>
          <w:bCs/>
        </w:rPr>
      </w:pPr>
      <w:r w:rsidRPr="00274D24">
        <w:rPr>
          <w:b/>
          <w:bCs/>
        </w:rPr>
        <w:t>Bakgrund</w:t>
      </w:r>
    </w:p>
    <w:p w:rsidR="009021E5" w:rsidRPr="00274D24" w:rsidRDefault="009021E5" w:rsidP="009021E5">
      <w:pPr>
        <w:pStyle w:val="RKnormal"/>
      </w:pPr>
      <w:r w:rsidRPr="00274D24">
        <w:t>Förslaget till rättsakt ingår som en del i ett paket benämnt ”Att underlätta rörligheten för lokomotiv i gemenskapen”. Paketet innehåller, förutom förslaget till ändring av direktiv 2004/49/EG, även förslag till direktiv om driftskompatibiliteten hos gemenskapens järnvägssystem och av förordning om ändring av förordning 881/2004 om inrättandet av den Europeiska järnvägssäkerhetsbyrån. Syftena bakom förslaget till direktiv om ändring av järnvägssäkerhetsdirektivet 2004/49/EG är att åstadkomma:</w:t>
      </w:r>
    </w:p>
    <w:p w:rsidR="009021E5" w:rsidRPr="00274D24" w:rsidRDefault="009021E5" w:rsidP="009021E5">
      <w:pPr>
        <w:pStyle w:val="RKnormal"/>
      </w:pPr>
    </w:p>
    <w:p w:rsidR="009021E5" w:rsidRPr="00274D24" w:rsidRDefault="009021E5" w:rsidP="009021E5">
      <w:pPr>
        <w:pStyle w:val="RKnormal"/>
        <w:numPr>
          <w:ilvl w:val="0"/>
          <w:numId w:val="20"/>
        </w:numPr>
      </w:pPr>
      <w:r w:rsidRPr="00274D24">
        <w:t>ett förbättrat förfarande för godkännande av rullande materiel, för vilken bestämmelserna om driftskompatibilitet inte är tillämpliga, i syfte att underlätta den fria rörligheten inom gemenskapen,</w:t>
      </w:r>
    </w:p>
    <w:p w:rsidR="009021E5" w:rsidRPr="00274D24" w:rsidRDefault="009021E5" w:rsidP="009021E5">
      <w:pPr>
        <w:pStyle w:val="RKnormal"/>
        <w:numPr>
          <w:ilvl w:val="0"/>
          <w:numId w:val="20"/>
        </w:numPr>
      </w:pPr>
      <w:r w:rsidRPr="00274D24">
        <w:t>ett konsoliderat och förenklat regelverk för järnvägssäkerhet på järnvägsområdet (s.k. recast),</w:t>
      </w:r>
    </w:p>
    <w:p w:rsidR="009021E5" w:rsidRPr="00274D24" w:rsidRDefault="009021E5" w:rsidP="009021E5">
      <w:pPr>
        <w:pStyle w:val="RKnormal"/>
        <w:numPr>
          <w:ilvl w:val="0"/>
          <w:numId w:val="20"/>
        </w:numPr>
      </w:pPr>
      <w:r w:rsidRPr="00274D24">
        <w:t>ett antal smärre tekniska förbättringar av järnvägssäkerhetsregelverket.</w:t>
      </w:r>
    </w:p>
    <w:p w:rsidR="009021E5" w:rsidRPr="00274D24" w:rsidRDefault="009021E5" w:rsidP="009021E5">
      <w:pPr>
        <w:pStyle w:val="RKnormal"/>
      </w:pPr>
    </w:p>
    <w:p w:rsidR="009021E5" w:rsidRPr="00274D24" w:rsidRDefault="009021E5" w:rsidP="009021E5">
      <w:pPr>
        <w:pStyle w:val="RKnormal"/>
      </w:pPr>
      <w:r w:rsidRPr="00274D24">
        <w:t>För att uppnå angivna syften innehåller KOM:s ursprungliga bestämmelser som rör godkännande av järnvägsfordon som inte omfattas av TSD utfärdade i enlighet med bestämmelserna om driftskompatibilitet (gamla och ej uppgraderade fordon), underhåll av järnvägsfordon samt verksamheter som ska bedömas i samband med behörig nationell myndighets utfärdande av säkerhetsintyg till järnvägsföretag.</w:t>
      </w:r>
    </w:p>
    <w:p w:rsidR="009021E5" w:rsidRPr="00274D24" w:rsidRDefault="009021E5" w:rsidP="009021E5">
      <w:pPr>
        <w:pStyle w:val="RKnormal"/>
      </w:pPr>
    </w:p>
    <w:p w:rsidR="009021E5" w:rsidRPr="00274D24" w:rsidRDefault="009021E5" w:rsidP="009021E5">
      <w:pPr>
        <w:pStyle w:val="RKnormal"/>
      </w:pPr>
      <w:r w:rsidRPr="00274D24">
        <w:t>Under behandlingen i rådsarbetsgruppen ändrades KOM:s förslag i ett väsentligt avseende. Bestämmelserna om fordonsgodkännande flyttades över till direktivet om driftskompatibiliteten hos gemenskapens järnvägssystem. Rådet fattade beslut om allmän inriktning i oktober 2007. Därefter har informella förhandlingar förts i syfte att nå en uppgörelse om paketet i första läsningen. EP:s TRAN-utskott har i allt väsentligt kunna acceptera rådets beslut om allmän inriktning för förslaget.</w:t>
      </w:r>
    </w:p>
    <w:p w:rsidR="009021E5" w:rsidRPr="00274D24" w:rsidRDefault="009021E5" w:rsidP="009021E5">
      <w:pPr>
        <w:pStyle w:val="RKnormal"/>
        <w:rPr>
          <w:b/>
          <w:bCs/>
        </w:rPr>
      </w:pPr>
    </w:p>
    <w:p w:rsidR="009021E5" w:rsidRPr="00274D24" w:rsidRDefault="009021E5" w:rsidP="009021E5">
      <w:pPr>
        <w:pStyle w:val="RKnormal"/>
        <w:rPr>
          <w:b/>
          <w:bCs/>
        </w:rPr>
      </w:pPr>
      <w:r w:rsidRPr="00274D24">
        <w:rPr>
          <w:b/>
          <w:bCs/>
        </w:rPr>
        <w:t>Förslag till svensk ståndpunkt</w:t>
      </w:r>
    </w:p>
    <w:p w:rsidR="009021E5" w:rsidRPr="00274D24" w:rsidRDefault="009021E5" w:rsidP="009021E5">
      <w:pPr>
        <w:pStyle w:val="RKnormal"/>
      </w:pPr>
      <w:r w:rsidRPr="00274D24">
        <w:t>Regeringen föreslår att Sverige godkänner förslaget till politisk överenskommelse.</w:t>
      </w:r>
    </w:p>
    <w:p w:rsidR="009021E5" w:rsidRPr="00274D24" w:rsidRDefault="009021E5" w:rsidP="009021E5">
      <w:pPr>
        <w:pStyle w:val="RKnormal"/>
      </w:pPr>
    </w:p>
    <w:p w:rsidR="009021E5" w:rsidRPr="00274D24" w:rsidRDefault="009021E5" w:rsidP="009021E5">
      <w:r w:rsidRPr="00274D24">
        <w:t>Se även ministerrådspromemorior om förslag till ändring av rådets och Europaparlamentets direktiv om säkerheten vid gemenskapens järnvägar respektive förslag till direktiv om driftskompatibiliteten hos gemenskapens järnvägssystem.</w:t>
      </w:r>
    </w:p>
    <w:p w:rsidR="009021E5" w:rsidRPr="00274D24" w:rsidRDefault="009021E5" w:rsidP="009021E5">
      <w:pPr>
        <w:pStyle w:val="RKnormal"/>
      </w:pPr>
    </w:p>
    <w:p w:rsidR="009021E5" w:rsidRPr="00274D24" w:rsidRDefault="00B72BB9" w:rsidP="00B72BB9">
      <w:pPr>
        <w:pStyle w:val="RKnormal"/>
        <w:rPr>
          <w:rFonts w:ascii="TradeGothic" w:hAnsi="TradeGothic"/>
          <w:b/>
          <w:bCs/>
          <w:sz w:val="22"/>
        </w:rPr>
      </w:pPr>
      <w:r w:rsidRPr="00274D24">
        <w:rPr>
          <w:rFonts w:ascii="TradeGothic" w:hAnsi="TradeGothic"/>
          <w:b/>
          <w:bCs/>
          <w:sz w:val="22"/>
        </w:rPr>
        <w:t xml:space="preserve">16 </w:t>
      </w:r>
      <w:r w:rsidR="009021E5" w:rsidRPr="00274D24">
        <w:rPr>
          <w:rFonts w:ascii="TradeGothic" w:hAnsi="TradeGothic"/>
          <w:b/>
          <w:bCs/>
          <w:sz w:val="22"/>
        </w:rPr>
        <w:t>Förslag till ändring av förordningen om inrättande av en Europeisk Järnvägsbyrå</w:t>
      </w:r>
    </w:p>
    <w:p w:rsidR="009021E5" w:rsidRPr="00274D24" w:rsidRDefault="009021E5" w:rsidP="009021E5">
      <w:pPr>
        <w:pStyle w:val="RKnormal"/>
        <w:rPr>
          <w:i/>
          <w:iCs/>
        </w:rPr>
      </w:pPr>
    </w:p>
    <w:p w:rsidR="009021E5" w:rsidRPr="00274D24" w:rsidRDefault="009021E5" w:rsidP="009021E5">
      <w:pPr>
        <w:pStyle w:val="RKnormal"/>
        <w:rPr>
          <w:i/>
          <w:iCs/>
        </w:rPr>
      </w:pPr>
      <w:r w:rsidRPr="00274D24">
        <w:rPr>
          <w:i/>
          <w:iCs/>
        </w:rPr>
        <w:t>Politisk överenskommelse</w:t>
      </w:r>
    </w:p>
    <w:p w:rsidR="009021E5" w:rsidRPr="00274D24" w:rsidRDefault="009021E5" w:rsidP="009021E5">
      <w:pPr>
        <w:pStyle w:val="RKnormal"/>
      </w:pPr>
      <w:r w:rsidRPr="00274D24">
        <w:t>17040/06 TRANS 350 CODEC 1600</w:t>
      </w:r>
    </w:p>
    <w:p w:rsidR="009021E5" w:rsidRPr="00274D24" w:rsidRDefault="009021E5" w:rsidP="009021E5">
      <w:pPr>
        <w:pStyle w:val="RKnormal"/>
      </w:pPr>
    </w:p>
    <w:p w:rsidR="009021E5" w:rsidRPr="00274D24" w:rsidRDefault="009021E5" w:rsidP="009021E5">
      <w:pPr>
        <w:pStyle w:val="RKnormal"/>
      </w:pPr>
      <w:r w:rsidRPr="00274D24">
        <w:t>Förslaget har inte behandlats tidigare i EU-nämnden.</w:t>
      </w:r>
    </w:p>
    <w:p w:rsidR="009021E5" w:rsidRPr="00274D24" w:rsidRDefault="009021E5" w:rsidP="009021E5">
      <w:pPr>
        <w:pStyle w:val="RKnormal"/>
      </w:pPr>
    </w:p>
    <w:p w:rsidR="009021E5" w:rsidRPr="00274D24" w:rsidRDefault="009021E5" w:rsidP="009021E5">
      <w:pPr>
        <w:pStyle w:val="RKnormal"/>
        <w:rPr>
          <w:b/>
          <w:bCs/>
        </w:rPr>
      </w:pPr>
      <w:r w:rsidRPr="00274D24">
        <w:rPr>
          <w:b/>
          <w:bCs/>
        </w:rPr>
        <w:t>Bakgrund</w:t>
      </w:r>
    </w:p>
    <w:p w:rsidR="009021E5" w:rsidRPr="00274D24" w:rsidRDefault="009021E5" w:rsidP="009021E5">
      <w:pPr>
        <w:pStyle w:val="RKnormal"/>
      </w:pPr>
      <w:r w:rsidRPr="00274D24">
        <w:t xml:space="preserve">Förslaget till ändring av förordningen (EG nr. 881/2004) om inrättande av en Europeisk Järnvägsbyrå ingår som en av tre rättsakter i ett paket benämnt ”Att underlätta rörligheten för lokomotiv inom gemenskapen. De övriga två rättsakterna är dels förslag till direktiv om ändring av järnvägssäkerhetsdirektivet (2004/49/EG), dels förslag till nytt driftskompatibilitetsdirektiv. Samtliga förslag behandlas inom ramen för programmet för förbättrad lagstiftning (recast). </w:t>
      </w:r>
    </w:p>
    <w:p w:rsidR="009021E5" w:rsidRPr="00274D24" w:rsidRDefault="009021E5" w:rsidP="009021E5">
      <w:pPr>
        <w:pStyle w:val="RKnormal"/>
      </w:pPr>
    </w:p>
    <w:p w:rsidR="009021E5" w:rsidRPr="00274D24" w:rsidRDefault="009021E5" w:rsidP="009021E5">
      <w:pPr>
        <w:rPr>
          <w:rStyle w:val="RKnormalChar"/>
        </w:rPr>
      </w:pPr>
      <w:r w:rsidRPr="00274D24">
        <w:t xml:space="preserve">De viktigaste motivet bakom förslaget är att </w:t>
      </w:r>
      <w:r w:rsidRPr="00274D24">
        <w:rPr>
          <w:rStyle w:val="RKnormalChar"/>
        </w:rPr>
        <w:t xml:space="preserve">bringa bättre överensstämmelse mellan förordningens bemyndiganden och de materiella bestämmelserna om driftskompatibilitet, järnvägssäkerhet och behörighetskrav på tågpersonal som återfinns i paketets två andra rättsakter respektive i det nyligen antagna direktivet om behörighetsprövning av lokförare.  </w:t>
      </w:r>
    </w:p>
    <w:p w:rsidR="009021E5" w:rsidRPr="00274D24" w:rsidRDefault="009021E5" w:rsidP="009021E5">
      <w:pPr>
        <w:pStyle w:val="RKnormal"/>
        <w:rPr>
          <w:b/>
          <w:bCs/>
        </w:rPr>
      </w:pPr>
      <w:r w:rsidRPr="00274D24">
        <w:t xml:space="preserve"> </w:t>
      </w:r>
    </w:p>
    <w:p w:rsidR="009021E5" w:rsidRPr="00274D24" w:rsidRDefault="009021E5" w:rsidP="009021E5">
      <w:pPr>
        <w:pStyle w:val="RKnormal"/>
        <w:rPr>
          <w:b/>
          <w:bCs/>
        </w:rPr>
      </w:pPr>
      <w:r w:rsidRPr="00274D24">
        <w:rPr>
          <w:b/>
          <w:bCs/>
        </w:rPr>
        <w:t>Förslag till svensk ståndpunkt</w:t>
      </w:r>
    </w:p>
    <w:p w:rsidR="009021E5" w:rsidRPr="00274D24" w:rsidRDefault="009021E5" w:rsidP="009021E5">
      <w:pPr>
        <w:pStyle w:val="RKnormal"/>
      </w:pPr>
      <w:r w:rsidRPr="00274D24">
        <w:t>Regeringen anser att Sverige bör kunna godkänna förslaget till politisk överenskommelse.</w:t>
      </w:r>
    </w:p>
    <w:p w:rsidR="009021E5" w:rsidRPr="00274D24" w:rsidRDefault="009021E5" w:rsidP="009021E5">
      <w:pPr>
        <w:pStyle w:val="RKnormal"/>
      </w:pPr>
    </w:p>
    <w:p w:rsidR="0049038C" w:rsidRPr="00274D24" w:rsidRDefault="0049038C" w:rsidP="009021E5">
      <w:pPr>
        <w:pStyle w:val="RKnormal"/>
        <w:jc w:val="both"/>
        <w:rPr>
          <w:b/>
          <w:bCs/>
        </w:rPr>
      </w:pPr>
      <w:r w:rsidRPr="00274D24">
        <w:rPr>
          <w:b/>
          <w:bCs/>
        </w:rPr>
        <w:t>LUFTTRAFIK</w:t>
      </w:r>
    </w:p>
    <w:p w:rsidR="0049038C" w:rsidRPr="00274D24" w:rsidRDefault="0049038C" w:rsidP="009021E5">
      <w:pPr>
        <w:pStyle w:val="RKnormal"/>
        <w:jc w:val="both"/>
        <w:rPr>
          <w:b/>
          <w:bCs/>
        </w:rPr>
      </w:pPr>
    </w:p>
    <w:p w:rsidR="009021E5" w:rsidRPr="00274D24" w:rsidRDefault="00B72BB9" w:rsidP="00B72BB9">
      <w:pPr>
        <w:pStyle w:val="RKnormal"/>
        <w:rPr>
          <w:rFonts w:ascii="TradeGothic" w:hAnsi="TradeGothic"/>
          <w:b/>
          <w:bCs/>
          <w:sz w:val="22"/>
        </w:rPr>
      </w:pPr>
      <w:r w:rsidRPr="00274D24">
        <w:rPr>
          <w:rFonts w:ascii="TradeGothic" w:hAnsi="TradeGothic"/>
          <w:b/>
          <w:bCs/>
          <w:sz w:val="22"/>
        </w:rPr>
        <w:t xml:space="preserve">17 </w:t>
      </w:r>
      <w:r w:rsidR="009021E5" w:rsidRPr="00274D24">
        <w:rPr>
          <w:rFonts w:ascii="TradeGothic" w:hAnsi="TradeGothic"/>
          <w:b/>
          <w:bCs/>
          <w:sz w:val="22"/>
        </w:rPr>
        <w:t xml:space="preserve">Förslag till Europaparlamentets och rådets direktiv om flygplatsavgifter </w:t>
      </w:r>
    </w:p>
    <w:p w:rsidR="009021E5" w:rsidRPr="00274D24" w:rsidRDefault="009021E5" w:rsidP="00B72BB9">
      <w:pPr>
        <w:pStyle w:val="RKnormal"/>
      </w:pPr>
    </w:p>
    <w:p w:rsidR="009021E5" w:rsidRPr="00274D24" w:rsidRDefault="009021E5" w:rsidP="00B72BB9">
      <w:pPr>
        <w:pStyle w:val="RKnormal"/>
        <w:rPr>
          <w:i/>
          <w:iCs/>
        </w:rPr>
      </w:pPr>
      <w:r w:rsidRPr="00274D24">
        <w:rPr>
          <w:i/>
          <w:iCs/>
        </w:rPr>
        <w:t>Allmän inriktning</w:t>
      </w:r>
    </w:p>
    <w:p w:rsidR="009021E5" w:rsidRPr="00274D24" w:rsidRDefault="009021E5" w:rsidP="00B72BB9">
      <w:pPr>
        <w:pStyle w:val="RKnormal"/>
      </w:pPr>
      <w:r w:rsidRPr="00274D24">
        <w:t>5887/07 AVIATION 27</w:t>
      </w:r>
    </w:p>
    <w:p w:rsidR="009021E5" w:rsidRPr="00274D24" w:rsidRDefault="009021E5" w:rsidP="00B72BB9">
      <w:pPr>
        <w:pStyle w:val="RKnormal"/>
      </w:pPr>
    </w:p>
    <w:p w:rsidR="009021E5" w:rsidRPr="00274D24" w:rsidRDefault="009021E5" w:rsidP="00B72BB9">
      <w:pPr>
        <w:pStyle w:val="RKnormal"/>
      </w:pPr>
      <w:r w:rsidRPr="00274D24">
        <w:t>Frågan har inte varit föremål för behandling i EU-nämnden tidigare.</w:t>
      </w:r>
    </w:p>
    <w:p w:rsidR="009021E5" w:rsidRPr="00274D24" w:rsidRDefault="009021E5" w:rsidP="00B72BB9">
      <w:pPr>
        <w:pStyle w:val="RKnormal"/>
      </w:pPr>
    </w:p>
    <w:p w:rsidR="009021E5" w:rsidRPr="00274D24" w:rsidRDefault="009021E5" w:rsidP="00B72BB9">
      <w:pPr>
        <w:pStyle w:val="RKnormal"/>
        <w:rPr>
          <w:b/>
          <w:bCs/>
        </w:rPr>
      </w:pPr>
      <w:r w:rsidRPr="00274D24">
        <w:rPr>
          <w:b/>
          <w:bCs/>
        </w:rPr>
        <w:t>Bakgrund</w:t>
      </w:r>
    </w:p>
    <w:p w:rsidR="009021E5" w:rsidRPr="00274D24" w:rsidRDefault="009021E5" w:rsidP="00B72BB9">
      <w:pPr>
        <w:pStyle w:val="RKnormal"/>
      </w:pPr>
      <w:r w:rsidRPr="00274D24">
        <w:t xml:space="preserve">Förslaget innehåller generella principer som ska tillämpas när flygplatsavgifter fastställs på nationell nivå. Detta omfattar bl.a.: </w:t>
      </w:r>
    </w:p>
    <w:p w:rsidR="009021E5" w:rsidRPr="00274D24" w:rsidRDefault="009021E5" w:rsidP="00B72BB9">
      <w:pPr>
        <w:pStyle w:val="RKnormal"/>
        <w:numPr>
          <w:ilvl w:val="0"/>
          <w:numId w:val="21"/>
        </w:numPr>
      </w:pPr>
      <w:r w:rsidRPr="00274D24">
        <w:t xml:space="preserve">Avgifterna får inte diskriminera mellan flygbolag och ska vara transparenta. </w:t>
      </w:r>
    </w:p>
    <w:p w:rsidR="009021E5" w:rsidRPr="00274D24" w:rsidRDefault="009021E5" w:rsidP="00B72BB9">
      <w:pPr>
        <w:pStyle w:val="RKnormal"/>
        <w:numPr>
          <w:ilvl w:val="0"/>
          <w:numId w:val="21"/>
        </w:numPr>
      </w:pPr>
      <w:r w:rsidRPr="00274D24">
        <w:t xml:space="preserve">Konsultationer mellan flygplatsförvaltare och brukare ska äga rum på regelbunden basis. Parterna ska kunna avtala om specifika kvalitetsstandarder. </w:t>
      </w:r>
    </w:p>
    <w:p w:rsidR="009021E5" w:rsidRPr="00274D24" w:rsidRDefault="009021E5" w:rsidP="00B72BB9">
      <w:pPr>
        <w:pStyle w:val="RKnormal"/>
        <w:numPr>
          <w:ilvl w:val="0"/>
          <w:numId w:val="21"/>
        </w:numPr>
      </w:pPr>
      <w:r w:rsidRPr="00274D24">
        <w:t xml:space="preserve">Förslaget möjliggör differentierade avgifter beroende på den tjänst som erbjuds vid terminalerna. Flygplatserna kommer även fortsättningsvis att fastställa sina egna avgifter. </w:t>
      </w:r>
    </w:p>
    <w:p w:rsidR="009021E5" w:rsidRPr="00274D24" w:rsidRDefault="009021E5" w:rsidP="00B72BB9">
      <w:pPr>
        <w:pStyle w:val="RKnormal"/>
        <w:numPr>
          <w:ilvl w:val="0"/>
          <w:numId w:val="21"/>
        </w:numPr>
      </w:pPr>
      <w:r w:rsidRPr="00274D24">
        <w:t>En tillsynsmyndighet inrättas i varje medlemsstat. Myndigheten ska vara oberoende och ha till uppgift att kontrollera att direktivet tillämpas på ett korrekt och effektivt sätt.</w:t>
      </w:r>
    </w:p>
    <w:p w:rsidR="009021E5" w:rsidRPr="00274D24" w:rsidRDefault="009021E5" w:rsidP="00B72BB9">
      <w:pPr>
        <w:pStyle w:val="RKnormal"/>
      </w:pPr>
    </w:p>
    <w:p w:rsidR="009021E5" w:rsidRPr="00274D24" w:rsidRDefault="009021E5" w:rsidP="00B72BB9">
      <w:pPr>
        <w:pStyle w:val="RKnormal"/>
      </w:pPr>
      <w:r w:rsidRPr="00274D24">
        <w:t xml:space="preserve">Det portugisiska ordförandeskapet har prioriterat frågan och den har varit föremål för förhandling i rådsarbetsgruppen under sommaren och hösten. </w:t>
      </w:r>
    </w:p>
    <w:p w:rsidR="009021E5" w:rsidRPr="00274D24" w:rsidRDefault="009021E5" w:rsidP="00B72BB9">
      <w:pPr>
        <w:pStyle w:val="RKnormal"/>
      </w:pPr>
    </w:p>
    <w:p w:rsidR="009021E5" w:rsidRPr="00274D24" w:rsidRDefault="009021E5" w:rsidP="00B72BB9">
      <w:pPr>
        <w:pStyle w:val="RKnormal"/>
        <w:rPr>
          <w:b/>
          <w:bCs/>
        </w:rPr>
      </w:pPr>
      <w:r w:rsidRPr="00274D24">
        <w:rPr>
          <w:b/>
          <w:bCs/>
        </w:rPr>
        <w:t>Förslag till svensk ståndpunkt</w:t>
      </w:r>
    </w:p>
    <w:p w:rsidR="009021E5" w:rsidRPr="00274D24" w:rsidRDefault="009021E5" w:rsidP="00B72BB9">
      <w:pPr>
        <w:pStyle w:val="RKnormal"/>
      </w:pPr>
      <w:r w:rsidRPr="00274D24">
        <w:t xml:space="preserve">Den debatt som finns mellan flygbolag och flygplatser i Europa visar enligt regeringen på ett behov av att fastställa grundläggande krav på att flygplatsernas avgifter följer ICAO:s principer om öppenhet och insyn samt icke-diskriminering. Regeringen ställer sig därför positiv till att gemensamma regler av ramkaraktär tas fram för flygplatsavgifter. Direktivet bör verka för en bättre dialog mellan flygplatser och flygbolag om avgifter, kostnader, servicenivåer och användarbehov. En viktig utgångspunkt för Sverige är att direktivet måste medge korssubsidiering inom ramen för ett flygplatssystem vilket är det system som sedan länge tillämpas i Sverige beträffande Luftfartsverkets flygplatser. Svenska synpunkter har överlag tagits emot positivt under förhandlingarna och regeringen anser att Sverige bör kunna ställa sig bakom den allmänna inriktningen. </w:t>
      </w:r>
    </w:p>
    <w:p w:rsidR="009021E5" w:rsidRPr="00274D24" w:rsidRDefault="009021E5" w:rsidP="009021E5">
      <w:pPr>
        <w:pStyle w:val="RKnormal"/>
      </w:pPr>
    </w:p>
    <w:p w:rsidR="0049038C" w:rsidRPr="00274D24" w:rsidRDefault="00B72BB9" w:rsidP="00B72BB9">
      <w:pPr>
        <w:pStyle w:val="RKnormal"/>
        <w:rPr>
          <w:rFonts w:ascii="TradeGothic" w:hAnsi="TradeGothic"/>
          <w:b/>
          <w:bCs/>
          <w:sz w:val="22"/>
        </w:rPr>
      </w:pPr>
      <w:r w:rsidRPr="00274D24">
        <w:rPr>
          <w:rFonts w:ascii="TradeGothic" w:hAnsi="TradeGothic"/>
          <w:b/>
          <w:bCs/>
          <w:sz w:val="22"/>
        </w:rPr>
        <w:t xml:space="preserve">18 </w:t>
      </w:r>
      <w:r w:rsidR="0049038C" w:rsidRPr="00274D24">
        <w:rPr>
          <w:rFonts w:ascii="TradeGothic" w:hAnsi="TradeGothic"/>
          <w:b/>
          <w:bCs/>
          <w:sz w:val="22"/>
        </w:rPr>
        <w:t>Förslag till Europarlamentets och rådets förordning om gemensamma regler för utförande av luftfartstjänster i gemenskapen (omarbetning)</w:t>
      </w:r>
    </w:p>
    <w:p w:rsidR="0049038C" w:rsidRPr="00274D24" w:rsidRDefault="0049038C" w:rsidP="0049038C">
      <w:pPr>
        <w:pStyle w:val="RKnormal"/>
        <w:rPr>
          <w:i/>
          <w:iCs/>
        </w:rPr>
      </w:pPr>
    </w:p>
    <w:p w:rsidR="0049038C" w:rsidRPr="00274D24" w:rsidRDefault="0049038C" w:rsidP="0049038C">
      <w:pPr>
        <w:pStyle w:val="RKnormal"/>
        <w:rPr>
          <w:i/>
          <w:iCs/>
        </w:rPr>
      </w:pPr>
      <w:r w:rsidRPr="00274D24">
        <w:rPr>
          <w:i/>
          <w:iCs/>
        </w:rPr>
        <w:t>- politisk överenskommelse</w:t>
      </w:r>
    </w:p>
    <w:p w:rsidR="0049038C" w:rsidRPr="00274D24" w:rsidRDefault="0049038C" w:rsidP="0049038C">
      <w:pPr>
        <w:pStyle w:val="RKnormal"/>
      </w:pPr>
      <w:r w:rsidRPr="00274D24">
        <w:t>11829/06 AVIATION 109 CODEC 784</w:t>
      </w:r>
    </w:p>
    <w:p w:rsidR="0049038C" w:rsidRPr="00274D24" w:rsidRDefault="0049038C" w:rsidP="0049038C">
      <w:pPr>
        <w:pStyle w:val="RKnormal"/>
      </w:pPr>
    </w:p>
    <w:p w:rsidR="0049038C" w:rsidRPr="00274D24" w:rsidRDefault="0049038C" w:rsidP="0049038C">
      <w:pPr>
        <w:pStyle w:val="RKnormal"/>
      </w:pPr>
      <w:r w:rsidRPr="00274D24">
        <w:t>Förslaget har tidigare behandlats i EU-nämnden inför rådsmötet den 7-8 juni 2007.</w:t>
      </w:r>
    </w:p>
    <w:p w:rsidR="0049038C" w:rsidRPr="00274D24" w:rsidRDefault="0049038C" w:rsidP="0049038C">
      <w:pPr>
        <w:pStyle w:val="RKnormal"/>
      </w:pPr>
    </w:p>
    <w:p w:rsidR="0049038C" w:rsidRPr="00274D24" w:rsidRDefault="0049038C" w:rsidP="0049038C">
      <w:pPr>
        <w:pStyle w:val="RKnormal"/>
        <w:rPr>
          <w:b/>
          <w:bCs/>
        </w:rPr>
      </w:pPr>
      <w:r w:rsidRPr="00274D24">
        <w:rPr>
          <w:b/>
          <w:bCs/>
        </w:rPr>
        <w:t>Bakgrund</w:t>
      </w:r>
    </w:p>
    <w:p w:rsidR="0049038C" w:rsidRPr="00274D24" w:rsidRDefault="0049038C" w:rsidP="0049038C">
      <w:pPr>
        <w:pStyle w:val="RKnormal"/>
        <w:rPr>
          <w:bCs/>
        </w:rPr>
      </w:pPr>
      <w:r w:rsidRPr="00274D24">
        <w:rPr>
          <w:bCs/>
        </w:rPr>
        <w:t>I juli 2006 antog KOM ett förslag till revision av de tre centrala förordningar som vanligtvis brukar kallas det tredje luftfartspaketet, nämligen de förordningar som rör licensiering av flygbolag, marknadstillträde respektive biljettpriser. Dessa förordningar brukar beskrivas som den sista etappen av avregleringen av luftfarten inom gemenskapen, som påbörjades 1987.</w:t>
      </w:r>
    </w:p>
    <w:p w:rsidR="0049038C" w:rsidRPr="00274D24" w:rsidRDefault="0049038C" w:rsidP="0049038C">
      <w:pPr>
        <w:pStyle w:val="RKnormal"/>
        <w:rPr>
          <w:bCs/>
        </w:rPr>
      </w:pPr>
    </w:p>
    <w:p w:rsidR="0049038C" w:rsidRPr="00274D24" w:rsidRDefault="0049038C" w:rsidP="0049038C">
      <w:pPr>
        <w:pStyle w:val="RKnormal"/>
        <w:rPr>
          <w:bCs/>
        </w:rPr>
      </w:pPr>
      <w:r w:rsidRPr="00274D24">
        <w:rPr>
          <w:bCs/>
        </w:rPr>
        <w:t>Enligt KOM har det tredje luftfartspaketet i stort sett fyllt sin roll samt underlättat tillväxten inom luftfarten i Europa. KOM anser dock att vissa bestämmelser har tillämpats dåligt eller behöver förtydligas, revideras eller tas bort för att skapa likvärdiga marknadsvillkor för alla EG-flygbolag. Revisionen syftar till att öka marknadseffektiviteten och flygsäkerheten samt att förbättra passagerarskyddet, men inte till någon radikal förändring av regelverket.</w:t>
      </w:r>
    </w:p>
    <w:p w:rsidR="0049038C" w:rsidRPr="00274D24" w:rsidRDefault="0049038C" w:rsidP="0049038C">
      <w:pPr>
        <w:pStyle w:val="RKnormal"/>
        <w:rPr>
          <w:bCs/>
        </w:rPr>
      </w:pPr>
    </w:p>
    <w:p w:rsidR="0049038C" w:rsidRPr="00274D24" w:rsidRDefault="0049038C" w:rsidP="0049038C">
      <w:pPr>
        <w:pStyle w:val="RKnormal"/>
        <w:rPr>
          <w:bCs/>
        </w:rPr>
      </w:pPr>
      <w:r w:rsidRPr="00274D24">
        <w:rPr>
          <w:bCs/>
        </w:rPr>
        <w:t>Strukturellt innebär förslaget att de tre nuvarande förordningarna upphävs och omarbetas till en ny gemensam förordning om ”gemensamma regler för utförande av luftfartstjänster i gemenskapen.”</w:t>
      </w:r>
    </w:p>
    <w:p w:rsidR="0049038C" w:rsidRPr="00274D24" w:rsidRDefault="0049038C" w:rsidP="0049038C">
      <w:pPr>
        <w:pStyle w:val="RKnormal"/>
        <w:rPr>
          <w:bCs/>
        </w:rPr>
      </w:pPr>
    </w:p>
    <w:p w:rsidR="0049038C" w:rsidRPr="00274D24" w:rsidRDefault="0049038C" w:rsidP="0049038C">
      <w:pPr>
        <w:pStyle w:val="RKnormal"/>
        <w:rPr>
          <w:bCs/>
        </w:rPr>
      </w:pPr>
      <w:r w:rsidRPr="00274D24">
        <w:rPr>
          <w:bCs/>
        </w:rPr>
        <w:t>Förslaget till ny förordning innebär vidare att det införs strängare finansiella krav på gemenskapens flygbolag och en noggrannare reglering av möjligheterna till wet leasing av flygplan (inhyrning av flygplan med besättning). Reglerna för upphandling av flygtrafik (PSO) förtydligas och reglerna om fördelning av trafik mellan flygplatser förenklas. Förslaget förstärker kraven på information när det gäller biljettpriser som erbjuds passagerare och fraktkunder.</w:t>
      </w:r>
    </w:p>
    <w:p w:rsidR="0049038C" w:rsidRPr="00274D24" w:rsidRDefault="0049038C" w:rsidP="0049038C">
      <w:pPr>
        <w:pStyle w:val="RKnormal"/>
        <w:rPr>
          <w:bCs/>
        </w:rPr>
      </w:pPr>
    </w:p>
    <w:p w:rsidR="0049038C" w:rsidRPr="00274D24" w:rsidRDefault="0049038C" w:rsidP="0049038C">
      <w:pPr>
        <w:pStyle w:val="RKnormal"/>
        <w:rPr>
          <w:bCs/>
        </w:rPr>
      </w:pPr>
      <w:r w:rsidRPr="00274D24">
        <w:rPr>
          <w:bCs/>
        </w:rPr>
        <w:t>Rådet fattade beslut om allmän inriktning vid rådsmötet den 8 juni 2007 och EP antog ett antal ändringsförslag vid sin första läsning den 11 juli 2007.</w:t>
      </w:r>
    </w:p>
    <w:p w:rsidR="0049038C" w:rsidRPr="00274D24" w:rsidRDefault="0049038C" w:rsidP="0049038C">
      <w:pPr>
        <w:pStyle w:val="RKnormal"/>
        <w:rPr>
          <w:bCs/>
        </w:rPr>
      </w:pPr>
    </w:p>
    <w:p w:rsidR="0049038C" w:rsidRPr="00274D24" w:rsidRDefault="0049038C" w:rsidP="0049038C">
      <w:pPr>
        <w:pStyle w:val="RKnormal"/>
        <w:rPr>
          <w:bCs/>
        </w:rPr>
      </w:pPr>
      <w:r w:rsidRPr="00274D24">
        <w:rPr>
          <w:bCs/>
        </w:rPr>
        <w:t>Det föreligger nu en preliminär överenskommelse om en kompromiss mellan rådet och EP, som skulle kunna innebära att förordningen kan antas efter en tidig andra läsning.</w:t>
      </w:r>
    </w:p>
    <w:p w:rsidR="0049038C" w:rsidRPr="00274D24" w:rsidRDefault="0049038C" w:rsidP="0049038C">
      <w:pPr>
        <w:pStyle w:val="RKnormal"/>
      </w:pPr>
    </w:p>
    <w:p w:rsidR="0049038C" w:rsidRPr="00274D24" w:rsidRDefault="0049038C" w:rsidP="0049038C">
      <w:pPr>
        <w:pStyle w:val="RKnormal"/>
        <w:rPr>
          <w:b/>
          <w:bCs/>
        </w:rPr>
      </w:pPr>
      <w:r w:rsidRPr="00274D24">
        <w:rPr>
          <w:b/>
          <w:bCs/>
        </w:rPr>
        <w:t>Förslag till svensk ståndpunkt</w:t>
      </w:r>
    </w:p>
    <w:p w:rsidR="0049038C" w:rsidRPr="00274D24" w:rsidRDefault="0049038C" w:rsidP="0049038C">
      <w:pPr>
        <w:pStyle w:val="RKnormal"/>
      </w:pPr>
      <w:r w:rsidRPr="00274D24">
        <w:t>Regeringen stöder förslaget till ny förordning och anser att den har förbättrats på en del punkter i förhållande till ursprungsförslaget. Sverige bör stöda förslaget till politisk överenskommelse.</w:t>
      </w:r>
    </w:p>
    <w:p w:rsidR="0049038C" w:rsidRPr="00274D24" w:rsidRDefault="0049038C" w:rsidP="0049038C">
      <w:pPr>
        <w:pStyle w:val="RKnormal"/>
      </w:pPr>
    </w:p>
    <w:p w:rsidR="0049038C" w:rsidRPr="00274D24" w:rsidRDefault="0049038C" w:rsidP="0049038C">
      <w:r w:rsidRPr="00274D24">
        <w:t>Se även ministerrådspromemoria.</w:t>
      </w:r>
    </w:p>
    <w:p w:rsidR="0049038C" w:rsidRPr="00274D24" w:rsidRDefault="0049038C" w:rsidP="009021E5">
      <w:pPr>
        <w:pStyle w:val="RKnormal"/>
      </w:pPr>
    </w:p>
    <w:p w:rsidR="0049038C" w:rsidRPr="00274D24" w:rsidRDefault="0049038C" w:rsidP="00B72BB9">
      <w:pPr>
        <w:pStyle w:val="RKnormal"/>
        <w:rPr>
          <w:rFonts w:ascii="TradeGothic" w:hAnsi="TradeGothic"/>
          <w:b/>
          <w:bCs/>
          <w:sz w:val="22"/>
        </w:rPr>
      </w:pPr>
      <w:r w:rsidRPr="00274D24">
        <w:rPr>
          <w:rFonts w:ascii="TradeGothic" w:hAnsi="TradeGothic"/>
          <w:b/>
          <w:bCs/>
          <w:sz w:val="22"/>
        </w:rPr>
        <w:t>19 a) utkast till beslut av rådet och representanter för Europeiska unionens medlemsstaters regeringar om bemyndigande för kommissionen att inleda förhandlingar med Konungariket Jordanien om att etablera ett Europa-Medelhavet luftfartsavtal</w:t>
      </w:r>
    </w:p>
    <w:p w:rsidR="00B72BB9" w:rsidRPr="00274D24" w:rsidRDefault="00B72BB9" w:rsidP="0049038C">
      <w:pPr>
        <w:rPr>
          <w:i/>
        </w:rPr>
      </w:pPr>
    </w:p>
    <w:p w:rsidR="0049038C" w:rsidRPr="00274D24" w:rsidRDefault="0049038C" w:rsidP="0049038C">
      <w:pPr>
        <w:rPr>
          <w:i/>
        </w:rPr>
      </w:pPr>
      <w:r w:rsidRPr="00274D24">
        <w:rPr>
          <w:i/>
        </w:rPr>
        <w:t>Antagande</w:t>
      </w:r>
    </w:p>
    <w:p w:rsidR="0049038C" w:rsidRPr="00274D24" w:rsidRDefault="0049038C" w:rsidP="0049038C"/>
    <w:p w:rsidR="0049038C" w:rsidRPr="00274D24" w:rsidRDefault="0049038C" w:rsidP="0049038C">
      <w:r w:rsidRPr="00274D24">
        <w:t>Förslaget har inte tidigare behandlats i EU-nämnden.</w:t>
      </w:r>
    </w:p>
    <w:p w:rsidR="0049038C" w:rsidRPr="00274D24" w:rsidRDefault="0049038C" w:rsidP="0049038C"/>
    <w:p w:rsidR="0049038C" w:rsidRPr="00274D24" w:rsidRDefault="0049038C" w:rsidP="0049038C">
      <w:pPr>
        <w:rPr>
          <w:b/>
        </w:rPr>
      </w:pPr>
      <w:r w:rsidRPr="00274D24">
        <w:rPr>
          <w:b/>
        </w:rPr>
        <w:t>Bakgrund</w:t>
      </w:r>
    </w:p>
    <w:p w:rsidR="0049038C" w:rsidRPr="00274D24" w:rsidRDefault="0049038C" w:rsidP="0049038C">
      <w:r w:rsidRPr="00274D24">
        <w:t>I februari 2004 lade kommissionen fram sitt förslag till mandat att inleda luftfartsförhandlingar med bl.a. Jordanien. Baserat bl.a. på de nära politiska och ekonomiska relationerna mellan gemenskapen och Jordanien behöver enligt kommissionen ett luftfartsavtal täcka en rad frågor och där ett syfte är att öppna marknaderna mellan parterna så att flygbolagen på båda sidor kan konkurrera på lika villkor under likvärdiga eller harmoniserade regler, baserade på gemenskapslagstiftningen. Enligt de föreslagna förhandlingsdirektiven skall ett avtal bl.a. säkerställa stränga krav på flygsäkerhet och luftfartsskydd, syfta till att Jordanien associeras i implementeringen av Single European Sky, säkerställa flexibilitet för gemenskapen att vidta åtgärder inom EU på miljöområdet, särskilt när det gäller klimatfrågor, luftkvalitet och buller, samt inte förhindra beskattning av flygbränsle.</w:t>
      </w:r>
    </w:p>
    <w:p w:rsidR="0049038C" w:rsidRPr="00274D24" w:rsidRDefault="0049038C" w:rsidP="0049038C"/>
    <w:p w:rsidR="0049038C" w:rsidRPr="00274D24" w:rsidRDefault="0049038C" w:rsidP="0049038C">
      <w:r w:rsidRPr="00274D24">
        <w:t xml:space="preserve">Ett slutligt avtal skall ersätta relevanta delar av medlemsstaternas bilaterala luftfartsavtal med Jordanien. Kommissionen förutser ett avtal i faser. </w:t>
      </w:r>
    </w:p>
    <w:p w:rsidR="0049038C" w:rsidRPr="00274D24" w:rsidRDefault="0049038C" w:rsidP="0049038C"/>
    <w:p w:rsidR="0049038C" w:rsidRPr="00274D24" w:rsidRDefault="0049038C" w:rsidP="0049038C">
      <w:pPr>
        <w:rPr>
          <w:b/>
        </w:rPr>
      </w:pPr>
      <w:r w:rsidRPr="00274D24">
        <w:rPr>
          <w:b/>
        </w:rPr>
        <w:t>Förslag till svensk ståndpunkt</w:t>
      </w:r>
    </w:p>
    <w:p w:rsidR="0049038C" w:rsidRPr="00274D24" w:rsidRDefault="0049038C" w:rsidP="0049038C">
      <w:r w:rsidRPr="00274D24">
        <w:t>Regeringen föreslår att Sverige stöder mandatförslaget.</w:t>
      </w:r>
    </w:p>
    <w:p w:rsidR="0049038C" w:rsidRPr="00274D24" w:rsidRDefault="0049038C" w:rsidP="0049038C"/>
    <w:p w:rsidR="0049038C" w:rsidRPr="00274D24" w:rsidRDefault="0049038C" w:rsidP="0049038C">
      <w:r w:rsidRPr="00274D24">
        <w:t>Se även ministerrådspromemoria.</w:t>
      </w:r>
    </w:p>
    <w:p w:rsidR="0049038C" w:rsidRPr="00274D24" w:rsidRDefault="0049038C" w:rsidP="0049038C"/>
    <w:p w:rsidR="0049038C" w:rsidRPr="00274D24" w:rsidRDefault="00B72BB9" w:rsidP="00B72BB9">
      <w:pPr>
        <w:pStyle w:val="RKnormal"/>
        <w:rPr>
          <w:rFonts w:ascii="TradeGothic" w:hAnsi="TradeGothic"/>
          <w:b/>
          <w:bCs/>
          <w:sz w:val="22"/>
        </w:rPr>
      </w:pPr>
      <w:r w:rsidRPr="00274D24">
        <w:rPr>
          <w:rFonts w:ascii="TradeGothic" w:hAnsi="TradeGothic"/>
          <w:b/>
          <w:bCs/>
          <w:sz w:val="22"/>
        </w:rPr>
        <w:t xml:space="preserve">19 </w:t>
      </w:r>
      <w:r w:rsidR="0049038C" w:rsidRPr="00274D24">
        <w:rPr>
          <w:rFonts w:ascii="TradeGothic" w:hAnsi="TradeGothic"/>
          <w:b/>
          <w:bCs/>
          <w:sz w:val="22"/>
        </w:rPr>
        <w:t xml:space="preserve">b) Förslag till rådets beslut att bemyndiga kommissionen att inleda förhandlingar om ett avtal om kontroll/inspektion avseende luftfartsskydd och andra relevanta frågor mellan Europeiska gemenskapen och internationella civila luftfartsorganisationen (ICAO) </w:t>
      </w:r>
    </w:p>
    <w:p w:rsidR="0049038C" w:rsidRPr="00274D24" w:rsidRDefault="0049038C" w:rsidP="0049038C">
      <w:pPr>
        <w:pStyle w:val="RKnormal"/>
        <w:rPr>
          <w:bCs/>
          <w:i/>
        </w:rPr>
      </w:pPr>
      <w:r w:rsidRPr="00274D24">
        <w:rPr>
          <w:bCs/>
          <w:i/>
        </w:rPr>
        <w:t xml:space="preserve">- Antagande </w:t>
      </w:r>
    </w:p>
    <w:p w:rsidR="0049038C" w:rsidRPr="00274D24" w:rsidRDefault="0049038C" w:rsidP="0049038C">
      <w:pPr>
        <w:pStyle w:val="RKnormal"/>
        <w:rPr>
          <w:i/>
          <w:iCs/>
        </w:rPr>
      </w:pPr>
    </w:p>
    <w:p w:rsidR="0049038C" w:rsidRPr="00274D24" w:rsidRDefault="0049038C" w:rsidP="0049038C">
      <w:pPr>
        <w:pStyle w:val="RKnormal"/>
      </w:pPr>
      <w:r w:rsidRPr="00274D24">
        <w:t>Förslaget har inte behandlats i EU-nämnden tidigare.</w:t>
      </w:r>
    </w:p>
    <w:p w:rsidR="0049038C" w:rsidRPr="00274D24" w:rsidRDefault="0049038C" w:rsidP="0049038C">
      <w:pPr>
        <w:pStyle w:val="RKnormal"/>
      </w:pPr>
    </w:p>
    <w:p w:rsidR="0049038C" w:rsidRPr="00274D24" w:rsidRDefault="0049038C" w:rsidP="0049038C">
      <w:pPr>
        <w:pStyle w:val="RKnormal"/>
        <w:rPr>
          <w:b/>
        </w:rPr>
      </w:pPr>
      <w:r w:rsidRPr="00274D24">
        <w:rPr>
          <w:b/>
        </w:rPr>
        <w:t>Bakgrund</w:t>
      </w:r>
    </w:p>
    <w:p w:rsidR="0049038C" w:rsidRPr="00274D24" w:rsidRDefault="0049038C" w:rsidP="0049038C">
      <w:pPr>
        <w:pStyle w:val="RKnormal"/>
      </w:pPr>
      <w:r w:rsidRPr="00274D24">
        <w:rPr>
          <w:rFonts w:cs="OrigGarmnd BT"/>
        </w:rPr>
        <w:t xml:space="preserve">Förslaget avser ett bemyndigande till KOM att inleda förhandlingar med den internationella civila luftfartsorganisationen ICAO om inspektioner och tillsyn för frågor rörande lyftfartsskydd. Både ICAO och gemenskapen har behörigheter när det gäller att granska att medlemsstater men även lufttrafikföretag, uppfyller uppställda krav för luftfartsskydd. Eftersom behörigheterna är likvärdiga bör ett ökat samarbete inom ramen för ett kommande avtal minska dubbelarbete och onödig administration. </w:t>
      </w:r>
    </w:p>
    <w:p w:rsidR="0049038C" w:rsidRPr="00274D24" w:rsidRDefault="0049038C" w:rsidP="0049038C">
      <w:pPr>
        <w:pStyle w:val="RKnormal"/>
      </w:pPr>
    </w:p>
    <w:p w:rsidR="0049038C" w:rsidRPr="00274D24" w:rsidRDefault="0049038C" w:rsidP="0049038C">
      <w:pPr>
        <w:pStyle w:val="RKnormal"/>
        <w:rPr>
          <w:b/>
        </w:rPr>
      </w:pPr>
      <w:r w:rsidRPr="00274D24">
        <w:rPr>
          <w:b/>
        </w:rPr>
        <w:t>Förslag till svensk ståndpunkt</w:t>
      </w:r>
    </w:p>
    <w:p w:rsidR="0049038C" w:rsidRPr="00274D24" w:rsidRDefault="0049038C" w:rsidP="0049038C">
      <w:pPr>
        <w:pStyle w:val="RKnormal"/>
      </w:pPr>
      <w:r w:rsidRPr="00274D24">
        <w:t>Regeringen föreslår att Sverige stödjer KOM:s förslag.</w:t>
      </w:r>
    </w:p>
    <w:p w:rsidR="0049038C" w:rsidRPr="00274D24" w:rsidRDefault="0049038C" w:rsidP="0049038C">
      <w:pPr>
        <w:pStyle w:val="RKnormal"/>
      </w:pPr>
    </w:p>
    <w:p w:rsidR="0049038C" w:rsidRPr="00274D24" w:rsidRDefault="0049038C" w:rsidP="0049038C">
      <w:pPr>
        <w:pStyle w:val="RKnormal"/>
      </w:pPr>
      <w:r w:rsidRPr="00274D24">
        <w:t xml:space="preserve">Regeringen stödjer strävan att minska den administrativa bördan genom samordnade inspektioner och tillsyn. Förslaget stämmer väl överens med regeringens strävan att förenkla för företag och minska byråkratin. </w:t>
      </w:r>
    </w:p>
    <w:p w:rsidR="0049038C" w:rsidRPr="00274D24" w:rsidRDefault="0049038C" w:rsidP="0049038C"/>
    <w:p w:rsidR="005345C9" w:rsidRPr="00274D24" w:rsidRDefault="005345C9" w:rsidP="0049038C"/>
    <w:p w:rsidR="0049038C" w:rsidRPr="00274D24" w:rsidRDefault="0049038C" w:rsidP="00B72BB9">
      <w:pPr>
        <w:pStyle w:val="RKnormal"/>
        <w:rPr>
          <w:rFonts w:ascii="TradeGothic" w:hAnsi="TradeGothic"/>
          <w:b/>
          <w:bCs/>
          <w:sz w:val="22"/>
        </w:rPr>
      </w:pPr>
      <w:r w:rsidRPr="00274D24">
        <w:rPr>
          <w:rFonts w:ascii="TradeGothic" w:hAnsi="TradeGothic"/>
          <w:b/>
          <w:bCs/>
          <w:sz w:val="22"/>
        </w:rPr>
        <w:t>ENERGI</w:t>
      </w:r>
    </w:p>
    <w:p w:rsidR="005345C9" w:rsidRPr="00274D24" w:rsidRDefault="005345C9" w:rsidP="009021E5">
      <w:pPr>
        <w:pStyle w:val="RKnormal"/>
      </w:pPr>
    </w:p>
    <w:p w:rsidR="005345C9" w:rsidRPr="00274D24" w:rsidRDefault="005345C9" w:rsidP="00B72BB9">
      <w:pPr>
        <w:pStyle w:val="RKnormal"/>
        <w:rPr>
          <w:rFonts w:ascii="TradeGothic" w:hAnsi="TradeGothic"/>
          <w:b/>
          <w:bCs/>
          <w:sz w:val="22"/>
        </w:rPr>
      </w:pPr>
      <w:r w:rsidRPr="00274D24">
        <w:rPr>
          <w:rFonts w:ascii="TradeGothic" w:hAnsi="TradeGothic"/>
          <w:b/>
          <w:bCs/>
          <w:sz w:val="22"/>
        </w:rPr>
        <w:t>20. Energiteknik</w:t>
      </w:r>
    </w:p>
    <w:p w:rsidR="005345C9" w:rsidRPr="00274D24" w:rsidRDefault="005345C9" w:rsidP="005345C9">
      <w:pPr>
        <w:pStyle w:val="RKnormal"/>
        <w:rPr>
          <w:b/>
          <w:bCs/>
        </w:rPr>
      </w:pPr>
    </w:p>
    <w:p w:rsidR="005345C9" w:rsidRPr="00274D24" w:rsidRDefault="005345C9" w:rsidP="005345C9">
      <w:pPr>
        <w:spacing w:line="240" w:lineRule="auto"/>
        <w:ind w:left="1134" w:hanging="567"/>
        <w:outlineLvl w:val="0"/>
      </w:pPr>
      <w:r w:rsidRPr="00274D24">
        <w:t>a)</w:t>
      </w:r>
      <w:r w:rsidRPr="00274D24">
        <w:tab/>
        <w:t>Ordförandeskapets diskussionsunderlag om energiteknik</w:t>
      </w:r>
    </w:p>
    <w:p w:rsidR="005345C9" w:rsidRPr="00274D24" w:rsidRDefault="005345C9" w:rsidP="005345C9">
      <w:pPr>
        <w:spacing w:line="240" w:lineRule="auto"/>
        <w:ind w:left="1134"/>
        <w:outlineLvl w:val="0"/>
      </w:pPr>
      <w:r w:rsidRPr="00274D24">
        <w:t>=</w:t>
      </w:r>
      <w:r w:rsidRPr="00274D24">
        <w:tab/>
        <w:t>Ordförandeskapets föredragning</w:t>
      </w:r>
    </w:p>
    <w:p w:rsidR="005345C9" w:rsidRPr="00274D24" w:rsidRDefault="005345C9" w:rsidP="005345C9">
      <w:pPr>
        <w:spacing w:line="240" w:lineRule="auto"/>
        <w:ind w:left="1134" w:hanging="567"/>
        <w:outlineLvl w:val="0"/>
      </w:pPr>
      <w:r w:rsidRPr="00274D24">
        <w:t>b)</w:t>
      </w:r>
      <w:r w:rsidRPr="00274D24">
        <w:tab/>
        <w:t>Meddelande från kommissionen om en strategisk EU-plan för energiteknik</w:t>
      </w:r>
    </w:p>
    <w:p w:rsidR="005345C9" w:rsidRPr="00274D24" w:rsidRDefault="005345C9" w:rsidP="005345C9">
      <w:pPr>
        <w:spacing w:line="240" w:lineRule="auto"/>
        <w:ind w:left="1134"/>
        <w:outlineLvl w:val="0"/>
      </w:pPr>
      <w:r w:rsidRPr="00274D24">
        <w:t>=</w:t>
      </w:r>
      <w:r w:rsidRPr="00274D24">
        <w:tab/>
        <w:t>Föredragning av kommissionen</w:t>
      </w:r>
    </w:p>
    <w:p w:rsidR="005345C9" w:rsidRPr="00274D24" w:rsidRDefault="005345C9" w:rsidP="005345C9">
      <w:pPr>
        <w:spacing w:line="240" w:lineRule="auto"/>
        <w:ind w:left="567"/>
        <w:outlineLvl w:val="0"/>
      </w:pPr>
    </w:p>
    <w:p w:rsidR="005345C9" w:rsidRPr="00274D24" w:rsidRDefault="005345C9" w:rsidP="005345C9">
      <w:pPr>
        <w:spacing w:line="240" w:lineRule="auto"/>
        <w:outlineLvl w:val="0"/>
        <w:rPr>
          <w:i/>
        </w:rPr>
      </w:pPr>
      <w:r w:rsidRPr="00274D24">
        <w:rPr>
          <w:i/>
        </w:rPr>
        <w:t xml:space="preserve">– </w:t>
      </w:r>
      <w:r w:rsidRPr="00274D24">
        <w:rPr>
          <w:i/>
        </w:rPr>
        <w:tab/>
        <w:t>Riktlinjedebatt</w:t>
      </w:r>
    </w:p>
    <w:p w:rsidR="005345C9" w:rsidRPr="00274D24" w:rsidRDefault="005345C9" w:rsidP="005345C9">
      <w:pPr>
        <w:pStyle w:val="RKnormal"/>
      </w:pPr>
    </w:p>
    <w:p w:rsidR="005345C9" w:rsidRPr="00274D24" w:rsidRDefault="005345C9" w:rsidP="005345C9">
      <w:pPr>
        <w:pStyle w:val="RKnormal"/>
      </w:pPr>
      <w:r w:rsidRPr="00274D24">
        <w:t>SET-Plan har inte behandlats i EU-nämnden tidigare.</w:t>
      </w:r>
    </w:p>
    <w:p w:rsidR="005345C9" w:rsidRPr="00274D24" w:rsidRDefault="005345C9" w:rsidP="005345C9">
      <w:pPr>
        <w:pStyle w:val="RKnormal"/>
      </w:pPr>
    </w:p>
    <w:p w:rsidR="005345C9" w:rsidRPr="00274D24" w:rsidRDefault="005345C9" w:rsidP="005345C9">
      <w:pPr>
        <w:pStyle w:val="RKnormal"/>
        <w:rPr>
          <w:b/>
          <w:bCs/>
        </w:rPr>
      </w:pPr>
      <w:r w:rsidRPr="00274D24">
        <w:rPr>
          <w:b/>
          <w:bCs/>
        </w:rPr>
        <w:t>Bakgrund</w:t>
      </w:r>
    </w:p>
    <w:p w:rsidR="005345C9" w:rsidRPr="00274D24" w:rsidRDefault="005345C9" w:rsidP="005345C9">
      <w:pPr>
        <w:pStyle w:val="RKnormal"/>
      </w:pPr>
      <w:r w:rsidRPr="00274D24">
        <w:t xml:space="preserve">I Energihandlingsplanen som antogs i mars 2007 </w:t>
      </w:r>
      <w:r w:rsidRPr="00274D24">
        <w:rPr>
          <w:bCs/>
        </w:rPr>
        <w:t xml:space="preserve">aviserade Europeiska rådet en </w:t>
      </w:r>
      <w:r w:rsidRPr="00274D24">
        <w:t>strategisk energiteknikplan för Europa (SET-Plan). Kommissionen tog därefter fram ett förslag som har varit föremål för konsultation. Kommissionens förslag till SET-Plan ska vara färdigt den 21 november och presenteras vid rådsmötet den 3 december.</w:t>
      </w:r>
    </w:p>
    <w:p w:rsidR="005345C9" w:rsidRPr="00274D24" w:rsidRDefault="005345C9" w:rsidP="005345C9">
      <w:pPr>
        <w:pStyle w:val="RKnormal"/>
      </w:pPr>
    </w:p>
    <w:p w:rsidR="005345C9" w:rsidRPr="00274D24" w:rsidRDefault="005345C9" w:rsidP="005345C9">
      <w:pPr>
        <w:pStyle w:val="RKnormal"/>
      </w:pPr>
      <w:r w:rsidRPr="00274D24">
        <w:t>Det portugisiska ordförandeskapet kommer på rådsmötet att presentera ”Vision Paper on Energy Technologies”. Dokumentet kan ses som Portugals inlägg i den policydebatt som följer efter det att Kommissionen presenterat SET-Plan. I Vision Paper on Energy Technologies ger Portugal sitt stöd till SET-Plan samt presenterar en vision för det europeiska energisystemets utveckling till 2050 inklusive förslag till åtgärder.</w:t>
      </w:r>
    </w:p>
    <w:p w:rsidR="005345C9" w:rsidRPr="00274D24" w:rsidRDefault="005345C9" w:rsidP="005345C9">
      <w:pPr>
        <w:pStyle w:val="RKnormal"/>
      </w:pPr>
    </w:p>
    <w:p w:rsidR="005345C9" w:rsidRPr="00274D24" w:rsidRDefault="005345C9" w:rsidP="005345C9">
      <w:pPr>
        <w:pStyle w:val="RKnormal"/>
      </w:pPr>
      <w:r w:rsidRPr="00274D24">
        <w:t>Inför policydebatten har förberedande frågor skickats ut. De berör bland annat vilka teknik- och forskningsområden som bör prioriteras, behovet av samordning och ökade resurser för insatser kring forskning och innovation inom energiområdet, samverkan mellan stat och näringsliv, samt synen på samarbete med länder utanför EU.</w:t>
      </w:r>
    </w:p>
    <w:p w:rsidR="005345C9" w:rsidRPr="00274D24" w:rsidRDefault="005345C9" w:rsidP="005345C9">
      <w:pPr>
        <w:pStyle w:val="RKnormal"/>
      </w:pPr>
    </w:p>
    <w:p w:rsidR="005345C9" w:rsidRPr="00274D24" w:rsidRDefault="005345C9" w:rsidP="005345C9">
      <w:pPr>
        <w:pStyle w:val="RKnormal"/>
        <w:keepNext/>
        <w:rPr>
          <w:b/>
          <w:bCs/>
        </w:rPr>
      </w:pPr>
      <w:r w:rsidRPr="00274D24">
        <w:rPr>
          <w:b/>
          <w:bCs/>
        </w:rPr>
        <w:t>Förslag till svensk ståndpunkt</w:t>
      </w:r>
    </w:p>
    <w:p w:rsidR="005345C9" w:rsidRPr="00274D24" w:rsidRDefault="005345C9" w:rsidP="005345C9">
      <w:pPr>
        <w:pStyle w:val="RKnormal"/>
      </w:pPr>
      <w:r w:rsidRPr="00274D24">
        <w:t xml:space="preserve">I debatten föreslås Sverige betona att det för att nå de ambitiösa målen vad gäller minskade utsläpp av koldioxid, ökad energieffektivisering, ökad andel förnybar energi och ökad andel biodrivmedel behövs både ökade resurser till forskning och innovation inom energiområdet, en fokusering av insatserna på ett antal strategiska områden som har stor potential att bidra till måluppfyllelsen samt samverkan mellan forskning och andra styrmedel som främjar kommersialisering och marknadsintroduktion av nya, hållbara energitekniker. </w:t>
      </w:r>
    </w:p>
    <w:p w:rsidR="005345C9" w:rsidRPr="00274D24" w:rsidRDefault="005345C9" w:rsidP="005345C9">
      <w:pPr>
        <w:pStyle w:val="RKnormal"/>
      </w:pPr>
    </w:p>
    <w:p w:rsidR="005345C9" w:rsidRPr="00274D24" w:rsidRDefault="005345C9" w:rsidP="005345C9">
      <w:pPr>
        <w:pStyle w:val="RKnormal"/>
      </w:pPr>
      <w:r w:rsidRPr="00274D24">
        <w:t>Regeringen föreslår att Sverige i debatten särskilt framhåller vikten av gemensamma satsningar på nästa generations biodrivmedel som en del av en bredare strategi för hållbar produktion och användning av bioenergi.</w:t>
      </w:r>
    </w:p>
    <w:p w:rsidR="0049038C" w:rsidRPr="00274D24" w:rsidRDefault="0049038C" w:rsidP="009021E5">
      <w:pPr>
        <w:pStyle w:val="RKnormal"/>
      </w:pPr>
    </w:p>
    <w:p w:rsidR="005345C9" w:rsidRPr="00274D24" w:rsidRDefault="005345C9" w:rsidP="009021E5">
      <w:pPr>
        <w:pStyle w:val="RKnormal"/>
      </w:pPr>
    </w:p>
    <w:p w:rsidR="005345C9" w:rsidRPr="00274D24" w:rsidRDefault="005345C9" w:rsidP="00B72BB9">
      <w:pPr>
        <w:pStyle w:val="RKnormal"/>
        <w:rPr>
          <w:rFonts w:ascii="TradeGothic" w:hAnsi="TradeGothic"/>
          <w:b/>
          <w:bCs/>
          <w:sz w:val="22"/>
        </w:rPr>
      </w:pPr>
      <w:r w:rsidRPr="00274D24">
        <w:rPr>
          <w:rFonts w:ascii="TradeGothic" w:hAnsi="TradeGothic"/>
          <w:b/>
          <w:bCs/>
          <w:sz w:val="22"/>
        </w:rPr>
        <w:t>21. Inre marknaden</w:t>
      </w:r>
    </w:p>
    <w:p w:rsidR="005345C9" w:rsidRPr="00274D24" w:rsidRDefault="005345C9" w:rsidP="005345C9">
      <w:pPr>
        <w:pStyle w:val="RKnormal"/>
        <w:rPr>
          <w:i/>
          <w:iCs/>
        </w:rPr>
      </w:pPr>
    </w:p>
    <w:tbl>
      <w:tblPr>
        <w:tblW w:w="7655" w:type="dxa"/>
        <w:tblLayout w:type="fixed"/>
        <w:tblCellMar>
          <w:left w:w="0" w:type="dxa"/>
          <w:right w:w="0" w:type="dxa"/>
        </w:tblCellMar>
        <w:tblLook w:val="0000" w:firstRow="0" w:lastRow="0" w:firstColumn="0" w:lastColumn="0" w:noHBand="0" w:noVBand="0"/>
      </w:tblPr>
      <w:tblGrid>
        <w:gridCol w:w="7655"/>
      </w:tblGrid>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r w:rsidRPr="00274D24">
              <w:t xml:space="preserve">a) </w:t>
            </w:r>
            <w:r w:rsidRPr="00274D24">
              <w:fldChar w:fldCharType="begin" w:fldLock="1"/>
            </w:r>
            <w:r w:rsidRPr="00274D24">
              <w:instrText xml:space="preserve"> DOCVARIABLE"GDB1", PreserveFormatting:=False \* MERGEFORMAT </w:instrText>
            </w:r>
            <w:r w:rsidRPr="00274D24">
              <w:fldChar w:fldCharType="separate"/>
            </w:r>
            <w:r w:rsidRPr="00274D24">
              <w:t>KOM (2007) 528</w:t>
            </w:r>
            <w:r w:rsidRPr="00274D24">
              <w:fldChar w:fldCharType="end"/>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pPr>
              <w:pStyle w:val="Dokumentbeteckning-titel"/>
            </w:pPr>
            <w:r w:rsidRPr="00274D24">
              <w:fldChar w:fldCharType="begin" w:fldLock="1"/>
            </w:r>
            <w:r w:rsidRPr="00274D24">
              <w:instrText xml:space="preserve"> DOCVARIABLE"GDT1", PreserveFormatting:=False \* MERGEFORMAT </w:instrText>
            </w:r>
            <w:r w:rsidRPr="00274D24">
              <w:fldChar w:fldCharType="separate"/>
            </w:r>
            <w:r w:rsidRPr="00274D24">
              <w:t>Förslag till Europaparlamentets och rådets direktiv om ändring av direktiv 2003/54/EG om gemensamma regler för den inre marknaden för el</w:t>
            </w:r>
            <w:r w:rsidRPr="00274D24">
              <w:fldChar w:fldCharType="end"/>
            </w:r>
            <w:r w:rsidRPr="00274D24">
              <w:t>. (13043/07 ENER 221 CODEC 948)</w:t>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r w:rsidRPr="00274D24">
              <w:t xml:space="preserve">b) </w:t>
            </w:r>
            <w:r w:rsidRPr="00274D24">
              <w:fldChar w:fldCharType="begin" w:fldLock="1"/>
            </w:r>
            <w:r w:rsidRPr="00274D24">
              <w:instrText xml:space="preserve"> DOCVARIABLE"GDB2", PreserveFormatting:=False \* MERGEFORMAT </w:instrText>
            </w:r>
            <w:r w:rsidRPr="00274D24">
              <w:fldChar w:fldCharType="separate"/>
            </w:r>
            <w:r w:rsidRPr="00274D24">
              <w:t>KOM (2007) 529</w:t>
            </w:r>
            <w:r w:rsidRPr="00274D24">
              <w:fldChar w:fldCharType="end"/>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pPr>
              <w:pStyle w:val="Dokumentbeteckning-titel"/>
            </w:pPr>
            <w:r w:rsidRPr="00274D24">
              <w:fldChar w:fldCharType="begin" w:fldLock="1"/>
            </w:r>
            <w:r w:rsidRPr="00274D24">
              <w:instrText xml:space="preserve"> DOCVARIABLE"GDT2", PreserveFormatting:=False \* MERGEFORMAT </w:instrText>
            </w:r>
            <w:r w:rsidRPr="00274D24">
              <w:fldChar w:fldCharType="separate"/>
            </w:r>
            <w:r w:rsidRPr="00274D24">
              <w:t>Förslag till Europaparlamentets och rådets direktiv om ändring av direktiv 2003/55/EG om gemensamma regler för den inre marknaden för naturgas</w:t>
            </w:r>
            <w:r w:rsidRPr="00274D24">
              <w:fldChar w:fldCharType="end"/>
            </w:r>
            <w:r w:rsidRPr="00274D24">
              <w:t xml:space="preserve"> (13045/07 ENER 222 CODEC 949)</w:t>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r w:rsidRPr="00274D24">
              <w:t xml:space="preserve">c) </w:t>
            </w:r>
            <w:r w:rsidRPr="00274D24">
              <w:fldChar w:fldCharType="begin" w:fldLock="1"/>
            </w:r>
            <w:r w:rsidRPr="00274D24">
              <w:instrText xml:space="preserve"> DOCVARIABLE"GDB3", PreserveFormatting:=False \* MERGEFORMAT </w:instrText>
            </w:r>
            <w:r w:rsidRPr="00274D24">
              <w:fldChar w:fldCharType="separate"/>
            </w:r>
            <w:r w:rsidRPr="00274D24">
              <w:t>KOM (2007) 530</w:t>
            </w:r>
            <w:r w:rsidRPr="00274D24">
              <w:fldChar w:fldCharType="end"/>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pPr>
              <w:pStyle w:val="Dokumentbeteckning-titel"/>
            </w:pPr>
            <w:r w:rsidRPr="00274D24">
              <w:fldChar w:fldCharType="begin" w:fldLock="1"/>
            </w:r>
            <w:r w:rsidRPr="00274D24">
              <w:instrText xml:space="preserve"> DOCVARIABLE"GDT3", PreserveFormatting:=False \* MERGEFORMAT </w:instrText>
            </w:r>
            <w:r w:rsidRPr="00274D24">
              <w:fldChar w:fldCharType="separate"/>
            </w:r>
            <w:r w:rsidRPr="00274D24">
              <w:t>Europaparlamentet och rådets förordning om inrättande av en byrå för samarbete mellan energitillsynsmyndigheter</w:t>
            </w:r>
            <w:r w:rsidRPr="00274D24">
              <w:fldChar w:fldCharType="end"/>
            </w:r>
            <w:r w:rsidRPr="00274D24">
              <w:t xml:space="preserve"> (13046/07 ENER 223 CODEC 950)</w:t>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r w:rsidRPr="00274D24">
              <w:t xml:space="preserve">d) </w:t>
            </w:r>
            <w:r w:rsidRPr="00274D24">
              <w:fldChar w:fldCharType="begin" w:fldLock="1"/>
            </w:r>
            <w:r w:rsidRPr="00274D24">
              <w:instrText xml:space="preserve"> DOCVARIABLE"GDB4", PreserveFormatting:=False \* MERGEFORMAT </w:instrText>
            </w:r>
            <w:r w:rsidRPr="00274D24">
              <w:fldChar w:fldCharType="separate"/>
            </w:r>
            <w:r w:rsidRPr="00274D24">
              <w:t>KOM (2007) 531</w:t>
            </w:r>
            <w:r w:rsidRPr="00274D24">
              <w:fldChar w:fldCharType="end"/>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pPr>
              <w:pStyle w:val="Dokumentbeteckning-titel"/>
            </w:pPr>
            <w:r w:rsidRPr="00274D24">
              <w:fldChar w:fldCharType="begin" w:fldLock="1"/>
            </w:r>
            <w:r w:rsidRPr="00274D24">
              <w:instrText xml:space="preserve"> DOCVARIABLE"GDT4", PreserveFormatting:=False \* MERGEFORMAT </w:instrText>
            </w:r>
            <w:r w:rsidRPr="00274D24">
              <w:fldChar w:fldCharType="separate"/>
            </w:r>
            <w:r w:rsidRPr="00274D24">
              <w:t>Europaparlamentet och rådets förordning om ändring av förordning 1228/2003/EG om villkor för tillträde till nät för gränsöverskridande elhandel</w:t>
            </w:r>
            <w:r w:rsidRPr="00274D24">
              <w:fldChar w:fldCharType="end"/>
            </w:r>
            <w:r w:rsidRPr="00274D24">
              <w:t xml:space="preserve"> (13048/07 ENER 224 CODEC 951)</w:t>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r w:rsidRPr="00274D24">
              <w:t xml:space="preserve">e) </w:t>
            </w:r>
            <w:r w:rsidRPr="00274D24">
              <w:fldChar w:fldCharType="begin" w:fldLock="1"/>
            </w:r>
            <w:r w:rsidRPr="00274D24">
              <w:instrText xml:space="preserve"> DOCVARIABLE"GDB5", PreserveFormatting:=False \* MERGEFORMAT </w:instrText>
            </w:r>
            <w:r w:rsidRPr="00274D24">
              <w:fldChar w:fldCharType="separate"/>
            </w:r>
            <w:r w:rsidRPr="00274D24">
              <w:t>KOM (2007) 532</w:t>
            </w:r>
            <w:r w:rsidRPr="00274D24">
              <w:fldChar w:fldCharType="end"/>
            </w:r>
          </w:p>
        </w:tc>
      </w:tr>
      <w:tr w:rsidR="005345C9" w:rsidRPr="00274D24" w:rsidTr="00FD5B42">
        <w:tblPrEx>
          <w:tblCellMar>
            <w:top w:w="0" w:type="dxa"/>
            <w:left w:w="0" w:type="dxa"/>
            <w:bottom w:w="0" w:type="dxa"/>
            <w:right w:w="0" w:type="dxa"/>
          </w:tblCellMar>
        </w:tblPrEx>
        <w:trPr>
          <w:trHeight w:val="80"/>
        </w:trPr>
        <w:tc>
          <w:tcPr>
            <w:tcW w:w="7655" w:type="dxa"/>
          </w:tcPr>
          <w:p w:rsidR="005345C9" w:rsidRPr="00274D24" w:rsidRDefault="005345C9" w:rsidP="00FD5B42">
            <w:pPr>
              <w:pStyle w:val="Dokumentbeteckning-titel"/>
            </w:pPr>
            <w:r w:rsidRPr="00274D24">
              <w:fldChar w:fldCharType="begin" w:fldLock="1"/>
            </w:r>
            <w:r w:rsidRPr="00274D24">
              <w:instrText xml:space="preserve"> DOCVARIABLE"GDT5", PreserveFormatting:=False \* MERGEFORMAT </w:instrText>
            </w:r>
            <w:r w:rsidRPr="00274D24">
              <w:fldChar w:fldCharType="separate"/>
            </w:r>
            <w:r w:rsidRPr="00274D24">
              <w:t>Europaparlamentet och rådets förordning om ändring av förordning 1775/2005/EG om villkor för tillträde till naturgasöverföringsnäten</w:t>
            </w:r>
            <w:r w:rsidRPr="00274D24">
              <w:fldChar w:fldCharType="end"/>
            </w:r>
            <w:r w:rsidRPr="00274D24">
              <w:t xml:space="preserve"> (13049/07 ENER 225 CODEC 956)</w:t>
            </w:r>
          </w:p>
        </w:tc>
      </w:tr>
    </w:tbl>
    <w:p w:rsidR="005345C9" w:rsidRPr="00274D24" w:rsidRDefault="005345C9" w:rsidP="005345C9">
      <w:pPr>
        <w:spacing w:line="240" w:lineRule="auto"/>
      </w:pPr>
    </w:p>
    <w:p w:rsidR="005345C9" w:rsidRPr="00274D24" w:rsidRDefault="005345C9" w:rsidP="005345C9">
      <w:pPr>
        <w:spacing w:line="240" w:lineRule="auto"/>
        <w:rPr>
          <w:i/>
        </w:rPr>
      </w:pPr>
      <w:r w:rsidRPr="00274D24">
        <w:rPr>
          <w:i/>
        </w:rPr>
        <w:t>–</w:t>
      </w:r>
      <w:r w:rsidRPr="00274D24">
        <w:rPr>
          <w:i/>
        </w:rPr>
        <w:tab/>
        <w:t>Föredragning av kommissionen</w:t>
      </w:r>
    </w:p>
    <w:p w:rsidR="005345C9" w:rsidRPr="00274D24" w:rsidRDefault="005345C9" w:rsidP="005345C9">
      <w:pPr>
        <w:spacing w:line="240" w:lineRule="auto"/>
        <w:rPr>
          <w:i/>
        </w:rPr>
      </w:pPr>
      <w:r w:rsidRPr="00274D24">
        <w:rPr>
          <w:i/>
        </w:rPr>
        <w:t>–</w:t>
      </w:r>
      <w:r w:rsidRPr="00274D24">
        <w:rPr>
          <w:i/>
        </w:rPr>
        <w:tab/>
        <w:t>Lägesrapport</w:t>
      </w:r>
    </w:p>
    <w:p w:rsidR="005345C9" w:rsidRPr="00274D24" w:rsidRDefault="005345C9" w:rsidP="005345C9">
      <w:pPr>
        <w:pStyle w:val="RKnormal"/>
        <w:rPr>
          <w:highlight w:val="yellow"/>
        </w:rPr>
      </w:pPr>
    </w:p>
    <w:p w:rsidR="005345C9" w:rsidRPr="00274D24" w:rsidRDefault="005345C9" w:rsidP="005345C9">
      <w:pPr>
        <w:pStyle w:val="RKnormal"/>
      </w:pPr>
      <w:r w:rsidRPr="00274D24">
        <w:t>Förslagen har inte tidigare behandlats i EU-nämnden.</w:t>
      </w:r>
    </w:p>
    <w:p w:rsidR="005345C9" w:rsidRPr="00274D24" w:rsidRDefault="005345C9" w:rsidP="005345C9">
      <w:pPr>
        <w:pStyle w:val="RKnormal"/>
      </w:pPr>
    </w:p>
    <w:p w:rsidR="005345C9" w:rsidRPr="00274D24" w:rsidRDefault="005345C9" w:rsidP="005345C9">
      <w:pPr>
        <w:pStyle w:val="RKnormal"/>
        <w:rPr>
          <w:b/>
        </w:rPr>
      </w:pPr>
      <w:r w:rsidRPr="00274D24">
        <w:rPr>
          <w:b/>
        </w:rPr>
        <w:t>Bakgrund</w:t>
      </w:r>
    </w:p>
    <w:p w:rsidR="005345C9" w:rsidRPr="00274D24" w:rsidRDefault="005345C9" w:rsidP="005345C9">
      <w:r w:rsidRPr="00274D24">
        <w:t xml:space="preserve">På Europeiska rådets möte den 8-9 mars 2007 antogs en prioriterad handlingsplan för energi för perioden 2007-2009. Handlingsplanen innehöll bl. a. övergripande förslag till ytterligare integrering av den inre marknaden för energi. </w:t>
      </w:r>
    </w:p>
    <w:p w:rsidR="005345C9" w:rsidRPr="00274D24" w:rsidRDefault="005345C9" w:rsidP="005345C9"/>
    <w:p w:rsidR="005345C9" w:rsidRPr="00274D24" w:rsidRDefault="005345C9" w:rsidP="005345C9">
      <w:r w:rsidRPr="00274D24">
        <w:t xml:space="preserve">Den 19 september i år lade Kommissionen fram det paket med förslag som följer upp Europeiska rådets slutsatser om behovet av att fullborda liberaliseringen av den inre marknaden för el och gas. Detta paket är det tredje i ordningen och utgör en revidering av det senaste lagstiftningspaketet, som antogs 2003. </w:t>
      </w:r>
    </w:p>
    <w:p w:rsidR="005345C9" w:rsidRPr="00274D24" w:rsidRDefault="005345C9" w:rsidP="005345C9"/>
    <w:p w:rsidR="005345C9" w:rsidRPr="00274D24" w:rsidRDefault="005345C9" w:rsidP="005345C9">
      <w:r w:rsidRPr="00274D24">
        <w:t xml:space="preserve">Ordförandeskapet har ägnat höstens inledande arbete i rådet åt att identifiera medlemsstaternas ståndpunkter i fråga om grundläggande principer i elmarknads- resp. gasmarknadsdirektivet samt förordningen om byrån och avser att inför ministerrådet lägga fram en lägesrapport för ministrarna. Lägesrapporten behandlar de centrala bestämmelserna  i lagstiftningspaketet, närmare bestämt om hur effektiv åtskillnad bäst uppnås, hur tillsynsmyndigheternas självständighet, uppgifter och befogenheter ska formuleras, samt den organisatoriska och legala överbyggnaden kring byrån för de europeiska tillsynsmyndigheterna. </w:t>
      </w:r>
    </w:p>
    <w:p w:rsidR="005345C9" w:rsidRPr="00274D24" w:rsidRDefault="005345C9" w:rsidP="005345C9"/>
    <w:p w:rsidR="005345C9" w:rsidRPr="00274D24" w:rsidRDefault="005345C9" w:rsidP="005345C9">
      <w:pPr>
        <w:pStyle w:val="RKnormal"/>
      </w:pPr>
      <w:r w:rsidRPr="00274D24">
        <w:t>Medlemsstaternas preliminära allmänna reaktion har varit relativt positiv men framförallt frågan om ägarskapsåtskillnaden fortsätter att vara omtvistad. Även byråns befogenheter kommer att behöva ytterligare diskussioner.</w:t>
      </w:r>
    </w:p>
    <w:p w:rsidR="005345C9" w:rsidRPr="00274D24" w:rsidRDefault="005345C9" w:rsidP="005345C9">
      <w:pPr>
        <w:pStyle w:val="RKnormal"/>
        <w:rPr>
          <w:b/>
        </w:rPr>
      </w:pPr>
    </w:p>
    <w:p w:rsidR="005345C9" w:rsidRPr="00274D24" w:rsidRDefault="005345C9" w:rsidP="005345C9">
      <w:pPr>
        <w:pStyle w:val="RKnormal"/>
        <w:rPr>
          <w:b/>
        </w:rPr>
      </w:pPr>
      <w:r w:rsidRPr="00274D24">
        <w:rPr>
          <w:b/>
        </w:rPr>
        <w:t>Förslag till svensk ståndpunkt</w:t>
      </w:r>
    </w:p>
    <w:p w:rsidR="005345C9" w:rsidRPr="00274D24" w:rsidRDefault="005345C9" w:rsidP="005345C9">
      <w:r w:rsidRPr="00274D24">
        <w:t>Regeringen ser allmänt positivt på lagstiftningspaketet. Paketet i sin helhet innebär kraftfulla och nödvändiga åtgärder för att korrigera kvarvarande missförhållanden på el- och gasmarknaderna.</w:t>
      </w:r>
    </w:p>
    <w:p w:rsidR="005345C9" w:rsidRPr="00274D24" w:rsidRDefault="005345C9" w:rsidP="009021E5">
      <w:pPr>
        <w:pStyle w:val="RKnormal"/>
      </w:pPr>
    </w:p>
    <w:p w:rsidR="005345C9" w:rsidRPr="00274D24" w:rsidRDefault="005345C9" w:rsidP="009021E5">
      <w:pPr>
        <w:pStyle w:val="RKnormal"/>
      </w:pPr>
    </w:p>
    <w:p w:rsidR="005345C9" w:rsidRPr="00274D24" w:rsidRDefault="005345C9" w:rsidP="00B72BB9">
      <w:pPr>
        <w:pStyle w:val="RKnormal"/>
        <w:rPr>
          <w:rFonts w:ascii="TradeGothic" w:hAnsi="TradeGothic"/>
          <w:b/>
          <w:bCs/>
          <w:sz w:val="22"/>
        </w:rPr>
      </w:pPr>
      <w:r w:rsidRPr="00274D24">
        <w:rPr>
          <w:rFonts w:ascii="TradeGothic" w:hAnsi="TradeGothic"/>
          <w:b/>
          <w:bCs/>
          <w:sz w:val="22"/>
        </w:rPr>
        <w:t>22. Internationella förbindelser på energiområdet</w:t>
      </w:r>
    </w:p>
    <w:p w:rsidR="005345C9" w:rsidRPr="00274D24" w:rsidRDefault="005345C9" w:rsidP="005345C9">
      <w:pPr>
        <w:pStyle w:val="RKnormal"/>
        <w:rPr>
          <w:i/>
          <w:iCs/>
        </w:rPr>
      </w:pPr>
    </w:p>
    <w:p w:rsidR="005345C9" w:rsidRPr="00274D24" w:rsidRDefault="005345C9" w:rsidP="005345C9">
      <w:pPr>
        <w:pStyle w:val="RKnormal"/>
        <w:rPr>
          <w:i/>
          <w:iCs/>
        </w:rPr>
      </w:pPr>
      <w:r w:rsidRPr="00274D24">
        <w:rPr>
          <w:i/>
          <w:iCs/>
        </w:rPr>
        <w:t>- Information från Ordförandeskapet/Kommissionen</w:t>
      </w:r>
    </w:p>
    <w:p w:rsidR="005345C9" w:rsidRPr="00274D24" w:rsidRDefault="005345C9" w:rsidP="005345C9">
      <w:pPr>
        <w:pStyle w:val="RKnormal"/>
      </w:pPr>
    </w:p>
    <w:p w:rsidR="005345C9" w:rsidRPr="00274D24" w:rsidRDefault="005345C9" w:rsidP="005345C9">
      <w:pPr>
        <w:pStyle w:val="RKnormal"/>
        <w:rPr>
          <w:b/>
        </w:rPr>
      </w:pPr>
      <w:r w:rsidRPr="00274D24">
        <w:rPr>
          <w:b/>
        </w:rPr>
        <w:t xml:space="preserve">Bakgrund </w:t>
      </w:r>
    </w:p>
    <w:p w:rsidR="005345C9" w:rsidRPr="00274D24" w:rsidRDefault="005345C9" w:rsidP="005345C9">
      <w:pPr>
        <w:pStyle w:val="Rubrik4"/>
      </w:pPr>
      <w:r w:rsidRPr="00274D24">
        <w:t>Allmänt</w:t>
      </w:r>
    </w:p>
    <w:p w:rsidR="005345C9" w:rsidRPr="00274D24" w:rsidRDefault="005345C9" w:rsidP="005345C9">
      <w:pPr>
        <w:pStyle w:val="RKnormal"/>
      </w:pPr>
      <w:r w:rsidRPr="00274D24">
        <w:t xml:space="preserve">Energirådet har traditionellt haft en stående punkt på dagordningen där läget i olika löpande internationella energidialoger rapporterats. EU:s externa energirelationer var vidare ett tema som utvecklades gemensamt av kommissionen och rådet under 2006 samt i flertalet av Europeiska rådets slutsatser under 2006, inför lanseringen av kommissionens s.k. energipaket i januari 2007. Syftet med de dialoger som förs är att utveckla goda relationer med EU:s energipartners för att på så sätt söka trygga EU:s framtida energiförsörjning. </w:t>
      </w:r>
    </w:p>
    <w:p w:rsidR="005345C9" w:rsidRPr="00274D24" w:rsidRDefault="005345C9" w:rsidP="005345C9">
      <w:pPr>
        <w:pStyle w:val="Rubrik4"/>
      </w:pPr>
      <w:r w:rsidRPr="00274D24">
        <w:t>a) EU-Brasilien</w:t>
      </w:r>
    </w:p>
    <w:p w:rsidR="005345C9" w:rsidRPr="00274D24" w:rsidRDefault="005345C9" w:rsidP="005345C9">
      <w:pPr>
        <w:pStyle w:val="RKnormal"/>
      </w:pPr>
      <w:r w:rsidRPr="00274D24">
        <w:t>Det första toppmötet mellan EU och Brasilien ägde rum i juli 2007 då strategiska partnerskap på ett antal områden lanserades. En energidialog etablerades med sikte på dialog och även bilateralt samarbete om bl. a.  biodrivmedel, förnybar energi, energieffektivisering och allmänt frågor om trygg energiförsörjning och miljö/klimat.</w:t>
      </w:r>
    </w:p>
    <w:p w:rsidR="005345C9" w:rsidRPr="00274D24" w:rsidRDefault="005345C9" w:rsidP="005345C9">
      <w:pPr>
        <w:pStyle w:val="RKnormal"/>
      </w:pPr>
    </w:p>
    <w:p w:rsidR="005345C9" w:rsidRPr="00274D24" w:rsidRDefault="005345C9" w:rsidP="005345C9">
      <w:pPr>
        <w:pStyle w:val="RKnormal"/>
        <w:rPr>
          <w:b/>
          <w:i/>
        </w:rPr>
      </w:pPr>
      <w:r w:rsidRPr="00274D24">
        <w:rPr>
          <w:b/>
          <w:i/>
        </w:rPr>
        <w:t>b )EU-Afrika, inklusive EU-Afrika energipartnerskap</w:t>
      </w:r>
    </w:p>
    <w:p w:rsidR="005345C9" w:rsidRPr="00274D24" w:rsidRDefault="005345C9" w:rsidP="005345C9">
      <w:pPr>
        <w:pStyle w:val="RKnormal"/>
      </w:pPr>
      <w:r w:rsidRPr="00274D24">
        <w:t xml:space="preserve">Ett nytt element på det internationella temat som framhölls i Kommissionens energipaket i januari, var behovet av att utveckla en energidialog med Afrika. KOM:s förslag bekräftades av Europeiska rådet 8-9 mars 2007, varpå ett arbete inleddes som resulterade i att Allmänna rådet den 14 maj antog rådsslutsatser om energisamarbete mellan EU och Afrika. Under året har en handlingsplan för åren 2008-2009 utarbetats för partnerskap på ett antal områden varav partnerskap om energi är ett. Handlingsplanen väntas antas av toppmötet EU-Afrika som äger rum den 8-9 december 2007. </w:t>
      </w:r>
    </w:p>
    <w:p w:rsidR="005345C9" w:rsidRPr="00274D24" w:rsidRDefault="005345C9" w:rsidP="005345C9">
      <w:pPr>
        <w:pStyle w:val="RKnormal"/>
      </w:pPr>
    </w:p>
    <w:p w:rsidR="005345C9" w:rsidRPr="00274D24" w:rsidRDefault="005345C9" w:rsidP="005345C9">
      <w:pPr>
        <w:pStyle w:val="RKnormal"/>
        <w:rPr>
          <w:b/>
          <w:i/>
        </w:rPr>
      </w:pPr>
      <w:r w:rsidRPr="00274D24">
        <w:rPr>
          <w:b/>
          <w:i/>
        </w:rPr>
        <w:t>c) EU-Ryssland relationer</w:t>
      </w:r>
    </w:p>
    <w:p w:rsidR="005345C9" w:rsidRPr="00274D24" w:rsidRDefault="005345C9" w:rsidP="005345C9">
      <w:pPr>
        <w:tabs>
          <w:tab w:val="left" w:pos="2835"/>
        </w:tabs>
        <w:spacing w:line="240" w:lineRule="atLeast"/>
        <w:rPr>
          <w:rFonts w:cs="OrigGarmnd BT"/>
          <w:color w:val="000000"/>
          <w:lang w:eastAsia="sv-SE"/>
        </w:rPr>
      </w:pPr>
      <w:r w:rsidRPr="00274D24">
        <w:rPr>
          <w:rFonts w:cs="OrigGarmnd BT"/>
          <w:color w:val="000000"/>
          <w:lang w:eastAsia="sv-SE"/>
        </w:rPr>
        <w:t xml:space="preserve">Punkten avser information om läget i diverse energirelaterade relationer mellan EU och Ryssland. Inom ramen för de återkommande toppmöten mellan EU-Ryssland har det sedan 2001 bedrivits en energidialog. Syftet med dialogen har varit att inleda ett energipartnerskap mellan EU och Ryssland. Inom ramen för denna dialog har ett antal tematiska grupper verkat. Enligt beslut vid höstens energiministermöte inom ramen för Permanent Partnership Council (PPC), har antalet grupper reducerats till tre (energieffektivisering, marknadsutveckling och energistrategier) och har nu återupptagit sitt arbete. </w:t>
      </w:r>
    </w:p>
    <w:p w:rsidR="005345C9" w:rsidRPr="00274D24" w:rsidRDefault="005345C9" w:rsidP="005345C9">
      <w:pPr>
        <w:tabs>
          <w:tab w:val="left" w:pos="2835"/>
        </w:tabs>
        <w:spacing w:line="240" w:lineRule="atLeast"/>
        <w:rPr>
          <w:rFonts w:cs="OrigGarmnd BT"/>
          <w:color w:val="FF0000"/>
          <w:lang w:eastAsia="sv-SE"/>
        </w:rPr>
      </w:pPr>
    </w:p>
    <w:p w:rsidR="005345C9" w:rsidRPr="00274D24" w:rsidRDefault="005345C9" w:rsidP="005345C9">
      <w:pPr>
        <w:tabs>
          <w:tab w:val="left" w:pos="2835"/>
        </w:tabs>
        <w:spacing w:line="240" w:lineRule="atLeast"/>
        <w:rPr>
          <w:rFonts w:cs="OrigGarmnd BT"/>
          <w:color w:val="000000"/>
          <w:lang w:eastAsia="sv-SE"/>
        </w:rPr>
      </w:pPr>
      <w:r w:rsidRPr="00274D24">
        <w:rPr>
          <w:rFonts w:cs="OrigGarmnd BT"/>
          <w:color w:val="000000"/>
          <w:lang w:eastAsia="sv-SE"/>
        </w:rPr>
        <w:t xml:space="preserve">Under 2006 inleddes diskussioner om att överföra energidialogen till ett bredare sammanhang i det rättsliga ramverk som ska ersätta dagens Partnerskaps- och samarbetsavtalet (PSA) med Ryssland. Denna och andra frågor diskuterades vid det toppmöte som hölls den 18 maj i ryska Samara. Mötet bl.a. behandlade det förslag till mekanism för övervakning av leveranserna av olja och gas från Ryssland, vilket har behandlats inom ramen för Allmänna rådet. </w:t>
      </w:r>
    </w:p>
    <w:p w:rsidR="005345C9" w:rsidRPr="00274D24" w:rsidRDefault="005345C9" w:rsidP="005345C9">
      <w:pPr>
        <w:tabs>
          <w:tab w:val="left" w:pos="2835"/>
        </w:tabs>
        <w:spacing w:line="240" w:lineRule="atLeast"/>
        <w:rPr>
          <w:rFonts w:cs="OrigGarmnd BT"/>
          <w:color w:val="000000"/>
          <w:lang w:eastAsia="sv-SE"/>
        </w:rPr>
      </w:pPr>
    </w:p>
    <w:p w:rsidR="005345C9" w:rsidRPr="00274D24" w:rsidRDefault="005345C9" w:rsidP="005345C9">
      <w:pPr>
        <w:tabs>
          <w:tab w:val="left" w:pos="2835"/>
        </w:tabs>
        <w:spacing w:line="240" w:lineRule="atLeast"/>
        <w:rPr>
          <w:rFonts w:cs="OrigGarmnd BT"/>
          <w:color w:val="000000"/>
          <w:lang w:eastAsia="sv-SE"/>
        </w:rPr>
      </w:pPr>
      <w:r w:rsidRPr="00274D24">
        <w:rPr>
          <w:rFonts w:cs="OrigGarmnd BT"/>
          <w:color w:val="000000"/>
          <w:lang w:eastAsia="sv-SE"/>
        </w:rPr>
        <w:t>Avseende den återkommande frågan om energistadgefördraget, har inte de bilaterala förhandlingarna om oenigheterna kring transitprotokollet återupptagits sedan juni 2006. Ryssland har under tiden meddelat att man anser att såväl transitprotokollet som stadgefördraget bör omförhandlas för att bättre spegla dagens förhållanden.</w:t>
      </w:r>
    </w:p>
    <w:p w:rsidR="005345C9" w:rsidRPr="00274D24" w:rsidRDefault="005345C9" w:rsidP="005345C9">
      <w:pPr>
        <w:tabs>
          <w:tab w:val="left" w:pos="2835"/>
        </w:tabs>
        <w:spacing w:line="240" w:lineRule="atLeast"/>
        <w:rPr>
          <w:rFonts w:cs="OrigGarmnd BT"/>
          <w:color w:val="000000"/>
          <w:lang w:eastAsia="sv-SE"/>
        </w:rPr>
      </w:pPr>
    </w:p>
    <w:p w:rsidR="005345C9" w:rsidRPr="00274D24" w:rsidRDefault="005345C9" w:rsidP="005345C9">
      <w:pPr>
        <w:pStyle w:val="RKnormal"/>
        <w:rPr>
          <w:b/>
          <w:i/>
        </w:rPr>
      </w:pPr>
    </w:p>
    <w:p w:rsidR="005345C9" w:rsidRPr="00274D24" w:rsidRDefault="005345C9" w:rsidP="005345C9">
      <w:pPr>
        <w:pStyle w:val="RKnormal"/>
        <w:rPr>
          <w:b/>
          <w:i/>
        </w:rPr>
      </w:pPr>
      <w:r w:rsidRPr="00274D24">
        <w:rPr>
          <w:b/>
          <w:i/>
        </w:rPr>
        <w:t>d) Energigemenskapen</w:t>
      </w:r>
    </w:p>
    <w:p w:rsidR="005345C9" w:rsidRPr="00274D24" w:rsidRDefault="005345C9" w:rsidP="005345C9">
      <w:r w:rsidRPr="00274D24">
        <w:t xml:space="preserve">I december 2003 undertecknades en överenskommelse om att skapa en regional energimarknad i sydöstra Europa i linje med EU:s inre marknad för el och gas. Länderna i fråga var Kroatien, Bosnien och Hercegovina, Serbien och Montenegro, Förenta nationernas övergångsförvaltning i Kosovo, Albanien, Rumänien, Bulgarien, f.d. jugoslaviska republiken Makedonien samt Turkiet. Överenskommelsen öppnade vägen för ett rättsligt bindande avtal. Kommissionen förde under 2004 och 2005 förhandlingar med parterna för att upprätta ett fördrag och en organisation för den integrerade energimarknaden i sydöstra Europa. </w:t>
      </w:r>
    </w:p>
    <w:p w:rsidR="005345C9" w:rsidRPr="00274D24" w:rsidRDefault="005345C9" w:rsidP="005345C9"/>
    <w:p w:rsidR="005345C9" w:rsidRPr="00274D24" w:rsidRDefault="005345C9" w:rsidP="005345C9">
      <w:r w:rsidRPr="00274D24">
        <w:t>Fördraget har ibland jämförts med ett kol- och stålunionsfördrag för länderna på det forna Balkan. Fördraget har flera syften, men ett givet syfte är att skapa ett gemensamt regleringsramverk inom regionen för att få till stånd fungerande nät i det efter kriget sargade området. Man ska också genomföra relevant EU-lagstiftning (acquis) inom bl.a. energi- och miljöområdet i regionen för att på sikt skapa en gemensam europeisk marknad för EU och sydöstra Europa.</w:t>
      </w:r>
    </w:p>
    <w:p w:rsidR="005345C9" w:rsidRPr="00274D24" w:rsidRDefault="005345C9" w:rsidP="005345C9"/>
    <w:p w:rsidR="005345C9" w:rsidRPr="00274D24" w:rsidRDefault="005345C9" w:rsidP="005345C9">
      <w:r w:rsidRPr="00274D24">
        <w:t>Fördraget om en energigemenskap undertecknades i Aten i oktober 2005, dock inte av Turkiet som ännu inte var redo att ingå fördraget. EP lämnade sitt godkännande till avtalet genom omröstning den 18 maj 2006, och trädde i kraft den 1 juli. Arbetet är sedan dess inriktat på att överenskommelsen skall implementeras, och att samarbetet skall finna sina former.</w:t>
      </w:r>
    </w:p>
    <w:p w:rsidR="005345C9" w:rsidRPr="00274D24" w:rsidRDefault="005345C9" w:rsidP="005345C9">
      <w:pPr>
        <w:rPr>
          <w:rFonts w:ascii="Garamond" w:hAnsi="Garamond"/>
        </w:rPr>
      </w:pPr>
    </w:p>
    <w:p w:rsidR="005345C9" w:rsidRPr="00274D24" w:rsidRDefault="005345C9" w:rsidP="005345C9">
      <w:pPr>
        <w:rPr>
          <w:rFonts w:ascii="Garamond" w:hAnsi="Garamond"/>
        </w:rPr>
      </w:pPr>
      <w:r w:rsidRPr="00274D24">
        <w:t>Föreliggande informationspunkt förklarar hur arbetsmetoden vid förberedelser för ministerrådet under energigemenskapen skall se ut. Metoden innebär att kommissionen i så god tid som möjligt ska informera rådet om kommande möten i ministerrådet under gemenskapen. Förberedande behandlingen av dagordning och i möjligaste mån bakomliggande dokument ska ske medelst information till och behandling i rådsarbetsgruppen för energi samt COREPER/rådet. Denna metod är icke bindande, och påverkar inte andra procedurer eller gemenskapsavtalet i sig.</w:t>
      </w:r>
    </w:p>
    <w:p w:rsidR="005345C9" w:rsidRPr="00274D24" w:rsidRDefault="005345C9" w:rsidP="005345C9">
      <w:pPr>
        <w:pStyle w:val="RKnormal"/>
        <w:rPr>
          <w:b/>
          <w:i/>
        </w:rPr>
      </w:pPr>
    </w:p>
    <w:p w:rsidR="005345C9" w:rsidRPr="00274D24" w:rsidRDefault="005345C9" w:rsidP="005345C9">
      <w:pPr>
        <w:pStyle w:val="RKnormal"/>
        <w:rPr>
          <w:b/>
          <w:i/>
        </w:rPr>
      </w:pPr>
      <w:r w:rsidRPr="00274D24">
        <w:rPr>
          <w:b/>
          <w:i/>
        </w:rPr>
        <w:t>e) Internationell plattform för energieffektivisering</w:t>
      </w:r>
    </w:p>
    <w:p w:rsidR="005345C9" w:rsidRPr="00274D24" w:rsidRDefault="005345C9" w:rsidP="005345C9">
      <w:pPr>
        <w:pStyle w:val="RKnormal"/>
        <w:rPr>
          <w:lang w:eastAsia="sv-SE"/>
        </w:rPr>
      </w:pPr>
      <w:r w:rsidRPr="00274D24">
        <w:rPr>
          <w:lang w:eastAsia="sv-SE"/>
        </w:rPr>
        <w:t xml:space="preserve">G8-länderna har bett Gleneagles Dialogue on Climate Change, Clean Energy and Sustainable Development and the IEA att utforska de mest effektiva metoderna för att främja energieffektivisering internationellt. </w:t>
      </w:r>
    </w:p>
    <w:p w:rsidR="005345C9" w:rsidRPr="00274D24" w:rsidRDefault="005345C9" w:rsidP="005345C9">
      <w:pPr>
        <w:pStyle w:val="RKnormal"/>
        <w:rPr>
          <w:lang w:eastAsia="sv-SE"/>
        </w:rPr>
      </w:pPr>
    </w:p>
    <w:p w:rsidR="005345C9" w:rsidRPr="00274D24" w:rsidRDefault="005345C9" w:rsidP="005345C9">
      <w:pPr>
        <w:pStyle w:val="RKnormal"/>
        <w:rPr>
          <w:lang w:eastAsia="sv-SE"/>
        </w:rPr>
      </w:pPr>
      <w:r w:rsidRPr="00274D24">
        <w:rPr>
          <w:lang w:eastAsia="sv-SE"/>
        </w:rPr>
        <w:t xml:space="preserve">Tanken är att skapa en plattform för bl.a. utbyte av kunskap, information, metoder osv. i syfte att främja energieffektivisering mellan deltagande länder. Alla Gleneagleländer inbjuds att delta. </w:t>
      </w:r>
    </w:p>
    <w:p w:rsidR="005345C9" w:rsidRPr="00274D24" w:rsidRDefault="005345C9" w:rsidP="005345C9">
      <w:pPr>
        <w:pStyle w:val="RKnormal"/>
        <w:rPr>
          <w:b/>
          <w:i/>
        </w:rPr>
      </w:pPr>
    </w:p>
    <w:p w:rsidR="005345C9" w:rsidRPr="00274D24" w:rsidRDefault="005345C9" w:rsidP="005345C9">
      <w:pPr>
        <w:pStyle w:val="RKnormal"/>
        <w:rPr>
          <w:b/>
          <w:i/>
        </w:rPr>
      </w:pPr>
      <w:r w:rsidRPr="00274D24">
        <w:rPr>
          <w:b/>
          <w:i/>
        </w:rPr>
        <w:t>f )Övriga initiativ</w:t>
      </w:r>
    </w:p>
    <w:p w:rsidR="005345C9" w:rsidRPr="00274D24" w:rsidRDefault="005345C9" w:rsidP="005345C9">
      <w:pPr>
        <w:pStyle w:val="RKnormal"/>
      </w:pPr>
      <w:r w:rsidRPr="00274D24">
        <w:t>Energi har under året stått högt på dagordningen vid en rad av EU:s bilaterala möten med länder såsom Kina, Indien, Sydkorea och Ukraina i regionala samarbeten såsom som det med kaspiska havsregionen och ASEAN. Ordförandeskapet och kommissionen väntas kort redogöra för de dialoger som förevarit och andra aktuella initiativ.</w:t>
      </w:r>
    </w:p>
    <w:p w:rsidR="005345C9" w:rsidRPr="00274D24" w:rsidRDefault="005345C9" w:rsidP="005345C9">
      <w:pPr>
        <w:pStyle w:val="RKnormal"/>
      </w:pPr>
    </w:p>
    <w:p w:rsidR="005345C9" w:rsidRPr="00274D24" w:rsidRDefault="005345C9" w:rsidP="005345C9">
      <w:pPr>
        <w:pStyle w:val="RKnormal"/>
        <w:rPr>
          <w:b/>
        </w:rPr>
      </w:pPr>
    </w:p>
    <w:p w:rsidR="005345C9" w:rsidRPr="00274D24" w:rsidRDefault="005345C9" w:rsidP="005345C9">
      <w:pPr>
        <w:pStyle w:val="RKnormal"/>
        <w:rPr>
          <w:b/>
        </w:rPr>
      </w:pPr>
      <w:r w:rsidRPr="00274D24">
        <w:rPr>
          <w:b/>
        </w:rPr>
        <w:t xml:space="preserve">Förslag till svensk ståndpunkt </w:t>
      </w:r>
    </w:p>
    <w:p w:rsidR="005345C9" w:rsidRPr="00274D24" w:rsidRDefault="005345C9" w:rsidP="005345C9">
      <w:pPr>
        <w:pStyle w:val="RKnormal"/>
        <w:rPr>
          <w:b/>
        </w:rPr>
      </w:pPr>
      <w:r w:rsidRPr="00274D24">
        <w:t>Ingen diskussion väntas avseende informationen om de internationella relationerna. Regeringen välkomnar att energiministrarna hålls informerade om de löpande externa energidialogerna</w:t>
      </w:r>
      <w:r w:rsidRPr="00274D24">
        <w:rPr>
          <w:szCs w:val="24"/>
        </w:rPr>
        <w:t xml:space="preserve"> samt</w:t>
      </w:r>
      <w:r w:rsidRPr="00274D24">
        <w:t xml:space="preserve"> syftet med dessa, dvs. att utveckla goda relationer med EU:s energipartners för att på så sätt söka trygga EU:s framtida energiförsörjning samt ge EU stärkta möjligheter att verka för hållbar energi och klimatfrågor på det internationella planet.</w:t>
      </w:r>
    </w:p>
    <w:p w:rsidR="0049038C" w:rsidRPr="00274D24" w:rsidRDefault="0049038C" w:rsidP="009021E5">
      <w:pPr>
        <w:pStyle w:val="RKnormal"/>
      </w:pPr>
    </w:p>
    <w:p w:rsidR="0049038C" w:rsidRPr="00274D24" w:rsidRDefault="0049038C" w:rsidP="009021E5">
      <w:pPr>
        <w:pStyle w:val="RKnormal"/>
      </w:pPr>
    </w:p>
    <w:p w:rsidR="0049038C" w:rsidRPr="00274D24" w:rsidRDefault="00B72BB9" w:rsidP="00B72BB9">
      <w:pPr>
        <w:pStyle w:val="RKnormal"/>
        <w:rPr>
          <w:rFonts w:ascii="TradeGothic" w:hAnsi="TradeGothic"/>
          <w:b/>
          <w:bCs/>
          <w:sz w:val="22"/>
        </w:rPr>
      </w:pPr>
      <w:r w:rsidRPr="00274D24">
        <w:rPr>
          <w:rFonts w:ascii="TradeGothic" w:hAnsi="TradeGothic"/>
          <w:b/>
          <w:bCs/>
          <w:sz w:val="22"/>
        </w:rPr>
        <w:t xml:space="preserve">23 </w:t>
      </w:r>
      <w:r w:rsidR="0049038C" w:rsidRPr="00274D24">
        <w:rPr>
          <w:rFonts w:ascii="TradeGothic" w:hAnsi="TradeGothic"/>
          <w:b/>
          <w:bCs/>
          <w:sz w:val="22"/>
        </w:rPr>
        <w:t>Övriga frågor</w:t>
      </w:r>
    </w:p>
    <w:p w:rsidR="0049038C" w:rsidRPr="00274D24" w:rsidRDefault="0049038C" w:rsidP="009021E5">
      <w:pPr>
        <w:pStyle w:val="RKnormal"/>
      </w:pPr>
    </w:p>
    <w:p w:rsidR="0049038C" w:rsidRPr="00274D24" w:rsidRDefault="0049038C" w:rsidP="00B72BB9">
      <w:pPr>
        <w:pStyle w:val="RKnormal"/>
        <w:rPr>
          <w:rFonts w:ascii="TradeGothic" w:hAnsi="TradeGothic"/>
          <w:b/>
          <w:bCs/>
          <w:sz w:val="22"/>
        </w:rPr>
      </w:pPr>
      <w:r w:rsidRPr="00274D24">
        <w:rPr>
          <w:rFonts w:ascii="TradeGothic" w:hAnsi="TradeGothic"/>
          <w:b/>
          <w:bCs/>
          <w:sz w:val="22"/>
        </w:rPr>
        <w:t>f</w:t>
      </w:r>
      <w:r w:rsidR="00B72BB9" w:rsidRPr="00274D24">
        <w:rPr>
          <w:rFonts w:ascii="TradeGothic" w:hAnsi="TradeGothic"/>
          <w:b/>
          <w:bCs/>
          <w:sz w:val="22"/>
        </w:rPr>
        <w:t>)</w:t>
      </w:r>
      <w:r w:rsidRPr="00274D24">
        <w:rPr>
          <w:rFonts w:ascii="TradeGothic" w:hAnsi="TradeGothic"/>
          <w:b/>
          <w:bCs/>
          <w:sz w:val="22"/>
        </w:rPr>
        <w:t xml:space="preserve"> Meddelande om en europeisk hamnpolitik</w:t>
      </w:r>
    </w:p>
    <w:p w:rsidR="0049038C" w:rsidRPr="00274D24" w:rsidRDefault="0049038C" w:rsidP="0049038C">
      <w:pPr>
        <w:pStyle w:val="RKnormal"/>
        <w:rPr>
          <w:i/>
          <w:iCs/>
        </w:rPr>
      </w:pPr>
      <w:r w:rsidRPr="00274D24">
        <w:rPr>
          <w:i/>
          <w:iCs/>
        </w:rPr>
        <w:t>- Presentation av kommissionen</w:t>
      </w:r>
    </w:p>
    <w:p w:rsidR="0049038C" w:rsidRPr="00274D24" w:rsidRDefault="0049038C" w:rsidP="0049038C">
      <w:pPr>
        <w:pStyle w:val="RKnormal"/>
      </w:pPr>
    </w:p>
    <w:p w:rsidR="0049038C" w:rsidRPr="00274D24" w:rsidRDefault="0049038C" w:rsidP="0049038C">
      <w:pPr>
        <w:pStyle w:val="RKnormal"/>
      </w:pPr>
      <w:r w:rsidRPr="00274D24">
        <w:t>Frågan har inte tidigare behandlats i EU-nämnden.</w:t>
      </w:r>
    </w:p>
    <w:p w:rsidR="0049038C" w:rsidRPr="00274D24" w:rsidRDefault="0049038C" w:rsidP="0049038C">
      <w:pPr>
        <w:pStyle w:val="RKnormal"/>
      </w:pPr>
    </w:p>
    <w:p w:rsidR="0049038C" w:rsidRPr="00274D24" w:rsidRDefault="0049038C" w:rsidP="0049038C">
      <w:pPr>
        <w:pStyle w:val="RKnormal"/>
        <w:rPr>
          <w:b/>
          <w:bCs/>
        </w:rPr>
      </w:pPr>
      <w:r w:rsidRPr="00274D24">
        <w:rPr>
          <w:b/>
          <w:bCs/>
        </w:rPr>
        <w:t>Bakgrund</w:t>
      </w:r>
    </w:p>
    <w:p w:rsidR="0049038C" w:rsidRPr="00274D24" w:rsidRDefault="0049038C" w:rsidP="0049038C">
      <w:pPr>
        <w:pStyle w:val="RKnormal"/>
      </w:pPr>
      <w:r w:rsidRPr="00274D24">
        <w:t>Meddelandet innehåller KOM:s handlingsplan med förslag till åtgärder som syftar till att förstärka EU:s hamnstruktur. Cirka 90 % av EU:s internationella handel går genom någon av Europas mer än 1200 hamnar. Därför är det av stor vikt att det europeiska hamnsystemet kan utvecklas på ett sådant sätt att det ökande godsflödet kan omhändertas.</w:t>
      </w:r>
    </w:p>
    <w:p w:rsidR="0049038C" w:rsidRPr="00274D24" w:rsidRDefault="0049038C" w:rsidP="0049038C">
      <w:pPr>
        <w:pStyle w:val="RKnormal"/>
      </w:pPr>
      <w:r w:rsidRPr="00274D24">
        <w:t xml:space="preserve">Handlingsplanen innehåller bland annat resonemang kring hur hamnarnas struktur ska kunna bli bättre, hur en kapacitetsutbyggnad ska kunna ske samtidigt som hänsyn tas till miljön, hur förenklingar av tullförfarandet men även andra regelförenklingar ska kunna ske, hur redan nu tillämpliga gemenskapsbestämmelser för operatörer och användare ska kunna tydliggöras samt tydliggöra regler som syftar till att både konkurrensförutsättningarna mellan olika EU-hamnar är likvärdiga och mellan EU-hamnar och hamnar i tredje land. </w:t>
      </w:r>
    </w:p>
    <w:p w:rsidR="0049038C" w:rsidRPr="00274D24" w:rsidRDefault="0049038C" w:rsidP="0049038C">
      <w:pPr>
        <w:pStyle w:val="RKnormal"/>
      </w:pPr>
    </w:p>
    <w:p w:rsidR="0049038C" w:rsidRPr="00274D24" w:rsidRDefault="0049038C" w:rsidP="0049038C">
      <w:pPr>
        <w:pStyle w:val="RKnormal"/>
        <w:rPr>
          <w:b/>
          <w:bCs/>
        </w:rPr>
      </w:pPr>
      <w:r w:rsidRPr="00274D24">
        <w:rPr>
          <w:b/>
          <w:bCs/>
        </w:rPr>
        <w:t>Förslag till svensk ståndpunkt</w:t>
      </w:r>
    </w:p>
    <w:p w:rsidR="0049038C" w:rsidRPr="00274D24" w:rsidRDefault="0049038C" w:rsidP="0049038C">
      <w:pPr>
        <w:pStyle w:val="RKnormal"/>
      </w:pPr>
      <w:r w:rsidRPr="00274D24">
        <w:t>Regeringen anser att det är viktigt att stärka de europeiska hamnarnas effektivitet och konkurrenskraft. Detta ska ske samtidigt som ambitionsnivån ska öka när det gäller miljö- och säkerhetsfrågor inom hamnsektorn. Regeringen har alltså en grundläggande positiv syn på meddelandet.</w:t>
      </w:r>
    </w:p>
    <w:p w:rsidR="0049038C" w:rsidRPr="00274D24" w:rsidRDefault="0049038C" w:rsidP="009021E5">
      <w:pPr>
        <w:pStyle w:val="RKnormal"/>
      </w:pPr>
    </w:p>
    <w:p w:rsidR="0049038C" w:rsidRPr="00274D24" w:rsidRDefault="0049038C" w:rsidP="00B72BB9">
      <w:pPr>
        <w:pStyle w:val="RKnormal"/>
        <w:rPr>
          <w:rFonts w:ascii="TradeGothic" w:hAnsi="TradeGothic"/>
          <w:b/>
          <w:bCs/>
          <w:sz w:val="22"/>
        </w:rPr>
      </w:pPr>
      <w:r w:rsidRPr="00274D24">
        <w:rPr>
          <w:rFonts w:ascii="TradeGothic" w:hAnsi="TradeGothic"/>
          <w:b/>
          <w:bCs/>
          <w:sz w:val="22"/>
        </w:rPr>
        <w:t>g) Informationspunkt om sjöräddning</w:t>
      </w:r>
    </w:p>
    <w:p w:rsidR="0049038C" w:rsidRPr="00274D24" w:rsidRDefault="0049038C" w:rsidP="0049038C">
      <w:pPr>
        <w:pStyle w:val="RKnormal"/>
        <w:rPr>
          <w:i/>
          <w:iCs/>
        </w:rPr>
      </w:pPr>
      <w:r w:rsidRPr="00274D24">
        <w:rPr>
          <w:i/>
          <w:iCs/>
        </w:rPr>
        <w:t>- information från ES och IT</w:t>
      </w:r>
    </w:p>
    <w:p w:rsidR="0049038C" w:rsidRPr="00274D24" w:rsidRDefault="0049038C" w:rsidP="0049038C">
      <w:pPr>
        <w:pStyle w:val="RKnormal"/>
      </w:pPr>
    </w:p>
    <w:p w:rsidR="0049038C" w:rsidRPr="00274D24" w:rsidRDefault="0049038C" w:rsidP="0049038C">
      <w:pPr>
        <w:pStyle w:val="RKnormal"/>
      </w:pPr>
      <w:r w:rsidRPr="00274D24">
        <w:t>Frågan har inte tidigare behandlats i EU-nämnden.</w:t>
      </w:r>
    </w:p>
    <w:p w:rsidR="0049038C" w:rsidRPr="00274D24" w:rsidRDefault="0049038C" w:rsidP="0049038C">
      <w:pPr>
        <w:pStyle w:val="RKnormal"/>
      </w:pPr>
    </w:p>
    <w:p w:rsidR="0049038C" w:rsidRPr="00274D24" w:rsidRDefault="0049038C" w:rsidP="0049038C">
      <w:pPr>
        <w:pStyle w:val="RKnormal"/>
        <w:rPr>
          <w:b/>
          <w:bCs/>
        </w:rPr>
      </w:pPr>
      <w:r w:rsidRPr="00274D24">
        <w:rPr>
          <w:b/>
          <w:bCs/>
        </w:rPr>
        <w:t>Bakgrund</w:t>
      </w:r>
    </w:p>
    <w:p w:rsidR="0049038C" w:rsidRPr="00274D24" w:rsidRDefault="0049038C" w:rsidP="0049038C">
      <w:pPr>
        <w:pStyle w:val="RKnormal"/>
      </w:pPr>
      <w:r w:rsidRPr="00274D24">
        <w:t>Det är inte känt vad ES och IT avser framföra i denna fråga.</w:t>
      </w:r>
    </w:p>
    <w:p w:rsidR="0049038C" w:rsidRPr="00274D24" w:rsidRDefault="0049038C" w:rsidP="0049038C">
      <w:pPr>
        <w:pStyle w:val="RKnormal"/>
      </w:pPr>
    </w:p>
    <w:p w:rsidR="0049038C" w:rsidRPr="00274D24" w:rsidRDefault="0049038C" w:rsidP="0049038C">
      <w:pPr>
        <w:pStyle w:val="RKnormal"/>
        <w:rPr>
          <w:b/>
          <w:bCs/>
        </w:rPr>
      </w:pPr>
      <w:r w:rsidRPr="00274D24">
        <w:rPr>
          <w:b/>
          <w:bCs/>
        </w:rPr>
        <w:t>Förslag till svensk ståndpunkt</w:t>
      </w:r>
    </w:p>
    <w:p w:rsidR="0049038C" w:rsidRPr="00274D24" w:rsidRDefault="0049038C" w:rsidP="0049038C">
      <w:pPr>
        <w:pStyle w:val="RKnormal"/>
      </w:pPr>
      <w:r w:rsidRPr="00274D24">
        <w:t>SE bör notera vad ES och IT framför.</w:t>
      </w:r>
    </w:p>
    <w:p w:rsidR="0049038C" w:rsidRPr="00274D24" w:rsidRDefault="0049038C" w:rsidP="009021E5">
      <w:pPr>
        <w:pStyle w:val="RKnormal"/>
      </w:pPr>
    </w:p>
    <w:p w:rsidR="0049038C" w:rsidRPr="00274D24" w:rsidRDefault="0049038C" w:rsidP="00B72BB9">
      <w:pPr>
        <w:pStyle w:val="RKnormal"/>
        <w:rPr>
          <w:rFonts w:ascii="TradeGothic" w:hAnsi="TradeGothic"/>
          <w:b/>
          <w:bCs/>
          <w:sz w:val="22"/>
        </w:rPr>
      </w:pPr>
      <w:r w:rsidRPr="00274D24">
        <w:rPr>
          <w:rFonts w:ascii="TradeGothic" w:hAnsi="TradeGothic"/>
          <w:b/>
          <w:bCs/>
          <w:sz w:val="22"/>
        </w:rPr>
        <w:t>h) Internationella arbetsorganisationen (ILO)</w:t>
      </w:r>
    </w:p>
    <w:p w:rsidR="0049038C" w:rsidRPr="00274D24" w:rsidRDefault="0049038C" w:rsidP="0049038C">
      <w:pPr>
        <w:pStyle w:val="RKnormal"/>
        <w:rPr>
          <w:i/>
          <w:iCs/>
        </w:rPr>
      </w:pPr>
      <w:r w:rsidRPr="00274D24">
        <w:rPr>
          <w:i/>
          <w:iCs/>
        </w:rPr>
        <w:t>- information från kommissionen</w:t>
      </w:r>
    </w:p>
    <w:p w:rsidR="0049038C" w:rsidRPr="00274D24" w:rsidRDefault="0049038C" w:rsidP="0049038C">
      <w:pPr>
        <w:pStyle w:val="RKnormal"/>
      </w:pPr>
    </w:p>
    <w:p w:rsidR="0049038C" w:rsidRPr="00274D24" w:rsidRDefault="0049038C" w:rsidP="0049038C">
      <w:pPr>
        <w:pStyle w:val="RKnormal"/>
      </w:pPr>
      <w:r w:rsidRPr="00274D24">
        <w:t>Frågan har inte tidigare behandlats i EU-nämnden.</w:t>
      </w:r>
    </w:p>
    <w:p w:rsidR="0049038C" w:rsidRPr="00274D24" w:rsidRDefault="0049038C" w:rsidP="0049038C">
      <w:pPr>
        <w:pStyle w:val="RKnormal"/>
      </w:pPr>
    </w:p>
    <w:p w:rsidR="0049038C" w:rsidRPr="00274D24" w:rsidRDefault="0049038C" w:rsidP="0049038C">
      <w:pPr>
        <w:pStyle w:val="RKnormal"/>
        <w:rPr>
          <w:b/>
          <w:bCs/>
        </w:rPr>
      </w:pPr>
      <w:r w:rsidRPr="00274D24">
        <w:rPr>
          <w:b/>
          <w:bCs/>
        </w:rPr>
        <w:t>Bakgrund</w:t>
      </w:r>
    </w:p>
    <w:p w:rsidR="0049038C" w:rsidRPr="00274D24" w:rsidRDefault="0049038C" w:rsidP="0049038C">
      <w:pPr>
        <w:pStyle w:val="RKnormal"/>
      </w:pPr>
      <w:r w:rsidRPr="00274D24">
        <w:t>Punkten ska enligt uppgift handla om överenskommelser mellan arbetsmarknadens parter inom ramen för ILO.</w:t>
      </w:r>
    </w:p>
    <w:p w:rsidR="0049038C" w:rsidRPr="00274D24" w:rsidRDefault="0049038C" w:rsidP="0049038C">
      <w:pPr>
        <w:pStyle w:val="RKnormal"/>
      </w:pPr>
    </w:p>
    <w:p w:rsidR="0049038C" w:rsidRPr="00274D24" w:rsidRDefault="0049038C" w:rsidP="0049038C">
      <w:pPr>
        <w:pStyle w:val="RKnormal"/>
        <w:rPr>
          <w:b/>
          <w:bCs/>
        </w:rPr>
      </w:pPr>
      <w:r w:rsidRPr="00274D24">
        <w:rPr>
          <w:b/>
          <w:bCs/>
        </w:rPr>
        <w:t>Förslag till svensk ståndpunkt</w:t>
      </w:r>
    </w:p>
    <w:p w:rsidR="0049038C" w:rsidRPr="00274D24" w:rsidRDefault="0049038C" w:rsidP="0049038C">
      <w:pPr>
        <w:pStyle w:val="RKnormal"/>
      </w:pPr>
      <w:r w:rsidRPr="00274D24">
        <w:t>SE bör notera vad KOM framför.</w:t>
      </w:r>
    </w:p>
    <w:p w:rsidR="0049038C" w:rsidRPr="00274D24" w:rsidRDefault="0049038C" w:rsidP="0049038C"/>
    <w:p w:rsidR="0049038C" w:rsidRPr="00274D24" w:rsidRDefault="0049038C" w:rsidP="00B72BB9">
      <w:pPr>
        <w:pStyle w:val="RKnormal"/>
        <w:rPr>
          <w:rFonts w:ascii="TradeGothic" w:hAnsi="TradeGothic"/>
          <w:b/>
          <w:bCs/>
          <w:sz w:val="22"/>
        </w:rPr>
      </w:pPr>
      <w:r w:rsidRPr="00274D24">
        <w:rPr>
          <w:rFonts w:ascii="TradeGothic" w:hAnsi="TradeGothic"/>
          <w:b/>
          <w:bCs/>
          <w:sz w:val="22"/>
        </w:rPr>
        <w:t>i) Internationella sjöfartsorganisationen (IMO)</w:t>
      </w:r>
    </w:p>
    <w:p w:rsidR="0049038C" w:rsidRPr="00274D24" w:rsidRDefault="0049038C" w:rsidP="0049038C">
      <w:pPr>
        <w:pStyle w:val="RKnormal"/>
        <w:rPr>
          <w:i/>
          <w:iCs/>
        </w:rPr>
      </w:pPr>
      <w:r w:rsidRPr="00274D24">
        <w:rPr>
          <w:i/>
          <w:iCs/>
        </w:rPr>
        <w:t>- information från kommissionen</w:t>
      </w:r>
    </w:p>
    <w:p w:rsidR="0049038C" w:rsidRPr="00274D24" w:rsidRDefault="0049038C" w:rsidP="0049038C">
      <w:pPr>
        <w:pStyle w:val="RKnormal"/>
      </w:pPr>
    </w:p>
    <w:p w:rsidR="0049038C" w:rsidRPr="00274D24" w:rsidRDefault="0049038C" w:rsidP="0049038C">
      <w:pPr>
        <w:pStyle w:val="RKnormal"/>
      </w:pPr>
      <w:r w:rsidRPr="00274D24">
        <w:t>Frågan har inte tidigare behandlats i EU-nämnden.</w:t>
      </w:r>
    </w:p>
    <w:p w:rsidR="0049038C" w:rsidRPr="00274D24" w:rsidRDefault="0049038C" w:rsidP="0049038C">
      <w:pPr>
        <w:pStyle w:val="RKnormal"/>
      </w:pPr>
    </w:p>
    <w:p w:rsidR="0049038C" w:rsidRPr="00274D24" w:rsidRDefault="0049038C" w:rsidP="0049038C">
      <w:pPr>
        <w:pStyle w:val="RKnormal"/>
        <w:rPr>
          <w:b/>
          <w:bCs/>
        </w:rPr>
      </w:pPr>
      <w:r w:rsidRPr="00274D24">
        <w:rPr>
          <w:b/>
          <w:bCs/>
        </w:rPr>
        <w:t>Bakgrund</w:t>
      </w:r>
    </w:p>
    <w:p w:rsidR="0049038C" w:rsidRPr="00274D24" w:rsidRDefault="0049038C" w:rsidP="0049038C">
      <w:pPr>
        <w:pStyle w:val="RKnormal"/>
      </w:pPr>
      <w:r w:rsidRPr="00274D24">
        <w:t>Informationspunktens innehåll är inte känt men troligen vill KOM att MS ansöker hos IMO om att KOM:s observatörsstatus vid IMO ersätts med observatörsstatus för gemenskapen.</w:t>
      </w:r>
    </w:p>
    <w:p w:rsidR="0049038C" w:rsidRPr="00274D24" w:rsidRDefault="0049038C" w:rsidP="0049038C">
      <w:pPr>
        <w:pStyle w:val="RKnormal"/>
      </w:pPr>
    </w:p>
    <w:p w:rsidR="0049038C" w:rsidRPr="00274D24" w:rsidRDefault="0049038C" w:rsidP="0049038C">
      <w:pPr>
        <w:pStyle w:val="RKnormal"/>
      </w:pPr>
      <w:r w:rsidRPr="00274D24">
        <w:t xml:space="preserve">Enligt den konvention från 1948 som reglerar FN:s sjöfartsorganisation IMO:s verksamhet kan bara suveräna stater ansöka om medlemskap i organisationen. KOM är sedan 1970-talet observatör i IMO. 2002 föreslog KOM i ett meddelande att rådet skulle ansöka om medlemskap för Europeiska gemenskapen i IMO. Som ett led i denna strävan anser KOM att gemenskapen bör ersätta KOM som observatör i IMO. </w:t>
      </w:r>
    </w:p>
    <w:p w:rsidR="0049038C" w:rsidRPr="00274D24" w:rsidRDefault="0049038C" w:rsidP="0049038C">
      <w:pPr>
        <w:pStyle w:val="RKnormal"/>
      </w:pPr>
    </w:p>
    <w:p w:rsidR="0049038C" w:rsidRPr="00274D24" w:rsidRDefault="0049038C" w:rsidP="0049038C">
      <w:pPr>
        <w:pStyle w:val="RKnormal"/>
      </w:pPr>
      <w:r w:rsidRPr="00274D24">
        <w:t xml:space="preserve">Ingen MS såg vid detta tillfälle något mervärde med KOM:s förslag, bl.a. därför att ett IMO-medlemskap för EG skulle minska de enskilda MS:s påverkansmöjligheter i miljö- och säkerhetsarbetet inom IMO. </w:t>
      </w:r>
    </w:p>
    <w:p w:rsidR="0049038C" w:rsidRPr="00274D24" w:rsidRDefault="0049038C" w:rsidP="0049038C">
      <w:pPr>
        <w:pStyle w:val="RKnormal"/>
      </w:pPr>
    </w:p>
    <w:p w:rsidR="0049038C" w:rsidRPr="00274D24" w:rsidRDefault="0049038C" w:rsidP="0049038C">
      <w:pPr>
        <w:pStyle w:val="RKnormal"/>
        <w:rPr>
          <w:b/>
          <w:bCs/>
        </w:rPr>
      </w:pPr>
      <w:r w:rsidRPr="00274D24">
        <w:rPr>
          <w:b/>
          <w:bCs/>
        </w:rPr>
        <w:t>Förslag till svensk ståndpunkt</w:t>
      </w:r>
    </w:p>
    <w:p w:rsidR="0049038C" w:rsidRPr="00274D24" w:rsidRDefault="0049038C" w:rsidP="0049038C">
      <w:pPr>
        <w:pStyle w:val="RKnormal"/>
      </w:pPr>
      <w:r w:rsidRPr="00274D24">
        <w:t>Sverige bör notera vad KOM framför i fråga om observatörsstatus.</w:t>
      </w:r>
    </w:p>
    <w:p w:rsidR="0049038C" w:rsidRPr="00274D24" w:rsidRDefault="0049038C" w:rsidP="0049038C"/>
    <w:p w:rsidR="0049038C" w:rsidRPr="00274D24" w:rsidRDefault="0049038C" w:rsidP="009021E5">
      <w:pPr>
        <w:pStyle w:val="RKnormal"/>
      </w:pPr>
    </w:p>
    <w:sectPr w:rsidR="0049038C" w:rsidRPr="00274D2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82B" w:rsidRPr="00274D24" w:rsidRDefault="00B4382B">
      <w:r w:rsidRPr="00274D24">
        <w:separator/>
      </w:r>
    </w:p>
  </w:endnote>
  <w:endnote w:type="continuationSeparator" w:id="0">
    <w:p w:rsidR="00B4382B" w:rsidRPr="00274D24" w:rsidRDefault="00B4382B">
      <w:r w:rsidRPr="00274D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82B" w:rsidRPr="00274D24" w:rsidRDefault="00B4382B">
      <w:r w:rsidRPr="00274D24">
        <w:separator/>
      </w:r>
    </w:p>
  </w:footnote>
  <w:footnote w:type="continuationSeparator" w:id="0">
    <w:p w:rsidR="00B4382B" w:rsidRPr="00274D24" w:rsidRDefault="00B4382B">
      <w:r w:rsidRPr="00274D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B9" w:rsidRPr="00274D24" w:rsidRDefault="00B72BB9">
    <w:pPr>
      <w:pStyle w:val="Sidhuvud"/>
      <w:framePr w:wrap="around" w:vAnchor="text" w:hAnchor="margin" w:xAlign="right" w:y="1"/>
      <w:rPr>
        <w:rStyle w:val="Sidnummer"/>
      </w:rPr>
    </w:pPr>
    <w:r w:rsidRPr="00274D24">
      <w:rPr>
        <w:rStyle w:val="Sidnummer"/>
      </w:rPr>
      <w:fldChar w:fldCharType="begin" w:fldLock="1"/>
    </w:r>
    <w:r w:rsidRPr="00274D24">
      <w:rPr>
        <w:rStyle w:val="Sidnummer"/>
      </w:rPr>
      <w:instrText xml:space="preserve">PAGE  </w:instrText>
    </w:r>
    <w:r w:rsidRPr="00274D24">
      <w:rPr>
        <w:rStyle w:val="Sidnummer"/>
      </w:rPr>
      <w:fldChar w:fldCharType="separate"/>
    </w:r>
    <w:r w:rsidR="00A702FC" w:rsidRPr="00274D24">
      <w:rPr>
        <w:rStyle w:val="Sidnummer"/>
      </w:rPr>
      <w:t>16</w:t>
    </w:r>
    <w:r w:rsidRPr="00274D2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2BB9" w:rsidRPr="00274D24">
      <w:tblPrEx>
        <w:tblCellMar>
          <w:top w:w="0" w:type="dxa"/>
          <w:bottom w:w="0" w:type="dxa"/>
        </w:tblCellMar>
      </w:tblPrEx>
      <w:trPr>
        <w:cantSplit/>
      </w:trPr>
      <w:tc>
        <w:tcPr>
          <w:tcW w:w="3119" w:type="dxa"/>
        </w:tcPr>
        <w:p w:rsidR="00B72BB9" w:rsidRPr="00274D24" w:rsidRDefault="00B72BB9">
          <w:pPr>
            <w:pStyle w:val="Sidhuvud"/>
            <w:spacing w:line="200" w:lineRule="atLeast"/>
            <w:ind w:right="357"/>
            <w:rPr>
              <w:rFonts w:ascii="TradeGothic" w:hAnsi="TradeGothic"/>
              <w:b/>
              <w:bCs/>
              <w:sz w:val="16"/>
            </w:rPr>
          </w:pPr>
        </w:p>
      </w:tc>
      <w:tc>
        <w:tcPr>
          <w:tcW w:w="4111" w:type="dxa"/>
          <w:tcMar>
            <w:left w:w="567" w:type="dxa"/>
          </w:tcMar>
        </w:tcPr>
        <w:p w:rsidR="00B72BB9" w:rsidRPr="00274D24" w:rsidRDefault="00B72BB9">
          <w:pPr>
            <w:pStyle w:val="Sidhuvud"/>
            <w:ind w:right="360"/>
          </w:pPr>
        </w:p>
      </w:tc>
      <w:tc>
        <w:tcPr>
          <w:tcW w:w="1525" w:type="dxa"/>
        </w:tcPr>
        <w:p w:rsidR="00B72BB9" w:rsidRPr="00274D24" w:rsidRDefault="00B72BB9">
          <w:pPr>
            <w:pStyle w:val="Sidhuvud"/>
            <w:ind w:right="360"/>
          </w:pPr>
        </w:p>
      </w:tc>
    </w:tr>
  </w:tbl>
  <w:p w:rsidR="00B72BB9" w:rsidRPr="00274D24" w:rsidRDefault="00B72BB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B9" w:rsidRPr="00274D24" w:rsidRDefault="00B72BB9">
    <w:pPr>
      <w:pStyle w:val="Sidhuvud"/>
      <w:framePr w:wrap="around" w:vAnchor="text" w:hAnchor="margin" w:xAlign="right" w:y="1"/>
      <w:rPr>
        <w:rStyle w:val="Sidnummer"/>
      </w:rPr>
    </w:pPr>
    <w:r w:rsidRPr="00274D24">
      <w:rPr>
        <w:rStyle w:val="Sidnummer"/>
      </w:rPr>
      <w:fldChar w:fldCharType="begin" w:fldLock="1"/>
    </w:r>
    <w:r w:rsidRPr="00274D24">
      <w:rPr>
        <w:rStyle w:val="Sidnummer"/>
      </w:rPr>
      <w:instrText xml:space="preserve">PAGE  </w:instrText>
    </w:r>
    <w:r w:rsidRPr="00274D24">
      <w:rPr>
        <w:rStyle w:val="Sidnummer"/>
      </w:rPr>
      <w:fldChar w:fldCharType="separate"/>
    </w:r>
    <w:r w:rsidR="00A702FC" w:rsidRPr="00274D24">
      <w:rPr>
        <w:rStyle w:val="Sidnummer"/>
      </w:rPr>
      <w:t>17</w:t>
    </w:r>
    <w:r w:rsidRPr="00274D2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2BB9" w:rsidRPr="00274D24">
      <w:tblPrEx>
        <w:tblCellMar>
          <w:top w:w="0" w:type="dxa"/>
          <w:bottom w:w="0" w:type="dxa"/>
        </w:tblCellMar>
      </w:tblPrEx>
      <w:trPr>
        <w:cantSplit/>
      </w:trPr>
      <w:tc>
        <w:tcPr>
          <w:tcW w:w="3119" w:type="dxa"/>
        </w:tcPr>
        <w:p w:rsidR="00B72BB9" w:rsidRPr="00274D24" w:rsidRDefault="00B72BB9">
          <w:pPr>
            <w:pStyle w:val="Sidhuvud"/>
            <w:spacing w:line="200" w:lineRule="atLeast"/>
            <w:ind w:right="357"/>
            <w:rPr>
              <w:rFonts w:ascii="TradeGothic" w:hAnsi="TradeGothic"/>
              <w:b/>
              <w:bCs/>
              <w:sz w:val="16"/>
            </w:rPr>
          </w:pPr>
        </w:p>
      </w:tc>
      <w:tc>
        <w:tcPr>
          <w:tcW w:w="4111" w:type="dxa"/>
          <w:tcMar>
            <w:left w:w="567" w:type="dxa"/>
          </w:tcMar>
        </w:tcPr>
        <w:p w:rsidR="00B72BB9" w:rsidRPr="00274D24" w:rsidRDefault="00B72BB9">
          <w:pPr>
            <w:pStyle w:val="Sidhuvud"/>
            <w:ind w:right="360"/>
          </w:pPr>
        </w:p>
      </w:tc>
      <w:tc>
        <w:tcPr>
          <w:tcW w:w="1525" w:type="dxa"/>
        </w:tcPr>
        <w:p w:rsidR="00B72BB9" w:rsidRPr="00274D24" w:rsidRDefault="00B72BB9">
          <w:pPr>
            <w:pStyle w:val="Sidhuvud"/>
            <w:ind w:right="360"/>
          </w:pPr>
        </w:p>
      </w:tc>
    </w:tr>
  </w:tbl>
  <w:p w:rsidR="00B72BB9" w:rsidRPr="00274D24" w:rsidRDefault="00B72BB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B9" w:rsidRPr="00274D24" w:rsidRDefault="00274D24">
    <w:pPr>
      <w:framePr w:w="2948" w:h="1321" w:hRule="exact" w:wrap="notBeside" w:vAnchor="page" w:hAnchor="page" w:x="1362" w:y="653"/>
    </w:pPr>
    <w:r w:rsidRPr="00274D2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72BB9" w:rsidRPr="00274D24" w:rsidRDefault="00B72BB9">
    <w:pPr>
      <w:pStyle w:val="RKrubrik"/>
      <w:keepNext w:val="0"/>
      <w:tabs>
        <w:tab w:val="clear" w:pos="1134"/>
        <w:tab w:val="clear" w:pos="2835"/>
      </w:tabs>
      <w:spacing w:before="0" w:after="0" w:line="320" w:lineRule="atLeast"/>
      <w:rPr>
        <w:bCs/>
      </w:rPr>
    </w:pPr>
  </w:p>
  <w:p w:rsidR="00B72BB9" w:rsidRPr="00274D24" w:rsidRDefault="00B72BB9">
    <w:pPr>
      <w:rPr>
        <w:rFonts w:ascii="TradeGothic" w:hAnsi="TradeGothic"/>
        <w:b/>
        <w:bCs/>
        <w:spacing w:val="12"/>
        <w:sz w:val="22"/>
      </w:rPr>
    </w:pPr>
  </w:p>
  <w:p w:rsidR="00B72BB9" w:rsidRPr="00274D24" w:rsidRDefault="00B72BB9">
    <w:pPr>
      <w:pStyle w:val="RKrubrik"/>
      <w:keepNext w:val="0"/>
      <w:tabs>
        <w:tab w:val="clear" w:pos="1134"/>
        <w:tab w:val="clear" w:pos="2835"/>
      </w:tabs>
      <w:spacing w:before="0" w:after="0" w:line="320" w:lineRule="atLeast"/>
      <w:rPr>
        <w:bCs/>
      </w:rPr>
    </w:pPr>
  </w:p>
  <w:p w:rsidR="00B72BB9" w:rsidRPr="00274D24" w:rsidRDefault="00B72BB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F3B"/>
    <w:multiLevelType w:val="hybridMultilevel"/>
    <w:tmpl w:val="4240F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D64FA"/>
    <w:multiLevelType w:val="hybridMultilevel"/>
    <w:tmpl w:val="FE6C43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E2F12"/>
    <w:multiLevelType w:val="hybridMultilevel"/>
    <w:tmpl w:val="10ACE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D70C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F414C6"/>
    <w:multiLevelType w:val="hybridMultilevel"/>
    <w:tmpl w:val="607CF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52AA0"/>
    <w:multiLevelType w:val="hybridMultilevel"/>
    <w:tmpl w:val="E176F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655A28"/>
    <w:multiLevelType w:val="multilevel"/>
    <w:tmpl w:val="EA788E4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FC7799"/>
    <w:multiLevelType w:val="hybridMultilevel"/>
    <w:tmpl w:val="13784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47B30"/>
    <w:multiLevelType w:val="hybridMultilevel"/>
    <w:tmpl w:val="7A0EE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27811"/>
    <w:multiLevelType w:val="hybridMultilevel"/>
    <w:tmpl w:val="E5885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E02F40"/>
    <w:multiLevelType w:val="hybridMultilevel"/>
    <w:tmpl w:val="E88E4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722F90"/>
    <w:multiLevelType w:val="hybridMultilevel"/>
    <w:tmpl w:val="EA242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C6C46"/>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0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03834BE"/>
    <w:multiLevelType w:val="hybridMultilevel"/>
    <w:tmpl w:val="25686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3464B"/>
    <w:multiLevelType w:val="multilevel"/>
    <w:tmpl w:val="49E41E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D2207A"/>
    <w:multiLevelType w:val="hybridMultilevel"/>
    <w:tmpl w:val="391AE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4C6D99"/>
    <w:multiLevelType w:val="hybridMultilevel"/>
    <w:tmpl w:val="9D287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B13F26"/>
    <w:multiLevelType w:val="hybridMultilevel"/>
    <w:tmpl w:val="901A9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F57DBD"/>
    <w:multiLevelType w:val="hybridMultilevel"/>
    <w:tmpl w:val="1D0A76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C902D33"/>
    <w:multiLevelType w:val="hybridMultilevel"/>
    <w:tmpl w:val="6944D2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7839B4"/>
    <w:multiLevelType w:val="multilevel"/>
    <w:tmpl w:val="256866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1487887">
    <w:abstractNumId w:val="13"/>
  </w:num>
  <w:num w:numId="2" w16cid:durableId="1323897464">
    <w:abstractNumId w:val="9"/>
  </w:num>
  <w:num w:numId="3" w16cid:durableId="1053769021">
    <w:abstractNumId w:val="10"/>
  </w:num>
  <w:num w:numId="4" w16cid:durableId="448862723">
    <w:abstractNumId w:val="18"/>
  </w:num>
  <w:num w:numId="5" w16cid:durableId="714501367">
    <w:abstractNumId w:val="5"/>
  </w:num>
  <w:num w:numId="6" w16cid:durableId="250086665">
    <w:abstractNumId w:val="4"/>
  </w:num>
  <w:num w:numId="7" w16cid:durableId="1388458325">
    <w:abstractNumId w:val="1"/>
  </w:num>
  <w:num w:numId="8" w16cid:durableId="1400323398">
    <w:abstractNumId w:val="7"/>
  </w:num>
  <w:num w:numId="9" w16cid:durableId="1417942535">
    <w:abstractNumId w:val="14"/>
  </w:num>
  <w:num w:numId="10" w16cid:durableId="1175801864">
    <w:abstractNumId w:val="21"/>
  </w:num>
  <w:num w:numId="11" w16cid:durableId="2145346583">
    <w:abstractNumId w:val="17"/>
  </w:num>
  <w:num w:numId="12" w16cid:durableId="446118006">
    <w:abstractNumId w:val="16"/>
  </w:num>
  <w:num w:numId="13" w16cid:durableId="918174621">
    <w:abstractNumId w:val="0"/>
  </w:num>
  <w:num w:numId="14" w16cid:durableId="712342970">
    <w:abstractNumId w:val="12"/>
  </w:num>
  <w:num w:numId="15" w16cid:durableId="769549896">
    <w:abstractNumId w:val="6"/>
  </w:num>
  <w:num w:numId="16" w16cid:durableId="473529607">
    <w:abstractNumId w:val="15"/>
  </w:num>
  <w:num w:numId="17" w16cid:durableId="1140882706">
    <w:abstractNumId w:val="3"/>
  </w:num>
  <w:num w:numId="18" w16cid:durableId="2086410166">
    <w:abstractNumId w:val="2"/>
  </w:num>
  <w:num w:numId="19" w16cid:durableId="1634096012">
    <w:abstractNumId w:val="20"/>
  </w:num>
  <w:num w:numId="20" w16cid:durableId="1911233498">
    <w:abstractNumId w:val="11"/>
  </w:num>
  <w:num w:numId="21" w16cid:durableId="605888855">
    <w:abstractNumId w:val="8"/>
  </w:num>
  <w:num w:numId="22" w16cid:durableId="767970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10"/>
    <w:docVar w:name="docSprak" w:val="0"/>
  </w:docVars>
  <w:rsids>
    <w:rsidRoot w:val="00D64B26"/>
    <w:rsid w:val="00090B23"/>
    <w:rsid w:val="00143222"/>
    <w:rsid w:val="00150384"/>
    <w:rsid w:val="0015629B"/>
    <w:rsid w:val="00190BC1"/>
    <w:rsid w:val="0022390A"/>
    <w:rsid w:val="00252289"/>
    <w:rsid w:val="00255EC0"/>
    <w:rsid w:val="00274D24"/>
    <w:rsid w:val="00293087"/>
    <w:rsid w:val="002B7A74"/>
    <w:rsid w:val="00477525"/>
    <w:rsid w:val="0049038C"/>
    <w:rsid w:val="005345C9"/>
    <w:rsid w:val="00604A1C"/>
    <w:rsid w:val="00646262"/>
    <w:rsid w:val="00662B92"/>
    <w:rsid w:val="0069664F"/>
    <w:rsid w:val="006C55E3"/>
    <w:rsid w:val="006D772F"/>
    <w:rsid w:val="006E4E11"/>
    <w:rsid w:val="00713A3A"/>
    <w:rsid w:val="007242A3"/>
    <w:rsid w:val="007769A3"/>
    <w:rsid w:val="008A6A3D"/>
    <w:rsid w:val="008F379A"/>
    <w:rsid w:val="009021E5"/>
    <w:rsid w:val="00975E36"/>
    <w:rsid w:val="009B739D"/>
    <w:rsid w:val="009F3E88"/>
    <w:rsid w:val="00A702FC"/>
    <w:rsid w:val="00A71A52"/>
    <w:rsid w:val="00AD4FEF"/>
    <w:rsid w:val="00B051FB"/>
    <w:rsid w:val="00B4382B"/>
    <w:rsid w:val="00B45581"/>
    <w:rsid w:val="00B72BB9"/>
    <w:rsid w:val="00C57A4A"/>
    <w:rsid w:val="00CD5165"/>
    <w:rsid w:val="00CF6AA8"/>
    <w:rsid w:val="00D64B26"/>
    <w:rsid w:val="00DD4CE8"/>
    <w:rsid w:val="00E41A00"/>
    <w:rsid w:val="00E56D65"/>
    <w:rsid w:val="00EA096D"/>
    <w:rsid w:val="00EE4F48"/>
    <w:rsid w:val="00F26CAC"/>
    <w:rsid w:val="00FC3CE7"/>
    <w:rsid w:val="00FD5B42"/>
    <w:rsid w:val="00FE14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7EEA4-BAC0-4445-AC93-8CF77956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21E5"/>
    <w:rPr>
      <w:rFonts w:ascii="OrigGarmnd BT" w:hAnsi="OrigGarmnd BT"/>
      <w:sz w:val="24"/>
      <w:lang w:val="sv-SE" w:eastAsia="en-US" w:bidi="ar-SA"/>
    </w:rPr>
  </w:style>
  <w:style w:type="paragraph" w:customStyle="1" w:styleId="Default">
    <w:name w:val="Default"/>
    <w:rsid w:val="00EA096D"/>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Dokumentbeteckning-titel">
    <w:name w:val="Dokumentbeteckning - titel"/>
    <w:basedOn w:val="Normal"/>
    <w:rsid w:val="005345C9"/>
    <w:pPr>
      <w:overflowPunct/>
      <w:autoSpaceDE/>
      <w:autoSpaceDN/>
      <w:adjustRightInd/>
      <w:spacing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6095</Words>
  <Characters>39500</Characters>
  <Application>Microsoft Office Word</Application>
  <DocSecurity>4</DocSecurity>
  <Lines>1039</Lines>
  <Paragraphs>364</Paragraphs>
  <ScaleCrop>false</ScaleCrop>
  <HeadingPairs>
    <vt:vector size="2" baseType="variant">
      <vt:variant>
        <vt:lpstr>Rubrik</vt:lpstr>
      </vt:variant>
      <vt:variant>
        <vt:i4>1</vt:i4>
      </vt:variant>
    </vt:vector>
  </HeadingPairs>
  <TitlesOfParts>
    <vt:vector size="1" baseType="lpstr">
      <vt:lpstr>Rådets möte (TTE) den 29-30 november samt den 3 december 2007</vt:lpstr>
    </vt:vector>
  </TitlesOfParts>
  <Company>Regeringskansliet</Company>
  <LinksUpToDate>false</LinksUpToDate>
  <CharactersWithSpaces>45231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(TTE) den 29-30 november samt den 3 december 2007</dc:title>
  <dc:subject>Rådets möte (TTE) den 29-30 november samt den 3 december 2007</dc:subject>
  <dc:creator>Riksdagen</dc:creator>
  <cp:keywords>Riksdagen</cp:keywords>
  <dc:description/>
  <cp:lastModifiedBy>Lars Brink</cp:lastModifiedBy>
  <cp:revision>2</cp:revision>
  <cp:lastPrinted>2007-11-19T10:31:00Z</cp:lastPrinted>
  <dcterms:created xsi:type="dcterms:W3CDTF">2025-12-17T13:16:00Z</dcterms:created>
  <dcterms:modified xsi:type="dcterms:W3CDTF">2025-12-17T13:16:00Z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ies>
</file>