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700C2" w:rsidRDefault="006700C2">
            <w:pPr>
              <w:pStyle w:val="HuvudRubrik"/>
            </w:pPr>
            <w:bookmarkStart w:id="0" w:name="BetänkandeRubrik"/>
            <w:bookmarkEnd w:id="0"/>
            <w:r>
              <w:t>Finansutskottets betänkande</w:t>
            </w:r>
            <w:r w:rsidR="00263F6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75964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6700C2" w:rsidRDefault="006700C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04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6700C2" w:rsidRDefault="006700C2">
                            <w:pPr>
                              <w:pStyle w:val="Logo"/>
                            </w:pPr>
                            <w:r>
                              <w:object w:dxaOrig="840" w:dyaOrig="1545">
                                <v:shape id="_x0000_i1025" type="#_x0000_t75" style="width:41.55pt;height:77.15pt" fillcolor="window">
                                  <v:imagedata r:id="rId7" o:title=""/>
                                </v:shape>
                                <o:OLEObject Type="Embed" ProgID="Word.Picture.8" ShapeID="_x0000_i1025" DrawAspect="Content" ObjectID="_1827335048" r:id="rId9"/>
                              </w:object>
                            </w:r>
                          </w:p>
                        </w:txbxContent>
                      </v:textbox>
                      <w10:wrap anchorx="page" anchory="page"/>
                    </v:shape>
                  </w:pict>
                </mc:Fallback>
              </mc:AlternateContent>
            </w:r>
          </w:p>
          <w:p w:rsidR="006700C2" w:rsidRDefault="006700C2">
            <w:pPr>
              <w:pStyle w:val="HuvudRubrikRad2"/>
            </w:pPr>
            <w:bookmarkStart w:id="15" w:name="BetänkandeNr"/>
            <w:bookmarkEnd w:id="15"/>
            <w:r>
              <w:t>1998/99:FiU2</w:t>
            </w:r>
          </w:p>
          <w:p w:rsidR="006700C2" w:rsidRDefault="006700C2">
            <w:pPr>
              <w:pStyle w:val="BetnkandeRubrik"/>
              <w:spacing w:before="123"/>
            </w:pPr>
            <w:bookmarkStart w:id="16" w:name="Huvudrubrik"/>
            <w:bookmarkEnd w:id="16"/>
            <w:r>
              <w:t xml:space="preserve">Utgiftsområde 2 Samhällsekonomi och </w:t>
            </w:r>
            <w:r>
              <w:br/>
              <w:t>finansfö</w:t>
            </w:r>
            <w:r>
              <w:t>r</w:t>
            </w:r>
            <w:r>
              <w:t>valtning</w:t>
            </w:r>
          </w:p>
        </w:tc>
        <w:tc>
          <w:tcPr>
            <w:tcW w:w="1559" w:type="dxa"/>
            <w:tcBorders>
              <w:bottom w:val="nil"/>
            </w:tcBorders>
          </w:tcPr>
          <w:p w:rsidR="006700C2" w:rsidRDefault="006700C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700C2" w:rsidRDefault="006700C2">
            <w:pPr>
              <w:spacing w:before="40" w:after="900" w:line="280" w:lineRule="exact"/>
              <w:jc w:val="left"/>
              <w:rPr>
                <w:sz w:val="28"/>
              </w:rPr>
            </w:pPr>
          </w:p>
        </w:tc>
        <w:tc>
          <w:tcPr>
            <w:tcW w:w="1559" w:type="dxa"/>
          </w:tcPr>
          <w:p w:rsidR="006700C2" w:rsidRDefault="006700C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700C2" w:rsidRDefault="006700C2">
            <w:pPr>
              <w:spacing w:before="40" w:after="900" w:line="280" w:lineRule="exact"/>
              <w:jc w:val="left"/>
              <w:rPr>
                <w:sz w:val="28"/>
              </w:rPr>
            </w:pPr>
          </w:p>
        </w:tc>
        <w:tc>
          <w:tcPr>
            <w:tcW w:w="1559" w:type="dxa"/>
            <w:tcBorders>
              <w:bottom w:val="single" w:sz="6" w:space="0" w:color="auto"/>
            </w:tcBorders>
          </w:tcPr>
          <w:p w:rsidR="006700C2" w:rsidRDefault="006700C2">
            <w:pPr>
              <w:pStyle w:val="rtal"/>
            </w:pPr>
            <w:r>
              <w:t>FiU2</w:t>
            </w:r>
          </w:p>
        </w:tc>
      </w:tr>
      <w:tr w:rsidR="00000000">
        <w:tblPrEx>
          <w:tblCellMar>
            <w:top w:w="0" w:type="dxa"/>
            <w:bottom w:w="0" w:type="dxa"/>
          </w:tblCellMar>
        </w:tblPrEx>
        <w:trPr>
          <w:cantSplit/>
          <w:trHeight w:hRule="exact" w:val="660"/>
        </w:trPr>
        <w:tc>
          <w:tcPr>
            <w:tcW w:w="3012" w:type="dxa"/>
          </w:tcPr>
          <w:p w:rsidR="006700C2" w:rsidRDefault="006700C2">
            <w:pPr>
              <w:pStyle w:val="StatusSida1"/>
            </w:pPr>
          </w:p>
        </w:tc>
        <w:tc>
          <w:tcPr>
            <w:tcW w:w="3012" w:type="dxa"/>
          </w:tcPr>
          <w:p w:rsidR="006700C2" w:rsidRDefault="006700C2">
            <w:pPr>
              <w:pStyle w:val="UtskriftsdatumSida1"/>
              <w:rPr>
                <w:b/>
                <w:sz w:val="28"/>
              </w:rPr>
            </w:pPr>
          </w:p>
        </w:tc>
        <w:tc>
          <w:tcPr>
            <w:tcW w:w="1559" w:type="dxa"/>
          </w:tcPr>
          <w:p w:rsidR="006700C2" w:rsidRDefault="006700C2"/>
        </w:tc>
      </w:tr>
    </w:tbl>
    <w:p w:rsidR="006700C2" w:rsidRDefault="006700C2">
      <w:pPr>
        <w:pStyle w:val="Rubrik1"/>
        <w:spacing w:before="0"/>
      </w:pPr>
      <w:bookmarkStart w:id="17" w:name="_Toc437689329"/>
      <w:r>
        <w:t>Sammanfattning</w:t>
      </w:r>
      <w:bookmarkEnd w:id="17"/>
    </w:p>
    <w:p w:rsidR="006700C2" w:rsidRDefault="006700C2">
      <w:bookmarkStart w:id="18" w:name="Textstart"/>
      <w:bookmarkEnd w:id="18"/>
      <w:r>
        <w:t>Finansutskottet tillstyrker i detta betänkande regeringens förslag till bl.a. mål för den nya Premiepensionsmyndigheten, liksom regeringens förslag till fördelning av utgifter på anslag inom utgiftsområdet.</w:t>
      </w:r>
    </w:p>
    <w:p w:rsidR="006700C2" w:rsidRDefault="006700C2">
      <w:pPr>
        <w:pStyle w:val="Normaltindrag"/>
      </w:pPr>
      <w:r>
        <w:t>I betänkandet behandlar utskottet även ett antal motioner med anknytning till utgiftsområdet. Utskottet föreslår med anledning av tre av dessa ett til</w:t>
      </w:r>
      <w:r>
        <w:t>l</w:t>
      </w:r>
      <w:r>
        <w:t>kännagivande om utvecklingsarbetet med fördelningsstatistiken. Det är a</w:t>
      </w:r>
      <w:r>
        <w:t>n</w:t>
      </w:r>
      <w:r>
        <w:t>geläget att analyserna av fördelningen av den ekonomiska välfärden succe</w:t>
      </w:r>
      <w:r>
        <w:t>s</w:t>
      </w:r>
      <w:r>
        <w:t>sivt breddas och fördjupas. Utskottet anser därför att regeringen vid lämpligt tillfälle, t.ex. i en kommande budgetproposition, bör redovisa hur arbetet med dessa uppgifter fortskrider. Övriga motioner avstyrks.</w:t>
      </w:r>
    </w:p>
    <w:p w:rsidR="006700C2" w:rsidRDefault="006700C2">
      <w:pPr>
        <w:pStyle w:val="Normaltindrag"/>
      </w:pPr>
      <w:r>
        <w:t>Till betänkandet har fogats 8 reservationer och 3 särskilda yttranden.</w:t>
      </w:r>
    </w:p>
    <w:p w:rsidR="006700C2" w:rsidRDefault="006700C2">
      <w:pPr>
        <w:pStyle w:val="Rubrik1"/>
      </w:pPr>
      <w:bookmarkStart w:id="19" w:name="_Toc437689330"/>
      <w:r>
        <w:t>Propositionen</w:t>
      </w:r>
      <w:bookmarkEnd w:id="19"/>
    </w:p>
    <w:p w:rsidR="006700C2" w:rsidRDefault="006700C2">
      <w:r>
        <w:t>I proposition 1998/99:1 Budgetpropositionen för år 1999 i vad avser utgift</w:t>
      </w:r>
      <w:r>
        <w:t>s</w:t>
      </w:r>
      <w:r>
        <w:t>område 2 föreslår regerin</w:t>
      </w:r>
      <w:r>
        <w:t>g</w:t>
      </w:r>
      <w:r>
        <w:t>en</w:t>
      </w:r>
    </w:p>
    <w:p w:rsidR="006700C2" w:rsidRDefault="006700C2">
      <w:pPr>
        <w:pStyle w:val="Normaltindrag"/>
      </w:pPr>
      <w:r>
        <w:t>2. att riksdagen godkänner det nya målet avseende Premiepensionsmy</w:t>
      </w:r>
      <w:r>
        <w:t>n</w:t>
      </w:r>
      <w:r>
        <w:t xml:space="preserve">digheten som regeringen förordar (avsnitt 6), </w:t>
      </w:r>
    </w:p>
    <w:p w:rsidR="006700C2" w:rsidRDefault="006700C2">
      <w:pPr>
        <w:pStyle w:val="Normaltindrag"/>
      </w:pPr>
      <w:r>
        <w:t>3. att riksdagen bemyndigar regeringen att under år 1999, i fråga om r</w:t>
      </w:r>
      <w:r>
        <w:t>a</w:t>
      </w:r>
      <w:r>
        <w:t>m</w:t>
      </w:r>
      <w:r>
        <w:softHyphen/>
        <w:t xml:space="preserve">anslaget A 13 Utvecklingsarbete, för VESTA-projektets genomförande göra ekonomiska åtaganden som inklusive tidigare åtaganden innebär utgifter på högst 50 000 000 kr efter år 1999 (avsnitt 4.5), </w:t>
      </w:r>
    </w:p>
    <w:p w:rsidR="006700C2" w:rsidRDefault="006700C2">
      <w:pPr>
        <w:pStyle w:val="Normaltindrag"/>
      </w:pPr>
      <w:r>
        <w:t xml:space="preserve">4. att riksdagen godkänner investeringsplanen för Statens fastighetsverk i enlighet med vad regeringen förordar (avsnitt 4.7), </w:t>
      </w:r>
    </w:p>
    <w:p w:rsidR="006700C2" w:rsidRDefault="006700C2">
      <w:pPr>
        <w:pStyle w:val="Normaltindrag"/>
      </w:pPr>
      <w:r>
        <w:t>5. att riksdagen bemyndigar regeringen att besluta om att Statens fasti</w:t>
      </w:r>
      <w:r>
        <w:t>g</w:t>
      </w:r>
      <w:r>
        <w:t>hetsverk får ta upp lån inom en ram av högst 7 miljarder kronor i Riksgäld</w:t>
      </w:r>
      <w:r>
        <w:t>s</w:t>
      </w:r>
      <w:r>
        <w:t>kontoret för investeringar m.m. i enlighet med vad regeringen förordar (a</w:t>
      </w:r>
      <w:r>
        <w:t>v</w:t>
      </w:r>
      <w:r>
        <w:t xml:space="preserve">snitt 4.7), </w:t>
      </w:r>
    </w:p>
    <w:p w:rsidR="006700C2" w:rsidRDefault="006700C2">
      <w:pPr>
        <w:pStyle w:val="Normaltindrag"/>
      </w:pPr>
      <w:r>
        <w:t>6. att riksdagen för budgetåret 1999 anvisar anslagen under utgifts</w:t>
      </w:r>
      <w:r>
        <w:softHyphen/>
        <w:t>område 2 Samhällsekonomi och finansförvaltning enligt följande uppstäl</w:t>
      </w:r>
      <w:r>
        <w:t>l</w:t>
      </w:r>
      <w:r>
        <w:t>ning:</w:t>
      </w:r>
    </w:p>
    <w:p w:rsidR="006700C2" w:rsidRDefault="006700C2">
      <w:pPr>
        <w:pStyle w:val="Normaltindrag"/>
      </w:pPr>
      <w:r>
        <w:br w:type="page"/>
      </w:r>
    </w:p>
    <w:tbl>
      <w:tblPr>
        <w:tblW w:w="0" w:type="auto"/>
        <w:tblInd w:w="-42" w:type="dxa"/>
        <w:tblLayout w:type="fixed"/>
        <w:tblCellMar>
          <w:left w:w="42" w:type="dxa"/>
          <w:right w:w="42" w:type="dxa"/>
        </w:tblCellMar>
        <w:tblLook w:val="0000" w:firstRow="0" w:lastRow="0" w:firstColumn="0" w:lastColumn="0" w:noHBand="0" w:noVBand="0"/>
      </w:tblPr>
      <w:tblGrid>
        <w:gridCol w:w="283"/>
        <w:gridCol w:w="3728"/>
        <w:gridCol w:w="142"/>
        <w:gridCol w:w="1276"/>
      </w:tblGrid>
      <w:tr w:rsidR="00000000">
        <w:tblPrEx>
          <w:tblCellMar>
            <w:top w:w="0" w:type="dxa"/>
            <w:bottom w:w="0" w:type="dxa"/>
          </w:tblCellMar>
        </w:tblPrEx>
        <w:tc>
          <w:tcPr>
            <w:tcW w:w="283" w:type="dxa"/>
            <w:tcBorders>
              <w:top w:val="single" w:sz="4" w:space="0" w:color="auto"/>
              <w:bottom w:val="single" w:sz="4" w:space="0" w:color="auto"/>
            </w:tcBorders>
          </w:tcPr>
          <w:p w:rsidR="006700C2" w:rsidRDefault="006700C2">
            <w:pPr>
              <w:pStyle w:val="SBTabell"/>
              <w:rPr>
                <w:sz w:val="17"/>
              </w:rPr>
            </w:pPr>
            <w:r>
              <w:br w:type="page"/>
            </w:r>
            <w:r>
              <w:br w:type="page"/>
            </w:r>
            <w:r>
              <w:br w:type="page"/>
            </w:r>
          </w:p>
        </w:tc>
        <w:tc>
          <w:tcPr>
            <w:tcW w:w="3728" w:type="dxa"/>
            <w:tcBorders>
              <w:top w:val="single" w:sz="4" w:space="0" w:color="auto"/>
              <w:bottom w:val="single" w:sz="4" w:space="0" w:color="auto"/>
            </w:tcBorders>
          </w:tcPr>
          <w:p w:rsidR="006700C2" w:rsidRDefault="006700C2">
            <w:pPr>
              <w:pStyle w:val="SBTabell"/>
              <w:rPr>
                <w:sz w:val="17"/>
              </w:rPr>
            </w:pPr>
            <w:r>
              <w:rPr>
                <w:sz w:val="17"/>
              </w:rPr>
              <w:t>Verksamhetsområde,</w:t>
            </w:r>
          </w:p>
          <w:p w:rsidR="006700C2" w:rsidRDefault="006700C2">
            <w:pPr>
              <w:pStyle w:val="SBTabell"/>
              <w:jc w:val="left"/>
              <w:rPr>
                <w:sz w:val="17"/>
              </w:rPr>
            </w:pPr>
            <w:r>
              <w:rPr>
                <w:sz w:val="17"/>
              </w:rPr>
              <w:t>anslag och anslagstyp</w:t>
            </w:r>
          </w:p>
        </w:tc>
        <w:tc>
          <w:tcPr>
            <w:tcW w:w="1418" w:type="dxa"/>
            <w:gridSpan w:val="2"/>
            <w:tcBorders>
              <w:top w:val="single" w:sz="4" w:space="0" w:color="auto"/>
              <w:bottom w:val="single" w:sz="4" w:space="0" w:color="auto"/>
            </w:tcBorders>
          </w:tcPr>
          <w:p w:rsidR="006700C2" w:rsidRDefault="006700C2">
            <w:pPr>
              <w:pStyle w:val="SBTabell"/>
              <w:jc w:val="right"/>
              <w:rPr>
                <w:sz w:val="17"/>
              </w:rPr>
            </w:pPr>
            <w:r>
              <w:rPr>
                <w:sz w:val="17"/>
              </w:rPr>
              <w:t>Regeringens</w:t>
            </w:r>
          </w:p>
          <w:p w:rsidR="006700C2" w:rsidRDefault="006700C2">
            <w:pPr>
              <w:pStyle w:val="SBTabell"/>
              <w:jc w:val="right"/>
              <w:rPr>
                <w:sz w:val="17"/>
              </w:rPr>
            </w:pPr>
            <w:r>
              <w:rPr>
                <w:sz w:val="17"/>
              </w:rPr>
              <w:t>förslag</w:t>
            </w:r>
          </w:p>
        </w:tc>
      </w:tr>
      <w:tr w:rsidR="00000000">
        <w:tblPrEx>
          <w:tblCellMar>
            <w:top w:w="0" w:type="dxa"/>
            <w:bottom w:w="0" w:type="dxa"/>
          </w:tblCellMar>
        </w:tblPrEx>
        <w:trPr>
          <w:cantSplit/>
        </w:trPr>
        <w:tc>
          <w:tcPr>
            <w:tcW w:w="283" w:type="dxa"/>
          </w:tcPr>
          <w:p w:rsidR="006700C2" w:rsidRDefault="006700C2">
            <w:pPr>
              <w:pStyle w:val="SBTabell"/>
              <w:rPr>
                <w:b/>
                <w:i/>
              </w:rPr>
            </w:pPr>
          </w:p>
        </w:tc>
        <w:tc>
          <w:tcPr>
            <w:tcW w:w="5146" w:type="dxa"/>
            <w:gridSpan w:val="3"/>
          </w:tcPr>
          <w:p w:rsidR="006700C2" w:rsidRDefault="006700C2">
            <w:pPr>
              <w:pStyle w:val="SBTabell"/>
              <w:rPr>
                <w:b/>
                <w:i/>
              </w:rPr>
            </w:pPr>
          </w:p>
        </w:tc>
      </w:tr>
      <w:tr w:rsidR="00000000">
        <w:tblPrEx>
          <w:tblCellMar>
            <w:top w:w="0" w:type="dxa"/>
            <w:bottom w:w="0" w:type="dxa"/>
          </w:tblCellMar>
        </w:tblPrEx>
        <w:trPr>
          <w:cantSplit/>
        </w:trPr>
        <w:tc>
          <w:tcPr>
            <w:tcW w:w="283" w:type="dxa"/>
          </w:tcPr>
          <w:p w:rsidR="006700C2" w:rsidRDefault="006700C2">
            <w:pPr>
              <w:pStyle w:val="SBTabell"/>
              <w:rPr>
                <w:b/>
                <w:sz w:val="18"/>
              </w:rPr>
            </w:pPr>
            <w:r>
              <w:rPr>
                <w:b/>
                <w:sz w:val="18"/>
              </w:rPr>
              <w:t>A</w:t>
            </w:r>
          </w:p>
        </w:tc>
        <w:tc>
          <w:tcPr>
            <w:tcW w:w="5146" w:type="dxa"/>
            <w:gridSpan w:val="3"/>
          </w:tcPr>
          <w:p w:rsidR="006700C2" w:rsidRDefault="006700C2">
            <w:pPr>
              <w:pStyle w:val="SBTabell"/>
              <w:rPr>
                <w:b/>
                <w:sz w:val="18"/>
              </w:rPr>
            </w:pPr>
            <w:r>
              <w:rPr>
                <w:b/>
                <w:sz w:val="18"/>
              </w:rPr>
              <w:t>Effektivisering och utveckling av statlig verksamhet</w:t>
            </w:r>
          </w:p>
        </w:tc>
      </w:tr>
      <w:tr w:rsidR="00000000">
        <w:tblPrEx>
          <w:tblCellMar>
            <w:top w:w="0" w:type="dxa"/>
            <w:bottom w:w="0" w:type="dxa"/>
          </w:tblCellMar>
        </w:tblPrEx>
        <w:tc>
          <w:tcPr>
            <w:tcW w:w="283" w:type="dxa"/>
          </w:tcPr>
          <w:p w:rsidR="006700C2" w:rsidRDefault="006700C2">
            <w:pPr>
              <w:pStyle w:val="SBTabell"/>
              <w:rPr>
                <w:sz w:val="17"/>
              </w:rPr>
            </w:pPr>
            <w:r>
              <w:rPr>
                <w:sz w:val="17"/>
              </w:rPr>
              <w:t>1</w:t>
            </w:r>
          </w:p>
        </w:tc>
        <w:tc>
          <w:tcPr>
            <w:tcW w:w="3870" w:type="dxa"/>
            <w:gridSpan w:val="2"/>
          </w:tcPr>
          <w:p w:rsidR="006700C2" w:rsidRDefault="006700C2">
            <w:pPr>
              <w:pStyle w:val="SBTabell"/>
              <w:rPr>
                <w:sz w:val="17"/>
              </w:rPr>
            </w:pPr>
            <w:r>
              <w:rPr>
                <w:sz w:val="17"/>
              </w:rPr>
              <w:t xml:space="preserve">Konjunkturinstitutet </w:t>
            </w:r>
            <w:r>
              <w:rPr>
                <w:i/>
                <w:sz w:val="17"/>
              </w:rPr>
              <w:t>(ram)</w:t>
            </w:r>
          </w:p>
        </w:tc>
        <w:tc>
          <w:tcPr>
            <w:tcW w:w="1276" w:type="dxa"/>
          </w:tcPr>
          <w:p w:rsidR="006700C2" w:rsidRDefault="006700C2">
            <w:pPr>
              <w:pStyle w:val="SBTabell"/>
              <w:jc w:val="right"/>
              <w:rPr>
                <w:sz w:val="17"/>
              </w:rPr>
            </w:pPr>
            <w:r>
              <w:rPr>
                <w:sz w:val="17"/>
              </w:rPr>
              <w:t xml:space="preserve"> 37 640</w:t>
            </w:r>
          </w:p>
        </w:tc>
      </w:tr>
      <w:tr w:rsidR="00000000">
        <w:tblPrEx>
          <w:tblCellMar>
            <w:top w:w="0" w:type="dxa"/>
            <w:bottom w:w="0" w:type="dxa"/>
          </w:tblCellMar>
        </w:tblPrEx>
        <w:tc>
          <w:tcPr>
            <w:tcW w:w="283" w:type="dxa"/>
          </w:tcPr>
          <w:p w:rsidR="006700C2" w:rsidRDefault="006700C2">
            <w:pPr>
              <w:pStyle w:val="SBTabell"/>
              <w:rPr>
                <w:sz w:val="17"/>
              </w:rPr>
            </w:pPr>
            <w:r>
              <w:rPr>
                <w:sz w:val="17"/>
              </w:rPr>
              <w:t>2</w:t>
            </w:r>
          </w:p>
        </w:tc>
        <w:tc>
          <w:tcPr>
            <w:tcW w:w="3870" w:type="dxa"/>
            <w:gridSpan w:val="2"/>
          </w:tcPr>
          <w:p w:rsidR="006700C2" w:rsidRDefault="006700C2">
            <w:pPr>
              <w:pStyle w:val="SBTabell"/>
              <w:rPr>
                <w:sz w:val="17"/>
              </w:rPr>
            </w:pPr>
            <w:r>
              <w:rPr>
                <w:sz w:val="17"/>
              </w:rPr>
              <w:t xml:space="preserve">Riksrevisionsverket </w:t>
            </w:r>
            <w:r>
              <w:rPr>
                <w:i/>
                <w:sz w:val="17"/>
              </w:rPr>
              <w:t>(ram)</w:t>
            </w:r>
          </w:p>
        </w:tc>
        <w:tc>
          <w:tcPr>
            <w:tcW w:w="1276" w:type="dxa"/>
          </w:tcPr>
          <w:p w:rsidR="006700C2" w:rsidRDefault="006700C2">
            <w:pPr>
              <w:pStyle w:val="SBTabell"/>
              <w:jc w:val="right"/>
              <w:rPr>
                <w:sz w:val="17"/>
              </w:rPr>
            </w:pPr>
            <w:r>
              <w:rPr>
                <w:sz w:val="17"/>
              </w:rPr>
              <w:t xml:space="preserve"> 132 978</w:t>
            </w:r>
          </w:p>
        </w:tc>
      </w:tr>
      <w:tr w:rsidR="00000000">
        <w:tblPrEx>
          <w:tblCellMar>
            <w:top w:w="0" w:type="dxa"/>
            <w:bottom w:w="0" w:type="dxa"/>
          </w:tblCellMar>
        </w:tblPrEx>
        <w:tc>
          <w:tcPr>
            <w:tcW w:w="283" w:type="dxa"/>
          </w:tcPr>
          <w:p w:rsidR="006700C2" w:rsidRDefault="006700C2">
            <w:pPr>
              <w:pStyle w:val="SBTabell"/>
              <w:rPr>
                <w:sz w:val="17"/>
              </w:rPr>
            </w:pPr>
            <w:r>
              <w:rPr>
                <w:sz w:val="17"/>
              </w:rPr>
              <w:t>3</w:t>
            </w:r>
          </w:p>
        </w:tc>
        <w:tc>
          <w:tcPr>
            <w:tcW w:w="3870" w:type="dxa"/>
            <w:gridSpan w:val="2"/>
          </w:tcPr>
          <w:p w:rsidR="006700C2" w:rsidRDefault="006700C2">
            <w:pPr>
              <w:pStyle w:val="SBTabell"/>
              <w:rPr>
                <w:sz w:val="17"/>
              </w:rPr>
            </w:pPr>
            <w:r>
              <w:rPr>
                <w:sz w:val="17"/>
              </w:rPr>
              <w:t xml:space="preserve">Ekonomistyrningsverket </w:t>
            </w:r>
            <w:r>
              <w:rPr>
                <w:i/>
                <w:sz w:val="17"/>
              </w:rPr>
              <w:t>(ram)</w:t>
            </w:r>
          </w:p>
        </w:tc>
        <w:tc>
          <w:tcPr>
            <w:tcW w:w="1276" w:type="dxa"/>
          </w:tcPr>
          <w:p w:rsidR="006700C2" w:rsidRDefault="006700C2">
            <w:pPr>
              <w:pStyle w:val="SBTabell"/>
              <w:jc w:val="right"/>
              <w:rPr>
                <w:sz w:val="17"/>
              </w:rPr>
            </w:pPr>
            <w:r>
              <w:rPr>
                <w:sz w:val="17"/>
              </w:rPr>
              <w:t xml:space="preserve"> 55 550</w:t>
            </w:r>
          </w:p>
        </w:tc>
      </w:tr>
      <w:tr w:rsidR="00000000">
        <w:tblPrEx>
          <w:tblCellMar>
            <w:top w:w="0" w:type="dxa"/>
            <w:bottom w:w="0" w:type="dxa"/>
          </w:tblCellMar>
        </w:tblPrEx>
        <w:tc>
          <w:tcPr>
            <w:tcW w:w="283" w:type="dxa"/>
          </w:tcPr>
          <w:p w:rsidR="006700C2" w:rsidRDefault="006700C2">
            <w:pPr>
              <w:pStyle w:val="SBTabell"/>
              <w:rPr>
                <w:sz w:val="17"/>
              </w:rPr>
            </w:pPr>
            <w:r>
              <w:rPr>
                <w:sz w:val="17"/>
              </w:rPr>
              <w:t>4</w:t>
            </w:r>
          </w:p>
        </w:tc>
        <w:tc>
          <w:tcPr>
            <w:tcW w:w="3870" w:type="dxa"/>
            <w:gridSpan w:val="2"/>
          </w:tcPr>
          <w:p w:rsidR="006700C2" w:rsidRDefault="006700C2">
            <w:pPr>
              <w:pStyle w:val="SBTabell"/>
              <w:rPr>
                <w:sz w:val="17"/>
              </w:rPr>
            </w:pPr>
            <w:r>
              <w:rPr>
                <w:sz w:val="17"/>
              </w:rPr>
              <w:t xml:space="preserve">Statskontoret </w:t>
            </w:r>
            <w:r>
              <w:rPr>
                <w:i/>
                <w:sz w:val="17"/>
              </w:rPr>
              <w:t>(ram)</w:t>
            </w:r>
          </w:p>
        </w:tc>
        <w:tc>
          <w:tcPr>
            <w:tcW w:w="1276" w:type="dxa"/>
          </w:tcPr>
          <w:p w:rsidR="006700C2" w:rsidRDefault="006700C2">
            <w:pPr>
              <w:pStyle w:val="SBTabell"/>
              <w:jc w:val="right"/>
              <w:rPr>
                <w:sz w:val="17"/>
              </w:rPr>
            </w:pPr>
            <w:r>
              <w:rPr>
                <w:sz w:val="17"/>
              </w:rPr>
              <w:t xml:space="preserve"> 64 597</w:t>
            </w:r>
          </w:p>
        </w:tc>
      </w:tr>
      <w:tr w:rsidR="00000000">
        <w:tblPrEx>
          <w:tblCellMar>
            <w:top w:w="0" w:type="dxa"/>
            <w:bottom w:w="0" w:type="dxa"/>
          </w:tblCellMar>
        </w:tblPrEx>
        <w:tc>
          <w:tcPr>
            <w:tcW w:w="283" w:type="dxa"/>
          </w:tcPr>
          <w:p w:rsidR="006700C2" w:rsidRDefault="006700C2">
            <w:pPr>
              <w:pStyle w:val="SBTabell"/>
              <w:rPr>
                <w:sz w:val="17"/>
              </w:rPr>
            </w:pPr>
            <w:r>
              <w:rPr>
                <w:sz w:val="17"/>
              </w:rPr>
              <w:t>5</w:t>
            </w:r>
          </w:p>
        </w:tc>
        <w:tc>
          <w:tcPr>
            <w:tcW w:w="3870" w:type="dxa"/>
            <w:gridSpan w:val="2"/>
          </w:tcPr>
          <w:p w:rsidR="006700C2" w:rsidRDefault="006700C2">
            <w:pPr>
              <w:pStyle w:val="SBTabell"/>
              <w:rPr>
                <w:sz w:val="17"/>
              </w:rPr>
            </w:pPr>
            <w:r>
              <w:rPr>
                <w:sz w:val="17"/>
              </w:rPr>
              <w:t xml:space="preserve">Täckning av merkostnader för lokaler </w:t>
            </w:r>
            <w:r>
              <w:rPr>
                <w:i/>
                <w:sz w:val="17"/>
              </w:rPr>
              <w:t>(ram)</w:t>
            </w:r>
          </w:p>
        </w:tc>
        <w:tc>
          <w:tcPr>
            <w:tcW w:w="1276" w:type="dxa"/>
          </w:tcPr>
          <w:p w:rsidR="006700C2" w:rsidRDefault="006700C2">
            <w:pPr>
              <w:pStyle w:val="SBTabell"/>
              <w:jc w:val="right"/>
              <w:rPr>
                <w:sz w:val="17"/>
              </w:rPr>
            </w:pPr>
            <w:r>
              <w:rPr>
                <w:sz w:val="17"/>
              </w:rPr>
              <w:t xml:space="preserve"> 20 500</w:t>
            </w:r>
          </w:p>
        </w:tc>
      </w:tr>
      <w:tr w:rsidR="00000000">
        <w:tblPrEx>
          <w:tblCellMar>
            <w:top w:w="0" w:type="dxa"/>
            <w:bottom w:w="0" w:type="dxa"/>
          </w:tblCellMar>
        </w:tblPrEx>
        <w:tc>
          <w:tcPr>
            <w:tcW w:w="283" w:type="dxa"/>
          </w:tcPr>
          <w:p w:rsidR="006700C2" w:rsidRDefault="006700C2">
            <w:pPr>
              <w:pStyle w:val="SBTabell"/>
              <w:rPr>
                <w:sz w:val="17"/>
              </w:rPr>
            </w:pPr>
            <w:r>
              <w:rPr>
                <w:sz w:val="17"/>
              </w:rPr>
              <w:t>6</w:t>
            </w:r>
          </w:p>
        </w:tc>
        <w:tc>
          <w:tcPr>
            <w:tcW w:w="3870" w:type="dxa"/>
            <w:gridSpan w:val="2"/>
          </w:tcPr>
          <w:p w:rsidR="006700C2" w:rsidRDefault="006700C2">
            <w:pPr>
              <w:pStyle w:val="SBTabell"/>
              <w:rPr>
                <w:sz w:val="17"/>
              </w:rPr>
            </w:pPr>
            <w:r>
              <w:rPr>
                <w:sz w:val="17"/>
              </w:rPr>
              <w:t xml:space="preserve">Statistiska centralbyrån </w:t>
            </w:r>
            <w:r>
              <w:rPr>
                <w:i/>
                <w:sz w:val="17"/>
              </w:rPr>
              <w:t>(ram)</w:t>
            </w:r>
          </w:p>
        </w:tc>
        <w:tc>
          <w:tcPr>
            <w:tcW w:w="1276" w:type="dxa"/>
          </w:tcPr>
          <w:p w:rsidR="006700C2" w:rsidRDefault="006700C2">
            <w:pPr>
              <w:pStyle w:val="SBTabell"/>
              <w:jc w:val="right"/>
              <w:rPr>
                <w:sz w:val="17"/>
              </w:rPr>
            </w:pPr>
            <w:r>
              <w:rPr>
                <w:sz w:val="17"/>
              </w:rPr>
              <w:t xml:space="preserve"> 353 127</w:t>
            </w:r>
          </w:p>
        </w:tc>
      </w:tr>
      <w:tr w:rsidR="00000000">
        <w:tblPrEx>
          <w:tblCellMar>
            <w:top w:w="0" w:type="dxa"/>
            <w:bottom w:w="0" w:type="dxa"/>
          </w:tblCellMar>
        </w:tblPrEx>
        <w:tc>
          <w:tcPr>
            <w:tcW w:w="283" w:type="dxa"/>
          </w:tcPr>
          <w:p w:rsidR="006700C2" w:rsidRDefault="006700C2">
            <w:pPr>
              <w:pStyle w:val="SBTabell"/>
              <w:rPr>
                <w:sz w:val="17"/>
              </w:rPr>
            </w:pPr>
            <w:r>
              <w:rPr>
                <w:sz w:val="17"/>
              </w:rPr>
              <w:t>7</w:t>
            </w:r>
          </w:p>
        </w:tc>
        <w:tc>
          <w:tcPr>
            <w:tcW w:w="3870" w:type="dxa"/>
            <w:gridSpan w:val="2"/>
          </w:tcPr>
          <w:p w:rsidR="006700C2" w:rsidRDefault="006700C2">
            <w:pPr>
              <w:pStyle w:val="SBTabell"/>
              <w:rPr>
                <w:sz w:val="17"/>
              </w:rPr>
            </w:pPr>
            <w:r>
              <w:rPr>
                <w:sz w:val="17"/>
              </w:rPr>
              <w:t xml:space="preserve">Folk- och bostadsräkning </w:t>
            </w:r>
            <w:r>
              <w:rPr>
                <w:i/>
                <w:sz w:val="17"/>
              </w:rPr>
              <w:t>(res.)</w:t>
            </w:r>
          </w:p>
        </w:tc>
        <w:tc>
          <w:tcPr>
            <w:tcW w:w="1276" w:type="dxa"/>
          </w:tcPr>
          <w:p w:rsidR="006700C2" w:rsidRDefault="006700C2">
            <w:pPr>
              <w:pStyle w:val="SBTabell"/>
              <w:jc w:val="right"/>
              <w:rPr>
                <w:sz w:val="17"/>
              </w:rPr>
            </w:pPr>
            <w:r>
              <w:rPr>
                <w:sz w:val="17"/>
              </w:rPr>
              <w:t xml:space="preserve"> 70 000</w:t>
            </w:r>
          </w:p>
        </w:tc>
      </w:tr>
      <w:tr w:rsidR="00000000">
        <w:tblPrEx>
          <w:tblCellMar>
            <w:top w:w="0" w:type="dxa"/>
            <w:bottom w:w="0" w:type="dxa"/>
          </w:tblCellMar>
        </w:tblPrEx>
        <w:tc>
          <w:tcPr>
            <w:tcW w:w="283" w:type="dxa"/>
          </w:tcPr>
          <w:p w:rsidR="006700C2" w:rsidRDefault="006700C2">
            <w:pPr>
              <w:pStyle w:val="SBTabell"/>
              <w:rPr>
                <w:sz w:val="17"/>
              </w:rPr>
            </w:pPr>
            <w:r>
              <w:rPr>
                <w:sz w:val="17"/>
              </w:rPr>
              <w:t>8</w:t>
            </w:r>
          </w:p>
        </w:tc>
        <w:tc>
          <w:tcPr>
            <w:tcW w:w="3870" w:type="dxa"/>
            <w:gridSpan w:val="2"/>
          </w:tcPr>
          <w:p w:rsidR="006700C2" w:rsidRDefault="006700C2">
            <w:pPr>
              <w:pStyle w:val="SBTabell"/>
              <w:rPr>
                <w:sz w:val="17"/>
              </w:rPr>
            </w:pPr>
            <w:r>
              <w:rPr>
                <w:sz w:val="17"/>
              </w:rPr>
              <w:t xml:space="preserve">Kammarkollegiet </w:t>
            </w:r>
            <w:r>
              <w:rPr>
                <w:i/>
                <w:sz w:val="17"/>
              </w:rPr>
              <w:t>(ram)</w:t>
            </w:r>
          </w:p>
        </w:tc>
        <w:tc>
          <w:tcPr>
            <w:tcW w:w="1276" w:type="dxa"/>
          </w:tcPr>
          <w:p w:rsidR="006700C2" w:rsidRDefault="006700C2">
            <w:pPr>
              <w:pStyle w:val="SBTabell"/>
              <w:jc w:val="right"/>
              <w:rPr>
                <w:sz w:val="17"/>
              </w:rPr>
            </w:pPr>
            <w:r>
              <w:rPr>
                <w:sz w:val="17"/>
              </w:rPr>
              <w:t xml:space="preserve"> 24 256</w:t>
            </w:r>
          </w:p>
        </w:tc>
      </w:tr>
      <w:tr w:rsidR="00000000">
        <w:tblPrEx>
          <w:tblCellMar>
            <w:top w:w="0" w:type="dxa"/>
            <w:bottom w:w="0" w:type="dxa"/>
          </w:tblCellMar>
        </w:tblPrEx>
        <w:tc>
          <w:tcPr>
            <w:tcW w:w="283" w:type="dxa"/>
          </w:tcPr>
          <w:p w:rsidR="006700C2" w:rsidRDefault="006700C2">
            <w:pPr>
              <w:pStyle w:val="SBTabell"/>
              <w:rPr>
                <w:sz w:val="17"/>
              </w:rPr>
            </w:pPr>
            <w:r>
              <w:rPr>
                <w:sz w:val="17"/>
              </w:rPr>
              <w:t>9</w:t>
            </w:r>
          </w:p>
        </w:tc>
        <w:tc>
          <w:tcPr>
            <w:tcW w:w="3870" w:type="dxa"/>
            <w:gridSpan w:val="2"/>
          </w:tcPr>
          <w:p w:rsidR="006700C2" w:rsidRDefault="006700C2">
            <w:pPr>
              <w:pStyle w:val="SBTabell"/>
              <w:rPr>
                <w:sz w:val="17"/>
              </w:rPr>
            </w:pPr>
            <w:r>
              <w:rPr>
                <w:sz w:val="17"/>
              </w:rPr>
              <w:t xml:space="preserve">Nämnden för offentlig upphandling </w:t>
            </w:r>
            <w:r>
              <w:rPr>
                <w:i/>
                <w:sz w:val="17"/>
              </w:rPr>
              <w:t>(ram)</w:t>
            </w:r>
          </w:p>
        </w:tc>
        <w:tc>
          <w:tcPr>
            <w:tcW w:w="1276" w:type="dxa"/>
          </w:tcPr>
          <w:p w:rsidR="006700C2" w:rsidRDefault="006700C2">
            <w:pPr>
              <w:pStyle w:val="SBTabell"/>
              <w:jc w:val="right"/>
              <w:rPr>
                <w:sz w:val="17"/>
              </w:rPr>
            </w:pPr>
            <w:r>
              <w:rPr>
                <w:sz w:val="17"/>
              </w:rPr>
              <w:t xml:space="preserve"> 6 427</w:t>
            </w:r>
          </w:p>
        </w:tc>
      </w:tr>
      <w:tr w:rsidR="00000000">
        <w:tblPrEx>
          <w:tblCellMar>
            <w:top w:w="0" w:type="dxa"/>
            <w:bottom w:w="0" w:type="dxa"/>
          </w:tblCellMar>
        </w:tblPrEx>
        <w:tc>
          <w:tcPr>
            <w:tcW w:w="283" w:type="dxa"/>
          </w:tcPr>
          <w:p w:rsidR="006700C2" w:rsidRDefault="006700C2">
            <w:pPr>
              <w:pStyle w:val="SBTabell"/>
              <w:rPr>
                <w:sz w:val="17"/>
              </w:rPr>
            </w:pPr>
            <w:r>
              <w:rPr>
                <w:sz w:val="17"/>
              </w:rPr>
              <w:t>10</w:t>
            </w:r>
          </w:p>
        </w:tc>
        <w:tc>
          <w:tcPr>
            <w:tcW w:w="3870" w:type="dxa"/>
            <w:gridSpan w:val="2"/>
          </w:tcPr>
          <w:p w:rsidR="006700C2" w:rsidRDefault="006700C2">
            <w:pPr>
              <w:pStyle w:val="SBTabell"/>
              <w:rPr>
                <w:sz w:val="17"/>
              </w:rPr>
            </w:pPr>
            <w:r>
              <w:rPr>
                <w:sz w:val="17"/>
              </w:rPr>
              <w:t>Ny myndighet för kvalitetsutveckling och komp</w:t>
            </w:r>
            <w:r>
              <w:rPr>
                <w:sz w:val="17"/>
              </w:rPr>
              <w:t>e</w:t>
            </w:r>
            <w:r>
              <w:rPr>
                <w:sz w:val="17"/>
              </w:rPr>
              <w:t>tens</w:t>
            </w:r>
            <w:r>
              <w:rPr>
                <w:sz w:val="17"/>
              </w:rPr>
              <w:softHyphen/>
              <w:t xml:space="preserve">försörjning </w:t>
            </w:r>
            <w:r>
              <w:rPr>
                <w:i/>
                <w:sz w:val="17"/>
              </w:rPr>
              <w:t>(ram)</w:t>
            </w:r>
          </w:p>
        </w:tc>
        <w:tc>
          <w:tcPr>
            <w:tcW w:w="1276" w:type="dxa"/>
          </w:tcPr>
          <w:p w:rsidR="006700C2" w:rsidRDefault="006700C2">
            <w:pPr>
              <w:pStyle w:val="SBTabell"/>
              <w:jc w:val="right"/>
              <w:rPr>
                <w:sz w:val="17"/>
              </w:rPr>
            </w:pPr>
          </w:p>
          <w:p w:rsidR="006700C2" w:rsidRDefault="006700C2">
            <w:pPr>
              <w:pStyle w:val="SBTabell"/>
              <w:jc w:val="right"/>
              <w:rPr>
                <w:sz w:val="17"/>
              </w:rPr>
            </w:pPr>
            <w:r>
              <w:rPr>
                <w:sz w:val="17"/>
              </w:rPr>
              <w:t xml:space="preserve"> 10 000</w:t>
            </w:r>
          </w:p>
        </w:tc>
      </w:tr>
      <w:tr w:rsidR="00000000">
        <w:tblPrEx>
          <w:tblCellMar>
            <w:top w:w="0" w:type="dxa"/>
            <w:bottom w:w="0" w:type="dxa"/>
          </w:tblCellMar>
        </w:tblPrEx>
        <w:tc>
          <w:tcPr>
            <w:tcW w:w="283" w:type="dxa"/>
          </w:tcPr>
          <w:p w:rsidR="006700C2" w:rsidRDefault="006700C2">
            <w:pPr>
              <w:pStyle w:val="SBTabell"/>
              <w:rPr>
                <w:sz w:val="17"/>
              </w:rPr>
            </w:pPr>
            <w:r>
              <w:rPr>
                <w:sz w:val="17"/>
              </w:rPr>
              <w:t>11</w:t>
            </w:r>
          </w:p>
        </w:tc>
        <w:tc>
          <w:tcPr>
            <w:tcW w:w="3870" w:type="dxa"/>
            <w:gridSpan w:val="2"/>
          </w:tcPr>
          <w:p w:rsidR="006700C2" w:rsidRDefault="006700C2">
            <w:pPr>
              <w:pStyle w:val="SBTabell"/>
              <w:rPr>
                <w:sz w:val="17"/>
              </w:rPr>
            </w:pPr>
            <w:r>
              <w:rPr>
                <w:sz w:val="17"/>
              </w:rPr>
              <w:t xml:space="preserve">Vissa nämnder m.m. </w:t>
            </w:r>
            <w:r>
              <w:rPr>
                <w:i/>
                <w:sz w:val="17"/>
              </w:rPr>
              <w:t>(ram)</w:t>
            </w:r>
          </w:p>
        </w:tc>
        <w:tc>
          <w:tcPr>
            <w:tcW w:w="1276" w:type="dxa"/>
          </w:tcPr>
          <w:p w:rsidR="006700C2" w:rsidRDefault="006700C2">
            <w:pPr>
              <w:pStyle w:val="SBTabell"/>
              <w:jc w:val="right"/>
              <w:rPr>
                <w:sz w:val="17"/>
              </w:rPr>
            </w:pPr>
            <w:r>
              <w:rPr>
                <w:sz w:val="17"/>
              </w:rPr>
              <w:t xml:space="preserve">  961</w:t>
            </w:r>
          </w:p>
        </w:tc>
      </w:tr>
      <w:tr w:rsidR="00000000">
        <w:tblPrEx>
          <w:tblCellMar>
            <w:top w:w="0" w:type="dxa"/>
            <w:bottom w:w="0" w:type="dxa"/>
          </w:tblCellMar>
        </w:tblPrEx>
        <w:tc>
          <w:tcPr>
            <w:tcW w:w="283" w:type="dxa"/>
          </w:tcPr>
          <w:p w:rsidR="006700C2" w:rsidRDefault="006700C2">
            <w:pPr>
              <w:pStyle w:val="SBTabell"/>
              <w:rPr>
                <w:sz w:val="17"/>
              </w:rPr>
            </w:pPr>
            <w:r>
              <w:rPr>
                <w:sz w:val="17"/>
              </w:rPr>
              <w:t>12</w:t>
            </w:r>
          </w:p>
        </w:tc>
        <w:tc>
          <w:tcPr>
            <w:tcW w:w="3870" w:type="dxa"/>
            <w:gridSpan w:val="2"/>
          </w:tcPr>
          <w:p w:rsidR="006700C2" w:rsidRDefault="006700C2">
            <w:pPr>
              <w:pStyle w:val="SBTabell"/>
              <w:rPr>
                <w:sz w:val="17"/>
              </w:rPr>
            </w:pPr>
            <w:r>
              <w:rPr>
                <w:sz w:val="17"/>
              </w:rPr>
              <w:t xml:space="preserve">Ekonomiska rådet </w:t>
            </w:r>
            <w:r>
              <w:rPr>
                <w:i/>
                <w:sz w:val="17"/>
              </w:rPr>
              <w:t>(ram)</w:t>
            </w:r>
          </w:p>
        </w:tc>
        <w:tc>
          <w:tcPr>
            <w:tcW w:w="1276" w:type="dxa"/>
          </w:tcPr>
          <w:p w:rsidR="006700C2" w:rsidRDefault="006700C2">
            <w:pPr>
              <w:pStyle w:val="SBTabell"/>
              <w:jc w:val="right"/>
              <w:rPr>
                <w:sz w:val="17"/>
              </w:rPr>
            </w:pPr>
            <w:r>
              <w:rPr>
                <w:sz w:val="17"/>
              </w:rPr>
              <w:t xml:space="preserve"> 1 714</w:t>
            </w:r>
          </w:p>
        </w:tc>
      </w:tr>
      <w:tr w:rsidR="00000000">
        <w:tblPrEx>
          <w:tblCellMar>
            <w:top w:w="0" w:type="dxa"/>
            <w:bottom w:w="0" w:type="dxa"/>
          </w:tblCellMar>
        </w:tblPrEx>
        <w:tc>
          <w:tcPr>
            <w:tcW w:w="283" w:type="dxa"/>
          </w:tcPr>
          <w:p w:rsidR="006700C2" w:rsidRDefault="006700C2">
            <w:pPr>
              <w:pStyle w:val="SBTabell"/>
              <w:rPr>
                <w:sz w:val="17"/>
              </w:rPr>
            </w:pPr>
            <w:r>
              <w:rPr>
                <w:sz w:val="17"/>
              </w:rPr>
              <w:t>13</w:t>
            </w:r>
          </w:p>
        </w:tc>
        <w:tc>
          <w:tcPr>
            <w:tcW w:w="3870" w:type="dxa"/>
            <w:gridSpan w:val="2"/>
          </w:tcPr>
          <w:p w:rsidR="006700C2" w:rsidRDefault="006700C2">
            <w:pPr>
              <w:pStyle w:val="SBTabell"/>
              <w:rPr>
                <w:sz w:val="17"/>
              </w:rPr>
            </w:pPr>
            <w:r>
              <w:rPr>
                <w:sz w:val="17"/>
              </w:rPr>
              <w:t xml:space="preserve">Utvecklingsarbete </w:t>
            </w:r>
            <w:r>
              <w:rPr>
                <w:i/>
                <w:sz w:val="17"/>
              </w:rPr>
              <w:t>(ram)</w:t>
            </w:r>
          </w:p>
        </w:tc>
        <w:tc>
          <w:tcPr>
            <w:tcW w:w="1276" w:type="dxa"/>
          </w:tcPr>
          <w:p w:rsidR="006700C2" w:rsidRDefault="006700C2">
            <w:pPr>
              <w:pStyle w:val="SBTabell"/>
              <w:jc w:val="right"/>
              <w:rPr>
                <w:sz w:val="17"/>
              </w:rPr>
            </w:pPr>
            <w:r>
              <w:rPr>
                <w:sz w:val="17"/>
              </w:rPr>
              <w:t xml:space="preserve"> 24 170</w:t>
            </w:r>
          </w:p>
        </w:tc>
      </w:tr>
      <w:tr w:rsidR="00000000">
        <w:tblPrEx>
          <w:tblCellMar>
            <w:top w:w="0" w:type="dxa"/>
            <w:bottom w:w="0" w:type="dxa"/>
          </w:tblCellMar>
        </w:tblPrEx>
        <w:tc>
          <w:tcPr>
            <w:tcW w:w="283" w:type="dxa"/>
          </w:tcPr>
          <w:p w:rsidR="006700C2" w:rsidRDefault="006700C2">
            <w:pPr>
              <w:pStyle w:val="SBTabell"/>
              <w:rPr>
                <w:sz w:val="17"/>
              </w:rPr>
            </w:pPr>
            <w:r>
              <w:rPr>
                <w:sz w:val="17"/>
              </w:rPr>
              <w:t>14</w:t>
            </w:r>
          </w:p>
        </w:tc>
        <w:tc>
          <w:tcPr>
            <w:tcW w:w="3870" w:type="dxa"/>
            <w:gridSpan w:val="2"/>
          </w:tcPr>
          <w:p w:rsidR="006700C2" w:rsidRDefault="006700C2">
            <w:pPr>
              <w:pStyle w:val="SBTabell"/>
              <w:rPr>
                <w:sz w:val="17"/>
              </w:rPr>
            </w:pPr>
            <w:r>
              <w:rPr>
                <w:sz w:val="17"/>
              </w:rPr>
              <w:t xml:space="preserve">Kontrollfunktionen i staten </w:t>
            </w:r>
            <w:r>
              <w:rPr>
                <w:i/>
                <w:sz w:val="17"/>
              </w:rPr>
              <w:t>(res.)</w:t>
            </w:r>
          </w:p>
        </w:tc>
        <w:tc>
          <w:tcPr>
            <w:tcW w:w="1276" w:type="dxa"/>
          </w:tcPr>
          <w:p w:rsidR="006700C2" w:rsidRDefault="006700C2">
            <w:pPr>
              <w:pStyle w:val="SBTabell"/>
              <w:jc w:val="right"/>
              <w:rPr>
                <w:sz w:val="17"/>
              </w:rPr>
            </w:pPr>
            <w:r>
              <w:rPr>
                <w:sz w:val="17"/>
              </w:rPr>
              <w:t xml:space="preserve"> 85 000</w:t>
            </w:r>
          </w:p>
        </w:tc>
      </w:tr>
      <w:tr w:rsidR="00000000">
        <w:tblPrEx>
          <w:tblCellMar>
            <w:top w:w="0" w:type="dxa"/>
            <w:bottom w:w="0" w:type="dxa"/>
          </w:tblCellMar>
        </w:tblPrEx>
        <w:tc>
          <w:tcPr>
            <w:tcW w:w="283" w:type="dxa"/>
          </w:tcPr>
          <w:p w:rsidR="006700C2" w:rsidRDefault="006700C2">
            <w:pPr>
              <w:pStyle w:val="SBTabell"/>
              <w:rPr>
                <w:sz w:val="17"/>
              </w:rPr>
            </w:pPr>
            <w:r>
              <w:rPr>
                <w:sz w:val="17"/>
              </w:rPr>
              <w:t>15</w:t>
            </w:r>
          </w:p>
        </w:tc>
        <w:tc>
          <w:tcPr>
            <w:tcW w:w="3870" w:type="dxa"/>
            <w:gridSpan w:val="2"/>
          </w:tcPr>
          <w:p w:rsidR="006700C2" w:rsidRDefault="006700C2">
            <w:pPr>
              <w:pStyle w:val="SBTabell"/>
              <w:rPr>
                <w:sz w:val="17"/>
              </w:rPr>
            </w:pPr>
            <w:r>
              <w:rPr>
                <w:sz w:val="17"/>
              </w:rPr>
              <w:t xml:space="preserve">Riksgäldskontoret: Garantiverksamhet </w:t>
            </w:r>
            <w:r>
              <w:rPr>
                <w:i/>
                <w:sz w:val="17"/>
              </w:rPr>
              <w:t>(ram)</w:t>
            </w:r>
          </w:p>
        </w:tc>
        <w:tc>
          <w:tcPr>
            <w:tcW w:w="1276" w:type="dxa"/>
          </w:tcPr>
          <w:p w:rsidR="006700C2" w:rsidRDefault="006700C2">
            <w:pPr>
              <w:pStyle w:val="SBTabell"/>
              <w:jc w:val="right"/>
              <w:rPr>
                <w:sz w:val="17"/>
              </w:rPr>
            </w:pPr>
            <w:r>
              <w:rPr>
                <w:sz w:val="17"/>
              </w:rPr>
              <w:t xml:space="preserve">  1</w:t>
            </w:r>
          </w:p>
        </w:tc>
      </w:tr>
      <w:tr w:rsidR="00000000">
        <w:tblPrEx>
          <w:tblCellMar>
            <w:top w:w="0" w:type="dxa"/>
            <w:bottom w:w="0" w:type="dxa"/>
          </w:tblCellMar>
        </w:tblPrEx>
        <w:tc>
          <w:tcPr>
            <w:tcW w:w="283" w:type="dxa"/>
          </w:tcPr>
          <w:p w:rsidR="006700C2" w:rsidRDefault="006700C2">
            <w:pPr>
              <w:pStyle w:val="SBTabell"/>
              <w:rPr>
                <w:sz w:val="17"/>
              </w:rPr>
            </w:pPr>
          </w:p>
        </w:tc>
        <w:tc>
          <w:tcPr>
            <w:tcW w:w="3870" w:type="dxa"/>
            <w:gridSpan w:val="2"/>
          </w:tcPr>
          <w:p w:rsidR="006700C2" w:rsidRDefault="006700C2">
            <w:pPr>
              <w:pStyle w:val="SBTabell"/>
              <w:rPr>
                <w:sz w:val="17"/>
              </w:rPr>
            </w:pPr>
          </w:p>
        </w:tc>
        <w:tc>
          <w:tcPr>
            <w:tcW w:w="1276" w:type="dxa"/>
          </w:tcPr>
          <w:p w:rsidR="006700C2" w:rsidRDefault="006700C2">
            <w:pPr>
              <w:pStyle w:val="SBTabell"/>
              <w:rPr>
                <w:sz w:val="17"/>
              </w:rPr>
            </w:pPr>
          </w:p>
        </w:tc>
      </w:tr>
      <w:tr w:rsidR="00000000">
        <w:tblPrEx>
          <w:tblCellMar>
            <w:top w:w="0" w:type="dxa"/>
            <w:bottom w:w="0" w:type="dxa"/>
          </w:tblCellMar>
        </w:tblPrEx>
        <w:trPr>
          <w:cantSplit/>
        </w:trPr>
        <w:tc>
          <w:tcPr>
            <w:tcW w:w="283" w:type="dxa"/>
          </w:tcPr>
          <w:p w:rsidR="006700C2" w:rsidRDefault="006700C2">
            <w:pPr>
              <w:pStyle w:val="SBTabell"/>
              <w:rPr>
                <w:sz w:val="18"/>
              </w:rPr>
            </w:pPr>
            <w:r>
              <w:rPr>
                <w:b/>
                <w:sz w:val="18"/>
              </w:rPr>
              <w:t>B</w:t>
            </w:r>
          </w:p>
        </w:tc>
        <w:tc>
          <w:tcPr>
            <w:tcW w:w="5146" w:type="dxa"/>
            <w:gridSpan w:val="3"/>
          </w:tcPr>
          <w:p w:rsidR="006700C2" w:rsidRDefault="006700C2">
            <w:pPr>
              <w:pStyle w:val="SBTabell"/>
              <w:rPr>
                <w:sz w:val="18"/>
              </w:rPr>
            </w:pPr>
            <w:r>
              <w:rPr>
                <w:b/>
                <w:sz w:val="18"/>
              </w:rPr>
              <w:t>Det finansiella systemet</w:t>
            </w:r>
          </w:p>
        </w:tc>
      </w:tr>
      <w:tr w:rsidR="00000000">
        <w:tblPrEx>
          <w:tblCellMar>
            <w:top w:w="0" w:type="dxa"/>
            <w:bottom w:w="0" w:type="dxa"/>
          </w:tblCellMar>
        </w:tblPrEx>
        <w:tc>
          <w:tcPr>
            <w:tcW w:w="283" w:type="dxa"/>
          </w:tcPr>
          <w:p w:rsidR="006700C2" w:rsidRDefault="006700C2">
            <w:pPr>
              <w:pStyle w:val="SBTabell"/>
              <w:rPr>
                <w:sz w:val="17"/>
              </w:rPr>
            </w:pPr>
            <w:r>
              <w:rPr>
                <w:sz w:val="17"/>
              </w:rPr>
              <w:t>1</w:t>
            </w:r>
          </w:p>
        </w:tc>
        <w:tc>
          <w:tcPr>
            <w:tcW w:w="3870" w:type="dxa"/>
            <w:gridSpan w:val="2"/>
          </w:tcPr>
          <w:p w:rsidR="006700C2" w:rsidRDefault="006700C2">
            <w:pPr>
              <w:pStyle w:val="SBTabell"/>
              <w:rPr>
                <w:sz w:val="17"/>
              </w:rPr>
            </w:pPr>
            <w:r>
              <w:rPr>
                <w:sz w:val="17"/>
              </w:rPr>
              <w:t xml:space="preserve">Finansinspektionen </w:t>
            </w:r>
            <w:r>
              <w:rPr>
                <w:i/>
                <w:sz w:val="17"/>
              </w:rPr>
              <w:t>(ram)</w:t>
            </w:r>
          </w:p>
        </w:tc>
        <w:tc>
          <w:tcPr>
            <w:tcW w:w="1276" w:type="dxa"/>
          </w:tcPr>
          <w:p w:rsidR="006700C2" w:rsidRDefault="006700C2">
            <w:pPr>
              <w:pStyle w:val="SBTabell"/>
              <w:jc w:val="right"/>
              <w:rPr>
                <w:sz w:val="17"/>
              </w:rPr>
            </w:pPr>
            <w:r>
              <w:rPr>
                <w:sz w:val="17"/>
              </w:rPr>
              <w:t xml:space="preserve"> 118 697</w:t>
            </w:r>
          </w:p>
        </w:tc>
      </w:tr>
      <w:tr w:rsidR="00000000">
        <w:tblPrEx>
          <w:tblCellMar>
            <w:top w:w="0" w:type="dxa"/>
            <w:bottom w:w="0" w:type="dxa"/>
          </w:tblCellMar>
        </w:tblPrEx>
        <w:tc>
          <w:tcPr>
            <w:tcW w:w="283" w:type="dxa"/>
          </w:tcPr>
          <w:p w:rsidR="006700C2" w:rsidRDefault="006700C2">
            <w:pPr>
              <w:pStyle w:val="SBTabell"/>
              <w:rPr>
                <w:sz w:val="17"/>
              </w:rPr>
            </w:pPr>
            <w:r>
              <w:rPr>
                <w:sz w:val="17"/>
              </w:rPr>
              <w:t>2</w:t>
            </w:r>
          </w:p>
        </w:tc>
        <w:tc>
          <w:tcPr>
            <w:tcW w:w="3870" w:type="dxa"/>
            <w:gridSpan w:val="2"/>
          </w:tcPr>
          <w:p w:rsidR="006700C2" w:rsidRDefault="006700C2">
            <w:pPr>
              <w:pStyle w:val="SBTabell"/>
              <w:rPr>
                <w:sz w:val="17"/>
              </w:rPr>
            </w:pPr>
            <w:r>
              <w:rPr>
                <w:sz w:val="17"/>
              </w:rPr>
              <w:t xml:space="preserve">Insättningsgarantinämnden </w:t>
            </w:r>
            <w:r>
              <w:rPr>
                <w:i/>
                <w:sz w:val="17"/>
              </w:rPr>
              <w:t>(ram)</w:t>
            </w:r>
          </w:p>
        </w:tc>
        <w:tc>
          <w:tcPr>
            <w:tcW w:w="1276" w:type="dxa"/>
          </w:tcPr>
          <w:p w:rsidR="006700C2" w:rsidRDefault="006700C2">
            <w:pPr>
              <w:pStyle w:val="SBTabell"/>
              <w:jc w:val="right"/>
              <w:rPr>
                <w:sz w:val="17"/>
              </w:rPr>
            </w:pPr>
            <w:r>
              <w:rPr>
                <w:sz w:val="17"/>
              </w:rPr>
              <w:t xml:space="preserve"> 6 313</w:t>
            </w:r>
          </w:p>
        </w:tc>
      </w:tr>
      <w:tr w:rsidR="00000000">
        <w:tblPrEx>
          <w:tblCellMar>
            <w:top w:w="0" w:type="dxa"/>
            <w:bottom w:w="0" w:type="dxa"/>
          </w:tblCellMar>
        </w:tblPrEx>
        <w:tc>
          <w:tcPr>
            <w:tcW w:w="283" w:type="dxa"/>
          </w:tcPr>
          <w:p w:rsidR="006700C2" w:rsidRDefault="006700C2">
            <w:pPr>
              <w:pStyle w:val="SBTabell"/>
              <w:rPr>
                <w:sz w:val="17"/>
              </w:rPr>
            </w:pPr>
            <w:r>
              <w:rPr>
                <w:sz w:val="17"/>
              </w:rPr>
              <w:t>3</w:t>
            </w:r>
          </w:p>
        </w:tc>
        <w:tc>
          <w:tcPr>
            <w:tcW w:w="3870" w:type="dxa"/>
            <w:gridSpan w:val="2"/>
          </w:tcPr>
          <w:p w:rsidR="006700C2" w:rsidRDefault="006700C2">
            <w:pPr>
              <w:pStyle w:val="SBTabell"/>
              <w:rPr>
                <w:sz w:val="17"/>
              </w:rPr>
            </w:pPr>
            <w:r>
              <w:rPr>
                <w:sz w:val="17"/>
              </w:rPr>
              <w:t xml:space="preserve">Riksgäldskontoret: Förvaltningskostnader </w:t>
            </w:r>
            <w:r>
              <w:rPr>
                <w:i/>
                <w:sz w:val="17"/>
              </w:rPr>
              <w:t>(ram)</w:t>
            </w:r>
          </w:p>
        </w:tc>
        <w:tc>
          <w:tcPr>
            <w:tcW w:w="1276" w:type="dxa"/>
          </w:tcPr>
          <w:p w:rsidR="006700C2" w:rsidRDefault="006700C2">
            <w:pPr>
              <w:pStyle w:val="SBTabell"/>
              <w:jc w:val="right"/>
              <w:rPr>
                <w:sz w:val="17"/>
              </w:rPr>
            </w:pPr>
            <w:r>
              <w:rPr>
                <w:sz w:val="17"/>
              </w:rPr>
              <w:t xml:space="preserve"> 84 701</w:t>
            </w:r>
          </w:p>
        </w:tc>
      </w:tr>
      <w:tr w:rsidR="00000000">
        <w:tblPrEx>
          <w:tblCellMar>
            <w:top w:w="0" w:type="dxa"/>
            <w:bottom w:w="0" w:type="dxa"/>
          </w:tblCellMar>
        </w:tblPrEx>
        <w:tc>
          <w:tcPr>
            <w:tcW w:w="283" w:type="dxa"/>
          </w:tcPr>
          <w:p w:rsidR="006700C2" w:rsidRDefault="006700C2">
            <w:pPr>
              <w:pStyle w:val="SBTabell"/>
              <w:rPr>
                <w:sz w:val="17"/>
              </w:rPr>
            </w:pPr>
            <w:r>
              <w:rPr>
                <w:sz w:val="17"/>
              </w:rPr>
              <w:t>4</w:t>
            </w:r>
          </w:p>
        </w:tc>
        <w:tc>
          <w:tcPr>
            <w:tcW w:w="3870" w:type="dxa"/>
            <w:gridSpan w:val="2"/>
          </w:tcPr>
          <w:p w:rsidR="006700C2" w:rsidRDefault="006700C2">
            <w:pPr>
              <w:pStyle w:val="SBTabell"/>
              <w:rPr>
                <w:sz w:val="17"/>
              </w:rPr>
            </w:pPr>
            <w:r>
              <w:rPr>
                <w:sz w:val="17"/>
              </w:rPr>
              <w:t>Riksgäldskontoret: Kostnader för upplåning och lån</w:t>
            </w:r>
            <w:r>
              <w:rPr>
                <w:sz w:val="17"/>
              </w:rPr>
              <w:t>e</w:t>
            </w:r>
            <w:r>
              <w:rPr>
                <w:sz w:val="17"/>
              </w:rPr>
              <w:t xml:space="preserve">förvaltning </w:t>
            </w:r>
            <w:r>
              <w:rPr>
                <w:i/>
                <w:sz w:val="17"/>
              </w:rPr>
              <w:t>(ram)</w:t>
            </w:r>
          </w:p>
        </w:tc>
        <w:tc>
          <w:tcPr>
            <w:tcW w:w="1276" w:type="dxa"/>
          </w:tcPr>
          <w:p w:rsidR="006700C2" w:rsidRDefault="006700C2">
            <w:pPr>
              <w:pStyle w:val="SBTabell"/>
              <w:jc w:val="right"/>
              <w:rPr>
                <w:sz w:val="17"/>
              </w:rPr>
            </w:pPr>
          </w:p>
          <w:p w:rsidR="006700C2" w:rsidRDefault="006700C2">
            <w:pPr>
              <w:pStyle w:val="SBTabell"/>
              <w:jc w:val="right"/>
              <w:rPr>
                <w:sz w:val="17"/>
              </w:rPr>
            </w:pPr>
            <w:r>
              <w:rPr>
                <w:sz w:val="17"/>
              </w:rPr>
              <w:t xml:space="preserve"> 535 000</w:t>
            </w:r>
          </w:p>
        </w:tc>
      </w:tr>
      <w:tr w:rsidR="00000000">
        <w:tblPrEx>
          <w:tblCellMar>
            <w:top w:w="0" w:type="dxa"/>
            <w:bottom w:w="0" w:type="dxa"/>
          </w:tblCellMar>
        </w:tblPrEx>
        <w:tc>
          <w:tcPr>
            <w:tcW w:w="283" w:type="dxa"/>
          </w:tcPr>
          <w:p w:rsidR="006700C2" w:rsidRDefault="006700C2">
            <w:pPr>
              <w:pStyle w:val="SBTabell"/>
              <w:rPr>
                <w:sz w:val="17"/>
              </w:rPr>
            </w:pPr>
            <w:r>
              <w:rPr>
                <w:sz w:val="17"/>
              </w:rPr>
              <w:t>5</w:t>
            </w:r>
          </w:p>
        </w:tc>
        <w:tc>
          <w:tcPr>
            <w:tcW w:w="3870" w:type="dxa"/>
            <w:gridSpan w:val="2"/>
          </w:tcPr>
          <w:p w:rsidR="006700C2" w:rsidRDefault="006700C2">
            <w:pPr>
              <w:pStyle w:val="SBTabell"/>
              <w:rPr>
                <w:sz w:val="17"/>
              </w:rPr>
            </w:pPr>
            <w:r>
              <w:rPr>
                <w:sz w:val="17"/>
              </w:rPr>
              <w:t xml:space="preserve">Bokföringsnämnden </w:t>
            </w:r>
            <w:r>
              <w:rPr>
                <w:i/>
                <w:sz w:val="17"/>
              </w:rPr>
              <w:t>(ram)</w:t>
            </w:r>
          </w:p>
        </w:tc>
        <w:tc>
          <w:tcPr>
            <w:tcW w:w="1276" w:type="dxa"/>
          </w:tcPr>
          <w:p w:rsidR="006700C2" w:rsidRDefault="006700C2">
            <w:pPr>
              <w:pStyle w:val="SBTabell"/>
              <w:jc w:val="right"/>
              <w:rPr>
                <w:sz w:val="17"/>
              </w:rPr>
            </w:pPr>
            <w:r>
              <w:rPr>
                <w:sz w:val="17"/>
              </w:rPr>
              <w:t xml:space="preserve"> 6 297</w:t>
            </w:r>
          </w:p>
        </w:tc>
      </w:tr>
      <w:tr w:rsidR="00000000">
        <w:tblPrEx>
          <w:tblCellMar>
            <w:top w:w="0" w:type="dxa"/>
            <w:bottom w:w="0" w:type="dxa"/>
          </w:tblCellMar>
        </w:tblPrEx>
        <w:tc>
          <w:tcPr>
            <w:tcW w:w="283" w:type="dxa"/>
          </w:tcPr>
          <w:p w:rsidR="006700C2" w:rsidRDefault="006700C2">
            <w:pPr>
              <w:pStyle w:val="SBTabell"/>
              <w:rPr>
                <w:sz w:val="17"/>
              </w:rPr>
            </w:pPr>
          </w:p>
        </w:tc>
        <w:tc>
          <w:tcPr>
            <w:tcW w:w="3870" w:type="dxa"/>
            <w:gridSpan w:val="2"/>
          </w:tcPr>
          <w:p w:rsidR="006700C2" w:rsidRDefault="006700C2">
            <w:pPr>
              <w:pStyle w:val="SBTabell"/>
              <w:rPr>
                <w:sz w:val="17"/>
              </w:rPr>
            </w:pPr>
          </w:p>
        </w:tc>
        <w:tc>
          <w:tcPr>
            <w:tcW w:w="1276" w:type="dxa"/>
          </w:tcPr>
          <w:p w:rsidR="006700C2" w:rsidRDefault="006700C2">
            <w:pPr>
              <w:pStyle w:val="SBTabell"/>
              <w:rPr>
                <w:sz w:val="17"/>
              </w:rPr>
            </w:pPr>
          </w:p>
        </w:tc>
      </w:tr>
      <w:tr w:rsidR="00000000">
        <w:tblPrEx>
          <w:tblCellMar>
            <w:top w:w="0" w:type="dxa"/>
            <w:bottom w:w="0" w:type="dxa"/>
          </w:tblCellMar>
        </w:tblPrEx>
        <w:trPr>
          <w:cantSplit/>
        </w:trPr>
        <w:tc>
          <w:tcPr>
            <w:tcW w:w="283" w:type="dxa"/>
          </w:tcPr>
          <w:p w:rsidR="006700C2" w:rsidRDefault="006700C2">
            <w:pPr>
              <w:pStyle w:val="SBTabell"/>
              <w:rPr>
                <w:sz w:val="18"/>
                <w:vertAlign w:val="superscript"/>
              </w:rPr>
            </w:pPr>
            <w:r>
              <w:rPr>
                <w:b/>
                <w:sz w:val="18"/>
              </w:rPr>
              <w:t>C</w:t>
            </w:r>
            <w:r>
              <w:rPr>
                <w:b/>
                <w:sz w:val="18"/>
                <w:vertAlign w:val="superscript"/>
              </w:rPr>
              <w:t>1</w:t>
            </w:r>
          </w:p>
        </w:tc>
        <w:tc>
          <w:tcPr>
            <w:tcW w:w="5146" w:type="dxa"/>
            <w:gridSpan w:val="3"/>
          </w:tcPr>
          <w:p w:rsidR="006700C2" w:rsidRDefault="006700C2">
            <w:pPr>
              <w:pStyle w:val="SBTabell"/>
              <w:rPr>
                <w:sz w:val="18"/>
              </w:rPr>
            </w:pPr>
            <w:r>
              <w:rPr>
                <w:b/>
                <w:sz w:val="18"/>
              </w:rPr>
              <w:t>Särskilda finansierings- och garantiåtaganden</w:t>
            </w:r>
          </w:p>
        </w:tc>
      </w:tr>
      <w:tr w:rsidR="00000000">
        <w:tblPrEx>
          <w:tblCellMar>
            <w:top w:w="0" w:type="dxa"/>
            <w:bottom w:w="0" w:type="dxa"/>
          </w:tblCellMar>
        </w:tblPrEx>
        <w:tc>
          <w:tcPr>
            <w:tcW w:w="283" w:type="dxa"/>
          </w:tcPr>
          <w:p w:rsidR="006700C2" w:rsidRDefault="006700C2">
            <w:pPr>
              <w:pStyle w:val="SBTabell"/>
              <w:rPr>
                <w:sz w:val="17"/>
              </w:rPr>
            </w:pPr>
            <w:r>
              <w:rPr>
                <w:sz w:val="17"/>
              </w:rPr>
              <w:t>1</w:t>
            </w:r>
          </w:p>
        </w:tc>
        <w:tc>
          <w:tcPr>
            <w:tcW w:w="3728" w:type="dxa"/>
          </w:tcPr>
          <w:p w:rsidR="006700C2" w:rsidRDefault="006700C2">
            <w:pPr>
              <w:pStyle w:val="SBTabell"/>
              <w:rPr>
                <w:sz w:val="17"/>
              </w:rPr>
            </w:pPr>
            <w:r>
              <w:rPr>
                <w:sz w:val="17"/>
              </w:rPr>
              <w:t xml:space="preserve">Avgift för Stadshypotekskassans grundfond </w:t>
            </w:r>
            <w:r>
              <w:rPr>
                <w:i/>
                <w:sz w:val="17"/>
              </w:rPr>
              <w:t>(ram)</w:t>
            </w:r>
          </w:p>
        </w:tc>
        <w:tc>
          <w:tcPr>
            <w:tcW w:w="1418" w:type="dxa"/>
            <w:gridSpan w:val="2"/>
          </w:tcPr>
          <w:p w:rsidR="006700C2" w:rsidRDefault="006700C2">
            <w:pPr>
              <w:pStyle w:val="SBTabell"/>
              <w:jc w:val="right"/>
              <w:rPr>
                <w:sz w:val="17"/>
              </w:rPr>
            </w:pPr>
            <w:r>
              <w:rPr>
                <w:sz w:val="17"/>
              </w:rPr>
              <w:t xml:space="preserve"> 30 000</w:t>
            </w:r>
          </w:p>
        </w:tc>
      </w:tr>
      <w:tr w:rsidR="00000000">
        <w:tblPrEx>
          <w:tblCellMar>
            <w:top w:w="0" w:type="dxa"/>
            <w:bottom w:w="0" w:type="dxa"/>
          </w:tblCellMar>
        </w:tblPrEx>
        <w:tc>
          <w:tcPr>
            <w:tcW w:w="283" w:type="dxa"/>
          </w:tcPr>
          <w:p w:rsidR="006700C2" w:rsidRDefault="006700C2">
            <w:pPr>
              <w:pStyle w:val="SBTabell"/>
              <w:rPr>
                <w:sz w:val="17"/>
              </w:rPr>
            </w:pPr>
            <w:r>
              <w:rPr>
                <w:sz w:val="17"/>
              </w:rPr>
              <w:t>2</w:t>
            </w:r>
          </w:p>
        </w:tc>
        <w:tc>
          <w:tcPr>
            <w:tcW w:w="3728" w:type="dxa"/>
          </w:tcPr>
          <w:p w:rsidR="006700C2" w:rsidRDefault="006700C2">
            <w:pPr>
              <w:pStyle w:val="SBTabell"/>
              <w:rPr>
                <w:sz w:val="17"/>
              </w:rPr>
            </w:pPr>
            <w:r>
              <w:rPr>
                <w:sz w:val="17"/>
              </w:rPr>
              <w:t xml:space="preserve">Kapitalhöjning i Nordiska investeringsbanken </w:t>
            </w:r>
            <w:r>
              <w:rPr>
                <w:i/>
                <w:sz w:val="17"/>
              </w:rPr>
              <w:t>(ram)</w:t>
            </w:r>
          </w:p>
        </w:tc>
        <w:tc>
          <w:tcPr>
            <w:tcW w:w="1418" w:type="dxa"/>
            <w:gridSpan w:val="2"/>
          </w:tcPr>
          <w:p w:rsidR="006700C2" w:rsidRDefault="006700C2">
            <w:pPr>
              <w:pStyle w:val="SBTabell"/>
              <w:jc w:val="right"/>
              <w:rPr>
                <w:sz w:val="17"/>
              </w:rPr>
            </w:pPr>
            <w:r>
              <w:rPr>
                <w:sz w:val="17"/>
              </w:rPr>
              <w:t xml:space="preserve"> 18 700</w:t>
            </w:r>
          </w:p>
        </w:tc>
      </w:tr>
      <w:tr w:rsidR="00000000">
        <w:tblPrEx>
          <w:tblCellMar>
            <w:top w:w="0" w:type="dxa"/>
            <w:bottom w:w="0" w:type="dxa"/>
          </w:tblCellMar>
        </w:tblPrEx>
        <w:tc>
          <w:tcPr>
            <w:tcW w:w="283" w:type="dxa"/>
          </w:tcPr>
          <w:p w:rsidR="006700C2" w:rsidRDefault="006700C2">
            <w:pPr>
              <w:pStyle w:val="SBTabell"/>
              <w:rPr>
                <w:sz w:val="17"/>
              </w:rPr>
            </w:pPr>
          </w:p>
        </w:tc>
        <w:tc>
          <w:tcPr>
            <w:tcW w:w="3728" w:type="dxa"/>
          </w:tcPr>
          <w:p w:rsidR="006700C2" w:rsidRDefault="006700C2">
            <w:pPr>
              <w:pStyle w:val="SBTabell"/>
              <w:rPr>
                <w:sz w:val="17"/>
              </w:rPr>
            </w:pPr>
          </w:p>
        </w:tc>
        <w:tc>
          <w:tcPr>
            <w:tcW w:w="1418" w:type="dxa"/>
            <w:gridSpan w:val="2"/>
          </w:tcPr>
          <w:p w:rsidR="006700C2" w:rsidRDefault="006700C2">
            <w:pPr>
              <w:pStyle w:val="SBTabell"/>
              <w:rPr>
                <w:sz w:val="17"/>
              </w:rPr>
            </w:pPr>
          </w:p>
        </w:tc>
      </w:tr>
      <w:tr w:rsidR="00000000">
        <w:tblPrEx>
          <w:tblCellMar>
            <w:top w:w="0" w:type="dxa"/>
            <w:bottom w:w="0" w:type="dxa"/>
          </w:tblCellMar>
        </w:tblPrEx>
        <w:trPr>
          <w:cantSplit/>
        </w:trPr>
        <w:tc>
          <w:tcPr>
            <w:tcW w:w="283" w:type="dxa"/>
          </w:tcPr>
          <w:p w:rsidR="006700C2" w:rsidRDefault="006700C2">
            <w:pPr>
              <w:pStyle w:val="SBTabell"/>
              <w:rPr>
                <w:sz w:val="18"/>
                <w:vertAlign w:val="superscript"/>
              </w:rPr>
            </w:pPr>
            <w:r>
              <w:rPr>
                <w:b/>
                <w:sz w:val="18"/>
              </w:rPr>
              <w:t>D</w:t>
            </w:r>
            <w:r>
              <w:rPr>
                <w:b/>
                <w:sz w:val="18"/>
                <w:vertAlign w:val="superscript"/>
              </w:rPr>
              <w:t>1</w:t>
            </w:r>
          </w:p>
        </w:tc>
        <w:tc>
          <w:tcPr>
            <w:tcW w:w="5146" w:type="dxa"/>
            <w:gridSpan w:val="3"/>
          </w:tcPr>
          <w:p w:rsidR="006700C2" w:rsidRDefault="006700C2">
            <w:pPr>
              <w:pStyle w:val="SBTabell"/>
              <w:rPr>
                <w:sz w:val="18"/>
              </w:rPr>
            </w:pPr>
            <w:r>
              <w:rPr>
                <w:b/>
                <w:sz w:val="18"/>
              </w:rPr>
              <w:t>Riksdagens revisorer</w:t>
            </w:r>
          </w:p>
        </w:tc>
      </w:tr>
      <w:tr w:rsidR="00000000">
        <w:tblPrEx>
          <w:tblCellMar>
            <w:top w:w="0" w:type="dxa"/>
            <w:bottom w:w="0" w:type="dxa"/>
          </w:tblCellMar>
        </w:tblPrEx>
        <w:tc>
          <w:tcPr>
            <w:tcW w:w="283" w:type="dxa"/>
          </w:tcPr>
          <w:p w:rsidR="006700C2" w:rsidRDefault="006700C2">
            <w:pPr>
              <w:pStyle w:val="SBTabell"/>
              <w:rPr>
                <w:sz w:val="17"/>
              </w:rPr>
            </w:pPr>
            <w:r>
              <w:rPr>
                <w:sz w:val="17"/>
              </w:rPr>
              <w:t>1</w:t>
            </w:r>
          </w:p>
        </w:tc>
        <w:tc>
          <w:tcPr>
            <w:tcW w:w="3728" w:type="dxa"/>
          </w:tcPr>
          <w:p w:rsidR="006700C2" w:rsidRDefault="006700C2">
            <w:pPr>
              <w:pStyle w:val="SBTabell"/>
              <w:rPr>
                <w:sz w:val="17"/>
              </w:rPr>
            </w:pPr>
            <w:r>
              <w:rPr>
                <w:sz w:val="17"/>
              </w:rPr>
              <w:t xml:space="preserve">Riksdagens revisorer </w:t>
            </w:r>
            <w:r>
              <w:rPr>
                <w:i/>
                <w:sz w:val="17"/>
              </w:rPr>
              <w:t>(ram)</w:t>
            </w:r>
          </w:p>
        </w:tc>
        <w:tc>
          <w:tcPr>
            <w:tcW w:w="1418" w:type="dxa"/>
            <w:gridSpan w:val="2"/>
          </w:tcPr>
          <w:p w:rsidR="006700C2" w:rsidRDefault="006700C2">
            <w:pPr>
              <w:pStyle w:val="SBTabell"/>
              <w:jc w:val="right"/>
              <w:rPr>
                <w:sz w:val="17"/>
              </w:rPr>
            </w:pPr>
            <w:r>
              <w:rPr>
                <w:sz w:val="17"/>
              </w:rPr>
              <w:t xml:space="preserve"> 18 704</w:t>
            </w:r>
          </w:p>
        </w:tc>
      </w:tr>
      <w:tr w:rsidR="00000000">
        <w:tblPrEx>
          <w:tblCellMar>
            <w:top w:w="0" w:type="dxa"/>
            <w:bottom w:w="0" w:type="dxa"/>
          </w:tblCellMar>
        </w:tblPrEx>
        <w:tc>
          <w:tcPr>
            <w:tcW w:w="283" w:type="dxa"/>
          </w:tcPr>
          <w:p w:rsidR="006700C2" w:rsidRDefault="006700C2">
            <w:pPr>
              <w:pStyle w:val="SBTabell"/>
              <w:rPr>
                <w:sz w:val="17"/>
              </w:rPr>
            </w:pPr>
          </w:p>
        </w:tc>
        <w:tc>
          <w:tcPr>
            <w:tcW w:w="3728" w:type="dxa"/>
          </w:tcPr>
          <w:p w:rsidR="006700C2" w:rsidRDefault="006700C2">
            <w:pPr>
              <w:pStyle w:val="SBTabell"/>
              <w:rPr>
                <w:sz w:val="17"/>
              </w:rPr>
            </w:pPr>
          </w:p>
        </w:tc>
        <w:tc>
          <w:tcPr>
            <w:tcW w:w="1418" w:type="dxa"/>
            <w:gridSpan w:val="2"/>
          </w:tcPr>
          <w:p w:rsidR="006700C2" w:rsidRDefault="006700C2">
            <w:pPr>
              <w:pStyle w:val="SBTabell"/>
              <w:rPr>
                <w:sz w:val="17"/>
              </w:rPr>
            </w:pPr>
          </w:p>
        </w:tc>
      </w:tr>
      <w:tr w:rsidR="00000000">
        <w:tblPrEx>
          <w:tblCellMar>
            <w:top w:w="0" w:type="dxa"/>
            <w:bottom w:w="0" w:type="dxa"/>
          </w:tblCellMar>
        </w:tblPrEx>
        <w:trPr>
          <w:cantSplit/>
        </w:trPr>
        <w:tc>
          <w:tcPr>
            <w:tcW w:w="4011" w:type="dxa"/>
            <w:gridSpan w:val="2"/>
            <w:tcBorders>
              <w:bottom w:val="single" w:sz="4" w:space="0" w:color="auto"/>
            </w:tcBorders>
          </w:tcPr>
          <w:p w:rsidR="006700C2" w:rsidRDefault="006700C2">
            <w:pPr>
              <w:pStyle w:val="SBTabell"/>
              <w:rPr>
                <w:b/>
                <w:sz w:val="18"/>
              </w:rPr>
            </w:pPr>
            <w:r>
              <w:rPr>
                <w:b/>
                <w:sz w:val="18"/>
              </w:rPr>
              <w:t xml:space="preserve">Summa för utgiftsområdet </w:t>
            </w:r>
          </w:p>
        </w:tc>
        <w:tc>
          <w:tcPr>
            <w:tcW w:w="1418" w:type="dxa"/>
            <w:gridSpan w:val="2"/>
            <w:tcBorders>
              <w:bottom w:val="single" w:sz="4" w:space="0" w:color="auto"/>
            </w:tcBorders>
          </w:tcPr>
          <w:p w:rsidR="006700C2" w:rsidRDefault="006700C2">
            <w:pPr>
              <w:pStyle w:val="SBTabell"/>
              <w:jc w:val="right"/>
              <w:rPr>
                <w:b/>
                <w:sz w:val="18"/>
              </w:rPr>
            </w:pPr>
            <w:r>
              <w:rPr>
                <w:b/>
                <w:sz w:val="18"/>
              </w:rPr>
              <w:t>1 705 333</w:t>
            </w:r>
          </w:p>
        </w:tc>
      </w:tr>
      <w:tr w:rsidR="00000000">
        <w:tblPrEx>
          <w:tblCellMar>
            <w:top w:w="0" w:type="dxa"/>
            <w:bottom w:w="0" w:type="dxa"/>
          </w:tblCellMar>
        </w:tblPrEx>
        <w:trPr>
          <w:cantSplit/>
        </w:trPr>
        <w:tc>
          <w:tcPr>
            <w:tcW w:w="5429" w:type="dxa"/>
            <w:gridSpan w:val="4"/>
          </w:tcPr>
          <w:p w:rsidR="006700C2" w:rsidRDefault="006700C2">
            <w:pPr>
              <w:pStyle w:val="SBTabell"/>
              <w:rPr>
                <w:sz w:val="17"/>
                <w:vertAlign w:val="superscript"/>
              </w:rPr>
            </w:pPr>
          </w:p>
          <w:p w:rsidR="006700C2" w:rsidRDefault="006700C2">
            <w:pPr>
              <w:pStyle w:val="SBTabell"/>
              <w:rPr>
                <w:sz w:val="17"/>
              </w:rPr>
            </w:pPr>
            <w:r>
              <w:rPr>
                <w:sz w:val="17"/>
                <w:vertAlign w:val="superscript"/>
              </w:rPr>
              <w:t>1</w:t>
            </w:r>
            <w:r>
              <w:rPr>
                <w:rStyle w:val="Kommentarsreferens"/>
              </w:rPr>
              <w:t>Litterabeteckningen har ändrats med anledning av att Premiepensionsmyndigh</w:t>
            </w:r>
            <w:r>
              <w:rPr>
                <w:rStyle w:val="Kommentarsreferens"/>
              </w:rPr>
              <w:t>e</w:t>
            </w:r>
            <w:r>
              <w:rPr>
                <w:rStyle w:val="Kommentarsreferens"/>
              </w:rPr>
              <w:t>ten inom verksamhetsområdet för premiepensionssystemet inte tas upp på stat</w:t>
            </w:r>
            <w:r>
              <w:rPr>
                <w:rStyle w:val="Kommentarsreferens"/>
              </w:rPr>
              <w:t>s</w:t>
            </w:r>
            <w:r>
              <w:rPr>
                <w:rStyle w:val="Kommentarsreferens"/>
              </w:rPr>
              <w:t>budgeten.</w:t>
            </w:r>
          </w:p>
        </w:tc>
      </w:tr>
    </w:tbl>
    <w:p w:rsidR="006700C2" w:rsidRDefault="006700C2">
      <w:pPr>
        <w:pStyle w:val="Rubrik1"/>
        <w:spacing w:before="480"/>
      </w:pPr>
      <w:bookmarkStart w:id="20" w:name="_Toc437689331"/>
      <w:r>
        <w:t>Motionerna</w:t>
      </w:r>
      <w:bookmarkEnd w:id="20"/>
    </w:p>
    <w:p w:rsidR="006700C2" w:rsidRDefault="006700C2">
      <w:r>
        <w:t xml:space="preserve">1998/99:Fi205 av Ingrid Burman m.fl. (v) vari yrkas att riksdagen enligt vad i motionen anförts hos regeringen begär förslag om tillsättandet av en låg- och höginkomstutredning. </w:t>
      </w:r>
    </w:p>
    <w:p w:rsidR="006700C2" w:rsidRDefault="006700C2">
      <w:r>
        <w:t>1998/99:Fi210 av Lennart Daléus m.fl. (c) vari yrkas</w:t>
      </w:r>
    </w:p>
    <w:p w:rsidR="006700C2" w:rsidRDefault="006700C2">
      <w:pPr>
        <w:pStyle w:val="Normaltindrag"/>
      </w:pPr>
      <w:r>
        <w:t xml:space="preserve">5. att riksdagen beslutar om fördelning av anslag inom utgiftsområde 2 i enlighet med vad i motionen anförts, </w:t>
      </w:r>
    </w:p>
    <w:p w:rsidR="006700C2" w:rsidRDefault="006700C2">
      <w:r>
        <w:t>1998/99:Fi211 av Lars Leijonborg m.fl. (fp) vari yrkas</w:t>
      </w:r>
    </w:p>
    <w:p w:rsidR="006700C2" w:rsidRDefault="006700C2">
      <w:pPr>
        <w:pStyle w:val="Normaltindrag"/>
      </w:pPr>
      <w:r>
        <w:t xml:space="preserve">8. att riksdagen för budgetåret 1999 anvisar anslagen under utgiftsområde 2 Samhällsekonomi och finansförvaltning och utgiftsområde 25 Allmänna bidrag till kommuner enligt uppställningen i bilaga 2 (delvis). </w:t>
      </w:r>
    </w:p>
    <w:p w:rsidR="006700C2" w:rsidRDefault="006700C2">
      <w:r>
        <w:t>1998/99:Fi505 av Mats Odell m.fl. (kd) vari yrkas att riksdagen med följande förändring i förhållande till regeringens förslag beslutar att ramen för utgift</w:t>
      </w:r>
      <w:r>
        <w:t>s</w:t>
      </w:r>
      <w:r>
        <w:t xml:space="preserve">område 2 Samhällsekonomi och finansförvaltning under budgetåret 1999 minskas med 100 miljoner kronor. </w:t>
      </w:r>
    </w:p>
    <w:p w:rsidR="006700C2" w:rsidRDefault="006700C2">
      <w:r>
        <w:t>1998/99:Fi507 av Lars Tobisson m.fl. (m) vari yrkas</w:t>
      </w:r>
    </w:p>
    <w:p w:rsidR="006700C2" w:rsidRDefault="006700C2">
      <w:pPr>
        <w:pStyle w:val="Normaltindrag"/>
      </w:pPr>
      <w:r>
        <w:t xml:space="preserve">1. att riksdagen beslutar att under anslaget A 2 Riksrevisionsverket, inom utgiftsområde 2 Samhällsekonomi och finansförvaltning, anslå 0 kr för 1999 i enlighet med vad som anförts i motionen, </w:t>
      </w:r>
    </w:p>
    <w:p w:rsidR="006700C2" w:rsidRDefault="006700C2">
      <w:pPr>
        <w:pStyle w:val="Normaltindrag"/>
      </w:pPr>
      <w:r>
        <w:t xml:space="preserve">2. att riksdagen beslutar att under anslaget A 3 Ekonomistyrningsverket, inom utgiftsområde 2 Samhällsekonomi och finansförvaltning, anslå 50 550 000 kr för 1999 i enlighet med vad som anförts i motionen, </w:t>
      </w:r>
    </w:p>
    <w:p w:rsidR="006700C2" w:rsidRDefault="006700C2">
      <w:pPr>
        <w:pStyle w:val="Normaltindrag"/>
      </w:pPr>
      <w:r>
        <w:t>3. att riksdagen beslutar att under anslaget A 2 Statskontoret, inom utgift</w:t>
      </w:r>
      <w:r>
        <w:t>s</w:t>
      </w:r>
      <w:r>
        <w:t xml:space="preserve">område 4 Samhällsekonomi och finansförvaltning, anslå 44 957 000 kr för 1999 i enlighet med vad som anförts i motionen, </w:t>
      </w:r>
    </w:p>
    <w:p w:rsidR="006700C2" w:rsidRDefault="006700C2">
      <w:pPr>
        <w:pStyle w:val="Normaltindrag"/>
      </w:pPr>
      <w:r>
        <w:t xml:space="preserve">4. att riksdagen beslutar att under anslaget A 6 Statistiska centralbyrån, inom utgiftsområde 2 Samhällsekonomi och finansförvaltning, anslå 328 127 000 kr för 1999 i enlighet med vad som anförts i motionen, </w:t>
      </w:r>
    </w:p>
    <w:p w:rsidR="006700C2" w:rsidRDefault="006700C2">
      <w:pPr>
        <w:pStyle w:val="Normaltindrag"/>
      </w:pPr>
      <w:r>
        <w:t>5. att riksdagen beslutar att under anslaget A 7 Folk- och bostadsräknin</w:t>
      </w:r>
      <w:r>
        <w:t>g</w:t>
      </w:r>
      <w:r>
        <w:t xml:space="preserve">en, inom utgiftsområde 2 Samhällsekonomi och finansförvaltning, anslå 0 kr för 1999 i enlighet med vad som anförts i motionen, </w:t>
      </w:r>
    </w:p>
    <w:p w:rsidR="006700C2" w:rsidRDefault="006700C2">
      <w:pPr>
        <w:pStyle w:val="Normaltindrag"/>
      </w:pPr>
      <w:r>
        <w:t>6. att riksdagen beslutar att under anslaget A 9 Nämnden för offentlig up</w:t>
      </w:r>
      <w:r>
        <w:t>p</w:t>
      </w:r>
      <w:r>
        <w:t xml:space="preserve">handling, inom utgiftsområde 2 Samhällsekonomi och finansförvaltning, anslå 0 kr för 1999 i enlighet med vad som anförts i motionen, </w:t>
      </w:r>
    </w:p>
    <w:p w:rsidR="006700C2" w:rsidRDefault="006700C2">
      <w:pPr>
        <w:pStyle w:val="Normaltindrag"/>
      </w:pPr>
      <w:r>
        <w:t>7. att riksdagen beslutar att under anslaget A 10 Ny myndighet för kval</w:t>
      </w:r>
      <w:r>
        <w:t>i</w:t>
      </w:r>
      <w:r>
        <w:t>tetsutveckling och kompetensförsörjning, inom utgiftsområde 2 Samhäll</w:t>
      </w:r>
      <w:r>
        <w:t>s</w:t>
      </w:r>
      <w:r>
        <w:t xml:space="preserve">ekonomi och finansförvaltning, anslå 0 kr för 1999 i enlighet med vad som anförts i motionen, </w:t>
      </w:r>
    </w:p>
    <w:p w:rsidR="006700C2" w:rsidRDefault="006700C2">
      <w:pPr>
        <w:pStyle w:val="Normaltindrag"/>
      </w:pPr>
      <w:r>
        <w:t xml:space="preserve">8. att riksdagen beslutar att inrätta ett nytt anslag A 16 Riksrevisorn, inom utgiftsområde 2 Samhällsekonomi och finansförvaltning, och därunder anslå 136 682 000 kr för 1999 i enlighet med vad som anförts i motionen, </w:t>
      </w:r>
    </w:p>
    <w:p w:rsidR="006700C2" w:rsidRDefault="006700C2">
      <w:pPr>
        <w:pStyle w:val="Normaltindrag"/>
      </w:pPr>
      <w:r>
        <w:t>9. att riksdagen beslutar att under anslaget B 3 Riksgäldskontoret: Förval</w:t>
      </w:r>
      <w:r>
        <w:t>t</w:t>
      </w:r>
      <w:r>
        <w:t>ningskostnader, inom utgiftsområde 2 Samhällsekonomi och finansförval</w:t>
      </w:r>
      <w:r>
        <w:t>t</w:t>
      </w:r>
      <w:r>
        <w:t>ning, anslå 79 701 000 kr för 1999 i enlighet med vad som anförts i moti</w:t>
      </w:r>
      <w:r>
        <w:t>o</w:t>
      </w:r>
      <w:r>
        <w:t xml:space="preserve">nen, </w:t>
      </w:r>
    </w:p>
    <w:p w:rsidR="006700C2" w:rsidRDefault="006700C2">
      <w:pPr>
        <w:pStyle w:val="Normaltindrag"/>
      </w:pPr>
      <w:r>
        <w:t xml:space="preserve">10. att riksdagen beslutar att under anslaget E 1 Riksdagens revisorer, inom utgiftsområde 2 Samhällsekonomi och finansförvaltning, anslå 0 kr för 1999 i enlighet med vad som anförts i motionen, </w:t>
      </w:r>
    </w:p>
    <w:p w:rsidR="006700C2" w:rsidRDefault="006700C2">
      <w:pPr>
        <w:pStyle w:val="Normaltindrag"/>
      </w:pPr>
      <w:r>
        <w:t>12. att riksdagen som sin mening ger regeringen till känna vad i motionen anförts om underlaget för att fastställa investeringsplan och lämna låneb</w:t>
      </w:r>
      <w:r>
        <w:t>e</w:t>
      </w:r>
      <w:r>
        <w:t xml:space="preserve">myndigande till Statens fastighetsverk. </w:t>
      </w:r>
    </w:p>
    <w:p w:rsidR="006700C2" w:rsidRDefault="006700C2">
      <w:r>
        <w:t>1998/99:Fi901 av Berndt Sköldestig och Inge Carlsson (s) vari yrkas att riksdagen som sin mening ger regeringen till känna vad i motionen anförts om behovet av en bra statistik över hushållens tillgångar och skulder.</w:t>
      </w:r>
    </w:p>
    <w:p w:rsidR="006700C2" w:rsidRDefault="006700C2">
      <w:r>
        <w:t>1998/99:U704 av Charlotta L Bjälkebring (v) vari yrkas</w:t>
      </w:r>
    </w:p>
    <w:p w:rsidR="006700C2" w:rsidRDefault="006700C2">
      <w:pPr>
        <w:pStyle w:val="Normaltindrag"/>
      </w:pPr>
      <w:r>
        <w:t xml:space="preserve">5. att riksdagen som sin mening ger regeringen till känna vad i motionen anförts om miljöräkenskaper och miljöskatt, </w:t>
      </w:r>
    </w:p>
    <w:p w:rsidR="006700C2" w:rsidRDefault="006700C2">
      <w:r>
        <w:t>1998/99:So314 av Lennart Daléus m.fl. (c) vari yrkas</w:t>
      </w:r>
    </w:p>
    <w:p w:rsidR="006700C2" w:rsidRDefault="006700C2">
      <w:pPr>
        <w:pStyle w:val="Normaltindrag"/>
      </w:pPr>
      <w:r>
        <w:t xml:space="preserve">1. att riksdagen som sin mening ger regeringen till känna vad i motionen anförts om ett hälsojusterat BNP-mått, </w:t>
      </w:r>
    </w:p>
    <w:p w:rsidR="006700C2" w:rsidRDefault="006700C2">
      <w:pPr>
        <w:pStyle w:val="Normaltindrag"/>
      </w:pPr>
      <w:r>
        <w:t xml:space="preserve">5. att riksdagen som sin mening ger regeringen till känna vad i motionen anförts om statistiskt underlagsmaterial, </w:t>
      </w:r>
    </w:p>
    <w:p w:rsidR="006700C2" w:rsidRDefault="006700C2">
      <w:r>
        <w:t>1998/99:MJ238 av Alf Svensson m.fl. (kd) vari yrkas</w:t>
      </w:r>
    </w:p>
    <w:p w:rsidR="006700C2" w:rsidRDefault="006700C2">
      <w:pPr>
        <w:pStyle w:val="Normaltindrag"/>
      </w:pPr>
      <w:r>
        <w:t xml:space="preserve">4. att riksdagen som sin mening ger regeringen till känna vad i motionen anförts om en komplettering och utveckling av BNP-begreppet, </w:t>
      </w:r>
    </w:p>
    <w:p w:rsidR="006700C2" w:rsidRDefault="006700C2">
      <w:r>
        <w:t>1998/99:A292 av Gudrun Schyman m.fl. (v) vari yrkas</w:t>
      </w:r>
    </w:p>
    <w:p w:rsidR="006700C2" w:rsidRDefault="006700C2">
      <w:pPr>
        <w:pStyle w:val="Normaltindrag"/>
      </w:pPr>
      <w:r>
        <w:t xml:space="preserve">12. att riksdagen som sin mening ger regeringen till känna vad i motionen anförts om forskning samt förslag till folk- och bostadsräkning. </w:t>
      </w:r>
    </w:p>
    <w:p w:rsidR="006700C2" w:rsidRDefault="006700C2">
      <w:r>
        <w:t>1998/99:A807 av Birger Schlaug m.fl. (mp) vari yrkas</w:t>
      </w:r>
    </w:p>
    <w:p w:rsidR="006700C2" w:rsidRDefault="006700C2">
      <w:pPr>
        <w:pStyle w:val="Normaltindrag"/>
      </w:pPr>
      <w:r>
        <w:t xml:space="preserve">4. att riksdagen som sin mening ger regeringen till känna vad i motionen anförts om den könsuppdelade statistiken. </w:t>
      </w:r>
    </w:p>
    <w:p w:rsidR="006700C2" w:rsidRDefault="006700C2">
      <w:r>
        <w:t>1998/99:A810 av Maria Larsson m.fl. (kd) vari yrkas</w:t>
      </w:r>
    </w:p>
    <w:p w:rsidR="006700C2" w:rsidRDefault="006700C2">
      <w:pPr>
        <w:pStyle w:val="Normaltindrag"/>
      </w:pPr>
      <w:r>
        <w:t xml:space="preserve">4. att riksdagen som sin mening ger regeringen till känna vad i motionen anförts om att ta initiativ till en internationell överenskommelse om att räkna in hemarbete i BNP. </w:t>
      </w:r>
    </w:p>
    <w:p w:rsidR="006700C2" w:rsidRDefault="006700C2">
      <w:pPr>
        <w:pStyle w:val="Rubrik1"/>
        <w:sectPr w:rsidR="00000000">
          <w:headerReference w:type="default" r:id="rId10"/>
          <w:footerReference w:type="default" r:id="rId11"/>
          <w:pgSz w:w="11906" w:h="16838" w:code="9"/>
          <w:pgMar w:top="567" w:right="4876" w:bottom="4508" w:left="1134" w:header="227" w:footer="227" w:gutter="0"/>
          <w:cols w:space="720"/>
        </w:sectPr>
      </w:pPr>
    </w:p>
    <w:p w:rsidR="006700C2" w:rsidRDefault="006700C2">
      <w:pPr>
        <w:pStyle w:val="Rubrik1"/>
        <w:spacing w:before="0"/>
      </w:pPr>
      <w:bookmarkStart w:id="21" w:name="_Toc437689332"/>
      <w:r>
        <w:t>Utskottet</w:t>
      </w:r>
      <w:bookmarkEnd w:id="21"/>
    </w:p>
    <w:p w:rsidR="006700C2" w:rsidRDefault="006700C2">
      <w:pPr>
        <w:pStyle w:val="Rubrik2"/>
        <w:spacing w:before="123"/>
      </w:pPr>
      <w:bookmarkStart w:id="22" w:name="_Toc437689333"/>
      <w:r>
        <w:t>Inledning</w:t>
      </w:r>
      <w:bookmarkEnd w:id="22"/>
    </w:p>
    <w:p w:rsidR="006700C2" w:rsidRDefault="006700C2">
      <w:r>
        <w:t>Riksdagen har den 2 december beslutat om utgiftsramar för 1999 för stat</w:t>
      </w:r>
      <w:r>
        <w:t>s</w:t>
      </w:r>
      <w:r>
        <w:t>budgetens 27 utgiftsområden (bet. 1998/99:FiU1, rskr. 1998/99:38). Under riksdagens fortsatta beredning av anslagen får dessa ramar inte överskridas. För utgiftsområde 2 beslutade riksdagen att fastställa ramen till 1 705 milj</w:t>
      </w:r>
      <w:r>
        <w:t>o</w:t>
      </w:r>
      <w:r>
        <w:t>ner kr</w:t>
      </w:r>
      <w:r>
        <w:t>o</w:t>
      </w:r>
      <w:r>
        <w:t xml:space="preserve">nor. </w:t>
      </w:r>
    </w:p>
    <w:p w:rsidR="006700C2" w:rsidRDefault="006700C2">
      <w:pPr>
        <w:pStyle w:val="Normaltindrag"/>
      </w:pPr>
      <w:r>
        <w:t>Finansutskottet behandlar i detta betänkande bl.a. förslag om anslag för utgiftsområde 2 Samhällsekonomi och finansförvaltning. Utgiftsområdet omfattar verksamheter som är inriktade på att planera, underlätta och ko</w:t>
      </w:r>
      <w:r>
        <w:t>n</w:t>
      </w:r>
      <w:r>
        <w:t xml:space="preserve">trollera så att statliga åtaganden sköts på ett så korrekt och effektivt sätt som möjligt. </w:t>
      </w:r>
    </w:p>
    <w:p w:rsidR="006700C2" w:rsidRDefault="006700C2">
      <w:pPr>
        <w:pStyle w:val="Normaltindrag"/>
      </w:pPr>
      <w:r>
        <w:t xml:space="preserve">Utgiftsområdet är indelat i fem verksamhetsområden. </w:t>
      </w:r>
      <w:r>
        <w:rPr>
          <w:snapToGrid w:val="0"/>
          <w:lang w:eastAsia="sv-SE"/>
        </w:rPr>
        <w:t>För verksamhetso</w:t>
      </w:r>
      <w:r>
        <w:rPr>
          <w:snapToGrid w:val="0"/>
          <w:lang w:eastAsia="sv-SE"/>
        </w:rPr>
        <w:t>m</w:t>
      </w:r>
      <w:r>
        <w:rPr>
          <w:snapToGrid w:val="0"/>
          <w:lang w:eastAsia="sv-SE"/>
        </w:rPr>
        <w:t>rådet</w:t>
      </w:r>
      <w:r>
        <w:t xml:space="preserve"> </w:t>
      </w:r>
      <w:r>
        <w:rPr>
          <w:i/>
        </w:rPr>
        <w:t>Effektivisering och utveckling av statlig förvaltning</w:t>
      </w:r>
      <w:r>
        <w:t xml:space="preserve"> är </w:t>
      </w:r>
      <w:r>
        <w:rPr>
          <w:snapToGrid w:val="0"/>
          <w:lang w:eastAsia="sv-SE"/>
        </w:rPr>
        <w:t>syftet att se till att det finns förutsättningar och system av olika slag för en så effektiv stat</w:t>
      </w:r>
      <w:r>
        <w:rPr>
          <w:snapToGrid w:val="0"/>
          <w:lang w:eastAsia="sv-SE"/>
        </w:rPr>
        <w:t>s</w:t>
      </w:r>
      <w:r>
        <w:rPr>
          <w:snapToGrid w:val="0"/>
          <w:lang w:eastAsia="sv-SE"/>
        </w:rPr>
        <w:t>förvaltning som möjligt. Verksamhets</w:t>
      </w:r>
      <w:r>
        <w:rPr>
          <w:snapToGrid w:val="0"/>
          <w:lang w:eastAsia="sv-SE"/>
        </w:rPr>
        <w:softHyphen/>
        <w:t>området omfattar frågor som rör granskning, utvärdering och omprövning av statlig verksamhet, stöd i olika former till Regeringskansliet och andra statliga myndigheter, bl.a. avseende ekonomistyrnings- och systemfrågor och administrativ service, hur statens resurser hanteras vid transaktioner, fö</w:t>
      </w:r>
      <w:r>
        <w:rPr>
          <w:snapToGrid w:val="0"/>
          <w:lang w:eastAsia="sv-SE"/>
        </w:rPr>
        <w:t xml:space="preserve">rvaltning, upplåning och placeringar av medel. Detta inbegriper såväl ekonomiska resurser som statliga fastigheter och lokaler. </w:t>
      </w:r>
      <w:r>
        <w:t xml:space="preserve">Verksamhetsområdet </w:t>
      </w:r>
      <w:r>
        <w:rPr>
          <w:i/>
        </w:rPr>
        <w:t xml:space="preserve">Det finansiella systemet </w:t>
      </w:r>
      <w:r>
        <w:t>innefattar bl.a. verksamhet som rör de finansiella instituten. Syftet med verksamheten är att bidra till stabilitet och effektivitet i det finansiella systemet genom analys, tillsyn och regleringar av de finansiella institutens agerande på marknaden. Verksamheten skall också syfta till ett gott konsumentskydd. Verksamhet</w:t>
      </w:r>
      <w:r>
        <w:t>s</w:t>
      </w:r>
      <w:r>
        <w:t xml:space="preserve">området omfattar </w:t>
      </w:r>
      <w:r>
        <w:t xml:space="preserve">även förvaltning av statens skuld (med undantag av den skuld som förvaltas av affärsverken). Verksamhetsområdet </w:t>
      </w:r>
      <w:r>
        <w:rPr>
          <w:i/>
        </w:rPr>
        <w:t>Premiepension</w:t>
      </w:r>
      <w:r>
        <w:rPr>
          <w:i/>
        </w:rPr>
        <w:t>s</w:t>
      </w:r>
      <w:r>
        <w:rPr>
          <w:i/>
        </w:rPr>
        <w:t xml:space="preserve">systemet </w:t>
      </w:r>
      <w:r>
        <w:t>omfattar administration och förvaltning av de fonderade premiepe</w:t>
      </w:r>
      <w:r>
        <w:t>n</w:t>
      </w:r>
      <w:r>
        <w:t>sionerna i det nya inkomstbaserade ålderspensionssystemet. Verksamhetso</w:t>
      </w:r>
      <w:r>
        <w:t>m</w:t>
      </w:r>
      <w:r>
        <w:t xml:space="preserve">rådet </w:t>
      </w:r>
      <w:r>
        <w:rPr>
          <w:i/>
        </w:rPr>
        <w:t xml:space="preserve">Särskilda finansierings- och garantiåtaganden </w:t>
      </w:r>
      <w:r>
        <w:t>omfattar avgifter för Stadshypotekskassans grundfond samt åtaganden genom Nordiska invest</w:t>
      </w:r>
      <w:r>
        <w:t>e</w:t>
      </w:r>
      <w:r>
        <w:t>ringsbanken, Europeiska investeringsbanken och Europeiska utveckling</w:t>
      </w:r>
      <w:r>
        <w:t>s</w:t>
      </w:r>
      <w:r>
        <w:t>banken. Det sista verksamhets</w:t>
      </w:r>
      <w:r>
        <w:t xml:space="preserve">området omfattar </w:t>
      </w:r>
      <w:r>
        <w:rPr>
          <w:i/>
        </w:rPr>
        <w:t>Riksd</w:t>
      </w:r>
      <w:r>
        <w:rPr>
          <w:i/>
        </w:rPr>
        <w:t>a</w:t>
      </w:r>
      <w:r>
        <w:rPr>
          <w:i/>
        </w:rPr>
        <w:t>gens revisorer</w:t>
      </w:r>
      <w:r>
        <w:t>.</w:t>
      </w:r>
    </w:p>
    <w:p w:rsidR="006700C2" w:rsidRDefault="006700C2">
      <w:pPr>
        <w:pStyle w:val="Normaltindrag"/>
      </w:pPr>
      <w:r>
        <w:t>I enlighet med 5 kap. 12 § riksdagsordningen fastställs anslagen inom u</w:t>
      </w:r>
      <w:r>
        <w:t>t</w:t>
      </w:r>
      <w:r>
        <w:t>giftsområdet genom ett särskilt beslut. Frågor som inte påverkar anslagsb</w:t>
      </w:r>
      <w:r>
        <w:t>e</w:t>
      </w:r>
      <w:r>
        <w:t>lopp, anslagstyp eller anslagsvil</w:t>
      </w:r>
      <w:r>
        <w:t>l</w:t>
      </w:r>
      <w:r>
        <w:t xml:space="preserve">kor för år 1999 behandlas emellertid separat. </w:t>
      </w:r>
    </w:p>
    <w:p w:rsidR="006700C2" w:rsidRDefault="006700C2">
      <w:pPr>
        <w:pStyle w:val="Normaltindrag"/>
      </w:pPr>
      <w:r>
        <w:t>Betänkandet är disponerat så, att utskottet inleder med ett avsnitt om mål och resultat för utgiftsområdet. Därefter behandlar utskottet förslag om a</w:t>
      </w:r>
      <w:r>
        <w:t>n</w:t>
      </w:r>
      <w:r>
        <w:t>slag inom utgiftsområdet. U</w:t>
      </w:r>
      <w:r>
        <w:t>t</w:t>
      </w:r>
      <w:r>
        <w:t xml:space="preserve">skottet tar sedan upp övriga frågor. </w:t>
      </w:r>
    </w:p>
    <w:p w:rsidR="006700C2" w:rsidRDefault="006700C2">
      <w:pPr>
        <w:pStyle w:val="Rubrik2"/>
      </w:pPr>
      <w:r>
        <w:br w:type="page"/>
      </w:r>
      <w:bookmarkStart w:id="23" w:name="_Toc437689334"/>
      <w:r>
        <w:t>Mål och resultat för utgiftsområde 2</w:t>
      </w:r>
      <w:bookmarkEnd w:id="23"/>
    </w:p>
    <w:p w:rsidR="006700C2" w:rsidRDefault="006700C2">
      <w:pPr>
        <w:pStyle w:val="R4"/>
        <w:spacing w:before="123"/>
      </w:pPr>
      <w:r>
        <w:t>Propositionen</w:t>
      </w:r>
    </w:p>
    <w:p w:rsidR="006700C2" w:rsidRDefault="006700C2">
      <w:pPr>
        <w:rPr>
          <w:snapToGrid w:val="0"/>
          <w:lang w:eastAsia="sv-SE"/>
        </w:rPr>
      </w:pPr>
      <w:r>
        <w:rPr>
          <w:snapToGrid w:val="0"/>
          <w:lang w:eastAsia="sv-SE"/>
        </w:rPr>
        <w:t>De mål som i propositionen föreslås gälla för utgiftsområdet är, med unda</w:t>
      </w:r>
      <w:r>
        <w:rPr>
          <w:snapToGrid w:val="0"/>
          <w:lang w:eastAsia="sv-SE"/>
        </w:rPr>
        <w:t>n</w:t>
      </w:r>
      <w:r>
        <w:rPr>
          <w:snapToGrid w:val="0"/>
          <w:lang w:eastAsia="sv-SE"/>
        </w:rPr>
        <w:t>tag för ett nytt mål för den nya Premiepensionsmyndigheten, innehållsmä</w:t>
      </w:r>
      <w:r>
        <w:rPr>
          <w:snapToGrid w:val="0"/>
          <w:lang w:eastAsia="sv-SE"/>
        </w:rPr>
        <w:t>s</w:t>
      </w:r>
      <w:r>
        <w:rPr>
          <w:snapToGrid w:val="0"/>
          <w:lang w:eastAsia="sv-SE"/>
        </w:rPr>
        <w:t>sigt ungefär desamma som antogs av riksdagen i samband med budgetprop</w:t>
      </w:r>
      <w:r>
        <w:rPr>
          <w:snapToGrid w:val="0"/>
          <w:lang w:eastAsia="sv-SE"/>
        </w:rPr>
        <w:t>o</w:t>
      </w:r>
      <w:r>
        <w:rPr>
          <w:snapToGrid w:val="0"/>
          <w:lang w:eastAsia="sv-SE"/>
        </w:rPr>
        <w:t>sitionen för 1998. Regeringen har dock utvecklat målen. För utgiftsområde 2 Samhällsekonomi och finansförvaltning föreslås fö</w:t>
      </w:r>
      <w:r>
        <w:rPr>
          <w:snapToGrid w:val="0"/>
          <w:lang w:eastAsia="sv-SE"/>
        </w:rPr>
        <w:t>l</w:t>
      </w:r>
      <w:r>
        <w:rPr>
          <w:snapToGrid w:val="0"/>
          <w:lang w:eastAsia="sv-SE"/>
        </w:rPr>
        <w:t>jande mål för 1999:</w:t>
      </w:r>
    </w:p>
    <w:p w:rsidR="006700C2" w:rsidRDefault="006700C2">
      <w:pPr>
        <w:rPr>
          <w:snapToGrid w:val="0"/>
          <w:lang w:eastAsia="sv-SE"/>
        </w:rPr>
      </w:pPr>
      <w:r>
        <w:rPr>
          <w:snapToGrid w:val="0"/>
          <w:lang w:eastAsia="sv-SE"/>
        </w:rPr>
        <w:t xml:space="preserve">Verksamhetsområdet </w:t>
      </w:r>
      <w:r>
        <w:rPr>
          <w:i/>
        </w:rPr>
        <w:t>Effektivisering och utveckling av statlig förval</w:t>
      </w:r>
      <w:r>
        <w:rPr>
          <w:i/>
        </w:rPr>
        <w:t>t</w:t>
      </w:r>
      <w:r>
        <w:rPr>
          <w:i/>
        </w:rPr>
        <w:t>ning:</w:t>
      </w:r>
    </w:p>
    <w:p w:rsidR="006700C2" w:rsidRDefault="006700C2">
      <w:pPr>
        <w:rPr>
          <w:snapToGrid w:val="0"/>
          <w:lang w:eastAsia="sv-SE"/>
        </w:rPr>
      </w:pPr>
      <w:r>
        <w:rPr>
          <w:snapToGrid w:val="0"/>
          <w:lang w:eastAsia="sv-SE"/>
        </w:rPr>
        <w:t>Statsförvaltningen skall bedrivas effektivt och i det allmännas intresse. Detta skall bl.a. ske genom granskning, metodutveckling, utvärdering och kontin</w:t>
      </w:r>
      <w:r>
        <w:rPr>
          <w:snapToGrid w:val="0"/>
          <w:lang w:eastAsia="sv-SE"/>
        </w:rPr>
        <w:t>u</w:t>
      </w:r>
      <w:r>
        <w:rPr>
          <w:snapToGrid w:val="0"/>
          <w:lang w:eastAsia="sv-SE"/>
        </w:rPr>
        <w:t>erlig omprövning av statlig verksa</w:t>
      </w:r>
      <w:r>
        <w:rPr>
          <w:snapToGrid w:val="0"/>
          <w:lang w:eastAsia="sv-SE"/>
        </w:rPr>
        <w:t>m</w:t>
      </w:r>
      <w:r>
        <w:rPr>
          <w:snapToGrid w:val="0"/>
          <w:lang w:eastAsia="sv-SE"/>
        </w:rPr>
        <w:t>het.</w:t>
      </w:r>
    </w:p>
    <w:p w:rsidR="006700C2" w:rsidRDefault="006700C2">
      <w:pPr>
        <w:pStyle w:val="Normaltindrag"/>
        <w:rPr>
          <w:snapToGrid w:val="0"/>
          <w:lang w:eastAsia="sv-SE"/>
        </w:rPr>
      </w:pPr>
      <w:r>
        <w:rPr>
          <w:snapToGrid w:val="0"/>
          <w:lang w:eastAsia="sv-SE"/>
        </w:rPr>
        <w:t>Statsfinanserna och statens egendom skall förvaltas och hanteras på ett så kostnadseffektivt sätt som möjligt. Genom bl.a. tillförlitliga prognoser och analyser skall beslutsfattare erbjudas information om den samhällsekonomi</w:t>
      </w:r>
      <w:r>
        <w:rPr>
          <w:snapToGrid w:val="0"/>
          <w:lang w:eastAsia="sv-SE"/>
        </w:rPr>
        <w:t>s</w:t>
      </w:r>
      <w:r>
        <w:rPr>
          <w:snapToGrid w:val="0"/>
          <w:lang w:eastAsia="sv-SE"/>
        </w:rPr>
        <w:t>ka och den statsfinansiella utvecklin</w:t>
      </w:r>
      <w:r>
        <w:rPr>
          <w:snapToGrid w:val="0"/>
          <w:lang w:eastAsia="sv-SE"/>
        </w:rPr>
        <w:t>g</w:t>
      </w:r>
      <w:r>
        <w:rPr>
          <w:snapToGrid w:val="0"/>
          <w:lang w:eastAsia="sv-SE"/>
        </w:rPr>
        <w:t>en.</w:t>
      </w:r>
    </w:p>
    <w:p w:rsidR="006700C2" w:rsidRDefault="006700C2">
      <w:pPr>
        <w:pStyle w:val="Normaltindrag"/>
        <w:rPr>
          <w:snapToGrid w:val="0"/>
          <w:lang w:eastAsia="sv-SE"/>
        </w:rPr>
      </w:pPr>
      <w:r>
        <w:rPr>
          <w:snapToGrid w:val="0"/>
          <w:lang w:eastAsia="sv-SE"/>
        </w:rPr>
        <w:t>Officiell statistik och annan statlig statistik skall vara av god kv</w:t>
      </w:r>
      <w:r>
        <w:rPr>
          <w:snapToGrid w:val="0"/>
          <w:lang w:eastAsia="sv-SE"/>
        </w:rPr>
        <w:t>a</w:t>
      </w:r>
      <w:r>
        <w:rPr>
          <w:snapToGrid w:val="0"/>
          <w:lang w:eastAsia="sv-SE"/>
        </w:rPr>
        <w:t>litet.</w:t>
      </w:r>
    </w:p>
    <w:p w:rsidR="006700C2" w:rsidRDefault="006700C2">
      <w:pPr>
        <w:pStyle w:val="Normaltindrag"/>
        <w:rPr>
          <w:snapToGrid w:val="0"/>
          <w:lang w:eastAsia="sv-SE"/>
        </w:rPr>
      </w:pPr>
      <w:r>
        <w:rPr>
          <w:snapToGrid w:val="0"/>
          <w:lang w:eastAsia="sv-SE"/>
        </w:rPr>
        <w:t>Myndigheterna skall erbjudas stöd av hög kvalitet. Detta skall bl.a. ske g</w:t>
      </w:r>
      <w:r>
        <w:rPr>
          <w:snapToGrid w:val="0"/>
          <w:lang w:eastAsia="sv-SE"/>
        </w:rPr>
        <w:t>e</w:t>
      </w:r>
      <w:r>
        <w:rPr>
          <w:snapToGrid w:val="0"/>
          <w:lang w:eastAsia="sv-SE"/>
        </w:rPr>
        <w:t>nom tillhandahållande av system, tjänster, normgivning och metodutvec</w:t>
      </w:r>
      <w:r>
        <w:rPr>
          <w:snapToGrid w:val="0"/>
          <w:lang w:eastAsia="sv-SE"/>
        </w:rPr>
        <w:t>k</w:t>
      </w:r>
      <w:r>
        <w:rPr>
          <w:snapToGrid w:val="0"/>
          <w:lang w:eastAsia="sv-SE"/>
        </w:rPr>
        <w:t>ling.</w:t>
      </w:r>
    </w:p>
    <w:p w:rsidR="006700C2" w:rsidRDefault="006700C2">
      <w:pPr>
        <w:pStyle w:val="Normaltindrag"/>
      </w:pPr>
      <w:r>
        <w:rPr>
          <w:snapToGrid w:val="0"/>
          <w:lang w:eastAsia="sv-SE"/>
        </w:rPr>
        <w:t>De fyra målen för verksamhetsområdet kan sammanfattas med att hushål</w:t>
      </w:r>
      <w:r>
        <w:rPr>
          <w:snapToGrid w:val="0"/>
          <w:lang w:eastAsia="sv-SE"/>
        </w:rPr>
        <w:t>l</w:t>
      </w:r>
      <w:r>
        <w:rPr>
          <w:snapToGrid w:val="0"/>
          <w:lang w:eastAsia="sv-SE"/>
        </w:rPr>
        <w:t>ningen av st</w:t>
      </w:r>
      <w:r>
        <w:rPr>
          <w:snapToGrid w:val="0"/>
          <w:lang w:eastAsia="sv-SE"/>
        </w:rPr>
        <w:t>a</w:t>
      </w:r>
      <w:r>
        <w:rPr>
          <w:snapToGrid w:val="0"/>
          <w:lang w:eastAsia="sv-SE"/>
        </w:rPr>
        <w:t>tens resurser skall ske på bästa sätt.</w:t>
      </w:r>
    </w:p>
    <w:p w:rsidR="006700C2" w:rsidRDefault="006700C2">
      <w:pPr>
        <w:rPr>
          <w:snapToGrid w:val="0"/>
          <w:lang w:eastAsia="sv-SE"/>
        </w:rPr>
      </w:pPr>
      <w:r>
        <w:rPr>
          <w:snapToGrid w:val="0"/>
          <w:lang w:eastAsia="sv-SE"/>
        </w:rPr>
        <w:t xml:space="preserve">Verksamhetsområdet </w:t>
      </w:r>
      <w:r>
        <w:rPr>
          <w:i/>
          <w:snapToGrid w:val="0"/>
          <w:lang w:eastAsia="sv-SE"/>
        </w:rPr>
        <w:t>Det finansiella systemet</w:t>
      </w:r>
      <w:r>
        <w:rPr>
          <w:snapToGrid w:val="0"/>
          <w:lang w:eastAsia="sv-SE"/>
        </w:rPr>
        <w:t>:</w:t>
      </w:r>
    </w:p>
    <w:p w:rsidR="006700C2" w:rsidRDefault="006700C2">
      <w:pPr>
        <w:rPr>
          <w:snapToGrid w:val="0"/>
          <w:lang w:eastAsia="sv-SE"/>
        </w:rPr>
      </w:pPr>
      <w:r>
        <w:rPr>
          <w:snapToGrid w:val="0"/>
          <w:lang w:eastAsia="sv-SE"/>
        </w:rPr>
        <w:t>Det finansiella systemet skall vara effektivt och tillgodose såväl samhällets krav på stab</w:t>
      </w:r>
      <w:r>
        <w:rPr>
          <w:snapToGrid w:val="0"/>
          <w:lang w:eastAsia="sv-SE"/>
        </w:rPr>
        <w:t>i</w:t>
      </w:r>
      <w:r>
        <w:rPr>
          <w:snapToGrid w:val="0"/>
          <w:lang w:eastAsia="sv-SE"/>
        </w:rPr>
        <w:t>litet som konsumenternas intresse av ett gott skydd.</w:t>
      </w:r>
    </w:p>
    <w:p w:rsidR="006700C2" w:rsidRDefault="006700C2">
      <w:pPr>
        <w:pStyle w:val="Normaltindrag"/>
        <w:rPr>
          <w:snapToGrid w:val="0"/>
          <w:lang w:eastAsia="sv-SE"/>
        </w:rPr>
      </w:pPr>
      <w:r>
        <w:rPr>
          <w:snapToGrid w:val="0"/>
          <w:lang w:eastAsia="sv-SE"/>
        </w:rPr>
        <w:t>Statens skuld, med undantag för den skuld som förvaltas av affärsverken, skall förvaltas så att kostnaden för skulden långsiktigt minimeras samtidigt som risken i förvaltningen beaktas. Förvaltningen skall ske inom ramen för de krav som penningpolitiken ställer.</w:t>
      </w:r>
    </w:p>
    <w:p w:rsidR="006700C2" w:rsidRDefault="006700C2">
      <w:pPr>
        <w:rPr>
          <w:snapToGrid w:val="0"/>
          <w:lang w:eastAsia="sv-SE"/>
        </w:rPr>
      </w:pPr>
      <w:r>
        <w:rPr>
          <w:snapToGrid w:val="0"/>
          <w:lang w:eastAsia="sv-SE"/>
        </w:rPr>
        <w:t xml:space="preserve">Verksamhetsområdet </w:t>
      </w:r>
      <w:r>
        <w:rPr>
          <w:i/>
          <w:snapToGrid w:val="0"/>
          <w:lang w:eastAsia="sv-SE"/>
        </w:rPr>
        <w:t>Premiepensionssystemet</w:t>
      </w:r>
      <w:r>
        <w:rPr>
          <w:snapToGrid w:val="0"/>
          <w:lang w:eastAsia="sv-SE"/>
        </w:rPr>
        <w:t>:</w:t>
      </w:r>
    </w:p>
    <w:p w:rsidR="006700C2" w:rsidRDefault="006700C2">
      <w:pPr>
        <w:rPr>
          <w:snapToGrid w:val="0"/>
          <w:lang w:eastAsia="sv-SE"/>
        </w:rPr>
      </w:pPr>
      <w:r>
        <w:rPr>
          <w:snapToGrid w:val="0"/>
          <w:lang w:eastAsia="sv-SE"/>
        </w:rPr>
        <w:t>Administration och förvaltning av premiepensionerna skall bedrivas kost-</w:t>
      </w:r>
      <w:r>
        <w:rPr>
          <w:snapToGrid w:val="0"/>
          <w:lang w:eastAsia="sv-SE"/>
        </w:rPr>
        <w:softHyphen/>
        <w:t xml:space="preserve"> nadseffektivt och till nytta för premiepensionsspararna.</w:t>
      </w:r>
    </w:p>
    <w:p w:rsidR="006700C2" w:rsidRDefault="006700C2">
      <w:pPr>
        <w:pStyle w:val="Normaltindrag"/>
      </w:pPr>
      <w:r>
        <w:rPr>
          <w:snapToGrid w:val="0"/>
          <w:lang w:eastAsia="sv-SE"/>
        </w:rPr>
        <w:t>Sistnämnda verksamhetsområde</w:t>
      </w:r>
      <w:r>
        <w:rPr>
          <w:i/>
          <w:snapToGrid w:val="0"/>
          <w:lang w:eastAsia="sv-SE"/>
        </w:rPr>
        <w:t xml:space="preserve"> </w:t>
      </w:r>
      <w:r>
        <w:rPr>
          <w:snapToGrid w:val="0"/>
          <w:lang w:eastAsia="sv-SE"/>
        </w:rPr>
        <w:t>är nyinrättat och omfattar administration och förvaltning av premiepensionerna. Regeringen hemställer i yrkande 2 att riksdagen godkänner att målet för Premiepensionsmyndigheten skall vara att administration och förvaltning av premiepensionerna skall bedrivas kost</w:t>
      </w:r>
      <w:r>
        <w:rPr>
          <w:snapToGrid w:val="0"/>
          <w:lang w:eastAsia="sv-SE"/>
        </w:rPr>
        <w:softHyphen/>
        <w:t>nadseffektivt och till nytta för premiepensionsspararna. Bakgrunden till bildandet av verksamhetsområdet är den överenskommelse mellan fem av de politiska partierna som ledde till att riksdagen, under våren 1998, beslutade om en genomgripande för</w:t>
      </w:r>
      <w:r>
        <w:rPr>
          <w:snapToGrid w:val="0"/>
          <w:lang w:eastAsia="sv-SE"/>
        </w:rPr>
        <w:t xml:space="preserve">ändring av det allmänna ålderspensionssystemet (prop. 1997/98:151, bet. 1997/98:SfU13, rskr. 1997/98:315 och 320). </w:t>
      </w:r>
      <w:r>
        <w:rPr>
          <w:snapToGrid w:val="0"/>
          <w:lang w:eastAsia="sv-SE"/>
        </w:rPr>
        <w:br/>
        <w:t>Premiepensionssystemet skall administreras av den nya Premiepe</w:t>
      </w:r>
      <w:r>
        <w:rPr>
          <w:snapToGrid w:val="0"/>
          <w:lang w:eastAsia="sv-SE"/>
        </w:rPr>
        <w:t>n</w:t>
      </w:r>
      <w:r>
        <w:rPr>
          <w:snapToGrid w:val="0"/>
          <w:lang w:eastAsia="sv-SE"/>
        </w:rPr>
        <w:t>sionsmyndigheten. Utgifterna för premiepensionsmyndighetens administr</w:t>
      </w:r>
      <w:r>
        <w:rPr>
          <w:snapToGrid w:val="0"/>
          <w:lang w:eastAsia="sv-SE"/>
        </w:rPr>
        <w:t>a</w:t>
      </w:r>
      <w:r>
        <w:rPr>
          <w:snapToGrid w:val="0"/>
          <w:lang w:eastAsia="sv-SE"/>
        </w:rPr>
        <w:t>tion skall täckas med avgifter på premiepensionskontona. I avvaktan på att det reformerade ålderspensionssystemet träder i kraft har finansieringen lösts genom att Premiepensionsmyndigheten under år 1998 beviljats en ränteko</w:t>
      </w:r>
      <w:r>
        <w:rPr>
          <w:snapToGrid w:val="0"/>
          <w:lang w:eastAsia="sv-SE"/>
        </w:rPr>
        <w:t>n</w:t>
      </w:r>
      <w:r>
        <w:rPr>
          <w:snapToGrid w:val="0"/>
          <w:lang w:eastAsia="sv-SE"/>
        </w:rPr>
        <w:t xml:space="preserve">tokredit på 45 miljoner kronor och en </w:t>
      </w:r>
      <w:r>
        <w:rPr>
          <w:snapToGrid w:val="0"/>
          <w:lang w:eastAsia="sv-SE"/>
        </w:rPr>
        <w:t>låneram på 22 miljoner kronor. Mo</w:t>
      </w:r>
      <w:r>
        <w:rPr>
          <w:snapToGrid w:val="0"/>
          <w:lang w:eastAsia="sv-SE"/>
        </w:rPr>
        <w:t>t</w:t>
      </w:r>
      <w:r>
        <w:rPr>
          <w:snapToGrid w:val="0"/>
          <w:lang w:eastAsia="sv-SE"/>
        </w:rPr>
        <w:t>svarande modell avses tillä</w:t>
      </w:r>
      <w:r>
        <w:rPr>
          <w:snapToGrid w:val="0"/>
          <w:lang w:eastAsia="sv-SE"/>
        </w:rPr>
        <w:t>m</w:t>
      </w:r>
      <w:r>
        <w:rPr>
          <w:snapToGrid w:val="0"/>
          <w:lang w:eastAsia="sv-SE"/>
        </w:rPr>
        <w:t>pas för år 1999.</w:t>
      </w:r>
    </w:p>
    <w:p w:rsidR="006700C2" w:rsidRDefault="006700C2">
      <w:r>
        <w:t>I den resultatbedömning som görs utvärderas resultaten för år 1997 utifrån de mål som föreslås gälla för 1999. Bedömningen innehåller avsnitt om tillstå</w:t>
      </w:r>
      <w:r>
        <w:t>n</w:t>
      </w:r>
      <w:r>
        <w:t>det och utvecklingen inom området (3.3.1), de viktigaste statliga insatserna (3.3.2), effekter av de statliga insatserna (3.3.3) samt regeringens slutsatser (3.3.4).</w:t>
      </w:r>
    </w:p>
    <w:p w:rsidR="006700C2" w:rsidRDefault="006700C2">
      <w:pPr>
        <w:pStyle w:val="Normaltindrag"/>
      </w:pPr>
      <w:r>
        <w:t>För att beskriva tillståndet på området hänvisar regeringen bl.a. till statistik från Statskontoret som visar på att produktiviteten ökade hos myndigheterna fram till år 1994, medan det därefter har skett en viss minskning, även om produktivitetsutvecklingen varierar mellan olika områden. Regeringen hänv</w:t>
      </w:r>
      <w:r>
        <w:t>i</w:t>
      </w:r>
      <w:r>
        <w:t>sar även till RRV:s s.k. EA-värdering som visar på en positiv utveckling under de år som värderingen har gjorts. EA-värderingen syftar till att mäta myndigheternas ekonomiadministrativa standard med tyngdpunkt på red</w:t>
      </w:r>
      <w:r>
        <w:t>o</w:t>
      </w:r>
      <w:r>
        <w:t>visning och intern kontroll vid myndigheten.</w:t>
      </w:r>
    </w:p>
    <w:p w:rsidR="006700C2" w:rsidRDefault="006700C2">
      <w:pPr>
        <w:pStyle w:val="Normaltindrag"/>
      </w:pPr>
      <w:r>
        <w:t>Bland viktiga statliga insatser på utgiftsområdet anger regeringen att den utifrån de riktlinjer som anges i förvaltningspolitiska propositionen (prop. 1997/98:136, bet. 1997/98:KU31) kommer att arbeta fram ett flerårigt han</w:t>
      </w:r>
      <w:r>
        <w:t>d</w:t>
      </w:r>
      <w:r>
        <w:t>lingsprogram för att utveckla den statliga förvaltningen. I samband med den förvaltningspolitiska propositionen beslutade regeringen även att en ny my</w:t>
      </w:r>
      <w:r>
        <w:t>n</w:t>
      </w:r>
      <w:r>
        <w:t>dighet för kvalitets- och kompetensutvecklingsfrågor skall bildas fr.o.m. den 1 januari 1999. Vidare har det skett en renodling av Riksrevisionsverket genom att Ekonomistyrningsverket bildats.</w:t>
      </w:r>
    </w:p>
    <w:p w:rsidR="006700C2" w:rsidRDefault="006700C2">
      <w:pPr>
        <w:pStyle w:val="Normaltindrag"/>
      </w:pPr>
      <w:r>
        <w:t xml:space="preserve">Vad beträffar effekterna av de statliga insatserna konstaterar regeringen bl.a. att arbetet med att införa resultatstyrning inom statsförvaltningen har genererat ökad </w:t>
      </w:r>
      <w:r>
        <w:t>möjlighet till kontroll över statsbudgeten och den statliga verksamheten. Redovisningen av månadsvisa utfall på statsbudgeten, ett utvecklingsarbete med prognoser samt en utvecklad resultatdialog mellan regering och myndigheter, men även mellan regering och riksdag, har bidr</w:t>
      </w:r>
      <w:r>
        <w:t>a</w:t>
      </w:r>
      <w:r>
        <w:t xml:space="preserve">git till detta. </w:t>
      </w:r>
    </w:p>
    <w:p w:rsidR="006700C2" w:rsidRDefault="006700C2">
      <w:pPr>
        <w:pStyle w:val="Normaltindrag"/>
      </w:pPr>
      <w:r>
        <w:t>Utifrån redovisningen i budgetpropositionen gör regeringen bedömningen att måluppfyllelsen inom utgiftsområdet under 1997 har varit tillfredsställa</w:t>
      </w:r>
      <w:r>
        <w:t>n</w:t>
      </w:r>
      <w:r>
        <w:t>de. Vad gäller målet att säkerställa att hushållningen av statens resurser sker på ett effektivt sätt visar resultatbedömningen sammantaget på en positiv utveckling under året. Även beträffande arbetet mot det finansiella systemet ger den samlade resultatbedömningen vid handen att utvecklingen under 1997 har varit positiv.</w:t>
      </w:r>
    </w:p>
    <w:p w:rsidR="006700C2" w:rsidRDefault="006700C2">
      <w:pPr>
        <w:pStyle w:val="Normaltindrag"/>
      </w:pPr>
      <w:r>
        <w:t>På de områden där måluppfyllelsen inte varit helt tillfredsställande inriktas regeringens arbete mot att bättre nå upp till uppsatta mål. Bl.a. bedömer regeringen att ytterligare effekti</w:t>
      </w:r>
      <w:r>
        <w:t>viseringar inom lokalförsörjningsområdet kan göras. Regeringen har därför tagit initiativ till utarbetandet av en modell för redovisning av effektiviteten i myndigheternas lokalförsörjning. För att nå målet för den statliga prognos- och analysverksamheten har arbete pågått med att utveckla såväl träffsäkerhet som tillförlitlighet och relevans. På statistikområdet erinrar regeringen om att en särskild utredare tillkallats för att utvärdera statistikreformen och EU-medlemskapets e</w:t>
      </w:r>
      <w:r>
        <w:t>f</w:t>
      </w:r>
      <w:r>
        <w:t>fekter.</w:t>
      </w:r>
    </w:p>
    <w:p w:rsidR="006700C2" w:rsidRDefault="006700C2">
      <w:pPr>
        <w:pStyle w:val="R4"/>
      </w:pPr>
      <w:r>
        <w:t>Finansutskottets stä</w:t>
      </w:r>
      <w:r>
        <w:t>llningstagande</w:t>
      </w:r>
    </w:p>
    <w:p w:rsidR="006700C2" w:rsidRDefault="006700C2">
      <w:r>
        <w:t>Riksdagen godkände förra hösten (bet. 1997/98:FiU2), på förslag från reg</w:t>
      </w:r>
      <w:r>
        <w:t>e</w:t>
      </w:r>
      <w:r>
        <w:t>ringen (prop. 1997/98:1, utgiftsområde 2, yrkande 2), mål för utgiftsområdet. I årets proposition anmäler regeringen att målen har reviderats, även om det enligt regeringens bedömning inte skett någon innehållsmässig förändring. Målet för Premiepensionsmyndigheten är emellertid nytt och regeringen föreslår att rik</w:t>
      </w:r>
      <w:r>
        <w:t>s</w:t>
      </w:r>
      <w:r>
        <w:t xml:space="preserve">dagen godkänner detta. </w:t>
      </w:r>
    </w:p>
    <w:p w:rsidR="006700C2" w:rsidRDefault="006700C2">
      <w:pPr>
        <w:pStyle w:val="Normaltindrag"/>
      </w:pPr>
      <w:r>
        <w:t>I samband med att utskottet i fjol behandlade målformuleringarna a</w:t>
      </w:r>
      <w:r>
        <w:t>n</w:t>
      </w:r>
      <w:r>
        <w:t>märkte utskottet på att målen för hela utgiftsområdet i huvudsak kunde sägas inrikta sig mot enskilda myndigheter snarare än mot utgiftsområdet i dess helhet. Med de revideringar som regeringen nu gjort av målen har det skett en förbättring för att tillmötesgå den anmärkning utskottet då gjorde. Målen för utgiftsområdet är uppdelade på verksamhetsområdena. Ett par av de tidigare målen har blivit sammanförda i mer övergripande mål, och därmed har antalet mål inom utgiftsområdet minskat något. Det innebär at</w:t>
      </w:r>
      <w:r>
        <w:t>t några mål inte längre återfinns, t.ex. de om effektiv offentlig upphandling och god statlig fastighets- och lokalpolicy. Dessa får sägas vara inbegripna i de nya, mer övergr</w:t>
      </w:r>
      <w:r>
        <w:t>i</w:t>
      </w:r>
      <w:r>
        <w:t>pande målformuleringarna.</w:t>
      </w:r>
    </w:p>
    <w:p w:rsidR="006700C2" w:rsidRDefault="006700C2">
      <w:pPr>
        <w:pStyle w:val="Normaltindrag"/>
      </w:pPr>
      <w:r>
        <w:t>I fjol anmärkte utskottet på att det är viktigt att mål skall vara konkreta och uppföljningsbara för att kunna fungera som styrinstrument. Utskottet såg det som positivt att regeringen föreslog mål på utgiftsområdesnivå, men ansåg samtidigt att ytterligare arbete krävdes för att målen på anslagsnivå skall fyl</w:t>
      </w:r>
      <w:r>
        <w:t>la avsedda funktioner. Utskottet pekade på vikten av att det finns en r</w:t>
      </w:r>
      <w:r>
        <w:t>e</w:t>
      </w:r>
      <w:r>
        <w:t>sultatanalys av föregående års verksamhet. För vissa myndigheter var kop</w:t>
      </w:r>
      <w:r>
        <w:t>p</w:t>
      </w:r>
      <w:r>
        <w:t>lingen mellan måluppfyllelse och den framåtriktade bedömningen inte til</w:t>
      </w:r>
      <w:r>
        <w:t>l</w:t>
      </w:r>
      <w:r>
        <w:t>räckligt tydlig. Vidare anförde utskottet följande:</w:t>
      </w:r>
    </w:p>
    <w:p w:rsidR="006700C2" w:rsidRDefault="006700C2">
      <w:pPr>
        <w:pStyle w:val="Citat"/>
      </w:pPr>
      <w:r>
        <w:t>Ett krav som enligt utskottets mening bör gälla är att målen skall avse den påverkan som kan uppnås med statliga insatser. För några anslag är det emellertid svårt att se hur målen är kopplade till den konkreta verksamhet myndigheten i fråga b</w:t>
      </w:r>
      <w:r>
        <w:t xml:space="preserve">edriver. </w:t>
      </w:r>
    </w:p>
    <w:p w:rsidR="006700C2" w:rsidRDefault="006700C2">
      <w:pPr>
        <w:pStyle w:val="CitatIndrag"/>
      </w:pPr>
      <w:r>
        <w:t>Det bör också vid budgetprövningen finnas en bedömning av i vilken u</w:t>
      </w:r>
      <w:r>
        <w:t>t</w:t>
      </w:r>
      <w:r>
        <w:t>sträckning som målen och resultaten har uppnåtts och – om så inte är fallet – vad som är orsaken till detta. Vidare bör ändrade krav på en myndighet, och därmed ändrad medelstilldelning, återspegla sig i målformuleringen. Således kan det finnas anledning för regeringen att ompröva målformuleringen för Konjunkturinstitutet med tanke på att institutet får ökade resurser för att utveckla miljöräkenskaper. Regeringen bör också i regleringsbrevet ställa krav på resulta</w:t>
      </w:r>
      <w:r>
        <w:t>t</w:t>
      </w:r>
      <w:r>
        <w:t xml:space="preserve">redovisning från utvecklingsarbetet. </w:t>
      </w:r>
    </w:p>
    <w:p w:rsidR="006700C2" w:rsidRDefault="006700C2">
      <w:pPr>
        <w:pStyle w:val="CitatIndrag"/>
      </w:pPr>
      <w:r>
        <w:t>Trot</w:t>
      </w:r>
      <w:r>
        <w:t>s klara ambitionshöjningar för resultatredovisningen noterar utskottet att för vissa anslag redovisar regeringen inte resultat utan i stället redogörs för t.ex. pågående utredningar eller myndigheternas äskande på samma sätt som tidigare var den vanliga formen i anslagsframställningarna. Inte sällan redovisas prestationer som myndigheterna har utfört, men utan att det fra</w:t>
      </w:r>
      <w:r>
        <w:t>m</w:t>
      </w:r>
      <w:r>
        <w:t>går klart vad myndigheten åstadkommit för att uppnå de mål statsmakterna fo</w:t>
      </w:r>
      <w:r>
        <w:t>r</w:t>
      </w:r>
      <w:r>
        <w:t xml:space="preserve">mulerat. </w:t>
      </w:r>
    </w:p>
    <w:p w:rsidR="006700C2" w:rsidRDefault="006700C2">
      <w:pPr>
        <w:pStyle w:val="CitatIndrag"/>
      </w:pPr>
      <w:r>
        <w:t>Sammantaget välkomnar utskottet den ambitionshöjnin</w:t>
      </w:r>
      <w:r>
        <w:t>g av resultatred</w:t>
      </w:r>
      <w:r>
        <w:t>o</w:t>
      </w:r>
      <w:r>
        <w:t>visningen som regeringen har gjort beträffande utgiftsområdet i budgetpr</w:t>
      </w:r>
      <w:r>
        <w:t>o</w:t>
      </w:r>
      <w:r>
        <w:t>positionen. Utskottet utgår från att utvecklingsarbetet i Regeringskansliet för att få en effektiv resultatstyrning i staten for</w:t>
      </w:r>
      <w:r>
        <w:t>t</w:t>
      </w:r>
      <w:r>
        <w:t xml:space="preserve">sätter med oförminskad kraft. </w:t>
      </w:r>
    </w:p>
    <w:p w:rsidR="006700C2" w:rsidRDefault="006700C2">
      <w:r>
        <w:t>Utskottet kan konstatera att det genomgående har skett en rad förbättringar av redovisningen i årets budgetproposition. Dispositionen och avsnittens innehåll knyter bättre an till resultatstyrningens förutsättningar än föregående års redovisningar. Regeringen ko</w:t>
      </w:r>
      <w:r>
        <w:t>nstaterar själv i propositionen att kvaliteten på resultatinformationen i budgetpropositionen har förbättrats, men att det ännu återstår mycket arbete med att förbättra redovisningen. Utskottet vill för sin del uttrycka vikten av att utvecklingsarbetet fortsätter med oförminskad kraft.</w:t>
      </w:r>
    </w:p>
    <w:p w:rsidR="006700C2" w:rsidRDefault="006700C2">
      <w:pPr>
        <w:pStyle w:val="Normaltindrag"/>
      </w:pPr>
      <w:r>
        <w:t>Utskottet anser att de reviderade målen för utgiftsområdet fått en bättre u</w:t>
      </w:r>
      <w:r>
        <w:t>t</w:t>
      </w:r>
      <w:r>
        <w:t>formning än tidigare och tillstyrker det nya målet för Premiepensionsmy</w:t>
      </w:r>
      <w:r>
        <w:t>n</w:t>
      </w:r>
      <w:r>
        <w:t>digheten (propositionens yrkande 2).</w:t>
      </w:r>
    </w:p>
    <w:p w:rsidR="006700C2" w:rsidRDefault="006700C2">
      <w:pPr>
        <w:pStyle w:val="Rubrik2"/>
      </w:pPr>
      <w:bookmarkStart w:id="24" w:name="_Toc437689335"/>
      <w:r>
        <w:t>Anslagen inom utgiftsområde 2 budgetåret 1999</w:t>
      </w:r>
      <w:bookmarkEnd w:id="24"/>
    </w:p>
    <w:p w:rsidR="006700C2" w:rsidRDefault="006700C2">
      <w:r>
        <w:t xml:space="preserve">Regeringens förslag till medelsanvisning för utgiftsområdet uppgår till 1 705,3 miljoner kronor. Nivån motsvarar den av riksdagen fastställda ramen för utgiftsområdet och fördelar sig på anslag på det sätt som framgår av det följande. </w:t>
      </w:r>
    </w:p>
    <w:p w:rsidR="006700C2" w:rsidRDefault="006700C2">
      <w:pPr>
        <w:pStyle w:val="Normaltindrag"/>
        <w:rPr>
          <w:i/>
        </w:rPr>
      </w:pPr>
      <w:r>
        <w:t xml:space="preserve">Utskottet redovisar först de förslag i propositionen och motionerna som har effekt på utgiftsområdets medelsbehov och redovisar därefter sin syn på förslagen under rubriken </w:t>
      </w:r>
      <w:r>
        <w:rPr>
          <w:i/>
        </w:rPr>
        <w:t>Utskottets samlade ställningstaganden till anslagen inom utgiftsområde 2.</w:t>
      </w:r>
    </w:p>
    <w:p w:rsidR="006700C2" w:rsidRDefault="006700C2">
      <w:pPr>
        <w:pStyle w:val="Rubrik3"/>
      </w:pPr>
      <w:bookmarkStart w:id="25" w:name="_Toc437689336"/>
      <w:r>
        <w:t>Generella besparingar inom utgiftsområdet</w:t>
      </w:r>
      <w:bookmarkEnd w:id="25"/>
    </w:p>
    <w:p w:rsidR="006700C2" w:rsidRDefault="006700C2">
      <w:pPr>
        <w:pStyle w:val="R4"/>
        <w:spacing w:before="123"/>
      </w:pPr>
      <w:r>
        <w:t>Motionerna</w:t>
      </w:r>
    </w:p>
    <w:p w:rsidR="006700C2" w:rsidRDefault="006700C2">
      <w:r>
        <w:t>I två motioner föreslås sänkta anslag inom utgiftsområdet utan att de närmare preciseras till anslagen.</w:t>
      </w:r>
    </w:p>
    <w:p w:rsidR="006700C2" w:rsidRDefault="006700C2">
      <w:pPr>
        <w:pStyle w:val="Normaltindrag"/>
      </w:pPr>
      <w:r>
        <w:t xml:space="preserve">I den </w:t>
      </w:r>
      <w:r>
        <w:rPr>
          <w:i/>
        </w:rPr>
        <w:t>kristdemokratiska</w:t>
      </w:r>
      <w:r>
        <w:t xml:space="preserve"> </w:t>
      </w:r>
      <w:r>
        <w:rPr>
          <w:i/>
        </w:rPr>
        <w:t>kommittémotionen Fi505</w:t>
      </w:r>
      <w:r>
        <w:t xml:space="preserve"> föreslås att en besparing om 6 % läggs ut på samtliga myndigheter inom utgiftsområdet. För år 1999 innebär detta en besparing på ca 100 miljoner kronor.</w:t>
      </w:r>
    </w:p>
    <w:p w:rsidR="006700C2" w:rsidRDefault="006700C2">
      <w:pPr>
        <w:pStyle w:val="Normaltindrag"/>
      </w:pPr>
      <w:r>
        <w:rPr>
          <w:i/>
        </w:rPr>
        <w:t>Centerpartiet</w:t>
      </w:r>
      <w:r>
        <w:t xml:space="preserve"> räknar i sin </w:t>
      </w:r>
      <w:r>
        <w:rPr>
          <w:i/>
        </w:rPr>
        <w:t>partimotion Fi210</w:t>
      </w:r>
      <w:r>
        <w:t xml:space="preserve"> yrkande 5 i denna del med att en ökad decentralisering till regionala och lokala nivåer leder till minskade utgifter för statsförvaltningen.</w:t>
      </w:r>
    </w:p>
    <w:p w:rsidR="006700C2" w:rsidRDefault="006700C2">
      <w:pPr>
        <w:pStyle w:val="Rubrik3"/>
      </w:pPr>
      <w:bookmarkStart w:id="26" w:name="_Toc437689337"/>
      <w:r>
        <w:t>Konjunkturinstitutet</w:t>
      </w:r>
      <w:bookmarkEnd w:id="26"/>
    </w:p>
    <w:p w:rsidR="006700C2" w:rsidRDefault="006700C2">
      <w:pPr>
        <w:pStyle w:val="R4"/>
        <w:spacing w:before="123"/>
      </w:pPr>
      <w:r>
        <w:t>Propositionen</w:t>
      </w:r>
    </w:p>
    <w:p w:rsidR="006700C2" w:rsidRDefault="006700C2">
      <w:r>
        <w:t xml:space="preserve">Regeringen föreslår att ramanslaget </w:t>
      </w:r>
      <w:r>
        <w:rPr>
          <w:i/>
        </w:rPr>
        <w:t>A 1 Konjunkturinstitutet</w:t>
      </w:r>
      <w:r>
        <w:t xml:space="preserve"> för budgetåret 1999 skall uppgå till 37,6 miljoner kronor. Anslaget föreslås utökas med 0,7 miljoner kronor för att Konjunkturinstitutet skall kunna förbättra och bygga ut den s.k. investeringsenkäten.</w:t>
      </w:r>
    </w:p>
    <w:p w:rsidR="006700C2" w:rsidRDefault="006700C2">
      <w:pPr>
        <w:pStyle w:val="Rubrik3"/>
      </w:pPr>
      <w:bookmarkStart w:id="27" w:name="_Toc437689338"/>
      <w:r>
        <w:t>Riksrevisionsverket</w:t>
      </w:r>
      <w:bookmarkEnd w:id="27"/>
      <w:r>
        <w:t xml:space="preserve"> </w:t>
      </w:r>
    </w:p>
    <w:p w:rsidR="006700C2" w:rsidRDefault="006700C2">
      <w:pPr>
        <w:pStyle w:val="R4"/>
        <w:spacing w:before="123"/>
      </w:pPr>
      <w:r>
        <w:t>Propositionen</w:t>
      </w:r>
    </w:p>
    <w:p w:rsidR="006700C2" w:rsidRDefault="006700C2">
      <w:r>
        <w:t xml:space="preserve">Regeringen föreslår att ramanslaget </w:t>
      </w:r>
      <w:r>
        <w:rPr>
          <w:i/>
        </w:rPr>
        <w:t xml:space="preserve">A 2 Riksrevisionsverket </w:t>
      </w:r>
      <w:r>
        <w:t>förs upp med knappt 133 miljoner kronor för budgetåret 1999.</w:t>
      </w:r>
    </w:p>
    <w:p w:rsidR="006700C2" w:rsidRDefault="006700C2">
      <w:pPr>
        <w:pStyle w:val="Normaltindrag"/>
        <w:rPr>
          <w:snapToGrid w:val="0"/>
          <w:lang w:eastAsia="sv-SE"/>
        </w:rPr>
      </w:pPr>
      <w:r>
        <w:rPr>
          <w:snapToGrid w:val="0"/>
          <w:lang w:eastAsia="sv-SE"/>
        </w:rPr>
        <w:t>Under anslaget för Riksrevisionsverket (RRV) finansieras huvuddelen av effektivitets</w:t>
      </w:r>
      <w:r>
        <w:rPr>
          <w:snapToGrid w:val="0"/>
          <w:lang w:eastAsia="sv-SE"/>
        </w:rPr>
        <w:softHyphen/>
        <w:t xml:space="preserve">revisionen och den årliga revisionen. </w:t>
      </w:r>
    </w:p>
    <w:p w:rsidR="006700C2" w:rsidRDefault="006700C2">
      <w:pPr>
        <w:pStyle w:val="R4"/>
        <w:spacing w:before="123"/>
      </w:pPr>
      <w:r>
        <w:t>Motionen</w:t>
      </w:r>
    </w:p>
    <w:p w:rsidR="006700C2" w:rsidRDefault="006700C2">
      <w:pPr>
        <w:rPr>
          <w:snapToGrid w:val="0"/>
          <w:lang w:eastAsia="sv-SE"/>
        </w:rPr>
      </w:pPr>
      <w:r>
        <w:rPr>
          <w:i/>
          <w:snapToGrid w:val="0"/>
          <w:lang w:eastAsia="sv-SE"/>
        </w:rPr>
        <w:t>Moderata samlingspartiet</w:t>
      </w:r>
      <w:r>
        <w:rPr>
          <w:snapToGrid w:val="0"/>
          <w:lang w:eastAsia="sv-SE"/>
        </w:rPr>
        <w:t xml:space="preserve"> föreslår i </w:t>
      </w:r>
      <w:r>
        <w:rPr>
          <w:i/>
          <w:snapToGrid w:val="0"/>
          <w:lang w:eastAsia="sv-SE"/>
        </w:rPr>
        <w:t>motion Fi507</w:t>
      </w:r>
      <w:r>
        <w:rPr>
          <w:snapToGrid w:val="0"/>
          <w:lang w:eastAsia="sv-SE"/>
        </w:rPr>
        <w:t xml:space="preserve"> av Lars Tobisson m.fl. (m) att ett nytt obundet revisionsorgan inrättas och underställs riksdagen. I den nya myndigheten skall man sammanföra den effektivitetsrevision som Rik</w:t>
      </w:r>
      <w:r>
        <w:rPr>
          <w:snapToGrid w:val="0"/>
          <w:lang w:eastAsia="sv-SE"/>
        </w:rPr>
        <w:t>s</w:t>
      </w:r>
      <w:r>
        <w:rPr>
          <w:snapToGrid w:val="0"/>
          <w:lang w:eastAsia="sv-SE"/>
        </w:rPr>
        <w:t>revisionsverket och Riksdagens revisorer i dag ombesörjer. Även den årliga revisionen föreslås föras till den nya myndigheten. Motionärerna föreslår därför att några medel inte anvisas på anslaget till Riksrevisionsverket (y</w:t>
      </w:r>
      <w:r>
        <w:rPr>
          <w:snapToGrid w:val="0"/>
          <w:lang w:eastAsia="sv-SE"/>
        </w:rPr>
        <w:t>r</w:t>
      </w:r>
      <w:r>
        <w:rPr>
          <w:snapToGrid w:val="0"/>
          <w:lang w:eastAsia="sv-SE"/>
        </w:rPr>
        <w:t>kande 1).</w:t>
      </w:r>
    </w:p>
    <w:p w:rsidR="006700C2" w:rsidRDefault="006700C2">
      <w:pPr>
        <w:pStyle w:val="Rubrik3"/>
      </w:pPr>
      <w:bookmarkStart w:id="28" w:name="_Toc437689339"/>
      <w:r>
        <w:t>Ekonomistyrningsverket</w:t>
      </w:r>
      <w:bookmarkEnd w:id="28"/>
    </w:p>
    <w:p w:rsidR="006700C2" w:rsidRDefault="006700C2">
      <w:pPr>
        <w:pStyle w:val="R4"/>
        <w:spacing w:before="123"/>
      </w:pPr>
      <w:r>
        <w:t>Propositionen</w:t>
      </w:r>
    </w:p>
    <w:p w:rsidR="006700C2" w:rsidRDefault="006700C2">
      <w:pPr>
        <w:rPr>
          <w:snapToGrid w:val="0"/>
          <w:lang w:eastAsia="sv-SE"/>
        </w:rPr>
      </w:pPr>
      <w:r>
        <w:rPr>
          <w:snapToGrid w:val="0"/>
          <w:lang w:eastAsia="sv-SE"/>
        </w:rPr>
        <w:t xml:space="preserve">Regeringen föreslår att ramanslaget </w:t>
      </w:r>
      <w:r>
        <w:rPr>
          <w:i/>
          <w:snapToGrid w:val="0"/>
          <w:lang w:eastAsia="sv-SE"/>
        </w:rPr>
        <w:t>A 3 Ekonomistyrningsverket</w:t>
      </w:r>
      <w:r>
        <w:rPr>
          <w:snapToGrid w:val="0"/>
          <w:lang w:eastAsia="sv-SE"/>
        </w:rPr>
        <w:t xml:space="preserve"> för år 1999 skall uppgå till 55,5 miljoner kronor. </w:t>
      </w:r>
    </w:p>
    <w:p w:rsidR="006700C2" w:rsidRDefault="006700C2">
      <w:pPr>
        <w:pStyle w:val="Normaltindrag"/>
        <w:rPr>
          <w:snapToGrid w:val="0"/>
          <w:lang w:eastAsia="sv-SE"/>
        </w:rPr>
      </w:pPr>
      <w:r>
        <w:rPr>
          <w:snapToGrid w:val="0"/>
          <w:lang w:eastAsia="sv-SE"/>
        </w:rPr>
        <w:t>Myndigheten Ekonomistyrningsverket (ESV) bildades den 1 juli 1998. Under anslaget finansieras huvuddelen av verksamheten med prognoser, utfall och ekonomisk statistik, utvecklingsarbete kring ekonomistyrning, normering, budgetprocessen m.m. samt viss rådgivning och stöd till reg</w:t>
      </w:r>
      <w:r>
        <w:rPr>
          <w:snapToGrid w:val="0"/>
          <w:lang w:eastAsia="sv-SE"/>
        </w:rPr>
        <w:t>e</w:t>
      </w:r>
      <w:r>
        <w:rPr>
          <w:snapToGrid w:val="0"/>
          <w:lang w:eastAsia="sv-SE"/>
        </w:rPr>
        <w:t>ringen. Den avgiftsfinansierade verksamhet som ESV bedriver avser bl.a. regeringsuppdrag, utbildning och rådgivning, ekonomi- och personaladm</w:t>
      </w:r>
      <w:r>
        <w:rPr>
          <w:snapToGrid w:val="0"/>
          <w:lang w:eastAsia="sv-SE"/>
        </w:rPr>
        <w:t>i</w:t>
      </w:r>
      <w:r>
        <w:rPr>
          <w:snapToGrid w:val="0"/>
          <w:lang w:eastAsia="sv-SE"/>
        </w:rPr>
        <w:t>nistrativa system samt internationella uppdrag. Det ekonomiska målet för den avgiftsfinansi</w:t>
      </w:r>
      <w:r>
        <w:rPr>
          <w:snapToGrid w:val="0"/>
          <w:lang w:eastAsia="sv-SE"/>
        </w:rPr>
        <w:t>e</w:t>
      </w:r>
      <w:r>
        <w:rPr>
          <w:snapToGrid w:val="0"/>
          <w:lang w:eastAsia="sv-SE"/>
        </w:rPr>
        <w:t xml:space="preserve">rade verksamheten är full kostnadstäckning. </w:t>
      </w:r>
    </w:p>
    <w:p w:rsidR="006700C2" w:rsidRDefault="006700C2">
      <w:pPr>
        <w:pStyle w:val="R4"/>
      </w:pPr>
      <w:r>
        <w:t>Motionen</w:t>
      </w:r>
    </w:p>
    <w:p w:rsidR="006700C2" w:rsidRDefault="006700C2">
      <w:pPr>
        <w:rPr>
          <w:snapToGrid w:val="0"/>
          <w:lang w:eastAsia="sv-SE"/>
        </w:rPr>
      </w:pPr>
      <w:r>
        <w:t xml:space="preserve">I </w:t>
      </w:r>
      <w:r>
        <w:rPr>
          <w:i/>
        </w:rPr>
        <w:t>motion</w:t>
      </w:r>
      <w:r>
        <w:t xml:space="preserve"> </w:t>
      </w:r>
      <w:r>
        <w:rPr>
          <w:i/>
          <w:snapToGrid w:val="0"/>
          <w:lang w:eastAsia="sv-SE"/>
        </w:rPr>
        <w:t>Fi507</w:t>
      </w:r>
      <w:r>
        <w:rPr>
          <w:snapToGrid w:val="0"/>
          <w:lang w:eastAsia="sv-SE"/>
        </w:rPr>
        <w:t xml:space="preserve"> noterar motionärerna från </w:t>
      </w:r>
      <w:r>
        <w:rPr>
          <w:i/>
          <w:snapToGrid w:val="0"/>
          <w:lang w:eastAsia="sv-SE"/>
        </w:rPr>
        <w:t>Moderata samlingspartiet</w:t>
      </w:r>
      <w:r>
        <w:rPr>
          <w:snapToGrid w:val="0"/>
          <w:lang w:eastAsia="sv-SE"/>
        </w:rPr>
        <w:t xml:space="preserve"> att i</w:t>
      </w:r>
      <w:r>
        <w:rPr>
          <w:snapToGrid w:val="0"/>
          <w:lang w:eastAsia="sv-SE"/>
        </w:rPr>
        <w:t>n</w:t>
      </w:r>
      <w:r>
        <w:rPr>
          <w:snapToGrid w:val="0"/>
          <w:lang w:eastAsia="sv-SE"/>
        </w:rPr>
        <w:t>rättandet av ESV föranlett regeringen att höja de totala anslagen för RRV och ESV med drygt 30 miljoner kronor åren 1999–2001 jämfört med utfallet 1997. De antar att detta delvis beror på onödigt dubbelarbete vid de två my</w:t>
      </w:r>
      <w:r>
        <w:rPr>
          <w:snapToGrid w:val="0"/>
          <w:lang w:eastAsia="sv-SE"/>
        </w:rPr>
        <w:t>n</w:t>
      </w:r>
      <w:r>
        <w:rPr>
          <w:snapToGrid w:val="0"/>
          <w:lang w:eastAsia="sv-SE"/>
        </w:rPr>
        <w:t>digheterna. Med anledning av att Moderata samlingspartiet också föreslår att RRV och Riksdagens revisorer ersätts av en ny revisionsmyndighet föreslår motionärerna att anslaget till ESV minskas med 5 miljoner kronor i f</w:t>
      </w:r>
      <w:r>
        <w:rPr>
          <w:snapToGrid w:val="0"/>
          <w:lang w:eastAsia="sv-SE"/>
        </w:rPr>
        <w:t>örhå</w:t>
      </w:r>
      <w:r>
        <w:rPr>
          <w:snapToGrid w:val="0"/>
          <w:lang w:eastAsia="sv-SE"/>
        </w:rPr>
        <w:t>l</w:t>
      </w:r>
      <w:r>
        <w:rPr>
          <w:snapToGrid w:val="0"/>
          <w:lang w:eastAsia="sv-SE"/>
        </w:rPr>
        <w:t>lande till regeringens förslag (yrkande 2).</w:t>
      </w:r>
    </w:p>
    <w:p w:rsidR="006700C2" w:rsidRDefault="006700C2">
      <w:pPr>
        <w:pStyle w:val="Rubrik3"/>
      </w:pPr>
      <w:r>
        <w:br w:type="page"/>
      </w:r>
      <w:bookmarkStart w:id="29" w:name="_Toc437689340"/>
      <w:r>
        <w:t>Statskontoret</w:t>
      </w:r>
      <w:bookmarkEnd w:id="29"/>
    </w:p>
    <w:p w:rsidR="006700C2" w:rsidRDefault="006700C2">
      <w:pPr>
        <w:pStyle w:val="R4"/>
        <w:spacing w:before="123"/>
      </w:pPr>
      <w:r>
        <w:t>Propositionen</w:t>
      </w:r>
    </w:p>
    <w:p w:rsidR="006700C2" w:rsidRDefault="006700C2">
      <w:r>
        <w:t xml:space="preserve">Statskontorets verksamhet finansieras dels med anslag, dels med avgifter. Regeringen föreslår att ramanslaget </w:t>
      </w:r>
      <w:r>
        <w:rPr>
          <w:i/>
        </w:rPr>
        <w:t>A 4 Statskontoret</w:t>
      </w:r>
      <w:r>
        <w:t xml:space="preserve"> för år 1999 förs upp med 64,6 miljoner kronor. Vid beräkningen av anslaget har regeringen b</w:t>
      </w:r>
      <w:r>
        <w:t>e</w:t>
      </w:r>
      <w:r>
        <w:t>dömt att det kan minskas med 2 miljoner kronor. Intäkterna från Statskont</w:t>
      </w:r>
      <w:r>
        <w:t>o</w:t>
      </w:r>
      <w:r>
        <w:t>rets avgiftsfinansierade verksamhet beräknas samma år uppgå till 49 miljoner kronor, varav 32 miljoner kronor utgör intäkter från uppdragsverksamhet, dvs. intäkter som Stat</w:t>
      </w:r>
      <w:r>
        <w:t>s</w:t>
      </w:r>
      <w:r>
        <w:t>kontoret förfogar över.</w:t>
      </w:r>
    </w:p>
    <w:p w:rsidR="006700C2" w:rsidRDefault="006700C2">
      <w:pPr>
        <w:pStyle w:val="Normaltindrag"/>
      </w:pPr>
      <w:r>
        <w:t>Regeringen anser att man under kommande år bör intensifiera uppföljnin</w:t>
      </w:r>
      <w:r>
        <w:t>g</w:t>
      </w:r>
      <w:r>
        <w:t>en och utvärderingen av den offentliga sektorn. Statskontoret bör därvid på uppdragsbasis bistå regeringen med dels utvärderingar som är inriktade på sektorsövergripande frågor, dels sekto</w:t>
      </w:r>
      <w:r>
        <w:t>r</w:t>
      </w:r>
      <w:r>
        <w:t xml:space="preserve">sanknutna utvärderingar. </w:t>
      </w:r>
    </w:p>
    <w:p w:rsidR="006700C2" w:rsidRDefault="006700C2">
      <w:pPr>
        <w:pStyle w:val="Normaltindrag"/>
      </w:pPr>
      <w:r>
        <w:t>Regeringen anser också att Statskontoret bör behålla sina uppgifter på IT-området och genom aktiva insatser påskynda och stödja utvecklingen och användningen av en säker elektronisk infrastruktur för förvaltningen. Statskontoret skall också hålla en beredskap för att med kort varsel kunna geno</w:t>
      </w:r>
      <w:r>
        <w:t>m</w:t>
      </w:r>
      <w:r>
        <w:t>föra snabba utredningsinsatser.</w:t>
      </w:r>
    </w:p>
    <w:p w:rsidR="006700C2" w:rsidRDefault="006700C2">
      <w:pPr>
        <w:pStyle w:val="R4"/>
      </w:pPr>
      <w:r>
        <w:t>Motionen</w:t>
      </w:r>
    </w:p>
    <w:p w:rsidR="006700C2" w:rsidRDefault="006700C2">
      <w:r>
        <w:rPr>
          <w:i/>
        </w:rPr>
        <w:t>Moderata samlingspartiet</w:t>
      </w:r>
      <w:r>
        <w:t xml:space="preserve"> anser i </w:t>
      </w:r>
      <w:r>
        <w:rPr>
          <w:i/>
        </w:rPr>
        <w:t>motion Fi507</w:t>
      </w:r>
      <w:r>
        <w:t xml:space="preserve"> att delar av Statskontoret bör föras över till det nya Ekonomistyrningsverket och att resten av Statskont</w:t>
      </w:r>
      <w:r>
        <w:t>o</w:t>
      </w:r>
      <w:r>
        <w:t xml:space="preserve">rets verksamhet kan läggas ned. Motionärerna föreslår därför att anslaget </w:t>
      </w:r>
      <w:r>
        <w:rPr>
          <w:i/>
        </w:rPr>
        <w:t>A 4 Statskontoret</w:t>
      </w:r>
      <w:r>
        <w:t xml:space="preserve"> minskas med 20 miljoner kronor varje år 1999–2001. För 1999 föreslår de att anslaget förs upp med 44 957 000 kr, dvs. ett 19 640 kr lägre belopp än regeringen föreslagit (yrkande 3).</w:t>
      </w:r>
    </w:p>
    <w:p w:rsidR="006700C2" w:rsidRDefault="006700C2">
      <w:pPr>
        <w:pStyle w:val="Rubrik3"/>
      </w:pPr>
      <w:bookmarkStart w:id="30" w:name="_Toc437689341"/>
      <w:r>
        <w:t>Täckning av merkostnader för lokaler</w:t>
      </w:r>
      <w:bookmarkEnd w:id="30"/>
    </w:p>
    <w:p w:rsidR="006700C2" w:rsidRDefault="006700C2">
      <w:pPr>
        <w:pStyle w:val="R4"/>
        <w:spacing w:before="123"/>
      </w:pPr>
      <w:r>
        <w:t>Propositionen</w:t>
      </w:r>
    </w:p>
    <w:p w:rsidR="006700C2" w:rsidRDefault="006700C2">
      <w:r>
        <w:t xml:space="preserve">Regeringen föreslår att anslaget </w:t>
      </w:r>
      <w:r>
        <w:rPr>
          <w:i/>
        </w:rPr>
        <w:t xml:space="preserve">A 5 Täckning av merkostnader för lokaler </w:t>
      </w:r>
      <w:r>
        <w:t>förs upp med 20,5 miljoner kronor för år 1999.</w:t>
      </w:r>
    </w:p>
    <w:p w:rsidR="006700C2" w:rsidRDefault="006700C2">
      <w:pPr>
        <w:pStyle w:val="Normaltindrag"/>
        <w:rPr>
          <w:snapToGrid w:val="0"/>
          <w:lang w:eastAsia="sv-SE"/>
        </w:rPr>
      </w:pPr>
      <w:r>
        <w:rPr>
          <w:snapToGrid w:val="0"/>
          <w:lang w:eastAsia="sv-SE"/>
        </w:rPr>
        <w:t>De utgifter som belastar anslaget är hyror för vissa tomma lokaler som staten har betalningsansvaret för till dess avtalen går att avveckla. De huvu</w:t>
      </w:r>
      <w:r>
        <w:rPr>
          <w:snapToGrid w:val="0"/>
          <w:lang w:eastAsia="sv-SE"/>
        </w:rPr>
        <w:t>d</w:t>
      </w:r>
      <w:r>
        <w:rPr>
          <w:snapToGrid w:val="0"/>
          <w:lang w:eastAsia="sv-SE"/>
        </w:rPr>
        <w:t>sakliga faktorer som styr utgifterna på området är avtalskonstruktionerna samt möjligheterna att hyra ut lokalerna i andra hand. Statskontoret dispon</w:t>
      </w:r>
      <w:r>
        <w:rPr>
          <w:snapToGrid w:val="0"/>
          <w:lang w:eastAsia="sv-SE"/>
        </w:rPr>
        <w:t>e</w:t>
      </w:r>
      <w:r>
        <w:rPr>
          <w:snapToGrid w:val="0"/>
          <w:lang w:eastAsia="sv-SE"/>
        </w:rPr>
        <w:t>rar anslaget.</w:t>
      </w:r>
    </w:p>
    <w:p w:rsidR="006700C2" w:rsidRDefault="006700C2">
      <w:pPr>
        <w:pStyle w:val="Rubrik3"/>
      </w:pPr>
      <w:bookmarkStart w:id="31" w:name="_Toc437689342"/>
      <w:r>
        <w:t>Statistiska centralbyrån och Folk- och bostadsräkning</w:t>
      </w:r>
      <w:bookmarkEnd w:id="31"/>
    </w:p>
    <w:p w:rsidR="006700C2" w:rsidRDefault="006700C2">
      <w:pPr>
        <w:pStyle w:val="R4"/>
        <w:spacing w:before="123"/>
      </w:pPr>
      <w:r>
        <w:t>Propositionen</w:t>
      </w:r>
    </w:p>
    <w:p w:rsidR="006700C2" w:rsidRDefault="006700C2">
      <w:r>
        <w:t xml:space="preserve">Statistiska centralbyråns (SCB) verksamhet finansieras dels med anslag, dels med avgifter. Regeringen föreslår att ramanslaget </w:t>
      </w:r>
      <w:r>
        <w:rPr>
          <w:i/>
        </w:rPr>
        <w:t>A 6 Statistiska centralb</w:t>
      </w:r>
      <w:r>
        <w:rPr>
          <w:i/>
        </w:rPr>
        <w:t>y</w:t>
      </w:r>
      <w:r>
        <w:rPr>
          <w:i/>
        </w:rPr>
        <w:t>rån</w:t>
      </w:r>
      <w:r>
        <w:t xml:space="preserve"> för budgetåret 1999 skall uppgå till 353,1 miljoner kronor. Beräkninga</w:t>
      </w:r>
      <w:r>
        <w:t>r</w:t>
      </w:r>
      <w:r>
        <w:t>na inkluderar en ökning med 21,3 miljoner kronor, varav 16 miljoner kronor överförs från Tullverket för Intrastathanteringen, 3,3 miljoner kronor till förbättring av nationalräkenskaperna samt ett engångsbelopp på 2 miljoner kronor för en vidareutveckling av lönestatistiken och utveckling av jä</w:t>
      </w:r>
      <w:r>
        <w:t>m</w:t>
      </w:r>
      <w:r>
        <w:t>ställdhetsbokslut. Inkomsterna från den avgiftsfinansierade verksamheten beräknas under 1999 up</w:t>
      </w:r>
      <w:r>
        <w:t>p</w:t>
      </w:r>
      <w:r>
        <w:t>gå till 380 miljoner</w:t>
      </w:r>
      <w:r>
        <w:t xml:space="preserve"> kronor.</w:t>
      </w:r>
    </w:p>
    <w:p w:rsidR="006700C2" w:rsidRDefault="006700C2">
      <w:pPr>
        <w:pStyle w:val="Normaltindrag"/>
      </w:pPr>
      <w:r>
        <w:t xml:space="preserve">Uppbyggnaden av en registerbaserad folk- och bostadsräkning finansieras över ett särskilt reservationsanslag – </w:t>
      </w:r>
      <w:r>
        <w:rPr>
          <w:i/>
        </w:rPr>
        <w:t>A 7 Folk- och bostadsräkning</w:t>
      </w:r>
      <w:r>
        <w:t xml:space="preserve"> – på vilket regeringen föreslår att 70 miljoner kronor anvisas för budgetåret 1999.</w:t>
      </w:r>
    </w:p>
    <w:p w:rsidR="006700C2" w:rsidRDefault="006700C2">
      <w:pPr>
        <w:pStyle w:val="R4"/>
      </w:pPr>
      <w:r>
        <w:t>Motionerna</w:t>
      </w:r>
    </w:p>
    <w:p w:rsidR="006700C2" w:rsidRDefault="006700C2">
      <w:r>
        <w:t>I</w:t>
      </w:r>
      <w:r>
        <w:rPr>
          <w:i/>
        </w:rPr>
        <w:t xml:space="preserve"> motion Fi507</w:t>
      </w:r>
      <w:r>
        <w:t xml:space="preserve"> av Lars Tobisson m.fl. (m) anförs att distribution av statistik via Internet bör medföra stora besparingar av t.ex. porto och papper. Detta tillsammans med andra effektiviseringar gör att motionärerna föreslår att anslag A 6 Statistiska centralbyrån minskas med 25 miljoner kronor fr.o.m. 1999. Motionärerna anser också att SCB kan använda sitt stora anslagssp</w:t>
      </w:r>
      <w:r>
        <w:t>a</w:t>
      </w:r>
      <w:r>
        <w:t>rande för att täcka förberedelsekostnaderna för nästa folk- och bostadsrä</w:t>
      </w:r>
      <w:r>
        <w:t>k</w:t>
      </w:r>
      <w:r>
        <w:t>ning. Därmed avvisas 1999 års anslag på 70 miljoner kronor på a</w:t>
      </w:r>
      <w:r>
        <w:t>nslag A 7 Folk- och bostadsrä</w:t>
      </w:r>
      <w:r>
        <w:t>k</w:t>
      </w:r>
      <w:r>
        <w:t>ning.</w:t>
      </w:r>
    </w:p>
    <w:p w:rsidR="006700C2" w:rsidRDefault="006700C2">
      <w:pPr>
        <w:pStyle w:val="Normaltindrag"/>
      </w:pPr>
      <w:r>
        <w:rPr>
          <w:i/>
        </w:rPr>
        <w:t>Folkpartiet liberalerna</w:t>
      </w:r>
      <w:r>
        <w:t xml:space="preserve"> föreslår i </w:t>
      </w:r>
      <w:r>
        <w:rPr>
          <w:i/>
        </w:rPr>
        <w:t>motion Fi211</w:t>
      </w:r>
      <w:r>
        <w:t xml:space="preserve"> att anslaget A 7 Folk- och bostadsräkning min</w:t>
      </w:r>
      <w:r>
        <w:t>s</w:t>
      </w:r>
      <w:r>
        <w:t>kas till 0 kronor budgetåret 1999.</w:t>
      </w:r>
    </w:p>
    <w:p w:rsidR="006700C2" w:rsidRDefault="006700C2">
      <w:pPr>
        <w:pStyle w:val="Normaltindrag"/>
      </w:pPr>
      <w:r>
        <w:rPr>
          <w:i/>
        </w:rPr>
        <w:t xml:space="preserve">Vänsterpartiet </w:t>
      </w:r>
      <w:r>
        <w:t xml:space="preserve">anser i </w:t>
      </w:r>
      <w:r>
        <w:rPr>
          <w:i/>
        </w:rPr>
        <w:t>motion A292</w:t>
      </w:r>
      <w:r>
        <w:t xml:space="preserve"> att Folk- och bostadsräkningarna (FoB) är en viktig förutsättning för arbetsmiljöforskningen. I FoB anges bl.a. y</w:t>
      </w:r>
      <w:r>
        <w:t>r</w:t>
      </w:r>
      <w:r>
        <w:t>kestillhörighet och därmed har sambanden mellan olika sjukdomar och yrken kunnat följas över tiden. Därför är det en brist att ingen FoB genomfördes 1995 och ingen ännu beslutats för år 2000. För att upptäcka och följa yrke</w:t>
      </w:r>
      <w:r>
        <w:t>s</w:t>
      </w:r>
      <w:r>
        <w:t>relaterade sjukdomar och dödlighet bör en FoB genomföras år 2000 eller 2001, anser motionäre</w:t>
      </w:r>
      <w:r>
        <w:t>r</w:t>
      </w:r>
      <w:r>
        <w:t>na.</w:t>
      </w:r>
    </w:p>
    <w:p w:rsidR="006700C2" w:rsidRDefault="006700C2">
      <w:pPr>
        <w:pStyle w:val="Normaltindrag"/>
      </w:pPr>
      <w:r>
        <w:rPr>
          <w:i/>
        </w:rPr>
        <w:t>Centerpartiet</w:t>
      </w:r>
      <w:r>
        <w:t xml:space="preserve"> framhåller i </w:t>
      </w:r>
      <w:r>
        <w:rPr>
          <w:i/>
        </w:rPr>
        <w:t>motion So314</w:t>
      </w:r>
      <w:r>
        <w:t xml:space="preserve"> att folk- och bostadsräkningarna varit ett ovärderligt material för folkhälsoarbetet. Enligt motionärerna är det mycket angeläget att det förberedelsearbete som pågår för att kunna geno</w:t>
      </w:r>
      <w:r>
        <w:t>m</w:t>
      </w:r>
      <w:r>
        <w:t>föra de nya registerbaserade folk- och bostadsräkningarna påskyndas. Det statistiska underlag som tas fram bör vara könsuppdelat.</w:t>
      </w:r>
    </w:p>
    <w:p w:rsidR="006700C2" w:rsidRDefault="006700C2">
      <w:pPr>
        <w:pStyle w:val="Rubrik3"/>
      </w:pPr>
      <w:bookmarkStart w:id="32" w:name="_Toc437689343"/>
      <w:r>
        <w:t>Kammarkollegiet</w:t>
      </w:r>
      <w:bookmarkEnd w:id="32"/>
    </w:p>
    <w:p w:rsidR="006700C2" w:rsidRDefault="006700C2">
      <w:pPr>
        <w:pStyle w:val="R4"/>
        <w:spacing w:before="123"/>
      </w:pPr>
      <w:r>
        <w:t>Propositionen</w:t>
      </w:r>
    </w:p>
    <w:p w:rsidR="006700C2" w:rsidRDefault="006700C2">
      <w:r>
        <w:t xml:space="preserve">Regeringen föreslår att ramanslaget </w:t>
      </w:r>
      <w:r>
        <w:rPr>
          <w:i/>
        </w:rPr>
        <w:t>A 8 Kammarkollegiet</w:t>
      </w:r>
      <w:r>
        <w:t xml:space="preserve"> förs upp med 24,3 miljoner kr</w:t>
      </w:r>
      <w:r>
        <w:t>o</w:t>
      </w:r>
      <w:r>
        <w:t>nor för budgetåret 1999.</w:t>
      </w:r>
    </w:p>
    <w:p w:rsidR="006700C2" w:rsidRDefault="006700C2">
      <w:pPr>
        <w:pStyle w:val="Rubrik3"/>
      </w:pPr>
      <w:bookmarkStart w:id="33" w:name="_Toc437689344"/>
      <w:r>
        <w:t>Nämnden för offentlig upphandling</w:t>
      </w:r>
      <w:bookmarkEnd w:id="33"/>
    </w:p>
    <w:p w:rsidR="006700C2" w:rsidRDefault="006700C2">
      <w:pPr>
        <w:pStyle w:val="R4"/>
        <w:spacing w:before="123"/>
      </w:pPr>
      <w:r>
        <w:t>Propositionen</w:t>
      </w:r>
    </w:p>
    <w:p w:rsidR="006700C2" w:rsidRDefault="006700C2">
      <w:r>
        <w:t xml:space="preserve">Regeringen föreslår att ramanslaget </w:t>
      </w:r>
      <w:r>
        <w:rPr>
          <w:i/>
        </w:rPr>
        <w:t xml:space="preserve">A 9 Nämnden för offentlig upphandling </w:t>
      </w:r>
      <w:r>
        <w:t>förs upp med 6,4 miljoner kronor för budgetåret 1999.</w:t>
      </w:r>
    </w:p>
    <w:p w:rsidR="006700C2" w:rsidRDefault="006700C2">
      <w:pPr>
        <w:pStyle w:val="Normaltindrag"/>
      </w:pPr>
      <w:r>
        <w:t>Nämnden för offentlig upphandling (NOU) har enligt lagen (1992:1528) om offentlig upphandling till uppgift att utöva tillsyn över hela den offentliga upphandlingen, dvs. att tillse att regelsystemet efterlevs. I praktiken har dock NOU:s resurser till övervägande del använts för informationsverksamhet. I NOU:s regleringsbrev för 1998 har regeringen preciserat målen för NOU:s verksamhet. Regeringen anser att tillsynsup</w:t>
      </w:r>
      <w:r>
        <w:t>pgifterna skall prioriteras. Reg</w:t>
      </w:r>
      <w:r>
        <w:t>e</w:t>
      </w:r>
      <w:r>
        <w:t>ringen har vidare, mot bakgrund av den problembild som vuxit fram på up</w:t>
      </w:r>
      <w:r>
        <w:t>p</w:t>
      </w:r>
      <w:r>
        <w:t>handlingsområdet, tillsatt en särskild utredare som skall se över NOU:s framtida organisation, roll och uppgifter. Regeringen anser att inriktningen av NOU:s verksamhet skall vara oförändrad i avvaktan på resultatet av öve</w:t>
      </w:r>
      <w:r>
        <w:t>r</w:t>
      </w:r>
      <w:r>
        <w:t>synen. Detta innebär bl.a. att tillsynsverksamheten skall pri</w:t>
      </w:r>
      <w:r>
        <w:t>o</w:t>
      </w:r>
      <w:r>
        <w:t>riteras.</w:t>
      </w:r>
    </w:p>
    <w:p w:rsidR="006700C2" w:rsidRDefault="006700C2">
      <w:pPr>
        <w:pStyle w:val="R4"/>
      </w:pPr>
      <w:r>
        <w:t>Motionen</w:t>
      </w:r>
    </w:p>
    <w:p w:rsidR="006700C2" w:rsidRDefault="006700C2">
      <w:r>
        <w:t xml:space="preserve">I </w:t>
      </w:r>
      <w:r>
        <w:rPr>
          <w:i/>
        </w:rPr>
        <w:t xml:space="preserve">motion Fi507 </w:t>
      </w:r>
      <w:r>
        <w:t>av Lars Tobisson m.fl. (m) yrkande 6 anförs att många up</w:t>
      </w:r>
      <w:r>
        <w:t>p</w:t>
      </w:r>
      <w:r>
        <w:t>handlande enheter inte följer regelverket. NOU har därför inte uppnått sitt syfte. Motionärerna anser därför att NOU kan avvecklas och att anslaget inte bör tillföras några medel för budgetåret 1999.</w:t>
      </w:r>
    </w:p>
    <w:p w:rsidR="006700C2" w:rsidRDefault="006700C2">
      <w:pPr>
        <w:pStyle w:val="Rubrik3"/>
      </w:pPr>
      <w:bookmarkStart w:id="34" w:name="_Toc437689345"/>
      <w:r>
        <w:t>Ny myndighet för kvalitetsutveckling och kompetensförsörjning</w:t>
      </w:r>
      <w:bookmarkEnd w:id="34"/>
    </w:p>
    <w:p w:rsidR="006700C2" w:rsidRDefault="006700C2">
      <w:pPr>
        <w:pStyle w:val="R4"/>
        <w:spacing w:before="123"/>
      </w:pPr>
      <w:r>
        <w:t>Propositionen</w:t>
      </w:r>
    </w:p>
    <w:p w:rsidR="006700C2" w:rsidRDefault="006700C2">
      <w:r>
        <w:t xml:space="preserve">Regeringen föreslår att ramanslaget </w:t>
      </w:r>
      <w:r>
        <w:rPr>
          <w:i/>
        </w:rPr>
        <w:t>A 10 Ny myndighet för kvalitetsutvec</w:t>
      </w:r>
      <w:r>
        <w:rPr>
          <w:i/>
        </w:rPr>
        <w:t>k</w:t>
      </w:r>
      <w:r>
        <w:rPr>
          <w:i/>
        </w:rPr>
        <w:t xml:space="preserve">ling och kompetensförsörjning </w:t>
      </w:r>
      <w:r>
        <w:t>förs upp med 10,0 miljoner kronor för bu</w:t>
      </w:r>
      <w:r>
        <w:t>d</w:t>
      </w:r>
      <w:r>
        <w:t>getåret 1999.</w:t>
      </w:r>
    </w:p>
    <w:p w:rsidR="006700C2" w:rsidRDefault="006700C2">
      <w:pPr>
        <w:pStyle w:val="Normaltindrag"/>
      </w:pPr>
      <w:r>
        <w:t>Regeringen har i propositionen Statlig förvaltning i medborgarnas tjänst (prop. 1997/98:136) uttalat att ökad uppmärksamhet bör ägnas åt kompetens- och utbildningsfrågorna i syfte att stimulera myndigheternas kompetensfö</w:t>
      </w:r>
      <w:r>
        <w:t>r</w:t>
      </w:r>
      <w:r>
        <w:t>sörjning och främja kvalitetsarbetet inom förvaltningen. Regeringen föreslog därför att en särskild myndighet för kvalitetsutveckling och kompetensfö</w:t>
      </w:r>
      <w:r>
        <w:t>r</w:t>
      </w:r>
      <w:r>
        <w:t>sörjning borde inrättas. Riksdagen har ställt sig bakom regeringens förslag (bet. 1997/98:KU31, rskr. 1997/98:294). Myndigheten, som i huvudsak skall arbeta på uppdrag av regeringen, skall verka för att statsförvalningen har en gemensam förvaltningskultur och förvaltningsetik.</w:t>
      </w:r>
    </w:p>
    <w:p w:rsidR="006700C2" w:rsidRDefault="006700C2">
      <w:pPr>
        <w:pStyle w:val="Normaltindrag"/>
      </w:pPr>
      <w:r>
        <w:t>Myndigheten inrättas fr.o.m. den 1 januari 1999. Samtidigt avvecklas verksamheten v</w:t>
      </w:r>
      <w:r>
        <w:t>id Statens förnyelsefonder, som är en partssammansatt nämnd. Statens förnyelsefonder har finansierats med bidrag som har avsatts efter förhandlingar mellan Arbetsgivarverket och de centrala arbetstagaro</w:t>
      </w:r>
      <w:r>
        <w:t>r</w:t>
      </w:r>
      <w:r>
        <w:t>ganisationerna på det statliga förhandlingsområdet (anslaget D 3 Bidrag till förnyelsefonder på det statligt reglerade området, utgiftsområde 14). Reg</w:t>
      </w:r>
      <w:r>
        <w:t>e</w:t>
      </w:r>
      <w:r>
        <w:t>ringen avser att ställa anslaget till den nya myndighetens disposition i enli</w:t>
      </w:r>
      <w:r>
        <w:t>g</w:t>
      </w:r>
      <w:r>
        <w:t>het med en överenskommelse mellan Arbetsgivarverket och de centrala arbetstagaro</w:t>
      </w:r>
      <w:r>
        <w:t>rganisati</w:t>
      </w:r>
      <w:r>
        <w:t>o</w:t>
      </w:r>
      <w:r>
        <w:t xml:space="preserve">nerna. </w:t>
      </w:r>
    </w:p>
    <w:p w:rsidR="006700C2" w:rsidRDefault="006700C2">
      <w:pPr>
        <w:pStyle w:val="R4"/>
      </w:pPr>
      <w:r>
        <w:br w:type="page"/>
        <w:t>Motionerna</w:t>
      </w:r>
    </w:p>
    <w:p w:rsidR="006700C2" w:rsidRDefault="006700C2">
      <w:r>
        <w:t xml:space="preserve">I </w:t>
      </w:r>
      <w:r>
        <w:rPr>
          <w:i/>
        </w:rPr>
        <w:t>motionerna</w:t>
      </w:r>
      <w:r>
        <w:t xml:space="preserve"> </w:t>
      </w:r>
      <w:r>
        <w:rPr>
          <w:i/>
        </w:rPr>
        <w:t>Fi210</w:t>
      </w:r>
      <w:r>
        <w:t xml:space="preserve"> av Lennart Daléus m.fl. (c) yrkande 5 i denna del, </w:t>
      </w:r>
      <w:r>
        <w:rPr>
          <w:i/>
        </w:rPr>
        <w:t>Fi211</w:t>
      </w:r>
      <w:r>
        <w:t xml:space="preserve"> av Lars Leijonborg m.fl. (fp) yrkande 8 i denna del och </w:t>
      </w:r>
      <w:r>
        <w:rPr>
          <w:i/>
        </w:rPr>
        <w:t>Fi507</w:t>
      </w:r>
      <w:r>
        <w:t xml:space="preserve"> av Lars Tobi</w:t>
      </w:r>
      <w:r>
        <w:t>s</w:t>
      </w:r>
      <w:r>
        <w:t>son m.fl. (m) yrkande 7 motsätter sig motionärerna inrättandet av den nya myndigh</w:t>
      </w:r>
      <w:r>
        <w:t>e</w:t>
      </w:r>
      <w:r>
        <w:t xml:space="preserve">ten. </w:t>
      </w:r>
    </w:p>
    <w:p w:rsidR="006700C2" w:rsidRDefault="006700C2">
      <w:pPr>
        <w:pStyle w:val="Rubrik3"/>
      </w:pPr>
      <w:bookmarkStart w:id="35" w:name="_Toc437689346"/>
      <w:r>
        <w:t>Vissa nämnder m.m.</w:t>
      </w:r>
      <w:bookmarkEnd w:id="35"/>
    </w:p>
    <w:p w:rsidR="006700C2" w:rsidRDefault="006700C2">
      <w:pPr>
        <w:pStyle w:val="R4"/>
        <w:spacing w:before="123"/>
      </w:pPr>
      <w:r>
        <w:t>Propositionen</w:t>
      </w:r>
    </w:p>
    <w:p w:rsidR="006700C2" w:rsidRDefault="006700C2">
      <w:r>
        <w:t>Regeringen föreslår att ramanslaget</w:t>
      </w:r>
      <w:r>
        <w:rPr>
          <w:i/>
        </w:rPr>
        <w:t xml:space="preserve"> A 11 Vissa nämnder m.m.</w:t>
      </w:r>
      <w:r>
        <w:t xml:space="preserve"> förs upp med 1,0 miljoner kronor för budgetåret 1999.</w:t>
      </w:r>
    </w:p>
    <w:p w:rsidR="006700C2" w:rsidRDefault="006700C2">
      <w:pPr>
        <w:pStyle w:val="Rubrik3"/>
      </w:pPr>
      <w:bookmarkStart w:id="36" w:name="_Toc437689347"/>
      <w:r>
        <w:t>Ekonomiska rådet</w:t>
      </w:r>
      <w:bookmarkEnd w:id="36"/>
    </w:p>
    <w:p w:rsidR="006700C2" w:rsidRDefault="006700C2">
      <w:pPr>
        <w:pStyle w:val="R4"/>
        <w:spacing w:before="123"/>
      </w:pPr>
      <w:r>
        <w:t>Propositionen</w:t>
      </w:r>
    </w:p>
    <w:p w:rsidR="006700C2" w:rsidRDefault="006700C2">
      <w:r>
        <w:t xml:space="preserve">Regeringen föreslår att ramanslaget </w:t>
      </w:r>
      <w:r>
        <w:rPr>
          <w:i/>
        </w:rPr>
        <w:t xml:space="preserve">A 12 Ekonomiska rådet </w:t>
      </w:r>
      <w:r>
        <w:t>förs upp med 1,7 miljoner kr</w:t>
      </w:r>
      <w:r>
        <w:t>o</w:t>
      </w:r>
      <w:r>
        <w:t>nor för budgetåret 1999.</w:t>
      </w:r>
    </w:p>
    <w:p w:rsidR="006700C2" w:rsidRDefault="006700C2">
      <w:pPr>
        <w:pStyle w:val="Rubrik3"/>
      </w:pPr>
      <w:bookmarkStart w:id="37" w:name="_Toc437689348"/>
      <w:r>
        <w:t>Utvecklingsarbete</w:t>
      </w:r>
      <w:bookmarkEnd w:id="37"/>
    </w:p>
    <w:p w:rsidR="006700C2" w:rsidRDefault="006700C2">
      <w:pPr>
        <w:pStyle w:val="R4"/>
        <w:spacing w:before="123"/>
      </w:pPr>
      <w:r>
        <w:t>Propositionen</w:t>
      </w:r>
    </w:p>
    <w:p w:rsidR="006700C2" w:rsidRDefault="006700C2">
      <w:r>
        <w:t xml:space="preserve">Regeringen föreslår att ramanslaget </w:t>
      </w:r>
      <w:r>
        <w:rPr>
          <w:i/>
        </w:rPr>
        <w:t>A 13 Utvecklingsarbete</w:t>
      </w:r>
      <w:r>
        <w:t xml:space="preserve"> förs upp med 24,2 miljoner kr</w:t>
      </w:r>
      <w:r>
        <w:t>o</w:t>
      </w:r>
      <w:r>
        <w:t>nor för budgetåret 1999.</w:t>
      </w:r>
    </w:p>
    <w:p w:rsidR="006700C2" w:rsidRDefault="006700C2">
      <w:pPr>
        <w:pStyle w:val="Normaltindrag"/>
      </w:pPr>
      <w:r>
        <w:t>Anslaget används av Finansdepartementet bl.a. för att bekosta utveckling</w:t>
      </w:r>
      <w:r>
        <w:t>s</w:t>
      </w:r>
      <w:r>
        <w:t>arbete inom ramen för ett särskilt projekt benämnt VESTA (Verktyg för ekonomisk styrning i staten). Syftet med VESTA-projektet är att skapa ett integrerat statligt koncernsystem för prognos, budgetering, resultatstyrning och beta</w:t>
      </w:r>
      <w:r>
        <w:t>l</w:t>
      </w:r>
      <w:r>
        <w:t xml:space="preserve">ningsinformation. </w:t>
      </w:r>
    </w:p>
    <w:p w:rsidR="006700C2" w:rsidRDefault="006700C2">
      <w:pPr>
        <w:pStyle w:val="Normaltindrag"/>
      </w:pPr>
      <w:r>
        <w:t>Regeringen har för budgetåret 1998 ett bemyndigande från riksdagen att göra ekonomiska åtaganden som innebär utgifter på högst 50 miljoner kronor efter år 1998 för VESTA-projektets genomförande. Regeringen kommer inte att behöva utnyttja bemyndigandet under inne</w:t>
      </w:r>
      <w:r>
        <w:t>varande år. Bedömningen är dock att ett sådant bemyndigande behövs för 1999. Regeringen föreslår därför att riksdagen skall bemyndiga regeringen att under år 1999 för VE</w:t>
      </w:r>
      <w:r>
        <w:t>S</w:t>
      </w:r>
      <w:r>
        <w:t>TA-projektets genomförande göra ekonomiska åtaganden som inklusive tidigare åtaganden innebär utgifter på högst 50 miljoner kronor efter år 1999 (yrka</w:t>
      </w:r>
      <w:r>
        <w:t>n</w:t>
      </w:r>
      <w:r>
        <w:t>de 3).</w:t>
      </w:r>
    </w:p>
    <w:p w:rsidR="006700C2" w:rsidRDefault="006700C2">
      <w:pPr>
        <w:pStyle w:val="Rubrik3"/>
      </w:pPr>
      <w:bookmarkStart w:id="38" w:name="_Toc437689349"/>
      <w:r>
        <w:t>Kontrollfunktionen i staten</w:t>
      </w:r>
      <w:bookmarkEnd w:id="38"/>
    </w:p>
    <w:p w:rsidR="006700C2" w:rsidRDefault="006700C2">
      <w:pPr>
        <w:pStyle w:val="R4"/>
        <w:spacing w:before="123"/>
      </w:pPr>
      <w:r>
        <w:t>Propositionen</w:t>
      </w:r>
    </w:p>
    <w:p w:rsidR="006700C2" w:rsidRDefault="006700C2">
      <w:r>
        <w:t xml:space="preserve">Regeringen föreslår att ramanslaget </w:t>
      </w:r>
      <w:r>
        <w:rPr>
          <w:i/>
        </w:rPr>
        <w:t>A 14 Kontrollfunktionen i staten</w:t>
      </w:r>
      <w:r>
        <w:t xml:space="preserve"> förs upp med 85,0 mi</w:t>
      </w:r>
      <w:r>
        <w:t>l</w:t>
      </w:r>
      <w:r>
        <w:t>joner kronor för budgetåret 1999.</w:t>
      </w:r>
    </w:p>
    <w:p w:rsidR="006700C2" w:rsidRDefault="006700C2">
      <w:pPr>
        <w:pStyle w:val="Rubrik3"/>
      </w:pPr>
      <w:bookmarkStart w:id="39" w:name="_Toc437689350"/>
      <w:r>
        <w:t>Riksgäldskontoret</w:t>
      </w:r>
      <w:bookmarkEnd w:id="39"/>
    </w:p>
    <w:p w:rsidR="006700C2" w:rsidRDefault="006700C2">
      <w:r>
        <w:t>På utgiftsområdet finns tre anslag som berör Riksgäldskontorets verksamhet. Dessa anslag avser kontorets förvaltningskostnader, upplåningskostnader och kostnader för garantiverksamheten. Dessutom finns inom utgiftsområde 26 ett särskilt anslag för statsskuldsräntor och ett anslag för provisionskostnader i samband med Riksgäldskontorets utlandsuppl</w:t>
      </w:r>
      <w:r>
        <w:t>å</w:t>
      </w:r>
      <w:r>
        <w:t>ning.</w:t>
      </w:r>
    </w:p>
    <w:p w:rsidR="006700C2" w:rsidRDefault="006700C2">
      <w:pPr>
        <w:pStyle w:val="R4"/>
      </w:pPr>
      <w:r>
        <w:t>Propositionen</w:t>
      </w:r>
    </w:p>
    <w:p w:rsidR="006700C2" w:rsidRDefault="006700C2">
      <w:r>
        <w:t>Regeringen föreslår att man för 1999 för upp de tre ramanslagen på utgift</w:t>
      </w:r>
      <w:r>
        <w:t>s</w:t>
      </w:r>
      <w:r>
        <w:t>området med följande belopp:</w:t>
      </w:r>
    </w:p>
    <w:p w:rsidR="006700C2" w:rsidRDefault="006700C2">
      <w:r>
        <w:t xml:space="preserve">– A 15 </w:t>
      </w:r>
      <w:r>
        <w:rPr>
          <w:i/>
        </w:rPr>
        <w:t>Riksgäldskontoret: Garantiverksamhet</w:t>
      </w:r>
    </w:p>
    <w:p w:rsidR="006700C2" w:rsidRDefault="006700C2">
      <w:pPr>
        <w:pStyle w:val="Normaltindrag"/>
      </w:pPr>
      <w:r>
        <w:t>1 000 kr,</w:t>
      </w:r>
    </w:p>
    <w:p w:rsidR="006700C2" w:rsidRDefault="006700C2">
      <w:r>
        <w:t xml:space="preserve">– B 3 </w:t>
      </w:r>
      <w:r>
        <w:rPr>
          <w:i/>
        </w:rPr>
        <w:t>Riksgäldskontoret: Förvaltningskostnader</w:t>
      </w:r>
    </w:p>
    <w:p w:rsidR="006700C2" w:rsidRDefault="006700C2">
      <w:pPr>
        <w:pStyle w:val="Normaltindrag"/>
      </w:pPr>
      <w:r>
        <w:t>84,7 miljoner kronor,</w:t>
      </w:r>
    </w:p>
    <w:p w:rsidR="006700C2" w:rsidRDefault="006700C2">
      <w:r>
        <w:t xml:space="preserve">– B 4 </w:t>
      </w:r>
      <w:r>
        <w:rPr>
          <w:i/>
        </w:rPr>
        <w:t>Riksgäldskontoret: Kostnader för upplåning och låneförvaltning</w:t>
      </w:r>
    </w:p>
    <w:p w:rsidR="006700C2" w:rsidRDefault="006700C2">
      <w:pPr>
        <w:pStyle w:val="Normaltindrag"/>
      </w:pPr>
      <w:r>
        <w:t>535,0 miljoner kronor.</w:t>
      </w:r>
    </w:p>
    <w:p w:rsidR="006700C2" w:rsidRDefault="006700C2">
      <w:r>
        <w:t>Sedan 1997 tillämpas en ny modell för statlig garantigivning som innebär att avgifter skall täcka såväl den förväntade risken för ett infriande av en garanti som de administrativa kostnaderna. Tas inte full avgift ut betraktas mella</w:t>
      </w:r>
      <w:r>
        <w:t>n</w:t>
      </w:r>
      <w:r>
        <w:t>skillnaden som en subvention vilken skall belasta ett anslag på budgeten. Det på utgiftsområdet uppförda anslaget för garantiverksamheten avser utgifter hänförliga till äldre garantisystem.</w:t>
      </w:r>
    </w:p>
    <w:p w:rsidR="006700C2" w:rsidRDefault="006700C2">
      <w:pPr>
        <w:pStyle w:val="Normaltindrag"/>
      </w:pPr>
      <w:r>
        <w:t>Vid beräkningen av anslaget för Riksgäldskontorets förvaltningskostnader har detta e</w:t>
      </w:r>
      <w:r>
        <w:t>n</w:t>
      </w:r>
      <w:r>
        <w:t>gångsvis minskats med 2 miljoner kronor under 1999.</w:t>
      </w:r>
    </w:p>
    <w:p w:rsidR="006700C2" w:rsidRDefault="006700C2">
      <w:pPr>
        <w:pStyle w:val="Normaltindrag"/>
      </w:pPr>
      <w:r>
        <w:t>Riksgäldskontoret har under 1997 upphört med allemanssparandet och några provisionskostnader för detta ändamål kommer därför inte att betalas ut under 1999. Anslaget för kostnader för upplåning och låneförvaltning har därför räknats ned med 134 miljoner kr</w:t>
      </w:r>
      <w:r>
        <w:t>o</w:t>
      </w:r>
      <w:r>
        <w:t>nor.</w:t>
      </w:r>
    </w:p>
    <w:p w:rsidR="006700C2" w:rsidRDefault="006700C2">
      <w:pPr>
        <w:pStyle w:val="R4"/>
      </w:pPr>
      <w:r>
        <w:t>Motionen</w:t>
      </w:r>
    </w:p>
    <w:p w:rsidR="006700C2" w:rsidRDefault="006700C2">
      <w:r>
        <w:rPr>
          <w:i/>
        </w:rPr>
        <w:t>Moderata samlingspartiet</w:t>
      </w:r>
      <w:r>
        <w:t xml:space="preserve"> anser i </w:t>
      </w:r>
      <w:r>
        <w:rPr>
          <w:i/>
        </w:rPr>
        <w:t>motion Fi507</w:t>
      </w:r>
      <w:r>
        <w:t xml:space="preserve"> att fokuseringen på hu</w:t>
      </w:r>
      <w:r>
        <w:t>s</w:t>
      </w:r>
      <w:r>
        <w:t xml:space="preserve">hållsupplåningen bör minskas och föreslår därför att anslaget </w:t>
      </w:r>
      <w:r>
        <w:rPr>
          <w:i/>
        </w:rPr>
        <w:t>B 3 Riksgäld</w:t>
      </w:r>
      <w:r>
        <w:rPr>
          <w:i/>
        </w:rPr>
        <w:t>s</w:t>
      </w:r>
      <w:r>
        <w:rPr>
          <w:i/>
        </w:rPr>
        <w:t>kontoret: Förvaltningskostnader</w:t>
      </w:r>
      <w:r>
        <w:t xml:space="preserve"> minskas med 5 miljoner kronor under de tre åren 1999–2001. I enlighet härmed föreslår motionärerna att anslaget förs upp med 79 701 000 kr för 1999 (yrkande 9).</w:t>
      </w:r>
    </w:p>
    <w:p w:rsidR="006700C2" w:rsidRDefault="006700C2">
      <w:pPr>
        <w:pStyle w:val="Rubrik3"/>
      </w:pPr>
      <w:bookmarkStart w:id="40" w:name="_Toc437689351"/>
      <w:r>
        <w:t>Finansinspektionen</w:t>
      </w:r>
      <w:bookmarkEnd w:id="40"/>
    </w:p>
    <w:p w:rsidR="006700C2" w:rsidRDefault="006700C2">
      <w:pPr>
        <w:pStyle w:val="R4"/>
        <w:spacing w:before="123"/>
      </w:pPr>
      <w:r>
        <w:t>Propositionen</w:t>
      </w:r>
    </w:p>
    <w:p w:rsidR="006700C2" w:rsidRDefault="006700C2">
      <w:r>
        <w:t xml:space="preserve">Regeringen föreslår att ramanslaget </w:t>
      </w:r>
      <w:r>
        <w:rPr>
          <w:i/>
        </w:rPr>
        <w:t>B 1 Finansinspektionen</w:t>
      </w:r>
      <w:r>
        <w:t xml:space="preserve"> förs upp med 118,7 miljoner kronor för budgetåret 1999. Avgiftsinkomsterna skall öve</w:t>
      </w:r>
      <w:r>
        <w:t>r</w:t>
      </w:r>
      <w:r>
        <w:t>ensstämma med storleken på ramanslaget.</w:t>
      </w:r>
    </w:p>
    <w:p w:rsidR="006700C2" w:rsidRDefault="006700C2">
      <w:pPr>
        <w:pStyle w:val="Rubrik3"/>
      </w:pPr>
      <w:bookmarkStart w:id="41" w:name="_Toc437689352"/>
      <w:r>
        <w:t>Insättningsgarantinämnden</w:t>
      </w:r>
      <w:bookmarkEnd w:id="41"/>
    </w:p>
    <w:p w:rsidR="006700C2" w:rsidRDefault="006700C2">
      <w:pPr>
        <w:pStyle w:val="R4"/>
        <w:spacing w:before="123"/>
      </w:pPr>
      <w:r>
        <w:t>Propositionen</w:t>
      </w:r>
    </w:p>
    <w:p w:rsidR="006700C2" w:rsidRDefault="006700C2">
      <w:r>
        <w:t xml:space="preserve">Insättningsgarantinämnden anvisas ett ramanslag för förvaltningskostnader. Regeringen föreslår att ramanslaget </w:t>
      </w:r>
      <w:r>
        <w:rPr>
          <w:i/>
        </w:rPr>
        <w:t>B 2 Insättningsgarantinämnden</w:t>
      </w:r>
      <w:r>
        <w:t xml:space="preserve"> förs upp med 6,3 miljoner kronor. De årliga avgifter som tas ut av de institut som omfattas av insättningsgarantin placeras på räntebärande konto i Riksgäld</w:t>
      </w:r>
      <w:r>
        <w:t>s</w:t>
      </w:r>
      <w:r>
        <w:t>kontoret. Riksgäldskontoret ombesörjer att ett belopp motsvarande anslaget redovisas under inkomsttitel.</w:t>
      </w:r>
    </w:p>
    <w:p w:rsidR="006700C2" w:rsidRDefault="006700C2">
      <w:pPr>
        <w:pStyle w:val="Rubrik3"/>
      </w:pPr>
      <w:bookmarkStart w:id="42" w:name="_Toc437689353"/>
      <w:r>
        <w:t>Bokföringsnämnden</w:t>
      </w:r>
      <w:bookmarkEnd w:id="42"/>
    </w:p>
    <w:p w:rsidR="006700C2" w:rsidRDefault="006700C2">
      <w:pPr>
        <w:pStyle w:val="R4"/>
        <w:spacing w:before="123"/>
      </w:pPr>
      <w:r>
        <w:t>Propositionen</w:t>
      </w:r>
    </w:p>
    <w:p w:rsidR="006700C2" w:rsidRDefault="006700C2">
      <w:r>
        <w:t>Regeringen föreslår att ramanslaget</w:t>
      </w:r>
      <w:r>
        <w:rPr>
          <w:i/>
        </w:rPr>
        <w:t xml:space="preserve"> B 5 Bokföringsnämnden</w:t>
      </w:r>
      <w:r>
        <w:t xml:space="preserve"> förs upp med 6,3 miljoner kr</w:t>
      </w:r>
      <w:r>
        <w:t>o</w:t>
      </w:r>
      <w:r>
        <w:t>nor för budgetåret 1999.</w:t>
      </w:r>
    </w:p>
    <w:p w:rsidR="006700C2" w:rsidRDefault="006700C2">
      <w:pPr>
        <w:pStyle w:val="Rubrik3"/>
      </w:pPr>
      <w:bookmarkStart w:id="43" w:name="_Toc437689354"/>
      <w:r>
        <w:t>Avgift för Stadshypotekskassans grundfond</w:t>
      </w:r>
      <w:bookmarkEnd w:id="43"/>
    </w:p>
    <w:p w:rsidR="006700C2" w:rsidRDefault="006700C2">
      <w:pPr>
        <w:pStyle w:val="R4"/>
        <w:spacing w:before="123"/>
      </w:pPr>
      <w:r>
        <w:t>Propositionen</w:t>
      </w:r>
    </w:p>
    <w:p w:rsidR="006700C2" w:rsidRDefault="006700C2">
      <w:r>
        <w:t>Regeringen föreslår att ramanslaget</w:t>
      </w:r>
      <w:r>
        <w:rPr>
          <w:i/>
        </w:rPr>
        <w:t xml:space="preserve"> C 1 Avgift för Stadshypotekskassans grundfond </w:t>
      </w:r>
      <w:r>
        <w:t xml:space="preserve"> förs upp med 30 miljoner kronor för budgetåret 1999.</w:t>
      </w:r>
    </w:p>
    <w:p w:rsidR="006700C2" w:rsidRDefault="006700C2">
      <w:pPr>
        <w:pStyle w:val="Normaltindrag"/>
      </w:pPr>
      <w:r>
        <w:t>I februari 1997 beslutade regeringen om försäljning av aktierna i Stadsh</w:t>
      </w:r>
      <w:r>
        <w:t>y</w:t>
      </w:r>
      <w:r>
        <w:t>potek AB till Svenska Handelsbanken. Stadshypotekskassans uppgift är numera att förvalta den återstående obligationsskulden som per den 31 d</w:t>
      </w:r>
      <w:r>
        <w:t>e</w:t>
      </w:r>
      <w:r>
        <w:t>cember 1997 uppgick till ca 88 miljarder kronor. När låneskulden är regl</w:t>
      </w:r>
      <w:r>
        <w:t>e</w:t>
      </w:r>
      <w:r>
        <w:t>rad, vilket beräknas vara fallet år 2005, skall kassan likvideras. För att trygga utestående lån finns en grundfond i form av en statlig garantiförbindelse. Stadshypotekskassan betalar en årlig avgift för garantin till Riksgäldskont</w:t>
      </w:r>
      <w:r>
        <w:t>o</w:t>
      </w:r>
      <w:r>
        <w:t>ret. Tidigare har avgiften finansierats genom utdelning på aktie</w:t>
      </w:r>
      <w:r>
        <w:t>rna i Stadsh</w:t>
      </w:r>
      <w:r>
        <w:t>y</w:t>
      </w:r>
      <w:r>
        <w:t>potek AB. I samband med överflyttningen av aktieinnehavet i Stadshypotek AB åtog sig staten ansvaret för denna avgift.</w:t>
      </w:r>
    </w:p>
    <w:p w:rsidR="006700C2" w:rsidRDefault="006700C2">
      <w:pPr>
        <w:pStyle w:val="Rubrik3"/>
      </w:pPr>
      <w:bookmarkStart w:id="44" w:name="_Toc437689355"/>
      <w:r>
        <w:t>Kapitalhöjning i Nordiska investeringsbanken</w:t>
      </w:r>
      <w:bookmarkEnd w:id="44"/>
    </w:p>
    <w:p w:rsidR="006700C2" w:rsidRDefault="006700C2">
      <w:pPr>
        <w:pStyle w:val="R4"/>
        <w:spacing w:before="123"/>
      </w:pPr>
      <w:r>
        <w:t>Propositionen</w:t>
      </w:r>
    </w:p>
    <w:p w:rsidR="006700C2" w:rsidRDefault="006700C2">
      <w:r>
        <w:t>Regeringen föreslår att ramanslaget</w:t>
      </w:r>
      <w:r>
        <w:rPr>
          <w:i/>
        </w:rPr>
        <w:t xml:space="preserve"> C 2 Kapitalhöjning i Nordiska invest</w:t>
      </w:r>
      <w:r>
        <w:rPr>
          <w:i/>
        </w:rPr>
        <w:t>e</w:t>
      </w:r>
      <w:r>
        <w:rPr>
          <w:i/>
        </w:rPr>
        <w:t>ringsbanken</w:t>
      </w:r>
      <w:r>
        <w:t xml:space="preserve"> förs upp med 18,7 miljoner kronor för budgetåret 1999.</w:t>
      </w:r>
    </w:p>
    <w:p w:rsidR="006700C2" w:rsidRDefault="006700C2">
      <w:pPr>
        <w:pStyle w:val="Normaltindrag"/>
      </w:pPr>
      <w:r>
        <w:t>Den ordinarie verksamheten i Nordiska investeringsbanken (NIB) avser utlåning och garantigivning inom Norden. Vid sidan härav har NIB en o</w:t>
      </w:r>
      <w:r>
        <w:t>m</w:t>
      </w:r>
      <w:r>
        <w:t>fattande internationell utlåning inom ramen för den s.k. Projektinvestering</w:t>
      </w:r>
      <w:r>
        <w:t>s</w:t>
      </w:r>
      <w:r>
        <w:t>låneordningen (PIL). Det primära syftet är att främja nordisk projektexport till länder som har relativt god kreditvärdighet.</w:t>
      </w:r>
    </w:p>
    <w:p w:rsidR="006700C2" w:rsidRDefault="006700C2">
      <w:pPr>
        <w:pStyle w:val="Normaltindrag"/>
      </w:pPr>
      <w:r>
        <w:t>För att kunna tillgodose den ökande efterfrågan på finansiering från NIB behövs en förstärkning av bankens kapitalbas. Enligt NIB:s beräkningar nås utlåningstaket för den ord</w:t>
      </w:r>
      <w:r>
        <w:t>i</w:t>
      </w:r>
      <w:r>
        <w:t>narie utlåningen under 1999 och för PIL-utlåningen redan under 1998.</w:t>
      </w:r>
    </w:p>
    <w:p w:rsidR="006700C2" w:rsidRDefault="006700C2">
      <w:pPr>
        <w:pStyle w:val="Normaltindrag"/>
      </w:pPr>
      <w:r>
        <w:t>Bankens grundkapital, som finansierar dess ordinarie verksamhet, uppgår för närvarande till 2 809 miljoner ecu. Sveriges andel uppgår till ca 1 106 miljoner ecu eller ca 9 954 miljoner kronor (räknat med växelkursen 1 ecu = 9 kronor). Den föreslagna höjningen av grundkapitalet från 2 809 miljoner ecu till 4 000 miljoner ecu skulle medge en utlåningsram om 10 000 miljoner ecu. Med bankens antagande om en årlig ökningstakt i utlåningen om i</w:t>
      </w:r>
      <w:r>
        <w:t xml:space="preserve"> g</w:t>
      </w:r>
      <w:r>
        <w:t>e</w:t>
      </w:r>
      <w:r>
        <w:t>nomsnitt 6 % skulle denna höjning säkra bankens verksamhet t.o.m. år 2005, dvs. ytterlig</w:t>
      </w:r>
      <w:r>
        <w:t>a</w:t>
      </w:r>
      <w:r>
        <w:t>re en sexårsperiod.</w:t>
      </w:r>
    </w:p>
    <w:p w:rsidR="006700C2" w:rsidRDefault="006700C2">
      <w:pPr>
        <w:pStyle w:val="Normaltindrag"/>
      </w:pPr>
      <w:r>
        <w:t>Sveriges andel av den föreslagna totala ökningen uppgår till 34,9 %, dvs. ca 415,7 miljoner ecu, eller ca 3 741 miljoner kronor. Den andel som skall inbetalas uppgår för Sveriges vidkommande till 2 075 641 ecu, eller ca 18 miljoner kronor per år under tr</w:t>
      </w:r>
      <w:r>
        <w:t>e</w:t>
      </w:r>
      <w:r>
        <w:t>årsperioden.</w:t>
      </w:r>
    </w:p>
    <w:p w:rsidR="006700C2" w:rsidRDefault="006700C2">
      <w:pPr>
        <w:pStyle w:val="Normaltindrag"/>
      </w:pPr>
      <w:r>
        <w:t>PIL-låneordningen uppgår för närvarande till 2 miljarder ecu. Ökningen av PIL-ramen föreslås ske genom att den totala låneramen höjs till 3,3 miljarder ecu utan att medlemsländernas garantiåtagande ändras. I händelse av kredi</w:t>
      </w:r>
      <w:r>
        <w:t>t</w:t>
      </w:r>
      <w:r>
        <w:t>förlust skulle garanterna, liksom för närvarande, ansvara för 90 % av förlu</w:t>
      </w:r>
      <w:r>
        <w:t>s</w:t>
      </w:r>
      <w:r>
        <w:t>terna per lån, men endast upp till 1,8 miljarder ecu, eller 55 % av kreditr</w:t>
      </w:r>
      <w:r>
        <w:t>a</w:t>
      </w:r>
      <w:r>
        <w:t>men. Därutöver skall eventuella  förluster bäras av banken.</w:t>
      </w:r>
    </w:p>
    <w:p w:rsidR="006700C2" w:rsidRDefault="006700C2">
      <w:pPr>
        <w:pStyle w:val="Normaltindrag"/>
      </w:pPr>
      <w:r>
        <w:t>Den föreslagna ökningen av PIL-ramens utlåningsutrymme får alltså inga direkta effekter på storleken på medlemsstaternas garantiåtaganden. Däremot måste garantin täcka ett större lånebelopp, vilket kan anses innebära en större risk för att den måste tas i anspråk. Hittills har dock inte garantierna</w:t>
      </w:r>
      <w:r>
        <w:t xml:space="preserve"> utnyt</w:t>
      </w:r>
      <w:r>
        <w:t>t</w:t>
      </w:r>
      <w:r>
        <w:t>jats.</w:t>
      </w:r>
    </w:p>
    <w:p w:rsidR="006700C2" w:rsidRDefault="006700C2">
      <w:pPr>
        <w:pStyle w:val="Rubrik3"/>
      </w:pPr>
      <w:bookmarkStart w:id="45" w:name="_Toc437689356"/>
      <w:r>
        <w:t>Riksdagens revisorer</w:t>
      </w:r>
      <w:bookmarkEnd w:id="45"/>
    </w:p>
    <w:p w:rsidR="006700C2" w:rsidRDefault="006700C2">
      <w:pPr>
        <w:pStyle w:val="R4"/>
        <w:spacing w:before="123"/>
        <w:rPr>
          <w:lang w:eastAsia="sv-SE"/>
        </w:rPr>
      </w:pPr>
      <w:r>
        <w:rPr>
          <w:lang w:eastAsia="sv-SE"/>
        </w:rPr>
        <w:t>Propositionen</w:t>
      </w:r>
    </w:p>
    <w:p w:rsidR="006700C2" w:rsidRDefault="006700C2">
      <w:pPr>
        <w:rPr>
          <w:snapToGrid w:val="0"/>
          <w:lang w:eastAsia="sv-SE"/>
        </w:rPr>
      </w:pPr>
      <w:r>
        <w:rPr>
          <w:snapToGrid w:val="0"/>
          <w:lang w:eastAsia="sv-SE"/>
        </w:rPr>
        <w:t xml:space="preserve">Riksdagens revisorer har till uppgift att på riksdagens vägnar granska statlig verksamhet. Riksdagens förvaltningsstyrelse föreslår att ramanslaget </w:t>
      </w:r>
      <w:r>
        <w:rPr>
          <w:i/>
          <w:snapToGrid w:val="0"/>
          <w:lang w:eastAsia="sv-SE"/>
        </w:rPr>
        <w:t>D 1 Riksdagens revisorer</w:t>
      </w:r>
      <w:r>
        <w:rPr>
          <w:snapToGrid w:val="0"/>
          <w:lang w:eastAsia="sv-SE"/>
        </w:rPr>
        <w:t xml:space="preserve"> förs upp med 18,7 miljoner kronor för 1999. Anslaget har därvid räknats upp med 1,7 miljoner kronor till följd av att riksdagen på förslag av konstitutionsutskottet (1997/98:KU27) beslutat, med anledning av Revisionsutredningens förslag, att revisorerna bör tillföras 5 miljoner kronor under en treårsperiod räknat fr.o.m. 1999.</w:t>
      </w:r>
    </w:p>
    <w:p w:rsidR="006700C2" w:rsidRDefault="006700C2">
      <w:pPr>
        <w:pStyle w:val="R4"/>
        <w:rPr>
          <w:snapToGrid w:val="0"/>
          <w:lang w:eastAsia="sv-SE"/>
        </w:rPr>
      </w:pPr>
      <w:r>
        <w:rPr>
          <w:snapToGrid w:val="0"/>
          <w:lang w:eastAsia="sv-SE"/>
        </w:rPr>
        <w:t>Motionen</w:t>
      </w:r>
    </w:p>
    <w:p w:rsidR="006700C2" w:rsidRDefault="006700C2">
      <w:pPr>
        <w:rPr>
          <w:snapToGrid w:val="0"/>
          <w:lang w:eastAsia="sv-SE"/>
        </w:rPr>
      </w:pPr>
      <w:r>
        <w:rPr>
          <w:i/>
          <w:snapToGrid w:val="0"/>
          <w:color w:val="000000"/>
          <w:lang w:eastAsia="sv-SE"/>
        </w:rPr>
        <w:t>Moderata samlingspartiet</w:t>
      </w:r>
      <w:r>
        <w:rPr>
          <w:snapToGrid w:val="0"/>
          <w:color w:val="000000"/>
          <w:lang w:eastAsia="sv-SE"/>
        </w:rPr>
        <w:t xml:space="preserve"> föreslår i </w:t>
      </w:r>
      <w:r>
        <w:rPr>
          <w:i/>
          <w:snapToGrid w:val="0"/>
          <w:color w:val="000000"/>
          <w:lang w:eastAsia="sv-SE"/>
        </w:rPr>
        <w:t>motion Fi507</w:t>
      </w:r>
      <w:r>
        <w:rPr>
          <w:snapToGrid w:val="0"/>
          <w:color w:val="000000"/>
          <w:lang w:eastAsia="sv-SE"/>
        </w:rPr>
        <w:t xml:space="preserve"> att ett nytt obundet rev</w:t>
      </w:r>
      <w:r>
        <w:rPr>
          <w:snapToGrid w:val="0"/>
          <w:color w:val="000000"/>
          <w:lang w:eastAsia="sv-SE"/>
        </w:rPr>
        <w:t>i</w:t>
      </w:r>
      <w:r>
        <w:rPr>
          <w:snapToGrid w:val="0"/>
          <w:color w:val="000000"/>
          <w:lang w:eastAsia="sv-SE"/>
        </w:rPr>
        <w:t xml:space="preserve">sionsorgan inrättas och underställs riksdagen. I den nya myndigheten skall man sammanföra den effektivitetsrevision som Riksrevisionsverket och Riksdagens revisorer i dag ombesörjer. Motionärerna föreslår därför dels att några medel inte anvisas på anslaget </w:t>
      </w:r>
      <w:r>
        <w:rPr>
          <w:i/>
          <w:snapToGrid w:val="0"/>
          <w:color w:val="000000"/>
          <w:lang w:eastAsia="sv-SE"/>
        </w:rPr>
        <w:t>E 1 Riksdagens revisorer</w:t>
      </w:r>
      <w:r>
        <w:rPr>
          <w:snapToGrid w:val="0"/>
          <w:color w:val="000000"/>
          <w:lang w:eastAsia="sv-SE"/>
        </w:rPr>
        <w:t xml:space="preserve"> (yrkande 10), dels att 136</w:t>
      </w:r>
      <w:r>
        <w:t> </w:t>
      </w:r>
      <w:r>
        <w:rPr>
          <w:snapToGrid w:val="0"/>
          <w:color w:val="000000"/>
          <w:lang w:eastAsia="sv-SE"/>
        </w:rPr>
        <w:t xml:space="preserve">682 000 kr anvisas på ett nytt anslag kallat </w:t>
      </w:r>
      <w:r>
        <w:rPr>
          <w:i/>
          <w:snapToGrid w:val="0"/>
          <w:color w:val="000000"/>
          <w:lang w:eastAsia="sv-SE"/>
        </w:rPr>
        <w:t>A 16 Riksrevisorn</w:t>
      </w:r>
      <w:r>
        <w:rPr>
          <w:snapToGrid w:val="0"/>
          <w:color w:val="000000"/>
          <w:lang w:eastAsia="sv-SE"/>
        </w:rPr>
        <w:t xml:space="preserve"> (yrkande 8).</w:t>
      </w:r>
    </w:p>
    <w:p w:rsidR="006700C2" w:rsidRDefault="006700C2">
      <w:pPr>
        <w:pStyle w:val="Rubrik3"/>
      </w:pPr>
      <w:bookmarkStart w:id="46" w:name="_Toc437689357"/>
      <w:r>
        <w:t>Utskottets samlade ställningstagande till anslagen inom utgiftsområde 2</w:t>
      </w:r>
      <w:bookmarkEnd w:id="46"/>
    </w:p>
    <w:p w:rsidR="006700C2" w:rsidRDefault="006700C2">
      <w:r>
        <w:t>På närmast föregående sidor redovisas budgetpropositionens förslag beträ</w:t>
      </w:r>
      <w:r>
        <w:t>f</w:t>
      </w:r>
      <w:r>
        <w:t>fande medelstilldelningen på utgiftsområde 2 samt de motionsförslag som har effekt på denna fördelning. Utskottet övergår nu till att redovisa sin samlade syn på anslagsfördelningen. Prövningen inriktas i första hand på de förslag där skilda meningar framkommit.</w:t>
      </w:r>
    </w:p>
    <w:p w:rsidR="006700C2" w:rsidRDefault="006700C2">
      <w:r>
        <w:t xml:space="preserve">Moderata samlingspartiet anser att delar av </w:t>
      </w:r>
      <w:r>
        <w:rPr>
          <w:i/>
        </w:rPr>
        <w:t>Statskontorets</w:t>
      </w:r>
      <w:r>
        <w:t xml:space="preserve"> verksamhet kan föras över till det nybildade Ekonomistyrningsverket och att resten av Statskontorets verksamhet stegvis skall avvecklas. Anslaget till Statskontoret för 1999 bör därför minskas med närmare en tredjedel.</w:t>
      </w:r>
    </w:p>
    <w:p w:rsidR="006700C2" w:rsidRDefault="006700C2">
      <w:pPr>
        <w:pStyle w:val="Normaltindrag"/>
      </w:pPr>
      <w:r>
        <w:t>Utskottet delar inte motionärernas uppfattning utan anser att Statskontoret fyller en viktig funktion som stabsorgan åt regeringen, inte minst på sådana områden som utvärdering av sektorsövergripande frågor. Utskottet avstyrker därför motion Fi507 (m) yrkande 3.</w:t>
      </w:r>
    </w:p>
    <w:p w:rsidR="006700C2" w:rsidRDefault="006700C2">
      <w:r>
        <w:t xml:space="preserve">När det gäller den registerbaserade </w:t>
      </w:r>
      <w:r>
        <w:rPr>
          <w:i/>
        </w:rPr>
        <w:t>folk- och bostadsräkningen</w:t>
      </w:r>
      <w:r>
        <w:t xml:space="preserve"> vill utskottet erinra om att försöksverksamheten nyligen avslutats. Erfarenheterna från försöksverksamheten visar att det krävs kompletteringar av olika slag för att systemet skall fungera.</w:t>
      </w:r>
    </w:p>
    <w:p w:rsidR="006700C2" w:rsidRDefault="006700C2">
      <w:pPr>
        <w:pStyle w:val="Normaltindrag"/>
      </w:pPr>
      <w:r>
        <w:t>Enligt utskottets mening är det viktigt att en folk- och bostadsräkning g</w:t>
      </w:r>
      <w:r>
        <w:t>e</w:t>
      </w:r>
      <w:r>
        <w:t>nomförs. Kommunerna behöver t.ex. en grundläggande hushållsstatistik för sin planering och resursfördelning. Uppgifterna är också viktiga för bl.a. uppskattning av och forskning om t.ex. arbetsmiljöskador. Regeringen har gett Statistiska centralbyrån (SCB) i uppgift att utreda en alternativ metod för att snarast kunna genomföra nästa folk- och bostadsräkning. Metoden inn</w:t>
      </w:r>
      <w:r>
        <w:t>e</w:t>
      </w:r>
      <w:r>
        <w:t>bär i korthet att SCB utnyttjar register över 1990 års folk- och bostadsrä</w:t>
      </w:r>
      <w:r>
        <w:t>k</w:t>
      </w:r>
      <w:r>
        <w:t>ning som kompletteras med nya uppgifter. Metoden är emellertid</w:t>
      </w:r>
      <w:r>
        <w:t xml:space="preserve"> tillfällig i den meningen att den endast kan utnyttjas för nästa folk- och bostadsräkning. Den ger inte den långsiktiga lösning som den registerbaserade folk- och bostadsräkningen var tänkt att ge. Regeringen har vidare gett Riksskattever</w:t>
      </w:r>
      <w:r>
        <w:t>k</w:t>
      </w:r>
      <w:r>
        <w:t>et (RSV) i uppgift att redovisa åtgärder till förbättringar av folkbokföringen så att den skall kunna ligga till grund för en registerbaserad folk- och b</w:t>
      </w:r>
      <w:r>
        <w:t>o</w:t>
      </w:r>
      <w:r>
        <w:t>stadsräkning. Både SCB:s och RSV:s uppdrag skall redovisas före utgången av år 1998.</w:t>
      </w:r>
    </w:p>
    <w:p w:rsidR="006700C2" w:rsidRDefault="006700C2">
      <w:pPr>
        <w:pStyle w:val="Normaltindrag"/>
      </w:pPr>
      <w:r>
        <w:t>Regeringen uppger i budgetproposi</w:t>
      </w:r>
      <w:r>
        <w:t>tionen att den avser att återkomma till riksdagen med förslag över hur nästa folk- och bostadsräkning skall geno</w:t>
      </w:r>
      <w:r>
        <w:t>m</w:t>
      </w:r>
      <w:r>
        <w:t>föras. Utskottet har inget att erinra mot den föreslagna medelstilldelningen.</w:t>
      </w:r>
    </w:p>
    <w:p w:rsidR="006700C2" w:rsidRDefault="006700C2">
      <w:pPr>
        <w:pStyle w:val="Normaltindrag"/>
      </w:pPr>
      <w:r>
        <w:t>Vad utskottet sagt ovan innebär att utskottet avstyrker förslagen i moti</w:t>
      </w:r>
      <w:r>
        <w:t>o</w:t>
      </w:r>
      <w:r>
        <w:t>nerna Fi507 (m) yrkandena 4 och 5, Fi211 (fp) yrkande 8 i denna del, A292 (v) yrkande 12 och So314 (c) yrkande 5.</w:t>
      </w:r>
    </w:p>
    <w:p w:rsidR="006700C2" w:rsidRDefault="006700C2">
      <w:r>
        <w:t xml:space="preserve">Vad gäller </w:t>
      </w:r>
      <w:r>
        <w:rPr>
          <w:i/>
        </w:rPr>
        <w:t>Nämnden för offentlig upphandling</w:t>
      </w:r>
      <w:r>
        <w:t xml:space="preserve"> (NOU) har regeringen tillka</w:t>
      </w:r>
      <w:r>
        <w:t>l</w:t>
      </w:r>
      <w:r>
        <w:t>lat en särskild utredare som skall se över NOU:s framtida organisation, roll och uppgifter. Utskottet anser att NOU:s verksamhet skall vara oförändrad i avvaktan på resultatet av översynen. Med det anförda avstyrker utskottet motion Fi507 (m) yrkande 6.</w:t>
      </w:r>
    </w:p>
    <w:p w:rsidR="006700C2" w:rsidRDefault="006700C2">
      <w:r>
        <w:t xml:space="preserve">Riksdagen har tidigare ställt sig bakom inrättandet av en </w:t>
      </w:r>
      <w:r>
        <w:rPr>
          <w:i/>
        </w:rPr>
        <w:t xml:space="preserve">Ny myndighet för kvalitetsutveckling och kompetensförsörjning </w:t>
      </w:r>
      <w:r>
        <w:t xml:space="preserve">(bet. 1997/98:KU31, rskr. 1997/98:294). Utskottet anser inte att det finns anledning att föreslå någon ändring av riksdagens tidigare ställningstagande. </w:t>
      </w:r>
    </w:p>
    <w:p w:rsidR="006700C2" w:rsidRDefault="006700C2">
      <w:pPr>
        <w:pStyle w:val="Normaltindrag"/>
      </w:pPr>
      <w:r>
        <w:t>Som framgått ovan har Statens förnyelsefonder finansierats genom bidrag som har avsatts efter förhandlingar mellan Arbetsgivarverket och de centrala arbetstagarorganisationerna på det statliga förhandlingsområdet. På detta sätt anslogs senast 50 miljoner kronor (prop. 1989/90:100 bil. 15, bet. 1</w:t>
      </w:r>
      <w:r>
        <w:t>989/90:AU18, rskr. 1989/90:213). Vid utgången av år 1998 beräknas ou</w:t>
      </w:r>
      <w:r>
        <w:t>t</w:t>
      </w:r>
      <w:r>
        <w:t>nyttjade medel på ramanslaget D 3 Bidrag till förnyelsefonder på det statligt reglerade området, utgiftsområde 14, uppgå till ca 40 miljoner kronor. Av propositionen framgår att regeringen avser att ställa anslaget till den nya myndighetens disposition i enlighet med en överenskommelse mellan A</w:t>
      </w:r>
      <w:r>
        <w:t>r</w:t>
      </w:r>
      <w:r>
        <w:t>betsgivarverket och de centrala arbetstagarorganisati</w:t>
      </w:r>
      <w:r>
        <w:t>o</w:t>
      </w:r>
      <w:r>
        <w:t xml:space="preserve">nerna. </w:t>
      </w:r>
    </w:p>
    <w:p w:rsidR="006700C2" w:rsidRDefault="006700C2">
      <w:pPr>
        <w:pStyle w:val="Normaltindrag"/>
      </w:pPr>
      <w:r>
        <w:t>På grund av det anförda föreslår utskottet att motionerna Fi210 (c) yrkande 5 i denna</w:t>
      </w:r>
      <w:r>
        <w:t xml:space="preserve"> del, Fi211 (fp) yrkande 8 i denna del och Fi507 (m) yrkande 7 avstyrks.</w:t>
      </w:r>
    </w:p>
    <w:p w:rsidR="006700C2" w:rsidRDefault="006700C2">
      <w:r>
        <w:t xml:space="preserve">Moderata samlingspartiet anser i motion Fi507 att </w:t>
      </w:r>
      <w:r>
        <w:rPr>
          <w:i/>
        </w:rPr>
        <w:t>Riksgäldskontoret</w:t>
      </w:r>
      <w:r>
        <w:t xml:space="preserve"> skall minska sin fokusering på hushållsupplåningen och föreslår av denna anle</w:t>
      </w:r>
      <w:r>
        <w:t>d</w:t>
      </w:r>
      <w:r>
        <w:t>ning att kontorets anslag för förvaltningskostnader (B 3) minskas med 5 miljoner kr</w:t>
      </w:r>
      <w:r>
        <w:t>o</w:t>
      </w:r>
      <w:r>
        <w:t>nor de tre åren 1999–2001.</w:t>
      </w:r>
    </w:p>
    <w:p w:rsidR="006700C2" w:rsidRDefault="006700C2">
      <w:pPr>
        <w:pStyle w:val="Normaltindrag"/>
      </w:pPr>
      <w:r>
        <w:t>Riksgäldskontoret har under senare år använt sig av fyra olika låneinstr</w:t>
      </w:r>
      <w:r>
        <w:t>u</w:t>
      </w:r>
      <w:r>
        <w:t>ment vid upplåningen på hushållsmarknaden: premieobligationer, realrä</w:t>
      </w:r>
      <w:r>
        <w:t>n</w:t>
      </w:r>
      <w:r>
        <w:t>teobligationer, riksgäldskonto och allemansspar. När kontoret 1997 fick möjlighet att i egen regi ta emot inlåning på konto från allmänheten kom denna nya upplåningsform – riksgäldsspar – att ersätta såväl riksgäldskonto som allemansspar. I budgetpropositionen framhåller regeringen att Rik</w:t>
      </w:r>
      <w:r>
        <w:t>s</w:t>
      </w:r>
      <w:r>
        <w:t>gäldskontoret skall låna från hushållen bara om denna upplåning – inklusive kontorets administrationskostnader – är billigare än kontorets alternativa</w:t>
      </w:r>
      <w:r>
        <w:t xml:space="preserve"> upplåningsformer. Under de fem senaste åren har kostnaderna för hu</w:t>
      </w:r>
      <w:r>
        <w:t>s</w:t>
      </w:r>
      <w:r>
        <w:t>hållsupplåningen varit lägre än motsvarande upplåning på den nominella värdepappersmarknaden. Utskottet ser därför ingen anledning att begränsa hu</w:t>
      </w:r>
      <w:r>
        <w:t>s</w:t>
      </w:r>
      <w:r>
        <w:t>hållsupplåningen utan avstyrker motion Fi507 (m) yrkande 9.</w:t>
      </w:r>
    </w:p>
    <w:p w:rsidR="006700C2" w:rsidRDefault="006700C2">
      <w:r>
        <w:t xml:space="preserve">Utskottet vill beträffande förslagen i propositionen och motion Fi507 (m) angående </w:t>
      </w:r>
      <w:r>
        <w:rPr>
          <w:i/>
        </w:rPr>
        <w:t>Riksrevisionsverket</w:t>
      </w:r>
      <w:r>
        <w:t xml:space="preserve">, </w:t>
      </w:r>
      <w:r>
        <w:rPr>
          <w:i/>
        </w:rPr>
        <w:t>Ekonomistyrningsverket</w:t>
      </w:r>
      <w:r>
        <w:t xml:space="preserve"> och </w:t>
      </w:r>
      <w:r>
        <w:rPr>
          <w:i/>
        </w:rPr>
        <w:t>Riksdagens rev</w:t>
      </w:r>
      <w:r>
        <w:rPr>
          <w:i/>
        </w:rPr>
        <w:t>i</w:t>
      </w:r>
      <w:r>
        <w:rPr>
          <w:i/>
        </w:rPr>
        <w:t>sorer</w:t>
      </w:r>
      <w:r>
        <w:t xml:space="preserve"> anföra följande.</w:t>
      </w:r>
    </w:p>
    <w:p w:rsidR="006700C2" w:rsidRDefault="006700C2">
      <w:pPr>
        <w:pStyle w:val="Normaltindrag"/>
      </w:pPr>
      <w:r>
        <w:t>Olika aspekter av den statliga revisionen har varit föremål för flera utre</w:t>
      </w:r>
      <w:r>
        <w:t>d</w:t>
      </w:r>
      <w:r>
        <w:t>ningar på senare år. Den senaste var Riksdagens revisionsutredning som avslutade sitt arbete i oktober 1997. I 1997 års budgetproposition (1997/98:1, vol. 2, avsnitt 4.2) redovisade regeringen sina överväganden i fråga om en reformerad stabsorganisation och begärde att riksdagen skulle godkänna bl.a. att Riksrevisionsverkets verksamhet skulle renodlas och koncentreras till de revisionella uppgifterna. Statens ekonomistyrningsfunktion skulle renodlas och en ny myndighet inrättas för ändamålet. Regeringen åt</w:t>
      </w:r>
      <w:r>
        <w:t>erkom sedan med förslag om anslagstilldelning i vårpropositionen (1997/98:150), och den 1 juli 1998 inrättades Ekonomistyrningsverket, medan Riksrevisionsverket fick en renodlad revisionsuppgift. Riksdagen har vid båda tillfällena beslutat i enlighet med regeringens förslag och utskottet finner inte skäl att ompröva dessa beslut så kort tid efter att de tagits. Utskottet vill också anmärka mot att motionärerna föreslår att RRV och Riksdagens revisorer inte tilldelas några medel alls från årsskiftet. Förslag</w:t>
      </w:r>
      <w:r>
        <w:t>et skulle leda till oacceptabla konsekvenser och är orealistiskt eftersom motionärerna inte har beaktat att det krävs en övergångsperiod under vilken de gamla myndigheterna avvecklas och den nya inrättas.</w:t>
      </w:r>
    </w:p>
    <w:p w:rsidR="006700C2" w:rsidRDefault="006700C2">
      <w:pPr>
        <w:pStyle w:val="Normaltindrag"/>
      </w:pPr>
      <w:r>
        <w:rPr>
          <w:snapToGrid w:val="0"/>
          <w:lang w:eastAsia="sv-SE"/>
        </w:rPr>
        <w:t>Med vad utskottet här anfört avstyrks förslagen i motion Fi507 (m) yrka</w:t>
      </w:r>
      <w:r>
        <w:rPr>
          <w:snapToGrid w:val="0"/>
          <w:lang w:eastAsia="sv-SE"/>
        </w:rPr>
        <w:t>n</w:t>
      </w:r>
      <w:r>
        <w:rPr>
          <w:snapToGrid w:val="0"/>
          <w:lang w:eastAsia="sv-SE"/>
        </w:rPr>
        <w:t>dena 1, 2, 8 och 10.</w:t>
      </w:r>
    </w:p>
    <w:p w:rsidR="006700C2" w:rsidRDefault="006700C2">
      <w:r>
        <w:t>I propositionen (yrkande 3) föreslår regeringen att den skall bemyndigas att under år 1999 för</w:t>
      </w:r>
      <w:r>
        <w:rPr>
          <w:i/>
        </w:rPr>
        <w:t xml:space="preserve"> VESTA-projektets</w:t>
      </w:r>
      <w:r>
        <w:t xml:space="preserve"> genomförande göra ekonomiska åtaga</w:t>
      </w:r>
      <w:r>
        <w:t>n</w:t>
      </w:r>
      <w:r>
        <w:t>den som inklusive tidigare åtaganden innebär utgifter på högst 50 miljoner kronor efter år 1999. Utskottet biträder förslaget och förordar att regeringen får det begärda bemyndigandet.</w:t>
      </w:r>
    </w:p>
    <w:p w:rsidR="006700C2" w:rsidRDefault="006700C2">
      <w:r>
        <w:t xml:space="preserve">Kristdemokraterna har i sin kommittémotion Fi505 yrkat på </w:t>
      </w:r>
      <w:r>
        <w:rPr>
          <w:i/>
        </w:rPr>
        <w:t xml:space="preserve">en generell besparing </w:t>
      </w:r>
      <w:r>
        <w:t>om 100 miljoner kronor inom utgiftsområdet utan någon närmare precisering eller diskussion av vilka konsekvenser en sådan åtgärd skulle få på respektive verksamhetsområde. Även Centerpartiet har i sin partimotion Fi210 föreslagit en generell besparing, utan att närmare precisera hur denna besparing skall fördelas på anslagen. Enligt utskottets beräkning bedömer Centerpartiet att en ökad decentralisering skall kunna innebära besparingar om 13 miljoner kronor nästa budgetår. Någon konkre</w:t>
      </w:r>
      <w:r>
        <w:t>tisering av förslaget görs emellertid inte i motionen. Utskottet kan inte tillstyrka sådana oprecis</w:t>
      </w:r>
      <w:r>
        <w:t>e</w:t>
      </w:r>
      <w:r>
        <w:t>rade, svepande b</w:t>
      </w:r>
      <w:r>
        <w:t>e</w:t>
      </w:r>
      <w:r>
        <w:t>sparingar.</w:t>
      </w:r>
    </w:p>
    <w:p w:rsidR="006700C2" w:rsidRDefault="006700C2">
      <w:pPr>
        <w:pStyle w:val="Normaltindrag"/>
      </w:pPr>
      <w:r>
        <w:t>Sammanfattningsvis biträder utskottet regeringens förslag till fördelning av anslagen inom utgiftsområde 2 (yrkande 6) och tillstyrker förslaget i prop</w:t>
      </w:r>
      <w:r>
        <w:t>o</w:t>
      </w:r>
      <w:r>
        <w:t>sitionen om åtaganden för VESTA-projektet (yrkande 3). Samtliga motio</w:t>
      </w:r>
      <w:r>
        <w:t>n</w:t>
      </w:r>
      <w:r>
        <w:t>s</w:t>
      </w:r>
      <w:r>
        <w:softHyphen/>
        <w:t>yrkanden som behandlas i detta sammanhang avstyrks, dvs. motionerna Fi210 (c) yrkande 5, Fi211 (fp) yrkande 8 i denna del, Fi505 (kd), Fi507 (m) yrkandena 1–10, So314 (c) yrkande 5 och A292 (v) yrkande 12.</w:t>
      </w:r>
    </w:p>
    <w:p w:rsidR="006700C2" w:rsidRDefault="006700C2">
      <w:pPr>
        <w:pStyle w:val="Rubrik2"/>
      </w:pPr>
      <w:bookmarkStart w:id="47" w:name="_Toc437689358"/>
      <w:r>
        <w:t>Statens fastighetsverk</w:t>
      </w:r>
      <w:bookmarkEnd w:id="47"/>
    </w:p>
    <w:p w:rsidR="006700C2" w:rsidRDefault="006700C2">
      <w:pPr>
        <w:pStyle w:val="R4"/>
        <w:spacing w:before="123"/>
      </w:pPr>
      <w:r>
        <w:t>Propositionen</w:t>
      </w:r>
    </w:p>
    <w:p w:rsidR="006700C2" w:rsidRDefault="006700C2">
      <w:r>
        <w:t>I propositionen (avsnitt 4.5, yrkande 4) begär regeringen att riksdagen skall godkänna investeringsplanen för Statens fastighetsverk. Vidare föreslås att låneramen om 7 miljarder kronor godkänns (yrkande 5).</w:t>
      </w:r>
    </w:p>
    <w:p w:rsidR="006700C2" w:rsidRDefault="006700C2">
      <w:pPr>
        <w:pStyle w:val="R4"/>
        <w:rPr>
          <w:lang w:eastAsia="sv-SE"/>
        </w:rPr>
      </w:pPr>
      <w:r>
        <w:rPr>
          <w:lang w:eastAsia="sv-SE"/>
        </w:rPr>
        <w:t>Motionen</w:t>
      </w:r>
    </w:p>
    <w:p w:rsidR="006700C2" w:rsidRDefault="006700C2">
      <w:r>
        <w:rPr>
          <w:i/>
        </w:rPr>
        <w:t>Moderata samlingspartiet</w:t>
      </w:r>
      <w:r>
        <w:t xml:space="preserve"> kritiserar i </w:t>
      </w:r>
      <w:r>
        <w:rPr>
          <w:i/>
        </w:rPr>
        <w:t>motion Fi507</w:t>
      </w:r>
      <w:r>
        <w:t xml:space="preserve"> redovisningen i propos</w:t>
      </w:r>
      <w:r>
        <w:t>i</w:t>
      </w:r>
      <w:r>
        <w:t>tionen av investeringsplanen. Beskrivningen av planens innehåll bedöms vara alltför kortfattad för att kunna ligga till grund för riksdagens beslut om investeringsplan och lånebemyndigande. Detta föreslår motionärerna att riksdagen bör ge regeringen som sin mening till känna (yrkande 12).</w:t>
      </w:r>
    </w:p>
    <w:p w:rsidR="006700C2" w:rsidRDefault="006700C2">
      <w:pPr>
        <w:pStyle w:val="R4"/>
      </w:pPr>
      <w:r>
        <w:t>Kompletterande  underlag</w:t>
      </w:r>
    </w:p>
    <w:p w:rsidR="006700C2" w:rsidRDefault="006700C2">
      <w:r>
        <w:t>Utskottet har under ärendets beredning från Finansdepartementet inhämtat en utförlig redogörelse för Statens fastighetsverks investeringsplan.</w:t>
      </w:r>
    </w:p>
    <w:p w:rsidR="006700C2" w:rsidRDefault="006700C2">
      <w:pPr>
        <w:pStyle w:val="R4"/>
      </w:pPr>
      <w:r>
        <w:t>Finansutskottets ställningstagande</w:t>
      </w:r>
    </w:p>
    <w:p w:rsidR="006700C2" w:rsidRDefault="006700C2">
      <w:r>
        <w:t>I årets budgetproposition redovisas investeringar för åren 1997–2001 up</w:t>
      </w:r>
      <w:r>
        <w:t>p</w:t>
      </w:r>
      <w:r>
        <w:t>delade på inrikes och utrikes fastigheter. För år 1999 beräknas investeringa</w:t>
      </w:r>
      <w:r>
        <w:t>r</w:t>
      </w:r>
      <w:r>
        <w:t>na komma att uppgå till sammanlagt knappt 330 miljoner kronor. I budge</w:t>
      </w:r>
      <w:r>
        <w:t>t</w:t>
      </w:r>
      <w:r>
        <w:t>propositionerna redovisas dessutom regelmässigt nya, stora projekt, dvs. de som överstiger 30 miljoner kronor. Inget av de projekt som Statens fasti</w:t>
      </w:r>
      <w:r>
        <w:t>g</w:t>
      </w:r>
      <w:r>
        <w:t>hetsverk planerar för 1999 och som inte tidigare har anmälts till riksdagen har den omfattningen. Utskottet anser att de uppgifter som redovisats i bu</w:t>
      </w:r>
      <w:r>
        <w:t>d</w:t>
      </w:r>
      <w:r>
        <w:t>getpropositionen är relevanta och att den redovisning som utsko</w:t>
      </w:r>
      <w:r>
        <w:t>ttet nu fått är till fyllest. Utskottet anser därför att något tillkännagivande av det slag m</w:t>
      </w:r>
      <w:r>
        <w:t>o</w:t>
      </w:r>
      <w:r>
        <w:t>tionärerna begär inte är p</w:t>
      </w:r>
      <w:r>
        <w:t>å</w:t>
      </w:r>
      <w:r>
        <w:t>kallat.</w:t>
      </w:r>
    </w:p>
    <w:p w:rsidR="006700C2" w:rsidRDefault="006700C2">
      <w:pPr>
        <w:pStyle w:val="Normaltindrag"/>
      </w:pPr>
      <w:r>
        <w:t>Utskottet tillstyrker propositionen i aktuella delar och avstyrker motion Fi507 (m) yrkande 12.</w:t>
      </w:r>
    </w:p>
    <w:p w:rsidR="006700C2" w:rsidRDefault="006700C2">
      <w:pPr>
        <w:pStyle w:val="Rubrik2"/>
      </w:pPr>
      <w:bookmarkStart w:id="48" w:name="_Toc437689359"/>
      <w:r>
        <w:t>Vissa statistikfrågor</w:t>
      </w:r>
      <w:bookmarkEnd w:id="48"/>
    </w:p>
    <w:p w:rsidR="006700C2" w:rsidRDefault="006700C2">
      <w:pPr>
        <w:pStyle w:val="Rubrik3"/>
        <w:spacing w:before="123"/>
      </w:pPr>
      <w:bookmarkStart w:id="49" w:name="_Toc437689360"/>
      <w:r>
        <w:t>Utveckling av BNP-måttet</w:t>
      </w:r>
      <w:bookmarkEnd w:id="49"/>
    </w:p>
    <w:p w:rsidR="006700C2" w:rsidRDefault="006700C2">
      <w:pPr>
        <w:pStyle w:val="R4"/>
        <w:spacing w:before="123"/>
      </w:pPr>
      <w:r>
        <w:t>Motionerna</w:t>
      </w:r>
    </w:p>
    <w:p w:rsidR="006700C2" w:rsidRDefault="006700C2">
      <w:r>
        <w:t>I</w:t>
      </w:r>
      <w:r>
        <w:rPr>
          <w:i/>
        </w:rPr>
        <w:t xml:space="preserve"> motion U704</w:t>
      </w:r>
      <w:r>
        <w:t xml:space="preserve"> av Charlotta L Bjälkebring (v) framhålls att ett införande av nordiska miljöräkenskaper vore ett bra instrument för att minska de geme</w:t>
      </w:r>
      <w:r>
        <w:t>n</w:t>
      </w:r>
      <w:r>
        <w:t>samma koldioxidutsläppen. De nordiska länderna bör också snabbt utreda förutsättningar för att med miljöavgifter styra den nordiska energianvän</w:t>
      </w:r>
      <w:r>
        <w:t>d</w:t>
      </w:r>
      <w:r>
        <w:t>ningen från fossila bränslen över till förnybar och kret</w:t>
      </w:r>
      <w:r>
        <w:t>s</w:t>
      </w:r>
      <w:r>
        <w:t>loppsanpassad energi.</w:t>
      </w:r>
    </w:p>
    <w:p w:rsidR="006700C2" w:rsidRDefault="006700C2">
      <w:pPr>
        <w:pStyle w:val="Normaltindrag"/>
      </w:pPr>
      <w:r>
        <w:rPr>
          <w:i/>
        </w:rPr>
        <w:t>Kristdemokraterna</w:t>
      </w:r>
      <w:r>
        <w:t xml:space="preserve"> anser i </w:t>
      </w:r>
      <w:r>
        <w:rPr>
          <w:i/>
        </w:rPr>
        <w:t>motion MJ238</w:t>
      </w:r>
      <w:r>
        <w:t xml:space="preserve"> att regeringen bör utarbeta en strategi för hur dagens BNP-terminologi kan kompletteras och utvecklas samt hur en miljöjusterad nettonationalprodukt – MNP – kan införas. MNP tar hänsyn till förändringar som uppstår i naturkapitalet som t.ex. skog och fiske, men beaktar också förändringar av det kapital som är skapat av männ</w:t>
      </w:r>
      <w:r>
        <w:t>i</w:t>
      </w:r>
      <w:r>
        <w:t>skan. Sverige bör driva på en internationell metodutveckling som på sikt kan ersätta det gamla BNP-begreppet med det långsiktigt hållbara, enligt moti</w:t>
      </w:r>
      <w:r>
        <w:t>o</w:t>
      </w:r>
      <w:r>
        <w:t xml:space="preserve">närerna. </w:t>
      </w:r>
    </w:p>
    <w:p w:rsidR="006700C2" w:rsidRDefault="006700C2">
      <w:pPr>
        <w:pStyle w:val="Normaltindrag"/>
      </w:pPr>
      <w:r>
        <w:t>I</w:t>
      </w:r>
      <w:r>
        <w:rPr>
          <w:i/>
        </w:rPr>
        <w:t xml:space="preserve"> motion A810</w:t>
      </w:r>
      <w:r>
        <w:t xml:space="preserve"> av Maria Larsson m.fl. (kd) menar motionärerna att sa</w:t>
      </w:r>
      <w:r>
        <w:t>m</w:t>
      </w:r>
      <w:r>
        <w:t>hället måste börja betrakta hemarbete som den viktiga samhällsinsats det verkligen är. Dagens ekonomiska statistik och teorier värdesätter inte oavl</w:t>
      </w:r>
      <w:r>
        <w:t>ö</w:t>
      </w:r>
      <w:r>
        <w:t>nat arbete. Därför bör regeringen ta initiativ till en internationell överen</w:t>
      </w:r>
      <w:r>
        <w:t>s</w:t>
      </w:r>
      <w:r>
        <w:t xml:space="preserve">kommelse om att hemarbete skall räknas in i BNP. </w:t>
      </w:r>
    </w:p>
    <w:p w:rsidR="006700C2" w:rsidRDefault="006700C2">
      <w:pPr>
        <w:pStyle w:val="Normaltindrag"/>
      </w:pPr>
      <w:r>
        <w:rPr>
          <w:i/>
        </w:rPr>
        <w:t>Centerpartiet</w:t>
      </w:r>
      <w:r>
        <w:t xml:space="preserve"> framhåller i </w:t>
      </w:r>
      <w:r>
        <w:rPr>
          <w:i/>
        </w:rPr>
        <w:t>motion So314</w:t>
      </w:r>
      <w:r>
        <w:t xml:space="preserve"> att de svenska nationalräkensk</w:t>
      </w:r>
      <w:r>
        <w:t>a</w:t>
      </w:r>
      <w:r>
        <w:t>perna bör justeras för positiva och negativa effekter på folkhälsan. Brutton</w:t>
      </w:r>
      <w:r>
        <w:t>a</w:t>
      </w:r>
      <w:r>
        <w:t>ti</w:t>
      </w:r>
      <w:r>
        <w:t>o</w:t>
      </w:r>
      <w:r>
        <w:t>nalprodukten (BNP) bör justeras för hälsoeffekter.</w:t>
      </w:r>
    </w:p>
    <w:p w:rsidR="006700C2" w:rsidRDefault="006700C2">
      <w:pPr>
        <w:pStyle w:val="R4"/>
      </w:pPr>
      <w:r>
        <w:t>Finansutskottets ställningstagande</w:t>
      </w:r>
    </w:p>
    <w:p w:rsidR="006700C2" w:rsidRDefault="006700C2">
      <w:r>
        <w:t>Med anledning av motionerna om en utveckling av BNP-begreppet vill u</w:t>
      </w:r>
      <w:r>
        <w:t>t</w:t>
      </w:r>
      <w:r>
        <w:t>skottet anföra följande:</w:t>
      </w:r>
    </w:p>
    <w:p w:rsidR="006700C2" w:rsidRDefault="006700C2">
      <w:pPr>
        <w:pStyle w:val="Normaltindrag"/>
      </w:pPr>
      <w:r>
        <w:t>Dagens system för nationalräkenskaper (NR), i vilken totalmåttet brutt</w:t>
      </w:r>
      <w:r>
        <w:t>o</w:t>
      </w:r>
      <w:r>
        <w:t>nationalprodukt (BNP) ingår, har successivt byggts upp under de senaste 50–60 åren. Räkenskaperna har också alltmer samordnats mellan olika länder i t.ex. FN:s och OECD:s regi. Detta gör att NR och BNP är ett mycket a</w:t>
      </w:r>
      <w:r>
        <w:t>n</w:t>
      </w:r>
      <w:r>
        <w:t>vändbart redskap när det gäller att analysera och belysa ekonomisk tillväxt och konjunkturen i olika länder samt hur ländernas utveckling samvarierar via t.ex. världshandeln och kapitalrörelser. Existensen av ett räkenskapssy</w:t>
      </w:r>
      <w:r>
        <w:softHyphen/>
        <w:t>stem som ger jämförbarhet över tiden och mellan länder är enligt ut</w:t>
      </w:r>
      <w:r>
        <w:t>skottets mening ovärderligt när det gäller möjligheterna att ge underlag för ekon</w:t>
      </w:r>
      <w:r>
        <w:t>o</w:t>
      </w:r>
      <w:r>
        <w:t>misk-politiska åtgärder och frågeställnin</w:t>
      </w:r>
      <w:r>
        <w:t>g</w:t>
      </w:r>
      <w:r>
        <w:t>ar.</w:t>
      </w:r>
    </w:p>
    <w:p w:rsidR="006700C2" w:rsidRDefault="006700C2">
      <w:pPr>
        <w:pStyle w:val="Normaltindrag"/>
      </w:pPr>
      <w:r>
        <w:t>Däremot är det enligt utskottets mening uppenbart att BNP-måttet har ty</w:t>
      </w:r>
      <w:r>
        <w:t>d</w:t>
      </w:r>
      <w:r>
        <w:t>liga brister om det används som ett mått på välfärden i samhället. Viktiga delar av välfärden fångas t.ex. inte upp i BNP-beräkningarna. Dessutom värderas inte den välfärdsminskning som tillväxten kan ge upphov till. Tr</w:t>
      </w:r>
      <w:r>
        <w:t>a</w:t>
      </w:r>
      <w:r>
        <w:t>fikolyckor leder t.ex. till en högre ekonomisk aktivitet som höjer värdet på BNP, medan skadorna på människor och föremål inte bokförs som värd</w:t>
      </w:r>
      <w:r>
        <w:t>e</w:t>
      </w:r>
      <w:r>
        <w:t xml:space="preserve">minskningar. BNP-måttet avspeglar inte heller de skador på naturen, såsom t.ex. försurning, skador på ozonlagret eller utarmning av den biologiska </w:t>
      </w:r>
      <w:r>
        <w:t>mångfalden, som tillväxten kan medföra. I NR-systemet inräknas i huvudsak enbart produktion och distribution av varor och tjänster som prissätts på en marknad. Dessutom ingår offentliga myndigheters och vissa organisationers produktion av tjänster (dessa värderas från kostnadssidan eftersom de oftast saknar ett marknadspris). Detta innebär bl.a. att hemarbete i olika former inte räknas in i BNP. Däremot ingår denna typ av tjänster när de tillhandahålls av företag och kommuner. Vilken organisationsform tjäns</w:t>
      </w:r>
      <w:r>
        <w:t>teproduktionen har är alltså avgörande för om produktionen räknas in i NR-systemet. Detta gör att jämförelser mellan länder tenderar att bli missvisande, eftersom produkti</w:t>
      </w:r>
      <w:r>
        <w:t>o</w:t>
      </w:r>
      <w:r>
        <w:t>nen utanför marknaden kan skilja sig åt mellan länderna. Inom den nation</w:t>
      </w:r>
      <w:r>
        <w:t>a</w:t>
      </w:r>
      <w:r>
        <w:t>l</w:t>
      </w:r>
      <w:r>
        <w:softHyphen/>
        <w:t>ekonomiska forskningen finns vidare en skola som menar att välfärd och ekonomisk utveckling inte bör mätas i termer av löpande produktion och inkomster, utan att en sådan värdering bör göras med utgångspunkt i landets resurser, dvs. nationalförmöge</w:t>
      </w:r>
      <w:r>
        <w:t>n</w:t>
      </w:r>
      <w:r>
        <w:t>heten.</w:t>
      </w:r>
    </w:p>
    <w:p w:rsidR="006700C2" w:rsidRDefault="006700C2">
      <w:r>
        <w:t>Enligt ut</w:t>
      </w:r>
      <w:r>
        <w:t>skottets mening är det knappast möjligt att skapa ett samlat och enhetligt BNP-mått som inkluderar och värderar all ekonomisk aktivitet och korrigerar för alla effekter som tillväxten skapar. Risken med en sådan u</w:t>
      </w:r>
      <w:r>
        <w:t>t</w:t>
      </w:r>
      <w:r>
        <w:t>veckling är att värdet av BNP-måttets ursprungliga roll som ett makroek</w:t>
      </w:r>
      <w:r>
        <w:t>o</w:t>
      </w:r>
      <w:r>
        <w:t xml:space="preserve">nomisk analysverktyg försämras drastiskt. </w:t>
      </w:r>
    </w:p>
    <w:p w:rsidR="006700C2" w:rsidRDefault="006700C2">
      <w:pPr>
        <w:pStyle w:val="Normaltindrag"/>
      </w:pPr>
      <w:r>
        <w:t>Den internationella trenden under de senaste tio åren har i stället varit att vid sidan av BNP-måttet utveckla kompletterande räkenskaper inom spec</w:t>
      </w:r>
      <w:r>
        <w:t>i</w:t>
      </w:r>
      <w:r>
        <w:t>ella områden, s.k. satelliträkenskaper. Ett belysande exempel på detta är den pågående utvecklingen av miljöräkenskaperna, som för svensk del är ett gemensamt projekt mellan Naturvårdsverket (NV), Konjunkturinstitutet (KI) och Statistiska centralbyrån (SCB). NV:s uppdrag är att utveckla indikatorer och index som ger en bild av tillståndet i det svenska ekosystemet och hur det förändras. KI har till uppgift att utveckla modeller som kan användas för analyser om sambanden mellan ekonomi och miljö. KI skall v</w:t>
      </w:r>
      <w:r>
        <w:t>idare göra värderingsstudier av vad t.ex. utsläppen betyder i reda pengar. Dessutom gör KI effektivitetsstudier av miljöteknik, i den meningen att den miljöteknik som används i Sverige ställs mot den som är bäst, en s.k. benchmark-analys. SCB:s bidrag ligger främst i att utveckla de fysiska miljöräkenskaperna – ett statistiskt system som kopplar samman miljöstatistiken med den ekonomiska statistiken. Inom SCB pågår också arbete med att uppskatta kostnaderna för milj</w:t>
      </w:r>
      <w:r>
        <w:t>ö</w:t>
      </w:r>
      <w:r>
        <w:t>skydd.</w:t>
      </w:r>
    </w:p>
    <w:p w:rsidR="006700C2" w:rsidRDefault="006700C2">
      <w:pPr>
        <w:pStyle w:val="Normaltindrag"/>
      </w:pPr>
      <w:r>
        <w:t>Utskottet har vid ett flertal till</w:t>
      </w:r>
      <w:r>
        <w:t>fällen behandlat miljöräkenskaperna (senaste bet. 1997/98:FiU2). Enligt utskottets mening är detta ett mycket viktigt och intressant projekt. Projektet är emellertid långsiktigt och arbetet är fortfara</w:t>
      </w:r>
      <w:r>
        <w:t>n</w:t>
      </w:r>
      <w:r>
        <w:t>de inriktat på forskning och metodutveckling. Under 1998 har dock projektet tagit flera steg framåt.  Bl.a. har alla rapporter som publicerats sedan proje</w:t>
      </w:r>
      <w:r>
        <w:t>k</w:t>
      </w:r>
      <w:r>
        <w:t>tet drogs i gång 1992/93 publicerats i en gemensam rapportserie. De senaste två till tre åren har SCB ändrat räkenskapssystemet i NR, vilket medfört att st</w:t>
      </w:r>
      <w:r>
        <w:t>atistikproduktionen på bl.a. miljöområdet fördröjts. Anpassningen av NR är nu i stort sett genomförd, vilket gör att produktionen av miljöstatistik ökar. I december 1998 publicerar SCB den första heltäckande indikatorrapporten där miljödata för olika branscher kopplas samman med ekonomiska data i respektive bransch. Miljöuppgifter som energianvändning, andel fossila bränslen, utsläpp till vatten och luft, avfall, vattenåtgång etc. ställs mot bra</w:t>
      </w:r>
      <w:r>
        <w:t>n</w:t>
      </w:r>
      <w:r>
        <w:t>schens förädlingsvärde, sysselsättning, utrikeshandel, miljösk</w:t>
      </w:r>
      <w:r>
        <w:t>yddskostnader etc. SCB planerar också att under nästa år redovisa uppgifter om ”gröna jobb” – hur många personer som är sysselsatta med miljöarbete och inom vilka områden.</w:t>
      </w:r>
    </w:p>
    <w:p w:rsidR="006700C2" w:rsidRDefault="006700C2">
      <w:pPr>
        <w:pStyle w:val="Normaltindrag"/>
      </w:pPr>
      <w:r>
        <w:t>Att miljöräkenskaperna är ett viktigt projekt för svensk del framgår enligt utskottets mening bl.a. av att regeringen i budgetpropositionen anger att en arbetsgrupp tillsätts inom Finansdepartementet för att följa NV:s, KI:s och SCB:s arbete med miljöräkenskaperna.</w:t>
      </w:r>
    </w:p>
    <w:p w:rsidR="006700C2" w:rsidRDefault="006700C2">
      <w:pPr>
        <w:pStyle w:val="Normaltindrag"/>
      </w:pPr>
      <w:r>
        <w:t>Utskottet vill i sammanhanget erinra om att utvecklingen av miljöräke</w:t>
      </w:r>
      <w:r>
        <w:t>n</w:t>
      </w:r>
      <w:r>
        <w:t>skaper i hög grad också är ett internationellt projekt. I FN, EU och OECD pågår flera olika projekt för att driva på utvecklingen av miljöräkenskaper. Den preliminära handbok i miljöräkenskapssystem som FN publicerade i början av 1990-talet revideras nu av den s.k. Londongruppen, i vilken Sver</w:t>
      </w:r>
      <w:r>
        <w:t>i</w:t>
      </w:r>
      <w:r>
        <w:t>ge ingår tillsammans med de flesta västländer inklusive Japan och Austral</w:t>
      </w:r>
      <w:r>
        <w:t>i</w:t>
      </w:r>
      <w:r>
        <w:t>en. Vidare har i Nordiska ministerrådets regi utarbetats rapporter kring bl.a. miljöeffekter i det nordiska fisket och den nordiska skogshant</w:t>
      </w:r>
      <w:r>
        <w:t>e</w:t>
      </w:r>
      <w:r>
        <w:t>ringen.</w:t>
      </w:r>
    </w:p>
    <w:p w:rsidR="006700C2" w:rsidRDefault="006700C2">
      <w:pPr>
        <w:pStyle w:val="Normaltindrag"/>
      </w:pPr>
      <w:r>
        <w:t>Utskottet vill också erinra om att regeringen avser att presentera en up</w:t>
      </w:r>
      <w:r>
        <w:t>p</w:t>
      </w:r>
      <w:r>
        <w:t>sättning av s.k. gröna nyckeltal mot bakgrund av det arbete som görs i Milj</w:t>
      </w:r>
      <w:r>
        <w:t>ö</w:t>
      </w:r>
      <w:r>
        <w:t>vårdsberedningen.</w:t>
      </w:r>
    </w:p>
    <w:p w:rsidR="006700C2" w:rsidRDefault="006700C2">
      <w:r>
        <w:t>Enligt utskottets mening finns det inget som i princip hindrar att komplett</w:t>
      </w:r>
      <w:r>
        <w:t>e</w:t>
      </w:r>
      <w:r>
        <w:t>rande uppgifter eller satelliträkenskaper även tas fram för t.ex. den ekon</w:t>
      </w:r>
      <w:r>
        <w:t>o</w:t>
      </w:r>
      <w:r>
        <w:t>miska tillväxtens effekter på folkhälsan eller för värdering av den produktion som sker utanför marknaden. Utskottet kan dock konstatera att det finns stora problem när det gäller att värdera och mäta omfattningen av hushållens he</w:t>
      </w:r>
      <w:r>
        <w:t>m</w:t>
      </w:r>
      <w:r>
        <w:t>arbete. Vid enstaka tillfällen har SCB genomfört s.k. tidsanvändningsstudier för hushåll, där den tidsmässiga omfattningen av hemarbetet kunnat berä</w:t>
      </w:r>
      <w:r>
        <w:t>k</w:t>
      </w:r>
      <w:r>
        <w:t>nas. Regeringen anger i budgetpropositionen att SCB skal</w:t>
      </w:r>
      <w:r>
        <w:t>l ges i uppdrag att utföra en ny nationell tidsanvändningsstudie. Enligt uppgifter från SCB pågår emellertid inga internationella projekt för att skapa ett kompletterande räkenskapssystem för t.ex. hemarb</w:t>
      </w:r>
      <w:r>
        <w:t>e</w:t>
      </w:r>
      <w:r>
        <w:t>te.</w:t>
      </w:r>
    </w:p>
    <w:p w:rsidR="006700C2" w:rsidRDefault="006700C2">
      <w:r>
        <w:t>Ett av de mått som ofta används för att göra jämförelser av välfärden i olika länder är OECD:s s.k. köpkraftskorrigerade BNP-statistik per capita, ibland något oegentligt kallad ”OECD:s välfärdsliga”. Utskottet har tidigare b</w:t>
      </w:r>
      <w:r>
        <w:t>e</w:t>
      </w:r>
      <w:r>
        <w:t>handlat denna statistik (senast i bet. 1998/99:FiU1) och påpekat att måttet bör användas med stor försiktighet. Den statistiska osäkerheten är stor, och som framförts ovan har BNP-måttet stora brister som välfärdsmått. Däremot finns det andra undersökningar som kan komplettera OECD:s mått. En sådan undersökning är den rapport om utvecklingsnivån i världen som FN:s u</w:t>
      </w:r>
      <w:r>
        <w:t>t</w:t>
      </w:r>
      <w:r>
        <w:t>vecklingsorgan, UNDP, publicerar varje år.  I rapporten publiceras t.ex. listor och mått över vilka länder som har lägst fattigdom och hur utv</w:t>
      </w:r>
      <w:r>
        <w:t>ecklad jä</w:t>
      </w:r>
      <w:r>
        <w:t>m</w:t>
      </w:r>
      <w:r>
        <w:t>ställdheten är. UNDP publicerar också ett generellt mått över utvecklingsn</w:t>
      </w:r>
      <w:r>
        <w:t>i</w:t>
      </w:r>
      <w:r>
        <w:t>vån i länderna. Utvecklingsnivån mäts genom en sammanvägning av tre indikatorer – förväntad livslängd hos nyfödda, utbildningsnivå i form av läskunnighet hos vuxna och andelen inskrivna på grundskole-, gymnasie- och eftergymnasial nivå samt den köpkraftskorrigerade bruttonationalpr</w:t>
      </w:r>
      <w:r>
        <w:t>o</w:t>
      </w:r>
      <w:r>
        <w:t xml:space="preserve">dukten per capita. Även om dessa undersökningar också innehåller ett stort mått av osäkerhet, kan de fungera som en gott komplement till OECD:s </w:t>
      </w:r>
      <w:r>
        <w:t xml:space="preserve">BNP-jämförelse. </w:t>
      </w:r>
    </w:p>
    <w:p w:rsidR="006700C2" w:rsidRDefault="006700C2">
      <w:pPr>
        <w:pStyle w:val="Normaltindrag"/>
      </w:pPr>
      <w:r>
        <w:t>Det är också utskottets förhoppning att miljöräkenskaperna om fem till tio år kan bidra till att bredda och ytterligare fördjupa välfärdsmåtten.</w:t>
      </w:r>
    </w:p>
    <w:p w:rsidR="006700C2" w:rsidRDefault="006700C2">
      <w:pPr>
        <w:pStyle w:val="Normaltindrag"/>
      </w:pPr>
      <w:r>
        <w:t>Med anledning av vad som anförts ovan avstyrks förslagen i motionerna U704 (v) yrkande 5, A810 (kd) yrkande 4, MJ238 (kd) yrkande 4 och So314 (c) yrkande 1.</w:t>
      </w:r>
    </w:p>
    <w:p w:rsidR="006700C2" w:rsidRDefault="006700C2">
      <w:pPr>
        <w:pStyle w:val="Rubrik3"/>
      </w:pPr>
      <w:bookmarkStart w:id="50" w:name="_Toc437689361"/>
      <w:r>
        <w:t>Utveckling av fördelningsstatistiken</w:t>
      </w:r>
      <w:bookmarkEnd w:id="50"/>
    </w:p>
    <w:p w:rsidR="006700C2" w:rsidRDefault="006700C2">
      <w:pPr>
        <w:pStyle w:val="R4"/>
        <w:spacing w:before="123"/>
      </w:pPr>
      <w:r>
        <w:t>Motionerna</w:t>
      </w:r>
    </w:p>
    <w:p w:rsidR="006700C2" w:rsidRDefault="006700C2">
      <w:r>
        <w:t xml:space="preserve">I </w:t>
      </w:r>
      <w:r>
        <w:rPr>
          <w:i/>
        </w:rPr>
        <w:t>motion Fi901</w:t>
      </w:r>
      <w:r>
        <w:t xml:space="preserve"> av Berndt Sköldestig och Inge Carlsson (s) efterlyses en god och allsidig statistik över förmögenheter och förmögenhetsutvecklingen. Det saknas statistik över hushållens tillgångar och skulder, enligt motionärerna. Den svenska debatten om fördelning av ekonomiska resurser och ekonomisk makt blir ofullständig när förmöge</w:t>
      </w:r>
      <w:r>
        <w:t>n</w:t>
      </w:r>
      <w:r>
        <w:t xml:space="preserve">hetsuppgifter saknas. </w:t>
      </w:r>
    </w:p>
    <w:p w:rsidR="006700C2" w:rsidRDefault="006700C2">
      <w:pPr>
        <w:pStyle w:val="Normaltindrag"/>
      </w:pPr>
      <w:r>
        <w:t xml:space="preserve">I </w:t>
      </w:r>
      <w:r>
        <w:rPr>
          <w:i/>
        </w:rPr>
        <w:t>motion Fi205</w:t>
      </w:r>
      <w:r>
        <w:t xml:space="preserve"> av Ingrid Burman m.fl. (v) framhålls att en ny låg- och höginkomstutredning bör genomföras. Statistiken visar, enligt motionärerna, att inkomstskillnaderna mellan olika grupper ökat under 1980- och 1990-talen. Till skillnad från den gamla låginkomstutredningen från 1960-talet bör en ny utredning även uppmärksamma höga inkomster och förmögenheter. Utredningen bör också redovisa skilln</w:t>
      </w:r>
      <w:r>
        <w:t>a</w:t>
      </w:r>
      <w:r>
        <w:t>der mellan män och kvinnor.</w:t>
      </w:r>
    </w:p>
    <w:p w:rsidR="006700C2" w:rsidRDefault="006700C2">
      <w:pPr>
        <w:pStyle w:val="Normaltindrag"/>
      </w:pPr>
      <w:r>
        <w:rPr>
          <w:i/>
        </w:rPr>
        <w:t>Miljöpartiet</w:t>
      </w:r>
      <w:r>
        <w:t xml:space="preserve"> anser i</w:t>
      </w:r>
      <w:r>
        <w:rPr>
          <w:i/>
        </w:rPr>
        <w:t xml:space="preserve"> motion A807</w:t>
      </w:r>
      <w:r>
        <w:t xml:space="preserve"> att den könsuppdelade statistik som St</w:t>
      </w:r>
      <w:r>
        <w:t>a</w:t>
      </w:r>
      <w:r>
        <w:t>tistiska centralbyrån producerar konsekvent bör användas när förslag till förändringar i lagstiftningen framförs. Könsuppdelad statistik bör även tas fram och användas i de statliga utredningar där det är relevant.</w:t>
      </w:r>
    </w:p>
    <w:p w:rsidR="006700C2" w:rsidRDefault="006700C2">
      <w:pPr>
        <w:pStyle w:val="R4"/>
      </w:pPr>
      <w:r>
        <w:t>Finansutskottets ställningstagande</w:t>
      </w:r>
    </w:p>
    <w:p w:rsidR="006700C2" w:rsidRDefault="006700C2">
      <w:r>
        <w:t>I internationell jämförelse har Sverige ett mycket väl utvecklat statistiksy</w:t>
      </w:r>
      <w:r>
        <w:softHyphen/>
        <w:t xml:space="preserve">stem och omfattande forskning för att följa fördelningen av ekonomiska resurser. </w:t>
      </w:r>
    </w:p>
    <w:p w:rsidR="006700C2" w:rsidRDefault="006700C2">
      <w:pPr>
        <w:pStyle w:val="Normaltindrag"/>
      </w:pPr>
      <w:r>
        <w:t>Statistiska centralbyrån (SCB) genomför årligen en omfattande och grun</w:t>
      </w:r>
      <w:r>
        <w:t>d</w:t>
      </w:r>
      <w:r>
        <w:t>lig undersökning av hushållens disponibla inkomster (HINK) som redovisas i särskilda statistikmeddelanden. HINK används också till omfattande förde</w:t>
      </w:r>
      <w:r>
        <w:t>l</w:t>
      </w:r>
      <w:r>
        <w:t>ningsforskning vid olika institutioner i landet och vid uppdrag till myndi</w:t>
      </w:r>
      <w:r>
        <w:t>g</w:t>
      </w:r>
      <w:r>
        <w:t>heter och intresseorganisationer. Genom den heltäckande inkomst- och fö</w:t>
      </w:r>
      <w:r>
        <w:t>r</w:t>
      </w:r>
      <w:r>
        <w:t>mögenhetsstatistiken följs fördelningen av taxerade inkomster, skatter, b</w:t>
      </w:r>
      <w:r>
        <w:t>i</w:t>
      </w:r>
      <w:r>
        <w:t>drag och tran</w:t>
      </w:r>
      <w:r>
        <w:t>s</w:t>
      </w:r>
      <w:r>
        <w:t>fereringar.</w:t>
      </w:r>
    </w:p>
    <w:p w:rsidR="006700C2" w:rsidRDefault="006700C2">
      <w:pPr>
        <w:pStyle w:val="Normaltindrag"/>
      </w:pPr>
      <w:r>
        <w:t>SCB följer också fördelningen med hjälp av undersökningen om levnad</w:t>
      </w:r>
      <w:r>
        <w:t>s</w:t>
      </w:r>
      <w:r>
        <w:t>förhållanden (ULF). Från ULF publiceras löpande rapporter om befolknin</w:t>
      </w:r>
      <w:r>
        <w:t>g</w:t>
      </w:r>
      <w:r>
        <w:t>ens levnadsförhållanden i ett antal avseenden. Andra undersökningar som används vid analyser av den ekonomiska fördelningen är undersökningen av hushållens utgifter samt hyres- och bostadsundersökningen. En ny omfatta</w:t>
      </w:r>
      <w:r>
        <w:t>n</w:t>
      </w:r>
      <w:r>
        <w:t>de paneldatabas för individernas och hushållens inkomster har nyligen byggts upp genom ett samarbete mellan Uppsala universitet, Riksförsä</w:t>
      </w:r>
      <w:r>
        <w:t>k</w:t>
      </w:r>
      <w:r>
        <w:t>ringsverket, Finansdepartementet och SCB med särskild finansiering från olika forsk</w:t>
      </w:r>
      <w:r>
        <w:t>ningsstiftelser. Databasen används bl.a. för studier av inkomströ</w:t>
      </w:r>
      <w:r>
        <w:t>r</w:t>
      </w:r>
      <w:r>
        <w:t>lighet, socialbidragsberoende osv. SCB medverkar med dataunderlag till internationella forskningsorgan som bl.a. har en omfattande jämförande forskning, t.ex. Luxembourg Income Study. Även OECD genomför numera omfattande studier av inkomstfördelningens utveckling i medlemsländerna.</w:t>
      </w:r>
    </w:p>
    <w:p w:rsidR="006700C2" w:rsidRDefault="006700C2">
      <w:pPr>
        <w:pStyle w:val="Normaltindrag"/>
      </w:pPr>
      <w:r>
        <w:t>Institutet för social forskning (SOFI) har en omfattande forskningsver</w:t>
      </w:r>
      <w:r>
        <w:t>k</w:t>
      </w:r>
      <w:r>
        <w:t>samhet främst baserad på  SOFI:s levnadsnivåundersökningar. Ett betydande antal studier har under de senaste åren redovisats om inkomströrlighet, i</w:t>
      </w:r>
      <w:r>
        <w:t>n</w:t>
      </w:r>
      <w:r>
        <w:t>komstskillnader mellan män och kvinnor, inkomstutjämning och fattigdom i västeuropeiska länder, trenderna i den svenska inkomstfördelningen osv. Även vid Umeå, Lunds, Göteborgs m.fl. universitet genomförs forskning om fattigdom och inkomstklyftor. Flera myndigheter, bl.a. Socialstyrelsen och Riksförsäkringsverket, har under senare år genomfört egna studier av h</w:t>
      </w:r>
      <w:r>
        <w:t>ur inkomstomfördelningen fungerar i Sverige. Socialstyrelsen genomför på regeringens uppdrag regelbundet en omfattande analys av sociala förhålla</w:t>
      </w:r>
      <w:r>
        <w:t>n</w:t>
      </w:r>
      <w:r>
        <w:t>den (Social rapport). Expertgruppen för studier i offentlig ekonomi (ESO) har låtit genomföra ett flertal fördelningsstudier bl.a. om skatters och transf</w:t>
      </w:r>
      <w:r>
        <w:t>e</w:t>
      </w:r>
      <w:r>
        <w:t>reringars omfördelning över livscykeln.</w:t>
      </w:r>
    </w:p>
    <w:p w:rsidR="006700C2" w:rsidRDefault="006700C2">
      <w:r>
        <w:t>Fördelningspolitiska analyser ingår sedan snart tio år rutinmässigt i regerin</w:t>
      </w:r>
      <w:r>
        <w:t>g</w:t>
      </w:r>
      <w:r>
        <w:t>ens beslutsunderlag vid viktiga regeländringar i skatte- och transferering</w:t>
      </w:r>
      <w:r>
        <w:t>s</w:t>
      </w:r>
      <w:r>
        <w:t>systemet. Beräkningarna omfattar utfallet för olika grupper samt olika sa</w:t>
      </w:r>
      <w:r>
        <w:t>m</w:t>
      </w:r>
      <w:r>
        <w:t>manfattande mått på inkomstspridningen. Beräkningarna omfattar också budget- och marginaleffekter. Resultaten redovisas bl.a. i utredningsbetä</w:t>
      </w:r>
      <w:r>
        <w:t>n</w:t>
      </w:r>
      <w:r>
        <w:t xml:space="preserve">kanden och propositioner. </w:t>
      </w:r>
    </w:p>
    <w:p w:rsidR="006700C2" w:rsidRDefault="006700C2">
      <w:r>
        <w:t>Regeringen följer och analyserar inkomstfördelningen och utvecklingen för olika  grupper och redovisar resultaten till riksdagen i särskilda  fördelning</w:t>
      </w:r>
      <w:r>
        <w:t>s</w:t>
      </w:r>
      <w:r>
        <w:t>politiska redogörelser som sedan 1994 bilagts budget- och vårpropositione</w:t>
      </w:r>
      <w:r>
        <w:t>r</w:t>
      </w:r>
      <w:r>
        <w:t>na. Undersökningarna omfattar bl.a. fördelningseffekter av offentlig ko</w:t>
      </w:r>
      <w:r>
        <w:t>n</w:t>
      </w:r>
      <w:r>
        <w:t>sumtion, inkomstfördelningens långsiktiga utveckling, fördelningseffekter av saneringsprogrammet, inkomstutvecklingen för olika grupper under 1990-talet, internationella jämförelser av inkomstspridningen. I den senaste förde</w:t>
      </w:r>
      <w:r>
        <w:t>l</w:t>
      </w:r>
      <w:r>
        <w:t>ningspolitiska redogörelsen redovisas dels hur inkomströrligheten har ändrats sedan 1970-talet, dels utvecklingen av inkomstspridningen  199</w:t>
      </w:r>
      <w:r>
        <w:t>1–1996 med en framskrivning t.o.m. 1998 (bil. 5, prop. 1998/99:1). Som framgår av den reviderade finansplanen (avsnitt 1.7) till  budgetpropositionen för 1999 avser regeringen också att uppdra åt Statistiska centralbyrån att genomföra unde</w:t>
      </w:r>
      <w:r>
        <w:t>r</w:t>
      </w:r>
      <w:r>
        <w:t>sökningar av  förmögenhetsfördelningen och den offentliga konsumti</w:t>
      </w:r>
      <w:r>
        <w:t>o</w:t>
      </w:r>
      <w:r>
        <w:t xml:space="preserve">nen. </w:t>
      </w:r>
    </w:p>
    <w:p w:rsidR="006700C2" w:rsidRDefault="006700C2">
      <w:pPr>
        <w:pStyle w:val="Normaltindrag"/>
      </w:pPr>
      <w:r>
        <w:t>Jämställdheten är också prioriterad i regeringens arbete. Ett omfattande u</w:t>
      </w:r>
      <w:r>
        <w:t>t</w:t>
      </w:r>
      <w:r>
        <w:t>redningsarbete har genomförts nu senast inom Kvinnomaktsutredningen som också innehåller omfattande statistiska analyser. Inom SCB redovisas rege</w:t>
      </w:r>
      <w:r>
        <w:t>l</w:t>
      </w:r>
      <w:r>
        <w:t>bundet statistik som belyser löner och inkomster för kvinnor och män. Vid de fördelningsanalyser som utförs av Finansdepartementets fördelningspolitiska enhet sker rutinmässigt redovisning med uppdelning på kön. Varje år uta</w:t>
      </w:r>
      <w:r>
        <w:t>r</w:t>
      </w:r>
      <w:r>
        <w:t>betas en särskild bilaga för att belysa den ekonomiska situationen för män och kvinnor som bifogas regeringens budgetförslag. Nya resurser b</w:t>
      </w:r>
      <w:r>
        <w:t>ehöver dock tillföras. Enligt den reviderade finansplanen avser regeringen att tillföra medel till SCB för att förbättra lönestatistiken och metoderna för jämställ</w:t>
      </w:r>
      <w:r>
        <w:t>d</w:t>
      </w:r>
      <w:r>
        <w:t>hetsbokslut.</w:t>
      </w:r>
    </w:p>
    <w:p w:rsidR="006700C2" w:rsidRDefault="006700C2">
      <w:r>
        <w:t>Utskottet vill för sin del understryka hur viktigt det är att jämställdhet även i fortsättningen är en fråga med högsta prioritet. Utskottet konstaterar också med tillfredsställelse att fördelningspolitiken och rättvisefrågorna tilldrar sig allt större intresse och betonas i regeringsförklaringen. Den ekonomiska krisen och arbetslösh</w:t>
      </w:r>
      <w:r>
        <w:t>eten har skapat tendenser till ökade inkomstklyftor. Det är därför angeläget att analyserna av fördelningen av den ekonomiska välfä</w:t>
      </w:r>
      <w:r>
        <w:t>r</w:t>
      </w:r>
      <w:r>
        <w:t>den successivt breddas och fördjupas. Utskottet anser att regeringen vid lämpligt tillfälle t.ex. i en kommande budgetproposition bör redovisa hur detta arbete fortskrider.</w:t>
      </w:r>
    </w:p>
    <w:p w:rsidR="006700C2" w:rsidRDefault="006700C2">
      <w:pPr>
        <w:pStyle w:val="Normaltindrag"/>
      </w:pPr>
      <w:r>
        <w:t xml:space="preserve">Vad utskottet här anfört med anledning av motion Fi901 (s), Fi205 (v) och A807 (mp) yrkande 4 bör riksdagen som sin mening ge regeringen till känna. </w:t>
      </w:r>
    </w:p>
    <w:p w:rsidR="006700C2" w:rsidRDefault="006700C2">
      <w:pPr>
        <w:pStyle w:val="Normaltindrag"/>
      </w:pPr>
    </w:p>
    <w:p w:rsidR="006700C2" w:rsidRDefault="006700C2">
      <w:pPr>
        <w:pStyle w:val="Rubrik2"/>
        <w:spacing w:before="0"/>
      </w:pPr>
      <w:bookmarkStart w:id="51" w:name="Nästa_Hpunkt"/>
      <w:bookmarkEnd w:id="51"/>
      <w:r>
        <w:br w:type="page"/>
      </w:r>
      <w:bookmarkStart w:id="52" w:name="_Toc437689362"/>
      <w:r>
        <w:t>Hemställan</w:t>
      </w:r>
      <w:bookmarkEnd w:id="52"/>
    </w:p>
    <w:p w:rsidR="006700C2" w:rsidRDefault="006700C2">
      <w:r>
        <w:t>Utskottet hemställer</w:t>
      </w:r>
    </w:p>
    <w:p w:rsidR="006700C2" w:rsidRDefault="006700C2">
      <w:pPr>
        <w:pStyle w:val="hembetr"/>
        <w:spacing w:before="123"/>
      </w:pPr>
      <w:r>
        <w:t xml:space="preserve">1. beträffande </w:t>
      </w:r>
      <w:r>
        <w:rPr>
          <w:i/>
        </w:rPr>
        <w:t>det nya målet avseende Premiepensionsmyndigheten</w:t>
      </w:r>
    </w:p>
    <w:p w:rsidR="006700C2" w:rsidRDefault="006700C2">
      <w:pPr>
        <w:pStyle w:val="hemtext"/>
      </w:pPr>
      <w:r>
        <w:t>att riksdagen med bifall till proposition 1998/99:1 utgiftsområde 2 y</w:t>
      </w:r>
      <w:r>
        <w:t>r</w:t>
      </w:r>
      <w:r>
        <w:t>kande 2 godkänner det nya målet avseende Premiepensionsmyndi</w:t>
      </w:r>
      <w:r>
        <w:t>g</w:t>
      </w:r>
      <w:r>
        <w:t xml:space="preserve">heten som regeringen förordar,     </w:t>
      </w:r>
      <w:bookmarkStart w:id="53" w:name="RESPARTI001"/>
      <w:bookmarkEnd w:id="53"/>
    </w:p>
    <w:p w:rsidR="006700C2" w:rsidRDefault="006700C2">
      <w:pPr>
        <w:pStyle w:val="Normaltindrag"/>
        <w:spacing w:before="100"/>
      </w:pPr>
      <w:r>
        <w:t xml:space="preserve">           2. beträffande </w:t>
      </w:r>
      <w:r>
        <w:rPr>
          <w:i/>
        </w:rPr>
        <w:t>anslagen inom utgiftsområde 2 budgetåret 1999</w:t>
      </w:r>
    </w:p>
    <w:p w:rsidR="006700C2" w:rsidRDefault="006700C2">
      <w:pPr>
        <w:pStyle w:val="hemtext"/>
      </w:pPr>
      <w:r>
        <w:t>att riksdagen med bifall till proposition 1998/99:1 utgiftsområde 2 y</w:t>
      </w:r>
      <w:r>
        <w:t>r</w:t>
      </w:r>
      <w:r>
        <w:t>kandena 3 och 6 samt med avslag på motionerna 1998/99:Fi210 y</w:t>
      </w:r>
      <w:r>
        <w:t>r</w:t>
      </w:r>
      <w:r>
        <w:t xml:space="preserve">kande 5, 1998/99:Fi211 yrkande 8 i denna del, 1998/99:Fi505, 1998/99:Fi507 yrkandena 1–10, 1998/99:So314 yrkande 5 och 1998/99:A292 yrkande 12 </w:t>
      </w:r>
    </w:p>
    <w:p w:rsidR="006700C2" w:rsidRDefault="006700C2">
      <w:pPr>
        <w:pStyle w:val="hemtext"/>
      </w:pPr>
      <w:r>
        <w:rPr>
          <w:i/>
        </w:rPr>
        <w:t>dels</w:t>
      </w:r>
      <w:r>
        <w:t xml:space="preserve"> bemyndigar regeringen att under år 1999, i fråga om ramanslaget A 13 Utvecklingsarbete, för VESTA-projektets genomförande göra beställningar som inklusive tidigare åtaganden innebär utgifter på högst 50 000 000 kr efter år 1999, </w:t>
      </w:r>
    </w:p>
    <w:p w:rsidR="006700C2" w:rsidRDefault="006700C2">
      <w:pPr>
        <w:pStyle w:val="hemtext"/>
      </w:pPr>
      <w:r>
        <w:rPr>
          <w:i/>
        </w:rPr>
        <w:t xml:space="preserve">dels </w:t>
      </w:r>
      <w:r>
        <w:t>för budgetåret 1999 anvisar anslagen under utgiftsområde 2 Sa</w:t>
      </w:r>
      <w:r>
        <w:t>m</w:t>
      </w:r>
      <w:r>
        <w:t xml:space="preserve">hällsekonomi och finansförvaltning enligt utskottets förslag i </w:t>
      </w:r>
      <w:r>
        <w:rPr>
          <w:i/>
        </w:rPr>
        <w:t>appendix till hemställan</w:t>
      </w:r>
      <w:r>
        <w:t>,</w:t>
      </w:r>
      <w:bookmarkStart w:id="54" w:name="RESPARTI002"/>
      <w:bookmarkEnd w:id="54"/>
      <w:r>
        <w:t xml:space="preserve"> </w:t>
      </w:r>
    </w:p>
    <w:p w:rsidR="006700C2" w:rsidRDefault="006700C2">
      <w:pPr>
        <w:pStyle w:val="Reseftermom"/>
      </w:pPr>
      <w:r>
        <w:t>res. 1 (c)</w:t>
      </w:r>
    </w:p>
    <w:p w:rsidR="006700C2" w:rsidRDefault="006700C2">
      <w:pPr>
        <w:pStyle w:val="hemtext"/>
        <w:spacing w:before="100"/>
      </w:pPr>
      <w:r>
        <w:t xml:space="preserve">3. beträffande </w:t>
      </w:r>
      <w:r>
        <w:rPr>
          <w:i/>
        </w:rPr>
        <w:t>Statens fastighetsverk</w:t>
      </w:r>
    </w:p>
    <w:p w:rsidR="006700C2" w:rsidRDefault="006700C2">
      <w:pPr>
        <w:pStyle w:val="hemtext"/>
      </w:pPr>
      <w:r>
        <w:t>att riksdagen med bifall till proposition 1998/99:1 utgiftsområde 2 y</w:t>
      </w:r>
      <w:r>
        <w:t>r</w:t>
      </w:r>
      <w:r>
        <w:t xml:space="preserve">kandena 4 och 5 samt med avslag på motion 1998/99:Fi507 yrkande 12 </w:t>
      </w:r>
    </w:p>
    <w:p w:rsidR="006700C2" w:rsidRDefault="006700C2">
      <w:pPr>
        <w:pStyle w:val="hemtext"/>
      </w:pPr>
      <w:r>
        <w:rPr>
          <w:i/>
        </w:rPr>
        <w:t xml:space="preserve">dels </w:t>
      </w:r>
      <w:r>
        <w:t xml:space="preserve">godkänner investeringsplanen för Statens fastighetsverk i enlighet med vad regeringen förordar, </w:t>
      </w:r>
    </w:p>
    <w:p w:rsidR="006700C2" w:rsidRDefault="006700C2">
      <w:pPr>
        <w:pStyle w:val="hemtext"/>
      </w:pPr>
      <w:r>
        <w:rPr>
          <w:i/>
        </w:rPr>
        <w:t>dels</w:t>
      </w:r>
      <w:r>
        <w:t xml:space="preserve"> bemyndigar regeringen att besluta om att Statens fastighetsverk får ta upp lån inom en ram av högst 7 miljarder kronor i Riksgäld</w:t>
      </w:r>
      <w:r>
        <w:t>s</w:t>
      </w:r>
      <w:r>
        <w:t>kontoret för investeringar m.m. i enlighet med vad regeringen föro</w:t>
      </w:r>
      <w:r>
        <w:t>r</w:t>
      </w:r>
      <w:r>
        <w:t xml:space="preserve">dar, </w:t>
      </w:r>
      <w:bookmarkStart w:id="55" w:name="RESPARTI003"/>
      <w:bookmarkEnd w:id="55"/>
    </w:p>
    <w:p w:rsidR="006700C2" w:rsidRDefault="006700C2">
      <w:pPr>
        <w:pStyle w:val="hembetr"/>
        <w:spacing w:before="100"/>
      </w:pPr>
      <w:r>
        <w:t xml:space="preserve">4. beträffande </w:t>
      </w:r>
      <w:r>
        <w:rPr>
          <w:i/>
        </w:rPr>
        <w:t>utveckling av BNP-måttet</w:t>
      </w:r>
    </w:p>
    <w:p w:rsidR="006700C2" w:rsidRDefault="006700C2">
      <w:pPr>
        <w:pStyle w:val="hemtext"/>
      </w:pPr>
      <w:r>
        <w:t>att riksdagen avslår motionerna 1998/99:U704 yrkande 5, 1998/99:So314 yrkande 1, 1998/99:MJ238 yrkande 4 och 1998/99:A810 yrkande 4,</w:t>
      </w:r>
      <w:bookmarkStart w:id="56" w:name="RESPARTI004"/>
      <w:bookmarkEnd w:id="56"/>
    </w:p>
    <w:p w:rsidR="006700C2" w:rsidRDefault="006700C2">
      <w:pPr>
        <w:pStyle w:val="Reseftermom"/>
      </w:pPr>
      <w:r>
        <w:t>res. 2 (kd)</w:t>
      </w:r>
    </w:p>
    <w:p w:rsidR="006700C2" w:rsidRDefault="006700C2">
      <w:pPr>
        <w:pStyle w:val="Reseftermom"/>
      </w:pPr>
      <w:r>
        <w:t>res. 3 (c)</w:t>
      </w:r>
    </w:p>
    <w:p w:rsidR="006700C2" w:rsidRDefault="006700C2">
      <w:pPr>
        <w:pStyle w:val="Reseftermom"/>
      </w:pPr>
      <w:r>
        <w:t>res. 4 (m) – motiv.</w:t>
      </w:r>
    </w:p>
    <w:p w:rsidR="006700C2" w:rsidRDefault="006700C2">
      <w:pPr>
        <w:pStyle w:val="Reseftermom"/>
      </w:pPr>
      <w:r>
        <w:t>res. 5 (fp) – motiv.</w:t>
      </w:r>
    </w:p>
    <w:p w:rsidR="006700C2" w:rsidRDefault="006700C2">
      <w:pPr>
        <w:pStyle w:val="hembetr"/>
        <w:spacing w:before="100"/>
      </w:pPr>
      <w:r>
        <w:br w:type="page"/>
        <w:t xml:space="preserve">5. beträffande </w:t>
      </w:r>
      <w:r>
        <w:rPr>
          <w:i/>
        </w:rPr>
        <w:t>utveckling av fördelningsstatistiken</w:t>
      </w:r>
    </w:p>
    <w:p w:rsidR="006700C2" w:rsidRDefault="006700C2">
      <w:pPr>
        <w:pStyle w:val="hemtext"/>
      </w:pPr>
      <w:r>
        <w:t>att riksdagen med anledning av motionerna 1998/99:Fi205, 1998/99:Fi901 samt 1998/99:A807 yrkande 4 som sin mening ger r</w:t>
      </w:r>
      <w:r>
        <w:t>e</w:t>
      </w:r>
      <w:r>
        <w:t>geringen till känna vad u</w:t>
      </w:r>
      <w:r>
        <w:t>t</w:t>
      </w:r>
      <w:r>
        <w:t>skottet anfört.</w:t>
      </w:r>
    </w:p>
    <w:p w:rsidR="006700C2" w:rsidRDefault="006700C2">
      <w:pPr>
        <w:pStyle w:val="Reseftermom"/>
      </w:pPr>
      <w:r>
        <w:t>res. 6 (m, kd)</w:t>
      </w:r>
    </w:p>
    <w:p w:rsidR="006700C2" w:rsidRDefault="006700C2">
      <w:pPr>
        <w:pStyle w:val="Reseftermom"/>
      </w:pPr>
      <w:r>
        <w:t>res. 7 (fp)</w:t>
      </w:r>
    </w:p>
    <w:p w:rsidR="006700C2" w:rsidRDefault="006700C2">
      <w:pPr>
        <w:pStyle w:val="Reseftermom"/>
      </w:pPr>
      <w:r>
        <w:t>res. 8 (c) – motiv.</w:t>
      </w:r>
    </w:p>
    <w:p w:rsidR="006700C2" w:rsidRDefault="006700C2">
      <w:pPr>
        <w:pStyle w:val="Stockholm"/>
      </w:pPr>
      <w:bookmarkStart w:id="57" w:name="RESPARTI005"/>
      <w:bookmarkEnd w:id="57"/>
      <w:r>
        <w:t>Stockholm den 3 december 1998</w:t>
      </w:r>
    </w:p>
    <w:p w:rsidR="006700C2" w:rsidRDefault="006700C2">
      <w:pPr>
        <w:pStyle w:val="Vgnar"/>
      </w:pPr>
      <w:r>
        <w:t>På finansutskottets vägnar</w:t>
      </w:r>
    </w:p>
    <w:p w:rsidR="006700C2" w:rsidRDefault="006700C2">
      <w:pPr>
        <w:pStyle w:val="Ordfnamn"/>
      </w:pPr>
      <w:r>
        <w:t xml:space="preserve">Jan Bergqvist </w:t>
      </w:r>
    </w:p>
    <w:p w:rsidR="006700C2" w:rsidRDefault="006700C2">
      <w:pPr>
        <w:pStyle w:val="Deltagare"/>
        <w:sectPr w:rsidR="00000000">
          <w:headerReference w:type="default" r:id="rId12"/>
          <w:footerReference w:type="default" r:id="rId13"/>
          <w:pgSz w:w="11906" w:h="16838" w:code="9"/>
          <w:pgMar w:top="567" w:right="4876" w:bottom="4508" w:left="1134" w:header="227" w:footer="227" w:gutter="0"/>
          <w:cols w:space="720"/>
        </w:sectPr>
      </w:pPr>
      <w:r>
        <w:t>I beslutet har deltagit: Jan Bergqvist (s), Mats Odell (kd), Bengt Silfverstrand (s), Lisbet Calner (s), Lennart Hedquist (m), Sonia Karlsson (s), Fredrik Reinfeldt (m), Sven-Erik Österberg (s), Siv Holma (v), Per Landgren (kd), Anna Åkerhielm (m), Peter Eriksson (mp), Lena Ek (c), Gunnar Axén (m), Jörgen Andersson (s), Marie Engström (v) och Camilla Dahlin-Andersson (fp).</w:t>
      </w:r>
    </w:p>
    <w:p w:rsidR="006700C2" w:rsidRDefault="006700C2">
      <w:pPr>
        <w:pStyle w:val="Rubrik1"/>
        <w:spacing w:before="0"/>
      </w:pPr>
      <w:bookmarkStart w:id="58" w:name="_Toc437689363"/>
      <w:r>
        <w:t>Förslag till beslut om anslag inom utgiftsområde 2 Samhällsekonomi och finansförvaltning</w:t>
      </w:r>
      <w:bookmarkEnd w:id="58"/>
      <w:r>
        <w:t xml:space="preserve">  </w:t>
      </w:r>
    </w:p>
    <w:p w:rsidR="006700C2" w:rsidRDefault="006700C2">
      <w:pPr>
        <w:spacing w:before="360"/>
      </w:pPr>
      <w:r>
        <w:t>Utskottets förslag överensstämmer med regeringens förslag till anslagsför</w:t>
      </w:r>
      <w:r>
        <w:softHyphen/>
        <w:t>delning.</w:t>
      </w:r>
    </w:p>
    <w:p w:rsidR="006700C2" w:rsidRDefault="006700C2">
      <w:pPr>
        <w:pStyle w:val="Normaltindrag"/>
      </w:pPr>
      <w:r>
        <w:t>Företrädarna för Moderata samlingspartiet, Kristdemokraterna och Fol</w:t>
      </w:r>
      <w:r>
        <w:t>k</w:t>
      </w:r>
      <w:r>
        <w:t>partiet liberalerna har a</w:t>
      </w:r>
      <w:r>
        <w:t>v</w:t>
      </w:r>
      <w:r>
        <w:t xml:space="preserve">givit särskilda yttranden. </w:t>
      </w:r>
    </w:p>
    <w:p w:rsidR="006700C2" w:rsidRDefault="006700C2">
      <w:pPr>
        <w:spacing w:before="123"/>
        <w:rPr>
          <w:sz w:val="16"/>
        </w:rPr>
      </w:pPr>
      <w:r>
        <w:rPr>
          <w:sz w:val="16"/>
        </w:rPr>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4820"/>
        <w:gridCol w:w="851"/>
        <w:gridCol w:w="851"/>
      </w:tblGrid>
      <w:tr w:rsidR="00000000">
        <w:tblPrEx>
          <w:tblCellMar>
            <w:top w:w="0" w:type="dxa"/>
            <w:bottom w:w="0" w:type="dxa"/>
          </w:tblCellMar>
        </w:tblPrEx>
        <w:trPr>
          <w:cantSplit/>
          <w:tblHeader/>
        </w:trPr>
        <w:tc>
          <w:tcPr>
            <w:tcW w:w="283" w:type="dxa"/>
            <w:tcBorders>
              <w:top w:val="single" w:sz="4" w:space="0" w:color="auto"/>
            </w:tcBorders>
          </w:tcPr>
          <w:p w:rsidR="006700C2" w:rsidRDefault="006700C2">
            <w:pPr>
              <w:pStyle w:val="SBTabell"/>
              <w:rPr>
                <w:sz w:val="17"/>
              </w:rPr>
            </w:pPr>
          </w:p>
        </w:tc>
        <w:tc>
          <w:tcPr>
            <w:tcW w:w="4820" w:type="dxa"/>
            <w:tcBorders>
              <w:top w:val="single" w:sz="4" w:space="0" w:color="auto"/>
            </w:tcBorders>
          </w:tcPr>
          <w:p w:rsidR="006700C2" w:rsidRDefault="006700C2">
            <w:pPr>
              <w:pStyle w:val="SBTabell"/>
              <w:jc w:val="left"/>
              <w:rPr>
                <w:sz w:val="17"/>
              </w:rPr>
            </w:pPr>
            <w:r>
              <w:rPr>
                <w:sz w:val="17"/>
              </w:rPr>
              <w:t>Verksamhetsområde</w:t>
            </w:r>
          </w:p>
        </w:tc>
        <w:tc>
          <w:tcPr>
            <w:tcW w:w="851" w:type="dxa"/>
            <w:tcBorders>
              <w:top w:val="single" w:sz="4" w:space="0" w:color="auto"/>
            </w:tcBorders>
          </w:tcPr>
          <w:p w:rsidR="006700C2" w:rsidRDefault="006700C2">
            <w:pPr>
              <w:pStyle w:val="SBTabell"/>
              <w:jc w:val="right"/>
              <w:rPr>
                <w:sz w:val="17"/>
              </w:rPr>
            </w:pPr>
            <w:r>
              <w:rPr>
                <w:sz w:val="17"/>
              </w:rPr>
              <w:t xml:space="preserve">Utskottets </w:t>
            </w:r>
          </w:p>
        </w:tc>
        <w:tc>
          <w:tcPr>
            <w:tcW w:w="851" w:type="dxa"/>
            <w:tcBorders>
              <w:top w:val="single" w:sz="4" w:space="0" w:color="auto"/>
            </w:tcBorders>
          </w:tcPr>
          <w:p w:rsidR="006700C2" w:rsidRDefault="006700C2">
            <w:pPr>
              <w:pStyle w:val="SBTabell"/>
              <w:jc w:val="right"/>
              <w:rPr>
                <w:sz w:val="17"/>
              </w:rPr>
            </w:pPr>
            <w:r>
              <w:rPr>
                <w:sz w:val="17"/>
              </w:rPr>
              <w:t>Res. 1</w:t>
            </w:r>
          </w:p>
        </w:tc>
      </w:tr>
      <w:tr w:rsidR="00000000">
        <w:tblPrEx>
          <w:tblCellMar>
            <w:top w:w="0" w:type="dxa"/>
            <w:bottom w:w="0" w:type="dxa"/>
          </w:tblCellMar>
        </w:tblPrEx>
        <w:trPr>
          <w:trHeight w:hRule="exact" w:val="280"/>
          <w:tblHeader/>
        </w:trPr>
        <w:tc>
          <w:tcPr>
            <w:tcW w:w="283" w:type="dxa"/>
            <w:tcBorders>
              <w:bottom w:val="single" w:sz="4" w:space="0" w:color="auto"/>
            </w:tcBorders>
          </w:tcPr>
          <w:p w:rsidR="006700C2" w:rsidRDefault="006700C2">
            <w:pPr>
              <w:pStyle w:val="SBTabell"/>
              <w:rPr>
                <w:sz w:val="17"/>
              </w:rPr>
            </w:pPr>
          </w:p>
        </w:tc>
        <w:tc>
          <w:tcPr>
            <w:tcW w:w="4820" w:type="dxa"/>
            <w:tcBorders>
              <w:bottom w:val="single" w:sz="4" w:space="0" w:color="auto"/>
            </w:tcBorders>
          </w:tcPr>
          <w:p w:rsidR="006700C2" w:rsidRDefault="006700C2">
            <w:pPr>
              <w:pStyle w:val="SBTabell"/>
              <w:jc w:val="left"/>
              <w:rPr>
                <w:sz w:val="17"/>
              </w:rPr>
            </w:pPr>
            <w:r>
              <w:rPr>
                <w:sz w:val="17"/>
              </w:rPr>
              <w:t>Anslag</w:t>
            </w:r>
          </w:p>
        </w:tc>
        <w:tc>
          <w:tcPr>
            <w:tcW w:w="851" w:type="dxa"/>
            <w:tcBorders>
              <w:bottom w:val="single" w:sz="4" w:space="0" w:color="auto"/>
            </w:tcBorders>
          </w:tcPr>
          <w:p w:rsidR="006700C2" w:rsidRDefault="006700C2">
            <w:pPr>
              <w:pStyle w:val="SBTabell"/>
              <w:jc w:val="right"/>
              <w:rPr>
                <w:sz w:val="17"/>
              </w:rPr>
            </w:pPr>
            <w:r>
              <w:rPr>
                <w:sz w:val="17"/>
              </w:rPr>
              <w:t xml:space="preserve">     förslag</w:t>
            </w:r>
          </w:p>
          <w:p w:rsidR="006700C2" w:rsidRDefault="006700C2">
            <w:pPr>
              <w:pStyle w:val="SBTabell"/>
              <w:jc w:val="right"/>
              <w:rPr>
                <w:sz w:val="17"/>
              </w:rPr>
            </w:pPr>
          </w:p>
        </w:tc>
        <w:tc>
          <w:tcPr>
            <w:tcW w:w="851" w:type="dxa"/>
            <w:tcBorders>
              <w:bottom w:val="single" w:sz="4" w:space="0" w:color="auto"/>
            </w:tcBorders>
          </w:tcPr>
          <w:p w:rsidR="006700C2" w:rsidRDefault="006700C2">
            <w:pPr>
              <w:pStyle w:val="SBTabell"/>
              <w:jc w:val="right"/>
              <w:rPr>
                <w:sz w:val="17"/>
              </w:rPr>
            </w:pPr>
            <w:r>
              <w:rPr>
                <w:sz w:val="17"/>
              </w:rPr>
              <w:t>(c)</w:t>
            </w:r>
          </w:p>
        </w:tc>
      </w:tr>
      <w:tr w:rsidR="00000000">
        <w:tblPrEx>
          <w:tblCellMar>
            <w:top w:w="0" w:type="dxa"/>
            <w:bottom w:w="0" w:type="dxa"/>
          </w:tblCellMar>
        </w:tblPrEx>
        <w:trPr>
          <w:tblHeader/>
        </w:trPr>
        <w:tc>
          <w:tcPr>
            <w:tcW w:w="283" w:type="dxa"/>
          </w:tcPr>
          <w:p w:rsidR="006700C2" w:rsidRDefault="006700C2">
            <w:pPr>
              <w:pStyle w:val="SBTabell"/>
              <w:rPr>
                <w:sz w:val="17"/>
              </w:rPr>
            </w:pPr>
          </w:p>
        </w:tc>
        <w:tc>
          <w:tcPr>
            <w:tcW w:w="4820" w:type="dxa"/>
          </w:tcPr>
          <w:p w:rsidR="006700C2" w:rsidRDefault="006700C2">
            <w:pPr>
              <w:pStyle w:val="SBTabell"/>
              <w:jc w:val="left"/>
              <w:rPr>
                <w:sz w:val="17"/>
              </w:rPr>
            </w:pPr>
          </w:p>
        </w:tc>
        <w:tc>
          <w:tcPr>
            <w:tcW w:w="851" w:type="dxa"/>
          </w:tcPr>
          <w:p w:rsidR="006700C2" w:rsidRDefault="006700C2">
            <w:pPr>
              <w:pStyle w:val="SBTabell"/>
              <w:rPr>
                <w:sz w:val="17"/>
              </w:rPr>
            </w:pPr>
          </w:p>
        </w:tc>
        <w:tc>
          <w:tcPr>
            <w:tcW w:w="851" w:type="dxa"/>
          </w:tcPr>
          <w:p w:rsidR="006700C2" w:rsidRDefault="006700C2">
            <w:pPr>
              <w:pStyle w:val="SBTabell"/>
              <w:rPr>
                <w:sz w:val="17"/>
              </w:rPr>
            </w:pPr>
          </w:p>
        </w:tc>
      </w:tr>
      <w:tr w:rsidR="00000000">
        <w:tblPrEx>
          <w:tblCellMar>
            <w:top w:w="0" w:type="dxa"/>
            <w:bottom w:w="0" w:type="dxa"/>
          </w:tblCellMar>
        </w:tblPrEx>
        <w:trPr>
          <w:cantSplit/>
        </w:trPr>
        <w:tc>
          <w:tcPr>
            <w:tcW w:w="283" w:type="dxa"/>
          </w:tcPr>
          <w:p w:rsidR="006700C2" w:rsidRDefault="006700C2">
            <w:pPr>
              <w:pStyle w:val="SBTabell"/>
              <w:rPr>
                <w:sz w:val="18"/>
              </w:rPr>
            </w:pPr>
            <w:r>
              <w:rPr>
                <w:b/>
                <w:sz w:val="18"/>
              </w:rPr>
              <w:t>A</w:t>
            </w:r>
          </w:p>
        </w:tc>
        <w:tc>
          <w:tcPr>
            <w:tcW w:w="4820" w:type="dxa"/>
          </w:tcPr>
          <w:p w:rsidR="006700C2" w:rsidRDefault="006700C2">
            <w:pPr>
              <w:pStyle w:val="SBTabell"/>
              <w:jc w:val="left"/>
              <w:rPr>
                <w:sz w:val="18"/>
              </w:rPr>
            </w:pPr>
            <w:r>
              <w:rPr>
                <w:b/>
                <w:sz w:val="18"/>
              </w:rPr>
              <w:t>Effektivisering och utveckling av statlig verksamhet</w:t>
            </w:r>
          </w:p>
        </w:tc>
        <w:tc>
          <w:tcPr>
            <w:tcW w:w="851" w:type="dxa"/>
          </w:tcPr>
          <w:p w:rsidR="006700C2" w:rsidRDefault="006700C2">
            <w:pPr>
              <w:pStyle w:val="SBTabell"/>
              <w:rPr>
                <w:sz w:val="18"/>
              </w:rPr>
            </w:pPr>
          </w:p>
        </w:tc>
        <w:tc>
          <w:tcPr>
            <w:tcW w:w="851" w:type="dxa"/>
          </w:tcPr>
          <w:p w:rsidR="006700C2" w:rsidRDefault="006700C2">
            <w:pPr>
              <w:pStyle w:val="SBTabell"/>
              <w:rPr>
                <w:sz w:val="18"/>
              </w:rPr>
            </w:pPr>
          </w:p>
        </w:tc>
      </w:tr>
      <w:tr w:rsidR="00000000">
        <w:tblPrEx>
          <w:tblCellMar>
            <w:top w:w="0" w:type="dxa"/>
            <w:bottom w:w="0" w:type="dxa"/>
          </w:tblCellMar>
        </w:tblPrEx>
        <w:tc>
          <w:tcPr>
            <w:tcW w:w="283" w:type="dxa"/>
          </w:tcPr>
          <w:p w:rsidR="006700C2" w:rsidRDefault="006700C2">
            <w:pPr>
              <w:pStyle w:val="SBTabell"/>
              <w:rPr>
                <w:sz w:val="17"/>
              </w:rPr>
            </w:pPr>
            <w:r>
              <w:rPr>
                <w:sz w:val="17"/>
              </w:rPr>
              <w:t>1</w:t>
            </w:r>
          </w:p>
        </w:tc>
        <w:tc>
          <w:tcPr>
            <w:tcW w:w="4820" w:type="dxa"/>
          </w:tcPr>
          <w:p w:rsidR="006700C2" w:rsidRDefault="006700C2">
            <w:pPr>
              <w:pStyle w:val="SBTabell"/>
              <w:jc w:val="left"/>
              <w:rPr>
                <w:sz w:val="17"/>
              </w:rPr>
            </w:pPr>
            <w:r>
              <w:rPr>
                <w:sz w:val="17"/>
              </w:rPr>
              <w:t xml:space="preserve">Konjunkturinstitutet </w:t>
            </w:r>
            <w:r>
              <w:rPr>
                <w:i/>
                <w:sz w:val="17"/>
              </w:rPr>
              <w:t>(ram)</w:t>
            </w:r>
          </w:p>
        </w:tc>
        <w:tc>
          <w:tcPr>
            <w:tcW w:w="851" w:type="dxa"/>
          </w:tcPr>
          <w:p w:rsidR="006700C2" w:rsidRDefault="006700C2">
            <w:pPr>
              <w:pStyle w:val="SBTabell"/>
              <w:jc w:val="right"/>
              <w:rPr>
                <w:sz w:val="17"/>
              </w:rPr>
            </w:pPr>
            <w:r>
              <w:rPr>
                <w:sz w:val="17"/>
              </w:rPr>
              <w:t>37 640</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2</w:t>
            </w:r>
          </w:p>
        </w:tc>
        <w:tc>
          <w:tcPr>
            <w:tcW w:w="4820" w:type="dxa"/>
          </w:tcPr>
          <w:p w:rsidR="006700C2" w:rsidRDefault="006700C2">
            <w:pPr>
              <w:pStyle w:val="SBTabell"/>
              <w:jc w:val="left"/>
              <w:rPr>
                <w:sz w:val="17"/>
              </w:rPr>
            </w:pPr>
            <w:r>
              <w:rPr>
                <w:sz w:val="17"/>
              </w:rPr>
              <w:t xml:space="preserve">Riksrevisionsverket </w:t>
            </w:r>
            <w:r>
              <w:rPr>
                <w:i/>
                <w:sz w:val="17"/>
              </w:rPr>
              <w:t>(ram)</w:t>
            </w:r>
          </w:p>
        </w:tc>
        <w:tc>
          <w:tcPr>
            <w:tcW w:w="851" w:type="dxa"/>
          </w:tcPr>
          <w:p w:rsidR="006700C2" w:rsidRDefault="006700C2">
            <w:pPr>
              <w:pStyle w:val="SBTabell"/>
              <w:jc w:val="right"/>
              <w:rPr>
                <w:sz w:val="17"/>
              </w:rPr>
            </w:pPr>
            <w:r>
              <w:rPr>
                <w:sz w:val="17"/>
              </w:rPr>
              <w:t>132 978</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3</w:t>
            </w:r>
          </w:p>
        </w:tc>
        <w:tc>
          <w:tcPr>
            <w:tcW w:w="4820" w:type="dxa"/>
          </w:tcPr>
          <w:p w:rsidR="006700C2" w:rsidRDefault="006700C2">
            <w:pPr>
              <w:pStyle w:val="SBTabell"/>
              <w:jc w:val="left"/>
              <w:rPr>
                <w:sz w:val="17"/>
              </w:rPr>
            </w:pPr>
            <w:r>
              <w:rPr>
                <w:sz w:val="17"/>
              </w:rPr>
              <w:t xml:space="preserve">Ekonomistyrningsverket </w:t>
            </w:r>
            <w:r>
              <w:rPr>
                <w:i/>
                <w:sz w:val="17"/>
              </w:rPr>
              <w:t>(ram)</w:t>
            </w:r>
          </w:p>
        </w:tc>
        <w:tc>
          <w:tcPr>
            <w:tcW w:w="851" w:type="dxa"/>
          </w:tcPr>
          <w:p w:rsidR="006700C2" w:rsidRDefault="006700C2">
            <w:pPr>
              <w:pStyle w:val="SBTabell"/>
              <w:jc w:val="right"/>
              <w:rPr>
                <w:sz w:val="17"/>
              </w:rPr>
            </w:pPr>
            <w:r>
              <w:rPr>
                <w:sz w:val="17"/>
              </w:rPr>
              <w:t>55 550</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4</w:t>
            </w:r>
          </w:p>
        </w:tc>
        <w:tc>
          <w:tcPr>
            <w:tcW w:w="4820" w:type="dxa"/>
          </w:tcPr>
          <w:p w:rsidR="006700C2" w:rsidRDefault="006700C2">
            <w:pPr>
              <w:pStyle w:val="SBTabell"/>
              <w:jc w:val="left"/>
              <w:rPr>
                <w:sz w:val="17"/>
              </w:rPr>
            </w:pPr>
            <w:r>
              <w:rPr>
                <w:sz w:val="17"/>
              </w:rPr>
              <w:t xml:space="preserve">Statskontoret </w:t>
            </w:r>
            <w:r>
              <w:rPr>
                <w:i/>
                <w:sz w:val="17"/>
              </w:rPr>
              <w:t>(ram)</w:t>
            </w:r>
          </w:p>
        </w:tc>
        <w:tc>
          <w:tcPr>
            <w:tcW w:w="851" w:type="dxa"/>
          </w:tcPr>
          <w:p w:rsidR="006700C2" w:rsidRDefault="006700C2">
            <w:pPr>
              <w:pStyle w:val="SBTabell"/>
              <w:jc w:val="right"/>
              <w:rPr>
                <w:sz w:val="17"/>
              </w:rPr>
            </w:pPr>
            <w:r>
              <w:rPr>
                <w:sz w:val="17"/>
              </w:rPr>
              <w:t>64 597</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5</w:t>
            </w:r>
          </w:p>
        </w:tc>
        <w:tc>
          <w:tcPr>
            <w:tcW w:w="4820" w:type="dxa"/>
          </w:tcPr>
          <w:p w:rsidR="006700C2" w:rsidRDefault="006700C2">
            <w:pPr>
              <w:pStyle w:val="SBTabell"/>
              <w:jc w:val="left"/>
              <w:rPr>
                <w:sz w:val="17"/>
              </w:rPr>
            </w:pPr>
            <w:r>
              <w:rPr>
                <w:sz w:val="17"/>
              </w:rPr>
              <w:t xml:space="preserve">Täckning av merkostnader för lokaler </w:t>
            </w:r>
            <w:r>
              <w:rPr>
                <w:i/>
                <w:sz w:val="17"/>
              </w:rPr>
              <w:t>(ram)</w:t>
            </w:r>
          </w:p>
        </w:tc>
        <w:tc>
          <w:tcPr>
            <w:tcW w:w="851" w:type="dxa"/>
          </w:tcPr>
          <w:p w:rsidR="006700C2" w:rsidRDefault="006700C2">
            <w:pPr>
              <w:pStyle w:val="SBTabell"/>
              <w:jc w:val="right"/>
              <w:rPr>
                <w:sz w:val="17"/>
              </w:rPr>
            </w:pPr>
            <w:r>
              <w:rPr>
                <w:sz w:val="17"/>
              </w:rPr>
              <w:t>20 500</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6</w:t>
            </w:r>
          </w:p>
        </w:tc>
        <w:tc>
          <w:tcPr>
            <w:tcW w:w="4820" w:type="dxa"/>
          </w:tcPr>
          <w:p w:rsidR="006700C2" w:rsidRDefault="006700C2">
            <w:pPr>
              <w:pStyle w:val="SBTabell"/>
              <w:jc w:val="left"/>
              <w:rPr>
                <w:sz w:val="17"/>
              </w:rPr>
            </w:pPr>
            <w:r>
              <w:rPr>
                <w:sz w:val="17"/>
              </w:rPr>
              <w:t xml:space="preserve">Statistiska centralbyrån </w:t>
            </w:r>
            <w:r>
              <w:rPr>
                <w:i/>
                <w:sz w:val="17"/>
              </w:rPr>
              <w:t>(ram)</w:t>
            </w:r>
          </w:p>
        </w:tc>
        <w:tc>
          <w:tcPr>
            <w:tcW w:w="851" w:type="dxa"/>
          </w:tcPr>
          <w:p w:rsidR="006700C2" w:rsidRDefault="006700C2">
            <w:pPr>
              <w:pStyle w:val="SBTabell"/>
              <w:jc w:val="right"/>
              <w:rPr>
                <w:sz w:val="17"/>
              </w:rPr>
            </w:pPr>
            <w:r>
              <w:rPr>
                <w:sz w:val="17"/>
              </w:rPr>
              <w:t>353 127</w:t>
            </w:r>
          </w:p>
        </w:tc>
        <w:tc>
          <w:tcPr>
            <w:tcW w:w="851" w:type="dxa"/>
          </w:tcPr>
          <w:p w:rsidR="006700C2" w:rsidRDefault="006700C2">
            <w:pPr>
              <w:pStyle w:val="SBTabell"/>
              <w:jc w:val="right"/>
              <w:rPr>
                <w:sz w:val="17"/>
              </w:rPr>
            </w:pPr>
            <w:r>
              <w:rPr>
                <w:sz w:val="17"/>
              </w:rPr>
              <w:t>-13 000</w:t>
            </w:r>
          </w:p>
        </w:tc>
      </w:tr>
      <w:tr w:rsidR="00000000">
        <w:tblPrEx>
          <w:tblCellMar>
            <w:top w:w="0" w:type="dxa"/>
            <w:bottom w:w="0" w:type="dxa"/>
          </w:tblCellMar>
        </w:tblPrEx>
        <w:tc>
          <w:tcPr>
            <w:tcW w:w="283" w:type="dxa"/>
          </w:tcPr>
          <w:p w:rsidR="006700C2" w:rsidRDefault="006700C2">
            <w:pPr>
              <w:pStyle w:val="SBTabell"/>
              <w:rPr>
                <w:sz w:val="17"/>
              </w:rPr>
            </w:pPr>
            <w:r>
              <w:rPr>
                <w:sz w:val="17"/>
              </w:rPr>
              <w:t>7</w:t>
            </w:r>
          </w:p>
        </w:tc>
        <w:tc>
          <w:tcPr>
            <w:tcW w:w="4820" w:type="dxa"/>
          </w:tcPr>
          <w:p w:rsidR="006700C2" w:rsidRDefault="006700C2">
            <w:pPr>
              <w:pStyle w:val="SBTabell"/>
              <w:jc w:val="left"/>
              <w:rPr>
                <w:sz w:val="17"/>
              </w:rPr>
            </w:pPr>
            <w:r>
              <w:rPr>
                <w:sz w:val="17"/>
              </w:rPr>
              <w:t xml:space="preserve">Folk- och bostadsräkning </w:t>
            </w:r>
            <w:r>
              <w:rPr>
                <w:i/>
                <w:sz w:val="17"/>
              </w:rPr>
              <w:t>(res.)</w:t>
            </w:r>
          </w:p>
        </w:tc>
        <w:tc>
          <w:tcPr>
            <w:tcW w:w="851" w:type="dxa"/>
          </w:tcPr>
          <w:p w:rsidR="006700C2" w:rsidRDefault="006700C2">
            <w:pPr>
              <w:pStyle w:val="SBTabell"/>
              <w:jc w:val="right"/>
              <w:rPr>
                <w:sz w:val="17"/>
              </w:rPr>
            </w:pPr>
            <w:r>
              <w:rPr>
                <w:sz w:val="17"/>
              </w:rPr>
              <w:t>70 000</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8</w:t>
            </w:r>
          </w:p>
        </w:tc>
        <w:tc>
          <w:tcPr>
            <w:tcW w:w="4820" w:type="dxa"/>
          </w:tcPr>
          <w:p w:rsidR="006700C2" w:rsidRDefault="006700C2">
            <w:pPr>
              <w:pStyle w:val="SBTabell"/>
              <w:jc w:val="left"/>
              <w:rPr>
                <w:sz w:val="17"/>
              </w:rPr>
            </w:pPr>
            <w:r>
              <w:rPr>
                <w:sz w:val="17"/>
              </w:rPr>
              <w:t xml:space="preserve">Kammarkollegiet </w:t>
            </w:r>
            <w:r>
              <w:rPr>
                <w:i/>
                <w:sz w:val="17"/>
              </w:rPr>
              <w:t>(ram)</w:t>
            </w:r>
          </w:p>
        </w:tc>
        <w:tc>
          <w:tcPr>
            <w:tcW w:w="851" w:type="dxa"/>
          </w:tcPr>
          <w:p w:rsidR="006700C2" w:rsidRDefault="006700C2">
            <w:pPr>
              <w:pStyle w:val="SBTabell"/>
              <w:jc w:val="right"/>
              <w:rPr>
                <w:sz w:val="17"/>
              </w:rPr>
            </w:pPr>
            <w:r>
              <w:rPr>
                <w:sz w:val="17"/>
              </w:rPr>
              <w:t>24 256</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9</w:t>
            </w:r>
          </w:p>
        </w:tc>
        <w:tc>
          <w:tcPr>
            <w:tcW w:w="4820" w:type="dxa"/>
          </w:tcPr>
          <w:p w:rsidR="006700C2" w:rsidRDefault="006700C2">
            <w:pPr>
              <w:pStyle w:val="SBTabell"/>
              <w:jc w:val="left"/>
              <w:rPr>
                <w:sz w:val="17"/>
              </w:rPr>
            </w:pPr>
            <w:r>
              <w:rPr>
                <w:sz w:val="17"/>
              </w:rPr>
              <w:t xml:space="preserve">Nämnden för offentlig upphandling </w:t>
            </w:r>
            <w:r>
              <w:rPr>
                <w:i/>
                <w:sz w:val="17"/>
              </w:rPr>
              <w:t>(ram)</w:t>
            </w:r>
          </w:p>
        </w:tc>
        <w:tc>
          <w:tcPr>
            <w:tcW w:w="851" w:type="dxa"/>
          </w:tcPr>
          <w:p w:rsidR="006700C2" w:rsidRDefault="006700C2">
            <w:pPr>
              <w:pStyle w:val="SBTabell"/>
              <w:jc w:val="right"/>
              <w:rPr>
                <w:sz w:val="17"/>
              </w:rPr>
            </w:pPr>
            <w:r>
              <w:rPr>
                <w:sz w:val="17"/>
              </w:rPr>
              <w:t>6 427</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10</w:t>
            </w:r>
          </w:p>
        </w:tc>
        <w:tc>
          <w:tcPr>
            <w:tcW w:w="4820" w:type="dxa"/>
          </w:tcPr>
          <w:p w:rsidR="006700C2" w:rsidRDefault="006700C2">
            <w:pPr>
              <w:pStyle w:val="SBTabell"/>
              <w:jc w:val="left"/>
              <w:rPr>
                <w:sz w:val="17"/>
              </w:rPr>
            </w:pPr>
            <w:r>
              <w:rPr>
                <w:sz w:val="17"/>
              </w:rPr>
              <w:t xml:space="preserve">Ny myndighet för kvalitetsutveckling och kompetensförsörjning </w:t>
            </w:r>
            <w:r>
              <w:rPr>
                <w:i/>
                <w:sz w:val="17"/>
              </w:rPr>
              <w:t>(ram)</w:t>
            </w:r>
          </w:p>
        </w:tc>
        <w:tc>
          <w:tcPr>
            <w:tcW w:w="851" w:type="dxa"/>
          </w:tcPr>
          <w:p w:rsidR="006700C2" w:rsidRDefault="006700C2">
            <w:pPr>
              <w:pStyle w:val="SBTabell"/>
              <w:jc w:val="right"/>
              <w:rPr>
                <w:sz w:val="17"/>
              </w:rPr>
            </w:pPr>
          </w:p>
          <w:p w:rsidR="006700C2" w:rsidRDefault="006700C2">
            <w:pPr>
              <w:pStyle w:val="SBTabell"/>
              <w:jc w:val="right"/>
              <w:rPr>
                <w:sz w:val="17"/>
              </w:rPr>
            </w:pPr>
            <w:r>
              <w:rPr>
                <w:sz w:val="17"/>
              </w:rPr>
              <w:t>10 000</w:t>
            </w:r>
          </w:p>
        </w:tc>
        <w:tc>
          <w:tcPr>
            <w:tcW w:w="851" w:type="dxa"/>
          </w:tcPr>
          <w:p w:rsidR="006700C2" w:rsidRDefault="006700C2">
            <w:pPr>
              <w:pStyle w:val="SBTabell"/>
              <w:jc w:val="right"/>
              <w:rPr>
                <w:sz w:val="17"/>
              </w:rPr>
            </w:pPr>
          </w:p>
          <w:p w:rsidR="006700C2" w:rsidRDefault="006700C2">
            <w:pPr>
              <w:pStyle w:val="SBTabell"/>
              <w:jc w:val="right"/>
              <w:rPr>
                <w:sz w:val="17"/>
              </w:rPr>
            </w:pPr>
            <w:r>
              <w:rPr>
                <w:sz w:val="17"/>
              </w:rPr>
              <w:t>-10 000</w:t>
            </w:r>
          </w:p>
        </w:tc>
      </w:tr>
      <w:tr w:rsidR="00000000">
        <w:tblPrEx>
          <w:tblCellMar>
            <w:top w:w="0" w:type="dxa"/>
            <w:bottom w:w="0" w:type="dxa"/>
          </w:tblCellMar>
        </w:tblPrEx>
        <w:tc>
          <w:tcPr>
            <w:tcW w:w="283" w:type="dxa"/>
          </w:tcPr>
          <w:p w:rsidR="006700C2" w:rsidRDefault="006700C2">
            <w:pPr>
              <w:pStyle w:val="SBTabell"/>
              <w:rPr>
                <w:sz w:val="17"/>
              </w:rPr>
            </w:pPr>
            <w:r>
              <w:rPr>
                <w:sz w:val="17"/>
              </w:rPr>
              <w:t>11</w:t>
            </w:r>
          </w:p>
        </w:tc>
        <w:tc>
          <w:tcPr>
            <w:tcW w:w="4820" w:type="dxa"/>
          </w:tcPr>
          <w:p w:rsidR="006700C2" w:rsidRDefault="006700C2">
            <w:pPr>
              <w:pStyle w:val="SBTabell"/>
              <w:jc w:val="left"/>
              <w:rPr>
                <w:sz w:val="17"/>
              </w:rPr>
            </w:pPr>
            <w:r>
              <w:rPr>
                <w:sz w:val="17"/>
              </w:rPr>
              <w:t xml:space="preserve">Vissa nämnder m.m. </w:t>
            </w:r>
            <w:r>
              <w:rPr>
                <w:i/>
                <w:sz w:val="17"/>
              </w:rPr>
              <w:t>(ram)</w:t>
            </w:r>
          </w:p>
        </w:tc>
        <w:tc>
          <w:tcPr>
            <w:tcW w:w="851" w:type="dxa"/>
          </w:tcPr>
          <w:p w:rsidR="006700C2" w:rsidRDefault="006700C2">
            <w:pPr>
              <w:pStyle w:val="SBTabell"/>
              <w:jc w:val="right"/>
              <w:rPr>
                <w:sz w:val="17"/>
              </w:rPr>
            </w:pPr>
            <w:r>
              <w:rPr>
                <w:sz w:val="17"/>
              </w:rPr>
              <w:t>961</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12</w:t>
            </w:r>
          </w:p>
        </w:tc>
        <w:tc>
          <w:tcPr>
            <w:tcW w:w="4820" w:type="dxa"/>
          </w:tcPr>
          <w:p w:rsidR="006700C2" w:rsidRDefault="006700C2">
            <w:pPr>
              <w:pStyle w:val="SBTabell"/>
              <w:jc w:val="left"/>
              <w:rPr>
                <w:sz w:val="17"/>
              </w:rPr>
            </w:pPr>
            <w:r>
              <w:rPr>
                <w:sz w:val="17"/>
              </w:rPr>
              <w:t xml:space="preserve">Ekonomiska rådet </w:t>
            </w:r>
            <w:r>
              <w:rPr>
                <w:i/>
                <w:sz w:val="17"/>
              </w:rPr>
              <w:t>(ram)</w:t>
            </w:r>
          </w:p>
        </w:tc>
        <w:tc>
          <w:tcPr>
            <w:tcW w:w="851" w:type="dxa"/>
          </w:tcPr>
          <w:p w:rsidR="006700C2" w:rsidRDefault="006700C2">
            <w:pPr>
              <w:pStyle w:val="SBTabell"/>
              <w:jc w:val="right"/>
              <w:rPr>
                <w:sz w:val="17"/>
              </w:rPr>
            </w:pPr>
            <w:r>
              <w:rPr>
                <w:sz w:val="17"/>
              </w:rPr>
              <w:t>1 714</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13</w:t>
            </w:r>
          </w:p>
        </w:tc>
        <w:tc>
          <w:tcPr>
            <w:tcW w:w="4820" w:type="dxa"/>
          </w:tcPr>
          <w:p w:rsidR="006700C2" w:rsidRDefault="006700C2">
            <w:pPr>
              <w:pStyle w:val="SBTabell"/>
              <w:jc w:val="left"/>
              <w:rPr>
                <w:sz w:val="17"/>
              </w:rPr>
            </w:pPr>
            <w:r>
              <w:rPr>
                <w:sz w:val="17"/>
              </w:rPr>
              <w:t xml:space="preserve">Utvecklingsarbete </w:t>
            </w:r>
            <w:r>
              <w:rPr>
                <w:i/>
                <w:sz w:val="17"/>
              </w:rPr>
              <w:t>(ram)</w:t>
            </w:r>
          </w:p>
        </w:tc>
        <w:tc>
          <w:tcPr>
            <w:tcW w:w="851" w:type="dxa"/>
          </w:tcPr>
          <w:p w:rsidR="006700C2" w:rsidRDefault="006700C2">
            <w:pPr>
              <w:pStyle w:val="SBTabell"/>
              <w:jc w:val="right"/>
              <w:rPr>
                <w:sz w:val="17"/>
              </w:rPr>
            </w:pPr>
            <w:r>
              <w:rPr>
                <w:sz w:val="17"/>
              </w:rPr>
              <w:t>24 170</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14</w:t>
            </w:r>
          </w:p>
        </w:tc>
        <w:tc>
          <w:tcPr>
            <w:tcW w:w="4820" w:type="dxa"/>
          </w:tcPr>
          <w:p w:rsidR="006700C2" w:rsidRDefault="006700C2">
            <w:pPr>
              <w:pStyle w:val="SBTabell"/>
              <w:jc w:val="left"/>
              <w:rPr>
                <w:sz w:val="17"/>
              </w:rPr>
            </w:pPr>
            <w:r>
              <w:rPr>
                <w:sz w:val="17"/>
              </w:rPr>
              <w:t xml:space="preserve">Kontrollfunktionen i staten </w:t>
            </w:r>
            <w:r>
              <w:rPr>
                <w:i/>
                <w:sz w:val="17"/>
              </w:rPr>
              <w:t>(res.)</w:t>
            </w:r>
          </w:p>
        </w:tc>
        <w:tc>
          <w:tcPr>
            <w:tcW w:w="851" w:type="dxa"/>
          </w:tcPr>
          <w:p w:rsidR="006700C2" w:rsidRDefault="006700C2">
            <w:pPr>
              <w:pStyle w:val="SBTabell"/>
              <w:jc w:val="right"/>
              <w:rPr>
                <w:sz w:val="17"/>
              </w:rPr>
            </w:pPr>
            <w:r>
              <w:rPr>
                <w:sz w:val="17"/>
              </w:rPr>
              <w:t>85 000</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15</w:t>
            </w:r>
          </w:p>
        </w:tc>
        <w:tc>
          <w:tcPr>
            <w:tcW w:w="4820" w:type="dxa"/>
          </w:tcPr>
          <w:p w:rsidR="006700C2" w:rsidRDefault="006700C2">
            <w:pPr>
              <w:pStyle w:val="SBTabell"/>
              <w:jc w:val="left"/>
              <w:rPr>
                <w:sz w:val="17"/>
              </w:rPr>
            </w:pPr>
            <w:r>
              <w:rPr>
                <w:sz w:val="17"/>
              </w:rPr>
              <w:t xml:space="preserve">Riksgäldskontoret: Garantiverksamhet </w:t>
            </w:r>
            <w:r>
              <w:rPr>
                <w:i/>
                <w:sz w:val="17"/>
              </w:rPr>
              <w:t>(ram)</w:t>
            </w:r>
          </w:p>
        </w:tc>
        <w:tc>
          <w:tcPr>
            <w:tcW w:w="851" w:type="dxa"/>
          </w:tcPr>
          <w:p w:rsidR="006700C2" w:rsidRDefault="006700C2">
            <w:pPr>
              <w:pStyle w:val="SBTabell"/>
              <w:jc w:val="right"/>
              <w:rPr>
                <w:sz w:val="17"/>
              </w:rPr>
            </w:pPr>
            <w:r>
              <w:rPr>
                <w:sz w:val="17"/>
              </w:rPr>
              <w:t>1</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p>
        </w:tc>
        <w:tc>
          <w:tcPr>
            <w:tcW w:w="4820" w:type="dxa"/>
          </w:tcPr>
          <w:p w:rsidR="006700C2" w:rsidRDefault="006700C2">
            <w:pPr>
              <w:pStyle w:val="SBTabell"/>
              <w:jc w:val="left"/>
              <w:rPr>
                <w:sz w:val="17"/>
              </w:rPr>
            </w:pPr>
          </w:p>
        </w:tc>
        <w:tc>
          <w:tcPr>
            <w:tcW w:w="851" w:type="dxa"/>
          </w:tcPr>
          <w:p w:rsidR="006700C2" w:rsidRDefault="006700C2">
            <w:pPr>
              <w:pStyle w:val="SBTabell"/>
              <w:rPr>
                <w:sz w:val="17"/>
              </w:rPr>
            </w:pPr>
          </w:p>
        </w:tc>
        <w:tc>
          <w:tcPr>
            <w:tcW w:w="851" w:type="dxa"/>
          </w:tcPr>
          <w:p w:rsidR="006700C2" w:rsidRDefault="006700C2">
            <w:pPr>
              <w:pStyle w:val="SBTabell"/>
              <w:rPr>
                <w:sz w:val="17"/>
              </w:rPr>
            </w:pPr>
          </w:p>
        </w:tc>
      </w:tr>
      <w:tr w:rsidR="00000000">
        <w:tblPrEx>
          <w:tblCellMar>
            <w:top w:w="0" w:type="dxa"/>
            <w:bottom w:w="0" w:type="dxa"/>
          </w:tblCellMar>
        </w:tblPrEx>
        <w:trPr>
          <w:cantSplit/>
        </w:trPr>
        <w:tc>
          <w:tcPr>
            <w:tcW w:w="283" w:type="dxa"/>
          </w:tcPr>
          <w:p w:rsidR="006700C2" w:rsidRDefault="006700C2">
            <w:pPr>
              <w:pStyle w:val="SBTabell"/>
              <w:rPr>
                <w:sz w:val="18"/>
              </w:rPr>
            </w:pPr>
            <w:r>
              <w:rPr>
                <w:b/>
                <w:sz w:val="18"/>
              </w:rPr>
              <w:t>B</w:t>
            </w:r>
          </w:p>
        </w:tc>
        <w:tc>
          <w:tcPr>
            <w:tcW w:w="4820" w:type="dxa"/>
          </w:tcPr>
          <w:p w:rsidR="006700C2" w:rsidRDefault="006700C2">
            <w:pPr>
              <w:pStyle w:val="SBTabell"/>
              <w:jc w:val="left"/>
              <w:rPr>
                <w:sz w:val="18"/>
              </w:rPr>
            </w:pPr>
            <w:r>
              <w:rPr>
                <w:b/>
                <w:sz w:val="18"/>
              </w:rPr>
              <w:t>Det finansiella systemet</w:t>
            </w:r>
          </w:p>
        </w:tc>
        <w:tc>
          <w:tcPr>
            <w:tcW w:w="851" w:type="dxa"/>
          </w:tcPr>
          <w:p w:rsidR="006700C2" w:rsidRDefault="006700C2">
            <w:pPr>
              <w:pStyle w:val="SBTabell"/>
              <w:rPr>
                <w:sz w:val="18"/>
              </w:rPr>
            </w:pPr>
          </w:p>
        </w:tc>
        <w:tc>
          <w:tcPr>
            <w:tcW w:w="851" w:type="dxa"/>
          </w:tcPr>
          <w:p w:rsidR="006700C2" w:rsidRDefault="006700C2">
            <w:pPr>
              <w:pStyle w:val="SBTabell"/>
              <w:rPr>
                <w:sz w:val="18"/>
              </w:rPr>
            </w:pPr>
          </w:p>
        </w:tc>
      </w:tr>
      <w:tr w:rsidR="00000000">
        <w:tblPrEx>
          <w:tblCellMar>
            <w:top w:w="0" w:type="dxa"/>
            <w:bottom w:w="0" w:type="dxa"/>
          </w:tblCellMar>
        </w:tblPrEx>
        <w:tc>
          <w:tcPr>
            <w:tcW w:w="283" w:type="dxa"/>
          </w:tcPr>
          <w:p w:rsidR="006700C2" w:rsidRDefault="006700C2">
            <w:pPr>
              <w:pStyle w:val="SBTabell"/>
              <w:rPr>
                <w:sz w:val="17"/>
              </w:rPr>
            </w:pPr>
            <w:r>
              <w:rPr>
                <w:sz w:val="17"/>
              </w:rPr>
              <w:t>1</w:t>
            </w:r>
          </w:p>
        </w:tc>
        <w:tc>
          <w:tcPr>
            <w:tcW w:w="4820" w:type="dxa"/>
          </w:tcPr>
          <w:p w:rsidR="006700C2" w:rsidRDefault="006700C2">
            <w:pPr>
              <w:pStyle w:val="SBTabell"/>
              <w:jc w:val="left"/>
              <w:rPr>
                <w:sz w:val="17"/>
              </w:rPr>
            </w:pPr>
            <w:r>
              <w:rPr>
                <w:sz w:val="17"/>
              </w:rPr>
              <w:t xml:space="preserve">Finansinspektionen </w:t>
            </w:r>
            <w:r>
              <w:rPr>
                <w:i/>
                <w:sz w:val="17"/>
              </w:rPr>
              <w:t>(ram)</w:t>
            </w:r>
          </w:p>
        </w:tc>
        <w:tc>
          <w:tcPr>
            <w:tcW w:w="851" w:type="dxa"/>
          </w:tcPr>
          <w:p w:rsidR="006700C2" w:rsidRDefault="006700C2">
            <w:pPr>
              <w:pStyle w:val="SBTabell"/>
              <w:jc w:val="right"/>
              <w:rPr>
                <w:sz w:val="17"/>
              </w:rPr>
            </w:pPr>
            <w:r>
              <w:rPr>
                <w:sz w:val="17"/>
              </w:rPr>
              <w:t>118 697</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2</w:t>
            </w:r>
          </w:p>
        </w:tc>
        <w:tc>
          <w:tcPr>
            <w:tcW w:w="4820" w:type="dxa"/>
          </w:tcPr>
          <w:p w:rsidR="006700C2" w:rsidRDefault="006700C2">
            <w:pPr>
              <w:pStyle w:val="SBTabell"/>
              <w:jc w:val="left"/>
              <w:rPr>
                <w:sz w:val="17"/>
              </w:rPr>
            </w:pPr>
            <w:r>
              <w:rPr>
                <w:sz w:val="17"/>
              </w:rPr>
              <w:t xml:space="preserve">Insättningsgarantinämnden </w:t>
            </w:r>
            <w:r>
              <w:rPr>
                <w:i/>
                <w:sz w:val="17"/>
              </w:rPr>
              <w:t>(ram)</w:t>
            </w:r>
          </w:p>
        </w:tc>
        <w:tc>
          <w:tcPr>
            <w:tcW w:w="851" w:type="dxa"/>
          </w:tcPr>
          <w:p w:rsidR="006700C2" w:rsidRDefault="006700C2">
            <w:pPr>
              <w:pStyle w:val="SBTabell"/>
              <w:jc w:val="right"/>
              <w:rPr>
                <w:sz w:val="17"/>
              </w:rPr>
            </w:pPr>
            <w:r>
              <w:rPr>
                <w:sz w:val="17"/>
              </w:rPr>
              <w:t>6 313</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3</w:t>
            </w:r>
          </w:p>
        </w:tc>
        <w:tc>
          <w:tcPr>
            <w:tcW w:w="4820" w:type="dxa"/>
          </w:tcPr>
          <w:p w:rsidR="006700C2" w:rsidRDefault="006700C2">
            <w:pPr>
              <w:pStyle w:val="SBTabell"/>
              <w:jc w:val="left"/>
              <w:rPr>
                <w:sz w:val="17"/>
              </w:rPr>
            </w:pPr>
            <w:r>
              <w:rPr>
                <w:sz w:val="17"/>
              </w:rPr>
              <w:t xml:space="preserve">Riksgäldskontoret: Förvaltningskostnader </w:t>
            </w:r>
            <w:r>
              <w:rPr>
                <w:i/>
                <w:sz w:val="17"/>
              </w:rPr>
              <w:t>(ram)</w:t>
            </w:r>
          </w:p>
        </w:tc>
        <w:tc>
          <w:tcPr>
            <w:tcW w:w="851" w:type="dxa"/>
          </w:tcPr>
          <w:p w:rsidR="006700C2" w:rsidRDefault="006700C2">
            <w:pPr>
              <w:pStyle w:val="SBTabell"/>
              <w:jc w:val="right"/>
              <w:rPr>
                <w:sz w:val="17"/>
              </w:rPr>
            </w:pPr>
            <w:r>
              <w:rPr>
                <w:sz w:val="17"/>
              </w:rPr>
              <w:t>84 701</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4</w:t>
            </w:r>
          </w:p>
        </w:tc>
        <w:tc>
          <w:tcPr>
            <w:tcW w:w="4820" w:type="dxa"/>
          </w:tcPr>
          <w:p w:rsidR="006700C2" w:rsidRDefault="006700C2">
            <w:pPr>
              <w:pStyle w:val="SBTabell"/>
              <w:jc w:val="left"/>
              <w:rPr>
                <w:sz w:val="17"/>
              </w:rPr>
            </w:pPr>
            <w:r>
              <w:rPr>
                <w:sz w:val="17"/>
              </w:rPr>
              <w:t xml:space="preserve">Riksgäldskontoret: Kostnader för upplåning och låneförvaltning </w:t>
            </w:r>
            <w:r>
              <w:rPr>
                <w:i/>
                <w:sz w:val="17"/>
              </w:rPr>
              <w:t>(ram)</w:t>
            </w:r>
          </w:p>
        </w:tc>
        <w:tc>
          <w:tcPr>
            <w:tcW w:w="851" w:type="dxa"/>
          </w:tcPr>
          <w:p w:rsidR="006700C2" w:rsidRDefault="006700C2">
            <w:pPr>
              <w:pStyle w:val="SBTabell"/>
              <w:jc w:val="right"/>
              <w:rPr>
                <w:sz w:val="17"/>
              </w:rPr>
            </w:pPr>
          </w:p>
          <w:p w:rsidR="006700C2" w:rsidRDefault="006700C2">
            <w:pPr>
              <w:pStyle w:val="SBTabell"/>
              <w:jc w:val="right"/>
              <w:rPr>
                <w:sz w:val="17"/>
              </w:rPr>
            </w:pPr>
            <w:r>
              <w:rPr>
                <w:sz w:val="17"/>
              </w:rPr>
              <w:t>535 000</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5</w:t>
            </w:r>
          </w:p>
        </w:tc>
        <w:tc>
          <w:tcPr>
            <w:tcW w:w="4820" w:type="dxa"/>
          </w:tcPr>
          <w:p w:rsidR="006700C2" w:rsidRDefault="006700C2">
            <w:pPr>
              <w:pStyle w:val="SBTabell"/>
              <w:jc w:val="left"/>
              <w:rPr>
                <w:sz w:val="17"/>
              </w:rPr>
            </w:pPr>
            <w:r>
              <w:rPr>
                <w:sz w:val="17"/>
              </w:rPr>
              <w:t xml:space="preserve">Bokföringsnämnden </w:t>
            </w:r>
            <w:r>
              <w:rPr>
                <w:i/>
                <w:sz w:val="17"/>
              </w:rPr>
              <w:t>(ram)</w:t>
            </w:r>
          </w:p>
        </w:tc>
        <w:tc>
          <w:tcPr>
            <w:tcW w:w="851" w:type="dxa"/>
          </w:tcPr>
          <w:p w:rsidR="006700C2" w:rsidRDefault="006700C2">
            <w:pPr>
              <w:pStyle w:val="SBTabell"/>
              <w:jc w:val="right"/>
              <w:rPr>
                <w:sz w:val="17"/>
              </w:rPr>
            </w:pPr>
            <w:r>
              <w:rPr>
                <w:sz w:val="17"/>
              </w:rPr>
              <w:t>6 297</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p>
        </w:tc>
        <w:tc>
          <w:tcPr>
            <w:tcW w:w="4820" w:type="dxa"/>
          </w:tcPr>
          <w:p w:rsidR="006700C2" w:rsidRDefault="006700C2">
            <w:pPr>
              <w:pStyle w:val="SBTabell"/>
              <w:jc w:val="left"/>
              <w:rPr>
                <w:sz w:val="17"/>
              </w:rPr>
            </w:pPr>
          </w:p>
        </w:tc>
        <w:tc>
          <w:tcPr>
            <w:tcW w:w="851" w:type="dxa"/>
          </w:tcPr>
          <w:p w:rsidR="006700C2" w:rsidRDefault="006700C2">
            <w:pPr>
              <w:pStyle w:val="SBTabell"/>
              <w:rPr>
                <w:sz w:val="17"/>
              </w:rPr>
            </w:pPr>
          </w:p>
        </w:tc>
        <w:tc>
          <w:tcPr>
            <w:tcW w:w="851" w:type="dxa"/>
          </w:tcPr>
          <w:p w:rsidR="006700C2" w:rsidRDefault="006700C2">
            <w:pPr>
              <w:pStyle w:val="SBTabell"/>
              <w:rPr>
                <w:sz w:val="17"/>
              </w:rPr>
            </w:pPr>
          </w:p>
        </w:tc>
      </w:tr>
      <w:tr w:rsidR="00000000">
        <w:tblPrEx>
          <w:tblCellMar>
            <w:top w:w="0" w:type="dxa"/>
            <w:bottom w:w="0" w:type="dxa"/>
          </w:tblCellMar>
        </w:tblPrEx>
        <w:trPr>
          <w:cantSplit/>
        </w:trPr>
        <w:tc>
          <w:tcPr>
            <w:tcW w:w="283" w:type="dxa"/>
          </w:tcPr>
          <w:p w:rsidR="006700C2" w:rsidRDefault="006700C2">
            <w:pPr>
              <w:pStyle w:val="SBTabell"/>
              <w:rPr>
                <w:sz w:val="18"/>
              </w:rPr>
            </w:pPr>
            <w:r>
              <w:rPr>
                <w:b/>
                <w:sz w:val="18"/>
              </w:rPr>
              <w:t>C</w:t>
            </w:r>
          </w:p>
        </w:tc>
        <w:tc>
          <w:tcPr>
            <w:tcW w:w="4820" w:type="dxa"/>
          </w:tcPr>
          <w:p w:rsidR="006700C2" w:rsidRDefault="006700C2">
            <w:pPr>
              <w:pStyle w:val="SBTabell"/>
              <w:jc w:val="left"/>
              <w:rPr>
                <w:sz w:val="18"/>
              </w:rPr>
            </w:pPr>
            <w:r>
              <w:rPr>
                <w:b/>
                <w:sz w:val="18"/>
              </w:rPr>
              <w:t>Särskilda finansierings- och garantiåtaganden</w:t>
            </w:r>
          </w:p>
        </w:tc>
        <w:tc>
          <w:tcPr>
            <w:tcW w:w="851" w:type="dxa"/>
          </w:tcPr>
          <w:p w:rsidR="006700C2" w:rsidRDefault="006700C2">
            <w:pPr>
              <w:pStyle w:val="SBTabell"/>
              <w:rPr>
                <w:sz w:val="18"/>
              </w:rPr>
            </w:pPr>
          </w:p>
        </w:tc>
        <w:tc>
          <w:tcPr>
            <w:tcW w:w="851" w:type="dxa"/>
          </w:tcPr>
          <w:p w:rsidR="006700C2" w:rsidRDefault="006700C2">
            <w:pPr>
              <w:pStyle w:val="SBTabell"/>
              <w:rPr>
                <w:sz w:val="18"/>
              </w:rPr>
            </w:pPr>
          </w:p>
        </w:tc>
      </w:tr>
      <w:tr w:rsidR="00000000">
        <w:tblPrEx>
          <w:tblCellMar>
            <w:top w:w="0" w:type="dxa"/>
            <w:bottom w:w="0" w:type="dxa"/>
          </w:tblCellMar>
        </w:tblPrEx>
        <w:tc>
          <w:tcPr>
            <w:tcW w:w="283" w:type="dxa"/>
          </w:tcPr>
          <w:p w:rsidR="006700C2" w:rsidRDefault="006700C2">
            <w:pPr>
              <w:pStyle w:val="SBTabell"/>
              <w:rPr>
                <w:sz w:val="17"/>
              </w:rPr>
            </w:pPr>
            <w:r>
              <w:rPr>
                <w:sz w:val="17"/>
              </w:rPr>
              <w:t>1</w:t>
            </w:r>
          </w:p>
        </w:tc>
        <w:tc>
          <w:tcPr>
            <w:tcW w:w="4820" w:type="dxa"/>
          </w:tcPr>
          <w:p w:rsidR="006700C2" w:rsidRDefault="006700C2">
            <w:pPr>
              <w:pStyle w:val="SBTabell"/>
              <w:jc w:val="left"/>
              <w:rPr>
                <w:sz w:val="17"/>
              </w:rPr>
            </w:pPr>
            <w:r>
              <w:rPr>
                <w:sz w:val="17"/>
              </w:rPr>
              <w:t xml:space="preserve">Avgift för Stadshypotekskassans grundfond </w:t>
            </w:r>
            <w:r>
              <w:rPr>
                <w:i/>
                <w:sz w:val="17"/>
              </w:rPr>
              <w:t>(ram)</w:t>
            </w:r>
          </w:p>
        </w:tc>
        <w:tc>
          <w:tcPr>
            <w:tcW w:w="851" w:type="dxa"/>
          </w:tcPr>
          <w:p w:rsidR="006700C2" w:rsidRDefault="006700C2">
            <w:pPr>
              <w:pStyle w:val="SBTabell"/>
              <w:jc w:val="right"/>
              <w:rPr>
                <w:sz w:val="17"/>
              </w:rPr>
            </w:pPr>
            <w:r>
              <w:rPr>
                <w:sz w:val="17"/>
              </w:rPr>
              <w:t>30 000</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r>
              <w:rPr>
                <w:sz w:val="17"/>
              </w:rPr>
              <w:t>2</w:t>
            </w:r>
          </w:p>
        </w:tc>
        <w:tc>
          <w:tcPr>
            <w:tcW w:w="4820" w:type="dxa"/>
          </w:tcPr>
          <w:p w:rsidR="006700C2" w:rsidRDefault="006700C2">
            <w:pPr>
              <w:pStyle w:val="SBTabell"/>
              <w:jc w:val="left"/>
              <w:rPr>
                <w:sz w:val="17"/>
              </w:rPr>
            </w:pPr>
            <w:r>
              <w:rPr>
                <w:sz w:val="17"/>
              </w:rPr>
              <w:t xml:space="preserve">Kapitalhöjning i Nordiska investeringsbanken </w:t>
            </w:r>
            <w:r>
              <w:rPr>
                <w:i/>
                <w:sz w:val="17"/>
              </w:rPr>
              <w:t>(ram)</w:t>
            </w:r>
          </w:p>
        </w:tc>
        <w:tc>
          <w:tcPr>
            <w:tcW w:w="851" w:type="dxa"/>
          </w:tcPr>
          <w:p w:rsidR="006700C2" w:rsidRDefault="006700C2">
            <w:pPr>
              <w:pStyle w:val="SBTabell"/>
              <w:jc w:val="right"/>
              <w:rPr>
                <w:sz w:val="17"/>
              </w:rPr>
            </w:pPr>
            <w:r>
              <w:rPr>
                <w:sz w:val="17"/>
              </w:rPr>
              <w:t>18 700</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p>
        </w:tc>
        <w:tc>
          <w:tcPr>
            <w:tcW w:w="4820" w:type="dxa"/>
          </w:tcPr>
          <w:p w:rsidR="006700C2" w:rsidRDefault="006700C2">
            <w:pPr>
              <w:pStyle w:val="SBTabell"/>
              <w:jc w:val="left"/>
              <w:rPr>
                <w:sz w:val="17"/>
              </w:rPr>
            </w:pPr>
          </w:p>
        </w:tc>
        <w:tc>
          <w:tcPr>
            <w:tcW w:w="851" w:type="dxa"/>
          </w:tcPr>
          <w:p w:rsidR="006700C2" w:rsidRDefault="006700C2">
            <w:pPr>
              <w:pStyle w:val="SBTabell"/>
              <w:rPr>
                <w:sz w:val="17"/>
              </w:rPr>
            </w:pPr>
          </w:p>
        </w:tc>
        <w:tc>
          <w:tcPr>
            <w:tcW w:w="851" w:type="dxa"/>
          </w:tcPr>
          <w:p w:rsidR="006700C2" w:rsidRDefault="006700C2">
            <w:pPr>
              <w:pStyle w:val="SBTabell"/>
              <w:rPr>
                <w:sz w:val="17"/>
              </w:rPr>
            </w:pPr>
          </w:p>
        </w:tc>
      </w:tr>
      <w:tr w:rsidR="00000000">
        <w:tblPrEx>
          <w:tblCellMar>
            <w:top w:w="0" w:type="dxa"/>
            <w:bottom w:w="0" w:type="dxa"/>
          </w:tblCellMar>
        </w:tblPrEx>
        <w:trPr>
          <w:cantSplit/>
        </w:trPr>
        <w:tc>
          <w:tcPr>
            <w:tcW w:w="283" w:type="dxa"/>
          </w:tcPr>
          <w:p w:rsidR="006700C2" w:rsidRDefault="006700C2">
            <w:pPr>
              <w:pStyle w:val="SBTabell"/>
              <w:rPr>
                <w:sz w:val="18"/>
              </w:rPr>
            </w:pPr>
            <w:r>
              <w:rPr>
                <w:b/>
                <w:sz w:val="18"/>
              </w:rPr>
              <w:t>D</w:t>
            </w:r>
          </w:p>
        </w:tc>
        <w:tc>
          <w:tcPr>
            <w:tcW w:w="4820" w:type="dxa"/>
          </w:tcPr>
          <w:p w:rsidR="006700C2" w:rsidRDefault="006700C2">
            <w:pPr>
              <w:pStyle w:val="SBTabell"/>
              <w:jc w:val="left"/>
              <w:rPr>
                <w:sz w:val="18"/>
              </w:rPr>
            </w:pPr>
            <w:r>
              <w:rPr>
                <w:b/>
                <w:sz w:val="18"/>
              </w:rPr>
              <w:t>Riksdagens revisorer</w:t>
            </w:r>
          </w:p>
        </w:tc>
        <w:tc>
          <w:tcPr>
            <w:tcW w:w="851" w:type="dxa"/>
          </w:tcPr>
          <w:p w:rsidR="006700C2" w:rsidRDefault="006700C2">
            <w:pPr>
              <w:pStyle w:val="SBTabell"/>
              <w:rPr>
                <w:sz w:val="18"/>
              </w:rPr>
            </w:pPr>
          </w:p>
        </w:tc>
        <w:tc>
          <w:tcPr>
            <w:tcW w:w="851" w:type="dxa"/>
          </w:tcPr>
          <w:p w:rsidR="006700C2" w:rsidRDefault="006700C2">
            <w:pPr>
              <w:pStyle w:val="SBTabell"/>
              <w:rPr>
                <w:sz w:val="18"/>
              </w:rPr>
            </w:pPr>
          </w:p>
        </w:tc>
      </w:tr>
      <w:tr w:rsidR="00000000">
        <w:tblPrEx>
          <w:tblCellMar>
            <w:top w:w="0" w:type="dxa"/>
            <w:bottom w:w="0" w:type="dxa"/>
          </w:tblCellMar>
        </w:tblPrEx>
        <w:tc>
          <w:tcPr>
            <w:tcW w:w="283" w:type="dxa"/>
          </w:tcPr>
          <w:p w:rsidR="006700C2" w:rsidRDefault="006700C2">
            <w:pPr>
              <w:pStyle w:val="SBTabell"/>
              <w:rPr>
                <w:sz w:val="17"/>
              </w:rPr>
            </w:pPr>
            <w:r>
              <w:rPr>
                <w:sz w:val="17"/>
              </w:rPr>
              <w:t>1</w:t>
            </w:r>
          </w:p>
        </w:tc>
        <w:tc>
          <w:tcPr>
            <w:tcW w:w="4820" w:type="dxa"/>
          </w:tcPr>
          <w:p w:rsidR="006700C2" w:rsidRDefault="006700C2">
            <w:pPr>
              <w:pStyle w:val="SBTabell"/>
              <w:jc w:val="left"/>
              <w:rPr>
                <w:sz w:val="17"/>
              </w:rPr>
            </w:pPr>
            <w:r>
              <w:rPr>
                <w:sz w:val="17"/>
              </w:rPr>
              <w:t xml:space="preserve">Riksdagens revisorer </w:t>
            </w:r>
            <w:r>
              <w:rPr>
                <w:i/>
                <w:sz w:val="17"/>
              </w:rPr>
              <w:t>(ram)</w:t>
            </w:r>
          </w:p>
        </w:tc>
        <w:tc>
          <w:tcPr>
            <w:tcW w:w="851" w:type="dxa"/>
          </w:tcPr>
          <w:p w:rsidR="006700C2" w:rsidRDefault="006700C2">
            <w:pPr>
              <w:pStyle w:val="SBTabell"/>
              <w:jc w:val="right"/>
              <w:rPr>
                <w:sz w:val="17"/>
              </w:rPr>
            </w:pPr>
            <w:r>
              <w:rPr>
                <w:sz w:val="17"/>
              </w:rPr>
              <w:t>18 704</w:t>
            </w:r>
          </w:p>
        </w:tc>
        <w:tc>
          <w:tcPr>
            <w:tcW w:w="851" w:type="dxa"/>
          </w:tcPr>
          <w:p w:rsidR="006700C2" w:rsidRDefault="006700C2">
            <w:pPr>
              <w:pStyle w:val="SBTabell"/>
              <w:jc w:val="right"/>
              <w:rPr>
                <w:sz w:val="17"/>
              </w:rPr>
            </w:pPr>
          </w:p>
        </w:tc>
      </w:tr>
      <w:tr w:rsidR="00000000">
        <w:tblPrEx>
          <w:tblCellMar>
            <w:top w:w="0" w:type="dxa"/>
            <w:bottom w:w="0" w:type="dxa"/>
          </w:tblCellMar>
        </w:tblPrEx>
        <w:tc>
          <w:tcPr>
            <w:tcW w:w="283" w:type="dxa"/>
          </w:tcPr>
          <w:p w:rsidR="006700C2" w:rsidRDefault="006700C2">
            <w:pPr>
              <w:pStyle w:val="SBTabell"/>
              <w:rPr>
                <w:sz w:val="17"/>
              </w:rPr>
            </w:pPr>
          </w:p>
        </w:tc>
        <w:tc>
          <w:tcPr>
            <w:tcW w:w="4820" w:type="dxa"/>
          </w:tcPr>
          <w:p w:rsidR="006700C2" w:rsidRDefault="006700C2">
            <w:pPr>
              <w:pStyle w:val="SBTabell"/>
              <w:jc w:val="left"/>
              <w:rPr>
                <w:sz w:val="17"/>
              </w:rPr>
            </w:pPr>
          </w:p>
        </w:tc>
        <w:tc>
          <w:tcPr>
            <w:tcW w:w="851" w:type="dxa"/>
          </w:tcPr>
          <w:p w:rsidR="006700C2" w:rsidRDefault="006700C2">
            <w:pPr>
              <w:pStyle w:val="SBTabell"/>
              <w:rPr>
                <w:sz w:val="17"/>
              </w:rPr>
            </w:pPr>
          </w:p>
        </w:tc>
        <w:tc>
          <w:tcPr>
            <w:tcW w:w="851" w:type="dxa"/>
          </w:tcPr>
          <w:p w:rsidR="006700C2" w:rsidRDefault="006700C2">
            <w:pPr>
              <w:pStyle w:val="SBTabell"/>
              <w:rPr>
                <w:sz w:val="17"/>
              </w:rPr>
            </w:pPr>
          </w:p>
        </w:tc>
      </w:tr>
      <w:tr w:rsidR="00000000">
        <w:tblPrEx>
          <w:tblCellMar>
            <w:top w:w="0" w:type="dxa"/>
            <w:bottom w:w="0" w:type="dxa"/>
          </w:tblCellMar>
        </w:tblPrEx>
        <w:tc>
          <w:tcPr>
            <w:tcW w:w="283" w:type="dxa"/>
          </w:tcPr>
          <w:p w:rsidR="006700C2" w:rsidRDefault="006700C2">
            <w:pPr>
              <w:pStyle w:val="SBTabell"/>
              <w:rPr>
                <w:sz w:val="18"/>
              </w:rPr>
            </w:pPr>
          </w:p>
        </w:tc>
        <w:tc>
          <w:tcPr>
            <w:tcW w:w="4820" w:type="dxa"/>
          </w:tcPr>
          <w:p w:rsidR="006700C2" w:rsidRDefault="006700C2">
            <w:pPr>
              <w:pStyle w:val="SBTabell"/>
              <w:jc w:val="left"/>
              <w:rPr>
                <w:sz w:val="18"/>
              </w:rPr>
            </w:pPr>
            <w:r>
              <w:rPr>
                <w:b/>
                <w:sz w:val="18"/>
              </w:rPr>
              <w:t xml:space="preserve">Summa för utgiftsområdet </w:t>
            </w:r>
          </w:p>
        </w:tc>
        <w:tc>
          <w:tcPr>
            <w:tcW w:w="851" w:type="dxa"/>
          </w:tcPr>
          <w:p w:rsidR="006700C2" w:rsidRDefault="006700C2">
            <w:pPr>
              <w:pStyle w:val="SBTabell"/>
              <w:jc w:val="right"/>
              <w:rPr>
                <w:sz w:val="18"/>
              </w:rPr>
            </w:pPr>
            <w:r>
              <w:rPr>
                <w:b/>
                <w:sz w:val="18"/>
              </w:rPr>
              <w:t>1 705 333</w:t>
            </w:r>
          </w:p>
        </w:tc>
        <w:tc>
          <w:tcPr>
            <w:tcW w:w="851" w:type="dxa"/>
          </w:tcPr>
          <w:p w:rsidR="006700C2" w:rsidRDefault="006700C2">
            <w:pPr>
              <w:pStyle w:val="SBTabell"/>
              <w:jc w:val="right"/>
              <w:rPr>
                <w:b/>
                <w:sz w:val="18"/>
              </w:rPr>
            </w:pPr>
            <w:r>
              <w:rPr>
                <w:b/>
                <w:sz w:val="18"/>
              </w:rPr>
              <w:t>-23 000</w:t>
            </w:r>
          </w:p>
        </w:tc>
      </w:tr>
      <w:tr w:rsidR="00000000">
        <w:tblPrEx>
          <w:tblCellMar>
            <w:top w:w="0" w:type="dxa"/>
            <w:bottom w:w="0" w:type="dxa"/>
          </w:tblCellMar>
        </w:tblPrEx>
        <w:trPr>
          <w:trHeight w:hRule="exact" w:val="120"/>
        </w:trPr>
        <w:tc>
          <w:tcPr>
            <w:tcW w:w="283" w:type="dxa"/>
            <w:tcBorders>
              <w:bottom w:val="single" w:sz="4" w:space="0" w:color="auto"/>
            </w:tcBorders>
          </w:tcPr>
          <w:p w:rsidR="006700C2" w:rsidRDefault="006700C2">
            <w:pPr>
              <w:pStyle w:val="SBTabell"/>
              <w:rPr>
                <w:sz w:val="17"/>
              </w:rPr>
            </w:pPr>
          </w:p>
        </w:tc>
        <w:tc>
          <w:tcPr>
            <w:tcW w:w="4820" w:type="dxa"/>
            <w:tcBorders>
              <w:bottom w:val="single" w:sz="4" w:space="0" w:color="auto"/>
            </w:tcBorders>
          </w:tcPr>
          <w:p w:rsidR="006700C2" w:rsidRDefault="006700C2">
            <w:pPr>
              <w:pStyle w:val="SBTabell"/>
              <w:jc w:val="left"/>
              <w:rPr>
                <w:sz w:val="17"/>
              </w:rPr>
            </w:pPr>
          </w:p>
        </w:tc>
        <w:tc>
          <w:tcPr>
            <w:tcW w:w="851" w:type="dxa"/>
            <w:tcBorders>
              <w:bottom w:val="single" w:sz="4" w:space="0" w:color="auto"/>
            </w:tcBorders>
          </w:tcPr>
          <w:p w:rsidR="006700C2" w:rsidRDefault="006700C2">
            <w:pPr>
              <w:pStyle w:val="SBTabell"/>
              <w:rPr>
                <w:sz w:val="17"/>
              </w:rPr>
            </w:pPr>
          </w:p>
        </w:tc>
        <w:tc>
          <w:tcPr>
            <w:tcW w:w="851" w:type="dxa"/>
            <w:tcBorders>
              <w:bottom w:val="single" w:sz="4" w:space="0" w:color="auto"/>
            </w:tcBorders>
          </w:tcPr>
          <w:p w:rsidR="006700C2" w:rsidRDefault="006700C2">
            <w:pPr>
              <w:pStyle w:val="SBTabell"/>
              <w:rPr>
                <w:sz w:val="17"/>
              </w:rPr>
            </w:pPr>
          </w:p>
        </w:tc>
      </w:tr>
    </w:tbl>
    <w:p w:rsidR="006700C2" w:rsidRDefault="006700C2">
      <w:pPr>
        <w:pStyle w:val="Rubrik1"/>
        <w:sectPr w:rsidR="00000000">
          <w:headerReference w:type="default" r:id="rId14"/>
          <w:footerReference w:type="default" r:id="rId15"/>
          <w:pgSz w:w="11906" w:h="16838" w:code="9"/>
          <w:pgMar w:top="567" w:right="4876" w:bottom="4508" w:left="1134" w:header="227" w:footer="227" w:gutter="0"/>
          <w:cols w:space="720"/>
        </w:sectPr>
      </w:pPr>
      <w:bookmarkStart w:id="59" w:name="Ordförande"/>
      <w:bookmarkStart w:id="60" w:name="Deltagare"/>
      <w:bookmarkEnd w:id="59"/>
      <w:bookmarkEnd w:id="60"/>
    </w:p>
    <w:p w:rsidR="006700C2" w:rsidRDefault="006700C2">
      <w:pPr>
        <w:pStyle w:val="Rubrik1"/>
        <w:spacing w:before="0"/>
      </w:pPr>
      <w:bookmarkStart w:id="61" w:name="_Toc437689364"/>
      <w:r>
        <w:t>Reservationer</w:t>
      </w:r>
      <w:bookmarkEnd w:id="61"/>
    </w:p>
    <w:p w:rsidR="006700C2" w:rsidRDefault="006700C2">
      <w:pPr>
        <w:pStyle w:val="Rubrik2"/>
      </w:pPr>
      <w:bookmarkStart w:id="62" w:name="Nästa_Reservation"/>
      <w:bookmarkStart w:id="63" w:name="_Toc437689365"/>
      <w:bookmarkEnd w:id="62"/>
      <w:r>
        <w:t>1. Anslagen inom utgiftsområde 2 budgetåret 1999 (mom. 2) (c)</w:t>
      </w:r>
      <w:bookmarkEnd w:id="63"/>
    </w:p>
    <w:p w:rsidR="006700C2" w:rsidRDefault="006700C2">
      <w:r>
        <w:t xml:space="preserve">Lena Ek (c) anser </w:t>
      </w:r>
    </w:p>
    <w:p w:rsidR="006700C2" w:rsidRDefault="006700C2">
      <w:r>
        <w:rPr>
          <w:i/>
        </w:rPr>
        <w:t>dels</w:t>
      </w:r>
      <w:r>
        <w:t xml:space="preserve"> att den del av </w:t>
      </w:r>
      <w:r>
        <w:rPr>
          <w:i/>
        </w:rPr>
        <w:t>utskottets samlade ställningstagande till anslagen inom utgiftsområde 2</w:t>
      </w:r>
      <w:r>
        <w:t xml:space="preserve"> som på s. 18 börjar med ”När det gäller” och slutar med ”(c) yrkande 5” bort ha följa</w:t>
      </w:r>
      <w:r>
        <w:t>n</w:t>
      </w:r>
      <w:r>
        <w:t>de lydelse:</w:t>
      </w:r>
    </w:p>
    <w:p w:rsidR="006700C2" w:rsidRDefault="006700C2">
      <w:pPr>
        <w:pStyle w:val="Normaltindrag"/>
      </w:pPr>
      <w:r>
        <w:t xml:space="preserve">När det gäller </w:t>
      </w:r>
      <w:r>
        <w:rPr>
          <w:i/>
        </w:rPr>
        <w:t xml:space="preserve">folk- och bostadsräkningen </w:t>
      </w:r>
      <w:r>
        <w:t>anser utskottet, i likhet med vad som anförs i motion So314 (c) att FoB-arna utgör ett ovärderligt material för folkhälsoarbetet. Det är mycket angeläget att det förberedelsearbete som pågår för att kunna genomföra de nya registerbaserade folk- och bostadsrä</w:t>
      </w:r>
      <w:r>
        <w:t>k</w:t>
      </w:r>
      <w:r>
        <w:t>ningarna påskyndas. Vidare bör statistiken som tas fram vara könsuppdelad. Vad utskottet här anfört bör riksdagen med anledning av motion So314 (c) yrkande 5 som sin mening ge regeringen till känna. Därmed torde också syftet i</w:t>
      </w:r>
      <w:r>
        <w:t xml:space="preserve"> motion A292 (v) yrkande 2 i icke ringa grad vara tillgodosett, varför den avstyrks.</w:t>
      </w:r>
    </w:p>
    <w:p w:rsidR="006700C2" w:rsidRDefault="006700C2">
      <w:pPr>
        <w:pStyle w:val="Normaltindrag"/>
      </w:pPr>
      <w:r>
        <w:t>Utskottet har inget att erinra mot medelstilldelningen som föreslås i bu</w:t>
      </w:r>
      <w:r>
        <w:t>d</w:t>
      </w:r>
      <w:r>
        <w:t>getpropositionen till folk- och bostadsräkningen. Däremot bör effektivis</w:t>
      </w:r>
      <w:r>
        <w:t>e</w:t>
      </w:r>
      <w:r>
        <w:t>ringar i verksamheten på SCB kunna möjliggöra besparingar på myndigh</w:t>
      </w:r>
      <w:r>
        <w:t>e</w:t>
      </w:r>
      <w:r>
        <w:t>tens anslag om 13 miljoner kronor. Motionerna Fi507 (m) yrkandena 4 och 5 samt Fi211 (fp) yrka</w:t>
      </w:r>
      <w:r>
        <w:t>n</w:t>
      </w:r>
      <w:r>
        <w:t xml:space="preserve">de 8 i denna del bör avslås. </w:t>
      </w:r>
    </w:p>
    <w:p w:rsidR="006700C2" w:rsidRDefault="006700C2">
      <w:pPr>
        <w:pStyle w:val="Normaltindrag"/>
      </w:pPr>
    </w:p>
    <w:p w:rsidR="006700C2" w:rsidRDefault="006700C2">
      <w:pPr>
        <w:spacing w:before="0"/>
      </w:pPr>
      <w:r>
        <w:rPr>
          <w:i/>
        </w:rPr>
        <w:t xml:space="preserve">dels </w:t>
      </w:r>
      <w:r>
        <w:t xml:space="preserve">att den del av </w:t>
      </w:r>
      <w:r>
        <w:rPr>
          <w:i/>
        </w:rPr>
        <w:t>utskottets samlade ställningstagande</w:t>
      </w:r>
      <w:r>
        <w:t xml:space="preserve"> </w:t>
      </w:r>
      <w:r>
        <w:rPr>
          <w:i/>
        </w:rPr>
        <w:t>till anslagen inom</w:t>
      </w:r>
      <w:r>
        <w:t xml:space="preserve"> </w:t>
      </w:r>
      <w:r>
        <w:rPr>
          <w:i/>
        </w:rPr>
        <w:t>utgiftsområde 2</w:t>
      </w:r>
      <w:r>
        <w:t xml:space="preserve"> som på s. 19 börjar med ”Riksdagen har” och slutar med ”yrkande 7 avstyrks” bort ha följande lydelse:</w:t>
      </w:r>
    </w:p>
    <w:p w:rsidR="006700C2" w:rsidRDefault="006700C2">
      <w:pPr>
        <w:pStyle w:val="Normaltindrag"/>
      </w:pPr>
      <w:r>
        <w:t xml:space="preserve">Utskottet instämmer i vad som i motion Fi210 (c) yrkande 5 i denna del anförs om att inrättandet av en </w:t>
      </w:r>
      <w:r>
        <w:rPr>
          <w:i/>
        </w:rPr>
        <w:t>ny myndighet för kvalitetsutveckling och kompetenshöjning</w:t>
      </w:r>
      <w:r>
        <w:t xml:space="preserve"> inom statsförvaltningen inte är eftersträvansvärt. Enligt utskottets mening bör detta arbete bedrivas inom alla myndigheter. Något nytt anslag för den föreslagna myndigheten bör således inte uppföras på 1999 års budget. </w:t>
      </w:r>
    </w:p>
    <w:p w:rsidR="006700C2" w:rsidRDefault="006700C2">
      <w:pPr>
        <w:pStyle w:val="Normaltindrag"/>
      </w:pPr>
      <w:r>
        <w:t>Utskottet avstyrker således propositionens förslag i denna del och tillsty</w:t>
      </w:r>
      <w:r>
        <w:t>r</w:t>
      </w:r>
      <w:r>
        <w:t xml:space="preserve">ker avslagsyrkandena i motionerna Fi210 (c) yrkande 5 i denna del, Fi211 (fp) yrkande 8 i denna del och Fi507 (m) yrkande 7. </w:t>
      </w:r>
    </w:p>
    <w:p w:rsidR="006700C2" w:rsidRDefault="006700C2">
      <w:pPr>
        <w:pStyle w:val="Normaltindrag"/>
      </w:pPr>
    </w:p>
    <w:p w:rsidR="006700C2" w:rsidRDefault="006700C2">
      <w:pPr>
        <w:spacing w:before="0"/>
      </w:pPr>
      <w:r>
        <w:rPr>
          <w:i/>
        </w:rPr>
        <w:t>dels</w:t>
      </w:r>
      <w:r>
        <w:t xml:space="preserve"> att den del av </w:t>
      </w:r>
      <w:r>
        <w:rPr>
          <w:i/>
        </w:rPr>
        <w:t>utskottets samlade ställningstagande</w:t>
      </w:r>
      <w:r>
        <w:t xml:space="preserve"> </w:t>
      </w:r>
      <w:r>
        <w:rPr>
          <w:i/>
        </w:rPr>
        <w:t>till anslagen inom utgiftsområde 2</w:t>
      </w:r>
      <w:r>
        <w:t xml:space="preserve"> som på s. 20 börjar med ”Kristdemokraterna har” och slutar med ”A292 (v) yrkande 12” bort ha följande lydelse:</w:t>
      </w:r>
    </w:p>
    <w:p w:rsidR="006700C2" w:rsidRDefault="006700C2">
      <w:pPr>
        <w:pStyle w:val="Normaltindrag"/>
      </w:pPr>
      <w:r>
        <w:t xml:space="preserve">Utskottet instämmer i vad som i motion Fi210 (c) anförs om att det finns en möjlighet till effektivisering inom utgiftsområdet genom decentralisering till regionala och lokala nivåer. Vad beträffar Kristdemokraternas förslag att göra </w:t>
      </w:r>
      <w:r>
        <w:rPr>
          <w:i/>
        </w:rPr>
        <w:t>en generell besparing</w:t>
      </w:r>
      <w:r>
        <w:t xml:space="preserve"> på utgiftsområdets anslag med 100 miljoner kronor är utskottet inte berett att biträda en så stor minskning av anslagen, varför motion Fi505 avstyrks. </w:t>
      </w:r>
    </w:p>
    <w:p w:rsidR="006700C2" w:rsidRDefault="006700C2">
      <w:pPr>
        <w:pStyle w:val="Normaltindrag"/>
      </w:pPr>
      <w:r>
        <w:t>Sammanfattningsvis biträder utskottet de förslag som framförs i motione</w:t>
      </w:r>
      <w:r>
        <w:t>r</w:t>
      </w:r>
      <w:r>
        <w:t>na Fi210 (c) yrkande 5 och So314 (c) yrkande 5. I övriga delar tillstyrks propositionens förslag till fördelning av anslagen inom utgiftsområdet (y</w:t>
      </w:r>
      <w:r>
        <w:t>r</w:t>
      </w:r>
      <w:r>
        <w:t>kande 6). Utskottet tillstyrker förslaget i propositionen om åtaganden för VESTA-projektet (yrkande 3). Följande motioner avstyrks försåvitt de ej tillgodosetts: Fi211 (fp) yrkande 8 i denna del, Fi505 (kd), Fi507 (m) yrka</w:t>
      </w:r>
      <w:r>
        <w:t>n</w:t>
      </w:r>
      <w:r>
        <w:t>dena 1–10 och A292 (v) yrkande 12.</w:t>
      </w:r>
    </w:p>
    <w:p w:rsidR="006700C2" w:rsidRDefault="006700C2">
      <w:r>
        <w:rPr>
          <w:i/>
        </w:rPr>
        <w:t>dels</w:t>
      </w:r>
      <w:r>
        <w:t xml:space="preserve"> att utskottets hemställan under 2 bort ha följande lydelse:</w:t>
      </w:r>
    </w:p>
    <w:p w:rsidR="006700C2" w:rsidRDefault="006700C2">
      <w:pPr>
        <w:pStyle w:val="Resklmb"/>
      </w:pPr>
      <w:r>
        <w:t xml:space="preserve">2. beträffande </w:t>
      </w:r>
      <w:r>
        <w:rPr>
          <w:i/>
        </w:rPr>
        <w:t>anslagen inom utgiftsområde 2 budgetåret 1999</w:t>
      </w:r>
    </w:p>
    <w:p w:rsidR="006700C2" w:rsidRDefault="006700C2">
      <w:pPr>
        <w:pStyle w:val="Resklm"/>
      </w:pPr>
      <w:r>
        <w:t>att riksdagen med bifall till motionerna 1998/99:Fi210 yrkande 5 och 1998/99:So314 yrkande 5 och proposition 1998/99:1 utgiftsområde 2 yrkande 3 samt med anledning av proposition 1998/99:1 utgiftsomr</w:t>
      </w:r>
      <w:r>
        <w:t>å</w:t>
      </w:r>
      <w:r>
        <w:t>de 2 yrkande 6 samt med avslag på motionerna 1998/99:Fi211 yrka</w:t>
      </w:r>
      <w:r>
        <w:t>n</w:t>
      </w:r>
      <w:r>
        <w:t>de 8 i denna del, 1998/99:Fi505, 1998/99:Fi507 yrkandena 1–10 och 1998/99:A292 y</w:t>
      </w:r>
      <w:r>
        <w:t>r</w:t>
      </w:r>
      <w:r>
        <w:t>kande 12</w:t>
      </w:r>
    </w:p>
    <w:p w:rsidR="006700C2" w:rsidRDefault="006700C2">
      <w:pPr>
        <w:pStyle w:val="hemtext"/>
      </w:pPr>
      <w:r>
        <w:rPr>
          <w:i/>
        </w:rPr>
        <w:t>dels</w:t>
      </w:r>
      <w:r>
        <w:t xml:space="preserve"> bemyndigar regeringen att under år 1999, i fråga om ramanslaget A 13 Utvecklingsarbete, för VESTA-projektets genomförande göra ekonomiska åtaganden som inklusive tidigare åtaganden innebär u</w:t>
      </w:r>
      <w:r>
        <w:t>t</w:t>
      </w:r>
      <w:r>
        <w:t xml:space="preserve">gifter på högst 50 000 000 kr efter år 1999, </w:t>
      </w:r>
    </w:p>
    <w:p w:rsidR="006700C2" w:rsidRDefault="006700C2">
      <w:pPr>
        <w:pStyle w:val="hemtext"/>
      </w:pPr>
      <w:r>
        <w:rPr>
          <w:i/>
        </w:rPr>
        <w:t xml:space="preserve">dels </w:t>
      </w:r>
      <w:r>
        <w:t>för budgetåret 1999 anvisar anslagen under utgiftsområde 2 Sa</w:t>
      </w:r>
      <w:r>
        <w:t>m</w:t>
      </w:r>
      <w:r>
        <w:t>hällsekonomi och finansförvaltning enligt det med ”res. 1 (c)” betec</w:t>
      </w:r>
      <w:r>
        <w:t>k</w:t>
      </w:r>
      <w:r>
        <w:t xml:space="preserve">nade förslaget i </w:t>
      </w:r>
      <w:r>
        <w:rPr>
          <w:i/>
        </w:rPr>
        <w:t>appendix till hemställan</w:t>
      </w:r>
      <w:r>
        <w:t xml:space="preserve">, </w:t>
      </w:r>
    </w:p>
    <w:p w:rsidR="006700C2" w:rsidRDefault="006700C2">
      <w:pPr>
        <w:pStyle w:val="hemtext"/>
      </w:pPr>
      <w:r>
        <w:rPr>
          <w:i/>
        </w:rPr>
        <w:t>dels</w:t>
      </w:r>
      <w:r>
        <w:t xml:space="preserve"> som sin mening ger regeringen till känna vad utskottet anfört om folk- och bostadsräkningarna,    </w:t>
      </w:r>
    </w:p>
    <w:p w:rsidR="006700C2" w:rsidRDefault="006700C2">
      <w:pPr>
        <w:pStyle w:val="Rubrik2"/>
      </w:pPr>
      <w:bookmarkStart w:id="64" w:name="_Toc437689366"/>
      <w:r>
        <w:t>2. Utveckling av BNP-måttet (mom. 4) (kd)</w:t>
      </w:r>
      <w:bookmarkEnd w:id="64"/>
    </w:p>
    <w:p w:rsidR="006700C2" w:rsidRDefault="006700C2">
      <w:r>
        <w:t xml:space="preserve">Mats Odell och Per Landgren (båda kd) anser </w:t>
      </w:r>
    </w:p>
    <w:p w:rsidR="006700C2" w:rsidRDefault="006700C2">
      <w:r>
        <w:rPr>
          <w:i/>
        </w:rPr>
        <w:t>dels</w:t>
      </w:r>
      <w:r>
        <w:t xml:space="preserve"> att den del av finansutskottets ställningstagande i avsnittet </w:t>
      </w:r>
      <w:r>
        <w:rPr>
          <w:i/>
        </w:rPr>
        <w:t xml:space="preserve">Utveckling av BNP-måttet </w:t>
      </w:r>
      <w:r>
        <w:t>som på s. 22 börjar med ”Den internationella” och på s. 24 slutar med  ”yrkande 1” bort ha följande lydelse:</w:t>
      </w:r>
    </w:p>
    <w:p w:rsidR="006700C2" w:rsidRDefault="006700C2">
      <w:pPr>
        <w:pStyle w:val="Normaltindrag"/>
      </w:pPr>
      <w:r>
        <w:t>Den internationella trenden under de senaste tio åren har i stället varit att vid sidan av BNP-måttet utveckla kompletterande räkenskaper inom spec</w:t>
      </w:r>
      <w:r>
        <w:t>i</w:t>
      </w:r>
      <w:r>
        <w:t>ella områden, s.k. satelliträkenskaper. Enligt utskottets mening bör regerin</w:t>
      </w:r>
      <w:r>
        <w:t>g</w:t>
      </w:r>
      <w:r>
        <w:t>en få i uppdrag att utarbeta en satelliträkenskap för en miljöjusterad netton</w:t>
      </w:r>
      <w:r>
        <w:t>a</w:t>
      </w:r>
      <w:r>
        <w:t>tionalprodukt, en NMP. I en  sådan räkenskap tas hänsyn till de förändringar i t.ex. human- och miljökapital som tillväxten skapar. Vidare bör regeringen få i uppdrag att ta initiativ till ett internationellt projekt om hur hushållens hemarbete skall kunna värderas i en kompletterande räkenskap till nationa</w:t>
      </w:r>
      <w:r>
        <w:t>l</w:t>
      </w:r>
      <w:r>
        <w:t>räke</w:t>
      </w:r>
      <w:r>
        <w:t>n</w:t>
      </w:r>
      <w:r>
        <w:t>skaperna.</w:t>
      </w:r>
    </w:p>
    <w:p w:rsidR="006700C2" w:rsidRDefault="006700C2">
      <w:pPr>
        <w:pStyle w:val="Normaltindrag"/>
      </w:pPr>
      <w:r>
        <w:t>Vad utskottet ovan anfört med an</w:t>
      </w:r>
      <w:r>
        <w:t xml:space="preserve">ledning av motion MJ238 (kd) yrkande 4 och A810 (kd) yrkande 4 bör riksdagen som sin mening ge regeringen till känna. Motionerna U704 (v) yrkande 5 och So314 (c) yrkande 1 avstyrks av utskottet.  </w:t>
      </w:r>
    </w:p>
    <w:p w:rsidR="006700C2" w:rsidRDefault="006700C2">
      <w:r>
        <w:rPr>
          <w:i/>
        </w:rPr>
        <w:br w:type="page"/>
        <w:t>dels</w:t>
      </w:r>
      <w:r>
        <w:t xml:space="preserve"> att utskottets hemställan under 4 bort ha följande lydelse:</w:t>
      </w:r>
    </w:p>
    <w:p w:rsidR="006700C2" w:rsidRDefault="006700C2">
      <w:pPr>
        <w:pStyle w:val="Resklmb"/>
      </w:pPr>
      <w:r>
        <w:t xml:space="preserve">4. beträffande </w:t>
      </w:r>
      <w:r>
        <w:rPr>
          <w:i/>
        </w:rPr>
        <w:t>utveckling av BNP-måttet</w:t>
      </w:r>
    </w:p>
    <w:p w:rsidR="006700C2" w:rsidRDefault="006700C2">
      <w:pPr>
        <w:pStyle w:val="Resklm"/>
      </w:pPr>
      <w:r>
        <w:t>att riksdagen med anledning av motionerna 1998/99:MJ238 yrkande 4 och 1998/99:A810 yrkande 4 samt med avslag på motionerna 1998/99:U704 yrkande 5 och 1998/99:So314 yrkande 1 som sin m</w:t>
      </w:r>
      <w:r>
        <w:t>e</w:t>
      </w:r>
      <w:r>
        <w:t>ning ger regeringen till känna vad utskottet anfört,</w:t>
      </w:r>
    </w:p>
    <w:p w:rsidR="006700C2" w:rsidRDefault="006700C2">
      <w:pPr>
        <w:pStyle w:val="Rubrik2"/>
      </w:pPr>
      <w:bookmarkStart w:id="65" w:name="_Toc437689367"/>
      <w:r>
        <w:t>3. Utveckling av BNP-måttet (mom. 4) (c)</w:t>
      </w:r>
      <w:bookmarkEnd w:id="65"/>
    </w:p>
    <w:p w:rsidR="006700C2" w:rsidRDefault="006700C2">
      <w:r>
        <w:t xml:space="preserve">Lena Ek (c) anser </w:t>
      </w:r>
    </w:p>
    <w:p w:rsidR="006700C2" w:rsidRDefault="006700C2">
      <w:r>
        <w:rPr>
          <w:i/>
        </w:rPr>
        <w:t>dels</w:t>
      </w:r>
      <w:r>
        <w:t xml:space="preserve"> att den del av finansutskottets ställningstagande i avsnittet </w:t>
      </w:r>
      <w:r>
        <w:rPr>
          <w:i/>
        </w:rPr>
        <w:t>Utveckling av BNP-måttet</w:t>
      </w:r>
      <w:r>
        <w:t xml:space="preserve"> som på s. 23 börjar med ”Enligt utskottets mening” och på s. 24 slutar med ”yrkande 1” bort ha fö</w:t>
      </w:r>
      <w:r>
        <w:t>l</w:t>
      </w:r>
      <w:r>
        <w:t>jande lydelse:</w:t>
      </w:r>
    </w:p>
    <w:p w:rsidR="006700C2" w:rsidRDefault="006700C2">
      <w:pPr>
        <w:pStyle w:val="Normaltindrag"/>
      </w:pPr>
      <w:r>
        <w:t>För att få en bättre uppfattning om tillväxtens och samhällsutvecklingens sociala konsekvenser bör regeringen få i uppdrag att som komplement till BNP-måttet utveckla en satelliträkenskap som värderar tillväxtens positiva respektive negativa effekter på folkhälsan. En sådan räkenskap skulle bidra till att poli</w:t>
      </w:r>
      <w:r>
        <w:t>tiska beslut i större utsträckning grundas på principen om en hål</w:t>
      </w:r>
      <w:r>
        <w:t>l</w:t>
      </w:r>
      <w:r>
        <w:t xml:space="preserve">bar hälsoutveckling. </w:t>
      </w:r>
    </w:p>
    <w:p w:rsidR="006700C2" w:rsidRDefault="006700C2">
      <w:pPr>
        <w:pStyle w:val="Normaltindrag"/>
      </w:pPr>
      <w:r>
        <w:t>Ett av de mått som ofta används för att göra jämförelser av välfärden i ol</w:t>
      </w:r>
      <w:r>
        <w:t>i</w:t>
      </w:r>
      <w:r>
        <w:t>ka länder är OECD:s s.k. köpkraftskorrigerade BNP-statistik per capita, ibland något oegentligt kallad ”OECD:s välfärdsliga”. Utskottet har tidigare behandlat denna statistik (senast i bet. 1998/99:FiU1) och påpekat att måttet bör användas med stor försiktighet. Den statistiska osäkerheten är stor och som framförts ovan har BNP-måttet stora brister som välfärdsmått. Däremot finns det andra undersökningar som kan komplettera OECD:s mått. En sådan undersökning är den rapport om utvecklingsnivån i världen som</w:t>
      </w:r>
      <w:r>
        <w:t xml:space="preserve"> FN:s u</w:t>
      </w:r>
      <w:r>
        <w:t>t</w:t>
      </w:r>
      <w:r>
        <w:t>vecklingsorgan, UNDP, publicerar varje år.  I rapporten publiceras t.ex. listor och mått över vilka länder som har lägst fattigdom och hur utvecklad jä</w:t>
      </w:r>
      <w:r>
        <w:t>m</w:t>
      </w:r>
      <w:r>
        <w:t>ställdheten är. UNDP publicerar också ett generellt mått över utvecklingsn</w:t>
      </w:r>
      <w:r>
        <w:t>i</w:t>
      </w:r>
      <w:r>
        <w:t>vån i länderna. Utvecklingsnivån mäts genom en sammanvägning av tre indikatorer – förväntad livslängd hos nyfödda, utbildningsnivå i form av läskunnighet hos vuxna och andelen inskrivna på grundskole-, gymnasie- och eftergymnasial nivå samt den köpkraftskorrigerade bruttonatio</w:t>
      </w:r>
      <w:r>
        <w:t>nalpr</w:t>
      </w:r>
      <w:r>
        <w:t>o</w:t>
      </w:r>
      <w:r>
        <w:t>dukten per capita. Även om dessa undersökningar också innehåller ett stort mått av osäkerhet, kan de fungera som en gott komplement till OECD:s BNP-jämförelse.</w:t>
      </w:r>
    </w:p>
    <w:p w:rsidR="006700C2" w:rsidRDefault="006700C2">
      <w:pPr>
        <w:pStyle w:val="Normaltindrag"/>
      </w:pPr>
      <w:r>
        <w:t>Det är också utskottets förhoppning att hälsoräkenskaper och miljöräke</w:t>
      </w:r>
      <w:r>
        <w:t>n</w:t>
      </w:r>
      <w:r>
        <w:t>skaper inom några år skall kunna bidra till att bredda och ytterligare fördjupa måtten över samhällets välfärd.</w:t>
      </w:r>
    </w:p>
    <w:p w:rsidR="006700C2" w:rsidRDefault="006700C2">
      <w:pPr>
        <w:pStyle w:val="Normaltindrag"/>
      </w:pPr>
      <w:r>
        <w:t>Vad utskottet ovan anfört med anledning av motion So 314 (c) yrkande 1 bör riksdagen som sin mening ge regeringen till känna. Motionerna U704 (v) yrkande 5, MJ238 (kd) yrkande 4 och A810 (kd) yrkande 4 avstyrks av u</w:t>
      </w:r>
      <w:r>
        <w:t>t</w:t>
      </w:r>
      <w:r>
        <w:t>skottet.</w:t>
      </w:r>
    </w:p>
    <w:p w:rsidR="006700C2" w:rsidRDefault="006700C2">
      <w:r>
        <w:rPr>
          <w:i/>
        </w:rPr>
        <w:br w:type="page"/>
        <w:t>dels</w:t>
      </w:r>
      <w:r>
        <w:t xml:space="preserve"> att utskottets hemställan under 4 bort ha följande lydelse:</w:t>
      </w:r>
    </w:p>
    <w:p w:rsidR="006700C2" w:rsidRDefault="006700C2">
      <w:pPr>
        <w:pStyle w:val="Resklmb"/>
      </w:pPr>
      <w:r>
        <w:t xml:space="preserve">4. beträffande </w:t>
      </w:r>
      <w:r>
        <w:rPr>
          <w:i/>
        </w:rPr>
        <w:t>utveckling av BNP-måttet</w:t>
      </w:r>
    </w:p>
    <w:p w:rsidR="006700C2" w:rsidRDefault="006700C2">
      <w:pPr>
        <w:pStyle w:val="Resklm"/>
      </w:pPr>
      <w:r>
        <w:t>att riksdagen med anledning av motion 1998/99:So314 yrkande 1 samt med avslag på motionerna 1998/99:U704 yrkande 5, 1998/99:MJ238 yrkande 4 och 1998/99:A810 yrkande 4 som sin mening ger regerin</w:t>
      </w:r>
      <w:r>
        <w:t>g</w:t>
      </w:r>
      <w:r>
        <w:t xml:space="preserve">en till känna vad utskottet anfört, </w:t>
      </w:r>
    </w:p>
    <w:p w:rsidR="006700C2" w:rsidRDefault="006700C2">
      <w:pPr>
        <w:pStyle w:val="Resklm"/>
      </w:pPr>
    </w:p>
    <w:p w:rsidR="006700C2" w:rsidRDefault="006700C2">
      <w:pPr>
        <w:pStyle w:val="Rubrik2"/>
      </w:pPr>
      <w:bookmarkStart w:id="66" w:name="_Toc437689368"/>
      <w:r>
        <w:t>4. Utveckling av BNP-måttet (mom. 4, motiveringen) (m)</w:t>
      </w:r>
      <w:bookmarkEnd w:id="66"/>
    </w:p>
    <w:p w:rsidR="006700C2" w:rsidRDefault="006700C2">
      <w:r>
        <w:t xml:space="preserve">Lennart Hedquist, Fredrik Reinfeldt, Anna Åkerhielm och Gunnar Axén (alla m) anser att finansutskottets ställningstagande i avsnittet </w:t>
      </w:r>
      <w:r>
        <w:rPr>
          <w:i/>
        </w:rPr>
        <w:t>Utveckling av  BNP-måttet</w:t>
      </w:r>
      <w:r>
        <w:t xml:space="preserve"> bort ha följande lydelse:</w:t>
      </w:r>
    </w:p>
    <w:p w:rsidR="006700C2" w:rsidRDefault="006700C2">
      <w:pPr>
        <w:pStyle w:val="Normaltindrag"/>
      </w:pPr>
      <w:r>
        <w:t>Dagens system för nationalräkenskaper (NR), i vilken totalmåttet brutt</w:t>
      </w:r>
      <w:r>
        <w:t>o</w:t>
      </w:r>
      <w:r>
        <w:t>nationalprodukt (BNP) ingår, har successivt byggts upp under de senaste 50–60 åren. Räkenskaperna har också alltmer samordnats mellan olika länder i t.ex. FN:s och OECD:s regi. Detta gör att NR och BNP är ett mycket a</w:t>
      </w:r>
      <w:r>
        <w:t>n</w:t>
      </w:r>
      <w:r>
        <w:t>vändbart redskap när det gäller att analysera och belysa ekonomisk tillväxt och konjunkturen i olika länder samt hur ländernas utveckling samvarierar via t.ex. världshandeln och kapitalrörelser. Existensen av ett räkenskapssy</w:t>
      </w:r>
      <w:r>
        <w:softHyphen/>
        <w:t>stem som ger jämförbarhet över tiden och mellan länder är enligt ut</w:t>
      </w:r>
      <w:r>
        <w:t>skottets mening ovärderligt när det gäller möjligheterna att ge underlag för ekon</w:t>
      </w:r>
      <w:r>
        <w:t>o</w:t>
      </w:r>
      <w:r>
        <w:t>misk-politiska åtgärder och frågeställnin</w:t>
      </w:r>
      <w:r>
        <w:t>g</w:t>
      </w:r>
      <w:r>
        <w:t>ar.</w:t>
      </w:r>
    </w:p>
    <w:p w:rsidR="006700C2" w:rsidRDefault="006700C2">
      <w:pPr>
        <w:pStyle w:val="Normaltindrag"/>
      </w:pPr>
      <w:r>
        <w:t>I motionerna framhålls att nationalräkenskaperna och BNP-måttet bör ju</w:t>
      </w:r>
      <w:r>
        <w:t>s</w:t>
      </w:r>
      <w:r>
        <w:t>teras för bl.a. miljö- och hälsoeffekter av tillväxten. Vidare bör värdet av hushållens hemarbete räknas in i BNP.</w:t>
      </w:r>
    </w:p>
    <w:p w:rsidR="006700C2" w:rsidRDefault="006700C2">
      <w:pPr>
        <w:pStyle w:val="Normaltindrag"/>
      </w:pPr>
      <w:r>
        <w:t>Enligt utskottets mening är det emellertid inte möjligt att skapa ett samlat och enhetligt BNP-mått som inkluderar och värderar all ekonomisk aktivitet och korrigerar för alla effekter som tillväxten skapar. Risken med en sådan utveckling är att värdet av BNP-måttets ursprungliga roll som ett makroek</w:t>
      </w:r>
      <w:r>
        <w:t>o</w:t>
      </w:r>
      <w:r>
        <w:t>nomiskt analysverktyg försämras drastiskt.</w:t>
      </w:r>
    </w:p>
    <w:p w:rsidR="006700C2" w:rsidRDefault="006700C2">
      <w:pPr>
        <w:pStyle w:val="Normaltindrag"/>
      </w:pPr>
      <w:r>
        <w:t>Med anledning av vad som anförts ovan avstyrker utskottet förslagen i motionerna U704 (v) yrkande 5, A810 (kd) yrkande 4, MJ238 (kd) yrkande 4 och So314 (c) yrkande 1.</w:t>
      </w:r>
    </w:p>
    <w:p w:rsidR="006700C2" w:rsidRDefault="006700C2">
      <w:pPr>
        <w:pStyle w:val="Rubrik2"/>
      </w:pPr>
      <w:bookmarkStart w:id="67" w:name="_Toc437689369"/>
      <w:r>
        <w:t>5. Utveckling av BNP-måttet (mom. 4, motiveringen) (fp)</w:t>
      </w:r>
      <w:bookmarkEnd w:id="67"/>
    </w:p>
    <w:p w:rsidR="006700C2" w:rsidRDefault="006700C2">
      <w:r>
        <w:t>Camilla Dahlin-Andersson (fp) anser att den del av finansutskottets stäl</w:t>
      </w:r>
      <w:r>
        <w:t>l</w:t>
      </w:r>
      <w:r>
        <w:t xml:space="preserve">ningstagande i avsnittet </w:t>
      </w:r>
      <w:r>
        <w:rPr>
          <w:i/>
        </w:rPr>
        <w:t xml:space="preserve">Utveckling av BNP-måttet </w:t>
      </w:r>
      <w:r>
        <w:t>som på s. 22 börjar med ”Däremot är det” och på s. 24 slutar med ”fördjupa välfärdsmåtten” bort ha följande l</w:t>
      </w:r>
      <w:r>
        <w:t>y</w:t>
      </w:r>
      <w:r>
        <w:t>delse:</w:t>
      </w:r>
    </w:p>
    <w:p w:rsidR="006700C2" w:rsidRDefault="006700C2">
      <w:pPr>
        <w:pStyle w:val="Normaltindrag"/>
      </w:pPr>
      <w:r>
        <w:t>Det existerar också ett antal felaktiga uppfattningar om BNP-måttets k</w:t>
      </w:r>
      <w:r>
        <w:t>a</w:t>
      </w:r>
      <w:r>
        <w:t>raktär. Det finns t.ex. en uppfattning att trafikolyckor ökar BNP. Vid en olycka anlitas en redan befintlig sjukvårdsapparat, olyckan ökar således inte i sig sjukvårdsapparaten. Det avgörande är dock att olyckan medför att de resurser som då används har en alternativ användning. De resurser som a</w:t>
      </w:r>
      <w:r>
        <w:t>n</w:t>
      </w:r>
      <w:r>
        <w:t xml:space="preserve">vänds för reparationer o.d. har en alternativ användning. Den eller de som skadas kunde i stället ha gjort en produktiv insats. </w:t>
      </w:r>
    </w:p>
    <w:p w:rsidR="006700C2" w:rsidRDefault="006700C2">
      <w:pPr>
        <w:pStyle w:val="Normaltindrag"/>
      </w:pPr>
      <w:r>
        <w:t xml:space="preserve">Enligt utskottets mening är det knappast möjligt att skapa ett samlat och enhetligt </w:t>
      </w:r>
      <w:r>
        <w:t>BNP-mått som inkluderar och värderar all ekonomisk aktivitet och korrigerar för alla effekter som tillväxten skapar. Den internationella trenden under de senaste tio åren har i stället varit att vid sidan av BNP-måttet u</w:t>
      </w:r>
      <w:r>
        <w:t>t</w:t>
      </w:r>
      <w:r>
        <w:t>veckla kompletterande räkenskaper inom speciella områden, s.k. satellitr</w:t>
      </w:r>
      <w:r>
        <w:t>ä</w:t>
      </w:r>
      <w:r>
        <w:t>kenskaper. Ett sådant exempel är miljöräkenskaperna som är ett gemensamt projekt mellan Naturvårdsverket (NV), Konjunkturinstitutet (KI) och Stati</w:t>
      </w:r>
      <w:r>
        <w:t>s</w:t>
      </w:r>
      <w:r>
        <w:t>tiska centralbyrån (SCB). Utvecklingen av miljöräkenskaper är också i h</w:t>
      </w:r>
      <w:r>
        <w:t>ög grad ett internationellt projekt inom t.ex. EU, OECD och FN.</w:t>
      </w:r>
    </w:p>
    <w:p w:rsidR="006700C2" w:rsidRDefault="006700C2">
      <w:pPr>
        <w:pStyle w:val="Normaltindrag"/>
      </w:pPr>
      <w:r>
        <w:t>Enligt utskottets mening finns det i princip inget som hindrar att komple</w:t>
      </w:r>
      <w:r>
        <w:t>t</w:t>
      </w:r>
      <w:r>
        <w:t>terande uppgifter eller satelliträkenskaper även tas fram för t.ex. folkhä</w:t>
      </w:r>
      <w:r>
        <w:t>l</w:t>
      </w:r>
      <w:r>
        <w:t>soområdet eller för värdering av den produktion som sker i former som i dag inte täcks av nationalräkenskaperna.</w:t>
      </w:r>
    </w:p>
    <w:p w:rsidR="006700C2" w:rsidRDefault="006700C2">
      <w:pPr>
        <w:pStyle w:val="Normaltindrag"/>
      </w:pPr>
      <w:r>
        <w:t>Ett av de mått som ofta används för att göra jämförelser mellan länder är OECD:s köpkraftskorrigerade BNP-statistik per capita. Den statistiska os</w:t>
      </w:r>
      <w:r>
        <w:t>ä</w:t>
      </w:r>
      <w:r>
        <w:t>kerheten är betydande men i huvudsak torde ett sådant mått ge en riktig bild av skillnaden mellan länderna av den genomsnittliga levnadsstandarden. Även här finns kompletterande mått som de som FN:s utvecklingsorgan, UNDP, redovisar.</w:t>
      </w:r>
    </w:p>
    <w:p w:rsidR="006700C2" w:rsidRDefault="006700C2">
      <w:pPr>
        <w:pStyle w:val="Normaltindrag"/>
      </w:pPr>
      <w:r>
        <w:t>De behov som i dag finns av kompletterande mått torde för svensk del främst avse mått som fångar in förutsättningarna för tillväxt och välfärd. Behovet av en bättre utveckling i Sverige av tillväxten och den välfärd som följer därav torde vara ovedersägligt. Det är således frä</w:t>
      </w:r>
      <w:r>
        <w:t>mst statistik som på ett korrekt och relevant sätt mäter förutsättningarna för företagande, tillväxt och sysselsättning som behöver utvecklas. En utveckling av sådana mått bör enligt utskottets mening ske så att en rättvisande bild ges både av dessa fö</w:t>
      </w:r>
      <w:r>
        <w:t>r</w:t>
      </w:r>
      <w:r>
        <w:t>utsättningars utveckling över tiden och i internationell jämförelse. Härig</w:t>
      </w:r>
      <w:r>
        <w:t>e</w:t>
      </w:r>
      <w:r>
        <w:t>nom ges också ökade möjligheter att på sikt avläsa samband mellan politiska beslut och deras effekter på företagande, tillväxt och sysselsättning. Förebi</w:t>
      </w:r>
      <w:r>
        <w:t>l</w:t>
      </w:r>
      <w:r>
        <w:t xml:space="preserve">der kan på detta område sökas </w:t>
      </w:r>
      <w:r>
        <w:t>internationellt. T.ex. bör de mått som förnä</w:t>
      </w:r>
      <w:r>
        <w:t>r</w:t>
      </w:r>
      <w:r>
        <w:t>varande redovisas av World Forum och IMD (International Institute for Management Development) beaktas.</w:t>
      </w:r>
    </w:p>
    <w:p w:rsidR="006700C2" w:rsidRDefault="006700C2">
      <w:pPr>
        <w:pStyle w:val="Rubrik2"/>
      </w:pPr>
      <w:bookmarkStart w:id="68" w:name="_Toc437689370"/>
      <w:r>
        <w:t>6. Utveckling av fördelningsstatistiken (mom. 5) (m, kd)</w:t>
      </w:r>
      <w:bookmarkEnd w:id="68"/>
    </w:p>
    <w:p w:rsidR="006700C2" w:rsidRDefault="006700C2">
      <w:r>
        <w:t xml:space="preserve">Mats Odell (kd), Lennart Hedquist (m), Fredrik Reinfeldt (m), Per Landgren (kd), Anna Åkerhielm (m) och Gunnar Axén (m) och anser </w:t>
      </w:r>
    </w:p>
    <w:p w:rsidR="006700C2" w:rsidRDefault="006700C2">
      <w:r>
        <w:rPr>
          <w:i/>
        </w:rPr>
        <w:t>dels</w:t>
      </w:r>
      <w:r>
        <w:t xml:space="preserve"> att finansutskottets ställningstagande i avsnittet </w:t>
      </w:r>
      <w:r>
        <w:rPr>
          <w:i/>
        </w:rPr>
        <w:t>Utveckling av förde</w:t>
      </w:r>
      <w:r>
        <w:rPr>
          <w:i/>
        </w:rPr>
        <w:t>l</w:t>
      </w:r>
      <w:r>
        <w:rPr>
          <w:i/>
        </w:rPr>
        <w:t xml:space="preserve">ningsstatistiken </w:t>
      </w:r>
      <w:r>
        <w:t>bort ha följande lyde</w:t>
      </w:r>
      <w:r>
        <w:t>l</w:t>
      </w:r>
      <w:r>
        <w:t>se:</w:t>
      </w:r>
    </w:p>
    <w:p w:rsidR="006700C2" w:rsidRDefault="006700C2">
      <w:pPr>
        <w:pStyle w:val="Normaltindrag"/>
      </w:pPr>
      <w:r>
        <w:t>Utskottet konstaterar att Sverige i en internationell jämförelse har ett mycket väl utvecklat statistiksystem och en omfattande forskning för att följa och analysera den ekonomiska fördelningen av samhällets resurser.</w:t>
      </w:r>
    </w:p>
    <w:p w:rsidR="006700C2" w:rsidRDefault="006700C2">
      <w:pPr>
        <w:pStyle w:val="Normaltindrag"/>
      </w:pPr>
      <w:r>
        <w:t>Enligt utskottets mening bör därför inga ytterligare resurser avsättas inom detta område.</w:t>
      </w:r>
    </w:p>
    <w:p w:rsidR="006700C2" w:rsidRDefault="006700C2">
      <w:pPr>
        <w:pStyle w:val="Normaltindrag"/>
      </w:pPr>
      <w:r>
        <w:t>Med anledning av vad som anförts ovan avstyrks förslagen i motionerna Fi205 (v), Fi901 (s) och A807 (mp) yrkande 4.</w:t>
      </w:r>
    </w:p>
    <w:p w:rsidR="006700C2" w:rsidRDefault="006700C2">
      <w:r>
        <w:rPr>
          <w:i/>
        </w:rPr>
        <w:br w:type="page"/>
        <w:t>dels</w:t>
      </w:r>
      <w:r>
        <w:t xml:space="preserve"> att utskottets hemställan under 5 bort ha följande lydelse:</w:t>
      </w:r>
    </w:p>
    <w:p w:rsidR="006700C2" w:rsidRDefault="006700C2">
      <w:pPr>
        <w:pStyle w:val="Resklmb"/>
      </w:pPr>
      <w:r>
        <w:t xml:space="preserve">5. beträffande </w:t>
      </w:r>
      <w:r>
        <w:rPr>
          <w:i/>
        </w:rPr>
        <w:t>utveckling av fördelningsstatistiken</w:t>
      </w:r>
    </w:p>
    <w:p w:rsidR="006700C2" w:rsidRDefault="006700C2">
      <w:pPr>
        <w:pStyle w:val="Resklm"/>
      </w:pPr>
      <w:r>
        <w:t xml:space="preserve">att riksdagen avslår motionerna 1998/99:Fi205, 1998/99:Fi901 och 1998/99:A807 yrkande 4, </w:t>
      </w:r>
    </w:p>
    <w:p w:rsidR="006700C2" w:rsidRDefault="006700C2">
      <w:pPr>
        <w:pStyle w:val="Rubrik2"/>
      </w:pPr>
      <w:bookmarkStart w:id="69" w:name="_Toc437689371"/>
      <w:r>
        <w:t>7. Utveckling av fördelningsstatistiken (mom. 5) (fp)</w:t>
      </w:r>
      <w:bookmarkEnd w:id="69"/>
    </w:p>
    <w:p w:rsidR="006700C2" w:rsidRDefault="006700C2">
      <w:r>
        <w:t xml:space="preserve">Camilla Dahlin-Andersson (fp) anser </w:t>
      </w:r>
    </w:p>
    <w:p w:rsidR="006700C2" w:rsidRDefault="006700C2">
      <w:r>
        <w:rPr>
          <w:i/>
        </w:rPr>
        <w:t xml:space="preserve">dels </w:t>
      </w:r>
      <w:r>
        <w:t xml:space="preserve">att finansutskottets ställningstagande i avsnittet </w:t>
      </w:r>
      <w:r>
        <w:rPr>
          <w:i/>
        </w:rPr>
        <w:t>Utveckling av förde</w:t>
      </w:r>
      <w:r>
        <w:rPr>
          <w:i/>
        </w:rPr>
        <w:t>l</w:t>
      </w:r>
      <w:r>
        <w:rPr>
          <w:i/>
        </w:rPr>
        <w:t>ningsstatistiken</w:t>
      </w:r>
      <w:r>
        <w:t xml:space="preserve"> bort ha följande lydelse:</w:t>
      </w:r>
    </w:p>
    <w:p w:rsidR="006700C2" w:rsidRDefault="006700C2">
      <w:pPr>
        <w:pStyle w:val="Normaltindrag"/>
      </w:pPr>
      <w:r>
        <w:t>Utskottet konstaterar att Sverige i en internationell jämförelse har ett mycket väl utvecklat statistiksystem och en omfattande forskning för att följa och analysera den ekonomiska fördelningen av samhällets resurser. Utskottet vill för sin del understryka hur viktigt det är att statistik som belyser jä</w:t>
      </w:r>
      <w:r>
        <w:t>m</w:t>
      </w:r>
      <w:r>
        <w:t xml:space="preserve">ställdhet har hög prioritet. </w:t>
      </w:r>
    </w:p>
    <w:p w:rsidR="006700C2" w:rsidRDefault="006700C2">
      <w:pPr>
        <w:pStyle w:val="Normaltindrag"/>
      </w:pPr>
      <w:r>
        <w:t>Utskottet anser det angeläget att nya statistiska mått utvecklas som mäter förutsättningarna för företagande, tillväxt och sysselsättning. Utskottet anser det självklart att det bör komma i första hand att klarlägga förutsättningarna för hur tillväxt och välfärd skapas. Utan tillväxt finns inget att fördela.</w:t>
      </w:r>
    </w:p>
    <w:p w:rsidR="006700C2" w:rsidRDefault="006700C2">
      <w:pPr>
        <w:pStyle w:val="Normaltindrag"/>
      </w:pPr>
      <w:r>
        <w:t>Enligt utskottets mening bör därför inga ytterligare resurser avsättas inom fördelningsstatistikens område.</w:t>
      </w:r>
    </w:p>
    <w:p w:rsidR="006700C2" w:rsidRDefault="006700C2">
      <w:pPr>
        <w:pStyle w:val="Normaltindrag"/>
      </w:pPr>
      <w:r>
        <w:t>Med anledning av vad som anförts ovan avstyrks förslagen i motionerna Fi205 (v), Fi901 (s) och A807 (mp) yrkande 4.</w:t>
      </w:r>
    </w:p>
    <w:p w:rsidR="006700C2" w:rsidRDefault="006700C2">
      <w:r>
        <w:rPr>
          <w:i/>
        </w:rPr>
        <w:t>dels</w:t>
      </w:r>
      <w:r>
        <w:t xml:space="preserve"> att utskottets hemställan under 5 bort ha följande lydelse:</w:t>
      </w:r>
    </w:p>
    <w:p w:rsidR="006700C2" w:rsidRDefault="006700C2">
      <w:pPr>
        <w:pStyle w:val="Resklmb"/>
        <w:rPr>
          <w:i/>
        </w:rPr>
      </w:pPr>
      <w:r>
        <w:t xml:space="preserve">5. beträffande </w:t>
      </w:r>
      <w:r>
        <w:rPr>
          <w:i/>
        </w:rPr>
        <w:t>utveckling av fördelningsstatistiken</w:t>
      </w:r>
    </w:p>
    <w:p w:rsidR="006700C2" w:rsidRDefault="006700C2">
      <w:pPr>
        <w:pStyle w:val="Resklm"/>
      </w:pPr>
      <w:r>
        <w:t>att riksdagen avslår motionerna 1998/99:Fi205, 1998/99:Fi901 och 1998/99:A807 yrkande 4.</w:t>
      </w:r>
    </w:p>
    <w:p w:rsidR="006700C2" w:rsidRDefault="006700C2">
      <w:pPr>
        <w:pStyle w:val="Rubrik2"/>
      </w:pPr>
      <w:bookmarkStart w:id="70" w:name="_Toc437689372"/>
      <w:r>
        <w:t>8. Utveckling av fördelningsstatistiken (mom. 5, motiveringen) (c)</w:t>
      </w:r>
      <w:bookmarkEnd w:id="70"/>
    </w:p>
    <w:p w:rsidR="006700C2" w:rsidRDefault="006700C2">
      <w:r>
        <w:t xml:space="preserve">Lena Ek (c) anser att den del av finansutskottets ställningstagande i avsnittet </w:t>
      </w:r>
      <w:r>
        <w:rPr>
          <w:i/>
        </w:rPr>
        <w:t xml:space="preserve">Utveckling av fördelningsstatistiken </w:t>
      </w:r>
      <w:r>
        <w:t>som på s. 26 börjar med ”Jämställdheten är” och slutar med ”för jämställdhetsbokslut” bort ha följande lyde</w:t>
      </w:r>
      <w:r>
        <w:t>l</w:t>
      </w:r>
      <w:r>
        <w:t>se:</w:t>
      </w:r>
    </w:p>
    <w:p w:rsidR="006700C2" w:rsidRDefault="006700C2">
      <w:pPr>
        <w:pStyle w:val="Normaltindrag"/>
      </w:pPr>
      <w:r>
        <w:t>När det gäller jämställdheten kan utskottet däremot konstatera att det finns stora brister i den könsuppdelade statistiken inom i stort sett alla samhäll</w:t>
      </w:r>
      <w:r>
        <w:t>s</w:t>
      </w:r>
      <w:r>
        <w:t>sektorer. I t.ex. rätts- och brottsstatistiken är den statistiska insamlingen av uppgifter om olika brott mot kvinnor ofta av mycket dålig kvalitet och ibland direkt missvisande. Ett annat belysande exempel är att statistiken om kvi</w:t>
      </w:r>
      <w:r>
        <w:t>n</w:t>
      </w:r>
      <w:r>
        <w:t>nors företagande är ytterst bris</w:t>
      </w:r>
      <w:r>
        <w:t>t</w:t>
      </w:r>
      <w:r>
        <w:t>fällig på både central- och regional nivå.</w:t>
      </w:r>
    </w:p>
    <w:p w:rsidR="006700C2" w:rsidRDefault="006700C2"/>
    <w:p w:rsidR="006700C2" w:rsidRDefault="006700C2">
      <w:pPr>
        <w:pStyle w:val="Rubrik1"/>
        <w:sectPr w:rsidR="00000000">
          <w:headerReference w:type="default" r:id="rId16"/>
          <w:footerReference w:type="default" r:id="rId17"/>
          <w:pgSz w:w="11906" w:h="16838" w:code="9"/>
          <w:pgMar w:top="567" w:right="4876" w:bottom="4508" w:left="1134" w:header="227" w:footer="227" w:gutter="0"/>
          <w:cols w:space="720"/>
        </w:sectPr>
      </w:pPr>
    </w:p>
    <w:p w:rsidR="006700C2" w:rsidRDefault="006700C2">
      <w:pPr>
        <w:pStyle w:val="Rubrik1"/>
        <w:spacing w:before="0"/>
      </w:pPr>
      <w:bookmarkStart w:id="71" w:name="_Toc437689373"/>
      <w:r>
        <w:t>Särskilda yttranden</w:t>
      </w:r>
      <w:bookmarkEnd w:id="71"/>
    </w:p>
    <w:p w:rsidR="006700C2" w:rsidRDefault="006700C2">
      <w:pPr>
        <w:pStyle w:val="Rubrik2"/>
        <w:spacing w:before="123"/>
      </w:pPr>
      <w:bookmarkStart w:id="72" w:name="_Toc437689374"/>
      <w:r>
        <w:t>1. Anslagen inom utgiftsområde 2 budgetåret 1999 (mom. 2) (m)</w:t>
      </w:r>
      <w:bookmarkEnd w:id="72"/>
    </w:p>
    <w:p w:rsidR="006700C2" w:rsidRDefault="006700C2">
      <w:r>
        <w:t xml:space="preserve">Lennart Hedquist, Fredrik Reinfeldt, Anna Åkerhielm och Gunnar Axén (alla m) anför: </w:t>
      </w:r>
    </w:p>
    <w:p w:rsidR="006700C2" w:rsidRDefault="006700C2">
      <w:r>
        <w:t>I riksdagen finns en majoritet bestående av socialdemokrater, vänsterpartister och miljöpartister för förslagen i budgetpropositionen (prop. 1998/99:1) beträffande ekonomiska ramar för de olika utgiftsområdena samt beräknin</w:t>
      </w:r>
      <w:r>
        <w:t>g</w:t>
      </w:r>
      <w:r>
        <w:t>en av statens inkomster avseende 1999 i den statliga budgeten. Samma maj</w:t>
      </w:r>
      <w:r>
        <w:t>o</w:t>
      </w:r>
      <w:r>
        <w:t>ritet har också uttalat sitt stöd gällande beräkningen av det offentliga utgif</w:t>
      </w:r>
      <w:r>
        <w:t>t</w:t>
      </w:r>
      <w:r>
        <w:t>s</w:t>
      </w:r>
      <w:r>
        <w:softHyphen/>
        <w:t>taket samt förslagen om preliminära utgiftstak för åren 2000 och 2001.</w:t>
      </w:r>
    </w:p>
    <w:p w:rsidR="006700C2" w:rsidRDefault="006700C2">
      <w:pPr>
        <w:pStyle w:val="Normaltindrag"/>
      </w:pPr>
      <w:r>
        <w:t>Moderata samlingspartiet har i parti- och kommittémotioner förordat en annan inriktning av den ekonomiska politiken och budgetpolitiken. Våra förslag syftar till att skapa förutsättningar för ett ekonomiskt, kulturellt och socialt växande Sverige. Genom en större enskild sektor och ett</w:t>
      </w:r>
      <w:r>
        <w:t xml:space="preserve"> starkare civilt samhälle kan både företag och människor växa. Massarbetslösheten kan steg för steg pressas tillbaka samtidigt som den sociala tryggheten också i andra bemärkelser kan öka genom att hushållen får en större ekonomisk självständighet.</w:t>
      </w:r>
    </w:p>
    <w:p w:rsidR="006700C2" w:rsidRDefault="006700C2">
      <w:pPr>
        <w:pStyle w:val="Normaltindrag"/>
      </w:pPr>
      <w:r>
        <w:t>Vi har föreslagit en långtgående växling från subventioner och bidrag till omfattande skattesänkningar för alla, främst låg- och medelinkomsttagare. Samtidigt värnar vi de människor som är i störst behov av gemensamma insatser och som har små eller inga möjlighet</w:t>
      </w:r>
      <w:r>
        <w:t>er att påverka sin egen situ</w:t>
      </w:r>
      <w:r>
        <w:t>a</w:t>
      </w:r>
      <w:r>
        <w:t>tion. Vi slår också fast att det allmänna skall tillföras resurser för att på ett tillfredsställande sätt kunna genomföra de uppgifter som måste vara geme</w:t>
      </w:r>
      <w:r>
        <w:t>n</w:t>
      </w:r>
      <w:r>
        <w:t>samma.</w:t>
      </w:r>
    </w:p>
    <w:p w:rsidR="006700C2" w:rsidRDefault="006700C2">
      <w:pPr>
        <w:pStyle w:val="Normaltindrag"/>
      </w:pPr>
      <w:r>
        <w:t>Då riksdagens majoritet har en annan inriktning av politiken deltar vi inte i det nu aktuella beslutet om anslagsfördelning inom utgiftsområde 2.</w:t>
      </w:r>
    </w:p>
    <w:p w:rsidR="006700C2" w:rsidRDefault="006700C2">
      <w:pPr>
        <w:pStyle w:val="Normaltindrag"/>
      </w:pPr>
      <w:r>
        <w:t>För budgetåret 1999 förordar vi i vår partimotion Fi208 att ramen för u</w:t>
      </w:r>
      <w:r>
        <w:t>t</w:t>
      </w:r>
      <w:r>
        <w:t>giftsområdet borde ha varit drygt 156 miljoner kronor lägre än regeringen för</w:t>
      </w:r>
      <w:r>
        <w:t>e</w:t>
      </w:r>
      <w:r>
        <w:t xml:space="preserve">slagit i budgetpropositionen. </w:t>
      </w:r>
    </w:p>
    <w:p w:rsidR="006700C2" w:rsidRDefault="006700C2">
      <w:pPr>
        <w:pStyle w:val="Normaltindrag"/>
      </w:pPr>
      <w:r>
        <w:t>Förslag om fördelningen av medel på anslagen återfinns i motion Fi507. I den förordar vi att ett nytt revisionsorgan, som uppfyller kriterierna för inte</w:t>
      </w:r>
      <w:r>
        <w:t>r</w:t>
      </w:r>
      <w:r>
        <w:t>nationellt vedertagen kravspecifikation för en obunden revision, inrättas och underställs riksdagen. Till denna nya myndighet, som vi valt att kalla Riksr</w:t>
      </w:r>
      <w:r>
        <w:t>e</w:t>
      </w:r>
      <w:r>
        <w:t>visorn, förs nuvarande effektivitetsrevision från Riksrevisionsverket (RRV) och Riksdagens revisorer. Det bör kunna medföra samordningsfördelar om även RRV:s redovisningsrevision förs till den nya myndigheten. Vidare bör onödigt dubbelarbete på RRV och det nya Ekonomistyrningsverket (ESV) kunna undvikas med den ordning vi förordar. Delar av Statskontoret</w:t>
      </w:r>
      <w:r>
        <w:t>s ver</w:t>
      </w:r>
      <w:r>
        <w:t>k</w:t>
      </w:r>
      <w:r>
        <w:t>samhet bör flyttas till ESV för att undvika onödig splittring av resurser och gränsdragningsproblem gentemot RRV och ESV.</w:t>
      </w:r>
    </w:p>
    <w:p w:rsidR="006700C2" w:rsidRDefault="006700C2">
      <w:pPr>
        <w:pStyle w:val="Normaltindrag"/>
      </w:pPr>
      <w:r>
        <w:t>På statistikområdet bedömer vi att det finns utrymme för besparingar g</w:t>
      </w:r>
      <w:r>
        <w:t>e</w:t>
      </w:r>
      <w:r>
        <w:t>nom att användningen av Internet ökar för distribution av statistik, vilket i första hand kan effektivisera SCB:s administration. Därtill bör SCB använda sitt stora anslagssparande för att täcka förberedelsekostnaderna för nästa folk- och bostadsräkning, varför ett särskilt anslag för det ändamålet är öve</w:t>
      </w:r>
      <w:r>
        <w:t>r</w:t>
      </w:r>
      <w:r>
        <w:t>fl</w:t>
      </w:r>
      <w:r>
        <w:t>ö</w:t>
      </w:r>
      <w:r>
        <w:t>digt.</w:t>
      </w:r>
    </w:p>
    <w:p w:rsidR="006700C2" w:rsidRDefault="006700C2">
      <w:pPr>
        <w:pStyle w:val="Normaltindrag"/>
      </w:pPr>
      <w:r>
        <w:t>Nämnden för offentlig upphandling bör avvecklas eftersom den tillsyn nämnden skall bedriva inte lett till önskade effekter. Vidare bör en ny my</w:t>
      </w:r>
      <w:r>
        <w:t>n</w:t>
      </w:r>
      <w:r>
        <w:t>dighet för kvalitetsutveckling och kompetensförsörjning inte inrättas. Sådan verksamhet bedrivs inom de enskilda myndigheterna. Slutligen förordas att en minskad fokusering på hushållsupplåning sparar pengar för Riksgäld</w:t>
      </w:r>
      <w:r>
        <w:t>s</w:t>
      </w:r>
      <w:r>
        <w:t>kontoret.</w:t>
      </w:r>
    </w:p>
    <w:p w:rsidR="006700C2" w:rsidRDefault="006700C2">
      <w:pPr>
        <w:pStyle w:val="Rubrik2"/>
      </w:pPr>
      <w:bookmarkStart w:id="73" w:name="_Toc437689375"/>
      <w:r>
        <w:t>2. Anslagen inom utgiftsområde 2 budgetåret 1999 (mom. 2) (kd)</w:t>
      </w:r>
      <w:bookmarkEnd w:id="73"/>
    </w:p>
    <w:p w:rsidR="006700C2" w:rsidRDefault="006700C2">
      <w:r>
        <w:t xml:space="preserve">Mats Odell och Per Landgren (båda kd) anför: </w:t>
      </w:r>
    </w:p>
    <w:p w:rsidR="006700C2" w:rsidRDefault="006700C2">
      <w:r>
        <w:t>Den 2 december 1998 beslutade riksdagen att fastställa ekonomiska ramar för de olika utgiftsområdena i statsbudgeten och en beräkning av statens inkomster för budgetåret 1999. Under den fortsatta budgetberedningen får dessa ramar inte överskridas.</w:t>
      </w:r>
    </w:p>
    <w:p w:rsidR="006700C2" w:rsidRDefault="006700C2">
      <w:pPr>
        <w:pStyle w:val="Normaltindrag"/>
      </w:pPr>
      <w:r>
        <w:t>Riksdagen har genom beslutet den 2 december valt en inriktning av polit</w:t>
      </w:r>
      <w:r>
        <w:t>i</w:t>
      </w:r>
      <w:r>
        <w:t>ken som skiljer sig från den inriktning av den ekonomiska politiken och av budgetpolitiken som vi kristdemokrater har lagt fram i parti- och kommitt</w:t>
      </w:r>
      <w:r>
        <w:t>é</w:t>
      </w:r>
      <w:r>
        <w:t>motioner. Vi vidhåller emellertid vår uppfattning och anser att anslagen inom utgiftsområde 2 borde ha varit 100 miljoner kronor lägre.</w:t>
      </w:r>
    </w:p>
    <w:p w:rsidR="006700C2" w:rsidRDefault="006700C2">
      <w:pPr>
        <w:pStyle w:val="Rubrik2"/>
      </w:pPr>
      <w:bookmarkStart w:id="74" w:name="_Toc437689376"/>
      <w:r>
        <w:t>3. Anslagen inom utgiftsområde 2 budgetåret 1999 (mom. 2) (fp)</w:t>
      </w:r>
      <w:bookmarkEnd w:id="74"/>
    </w:p>
    <w:p w:rsidR="006700C2" w:rsidRDefault="006700C2">
      <w:r>
        <w:t xml:space="preserve">Camilla Dahlin-Andersson (fp) anför: </w:t>
      </w:r>
    </w:p>
    <w:p w:rsidR="006700C2" w:rsidRDefault="006700C2">
      <w:r>
        <w:t>Den 2 december 1998 beslutade riksdagen att fastställa ekonomiska ramar för de olika utgiftsområdena i statsbudgeten och en beräkning av statens inkomster för budgetåret 1999. Under den fortsatta budgetberedningen får dessa ramar inte överskridas.</w:t>
      </w:r>
    </w:p>
    <w:p w:rsidR="006700C2" w:rsidRDefault="006700C2">
      <w:pPr>
        <w:pStyle w:val="Normaltindrag"/>
      </w:pPr>
      <w:r>
        <w:t>Riksdagen har genom beslutet den 2 december valt en inriktning av polit</w:t>
      </w:r>
      <w:r>
        <w:t>i</w:t>
      </w:r>
      <w:r>
        <w:t>ken som skiljer sig från den inriktning av den ekonomiska politiken och av budgetpolitiken som vi i Folkpartiet liberalerna har lagt fram i parti- och kommittémotioner. Vi vidhåller emellertid vår uppfattning och anser att anslagen inom utgiftsområde 2 borde ha varit 80 miljoner kronor lägre. B</w:t>
      </w:r>
      <w:r>
        <w:t>e</w:t>
      </w:r>
      <w:r>
        <w:t>sparingen skulle ha kunnat uppnås genom att avstå från förberedelsearbetet med en ny Folk- och bostadsräkning och från att inrätta en ny myndighet för kompetensu</w:t>
      </w:r>
      <w:r>
        <w:t>t</w:t>
      </w:r>
      <w:r>
        <w:t>veckling.</w:t>
      </w:r>
    </w:p>
    <w:p w:rsidR="006700C2" w:rsidRDefault="006700C2"/>
    <w:p w:rsidR="006700C2" w:rsidRDefault="006700C2"/>
    <w:p w:rsidR="006700C2" w:rsidRDefault="006700C2">
      <w:pPr>
        <w:pStyle w:val="Normaltindrag"/>
        <w:sectPr w:rsidR="00000000">
          <w:headerReference w:type="default" r:id="rId18"/>
          <w:footerReference w:type="default" r:id="rId19"/>
          <w:pgSz w:w="11906" w:h="16838" w:code="9"/>
          <w:pgMar w:top="567" w:right="4876" w:bottom="4508" w:left="1134" w:header="227" w:footer="227" w:gutter="0"/>
          <w:cols w:space="720"/>
        </w:sectPr>
      </w:pPr>
    </w:p>
    <w:p w:rsidR="006700C2" w:rsidRDefault="006700C2">
      <w:pPr>
        <w:pStyle w:val="Innehll"/>
      </w:pPr>
      <w:r>
        <w:t>Innehållsförteckning</w:t>
      </w:r>
    </w:p>
    <w:p w:rsidR="006700C2" w:rsidRDefault="006700C2">
      <w:pPr>
        <w:pStyle w:val="Innehll1"/>
        <w:rPr>
          <w:noProof/>
        </w:rPr>
      </w:pPr>
      <w:r>
        <w:rPr>
          <w:noProof/>
        </w:rPr>
        <w:t>Sammanfattning</w:t>
      </w:r>
      <w:r>
        <w:rPr>
          <w:noProof/>
        </w:rPr>
        <w:tab/>
        <w:t>1</w:t>
      </w:r>
    </w:p>
    <w:p w:rsidR="006700C2" w:rsidRDefault="006700C2">
      <w:pPr>
        <w:pStyle w:val="Innehll1"/>
        <w:rPr>
          <w:noProof/>
        </w:rPr>
      </w:pPr>
      <w:r>
        <w:rPr>
          <w:noProof/>
        </w:rPr>
        <w:t>Propositionen</w:t>
      </w:r>
      <w:r>
        <w:rPr>
          <w:noProof/>
        </w:rPr>
        <w:tab/>
        <w:t>1</w:t>
      </w:r>
    </w:p>
    <w:p w:rsidR="006700C2" w:rsidRDefault="006700C2">
      <w:pPr>
        <w:pStyle w:val="Innehll1"/>
        <w:rPr>
          <w:noProof/>
        </w:rPr>
      </w:pPr>
      <w:r>
        <w:rPr>
          <w:noProof/>
        </w:rPr>
        <w:t>Motionerna</w:t>
      </w:r>
      <w:r>
        <w:rPr>
          <w:noProof/>
        </w:rPr>
        <w:tab/>
        <w:t>2</w:t>
      </w:r>
    </w:p>
    <w:p w:rsidR="006700C2" w:rsidRDefault="006700C2">
      <w:pPr>
        <w:pStyle w:val="Innehll1"/>
        <w:rPr>
          <w:noProof/>
        </w:rPr>
      </w:pPr>
      <w:r>
        <w:rPr>
          <w:noProof/>
        </w:rPr>
        <w:t>Utskottet</w:t>
      </w:r>
      <w:r>
        <w:rPr>
          <w:noProof/>
        </w:rPr>
        <w:tab/>
        <w:t>5</w:t>
      </w:r>
    </w:p>
    <w:p w:rsidR="006700C2" w:rsidRDefault="006700C2">
      <w:pPr>
        <w:pStyle w:val="Innehll2"/>
        <w:rPr>
          <w:noProof/>
        </w:rPr>
      </w:pPr>
      <w:r>
        <w:rPr>
          <w:noProof/>
        </w:rPr>
        <w:t>Inledning</w:t>
      </w:r>
      <w:r>
        <w:rPr>
          <w:noProof/>
        </w:rPr>
        <w:tab/>
        <w:t>5</w:t>
      </w:r>
    </w:p>
    <w:p w:rsidR="006700C2" w:rsidRDefault="006700C2">
      <w:pPr>
        <w:pStyle w:val="Innehll2"/>
        <w:rPr>
          <w:noProof/>
        </w:rPr>
      </w:pPr>
      <w:r>
        <w:rPr>
          <w:noProof/>
        </w:rPr>
        <w:t>Mål och resultat för utgiftsområde 2</w:t>
      </w:r>
      <w:r>
        <w:rPr>
          <w:noProof/>
        </w:rPr>
        <w:tab/>
        <w:t>6</w:t>
      </w:r>
    </w:p>
    <w:p w:rsidR="006700C2" w:rsidRDefault="006700C2">
      <w:pPr>
        <w:pStyle w:val="Innehll2"/>
        <w:rPr>
          <w:noProof/>
        </w:rPr>
      </w:pPr>
      <w:r>
        <w:rPr>
          <w:noProof/>
        </w:rPr>
        <w:t>Anslagen inom utgiftsområde 2 budgetåret 1999</w:t>
      </w:r>
      <w:r>
        <w:rPr>
          <w:noProof/>
        </w:rPr>
        <w:tab/>
        <w:t>9</w:t>
      </w:r>
    </w:p>
    <w:p w:rsidR="006700C2" w:rsidRDefault="006700C2">
      <w:pPr>
        <w:pStyle w:val="Innehll3"/>
        <w:rPr>
          <w:noProof/>
        </w:rPr>
      </w:pPr>
      <w:r>
        <w:rPr>
          <w:noProof/>
        </w:rPr>
        <w:t>Generella besparingar inom utgiftsområdet</w:t>
      </w:r>
      <w:r>
        <w:rPr>
          <w:noProof/>
        </w:rPr>
        <w:tab/>
        <w:t>9</w:t>
      </w:r>
    </w:p>
    <w:p w:rsidR="006700C2" w:rsidRDefault="006700C2">
      <w:pPr>
        <w:pStyle w:val="Innehll3"/>
        <w:rPr>
          <w:noProof/>
        </w:rPr>
      </w:pPr>
      <w:r>
        <w:rPr>
          <w:noProof/>
        </w:rPr>
        <w:t>Konjunkturinstitutet</w:t>
      </w:r>
      <w:r>
        <w:rPr>
          <w:noProof/>
        </w:rPr>
        <w:tab/>
        <w:t>9</w:t>
      </w:r>
    </w:p>
    <w:p w:rsidR="006700C2" w:rsidRDefault="006700C2">
      <w:pPr>
        <w:pStyle w:val="Innehll3"/>
        <w:rPr>
          <w:noProof/>
        </w:rPr>
      </w:pPr>
      <w:r>
        <w:rPr>
          <w:noProof/>
        </w:rPr>
        <w:t>Riksrevisionsverket</w:t>
      </w:r>
      <w:r>
        <w:rPr>
          <w:noProof/>
        </w:rPr>
        <w:tab/>
        <w:t>10</w:t>
      </w:r>
    </w:p>
    <w:p w:rsidR="006700C2" w:rsidRDefault="006700C2">
      <w:pPr>
        <w:pStyle w:val="Innehll3"/>
        <w:rPr>
          <w:noProof/>
        </w:rPr>
      </w:pPr>
      <w:r>
        <w:rPr>
          <w:noProof/>
        </w:rPr>
        <w:t>Ekonomistyrningsverket</w:t>
      </w:r>
      <w:r>
        <w:rPr>
          <w:noProof/>
        </w:rPr>
        <w:tab/>
        <w:t>10</w:t>
      </w:r>
    </w:p>
    <w:p w:rsidR="006700C2" w:rsidRDefault="006700C2">
      <w:pPr>
        <w:pStyle w:val="Innehll3"/>
        <w:rPr>
          <w:noProof/>
        </w:rPr>
      </w:pPr>
      <w:r>
        <w:rPr>
          <w:noProof/>
        </w:rPr>
        <w:t>Statskontoret</w:t>
      </w:r>
      <w:r>
        <w:rPr>
          <w:noProof/>
        </w:rPr>
        <w:tab/>
        <w:t>11</w:t>
      </w:r>
    </w:p>
    <w:p w:rsidR="006700C2" w:rsidRDefault="006700C2">
      <w:pPr>
        <w:pStyle w:val="Innehll3"/>
        <w:rPr>
          <w:noProof/>
        </w:rPr>
      </w:pPr>
      <w:r>
        <w:rPr>
          <w:noProof/>
        </w:rPr>
        <w:t>Täckning av merkostnader för lokaler</w:t>
      </w:r>
      <w:r>
        <w:rPr>
          <w:noProof/>
        </w:rPr>
        <w:tab/>
        <w:t>11</w:t>
      </w:r>
    </w:p>
    <w:p w:rsidR="006700C2" w:rsidRDefault="006700C2">
      <w:pPr>
        <w:pStyle w:val="Innehll3"/>
        <w:rPr>
          <w:noProof/>
        </w:rPr>
      </w:pPr>
      <w:r>
        <w:rPr>
          <w:noProof/>
        </w:rPr>
        <w:t>Statistiska centralbyrån och Folk- och bostadsräkning</w:t>
      </w:r>
      <w:r>
        <w:rPr>
          <w:noProof/>
        </w:rPr>
        <w:tab/>
        <w:t>11</w:t>
      </w:r>
    </w:p>
    <w:p w:rsidR="006700C2" w:rsidRDefault="006700C2">
      <w:pPr>
        <w:pStyle w:val="Innehll3"/>
        <w:rPr>
          <w:noProof/>
        </w:rPr>
      </w:pPr>
      <w:r>
        <w:rPr>
          <w:noProof/>
        </w:rPr>
        <w:t>Kammarkollegiet</w:t>
      </w:r>
      <w:r>
        <w:rPr>
          <w:noProof/>
        </w:rPr>
        <w:tab/>
        <w:t>12</w:t>
      </w:r>
    </w:p>
    <w:p w:rsidR="006700C2" w:rsidRDefault="006700C2">
      <w:pPr>
        <w:pStyle w:val="Innehll3"/>
        <w:rPr>
          <w:noProof/>
        </w:rPr>
      </w:pPr>
      <w:r>
        <w:rPr>
          <w:noProof/>
        </w:rPr>
        <w:t>Nämnden för offentlig upphandling</w:t>
      </w:r>
      <w:r>
        <w:rPr>
          <w:noProof/>
        </w:rPr>
        <w:tab/>
        <w:t>12</w:t>
      </w:r>
    </w:p>
    <w:p w:rsidR="006700C2" w:rsidRDefault="006700C2">
      <w:pPr>
        <w:pStyle w:val="Innehll3"/>
        <w:rPr>
          <w:noProof/>
        </w:rPr>
      </w:pPr>
      <w:r>
        <w:rPr>
          <w:noProof/>
        </w:rPr>
        <w:t>Ny myndighet för kvalitetsutveckling och kompetens</w:t>
      </w:r>
      <w:r>
        <w:rPr>
          <w:noProof/>
        </w:rPr>
        <w:softHyphen/>
        <w:t>för</w:t>
      </w:r>
      <w:r>
        <w:rPr>
          <w:noProof/>
        </w:rPr>
        <w:softHyphen/>
        <w:t>sörjning</w:t>
      </w:r>
      <w:r>
        <w:rPr>
          <w:noProof/>
        </w:rPr>
        <w:tab/>
        <w:t>13</w:t>
      </w:r>
    </w:p>
    <w:p w:rsidR="006700C2" w:rsidRDefault="006700C2">
      <w:pPr>
        <w:pStyle w:val="Innehll3"/>
        <w:rPr>
          <w:noProof/>
        </w:rPr>
      </w:pPr>
      <w:r>
        <w:rPr>
          <w:noProof/>
        </w:rPr>
        <w:t>Vissa nämnder m.m.</w:t>
      </w:r>
      <w:r>
        <w:rPr>
          <w:noProof/>
        </w:rPr>
        <w:tab/>
        <w:t>14</w:t>
      </w:r>
    </w:p>
    <w:p w:rsidR="006700C2" w:rsidRDefault="006700C2">
      <w:pPr>
        <w:pStyle w:val="Innehll3"/>
        <w:rPr>
          <w:noProof/>
        </w:rPr>
      </w:pPr>
      <w:r>
        <w:rPr>
          <w:noProof/>
        </w:rPr>
        <w:t>Ekonomiska rådet</w:t>
      </w:r>
      <w:r>
        <w:rPr>
          <w:noProof/>
        </w:rPr>
        <w:tab/>
        <w:t>14</w:t>
      </w:r>
    </w:p>
    <w:p w:rsidR="006700C2" w:rsidRDefault="006700C2">
      <w:pPr>
        <w:pStyle w:val="Innehll3"/>
        <w:rPr>
          <w:noProof/>
        </w:rPr>
      </w:pPr>
      <w:r>
        <w:rPr>
          <w:noProof/>
        </w:rPr>
        <w:t>Utvecklingsarbete</w:t>
      </w:r>
      <w:r>
        <w:rPr>
          <w:noProof/>
        </w:rPr>
        <w:tab/>
        <w:t>14</w:t>
      </w:r>
    </w:p>
    <w:p w:rsidR="006700C2" w:rsidRDefault="006700C2">
      <w:pPr>
        <w:pStyle w:val="Innehll3"/>
        <w:rPr>
          <w:noProof/>
        </w:rPr>
      </w:pPr>
      <w:r>
        <w:rPr>
          <w:noProof/>
        </w:rPr>
        <w:t>Kontrollfunktionen i staten</w:t>
      </w:r>
      <w:r>
        <w:rPr>
          <w:noProof/>
        </w:rPr>
        <w:tab/>
        <w:t>14</w:t>
      </w:r>
    </w:p>
    <w:p w:rsidR="006700C2" w:rsidRDefault="006700C2">
      <w:pPr>
        <w:pStyle w:val="Innehll3"/>
        <w:rPr>
          <w:noProof/>
        </w:rPr>
      </w:pPr>
      <w:r>
        <w:rPr>
          <w:noProof/>
        </w:rPr>
        <w:t>Riksgäldskontoret</w:t>
      </w:r>
      <w:r>
        <w:rPr>
          <w:noProof/>
        </w:rPr>
        <w:tab/>
        <w:t>15</w:t>
      </w:r>
    </w:p>
    <w:p w:rsidR="006700C2" w:rsidRDefault="006700C2">
      <w:pPr>
        <w:pStyle w:val="Innehll3"/>
        <w:rPr>
          <w:noProof/>
        </w:rPr>
      </w:pPr>
      <w:r>
        <w:rPr>
          <w:noProof/>
        </w:rPr>
        <w:t>Finansinspektionen</w:t>
      </w:r>
      <w:r>
        <w:rPr>
          <w:noProof/>
        </w:rPr>
        <w:tab/>
        <w:t>15</w:t>
      </w:r>
    </w:p>
    <w:p w:rsidR="006700C2" w:rsidRDefault="006700C2">
      <w:pPr>
        <w:pStyle w:val="Innehll3"/>
        <w:rPr>
          <w:noProof/>
        </w:rPr>
      </w:pPr>
      <w:r>
        <w:rPr>
          <w:noProof/>
        </w:rPr>
        <w:t>Insättningsgarantinämnden</w:t>
      </w:r>
      <w:r>
        <w:rPr>
          <w:noProof/>
        </w:rPr>
        <w:tab/>
        <w:t>16</w:t>
      </w:r>
    </w:p>
    <w:p w:rsidR="006700C2" w:rsidRDefault="006700C2">
      <w:pPr>
        <w:pStyle w:val="Innehll3"/>
        <w:rPr>
          <w:noProof/>
        </w:rPr>
      </w:pPr>
      <w:r>
        <w:rPr>
          <w:noProof/>
        </w:rPr>
        <w:t>Bokföringsnämnden</w:t>
      </w:r>
      <w:r>
        <w:rPr>
          <w:noProof/>
        </w:rPr>
        <w:tab/>
        <w:t>16</w:t>
      </w:r>
    </w:p>
    <w:p w:rsidR="006700C2" w:rsidRDefault="006700C2">
      <w:pPr>
        <w:pStyle w:val="Innehll3"/>
        <w:rPr>
          <w:noProof/>
        </w:rPr>
      </w:pPr>
      <w:r>
        <w:rPr>
          <w:noProof/>
        </w:rPr>
        <w:t>Avgift för Stadshypotekskassans grundfond</w:t>
      </w:r>
      <w:r>
        <w:rPr>
          <w:noProof/>
        </w:rPr>
        <w:tab/>
        <w:t>16</w:t>
      </w:r>
    </w:p>
    <w:p w:rsidR="006700C2" w:rsidRDefault="006700C2">
      <w:pPr>
        <w:pStyle w:val="Innehll3"/>
        <w:rPr>
          <w:noProof/>
        </w:rPr>
      </w:pPr>
      <w:r>
        <w:rPr>
          <w:noProof/>
        </w:rPr>
        <w:t>Kapitalhöjning i Nordiska investeringsbanken</w:t>
      </w:r>
      <w:r>
        <w:rPr>
          <w:noProof/>
        </w:rPr>
        <w:tab/>
        <w:t>16</w:t>
      </w:r>
    </w:p>
    <w:p w:rsidR="006700C2" w:rsidRDefault="006700C2">
      <w:pPr>
        <w:pStyle w:val="Innehll3"/>
        <w:rPr>
          <w:noProof/>
        </w:rPr>
      </w:pPr>
      <w:r>
        <w:rPr>
          <w:noProof/>
        </w:rPr>
        <w:t>Riksdagens revisorer</w:t>
      </w:r>
      <w:r>
        <w:rPr>
          <w:noProof/>
        </w:rPr>
        <w:tab/>
        <w:t>17</w:t>
      </w:r>
    </w:p>
    <w:p w:rsidR="006700C2" w:rsidRDefault="006700C2">
      <w:pPr>
        <w:pStyle w:val="Innehll3"/>
        <w:rPr>
          <w:noProof/>
        </w:rPr>
      </w:pPr>
      <w:r>
        <w:rPr>
          <w:noProof/>
        </w:rPr>
        <w:t>Utskottets samlade ställningstagande till anslagen inom utgiftsområde 2</w:t>
      </w:r>
      <w:r>
        <w:rPr>
          <w:noProof/>
        </w:rPr>
        <w:tab/>
        <w:t>18</w:t>
      </w:r>
    </w:p>
    <w:p w:rsidR="006700C2" w:rsidRDefault="006700C2">
      <w:pPr>
        <w:pStyle w:val="Innehll2"/>
        <w:rPr>
          <w:noProof/>
        </w:rPr>
      </w:pPr>
      <w:r>
        <w:rPr>
          <w:noProof/>
        </w:rPr>
        <w:t>Statens fastighetsverk</w:t>
      </w:r>
      <w:r>
        <w:rPr>
          <w:noProof/>
        </w:rPr>
        <w:tab/>
        <w:t>20</w:t>
      </w:r>
    </w:p>
    <w:p w:rsidR="006700C2" w:rsidRDefault="006700C2">
      <w:pPr>
        <w:pStyle w:val="Innehll2"/>
        <w:rPr>
          <w:noProof/>
        </w:rPr>
      </w:pPr>
      <w:r>
        <w:rPr>
          <w:noProof/>
        </w:rPr>
        <w:t>Vissa statistikfrågor</w:t>
      </w:r>
      <w:r>
        <w:rPr>
          <w:noProof/>
        </w:rPr>
        <w:tab/>
        <w:t>21</w:t>
      </w:r>
    </w:p>
    <w:p w:rsidR="006700C2" w:rsidRDefault="006700C2">
      <w:pPr>
        <w:pStyle w:val="Innehll3"/>
        <w:rPr>
          <w:noProof/>
        </w:rPr>
      </w:pPr>
      <w:r>
        <w:rPr>
          <w:noProof/>
        </w:rPr>
        <w:t>Utveckling av BNP-måttet</w:t>
      </w:r>
      <w:r>
        <w:rPr>
          <w:noProof/>
        </w:rPr>
        <w:tab/>
        <w:t>21</w:t>
      </w:r>
    </w:p>
    <w:p w:rsidR="006700C2" w:rsidRDefault="006700C2">
      <w:pPr>
        <w:pStyle w:val="Innehll3"/>
        <w:rPr>
          <w:noProof/>
        </w:rPr>
      </w:pPr>
      <w:r>
        <w:rPr>
          <w:noProof/>
        </w:rPr>
        <w:t>Utveckling av fördelningsstatistiken</w:t>
      </w:r>
      <w:r>
        <w:rPr>
          <w:noProof/>
        </w:rPr>
        <w:tab/>
        <w:t>24</w:t>
      </w:r>
    </w:p>
    <w:p w:rsidR="006700C2" w:rsidRDefault="006700C2">
      <w:pPr>
        <w:pStyle w:val="Innehll2"/>
        <w:rPr>
          <w:noProof/>
        </w:rPr>
      </w:pPr>
      <w:r>
        <w:rPr>
          <w:noProof/>
        </w:rPr>
        <w:t>Hemställan</w:t>
      </w:r>
      <w:r>
        <w:rPr>
          <w:noProof/>
        </w:rPr>
        <w:tab/>
        <w:t>27</w:t>
      </w:r>
    </w:p>
    <w:p w:rsidR="006700C2" w:rsidRDefault="006700C2">
      <w:pPr>
        <w:pStyle w:val="Innehll1"/>
        <w:rPr>
          <w:noProof/>
        </w:rPr>
      </w:pPr>
      <w:r>
        <w:rPr>
          <w:noProof/>
        </w:rPr>
        <w:t>Förslag till beslut om anslag inom utgiftsområde 2 Samhällsekonomi och finansförvaltning</w:t>
      </w:r>
      <w:r>
        <w:rPr>
          <w:noProof/>
        </w:rPr>
        <w:tab/>
        <w:t>29</w:t>
      </w:r>
    </w:p>
    <w:p w:rsidR="006700C2" w:rsidRDefault="006700C2">
      <w:pPr>
        <w:pStyle w:val="Innehll1"/>
        <w:spacing w:before="123"/>
        <w:rPr>
          <w:i/>
          <w:noProof/>
        </w:rPr>
      </w:pPr>
      <w:r>
        <w:rPr>
          <w:i/>
          <w:noProof/>
        </w:rPr>
        <w:t xml:space="preserve">Reservationer </w:t>
      </w:r>
    </w:p>
    <w:p w:rsidR="006700C2" w:rsidRDefault="006700C2">
      <w:pPr>
        <w:pStyle w:val="Innehll2"/>
        <w:rPr>
          <w:noProof/>
        </w:rPr>
      </w:pPr>
      <w:r>
        <w:rPr>
          <w:noProof/>
        </w:rPr>
        <w:t>1. Anslagen inom utgiftsområde 2 budgetåret 1999 (mom. 2) (c)</w:t>
      </w:r>
      <w:r>
        <w:rPr>
          <w:noProof/>
        </w:rPr>
        <w:tab/>
        <w:t>30</w:t>
      </w:r>
    </w:p>
    <w:p w:rsidR="006700C2" w:rsidRDefault="006700C2">
      <w:pPr>
        <w:pStyle w:val="Innehll2"/>
        <w:rPr>
          <w:noProof/>
        </w:rPr>
      </w:pPr>
      <w:r>
        <w:rPr>
          <w:noProof/>
        </w:rPr>
        <w:t>2. Utveckling av BNP-måttet (mom. 4) (kd)</w:t>
      </w:r>
      <w:r>
        <w:rPr>
          <w:noProof/>
        </w:rPr>
        <w:tab/>
        <w:t>31</w:t>
      </w:r>
    </w:p>
    <w:p w:rsidR="006700C2" w:rsidRDefault="006700C2">
      <w:pPr>
        <w:pStyle w:val="Innehll2"/>
        <w:rPr>
          <w:noProof/>
        </w:rPr>
      </w:pPr>
      <w:r>
        <w:rPr>
          <w:noProof/>
        </w:rPr>
        <w:t>3. Utveckling av BNP-måttet (mom. 4) (c)</w:t>
      </w:r>
      <w:r>
        <w:rPr>
          <w:noProof/>
        </w:rPr>
        <w:tab/>
        <w:t>32</w:t>
      </w:r>
    </w:p>
    <w:p w:rsidR="006700C2" w:rsidRDefault="006700C2">
      <w:pPr>
        <w:pStyle w:val="Innehll2"/>
        <w:rPr>
          <w:noProof/>
        </w:rPr>
      </w:pPr>
      <w:r>
        <w:rPr>
          <w:noProof/>
        </w:rPr>
        <w:t>4. Utveckling av BNP-måttet (mom. 4, motiveringen) (m)</w:t>
      </w:r>
      <w:r>
        <w:rPr>
          <w:noProof/>
        </w:rPr>
        <w:tab/>
        <w:t>33</w:t>
      </w:r>
    </w:p>
    <w:p w:rsidR="006700C2" w:rsidRDefault="006700C2">
      <w:pPr>
        <w:pStyle w:val="Innehll2"/>
        <w:rPr>
          <w:noProof/>
        </w:rPr>
      </w:pPr>
      <w:r>
        <w:rPr>
          <w:noProof/>
        </w:rPr>
        <w:t>5. Utveckling av BNP-måttet (mom. 4, motiveringen) (fp)</w:t>
      </w:r>
      <w:r>
        <w:rPr>
          <w:noProof/>
        </w:rPr>
        <w:tab/>
        <w:t>33</w:t>
      </w:r>
    </w:p>
    <w:p w:rsidR="006700C2" w:rsidRDefault="006700C2">
      <w:pPr>
        <w:pStyle w:val="Innehll2"/>
        <w:rPr>
          <w:noProof/>
        </w:rPr>
      </w:pPr>
      <w:r>
        <w:rPr>
          <w:noProof/>
        </w:rPr>
        <w:t>6. Utveckling av fördelningsstatistiken (mom. 5) (m, kd)</w:t>
      </w:r>
      <w:r>
        <w:rPr>
          <w:noProof/>
        </w:rPr>
        <w:tab/>
        <w:t>34</w:t>
      </w:r>
    </w:p>
    <w:p w:rsidR="006700C2" w:rsidRDefault="006700C2">
      <w:pPr>
        <w:pStyle w:val="Innehll2"/>
        <w:rPr>
          <w:noProof/>
        </w:rPr>
      </w:pPr>
      <w:r>
        <w:rPr>
          <w:noProof/>
        </w:rPr>
        <w:t>7. Utveckling av fördelningsstatistiken (mom. 5) (fp)</w:t>
      </w:r>
      <w:r>
        <w:rPr>
          <w:noProof/>
        </w:rPr>
        <w:tab/>
        <w:t>35</w:t>
      </w:r>
    </w:p>
    <w:p w:rsidR="006700C2" w:rsidRDefault="006700C2">
      <w:pPr>
        <w:pStyle w:val="Innehll2"/>
        <w:rPr>
          <w:noProof/>
        </w:rPr>
      </w:pPr>
      <w:r>
        <w:rPr>
          <w:noProof/>
        </w:rPr>
        <w:t>8. Utveckling av fördelningsstatistiken (mom. 5, motiveringen) (c)</w:t>
      </w:r>
      <w:r>
        <w:rPr>
          <w:noProof/>
        </w:rPr>
        <w:tab/>
        <w:t>35</w:t>
      </w:r>
    </w:p>
    <w:p w:rsidR="006700C2" w:rsidRDefault="006700C2">
      <w:pPr>
        <w:pStyle w:val="Innehll1"/>
        <w:spacing w:before="123"/>
        <w:rPr>
          <w:i/>
          <w:noProof/>
        </w:rPr>
      </w:pPr>
      <w:r>
        <w:rPr>
          <w:i/>
          <w:noProof/>
        </w:rPr>
        <w:t xml:space="preserve">Särskilda yttranden </w:t>
      </w:r>
    </w:p>
    <w:p w:rsidR="006700C2" w:rsidRDefault="006700C2">
      <w:pPr>
        <w:pStyle w:val="Innehll2"/>
        <w:rPr>
          <w:noProof/>
        </w:rPr>
      </w:pPr>
      <w:r>
        <w:rPr>
          <w:noProof/>
        </w:rPr>
        <w:t>1. Anslagen inom utgiftsområde 2 budgetåret 1999 (mom. 2) (m)</w:t>
      </w:r>
      <w:r>
        <w:rPr>
          <w:noProof/>
        </w:rPr>
        <w:tab/>
        <w:t>36</w:t>
      </w:r>
    </w:p>
    <w:p w:rsidR="006700C2" w:rsidRDefault="006700C2">
      <w:pPr>
        <w:pStyle w:val="Innehll2"/>
        <w:rPr>
          <w:noProof/>
        </w:rPr>
      </w:pPr>
      <w:r>
        <w:rPr>
          <w:noProof/>
        </w:rPr>
        <w:t>2. Anslagen inom utgiftsområde 2 budgetåret 1999 (mom. 2) (kd)</w:t>
      </w:r>
      <w:r>
        <w:rPr>
          <w:noProof/>
        </w:rPr>
        <w:tab/>
        <w:t>37</w:t>
      </w:r>
    </w:p>
    <w:p w:rsidR="006700C2" w:rsidRDefault="006700C2">
      <w:pPr>
        <w:pStyle w:val="Innehll2"/>
        <w:rPr>
          <w:noProof/>
        </w:rPr>
      </w:pPr>
      <w:r>
        <w:rPr>
          <w:noProof/>
        </w:rPr>
        <w:t>3. Anslagen inom utgiftsområde 2 budgetåret 1999 (mom. 2) (fp)</w:t>
      </w:r>
      <w:r>
        <w:rPr>
          <w:noProof/>
        </w:rPr>
        <w:tab/>
        <w:t>37</w:t>
      </w:r>
    </w:p>
    <w:p w:rsidR="006700C2" w:rsidRDefault="006700C2"/>
    <w:p w:rsidR="006700C2" w:rsidRDefault="006700C2">
      <w:pPr>
        <w:pStyle w:val="Tryckort"/>
        <w:framePr w:wrap="around"/>
      </w:pPr>
      <w:r>
        <w:t>Elanders Gotab, Stockholm  1998</w:t>
      </w:r>
    </w:p>
    <w:p w:rsidR="006700C2" w:rsidRDefault="006700C2">
      <w:pPr>
        <w:pStyle w:val="Normaltindrag"/>
      </w:pPr>
    </w:p>
    <w:sectPr w:rsidR="006700C2">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0C2" w:rsidRDefault="006700C2">
      <w:pPr>
        <w:spacing w:before="0" w:line="240" w:lineRule="auto"/>
      </w:pPr>
      <w:r>
        <w:separator/>
      </w:r>
    </w:p>
  </w:endnote>
  <w:endnote w:type="continuationSeparator" w:id="0">
    <w:p w:rsidR="006700C2" w:rsidRDefault="006700C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700C2" w:rsidRDefault="006700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fotH"/>
      <w:framePr w:wrap="around"/>
    </w:pPr>
    <w:r>
      <w:fldChar w:fldCharType="begin" w:fldLock="1"/>
    </w:r>
    <w:r>
      <w:instrText xml:space="preserve"> P</w:instrText>
    </w:r>
    <w:r>
      <w:instrText>A</w:instrText>
    </w:r>
    <w:r>
      <w:instrText xml:space="preserve">GE </w:instrText>
    </w:r>
    <w:r>
      <w:fldChar w:fldCharType="separate"/>
    </w:r>
    <w:r>
      <w:rPr>
        <w:noProof/>
      </w:rPr>
      <w:t>28</w:t>
    </w:r>
    <w:r>
      <w:fldChar w:fldCharType="end"/>
    </w:r>
  </w:p>
  <w:p w:rsidR="006700C2" w:rsidRDefault="006700C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fotH"/>
      <w:framePr w:wrap="around"/>
    </w:pPr>
    <w:r>
      <w:fldChar w:fldCharType="begin" w:fldLock="1"/>
    </w:r>
    <w:r>
      <w:instrText xml:space="preserve"> P</w:instrText>
    </w:r>
    <w:r>
      <w:instrText>A</w:instrText>
    </w:r>
    <w:r>
      <w:instrText xml:space="preserve">GE </w:instrText>
    </w:r>
    <w:r>
      <w:fldChar w:fldCharType="separate"/>
    </w:r>
    <w:r>
      <w:rPr>
        <w:noProof/>
      </w:rPr>
      <w:t>29</w:t>
    </w:r>
    <w:r>
      <w:fldChar w:fldCharType="end"/>
    </w:r>
  </w:p>
  <w:p w:rsidR="006700C2" w:rsidRDefault="006700C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fotH"/>
      <w:framePr w:wrap="around"/>
    </w:pPr>
    <w:r>
      <w:fldChar w:fldCharType="begin" w:fldLock="1"/>
    </w:r>
    <w:r>
      <w:instrText xml:space="preserve"> P</w:instrText>
    </w:r>
    <w:r>
      <w:instrText>A</w:instrText>
    </w:r>
    <w:r>
      <w:instrText xml:space="preserve">GE </w:instrText>
    </w:r>
    <w:r>
      <w:fldChar w:fldCharType="separate"/>
    </w:r>
    <w:r>
      <w:rPr>
        <w:noProof/>
      </w:rPr>
      <w:t>35</w:t>
    </w:r>
    <w:r>
      <w:fldChar w:fldCharType="end"/>
    </w:r>
  </w:p>
  <w:p w:rsidR="006700C2" w:rsidRDefault="006700C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fotH"/>
      <w:framePr w:wrap="around"/>
    </w:pPr>
    <w:r>
      <w:fldChar w:fldCharType="begin" w:fldLock="1"/>
    </w:r>
    <w:r>
      <w:instrText xml:space="preserve"> P</w:instrText>
    </w:r>
    <w:r>
      <w:instrText>A</w:instrText>
    </w:r>
    <w:r>
      <w:instrText xml:space="preserve">GE </w:instrText>
    </w:r>
    <w:r>
      <w:fldChar w:fldCharType="separate"/>
    </w:r>
    <w:r>
      <w:rPr>
        <w:noProof/>
      </w:rPr>
      <w:t>37</w:t>
    </w:r>
    <w:r>
      <w:fldChar w:fldCharType="end"/>
    </w:r>
  </w:p>
  <w:p w:rsidR="006700C2" w:rsidRDefault="006700C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fotH"/>
      <w:framePr w:wrap="around"/>
    </w:pPr>
    <w:r>
      <w:fldChar w:fldCharType="begin" w:fldLock="1"/>
    </w:r>
    <w:r>
      <w:instrText xml:space="preserve"> PAGE </w:instrText>
    </w:r>
    <w:r>
      <w:fldChar w:fldCharType="separate"/>
    </w:r>
    <w:r>
      <w:rPr>
        <w:noProof/>
      </w:rPr>
      <w:t>38</w:t>
    </w:r>
    <w:r>
      <w:fldChar w:fldCharType="end"/>
    </w:r>
  </w:p>
  <w:p w:rsidR="006700C2" w:rsidRDefault="006700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0C2" w:rsidRDefault="006700C2">
      <w:pPr>
        <w:spacing w:before="0" w:line="240" w:lineRule="auto"/>
      </w:pPr>
      <w:r>
        <w:separator/>
      </w:r>
    </w:p>
  </w:footnote>
  <w:footnote w:type="continuationSeparator" w:id="0">
    <w:p w:rsidR="006700C2" w:rsidRDefault="006700C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huvudKant"/>
      <w:framePr w:w="1985" w:h="2743" w:hRule="exact" w:wrap="around" w:vAnchor="page" w:hAnchor="page" w:x="7372" w:y="568" w:anchorLock="0"/>
    </w:pPr>
  </w:p>
  <w:p w:rsidR="006700C2" w:rsidRDefault="006700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huvudKant"/>
      <w:framePr w:w="1985" w:h="2743" w:hRule="exact" w:wrap="around" w:vAnchor="page" w:hAnchor="page" w:x="7372" w:y="568" w:anchorLock="0"/>
      <w:rPr>
        <w:noProof/>
      </w:rPr>
    </w:pPr>
    <w:r>
      <w:rPr>
        <w:noProof/>
      </w:rPr>
      <w:t>1998/99:FiU2</w:t>
    </w:r>
  </w:p>
  <w:p w:rsidR="006700C2" w:rsidRDefault="006700C2">
    <w:pPr>
      <w:pStyle w:val="SidhuvudKantBilaga"/>
      <w:framePr w:w="1985" w:h="2743" w:hRule="exact" w:wrap="around" w:vAnchor="page" w:hAnchor="page" w:x="7372" w:y="568" w:anchorLock="0"/>
      <w:rPr>
        <w:noProof/>
      </w:rPr>
    </w:pPr>
    <w:r>
      <w:rPr>
        <w:noProof/>
      </w:rPr>
      <w:t>Utskottet</w:t>
    </w:r>
  </w:p>
  <w:p w:rsidR="006700C2" w:rsidRDefault="006700C2">
    <w:pPr>
      <w:pStyle w:val="SidhuvudKant"/>
      <w:framePr w:w="1985" w:h="2743" w:hRule="exact" w:wrap="around" w:vAnchor="page" w:hAnchor="page" w:x="7372" w:y="568" w:anchorLock="0"/>
    </w:pPr>
  </w:p>
  <w:p w:rsidR="006700C2" w:rsidRDefault="006700C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huvudKant"/>
      <w:framePr w:w="1985" w:h="2743" w:hRule="exact" w:wrap="around" w:vAnchor="page" w:hAnchor="page" w:x="7372" w:y="568" w:anchorLock="0"/>
      <w:rPr>
        <w:noProof/>
      </w:rPr>
    </w:pPr>
    <w:r>
      <w:rPr>
        <w:noProof/>
      </w:rPr>
      <w:t>1998/99:FiU2</w:t>
    </w:r>
  </w:p>
  <w:p w:rsidR="006700C2" w:rsidRDefault="006700C2">
    <w:pPr>
      <w:pStyle w:val="SidhuvudKantBilaga"/>
      <w:framePr w:w="1985" w:h="2743" w:hRule="exact" w:wrap="around" w:vAnchor="page" w:hAnchor="page" w:x="7372" w:y="568" w:anchorLock="0"/>
      <w:rPr>
        <w:noProof/>
      </w:rPr>
    </w:pPr>
    <w:r>
      <w:rPr>
        <w:noProof/>
      </w:rPr>
      <w:t>Appendix</w:t>
    </w:r>
  </w:p>
  <w:p w:rsidR="006700C2" w:rsidRDefault="006700C2">
    <w:pPr>
      <w:pStyle w:val="SidhuvudKant"/>
      <w:framePr w:w="1985" w:h="2743" w:hRule="exact" w:wrap="around" w:vAnchor="page" w:hAnchor="page" w:x="7372" w:y="568" w:anchorLock="0"/>
    </w:pPr>
  </w:p>
  <w:p w:rsidR="006700C2" w:rsidRDefault="006700C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huvudKant"/>
      <w:framePr w:w="1985" w:h="2743" w:hRule="exact" w:wrap="around" w:vAnchor="page" w:hAnchor="page" w:x="7372" w:y="568" w:anchorLock="0"/>
      <w:rPr>
        <w:noProof/>
      </w:rPr>
    </w:pPr>
    <w:r>
      <w:rPr>
        <w:noProof/>
      </w:rPr>
      <w:t>1998/99:FiU2</w:t>
    </w:r>
  </w:p>
  <w:p w:rsidR="006700C2" w:rsidRDefault="006700C2">
    <w:pPr>
      <w:pStyle w:val="SidhuvudKantBilaga"/>
      <w:framePr w:w="1985" w:h="2743" w:hRule="exact" w:wrap="around" w:vAnchor="page" w:hAnchor="page" w:x="7372" w:y="568" w:anchorLock="0"/>
      <w:rPr>
        <w:noProof/>
      </w:rPr>
    </w:pPr>
    <w:r>
      <w:rPr>
        <w:noProof/>
      </w:rPr>
      <w:t>Reservationer</w:t>
    </w:r>
  </w:p>
  <w:p w:rsidR="006700C2" w:rsidRDefault="006700C2">
    <w:pPr>
      <w:pStyle w:val="SidhuvudKant"/>
      <w:framePr w:w="1985" w:h="2743" w:hRule="exact" w:wrap="around" w:vAnchor="page" w:hAnchor="page" w:x="7372" w:y="568" w:anchorLock="0"/>
    </w:pPr>
  </w:p>
  <w:p w:rsidR="006700C2" w:rsidRDefault="006700C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huvudKant"/>
      <w:framePr w:w="1985" w:h="2743" w:hRule="exact" w:wrap="around" w:vAnchor="page" w:hAnchor="page" w:x="7372" w:y="568" w:anchorLock="0"/>
      <w:rPr>
        <w:noProof/>
      </w:rPr>
    </w:pPr>
    <w:r>
      <w:rPr>
        <w:noProof/>
      </w:rPr>
      <w:t>1998/99:FiU2</w:t>
    </w:r>
  </w:p>
  <w:p w:rsidR="006700C2" w:rsidRDefault="006700C2">
    <w:pPr>
      <w:pStyle w:val="SidhuvudKantBilaga"/>
      <w:framePr w:w="1985" w:h="2743" w:hRule="exact" w:wrap="around" w:vAnchor="page" w:hAnchor="page" w:x="7372" w:y="568" w:anchorLock="0"/>
      <w:rPr>
        <w:noProof/>
      </w:rPr>
    </w:pPr>
    <w:r>
      <w:rPr>
        <w:noProof/>
      </w:rPr>
      <w:t>Särskilda yttranden</w:t>
    </w:r>
  </w:p>
  <w:p w:rsidR="006700C2" w:rsidRDefault="006700C2">
    <w:pPr>
      <w:pStyle w:val="SidhuvudKant"/>
      <w:framePr w:w="1985" w:h="2743" w:hRule="exact" w:wrap="around" w:vAnchor="page" w:hAnchor="page" w:x="7372" w:y="568" w:anchorLock="0"/>
    </w:pPr>
  </w:p>
  <w:p w:rsidR="006700C2" w:rsidRDefault="006700C2">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C2" w:rsidRDefault="006700C2">
    <w:pPr>
      <w:pStyle w:val="SidhuvudKant"/>
      <w:framePr w:w="1985" w:h="2743" w:hRule="exact" w:wrap="around" w:vAnchor="page" w:hAnchor="page" w:x="7372" w:y="568" w:anchorLock="0"/>
      <w:rPr>
        <w:noProof/>
      </w:rPr>
    </w:pPr>
    <w:r>
      <w:rPr>
        <w:noProof/>
      </w:rPr>
      <w:t>1998/99:FiU2</w:t>
    </w:r>
  </w:p>
  <w:p w:rsidR="006700C2" w:rsidRDefault="006700C2">
    <w:pPr>
      <w:pStyle w:val="SidhuvudKantBilaga"/>
      <w:framePr w:w="1985" w:h="2743" w:hRule="exact" w:wrap="around" w:vAnchor="page" w:hAnchor="page" w:x="7372" w:y="568" w:anchorLock="0"/>
      <w:rPr>
        <w:noProof/>
      </w:rPr>
    </w:pPr>
  </w:p>
  <w:p w:rsidR="006700C2" w:rsidRDefault="006700C2">
    <w:pPr>
      <w:pStyle w:val="SidhuvudKant"/>
      <w:framePr w:w="1985" w:h="2743" w:hRule="exact" w:wrap="around" w:vAnchor="page" w:hAnchor="page" w:x="7372" w:y="568" w:anchorLock="0"/>
    </w:pPr>
  </w:p>
  <w:p w:rsidR="006700C2" w:rsidRDefault="006700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6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1551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297AB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94134893">
    <w:abstractNumId w:val="1"/>
  </w:num>
  <w:num w:numId="2" w16cid:durableId="1069884549">
    <w:abstractNumId w:val="0"/>
  </w:num>
  <w:num w:numId="3" w16cid:durableId="933249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465E90"/>
    <w:rsid w:val="00263F68"/>
    <w:rsid w:val="00465E90"/>
    <w:rsid w:val="006700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159C8A-7B8F-4F42-ADAC-09487716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logo0">
    <w:name w:val="logo"/>
    <w:basedOn w:val="Normal"/>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0"/>
    <w:pPr>
      <w:framePr w:wrap="around" w:x="9016"/>
    </w:pPr>
  </w:style>
  <w:style w:type="paragraph" w:customStyle="1" w:styleId="NormalCourier">
    <w:name w:val="NormalCourier"/>
    <w:basedOn w:val="Normal"/>
    <w:pPr>
      <w:spacing w:before="0" w:after="140" w:line="280" w:lineRule="exact"/>
      <w:jc w:val="left"/>
    </w:pPr>
    <w:rPr>
      <w:rFonts w:ascii="Courier" w:hAnsi="Courier"/>
      <w:sz w:val="24"/>
    </w:rPr>
  </w:style>
  <w:style w:type="paragraph" w:customStyle="1" w:styleId="KantHuvud">
    <w:name w:val="KantHuvud"/>
    <w:basedOn w:val="Normal"/>
    <w:pPr>
      <w:framePr w:w="2552" w:hSpace="284" w:wrap="around" w:vAnchor="page" w:hAnchor="page" w:x="8279" w:y="2326" w:anchorLock="1"/>
      <w:spacing w:before="0" w:line="280" w:lineRule="exact"/>
      <w:jc w:val="left"/>
    </w:pPr>
    <w:rPr>
      <w:rFonts w:ascii="Bembo" w:hAnsi="Bembo"/>
      <w:sz w:val="24"/>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12829</Words>
  <Characters>81342</Characters>
  <Application>Microsoft Office Word</Application>
  <DocSecurity>4</DocSecurity>
  <Lines>1768</Lines>
  <Paragraphs>708</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93463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1998-12-08T07:34:00Z</cp:lastPrinted>
  <dcterms:created xsi:type="dcterms:W3CDTF">2025-12-15T19:04:00Z</dcterms:created>
  <dcterms:modified xsi:type="dcterms:W3CDTF">2025-12-15T19:04:00Z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