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28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12 november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informellt möte mellan EU:s stats- och regeringschefer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Återrapportering från informellt möte mellan EU:s stats- och regeringschefer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14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2024/25:121 av Sofia Amloh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Globalt partnerskap för anständiga arbetsvillkor och inkluderande 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2024/25:152 av Daniel Vencu Velasquez Castro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Hbtqi-rättigheter i Georgien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2024/25:180 av Nadja Awad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arbete för att stärka studenters ekonomi och motverka skuldökningen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2024/25:181 av Paula Örn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Förlängd skolplikt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COM(2024) 800 Meddelande från kommissionen till Europaparlamentet, rådet, Europeiska ekonomiska och sociala kommittén samt Regionkommittén 2024 års rapport om rättsstatsprincipen Situationen i fråga om rättsstatsprincipen i EU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2024/25:FiU15 Medgivande för Riksbanken att ge kredit till Internationella valutafonden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2024/25:UbU5 Ett effektivare omställningsstudiestöd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2024/25:TU4 En effektivare och mer rättssäker klampning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2024/25:129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Inspektionen för vård och omsorg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Jessica Rosencrantz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2024/25:165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Samarbetet i Norden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2024/25:166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Föreningen Norden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12 november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2024-11-12</SAFIR_Sammantradesdatum_Doc>
    <SAFIR_SammantradeID xmlns="C07A1A6C-0B19-41D9-BDF8-F523BA3921EB">da62913b-97e5-4cf5-8fa1-fbd7a7236076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D676C295-3A60-466F-B09C-ED0FC1A2B0E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