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8D823-353E-4C11-B901-EA19955EA7A2}"/>
</file>

<file path=customXml/itemProps2.xml><?xml version="1.0" encoding="utf-8"?>
<ds:datastoreItem xmlns:ds="http://schemas.openxmlformats.org/officeDocument/2006/customXml" ds:itemID="{547EB585-235E-477B-A1EE-6C3A0E706A6E}"/>
</file>

<file path=customXml/itemProps3.xml><?xml version="1.0" encoding="utf-8"?>
<ds:datastoreItem xmlns:ds="http://schemas.openxmlformats.org/officeDocument/2006/customXml" ds:itemID="{4AF1C8FB-3F4A-4489-A934-66426FDF0524}"/>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