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F53A97" w:rsidRPr="007E263F" w:rsidTr="007531BA">
        <w:tblPrEx>
          <w:tblCellMar>
            <w:top w:w="0" w:type="dxa"/>
            <w:bottom w:w="0" w:type="dxa"/>
          </w:tblCellMar>
        </w:tblPrEx>
        <w:trPr>
          <w:cantSplit/>
          <w:trHeight w:val="1720"/>
        </w:trPr>
        <w:tc>
          <w:tcPr>
            <w:tcW w:w="6024" w:type="dxa"/>
            <w:gridSpan w:val="2"/>
          </w:tcPr>
          <w:p w:rsidR="00FF68B8" w:rsidRPr="007E263F" w:rsidRDefault="00E87357" w:rsidP="00393044">
            <w:pPr>
              <w:pStyle w:val="HuvudRubrik"/>
              <w:spacing w:line="250" w:lineRule="atLeast"/>
              <w:jc w:val="both"/>
            </w:pPr>
            <w:r w:rsidRPr="007E263F">
              <w:t>Redogörelse till riksdagen</w:t>
            </w:r>
            <w:bookmarkStart w:id="0" w:name="BetänkandeNr"/>
            <w:bookmarkEnd w:id="0"/>
          </w:p>
          <w:p w:rsidR="00F53A97" w:rsidRPr="007E263F" w:rsidRDefault="00F53A97" w:rsidP="00393044">
            <w:pPr>
              <w:pStyle w:val="HuvudRubrik"/>
              <w:spacing w:line="250" w:lineRule="atLeast"/>
              <w:jc w:val="both"/>
            </w:pPr>
            <w:r w:rsidRPr="007E263F">
              <w:fldChar w:fldCharType="begin" w:fldLock="1"/>
            </w:r>
            <w:r w:rsidRPr="007E263F">
              <w:instrText xml:space="preserve"> DOCPROPERTY BetänkandeÅr</w:instrText>
            </w:r>
            <w:r w:rsidRPr="007E263F">
              <w:fldChar w:fldCharType="separate"/>
            </w:r>
            <w:r w:rsidR="00FF68B8" w:rsidRPr="007E263F">
              <w:t>2011/12</w:t>
            </w:r>
            <w:r w:rsidRPr="007E263F">
              <w:fldChar w:fldCharType="end"/>
            </w:r>
            <w:r w:rsidRPr="007E263F">
              <w:t>:</w:t>
            </w:r>
            <w:r w:rsidRPr="007E263F">
              <w:fldChar w:fldCharType="begin" w:fldLock="1"/>
            </w:r>
            <w:r w:rsidRPr="007E263F">
              <w:instrText xml:space="preserve"> DOCPROPERTY Utskott</w:instrText>
            </w:r>
            <w:r w:rsidR="00FF68B8" w:rsidRPr="007E263F">
              <w:fldChar w:fldCharType="separate"/>
            </w:r>
            <w:r w:rsidR="00FF68B8" w:rsidRPr="007E263F">
              <w:t>RR</w:t>
            </w:r>
            <w:r w:rsidRPr="007E263F">
              <w:fldChar w:fldCharType="end"/>
            </w:r>
            <w:r w:rsidR="00FF68B8" w:rsidRPr="007E263F">
              <w:t>5</w:t>
            </w:r>
          </w:p>
        </w:tc>
        <w:bookmarkStart w:id="1" w:name="_MON_1016526495"/>
        <w:bookmarkStart w:id="2" w:name="_MON_1016526516"/>
        <w:bookmarkStart w:id="3" w:name="_MON_1016527141"/>
        <w:bookmarkStart w:id="4" w:name="_MON_1016527716"/>
        <w:bookmarkStart w:id="5" w:name="_MON_1016527915"/>
        <w:bookmarkStart w:id="6" w:name="_MON_1399112431"/>
        <w:bookmarkStart w:id="7" w:name="_MON_1399186418"/>
        <w:bookmarkEnd w:id="1"/>
        <w:bookmarkEnd w:id="2"/>
        <w:bookmarkEnd w:id="3"/>
        <w:bookmarkEnd w:id="4"/>
        <w:bookmarkEnd w:id="5"/>
        <w:bookmarkEnd w:id="6"/>
        <w:bookmarkEnd w:id="7"/>
        <w:tc>
          <w:tcPr>
            <w:tcW w:w="1418" w:type="dxa"/>
            <w:tcBorders>
              <w:bottom w:val="nil"/>
            </w:tcBorders>
          </w:tcPr>
          <w:p w:rsidR="00F53A97" w:rsidRPr="007E263F" w:rsidRDefault="00F53A97" w:rsidP="00393044">
            <w:r w:rsidRPr="007E263F">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6187" r:id="rId8"/>
              </w:object>
            </w:r>
          </w:p>
          <w:p w:rsidR="00F53A97" w:rsidRPr="007E263F" w:rsidRDefault="00F53A97" w:rsidP="00393044">
            <w:pPr>
              <w:pStyle w:val="Normaltindrag"/>
            </w:pPr>
          </w:p>
          <w:p w:rsidR="00F53A97" w:rsidRPr="007E263F" w:rsidRDefault="00F53A97" w:rsidP="00393044">
            <w:pPr>
              <w:pStyle w:val="StatusSida1"/>
              <w:spacing w:line="250" w:lineRule="atLeast"/>
              <w:jc w:val="both"/>
            </w:pPr>
            <w:r w:rsidRPr="007E263F">
              <w:fldChar w:fldCharType="begin" w:fldLock="1"/>
            </w:r>
            <w:r w:rsidRPr="007E263F">
              <w:instrText xml:space="preserve"> DOCPR</w:instrText>
            </w:r>
            <w:r w:rsidRPr="007E263F">
              <w:instrText>O</w:instrText>
            </w:r>
            <w:r w:rsidRPr="007E263F">
              <w:instrText>PERTY "Status"</w:instrText>
            </w:r>
            <w:r w:rsidRPr="007E263F">
              <w:fldChar w:fldCharType="end"/>
            </w:r>
          </w:p>
          <w:p w:rsidR="00F53A97" w:rsidRPr="007E263F" w:rsidRDefault="00F53A97" w:rsidP="00393044">
            <w:pPr>
              <w:pStyle w:val="UtskriftsdatumSida1"/>
              <w:framePr w:wrap="around"/>
              <w:spacing w:line="250" w:lineRule="atLeast"/>
              <w:jc w:val="both"/>
            </w:pPr>
            <w:r w:rsidRPr="007E263F">
              <w:fldChar w:fldCharType="begin" w:fldLock="1"/>
            </w:r>
            <w:r w:rsidRPr="007E263F">
              <w:instrText xml:space="preserve"> if </w:instrText>
            </w:r>
            <w:r w:rsidRPr="007E263F">
              <w:fldChar w:fldCharType="begin" w:fldLock="1"/>
            </w:r>
            <w:r w:rsidRPr="007E263F">
              <w:instrText xml:space="preserve"> DOCPROPE</w:instrText>
            </w:r>
            <w:r w:rsidRPr="007E263F">
              <w:instrText>R</w:instrText>
            </w:r>
            <w:r w:rsidRPr="007E263F">
              <w:instrText>TY "UtkastD</w:instrText>
            </w:r>
            <w:r w:rsidRPr="007E263F">
              <w:instrText>a</w:instrText>
            </w:r>
            <w:r w:rsidRPr="007E263F">
              <w:instrText>tum"</w:instrText>
            </w:r>
            <w:r w:rsidRPr="007E263F">
              <w:fldChar w:fldCharType="separate"/>
            </w:r>
            <w:r w:rsidR="00FF68B8" w:rsidRPr="007E263F">
              <w:instrText>Nej</w:instrText>
            </w:r>
            <w:r w:rsidRPr="007E263F">
              <w:fldChar w:fldCharType="end"/>
            </w:r>
            <w:r w:rsidRPr="007E263F">
              <w:instrText xml:space="preserve"> = "Ja" "</w:instrText>
            </w:r>
            <w:r w:rsidRPr="007E263F">
              <w:fldChar w:fldCharType="begin" w:fldLock="1"/>
            </w:r>
            <w:r w:rsidRPr="007E263F">
              <w:instrText xml:space="preserve"> PRINTDATE \@ "yyyy-MM-dd HH.mm" </w:instrText>
            </w:r>
            <w:r w:rsidRPr="007E263F">
              <w:fldChar w:fldCharType="separate"/>
            </w:r>
            <w:r w:rsidRPr="007E263F">
              <w:instrText>2000-08-11 16.42</w:instrText>
            </w:r>
            <w:r w:rsidRPr="007E263F">
              <w:fldChar w:fldCharType="end"/>
            </w:r>
            <w:r w:rsidRPr="007E263F">
              <w:instrText xml:space="preserve">" </w:instrText>
            </w:r>
            <w:r w:rsidRPr="007E263F">
              <w:fldChar w:fldCharType="end"/>
            </w:r>
          </w:p>
        </w:tc>
      </w:tr>
      <w:tr w:rsidR="00F53A97" w:rsidRPr="007E263F" w:rsidTr="007531BA">
        <w:tblPrEx>
          <w:tblCellMar>
            <w:top w:w="0" w:type="dxa"/>
            <w:bottom w:w="0" w:type="dxa"/>
          </w:tblCellMar>
        </w:tblPrEx>
        <w:trPr>
          <w:cantSplit/>
        </w:trPr>
        <w:tc>
          <w:tcPr>
            <w:tcW w:w="6024" w:type="dxa"/>
            <w:gridSpan w:val="2"/>
            <w:tcBorders>
              <w:bottom w:val="single" w:sz="4" w:space="0" w:color="auto"/>
            </w:tcBorders>
          </w:tcPr>
          <w:p w:rsidR="00F53A97" w:rsidRPr="007E263F" w:rsidRDefault="00FF68B8" w:rsidP="00393044">
            <w:pPr>
              <w:pStyle w:val="DokumentRubrik"/>
              <w:spacing w:line="250" w:lineRule="atLeast"/>
              <w:rPr>
                <w:noProof w:val="0"/>
                <w:sz w:val="40"/>
                <w:szCs w:val="40"/>
              </w:rPr>
            </w:pPr>
            <w:bookmarkStart w:id="8" w:name="Huvudrubrik"/>
            <w:bookmarkEnd w:id="8"/>
            <w:r w:rsidRPr="007E263F">
              <w:rPr>
                <w:noProof w:val="0"/>
                <w:sz w:val="40"/>
                <w:szCs w:val="40"/>
              </w:rPr>
              <w:t>Riksrevisi</w:t>
            </w:r>
            <w:r w:rsidR="003E7264" w:rsidRPr="007E263F">
              <w:rPr>
                <w:noProof w:val="0"/>
                <w:sz w:val="40"/>
                <w:szCs w:val="40"/>
              </w:rPr>
              <w:t>onens redogörelse för</w:t>
            </w:r>
            <w:r w:rsidRPr="007E263F">
              <w:rPr>
                <w:noProof w:val="0"/>
                <w:sz w:val="40"/>
                <w:szCs w:val="40"/>
              </w:rPr>
              <w:t xml:space="preserve"> </w:t>
            </w:r>
            <w:r w:rsidR="00252892" w:rsidRPr="007E263F">
              <w:rPr>
                <w:noProof w:val="0"/>
                <w:sz w:val="40"/>
                <w:szCs w:val="40"/>
              </w:rPr>
              <w:t>riks</w:t>
            </w:r>
            <w:r w:rsidR="005F5CCF" w:rsidRPr="007E263F">
              <w:rPr>
                <w:noProof w:val="0"/>
                <w:sz w:val="40"/>
                <w:szCs w:val="40"/>
              </w:rPr>
              <w:t>revisorernas årliga rapport 2012</w:t>
            </w:r>
          </w:p>
        </w:tc>
        <w:tc>
          <w:tcPr>
            <w:tcW w:w="1418" w:type="dxa"/>
            <w:tcBorders>
              <w:bottom w:val="nil"/>
            </w:tcBorders>
          </w:tcPr>
          <w:p w:rsidR="00F53A97" w:rsidRPr="007E263F" w:rsidRDefault="00F53A97" w:rsidP="00393044"/>
        </w:tc>
      </w:tr>
      <w:tr w:rsidR="00F53A97" w:rsidRPr="007E263F" w:rsidTr="007531BA">
        <w:tblPrEx>
          <w:tblCellMar>
            <w:top w:w="0" w:type="dxa"/>
            <w:bottom w:w="0" w:type="dxa"/>
          </w:tblCellMar>
        </w:tblPrEx>
        <w:trPr>
          <w:cantSplit/>
          <w:trHeight w:hRule="exact" w:val="360"/>
        </w:trPr>
        <w:tc>
          <w:tcPr>
            <w:tcW w:w="3012" w:type="dxa"/>
          </w:tcPr>
          <w:p w:rsidR="00F53A97" w:rsidRPr="007E263F" w:rsidRDefault="00F53A97" w:rsidP="00393044"/>
        </w:tc>
        <w:tc>
          <w:tcPr>
            <w:tcW w:w="3012" w:type="dxa"/>
          </w:tcPr>
          <w:p w:rsidR="00F53A97" w:rsidRPr="007E263F" w:rsidRDefault="00F53A97" w:rsidP="00393044"/>
        </w:tc>
        <w:tc>
          <w:tcPr>
            <w:tcW w:w="1418" w:type="dxa"/>
          </w:tcPr>
          <w:p w:rsidR="00F53A97" w:rsidRPr="007E263F" w:rsidRDefault="00F53A97" w:rsidP="00393044"/>
        </w:tc>
      </w:tr>
    </w:tbl>
    <w:p w:rsidR="007531BA" w:rsidRPr="007E263F" w:rsidRDefault="007531BA" w:rsidP="00393044">
      <w:r w:rsidRPr="007E263F">
        <w:t xml:space="preserve">Riksrevisorernas årliga rapport ska enligt </w:t>
      </w:r>
      <w:r w:rsidR="003E7264" w:rsidRPr="007E263F">
        <w:rPr>
          <w:color w:val="000000"/>
          <w:szCs w:val="19"/>
        </w:rPr>
        <w:t>tilläggsbestämmelse</w:t>
      </w:r>
      <w:r w:rsidRPr="007E263F">
        <w:rPr>
          <w:color w:val="000000"/>
          <w:szCs w:val="19"/>
        </w:rPr>
        <w:t xml:space="preserve"> 3.8a.2 till 3 kap. 8 § riksdagsordningen </w:t>
      </w:r>
      <w:r w:rsidRPr="007E263F">
        <w:t>lämnas som en redogörelse till riksdagen. Bilagt finns den av riksrevisorerna beslutade årliga rapporten 2012.</w:t>
      </w:r>
    </w:p>
    <w:p w:rsidR="007531BA" w:rsidRPr="007E263F" w:rsidRDefault="007531BA" w:rsidP="00461C92">
      <w:pPr>
        <w:spacing w:before="240"/>
      </w:pPr>
      <w:r w:rsidRPr="007E263F">
        <w:t xml:space="preserve">Stockholm den </w:t>
      </w:r>
      <w:r w:rsidR="00461C92" w:rsidRPr="007E263F">
        <w:t>21</w:t>
      </w:r>
      <w:r w:rsidRPr="007E263F">
        <w:t xml:space="preserve"> maj 2012</w:t>
      </w:r>
    </w:p>
    <w:p w:rsidR="007531BA" w:rsidRPr="007E263F" w:rsidRDefault="00B26FB2" w:rsidP="00461C92">
      <w:pPr>
        <w:tabs>
          <w:tab w:val="left" w:pos="1710"/>
          <w:tab w:val="left" w:pos="1995"/>
          <w:tab w:val="left" w:pos="2185"/>
        </w:tabs>
        <w:spacing w:before="840"/>
      </w:pPr>
      <w:r w:rsidRPr="007E263F">
        <w:t>Claes Norgren</w:t>
      </w:r>
      <w:r w:rsidRPr="007E263F">
        <w:tab/>
      </w:r>
      <w:r w:rsidRPr="007E263F">
        <w:tab/>
      </w:r>
      <w:r w:rsidRPr="007E263F">
        <w:tab/>
      </w:r>
      <w:r w:rsidR="007531BA" w:rsidRPr="007E263F">
        <w:t>Jan Landahl</w:t>
      </w:r>
      <w:r w:rsidR="007531BA" w:rsidRPr="007E263F">
        <w:tab/>
        <w:t>Gudrun Antemar</w:t>
      </w:r>
    </w:p>
    <w:p w:rsidR="00F53A97" w:rsidRPr="007E263F" w:rsidRDefault="00F53A97" w:rsidP="00393044"/>
    <w:p w:rsidR="008C3183" w:rsidRPr="007E263F" w:rsidRDefault="008C3183" w:rsidP="00393044">
      <w:pPr>
        <w:tabs>
          <w:tab w:val="left" w:pos="4111"/>
        </w:tabs>
      </w:pPr>
    </w:p>
    <w:p w:rsidR="008C3183" w:rsidRPr="007E263F" w:rsidRDefault="008C3183" w:rsidP="00393044"/>
    <w:p w:rsidR="008C3183" w:rsidRPr="007E263F" w:rsidRDefault="008C3183" w:rsidP="00393044">
      <w:pPr>
        <w:spacing w:before="0"/>
      </w:pPr>
    </w:p>
    <w:p w:rsidR="00DF401B" w:rsidRPr="007E263F" w:rsidRDefault="00DF401B" w:rsidP="00393044"/>
    <w:p w:rsidR="00DF401B" w:rsidRPr="007E263F" w:rsidRDefault="00DF401B" w:rsidP="00393044">
      <w:pPr>
        <w:pStyle w:val="Normaltindrag"/>
        <w:sectPr w:rsidR="00DF401B" w:rsidRPr="007E263F" w:rsidSect="00B26FB2">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8C3183" w:rsidRPr="007E263F" w:rsidRDefault="00DF401B" w:rsidP="00393044">
      <w:pPr>
        <w:pStyle w:val="Rubrik1"/>
        <w:spacing w:line="250" w:lineRule="atLeast"/>
        <w:jc w:val="both"/>
        <w:rPr>
          <w:noProof w:val="0"/>
        </w:rPr>
      </w:pPr>
      <w:bookmarkStart w:id="9" w:name="_Toc326137772"/>
      <w:r w:rsidRPr="007E263F">
        <w:rPr>
          <w:noProof w:val="0"/>
        </w:rPr>
        <w:lastRenderedPageBreak/>
        <w:t>Innehållsförteckning</w:t>
      </w:r>
      <w:bookmarkEnd w:id="9"/>
    </w:p>
    <w:p w:rsidR="008A0BF9" w:rsidRPr="007E263F" w:rsidRDefault="00CB6764">
      <w:pPr>
        <w:pStyle w:val="Innehll1"/>
        <w:rPr>
          <w:sz w:val="24"/>
          <w:szCs w:val="24"/>
        </w:rPr>
      </w:pPr>
      <w:r w:rsidRPr="007E263F">
        <w:fldChar w:fldCharType="begin" w:fldLock="1"/>
      </w:r>
      <w:r w:rsidRPr="007E263F">
        <w:instrText xml:space="preserve"> TOC \o "1-4" \u </w:instrText>
      </w:r>
      <w:r w:rsidRPr="007E263F">
        <w:fldChar w:fldCharType="separate"/>
      </w:r>
      <w:r w:rsidR="008A0BF9" w:rsidRPr="007E263F">
        <w:t>Innehållsförteckning</w:t>
      </w:r>
      <w:r w:rsidR="008A0BF9" w:rsidRPr="007E263F">
        <w:tab/>
      </w:r>
      <w:r w:rsidR="008A0BF9" w:rsidRPr="007E263F">
        <w:fldChar w:fldCharType="begin" w:fldLock="1"/>
      </w:r>
      <w:r w:rsidR="008A0BF9" w:rsidRPr="007E263F">
        <w:instrText xml:space="preserve"> PAGEREF _Toc326137772 \h </w:instrText>
      </w:r>
      <w:r w:rsidR="008A0BF9" w:rsidRPr="007E263F">
        <w:fldChar w:fldCharType="separate"/>
      </w:r>
      <w:r w:rsidR="00D21E7D" w:rsidRPr="007E263F">
        <w:t>2</w:t>
      </w:r>
      <w:r w:rsidR="008A0BF9" w:rsidRPr="007E263F">
        <w:fldChar w:fldCharType="end"/>
      </w:r>
    </w:p>
    <w:p w:rsidR="008A0BF9" w:rsidRPr="007E263F" w:rsidRDefault="008A0BF9">
      <w:pPr>
        <w:pStyle w:val="Innehll1"/>
        <w:rPr>
          <w:sz w:val="24"/>
          <w:szCs w:val="24"/>
        </w:rPr>
      </w:pPr>
      <w:r w:rsidRPr="007E263F">
        <w:t>Inledning</w:t>
      </w:r>
      <w:r w:rsidRPr="007E263F">
        <w:tab/>
      </w:r>
      <w:r w:rsidRPr="007E263F">
        <w:fldChar w:fldCharType="begin" w:fldLock="1"/>
      </w:r>
      <w:r w:rsidRPr="007E263F">
        <w:instrText xml:space="preserve"> PAGEREF _Toc326137773 \h </w:instrText>
      </w:r>
      <w:r w:rsidRPr="007E263F">
        <w:fldChar w:fldCharType="separate"/>
      </w:r>
      <w:r w:rsidR="00D21E7D" w:rsidRPr="007E263F">
        <w:t>7</w:t>
      </w:r>
      <w:r w:rsidRPr="007E263F">
        <w:fldChar w:fldCharType="end"/>
      </w:r>
    </w:p>
    <w:p w:rsidR="008A0BF9" w:rsidRPr="007E263F" w:rsidRDefault="008A0BF9">
      <w:pPr>
        <w:pStyle w:val="Innehll1"/>
        <w:rPr>
          <w:sz w:val="24"/>
          <w:szCs w:val="24"/>
        </w:rPr>
      </w:pPr>
      <w:r w:rsidRPr="007E263F">
        <w:t>Riksrevisionen och den internationella finans- och statsskuldskrisen – nya utmaningar för redovisning och revision</w:t>
      </w:r>
      <w:r w:rsidRPr="007E263F">
        <w:tab/>
      </w:r>
      <w:r w:rsidRPr="007E263F">
        <w:fldChar w:fldCharType="begin" w:fldLock="1"/>
      </w:r>
      <w:r w:rsidRPr="007E263F">
        <w:instrText xml:space="preserve"> PAGEREF _Toc326137774 \h </w:instrText>
      </w:r>
      <w:r w:rsidRPr="007E263F">
        <w:fldChar w:fldCharType="separate"/>
      </w:r>
      <w:r w:rsidR="00D21E7D" w:rsidRPr="007E263F">
        <w:t>8</w:t>
      </w:r>
      <w:r w:rsidRPr="007E263F">
        <w:fldChar w:fldCharType="end"/>
      </w:r>
    </w:p>
    <w:p w:rsidR="008A0BF9" w:rsidRPr="007E263F" w:rsidRDefault="008A0BF9">
      <w:pPr>
        <w:pStyle w:val="Innehll2"/>
        <w:rPr>
          <w:sz w:val="24"/>
          <w:szCs w:val="24"/>
        </w:rPr>
      </w:pPr>
      <w:r w:rsidRPr="007E263F">
        <w:t>Förändringar för redovisning och revision</w:t>
      </w:r>
      <w:r w:rsidRPr="007E263F">
        <w:tab/>
      </w:r>
      <w:r w:rsidRPr="007E263F">
        <w:fldChar w:fldCharType="begin" w:fldLock="1"/>
      </w:r>
      <w:r w:rsidRPr="007E263F">
        <w:instrText xml:space="preserve"> PAGEREF _Toc326137775 \h </w:instrText>
      </w:r>
      <w:r w:rsidRPr="007E263F">
        <w:fldChar w:fldCharType="separate"/>
      </w:r>
      <w:r w:rsidR="00D21E7D" w:rsidRPr="007E263F">
        <w:t>8</w:t>
      </w:r>
      <w:r w:rsidRPr="007E263F">
        <w:fldChar w:fldCharType="end"/>
      </w:r>
    </w:p>
    <w:p w:rsidR="008A0BF9" w:rsidRPr="007E263F" w:rsidRDefault="008A0BF9">
      <w:pPr>
        <w:pStyle w:val="Innehll2"/>
        <w:rPr>
          <w:sz w:val="24"/>
          <w:szCs w:val="24"/>
        </w:rPr>
      </w:pPr>
      <w:r w:rsidRPr="007E263F">
        <w:t>Effektivitetsrevision</w:t>
      </w:r>
      <w:r w:rsidRPr="007E263F">
        <w:tab/>
      </w:r>
      <w:r w:rsidRPr="007E263F">
        <w:fldChar w:fldCharType="begin" w:fldLock="1"/>
      </w:r>
      <w:r w:rsidRPr="007E263F">
        <w:instrText xml:space="preserve"> PAGEREF _Toc326137776 \h </w:instrText>
      </w:r>
      <w:r w:rsidRPr="007E263F">
        <w:fldChar w:fldCharType="separate"/>
      </w:r>
      <w:r w:rsidR="00D21E7D" w:rsidRPr="007E263F">
        <w:t>10</w:t>
      </w:r>
      <w:r w:rsidRPr="007E263F">
        <w:fldChar w:fldCharType="end"/>
      </w:r>
    </w:p>
    <w:p w:rsidR="008A0BF9" w:rsidRPr="007E263F" w:rsidRDefault="008A0BF9">
      <w:pPr>
        <w:pStyle w:val="Innehll2"/>
        <w:rPr>
          <w:sz w:val="24"/>
          <w:szCs w:val="24"/>
        </w:rPr>
      </w:pPr>
      <w:r w:rsidRPr="007E263F">
        <w:t>Riksrevisionens internationella verksamhet</w:t>
      </w:r>
      <w:r w:rsidRPr="007E263F">
        <w:tab/>
      </w:r>
      <w:r w:rsidRPr="007E263F">
        <w:fldChar w:fldCharType="begin" w:fldLock="1"/>
      </w:r>
      <w:r w:rsidRPr="007E263F">
        <w:instrText xml:space="preserve"> PAGEREF _Toc326137777 \h </w:instrText>
      </w:r>
      <w:r w:rsidRPr="007E263F">
        <w:fldChar w:fldCharType="separate"/>
      </w:r>
      <w:r w:rsidR="00D21E7D" w:rsidRPr="007E263F">
        <w:t>12</w:t>
      </w:r>
      <w:r w:rsidRPr="007E263F">
        <w:fldChar w:fldCharType="end"/>
      </w:r>
    </w:p>
    <w:p w:rsidR="008A0BF9" w:rsidRPr="007E263F" w:rsidRDefault="008A0BF9">
      <w:pPr>
        <w:pStyle w:val="Innehll2"/>
        <w:rPr>
          <w:sz w:val="24"/>
          <w:szCs w:val="24"/>
        </w:rPr>
      </w:pPr>
      <w:r w:rsidRPr="007E263F">
        <w:t>Riksrevisorernas bedömning</w:t>
      </w:r>
      <w:r w:rsidRPr="007E263F">
        <w:tab/>
      </w:r>
      <w:r w:rsidRPr="007E263F">
        <w:fldChar w:fldCharType="begin" w:fldLock="1"/>
      </w:r>
      <w:r w:rsidRPr="007E263F">
        <w:instrText xml:space="preserve"> PAGEREF _Toc326137778 \h </w:instrText>
      </w:r>
      <w:r w:rsidRPr="007E263F">
        <w:fldChar w:fldCharType="separate"/>
      </w:r>
      <w:r w:rsidR="00D21E7D" w:rsidRPr="007E263F">
        <w:t>13</w:t>
      </w:r>
      <w:r w:rsidRPr="007E263F">
        <w:fldChar w:fldCharType="end"/>
      </w:r>
    </w:p>
    <w:p w:rsidR="008A0BF9" w:rsidRPr="007E263F" w:rsidRDefault="008A0BF9">
      <w:pPr>
        <w:pStyle w:val="Innehll1"/>
        <w:rPr>
          <w:sz w:val="24"/>
          <w:szCs w:val="24"/>
        </w:rPr>
      </w:pPr>
      <w:r w:rsidRPr="007E263F">
        <w:t>Regeringens skrivelser till riksdagen med anledning av våra granskningar</w:t>
      </w:r>
      <w:r w:rsidRPr="007E263F">
        <w:tab/>
      </w:r>
      <w:r w:rsidRPr="007E263F">
        <w:fldChar w:fldCharType="begin" w:fldLock="1"/>
      </w:r>
      <w:r w:rsidRPr="007E263F">
        <w:instrText xml:space="preserve"> PAGEREF _Toc326137779 \h </w:instrText>
      </w:r>
      <w:r w:rsidRPr="007E263F">
        <w:fldChar w:fldCharType="separate"/>
      </w:r>
      <w:r w:rsidR="00D21E7D" w:rsidRPr="007E263F">
        <w:t>15</w:t>
      </w:r>
      <w:r w:rsidRPr="007E263F">
        <w:fldChar w:fldCharType="end"/>
      </w:r>
    </w:p>
    <w:p w:rsidR="008A0BF9" w:rsidRPr="007E263F" w:rsidRDefault="008A0BF9">
      <w:pPr>
        <w:pStyle w:val="Innehll2"/>
        <w:rPr>
          <w:sz w:val="24"/>
          <w:szCs w:val="24"/>
        </w:rPr>
      </w:pPr>
      <w:r w:rsidRPr="007E263F">
        <w:t>Skrivelsernas innehåll</w:t>
      </w:r>
      <w:r w:rsidRPr="007E263F">
        <w:tab/>
      </w:r>
      <w:r w:rsidRPr="007E263F">
        <w:fldChar w:fldCharType="begin" w:fldLock="1"/>
      </w:r>
      <w:r w:rsidRPr="007E263F">
        <w:instrText xml:space="preserve"> PAGEREF _Toc326137780 \h </w:instrText>
      </w:r>
      <w:r w:rsidRPr="007E263F">
        <w:fldChar w:fldCharType="separate"/>
      </w:r>
      <w:r w:rsidR="00D21E7D" w:rsidRPr="007E263F">
        <w:t>15</w:t>
      </w:r>
      <w:r w:rsidRPr="007E263F">
        <w:fldChar w:fldCharType="end"/>
      </w:r>
    </w:p>
    <w:p w:rsidR="008A0BF9" w:rsidRPr="007E263F" w:rsidRDefault="008A0BF9">
      <w:pPr>
        <w:pStyle w:val="Innehll2"/>
        <w:rPr>
          <w:sz w:val="24"/>
          <w:szCs w:val="24"/>
        </w:rPr>
      </w:pPr>
      <w:r w:rsidRPr="007E263F">
        <w:t>Riksdagens behandling av regeringens skrivelser</w:t>
      </w:r>
      <w:r w:rsidRPr="007E263F">
        <w:tab/>
      </w:r>
      <w:r w:rsidRPr="007E263F">
        <w:fldChar w:fldCharType="begin" w:fldLock="1"/>
      </w:r>
      <w:r w:rsidRPr="007E263F">
        <w:instrText xml:space="preserve"> PAGEREF _Toc326137781 \h </w:instrText>
      </w:r>
      <w:r w:rsidRPr="007E263F">
        <w:fldChar w:fldCharType="separate"/>
      </w:r>
      <w:r w:rsidR="00D21E7D" w:rsidRPr="007E263F">
        <w:t>16</w:t>
      </w:r>
      <w:r w:rsidRPr="007E263F">
        <w:fldChar w:fldCharType="end"/>
      </w:r>
    </w:p>
    <w:p w:rsidR="008A0BF9" w:rsidRPr="007E263F" w:rsidRDefault="008A0BF9">
      <w:pPr>
        <w:pStyle w:val="Innehll2"/>
        <w:rPr>
          <w:sz w:val="24"/>
          <w:szCs w:val="24"/>
        </w:rPr>
      </w:pPr>
      <w:r w:rsidRPr="007E263F">
        <w:t>Riksrevisorernas bedömning</w:t>
      </w:r>
      <w:r w:rsidRPr="007E263F">
        <w:tab/>
      </w:r>
      <w:r w:rsidRPr="007E263F">
        <w:fldChar w:fldCharType="begin" w:fldLock="1"/>
      </w:r>
      <w:r w:rsidRPr="007E263F">
        <w:instrText xml:space="preserve"> PAGEREF _Toc326137782 \h </w:instrText>
      </w:r>
      <w:r w:rsidRPr="007E263F">
        <w:fldChar w:fldCharType="separate"/>
      </w:r>
      <w:r w:rsidR="00D21E7D" w:rsidRPr="007E263F">
        <w:t>17</w:t>
      </w:r>
      <w:r w:rsidRPr="007E263F">
        <w:fldChar w:fldCharType="end"/>
      </w:r>
    </w:p>
    <w:p w:rsidR="008A0BF9" w:rsidRPr="007E263F" w:rsidRDefault="008A0BF9">
      <w:pPr>
        <w:pStyle w:val="Innehll1"/>
        <w:rPr>
          <w:sz w:val="24"/>
          <w:szCs w:val="24"/>
        </w:rPr>
      </w:pPr>
      <w:r w:rsidRPr="007E263F">
        <w:t>Den årliga revisionen – våra viktigaste iakttagelser</w:t>
      </w:r>
      <w:r w:rsidRPr="007E263F">
        <w:tab/>
      </w:r>
      <w:r w:rsidRPr="007E263F">
        <w:fldChar w:fldCharType="begin" w:fldLock="1"/>
      </w:r>
      <w:r w:rsidRPr="007E263F">
        <w:instrText xml:space="preserve"> PAGEREF _Toc326137783 \h </w:instrText>
      </w:r>
      <w:r w:rsidRPr="007E263F">
        <w:fldChar w:fldCharType="separate"/>
      </w:r>
      <w:r w:rsidR="00D21E7D" w:rsidRPr="007E263F">
        <w:t>19</w:t>
      </w:r>
      <w:r w:rsidRPr="007E263F">
        <w:fldChar w:fldCharType="end"/>
      </w:r>
    </w:p>
    <w:p w:rsidR="008A0BF9" w:rsidRPr="007E263F" w:rsidRDefault="008A0BF9">
      <w:pPr>
        <w:pStyle w:val="Innehll2"/>
        <w:rPr>
          <w:sz w:val="24"/>
          <w:szCs w:val="24"/>
        </w:rPr>
      </w:pPr>
      <w:r w:rsidRPr="007E263F">
        <w:t>Revisionen av 2011 års årsredovisningar</w:t>
      </w:r>
      <w:r w:rsidRPr="007E263F">
        <w:tab/>
      </w:r>
      <w:r w:rsidRPr="007E263F">
        <w:fldChar w:fldCharType="begin" w:fldLock="1"/>
      </w:r>
      <w:r w:rsidRPr="007E263F">
        <w:instrText xml:space="preserve"> PAGEREF _Toc326137784 \h </w:instrText>
      </w:r>
      <w:r w:rsidRPr="007E263F">
        <w:fldChar w:fldCharType="separate"/>
      </w:r>
      <w:r w:rsidR="00D21E7D" w:rsidRPr="007E263F">
        <w:t>19</w:t>
      </w:r>
      <w:r w:rsidRPr="007E263F">
        <w:fldChar w:fldCharType="end"/>
      </w:r>
    </w:p>
    <w:p w:rsidR="008A0BF9" w:rsidRPr="007E263F" w:rsidRDefault="008A0BF9">
      <w:pPr>
        <w:pStyle w:val="Innehll2"/>
        <w:rPr>
          <w:sz w:val="24"/>
          <w:szCs w:val="24"/>
        </w:rPr>
      </w:pPr>
      <w:r w:rsidRPr="007E263F">
        <w:t>Myndigheter med modifierat uttalande</w:t>
      </w:r>
      <w:r w:rsidRPr="007E263F">
        <w:tab/>
      </w:r>
      <w:r w:rsidRPr="007E263F">
        <w:fldChar w:fldCharType="begin" w:fldLock="1"/>
      </w:r>
      <w:r w:rsidRPr="007E263F">
        <w:instrText xml:space="preserve"> PAGEREF _Toc326137785 \h </w:instrText>
      </w:r>
      <w:r w:rsidRPr="007E263F">
        <w:fldChar w:fldCharType="separate"/>
      </w:r>
      <w:r w:rsidR="00D21E7D" w:rsidRPr="007E263F">
        <w:t>20</w:t>
      </w:r>
      <w:r w:rsidRPr="007E263F">
        <w:fldChar w:fldCharType="end"/>
      </w:r>
    </w:p>
    <w:p w:rsidR="008A0BF9" w:rsidRPr="007E263F" w:rsidRDefault="008A0BF9">
      <w:pPr>
        <w:pStyle w:val="Innehll3"/>
        <w:rPr>
          <w:sz w:val="24"/>
          <w:szCs w:val="24"/>
        </w:rPr>
      </w:pPr>
      <w:r w:rsidRPr="007E263F">
        <w:t>Avvikande mening</w:t>
      </w:r>
      <w:r w:rsidRPr="007E263F">
        <w:tab/>
      </w:r>
      <w:r w:rsidRPr="007E263F">
        <w:fldChar w:fldCharType="begin" w:fldLock="1"/>
      </w:r>
      <w:r w:rsidRPr="007E263F">
        <w:instrText xml:space="preserve"> PAGEREF _Toc326137786 \h </w:instrText>
      </w:r>
      <w:r w:rsidRPr="007E263F">
        <w:fldChar w:fldCharType="separate"/>
      </w:r>
      <w:r w:rsidR="00D21E7D" w:rsidRPr="007E263F">
        <w:t>20</w:t>
      </w:r>
      <w:r w:rsidRPr="007E263F">
        <w:fldChar w:fldCharType="end"/>
      </w:r>
    </w:p>
    <w:p w:rsidR="008A0BF9" w:rsidRPr="007E263F" w:rsidRDefault="008A0BF9">
      <w:pPr>
        <w:pStyle w:val="Innehll4"/>
        <w:rPr>
          <w:sz w:val="24"/>
          <w:szCs w:val="24"/>
        </w:rPr>
      </w:pPr>
      <w:r w:rsidRPr="007E263F">
        <w:t>Havs- och vattenmyndigheten</w:t>
      </w:r>
      <w:r w:rsidRPr="007E263F">
        <w:tab/>
      </w:r>
      <w:r w:rsidRPr="007E263F">
        <w:fldChar w:fldCharType="begin" w:fldLock="1"/>
      </w:r>
      <w:r w:rsidRPr="007E263F">
        <w:instrText xml:space="preserve"> PAGEREF _Toc326137787 \h </w:instrText>
      </w:r>
      <w:r w:rsidRPr="007E263F">
        <w:fldChar w:fldCharType="separate"/>
      </w:r>
      <w:r w:rsidR="00D21E7D" w:rsidRPr="007E263F">
        <w:t>20</w:t>
      </w:r>
      <w:r w:rsidRPr="007E263F">
        <w:fldChar w:fldCharType="end"/>
      </w:r>
    </w:p>
    <w:p w:rsidR="008A0BF9" w:rsidRPr="007E263F" w:rsidRDefault="008A0BF9">
      <w:pPr>
        <w:pStyle w:val="Innehll4"/>
        <w:rPr>
          <w:sz w:val="24"/>
          <w:szCs w:val="24"/>
        </w:rPr>
      </w:pPr>
      <w:r w:rsidRPr="007E263F">
        <w:t>Sameskolstyrelsen</w:t>
      </w:r>
      <w:r w:rsidRPr="007E263F">
        <w:tab/>
      </w:r>
      <w:r w:rsidRPr="007E263F">
        <w:fldChar w:fldCharType="begin" w:fldLock="1"/>
      </w:r>
      <w:r w:rsidRPr="007E263F">
        <w:instrText xml:space="preserve"> PAGEREF _Toc326137788 \h </w:instrText>
      </w:r>
      <w:r w:rsidRPr="007E263F">
        <w:fldChar w:fldCharType="separate"/>
      </w:r>
      <w:r w:rsidR="00D21E7D" w:rsidRPr="007E263F">
        <w:t>20</w:t>
      </w:r>
      <w:r w:rsidRPr="007E263F">
        <w:fldChar w:fldCharType="end"/>
      </w:r>
    </w:p>
    <w:p w:rsidR="008A0BF9" w:rsidRPr="007E263F" w:rsidRDefault="008A0BF9">
      <w:pPr>
        <w:pStyle w:val="Innehll3"/>
        <w:rPr>
          <w:sz w:val="24"/>
          <w:szCs w:val="24"/>
        </w:rPr>
      </w:pPr>
      <w:r w:rsidRPr="007E263F">
        <w:t>Reservation</w:t>
      </w:r>
      <w:r w:rsidRPr="007E263F">
        <w:tab/>
      </w:r>
      <w:r w:rsidRPr="007E263F">
        <w:fldChar w:fldCharType="begin" w:fldLock="1"/>
      </w:r>
      <w:r w:rsidRPr="007E263F">
        <w:instrText xml:space="preserve"> PAGEREF _Toc326137789 \h </w:instrText>
      </w:r>
      <w:r w:rsidRPr="007E263F">
        <w:fldChar w:fldCharType="separate"/>
      </w:r>
      <w:r w:rsidR="00D21E7D" w:rsidRPr="007E263F">
        <w:t>21</w:t>
      </w:r>
      <w:r w:rsidRPr="007E263F">
        <w:fldChar w:fldCharType="end"/>
      </w:r>
    </w:p>
    <w:p w:rsidR="008A0BF9" w:rsidRPr="007E263F" w:rsidRDefault="008A0BF9">
      <w:pPr>
        <w:pStyle w:val="Innehll4"/>
        <w:rPr>
          <w:sz w:val="24"/>
          <w:szCs w:val="24"/>
        </w:rPr>
      </w:pPr>
      <w:r w:rsidRPr="007E263F">
        <w:t>Forskningsrådet för arbetsliv och socialvetenskap</w:t>
      </w:r>
      <w:r w:rsidRPr="007E263F">
        <w:tab/>
      </w:r>
      <w:r w:rsidRPr="007E263F">
        <w:fldChar w:fldCharType="begin" w:fldLock="1"/>
      </w:r>
      <w:r w:rsidRPr="007E263F">
        <w:instrText xml:space="preserve"> PAGEREF _Toc326137790 \h </w:instrText>
      </w:r>
      <w:r w:rsidRPr="007E263F">
        <w:fldChar w:fldCharType="separate"/>
      </w:r>
      <w:r w:rsidR="00D21E7D" w:rsidRPr="007E263F">
        <w:t>21</w:t>
      </w:r>
      <w:r w:rsidRPr="007E263F">
        <w:fldChar w:fldCharType="end"/>
      </w:r>
    </w:p>
    <w:p w:rsidR="008A0BF9" w:rsidRPr="007E263F" w:rsidRDefault="008A0BF9">
      <w:pPr>
        <w:pStyle w:val="Innehll4"/>
        <w:rPr>
          <w:sz w:val="24"/>
          <w:szCs w:val="24"/>
        </w:rPr>
      </w:pPr>
      <w:r w:rsidRPr="007E263F">
        <w:t>Statens nämnd för arbetstagares uppfinningar</w:t>
      </w:r>
      <w:r w:rsidRPr="007E263F">
        <w:tab/>
      </w:r>
      <w:r w:rsidRPr="007E263F">
        <w:fldChar w:fldCharType="begin" w:fldLock="1"/>
      </w:r>
      <w:r w:rsidRPr="007E263F">
        <w:instrText xml:space="preserve"> PAGEREF _Toc326137791 \h </w:instrText>
      </w:r>
      <w:r w:rsidRPr="007E263F">
        <w:fldChar w:fldCharType="separate"/>
      </w:r>
      <w:r w:rsidR="00D21E7D" w:rsidRPr="007E263F">
        <w:t>21</w:t>
      </w:r>
      <w:r w:rsidRPr="007E263F">
        <w:fldChar w:fldCharType="end"/>
      </w:r>
    </w:p>
    <w:p w:rsidR="008A0BF9" w:rsidRPr="007E263F" w:rsidRDefault="008A0BF9">
      <w:pPr>
        <w:pStyle w:val="Innehll2"/>
        <w:rPr>
          <w:sz w:val="24"/>
          <w:szCs w:val="24"/>
        </w:rPr>
      </w:pPr>
      <w:r w:rsidRPr="007E263F">
        <w:t>Myndigheter med upplysning i revisionsberättelsen</w:t>
      </w:r>
      <w:r w:rsidRPr="007E263F">
        <w:tab/>
      </w:r>
      <w:r w:rsidRPr="007E263F">
        <w:fldChar w:fldCharType="begin" w:fldLock="1"/>
      </w:r>
      <w:r w:rsidRPr="007E263F">
        <w:instrText xml:space="preserve"> PAGEREF _Toc326137792 \h </w:instrText>
      </w:r>
      <w:r w:rsidRPr="007E263F">
        <w:fldChar w:fldCharType="separate"/>
      </w:r>
      <w:r w:rsidR="00D21E7D" w:rsidRPr="007E263F">
        <w:t>21</w:t>
      </w:r>
      <w:r w:rsidRPr="007E263F">
        <w:fldChar w:fldCharType="end"/>
      </w:r>
    </w:p>
    <w:p w:rsidR="008A0BF9" w:rsidRPr="007E263F" w:rsidRDefault="008A0BF9">
      <w:pPr>
        <w:pStyle w:val="Innehll3"/>
        <w:rPr>
          <w:sz w:val="24"/>
          <w:szCs w:val="24"/>
        </w:rPr>
      </w:pPr>
      <w:r w:rsidRPr="007E263F">
        <w:t>Särskild upplysning</w:t>
      </w:r>
      <w:r w:rsidRPr="007E263F">
        <w:tab/>
      </w:r>
      <w:r w:rsidRPr="007E263F">
        <w:fldChar w:fldCharType="begin" w:fldLock="1"/>
      </w:r>
      <w:r w:rsidRPr="007E263F">
        <w:instrText xml:space="preserve"> PAGEREF _Toc326137793 \h </w:instrText>
      </w:r>
      <w:r w:rsidRPr="007E263F">
        <w:fldChar w:fldCharType="separate"/>
      </w:r>
      <w:r w:rsidR="00D21E7D" w:rsidRPr="007E263F">
        <w:t>22</w:t>
      </w:r>
      <w:r w:rsidRPr="007E263F">
        <w:fldChar w:fldCharType="end"/>
      </w:r>
    </w:p>
    <w:p w:rsidR="008A0BF9" w:rsidRPr="007E263F" w:rsidRDefault="008A0BF9">
      <w:pPr>
        <w:pStyle w:val="Innehll4"/>
        <w:rPr>
          <w:sz w:val="24"/>
          <w:szCs w:val="24"/>
        </w:rPr>
      </w:pPr>
      <w:r w:rsidRPr="007E263F">
        <w:t>Försvarsmakten och Försvarets materielverk</w:t>
      </w:r>
      <w:r w:rsidRPr="007E263F">
        <w:tab/>
      </w:r>
      <w:r w:rsidRPr="007E263F">
        <w:fldChar w:fldCharType="begin" w:fldLock="1"/>
      </w:r>
      <w:r w:rsidRPr="007E263F">
        <w:instrText xml:space="preserve"> PAGEREF _Toc326137794 \h </w:instrText>
      </w:r>
      <w:r w:rsidRPr="007E263F">
        <w:fldChar w:fldCharType="separate"/>
      </w:r>
      <w:r w:rsidR="00D21E7D" w:rsidRPr="007E263F">
        <w:t>22</w:t>
      </w:r>
      <w:r w:rsidRPr="007E263F">
        <w:fldChar w:fldCharType="end"/>
      </w:r>
    </w:p>
    <w:p w:rsidR="008A0BF9" w:rsidRPr="007E263F" w:rsidRDefault="008A0BF9">
      <w:pPr>
        <w:pStyle w:val="Innehll4"/>
        <w:rPr>
          <w:sz w:val="24"/>
          <w:szCs w:val="24"/>
        </w:rPr>
      </w:pPr>
      <w:r w:rsidRPr="007E263F">
        <w:t>Styrelsen för internationellt utvecklingssamarbete – Sida</w:t>
      </w:r>
      <w:r w:rsidRPr="007E263F">
        <w:tab/>
      </w:r>
      <w:r w:rsidRPr="007E263F">
        <w:fldChar w:fldCharType="begin" w:fldLock="1"/>
      </w:r>
      <w:r w:rsidRPr="007E263F">
        <w:instrText xml:space="preserve"> PAGEREF _Toc326137795 \h </w:instrText>
      </w:r>
      <w:r w:rsidRPr="007E263F">
        <w:fldChar w:fldCharType="separate"/>
      </w:r>
      <w:r w:rsidR="00D21E7D" w:rsidRPr="007E263F">
        <w:t>22</w:t>
      </w:r>
      <w:r w:rsidRPr="007E263F">
        <w:fldChar w:fldCharType="end"/>
      </w:r>
    </w:p>
    <w:p w:rsidR="008A0BF9" w:rsidRPr="007E263F" w:rsidRDefault="008A0BF9">
      <w:pPr>
        <w:pStyle w:val="Innehll3"/>
        <w:rPr>
          <w:sz w:val="24"/>
          <w:szCs w:val="24"/>
        </w:rPr>
      </w:pPr>
      <w:r w:rsidRPr="007E263F">
        <w:rPr>
          <w:kern w:val="8"/>
        </w:rPr>
        <w:t>Övrig upplysning</w:t>
      </w:r>
      <w:r w:rsidRPr="007E263F">
        <w:tab/>
      </w:r>
      <w:r w:rsidRPr="007E263F">
        <w:fldChar w:fldCharType="begin" w:fldLock="1"/>
      </w:r>
      <w:r w:rsidRPr="007E263F">
        <w:instrText xml:space="preserve"> PAGEREF _Toc326137796 \h </w:instrText>
      </w:r>
      <w:r w:rsidRPr="007E263F">
        <w:fldChar w:fldCharType="separate"/>
      </w:r>
      <w:r w:rsidR="00D21E7D" w:rsidRPr="007E263F">
        <w:t>22</w:t>
      </w:r>
      <w:r w:rsidRPr="007E263F">
        <w:fldChar w:fldCharType="end"/>
      </w:r>
    </w:p>
    <w:p w:rsidR="008A0BF9" w:rsidRPr="007E263F" w:rsidRDefault="008A0BF9">
      <w:pPr>
        <w:pStyle w:val="Innehll4"/>
        <w:rPr>
          <w:sz w:val="24"/>
          <w:szCs w:val="24"/>
        </w:rPr>
      </w:pPr>
      <w:r w:rsidRPr="007E263F">
        <w:t>Pensionsmyndigheten</w:t>
      </w:r>
      <w:r w:rsidRPr="007E263F">
        <w:tab/>
      </w:r>
      <w:r w:rsidRPr="007E263F">
        <w:fldChar w:fldCharType="begin" w:fldLock="1"/>
      </w:r>
      <w:r w:rsidRPr="007E263F">
        <w:instrText xml:space="preserve"> PAGEREF _Toc326137797 \h </w:instrText>
      </w:r>
      <w:r w:rsidRPr="007E263F">
        <w:fldChar w:fldCharType="separate"/>
      </w:r>
      <w:r w:rsidR="00D21E7D" w:rsidRPr="007E263F">
        <w:t>22</w:t>
      </w:r>
      <w:r w:rsidRPr="007E263F">
        <w:fldChar w:fldCharType="end"/>
      </w:r>
    </w:p>
    <w:p w:rsidR="008A0BF9" w:rsidRPr="007E263F" w:rsidRDefault="008A0BF9">
      <w:pPr>
        <w:pStyle w:val="Innehll3"/>
        <w:rPr>
          <w:sz w:val="24"/>
          <w:szCs w:val="24"/>
        </w:rPr>
      </w:pPr>
      <w:r w:rsidRPr="007E263F">
        <w:t>Kompletteringar</w:t>
      </w:r>
      <w:r w:rsidRPr="007E263F">
        <w:tab/>
      </w:r>
      <w:r w:rsidRPr="007E263F">
        <w:fldChar w:fldCharType="begin" w:fldLock="1"/>
      </w:r>
      <w:r w:rsidRPr="007E263F">
        <w:instrText xml:space="preserve"> PAGEREF _Toc326137798 \h </w:instrText>
      </w:r>
      <w:r w:rsidRPr="007E263F">
        <w:fldChar w:fldCharType="separate"/>
      </w:r>
      <w:r w:rsidR="00D21E7D" w:rsidRPr="007E263F">
        <w:t>22</w:t>
      </w:r>
      <w:r w:rsidRPr="007E263F">
        <w:fldChar w:fldCharType="end"/>
      </w:r>
    </w:p>
    <w:p w:rsidR="008A0BF9" w:rsidRPr="007E263F" w:rsidRDefault="008A0BF9">
      <w:pPr>
        <w:pStyle w:val="Innehll2"/>
        <w:rPr>
          <w:sz w:val="24"/>
          <w:szCs w:val="24"/>
        </w:rPr>
      </w:pPr>
      <w:r w:rsidRPr="007E263F">
        <w:t>Myndigheternas tillämpning av lagen om offentlig upphandling</w:t>
      </w:r>
      <w:r w:rsidRPr="007E263F">
        <w:tab/>
      </w:r>
      <w:r w:rsidRPr="007E263F">
        <w:fldChar w:fldCharType="begin" w:fldLock="1"/>
      </w:r>
      <w:r w:rsidRPr="007E263F">
        <w:instrText xml:space="preserve"> PAGEREF _Toc326137799 \h </w:instrText>
      </w:r>
      <w:r w:rsidRPr="007E263F">
        <w:fldChar w:fldCharType="separate"/>
      </w:r>
      <w:r w:rsidR="00D21E7D" w:rsidRPr="007E263F">
        <w:t>23</w:t>
      </w:r>
      <w:r w:rsidRPr="007E263F">
        <w:fldChar w:fldCharType="end"/>
      </w:r>
    </w:p>
    <w:p w:rsidR="008A0BF9" w:rsidRPr="007E263F" w:rsidRDefault="008A0BF9">
      <w:pPr>
        <w:pStyle w:val="Innehll3"/>
        <w:rPr>
          <w:sz w:val="24"/>
          <w:szCs w:val="24"/>
        </w:rPr>
      </w:pPr>
      <w:r w:rsidRPr="007E263F">
        <w:t>Varor och tjänster</w:t>
      </w:r>
      <w:r w:rsidRPr="007E263F">
        <w:tab/>
      </w:r>
      <w:r w:rsidRPr="007E263F">
        <w:fldChar w:fldCharType="begin" w:fldLock="1"/>
      </w:r>
      <w:r w:rsidRPr="007E263F">
        <w:instrText xml:space="preserve"> PAGEREF _Toc326137800 \h </w:instrText>
      </w:r>
      <w:r w:rsidRPr="007E263F">
        <w:fldChar w:fldCharType="separate"/>
      </w:r>
      <w:r w:rsidR="00D21E7D" w:rsidRPr="007E263F">
        <w:t>23</w:t>
      </w:r>
      <w:r w:rsidRPr="007E263F">
        <w:fldChar w:fldCharType="end"/>
      </w:r>
    </w:p>
    <w:p w:rsidR="008A0BF9" w:rsidRPr="007E263F" w:rsidRDefault="008A0BF9">
      <w:pPr>
        <w:pStyle w:val="Innehll3"/>
        <w:rPr>
          <w:sz w:val="24"/>
          <w:szCs w:val="24"/>
        </w:rPr>
      </w:pPr>
      <w:r w:rsidRPr="007E263F">
        <w:t>Byggnationer</w:t>
      </w:r>
      <w:r w:rsidRPr="007E263F">
        <w:tab/>
      </w:r>
      <w:r w:rsidRPr="007E263F">
        <w:fldChar w:fldCharType="begin" w:fldLock="1"/>
      </w:r>
      <w:r w:rsidRPr="007E263F">
        <w:instrText xml:space="preserve"> PAGEREF _Toc326137801 \h </w:instrText>
      </w:r>
      <w:r w:rsidRPr="007E263F">
        <w:fldChar w:fldCharType="separate"/>
      </w:r>
      <w:r w:rsidR="00D21E7D" w:rsidRPr="007E263F">
        <w:t>23</w:t>
      </w:r>
      <w:r w:rsidRPr="007E263F">
        <w:fldChar w:fldCharType="end"/>
      </w:r>
    </w:p>
    <w:p w:rsidR="008A0BF9" w:rsidRPr="007E263F" w:rsidRDefault="008A0BF9">
      <w:pPr>
        <w:pStyle w:val="Innehll2"/>
        <w:rPr>
          <w:sz w:val="24"/>
          <w:szCs w:val="24"/>
        </w:rPr>
      </w:pPr>
      <w:r w:rsidRPr="007E263F">
        <w:t>Riksrevisorernas bedömning</w:t>
      </w:r>
      <w:r w:rsidRPr="007E263F">
        <w:tab/>
      </w:r>
      <w:r w:rsidRPr="007E263F">
        <w:fldChar w:fldCharType="begin" w:fldLock="1"/>
      </w:r>
      <w:r w:rsidRPr="007E263F">
        <w:instrText xml:space="preserve"> PAGEREF _Toc326137802 \h </w:instrText>
      </w:r>
      <w:r w:rsidRPr="007E263F">
        <w:fldChar w:fldCharType="separate"/>
      </w:r>
      <w:r w:rsidR="00D21E7D" w:rsidRPr="007E263F">
        <w:t>25</w:t>
      </w:r>
      <w:r w:rsidRPr="007E263F">
        <w:fldChar w:fldCharType="end"/>
      </w:r>
    </w:p>
    <w:p w:rsidR="008A0BF9" w:rsidRPr="007E263F" w:rsidRDefault="008A0BF9">
      <w:pPr>
        <w:pStyle w:val="Innehll1"/>
        <w:rPr>
          <w:sz w:val="24"/>
          <w:szCs w:val="24"/>
        </w:rPr>
      </w:pPr>
      <w:r w:rsidRPr="007E263F">
        <w:t>Myndigheternas beskrivning av arbetet med intern styrning och kontroll</w:t>
      </w:r>
      <w:r w:rsidRPr="007E263F">
        <w:tab/>
      </w:r>
      <w:r w:rsidRPr="007E263F">
        <w:fldChar w:fldCharType="begin" w:fldLock="1"/>
      </w:r>
      <w:r w:rsidRPr="007E263F">
        <w:instrText xml:space="preserve"> PAGEREF _Toc326137803 \h </w:instrText>
      </w:r>
      <w:r w:rsidRPr="007E263F">
        <w:fldChar w:fldCharType="separate"/>
      </w:r>
      <w:r w:rsidR="00D21E7D" w:rsidRPr="007E263F">
        <w:t>26</w:t>
      </w:r>
      <w:r w:rsidRPr="007E263F">
        <w:fldChar w:fldCharType="end"/>
      </w:r>
    </w:p>
    <w:p w:rsidR="008A0BF9" w:rsidRPr="007E263F" w:rsidRDefault="008A0BF9">
      <w:pPr>
        <w:pStyle w:val="Innehll2"/>
        <w:rPr>
          <w:sz w:val="24"/>
          <w:szCs w:val="24"/>
        </w:rPr>
      </w:pPr>
      <w:r w:rsidRPr="007E263F">
        <w:t>Vilka riskområden tar myndigheterna upp?</w:t>
      </w:r>
      <w:r w:rsidRPr="007E263F">
        <w:tab/>
      </w:r>
      <w:r w:rsidRPr="007E263F">
        <w:fldChar w:fldCharType="begin" w:fldLock="1"/>
      </w:r>
      <w:r w:rsidRPr="007E263F">
        <w:instrText xml:space="preserve"> PAGEREF _Toc326137804 \h </w:instrText>
      </w:r>
      <w:r w:rsidRPr="007E263F">
        <w:fldChar w:fldCharType="separate"/>
      </w:r>
      <w:r w:rsidR="00D21E7D" w:rsidRPr="007E263F">
        <w:t>26</w:t>
      </w:r>
      <w:r w:rsidRPr="007E263F">
        <w:fldChar w:fldCharType="end"/>
      </w:r>
    </w:p>
    <w:p w:rsidR="008A0BF9" w:rsidRPr="007E263F" w:rsidRDefault="008A0BF9">
      <w:pPr>
        <w:pStyle w:val="Innehll2"/>
        <w:rPr>
          <w:sz w:val="24"/>
          <w:szCs w:val="24"/>
        </w:rPr>
      </w:pPr>
      <w:r w:rsidRPr="007E263F">
        <w:t>Hur beskriver myndigheterna sitt arbete?</w:t>
      </w:r>
      <w:r w:rsidRPr="007E263F">
        <w:tab/>
      </w:r>
      <w:r w:rsidRPr="007E263F">
        <w:fldChar w:fldCharType="begin" w:fldLock="1"/>
      </w:r>
      <w:r w:rsidRPr="007E263F">
        <w:instrText xml:space="preserve"> PAGEREF _Toc326137805 \h </w:instrText>
      </w:r>
      <w:r w:rsidRPr="007E263F">
        <w:fldChar w:fldCharType="separate"/>
      </w:r>
      <w:r w:rsidR="00D21E7D" w:rsidRPr="007E263F">
        <w:t>27</w:t>
      </w:r>
      <w:r w:rsidRPr="007E263F">
        <w:fldChar w:fldCharType="end"/>
      </w:r>
    </w:p>
    <w:p w:rsidR="008A0BF9" w:rsidRPr="007E263F" w:rsidRDefault="008A0BF9">
      <w:pPr>
        <w:pStyle w:val="Innehll2"/>
        <w:rPr>
          <w:sz w:val="24"/>
          <w:szCs w:val="24"/>
        </w:rPr>
      </w:pPr>
      <w:r w:rsidRPr="007E263F">
        <w:t>Riksrevisorernas bedömning</w:t>
      </w:r>
      <w:r w:rsidRPr="007E263F">
        <w:tab/>
      </w:r>
      <w:r w:rsidRPr="007E263F">
        <w:fldChar w:fldCharType="begin" w:fldLock="1"/>
      </w:r>
      <w:r w:rsidRPr="007E263F">
        <w:instrText xml:space="preserve"> PAGEREF _Toc326137806 \h </w:instrText>
      </w:r>
      <w:r w:rsidRPr="007E263F">
        <w:fldChar w:fldCharType="separate"/>
      </w:r>
      <w:r w:rsidR="00D21E7D" w:rsidRPr="007E263F">
        <w:t>28</w:t>
      </w:r>
      <w:r w:rsidRPr="007E263F">
        <w:fldChar w:fldCharType="end"/>
      </w:r>
    </w:p>
    <w:p w:rsidR="008A0BF9" w:rsidRPr="007E263F" w:rsidRDefault="008A0BF9">
      <w:pPr>
        <w:pStyle w:val="Innehll1"/>
        <w:rPr>
          <w:sz w:val="24"/>
          <w:szCs w:val="24"/>
        </w:rPr>
      </w:pPr>
      <w:r w:rsidRPr="007E263F">
        <w:t>Effektivitetsrevisionens strategier</w:t>
      </w:r>
      <w:r w:rsidRPr="007E263F">
        <w:tab/>
      </w:r>
      <w:r w:rsidRPr="007E263F">
        <w:fldChar w:fldCharType="begin" w:fldLock="1"/>
      </w:r>
      <w:r w:rsidRPr="007E263F">
        <w:instrText xml:space="preserve"> PAGEREF _Toc326137807 \h </w:instrText>
      </w:r>
      <w:r w:rsidRPr="007E263F">
        <w:fldChar w:fldCharType="separate"/>
      </w:r>
      <w:r w:rsidR="00D21E7D" w:rsidRPr="007E263F">
        <w:t>29</w:t>
      </w:r>
      <w:r w:rsidRPr="007E263F">
        <w:fldChar w:fldCharType="end"/>
      </w:r>
    </w:p>
    <w:p w:rsidR="008A0BF9" w:rsidRPr="007E263F" w:rsidRDefault="008A0BF9">
      <w:pPr>
        <w:pStyle w:val="Innehll2"/>
        <w:rPr>
          <w:sz w:val="24"/>
          <w:szCs w:val="24"/>
        </w:rPr>
      </w:pPr>
      <w:r w:rsidRPr="007E263F">
        <w:t>Avslutade strategier under året</w:t>
      </w:r>
      <w:r w:rsidRPr="007E263F">
        <w:tab/>
      </w:r>
      <w:r w:rsidRPr="007E263F">
        <w:fldChar w:fldCharType="begin" w:fldLock="1"/>
      </w:r>
      <w:r w:rsidRPr="007E263F">
        <w:instrText xml:space="preserve"> PAGEREF _Toc326137808 \h </w:instrText>
      </w:r>
      <w:r w:rsidRPr="007E263F">
        <w:fldChar w:fldCharType="separate"/>
      </w:r>
      <w:r w:rsidR="00D21E7D" w:rsidRPr="007E263F">
        <w:t>29</w:t>
      </w:r>
      <w:r w:rsidRPr="007E263F">
        <w:fldChar w:fldCharType="end"/>
      </w:r>
    </w:p>
    <w:p w:rsidR="008A0BF9" w:rsidRPr="007E263F" w:rsidRDefault="008A0BF9">
      <w:pPr>
        <w:pStyle w:val="Innehll3"/>
        <w:rPr>
          <w:sz w:val="24"/>
          <w:szCs w:val="24"/>
        </w:rPr>
      </w:pPr>
      <w:r w:rsidRPr="007E263F">
        <w:t>Rättsväsendets samlade effektivitet</w:t>
      </w:r>
      <w:r w:rsidRPr="007E263F">
        <w:tab/>
      </w:r>
      <w:r w:rsidRPr="007E263F">
        <w:fldChar w:fldCharType="begin" w:fldLock="1"/>
      </w:r>
      <w:r w:rsidRPr="007E263F">
        <w:instrText xml:space="preserve"> PAGEREF _Toc326137809 \h </w:instrText>
      </w:r>
      <w:r w:rsidRPr="007E263F">
        <w:fldChar w:fldCharType="separate"/>
      </w:r>
      <w:r w:rsidR="00D21E7D" w:rsidRPr="007E263F">
        <w:t>29</w:t>
      </w:r>
      <w:r w:rsidRPr="007E263F">
        <w:fldChar w:fldCharType="end"/>
      </w:r>
    </w:p>
    <w:p w:rsidR="008A0BF9" w:rsidRPr="007E263F" w:rsidRDefault="008A0BF9">
      <w:pPr>
        <w:pStyle w:val="Innehll3"/>
        <w:rPr>
          <w:sz w:val="24"/>
          <w:szCs w:val="24"/>
        </w:rPr>
      </w:pPr>
      <w:r w:rsidRPr="007E263F">
        <w:t>Statens roll i utbildningssystemet</w:t>
      </w:r>
      <w:r w:rsidRPr="007E263F">
        <w:tab/>
      </w:r>
      <w:r w:rsidRPr="007E263F">
        <w:fldChar w:fldCharType="begin" w:fldLock="1"/>
      </w:r>
      <w:r w:rsidRPr="007E263F">
        <w:instrText xml:space="preserve"> PAGEREF _Toc326137810 \h </w:instrText>
      </w:r>
      <w:r w:rsidRPr="007E263F">
        <w:fldChar w:fldCharType="separate"/>
      </w:r>
      <w:r w:rsidR="00D21E7D" w:rsidRPr="007E263F">
        <w:t>29</w:t>
      </w:r>
      <w:r w:rsidRPr="007E263F">
        <w:fldChar w:fldCharType="end"/>
      </w:r>
    </w:p>
    <w:p w:rsidR="008A0BF9" w:rsidRPr="007E263F" w:rsidRDefault="008A0BF9">
      <w:pPr>
        <w:pStyle w:val="Innehll2"/>
        <w:rPr>
          <w:sz w:val="24"/>
          <w:szCs w:val="24"/>
        </w:rPr>
      </w:pPr>
      <w:r w:rsidRPr="007E263F">
        <w:t>Pågående strategier</w:t>
      </w:r>
      <w:r w:rsidRPr="007E263F">
        <w:tab/>
      </w:r>
      <w:r w:rsidRPr="007E263F">
        <w:fldChar w:fldCharType="begin" w:fldLock="1"/>
      </w:r>
      <w:r w:rsidRPr="007E263F">
        <w:instrText xml:space="preserve"> PAGEREF _Toc326137811 \h </w:instrText>
      </w:r>
      <w:r w:rsidRPr="007E263F">
        <w:fldChar w:fldCharType="separate"/>
      </w:r>
      <w:r w:rsidR="00D21E7D" w:rsidRPr="007E263F">
        <w:t>30</w:t>
      </w:r>
      <w:r w:rsidRPr="007E263F">
        <w:fldChar w:fldCharType="end"/>
      </w:r>
    </w:p>
    <w:p w:rsidR="008A0BF9" w:rsidRPr="007E263F" w:rsidRDefault="008A0BF9">
      <w:pPr>
        <w:pStyle w:val="Innehll3"/>
        <w:rPr>
          <w:sz w:val="24"/>
          <w:szCs w:val="24"/>
        </w:rPr>
      </w:pPr>
      <w:r w:rsidRPr="007E263F">
        <w:t>Offentliga finanser</w:t>
      </w:r>
      <w:r w:rsidRPr="007E263F">
        <w:tab/>
      </w:r>
      <w:r w:rsidRPr="007E263F">
        <w:fldChar w:fldCharType="begin" w:fldLock="1"/>
      </w:r>
      <w:r w:rsidRPr="007E263F">
        <w:instrText xml:space="preserve"> PAGEREF _Toc326137812 \h </w:instrText>
      </w:r>
      <w:r w:rsidRPr="007E263F">
        <w:fldChar w:fldCharType="separate"/>
      </w:r>
      <w:r w:rsidR="00D21E7D" w:rsidRPr="007E263F">
        <w:t>30</w:t>
      </w:r>
      <w:r w:rsidRPr="007E263F">
        <w:fldChar w:fldCharType="end"/>
      </w:r>
    </w:p>
    <w:p w:rsidR="008A0BF9" w:rsidRPr="007E263F" w:rsidRDefault="008A0BF9">
      <w:pPr>
        <w:pStyle w:val="Innehll3"/>
        <w:rPr>
          <w:sz w:val="24"/>
          <w:szCs w:val="24"/>
        </w:rPr>
      </w:pPr>
      <w:r w:rsidRPr="007E263F">
        <w:t>Infrastruktur på nya villkor</w:t>
      </w:r>
      <w:r w:rsidRPr="007E263F">
        <w:tab/>
      </w:r>
      <w:r w:rsidRPr="007E263F">
        <w:fldChar w:fldCharType="begin" w:fldLock="1"/>
      </w:r>
      <w:r w:rsidRPr="007E263F">
        <w:instrText xml:space="preserve"> PAGEREF _Toc326137813 \h </w:instrText>
      </w:r>
      <w:r w:rsidRPr="007E263F">
        <w:fldChar w:fldCharType="separate"/>
      </w:r>
      <w:r w:rsidR="00D21E7D" w:rsidRPr="007E263F">
        <w:t>30</w:t>
      </w:r>
      <w:r w:rsidRPr="007E263F">
        <w:fldChar w:fldCharType="end"/>
      </w:r>
    </w:p>
    <w:p w:rsidR="008A0BF9" w:rsidRPr="007E263F" w:rsidRDefault="008A0BF9">
      <w:pPr>
        <w:pStyle w:val="Innehll3"/>
        <w:rPr>
          <w:sz w:val="24"/>
          <w:szCs w:val="24"/>
        </w:rPr>
      </w:pPr>
      <w:r w:rsidRPr="007E263F">
        <w:t>Försvarets förmåga</w:t>
      </w:r>
      <w:r w:rsidRPr="007E263F">
        <w:tab/>
      </w:r>
      <w:r w:rsidRPr="007E263F">
        <w:fldChar w:fldCharType="begin" w:fldLock="1"/>
      </w:r>
      <w:r w:rsidRPr="007E263F">
        <w:instrText xml:space="preserve"> PAGEREF _Toc326137814 \h </w:instrText>
      </w:r>
      <w:r w:rsidRPr="007E263F">
        <w:fldChar w:fldCharType="separate"/>
      </w:r>
      <w:r w:rsidR="00D21E7D" w:rsidRPr="007E263F">
        <w:t>30</w:t>
      </w:r>
      <w:r w:rsidRPr="007E263F">
        <w:fldChar w:fldCharType="end"/>
      </w:r>
    </w:p>
    <w:p w:rsidR="008A0BF9" w:rsidRPr="007E263F" w:rsidRDefault="008A0BF9">
      <w:pPr>
        <w:pStyle w:val="Innehll3"/>
        <w:rPr>
          <w:sz w:val="24"/>
          <w:szCs w:val="24"/>
        </w:rPr>
      </w:pPr>
      <w:r w:rsidRPr="007E263F">
        <w:t>Hållbar utveckling – Klimat</w:t>
      </w:r>
      <w:r w:rsidRPr="007E263F">
        <w:tab/>
      </w:r>
      <w:r w:rsidRPr="007E263F">
        <w:fldChar w:fldCharType="begin" w:fldLock="1"/>
      </w:r>
      <w:r w:rsidRPr="007E263F">
        <w:instrText xml:space="preserve"> PAGEREF _Toc326137815 \h </w:instrText>
      </w:r>
      <w:r w:rsidRPr="007E263F">
        <w:fldChar w:fldCharType="separate"/>
      </w:r>
      <w:r w:rsidR="00D21E7D" w:rsidRPr="007E263F">
        <w:t>30</w:t>
      </w:r>
      <w:r w:rsidRPr="007E263F">
        <w:fldChar w:fldCharType="end"/>
      </w:r>
    </w:p>
    <w:p w:rsidR="008A0BF9" w:rsidRPr="007E263F" w:rsidRDefault="008A0BF9">
      <w:pPr>
        <w:pStyle w:val="Innehll3"/>
        <w:rPr>
          <w:sz w:val="24"/>
          <w:szCs w:val="24"/>
        </w:rPr>
      </w:pPr>
      <w:r w:rsidRPr="007E263F">
        <w:t>Staten på marknaden</w:t>
      </w:r>
      <w:r w:rsidRPr="007E263F">
        <w:tab/>
      </w:r>
      <w:r w:rsidRPr="007E263F">
        <w:fldChar w:fldCharType="begin" w:fldLock="1"/>
      </w:r>
      <w:r w:rsidRPr="007E263F">
        <w:instrText xml:space="preserve"> PAGEREF _Toc326137816 \h </w:instrText>
      </w:r>
      <w:r w:rsidRPr="007E263F">
        <w:fldChar w:fldCharType="separate"/>
      </w:r>
      <w:r w:rsidR="00D21E7D" w:rsidRPr="007E263F">
        <w:t>31</w:t>
      </w:r>
      <w:r w:rsidRPr="007E263F">
        <w:fldChar w:fldCharType="end"/>
      </w:r>
    </w:p>
    <w:p w:rsidR="008A0BF9" w:rsidRPr="007E263F" w:rsidRDefault="008A0BF9">
      <w:pPr>
        <w:pStyle w:val="Innehll3"/>
        <w:rPr>
          <w:sz w:val="24"/>
          <w:szCs w:val="24"/>
        </w:rPr>
      </w:pPr>
      <w:r w:rsidRPr="007E263F">
        <w:t>Etablering och integration</w:t>
      </w:r>
      <w:r w:rsidRPr="007E263F">
        <w:tab/>
      </w:r>
      <w:r w:rsidRPr="007E263F">
        <w:fldChar w:fldCharType="begin" w:fldLock="1"/>
      </w:r>
      <w:r w:rsidRPr="007E263F">
        <w:instrText xml:space="preserve"> PAGEREF _Toc326137817 \h </w:instrText>
      </w:r>
      <w:r w:rsidRPr="007E263F">
        <w:fldChar w:fldCharType="separate"/>
      </w:r>
      <w:r w:rsidR="00D21E7D" w:rsidRPr="007E263F">
        <w:t>31</w:t>
      </w:r>
      <w:r w:rsidRPr="007E263F">
        <w:fldChar w:fldCharType="end"/>
      </w:r>
    </w:p>
    <w:p w:rsidR="008A0BF9" w:rsidRPr="007E263F" w:rsidRDefault="008A0BF9">
      <w:pPr>
        <w:pStyle w:val="Innehll3"/>
        <w:rPr>
          <w:sz w:val="24"/>
          <w:szCs w:val="24"/>
        </w:rPr>
      </w:pPr>
      <w:r w:rsidRPr="007E263F">
        <w:t>Staten och vården</w:t>
      </w:r>
      <w:r w:rsidRPr="007E263F">
        <w:tab/>
      </w:r>
      <w:r w:rsidRPr="007E263F">
        <w:fldChar w:fldCharType="begin" w:fldLock="1"/>
      </w:r>
      <w:r w:rsidRPr="007E263F">
        <w:instrText xml:space="preserve"> PAGEREF _Toc326137818 \h </w:instrText>
      </w:r>
      <w:r w:rsidRPr="007E263F">
        <w:fldChar w:fldCharType="separate"/>
      </w:r>
      <w:r w:rsidR="00D21E7D" w:rsidRPr="007E263F">
        <w:t>31</w:t>
      </w:r>
      <w:r w:rsidRPr="007E263F">
        <w:fldChar w:fldCharType="end"/>
      </w:r>
    </w:p>
    <w:p w:rsidR="008A0BF9" w:rsidRPr="007E263F" w:rsidRDefault="008A0BF9">
      <w:pPr>
        <w:pStyle w:val="Innehll3"/>
        <w:rPr>
          <w:sz w:val="24"/>
          <w:szCs w:val="24"/>
        </w:rPr>
      </w:pPr>
      <w:r w:rsidRPr="007E263F">
        <w:t>Statens insatser på skolområdet</w:t>
      </w:r>
      <w:r w:rsidRPr="007E263F">
        <w:tab/>
      </w:r>
      <w:r w:rsidRPr="007E263F">
        <w:fldChar w:fldCharType="begin" w:fldLock="1"/>
      </w:r>
      <w:r w:rsidRPr="007E263F">
        <w:instrText xml:space="preserve"> PAGEREF _Toc326137819 \h </w:instrText>
      </w:r>
      <w:r w:rsidRPr="007E263F">
        <w:fldChar w:fldCharType="separate"/>
      </w:r>
      <w:r w:rsidR="00D21E7D" w:rsidRPr="007E263F">
        <w:t>32</w:t>
      </w:r>
      <w:r w:rsidRPr="007E263F">
        <w:fldChar w:fldCharType="end"/>
      </w:r>
    </w:p>
    <w:p w:rsidR="008A0BF9" w:rsidRPr="007E263F" w:rsidRDefault="008A0BF9">
      <w:pPr>
        <w:pStyle w:val="Innehll1"/>
        <w:rPr>
          <w:sz w:val="24"/>
          <w:szCs w:val="24"/>
        </w:rPr>
      </w:pPr>
      <w:r w:rsidRPr="007E263F">
        <w:t>Effektivitetsrevisionens rapporter – våra viktigaste iakttagelser</w:t>
      </w:r>
      <w:r w:rsidRPr="007E263F">
        <w:tab/>
      </w:r>
      <w:r w:rsidRPr="007E263F">
        <w:fldChar w:fldCharType="begin" w:fldLock="1"/>
      </w:r>
      <w:r w:rsidRPr="007E263F">
        <w:instrText xml:space="preserve"> PAGEREF _Toc326137820 \h </w:instrText>
      </w:r>
      <w:r w:rsidRPr="007E263F">
        <w:fldChar w:fldCharType="separate"/>
      </w:r>
      <w:r w:rsidR="00D21E7D" w:rsidRPr="007E263F">
        <w:t>33</w:t>
      </w:r>
      <w:r w:rsidRPr="007E263F">
        <w:fldChar w:fldCharType="end"/>
      </w:r>
    </w:p>
    <w:p w:rsidR="008A0BF9" w:rsidRPr="007E263F" w:rsidRDefault="008A0BF9">
      <w:pPr>
        <w:pStyle w:val="Innehll2"/>
        <w:rPr>
          <w:sz w:val="24"/>
          <w:szCs w:val="24"/>
        </w:rPr>
      </w:pPr>
      <w:r w:rsidRPr="007E263F">
        <w:t>Finansutskottet (FiU)</w:t>
      </w:r>
      <w:r w:rsidRPr="007E263F">
        <w:tab/>
      </w:r>
      <w:r w:rsidRPr="007E263F">
        <w:fldChar w:fldCharType="begin" w:fldLock="1"/>
      </w:r>
      <w:r w:rsidRPr="007E263F">
        <w:instrText xml:space="preserve"> PAGEREF _Toc326137821 \h </w:instrText>
      </w:r>
      <w:r w:rsidRPr="007E263F">
        <w:fldChar w:fldCharType="separate"/>
      </w:r>
      <w:r w:rsidR="00D21E7D" w:rsidRPr="007E263F">
        <w:t>33</w:t>
      </w:r>
      <w:r w:rsidRPr="007E263F">
        <w:fldChar w:fldCharType="end"/>
      </w:r>
    </w:p>
    <w:p w:rsidR="008A0BF9" w:rsidRPr="007E263F" w:rsidRDefault="008A0BF9">
      <w:pPr>
        <w:pStyle w:val="Innehll3"/>
        <w:rPr>
          <w:sz w:val="24"/>
          <w:szCs w:val="24"/>
        </w:rPr>
      </w:pPr>
      <w:r w:rsidRPr="007E263F">
        <w:t>Statliga myndigheters tjänsteexport (RiR 2011:24)</w:t>
      </w:r>
      <w:r w:rsidRPr="007E263F">
        <w:tab/>
      </w:r>
      <w:r w:rsidRPr="007E263F">
        <w:fldChar w:fldCharType="begin" w:fldLock="1"/>
      </w:r>
      <w:r w:rsidRPr="007E263F">
        <w:instrText xml:space="preserve"> PAGEREF _Toc326137822 \h </w:instrText>
      </w:r>
      <w:r w:rsidRPr="007E263F">
        <w:fldChar w:fldCharType="separate"/>
      </w:r>
      <w:r w:rsidR="00D21E7D" w:rsidRPr="007E263F">
        <w:t>33</w:t>
      </w:r>
      <w:r w:rsidRPr="007E263F">
        <w:fldChar w:fldCharType="end"/>
      </w:r>
    </w:p>
    <w:p w:rsidR="008A0BF9" w:rsidRPr="007E263F" w:rsidRDefault="008A0BF9">
      <w:pPr>
        <w:pStyle w:val="Innehll3"/>
        <w:rPr>
          <w:sz w:val="24"/>
          <w:szCs w:val="24"/>
        </w:rPr>
      </w:pPr>
      <w:r w:rsidRPr="007E263F">
        <w:t>Stabilitetsfonden – Gör den skäl för namnet? (RiR 2011:26)</w:t>
      </w:r>
      <w:r w:rsidRPr="007E263F">
        <w:tab/>
      </w:r>
      <w:r w:rsidRPr="007E263F">
        <w:fldChar w:fldCharType="begin" w:fldLock="1"/>
      </w:r>
      <w:r w:rsidRPr="007E263F">
        <w:instrText xml:space="preserve"> PAGEREF _Toc326137823 \h </w:instrText>
      </w:r>
      <w:r w:rsidRPr="007E263F">
        <w:fldChar w:fldCharType="separate"/>
      </w:r>
      <w:r w:rsidR="00D21E7D" w:rsidRPr="007E263F">
        <w:t>33</w:t>
      </w:r>
      <w:r w:rsidRPr="007E263F">
        <w:fldChar w:fldCharType="end"/>
      </w:r>
    </w:p>
    <w:p w:rsidR="008A0BF9" w:rsidRPr="007E263F" w:rsidRDefault="008A0BF9">
      <w:pPr>
        <w:pStyle w:val="Innehll3"/>
        <w:rPr>
          <w:sz w:val="24"/>
          <w:szCs w:val="24"/>
        </w:rPr>
      </w:pPr>
      <w:r w:rsidRPr="007E263F">
        <w:t>Miljökrav i offentlig upphandling – är styrningen mot klimatmålet effektiv? (RiR 2011:29)</w:t>
      </w:r>
      <w:r w:rsidRPr="007E263F">
        <w:tab/>
      </w:r>
      <w:r w:rsidRPr="007E263F">
        <w:fldChar w:fldCharType="begin" w:fldLock="1"/>
      </w:r>
      <w:r w:rsidRPr="007E263F">
        <w:instrText xml:space="preserve"> PAGEREF _Toc326137824 \h </w:instrText>
      </w:r>
      <w:r w:rsidRPr="007E263F">
        <w:fldChar w:fldCharType="separate"/>
      </w:r>
      <w:r w:rsidR="00D21E7D" w:rsidRPr="007E263F">
        <w:t>34</w:t>
      </w:r>
      <w:r w:rsidRPr="007E263F">
        <w:fldChar w:fldCharType="end"/>
      </w:r>
    </w:p>
    <w:p w:rsidR="008A0BF9" w:rsidRPr="007E263F" w:rsidRDefault="008A0BF9">
      <w:pPr>
        <w:pStyle w:val="Innehll3"/>
        <w:rPr>
          <w:sz w:val="24"/>
          <w:szCs w:val="24"/>
        </w:rPr>
      </w:pPr>
      <w:r w:rsidRPr="007E263F">
        <w:t>Tillämpningen av det finanspolitiska ramverket – Regeringens redovisning i budgetpropositionen för 2012 (RiR 2011:30)</w:t>
      </w:r>
      <w:r w:rsidRPr="007E263F">
        <w:tab/>
      </w:r>
      <w:r w:rsidRPr="007E263F">
        <w:fldChar w:fldCharType="begin" w:fldLock="1"/>
      </w:r>
      <w:r w:rsidRPr="007E263F">
        <w:instrText xml:space="preserve"> PAGEREF _Toc326137825 \h </w:instrText>
      </w:r>
      <w:r w:rsidRPr="007E263F">
        <w:fldChar w:fldCharType="separate"/>
      </w:r>
      <w:r w:rsidR="00D21E7D" w:rsidRPr="007E263F">
        <w:t>34</w:t>
      </w:r>
      <w:r w:rsidRPr="007E263F">
        <w:fldChar w:fldCharType="end"/>
      </w:r>
    </w:p>
    <w:p w:rsidR="008A0BF9" w:rsidRPr="007E263F" w:rsidRDefault="008A0BF9">
      <w:pPr>
        <w:pStyle w:val="Innehll2"/>
        <w:rPr>
          <w:sz w:val="24"/>
          <w:szCs w:val="24"/>
        </w:rPr>
      </w:pPr>
      <w:r w:rsidRPr="007E263F">
        <w:t>Skatteutskottet (SkU)</w:t>
      </w:r>
      <w:r w:rsidRPr="007E263F">
        <w:tab/>
      </w:r>
      <w:r w:rsidRPr="007E263F">
        <w:fldChar w:fldCharType="begin" w:fldLock="1"/>
      </w:r>
      <w:r w:rsidRPr="007E263F">
        <w:instrText xml:space="preserve"> PAGEREF _Toc326137826 \h </w:instrText>
      </w:r>
      <w:r w:rsidRPr="007E263F">
        <w:fldChar w:fldCharType="separate"/>
      </w:r>
      <w:r w:rsidR="00D21E7D" w:rsidRPr="007E263F">
        <w:t>35</w:t>
      </w:r>
      <w:r w:rsidRPr="007E263F">
        <w:fldChar w:fldCharType="end"/>
      </w:r>
    </w:p>
    <w:p w:rsidR="008A0BF9" w:rsidRPr="007E263F" w:rsidRDefault="008A0BF9">
      <w:pPr>
        <w:pStyle w:val="Innehll3"/>
        <w:rPr>
          <w:sz w:val="24"/>
          <w:szCs w:val="24"/>
        </w:rPr>
      </w:pPr>
      <w:r w:rsidRPr="007E263F">
        <w:t>Klimatrelaterade skatter – Vem betalar? (RiR 2012:1)</w:t>
      </w:r>
      <w:r w:rsidRPr="007E263F">
        <w:tab/>
      </w:r>
      <w:r w:rsidRPr="007E263F">
        <w:fldChar w:fldCharType="begin" w:fldLock="1"/>
      </w:r>
      <w:r w:rsidRPr="007E263F">
        <w:instrText xml:space="preserve"> PAGEREF _Toc326137827 \h </w:instrText>
      </w:r>
      <w:r w:rsidRPr="007E263F">
        <w:fldChar w:fldCharType="separate"/>
      </w:r>
      <w:r w:rsidR="00D21E7D" w:rsidRPr="007E263F">
        <w:t>35</w:t>
      </w:r>
      <w:r w:rsidRPr="007E263F">
        <w:fldChar w:fldCharType="end"/>
      </w:r>
    </w:p>
    <w:p w:rsidR="008A0BF9" w:rsidRPr="007E263F" w:rsidRDefault="008A0BF9">
      <w:pPr>
        <w:pStyle w:val="Innehll2"/>
        <w:rPr>
          <w:sz w:val="24"/>
          <w:szCs w:val="24"/>
        </w:rPr>
      </w:pPr>
      <w:r w:rsidRPr="007E263F">
        <w:t>Justitieutskottet (JuU)</w:t>
      </w:r>
      <w:r w:rsidRPr="007E263F">
        <w:tab/>
      </w:r>
      <w:r w:rsidRPr="007E263F">
        <w:fldChar w:fldCharType="begin" w:fldLock="1"/>
      </w:r>
      <w:r w:rsidRPr="007E263F">
        <w:instrText xml:space="preserve"> PAGEREF _Toc326137828 \h </w:instrText>
      </w:r>
      <w:r w:rsidRPr="007E263F">
        <w:fldChar w:fldCharType="separate"/>
      </w:r>
      <w:r w:rsidR="00D21E7D" w:rsidRPr="007E263F">
        <w:t>36</w:t>
      </w:r>
      <w:r w:rsidRPr="007E263F">
        <w:fldChar w:fldCharType="end"/>
      </w:r>
    </w:p>
    <w:p w:rsidR="008A0BF9" w:rsidRPr="007E263F" w:rsidRDefault="008A0BF9">
      <w:pPr>
        <w:pStyle w:val="Innehll3"/>
        <w:rPr>
          <w:sz w:val="24"/>
          <w:szCs w:val="24"/>
        </w:rPr>
      </w:pPr>
      <w:r w:rsidRPr="007E263F">
        <w:t>It-stödet i rättskedjan (RiR 2011:25)</w:t>
      </w:r>
      <w:r w:rsidRPr="007E263F">
        <w:tab/>
      </w:r>
      <w:r w:rsidRPr="007E263F">
        <w:fldChar w:fldCharType="begin" w:fldLock="1"/>
      </w:r>
      <w:r w:rsidRPr="007E263F">
        <w:instrText xml:space="preserve"> PAGEREF _Toc326137829 \h </w:instrText>
      </w:r>
      <w:r w:rsidRPr="007E263F">
        <w:fldChar w:fldCharType="separate"/>
      </w:r>
      <w:r w:rsidR="00D21E7D" w:rsidRPr="007E263F">
        <w:t>36</w:t>
      </w:r>
      <w:r w:rsidRPr="007E263F">
        <w:fldChar w:fldCharType="end"/>
      </w:r>
    </w:p>
    <w:p w:rsidR="008A0BF9" w:rsidRPr="007E263F" w:rsidRDefault="008A0BF9">
      <w:pPr>
        <w:pStyle w:val="Innehll3"/>
        <w:rPr>
          <w:sz w:val="24"/>
          <w:szCs w:val="24"/>
        </w:rPr>
      </w:pPr>
      <w:r w:rsidRPr="007E263F">
        <w:t>Att hantera brottmål effektivt – En utmaning för regeringen och rättsväsendet (RiR 2011:27)</w:t>
      </w:r>
      <w:r w:rsidRPr="007E263F">
        <w:tab/>
      </w:r>
      <w:r w:rsidRPr="007E263F">
        <w:fldChar w:fldCharType="begin" w:fldLock="1"/>
      </w:r>
      <w:r w:rsidRPr="007E263F">
        <w:instrText xml:space="preserve"> PAGEREF _Toc326137830 \h </w:instrText>
      </w:r>
      <w:r w:rsidRPr="007E263F">
        <w:fldChar w:fldCharType="separate"/>
      </w:r>
      <w:r w:rsidR="00D21E7D" w:rsidRPr="007E263F">
        <w:t>36</w:t>
      </w:r>
      <w:r w:rsidRPr="007E263F">
        <w:fldChar w:fldCharType="end"/>
      </w:r>
    </w:p>
    <w:p w:rsidR="008A0BF9" w:rsidRPr="007E263F" w:rsidRDefault="008A0BF9">
      <w:pPr>
        <w:pStyle w:val="Innehll2"/>
        <w:rPr>
          <w:sz w:val="24"/>
          <w:szCs w:val="24"/>
        </w:rPr>
      </w:pPr>
      <w:r w:rsidRPr="007E263F">
        <w:t>Försvarsutskottet (FöU)</w:t>
      </w:r>
      <w:r w:rsidRPr="007E263F">
        <w:tab/>
      </w:r>
      <w:r w:rsidRPr="007E263F">
        <w:fldChar w:fldCharType="begin" w:fldLock="1"/>
      </w:r>
      <w:r w:rsidRPr="007E263F">
        <w:instrText xml:space="preserve"> PAGEREF _Toc326137831 \h </w:instrText>
      </w:r>
      <w:r w:rsidRPr="007E263F">
        <w:fldChar w:fldCharType="separate"/>
      </w:r>
      <w:r w:rsidR="00D21E7D" w:rsidRPr="007E263F">
        <w:t>37</w:t>
      </w:r>
      <w:r w:rsidRPr="007E263F">
        <w:fldChar w:fldCharType="end"/>
      </w:r>
    </w:p>
    <w:p w:rsidR="008A0BF9" w:rsidRPr="007E263F" w:rsidRDefault="008A0BF9">
      <w:pPr>
        <w:pStyle w:val="Innehll3"/>
        <w:rPr>
          <w:sz w:val="24"/>
          <w:szCs w:val="24"/>
        </w:rPr>
      </w:pPr>
      <w:r w:rsidRPr="007E263F">
        <w:t>Besparingar i försvarets materielförsörjning – regeringens genomförandegrupp 2008 (RiR 2012:5)</w:t>
      </w:r>
      <w:r w:rsidRPr="007E263F">
        <w:tab/>
      </w:r>
      <w:r w:rsidRPr="007E263F">
        <w:fldChar w:fldCharType="begin" w:fldLock="1"/>
      </w:r>
      <w:r w:rsidRPr="007E263F">
        <w:instrText xml:space="preserve"> PAGEREF _Toc326137832 \h </w:instrText>
      </w:r>
      <w:r w:rsidRPr="007E263F">
        <w:fldChar w:fldCharType="separate"/>
      </w:r>
      <w:r w:rsidR="00D21E7D" w:rsidRPr="007E263F">
        <w:t>37</w:t>
      </w:r>
      <w:r w:rsidRPr="007E263F">
        <w:fldChar w:fldCharType="end"/>
      </w:r>
    </w:p>
    <w:p w:rsidR="008A0BF9" w:rsidRPr="007E263F" w:rsidRDefault="008A0BF9">
      <w:pPr>
        <w:pStyle w:val="Innehll3"/>
        <w:rPr>
          <w:sz w:val="24"/>
          <w:szCs w:val="24"/>
        </w:rPr>
      </w:pPr>
      <w:r w:rsidRPr="007E263F">
        <w:t>Den nordiska stridsgruppen – Nordic Battlegroup 2011 (RiR 2012:11)</w:t>
      </w:r>
      <w:r w:rsidRPr="007E263F">
        <w:tab/>
      </w:r>
      <w:r w:rsidRPr="007E263F">
        <w:fldChar w:fldCharType="begin" w:fldLock="1"/>
      </w:r>
      <w:r w:rsidRPr="007E263F">
        <w:instrText xml:space="preserve"> PAGEREF _Toc326137833 \h </w:instrText>
      </w:r>
      <w:r w:rsidRPr="007E263F">
        <w:fldChar w:fldCharType="separate"/>
      </w:r>
      <w:r w:rsidR="00D21E7D" w:rsidRPr="007E263F">
        <w:t>37</w:t>
      </w:r>
      <w:r w:rsidRPr="007E263F">
        <w:fldChar w:fldCharType="end"/>
      </w:r>
    </w:p>
    <w:p w:rsidR="008A0BF9" w:rsidRPr="007E263F" w:rsidRDefault="008A0BF9">
      <w:pPr>
        <w:pStyle w:val="Innehll2"/>
        <w:rPr>
          <w:sz w:val="24"/>
          <w:szCs w:val="24"/>
        </w:rPr>
      </w:pPr>
      <w:r w:rsidRPr="007E263F">
        <w:t>Socialförsäkringsutskottet (SfU)</w:t>
      </w:r>
      <w:r w:rsidRPr="007E263F">
        <w:tab/>
      </w:r>
      <w:r w:rsidRPr="007E263F">
        <w:fldChar w:fldCharType="begin" w:fldLock="1"/>
      </w:r>
      <w:r w:rsidRPr="007E263F">
        <w:instrText xml:space="preserve"> PAGEREF _Toc326137834 \h </w:instrText>
      </w:r>
      <w:r w:rsidRPr="007E263F">
        <w:fldChar w:fldCharType="separate"/>
      </w:r>
      <w:r w:rsidR="00D21E7D" w:rsidRPr="007E263F">
        <w:t>38</w:t>
      </w:r>
      <w:r w:rsidRPr="007E263F">
        <w:fldChar w:fldCharType="end"/>
      </w:r>
    </w:p>
    <w:p w:rsidR="008A0BF9" w:rsidRPr="007E263F" w:rsidRDefault="008A0BF9">
      <w:pPr>
        <w:pStyle w:val="Innehll3"/>
        <w:rPr>
          <w:sz w:val="24"/>
          <w:szCs w:val="24"/>
        </w:rPr>
      </w:pPr>
      <w:r w:rsidRPr="007E263F">
        <w:t>Vad blev det av de misstänkta bidragsbrotten? (RiR 2011:20)</w:t>
      </w:r>
      <w:r w:rsidRPr="007E263F">
        <w:tab/>
      </w:r>
      <w:r w:rsidRPr="007E263F">
        <w:fldChar w:fldCharType="begin" w:fldLock="1"/>
      </w:r>
      <w:r w:rsidRPr="007E263F">
        <w:instrText xml:space="preserve"> PAGEREF _Toc326137835 \h </w:instrText>
      </w:r>
      <w:r w:rsidRPr="007E263F">
        <w:fldChar w:fldCharType="separate"/>
      </w:r>
      <w:r w:rsidR="00D21E7D" w:rsidRPr="007E263F">
        <w:t>38</w:t>
      </w:r>
      <w:r w:rsidRPr="007E263F">
        <w:fldChar w:fldCharType="end"/>
      </w:r>
    </w:p>
    <w:p w:rsidR="008A0BF9" w:rsidRPr="007E263F" w:rsidRDefault="008A0BF9">
      <w:pPr>
        <w:pStyle w:val="Innehll2"/>
        <w:rPr>
          <w:sz w:val="24"/>
          <w:szCs w:val="24"/>
        </w:rPr>
      </w:pPr>
      <w:r w:rsidRPr="007E263F">
        <w:t>Socialutskottet (SoU)</w:t>
      </w:r>
      <w:r w:rsidRPr="007E263F">
        <w:tab/>
      </w:r>
      <w:r w:rsidRPr="007E263F">
        <w:fldChar w:fldCharType="begin" w:fldLock="1"/>
      </w:r>
      <w:r w:rsidRPr="007E263F">
        <w:instrText xml:space="preserve"> PAGEREF _Toc326137836 \h </w:instrText>
      </w:r>
      <w:r w:rsidRPr="007E263F">
        <w:fldChar w:fldCharType="separate"/>
      </w:r>
      <w:r w:rsidR="00D21E7D" w:rsidRPr="007E263F">
        <w:t>39</w:t>
      </w:r>
      <w:r w:rsidRPr="007E263F">
        <w:fldChar w:fldCharType="end"/>
      </w:r>
    </w:p>
    <w:p w:rsidR="008A0BF9" w:rsidRPr="007E263F" w:rsidRDefault="008A0BF9">
      <w:pPr>
        <w:pStyle w:val="Innehll3"/>
        <w:rPr>
          <w:sz w:val="24"/>
          <w:szCs w:val="24"/>
        </w:rPr>
      </w:pPr>
      <w:r w:rsidRPr="007E263F">
        <w:t>Statens försäljningar av apotek (RiR 2012:10)</w:t>
      </w:r>
      <w:r w:rsidRPr="007E263F">
        <w:tab/>
      </w:r>
      <w:r w:rsidRPr="007E263F">
        <w:fldChar w:fldCharType="begin" w:fldLock="1"/>
      </w:r>
      <w:r w:rsidRPr="007E263F">
        <w:instrText xml:space="preserve"> PAGEREF _Toc326137837 \h </w:instrText>
      </w:r>
      <w:r w:rsidRPr="007E263F">
        <w:fldChar w:fldCharType="separate"/>
      </w:r>
      <w:r w:rsidR="00D21E7D" w:rsidRPr="007E263F">
        <w:t>39</w:t>
      </w:r>
      <w:r w:rsidRPr="007E263F">
        <w:fldChar w:fldCharType="end"/>
      </w:r>
    </w:p>
    <w:p w:rsidR="008A0BF9" w:rsidRPr="007E263F" w:rsidRDefault="008A0BF9">
      <w:pPr>
        <w:pStyle w:val="Innehll3"/>
        <w:rPr>
          <w:sz w:val="24"/>
          <w:szCs w:val="24"/>
        </w:rPr>
      </w:pPr>
      <w:r w:rsidRPr="007E263F">
        <w:t>Tandvårdsreformen 2008 – når den alla? (RiR 2012:12)</w:t>
      </w:r>
      <w:r w:rsidRPr="007E263F">
        <w:tab/>
      </w:r>
      <w:r w:rsidRPr="007E263F">
        <w:fldChar w:fldCharType="begin" w:fldLock="1"/>
      </w:r>
      <w:r w:rsidRPr="007E263F">
        <w:instrText xml:space="preserve"> PAGEREF _Toc326137838 \h </w:instrText>
      </w:r>
      <w:r w:rsidRPr="007E263F">
        <w:fldChar w:fldCharType="separate"/>
      </w:r>
      <w:r w:rsidR="00D21E7D" w:rsidRPr="007E263F">
        <w:t>39</w:t>
      </w:r>
      <w:r w:rsidRPr="007E263F">
        <w:fldChar w:fldCharType="end"/>
      </w:r>
    </w:p>
    <w:p w:rsidR="008A0BF9" w:rsidRPr="007E263F" w:rsidRDefault="008A0BF9">
      <w:pPr>
        <w:pStyle w:val="Innehll2"/>
        <w:rPr>
          <w:sz w:val="24"/>
          <w:szCs w:val="24"/>
        </w:rPr>
      </w:pPr>
      <w:r w:rsidRPr="007E263F">
        <w:t>Utbildningsutskottet (UbU)</w:t>
      </w:r>
      <w:r w:rsidRPr="007E263F">
        <w:tab/>
      </w:r>
      <w:r w:rsidRPr="007E263F">
        <w:fldChar w:fldCharType="begin" w:fldLock="1"/>
      </w:r>
      <w:r w:rsidRPr="007E263F">
        <w:instrText xml:space="preserve"> PAGEREF _Toc326137839 \h </w:instrText>
      </w:r>
      <w:r w:rsidRPr="007E263F">
        <w:fldChar w:fldCharType="separate"/>
      </w:r>
      <w:r w:rsidR="00D21E7D" w:rsidRPr="007E263F">
        <w:t>40</w:t>
      </w:r>
      <w:r w:rsidRPr="007E263F">
        <w:fldChar w:fldCharType="end"/>
      </w:r>
    </w:p>
    <w:p w:rsidR="008A0BF9" w:rsidRPr="007E263F" w:rsidRDefault="008A0BF9">
      <w:pPr>
        <w:pStyle w:val="Innehll3"/>
        <w:rPr>
          <w:sz w:val="24"/>
          <w:szCs w:val="24"/>
        </w:rPr>
      </w:pPr>
      <w:r w:rsidRPr="007E263F">
        <w:t>Användningen av basanslaget för forskning och forskarutbildning (RiR 2011:21)</w:t>
      </w:r>
      <w:r w:rsidRPr="007E263F">
        <w:tab/>
      </w:r>
      <w:r w:rsidRPr="007E263F">
        <w:fldChar w:fldCharType="begin" w:fldLock="1"/>
      </w:r>
      <w:r w:rsidRPr="007E263F">
        <w:instrText xml:space="preserve"> PAGEREF _Toc326137840 \h </w:instrText>
      </w:r>
      <w:r w:rsidRPr="007E263F">
        <w:fldChar w:fldCharType="separate"/>
      </w:r>
      <w:r w:rsidR="00D21E7D" w:rsidRPr="007E263F">
        <w:t>40</w:t>
      </w:r>
      <w:r w:rsidRPr="007E263F">
        <w:fldChar w:fldCharType="end"/>
      </w:r>
    </w:p>
    <w:p w:rsidR="008A0BF9" w:rsidRPr="007E263F" w:rsidRDefault="008A0BF9">
      <w:pPr>
        <w:pStyle w:val="Innehll3"/>
        <w:rPr>
          <w:sz w:val="24"/>
          <w:szCs w:val="24"/>
        </w:rPr>
      </w:pPr>
      <w:r w:rsidRPr="007E263F">
        <w:t>Lika betyg, lika kunskap? En uppföljning av statens styrning mot en likvärdig betygssättning i grundskolan (RiR 2011:23)</w:t>
      </w:r>
      <w:r w:rsidRPr="007E263F">
        <w:tab/>
      </w:r>
      <w:r w:rsidRPr="007E263F">
        <w:fldChar w:fldCharType="begin" w:fldLock="1"/>
      </w:r>
      <w:r w:rsidRPr="007E263F">
        <w:instrText xml:space="preserve"> PAGEREF _Toc326137841 \h </w:instrText>
      </w:r>
      <w:r w:rsidRPr="007E263F">
        <w:fldChar w:fldCharType="separate"/>
      </w:r>
      <w:r w:rsidR="00D21E7D" w:rsidRPr="007E263F">
        <w:t>40</w:t>
      </w:r>
      <w:r w:rsidRPr="007E263F">
        <w:fldChar w:fldCharType="end"/>
      </w:r>
    </w:p>
    <w:p w:rsidR="008A0BF9" w:rsidRPr="007E263F" w:rsidRDefault="008A0BF9">
      <w:pPr>
        <w:pStyle w:val="Innehll3"/>
        <w:rPr>
          <w:sz w:val="24"/>
          <w:szCs w:val="24"/>
        </w:rPr>
      </w:pPr>
      <w:r w:rsidRPr="007E263F">
        <w:t>Svensk klimatforskning – Vad kostar den och vad har den gett? (RiR 2012:2)</w:t>
      </w:r>
      <w:r w:rsidRPr="007E263F">
        <w:tab/>
      </w:r>
      <w:r w:rsidRPr="007E263F">
        <w:fldChar w:fldCharType="begin" w:fldLock="1"/>
      </w:r>
      <w:r w:rsidRPr="007E263F">
        <w:instrText xml:space="preserve"> PAGEREF _Toc326137842 \h </w:instrText>
      </w:r>
      <w:r w:rsidRPr="007E263F">
        <w:fldChar w:fldCharType="separate"/>
      </w:r>
      <w:r w:rsidR="00D21E7D" w:rsidRPr="007E263F">
        <w:t>41</w:t>
      </w:r>
      <w:r w:rsidRPr="007E263F">
        <w:fldChar w:fldCharType="end"/>
      </w:r>
    </w:p>
    <w:p w:rsidR="008A0BF9" w:rsidRPr="007E263F" w:rsidRDefault="008A0BF9">
      <w:pPr>
        <w:pStyle w:val="Innehll3"/>
        <w:rPr>
          <w:sz w:val="24"/>
          <w:szCs w:val="24"/>
        </w:rPr>
      </w:pPr>
      <w:r w:rsidRPr="007E263F">
        <w:t>Att styra självständiga lärosäten (RiR 2012:4)</w:t>
      </w:r>
      <w:r w:rsidRPr="007E263F">
        <w:tab/>
      </w:r>
      <w:r w:rsidRPr="007E263F">
        <w:fldChar w:fldCharType="begin" w:fldLock="1"/>
      </w:r>
      <w:r w:rsidRPr="007E263F">
        <w:instrText xml:space="preserve"> PAGEREF _Toc326137843 \h </w:instrText>
      </w:r>
      <w:r w:rsidRPr="007E263F">
        <w:fldChar w:fldCharType="separate"/>
      </w:r>
      <w:r w:rsidR="00D21E7D" w:rsidRPr="007E263F">
        <w:t>41</w:t>
      </w:r>
      <w:r w:rsidRPr="007E263F">
        <w:fldChar w:fldCharType="end"/>
      </w:r>
    </w:p>
    <w:p w:rsidR="008A0BF9" w:rsidRPr="007E263F" w:rsidRDefault="008A0BF9">
      <w:pPr>
        <w:pStyle w:val="Innehll2"/>
        <w:rPr>
          <w:sz w:val="24"/>
          <w:szCs w:val="24"/>
        </w:rPr>
      </w:pPr>
      <w:r w:rsidRPr="007E263F">
        <w:t>Trafikutskottet (TU)</w:t>
      </w:r>
      <w:r w:rsidRPr="007E263F">
        <w:tab/>
      </w:r>
      <w:r w:rsidRPr="007E263F">
        <w:fldChar w:fldCharType="begin" w:fldLock="1"/>
      </w:r>
      <w:r w:rsidRPr="007E263F">
        <w:instrText xml:space="preserve"> PAGEREF _Toc326137844 \h </w:instrText>
      </w:r>
      <w:r w:rsidRPr="007E263F">
        <w:fldChar w:fldCharType="separate"/>
      </w:r>
      <w:r w:rsidR="00D21E7D" w:rsidRPr="007E263F">
        <w:t>42</w:t>
      </w:r>
      <w:r w:rsidRPr="007E263F">
        <w:fldChar w:fldCharType="end"/>
      </w:r>
    </w:p>
    <w:p w:rsidR="008A0BF9" w:rsidRPr="007E263F" w:rsidRDefault="008A0BF9">
      <w:pPr>
        <w:pStyle w:val="Innehll3"/>
        <w:rPr>
          <w:sz w:val="24"/>
          <w:szCs w:val="24"/>
        </w:rPr>
      </w:pPr>
      <w:r w:rsidRPr="007E263F">
        <w:t>Botniabanan och järnvägen längs Norrlandskusten – hur har det blivit och vad har det kostat? (RiR 2011:22)</w:t>
      </w:r>
      <w:r w:rsidRPr="007E263F">
        <w:tab/>
      </w:r>
      <w:r w:rsidRPr="007E263F">
        <w:fldChar w:fldCharType="begin" w:fldLock="1"/>
      </w:r>
      <w:r w:rsidRPr="007E263F">
        <w:instrText xml:space="preserve"> PAGEREF _Toc326137845 \h </w:instrText>
      </w:r>
      <w:r w:rsidRPr="007E263F">
        <w:fldChar w:fldCharType="separate"/>
      </w:r>
      <w:r w:rsidR="00D21E7D" w:rsidRPr="007E263F">
        <w:t>42</w:t>
      </w:r>
      <w:r w:rsidRPr="007E263F">
        <w:fldChar w:fldCharType="end"/>
      </w:r>
    </w:p>
    <w:p w:rsidR="008A0BF9" w:rsidRPr="007E263F" w:rsidRDefault="008A0BF9">
      <w:pPr>
        <w:pStyle w:val="Innehll3"/>
        <w:rPr>
          <w:sz w:val="24"/>
          <w:szCs w:val="24"/>
        </w:rPr>
      </w:pPr>
      <w:r w:rsidRPr="007E263F">
        <w:t>Medfinansiering av statlig infrastruktur (RiR 2011:28)</w:t>
      </w:r>
      <w:r w:rsidRPr="007E263F">
        <w:tab/>
      </w:r>
      <w:r w:rsidRPr="007E263F">
        <w:fldChar w:fldCharType="begin" w:fldLock="1"/>
      </w:r>
      <w:r w:rsidRPr="007E263F">
        <w:instrText xml:space="preserve"> PAGEREF _Toc326137846 \h </w:instrText>
      </w:r>
      <w:r w:rsidRPr="007E263F">
        <w:fldChar w:fldCharType="separate"/>
      </w:r>
      <w:r w:rsidR="00D21E7D" w:rsidRPr="007E263F">
        <w:t>43</w:t>
      </w:r>
      <w:r w:rsidRPr="007E263F">
        <w:fldChar w:fldCharType="end"/>
      </w:r>
    </w:p>
    <w:p w:rsidR="008A0BF9" w:rsidRPr="007E263F" w:rsidRDefault="008A0BF9">
      <w:pPr>
        <w:pStyle w:val="Innehll3"/>
        <w:rPr>
          <w:sz w:val="24"/>
          <w:szCs w:val="24"/>
        </w:rPr>
      </w:pPr>
      <w:r w:rsidRPr="007E263F">
        <w:t>Infrastrukturplanering – på väg mot klimatmålen? (RiR 2012:4)</w:t>
      </w:r>
      <w:r w:rsidRPr="007E263F">
        <w:tab/>
      </w:r>
      <w:r w:rsidRPr="007E263F">
        <w:fldChar w:fldCharType="begin" w:fldLock="1"/>
      </w:r>
      <w:r w:rsidRPr="007E263F">
        <w:instrText xml:space="preserve"> PAGEREF _Toc326137847 \h </w:instrText>
      </w:r>
      <w:r w:rsidRPr="007E263F">
        <w:fldChar w:fldCharType="separate"/>
      </w:r>
      <w:r w:rsidR="00D21E7D" w:rsidRPr="007E263F">
        <w:t>43</w:t>
      </w:r>
      <w:r w:rsidRPr="007E263F">
        <w:fldChar w:fldCharType="end"/>
      </w:r>
    </w:p>
    <w:p w:rsidR="008A0BF9" w:rsidRPr="007E263F" w:rsidRDefault="008A0BF9">
      <w:pPr>
        <w:pStyle w:val="Innehll3"/>
        <w:rPr>
          <w:sz w:val="24"/>
          <w:szCs w:val="24"/>
        </w:rPr>
      </w:pPr>
      <w:r w:rsidRPr="007E263F">
        <w:t>Citybanans regionala medfinansiering (RiR 2012:8)</w:t>
      </w:r>
      <w:r w:rsidRPr="007E263F">
        <w:tab/>
      </w:r>
      <w:r w:rsidRPr="007E263F">
        <w:fldChar w:fldCharType="begin" w:fldLock="1"/>
      </w:r>
      <w:r w:rsidRPr="007E263F">
        <w:instrText xml:space="preserve"> PAGEREF _Toc326137848 \h </w:instrText>
      </w:r>
      <w:r w:rsidRPr="007E263F">
        <w:fldChar w:fldCharType="separate"/>
      </w:r>
      <w:r w:rsidR="00D21E7D" w:rsidRPr="007E263F">
        <w:t>44</w:t>
      </w:r>
      <w:r w:rsidRPr="007E263F">
        <w:fldChar w:fldCharType="end"/>
      </w:r>
    </w:p>
    <w:p w:rsidR="008A0BF9" w:rsidRPr="007E263F" w:rsidRDefault="008A0BF9">
      <w:pPr>
        <w:pStyle w:val="Innehll2"/>
        <w:rPr>
          <w:sz w:val="24"/>
          <w:szCs w:val="24"/>
        </w:rPr>
      </w:pPr>
      <w:r w:rsidRPr="007E263F">
        <w:t>Näringsutskottet (NU)</w:t>
      </w:r>
      <w:r w:rsidRPr="007E263F">
        <w:tab/>
      </w:r>
      <w:r w:rsidRPr="007E263F">
        <w:fldChar w:fldCharType="begin" w:fldLock="1"/>
      </w:r>
      <w:r w:rsidRPr="007E263F">
        <w:instrText xml:space="preserve"> PAGEREF _Toc326137849 \h </w:instrText>
      </w:r>
      <w:r w:rsidRPr="007E263F">
        <w:fldChar w:fldCharType="separate"/>
      </w:r>
      <w:r w:rsidR="00D21E7D" w:rsidRPr="007E263F">
        <w:t>44</w:t>
      </w:r>
      <w:r w:rsidRPr="007E263F">
        <w:fldChar w:fldCharType="end"/>
      </w:r>
    </w:p>
    <w:p w:rsidR="008A0BF9" w:rsidRPr="007E263F" w:rsidRDefault="008A0BF9">
      <w:pPr>
        <w:pStyle w:val="Innehll3"/>
        <w:rPr>
          <w:sz w:val="24"/>
          <w:szCs w:val="24"/>
        </w:rPr>
      </w:pPr>
      <w:r w:rsidRPr="007E263F">
        <w:t>Regelförenkling för företag – regeringen är fortfarande långt från målet (RiR 2012:6)</w:t>
      </w:r>
      <w:r w:rsidRPr="007E263F">
        <w:tab/>
      </w:r>
      <w:r w:rsidRPr="007E263F">
        <w:fldChar w:fldCharType="begin" w:fldLock="1"/>
      </w:r>
      <w:r w:rsidRPr="007E263F">
        <w:instrText xml:space="preserve"> PAGEREF _Toc326137850 \h </w:instrText>
      </w:r>
      <w:r w:rsidRPr="007E263F">
        <w:fldChar w:fldCharType="separate"/>
      </w:r>
      <w:r w:rsidR="00D21E7D" w:rsidRPr="007E263F">
        <w:t>44</w:t>
      </w:r>
      <w:r w:rsidRPr="007E263F">
        <w:fldChar w:fldCharType="end"/>
      </w:r>
    </w:p>
    <w:p w:rsidR="008A0BF9" w:rsidRPr="007E263F" w:rsidRDefault="008A0BF9">
      <w:pPr>
        <w:pStyle w:val="Innehll2"/>
        <w:rPr>
          <w:sz w:val="24"/>
          <w:szCs w:val="24"/>
        </w:rPr>
      </w:pPr>
      <w:r w:rsidRPr="007E263F">
        <w:t>Arbetsmarknadsutskottet (AU)</w:t>
      </w:r>
      <w:r w:rsidRPr="007E263F">
        <w:tab/>
      </w:r>
      <w:r w:rsidRPr="007E263F">
        <w:fldChar w:fldCharType="begin" w:fldLock="1"/>
      </w:r>
      <w:r w:rsidRPr="007E263F">
        <w:instrText xml:space="preserve"> PAGEREF _Toc326137851 \h </w:instrText>
      </w:r>
      <w:r w:rsidRPr="007E263F">
        <w:fldChar w:fldCharType="separate"/>
      </w:r>
      <w:r w:rsidR="00D21E7D" w:rsidRPr="007E263F">
        <w:t>45</w:t>
      </w:r>
      <w:r w:rsidRPr="007E263F">
        <w:fldChar w:fldCharType="end"/>
      </w:r>
    </w:p>
    <w:p w:rsidR="008A0BF9" w:rsidRPr="007E263F" w:rsidRDefault="008A0BF9">
      <w:pPr>
        <w:pStyle w:val="Innehll3"/>
        <w:rPr>
          <w:sz w:val="24"/>
          <w:szCs w:val="24"/>
        </w:rPr>
      </w:pPr>
      <w:r w:rsidRPr="007E263F">
        <w:t>DO och diskrimineringsfrågorna (RiR 2012:3)</w:t>
      </w:r>
      <w:r w:rsidRPr="007E263F">
        <w:tab/>
      </w:r>
      <w:r w:rsidRPr="007E263F">
        <w:fldChar w:fldCharType="begin" w:fldLock="1"/>
      </w:r>
      <w:r w:rsidRPr="007E263F">
        <w:instrText xml:space="preserve"> PAGEREF _Toc326137852 \h </w:instrText>
      </w:r>
      <w:r w:rsidRPr="007E263F">
        <w:fldChar w:fldCharType="separate"/>
      </w:r>
      <w:r w:rsidR="00D21E7D" w:rsidRPr="007E263F">
        <w:t>45</w:t>
      </w:r>
      <w:r w:rsidRPr="007E263F">
        <w:fldChar w:fldCharType="end"/>
      </w:r>
    </w:p>
    <w:p w:rsidR="008A0BF9" w:rsidRPr="007E263F" w:rsidRDefault="008A0BF9">
      <w:pPr>
        <w:pStyle w:val="Innehll3"/>
        <w:rPr>
          <w:sz w:val="24"/>
          <w:szCs w:val="24"/>
        </w:rPr>
      </w:pPr>
      <w:r w:rsidRPr="007E263F">
        <w:t>Effektivitetsmätning som metod för att jämföra arbetsförmedlingskontor (RiR 2012:9)</w:t>
      </w:r>
      <w:r w:rsidRPr="007E263F">
        <w:tab/>
      </w:r>
      <w:r w:rsidRPr="007E263F">
        <w:fldChar w:fldCharType="begin" w:fldLock="1"/>
      </w:r>
      <w:r w:rsidRPr="007E263F">
        <w:instrText xml:space="preserve"> PAGEREF _Toc326137853 \h </w:instrText>
      </w:r>
      <w:r w:rsidRPr="007E263F">
        <w:fldChar w:fldCharType="separate"/>
      </w:r>
      <w:r w:rsidR="00D21E7D" w:rsidRPr="007E263F">
        <w:t>45</w:t>
      </w:r>
      <w:r w:rsidRPr="007E263F">
        <w:fldChar w:fldCharType="end"/>
      </w:r>
    </w:p>
    <w:p w:rsidR="008C3183" w:rsidRPr="007E263F" w:rsidRDefault="00CB6764" w:rsidP="00393044">
      <w:r w:rsidRPr="007E263F">
        <w:fldChar w:fldCharType="end"/>
      </w:r>
    </w:p>
    <w:p w:rsidR="00252892" w:rsidRPr="007E263F" w:rsidRDefault="00252892" w:rsidP="00393044">
      <w:bookmarkStart w:id="10" w:name="_GoBack"/>
      <w:bookmarkEnd w:id="10"/>
    </w:p>
    <w:p w:rsidR="00252892" w:rsidRPr="007E263F" w:rsidRDefault="00252892" w:rsidP="00393044">
      <w:pPr>
        <w:pStyle w:val="Normaltindrag"/>
        <w:sectPr w:rsidR="00252892" w:rsidRPr="007E263F">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8C3183" w:rsidRPr="007E263F" w:rsidRDefault="008C3183" w:rsidP="00393044">
      <w:r w:rsidRPr="007E263F">
        <w:t>Till riksdagen</w:t>
      </w:r>
      <w:r w:rsidRPr="007E263F">
        <w:tab/>
      </w:r>
      <w:r w:rsidRPr="007E263F">
        <w:tab/>
      </w:r>
      <w:r w:rsidRPr="007E263F">
        <w:tab/>
        <w:t>Datum: 2012-05-21</w:t>
      </w:r>
    </w:p>
    <w:p w:rsidR="008C3183" w:rsidRPr="007E263F" w:rsidRDefault="008C3183" w:rsidP="00393044">
      <w:r w:rsidRPr="007E263F">
        <w:tab/>
      </w:r>
      <w:r w:rsidRPr="007E263F">
        <w:tab/>
      </w:r>
      <w:r w:rsidRPr="007E263F">
        <w:tab/>
        <w:t>Dnr: 30-2012-0360</w:t>
      </w:r>
    </w:p>
    <w:p w:rsidR="008C3183" w:rsidRPr="007E263F" w:rsidRDefault="008C3183" w:rsidP="00393044">
      <w:pPr>
        <w:pStyle w:val="R2"/>
        <w:jc w:val="both"/>
      </w:pPr>
      <w:r w:rsidRPr="007E263F">
        <w:t>Riksrevisorernas årliga rapport 2012</w:t>
      </w:r>
    </w:p>
    <w:p w:rsidR="008C3183" w:rsidRPr="007E263F" w:rsidRDefault="008C3183" w:rsidP="00393044">
      <w:r w:rsidRPr="007E263F">
        <w:t>Enligt 12 § lagen (2002:1022) om revision av statlig verksamhet m.m. ska de viktigaste iakttagelserna från effektivitetsrevisionen och den årliga revisionen samlas i en årlig rapport som överlämnas till riksdagen. Rapporten har tagits fram av Anders Berg (projektledare) och Maria Peresw</w:t>
      </w:r>
      <w:r w:rsidRPr="007E263F">
        <w:t>e</w:t>
      </w:r>
      <w:r w:rsidRPr="007E263F">
        <w:t xml:space="preserve">toff-Morath.  </w:t>
      </w:r>
    </w:p>
    <w:p w:rsidR="008C3183" w:rsidRPr="007E263F" w:rsidRDefault="008C3183" w:rsidP="00393044">
      <w:pPr>
        <w:pStyle w:val="Normaltindrag"/>
      </w:pPr>
      <w:r w:rsidRPr="007E263F">
        <w:t>Den årliga rapporten ger, tillsammans med granskningsplanen</w:t>
      </w:r>
      <w:r w:rsidR="003E7264" w:rsidRPr="007E263F">
        <w:t>,</w:t>
      </w:r>
      <w:r w:rsidRPr="007E263F">
        <w:t xml:space="preserve"> en sa</w:t>
      </w:r>
      <w:r w:rsidRPr="007E263F">
        <w:t>m</w:t>
      </w:r>
      <w:r w:rsidRPr="007E263F">
        <w:t xml:space="preserve">manhållen redovisning av Riksrevisionens granskning. </w:t>
      </w:r>
    </w:p>
    <w:p w:rsidR="008C3183" w:rsidRPr="007E263F" w:rsidRDefault="008C3183" w:rsidP="00393044"/>
    <w:p w:rsidR="008C3183" w:rsidRPr="007E263F" w:rsidRDefault="008C3183" w:rsidP="00393044"/>
    <w:p w:rsidR="008C3183" w:rsidRPr="007E263F" w:rsidRDefault="008C3183" w:rsidP="00393044"/>
    <w:p w:rsidR="008C3183" w:rsidRPr="007E263F" w:rsidRDefault="00DF401B" w:rsidP="00393044">
      <w:pPr>
        <w:tabs>
          <w:tab w:val="left" w:pos="1710"/>
          <w:tab w:val="left" w:pos="3420"/>
        </w:tabs>
      </w:pPr>
      <w:r w:rsidRPr="007E263F">
        <w:t xml:space="preserve">Claes Norgren </w:t>
      </w:r>
      <w:r w:rsidRPr="007E263F">
        <w:tab/>
        <w:t>Jan Landahl</w:t>
      </w:r>
      <w:r w:rsidRPr="007E263F">
        <w:tab/>
      </w:r>
      <w:r w:rsidR="008C3183" w:rsidRPr="007E263F">
        <w:t>Gudrun Antemar</w:t>
      </w:r>
    </w:p>
    <w:p w:rsidR="008C3183" w:rsidRPr="007E263F" w:rsidRDefault="008C3183" w:rsidP="00393044">
      <w:pPr>
        <w:spacing w:before="0"/>
      </w:pPr>
    </w:p>
    <w:p w:rsidR="004B67B1" w:rsidRPr="007E263F" w:rsidRDefault="004B67B1" w:rsidP="00393044">
      <w:pPr>
        <w:pStyle w:val="Normaltindrag"/>
      </w:pPr>
    </w:p>
    <w:p w:rsidR="00252892" w:rsidRPr="007E263F" w:rsidRDefault="00252892" w:rsidP="00393044">
      <w:pPr>
        <w:pStyle w:val="Normaltindrag"/>
        <w:sectPr w:rsidR="00252892" w:rsidRPr="007E263F">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8C3183" w:rsidRPr="007E263F" w:rsidRDefault="008C3183" w:rsidP="00393044">
      <w:pPr>
        <w:pBdr>
          <w:top w:val="single" w:sz="4" w:space="1" w:color="auto"/>
          <w:left w:val="single" w:sz="4" w:space="4" w:color="auto"/>
          <w:bottom w:val="single" w:sz="4" w:space="1" w:color="auto"/>
          <w:right w:val="single" w:sz="4" w:space="4" w:color="auto"/>
        </w:pBdr>
      </w:pPr>
      <w:r w:rsidRPr="007E263F">
        <w:t>Riksrevisionen granskar statliga myndigheter och verksamheter. Genom vår oberoende ställning undersöker vi hur statliga medel används, rapporterar om eventuella brister och ger rekommendationer på lösningar för förbättrad e</w:t>
      </w:r>
      <w:r w:rsidRPr="007E263F">
        <w:t>f</w:t>
      </w:r>
      <w:r w:rsidRPr="007E263F">
        <w:t>fektivitet. Vi vill att resultatet av vår granskning ska vara ett underlag för debatt, beslut och förändring.</w:t>
      </w:r>
    </w:p>
    <w:p w:rsidR="008C3183" w:rsidRPr="007E263F" w:rsidRDefault="008C3183" w:rsidP="00393044">
      <w:pPr>
        <w:pStyle w:val="Normaltindrag"/>
        <w:pBdr>
          <w:top w:val="single" w:sz="4" w:space="1" w:color="auto"/>
          <w:left w:val="single" w:sz="4" w:space="4" w:color="auto"/>
          <w:bottom w:val="single" w:sz="4" w:space="1" w:color="auto"/>
          <w:right w:val="single" w:sz="4" w:space="4" w:color="auto"/>
        </w:pBdr>
      </w:pPr>
      <w:r w:rsidRPr="007E263F">
        <w:t>Riksrevisorernas årliga rapport lämnas till riksdagen varje vår och syftar till att ge en aktuell och samlad information om resultatet från Riks</w:t>
      </w:r>
      <w:r w:rsidRPr="007E263F">
        <w:softHyphen/>
        <w:t xml:space="preserve">revisionens granskning. </w:t>
      </w:r>
    </w:p>
    <w:p w:rsidR="008C3183" w:rsidRPr="007E263F" w:rsidRDefault="008C3183" w:rsidP="00393044">
      <w:pPr>
        <w:pStyle w:val="Normaltindrag"/>
        <w:pBdr>
          <w:top w:val="single" w:sz="4" w:space="1" w:color="auto"/>
          <w:left w:val="single" w:sz="4" w:space="4" w:color="auto"/>
          <w:bottom w:val="single" w:sz="4" w:space="1" w:color="auto"/>
          <w:right w:val="single" w:sz="4" w:space="4" w:color="auto"/>
        </w:pBdr>
      </w:pPr>
      <w:r w:rsidRPr="007E263F">
        <w:t>Rapporten bygger på granskningsresultat från både den årliga revisionen och effektivitetsrevisionen. Inom den årliga revisionen granskar och bedömer vi om myndigheternas redovisning med underliggande räkenskaper är rät</w:t>
      </w:r>
      <w:r w:rsidRPr="007E263F">
        <w:t>t</w:t>
      </w:r>
      <w:r w:rsidRPr="007E263F">
        <w:t>visande. Granskningen av årsredovisningen avrapporteras i en revisionsberä</w:t>
      </w:r>
      <w:r w:rsidRPr="007E263F">
        <w:t>t</w:t>
      </w:r>
      <w:r w:rsidRPr="007E263F">
        <w:t>telse. Identifierade fel och brister kan också avrapporteras i en revisionsra</w:t>
      </w:r>
      <w:r w:rsidRPr="007E263F">
        <w:t>p</w:t>
      </w:r>
      <w:r w:rsidRPr="007E263F">
        <w:t>port. Genom effektivitetsrevision granskar vi effektiviteten i den statliga verksa</w:t>
      </w:r>
      <w:r w:rsidRPr="007E263F">
        <w:t>m</w:t>
      </w:r>
      <w:r w:rsidRPr="007E263F">
        <w:t>heten. Resultatet presenteras i granskningsrapporter.</w:t>
      </w:r>
    </w:p>
    <w:p w:rsidR="008C3183" w:rsidRPr="007E263F" w:rsidRDefault="008C3183" w:rsidP="00393044"/>
    <w:p w:rsidR="005057F0" w:rsidRPr="007E263F" w:rsidRDefault="005057F0" w:rsidP="00393044"/>
    <w:p w:rsidR="005057F0" w:rsidRPr="007E263F" w:rsidRDefault="005057F0" w:rsidP="00393044">
      <w:pPr>
        <w:pStyle w:val="Normaltindrag"/>
        <w:sectPr w:rsidR="005057F0" w:rsidRPr="007E263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8C3183" w:rsidRPr="007E263F" w:rsidRDefault="008C3183" w:rsidP="00393044">
      <w:pPr>
        <w:pStyle w:val="Rubrik1"/>
        <w:spacing w:line="250" w:lineRule="atLeast"/>
        <w:jc w:val="both"/>
        <w:rPr>
          <w:noProof w:val="0"/>
        </w:rPr>
      </w:pPr>
      <w:bookmarkStart w:id="11" w:name="_Toc326137773"/>
      <w:r w:rsidRPr="007E263F">
        <w:rPr>
          <w:noProof w:val="0"/>
        </w:rPr>
        <w:t>Inledning</w:t>
      </w:r>
      <w:bookmarkEnd w:id="11"/>
      <w:r w:rsidRPr="007E263F">
        <w:rPr>
          <w:noProof w:val="0"/>
        </w:rPr>
        <w:t xml:space="preserve">     </w:t>
      </w:r>
    </w:p>
    <w:p w:rsidR="008C3183" w:rsidRPr="007E263F" w:rsidRDefault="008C3183" w:rsidP="00393044">
      <w:r w:rsidRPr="007E263F">
        <w:t xml:space="preserve">Riksrevisorernas årliga rapport ger en bild av våra viktigaste iakttagelser från det senaste årets granskningar inom effektivitetsrevisionen och den årliga revisionen. </w:t>
      </w:r>
    </w:p>
    <w:p w:rsidR="008C3183" w:rsidRPr="007E263F" w:rsidRDefault="008C3183" w:rsidP="00393044">
      <w:pPr>
        <w:pStyle w:val="Normaltindrag"/>
      </w:pPr>
      <w:r w:rsidRPr="007E263F">
        <w:t>Rapporten inleds med ett kapitel som behandlar hur den internationella f</w:t>
      </w:r>
      <w:r w:rsidRPr="007E263F">
        <w:t>i</w:t>
      </w:r>
      <w:r w:rsidRPr="007E263F">
        <w:t>nans- och statsskuldskrisen påverkat kraven på offentlig redovisning och revision. Detta följs av ett avsnitt om de skrivelser som regeringen lämnar till riksdagen med anledning av våra granskningar.</w:t>
      </w:r>
    </w:p>
    <w:p w:rsidR="008C3183" w:rsidRPr="007E263F" w:rsidRDefault="008C3183" w:rsidP="00393044">
      <w:pPr>
        <w:pStyle w:val="Normaltindrag"/>
      </w:pPr>
      <w:r w:rsidRPr="007E263F">
        <w:t>Vi presenterar också resultaten av och gör några särskilda iakttagelser från vår granskning av myndigheternas årsredovisningar. Detta följs av ett avsnitt om myndigheternas beskrivning av arbetet med intern styrning och kontroll.</w:t>
      </w:r>
    </w:p>
    <w:p w:rsidR="00424C62" w:rsidRPr="007E263F" w:rsidRDefault="008C3183" w:rsidP="00393044">
      <w:pPr>
        <w:pStyle w:val="Normaltindrag"/>
      </w:pPr>
      <w:r w:rsidRPr="007E263F">
        <w:t>Avslutningsvis gör vi en kort genomgång av våra gransknings</w:t>
      </w:r>
      <w:r w:rsidR="00424C62" w:rsidRPr="007E263F">
        <w:softHyphen/>
      </w:r>
      <w:r w:rsidRPr="007E263F">
        <w:t>strategier samt redogör för de viktigaste iakttagelserna från effektivitetsrevisionens rapporter ordnade per riksdagsutskott.</w:t>
      </w:r>
    </w:p>
    <w:p w:rsidR="00424C62" w:rsidRPr="007E263F" w:rsidRDefault="00424C62" w:rsidP="00393044">
      <w:pPr>
        <w:pStyle w:val="Normaltindrag"/>
        <w:rPr>
          <w:spacing w:val="-6"/>
        </w:rPr>
      </w:pPr>
    </w:p>
    <w:p w:rsidR="00424C62" w:rsidRPr="007E263F" w:rsidRDefault="00424C62" w:rsidP="00393044">
      <w:pPr>
        <w:pStyle w:val="Normaltindrag"/>
      </w:pPr>
    </w:p>
    <w:p w:rsidR="00424C62" w:rsidRPr="007E263F" w:rsidRDefault="00424C62" w:rsidP="00393044">
      <w:pPr>
        <w:pStyle w:val="Normaltindrag"/>
        <w:sectPr w:rsidR="00424C62" w:rsidRPr="007E263F">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8C3183" w:rsidRPr="007E263F" w:rsidRDefault="008C3183" w:rsidP="00790E55">
      <w:pPr>
        <w:pStyle w:val="Rubrik1"/>
        <w:spacing w:line="250" w:lineRule="atLeast"/>
        <w:rPr>
          <w:noProof w:val="0"/>
        </w:rPr>
      </w:pPr>
      <w:bookmarkStart w:id="12" w:name="_Toc320866975"/>
      <w:bookmarkStart w:id="13" w:name="_Toc326137774"/>
      <w:r w:rsidRPr="007E263F">
        <w:rPr>
          <w:noProof w:val="0"/>
        </w:rPr>
        <w:t>Riksrevisionen och den internationella finans- och statsskuldskrisen – nya utmaningar för redovisning och revision</w:t>
      </w:r>
      <w:bookmarkEnd w:id="12"/>
      <w:bookmarkEnd w:id="13"/>
    </w:p>
    <w:p w:rsidR="008C3183" w:rsidRPr="007E263F" w:rsidRDefault="008C3183" w:rsidP="00393044">
      <w:r w:rsidRPr="007E263F">
        <w:t>Fem år har nu gått sedan finanskrisen startade med problemen i den amer</w:t>
      </w:r>
      <w:r w:rsidRPr="007E263F">
        <w:t>i</w:t>
      </w:r>
      <w:r w:rsidRPr="007E263F">
        <w:t>kanska bostadsmarknaden. Effekterna av krisen har blivit mångfalt större än vad någon inledningsvis kunde förutspå. Sverige har hittills klarat sig förhå</w:t>
      </w:r>
      <w:r w:rsidRPr="007E263F">
        <w:t>l</w:t>
      </w:r>
      <w:r w:rsidRPr="007E263F">
        <w:t xml:space="preserve">landevis väl, men krisens kostnader och effekter är och har varit ansenliga. </w:t>
      </w:r>
    </w:p>
    <w:p w:rsidR="008C3183" w:rsidRPr="007E263F" w:rsidRDefault="008C3183" w:rsidP="00393044">
      <w:pPr>
        <w:pStyle w:val="normalmedindrag"/>
        <w:spacing w:before="0" w:line="250" w:lineRule="atLeast"/>
        <w:jc w:val="both"/>
        <w:rPr>
          <w:sz w:val="19"/>
          <w:szCs w:val="19"/>
        </w:rPr>
      </w:pPr>
      <w:r w:rsidRPr="007E263F">
        <w:rPr>
          <w:sz w:val="19"/>
          <w:szCs w:val="19"/>
        </w:rPr>
        <w:t>Krisen har tydliggjort nya risker för den ekonomiska utvecklingen och de statliga åtagandena, men även tidigare ignorerade risker har blivit uppenbar</w:t>
      </w:r>
      <w:r w:rsidRPr="007E263F">
        <w:rPr>
          <w:sz w:val="19"/>
          <w:szCs w:val="19"/>
        </w:rPr>
        <w:t>a</w:t>
      </w:r>
      <w:r w:rsidRPr="007E263F">
        <w:rPr>
          <w:sz w:val="19"/>
          <w:szCs w:val="19"/>
        </w:rPr>
        <w:t>de. Exempelvis blev de statsfinansiella utm</w:t>
      </w:r>
      <w:r w:rsidRPr="007E263F">
        <w:rPr>
          <w:sz w:val="19"/>
          <w:szCs w:val="19"/>
        </w:rPr>
        <w:t>a</w:t>
      </w:r>
      <w:r w:rsidRPr="007E263F">
        <w:rPr>
          <w:sz w:val="19"/>
          <w:szCs w:val="19"/>
        </w:rPr>
        <w:t>ningarna i Europeiska unionen generellt och inom euroområdet i synnerhet akuta på grund av den finansiella krisen och den ekonomiska lågkonjunkturen, men de underliggande probl</w:t>
      </w:r>
      <w:r w:rsidRPr="007E263F">
        <w:rPr>
          <w:sz w:val="19"/>
          <w:szCs w:val="19"/>
        </w:rPr>
        <w:t>e</w:t>
      </w:r>
      <w:r w:rsidRPr="007E263F">
        <w:rPr>
          <w:sz w:val="19"/>
          <w:szCs w:val="19"/>
        </w:rPr>
        <w:t xml:space="preserve">men fanns där långt tidigare. </w:t>
      </w:r>
    </w:p>
    <w:p w:rsidR="008C3183" w:rsidRPr="007E263F" w:rsidRDefault="008C3183" w:rsidP="00393044">
      <w:pPr>
        <w:pStyle w:val="normalmedindrag"/>
        <w:spacing w:before="0" w:line="250" w:lineRule="atLeast"/>
        <w:jc w:val="both"/>
        <w:rPr>
          <w:sz w:val="19"/>
          <w:szCs w:val="19"/>
        </w:rPr>
      </w:pPr>
      <w:r w:rsidRPr="007E263F">
        <w:rPr>
          <w:sz w:val="19"/>
          <w:szCs w:val="19"/>
        </w:rPr>
        <w:t>Det är nu viktigt att dra lärdomar från den senaste tidens utveckling. Stora fö</w:t>
      </w:r>
      <w:r w:rsidRPr="007E263F">
        <w:rPr>
          <w:sz w:val="19"/>
          <w:szCs w:val="19"/>
        </w:rPr>
        <w:t>r</w:t>
      </w:r>
      <w:r w:rsidRPr="007E263F">
        <w:rPr>
          <w:sz w:val="19"/>
          <w:szCs w:val="19"/>
        </w:rPr>
        <w:t>ändringar i regelverken kring finansmarknaderna och finanspolitiken håller på att genomföras. Vikten av att dessa nya regelverk är effektiva och änd</w:t>
      </w:r>
      <w:r w:rsidRPr="007E263F">
        <w:rPr>
          <w:sz w:val="19"/>
          <w:szCs w:val="19"/>
        </w:rPr>
        <w:t>a</w:t>
      </w:r>
      <w:r w:rsidRPr="007E263F">
        <w:rPr>
          <w:sz w:val="19"/>
          <w:szCs w:val="19"/>
        </w:rPr>
        <w:t>målsenliga kan inte nog betonas. Mycket av utvecklingsarbetet på internati</w:t>
      </w:r>
      <w:r w:rsidRPr="007E263F">
        <w:rPr>
          <w:sz w:val="19"/>
          <w:szCs w:val="19"/>
        </w:rPr>
        <w:t>o</w:t>
      </w:r>
      <w:r w:rsidRPr="007E263F">
        <w:rPr>
          <w:sz w:val="19"/>
          <w:szCs w:val="19"/>
        </w:rPr>
        <w:t>nell och mella</w:t>
      </w:r>
      <w:r w:rsidRPr="007E263F">
        <w:rPr>
          <w:sz w:val="19"/>
          <w:szCs w:val="19"/>
        </w:rPr>
        <w:t>n</w:t>
      </w:r>
      <w:r w:rsidRPr="007E263F">
        <w:rPr>
          <w:sz w:val="19"/>
          <w:szCs w:val="19"/>
        </w:rPr>
        <w:t>statlig nivå får konsekvenser för enskilda stater, även för Sverige. Det är uppe</w:t>
      </w:r>
      <w:r w:rsidRPr="007E263F">
        <w:rPr>
          <w:sz w:val="19"/>
          <w:szCs w:val="19"/>
        </w:rPr>
        <w:t>n</w:t>
      </w:r>
      <w:r w:rsidR="003E7264" w:rsidRPr="007E263F">
        <w:rPr>
          <w:sz w:val="19"/>
          <w:szCs w:val="19"/>
        </w:rPr>
        <w:t>bart att en så mångfas</w:t>
      </w:r>
      <w:r w:rsidRPr="007E263F">
        <w:rPr>
          <w:sz w:val="19"/>
          <w:szCs w:val="19"/>
        </w:rPr>
        <w:t>etterad institutionell struktur för finansiell tillsyn och r</w:t>
      </w:r>
      <w:r w:rsidRPr="007E263F">
        <w:rPr>
          <w:sz w:val="19"/>
          <w:szCs w:val="19"/>
        </w:rPr>
        <w:t>e</w:t>
      </w:r>
      <w:r w:rsidRPr="007E263F">
        <w:rPr>
          <w:sz w:val="19"/>
          <w:szCs w:val="19"/>
        </w:rPr>
        <w:t>glering, både internationellt och på den inhemska arenan, skapar utmaningar för offentlig redovisning och revision. Det ligger i allmänhetens intresse att ett stark</w:t>
      </w:r>
      <w:r w:rsidRPr="007E263F">
        <w:rPr>
          <w:sz w:val="19"/>
          <w:szCs w:val="19"/>
        </w:rPr>
        <w:t>a</w:t>
      </w:r>
      <w:r w:rsidRPr="007E263F">
        <w:rPr>
          <w:sz w:val="19"/>
          <w:szCs w:val="19"/>
        </w:rPr>
        <w:t>re övervakningssystem skapas, bestående av myndigheter som har uppdrag, resu</w:t>
      </w:r>
      <w:r w:rsidRPr="007E263F">
        <w:rPr>
          <w:sz w:val="19"/>
          <w:szCs w:val="19"/>
        </w:rPr>
        <w:t>r</w:t>
      </w:r>
      <w:r w:rsidRPr="007E263F">
        <w:rPr>
          <w:sz w:val="19"/>
          <w:szCs w:val="19"/>
        </w:rPr>
        <w:t>ser och förtroende att agera för att skapa en mer stabil finansiell sektor. Men det är också i allmänhetens intresse att det finns en offentlig granskning av detta nya övervaknings- och tillsyn</w:t>
      </w:r>
      <w:r w:rsidRPr="007E263F">
        <w:rPr>
          <w:sz w:val="19"/>
          <w:szCs w:val="19"/>
        </w:rPr>
        <w:t>s</w:t>
      </w:r>
      <w:r w:rsidRPr="007E263F">
        <w:rPr>
          <w:sz w:val="19"/>
          <w:szCs w:val="19"/>
        </w:rPr>
        <w:t>system – en granskning som kan säkerställa att uppgi</w:t>
      </w:r>
      <w:r w:rsidRPr="007E263F">
        <w:rPr>
          <w:sz w:val="19"/>
          <w:szCs w:val="19"/>
        </w:rPr>
        <w:t>f</w:t>
      </w:r>
      <w:r w:rsidRPr="007E263F">
        <w:rPr>
          <w:sz w:val="19"/>
          <w:szCs w:val="19"/>
        </w:rPr>
        <w:t>terna utförs effektivt samt att det finns en tydlig ansvarsstruktur och därmed möjlighet för ansvar</w:t>
      </w:r>
      <w:r w:rsidRPr="007E263F">
        <w:rPr>
          <w:sz w:val="19"/>
          <w:szCs w:val="19"/>
        </w:rPr>
        <w:t>s</w:t>
      </w:r>
      <w:r w:rsidRPr="007E263F">
        <w:rPr>
          <w:sz w:val="19"/>
          <w:szCs w:val="19"/>
        </w:rPr>
        <w:t>utkrävande. Att främja transparens och effektivitet i de nya systemen är därför tydliga utmaningar för nationella revisionso</w:t>
      </w:r>
      <w:r w:rsidRPr="007E263F">
        <w:rPr>
          <w:sz w:val="19"/>
          <w:szCs w:val="19"/>
        </w:rPr>
        <w:t>r</w:t>
      </w:r>
      <w:r w:rsidRPr="007E263F">
        <w:rPr>
          <w:sz w:val="19"/>
          <w:szCs w:val="19"/>
        </w:rPr>
        <w:t>gan.</w:t>
      </w:r>
    </w:p>
    <w:p w:rsidR="008C3183" w:rsidRPr="007E263F" w:rsidRDefault="008C3183" w:rsidP="00393044">
      <w:pPr>
        <w:pStyle w:val="normalmedindrag"/>
        <w:spacing w:before="0" w:line="250" w:lineRule="atLeast"/>
        <w:jc w:val="both"/>
        <w:rPr>
          <w:sz w:val="19"/>
          <w:szCs w:val="19"/>
        </w:rPr>
      </w:pPr>
      <w:r w:rsidRPr="007E263F">
        <w:rPr>
          <w:sz w:val="19"/>
          <w:szCs w:val="19"/>
        </w:rPr>
        <w:t>Lärdomarna från den finansiella krisen berör hela Riksrevisionen. Utvec</w:t>
      </w:r>
      <w:r w:rsidRPr="007E263F">
        <w:rPr>
          <w:sz w:val="19"/>
          <w:szCs w:val="19"/>
        </w:rPr>
        <w:t>k</w:t>
      </w:r>
      <w:r w:rsidRPr="007E263F">
        <w:rPr>
          <w:sz w:val="19"/>
          <w:szCs w:val="19"/>
        </w:rPr>
        <w:t>lin</w:t>
      </w:r>
      <w:r w:rsidRPr="007E263F">
        <w:rPr>
          <w:sz w:val="19"/>
          <w:szCs w:val="19"/>
        </w:rPr>
        <w:t>g</w:t>
      </w:r>
      <w:r w:rsidRPr="007E263F">
        <w:rPr>
          <w:sz w:val="19"/>
          <w:szCs w:val="19"/>
        </w:rPr>
        <w:t>en av nya standarder, främjandet av en transparent redovisning och en internati</w:t>
      </w:r>
      <w:r w:rsidRPr="007E263F">
        <w:rPr>
          <w:sz w:val="19"/>
          <w:szCs w:val="19"/>
        </w:rPr>
        <w:t>o</w:t>
      </w:r>
      <w:r w:rsidRPr="007E263F">
        <w:rPr>
          <w:sz w:val="19"/>
          <w:szCs w:val="19"/>
        </w:rPr>
        <w:t xml:space="preserve">nell harmonisering är trender som skapar nya förutsättningar för Riksrevisionens arbete. </w:t>
      </w:r>
    </w:p>
    <w:p w:rsidR="008C3183" w:rsidRPr="007E263F" w:rsidRDefault="008C3183" w:rsidP="00393044">
      <w:pPr>
        <w:pStyle w:val="normalmedindrag"/>
        <w:spacing w:before="0" w:line="250" w:lineRule="atLeast"/>
        <w:jc w:val="both"/>
        <w:rPr>
          <w:sz w:val="19"/>
          <w:szCs w:val="19"/>
        </w:rPr>
      </w:pPr>
      <w:r w:rsidRPr="007E263F">
        <w:rPr>
          <w:sz w:val="19"/>
          <w:szCs w:val="19"/>
        </w:rPr>
        <w:t>I det följande redogör vi för den utveckling som har skett inom redovi</w:t>
      </w:r>
      <w:r w:rsidRPr="007E263F">
        <w:rPr>
          <w:sz w:val="19"/>
          <w:szCs w:val="19"/>
        </w:rPr>
        <w:t>s</w:t>
      </w:r>
      <w:r w:rsidRPr="007E263F">
        <w:rPr>
          <w:sz w:val="19"/>
          <w:szCs w:val="19"/>
        </w:rPr>
        <w:t xml:space="preserve">ning och revision samt det arbete som Riksrevisionen utfört med anledning av den ekonomiska utvecklingen. </w:t>
      </w:r>
    </w:p>
    <w:p w:rsidR="008C3183" w:rsidRPr="007E263F" w:rsidRDefault="008C3183" w:rsidP="00790E55">
      <w:pPr>
        <w:pStyle w:val="Rubrik2"/>
        <w:spacing w:line="250" w:lineRule="atLeast"/>
      </w:pPr>
      <w:bookmarkStart w:id="14" w:name="_Toc320866977"/>
      <w:bookmarkStart w:id="15" w:name="_Toc326137775"/>
      <w:r w:rsidRPr="007E263F">
        <w:t>Förändringar för redovisning och revision</w:t>
      </w:r>
      <w:bookmarkEnd w:id="14"/>
      <w:bookmarkEnd w:id="15"/>
    </w:p>
    <w:p w:rsidR="008C3183" w:rsidRPr="007E263F" w:rsidRDefault="008C3183" w:rsidP="00393044">
      <w:r w:rsidRPr="007E263F">
        <w:t>Finanskrisen har medfört ett stort intresse för revision och hur den fungerar. Detta blev inte minst tydligt genom EU-kommissionens grönbok om rev</w:t>
      </w:r>
      <w:r w:rsidRPr="007E263F">
        <w:t>i</w:t>
      </w:r>
      <w:r w:rsidRPr="007E263F">
        <w:t>sionspolitik under 2010. Grönboken ledde till en värdefull diskussion om hur revisionen hade fungerat under finanskrisen och ett förslag om en förordning om lagstadgad revision i företag av allmänt intresse och ändringar av det så kallade revisorsdirektivet. I Riksrevisionens yttrande över förslaget</w:t>
      </w:r>
      <w:r w:rsidRPr="007E263F">
        <w:rPr>
          <w:rStyle w:val="Fotnotsreferens"/>
          <w:szCs w:val="19"/>
        </w:rPr>
        <w:footnoteReference w:id="1"/>
      </w:r>
      <w:r w:rsidRPr="007E263F">
        <w:t xml:space="preserve"> pekade vi på det positiva i att förslaget i sig syftade till att höja kvaliteten i lagstadgad revision, men att det i ökad utsträckning kunde betona de redovisningsskyld</w:t>
      </w:r>
      <w:r w:rsidRPr="007E263F">
        <w:t>i</w:t>
      </w:r>
      <w:r w:rsidRPr="007E263F">
        <w:t>gas odelade ansvar för sin finansiella rapportering och vilken betydelse red</w:t>
      </w:r>
      <w:r w:rsidRPr="007E263F">
        <w:t>o</w:t>
      </w:r>
      <w:r w:rsidRPr="007E263F">
        <w:t xml:space="preserve">visningsföreskrifternas utformning har för den finansiella rapporteringens upplevda kvalitet. Vi pekade också på det positiva i att förslagen syftade till en harmonisering av revisionsstandarder inom EU genom en anpassning till International Standards on Auditing (ISA). </w:t>
      </w:r>
    </w:p>
    <w:p w:rsidR="008C3183" w:rsidRPr="007E263F" w:rsidRDefault="008C3183" w:rsidP="00393044">
      <w:pPr>
        <w:pStyle w:val="normalmedindrag"/>
        <w:spacing w:before="0" w:line="250" w:lineRule="atLeast"/>
        <w:jc w:val="both"/>
        <w:rPr>
          <w:sz w:val="19"/>
          <w:szCs w:val="19"/>
        </w:rPr>
      </w:pPr>
      <w:r w:rsidRPr="007E263F">
        <w:rPr>
          <w:sz w:val="19"/>
          <w:szCs w:val="19"/>
        </w:rPr>
        <w:t>För Riksrevisionen hade detta ett särskilt intresse eftersom Sv</w:t>
      </w:r>
      <w:r w:rsidRPr="007E263F">
        <w:rPr>
          <w:sz w:val="19"/>
          <w:szCs w:val="19"/>
        </w:rPr>
        <w:t>e</w:t>
      </w:r>
      <w:r w:rsidRPr="007E263F">
        <w:rPr>
          <w:sz w:val="19"/>
          <w:szCs w:val="19"/>
        </w:rPr>
        <w:t>rige införde ISA som god revi</w:t>
      </w:r>
      <w:r w:rsidR="003E7264" w:rsidRPr="007E263F">
        <w:rPr>
          <w:sz w:val="19"/>
          <w:szCs w:val="19"/>
        </w:rPr>
        <w:t>sionssed från och med den 1</w:t>
      </w:r>
      <w:r w:rsidRPr="007E263F">
        <w:rPr>
          <w:sz w:val="19"/>
          <w:szCs w:val="19"/>
        </w:rPr>
        <w:t xml:space="preserve"> januari 2011. Riksrevisore</w:t>
      </w:r>
      <w:r w:rsidRPr="007E263F">
        <w:rPr>
          <w:sz w:val="19"/>
          <w:szCs w:val="19"/>
        </w:rPr>
        <w:t>r</w:t>
      </w:r>
      <w:r w:rsidRPr="007E263F">
        <w:rPr>
          <w:sz w:val="19"/>
          <w:szCs w:val="19"/>
        </w:rPr>
        <w:t>na beslutade i linje med detta att ISA, kompletterad med vägledningar för rev</w:t>
      </w:r>
      <w:r w:rsidRPr="007E263F">
        <w:rPr>
          <w:sz w:val="19"/>
          <w:szCs w:val="19"/>
        </w:rPr>
        <w:t>i</w:t>
      </w:r>
      <w:r w:rsidRPr="007E263F">
        <w:rPr>
          <w:sz w:val="19"/>
          <w:szCs w:val="19"/>
        </w:rPr>
        <w:t>sion i staten, ska tillämpas i Riksrevisionens årliga revision från och med räkenskapsåret 2011. I och med granskningen av årsredovisningarna för r</w:t>
      </w:r>
      <w:r w:rsidRPr="007E263F">
        <w:rPr>
          <w:sz w:val="19"/>
          <w:szCs w:val="19"/>
        </w:rPr>
        <w:t>ä</w:t>
      </w:r>
      <w:r w:rsidRPr="007E263F">
        <w:rPr>
          <w:sz w:val="19"/>
          <w:szCs w:val="19"/>
        </w:rPr>
        <w:t>kenskapsåret 2011 är anpassningen till ISA genomförd. För årlig revision inn</w:t>
      </w:r>
      <w:r w:rsidRPr="007E263F">
        <w:rPr>
          <w:sz w:val="19"/>
          <w:szCs w:val="19"/>
        </w:rPr>
        <w:t>e</w:t>
      </w:r>
      <w:r w:rsidRPr="007E263F">
        <w:rPr>
          <w:sz w:val="19"/>
          <w:szCs w:val="19"/>
        </w:rPr>
        <w:t>bär förändringen bland annat att större vikt läggs på granskning av att myndighetsledningarna tar ett tydligt ansvar för redovisning och förvaltning, och för att tillämpade redovisningsprinciper är så u</w:t>
      </w:r>
      <w:r w:rsidRPr="007E263F">
        <w:rPr>
          <w:sz w:val="19"/>
          <w:szCs w:val="19"/>
        </w:rPr>
        <w:t>t</w:t>
      </w:r>
      <w:r w:rsidRPr="007E263F">
        <w:rPr>
          <w:sz w:val="19"/>
          <w:szCs w:val="19"/>
        </w:rPr>
        <w:t xml:space="preserve">formade att de ger en rättvisande bild vid en korrekt tillämpning. </w:t>
      </w:r>
    </w:p>
    <w:p w:rsidR="008C3183" w:rsidRPr="007E263F" w:rsidRDefault="008C3183" w:rsidP="00393044">
      <w:pPr>
        <w:pStyle w:val="normalmedindrag"/>
        <w:spacing w:before="0" w:line="250" w:lineRule="atLeast"/>
        <w:jc w:val="both"/>
        <w:rPr>
          <w:sz w:val="19"/>
          <w:szCs w:val="19"/>
        </w:rPr>
      </w:pPr>
      <w:r w:rsidRPr="007E263F">
        <w:rPr>
          <w:sz w:val="19"/>
          <w:szCs w:val="19"/>
        </w:rPr>
        <w:t>Det senare kom att bli en fråga i granskningen av årsredovisningen för st</w:t>
      </w:r>
      <w:r w:rsidRPr="007E263F">
        <w:rPr>
          <w:sz w:val="19"/>
          <w:szCs w:val="19"/>
        </w:rPr>
        <w:t>a</w:t>
      </w:r>
      <w:r w:rsidRPr="007E263F">
        <w:rPr>
          <w:sz w:val="19"/>
          <w:szCs w:val="19"/>
        </w:rPr>
        <w:t>ten avseende räkenskapsåret 2010. År 2010 regler</w:t>
      </w:r>
      <w:r w:rsidRPr="007E263F">
        <w:rPr>
          <w:sz w:val="19"/>
          <w:szCs w:val="19"/>
        </w:rPr>
        <w:t>a</w:t>
      </w:r>
      <w:r w:rsidRPr="007E263F">
        <w:rPr>
          <w:sz w:val="19"/>
          <w:szCs w:val="19"/>
        </w:rPr>
        <w:t>des årsredovisningen för staten i lagen om statsbudgeten (1996:1959). Lagen var enligt Riksrevisi</w:t>
      </w:r>
      <w:r w:rsidRPr="007E263F">
        <w:rPr>
          <w:sz w:val="19"/>
          <w:szCs w:val="19"/>
        </w:rPr>
        <w:t>o</w:t>
      </w:r>
      <w:r w:rsidRPr="007E263F">
        <w:rPr>
          <w:sz w:val="19"/>
          <w:szCs w:val="19"/>
        </w:rPr>
        <w:t>nens bedömning inte ett ramverk primärt upprättat för att den finansiella rapporteringen skulle ge en rättvisande bild, och den ställde få konkreta krav på redovisningens innehåll och utformning. Riksrevisionen valde därför, i enlighet med ISA, att begränsa sitt uttalande till att årsredovisningen upprä</w:t>
      </w:r>
      <w:r w:rsidRPr="007E263F">
        <w:rPr>
          <w:sz w:val="19"/>
          <w:szCs w:val="19"/>
        </w:rPr>
        <w:t>t</w:t>
      </w:r>
      <w:r w:rsidRPr="007E263F">
        <w:rPr>
          <w:sz w:val="19"/>
          <w:szCs w:val="19"/>
        </w:rPr>
        <w:t>tats enligt lagen om statsbudgeten och inte lä</w:t>
      </w:r>
      <w:r w:rsidRPr="007E263F">
        <w:rPr>
          <w:sz w:val="19"/>
          <w:szCs w:val="19"/>
        </w:rPr>
        <w:t>m</w:t>
      </w:r>
      <w:r w:rsidRPr="007E263F">
        <w:rPr>
          <w:sz w:val="19"/>
          <w:szCs w:val="19"/>
        </w:rPr>
        <w:t>na ett uttalande om rättvisande bild. Detta innebar dock inte att Riksrevisionen funnit väsentliga fel i sin granskning. Regeringen har med anledning av revisionsberättelsen gett Ek</w:t>
      </w:r>
      <w:r w:rsidRPr="007E263F">
        <w:rPr>
          <w:sz w:val="19"/>
          <w:szCs w:val="19"/>
        </w:rPr>
        <w:t>o</w:t>
      </w:r>
      <w:r w:rsidRPr="007E263F">
        <w:rPr>
          <w:sz w:val="19"/>
          <w:szCs w:val="19"/>
        </w:rPr>
        <w:t>nomistyrning</w:t>
      </w:r>
      <w:r w:rsidRPr="007E263F">
        <w:rPr>
          <w:sz w:val="19"/>
          <w:szCs w:val="19"/>
        </w:rPr>
        <w:t>s</w:t>
      </w:r>
      <w:r w:rsidRPr="007E263F">
        <w:rPr>
          <w:sz w:val="19"/>
          <w:szCs w:val="19"/>
        </w:rPr>
        <w:t>verket (ESV) i uppdrag att jämföra redovisningsreglerna för årsredovisningen för staten med internationellt accepterade ramverk för red</w:t>
      </w:r>
      <w:r w:rsidRPr="007E263F">
        <w:rPr>
          <w:sz w:val="19"/>
          <w:szCs w:val="19"/>
        </w:rPr>
        <w:t>o</w:t>
      </w:r>
      <w:r w:rsidRPr="007E263F">
        <w:rPr>
          <w:sz w:val="19"/>
          <w:szCs w:val="19"/>
        </w:rPr>
        <w:t>visning och vid behov föreslå förändringar. Uppdraget ska vara genomfört till december 2012. Vi riksrevisorer ser positivt på uppdraget, inte minst mot bakgrund av att en djupare analys av skillnader mellan svensk statlig redovi</w:t>
      </w:r>
      <w:r w:rsidRPr="007E263F">
        <w:rPr>
          <w:sz w:val="19"/>
          <w:szCs w:val="19"/>
        </w:rPr>
        <w:t>s</w:t>
      </w:r>
      <w:r w:rsidRPr="007E263F">
        <w:rPr>
          <w:sz w:val="19"/>
          <w:szCs w:val="19"/>
        </w:rPr>
        <w:t>ningsnormering och inte</w:t>
      </w:r>
      <w:r w:rsidRPr="007E263F">
        <w:rPr>
          <w:sz w:val="19"/>
          <w:szCs w:val="19"/>
        </w:rPr>
        <w:t>r</w:t>
      </w:r>
      <w:r w:rsidRPr="007E263F">
        <w:rPr>
          <w:sz w:val="19"/>
          <w:szCs w:val="19"/>
        </w:rPr>
        <w:t>nationella standarder inte gjorts på länge. Det är också viktigt för förtroendet för statlig redovisning att redovisningen uppfy</w:t>
      </w:r>
      <w:r w:rsidRPr="007E263F">
        <w:rPr>
          <w:sz w:val="19"/>
          <w:szCs w:val="19"/>
        </w:rPr>
        <w:t>l</w:t>
      </w:r>
      <w:r w:rsidRPr="007E263F">
        <w:rPr>
          <w:sz w:val="19"/>
          <w:szCs w:val="19"/>
        </w:rPr>
        <w:t>ler högt ställda krav på kvalitet och är i nivå med internationellt accepter</w:t>
      </w:r>
      <w:r w:rsidRPr="007E263F">
        <w:rPr>
          <w:sz w:val="19"/>
          <w:szCs w:val="19"/>
        </w:rPr>
        <w:t>a</w:t>
      </w:r>
      <w:r w:rsidRPr="007E263F">
        <w:rPr>
          <w:sz w:val="19"/>
          <w:szCs w:val="19"/>
        </w:rPr>
        <w:t xml:space="preserve">de ramverk för redovisning. </w:t>
      </w:r>
    </w:p>
    <w:p w:rsidR="008C3183" w:rsidRPr="007E263F" w:rsidRDefault="008C3183" w:rsidP="00393044">
      <w:pPr>
        <w:pStyle w:val="normalmedindrag"/>
        <w:spacing w:before="0" w:line="250" w:lineRule="atLeast"/>
        <w:jc w:val="both"/>
        <w:rPr>
          <w:sz w:val="19"/>
          <w:szCs w:val="19"/>
        </w:rPr>
      </w:pPr>
      <w:r w:rsidRPr="007E263F">
        <w:rPr>
          <w:sz w:val="19"/>
          <w:szCs w:val="19"/>
        </w:rPr>
        <w:t>Den tidigare lagen om statsbudgeten ersattes under 2011 med en ny bu</w:t>
      </w:r>
      <w:r w:rsidRPr="007E263F">
        <w:rPr>
          <w:sz w:val="19"/>
          <w:szCs w:val="19"/>
        </w:rPr>
        <w:t>d</w:t>
      </w:r>
      <w:r w:rsidRPr="007E263F">
        <w:rPr>
          <w:sz w:val="19"/>
          <w:szCs w:val="19"/>
        </w:rPr>
        <w:t>getlag. Den nya budgetlagen (2011:203) innebär en tydlig</w:t>
      </w:r>
      <w:r w:rsidRPr="007E263F">
        <w:rPr>
          <w:sz w:val="19"/>
          <w:szCs w:val="19"/>
        </w:rPr>
        <w:t>a</w:t>
      </w:r>
      <w:r w:rsidRPr="007E263F">
        <w:rPr>
          <w:sz w:val="19"/>
          <w:szCs w:val="19"/>
        </w:rPr>
        <w:t>re reglering av årsredovisningen för staten, bland annat avseende årsredovisningens innehåll, avgränsning och uppställningsform. Delar av årsredovisningen som tidigare inte var obligatoriska blir nu lagreglerade, vilket påverkar Riksrevisionens granskning av årsredovisningen. Från att tidigare bara ha avsett de finansiella delarna kommer granskningen nu att avse hela årsredovisningen. Revision</w:t>
      </w:r>
      <w:r w:rsidRPr="007E263F">
        <w:rPr>
          <w:sz w:val="19"/>
          <w:szCs w:val="19"/>
        </w:rPr>
        <w:t>s</w:t>
      </w:r>
      <w:r w:rsidRPr="007E263F">
        <w:rPr>
          <w:sz w:val="19"/>
          <w:szCs w:val="19"/>
        </w:rPr>
        <w:t>berättelsen avseende årsredovisningen för staten 2011 lämnades den 16 maj 2012.</w:t>
      </w:r>
      <w:r w:rsidRPr="007E263F" w:rsidDel="00BB399F">
        <w:rPr>
          <w:sz w:val="19"/>
          <w:szCs w:val="19"/>
        </w:rPr>
        <w:t xml:space="preserve"> </w:t>
      </w:r>
      <w:r w:rsidRPr="007E263F">
        <w:rPr>
          <w:sz w:val="19"/>
          <w:szCs w:val="19"/>
        </w:rPr>
        <w:t>Granskningen har inte resulterat i att några väsentliga fel identifierats. Liksom tidigare år har vi avstått från att uttala oss om huruvida årsredovi</w:t>
      </w:r>
      <w:r w:rsidRPr="007E263F">
        <w:rPr>
          <w:sz w:val="19"/>
          <w:szCs w:val="19"/>
        </w:rPr>
        <w:t>s</w:t>
      </w:r>
      <w:r w:rsidRPr="007E263F">
        <w:rPr>
          <w:sz w:val="19"/>
          <w:szCs w:val="19"/>
        </w:rPr>
        <w:t>ningen ger en rättvisande bild, utan istället framgår att den i allt väsen</w:t>
      </w:r>
      <w:r w:rsidR="003E7264" w:rsidRPr="007E263F">
        <w:rPr>
          <w:sz w:val="19"/>
          <w:szCs w:val="19"/>
        </w:rPr>
        <w:t>t</w:t>
      </w:r>
      <w:r w:rsidRPr="007E263F">
        <w:rPr>
          <w:sz w:val="19"/>
          <w:szCs w:val="19"/>
        </w:rPr>
        <w:t>ligt är upprättad i e</w:t>
      </w:r>
      <w:r w:rsidRPr="007E263F">
        <w:rPr>
          <w:sz w:val="19"/>
          <w:szCs w:val="19"/>
        </w:rPr>
        <w:t>n</w:t>
      </w:r>
      <w:r w:rsidR="00615012" w:rsidRPr="007E263F">
        <w:rPr>
          <w:sz w:val="19"/>
          <w:szCs w:val="19"/>
        </w:rPr>
        <w:t>lighet med paragraferna 5–</w:t>
      </w:r>
      <w:r w:rsidRPr="007E263F">
        <w:rPr>
          <w:sz w:val="19"/>
          <w:szCs w:val="19"/>
        </w:rPr>
        <w:t xml:space="preserve">10 i budgetlagen. </w:t>
      </w:r>
    </w:p>
    <w:p w:rsidR="008C3183" w:rsidRPr="007E263F" w:rsidRDefault="008C3183" w:rsidP="00393044">
      <w:pPr>
        <w:pStyle w:val="normalmedindrag"/>
        <w:spacing w:before="0" w:line="250" w:lineRule="atLeast"/>
        <w:jc w:val="both"/>
        <w:rPr>
          <w:sz w:val="19"/>
          <w:szCs w:val="19"/>
        </w:rPr>
      </w:pPr>
      <w:r w:rsidRPr="007E263F">
        <w:rPr>
          <w:sz w:val="19"/>
          <w:szCs w:val="19"/>
        </w:rPr>
        <w:t>Redovisningsnormering har också aktualiserats i anslutning till Riksrev</w:t>
      </w:r>
      <w:r w:rsidRPr="007E263F">
        <w:rPr>
          <w:sz w:val="19"/>
          <w:szCs w:val="19"/>
        </w:rPr>
        <w:t>i</w:t>
      </w:r>
      <w:r w:rsidRPr="007E263F">
        <w:rPr>
          <w:sz w:val="19"/>
          <w:szCs w:val="19"/>
        </w:rPr>
        <w:t xml:space="preserve">sionens granskning </w:t>
      </w:r>
      <w:r w:rsidRPr="007E263F">
        <w:rPr>
          <w:i/>
          <w:sz w:val="19"/>
          <w:szCs w:val="19"/>
        </w:rPr>
        <w:t>Medfinansiering av statlig infrastru</w:t>
      </w:r>
      <w:r w:rsidRPr="007E263F">
        <w:rPr>
          <w:i/>
          <w:sz w:val="19"/>
          <w:szCs w:val="19"/>
        </w:rPr>
        <w:t>k</w:t>
      </w:r>
      <w:r w:rsidRPr="007E263F">
        <w:rPr>
          <w:i/>
          <w:sz w:val="19"/>
          <w:szCs w:val="19"/>
        </w:rPr>
        <w:t xml:space="preserve">tur </w:t>
      </w:r>
      <w:r w:rsidRPr="007E263F">
        <w:rPr>
          <w:sz w:val="19"/>
          <w:szCs w:val="19"/>
        </w:rPr>
        <w:t>(RiR 2011:28). I syfte att underlätta medfinansiering, utan att denna skulle komma i konflikt med det kommunala balanskravet, genomfördes 2009 ändringar i lagen om kommunal redovisning. Ändringarna innebar att kommunen kunde tillgång</w:t>
      </w:r>
      <w:r w:rsidRPr="007E263F">
        <w:rPr>
          <w:sz w:val="19"/>
          <w:szCs w:val="19"/>
        </w:rPr>
        <w:t>s</w:t>
      </w:r>
      <w:r w:rsidRPr="007E263F">
        <w:rPr>
          <w:sz w:val="19"/>
          <w:szCs w:val="19"/>
        </w:rPr>
        <w:t>föra lämnade bidrag till staten trots att tillgången inte var i deras ägo och kontroll. Flera remissinstanser, däribland ESV, Riksgäldskontoret, Bokf</w:t>
      </w:r>
      <w:r w:rsidRPr="007E263F">
        <w:rPr>
          <w:sz w:val="19"/>
          <w:szCs w:val="19"/>
        </w:rPr>
        <w:t>ö</w:t>
      </w:r>
      <w:r w:rsidRPr="007E263F">
        <w:rPr>
          <w:sz w:val="19"/>
          <w:szCs w:val="19"/>
        </w:rPr>
        <w:t xml:space="preserve">ringsnämnden och Rådet för kommunal redovisning, hade i remissvar invänt mot förändringen med motiveringen att den stred mot god redovisningssed. </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I Riksrevisionens rapport </w:t>
      </w:r>
      <w:r w:rsidRPr="007E263F">
        <w:rPr>
          <w:i/>
          <w:sz w:val="19"/>
          <w:szCs w:val="19"/>
        </w:rPr>
        <w:t xml:space="preserve">Citybanans regionala medfinansiering </w:t>
      </w:r>
      <w:r w:rsidRPr="007E263F">
        <w:rPr>
          <w:sz w:val="19"/>
          <w:szCs w:val="19"/>
        </w:rPr>
        <w:t>(RiR 2012:8)</w:t>
      </w:r>
      <w:r w:rsidRPr="007E263F">
        <w:rPr>
          <w:i/>
          <w:sz w:val="19"/>
          <w:szCs w:val="19"/>
        </w:rPr>
        <w:t xml:space="preserve"> </w:t>
      </w:r>
      <w:r w:rsidRPr="007E263F">
        <w:rPr>
          <w:sz w:val="19"/>
          <w:szCs w:val="19"/>
        </w:rPr>
        <w:t>granskas en investering som också har väsentliga inslag av komm</w:t>
      </w:r>
      <w:r w:rsidRPr="007E263F">
        <w:rPr>
          <w:sz w:val="19"/>
          <w:szCs w:val="19"/>
        </w:rPr>
        <w:t>u</w:t>
      </w:r>
      <w:r w:rsidRPr="007E263F">
        <w:rPr>
          <w:sz w:val="19"/>
          <w:szCs w:val="19"/>
        </w:rPr>
        <w:t>nal medfinansiering. Där bekräftas den oro som remissinstanserna reste i behandlingen av lagen. Granskningen visar att den nya lagen tillåter dubbe</w:t>
      </w:r>
      <w:r w:rsidRPr="007E263F">
        <w:rPr>
          <w:sz w:val="19"/>
          <w:szCs w:val="19"/>
        </w:rPr>
        <w:t>l</w:t>
      </w:r>
      <w:r w:rsidRPr="007E263F">
        <w:rPr>
          <w:sz w:val="19"/>
          <w:szCs w:val="19"/>
        </w:rPr>
        <w:t>redovisning av tillgångar, att detta kräver särskilda rutiner för eliminering i nationalräkensk</w:t>
      </w:r>
      <w:r w:rsidRPr="007E263F">
        <w:rPr>
          <w:sz w:val="19"/>
          <w:szCs w:val="19"/>
        </w:rPr>
        <w:t>a</w:t>
      </w:r>
      <w:r w:rsidRPr="007E263F">
        <w:rPr>
          <w:sz w:val="19"/>
          <w:szCs w:val="19"/>
        </w:rPr>
        <w:t>perna och att tydligare föreskrifter behövs för Trafikverkets redovisning av erhållna bidrag. Med tanke på att den kommunala medfinans</w:t>
      </w:r>
      <w:r w:rsidRPr="007E263F">
        <w:rPr>
          <w:sz w:val="19"/>
          <w:szCs w:val="19"/>
        </w:rPr>
        <w:t>i</w:t>
      </w:r>
      <w:r w:rsidRPr="007E263F">
        <w:rPr>
          <w:sz w:val="19"/>
          <w:szCs w:val="19"/>
        </w:rPr>
        <w:t>eringen har ökat och kan förväntas öka de kommande åren har Riksrevisionen rekommenderat regeringen att utreda kons</w:t>
      </w:r>
      <w:r w:rsidRPr="007E263F">
        <w:rPr>
          <w:sz w:val="19"/>
          <w:szCs w:val="19"/>
        </w:rPr>
        <w:t>e</w:t>
      </w:r>
      <w:r w:rsidRPr="007E263F">
        <w:rPr>
          <w:sz w:val="19"/>
          <w:szCs w:val="19"/>
        </w:rPr>
        <w:t>kvenserna av medfinansiering i den offentliga redovisningen och särskilt klarlägga konsekvenserna av det avsteg från god redovi</w:t>
      </w:r>
      <w:r w:rsidRPr="007E263F">
        <w:rPr>
          <w:sz w:val="19"/>
          <w:szCs w:val="19"/>
        </w:rPr>
        <w:t>s</w:t>
      </w:r>
      <w:r w:rsidRPr="007E263F">
        <w:rPr>
          <w:sz w:val="19"/>
          <w:szCs w:val="19"/>
        </w:rPr>
        <w:t>ningssed i den kommunala redovisningen som den nya lagstif</w:t>
      </w:r>
      <w:r w:rsidRPr="007E263F">
        <w:rPr>
          <w:sz w:val="19"/>
          <w:szCs w:val="19"/>
        </w:rPr>
        <w:t>t</w:t>
      </w:r>
      <w:r w:rsidRPr="007E263F">
        <w:rPr>
          <w:sz w:val="19"/>
          <w:szCs w:val="19"/>
        </w:rPr>
        <w:t xml:space="preserve">ningen medger. </w:t>
      </w:r>
    </w:p>
    <w:p w:rsidR="008C3183" w:rsidRPr="007E263F" w:rsidRDefault="008C3183" w:rsidP="00393044">
      <w:pPr>
        <w:pStyle w:val="Rubrik2"/>
        <w:spacing w:line="250" w:lineRule="atLeast"/>
        <w:jc w:val="both"/>
      </w:pPr>
      <w:bookmarkStart w:id="16" w:name="_Toc320866978"/>
      <w:bookmarkStart w:id="17" w:name="_Toc326137776"/>
      <w:r w:rsidRPr="007E263F">
        <w:t>Effektivitetsrevision</w:t>
      </w:r>
      <w:bookmarkEnd w:id="16"/>
      <w:bookmarkEnd w:id="17"/>
    </w:p>
    <w:p w:rsidR="008C3183" w:rsidRPr="007E263F" w:rsidRDefault="008C3183" w:rsidP="00393044">
      <w:r w:rsidRPr="007E263F">
        <w:t>Finanskrisen har även skapat nya utmaningar för effektivitetsrevisionen. Sedan 2008 bevakar Riksrevisionen aktivt, inom ramen för granskningsstr</w:t>
      </w:r>
      <w:r w:rsidRPr="007E263F">
        <w:t>a</w:t>
      </w:r>
      <w:r w:rsidRPr="007E263F">
        <w:t xml:space="preserve">tegin </w:t>
      </w:r>
      <w:r w:rsidRPr="007E263F">
        <w:rPr>
          <w:i/>
        </w:rPr>
        <w:t>Offentliga finanser</w:t>
      </w:r>
      <w:r w:rsidRPr="007E263F">
        <w:t>,</w:t>
      </w:r>
      <w:r w:rsidRPr="007E263F">
        <w:rPr>
          <w:i/>
        </w:rPr>
        <w:t xml:space="preserve"> </w:t>
      </w:r>
      <w:r w:rsidRPr="007E263F">
        <w:t xml:space="preserve">den finansmarknadspolitiska utvecklingen och har genomfört tre effektivitetsgranskningar på området. År 2009 presenterades en granskning över regeringens program för statliga garantier till banker och exportindustrin under finanskrisen, </w:t>
      </w:r>
      <w:r w:rsidRPr="007E263F">
        <w:rPr>
          <w:i/>
        </w:rPr>
        <w:t xml:space="preserve">Statens garantier i finanskrisen </w:t>
      </w:r>
      <w:r w:rsidRPr="007E263F">
        <w:t>(RiR 2009:26). Granskningen visade att de villkor regeringen och EU ställt upp för garantierna bidrog till att hålla nere statens kostnader för dessa och öka mö</w:t>
      </w:r>
      <w:r w:rsidRPr="007E263F">
        <w:t>j</w:t>
      </w:r>
      <w:r w:rsidRPr="007E263F">
        <w:t>ligheten till återvinning av gjorda förluster. Av rapporten framgår dock att regeringen inte säkerställt ett tillfreds</w:t>
      </w:r>
      <w:r w:rsidR="003E7264" w:rsidRPr="007E263F">
        <w:t>s</w:t>
      </w:r>
      <w:r w:rsidRPr="007E263F">
        <w:t>tällande underlag för bedömning av statens risker för framtida kostnader för givna garantier. Regeringen hade inte heller lämnat en samlad och tydlig återrapportering till riksdagen. I enlighet med granskningsrapportens rekommendationer har regeringen initierat anal</w:t>
      </w:r>
      <w:r w:rsidRPr="007E263F">
        <w:t>y</w:t>
      </w:r>
      <w:r w:rsidRPr="007E263F">
        <w:t>ser om de ekonomiska riskerna för staten som är förknippade med garantie</w:t>
      </w:r>
      <w:r w:rsidRPr="007E263F">
        <w:t>r</w:t>
      </w:r>
      <w:r w:rsidRPr="007E263F">
        <w:t>na. Regeringens redovisning har också förbättrats i och med den samlade analys som numera görs av Riksgäldskontoret. Det är samtidigt svårt att up</w:t>
      </w:r>
      <w:r w:rsidRPr="007E263F">
        <w:t>p</w:t>
      </w:r>
      <w:r w:rsidRPr="007E263F">
        <w:t>skatta denna typ av risker, varför detta är ett fortlöpande arbete som kan komma att förbättras över tiden i takt med att modeller för riskerna i garant</w:t>
      </w:r>
      <w:r w:rsidRPr="007E263F">
        <w:t>i</w:t>
      </w:r>
      <w:r w:rsidRPr="007E263F">
        <w:t xml:space="preserve">systemen utvecklas. </w:t>
      </w:r>
    </w:p>
    <w:p w:rsidR="008C3183" w:rsidRPr="007E263F" w:rsidRDefault="00D03362" w:rsidP="00393044">
      <w:pPr>
        <w:pStyle w:val="normalmedindrag"/>
        <w:spacing w:before="0" w:line="250" w:lineRule="atLeast"/>
        <w:jc w:val="both"/>
        <w:rPr>
          <w:sz w:val="19"/>
          <w:szCs w:val="19"/>
        </w:rPr>
      </w:pPr>
      <w:r w:rsidRPr="007E263F">
        <w:rPr>
          <w:sz w:val="19"/>
          <w:szCs w:val="19"/>
        </w:rPr>
        <w:t>I början på</w:t>
      </w:r>
      <w:r w:rsidR="008C3183" w:rsidRPr="007E263F">
        <w:rPr>
          <w:sz w:val="19"/>
          <w:szCs w:val="19"/>
        </w:rPr>
        <w:t xml:space="preserve"> 2011 presenterades granskningen </w:t>
      </w:r>
      <w:r w:rsidR="008C3183" w:rsidRPr="007E263F">
        <w:rPr>
          <w:i/>
          <w:sz w:val="19"/>
          <w:szCs w:val="19"/>
        </w:rPr>
        <w:t>Myndigheternas insatser för f</w:t>
      </w:r>
      <w:r w:rsidR="008C3183" w:rsidRPr="007E263F">
        <w:rPr>
          <w:i/>
          <w:sz w:val="19"/>
          <w:szCs w:val="19"/>
        </w:rPr>
        <w:t>i</w:t>
      </w:r>
      <w:r w:rsidR="008C3183" w:rsidRPr="007E263F">
        <w:rPr>
          <w:i/>
          <w:sz w:val="19"/>
          <w:szCs w:val="19"/>
        </w:rPr>
        <w:t xml:space="preserve">nansiell stabilitet – Lärdomar i ljuset av utvecklingen i Baltikum 2005–2007 </w:t>
      </w:r>
      <w:r w:rsidR="008C3183" w:rsidRPr="007E263F">
        <w:rPr>
          <w:sz w:val="19"/>
          <w:szCs w:val="19"/>
        </w:rPr>
        <w:t>(RiR 2011:9). Riksrevisionen granskade där Riksbankens och Finansinspe</w:t>
      </w:r>
      <w:r w:rsidR="008C3183" w:rsidRPr="007E263F">
        <w:rPr>
          <w:sz w:val="19"/>
          <w:szCs w:val="19"/>
        </w:rPr>
        <w:t>k</w:t>
      </w:r>
      <w:r w:rsidR="008C3183" w:rsidRPr="007E263F">
        <w:rPr>
          <w:sz w:val="19"/>
          <w:szCs w:val="19"/>
        </w:rPr>
        <w:t>tionens arbete med finansiell stabil</w:t>
      </w:r>
      <w:r w:rsidR="008C3183" w:rsidRPr="007E263F">
        <w:rPr>
          <w:sz w:val="19"/>
          <w:szCs w:val="19"/>
        </w:rPr>
        <w:t>i</w:t>
      </w:r>
      <w:r w:rsidR="008C3183" w:rsidRPr="007E263F">
        <w:rPr>
          <w:sz w:val="19"/>
          <w:szCs w:val="19"/>
        </w:rPr>
        <w:t>tet i ljuset av den risk som de svenska bankernas expansion i Baltikum innebar. Granskningen visade att båda my</w:t>
      </w:r>
      <w:r w:rsidR="008C3183" w:rsidRPr="007E263F">
        <w:rPr>
          <w:sz w:val="19"/>
          <w:szCs w:val="19"/>
        </w:rPr>
        <w:t>n</w:t>
      </w:r>
      <w:r w:rsidR="008C3183" w:rsidRPr="007E263F">
        <w:rPr>
          <w:sz w:val="19"/>
          <w:szCs w:val="19"/>
        </w:rPr>
        <w:t>digheterna underskattade riskerna i det finansiella systemet, i synnerhet likv</w:t>
      </w:r>
      <w:r w:rsidR="008C3183" w:rsidRPr="007E263F">
        <w:rPr>
          <w:sz w:val="19"/>
          <w:szCs w:val="19"/>
        </w:rPr>
        <w:t>i</w:t>
      </w:r>
      <w:r w:rsidR="008C3183" w:rsidRPr="007E263F">
        <w:rPr>
          <w:sz w:val="19"/>
          <w:szCs w:val="19"/>
        </w:rPr>
        <w:t>ditetsriskerna, och att deras mandat för att hantera riskerna var otydliga. Dä</w:t>
      </w:r>
      <w:r w:rsidR="008C3183" w:rsidRPr="007E263F">
        <w:rPr>
          <w:sz w:val="19"/>
          <w:szCs w:val="19"/>
        </w:rPr>
        <w:t>r</w:t>
      </w:r>
      <w:r w:rsidR="008C3183" w:rsidRPr="007E263F">
        <w:rPr>
          <w:sz w:val="19"/>
          <w:szCs w:val="19"/>
        </w:rPr>
        <w:t>utöver baserades de stresstester som genomfördes före finan</w:t>
      </w:r>
      <w:r w:rsidR="008C3183" w:rsidRPr="007E263F">
        <w:rPr>
          <w:sz w:val="19"/>
          <w:szCs w:val="19"/>
        </w:rPr>
        <w:t>s</w:t>
      </w:r>
      <w:r w:rsidR="008C3183" w:rsidRPr="007E263F">
        <w:rPr>
          <w:sz w:val="19"/>
          <w:szCs w:val="19"/>
        </w:rPr>
        <w:t>krisen på väl försiktiga antaganden, till exempel var effekterna av en konjunkturnedgång isolerad</w:t>
      </w:r>
      <w:r w:rsidRPr="007E263F">
        <w:rPr>
          <w:sz w:val="19"/>
          <w:szCs w:val="19"/>
        </w:rPr>
        <w:t>e</w:t>
      </w:r>
      <w:r w:rsidR="008C3183" w:rsidRPr="007E263F">
        <w:rPr>
          <w:sz w:val="19"/>
          <w:szCs w:val="19"/>
        </w:rPr>
        <w:t xml:space="preserve"> till Baltikum.  </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rekommenderade bland annat att regeringen bör se över Riksbankens och Finansinspektionens mandat och verktyg för att säkerställa finansiell stabilitet och att ett regelverk för makrotillsyn bör utredas. Däru</w:t>
      </w:r>
      <w:r w:rsidRPr="007E263F">
        <w:rPr>
          <w:sz w:val="19"/>
          <w:szCs w:val="19"/>
        </w:rPr>
        <w:t>t</w:t>
      </w:r>
      <w:r w:rsidRPr="007E263F">
        <w:rPr>
          <w:sz w:val="19"/>
          <w:szCs w:val="19"/>
        </w:rPr>
        <w:t>över konstaterade vi att om det instit</w:t>
      </w:r>
      <w:r w:rsidRPr="007E263F">
        <w:rPr>
          <w:sz w:val="19"/>
          <w:szCs w:val="19"/>
        </w:rPr>
        <w:t>u</w:t>
      </w:r>
      <w:r w:rsidRPr="007E263F">
        <w:rPr>
          <w:sz w:val="19"/>
          <w:szCs w:val="19"/>
        </w:rPr>
        <w:t>tionella upplägget kvarstår, med två separata myndigheter som båda har ansvar för att upprätthålla finansiell stab</w:t>
      </w:r>
      <w:r w:rsidRPr="007E263F">
        <w:rPr>
          <w:sz w:val="19"/>
          <w:szCs w:val="19"/>
        </w:rPr>
        <w:t>i</w:t>
      </w:r>
      <w:r w:rsidRPr="007E263F">
        <w:rPr>
          <w:sz w:val="19"/>
          <w:szCs w:val="19"/>
        </w:rPr>
        <w:t>litet, bör Rik</w:t>
      </w:r>
      <w:r w:rsidRPr="007E263F">
        <w:rPr>
          <w:sz w:val="19"/>
          <w:szCs w:val="19"/>
        </w:rPr>
        <w:t>s</w:t>
      </w:r>
      <w:r w:rsidRPr="007E263F">
        <w:rPr>
          <w:sz w:val="19"/>
          <w:szCs w:val="19"/>
        </w:rPr>
        <w:t xml:space="preserve">banken och Finansinspektionen fortsätta det nära samarbetet om att upprätthålla finansiell stabilitet. </w:t>
      </w:r>
    </w:p>
    <w:p w:rsidR="008C3183" w:rsidRPr="007E263F" w:rsidRDefault="008C3183" w:rsidP="00393044">
      <w:pPr>
        <w:pStyle w:val="normalmedindrag"/>
        <w:spacing w:before="0" w:line="250" w:lineRule="atLeast"/>
        <w:jc w:val="both"/>
        <w:rPr>
          <w:sz w:val="19"/>
          <w:szCs w:val="19"/>
        </w:rPr>
      </w:pPr>
      <w:r w:rsidRPr="007E263F">
        <w:rPr>
          <w:sz w:val="19"/>
          <w:szCs w:val="19"/>
        </w:rPr>
        <w:t>Sedan granskningen publicerades har Riksbanken och Finansi</w:t>
      </w:r>
      <w:r w:rsidRPr="007E263F">
        <w:rPr>
          <w:sz w:val="19"/>
          <w:szCs w:val="19"/>
        </w:rPr>
        <w:t>n</w:t>
      </w:r>
      <w:r w:rsidRPr="007E263F">
        <w:rPr>
          <w:sz w:val="19"/>
          <w:szCs w:val="19"/>
        </w:rPr>
        <w:t>spektionen bildat ett samverkansråd för att hantera frågor rörande de makrofinansiella riskerna. Därutöver kommer Finanskriskommittén att presentera sitt betä</w:t>
      </w:r>
      <w:r w:rsidRPr="007E263F">
        <w:rPr>
          <w:sz w:val="19"/>
          <w:szCs w:val="19"/>
        </w:rPr>
        <w:t>n</w:t>
      </w:r>
      <w:r w:rsidRPr="007E263F">
        <w:rPr>
          <w:sz w:val="19"/>
          <w:szCs w:val="19"/>
        </w:rPr>
        <w:t>kande i augusti 2012. I Finanskriskommitténs uppdrag ingår flera av de pr</w:t>
      </w:r>
      <w:r w:rsidRPr="007E263F">
        <w:rPr>
          <w:sz w:val="19"/>
          <w:szCs w:val="19"/>
        </w:rPr>
        <w:t>o</w:t>
      </w:r>
      <w:r w:rsidRPr="007E263F">
        <w:rPr>
          <w:sz w:val="19"/>
          <w:szCs w:val="19"/>
        </w:rPr>
        <w:t>blemområden grans</w:t>
      </w:r>
      <w:r w:rsidRPr="007E263F">
        <w:rPr>
          <w:sz w:val="19"/>
          <w:szCs w:val="19"/>
        </w:rPr>
        <w:t>k</w:t>
      </w:r>
      <w:r w:rsidRPr="007E263F">
        <w:rPr>
          <w:sz w:val="19"/>
          <w:szCs w:val="19"/>
        </w:rPr>
        <w:t>ningen belyste. Riksdagen har också återkommande anordnat öp</w:t>
      </w:r>
      <w:r w:rsidRPr="007E263F">
        <w:rPr>
          <w:sz w:val="19"/>
          <w:szCs w:val="19"/>
        </w:rPr>
        <w:t>p</w:t>
      </w:r>
      <w:r w:rsidRPr="007E263F">
        <w:rPr>
          <w:sz w:val="19"/>
          <w:szCs w:val="19"/>
        </w:rPr>
        <w:t>na utfrågningar rörande olika aspekter av finansiell stabilitet. Sammantaget kan vi notera att utvecklingsarbetet kring hanterin</w:t>
      </w:r>
      <w:r w:rsidRPr="007E263F">
        <w:rPr>
          <w:sz w:val="19"/>
          <w:szCs w:val="19"/>
        </w:rPr>
        <w:t>g</w:t>
      </w:r>
      <w:r w:rsidRPr="007E263F">
        <w:rPr>
          <w:sz w:val="19"/>
          <w:szCs w:val="19"/>
        </w:rPr>
        <w:t>en av risker för det finansiella systemet och minimeringen av dessa riskers effekter för den reala ekonomin har intensifierats och fö</w:t>
      </w:r>
      <w:r w:rsidRPr="007E263F">
        <w:rPr>
          <w:sz w:val="19"/>
          <w:szCs w:val="19"/>
        </w:rPr>
        <w:t>r</w:t>
      </w:r>
      <w:r w:rsidRPr="007E263F">
        <w:rPr>
          <w:sz w:val="19"/>
          <w:szCs w:val="19"/>
        </w:rPr>
        <w:t xml:space="preserve">bättrats sedan krisen. Samtidigt innebär storleken på den svenska finansiella sektorn, i förhållande till den svenska ekonomin, att detta bör förbli ett prioriterat område.   </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Den tredje granskningen, </w:t>
      </w:r>
      <w:r w:rsidRPr="007E263F">
        <w:rPr>
          <w:i/>
          <w:sz w:val="19"/>
          <w:szCs w:val="19"/>
        </w:rPr>
        <w:t xml:space="preserve">Stabilitetsfonden – Gör den skäl för namnet? </w:t>
      </w:r>
      <w:r w:rsidRPr="007E263F">
        <w:rPr>
          <w:sz w:val="19"/>
          <w:szCs w:val="19"/>
        </w:rPr>
        <w:t>(RiR 2011:26)</w:t>
      </w:r>
      <w:r w:rsidR="00D03362" w:rsidRPr="007E263F">
        <w:rPr>
          <w:sz w:val="19"/>
          <w:szCs w:val="19"/>
        </w:rPr>
        <w:t>,</w:t>
      </w:r>
      <w:r w:rsidRPr="007E263F">
        <w:rPr>
          <w:i/>
          <w:sz w:val="19"/>
          <w:szCs w:val="19"/>
        </w:rPr>
        <w:t xml:space="preserve"> </w:t>
      </w:r>
      <w:r w:rsidRPr="007E263F">
        <w:rPr>
          <w:sz w:val="19"/>
          <w:szCs w:val="19"/>
        </w:rPr>
        <w:t>avsåg Stabilitetsfonden som inrättades under hösten 2008 för att finansiera framtida räddningsinsatser för systemviktiga finansiella institut. Granskningen rörde två aspekter. För det första huruvida fonden organiser</w:t>
      </w:r>
      <w:r w:rsidRPr="007E263F">
        <w:rPr>
          <w:sz w:val="19"/>
          <w:szCs w:val="19"/>
        </w:rPr>
        <w:t>a</w:t>
      </w:r>
      <w:r w:rsidRPr="007E263F">
        <w:rPr>
          <w:sz w:val="19"/>
          <w:szCs w:val="19"/>
        </w:rPr>
        <w:t>des på ett effektivt sätt för att hantera de direkta kostnaderna av stödinsatser till finansiella institut på ett för skattbetalarna ekonomiskt förmånligt vis. Fö</w:t>
      </w:r>
      <w:r w:rsidR="00D03362" w:rsidRPr="007E263F">
        <w:rPr>
          <w:sz w:val="19"/>
          <w:szCs w:val="19"/>
        </w:rPr>
        <w:t>r det andra om användningen av S</w:t>
      </w:r>
      <w:r w:rsidRPr="007E263F">
        <w:rPr>
          <w:sz w:val="19"/>
          <w:szCs w:val="19"/>
        </w:rPr>
        <w:t>tabilitetsfonden för att finansiera st</w:t>
      </w:r>
      <w:r w:rsidRPr="007E263F">
        <w:rPr>
          <w:sz w:val="19"/>
          <w:szCs w:val="19"/>
        </w:rPr>
        <w:t>a</w:t>
      </w:r>
      <w:r w:rsidRPr="007E263F">
        <w:rPr>
          <w:sz w:val="19"/>
          <w:szCs w:val="19"/>
        </w:rPr>
        <w:t>tens egen del av nyemissionen i Nordea faller inom ramen för vad fonden är avsedd att användas till. Riksrevisionen poängterade bland annat att det inte är rimligt att knyta ett mål för storleken på fonden till storleken på den svenska ekonomin. I dagsläget är målet att fonden ska uppgå till 2,5 procent av BNP 2025, men erfarenh</w:t>
      </w:r>
      <w:r w:rsidRPr="007E263F">
        <w:rPr>
          <w:sz w:val="19"/>
          <w:szCs w:val="19"/>
        </w:rPr>
        <w:t>e</w:t>
      </w:r>
      <w:r w:rsidRPr="007E263F">
        <w:rPr>
          <w:sz w:val="19"/>
          <w:szCs w:val="19"/>
        </w:rPr>
        <w:t>ten visar att riskerna i det finansiella systemet tenderar att öka när systemet växer snabbare än ekonomin i stort. Storleken på fonden bör därför kopplas till ett mer relevant mått på de systemviktiga institutens balansrä</w:t>
      </w:r>
      <w:r w:rsidRPr="007E263F">
        <w:rPr>
          <w:sz w:val="19"/>
          <w:szCs w:val="19"/>
        </w:rPr>
        <w:t>k</w:t>
      </w:r>
      <w:r w:rsidRPr="007E263F">
        <w:rPr>
          <w:sz w:val="19"/>
          <w:szCs w:val="19"/>
        </w:rPr>
        <w:t xml:space="preserve">ningar. </w:t>
      </w:r>
    </w:p>
    <w:p w:rsidR="008C3183" w:rsidRPr="007E263F" w:rsidRDefault="008C3183" w:rsidP="00393044">
      <w:pPr>
        <w:pStyle w:val="normalmedindrag"/>
        <w:spacing w:before="0" w:line="250" w:lineRule="atLeast"/>
        <w:jc w:val="both"/>
        <w:rPr>
          <w:sz w:val="19"/>
          <w:szCs w:val="19"/>
        </w:rPr>
      </w:pPr>
      <w:r w:rsidRPr="007E263F">
        <w:rPr>
          <w:sz w:val="19"/>
          <w:szCs w:val="19"/>
        </w:rPr>
        <w:t>Granskningen pekade också på den risk det innebär för skatteb</w:t>
      </w:r>
      <w:r w:rsidRPr="007E263F">
        <w:rPr>
          <w:sz w:val="19"/>
          <w:szCs w:val="19"/>
        </w:rPr>
        <w:t>e</w:t>
      </w:r>
      <w:r w:rsidRPr="007E263F">
        <w:rPr>
          <w:sz w:val="19"/>
          <w:szCs w:val="19"/>
        </w:rPr>
        <w:t xml:space="preserve">talarna att medlen i Stabilitetsfonden inte fonderas utan används till att finansiera statens löpande utgifter. Det vill säga, om fonden ska användas till att finansiera stödåtgärder för en fallerande bank så måste staten ge ut nya statsobligationer för att finansiera åtgärden. Lärdomar från både den svenska krisen i början av </w:t>
      </w:r>
      <w:r w:rsidR="00D03362" w:rsidRPr="007E263F">
        <w:rPr>
          <w:sz w:val="19"/>
          <w:szCs w:val="19"/>
        </w:rPr>
        <w:t>19</w:t>
      </w:r>
      <w:r w:rsidRPr="007E263F">
        <w:rPr>
          <w:sz w:val="19"/>
          <w:szCs w:val="19"/>
        </w:rPr>
        <w:t>90-talet och från den senaste globala finansiella krisen ger vid handen att lån</w:t>
      </w:r>
      <w:r w:rsidRPr="007E263F">
        <w:rPr>
          <w:sz w:val="19"/>
          <w:szCs w:val="19"/>
        </w:rPr>
        <w:t>e</w:t>
      </w:r>
      <w:r w:rsidRPr="007E263F">
        <w:rPr>
          <w:sz w:val="19"/>
          <w:szCs w:val="19"/>
        </w:rPr>
        <w:t>kostnaderna för stater som behöver rädda sitt finansiella system kan öka dramatiskt. Det vore därför önskvärt att undersöka möjli</w:t>
      </w:r>
      <w:r w:rsidRPr="007E263F">
        <w:rPr>
          <w:sz w:val="19"/>
          <w:szCs w:val="19"/>
        </w:rPr>
        <w:t>g</w:t>
      </w:r>
      <w:r w:rsidRPr="007E263F">
        <w:rPr>
          <w:sz w:val="19"/>
          <w:szCs w:val="19"/>
        </w:rPr>
        <w:t>heten att placera fondens tillgångar i likvida riskfria tillgångar som snabbt skulle kunna avyt</w:t>
      </w:r>
      <w:r w:rsidRPr="007E263F">
        <w:rPr>
          <w:sz w:val="19"/>
          <w:szCs w:val="19"/>
        </w:rPr>
        <w:t>t</w:t>
      </w:r>
      <w:r w:rsidRPr="007E263F">
        <w:rPr>
          <w:sz w:val="19"/>
          <w:szCs w:val="19"/>
        </w:rPr>
        <w:t>ras i händelse av att fonden måste anvä</w:t>
      </w:r>
      <w:r w:rsidRPr="007E263F">
        <w:rPr>
          <w:sz w:val="19"/>
          <w:szCs w:val="19"/>
        </w:rPr>
        <w:t>n</w:t>
      </w:r>
      <w:r w:rsidRPr="007E263F">
        <w:rPr>
          <w:sz w:val="19"/>
          <w:szCs w:val="19"/>
        </w:rPr>
        <w:t>das.</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noterade dessutom att det är tveksamt om rege</w:t>
      </w:r>
      <w:r w:rsidRPr="007E263F">
        <w:rPr>
          <w:sz w:val="19"/>
          <w:szCs w:val="19"/>
        </w:rPr>
        <w:t>r</w:t>
      </w:r>
      <w:r w:rsidRPr="007E263F">
        <w:rPr>
          <w:sz w:val="19"/>
          <w:szCs w:val="19"/>
        </w:rPr>
        <w:t>ingen hade riksdagens b</w:t>
      </w:r>
      <w:r w:rsidR="00D03362" w:rsidRPr="007E263F">
        <w:rPr>
          <w:sz w:val="19"/>
          <w:szCs w:val="19"/>
        </w:rPr>
        <w:t>emyndigande att använda sig av S</w:t>
      </w:r>
      <w:r w:rsidRPr="007E263F">
        <w:rPr>
          <w:sz w:val="19"/>
          <w:szCs w:val="19"/>
        </w:rPr>
        <w:t>tabilitetsfonden för att finansi</w:t>
      </w:r>
      <w:r w:rsidRPr="007E263F">
        <w:rPr>
          <w:sz w:val="19"/>
          <w:szCs w:val="19"/>
        </w:rPr>
        <w:t>e</w:t>
      </w:r>
      <w:r w:rsidRPr="007E263F">
        <w:rPr>
          <w:sz w:val="19"/>
          <w:szCs w:val="19"/>
        </w:rPr>
        <w:t>ra statens del i den nyemission som Nordea genomförde 2009. Nordea befann sig inte i någon krissituation och nyemissionen gjordes för att försöka öka bankens marknadsandelar. Effekten av be</w:t>
      </w:r>
      <w:r w:rsidR="00D03362" w:rsidRPr="007E263F">
        <w:rPr>
          <w:sz w:val="19"/>
          <w:szCs w:val="19"/>
        </w:rPr>
        <w:t>slutet blev att staten använde S</w:t>
      </w:r>
      <w:r w:rsidRPr="007E263F">
        <w:rPr>
          <w:sz w:val="19"/>
          <w:szCs w:val="19"/>
        </w:rPr>
        <w:t>tab</w:t>
      </w:r>
      <w:r w:rsidRPr="007E263F">
        <w:rPr>
          <w:sz w:val="19"/>
          <w:szCs w:val="19"/>
        </w:rPr>
        <w:t>i</w:t>
      </w:r>
      <w:r w:rsidRPr="007E263F">
        <w:rPr>
          <w:sz w:val="19"/>
          <w:szCs w:val="19"/>
        </w:rPr>
        <w:t>litetsfonden för att förvara sin egen ägarandel i banken utan att beslutet b</w:t>
      </w:r>
      <w:r w:rsidRPr="007E263F">
        <w:rPr>
          <w:sz w:val="19"/>
          <w:szCs w:val="19"/>
        </w:rPr>
        <w:t>e</w:t>
      </w:r>
      <w:r w:rsidRPr="007E263F">
        <w:rPr>
          <w:sz w:val="19"/>
          <w:szCs w:val="19"/>
        </w:rPr>
        <w:t>hövde genomgå den gängse riksdagsprövningen.</w:t>
      </w:r>
    </w:p>
    <w:p w:rsidR="008C3183" w:rsidRPr="007E263F" w:rsidRDefault="008C3183" w:rsidP="00393044">
      <w:pPr>
        <w:pStyle w:val="normalmedindrag"/>
        <w:spacing w:before="0" w:line="250" w:lineRule="atLeast"/>
        <w:jc w:val="both"/>
        <w:rPr>
          <w:sz w:val="19"/>
          <w:szCs w:val="19"/>
        </w:rPr>
      </w:pPr>
      <w:r w:rsidRPr="007E263F">
        <w:rPr>
          <w:sz w:val="19"/>
          <w:szCs w:val="19"/>
        </w:rPr>
        <w:t>Regeringen har inkommit med sin skrivelse med anledning av rapporten (skr. 2011/12:71). Skrivelsen har i skrivande stund ännu inte slutbehandlats i riksdagen. Regeringen delar dock i skrivelsen Riksrevisionens bedömning att det finns skäl att se över storleken på fonden och placeringen av dess medel. Vidare påpekar Rik</w:t>
      </w:r>
      <w:r w:rsidRPr="007E263F">
        <w:rPr>
          <w:sz w:val="19"/>
          <w:szCs w:val="19"/>
        </w:rPr>
        <w:t>s</w:t>
      </w:r>
      <w:r w:rsidRPr="007E263F">
        <w:rPr>
          <w:sz w:val="19"/>
          <w:szCs w:val="19"/>
        </w:rPr>
        <w:t>gäldskontoret att beslutet att överföra teckningsrätterna i Nordea borde ha underställts riksdagen. Finanskriskommittén har även fått i uppdrag att utvärdera Stabilitetsfondens storlek och utformningen av de a</w:t>
      </w:r>
      <w:r w:rsidRPr="007E263F">
        <w:rPr>
          <w:sz w:val="19"/>
          <w:szCs w:val="19"/>
        </w:rPr>
        <w:t>v</w:t>
      </w:r>
      <w:r w:rsidRPr="007E263F">
        <w:rPr>
          <w:sz w:val="19"/>
          <w:szCs w:val="19"/>
        </w:rPr>
        <w:t xml:space="preserve">gifter som bankerna betalar. </w:t>
      </w:r>
    </w:p>
    <w:p w:rsidR="008C3183" w:rsidRPr="007E263F" w:rsidRDefault="008C3183" w:rsidP="00790E55">
      <w:pPr>
        <w:pStyle w:val="Rubrik2"/>
      </w:pPr>
      <w:bookmarkStart w:id="18" w:name="_Toc326137777"/>
      <w:r w:rsidRPr="007E263F">
        <w:t>Riksrevisionens internationella verksamhet</w:t>
      </w:r>
      <w:bookmarkEnd w:id="18"/>
    </w:p>
    <w:p w:rsidR="008C3183" w:rsidRPr="007E263F" w:rsidRDefault="008C3183" w:rsidP="00393044">
      <w:pPr>
        <w:pStyle w:val="normalmedindrag"/>
        <w:spacing w:line="250" w:lineRule="atLeast"/>
        <w:ind w:firstLine="0"/>
        <w:jc w:val="both"/>
        <w:rPr>
          <w:sz w:val="19"/>
          <w:szCs w:val="19"/>
        </w:rPr>
      </w:pPr>
      <w:r w:rsidRPr="007E263F">
        <w:rPr>
          <w:sz w:val="19"/>
          <w:szCs w:val="19"/>
        </w:rPr>
        <w:t>Finanskrisen har även påverkat Riksrevisionens internationella verksamhet. Vi deltar aktivt i flera internationella samarbeten om vilka lärdomar som kan dras från finanskrisen för revisionsarbetet. Bland annat har Riksrevisionen lett arbetet inom en av undergrupperna i de nationella revisionsorganens sama</w:t>
      </w:r>
      <w:r w:rsidRPr="007E263F">
        <w:rPr>
          <w:sz w:val="19"/>
          <w:szCs w:val="19"/>
        </w:rPr>
        <w:t>r</w:t>
      </w:r>
      <w:r w:rsidRPr="007E263F">
        <w:rPr>
          <w:sz w:val="19"/>
          <w:szCs w:val="19"/>
        </w:rPr>
        <w:t>betsorganisation INTOSAI.</w:t>
      </w:r>
      <w:r w:rsidRPr="007E263F">
        <w:rPr>
          <w:rStyle w:val="Fotnotsreferens"/>
          <w:sz w:val="19"/>
          <w:szCs w:val="19"/>
        </w:rPr>
        <w:footnoteReference w:id="2"/>
      </w:r>
      <w:r w:rsidRPr="007E263F">
        <w:rPr>
          <w:sz w:val="19"/>
          <w:szCs w:val="19"/>
        </w:rPr>
        <w:t xml:space="preserve"> En rapport om lärdomar från finanskrisen färdi</w:t>
      </w:r>
      <w:r w:rsidRPr="007E263F">
        <w:rPr>
          <w:sz w:val="19"/>
          <w:szCs w:val="19"/>
        </w:rPr>
        <w:t>g</w:t>
      </w:r>
      <w:r w:rsidRPr="007E263F">
        <w:rPr>
          <w:sz w:val="19"/>
          <w:szCs w:val="19"/>
        </w:rPr>
        <w:t xml:space="preserve">ställdes under 2010 och presenterades vid INTOSAI:s kongress i Sydafrika i november 2011. Arbetet inom denna undergrupp fortsätter under USA:s nationella revisionsorgan GAO:s ledning fram till nästa kongress i Peking 2013. </w:t>
      </w:r>
    </w:p>
    <w:p w:rsidR="008C3183" w:rsidRPr="007E263F" w:rsidRDefault="008C3183" w:rsidP="00393044">
      <w:pPr>
        <w:pStyle w:val="normalmedindrag"/>
        <w:spacing w:before="0" w:line="250" w:lineRule="atLeast"/>
        <w:jc w:val="both"/>
        <w:rPr>
          <w:sz w:val="19"/>
          <w:szCs w:val="19"/>
        </w:rPr>
      </w:pPr>
      <w:r w:rsidRPr="007E263F">
        <w:rPr>
          <w:sz w:val="19"/>
          <w:szCs w:val="19"/>
        </w:rPr>
        <w:t>På europeisk nivå har Sverige sedan fem år tillbaka drivit ett nätverk för granskning av finanspolitiska ramverk och offentliga finanser tillsammans med Statens Revisionsverk i Finland. Efter ett från början svalt intresse för dessa frågor från övriga medlemsst</w:t>
      </w:r>
      <w:r w:rsidRPr="007E263F">
        <w:rPr>
          <w:sz w:val="19"/>
          <w:szCs w:val="19"/>
        </w:rPr>
        <w:t>a</w:t>
      </w:r>
      <w:r w:rsidRPr="007E263F">
        <w:rPr>
          <w:sz w:val="19"/>
          <w:szCs w:val="19"/>
        </w:rPr>
        <w:t>ter har deltagandet i nätverket utvidgats markant sedan 2008. Vid ett seminarium i Stockholm i maj 2011 behandlades bland annat frågan om den offentliga revisionens roll i de räddningsmekani</w:t>
      </w:r>
      <w:r w:rsidRPr="007E263F">
        <w:rPr>
          <w:sz w:val="19"/>
          <w:szCs w:val="19"/>
        </w:rPr>
        <w:t>s</w:t>
      </w:r>
      <w:r w:rsidRPr="007E263F">
        <w:rPr>
          <w:sz w:val="19"/>
          <w:szCs w:val="19"/>
        </w:rPr>
        <w:t xml:space="preserve">mer som inrättats av euroområdets stater. Dessa medlemsländer har sedan dess inlett ett samarbete för att försäkra att den offentliga revisionen blir representerad vid revisionsarbetet med Europeiska Stabilitetsmekanismen. </w:t>
      </w:r>
    </w:p>
    <w:p w:rsidR="008C3183" w:rsidRPr="007E263F" w:rsidRDefault="008C3183" w:rsidP="00393044">
      <w:pPr>
        <w:pStyle w:val="normalmedindrag"/>
        <w:spacing w:before="0" w:line="250" w:lineRule="atLeast"/>
        <w:jc w:val="both"/>
      </w:pPr>
      <w:r w:rsidRPr="007E263F">
        <w:rPr>
          <w:sz w:val="19"/>
          <w:szCs w:val="19"/>
        </w:rPr>
        <w:t>Utvecklingen här visar på vikten av samarbete mellan nationella revision</w:t>
      </w:r>
      <w:r w:rsidRPr="007E263F">
        <w:rPr>
          <w:sz w:val="19"/>
          <w:szCs w:val="19"/>
        </w:rPr>
        <w:t>s</w:t>
      </w:r>
      <w:r w:rsidRPr="007E263F">
        <w:rPr>
          <w:sz w:val="19"/>
          <w:szCs w:val="19"/>
        </w:rPr>
        <w:t>organ för att säkerställa en meningsfull offentlig revision då lösningarna i allt större utsträckning sker på mellanstatlig och</w:t>
      </w:r>
      <w:r w:rsidRPr="007E263F">
        <w:t xml:space="preserve"> </w:t>
      </w:r>
      <w:r w:rsidRPr="007E263F">
        <w:rPr>
          <w:sz w:val="19"/>
          <w:szCs w:val="19"/>
        </w:rPr>
        <w:t>överstatlig nivå.</w:t>
      </w:r>
      <w:r w:rsidRPr="007E263F">
        <w:t xml:space="preserve"> </w:t>
      </w:r>
    </w:p>
    <w:p w:rsidR="008C3183" w:rsidRPr="007E263F" w:rsidRDefault="008C3183" w:rsidP="00393044">
      <w:pPr>
        <w:pStyle w:val="Rubrik2"/>
        <w:spacing w:line="250" w:lineRule="atLeast"/>
        <w:jc w:val="both"/>
      </w:pPr>
      <w:bookmarkStart w:id="19" w:name="_Toc326137778"/>
      <w:r w:rsidRPr="007E263F">
        <w:t>Riksrevisorernas bedömning</w:t>
      </w:r>
      <w:bookmarkEnd w:id="19"/>
    </w:p>
    <w:p w:rsidR="008C3183" w:rsidRPr="007E263F" w:rsidRDefault="008C3183" w:rsidP="00393044">
      <w:r w:rsidRPr="007E263F">
        <w:t>Den globala finanskrisen har blottlagt många svagheter i de offentliga fina</w:t>
      </w:r>
      <w:r w:rsidRPr="007E263F">
        <w:t>n</w:t>
      </w:r>
      <w:r w:rsidRPr="007E263F">
        <w:t>serna i stora delar av den industrialiserade världen. Ökningen i offentlig skuldsättning är den högsta sedan andra världskriget, och omstruktureringen av Greklands statsskuld innebar i praktiken den första statskonkursen i väs</w:t>
      </w:r>
      <w:r w:rsidRPr="007E263F">
        <w:t>t</w:t>
      </w:r>
      <w:r w:rsidRPr="007E263F">
        <w:t>världen på 60 år. Sverige har visserligen hittills klarat sig förhållandevis väl genom krisen, men det är nu viktigt att dra lärdomar för finans- och budgetp</w:t>
      </w:r>
      <w:r w:rsidRPr="007E263F">
        <w:t>o</w:t>
      </w:r>
      <w:r w:rsidR="00D03362" w:rsidRPr="007E263F">
        <w:t>litik samt redovisning, så</w:t>
      </w:r>
      <w:r w:rsidRPr="007E263F">
        <w:t>väl inom EU som i Sverige. En sådan lärdom från krisen är vikten av en effektiv och ändamålsenlig övervakning och reglering av de finansiella marknaderna, liksom behovet av att göra konsekvensanal</w:t>
      </w:r>
      <w:r w:rsidRPr="007E263F">
        <w:t>y</w:t>
      </w:r>
      <w:r w:rsidRPr="007E263F">
        <w:t>ser av de åtgärder som vidtas. Utvecklingen mot ett nytt och internationellt mer harmoniserat system för finansiell övervakning är på god väg. Med tanke på de stora kostnader för skattebetalarna som brister i regleringen av de fina</w:t>
      </w:r>
      <w:r w:rsidRPr="007E263F">
        <w:t>n</w:t>
      </w:r>
      <w:r w:rsidRPr="007E263F">
        <w:t xml:space="preserve">siella marknaderna kan medföra, har Riksrevisionen anledning att fortsätta att granska detta område även i framtiden. </w:t>
      </w:r>
    </w:p>
    <w:p w:rsidR="008C3183" w:rsidRPr="007E263F" w:rsidRDefault="008C3183" w:rsidP="00393044">
      <w:pPr>
        <w:pStyle w:val="normalmedindrag"/>
        <w:spacing w:before="0" w:line="250" w:lineRule="atLeast"/>
        <w:jc w:val="both"/>
        <w:rPr>
          <w:sz w:val="19"/>
          <w:szCs w:val="19"/>
        </w:rPr>
      </w:pPr>
      <w:r w:rsidRPr="007E263F">
        <w:rPr>
          <w:sz w:val="19"/>
          <w:szCs w:val="19"/>
        </w:rPr>
        <w:t>En annan lärdom från krisen är att brister i statistik och redovi</w:t>
      </w:r>
      <w:r w:rsidRPr="007E263F">
        <w:rPr>
          <w:sz w:val="19"/>
          <w:szCs w:val="19"/>
        </w:rPr>
        <w:t>s</w:t>
      </w:r>
      <w:r w:rsidRPr="007E263F">
        <w:rPr>
          <w:sz w:val="19"/>
          <w:szCs w:val="19"/>
        </w:rPr>
        <w:t>ning gjorde att såväl politiker och medborgare som marknaden underskattade den verkliga svagheten i många västländers stat</w:t>
      </w:r>
      <w:r w:rsidRPr="007E263F">
        <w:rPr>
          <w:sz w:val="19"/>
          <w:szCs w:val="19"/>
        </w:rPr>
        <w:t>s</w:t>
      </w:r>
      <w:r w:rsidRPr="007E263F">
        <w:rPr>
          <w:sz w:val="19"/>
          <w:szCs w:val="19"/>
        </w:rPr>
        <w:t>finanser. Bristen på transparens gjorde att finanspolitiken kunde drivas i en alltför expansiv riktning under lång tid utan att den verkliga kostnaden kom upp till ytan. Sammantaget handlar utvec</w:t>
      </w:r>
      <w:r w:rsidRPr="007E263F">
        <w:rPr>
          <w:sz w:val="19"/>
          <w:szCs w:val="19"/>
        </w:rPr>
        <w:t>k</w:t>
      </w:r>
      <w:r w:rsidRPr="007E263F">
        <w:rPr>
          <w:sz w:val="19"/>
          <w:szCs w:val="19"/>
        </w:rPr>
        <w:t>lingen av offentlig statistik och redovisning om att förbättra möjligheterna att i tid upptäcka risker för den långsiktiga stabilit</w:t>
      </w:r>
      <w:r w:rsidRPr="007E263F">
        <w:rPr>
          <w:sz w:val="19"/>
          <w:szCs w:val="19"/>
        </w:rPr>
        <w:t>e</w:t>
      </w:r>
      <w:r w:rsidRPr="007E263F">
        <w:rPr>
          <w:sz w:val="19"/>
          <w:szCs w:val="19"/>
        </w:rPr>
        <w:t xml:space="preserve">ten i statsfinanserna. </w:t>
      </w:r>
    </w:p>
    <w:p w:rsidR="008C3183" w:rsidRPr="007E263F" w:rsidRDefault="008C3183" w:rsidP="00393044">
      <w:pPr>
        <w:pStyle w:val="normalmedindrag"/>
        <w:spacing w:before="0" w:line="250" w:lineRule="atLeast"/>
        <w:jc w:val="both"/>
      </w:pPr>
      <w:r w:rsidRPr="007E263F">
        <w:rPr>
          <w:sz w:val="19"/>
          <w:szCs w:val="19"/>
        </w:rPr>
        <w:t>Det är viktigt att de verktyg som nu har ställts till regeringens förfogande för att upprätthålla den finansiella stabiliteten och för att hantera eventuella finansiella kriser är effektiva. Riksrevisionen välkomnar därför regeringens initiativ att se över delar a</w:t>
      </w:r>
      <w:r w:rsidR="00D03362" w:rsidRPr="007E263F">
        <w:rPr>
          <w:sz w:val="19"/>
          <w:szCs w:val="19"/>
        </w:rPr>
        <w:t>v Stabilitetsfondens utformning</w:t>
      </w:r>
      <w:r w:rsidRPr="007E263F">
        <w:rPr>
          <w:sz w:val="19"/>
          <w:szCs w:val="19"/>
        </w:rPr>
        <w:t xml:space="preserve"> men noterar samt</w:t>
      </w:r>
      <w:r w:rsidRPr="007E263F">
        <w:rPr>
          <w:sz w:val="19"/>
          <w:szCs w:val="19"/>
        </w:rPr>
        <w:t>i</w:t>
      </w:r>
      <w:r w:rsidRPr="007E263F">
        <w:rPr>
          <w:sz w:val="19"/>
          <w:szCs w:val="19"/>
        </w:rPr>
        <w:t>digt vikten av att åte</w:t>
      </w:r>
      <w:r w:rsidRPr="007E263F">
        <w:rPr>
          <w:sz w:val="19"/>
          <w:szCs w:val="19"/>
        </w:rPr>
        <w:t>r</w:t>
      </w:r>
      <w:r w:rsidRPr="007E263F">
        <w:rPr>
          <w:sz w:val="19"/>
          <w:szCs w:val="19"/>
        </w:rPr>
        <w:t>kommande analysera arbetet med finansiell stabilitet generellt och utvärdera de lärdomar som dragits från den senaste finansiella kr</w:t>
      </w:r>
      <w:r w:rsidRPr="007E263F">
        <w:rPr>
          <w:sz w:val="19"/>
          <w:szCs w:val="19"/>
        </w:rPr>
        <w:t>i</w:t>
      </w:r>
      <w:r w:rsidRPr="007E263F">
        <w:rPr>
          <w:sz w:val="19"/>
          <w:szCs w:val="19"/>
        </w:rPr>
        <w:t>sen</w:t>
      </w:r>
      <w:r w:rsidRPr="007E263F">
        <w:t>.</w:t>
      </w:r>
    </w:p>
    <w:p w:rsidR="00550A90" w:rsidRPr="007E263F" w:rsidRDefault="008C3183" w:rsidP="00393044">
      <w:pPr>
        <w:pStyle w:val="normalmedindrag"/>
        <w:spacing w:line="250" w:lineRule="atLeast"/>
        <w:jc w:val="both"/>
      </w:pPr>
      <w:r w:rsidRPr="007E263F">
        <w:t xml:space="preserve"> </w:t>
      </w:r>
    </w:p>
    <w:p w:rsidR="008C3183" w:rsidRPr="007E263F" w:rsidRDefault="007E263F" w:rsidP="00393044">
      <w:pPr>
        <w:pStyle w:val="normalmedindrag"/>
        <w:spacing w:line="250" w:lineRule="atLeast"/>
        <w:jc w:val="both"/>
      </w:pPr>
      <w:r w:rsidRPr="007E263F">
        <w:rPr>
          <w:noProof/>
        </w:rPr>
        <mc:AlternateContent>
          <mc:Choice Requires="wps">
            <w:drawing>
              <wp:inline distT="0" distB="0" distL="0" distR="0">
                <wp:extent cx="3780155" cy="1515745"/>
                <wp:effectExtent l="9525" t="9525" r="10795" b="8255"/>
                <wp:docPr id="1626444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515745"/>
                        </a:xfrm>
                        <a:prstGeom prst="rect">
                          <a:avLst/>
                        </a:prstGeom>
                        <a:solidFill>
                          <a:srgbClr val="FFFFFF"/>
                        </a:solidFill>
                        <a:ln w="9525">
                          <a:solidFill>
                            <a:srgbClr val="000000"/>
                          </a:solidFill>
                          <a:miter lim="800000"/>
                          <a:headEnd/>
                          <a:tailEnd/>
                        </a:ln>
                      </wps:spPr>
                      <wps:txbx>
                        <w:txbxContent>
                          <w:p w:rsidR="003059FC" w:rsidRPr="007E263F" w:rsidRDefault="003059FC" w:rsidP="002023D5">
                            <w:r w:rsidRPr="007E263F">
                              <w:t>Kapitlet bygger på iakttagelser i följande granskningar och underlag:</w:t>
                            </w:r>
                          </w:p>
                          <w:p w:rsidR="003059FC" w:rsidRPr="007E263F" w:rsidRDefault="003059FC" w:rsidP="002023D5">
                            <w:pPr>
                              <w:rPr>
                                <w:b/>
                              </w:rPr>
                            </w:pPr>
                            <w:r w:rsidRPr="007E263F">
                              <w:rPr>
                                <w:b/>
                              </w:rPr>
                              <w:t>Statens garantier i finanskrisen (RiR 2009:26)</w:t>
                            </w:r>
                          </w:p>
                          <w:p w:rsidR="003059FC" w:rsidRPr="007E263F" w:rsidRDefault="003059FC" w:rsidP="002023D5">
                            <w:pPr>
                              <w:rPr>
                                <w:b/>
                              </w:rPr>
                            </w:pPr>
                            <w:r w:rsidRPr="007E263F">
                              <w:rPr>
                                <w:b/>
                              </w:rPr>
                              <w:t>Myndigheternas insatser för finansiell stabilitet – Lärdomar i ljuset av utvecklingen i Baltikum 2005–2007 (RiR 2011:9)</w:t>
                            </w:r>
                          </w:p>
                          <w:p w:rsidR="003059FC" w:rsidRPr="007E263F" w:rsidRDefault="003059FC" w:rsidP="002023D5">
                            <w:pPr>
                              <w:rPr>
                                <w:b/>
                              </w:rPr>
                            </w:pPr>
                            <w:r w:rsidRPr="007E263F">
                              <w:rPr>
                                <w:b/>
                              </w:rPr>
                              <w:t xml:space="preserve">Stabilitetsfonden – Gör den skäl för namnet? (RiR 2011:26) </w:t>
                            </w:r>
                          </w:p>
                          <w:p w:rsidR="003059FC" w:rsidRPr="007E263F" w:rsidRDefault="003059FC" w:rsidP="002023D5">
                            <w:pPr>
                              <w:rPr>
                                <w:b/>
                              </w:rPr>
                            </w:pPr>
                            <w:r w:rsidRPr="007E263F">
                              <w:rPr>
                                <w:b/>
                              </w:rPr>
                              <w:t>Medfinans</w:t>
                            </w:r>
                            <w:r w:rsidRPr="007E263F">
                              <w:rPr>
                                <w:b/>
                              </w:rPr>
                              <w:t>i</w:t>
                            </w:r>
                            <w:r w:rsidRPr="007E263F">
                              <w:rPr>
                                <w:b/>
                              </w:rPr>
                              <w:t>ering av statlig infrastruktur (RiR 2011:28)</w:t>
                            </w:r>
                          </w:p>
                          <w:p w:rsidR="003059FC" w:rsidRPr="007E263F" w:rsidRDefault="003059FC" w:rsidP="002023D5">
                            <w:pPr>
                              <w:rPr>
                                <w:b/>
                              </w:rPr>
                            </w:pPr>
                            <w:r w:rsidRPr="007E263F">
                              <w:rPr>
                                <w:b/>
                              </w:rPr>
                              <w:t>Citybanans regionala medfinansiering (RiR 2012:8)</w:t>
                            </w:r>
                            <w:r w:rsidRPr="007E263F" w:rsidDel="00673299">
                              <w:rPr>
                                <w:b/>
                              </w:rPr>
                              <w:t xml:space="preserve"> </w:t>
                            </w:r>
                          </w:p>
                          <w:p w:rsidR="003059FC" w:rsidRPr="007E263F" w:rsidRDefault="003059FC" w:rsidP="00D03362">
                            <w:pPr>
                              <w:pStyle w:val="Normaltindrag"/>
                            </w:pPr>
                          </w:p>
                          <w:p w:rsidR="003059FC" w:rsidRPr="007E263F" w:rsidRDefault="003059FC" w:rsidP="00D03362">
                            <w:pPr>
                              <w:pStyle w:val="Normaltindrag"/>
                            </w:pPr>
                          </w:p>
                          <w:p w:rsidR="003059FC" w:rsidRPr="007E263F" w:rsidRDefault="003059FC" w:rsidP="008C3183"/>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297.65pt;height:1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">
                <v:textbox>
                  <w:txbxContent>
                    <w:p w:rsidR="003059FC" w:rsidRPr="007E263F" w:rsidRDefault="003059FC" w:rsidP="002023D5">
                      <w:r w:rsidRPr="007E263F">
                        <w:t>Kapitlet bygger på iakttagelser i följande granskningar och underlag:</w:t>
                      </w:r>
                    </w:p>
                    <w:p w:rsidR="003059FC" w:rsidRPr="007E263F" w:rsidRDefault="003059FC" w:rsidP="002023D5">
                      <w:pPr>
                        <w:rPr>
                          <w:b/>
                        </w:rPr>
                      </w:pPr>
                      <w:r w:rsidRPr="007E263F">
                        <w:rPr>
                          <w:b/>
                        </w:rPr>
                        <w:t>Statens garantier i finanskrisen (RiR 2009:26)</w:t>
                      </w:r>
                    </w:p>
                    <w:p w:rsidR="003059FC" w:rsidRPr="007E263F" w:rsidRDefault="003059FC" w:rsidP="002023D5">
                      <w:pPr>
                        <w:rPr>
                          <w:b/>
                        </w:rPr>
                      </w:pPr>
                      <w:r w:rsidRPr="007E263F">
                        <w:rPr>
                          <w:b/>
                        </w:rPr>
                        <w:t>Myndigheternas insatser för finansiell stabilitet – Lärdomar i ljuset av utvecklingen i Baltikum 2005–2007 (RiR 2011:9)</w:t>
                      </w:r>
                    </w:p>
                    <w:p w:rsidR="003059FC" w:rsidRPr="007E263F" w:rsidRDefault="003059FC" w:rsidP="002023D5">
                      <w:pPr>
                        <w:rPr>
                          <w:b/>
                        </w:rPr>
                      </w:pPr>
                      <w:r w:rsidRPr="007E263F">
                        <w:rPr>
                          <w:b/>
                        </w:rPr>
                        <w:t xml:space="preserve">Stabilitetsfonden – Gör den skäl för namnet? (RiR 2011:26) </w:t>
                      </w:r>
                    </w:p>
                    <w:p w:rsidR="003059FC" w:rsidRPr="007E263F" w:rsidRDefault="003059FC" w:rsidP="002023D5">
                      <w:pPr>
                        <w:rPr>
                          <w:b/>
                        </w:rPr>
                      </w:pPr>
                      <w:r w:rsidRPr="007E263F">
                        <w:rPr>
                          <w:b/>
                        </w:rPr>
                        <w:t>Medfinans</w:t>
                      </w:r>
                      <w:r w:rsidRPr="007E263F">
                        <w:rPr>
                          <w:b/>
                        </w:rPr>
                        <w:t>i</w:t>
                      </w:r>
                      <w:r w:rsidRPr="007E263F">
                        <w:rPr>
                          <w:b/>
                        </w:rPr>
                        <w:t>ering av statlig infrastruktur (RiR 2011:28)</w:t>
                      </w:r>
                    </w:p>
                    <w:p w:rsidR="003059FC" w:rsidRPr="007E263F" w:rsidRDefault="003059FC" w:rsidP="002023D5">
                      <w:pPr>
                        <w:rPr>
                          <w:b/>
                        </w:rPr>
                      </w:pPr>
                      <w:r w:rsidRPr="007E263F">
                        <w:rPr>
                          <w:b/>
                        </w:rPr>
                        <w:t>Citybanans regionala medfinansiering (RiR 2012:8)</w:t>
                      </w:r>
                      <w:r w:rsidRPr="007E263F" w:rsidDel="00673299">
                        <w:rPr>
                          <w:b/>
                        </w:rPr>
                        <w:t xml:space="preserve"> </w:t>
                      </w:r>
                    </w:p>
                    <w:p w:rsidR="003059FC" w:rsidRPr="007E263F" w:rsidRDefault="003059FC" w:rsidP="00D03362">
                      <w:pPr>
                        <w:pStyle w:val="Normaltindrag"/>
                      </w:pPr>
                    </w:p>
                    <w:p w:rsidR="003059FC" w:rsidRPr="007E263F" w:rsidRDefault="003059FC" w:rsidP="00D03362">
                      <w:pPr>
                        <w:pStyle w:val="Normaltindrag"/>
                      </w:pPr>
                    </w:p>
                    <w:p w:rsidR="003059FC" w:rsidRPr="007E263F" w:rsidRDefault="003059FC" w:rsidP="008C3183"/>
                  </w:txbxContent>
                </v:textbox>
                <w10:anchorlock/>
              </v:shape>
            </w:pict>
          </mc:Fallback>
        </mc:AlternateContent>
      </w:r>
    </w:p>
    <w:p w:rsidR="008C3183" w:rsidRPr="007E263F" w:rsidRDefault="008C3183" w:rsidP="00393044"/>
    <w:p w:rsidR="008C3183" w:rsidRPr="007E263F" w:rsidRDefault="008C3183" w:rsidP="00393044"/>
    <w:p w:rsidR="00550A90" w:rsidRPr="007E263F" w:rsidRDefault="00550A90" w:rsidP="00393044">
      <w:pPr>
        <w:sectPr w:rsidR="00550A90" w:rsidRPr="007E263F">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8C3183" w:rsidRPr="007E263F" w:rsidRDefault="008C3183" w:rsidP="00790E55">
      <w:pPr>
        <w:pStyle w:val="Rubrik1"/>
        <w:rPr>
          <w:noProof w:val="0"/>
        </w:rPr>
      </w:pPr>
      <w:bookmarkStart w:id="20" w:name="_Toc326137779"/>
      <w:r w:rsidRPr="007E263F">
        <w:rPr>
          <w:noProof w:val="0"/>
        </w:rPr>
        <w:t>Regeringens skrivelser till riksdagen med anledning av våra granskningar</w:t>
      </w:r>
      <w:bookmarkEnd w:id="20"/>
    </w:p>
    <w:p w:rsidR="008C3183" w:rsidRPr="007E263F" w:rsidRDefault="008C3183" w:rsidP="00393044">
      <w:r w:rsidRPr="007E263F">
        <w:t>Sedan den 1 januari 2011 gäller nya förhållanden för behandlingen av Riksr</w:t>
      </w:r>
      <w:r w:rsidRPr="007E263F">
        <w:t>e</w:t>
      </w:r>
      <w:r w:rsidRPr="007E263F">
        <w:t>visionens granskningsrapporter. Riksrevisionen överlämnar numera samtliga granskningsrapporter inom effektivitetsrevisionen till riksdagen som i sin tur lämnar den vidare till regeringen för yttrande. Regeringen ska inom fyra månader (juli och augusti undantagna) lämna en skrivelse till riksdagen med anledning av varje rapport. I skrivelsen ska regeringen redogöra för vidtagna och planerade åtgärder som granskningsrapporten gett anledning till. Därefter bereds skrivelsen i berört utskott, varefter kammaren tar ställning till utsko</w:t>
      </w:r>
      <w:r w:rsidRPr="007E263F">
        <w:t>t</w:t>
      </w:r>
      <w:r w:rsidRPr="007E263F">
        <w:t xml:space="preserve">tets förslag. I denna nya ordning tar riksdagen alltså ställning till skrivelser från regeringen om samtliga granskningsrapporter från Riksrevisionen. </w:t>
      </w:r>
    </w:p>
    <w:p w:rsidR="008C3183" w:rsidRPr="007E263F" w:rsidRDefault="008C3183" w:rsidP="00393044">
      <w:pPr>
        <w:pStyle w:val="normalmedindrag"/>
        <w:spacing w:before="0" w:line="250" w:lineRule="atLeast"/>
        <w:jc w:val="both"/>
        <w:rPr>
          <w:sz w:val="19"/>
          <w:szCs w:val="19"/>
        </w:rPr>
      </w:pPr>
      <w:r w:rsidRPr="007E263F">
        <w:rPr>
          <w:sz w:val="19"/>
          <w:szCs w:val="19"/>
        </w:rPr>
        <w:t>Regeringen ska dessutom, enligt budgetlagen, i årsredovisningen för staten ge riksdagen en samlad redovisning av vilka åtgärder den vidtagit med anle</w:t>
      </w:r>
      <w:r w:rsidRPr="007E263F">
        <w:rPr>
          <w:sz w:val="19"/>
          <w:szCs w:val="19"/>
        </w:rPr>
        <w:t>d</w:t>
      </w:r>
      <w:r w:rsidRPr="007E263F">
        <w:rPr>
          <w:sz w:val="19"/>
          <w:szCs w:val="19"/>
        </w:rPr>
        <w:t>ning av våra iakttagelser. Enligt den tidigare ordningen lämnades våra granskningsrapporter formellt till rege</w:t>
      </w:r>
      <w:r w:rsidRPr="007E263F">
        <w:rPr>
          <w:sz w:val="19"/>
          <w:szCs w:val="19"/>
        </w:rPr>
        <w:t>r</w:t>
      </w:r>
      <w:r w:rsidRPr="007E263F">
        <w:rPr>
          <w:sz w:val="19"/>
          <w:szCs w:val="19"/>
        </w:rPr>
        <w:t>ingen som behandlade granskningarna i budgetpropositionen. Riksrevisionens styrelse kunde då överlämna fra</w:t>
      </w:r>
      <w:r w:rsidRPr="007E263F">
        <w:rPr>
          <w:sz w:val="19"/>
          <w:szCs w:val="19"/>
        </w:rPr>
        <w:t>m</w:t>
      </w:r>
      <w:r w:rsidRPr="007E263F">
        <w:rPr>
          <w:sz w:val="19"/>
          <w:szCs w:val="19"/>
        </w:rPr>
        <w:t>ställningar och redogörelser till riksdagen med anledning av våra gransknin</w:t>
      </w:r>
      <w:r w:rsidRPr="007E263F">
        <w:rPr>
          <w:sz w:val="19"/>
          <w:szCs w:val="19"/>
        </w:rPr>
        <w:t>g</w:t>
      </w:r>
      <w:r w:rsidRPr="007E263F">
        <w:rPr>
          <w:sz w:val="19"/>
          <w:szCs w:val="19"/>
        </w:rPr>
        <w:t>ar. Cirka 75 procent av Riksrevisionens rapporter blev under denna ordning behandlade av riksdagen. Sedan den nya ordningen infördes har vi samma</w:t>
      </w:r>
      <w:r w:rsidRPr="007E263F">
        <w:rPr>
          <w:sz w:val="19"/>
          <w:szCs w:val="19"/>
        </w:rPr>
        <w:t>n</w:t>
      </w:r>
      <w:r w:rsidRPr="007E263F">
        <w:rPr>
          <w:sz w:val="19"/>
          <w:szCs w:val="19"/>
        </w:rPr>
        <w:t>taget lämnat 42 granskningsrapporter till riksdagen. Vid färdigställandet av denna rapport har regeringen lämnat totalt 29 skrivelser avseende 30 av dessa rapporter.</w:t>
      </w:r>
      <w:r w:rsidRPr="007E263F">
        <w:rPr>
          <w:rStyle w:val="Fotnotsreferens"/>
          <w:sz w:val="19"/>
          <w:szCs w:val="19"/>
        </w:rPr>
        <w:footnoteReference w:id="3"/>
      </w:r>
      <w:r w:rsidRPr="007E263F">
        <w:rPr>
          <w:sz w:val="19"/>
          <w:szCs w:val="19"/>
        </w:rPr>
        <w:t xml:space="preserve"> </w:t>
      </w:r>
    </w:p>
    <w:p w:rsidR="008C3183" w:rsidRPr="007E263F" w:rsidRDefault="008C3183" w:rsidP="00393044">
      <w:pPr>
        <w:pStyle w:val="Rubrik2"/>
        <w:spacing w:line="250" w:lineRule="atLeast"/>
        <w:jc w:val="both"/>
      </w:pPr>
      <w:bookmarkStart w:id="21" w:name="_Toc326137780"/>
      <w:r w:rsidRPr="007E263F">
        <w:t>Skrivelsernas innehåll</w:t>
      </w:r>
      <w:bookmarkEnd w:id="21"/>
    </w:p>
    <w:p w:rsidR="008C3183" w:rsidRPr="007E263F" w:rsidRDefault="008C3183" w:rsidP="00393044">
      <w:r w:rsidRPr="007E263F">
        <w:t>De skrivelser som regeringen hittills lämnat har överlag samma struktur, och innehållet är generellt mer omfattande än den redovisning som regeringen tidigare gjorde i budgetpropositionen. Skrivelserna är normalt strukturerade så att det efter en sammanfattning av Riksrevisionens rapport görs en bedö</w:t>
      </w:r>
      <w:r w:rsidRPr="007E263F">
        <w:t>m</w:t>
      </w:r>
      <w:r w:rsidRPr="007E263F">
        <w:t xml:space="preserve">ning av iakttagelser och rekommendationer, varefter vidtagna eller planerade åtgärder redovisas. I många fall har granskningsrapporten skickats på remiss till den eller de myndigheter som ingått i granskningen. I allmänhet redogörs då för myndigheternas synpunkter i skrivelserna. </w:t>
      </w:r>
    </w:p>
    <w:p w:rsidR="008C3183" w:rsidRPr="007E263F" w:rsidRDefault="008C3183" w:rsidP="00393044">
      <w:pPr>
        <w:pStyle w:val="normalmedindrag"/>
        <w:spacing w:before="0" w:line="250" w:lineRule="atLeast"/>
        <w:jc w:val="both"/>
        <w:rPr>
          <w:sz w:val="19"/>
          <w:szCs w:val="19"/>
        </w:rPr>
      </w:pPr>
      <w:r w:rsidRPr="007E263F">
        <w:rPr>
          <w:sz w:val="19"/>
          <w:szCs w:val="19"/>
        </w:rPr>
        <w:t>Vi bedömer att det generellt ges en korrekt bild av rapporternas innehåll i skrivelserna. Regeringens bedömningar är i allmänhet fylliga och relevanta. Regeringens bemötande av rapporterna är, liksom i den tidigare ordningen, blandad. För majoriteten av granskningsrapporterna presenterar regeringen åtgärder, men det är sällan samtliga rekommendationer i en granskningsra</w:t>
      </w:r>
      <w:r w:rsidRPr="007E263F">
        <w:rPr>
          <w:sz w:val="19"/>
          <w:szCs w:val="19"/>
        </w:rPr>
        <w:t>p</w:t>
      </w:r>
      <w:r w:rsidRPr="007E263F">
        <w:rPr>
          <w:sz w:val="19"/>
          <w:szCs w:val="19"/>
        </w:rPr>
        <w:t>port följs av att åtgärder aviseras från regeringen. I några få fall anges inga åtgärder alls, och det finns exempel på när regeringen utnyttjar skr</w:t>
      </w:r>
      <w:r w:rsidRPr="007E263F">
        <w:rPr>
          <w:sz w:val="19"/>
          <w:szCs w:val="19"/>
        </w:rPr>
        <w:t>i</w:t>
      </w:r>
      <w:r w:rsidRPr="007E263F">
        <w:rPr>
          <w:sz w:val="19"/>
          <w:szCs w:val="19"/>
        </w:rPr>
        <w:t>velsen för att föra fram en egen ståndpunkt, utan direkt koppling till Riksrevisionens granskning.</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Tidigare, när våra granskningsrapporter formellt lämnades till regeringen, redogjorde regeringen årligen för </w:t>
      </w:r>
      <w:r w:rsidRPr="007E263F">
        <w:rPr>
          <w:i/>
          <w:sz w:val="19"/>
          <w:szCs w:val="19"/>
        </w:rPr>
        <w:t>slutbehandlade granskningsärenden</w:t>
      </w:r>
      <w:r w:rsidRPr="007E263F">
        <w:rPr>
          <w:sz w:val="19"/>
          <w:szCs w:val="19"/>
        </w:rPr>
        <w:t xml:space="preserve"> i en tabell i budgetpropositionen. I tabellen refererades också till det dokument där regeringen ansåg att ärendet slutligt hade behandlats. Vanligast var att rege</w:t>
      </w:r>
      <w:r w:rsidRPr="007E263F">
        <w:rPr>
          <w:sz w:val="19"/>
          <w:szCs w:val="19"/>
        </w:rPr>
        <w:t>r</w:t>
      </w:r>
      <w:r w:rsidRPr="007E263F">
        <w:rPr>
          <w:sz w:val="19"/>
          <w:szCs w:val="19"/>
        </w:rPr>
        <w:t>ingen refererade till budgetpropositionen eller till att ärendet lagts till han</w:t>
      </w:r>
      <w:r w:rsidRPr="007E263F">
        <w:rPr>
          <w:sz w:val="19"/>
          <w:szCs w:val="19"/>
        </w:rPr>
        <w:t>d</w:t>
      </w:r>
      <w:r w:rsidRPr="007E263F">
        <w:rPr>
          <w:sz w:val="19"/>
          <w:szCs w:val="19"/>
        </w:rPr>
        <w:t>lingarna. I vissa fall avslutade regeringen ärenden innan riksdagen hade b</w:t>
      </w:r>
      <w:r w:rsidRPr="007E263F">
        <w:rPr>
          <w:sz w:val="19"/>
          <w:szCs w:val="19"/>
        </w:rPr>
        <w:t>e</w:t>
      </w:r>
      <w:r w:rsidRPr="007E263F">
        <w:rPr>
          <w:sz w:val="19"/>
          <w:szCs w:val="19"/>
        </w:rPr>
        <w:t>handlat en framställning eller en redogörelse från Riksrevisi</w:t>
      </w:r>
      <w:r w:rsidRPr="007E263F">
        <w:rPr>
          <w:sz w:val="19"/>
          <w:szCs w:val="19"/>
        </w:rPr>
        <w:t>o</w:t>
      </w:r>
      <w:r w:rsidRPr="007E263F">
        <w:rPr>
          <w:sz w:val="19"/>
          <w:szCs w:val="19"/>
        </w:rPr>
        <w:t>nens styrelse. Finansutskottet påpekade 2009 i ett betänkande att regeringen borde avvakta med att lägga ett ärende till handlingarna innan riksdagen behandlat en fra</w:t>
      </w:r>
      <w:r w:rsidRPr="007E263F">
        <w:rPr>
          <w:sz w:val="19"/>
          <w:szCs w:val="19"/>
        </w:rPr>
        <w:t>m</w:t>
      </w:r>
      <w:r w:rsidRPr="007E263F">
        <w:rPr>
          <w:sz w:val="19"/>
          <w:szCs w:val="19"/>
        </w:rPr>
        <w:t xml:space="preserve">ställning eller redogörelse från Riksrevisionens styrelse. </w:t>
      </w:r>
    </w:p>
    <w:p w:rsidR="008C3183" w:rsidRPr="007E263F" w:rsidRDefault="008C3183" w:rsidP="00393044">
      <w:pPr>
        <w:pStyle w:val="normalmedindrag"/>
        <w:spacing w:before="0" w:line="250" w:lineRule="atLeast"/>
        <w:jc w:val="both"/>
        <w:rPr>
          <w:sz w:val="19"/>
          <w:szCs w:val="19"/>
        </w:rPr>
      </w:pPr>
      <w:r w:rsidRPr="007E263F">
        <w:rPr>
          <w:sz w:val="19"/>
          <w:szCs w:val="19"/>
        </w:rPr>
        <w:t>Regeringen har även nu i de flesta fall angett att ärendet är slu</w:t>
      </w:r>
      <w:r w:rsidRPr="007E263F">
        <w:rPr>
          <w:sz w:val="19"/>
          <w:szCs w:val="19"/>
        </w:rPr>
        <w:t>t</w:t>
      </w:r>
      <w:r w:rsidRPr="007E263F">
        <w:rPr>
          <w:sz w:val="19"/>
          <w:szCs w:val="19"/>
        </w:rPr>
        <w:t>behandlat i skrivelsen, 23 av 30 rapporter anges vara slutbehandlade i och med att skr</w:t>
      </w:r>
      <w:r w:rsidRPr="007E263F">
        <w:rPr>
          <w:sz w:val="19"/>
          <w:szCs w:val="19"/>
        </w:rPr>
        <w:t>i</w:t>
      </w:r>
      <w:r w:rsidRPr="007E263F">
        <w:rPr>
          <w:sz w:val="19"/>
          <w:szCs w:val="19"/>
        </w:rPr>
        <w:t>velsen lämnats. När det gäller de rapporter som inte är slutbehandlade avis</w:t>
      </w:r>
      <w:r w:rsidRPr="007E263F">
        <w:rPr>
          <w:sz w:val="19"/>
          <w:szCs w:val="19"/>
        </w:rPr>
        <w:t>e</w:t>
      </w:r>
      <w:r w:rsidRPr="007E263F">
        <w:rPr>
          <w:sz w:val="19"/>
          <w:szCs w:val="19"/>
        </w:rPr>
        <w:t>rar regeringen ytterligare åtgärder utöver de som angetts i skrivelserna. R</w:t>
      </w:r>
      <w:r w:rsidRPr="007E263F">
        <w:rPr>
          <w:sz w:val="19"/>
          <w:szCs w:val="19"/>
        </w:rPr>
        <w:t>e</w:t>
      </w:r>
      <w:r w:rsidRPr="007E263F">
        <w:rPr>
          <w:sz w:val="19"/>
          <w:szCs w:val="19"/>
        </w:rPr>
        <w:t xml:space="preserve">geringen inväntar alltså oftast inte riksdagens behandling av granskningarna. </w:t>
      </w:r>
    </w:p>
    <w:p w:rsidR="008C3183" w:rsidRPr="007E263F" w:rsidRDefault="008C3183" w:rsidP="00790E55">
      <w:pPr>
        <w:pStyle w:val="Rubrik2"/>
        <w:spacing w:line="250" w:lineRule="atLeast"/>
      </w:pPr>
      <w:bookmarkStart w:id="22" w:name="_Toc326137781"/>
      <w:r w:rsidRPr="007E263F">
        <w:t>Riksdagens behandling av regeringens skrivelser</w:t>
      </w:r>
      <w:bookmarkEnd w:id="22"/>
    </w:p>
    <w:p w:rsidR="008C3183" w:rsidRPr="007E263F" w:rsidRDefault="008C3183" w:rsidP="00393044">
      <w:pPr>
        <w:rPr>
          <w:szCs w:val="19"/>
        </w:rPr>
      </w:pPr>
      <w:r w:rsidRPr="007E263F">
        <w:rPr>
          <w:szCs w:val="19"/>
        </w:rPr>
        <w:t xml:space="preserve">Riksrevisionens granskningsrapporter lämnas till riksdagen och talmannen överlämnar sedan rapporterna till regeringen. </w:t>
      </w:r>
    </w:p>
    <w:p w:rsidR="008C3183" w:rsidRPr="007E263F" w:rsidRDefault="008C3183" w:rsidP="00393044">
      <w:pPr>
        <w:pStyle w:val="normalmedindrag"/>
        <w:spacing w:before="0" w:line="250" w:lineRule="atLeast"/>
        <w:jc w:val="both"/>
        <w:rPr>
          <w:sz w:val="19"/>
          <w:szCs w:val="19"/>
        </w:rPr>
      </w:pPr>
      <w:r w:rsidRPr="007E263F">
        <w:rPr>
          <w:sz w:val="19"/>
          <w:szCs w:val="19"/>
        </w:rPr>
        <w:t>I samband med att rapporteringsvägarna för granskningsrappo</w:t>
      </w:r>
      <w:r w:rsidRPr="007E263F">
        <w:rPr>
          <w:sz w:val="19"/>
          <w:szCs w:val="19"/>
        </w:rPr>
        <w:t>r</w:t>
      </w:r>
      <w:r w:rsidRPr="007E263F">
        <w:rPr>
          <w:sz w:val="19"/>
          <w:szCs w:val="19"/>
        </w:rPr>
        <w:t>ter från vår effektivitetsrevision ändrades i januari 2011 formulerade riksdagens rev</w:t>
      </w:r>
      <w:r w:rsidRPr="007E263F">
        <w:rPr>
          <w:sz w:val="19"/>
          <w:szCs w:val="19"/>
        </w:rPr>
        <w:t>i</w:t>
      </w:r>
      <w:r w:rsidRPr="007E263F">
        <w:rPr>
          <w:sz w:val="19"/>
          <w:szCs w:val="19"/>
        </w:rPr>
        <w:t>sionsgrupp en översikt av hur granskningar och andra dokument från Riksr</w:t>
      </w:r>
      <w:r w:rsidRPr="007E263F">
        <w:rPr>
          <w:sz w:val="19"/>
          <w:szCs w:val="19"/>
        </w:rPr>
        <w:t>e</w:t>
      </w:r>
      <w:r w:rsidRPr="007E263F">
        <w:rPr>
          <w:sz w:val="19"/>
          <w:szCs w:val="19"/>
        </w:rPr>
        <w:t>visionen kan hanteras i utskotten. Den lämnar utrymme för variation i hur utskotten hanterar våra grans</w:t>
      </w:r>
      <w:r w:rsidRPr="007E263F">
        <w:rPr>
          <w:sz w:val="19"/>
          <w:szCs w:val="19"/>
        </w:rPr>
        <w:t>k</w:t>
      </w:r>
      <w:r w:rsidRPr="007E263F">
        <w:rPr>
          <w:sz w:val="19"/>
          <w:szCs w:val="19"/>
        </w:rPr>
        <w:t>ningar. Utskotten kan, om de vill, inleda sin beredning av ärendet direkt efter publiceringen av en granskningsrapport, parallellt med att regeringen bereder en granskning och arbetar på sin skrive</w:t>
      </w:r>
      <w:r w:rsidRPr="007E263F">
        <w:rPr>
          <w:sz w:val="19"/>
          <w:szCs w:val="19"/>
        </w:rPr>
        <w:t>l</w:t>
      </w:r>
      <w:r w:rsidRPr="007E263F">
        <w:rPr>
          <w:sz w:val="19"/>
          <w:szCs w:val="19"/>
        </w:rPr>
        <w:t>se. Utskotten kan också, vilket sker för majoriteten av våra grans</w:t>
      </w:r>
      <w:r w:rsidRPr="007E263F">
        <w:rPr>
          <w:sz w:val="19"/>
          <w:szCs w:val="19"/>
        </w:rPr>
        <w:t>k</w:t>
      </w:r>
      <w:r w:rsidRPr="007E263F">
        <w:rPr>
          <w:sz w:val="19"/>
          <w:szCs w:val="19"/>
        </w:rPr>
        <w:t>ningar, bjuda in ansvarig riksrevisor för att redovisa granskningens resultat för u</w:t>
      </w:r>
      <w:r w:rsidRPr="007E263F">
        <w:rPr>
          <w:sz w:val="19"/>
          <w:szCs w:val="19"/>
        </w:rPr>
        <w:t>t</w:t>
      </w:r>
      <w:r w:rsidRPr="007E263F">
        <w:rPr>
          <w:sz w:val="19"/>
          <w:szCs w:val="19"/>
        </w:rPr>
        <w:t>skottet. Det kan ske kort tid efter publiceringen av en granskningsrapport, eller i samband med att regeringen lämnar sin skrivelse. Beredningen av ärendet följer i övrigt den ordning som normalt gäller för skrivelser till rik</w:t>
      </w:r>
      <w:r w:rsidRPr="007E263F">
        <w:rPr>
          <w:sz w:val="19"/>
          <w:szCs w:val="19"/>
        </w:rPr>
        <w:t>s</w:t>
      </w:r>
      <w:r w:rsidRPr="007E263F">
        <w:rPr>
          <w:sz w:val="19"/>
          <w:szCs w:val="19"/>
        </w:rPr>
        <w:t>dagen. Om utskottet bedömer att regeringens redogörelse är tillräcklig result</w:t>
      </w:r>
      <w:r w:rsidRPr="007E263F">
        <w:rPr>
          <w:sz w:val="19"/>
          <w:szCs w:val="19"/>
        </w:rPr>
        <w:t>e</w:t>
      </w:r>
      <w:r w:rsidRPr="007E263F">
        <w:rPr>
          <w:sz w:val="19"/>
          <w:szCs w:val="19"/>
        </w:rPr>
        <w:t>rar betänkandet i att skrivelsen läggs till handlingarna. I annat fall kan utsko</w:t>
      </w:r>
      <w:r w:rsidRPr="007E263F">
        <w:rPr>
          <w:sz w:val="19"/>
          <w:szCs w:val="19"/>
        </w:rPr>
        <w:t>t</w:t>
      </w:r>
      <w:r w:rsidRPr="007E263F">
        <w:rPr>
          <w:sz w:val="19"/>
          <w:szCs w:val="19"/>
        </w:rPr>
        <w:t>tet föreslå att riksdagen ger regeringen till</w:t>
      </w:r>
      <w:r w:rsidR="00A34BEA" w:rsidRPr="007E263F">
        <w:rPr>
          <w:sz w:val="19"/>
          <w:szCs w:val="19"/>
        </w:rPr>
        <w:t xml:space="preserve"> </w:t>
      </w:r>
      <w:r w:rsidRPr="007E263F">
        <w:rPr>
          <w:sz w:val="19"/>
          <w:szCs w:val="19"/>
        </w:rPr>
        <w:t>känna att särskilda åtgärder beh</w:t>
      </w:r>
      <w:r w:rsidRPr="007E263F">
        <w:rPr>
          <w:sz w:val="19"/>
          <w:szCs w:val="19"/>
        </w:rPr>
        <w:t>ö</w:t>
      </w:r>
      <w:r w:rsidRPr="007E263F">
        <w:rPr>
          <w:sz w:val="19"/>
          <w:szCs w:val="19"/>
        </w:rPr>
        <w:t xml:space="preserve">ver vidtas.  </w:t>
      </w:r>
    </w:p>
    <w:p w:rsidR="008C3183" w:rsidRPr="007E263F" w:rsidRDefault="008C3183" w:rsidP="00393044">
      <w:pPr>
        <w:pStyle w:val="normalmedindrag"/>
        <w:spacing w:before="0" w:line="250" w:lineRule="atLeast"/>
        <w:jc w:val="both"/>
        <w:rPr>
          <w:sz w:val="19"/>
          <w:szCs w:val="19"/>
        </w:rPr>
      </w:pPr>
      <w:r w:rsidRPr="007E263F">
        <w:rPr>
          <w:sz w:val="19"/>
          <w:szCs w:val="19"/>
        </w:rPr>
        <w:t>Av de 29 skrivelser som regeringen hittills har lämnat till rik</w:t>
      </w:r>
      <w:r w:rsidRPr="007E263F">
        <w:rPr>
          <w:sz w:val="19"/>
          <w:szCs w:val="19"/>
        </w:rPr>
        <w:t>s</w:t>
      </w:r>
      <w:r w:rsidRPr="007E263F">
        <w:rPr>
          <w:sz w:val="19"/>
          <w:szCs w:val="19"/>
        </w:rPr>
        <w:t>dagen med anledning av Riksrevisionens granskningsrapporter har 24 behandlats i utskott och i kammaren. Ett flertal motioner har lämnats med anledning av skrive</w:t>
      </w:r>
      <w:r w:rsidRPr="007E263F">
        <w:rPr>
          <w:sz w:val="19"/>
          <w:szCs w:val="19"/>
        </w:rPr>
        <w:t>l</w:t>
      </w:r>
      <w:r w:rsidRPr="007E263F">
        <w:rPr>
          <w:sz w:val="19"/>
          <w:szCs w:val="19"/>
        </w:rPr>
        <w:t>serna (totalt 29 motioner avsee</w:t>
      </w:r>
      <w:r w:rsidRPr="007E263F">
        <w:rPr>
          <w:sz w:val="19"/>
          <w:szCs w:val="19"/>
        </w:rPr>
        <w:t>n</w:t>
      </w:r>
      <w:r w:rsidRPr="007E263F">
        <w:rPr>
          <w:sz w:val="19"/>
          <w:szCs w:val="19"/>
        </w:rPr>
        <w:t xml:space="preserve">de 14 skrivelser).  </w:t>
      </w:r>
    </w:p>
    <w:p w:rsidR="008C3183" w:rsidRPr="007E263F" w:rsidRDefault="008C3183" w:rsidP="00393044">
      <w:pPr>
        <w:pStyle w:val="normalmedindrag"/>
        <w:spacing w:before="0" w:line="250" w:lineRule="atLeast"/>
        <w:jc w:val="both"/>
        <w:rPr>
          <w:sz w:val="19"/>
          <w:szCs w:val="19"/>
        </w:rPr>
      </w:pPr>
      <w:r w:rsidRPr="007E263F">
        <w:rPr>
          <w:sz w:val="19"/>
          <w:szCs w:val="19"/>
        </w:rPr>
        <w:t>Hittills har riksdagen i tre fall lämnat tillkännagivanden med a</w:t>
      </w:r>
      <w:r w:rsidRPr="007E263F">
        <w:rPr>
          <w:sz w:val="19"/>
          <w:szCs w:val="19"/>
        </w:rPr>
        <w:t>n</w:t>
      </w:r>
      <w:r w:rsidRPr="007E263F">
        <w:rPr>
          <w:sz w:val="19"/>
          <w:szCs w:val="19"/>
        </w:rPr>
        <w:t xml:space="preserve">ledning av Riksrevisionens granskningar. Det första gäller granskningen av </w:t>
      </w:r>
      <w:r w:rsidRPr="007E263F">
        <w:rPr>
          <w:i/>
          <w:sz w:val="19"/>
          <w:szCs w:val="19"/>
        </w:rPr>
        <w:t>Försvar</w:t>
      </w:r>
      <w:r w:rsidRPr="007E263F">
        <w:rPr>
          <w:i/>
          <w:sz w:val="19"/>
          <w:szCs w:val="19"/>
        </w:rPr>
        <w:t>s</w:t>
      </w:r>
      <w:r w:rsidRPr="007E263F">
        <w:rPr>
          <w:i/>
          <w:sz w:val="19"/>
          <w:szCs w:val="19"/>
        </w:rPr>
        <w:t>maktens stöd till samhället i samband med kr</w:t>
      </w:r>
      <w:r w:rsidRPr="007E263F">
        <w:rPr>
          <w:i/>
          <w:sz w:val="19"/>
          <w:szCs w:val="19"/>
        </w:rPr>
        <w:t>i</w:t>
      </w:r>
      <w:r w:rsidRPr="007E263F">
        <w:rPr>
          <w:i/>
          <w:sz w:val="19"/>
          <w:szCs w:val="19"/>
        </w:rPr>
        <w:t xml:space="preserve">ser </w:t>
      </w:r>
      <w:r w:rsidRPr="007E263F">
        <w:rPr>
          <w:sz w:val="19"/>
          <w:szCs w:val="19"/>
        </w:rPr>
        <w:t>(RiR 2011:15),</w:t>
      </w:r>
      <w:r w:rsidRPr="007E263F">
        <w:rPr>
          <w:i/>
          <w:sz w:val="19"/>
          <w:szCs w:val="19"/>
        </w:rPr>
        <w:t xml:space="preserve"> </w:t>
      </w:r>
      <w:r w:rsidRPr="007E263F">
        <w:rPr>
          <w:sz w:val="19"/>
          <w:szCs w:val="19"/>
        </w:rPr>
        <w:t>då riksdagen lämnade ett tillkännagivande u</w:t>
      </w:r>
      <w:r w:rsidRPr="007E263F">
        <w:rPr>
          <w:sz w:val="19"/>
          <w:szCs w:val="19"/>
        </w:rPr>
        <w:t>t</w:t>
      </w:r>
      <w:r w:rsidRPr="007E263F">
        <w:rPr>
          <w:sz w:val="19"/>
          <w:szCs w:val="19"/>
        </w:rPr>
        <w:t>ifrån en motion som hade identiska förslag jämfört med Riksrev</w:t>
      </w:r>
      <w:r w:rsidRPr="007E263F">
        <w:rPr>
          <w:sz w:val="19"/>
          <w:szCs w:val="19"/>
        </w:rPr>
        <w:t>i</w:t>
      </w:r>
      <w:r w:rsidRPr="007E263F">
        <w:rPr>
          <w:sz w:val="19"/>
          <w:szCs w:val="19"/>
        </w:rPr>
        <w:t>sionens granskningsrapport. Riksdagen har därmed gett regeringen i uppdrag att förtydliga Försvarsmaktens roll och tydligare följa upp Försvarsmaktens planering på området. Regeringen hade i sin skrivelse angett att den inte ansåg att det fanns behov av att förty</w:t>
      </w:r>
      <w:r w:rsidRPr="007E263F">
        <w:rPr>
          <w:sz w:val="19"/>
          <w:szCs w:val="19"/>
        </w:rPr>
        <w:t>d</w:t>
      </w:r>
      <w:r w:rsidRPr="007E263F">
        <w:rPr>
          <w:sz w:val="19"/>
          <w:szCs w:val="19"/>
        </w:rPr>
        <w:t xml:space="preserve">liga styrningen på det övergripande planet. Det andra tillkännagivandet rör granskningen </w:t>
      </w:r>
      <w:r w:rsidRPr="007E263F">
        <w:rPr>
          <w:i/>
          <w:sz w:val="19"/>
          <w:szCs w:val="19"/>
        </w:rPr>
        <w:t>Använ</w:t>
      </w:r>
      <w:r w:rsidRPr="007E263F">
        <w:rPr>
          <w:i/>
          <w:sz w:val="19"/>
          <w:szCs w:val="19"/>
        </w:rPr>
        <w:t>d</w:t>
      </w:r>
      <w:r w:rsidRPr="007E263F">
        <w:rPr>
          <w:i/>
          <w:sz w:val="19"/>
          <w:szCs w:val="19"/>
        </w:rPr>
        <w:t>ningen av basanslaget för fors</w:t>
      </w:r>
      <w:r w:rsidRPr="007E263F">
        <w:rPr>
          <w:i/>
          <w:sz w:val="19"/>
          <w:szCs w:val="19"/>
        </w:rPr>
        <w:t>k</w:t>
      </w:r>
      <w:r w:rsidRPr="007E263F">
        <w:rPr>
          <w:i/>
          <w:sz w:val="19"/>
          <w:szCs w:val="19"/>
        </w:rPr>
        <w:t xml:space="preserve">ning och forskarutbildning </w:t>
      </w:r>
      <w:r w:rsidRPr="007E263F">
        <w:rPr>
          <w:sz w:val="19"/>
          <w:szCs w:val="19"/>
        </w:rPr>
        <w:t>(RiR 2011:21). En motion lämnades mot bakgrund av Riksrevisionens granskning. Riksdagen biföll motionen, och en tillkännagivelse lämnades om att regeringen, i likhet med Riksrevisionens rekommendation, bör överväga om systemet för förde</w:t>
      </w:r>
      <w:r w:rsidRPr="007E263F">
        <w:rPr>
          <w:sz w:val="19"/>
          <w:szCs w:val="19"/>
        </w:rPr>
        <w:t>l</w:t>
      </w:r>
      <w:r w:rsidRPr="007E263F">
        <w:rPr>
          <w:sz w:val="19"/>
          <w:szCs w:val="19"/>
        </w:rPr>
        <w:t xml:space="preserve">ning av basanslaget är väl avvägt.  </w:t>
      </w:r>
    </w:p>
    <w:p w:rsidR="008C3183" w:rsidRPr="007E263F" w:rsidRDefault="008C3183" w:rsidP="00393044">
      <w:pPr>
        <w:pStyle w:val="normalmedindrag"/>
        <w:spacing w:before="0" w:line="250" w:lineRule="atLeast"/>
        <w:jc w:val="both"/>
      </w:pPr>
      <w:r w:rsidRPr="007E263F">
        <w:rPr>
          <w:sz w:val="19"/>
          <w:szCs w:val="19"/>
        </w:rPr>
        <w:t xml:space="preserve">Det tredje fallet gäller granskningen </w:t>
      </w:r>
      <w:r w:rsidRPr="007E263F">
        <w:rPr>
          <w:i/>
          <w:sz w:val="19"/>
          <w:szCs w:val="19"/>
        </w:rPr>
        <w:t>Lika betyg, lika kunskap? – En up</w:t>
      </w:r>
      <w:r w:rsidRPr="007E263F">
        <w:rPr>
          <w:i/>
          <w:sz w:val="19"/>
          <w:szCs w:val="19"/>
        </w:rPr>
        <w:t>p</w:t>
      </w:r>
      <w:r w:rsidRPr="007E263F">
        <w:rPr>
          <w:i/>
          <w:sz w:val="19"/>
          <w:szCs w:val="19"/>
        </w:rPr>
        <w:t xml:space="preserve">följning av statens styrning mot en likvärdig betygssättning i grundskolan </w:t>
      </w:r>
      <w:r w:rsidRPr="007E263F">
        <w:rPr>
          <w:sz w:val="19"/>
          <w:szCs w:val="19"/>
        </w:rPr>
        <w:t>(RiR 2011:23). Även i detta fall lämnades motion med förslag i linje med Riksrevisionens granskning. Riksdagen lämnade bifall till motionen och lämnade ett tillkännagivande till</w:t>
      </w:r>
      <w:r w:rsidRPr="007E263F">
        <w:t xml:space="preserve"> </w:t>
      </w:r>
      <w:r w:rsidRPr="007E263F">
        <w:rPr>
          <w:sz w:val="19"/>
          <w:szCs w:val="19"/>
        </w:rPr>
        <w:t>regeringen.</w:t>
      </w:r>
    </w:p>
    <w:p w:rsidR="008C3183" w:rsidRPr="007E263F" w:rsidRDefault="008C3183" w:rsidP="00393044">
      <w:pPr>
        <w:pStyle w:val="Rubrik2"/>
        <w:spacing w:line="250" w:lineRule="atLeast"/>
        <w:jc w:val="both"/>
      </w:pPr>
      <w:bookmarkStart w:id="23" w:name="_Toc326137782"/>
      <w:r w:rsidRPr="007E263F">
        <w:t>Riksrevisorernas bedömning</w:t>
      </w:r>
      <w:bookmarkEnd w:id="23"/>
    </w:p>
    <w:p w:rsidR="008C3183" w:rsidRPr="007E263F" w:rsidRDefault="008C3183" w:rsidP="00393044">
      <w:pPr>
        <w:pStyle w:val="normalmedindrag"/>
        <w:spacing w:line="250" w:lineRule="atLeast"/>
        <w:ind w:firstLine="0"/>
        <w:jc w:val="both"/>
        <w:rPr>
          <w:sz w:val="19"/>
          <w:szCs w:val="19"/>
        </w:rPr>
      </w:pPr>
      <w:r w:rsidRPr="007E263F">
        <w:rPr>
          <w:sz w:val="19"/>
          <w:szCs w:val="19"/>
        </w:rPr>
        <w:t>Efter ett drygt år med de gällande rapporteringsvägarna vill vi rik</w:t>
      </w:r>
      <w:r w:rsidRPr="007E263F">
        <w:rPr>
          <w:sz w:val="19"/>
          <w:szCs w:val="19"/>
        </w:rPr>
        <w:t>s</w:t>
      </w:r>
      <w:r w:rsidRPr="007E263F">
        <w:rPr>
          <w:sz w:val="19"/>
          <w:szCs w:val="19"/>
        </w:rPr>
        <w:t>revisorer göra en kort sammanfattande bedömning av de nya rutinerna. Den nya or</w:t>
      </w:r>
      <w:r w:rsidRPr="007E263F">
        <w:rPr>
          <w:sz w:val="19"/>
          <w:szCs w:val="19"/>
        </w:rPr>
        <w:t>d</w:t>
      </w:r>
      <w:r w:rsidRPr="007E263F">
        <w:rPr>
          <w:sz w:val="19"/>
          <w:szCs w:val="19"/>
        </w:rPr>
        <w:t>ningen har generellt inneburit en mer omfatta</w:t>
      </w:r>
      <w:r w:rsidRPr="007E263F">
        <w:rPr>
          <w:sz w:val="19"/>
          <w:szCs w:val="19"/>
        </w:rPr>
        <w:t>n</w:t>
      </w:r>
      <w:r w:rsidRPr="007E263F">
        <w:rPr>
          <w:sz w:val="19"/>
          <w:szCs w:val="19"/>
        </w:rPr>
        <w:t xml:space="preserve">de och tydligare redovisning av regeringens synpunkter på, och åtgärder kopplade till Riksrevisionens granskningsrapporter. Detta skapar en högre grad av transparens, vilket vi ser positivt på. </w:t>
      </w:r>
    </w:p>
    <w:p w:rsidR="008C3183" w:rsidRPr="007E263F" w:rsidRDefault="008C3183" w:rsidP="00393044">
      <w:pPr>
        <w:pStyle w:val="normalmedindrag"/>
        <w:spacing w:before="0" w:line="250" w:lineRule="atLeast"/>
        <w:jc w:val="both"/>
        <w:rPr>
          <w:sz w:val="19"/>
          <w:szCs w:val="19"/>
        </w:rPr>
      </w:pPr>
      <w:r w:rsidRPr="007E263F">
        <w:rPr>
          <w:sz w:val="19"/>
          <w:szCs w:val="19"/>
        </w:rPr>
        <w:t>Samtidigt kan vi konstatera att omfattningen av och karaktären på de å</w:t>
      </w:r>
      <w:r w:rsidRPr="007E263F">
        <w:rPr>
          <w:sz w:val="19"/>
          <w:szCs w:val="19"/>
        </w:rPr>
        <w:t>t</w:t>
      </w:r>
      <w:r w:rsidRPr="007E263F">
        <w:rPr>
          <w:sz w:val="19"/>
          <w:szCs w:val="19"/>
        </w:rPr>
        <w:t>gärder som regeringen vidtagit eller aviserat inte har fö</w:t>
      </w:r>
      <w:r w:rsidRPr="007E263F">
        <w:rPr>
          <w:sz w:val="19"/>
          <w:szCs w:val="19"/>
        </w:rPr>
        <w:t>r</w:t>
      </w:r>
      <w:r w:rsidRPr="007E263F">
        <w:rPr>
          <w:sz w:val="19"/>
          <w:szCs w:val="19"/>
        </w:rPr>
        <w:t>ändrats genom den nya ordningen. Regeringen anger också för majoriteten av våra granskningar att ärendet är slutbehandlat i skrivelsen, innan riksdagen haft tillfälle att ha</w:t>
      </w:r>
      <w:r w:rsidRPr="007E263F">
        <w:rPr>
          <w:sz w:val="19"/>
          <w:szCs w:val="19"/>
        </w:rPr>
        <w:t>n</w:t>
      </w:r>
      <w:r w:rsidRPr="007E263F">
        <w:rPr>
          <w:sz w:val="19"/>
          <w:szCs w:val="19"/>
        </w:rPr>
        <w:t>tera ärendet. Riksrev</w:t>
      </w:r>
      <w:r w:rsidRPr="007E263F">
        <w:rPr>
          <w:sz w:val="19"/>
          <w:szCs w:val="19"/>
        </w:rPr>
        <w:t>i</w:t>
      </w:r>
      <w:r w:rsidRPr="007E263F">
        <w:rPr>
          <w:sz w:val="19"/>
          <w:szCs w:val="19"/>
        </w:rPr>
        <w:t>sionen har tidigare påpekat att regeringen tydligare bör ange på vilka grunder en granskningsrapport är slutbehandlad. Vi vill än en gång påpeka vikten av detta. Riksdagen har vid ett par tillfällen lämnat til</w:t>
      </w:r>
      <w:r w:rsidRPr="007E263F">
        <w:rPr>
          <w:sz w:val="19"/>
          <w:szCs w:val="19"/>
        </w:rPr>
        <w:t>l</w:t>
      </w:r>
      <w:r w:rsidRPr="007E263F">
        <w:rPr>
          <w:sz w:val="19"/>
          <w:szCs w:val="19"/>
        </w:rPr>
        <w:t xml:space="preserve">kännagivanden med anledning av våra granskningar och då till viss del haft en avvikande syn jämfört med vad regeringen framfört i sina skrivelser. </w:t>
      </w:r>
    </w:p>
    <w:p w:rsidR="008C3183" w:rsidRPr="007E263F" w:rsidRDefault="008C3183" w:rsidP="00393044">
      <w:pPr>
        <w:pStyle w:val="normalmedindrag"/>
        <w:spacing w:before="0" w:line="250" w:lineRule="atLeast"/>
        <w:jc w:val="both"/>
        <w:rPr>
          <w:sz w:val="19"/>
          <w:szCs w:val="19"/>
        </w:rPr>
      </w:pPr>
      <w:r w:rsidRPr="007E263F">
        <w:rPr>
          <w:sz w:val="19"/>
          <w:szCs w:val="19"/>
        </w:rPr>
        <w:t>Vi blir ofta kallade till utskotten för att presentera våra granskningsrappo</w:t>
      </w:r>
      <w:r w:rsidRPr="007E263F">
        <w:rPr>
          <w:sz w:val="19"/>
          <w:szCs w:val="19"/>
        </w:rPr>
        <w:t>r</w:t>
      </w:r>
      <w:r w:rsidRPr="007E263F">
        <w:rPr>
          <w:sz w:val="19"/>
          <w:szCs w:val="19"/>
        </w:rPr>
        <w:t>ter. Att vi får tillfälle att ha täta kontakter och avstä</w:t>
      </w:r>
      <w:r w:rsidRPr="007E263F">
        <w:rPr>
          <w:sz w:val="19"/>
          <w:szCs w:val="19"/>
        </w:rPr>
        <w:t>m</w:t>
      </w:r>
      <w:r w:rsidRPr="007E263F">
        <w:rPr>
          <w:sz w:val="19"/>
          <w:szCs w:val="19"/>
        </w:rPr>
        <w:t>ningar med utskotten ser vi som mycket värdefullt. Vi kan konstatera att det i våra kontakter med u</w:t>
      </w:r>
      <w:r w:rsidRPr="007E263F">
        <w:rPr>
          <w:sz w:val="19"/>
          <w:szCs w:val="19"/>
        </w:rPr>
        <w:t>t</w:t>
      </w:r>
      <w:r w:rsidRPr="007E263F">
        <w:rPr>
          <w:sz w:val="19"/>
          <w:szCs w:val="19"/>
        </w:rPr>
        <w:t>skotten har blivit tydligt att ha</w:t>
      </w:r>
      <w:r w:rsidRPr="007E263F">
        <w:rPr>
          <w:sz w:val="19"/>
          <w:szCs w:val="19"/>
        </w:rPr>
        <w:t>n</w:t>
      </w:r>
      <w:r w:rsidRPr="007E263F">
        <w:rPr>
          <w:sz w:val="19"/>
          <w:szCs w:val="19"/>
        </w:rPr>
        <w:t>teringen av skrivelserna med anledning av våra granskningsrappo</w:t>
      </w:r>
      <w:r w:rsidRPr="007E263F">
        <w:rPr>
          <w:sz w:val="19"/>
          <w:szCs w:val="19"/>
        </w:rPr>
        <w:t>r</w:t>
      </w:r>
      <w:r w:rsidRPr="007E263F">
        <w:rPr>
          <w:sz w:val="19"/>
          <w:szCs w:val="19"/>
        </w:rPr>
        <w:t>ter varierar något mellan</w:t>
      </w:r>
      <w:r w:rsidR="00A34BEA" w:rsidRPr="007E263F">
        <w:rPr>
          <w:sz w:val="19"/>
          <w:szCs w:val="19"/>
        </w:rPr>
        <w:t xml:space="preserve"> de olika utskotten. Det är</w:t>
      </w:r>
      <w:r w:rsidRPr="007E263F">
        <w:rPr>
          <w:sz w:val="19"/>
          <w:szCs w:val="19"/>
        </w:rPr>
        <w:t xml:space="preserve"> dock inte enbart rapporteringsvägarna som har förändrats, utan Riksrevisi</w:t>
      </w:r>
      <w:r w:rsidRPr="007E263F">
        <w:rPr>
          <w:sz w:val="19"/>
          <w:szCs w:val="19"/>
        </w:rPr>
        <w:t>o</w:t>
      </w:r>
      <w:r w:rsidRPr="007E263F">
        <w:rPr>
          <w:sz w:val="19"/>
          <w:szCs w:val="19"/>
        </w:rPr>
        <w:t>nen har också utvecklats, och vi gör fler granskningar som sträcker sig över flera utskott. Detta innebär ett ökat behov av samordning mellan utsko</w:t>
      </w:r>
      <w:r w:rsidRPr="007E263F">
        <w:rPr>
          <w:sz w:val="19"/>
          <w:szCs w:val="19"/>
        </w:rPr>
        <w:t>t</w:t>
      </w:r>
      <w:r w:rsidRPr="007E263F">
        <w:rPr>
          <w:sz w:val="19"/>
          <w:szCs w:val="19"/>
        </w:rPr>
        <w:t>ten vid riksdagens hantering av våra granskningar.</w:t>
      </w:r>
    </w:p>
    <w:p w:rsidR="008C3183" w:rsidRPr="007E263F" w:rsidRDefault="008C3183" w:rsidP="00393044">
      <w:pPr>
        <w:pStyle w:val="normalmedindrag"/>
        <w:spacing w:before="0" w:line="250" w:lineRule="atLeast"/>
        <w:jc w:val="both"/>
        <w:rPr>
          <w:sz w:val="19"/>
          <w:szCs w:val="19"/>
        </w:rPr>
      </w:pPr>
      <w:r w:rsidRPr="007E263F">
        <w:rPr>
          <w:sz w:val="19"/>
          <w:szCs w:val="19"/>
        </w:rPr>
        <w:t>Sammanfattningsvis är vi positiva till den ordning som råder s</w:t>
      </w:r>
      <w:r w:rsidRPr="007E263F">
        <w:rPr>
          <w:sz w:val="19"/>
          <w:szCs w:val="19"/>
        </w:rPr>
        <w:t>e</w:t>
      </w:r>
      <w:r w:rsidRPr="007E263F">
        <w:rPr>
          <w:sz w:val="19"/>
          <w:szCs w:val="19"/>
        </w:rPr>
        <w:t>dan drygt ett år tillbaka. Samtliga våra rapporter behandlas nu i riksdagen genom rege</w:t>
      </w:r>
      <w:r w:rsidRPr="007E263F">
        <w:rPr>
          <w:sz w:val="19"/>
          <w:szCs w:val="19"/>
        </w:rPr>
        <w:t>r</w:t>
      </w:r>
      <w:r w:rsidRPr="007E263F">
        <w:rPr>
          <w:sz w:val="19"/>
          <w:szCs w:val="19"/>
        </w:rPr>
        <w:t>ingens skrivelser. Behandlingen skapar tydlighet och transparens och unde</w:t>
      </w:r>
      <w:r w:rsidRPr="007E263F">
        <w:rPr>
          <w:sz w:val="19"/>
          <w:szCs w:val="19"/>
        </w:rPr>
        <w:t>r</w:t>
      </w:r>
      <w:r w:rsidRPr="007E263F">
        <w:rPr>
          <w:sz w:val="19"/>
          <w:szCs w:val="19"/>
        </w:rPr>
        <w:t>lättar vår uppföljning. Riksdagen får också lättare att värdera de åtgärder som regeringen presenterar i skrivelserna och kan direkt reagera på eller komme</w:t>
      </w:r>
      <w:r w:rsidRPr="007E263F">
        <w:rPr>
          <w:sz w:val="19"/>
          <w:szCs w:val="19"/>
        </w:rPr>
        <w:t>n</w:t>
      </w:r>
      <w:r w:rsidRPr="007E263F">
        <w:rPr>
          <w:sz w:val="19"/>
          <w:szCs w:val="19"/>
        </w:rPr>
        <w:t>tera dessa.</w:t>
      </w:r>
    </w:p>
    <w:p w:rsidR="00EC5DF3" w:rsidRPr="007E263F" w:rsidRDefault="008C3183" w:rsidP="00393044">
      <w:pPr>
        <w:pStyle w:val="normalmedindrag"/>
        <w:spacing w:line="250" w:lineRule="atLeast"/>
        <w:jc w:val="both"/>
      </w:pPr>
      <w:r w:rsidRPr="007E263F">
        <w:t xml:space="preserve"> </w:t>
      </w:r>
    </w:p>
    <w:p w:rsidR="00EC5DF3" w:rsidRPr="007E263F" w:rsidRDefault="00EC5DF3" w:rsidP="00393044">
      <w:pPr>
        <w:pStyle w:val="normalmedindrag"/>
        <w:spacing w:line="250" w:lineRule="atLeast"/>
        <w:jc w:val="both"/>
        <w:sectPr w:rsidR="00EC5DF3" w:rsidRPr="007E263F">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8C3183" w:rsidRPr="007E263F" w:rsidRDefault="008C3183" w:rsidP="00790E55">
      <w:pPr>
        <w:pStyle w:val="Rubrik1"/>
        <w:spacing w:line="250" w:lineRule="atLeast"/>
        <w:rPr>
          <w:noProof w:val="0"/>
        </w:rPr>
      </w:pPr>
      <w:bookmarkStart w:id="24" w:name="_Toc322098038"/>
      <w:bookmarkStart w:id="25" w:name="_Toc326137783"/>
      <w:r w:rsidRPr="007E263F">
        <w:rPr>
          <w:noProof w:val="0"/>
        </w:rPr>
        <w:t>Den årliga revisionen – våra viktigaste iakttagelser</w:t>
      </w:r>
      <w:bookmarkEnd w:id="24"/>
      <w:bookmarkEnd w:id="25"/>
    </w:p>
    <w:p w:rsidR="008C3183" w:rsidRPr="007E263F" w:rsidRDefault="008C3183" w:rsidP="00393044">
      <w:pPr>
        <w:pStyle w:val="Rubrik2"/>
        <w:spacing w:before="250"/>
        <w:jc w:val="both"/>
      </w:pPr>
      <w:bookmarkStart w:id="26" w:name="_Toc322098039"/>
      <w:bookmarkStart w:id="27" w:name="_Toc326137784"/>
      <w:r w:rsidRPr="007E263F">
        <w:t>Revisionen av 2011 års årsredovisningar</w:t>
      </w:r>
      <w:bookmarkEnd w:id="26"/>
      <w:bookmarkEnd w:id="27"/>
    </w:p>
    <w:p w:rsidR="008C3183" w:rsidRPr="007E263F" w:rsidRDefault="008C3183" w:rsidP="00393044">
      <w:r w:rsidRPr="007E263F">
        <w:t>Den årliga revisionen ska enligt revisionslagen bedrivas i enlighet med god revisionssed. I Sverige gäller från och med den 1 januari 2011 International Standards on Auditing (ISA) som god revisionssed. Vi har beslutat att Rik</w:t>
      </w:r>
      <w:r w:rsidRPr="007E263F">
        <w:t>s</w:t>
      </w:r>
      <w:r w:rsidRPr="007E263F">
        <w:t xml:space="preserve">revisionen ska tillämpa ISA kompletterad med vägledning för revision av offentlig sektor (ISSAI) från och med räkenskapsåret 2011. </w:t>
      </w:r>
    </w:p>
    <w:p w:rsidR="008C3183" w:rsidRPr="007E263F" w:rsidRDefault="008C3183" w:rsidP="00393044">
      <w:pPr>
        <w:pStyle w:val="normalmedindrag"/>
        <w:spacing w:before="0" w:line="250" w:lineRule="atLeast"/>
        <w:jc w:val="both"/>
        <w:rPr>
          <w:sz w:val="19"/>
          <w:szCs w:val="19"/>
        </w:rPr>
      </w:pPr>
      <w:r w:rsidRPr="007E263F">
        <w:rPr>
          <w:sz w:val="19"/>
          <w:szCs w:val="19"/>
        </w:rPr>
        <w:t>Av revisionslagen framgår även att årlig revision ska ske med syftet ”att bedöma om redovisningen och underliggande redovi</w:t>
      </w:r>
      <w:r w:rsidRPr="007E263F">
        <w:rPr>
          <w:sz w:val="19"/>
          <w:szCs w:val="19"/>
        </w:rPr>
        <w:t>s</w:t>
      </w:r>
      <w:r w:rsidRPr="007E263F">
        <w:rPr>
          <w:sz w:val="19"/>
          <w:szCs w:val="19"/>
        </w:rPr>
        <w:t>ning är tillförlitlig och räkenskaperna rättvisande”. Med ”rättvisa</w:t>
      </w:r>
      <w:r w:rsidRPr="007E263F">
        <w:rPr>
          <w:sz w:val="19"/>
          <w:szCs w:val="19"/>
        </w:rPr>
        <w:t>n</w:t>
      </w:r>
      <w:r w:rsidRPr="007E263F">
        <w:rPr>
          <w:sz w:val="19"/>
          <w:szCs w:val="19"/>
        </w:rPr>
        <w:t>de” menar vi att årsredovisningen som helhet ger en rättvisande bild och att ingående delar har upprättats enligt god redovisningssed. Årlig revision ska i enlighet med god revisionssed inri</w:t>
      </w:r>
      <w:r w:rsidRPr="007E263F">
        <w:rPr>
          <w:sz w:val="19"/>
          <w:szCs w:val="19"/>
        </w:rPr>
        <w:t>k</w:t>
      </w:r>
      <w:r w:rsidRPr="007E263F">
        <w:rPr>
          <w:sz w:val="19"/>
          <w:szCs w:val="19"/>
        </w:rPr>
        <w:t>tas mot bedömda risker för väsentliga fel. Riksrevisionen ska arbeta föreby</w:t>
      </w:r>
      <w:r w:rsidRPr="007E263F">
        <w:rPr>
          <w:sz w:val="19"/>
          <w:szCs w:val="19"/>
        </w:rPr>
        <w:t>g</w:t>
      </w:r>
      <w:r w:rsidRPr="007E263F">
        <w:rPr>
          <w:sz w:val="19"/>
          <w:szCs w:val="19"/>
        </w:rPr>
        <w:t>gande och kommunicera eventuella fel och brister till berörda parter så snart som möjligt.</w:t>
      </w:r>
    </w:p>
    <w:p w:rsidR="008C3183" w:rsidRPr="007E263F" w:rsidRDefault="008C3183" w:rsidP="00393044">
      <w:pPr>
        <w:pStyle w:val="normalmedindrag"/>
        <w:spacing w:before="0" w:line="250" w:lineRule="atLeast"/>
        <w:jc w:val="both"/>
        <w:rPr>
          <w:sz w:val="19"/>
          <w:szCs w:val="19"/>
        </w:rPr>
      </w:pPr>
      <w:r w:rsidRPr="007E263F">
        <w:rPr>
          <w:sz w:val="19"/>
          <w:szCs w:val="19"/>
        </w:rPr>
        <w:t>I detta arbete ska den samlade kompetensen inom Riksrevisi</w:t>
      </w:r>
      <w:r w:rsidRPr="007E263F">
        <w:rPr>
          <w:sz w:val="19"/>
          <w:szCs w:val="19"/>
        </w:rPr>
        <w:t>o</w:t>
      </w:r>
      <w:r w:rsidRPr="007E263F">
        <w:rPr>
          <w:sz w:val="19"/>
          <w:szCs w:val="19"/>
        </w:rPr>
        <w:t>nen utnyttjas. Relevant kunskap såväl inom övrig årlig revision som inom effektivitetsrev</w:t>
      </w:r>
      <w:r w:rsidRPr="007E263F">
        <w:rPr>
          <w:sz w:val="19"/>
          <w:szCs w:val="19"/>
        </w:rPr>
        <w:t>i</w:t>
      </w:r>
      <w:r w:rsidRPr="007E263F">
        <w:rPr>
          <w:sz w:val="19"/>
          <w:szCs w:val="19"/>
        </w:rPr>
        <w:t>sionen ska användas i planering och genomförande av revisionen. Detta inn</w:t>
      </w:r>
      <w:r w:rsidRPr="007E263F">
        <w:rPr>
          <w:sz w:val="19"/>
          <w:szCs w:val="19"/>
        </w:rPr>
        <w:t>e</w:t>
      </w:r>
      <w:r w:rsidRPr="007E263F">
        <w:rPr>
          <w:sz w:val="19"/>
          <w:szCs w:val="19"/>
        </w:rPr>
        <w:t>bär också att verifierade iakttagelser från effektivitetsrevisionen kan användas som rev</w:t>
      </w:r>
      <w:r w:rsidRPr="007E263F">
        <w:rPr>
          <w:sz w:val="19"/>
          <w:szCs w:val="19"/>
        </w:rPr>
        <w:t>i</w:t>
      </w:r>
      <w:r w:rsidRPr="007E263F">
        <w:rPr>
          <w:sz w:val="19"/>
          <w:szCs w:val="19"/>
        </w:rPr>
        <w:t>sionsbevis inom årlig revision.</w:t>
      </w:r>
    </w:p>
    <w:p w:rsidR="008C3183" w:rsidRPr="007E263F" w:rsidRDefault="008C3183" w:rsidP="00393044">
      <w:pPr>
        <w:pStyle w:val="normalmedindrag"/>
        <w:spacing w:before="0" w:line="250" w:lineRule="atLeast"/>
        <w:jc w:val="both"/>
        <w:rPr>
          <w:sz w:val="19"/>
          <w:szCs w:val="19"/>
        </w:rPr>
      </w:pPr>
      <w:r w:rsidRPr="007E263F">
        <w:rPr>
          <w:sz w:val="19"/>
          <w:szCs w:val="19"/>
        </w:rPr>
        <w:t>Beslut om revisionsberättelse för respektive myndighet fattas av ansvarig revisor. Revisionsberättelser som avviker från standardu</w:t>
      </w:r>
      <w:r w:rsidRPr="007E263F">
        <w:rPr>
          <w:sz w:val="19"/>
          <w:szCs w:val="19"/>
        </w:rPr>
        <w:t>t</w:t>
      </w:r>
      <w:r w:rsidRPr="007E263F">
        <w:rPr>
          <w:sz w:val="19"/>
          <w:szCs w:val="19"/>
        </w:rPr>
        <w:t xml:space="preserve">formningen benämns revisionsberättelse med modifierat uttalande som kan lämnas i form av </w:t>
      </w:r>
      <w:r w:rsidRPr="007E263F">
        <w:rPr>
          <w:i/>
          <w:sz w:val="19"/>
          <w:szCs w:val="19"/>
        </w:rPr>
        <w:t>rese</w:t>
      </w:r>
      <w:r w:rsidRPr="007E263F">
        <w:rPr>
          <w:i/>
          <w:sz w:val="19"/>
          <w:szCs w:val="19"/>
        </w:rPr>
        <w:t>r</w:t>
      </w:r>
      <w:r w:rsidRPr="007E263F">
        <w:rPr>
          <w:i/>
          <w:sz w:val="19"/>
          <w:szCs w:val="19"/>
        </w:rPr>
        <w:t>vation</w:t>
      </w:r>
      <w:r w:rsidRPr="007E263F">
        <w:rPr>
          <w:sz w:val="19"/>
          <w:szCs w:val="19"/>
        </w:rPr>
        <w:t xml:space="preserve">, </w:t>
      </w:r>
      <w:r w:rsidRPr="007E263F">
        <w:rPr>
          <w:i/>
          <w:sz w:val="19"/>
          <w:szCs w:val="19"/>
        </w:rPr>
        <w:t>avvikande mening</w:t>
      </w:r>
      <w:r w:rsidRPr="007E263F">
        <w:rPr>
          <w:sz w:val="19"/>
          <w:szCs w:val="19"/>
        </w:rPr>
        <w:t xml:space="preserve"> eller att revisorn </w:t>
      </w:r>
      <w:r w:rsidRPr="007E263F">
        <w:rPr>
          <w:i/>
          <w:sz w:val="19"/>
          <w:szCs w:val="19"/>
        </w:rPr>
        <w:t>avstår från att uttala sig</w:t>
      </w:r>
      <w:r w:rsidRPr="007E263F">
        <w:rPr>
          <w:sz w:val="19"/>
          <w:szCs w:val="19"/>
        </w:rPr>
        <w:t xml:space="preserve">. Den ansvarige revisorn uttalar sig med </w:t>
      </w:r>
      <w:r w:rsidRPr="007E263F">
        <w:rPr>
          <w:i/>
          <w:sz w:val="19"/>
          <w:szCs w:val="19"/>
        </w:rPr>
        <w:t>reservation</w:t>
      </w:r>
      <w:r w:rsidRPr="007E263F">
        <w:rPr>
          <w:sz w:val="19"/>
          <w:szCs w:val="19"/>
        </w:rPr>
        <w:t xml:space="preserve"> när det finns väsentliga fel, som inte är g</w:t>
      </w:r>
      <w:r w:rsidRPr="007E263F">
        <w:rPr>
          <w:sz w:val="19"/>
          <w:szCs w:val="19"/>
        </w:rPr>
        <w:t>e</w:t>
      </w:r>
      <w:r w:rsidRPr="007E263F">
        <w:rPr>
          <w:sz w:val="19"/>
          <w:szCs w:val="19"/>
        </w:rPr>
        <w:t>nomgripande för årsredovisningen. En reservation lämnas också när revisorn inte kunnat inhämta tillräckliga och ändamålsenliga revisionsb</w:t>
      </w:r>
      <w:r w:rsidRPr="007E263F">
        <w:rPr>
          <w:sz w:val="19"/>
          <w:szCs w:val="19"/>
        </w:rPr>
        <w:t>e</w:t>
      </w:r>
      <w:r w:rsidRPr="007E263F">
        <w:rPr>
          <w:sz w:val="19"/>
          <w:szCs w:val="19"/>
        </w:rPr>
        <w:t>vis, men drar slutsatsen att möjliga fel inte är genomgripande. Ansvarig rev</w:t>
      </w:r>
      <w:r w:rsidRPr="007E263F">
        <w:rPr>
          <w:sz w:val="19"/>
          <w:szCs w:val="19"/>
        </w:rPr>
        <w:t>i</w:t>
      </w:r>
      <w:r w:rsidRPr="007E263F">
        <w:rPr>
          <w:sz w:val="19"/>
          <w:szCs w:val="19"/>
        </w:rPr>
        <w:t xml:space="preserve">sor uttalar sig med </w:t>
      </w:r>
      <w:r w:rsidRPr="007E263F">
        <w:rPr>
          <w:i/>
          <w:sz w:val="19"/>
          <w:szCs w:val="19"/>
        </w:rPr>
        <w:t>avvikande</w:t>
      </w:r>
      <w:r w:rsidRPr="007E263F">
        <w:rPr>
          <w:sz w:val="19"/>
          <w:szCs w:val="19"/>
        </w:rPr>
        <w:t xml:space="preserve"> </w:t>
      </w:r>
      <w:r w:rsidRPr="007E263F">
        <w:rPr>
          <w:i/>
          <w:sz w:val="19"/>
          <w:szCs w:val="19"/>
        </w:rPr>
        <w:t>mening</w:t>
      </w:r>
      <w:r w:rsidRPr="007E263F">
        <w:rPr>
          <w:sz w:val="19"/>
          <w:szCs w:val="19"/>
        </w:rPr>
        <w:t xml:space="preserve"> när det finns väsentliga och genomgr</w:t>
      </w:r>
      <w:r w:rsidRPr="007E263F">
        <w:rPr>
          <w:sz w:val="19"/>
          <w:szCs w:val="19"/>
        </w:rPr>
        <w:t>i</w:t>
      </w:r>
      <w:r w:rsidRPr="007E263F">
        <w:rPr>
          <w:sz w:val="19"/>
          <w:szCs w:val="19"/>
        </w:rPr>
        <w:t>pande fel som innebär att årsr</w:t>
      </w:r>
      <w:r w:rsidRPr="007E263F">
        <w:rPr>
          <w:sz w:val="19"/>
          <w:szCs w:val="19"/>
        </w:rPr>
        <w:t>e</w:t>
      </w:r>
      <w:r w:rsidRPr="007E263F">
        <w:rPr>
          <w:sz w:val="19"/>
          <w:szCs w:val="19"/>
        </w:rPr>
        <w:t xml:space="preserve">dovisningen som helhet inte ger en rättvisande bild. Den ansvarige revisorn </w:t>
      </w:r>
      <w:r w:rsidRPr="007E263F">
        <w:rPr>
          <w:i/>
          <w:sz w:val="19"/>
          <w:szCs w:val="19"/>
        </w:rPr>
        <w:t>avstår från att uttala sig</w:t>
      </w:r>
      <w:r w:rsidRPr="007E263F">
        <w:rPr>
          <w:sz w:val="19"/>
          <w:szCs w:val="19"/>
        </w:rPr>
        <w:t xml:space="preserve"> bland annat när revisorn bedömer att det inte finns något ramverk för finansiell rapportering att gran</w:t>
      </w:r>
      <w:r w:rsidRPr="007E263F">
        <w:rPr>
          <w:sz w:val="19"/>
          <w:szCs w:val="19"/>
        </w:rPr>
        <w:t>s</w:t>
      </w:r>
      <w:r w:rsidRPr="007E263F">
        <w:rPr>
          <w:sz w:val="19"/>
          <w:szCs w:val="19"/>
        </w:rPr>
        <w:t xml:space="preserve">ka mot. </w:t>
      </w:r>
    </w:p>
    <w:p w:rsidR="008C3183" w:rsidRPr="007E263F" w:rsidRDefault="008C3183" w:rsidP="00393044">
      <w:pPr>
        <w:pStyle w:val="normalmedindrag"/>
        <w:spacing w:before="0" w:line="250" w:lineRule="atLeast"/>
        <w:jc w:val="both"/>
        <w:rPr>
          <w:sz w:val="19"/>
          <w:szCs w:val="19"/>
        </w:rPr>
      </w:pPr>
      <w:r w:rsidRPr="007E263F">
        <w:rPr>
          <w:sz w:val="19"/>
          <w:szCs w:val="19"/>
        </w:rPr>
        <w:t>I likhet med tidigare kan revisorn också lyfta fram särskilt viktig inform</w:t>
      </w:r>
      <w:r w:rsidRPr="007E263F">
        <w:rPr>
          <w:sz w:val="19"/>
          <w:szCs w:val="19"/>
        </w:rPr>
        <w:t>a</w:t>
      </w:r>
      <w:r w:rsidRPr="007E263F">
        <w:rPr>
          <w:sz w:val="19"/>
          <w:szCs w:val="19"/>
        </w:rPr>
        <w:t xml:space="preserve">tion som lämnats i årsredovisningen genom att lämna en </w:t>
      </w:r>
      <w:r w:rsidRPr="007E263F">
        <w:rPr>
          <w:i/>
          <w:sz w:val="19"/>
          <w:szCs w:val="19"/>
        </w:rPr>
        <w:t>upplysning</w:t>
      </w:r>
      <w:r w:rsidRPr="007E263F">
        <w:rPr>
          <w:sz w:val="19"/>
          <w:szCs w:val="19"/>
        </w:rPr>
        <w:t xml:space="preserve"> i rev</w:t>
      </w:r>
      <w:r w:rsidRPr="007E263F">
        <w:rPr>
          <w:sz w:val="19"/>
          <w:szCs w:val="19"/>
        </w:rPr>
        <w:t>i</w:t>
      </w:r>
      <w:r w:rsidRPr="007E263F">
        <w:rPr>
          <w:sz w:val="19"/>
          <w:szCs w:val="19"/>
        </w:rPr>
        <w:t>sionsberättelsen. En upplysning innebär dock inte en modifierad revisionsb</w:t>
      </w:r>
      <w:r w:rsidRPr="007E263F">
        <w:rPr>
          <w:sz w:val="19"/>
          <w:szCs w:val="19"/>
        </w:rPr>
        <w:t>e</w:t>
      </w:r>
      <w:r w:rsidRPr="007E263F">
        <w:rPr>
          <w:sz w:val="19"/>
          <w:szCs w:val="19"/>
        </w:rPr>
        <w:t xml:space="preserve">rättelse. </w:t>
      </w:r>
    </w:p>
    <w:p w:rsidR="008C3183" w:rsidRPr="007E263F" w:rsidRDefault="008C3183" w:rsidP="00393044">
      <w:pPr>
        <w:pStyle w:val="normalmedindrag"/>
        <w:spacing w:before="0" w:line="250" w:lineRule="atLeast"/>
        <w:jc w:val="both"/>
        <w:rPr>
          <w:sz w:val="19"/>
          <w:szCs w:val="19"/>
        </w:rPr>
      </w:pPr>
      <w:r w:rsidRPr="007E263F">
        <w:rPr>
          <w:sz w:val="19"/>
          <w:szCs w:val="19"/>
        </w:rPr>
        <w:t>För 2011 har Riksrevisionen lämnat fyra revisionsberättelser med ett mod</w:t>
      </w:r>
      <w:r w:rsidRPr="007E263F">
        <w:rPr>
          <w:sz w:val="19"/>
          <w:szCs w:val="19"/>
        </w:rPr>
        <w:t>i</w:t>
      </w:r>
      <w:r w:rsidRPr="007E263F">
        <w:rPr>
          <w:sz w:val="19"/>
          <w:szCs w:val="19"/>
        </w:rPr>
        <w:t>fierat uttalande i revisionsberättelsen (det som tidigare kallades invändning). Som jämförelse lämnades två modifierade revisionsberättelser 2010 och tolv invändningar 2009.</w:t>
      </w:r>
    </w:p>
    <w:p w:rsidR="008C3183" w:rsidRPr="007E263F" w:rsidRDefault="008C3183" w:rsidP="00393044">
      <w:pPr>
        <w:pStyle w:val="Normaltindrag"/>
        <w:rPr>
          <w:spacing w:val="-4"/>
        </w:rPr>
      </w:pPr>
      <w:r w:rsidRPr="007E263F">
        <w:rPr>
          <w:spacing w:val="-4"/>
        </w:rPr>
        <w:t>Samtliga revisions</w:t>
      </w:r>
      <w:r w:rsidR="00A34BEA" w:rsidRPr="007E263F">
        <w:rPr>
          <w:spacing w:val="-4"/>
        </w:rPr>
        <w:softHyphen/>
      </w:r>
      <w:r w:rsidRPr="007E263F">
        <w:rPr>
          <w:spacing w:val="-4"/>
        </w:rPr>
        <w:t>rap</w:t>
      </w:r>
      <w:r w:rsidR="00A34BEA" w:rsidRPr="007E263F">
        <w:rPr>
          <w:spacing w:val="-4"/>
        </w:rPr>
        <w:softHyphen/>
      </w:r>
      <w:r w:rsidRPr="007E263F">
        <w:rPr>
          <w:spacing w:val="-4"/>
        </w:rPr>
        <w:t>porter kan läsas i sin hel</w:t>
      </w:r>
      <w:r w:rsidR="00A34BEA" w:rsidRPr="007E263F">
        <w:rPr>
          <w:spacing w:val="-4"/>
        </w:rPr>
        <w:softHyphen/>
      </w:r>
      <w:r w:rsidRPr="007E263F">
        <w:rPr>
          <w:spacing w:val="-4"/>
        </w:rPr>
        <w:t xml:space="preserve">het på </w:t>
      </w:r>
      <w:hyperlink r:id="rId51" w:history="1">
        <w:r w:rsidRPr="007E263F">
          <w:rPr>
            <w:rStyle w:val="Hyperlnk"/>
            <w:i/>
            <w:color w:val="auto"/>
            <w:spacing w:val="-4"/>
            <w:szCs w:val="19"/>
            <w:u w:val="none"/>
          </w:rPr>
          <w:t>www.riksrevisionen.se</w:t>
        </w:r>
      </w:hyperlink>
      <w:r w:rsidR="00A34BEA" w:rsidRPr="007E263F">
        <w:rPr>
          <w:spacing w:val="-4"/>
        </w:rPr>
        <w:t>.</w:t>
      </w:r>
    </w:p>
    <w:p w:rsidR="008C3183" w:rsidRPr="007E263F" w:rsidRDefault="008C3183" w:rsidP="00393044">
      <w:pPr>
        <w:pStyle w:val="Rubrik2"/>
        <w:jc w:val="both"/>
      </w:pPr>
      <w:bookmarkStart w:id="28" w:name="_Toc322098040"/>
      <w:bookmarkStart w:id="29" w:name="_Toc326137785"/>
      <w:r w:rsidRPr="007E263F">
        <w:t>Myndigheter med modifierat uttalande</w:t>
      </w:r>
      <w:bookmarkEnd w:id="28"/>
      <w:bookmarkEnd w:id="29"/>
    </w:p>
    <w:p w:rsidR="008C3183" w:rsidRPr="007E263F" w:rsidRDefault="008C3183" w:rsidP="00393044">
      <w:pPr>
        <w:pStyle w:val="Rubrik3"/>
        <w:jc w:val="both"/>
        <w:rPr>
          <w:noProof w:val="0"/>
        </w:rPr>
      </w:pPr>
      <w:bookmarkStart w:id="30" w:name="_Toc326137786"/>
      <w:r w:rsidRPr="007E263F">
        <w:rPr>
          <w:noProof w:val="0"/>
        </w:rPr>
        <w:t>Avvikande mening</w:t>
      </w:r>
      <w:bookmarkEnd w:id="30"/>
    </w:p>
    <w:p w:rsidR="008C3183" w:rsidRPr="007E263F" w:rsidRDefault="008C3183" w:rsidP="00393044">
      <w:r w:rsidRPr="007E263F">
        <w:t>Riksrevisionen har lämnat modifierat uttalande i form av avvikande mening för två myndigheter 2011. Det innebär att vi bedömer att årsredovisningen inte ger en rättvisande bild för dessa två myndigheter.</w:t>
      </w:r>
    </w:p>
    <w:p w:rsidR="008C3183" w:rsidRPr="007E263F" w:rsidRDefault="008C3183" w:rsidP="00CB6764">
      <w:pPr>
        <w:pStyle w:val="Rubrik4"/>
        <w:rPr>
          <w:noProof w:val="0"/>
        </w:rPr>
      </w:pPr>
      <w:bookmarkStart w:id="31" w:name="_Toc326137787"/>
      <w:r w:rsidRPr="007E263F">
        <w:rPr>
          <w:noProof w:val="0"/>
        </w:rPr>
        <w:t>Havs- och vattenmyndigheten</w:t>
      </w:r>
      <w:bookmarkEnd w:id="31"/>
    </w:p>
    <w:p w:rsidR="0081031C" w:rsidRPr="007E263F" w:rsidRDefault="008C3183" w:rsidP="00393044">
      <w:pPr>
        <w:rPr>
          <w:kern w:val="8"/>
        </w:rPr>
      </w:pPr>
      <w:r w:rsidRPr="007E263F">
        <w:rPr>
          <w:kern w:val="8"/>
        </w:rPr>
        <w:t>Havs- och vattenmyndighetens årsredovisning innehåller flera felaktigheter som sammantaget är både väsentliga och av avgörande betydelse för årsred</w:t>
      </w:r>
      <w:r w:rsidRPr="007E263F">
        <w:rPr>
          <w:kern w:val="8"/>
        </w:rPr>
        <w:t>o</w:t>
      </w:r>
      <w:r w:rsidR="0081031C" w:rsidRPr="007E263F">
        <w:rPr>
          <w:kern w:val="8"/>
        </w:rPr>
        <w:t xml:space="preserve">visningen. </w:t>
      </w:r>
    </w:p>
    <w:p w:rsidR="008C3183" w:rsidRPr="007E263F" w:rsidRDefault="008C3183" w:rsidP="00393044">
      <w:pPr>
        <w:pStyle w:val="Normaltindrag"/>
        <w:rPr>
          <w:kern w:val="8"/>
        </w:rPr>
      </w:pPr>
      <w:r w:rsidRPr="007E263F">
        <w:rPr>
          <w:kern w:val="8"/>
        </w:rPr>
        <w:t>Av revisionen framgår ett antal väsentliga brister i redovisningen.</w:t>
      </w:r>
    </w:p>
    <w:p w:rsidR="008C3183" w:rsidRPr="007E263F" w:rsidRDefault="008C3183" w:rsidP="00393044">
      <w:pPr>
        <w:numPr>
          <w:ilvl w:val="0"/>
          <w:numId w:val="13"/>
        </w:numPr>
        <w:spacing w:before="120"/>
      </w:pPr>
      <w:r w:rsidRPr="007E263F">
        <w:t>Det framgår inte hur de i årsredovisningen redovisade bristerna avseende intern styrning och kontroll påverkat årsredovisningen.</w:t>
      </w:r>
    </w:p>
    <w:p w:rsidR="008C3183" w:rsidRPr="007E263F" w:rsidRDefault="008C3183" w:rsidP="00393044">
      <w:pPr>
        <w:numPr>
          <w:ilvl w:val="0"/>
          <w:numId w:val="13"/>
        </w:numPr>
        <w:spacing w:before="0"/>
      </w:pPr>
      <w:r w:rsidRPr="007E263F">
        <w:t xml:space="preserve">Underlag saknas för ledningens uttalande i årsredovisningen om den interna styrningen och kontrollen. </w:t>
      </w:r>
    </w:p>
    <w:p w:rsidR="008C3183" w:rsidRPr="007E263F" w:rsidRDefault="008C3183" w:rsidP="00393044">
      <w:pPr>
        <w:numPr>
          <w:ilvl w:val="0"/>
          <w:numId w:val="13"/>
        </w:numPr>
        <w:spacing w:before="0"/>
      </w:pPr>
      <w:r w:rsidRPr="007E263F">
        <w:t>Havs- och vattenmyndigheten redovisar immateriella tillgångar om 30,3 miljoner kronor, men dokumentation saknas som styrker att dessa til</w:t>
      </w:r>
      <w:r w:rsidRPr="007E263F">
        <w:t>l</w:t>
      </w:r>
      <w:r w:rsidRPr="007E263F">
        <w:t>gångar uppfyller kriterierna för att redovisas som immateriell tillgång i balansrä</w:t>
      </w:r>
      <w:r w:rsidRPr="007E263F">
        <w:t>k</w:t>
      </w:r>
      <w:r w:rsidRPr="007E263F">
        <w:t xml:space="preserve">ningen. </w:t>
      </w:r>
    </w:p>
    <w:p w:rsidR="008C3183" w:rsidRPr="007E263F" w:rsidRDefault="008C3183" w:rsidP="00393044">
      <w:pPr>
        <w:numPr>
          <w:ilvl w:val="0"/>
          <w:numId w:val="13"/>
        </w:numPr>
        <w:spacing w:before="0"/>
      </w:pPr>
      <w:r w:rsidRPr="007E263F">
        <w:t xml:space="preserve">Balansposten oförbrukade bidrag i årsredovisningen, angiven till 27,1 miljoner kronor, är för högt redovisad med 17,6 miljoner kronor. Delar av posten ska avräknas mot upplupna bidragsintäkter och delar av posten utgör skuld till annan myndighet. </w:t>
      </w:r>
    </w:p>
    <w:p w:rsidR="008C3183" w:rsidRPr="007E263F" w:rsidRDefault="008C3183" w:rsidP="00393044">
      <w:pPr>
        <w:numPr>
          <w:ilvl w:val="0"/>
          <w:numId w:val="13"/>
        </w:numPr>
        <w:spacing w:before="0"/>
      </w:pPr>
      <w:r w:rsidRPr="007E263F">
        <w:t>Som framgår av årsredovisningen har tilldelad bemyndiganderam överskridits med 19,3 miljoner kronor.</w:t>
      </w:r>
    </w:p>
    <w:p w:rsidR="008C3183" w:rsidRPr="007E263F" w:rsidRDefault="008C3183" w:rsidP="00CB6764">
      <w:pPr>
        <w:pStyle w:val="Rubrik4"/>
        <w:rPr>
          <w:noProof w:val="0"/>
        </w:rPr>
      </w:pPr>
      <w:bookmarkStart w:id="32" w:name="_Toc326137788"/>
      <w:r w:rsidRPr="007E263F">
        <w:rPr>
          <w:noProof w:val="0"/>
        </w:rPr>
        <w:t>Sameskolstyrelsen</w:t>
      </w:r>
      <w:bookmarkEnd w:id="32"/>
    </w:p>
    <w:p w:rsidR="008C3183" w:rsidRPr="007E263F" w:rsidRDefault="008C3183" w:rsidP="00A34BEA">
      <w:pPr>
        <w:spacing w:before="120"/>
        <w:ind w:right="63"/>
        <w:rPr>
          <w:color w:val="000000"/>
        </w:rPr>
      </w:pPr>
      <w:r w:rsidRPr="007E263F">
        <w:t>Riksrevisionen bedömer att Sameskolstyrelsen skulle ha redovisat en avsät</w:t>
      </w:r>
      <w:r w:rsidRPr="007E263F">
        <w:t>t</w:t>
      </w:r>
      <w:r w:rsidRPr="007E263F">
        <w:t>ning med ett väsentligt belopp för lokalkostnader i sin  årsred</w:t>
      </w:r>
      <w:r w:rsidRPr="007E263F">
        <w:t>o</w:t>
      </w:r>
      <w:r w:rsidRPr="007E263F">
        <w:t>visning. Om avsättningen hade redovisats så skulle flera delar i årsredovisningen ha p</w:t>
      </w:r>
      <w:r w:rsidRPr="007E263F">
        <w:t>å</w:t>
      </w:r>
      <w:r w:rsidRPr="007E263F">
        <w:t>verkats väsentligt. Det gäller exempelvis resulta</w:t>
      </w:r>
      <w:r w:rsidRPr="007E263F">
        <w:t>t</w:t>
      </w:r>
      <w:r w:rsidRPr="007E263F">
        <w:t>räkning, balansräkning, anslagsredovisning, noter och väsentliga uppgifter samt tabeller och annan information i resultatred</w:t>
      </w:r>
      <w:r w:rsidRPr="007E263F">
        <w:rPr>
          <w:color w:val="000000"/>
        </w:rPr>
        <w:t>ovisnin</w:t>
      </w:r>
      <w:r w:rsidRPr="007E263F">
        <w:rPr>
          <w:color w:val="000000"/>
        </w:rPr>
        <w:t>g</w:t>
      </w:r>
      <w:r w:rsidRPr="007E263F">
        <w:rPr>
          <w:color w:val="000000"/>
        </w:rPr>
        <w:t>en.</w:t>
      </w:r>
    </w:p>
    <w:p w:rsidR="008C3183" w:rsidRPr="007E263F" w:rsidRDefault="008C3183" w:rsidP="0093595F">
      <w:pPr>
        <w:pStyle w:val="normalmedindrag"/>
        <w:spacing w:before="0" w:line="250" w:lineRule="atLeast"/>
        <w:jc w:val="both"/>
        <w:rPr>
          <w:sz w:val="19"/>
          <w:szCs w:val="19"/>
        </w:rPr>
      </w:pPr>
      <w:r w:rsidRPr="007E263F">
        <w:rPr>
          <w:sz w:val="19"/>
          <w:szCs w:val="19"/>
        </w:rPr>
        <w:t>Sameskolstyrelsen hyr sammanlagt fem skolfastigheter. I hyre</w:t>
      </w:r>
      <w:r w:rsidRPr="007E263F">
        <w:rPr>
          <w:sz w:val="19"/>
          <w:szCs w:val="19"/>
        </w:rPr>
        <w:t>s</w:t>
      </w:r>
      <w:r w:rsidRPr="007E263F">
        <w:rPr>
          <w:sz w:val="19"/>
          <w:szCs w:val="19"/>
        </w:rPr>
        <w:t>avtalet finns ett avtalsvillkor, som innebär att Sameskolstyrelsen ska betala en ersät</w:t>
      </w:r>
      <w:r w:rsidRPr="007E263F">
        <w:rPr>
          <w:sz w:val="19"/>
          <w:szCs w:val="19"/>
        </w:rPr>
        <w:t>t</w:t>
      </w:r>
      <w:r w:rsidRPr="007E263F">
        <w:rPr>
          <w:sz w:val="19"/>
          <w:szCs w:val="19"/>
        </w:rPr>
        <w:t>ning till hyresvärden när hyresperioden för n</w:t>
      </w:r>
      <w:r w:rsidRPr="007E263F">
        <w:rPr>
          <w:sz w:val="19"/>
          <w:szCs w:val="19"/>
        </w:rPr>
        <w:t>å</w:t>
      </w:r>
      <w:r w:rsidRPr="007E263F">
        <w:rPr>
          <w:sz w:val="19"/>
          <w:szCs w:val="19"/>
        </w:rPr>
        <w:t>gon av dessa lokaler inte längre förlängs. Enligt en sammanställning som myndigheten erhållit från hyresvä</w:t>
      </w:r>
      <w:r w:rsidRPr="007E263F">
        <w:rPr>
          <w:sz w:val="19"/>
          <w:szCs w:val="19"/>
        </w:rPr>
        <w:t>r</w:t>
      </w:r>
      <w:r w:rsidRPr="007E263F">
        <w:rPr>
          <w:sz w:val="19"/>
          <w:szCs w:val="19"/>
        </w:rPr>
        <w:t>den under 2012 så uppgår det sammanlagda beloppet för skolfastigheterna till 101,9 miljoner kronor.</w:t>
      </w:r>
    </w:p>
    <w:p w:rsidR="008C3183" w:rsidRPr="007E263F" w:rsidRDefault="008C3183" w:rsidP="00393044">
      <w:pPr>
        <w:pStyle w:val="normalmedindrag"/>
        <w:spacing w:before="0" w:line="250" w:lineRule="atLeast"/>
        <w:jc w:val="both"/>
        <w:rPr>
          <w:sz w:val="19"/>
          <w:szCs w:val="19"/>
        </w:rPr>
      </w:pPr>
      <w:r w:rsidRPr="007E263F">
        <w:rPr>
          <w:sz w:val="19"/>
          <w:szCs w:val="19"/>
        </w:rPr>
        <w:t>Avtalet och de effekter avtalet får för Sameskolstyrelsen framgår inte av årsredovisningen. Sameskolstyrelsen hade vid revisionsberättelsens avlä</w:t>
      </w:r>
      <w:r w:rsidRPr="007E263F">
        <w:rPr>
          <w:sz w:val="19"/>
          <w:szCs w:val="19"/>
        </w:rPr>
        <w:t>m</w:t>
      </w:r>
      <w:r w:rsidRPr="007E263F">
        <w:rPr>
          <w:sz w:val="19"/>
          <w:szCs w:val="19"/>
        </w:rPr>
        <w:t>nande inte kvalitetssäkrat hyresvärdens samma</w:t>
      </w:r>
      <w:r w:rsidRPr="007E263F">
        <w:rPr>
          <w:sz w:val="19"/>
          <w:szCs w:val="19"/>
        </w:rPr>
        <w:t>n</w:t>
      </w:r>
      <w:r w:rsidRPr="007E263F">
        <w:rPr>
          <w:sz w:val="19"/>
          <w:szCs w:val="19"/>
        </w:rPr>
        <w:t>ställning. Det föreligger därmed en viss osäkerhet om det totala beloppet. Trots osäkerheten så handlar det enligt Riksrevisionens uppfattning om ett väsentligt belopp som inte är redovisat i årsr</w:t>
      </w:r>
      <w:r w:rsidRPr="007E263F">
        <w:rPr>
          <w:sz w:val="19"/>
          <w:szCs w:val="19"/>
        </w:rPr>
        <w:t>e</w:t>
      </w:r>
      <w:r w:rsidRPr="007E263F">
        <w:rPr>
          <w:sz w:val="19"/>
          <w:szCs w:val="19"/>
        </w:rPr>
        <w:t>dovisningen, men som borde ha redovisats som en avsättning i myndighetens balansräkning.</w:t>
      </w:r>
    </w:p>
    <w:p w:rsidR="008C3183" w:rsidRPr="007E263F" w:rsidRDefault="008C3183" w:rsidP="00393044">
      <w:pPr>
        <w:pStyle w:val="Rubrik3"/>
        <w:spacing w:line="250" w:lineRule="atLeast"/>
        <w:jc w:val="both"/>
        <w:rPr>
          <w:noProof w:val="0"/>
          <w:color w:val="000000"/>
        </w:rPr>
      </w:pPr>
      <w:bookmarkStart w:id="33" w:name="_Toc326137789"/>
      <w:r w:rsidRPr="007E263F">
        <w:rPr>
          <w:noProof w:val="0"/>
        </w:rPr>
        <w:t>Reservation</w:t>
      </w:r>
      <w:bookmarkEnd w:id="33"/>
    </w:p>
    <w:p w:rsidR="008C3183" w:rsidRPr="007E263F" w:rsidRDefault="008C3183" w:rsidP="00393044">
      <w:r w:rsidRPr="007E263F">
        <w:t>För två myndigheter har Riksrevisionen lämnat modifierat uttalande i form av reservation, vilket innebär att vi bedömer att årsredovisningen, utöver de brister som beskrivs nedan, ger en i alla väsentliga avseenden rättvisande bild.</w:t>
      </w:r>
    </w:p>
    <w:p w:rsidR="008C3183" w:rsidRPr="007E263F" w:rsidRDefault="008C3183" w:rsidP="00CB6764">
      <w:pPr>
        <w:pStyle w:val="Rubrik4"/>
        <w:rPr>
          <w:noProof w:val="0"/>
        </w:rPr>
      </w:pPr>
      <w:bookmarkStart w:id="34" w:name="_Toc326137790"/>
      <w:r w:rsidRPr="007E263F">
        <w:rPr>
          <w:noProof w:val="0"/>
        </w:rPr>
        <w:t>Forskningsrådet för arbetsliv och socialvetenskap</w:t>
      </w:r>
      <w:bookmarkEnd w:id="34"/>
    </w:p>
    <w:p w:rsidR="008C3183" w:rsidRPr="007E263F" w:rsidRDefault="008C3183" w:rsidP="00393044">
      <w:pPr>
        <w:rPr>
          <w:rStyle w:val="Rubrik4Char"/>
          <w:noProof w:val="0"/>
          <w:sz w:val="22"/>
        </w:rPr>
      </w:pPr>
      <w:r w:rsidRPr="007E263F">
        <w:t xml:space="preserve">Forskningsrådet för arbetsliv och socialvetenskap </w:t>
      </w:r>
      <w:r w:rsidRPr="007E263F">
        <w:rPr>
          <w:kern w:val="8"/>
        </w:rPr>
        <w:t xml:space="preserve">har felaktigt avräknat en anslagspost med ett för högt belopp om 6,95 miljoner kronor som i stället borde ha finansierats med bidrag. Om dessa kostnader inte hade avräknats anslaget hade det utgående överföringsbeloppet, årets anslagssparande, varit 25,9 </w:t>
      </w:r>
      <w:r w:rsidRPr="007E263F">
        <w:t>miljoner kronor,</w:t>
      </w:r>
      <w:r w:rsidRPr="007E263F">
        <w:rPr>
          <w:kern w:val="8"/>
        </w:rPr>
        <w:t xml:space="preserve"> vilket är 13,9 </w:t>
      </w:r>
      <w:r w:rsidRPr="007E263F">
        <w:t>miljoner kronor</w:t>
      </w:r>
      <w:r w:rsidRPr="007E263F">
        <w:rPr>
          <w:kern w:val="8"/>
        </w:rPr>
        <w:t xml:space="preserve"> över det, enligt r</w:t>
      </w:r>
      <w:r w:rsidRPr="007E263F">
        <w:rPr>
          <w:kern w:val="8"/>
        </w:rPr>
        <w:t>e</w:t>
      </w:r>
      <w:r w:rsidRPr="007E263F">
        <w:rPr>
          <w:kern w:val="8"/>
        </w:rPr>
        <w:t xml:space="preserve">gleringsbrevet, tillåtna anslagssparandet på 3 procent. Detta påverkar därmed även poster i resultat- och balansräkningen. </w:t>
      </w:r>
    </w:p>
    <w:p w:rsidR="008C3183" w:rsidRPr="007E263F" w:rsidRDefault="008C3183" w:rsidP="00CB6764">
      <w:pPr>
        <w:pStyle w:val="Rubrik4"/>
        <w:rPr>
          <w:noProof w:val="0"/>
        </w:rPr>
      </w:pPr>
      <w:bookmarkStart w:id="35" w:name="_Toc326137791"/>
      <w:r w:rsidRPr="007E263F">
        <w:rPr>
          <w:noProof w:val="0"/>
        </w:rPr>
        <w:t>Statens nämnd för arbetstagares uppfinningar</w:t>
      </w:r>
      <w:bookmarkEnd w:id="35"/>
    </w:p>
    <w:p w:rsidR="008C3183" w:rsidRPr="007E263F" w:rsidRDefault="008C3183" w:rsidP="00393044">
      <w:r w:rsidRPr="007E263F">
        <w:t>Årsredovisningen lämnades till regeringen först den 6 mars 2012</w:t>
      </w:r>
      <w:r w:rsidR="00A34BEA" w:rsidRPr="007E263F">
        <w:t>,</w:t>
      </w:r>
      <w:r w:rsidRPr="007E263F">
        <w:t xml:space="preserve"> vilket är för sent. Enligt förordning (2006:605) om årsredovisning och budgetunderlag ska myndigheten senast den 22 februari lämna en årsredovisning till regeringen. Nämnden kommer att upphöra och dess verksamhet kommer att ingå i Ka</w:t>
      </w:r>
      <w:r w:rsidRPr="007E263F">
        <w:t>m</w:t>
      </w:r>
      <w:r w:rsidRPr="007E263F">
        <w:t xml:space="preserve">markollegiet. </w:t>
      </w:r>
    </w:p>
    <w:p w:rsidR="008C3183" w:rsidRPr="007E263F" w:rsidRDefault="008C3183" w:rsidP="00393044">
      <w:pPr>
        <w:pStyle w:val="Rubrik2"/>
        <w:spacing w:line="250" w:lineRule="atLeast"/>
        <w:jc w:val="both"/>
      </w:pPr>
      <w:bookmarkStart w:id="36" w:name="_Toc322098041"/>
      <w:bookmarkStart w:id="37" w:name="_Toc326137792"/>
      <w:r w:rsidRPr="007E263F">
        <w:t>Myndigheter med upplysning i revisionsberättelsen</w:t>
      </w:r>
      <w:bookmarkEnd w:id="36"/>
      <w:bookmarkEnd w:id="37"/>
    </w:p>
    <w:p w:rsidR="008C3183" w:rsidRPr="007E263F" w:rsidRDefault="008C3183" w:rsidP="00393044">
      <w:r w:rsidRPr="007E263F">
        <w:t xml:space="preserve">I revisionsberättelsen kan Riksrevisionen lämna en </w:t>
      </w:r>
      <w:r w:rsidRPr="007E263F">
        <w:rPr>
          <w:i/>
        </w:rPr>
        <w:t>upplysning av särskild betydelse</w:t>
      </w:r>
      <w:r w:rsidRPr="007E263F">
        <w:t>. I upplysningen hänvisar vi till vad myndigheten skrivit i sin årsr</w:t>
      </w:r>
      <w:r w:rsidRPr="007E263F">
        <w:t>e</w:t>
      </w:r>
      <w:r w:rsidRPr="007E263F">
        <w:t xml:space="preserve">dovisning för att särskilt uppmärksamma läsaren på detta. Upplysningen kan gälla sådant som vi bedömer är väsentlig information för att läsaren ska få en riktig förståelse för årsredovisningen. Det kan ibland även finnas anledning att, i en </w:t>
      </w:r>
      <w:r w:rsidRPr="007E263F">
        <w:rPr>
          <w:i/>
        </w:rPr>
        <w:t>övrig upplysning</w:t>
      </w:r>
      <w:r w:rsidRPr="007E263F">
        <w:t xml:space="preserve">, upplysa läsaren om särskilda förutsättningar för revisionen, exempelvis att viss information i årsredovisningen inte ingått i granskningen. </w:t>
      </w:r>
    </w:p>
    <w:p w:rsidR="008C3183" w:rsidRPr="007E263F" w:rsidRDefault="008C3183" w:rsidP="00393044">
      <w:pPr>
        <w:pStyle w:val="normalmedindrag"/>
        <w:spacing w:before="0" w:line="250" w:lineRule="atLeast"/>
        <w:jc w:val="both"/>
        <w:rPr>
          <w:sz w:val="19"/>
          <w:szCs w:val="19"/>
        </w:rPr>
      </w:pPr>
      <w:r w:rsidRPr="007E263F">
        <w:rPr>
          <w:sz w:val="19"/>
          <w:szCs w:val="19"/>
        </w:rPr>
        <w:t>I samband med en upplysning skriver vi i revisionsberättelsen att inform</w:t>
      </w:r>
      <w:r w:rsidRPr="007E263F">
        <w:rPr>
          <w:sz w:val="19"/>
          <w:szCs w:val="19"/>
        </w:rPr>
        <w:t>a</w:t>
      </w:r>
      <w:r w:rsidRPr="007E263F">
        <w:rPr>
          <w:sz w:val="19"/>
          <w:szCs w:val="19"/>
        </w:rPr>
        <w:t>tionen i upplysningen inte påverkar vårt uttalande, det vill säga en upplysning är inte en modifierad revisionsberättelse. I årets granskning har upplysningar lämnats i fyra revisionsberättelser.</w:t>
      </w:r>
    </w:p>
    <w:p w:rsidR="008C3183" w:rsidRPr="007E263F" w:rsidRDefault="008C3183" w:rsidP="00393044">
      <w:pPr>
        <w:pStyle w:val="Rubrik3"/>
        <w:spacing w:line="250" w:lineRule="atLeast"/>
        <w:jc w:val="both"/>
        <w:rPr>
          <w:noProof w:val="0"/>
        </w:rPr>
      </w:pPr>
      <w:bookmarkStart w:id="38" w:name="_Toc326137793"/>
      <w:r w:rsidRPr="007E263F">
        <w:rPr>
          <w:noProof w:val="0"/>
        </w:rPr>
        <w:t>Särskild upplysning</w:t>
      </w:r>
      <w:bookmarkEnd w:id="38"/>
    </w:p>
    <w:p w:rsidR="008C3183" w:rsidRPr="007E263F" w:rsidRDefault="008C3183" w:rsidP="00393044">
      <w:pPr>
        <w:pStyle w:val="Rubrik4"/>
        <w:spacing w:line="250" w:lineRule="atLeast"/>
        <w:jc w:val="both"/>
        <w:rPr>
          <w:noProof w:val="0"/>
        </w:rPr>
      </w:pPr>
      <w:bookmarkStart w:id="39" w:name="_Toc326137794"/>
      <w:r w:rsidRPr="007E263F">
        <w:rPr>
          <w:noProof w:val="0"/>
        </w:rPr>
        <w:t>Försvarsmakten och Försvarets materielverk</w:t>
      </w:r>
      <w:bookmarkEnd w:id="39"/>
    </w:p>
    <w:p w:rsidR="008C3183" w:rsidRPr="007E263F" w:rsidRDefault="008C3183" w:rsidP="00393044">
      <w:r w:rsidRPr="007E263F">
        <w:t>Försvarets materielverk och Försvarsmakten har fått upplysningar i sina r</w:t>
      </w:r>
      <w:r w:rsidRPr="007E263F">
        <w:t>e</w:t>
      </w:r>
      <w:r w:rsidRPr="007E263F">
        <w:t xml:space="preserve">spektive revisionsberättelser. Upplysningarna syftar till att uppmärksamma läsaren på att justeringar har skett av vissa leveransplaner för försvarsmateriel i avtal mellan myndigheterna. </w:t>
      </w:r>
      <w:r w:rsidRPr="007E263F">
        <w:rPr>
          <w:color w:val="000000"/>
          <w:kern w:val="8"/>
        </w:rPr>
        <w:t>Detta till följd av ändring av verksamhetsmä</w:t>
      </w:r>
      <w:r w:rsidRPr="007E263F">
        <w:rPr>
          <w:color w:val="000000"/>
          <w:kern w:val="8"/>
        </w:rPr>
        <w:t>s</w:t>
      </w:r>
      <w:r w:rsidRPr="007E263F">
        <w:rPr>
          <w:color w:val="000000"/>
          <w:kern w:val="8"/>
        </w:rPr>
        <w:t>siga eller finansiella förutsättningar hos Försvarets materielverk, Försvar</w:t>
      </w:r>
      <w:r w:rsidRPr="007E263F">
        <w:rPr>
          <w:color w:val="000000"/>
          <w:kern w:val="8"/>
        </w:rPr>
        <w:t>s</w:t>
      </w:r>
      <w:r w:rsidRPr="007E263F">
        <w:rPr>
          <w:color w:val="000000"/>
          <w:kern w:val="8"/>
        </w:rPr>
        <w:t>makten eller extern leverantör.</w:t>
      </w:r>
    </w:p>
    <w:p w:rsidR="008C3183" w:rsidRPr="007E263F" w:rsidRDefault="008C3183" w:rsidP="00393044">
      <w:pPr>
        <w:pStyle w:val="Rubrik4"/>
        <w:spacing w:line="250" w:lineRule="atLeast"/>
        <w:jc w:val="both"/>
        <w:rPr>
          <w:noProof w:val="0"/>
        </w:rPr>
      </w:pPr>
      <w:bookmarkStart w:id="40" w:name="_Toc326137795"/>
      <w:r w:rsidRPr="007E263F">
        <w:rPr>
          <w:noProof w:val="0"/>
        </w:rPr>
        <w:t>Styrelsen för internationellt utvecklingssamarbete – Sida</w:t>
      </w:r>
      <w:bookmarkEnd w:id="40"/>
      <w:r w:rsidRPr="007E263F">
        <w:rPr>
          <w:noProof w:val="0"/>
        </w:rPr>
        <w:t xml:space="preserve"> </w:t>
      </w:r>
    </w:p>
    <w:p w:rsidR="008C3183" w:rsidRPr="007E263F" w:rsidRDefault="008C3183" w:rsidP="00393044">
      <w:pPr>
        <w:widowControl w:val="0"/>
        <w:tabs>
          <w:tab w:val="right" w:pos="360"/>
          <w:tab w:val="left" w:pos="576"/>
        </w:tabs>
        <w:spacing w:before="120"/>
      </w:pPr>
      <w:r w:rsidRPr="007E263F">
        <w:rPr>
          <w:color w:val="000000"/>
          <w:kern w:val="8"/>
        </w:rPr>
        <w:t>Sida har fått en upplysning där Riksrevisionen i revisionsberättelsen vill fästa uppmärksamheten på att Sida i sin årsredovisning</w:t>
      </w:r>
      <w:r w:rsidRPr="007E263F">
        <w:t> beskriver brister i den interna styrningen och kontrollen i hanteringen av biståndsinsatser. Dessutom vill Riksrevisionen uppmärksamma läsaren på att Sidas styrelse inte har gjort någon bedömning av den rättvisande bilden för de ekonomiska åtaganden som ingåtts av Regeringskansliet inom de anslagsposter som Regeringskan</w:t>
      </w:r>
      <w:r w:rsidRPr="007E263F">
        <w:t>s</w:t>
      </w:r>
      <w:r w:rsidRPr="007E263F">
        <w:t>liet beslutar om, men som Sida administrerar utbetalningar för samt redovisar i sin årsredovisning. (Se vidare följande kapitel om myndigheternas beskri</w:t>
      </w:r>
      <w:r w:rsidRPr="007E263F">
        <w:t>v</w:t>
      </w:r>
      <w:r w:rsidRPr="007E263F">
        <w:t>ning av arbetet med intern styrning och kontroll.)</w:t>
      </w:r>
    </w:p>
    <w:p w:rsidR="008C3183" w:rsidRPr="007E263F" w:rsidRDefault="008C3183" w:rsidP="00393044">
      <w:pPr>
        <w:pStyle w:val="Rubrik3"/>
        <w:spacing w:line="250" w:lineRule="atLeast"/>
        <w:jc w:val="both"/>
        <w:rPr>
          <w:noProof w:val="0"/>
          <w:kern w:val="8"/>
        </w:rPr>
      </w:pPr>
      <w:bookmarkStart w:id="41" w:name="_Toc322098042"/>
      <w:bookmarkStart w:id="42" w:name="_Toc326137796"/>
      <w:r w:rsidRPr="007E263F">
        <w:rPr>
          <w:noProof w:val="0"/>
          <w:kern w:val="8"/>
        </w:rPr>
        <w:t>Övrig upplysning</w:t>
      </w:r>
      <w:bookmarkEnd w:id="41"/>
      <w:bookmarkEnd w:id="42"/>
    </w:p>
    <w:p w:rsidR="008C3183" w:rsidRPr="007E263F" w:rsidRDefault="008C3183" w:rsidP="00393044">
      <w:pPr>
        <w:pStyle w:val="Rubrik4"/>
        <w:spacing w:line="250" w:lineRule="atLeast"/>
        <w:jc w:val="both"/>
        <w:rPr>
          <w:noProof w:val="0"/>
        </w:rPr>
      </w:pPr>
      <w:bookmarkStart w:id="43" w:name="_Toc326137797"/>
      <w:r w:rsidRPr="007E263F">
        <w:rPr>
          <w:noProof w:val="0"/>
        </w:rPr>
        <w:t>Pensionsmyndigheten</w:t>
      </w:r>
      <w:bookmarkEnd w:id="43"/>
      <w:r w:rsidRPr="007E263F">
        <w:rPr>
          <w:noProof w:val="0"/>
        </w:rPr>
        <w:t xml:space="preserve">  </w:t>
      </w:r>
    </w:p>
    <w:p w:rsidR="008C3183" w:rsidRPr="007E263F" w:rsidRDefault="008C3183" w:rsidP="00393044">
      <w:r w:rsidRPr="007E263F">
        <w:t>Pensionsmyndigheten har fått en revisionsberättelse med två övriga upply</w:t>
      </w:r>
      <w:r w:rsidRPr="007E263F">
        <w:t>s</w:t>
      </w:r>
      <w:r w:rsidRPr="007E263F">
        <w:t>ningar om förutsättningar för vår revision av årsredovisningen. Upplysnin</w:t>
      </w:r>
      <w:r w:rsidRPr="007E263F">
        <w:t>g</w:t>
      </w:r>
      <w:r w:rsidRPr="007E263F">
        <w:t>arna pekar dels på att myndigheten delvis tillämpar ett annat regelverk för årsredovisningen än övriga myndigheter, dels att årsredovisn</w:t>
      </w:r>
      <w:r w:rsidR="000D2DF1" w:rsidRPr="007E263F">
        <w:t>ingen innehåller information</w:t>
      </w:r>
      <w:r w:rsidRPr="007E263F">
        <w:t xml:space="preserve"> från AP-fonderna som inte granskas av Riksrevisionen utan av privata revisionsbyråer.</w:t>
      </w:r>
    </w:p>
    <w:p w:rsidR="008C3183" w:rsidRPr="007E263F" w:rsidRDefault="008C3183" w:rsidP="00393044">
      <w:pPr>
        <w:pStyle w:val="Rubrik3"/>
        <w:spacing w:line="250" w:lineRule="atLeast"/>
        <w:jc w:val="both"/>
        <w:rPr>
          <w:noProof w:val="0"/>
        </w:rPr>
      </w:pPr>
      <w:bookmarkStart w:id="44" w:name="_Toc326137798"/>
      <w:r w:rsidRPr="007E263F">
        <w:rPr>
          <w:noProof w:val="0"/>
        </w:rPr>
        <w:t>Kompletteringar</w:t>
      </w:r>
      <w:bookmarkEnd w:id="44"/>
    </w:p>
    <w:p w:rsidR="008C3183" w:rsidRPr="007E263F" w:rsidRDefault="008C3183" w:rsidP="00393044">
      <w:r w:rsidRPr="007E263F">
        <w:t>Riksrevisionen har vidare granskat tolv årsredovisningar där myndigheterna har kompletterat tidigare inlämnad årsredovisning innan revisionsberättelsen avlämnats. För åtta av dessa myndigheter innebar kompletteringarna att my</w:t>
      </w:r>
      <w:r w:rsidRPr="007E263F">
        <w:t>n</w:t>
      </w:r>
      <w:r w:rsidRPr="007E263F">
        <w:t>digheterna därmed inte behövde få en revisionsberättelse med reservation. De övriga fyra kompletteringarna medförde ingen förändring i revisionshänsee</w:t>
      </w:r>
      <w:r w:rsidRPr="007E263F">
        <w:t>n</w:t>
      </w:r>
      <w:r w:rsidRPr="007E263F">
        <w:t>de.</w:t>
      </w:r>
    </w:p>
    <w:p w:rsidR="008C3183" w:rsidRPr="007E263F" w:rsidRDefault="008C3183" w:rsidP="00790E55">
      <w:pPr>
        <w:pStyle w:val="Rubrik2"/>
        <w:spacing w:line="250" w:lineRule="atLeast"/>
      </w:pPr>
      <w:bookmarkStart w:id="45" w:name="_Toc322098043"/>
      <w:bookmarkStart w:id="46" w:name="_Toc326137799"/>
      <w:r w:rsidRPr="007E263F">
        <w:t>Myndigheternas tillämpning av lagen om offentlig upphandling</w:t>
      </w:r>
      <w:bookmarkEnd w:id="45"/>
      <w:bookmarkEnd w:id="46"/>
    </w:p>
    <w:p w:rsidR="008C3183" w:rsidRPr="007E263F" w:rsidRDefault="008C3183" w:rsidP="00393044">
      <w:r w:rsidRPr="007E263F">
        <w:t>Riksrevisionen kan konstatera att flera av revisionsrapporterna för 2011 har handlat om frågor som rör upphandling. En generell iakttagelse gäller att många av myndigheterna har problem med att uppfylla kraven i lagen (2007:1091) om offentlig upphandling (LOU). Detta gäller särskilt de krav som ställs för att en direktupphandling ska kunna göras.</w:t>
      </w:r>
    </w:p>
    <w:p w:rsidR="008C3183" w:rsidRPr="007E263F" w:rsidRDefault="008C3183" w:rsidP="00393044">
      <w:pPr>
        <w:pStyle w:val="Rubrik3"/>
        <w:spacing w:line="250" w:lineRule="atLeast"/>
        <w:jc w:val="both"/>
        <w:rPr>
          <w:noProof w:val="0"/>
        </w:rPr>
      </w:pPr>
      <w:bookmarkStart w:id="47" w:name="_Toc326137800"/>
      <w:r w:rsidRPr="007E263F">
        <w:rPr>
          <w:noProof w:val="0"/>
        </w:rPr>
        <w:t>Varor och tjänster</w:t>
      </w:r>
      <w:bookmarkEnd w:id="47"/>
    </w:p>
    <w:p w:rsidR="008C3183" w:rsidRPr="007E263F" w:rsidRDefault="008C3183" w:rsidP="00393044">
      <w:r w:rsidRPr="007E263F">
        <w:t>LOU ändrades i några avseenden den 15 juli 2010. Bland annat fastställdes det högsta tillåtna beloppet för när direktupphandling får göras. Direktup</w:t>
      </w:r>
      <w:r w:rsidRPr="007E263F">
        <w:t>p</w:t>
      </w:r>
      <w:r w:rsidRPr="007E263F">
        <w:t>handling avser inköp som görs utan att myndigheten inhämtar anbud från olika leverantörer. Tidigare angav lagen att den upphandlande myndigheten bara fick tillämpa direktupphandling ”om kontraktets värde var lågt eller om det finns synnerliga skäl”. Lagändringen innebär att det högsta tillåtna belo</w:t>
      </w:r>
      <w:r w:rsidRPr="007E263F">
        <w:t>p</w:t>
      </w:r>
      <w:r w:rsidRPr="007E263F">
        <w:t>pet fastställs i lagen till högst 15 procent av det tröskelvärde som gäller för kommuner och landsting vid upphandling av varor och tjänster (ca 1,9 milj</w:t>
      </w:r>
      <w:r w:rsidRPr="007E263F">
        <w:t>o</w:t>
      </w:r>
      <w:r w:rsidRPr="007E263F">
        <w:t>ner kronor), vilket motsvarar cirka 288 000 kronor.</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Riksrevisionens granskningar av årsredovisningar för räke</w:t>
      </w:r>
      <w:r w:rsidRPr="007E263F">
        <w:rPr>
          <w:sz w:val="19"/>
          <w:szCs w:val="19"/>
        </w:rPr>
        <w:t>n</w:t>
      </w:r>
      <w:r w:rsidRPr="007E263F">
        <w:rPr>
          <w:sz w:val="19"/>
          <w:szCs w:val="19"/>
        </w:rPr>
        <w:t>skapsåret 2011 visar att ett flertal myndigheter inte gör någon sa</w:t>
      </w:r>
      <w:r w:rsidRPr="007E263F">
        <w:rPr>
          <w:sz w:val="19"/>
          <w:szCs w:val="19"/>
        </w:rPr>
        <w:t>m</w:t>
      </w:r>
      <w:r w:rsidRPr="007E263F">
        <w:rPr>
          <w:sz w:val="19"/>
          <w:szCs w:val="19"/>
        </w:rPr>
        <w:t>ordning av inköpen för att fånga upp att gränsen för direktupphan</w:t>
      </w:r>
      <w:r w:rsidRPr="007E263F">
        <w:rPr>
          <w:sz w:val="19"/>
          <w:szCs w:val="19"/>
        </w:rPr>
        <w:t>d</w:t>
      </w:r>
      <w:r w:rsidRPr="007E263F">
        <w:rPr>
          <w:sz w:val="19"/>
          <w:szCs w:val="19"/>
        </w:rPr>
        <w:t>ling inte överskrids. Uppföljning av gjorda inköp och upphandlin</w:t>
      </w:r>
      <w:r w:rsidRPr="007E263F">
        <w:rPr>
          <w:sz w:val="19"/>
          <w:szCs w:val="19"/>
        </w:rPr>
        <w:t>g</w:t>
      </w:r>
      <w:r w:rsidRPr="007E263F">
        <w:rPr>
          <w:sz w:val="19"/>
          <w:szCs w:val="19"/>
        </w:rPr>
        <w:t>ar görs inte på ett systematiskt sätt. Sådana uppföljningar är nödvändiga för att säkerställa regelefterlevnad och en effe</w:t>
      </w:r>
      <w:r w:rsidRPr="007E263F">
        <w:rPr>
          <w:sz w:val="19"/>
          <w:szCs w:val="19"/>
        </w:rPr>
        <w:t>k</w:t>
      </w:r>
      <w:r w:rsidRPr="007E263F">
        <w:rPr>
          <w:sz w:val="19"/>
          <w:szCs w:val="19"/>
        </w:rPr>
        <w:t>tiv inköp</w:t>
      </w:r>
      <w:r w:rsidRPr="007E263F">
        <w:rPr>
          <w:sz w:val="19"/>
          <w:szCs w:val="19"/>
        </w:rPr>
        <w:t>s</w:t>
      </w:r>
      <w:r w:rsidRPr="007E263F">
        <w:rPr>
          <w:sz w:val="19"/>
          <w:szCs w:val="19"/>
        </w:rPr>
        <w:t>organisation. Myndigheter saknar exempelvis rutiner för att följa upp hur mycket olika leverantörer har anlitats, om tröskelvärden för direk</w:t>
      </w:r>
      <w:r w:rsidRPr="007E263F">
        <w:rPr>
          <w:sz w:val="19"/>
          <w:szCs w:val="19"/>
        </w:rPr>
        <w:t>t</w:t>
      </w:r>
      <w:r w:rsidRPr="007E263F">
        <w:rPr>
          <w:sz w:val="19"/>
          <w:szCs w:val="19"/>
        </w:rPr>
        <w:t>upphandling har överstigits och för att följa upp avrop från ramavtal eller annan typ av upphandling.</w:t>
      </w:r>
    </w:p>
    <w:p w:rsidR="008C3183" w:rsidRPr="007E263F" w:rsidRDefault="008C3183" w:rsidP="00393044">
      <w:pPr>
        <w:pStyle w:val="normalmedindrag"/>
        <w:spacing w:before="0" w:line="250" w:lineRule="atLeast"/>
        <w:jc w:val="both"/>
        <w:rPr>
          <w:sz w:val="19"/>
          <w:szCs w:val="19"/>
        </w:rPr>
      </w:pPr>
      <w:r w:rsidRPr="007E263F">
        <w:rPr>
          <w:sz w:val="19"/>
          <w:szCs w:val="19"/>
        </w:rPr>
        <w:t>Det är viktigt att kompetens inom upphandlingsområdet säke</w:t>
      </w:r>
      <w:r w:rsidRPr="007E263F">
        <w:rPr>
          <w:sz w:val="19"/>
          <w:szCs w:val="19"/>
        </w:rPr>
        <w:t>r</w:t>
      </w:r>
      <w:r w:rsidRPr="007E263F">
        <w:rPr>
          <w:sz w:val="19"/>
          <w:szCs w:val="19"/>
        </w:rPr>
        <w:t>ställs hos den personal som ska göra inköp. Upphandlingsfrågor är mycket komplexa och förändringar sker fortlöpande i regelverket, vilket ställer stora krav på att den som genomför upphandlingen har rätt kompetens. Antalet personer med b</w:t>
      </w:r>
      <w:r w:rsidRPr="007E263F">
        <w:rPr>
          <w:sz w:val="19"/>
          <w:szCs w:val="19"/>
        </w:rPr>
        <w:t>e</w:t>
      </w:r>
      <w:r w:rsidRPr="007E263F">
        <w:rPr>
          <w:sz w:val="19"/>
          <w:szCs w:val="19"/>
        </w:rPr>
        <w:t>ställarbehörigheter bör begränsas till personer som har erhållit utbildning avseende LOU.</w:t>
      </w:r>
    </w:p>
    <w:p w:rsidR="008C3183" w:rsidRPr="007E263F" w:rsidRDefault="008C3183" w:rsidP="00393044">
      <w:pPr>
        <w:pStyle w:val="Rubrik3"/>
        <w:spacing w:line="250" w:lineRule="atLeast"/>
        <w:jc w:val="both"/>
        <w:rPr>
          <w:noProof w:val="0"/>
          <w:sz w:val="19"/>
          <w:szCs w:val="19"/>
        </w:rPr>
      </w:pPr>
      <w:bookmarkStart w:id="48" w:name="_Toc326137801"/>
      <w:r w:rsidRPr="007E263F">
        <w:rPr>
          <w:noProof w:val="0"/>
          <w:sz w:val="19"/>
          <w:szCs w:val="19"/>
        </w:rPr>
        <w:t>Byggnationer</w:t>
      </w:r>
      <w:bookmarkEnd w:id="48"/>
    </w:p>
    <w:p w:rsidR="008C3183" w:rsidRPr="007E263F" w:rsidRDefault="008C3183" w:rsidP="00393044">
      <w:pPr>
        <w:rPr>
          <w:szCs w:val="19"/>
        </w:rPr>
      </w:pPr>
      <w:r w:rsidRPr="007E263F">
        <w:rPr>
          <w:szCs w:val="19"/>
        </w:rPr>
        <w:t>En stor andel av myndigheters förvaltningsanslag avser lokalkostnader. Även om kostnader för ny- och ombyggnationer inte belastar myndigheterna direkt så påverkas den hyra myndigheterna kommer att betala efter det att byggn</w:t>
      </w:r>
      <w:r w:rsidRPr="007E263F">
        <w:rPr>
          <w:szCs w:val="19"/>
        </w:rPr>
        <w:t>a</w:t>
      </w:r>
      <w:r w:rsidRPr="007E263F">
        <w:rPr>
          <w:szCs w:val="19"/>
        </w:rPr>
        <w:t>tionen färdigställts. Projekterings- och byggkostnader kan således indirekt utgöra en väsentlig andel av myndigheters totala lokalkostnader.  Vid ny- eller ombyggnation saknar hyresvärden incitament att göra upphandlingar enligt LOU eftersom ökade kostnader inklusive vinstmarginal tas ut av my</w:t>
      </w:r>
      <w:r w:rsidRPr="007E263F">
        <w:rPr>
          <w:szCs w:val="19"/>
        </w:rPr>
        <w:t>n</w:t>
      </w:r>
      <w:r w:rsidRPr="007E263F">
        <w:rPr>
          <w:szCs w:val="19"/>
        </w:rPr>
        <w:t>digheten i form av höjda hyror.</w:t>
      </w:r>
    </w:p>
    <w:p w:rsidR="008C3183" w:rsidRPr="007E263F" w:rsidRDefault="008C3183" w:rsidP="00393044">
      <w:pPr>
        <w:pStyle w:val="normalmedindrag"/>
        <w:spacing w:before="0" w:line="250" w:lineRule="atLeast"/>
        <w:jc w:val="both"/>
        <w:rPr>
          <w:sz w:val="19"/>
          <w:szCs w:val="19"/>
        </w:rPr>
      </w:pPr>
      <w:r w:rsidRPr="007E263F">
        <w:rPr>
          <w:sz w:val="19"/>
          <w:szCs w:val="19"/>
        </w:rPr>
        <w:t>I det fall en statlig myndighet, i egenskap av hyresgäst, beställer speciala</w:t>
      </w:r>
      <w:r w:rsidRPr="007E263F">
        <w:rPr>
          <w:sz w:val="19"/>
          <w:szCs w:val="19"/>
        </w:rPr>
        <w:t>n</w:t>
      </w:r>
      <w:r w:rsidRPr="007E263F">
        <w:rPr>
          <w:sz w:val="19"/>
          <w:szCs w:val="19"/>
        </w:rPr>
        <w:t>passade lokaler via hyresvärden utgör denna beställning byggnadsentreprenad enligt den definition som framgår av EU-direktiv (2004/18/EG). Det i sin tur leder till att LOU ska tillämpas vid upphandling av byggnadsentreprenaden. Detta innebär att trots att inget rättsförhållande existerar mellan hyresgästen och de leverantörer som anlitats för att genomföra projektering och byggn</w:t>
      </w:r>
      <w:r w:rsidRPr="007E263F">
        <w:rPr>
          <w:sz w:val="19"/>
          <w:szCs w:val="19"/>
        </w:rPr>
        <w:t>a</w:t>
      </w:r>
      <w:r w:rsidRPr="007E263F">
        <w:rPr>
          <w:sz w:val="19"/>
          <w:szCs w:val="19"/>
        </w:rPr>
        <w:t xml:space="preserve">tion, blir hyresgästen ansvarig för att LOU ska tillämpas. </w:t>
      </w:r>
    </w:p>
    <w:p w:rsidR="008C3183" w:rsidRPr="007E263F" w:rsidRDefault="008C3183" w:rsidP="00393044">
      <w:pPr>
        <w:pStyle w:val="normalmedindrag"/>
        <w:spacing w:before="0" w:line="250" w:lineRule="atLeast"/>
        <w:jc w:val="both"/>
        <w:rPr>
          <w:sz w:val="19"/>
          <w:szCs w:val="19"/>
        </w:rPr>
      </w:pPr>
      <w:r w:rsidRPr="007E263F">
        <w:rPr>
          <w:sz w:val="19"/>
          <w:szCs w:val="19"/>
        </w:rPr>
        <w:t>För att myndigheterna ska kunna säkerställa att det sker en konkurrensu</w:t>
      </w:r>
      <w:r w:rsidRPr="007E263F">
        <w:rPr>
          <w:sz w:val="19"/>
          <w:szCs w:val="19"/>
        </w:rPr>
        <w:t>t</w:t>
      </w:r>
      <w:r w:rsidRPr="007E263F">
        <w:rPr>
          <w:sz w:val="19"/>
          <w:szCs w:val="19"/>
        </w:rPr>
        <w:t>sättning av framtida byggnationer, krävs det att myndi</w:t>
      </w:r>
      <w:r w:rsidRPr="007E263F">
        <w:rPr>
          <w:sz w:val="19"/>
          <w:szCs w:val="19"/>
        </w:rPr>
        <w:t>g</w:t>
      </w:r>
      <w:r w:rsidRPr="007E263F">
        <w:rPr>
          <w:sz w:val="19"/>
          <w:szCs w:val="19"/>
        </w:rPr>
        <w:t>heten har en reell möjlighet att utöva inflytande på hyresvärdens upphandlingsprocess. Efte</w:t>
      </w:r>
      <w:r w:rsidRPr="007E263F">
        <w:rPr>
          <w:sz w:val="19"/>
          <w:szCs w:val="19"/>
        </w:rPr>
        <w:t>r</w:t>
      </w:r>
      <w:r w:rsidRPr="007E263F">
        <w:rPr>
          <w:sz w:val="19"/>
          <w:szCs w:val="19"/>
        </w:rPr>
        <w:t>som myndigheterna kan komma att kunna stå som part vid en eventuell öve</w:t>
      </w:r>
      <w:r w:rsidRPr="007E263F">
        <w:rPr>
          <w:sz w:val="19"/>
          <w:szCs w:val="19"/>
        </w:rPr>
        <w:t>r</w:t>
      </w:r>
      <w:r w:rsidRPr="007E263F">
        <w:rPr>
          <w:sz w:val="19"/>
          <w:szCs w:val="19"/>
        </w:rPr>
        <w:t>prövning är det viktigt att i avtal reglera att hyresvärden blir ekonomiskt ansvarig för det fall en förvaltningsdomstol skulle finna att upphandlingen inte skett i enlighet med LOU.</w:t>
      </w:r>
    </w:p>
    <w:p w:rsidR="008C3183" w:rsidRPr="007E263F" w:rsidRDefault="008C3183" w:rsidP="00393044">
      <w:pPr>
        <w:pStyle w:val="normalmedindrag"/>
        <w:spacing w:before="0" w:line="250" w:lineRule="atLeast"/>
        <w:jc w:val="both"/>
        <w:rPr>
          <w:sz w:val="19"/>
          <w:szCs w:val="19"/>
        </w:rPr>
      </w:pPr>
      <w:r w:rsidRPr="007E263F">
        <w:rPr>
          <w:sz w:val="19"/>
          <w:szCs w:val="19"/>
        </w:rPr>
        <w:t>Det finns dock undantag från LOU, till exempel i hyresundant</w:t>
      </w:r>
      <w:r w:rsidRPr="007E263F">
        <w:rPr>
          <w:sz w:val="19"/>
          <w:szCs w:val="19"/>
        </w:rPr>
        <w:t>a</w:t>
      </w:r>
      <w:r w:rsidRPr="007E263F">
        <w:rPr>
          <w:sz w:val="19"/>
          <w:szCs w:val="19"/>
        </w:rPr>
        <w:t>get. För att hyresundantaget ska gälla, måste byggnationen vara hänförlig till befintlig byggnad och avse ett hyresavtal i lagens mening och inte ett förtäckt byggen</w:t>
      </w:r>
      <w:r w:rsidRPr="007E263F">
        <w:rPr>
          <w:sz w:val="19"/>
          <w:szCs w:val="19"/>
        </w:rPr>
        <w:t>t</w:t>
      </w:r>
      <w:r w:rsidRPr="007E263F">
        <w:rPr>
          <w:sz w:val="19"/>
          <w:szCs w:val="19"/>
        </w:rPr>
        <w:t>reprenadskontrakt, dvs. ett kontrakt som medför att en byggnad uppförs enligt en myndighets riktlinjer.</w:t>
      </w:r>
    </w:p>
    <w:p w:rsidR="008C3183" w:rsidRPr="007E263F" w:rsidRDefault="008C3183" w:rsidP="00393044">
      <w:pPr>
        <w:pStyle w:val="normalmedindrag"/>
        <w:spacing w:before="0" w:line="250" w:lineRule="atLeast"/>
        <w:jc w:val="both"/>
        <w:rPr>
          <w:sz w:val="19"/>
          <w:szCs w:val="19"/>
        </w:rPr>
      </w:pPr>
      <w:r w:rsidRPr="007E263F">
        <w:rPr>
          <w:sz w:val="19"/>
          <w:szCs w:val="19"/>
        </w:rPr>
        <w:t>Under året har en likartad granskning genomförts på fyra my</w:t>
      </w:r>
      <w:r w:rsidRPr="007E263F">
        <w:rPr>
          <w:sz w:val="19"/>
          <w:szCs w:val="19"/>
        </w:rPr>
        <w:t>n</w:t>
      </w:r>
      <w:r w:rsidRPr="007E263F">
        <w:rPr>
          <w:sz w:val="19"/>
          <w:szCs w:val="19"/>
        </w:rPr>
        <w:t>digheter inom rättsområdet. Granskningen visar att avstegen från LOU är större ju mer specifika krav myndigheten ställer på u</w:t>
      </w:r>
      <w:r w:rsidRPr="007E263F">
        <w:rPr>
          <w:sz w:val="19"/>
          <w:szCs w:val="19"/>
        </w:rPr>
        <w:t>t</w:t>
      </w:r>
      <w:r w:rsidRPr="007E263F">
        <w:rPr>
          <w:sz w:val="19"/>
          <w:szCs w:val="19"/>
        </w:rPr>
        <w:t>formningen av sina lokaler.  Graden av särskilda krav medför även att myndigheterna direktupphandlar konsul</w:t>
      </w:r>
      <w:r w:rsidRPr="007E263F">
        <w:rPr>
          <w:sz w:val="19"/>
          <w:szCs w:val="19"/>
        </w:rPr>
        <w:t>t</w:t>
      </w:r>
      <w:r w:rsidRPr="007E263F">
        <w:rPr>
          <w:sz w:val="19"/>
          <w:szCs w:val="19"/>
        </w:rPr>
        <w:t xml:space="preserve">tjänster över gränsen för direktupphandling i samband med anskaffning av nya lokaler. En granskad ramavtalsupphandling avseende den här typen av tjänst visar på brister i själva upphandlingsförfarandet samt att leverantören efteråt debiterar timpriser som vida överstiger den i avtalet angivna nivån.     </w:t>
      </w:r>
    </w:p>
    <w:p w:rsidR="008C3183" w:rsidRPr="007E263F" w:rsidRDefault="008C3183" w:rsidP="00393044">
      <w:pPr>
        <w:pStyle w:val="normalmedindrag"/>
        <w:spacing w:before="0" w:line="250" w:lineRule="atLeast"/>
        <w:jc w:val="both"/>
        <w:rPr>
          <w:sz w:val="19"/>
          <w:szCs w:val="19"/>
        </w:rPr>
      </w:pPr>
      <w:r w:rsidRPr="007E263F">
        <w:rPr>
          <w:sz w:val="19"/>
          <w:szCs w:val="19"/>
        </w:rPr>
        <w:t>Vid granskningen har Riksrevisionen noterat att dokumentation avseende upphandlingen i vissa fall formellt tillhör hyresvärden och således inte är tillgänglig för myndigheterna. Det ger upphov till ett problem ur offentli</w:t>
      </w:r>
      <w:r w:rsidRPr="007E263F">
        <w:rPr>
          <w:sz w:val="19"/>
          <w:szCs w:val="19"/>
        </w:rPr>
        <w:t>g</w:t>
      </w:r>
      <w:r w:rsidRPr="007E263F">
        <w:rPr>
          <w:sz w:val="19"/>
          <w:szCs w:val="19"/>
        </w:rPr>
        <w:t>hetssynpunkt. LOU innehåller rättsliga krav på hur dokumentation över en genomförd upphandling ska göras och vissa krav på att handlingar bevaras.</w:t>
      </w:r>
    </w:p>
    <w:p w:rsidR="008C3183" w:rsidRPr="007E263F" w:rsidRDefault="008C3183" w:rsidP="00393044">
      <w:pPr>
        <w:pStyle w:val="normalmedindrag"/>
        <w:spacing w:before="0" w:line="250" w:lineRule="atLeast"/>
        <w:jc w:val="both"/>
        <w:rPr>
          <w:sz w:val="19"/>
          <w:szCs w:val="19"/>
        </w:rPr>
      </w:pPr>
      <w:r w:rsidRPr="007E263F">
        <w:rPr>
          <w:sz w:val="19"/>
          <w:szCs w:val="19"/>
        </w:rPr>
        <w:t>Denna dokumentation är nödvändig bland annat för att myndi</w:t>
      </w:r>
      <w:r w:rsidRPr="007E263F">
        <w:rPr>
          <w:sz w:val="19"/>
          <w:szCs w:val="19"/>
        </w:rPr>
        <w:t>g</w:t>
      </w:r>
      <w:r w:rsidRPr="007E263F">
        <w:rPr>
          <w:sz w:val="19"/>
          <w:szCs w:val="19"/>
        </w:rPr>
        <w:t>heten ska kunna lämna information vid en efterföljande överprövning, talan om ogilti</w:t>
      </w:r>
      <w:r w:rsidRPr="007E263F">
        <w:rPr>
          <w:sz w:val="19"/>
          <w:szCs w:val="19"/>
        </w:rPr>
        <w:t>g</w:t>
      </w:r>
      <w:r w:rsidRPr="007E263F">
        <w:rPr>
          <w:sz w:val="19"/>
          <w:szCs w:val="19"/>
        </w:rPr>
        <w:t>förklarande av ingånget avtal eller vid en skadeståndstalan. Om myndigheten inte kan styrka vad som gjorts i samband med en upphandling kan det få processrättsliga kons</w:t>
      </w:r>
      <w:r w:rsidRPr="007E263F">
        <w:rPr>
          <w:sz w:val="19"/>
          <w:szCs w:val="19"/>
        </w:rPr>
        <w:t>e</w:t>
      </w:r>
      <w:r w:rsidRPr="007E263F">
        <w:rPr>
          <w:sz w:val="19"/>
          <w:szCs w:val="19"/>
        </w:rPr>
        <w:t>kvenser. Därutöver finns också allmänhetens krav på att få ta del av allmänna handlingar. Ytterligare skäl för att dokumentationen görs på rätt sätt och att myndigheten iakttar underrättelseskyldigh</w:t>
      </w:r>
      <w:r w:rsidRPr="007E263F">
        <w:rPr>
          <w:sz w:val="19"/>
          <w:szCs w:val="19"/>
        </w:rPr>
        <w:t>e</w:t>
      </w:r>
      <w:r w:rsidRPr="007E263F">
        <w:rPr>
          <w:sz w:val="19"/>
          <w:szCs w:val="19"/>
        </w:rPr>
        <w:t>ten är att leverantörerna ska kunna ta till</w:t>
      </w:r>
      <w:r w:rsidR="000D2DF1" w:rsidRPr="007E263F">
        <w:rPr>
          <w:sz w:val="19"/>
          <w:szCs w:val="19"/>
        </w:rPr>
        <w:t xml:space="preserve"> </w:t>
      </w:r>
      <w:r w:rsidRPr="007E263F">
        <w:rPr>
          <w:sz w:val="19"/>
          <w:szCs w:val="19"/>
        </w:rPr>
        <w:t>vara sin rätt.</w:t>
      </w:r>
    </w:p>
    <w:p w:rsidR="008C3183" w:rsidRPr="007E263F" w:rsidRDefault="008C3183" w:rsidP="00615012">
      <w:pPr>
        <w:pStyle w:val="normalmedindrag"/>
        <w:spacing w:before="0" w:line="250" w:lineRule="atLeast"/>
        <w:jc w:val="both"/>
        <w:rPr>
          <w:sz w:val="19"/>
          <w:szCs w:val="19"/>
        </w:rPr>
      </w:pPr>
      <w:r w:rsidRPr="007E263F">
        <w:rPr>
          <w:sz w:val="19"/>
          <w:szCs w:val="19"/>
        </w:rPr>
        <w:t>Årets granskning visar även att vissa myndigheter tar väsentliga ekon</w:t>
      </w:r>
      <w:r w:rsidRPr="007E263F">
        <w:rPr>
          <w:sz w:val="19"/>
          <w:szCs w:val="19"/>
        </w:rPr>
        <w:t>o</w:t>
      </w:r>
      <w:r w:rsidRPr="007E263F">
        <w:rPr>
          <w:sz w:val="19"/>
          <w:szCs w:val="19"/>
        </w:rPr>
        <w:t xml:space="preserve">miska risker genom att sluta </w:t>
      </w:r>
      <w:r w:rsidR="000D2DF1" w:rsidRPr="007E263F">
        <w:rPr>
          <w:sz w:val="19"/>
          <w:szCs w:val="19"/>
        </w:rPr>
        <w:t>”</w:t>
      </w:r>
      <w:r w:rsidRPr="007E263F">
        <w:rPr>
          <w:sz w:val="19"/>
          <w:szCs w:val="19"/>
        </w:rPr>
        <w:t>rentinghyresavtal</w:t>
      </w:r>
      <w:r w:rsidR="000D2DF1" w:rsidRPr="007E263F">
        <w:rPr>
          <w:sz w:val="19"/>
          <w:szCs w:val="19"/>
        </w:rPr>
        <w:t>”</w:t>
      </w:r>
      <w:r w:rsidRPr="007E263F">
        <w:rPr>
          <w:sz w:val="19"/>
          <w:szCs w:val="19"/>
        </w:rPr>
        <w:t>, det vill säga räntebaserade avtal. I dagsläget kan dessa hyresavtal te sig ekon</w:t>
      </w:r>
      <w:r w:rsidRPr="007E263F">
        <w:rPr>
          <w:sz w:val="19"/>
          <w:szCs w:val="19"/>
        </w:rPr>
        <w:t>o</w:t>
      </w:r>
      <w:r w:rsidRPr="007E263F">
        <w:rPr>
          <w:sz w:val="19"/>
          <w:szCs w:val="19"/>
        </w:rPr>
        <w:t>miskt försvarbara men även en mycket liten räntehöjning kan få betydande ekonomiska konsekve</w:t>
      </w:r>
      <w:r w:rsidRPr="007E263F">
        <w:rPr>
          <w:sz w:val="19"/>
          <w:szCs w:val="19"/>
        </w:rPr>
        <w:t>n</w:t>
      </w:r>
      <w:r w:rsidRPr="007E263F">
        <w:rPr>
          <w:sz w:val="19"/>
          <w:szCs w:val="19"/>
        </w:rPr>
        <w:t xml:space="preserve">ser för berörda myndigheter.  </w:t>
      </w:r>
    </w:p>
    <w:p w:rsidR="008C3183" w:rsidRPr="007E263F" w:rsidRDefault="008C3183" w:rsidP="00393044">
      <w:pPr>
        <w:pStyle w:val="Rubrik2"/>
        <w:spacing w:line="250" w:lineRule="atLeast"/>
        <w:jc w:val="both"/>
      </w:pPr>
      <w:bookmarkStart w:id="49" w:name="_Toc326137802"/>
      <w:r w:rsidRPr="007E263F">
        <w:t>Riksrevisorernas bedömning</w:t>
      </w:r>
      <w:bookmarkEnd w:id="49"/>
    </w:p>
    <w:p w:rsidR="008C3183" w:rsidRPr="007E263F" w:rsidRDefault="008C3183" w:rsidP="00393044">
      <w:pPr>
        <w:pStyle w:val="normalmedindrag"/>
        <w:spacing w:line="250" w:lineRule="atLeast"/>
        <w:ind w:firstLine="0"/>
        <w:jc w:val="both"/>
        <w:rPr>
          <w:sz w:val="19"/>
          <w:szCs w:val="19"/>
        </w:rPr>
      </w:pPr>
      <w:r w:rsidRPr="007E263F">
        <w:rPr>
          <w:sz w:val="19"/>
          <w:szCs w:val="19"/>
        </w:rPr>
        <w:t>Vår generella bedömning är att de flesta myndigheters redovisning håller en hög kvalitet och ger en i allt väsentligt rättvisande bild av verksamheten. I år lämnades revisionsberättelse med modifierat uttalande, det vill säga avvika</w:t>
      </w:r>
      <w:r w:rsidRPr="007E263F">
        <w:rPr>
          <w:sz w:val="19"/>
          <w:szCs w:val="19"/>
        </w:rPr>
        <w:t>n</w:t>
      </w:r>
      <w:r w:rsidRPr="007E263F">
        <w:rPr>
          <w:sz w:val="19"/>
          <w:szCs w:val="19"/>
        </w:rPr>
        <w:t>de mening eller reservation, för endast fyra myndigheter. Det är dock värt att notera att tolv myndigheter valde att komplettera redan beslutad årsredovi</w:t>
      </w:r>
      <w:r w:rsidRPr="007E263F">
        <w:rPr>
          <w:sz w:val="19"/>
          <w:szCs w:val="19"/>
        </w:rPr>
        <w:t>s</w:t>
      </w:r>
      <w:r w:rsidRPr="007E263F">
        <w:rPr>
          <w:sz w:val="19"/>
          <w:szCs w:val="19"/>
        </w:rPr>
        <w:t>ning. För åtta av dessa myndigheter rörde sig kompletteringen om förhålla</w:t>
      </w:r>
      <w:r w:rsidRPr="007E263F">
        <w:rPr>
          <w:sz w:val="19"/>
          <w:szCs w:val="19"/>
        </w:rPr>
        <w:t>n</w:t>
      </w:r>
      <w:r w:rsidRPr="007E263F">
        <w:rPr>
          <w:sz w:val="19"/>
          <w:szCs w:val="19"/>
        </w:rPr>
        <w:t>den som hade föranlett en reservation i revisionsberättelsen om inte komple</w:t>
      </w:r>
      <w:r w:rsidRPr="007E263F">
        <w:rPr>
          <w:sz w:val="19"/>
          <w:szCs w:val="19"/>
        </w:rPr>
        <w:t>t</w:t>
      </w:r>
      <w:r w:rsidRPr="007E263F">
        <w:rPr>
          <w:sz w:val="19"/>
          <w:szCs w:val="19"/>
        </w:rPr>
        <w:t>teringen gjorts. Det finns således fortsatt behov av att tydliggöra myndigh</w:t>
      </w:r>
      <w:r w:rsidRPr="007E263F">
        <w:rPr>
          <w:sz w:val="19"/>
          <w:szCs w:val="19"/>
        </w:rPr>
        <w:t>e</w:t>
      </w:r>
      <w:r w:rsidRPr="007E263F">
        <w:rPr>
          <w:sz w:val="19"/>
          <w:szCs w:val="19"/>
        </w:rPr>
        <w:t xml:space="preserve">ternas ansvar för sin redovisning och att de ska lämna en fullt kvalitetssäkrad årsredovisning till regeringen i tid. </w:t>
      </w:r>
    </w:p>
    <w:p w:rsidR="008C3183" w:rsidRPr="007E263F" w:rsidRDefault="008C3183" w:rsidP="00393044">
      <w:pPr>
        <w:pStyle w:val="normalmedindrag"/>
        <w:spacing w:before="0" w:line="250" w:lineRule="atLeast"/>
        <w:jc w:val="both"/>
        <w:rPr>
          <w:sz w:val="19"/>
          <w:szCs w:val="19"/>
        </w:rPr>
      </w:pPr>
      <w:r w:rsidRPr="007E263F">
        <w:rPr>
          <w:sz w:val="19"/>
          <w:szCs w:val="19"/>
        </w:rPr>
        <w:t>Granskningen av årsredovisningarna har också visat att många myndigh</w:t>
      </w:r>
      <w:r w:rsidRPr="007E263F">
        <w:rPr>
          <w:sz w:val="19"/>
          <w:szCs w:val="19"/>
        </w:rPr>
        <w:t>e</w:t>
      </w:r>
      <w:r w:rsidRPr="007E263F">
        <w:rPr>
          <w:sz w:val="19"/>
          <w:szCs w:val="19"/>
        </w:rPr>
        <w:t>ter har svårt att tillämpa LOU. Ett särskilt problemomr</w:t>
      </w:r>
      <w:r w:rsidRPr="007E263F">
        <w:rPr>
          <w:sz w:val="19"/>
          <w:szCs w:val="19"/>
        </w:rPr>
        <w:t>å</w:t>
      </w:r>
      <w:r w:rsidRPr="007E263F">
        <w:rPr>
          <w:sz w:val="19"/>
          <w:szCs w:val="19"/>
        </w:rPr>
        <w:t xml:space="preserve">de är upphandling av lokaler, där bristen på kunskap är tydlig. Det kan därför finnas anledning för regeringen att särskilt följa detta område. </w:t>
      </w:r>
    </w:p>
    <w:p w:rsidR="00D87368" w:rsidRPr="007E263F" w:rsidRDefault="00D87368" w:rsidP="00393044">
      <w:pPr>
        <w:spacing w:before="0"/>
      </w:pPr>
    </w:p>
    <w:p w:rsidR="00D87368" w:rsidRPr="007E263F" w:rsidRDefault="00D87368" w:rsidP="00393044">
      <w:pPr>
        <w:pStyle w:val="Normaltindrag"/>
        <w:sectPr w:rsidR="00D87368" w:rsidRPr="007E263F">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8C3183" w:rsidRPr="007E263F" w:rsidRDefault="008C3183" w:rsidP="00790E55">
      <w:pPr>
        <w:pStyle w:val="Rubrik1"/>
        <w:rPr>
          <w:noProof w:val="0"/>
        </w:rPr>
      </w:pPr>
      <w:bookmarkStart w:id="50" w:name="_Toc326137803"/>
      <w:r w:rsidRPr="007E263F">
        <w:rPr>
          <w:noProof w:val="0"/>
        </w:rPr>
        <w:t>Myndigheternas beskrivning av arbetet med intern styrning och kontroll</w:t>
      </w:r>
      <w:bookmarkEnd w:id="50"/>
    </w:p>
    <w:p w:rsidR="008C3183" w:rsidRPr="007E263F" w:rsidRDefault="008C3183" w:rsidP="00393044">
      <w:r w:rsidRPr="007E263F">
        <w:t>Som ett led i arbetet med den årliga rapporten har vi gjort en särskild geno</w:t>
      </w:r>
      <w:r w:rsidRPr="007E263F">
        <w:t>m</w:t>
      </w:r>
      <w:r w:rsidRPr="007E263F">
        <w:t>gång av årsredovisningarna för de myndigheter som ska följa förordningen om intern styrning och kontroll (FISK-myndigheterna). Genomgången har rört myndigheternas intyganden och beskrivningar av arbetet med intern styrning och kontroll. Vår analys har avsett vilka områden som myndighete</w:t>
      </w:r>
      <w:r w:rsidRPr="007E263F">
        <w:t>r</w:t>
      </w:r>
      <w:r w:rsidRPr="007E263F">
        <w:t xml:space="preserve">na tar upp som särskilt riskfyllda, samt hur man beskriver och motiverar sina bedömningar. </w:t>
      </w:r>
    </w:p>
    <w:p w:rsidR="008C3183" w:rsidRPr="007E263F" w:rsidRDefault="008C3183" w:rsidP="00393044">
      <w:pPr>
        <w:pStyle w:val="Rubrik2"/>
        <w:spacing w:line="250" w:lineRule="atLeast"/>
        <w:jc w:val="both"/>
      </w:pPr>
      <w:bookmarkStart w:id="51" w:name="_Toc326137804"/>
      <w:r w:rsidRPr="007E263F">
        <w:t>Vilka riskområden tar myndigheterna upp?</w:t>
      </w:r>
      <w:bookmarkEnd w:id="51"/>
    </w:p>
    <w:p w:rsidR="008C3183" w:rsidRPr="007E263F" w:rsidRDefault="008C3183" w:rsidP="00393044">
      <w:r w:rsidRPr="007E263F">
        <w:t>Genomgången visar att områden som upplevs som riskfyllda för 2011 och 2012 är kompetensförsörjning, IT och informationssäkerhet samt upphan</w:t>
      </w:r>
      <w:r w:rsidRPr="007E263F">
        <w:t>d</w:t>
      </w:r>
      <w:r w:rsidRPr="007E263F">
        <w:t xml:space="preserve">ling. Därutöver förefaller flera myndigheter vara i färd med att förtydliga ansvarfördelningen för den interna styrningen och kontrollen i organisationen. </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Det till synes vanligast förekommande förbättringsområdet som tas upp i myndigheternas intyganden är </w:t>
      </w:r>
      <w:r w:rsidRPr="007E263F">
        <w:rPr>
          <w:i/>
          <w:sz w:val="19"/>
          <w:szCs w:val="19"/>
        </w:rPr>
        <w:t>IT och informationssäke</w:t>
      </w:r>
      <w:r w:rsidRPr="007E263F">
        <w:rPr>
          <w:i/>
          <w:sz w:val="19"/>
          <w:szCs w:val="19"/>
        </w:rPr>
        <w:t>r</w:t>
      </w:r>
      <w:r w:rsidRPr="007E263F">
        <w:rPr>
          <w:i/>
          <w:sz w:val="19"/>
          <w:szCs w:val="19"/>
        </w:rPr>
        <w:t>het</w:t>
      </w:r>
      <w:r w:rsidRPr="007E263F">
        <w:rPr>
          <w:sz w:val="19"/>
          <w:szCs w:val="19"/>
        </w:rPr>
        <w:t>. Riskerna som tas upp handlar främst om styrning, ansvar och rutiner. Att området är förenat med höga risker har också konstat</w:t>
      </w:r>
      <w:r w:rsidRPr="007E263F">
        <w:rPr>
          <w:sz w:val="19"/>
          <w:szCs w:val="19"/>
        </w:rPr>
        <w:t>e</w:t>
      </w:r>
      <w:r w:rsidRPr="007E263F">
        <w:rPr>
          <w:sz w:val="19"/>
          <w:szCs w:val="19"/>
        </w:rPr>
        <w:t>rats av internrevisionen på myndigheter som till exempel Socialstyrelsen, Finansinspektionen och Skolverket. Exe</w:t>
      </w:r>
      <w:r w:rsidRPr="007E263F">
        <w:rPr>
          <w:sz w:val="19"/>
          <w:szCs w:val="19"/>
        </w:rPr>
        <w:t>m</w:t>
      </w:r>
      <w:r w:rsidRPr="007E263F">
        <w:rPr>
          <w:sz w:val="19"/>
          <w:szCs w:val="19"/>
        </w:rPr>
        <w:t>pel på IT-risker som tagits upp är risk för att inte klara av kraven på en m</w:t>
      </w:r>
      <w:r w:rsidRPr="007E263F">
        <w:rPr>
          <w:sz w:val="19"/>
          <w:szCs w:val="19"/>
        </w:rPr>
        <w:t>o</w:t>
      </w:r>
      <w:r w:rsidRPr="007E263F">
        <w:rPr>
          <w:sz w:val="19"/>
          <w:szCs w:val="19"/>
        </w:rPr>
        <w:t>dern e-förvaltning (Skatteverket 2011) samt risk när det gäller kvalitetssä</w:t>
      </w:r>
      <w:r w:rsidRPr="007E263F">
        <w:rPr>
          <w:sz w:val="19"/>
          <w:szCs w:val="19"/>
        </w:rPr>
        <w:t>k</w:t>
      </w:r>
      <w:r w:rsidRPr="007E263F">
        <w:rPr>
          <w:sz w:val="19"/>
          <w:szCs w:val="19"/>
        </w:rPr>
        <w:t>ring av indata och i överföring mellan o</w:t>
      </w:r>
      <w:r w:rsidR="000D2DF1" w:rsidRPr="007E263F">
        <w:rPr>
          <w:sz w:val="19"/>
          <w:szCs w:val="19"/>
        </w:rPr>
        <w:t>lika IT-system (p</w:t>
      </w:r>
      <w:r w:rsidRPr="007E263F">
        <w:rPr>
          <w:sz w:val="19"/>
          <w:szCs w:val="19"/>
        </w:rPr>
        <w:t xml:space="preserve">olisen 2011 och 2012). </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Ett annat område som i myndigheternas intyganden beskrivs som riskfyllt är </w:t>
      </w:r>
      <w:r w:rsidRPr="007E263F">
        <w:rPr>
          <w:i/>
          <w:sz w:val="19"/>
          <w:szCs w:val="19"/>
        </w:rPr>
        <w:t xml:space="preserve">kompetensförsörjning </w:t>
      </w:r>
      <w:r w:rsidRPr="007E263F">
        <w:rPr>
          <w:sz w:val="19"/>
          <w:szCs w:val="19"/>
        </w:rPr>
        <w:t>eller förmåga att rekrytera och behålla rätt komp</w:t>
      </w:r>
      <w:r w:rsidRPr="007E263F">
        <w:rPr>
          <w:sz w:val="19"/>
          <w:szCs w:val="19"/>
        </w:rPr>
        <w:t>e</w:t>
      </w:r>
      <w:r w:rsidRPr="007E263F">
        <w:rPr>
          <w:sz w:val="19"/>
          <w:szCs w:val="19"/>
        </w:rPr>
        <w:t>tens. Detta tycks utgöra en risk för framför</w:t>
      </w:r>
      <w:r w:rsidR="000D2DF1" w:rsidRPr="007E263F">
        <w:rPr>
          <w:sz w:val="19"/>
          <w:szCs w:val="19"/>
        </w:rPr>
        <w:t xml:space="preserve"> </w:t>
      </w:r>
      <w:r w:rsidRPr="007E263F">
        <w:rPr>
          <w:sz w:val="19"/>
          <w:szCs w:val="19"/>
        </w:rPr>
        <w:t>allt många universitet och högsk</w:t>
      </w:r>
      <w:r w:rsidRPr="007E263F">
        <w:rPr>
          <w:sz w:val="19"/>
          <w:szCs w:val="19"/>
        </w:rPr>
        <w:t>o</w:t>
      </w:r>
      <w:r w:rsidRPr="007E263F">
        <w:rPr>
          <w:sz w:val="19"/>
          <w:szCs w:val="19"/>
        </w:rPr>
        <w:t>lor, men även för andra myndi</w:t>
      </w:r>
      <w:r w:rsidRPr="007E263F">
        <w:rPr>
          <w:sz w:val="19"/>
          <w:szCs w:val="19"/>
        </w:rPr>
        <w:t>g</w:t>
      </w:r>
      <w:r w:rsidRPr="007E263F">
        <w:rPr>
          <w:sz w:val="19"/>
          <w:szCs w:val="19"/>
        </w:rPr>
        <w:t>heter. En myndighet som i sin årsredovisning bedömt detta som en betydande risk är Skogsstyrelsen. Risken har formul</w:t>
      </w:r>
      <w:r w:rsidRPr="007E263F">
        <w:rPr>
          <w:sz w:val="19"/>
          <w:szCs w:val="19"/>
        </w:rPr>
        <w:t>e</w:t>
      </w:r>
      <w:r w:rsidRPr="007E263F">
        <w:rPr>
          <w:sz w:val="19"/>
          <w:szCs w:val="19"/>
        </w:rPr>
        <w:t>rats enligt följande: ”Risk att ej klara av vår uppdragsverksamhet och my</w:t>
      </w:r>
      <w:r w:rsidRPr="007E263F">
        <w:rPr>
          <w:sz w:val="19"/>
          <w:szCs w:val="19"/>
        </w:rPr>
        <w:t>n</w:t>
      </w:r>
      <w:r w:rsidRPr="007E263F">
        <w:rPr>
          <w:sz w:val="19"/>
          <w:szCs w:val="19"/>
        </w:rPr>
        <w:t>dighetsuppgift beroende på brister i kompetensförsörjning och produktion</w:t>
      </w:r>
      <w:r w:rsidRPr="007E263F">
        <w:rPr>
          <w:sz w:val="19"/>
          <w:szCs w:val="19"/>
        </w:rPr>
        <w:t>s</w:t>
      </w:r>
      <w:r w:rsidR="000D2DF1" w:rsidRPr="007E263F">
        <w:rPr>
          <w:sz w:val="19"/>
          <w:szCs w:val="19"/>
        </w:rPr>
        <w:t>planering.”</w:t>
      </w:r>
      <w:r w:rsidRPr="007E263F">
        <w:rPr>
          <w:sz w:val="19"/>
          <w:szCs w:val="19"/>
        </w:rPr>
        <w:t xml:space="preserve"> Skogsstyrelsen beskriver därefter de åtgä</w:t>
      </w:r>
      <w:r w:rsidRPr="007E263F">
        <w:rPr>
          <w:sz w:val="19"/>
          <w:szCs w:val="19"/>
        </w:rPr>
        <w:t>r</w:t>
      </w:r>
      <w:r w:rsidRPr="007E263F">
        <w:rPr>
          <w:sz w:val="19"/>
          <w:szCs w:val="19"/>
        </w:rPr>
        <w:t>der som vidtagits med anledning av risken såsom bemanningspl</w:t>
      </w:r>
      <w:r w:rsidRPr="007E263F">
        <w:rPr>
          <w:sz w:val="19"/>
          <w:szCs w:val="19"/>
        </w:rPr>
        <w:t>a</w:t>
      </w:r>
      <w:r w:rsidRPr="007E263F">
        <w:rPr>
          <w:sz w:val="19"/>
          <w:szCs w:val="19"/>
        </w:rPr>
        <w:t xml:space="preserve">nering och kompetensdatabas samt den kommande uppföljningen som planeras 2012. </w:t>
      </w:r>
    </w:p>
    <w:p w:rsidR="008C3183" w:rsidRPr="007E263F" w:rsidRDefault="008C3183" w:rsidP="00393044">
      <w:pPr>
        <w:pStyle w:val="normalmedindrag"/>
        <w:spacing w:before="0" w:line="250" w:lineRule="atLeast"/>
        <w:jc w:val="both"/>
        <w:rPr>
          <w:sz w:val="19"/>
          <w:szCs w:val="19"/>
        </w:rPr>
      </w:pPr>
      <w:r w:rsidRPr="007E263F">
        <w:rPr>
          <w:i/>
          <w:sz w:val="19"/>
          <w:szCs w:val="19"/>
        </w:rPr>
        <w:t xml:space="preserve">Upphandling </w:t>
      </w:r>
      <w:r w:rsidRPr="007E263F">
        <w:rPr>
          <w:sz w:val="19"/>
          <w:szCs w:val="19"/>
        </w:rPr>
        <w:t>är ytterligare ett utvecklingsområde som tas upp i flera my</w:t>
      </w:r>
      <w:r w:rsidRPr="007E263F">
        <w:rPr>
          <w:sz w:val="19"/>
          <w:szCs w:val="19"/>
        </w:rPr>
        <w:t>n</w:t>
      </w:r>
      <w:r w:rsidRPr="007E263F">
        <w:rPr>
          <w:sz w:val="19"/>
          <w:szCs w:val="19"/>
        </w:rPr>
        <w:t>digheters årsredovisningar. Myndigheterna synes ha svårigheter med att s</w:t>
      </w:r>
      <w:r w:rsidRPr="007E263F">
        <w:rPr>
          <w:sz w:val="19"/>
          <w:szCs w:val="19"/>
        </w:rPr>
        <w:t>ä</w:t>
      </w:r>
      <w:r w:rsidRPr="007E263F">
        <w:rPr>
          <w:sz w:val="19"/>
          <w:szCs w:val="19"/>
        </w:rPr>
        <w:t>kerställa regelefterlevnad samt utforma fungerande kontrollåtgärder och up</w:t>
      </w:r>
      <w:r w:rsidRPr="007E263F">
        <w:rPr>
          <w:sz w:val="19"/>
          <w:szCs w:val="19"/>
        </w:rPr>
        <w:t>p</w:t>
      </w:r>
      <w:r w:rsidRPr="007E263F">
        <w:rPr>
          <w:sz w:val="19"/>
          <w:szCs w:val="19"/>
        </w:rPr>
        <w:t>följningar av inköp och upphan</w:t>
      </w:r>
      <w:r w:rsidRPr="007E263F">
        <w:rPr>
          <w:sz w:val="19"/>
          <w:szCs w:val="19"/>
        </w:rPr>
        <w:t>d</w:t>
      </w:r>
      <w:r w:rsidRPr="007E263F">
        <w:rPr>
          <w:sz w:val="19"/>
          <w:szCs w:val="19"/>
        </w:rPr>
        <w:t xml:space="preserve">ling.  </w:t>
      </w:r>
    </w:p>
    <w:p w:rsidR="008C3183" w:rsidRPr="007E263F" w:rsidRDefault="008C3183" w:rsidP="00393044">
      <w:pPr>
        <w:pStyle w:val="normalmedindrag"/>
        <w:spacing w:line="250" w:lineRule="atLeast"/>
        <w:jc w:val="both"/>
        <w:rPr>
          <w:sz w:val="19"/>
          <w:szCs w:val="19"/>
        </w:rPr>
      </w:pPr>
      <w:r w:rsidRPr="007E263F">
        <w:rPr>
          <w:sz w:val="19"/>
          <w:szCs w:val="19"/>
        </w:rPr>
        <w:t xml:space="preserve">Avslutningsvis nämns risker rörande otydlighet i </w:t>
      </w:r>
      <w:r w:rsidRPr="007E263F">
        <w:rPr>
          <w:i/>
          <w:sz w:val="19"/>
          <w:szCs w:val="19"/>
        </w:rPr>
        <w:t>ansvarsfördelning för i</w:t>
      </w:r>
      <w:r w:rsidRPr="007E263F">
        <w:rPr>
          <w:i/>
          <w:sz w:val="19"/>
          <w:szCs w:val="19"/>
        </w:rPr>
        <w:t>n</w:t>
      </w:r>
      <w:r w:rsidRPr="007E263F">
        <w:rPr>
          <w:i/>
          <w:sz w:val="19"/>
          <w:szCs w:val="19"/>
        </w:rPr>
        <w:t xml:space="preserve">tern styrning och kontroll </w:t>
      </w:r>
      <w:r w:rsidRPr="007E263F">
        <w:rPr>
          <w:sz w:val="19"/>
          <w:szCs w:val="19"/>
        </w:rPr>
        <w:t>på olika nivåer i organisationen som ett förbät</w:t>
      </w:r>
      <w:r w:rsidRPr="007E263F">
        <w:rPr>
          <w:sz w:val="19"/>
          <w:szCs w:val="19"/>
        </w:rPr>
        <w:t>t</w:t>
      </w:r>
      <w:r w:rsidRPr="007E263F">
        <w:rPr>
          <w:sz w:val="19"/>
          <w:szCs w:val="19"/>
        </w:rPr>
        <w:t>ringsområde i flera myndigheters årsredovi</w:t>
      </w:r>
      <w:r w:rsidRPr="007E263F">
        <w:rPr>
          <w:sz w:val="19"/>
          <w:szCs w:val="19"/>
        </w:rPr>
        <w:t>s</w:t>
      </w:r>
      <w:r w:rsidRPr="007E263F">
        <w:rPr>
          <w:sz w:val="19"/>
          <w:szCs w:val="19"/>
        </w:rPr>
        <w:t xml:space="preserve">ningar. </w:t>
      </w:r>
    </w:p>
    <w:p w:rsidR="008C3183" w:rsidRPr="007E263F" w:rsidRDefault="008C3183" w:rsidP="00790E55">
      <w:pPr>
        <w:pStyle w:val="Rubrik2"/>
        <w:spacing w:line="250" w:lineRule="atLeast"/>
      </w:pPr>
      <w:bookmarkStart w:id="52" w:name="_Toc326137805"/>
      <w:r w:rsidRPr="007E263F">
        <w:t>Hur beskriver myndigheterna sitt arbete?</w:t>
      </w:r>
      <w:bookmarkEnd w:id="52"/>
    </w:p>
    <w:p w:rsidR="008C3183" w:rsidRPr="007E263F" w:rsidRDefault="008C3183" w:rsidP="00393044">
      <w:r w:rsidRPr="007E263F">
        <w:t>Även det sätt på vilket myndigheterna redogör för sitt arbete med intern sty</w:t>
      </w:r>
      <w:r w:rsidRPr="007E263F">
        <w:t>r</w:t>
      </w:r>
      <w:r w:rsidRPr="007E263F">
        <w:t>ning och kontroll varierar. I de flesta myndigheters årsredovisningar föregås myndighetsledningens ställningstagande av en beskrivning av det internko</w:t>
      </w:r>
      <w:r w:rsidRPr="007E263F">
        <w:t>n</w:t>
      </w:r>
      <w:r w:rsidRPr="007E263F">
        <w:t>trollarbete som bedrivits under året samt hur de risker som identifierats har hanterats. I andra myndigheters årsredovisningar finns enbart intygandem</w:t>
      </w:r>
      <w:r w:rsidRPr="007E263F">
        <w:t>e</w:t>
      </w:r>
      <w:r w:rsidRPr="007E263F">
        <w:t>ningen om intern styrning och kontroll med. Med andra ord saknas helt mot</w:t>
      </w:r>
      <w:r w:rsidRPr="007E263F">
        <w:t>i</w:t>
      </w:r>
      <w:r w:rsidRPr="007E263F">
        <w:t>vering till ställningstagandet. Därutöver redovisas i vissa myndigheters årsr</w:t>
      </w:r>
      <w:r w:rsidRPr="007E263F">
        <w:t>e</w:t>
      </w:r>
      <w:r w:rsidRPr="007E263F">
        <w:t>dovisningar arbetet med intern kontroll tydligt i ett särskilt avsnitt, medan det i andra myndigheters årsredovisningar är invävt i andra avsnitt av texten.</w:t>
      </w:r>
    </w:p>
    <w:p w:rsidR="008C3183" w:rsidRPr="007E263F" w:rsidRDefault="008C3183" w:rsidP="00393044">
      <w:pPr>
        <w:pStyle w:val="normalmedindrag"/>
        <w:spacing w:before="0" w:line="250" w:lineRule="atLeast"/>
        <w:jc w:val="both"/>
        <w:rPr>
          <w:sz w:val="19"/>
          <w:szCs w:val="19"/>
        </w:rPr>
      </w:pPr>
      <w:r w:rsidRPr="007E263F">
        <w:rPr>
          <w:i/>
          <w:sz w:val="19"/>
          <w:szCs w:val="19"/>
        </w:rPr>
        <w:t>Skatteverket</w:t>
      </w:r>
      <w:r w:rsidRPr="007E263F">
        <w:rPr>
          <w:sz w:val="19"/>
          <w:szCs w:val="19"/>
        </w:rPr>
        <w:t xml:space="preserve"> kan nämnas som ett exempel på en myndighet som motiverat sitt ställningstagande om en betryggande intern styrning och kontroll. I ett särskilt avsnitt i årsredovisningen redovisas de risker som identifierats inför 2011, vilka åtgärder som vidtagits med anledning av dessa och vilka risker som kvarstår inför 2012. Avslutningsvis görs dessutom en sammanfattning i vilken myndigheten förklarar varför dessa risker sammantaget ändå inte b</w:t>
      </w:r>
      <w:r w:rsidRPr="007E263F">
        <w:rPr>
          <w:sz w:val="19"/>
          <w:szCs w:val="19"/>
        </w:rPr>
        <w:t>e</w:t>
      </w:r>
      <w:r w:rsidRPr="007E263F">
        <w:rPr>
          <w:sz w:val="19"/>
          <w:szCs w:val="19"/>
        </w:rPr>
        <w:t xml:space="preserve">döms påverka ställningstagandet. </w:t>
      </w:r>
    </w:p>
    <w:p w:rsidR="008C3183" w:rsidRPr="007E263F" w:rsidRDefault="008C3183" w:rsidP="00393044">
      <w:pPr>
        <w:pStyle w:val="normalmedindrag"/>
        <w:spacing w:before="0" w:line="250" w:lineRule="atLeast"/>
        <w:jc w:val="both"/>
        <w:rPr>
          <w:sz w:val="19"/>
          <w:szCs w:val="19"/>
        </w:rPr>
      </w:pPr>
      <w:r w:rsidRPr="007E263F">
        <w:rPr>
          <w:i/>
          <w:sz w:val="19"/>
          <w:szCs w:val="19"/>
        </w:rPr>
        <w:t>Pensionsmyndigheten</w:t>
      </w:r>
      <w:r w:rsidRPr="007E263F">
        <w:rPr>
          <w:sz w:val="19"/>
          <w:szCs w:val="19"/>
        </w:rPr>
        <w:t xml:space="preserve"> är ett annat exempel på en myndighet som i ett sä</w:t>
      </w:r>
      <w:r w:rsidRPr="007E263F">
        <w:rPr>
          <w:sz w:val="19"/>
          <w:szCs w:val="19"/>
        </w:rPr>
        <w:t>r</w:t>
      </w:r>
      <w:r w:rsidRPr="007E263F">
        <w:rPr>
          <w:sz w:val="19"/>
          <w:szCs w:val="19"/>
        </w:rPr>
        <w:t>skilt avsnitt i årsredovisningen redogör för det arbete med intern styrning och kontroll som ligger till grund för intygandet. Exempelvis beskrivs myndigh</w:t>
      </w:r>
      <w:r w:rsidRPr="007E263F">
        <w:rPr>
          <w:sz w:val="19"/>
          <w:szCs w:val="19"/>
        </w:rPr>
        <w:t>e</w:t>
      </w:r>
      <w:r w:rsidRPr="007E263F">
        <w:rPr>
          <w:sz w:val="19"/>
          <w:szCs w:val="19"/>
        </w:rPr>
        <w:t>tens tillämpande av COSO-modellen med arbetsordning för att förtydliga ansvar och roller. I texten redogörs även för myndighetens olika risker samt den nivå dessa bedöms ligga på. I det slutliga intygandet om intern styrning och kontroll förklaras att en brist föreligger; myndighetens förmåga att up</w:t>
      </w:r>
      <w:r w:rsidRPr="007E263F">
        <w:rPr>
          <w:sz w:val="19"/>
          <w:szCs w:val="19"/>
        </w:rPr>
        <w:t>p</w:t>
      </w:r>
      <w:r w:rsidRPr="007E263F">
        <w:rPr>
          <w:sz w:val="19"/>
          <w:szCs w:val="19"/>
        </w:rPr>
        <w:t>rätthålla en tillfreds</w:t>
      </w:r>
      <w:r w:rsidR="0032520C" w:rsidRPr="007E263F">
        <w:rPr>
          <w:sz w:val="19"/>
          <w:szCs w:val="19"/>
        </w:rPr>
        <w:t>s</w:t>
      </w:r>
      <w:r w:rsidRPr="007E263F">
        <w:rPr>
          <w:sz w:val="19"/>
          <w:szCs w:val="19"/>
        </w:rPr>
        <w:t>tällande nivå avseende handläggningstiderna inom pr</w:t>
      </w:r>
      <w:r w:rsidRPr="007E263F">
        <w:rPr>
          <w:sz w:val="19"/>
          <w:szCs w:val="19"/>
        </w:rPr>
        <w:t>o</w:t>
      </w:r>
      <w:r w:rsidRPr="007E263F">
        <w:rPr>
          <w:sz w:val="19"/>
          <w:szCs w:val="19"/>
        </w:rPr>
        <w:t>cessen återkrav.</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Värd att nämna är vidare den beskrivning som återfinns i </w:t>
      </w:r>
      <w:r w:rsidRPr="007E263F">
        <w:rPr>
          <w:i/>
          <w:sz w:val="19"/>
          <w:szCs w:val="19"/>
        </w:rPr>
        <w:t xml:space="preserve">Sidas </w:t>
      </w:r>
      <w:r w:rsidRPr="007E263F">
        <w:rPr>
          <w:sz w:val="19"/>
          <w:szCs w:val="19"/>
        </w:rPr>
        <w:t>årsredovi</w:t>
      </w:r>
      <w:r w:rsidRPr="007E263F">
        <w:rPr>
          <w:sz w:val="19"/>
          <w:szCs w:val="19"/>
        </w:rPr>
        <w:t>s</w:t>
      </w:r>
      <w:r w:rsidRPr="007E263F">
        <w:rPr>
          <w:sz w:val="19"/>
          <w:szCs w:val="19"/>
        </w:rPr>
        <w:t>ning. Sidas ledning intygar att årsredovisningen ger en rättvisande bild av verksamhetens resultat samt av kostnader, intäkter och myndighetens ekon</w:t>
      </w:r>
      <w:r w:rsidRPr="007E263F">
        <w:rPr>
          <w:sz w:val="19"/>
          <w:szCs w:val="19"/>
        </w:rPr>
        <w:t>o</w:t>
      </w:r>
      <w:r w:rsidRPr="007E263F">
        <w:rPr>
          <w:sz w:val="19"/>
          <w:szCs w:val="19"/>
        </w:rPr>
        <w:t>miska ställning. Samtidigt anger myndighetsledningen att bedömningen inte omfattar de ekonomi</w:t>
      </w:r>
      <w:r w:rsidRPr="007E263F">
        <w:rPr>
          <w:sz w:val="19"/>
          <w:szCs w:val="19"/>
        </w:rPr>
        <w:t>s</w:t>
      </w:r>
      <w:r w:rsidRPr="007E263F">
        <w:rPr>
          <w:sz w:val="19"/>
          <w:szCs w:val="19"/>
        </w:rPr>
        <w:t>ka åtaganden som ingåtts av Regeringskansliet inom de anslagsposter som Regeringskansliet beslutar om men som Sida admin</w:t>
      </w:r>
      <w:r w:rsidRPr="007E263F">
        <w:rPr>
          <w:sz w:val="19"/>
          <w:szCs w:val="19"/>
        </w:rPr>
        <w:t>i</w:t>
      </w:r>
      <w:r w:rsidRPr="007E263F">
        <w:rPr>
          <w:sz w:val="19"/>
          <w:szCs w:val="19"/>
        </w:rPr>
        <w:t>strerar utbetalningar för. Anledningen är att Sida den 1 januari 2011 övertog dispos</w:t>
      </w:r>
      <w:r w:rsidRPr="007E263F">
        <w:rPr>
          <w:sz w:val="19"/>
          <w:szCs w:val="19"/>
        </w:rPr>
        <w:t>i</w:t>
      </w:r>
      <w:r w:rsidRPr="007E263F">
        <w:rPr>
          <w:sz w:val="19"/>
          <w:szCs w:val="19"/>
        </w:rPr>
        <w:t>tionsrätten för flera anslagsposter från Rege</w:t>
      </w:r>
      <w:r w:rsidRPr="007E263F">
        <w:rPr>
          <w:sz w:val="19"/>
          <w:szCs w:val="19"/>
        </w:rPr>
        <w:t>r</w:t>
      </w:r>
      <w:r w:rsidRPr="007E263F">
        <w:rPr>
          <w:sz w:val="19"/>
          <w:szCs w:val="19"/>
        </w:rPr>
        <w:t>ingskansliet. Sidas ansvar för hanteringen är begränsad till att utb</w:t>
      </w:r>
      <w:r w:rsidRPr="007E263F">
        <w:rPr>
          <w:sz w:val="19"/>
          <w:szCs w:val="19"/>
        </w:rPr>
        <w:t>e</w:t>
      </w:r>
      <w:r w:rsidRPr="007E263F">
        <w:rPr>
          <w:sz w:val="19"/>
          <w:szCs w:val="19"/>
        </w:rPr>
        <w:t>tala medel i enlighet med de beslut som Regeringskansliet fattar samt att Sida ska utföra vissa administrativa kontroll- och prövningsmoment. Utfallen för berörda anslag ska redovisas i Sidas år</w:t>
      </w:r>
      <w:r w:rsidRPr="007E263F">
        <w:rPr>
          <w:sz w:val="19"/>
          <w:szCs w:val="19"/>
        </w:rPr>
        <w:t>s</w:t>
      </w:r>
      <w:r w:rsidRPr="007E263F">
        <w:rPr>
          <w:sz w:val="19"/>
          <w:szCs w:val="19"/>
        </w:rPr>
        <w:t>redovisning. Förfarandet leder till oklarheter i ansvaret för fö</w:t>
      </w:r>
      <w:r w:rsidRPr="007E263F">
        <w:rPr>
          <w:sz w:val="19"/>
          <w:szCs w:val="19"/>
        </w:rPr>
        <w:t>r</w:t>
      </w:r>
      <w:r w:rsidRPr="007E263F">
        <w:rPr>
          <w:sz w:val="19"/>
          <w:szCs w:val="19"/>
        </w:rPr>
        <w:t>valtningen av dessa anslagsposter. För bemyndiganden har Rege</w:t>
      </w:r>
      <w:r w:rsidRPr="007E263F">
        <w:rPr>
          <w:sz w:val="19"/>
          <w:szCs w:val="19"/>
        </w:rPr>
        <w:t>r</w:t>
      </w:r>
      <w:r w:rsidRPr="007E263F">
        <w:rPr>
          <w:sz w:val="19"/>
          <w:szCs w:val="19"/>
        </w:rPr>
        <w:t>ingskansliet hela ansvaret för hanteringen av de utestående ekonomiska åtaganden som Sida ska redov</w:t>
      </w:r>
      <w:r w:rsidRPr="007E263F">
        <w:rPr>
          <w:sz w:val="19"/>
          <w:szCs w:val="19"/>
        </w:rPr>
        <w:t>i</w:t>
      </w:r>
      <w:r w:rsidRPr="007E263F">
        <w:rPr>
          <w:sz w:val="19"/>
          <w:szCs w:val="19"/>
        </w:rPr>
        <w:t>sa i sin årsredovisning. Sidas ledning har inte någon möjlighet att bedöma om redovisade åt</w:t>
      </w:r>
      <w:r w:rsidRPr="007E263F">
        <w:rPr>
          <w:sz w:val="19"/>
          <w:szCs w:val="19"/>
        </w:rPr>
        <w:t>a</w:t>
      </w:r>
      <w:r w:rsidRPr="007E263F">
        <w:rPr>
          <w:sz w:val="19"/>
          <w:szCs w:val="19"/>
        </w:rPr>
        <w:t>ganden ges en rättvisande bild i årsredovisningen, eftersom de inte har fått tillgång till de underlag som Regeringskansliet hanterar.</w:t>
      </w:r>
    </w:p>
    <w:p w:rsidR="008C3183" w:rsidRPr="007E263F" w:rsidRDefault="008C3183" w:rsidP="00393044">
      <w:pPr>
        <w:pStyle w:val="Rubrik2"/>
        <w:spacing w:line="250" w:lineRule="atLeast"/>
        <w:jc w:val="both"/>
      </w:pPr>
      <w:bookmarkStart w:id="53" w:name="_Toc326137806"/>
      <w:r w:rsidRPr="007E263F">
        <w:t>Riksrevisorernas bedömning</w:t>
      </w:r>
      <w:bookmarkEnd w:id="53"/>
    </w:p>
    <w:p w:rsidR="008C3183" w:rsidRPr="007E263F" w:rsidRDefault="008C3183" w:rsidP="00393044">
      <w:r w:rsidRPr="007E263F">
        <w:t>Sammanfattningsvis varierar det sätt på vilket myndigheterna redovisar sitt arbete med intern styrning och kontroll och därigenom hur väl de underby</w:t>
      </w:r>
      <w:r w:rsidRPr="007E263F">
        <w:t>g</w:t>
      </w:r>
      <w:r w:rsidRPr="007E263F">
        <w:t>ger sitt ställningstagande. Det är enligt vår mening en fördel om detta stäl</w:t>
      </w:r>
      <w:r w:rsidRPr="007E263F">
        <w:t>l</w:t>
      </w:r>
      <w:r w:rsidRPr="007E263F">
        <w:t>ningstagande följs av en beskrivning av hur myndigheten följt upp och hant</w:t>
      </w:r>
      <w:r w:rsidRPr="007E263F">
        <w:t>e</w:t>
      </w:r>
      <w:r w:rsidRPr="007E263F">
        <w:t>rat sina risker. Av beskrivningen bör framgå hur myndigheten motiverar eventuellt borttagande av tidigare risker och vilka risker som kvarstår och/eller tillkommit sedan föregående årsredovisning. Detta har som framgår ovan också flera myndighete</w:t>
      </w:r>
      <w:r w:rsidR="0032520C" w:rsidRPr="007E263F">
        <w:t>r gjort i sina årsredovisningar.</w:t>
      </w:r>
      <w:r w:rsidRPr="007E263F">
        <w:t xml:space="preserve"> </w:t>
      </w:r>
    </w:p>
    <w:p w:rsidR="008C3183" w:rsidRPr="007E263F" w:rsidRDefault="008C3183" w:rsidP="00393044">
      <w:pPr>
        <w:pStyle w:val="normalmedindrag"/>
        <w:spacing w:before="0" w:line="250" w:lineRule="atLeast"/>
        <w:jc w:val="both"/>
        <w:rPr>
          <w:sz w:val="19"/>
          <w:szCs w:val="19"/>
        </w:rPr>
      </w:pPr>
      <w:r w:rsidRPr="007E263F">
        <w:rPr>
          <w:sz w:val="19"/>
          <w:szCs w:val="19"/>
        </w:rPr>
        <w:t>De till synes vanligast förekommande riskerna i myndigheternas årsred</w:t>
      </w:r>
      <w:r w:rsidRPr="007E263F">
        <w:rPr>
          <w:sz w:val="19"/>
          <w:szCs w:val="19"/>
        </w:rPr>
        <w:t>o</w:t>
      </w:r>
      <w:r w:rsidRPr="007E263F">
        <w:rPr>
          <w:sz w:val="19"/>
          <w:szCs w:val="19"/>
        </w:rPr>
        <w:t>visningar är kompetensförsörjning, IT och informationssäkerhet och upphan</w:t>
      </w:r>
      <w:r w:rsidRPr="007E263F">
        <w:rPr>
          <w:sz w:val="19"/>
          <w:szCs w:val="19"/>
        </w:rPr>
        <w:t>d</w:t>
      </w:r>
      <w:r w:rsidRPr="007E263F">
        <w:rPr>
          <w:sz w:val="19"/>
          <w:szCs w:val="19"/>
        </w:rPr>
        <w:t xml:space="preserve">ling. </w:t>
      </w:r>
    </w:p>
    <w:p w:rsidR="008C3183" w:rsidRPr="007E263F" w:rsidRDefault="008C3183" w:rsidP="00393044">
      <w:pPr>
        <w:pStyle w:val="normalmedindrag"/>
        <w:spacing w:before="0" w:line="250" w:lineRule="atLeast"/>
        <w:jc w:val="both"/>
        <w:rPr>
          <w:sz w:val="19"/>
          <w:szCs w:val="19"/>
        </w:rPr>
      </w:pPr>
      <w:r w:rsidRPr="007E263F">
        <w:rPr>
          <w:sz w:val="19"/>
          <w:szCs w:val="19"/>
        </w:rPr>
        <w:t>Förvaltningsansvaret blir som nämns ovan oklart när Regering</w:t>
      </w:r>
      <w:r w:rsidRPr="007E263F">
        <w:rPr>
          <w:sz w:val="19"/>
          <w:szCs w:val="19"/>
        </w:rPr>
        <w:t>s</w:t>
      </w:r>
      <w:r w:rsidRPr="007E263F">
        <w:rPr>
          <w:sz w:val="19"/>
          <w:szCs w:val="19"/>
        </w:rPr>
        <w:t>kansliet har ansvaret för hanteringen av de utestående åtaganden som Sida ska redovisa i sin årsredovisning. Vi menar därför att den aktuella konstruktionen bör öve</w:t>
      </w:r>
      <w:r w:rsidRPr="007E263F">
        <w:rPr>
          <w:sz w:val="19"/>
          <w:szCs w:val="19"/>
        </w:rPr>
        <w:t>r</w:t>
      </w:r>
      <w:r w:rsidRPr="007E263F">
        <w:rPr>
          <w:sz w:val="19"/>
          <w:szCs w:val="19"/>
        </w:rPr>
        <w:t xml:space="preserve">vägas. </w:t>
      </w:r>
    </w:p>
    <w:p w:rsidR="008C3183" w:rsidRPr="007E263F" w:rsidRDefault="008C3183" w:rsidP="00393044"/>
    <w:p w:rsidR="00D87368" w:rsidRPr="007E263F" w:rsidRDefault="00D87368" w:rsidP="00393044">
      <w:pPr>
        <w:spacing w:before="0"/>
      </w:pPr>
    </w:p>
    <w:p w:rsidR="00D87368" w:rsidRPr="007E263F" w:rsidRDefault="00D87368" w:rsidP="00393044">
      <w:pPr>
        <w:pStyle w:val="Normaltindrag"/>
        <w:sectPr w:rsidR="00D87368" w:rsidRPr="007E263F">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pPr>
    </w:p>
    <w:p w:rsidR="008C3183" w:rsidRPr="007E263F" w:rsidRDefault="008C3183" w:rsidP="00790E55">
      <w:pPr>
        <w:pStyle w:val="Rubrik1"/>
        <w:spacing w:line="250" w:lineRule="atLeast"/>
        <w:rPr>
          <w:noProof w:val="0"/>
        </w:rPr>
      </w:pPr>
      <w:bookmarkStart w:id="54" w:name="_Toc326137807"/>
      <w:r w:rsidRPr="007E263F">
        <w:rPr>
          <w:noProof w:val="0"/>
        </w:rPr>
        <w:t>Effektivitetsrevisionens strategier</w:t>
      </w:r>
      <w:bookmarkEnd w:id="54"/>
    </w:p>
    <w:p w:rsidR="008C3183" w:rsidRPr="007E263F" w:rsidRDefault="008C3183" w:rsidP="00393044">
      <w:r w:rsidRPr="007E263F">
        <w:t xml:space="preserve">Inom effektivitetsrevisionen sker granskningen främst inom ramen för granskningsstrategier. Planeringen av effektivitetsrevisionens verksamhet presenteras i </w:t>
      </w:r>
      <w:r w:rsidRPr="007E263F">
        <w:rPr>
          <w:i/>
        </w:rPr>
        <w:t>Riksrevisionens granskningsplan.</w:t>
      </w:r>
      <w:r w:rsidRPr="007E263F">
        <w:t xml:space="preserve"> Den utgår från dessa strategier som utgörs av en serie granskningar på samma tema. Strategierna omfattar områden eller teman där vi identifierat väsentliga frågeställningar som vi belyser ur olika aspekter i ett antal granskningar. Slutsatserna av gransknin</w:t>
      </w:r>
      <w:r w:rsidRPr="007E263F">
        <w:t>g</w:t>
      </w:r>
      <w:r w:rsidRPr="007E263F">
        <w:t xml:space="preserve">en inom respektive strategi redovisas normalt i en slutrapport. </w:t>
      </w:r>
    </w:p>
    <w:p w:rsidR="008C3183" w:rsidRPr="007E263F" w:rsidRDefault="008C3183" w:rsidP="0093595F">
      <w:pPr>
        <w:pStyle w:val="normalmedindrag"/>
        <w:spacing w:before="0" w:line="250" w:lineRule="atLeast"/>
        <w:jc w:val="both"/>
        <w:rPr>
          <w:i/>
          <w:sz w:val="19"/>
          <w:szCs w:val="19"/>
        </w:rPr>
      </w:pPr>
      <w:r w:rsidRPr="007E263F">
        <w:rPr>
          <w:sz w:val="19"/>
          <w:szCs w:val="19"/>
        </w:rPr>
        <w:t>Sedan publiceringen av Riksrevisorernas årliga rapport 2011 har vi bedr</w:t>
      </w:r>
      <w:r w:rsidRPr="007E263F">
        <w:rPr>
          <w:sz w:val="19"/>
          <w:szCs w:val="19"/>
        </w:rPr>
        <w:t>i</w:t>
      </w:r>
      <w:r w:rsidRPr="007E263F">
        <w:rPr>
          <w:sz w:val="19"/>
          <w:szCs w:val="19"/>
        </w:rPr>
        <w:t>vit effektivitetsrevision inom tio strategier, varav två avsl</w:t>
      </w:r>
      <w:r w:rsidRPr="007E263F">
        <w:rPr>
          <w:sz w:val="19"/>
          <w:szCs w:val="19"/>
        </w:rPr>
        <w:t>u</w:t>
      </w:r>
      <w:r w:rsidRPr="007E263F">
        <w:rPr>
          <w:sz w:val="19"/>
          <w:szCs w:val="19"/>
        </w:rPr>
        <w:t xml:space="preserve">tats med särskilda slutrapporter. </w:t>
      </w:r>
    </w:p>
    <w:p w:rsidR="008C3183" w:rsidRPr="007E263F" w:rsidRDefault="008C3183" w:rsidP="00393044">
      <w:pPr>
        <w:pStyle w:val="Rubrik2"/>
        <w:jc w:val="both"/>
      </w:pPr>
      <w:bookmarkStart w:id="55" w:name="_Toc326137808"/>
      <w:r w:rsidRPr="007E263F">
        <w:t>Avslutade strategier under året</w:t>
      </w:r>
      <w:bookmarkEnd w:id="55"/>
    </w:p>
    <w:p w:rsidR="008C3183" w:rsidRPr="007E263F" w:rsidRDefault="008C3183" w:rsidP="00393044">
      <w:pPr>
        <w:pStyle w:val="Rubrik3"/>
        <w:jc w:val="both"/>
        <w:rPr>
          <w:noProof w:val="0"/>
        </w:rPr>
      </w:pPr>
      <w:bookmarkStart w:id="56" w:name="_Toc326137809"/>
      <w:r w:rsidRPr="007E263F">
        <w:rPr>
          <w:noProof w:val="0"/>
        </w:rPr>
        <w:t>Rättsväsendets samlade effektivitet</w:t>
      </w:r>
      <w:bookmarkEnd w:id="56"/>
    </w:p>
    <w:p w:rsidR="008C3183" w:rsidRPr="007E263F" w:rsidRDefault="008C3183" w:rsidP="00393044">
      <w:pPr>
        <w:rPr>
          <w:szCs w:val="19"/>
        </w:rPr>
      </w:pPr>
      <w:r w:rsidRPr="007E263F">
        <w:rPr>
          <w:szCs w:val="19"/>
        </w:rPr>
        <w:t>Denna strategi startade 2008 och har bedrivits utifrån den centrala frågestäl</w:t>
      </w:r>
      <w:r w:rsidRPr="007E263F">
        <w:rPr>
          <w:szCs w:val="19"/>
        </w:rPr>
        <w:t>l</w:t>
      </w:r>
      <w:r w:rsidRPr="007E263F">
        <w:rPr>
          <w:szCs w:val="19"/>
        </w:rPr>
        <w:t xml:space="preserve">ningen: </w:t>
      </w:r>
      <w:r w:rsidRPr="007E263F">
        <w:rPr>
          <w:i/>
          <w:szCs w:val="19"/>
        </w:rPr>
        <w:t>Hanterar rättsväsendets olika delar brottslighet på ett samlat och effektivt sätt?</w:t>
      </w:r>
    </w:p>
    <w:p w:rsidR="008C3183" w:rsidRPr="007E263F" w:rsidRDefault="008C3183" w:rsidP="00393044">
      <w:pPr>
        <w:pStyle w:val="normalmedindrag"/>
        <w:spacing w:before="0" w:line="250" w:lineRule="atLeast"/>
        <w:jc w:val="both"/>
        <w:rPr>
          <w:sz w:val="19"/>
          <w:szCs w:val="19"/>
        </w:rPr>
      </w:pPr>
      <w:r w:rsidRPr="007E263F">
        <w:rPr>
          <w:sz w:val="19"/>
          <w:szCs w:val="19"/>
        </w:rPr>
        <w:t>Fokus i strategin ligger dels på rätts</w:t>
      </w:r>
      <w:r w:rsidRPr="007E263F">
        <w:rPr>
          <w:sz w:val="19"/>
          <w:szCs w:val="19"/>
        </w:rPr>
        <w:softHyphen/>
        <w:t>myndigheternas förmåga att bedriva verksamheten så att ärendeflödet av brottmål är effektivt, dels på hur rege</w:t>
      </w:r>
      <w:r w:rsidRPr="007E263F">
        <w:rPr>
          <w:sz w:val="19"/>
          <w:szCs w:val="19"/>
        </w:rPr>
        <w:t>r</w:t>
      </w:r>
      <w:r w:rsidRPr="007E263F">
        <w:rPr>
          <w:sz w:val="19"/>
          <w:szCs w:val="19"/>
        </w:rPr>
        <w:t>ingen styr, följer upp och ger förutsättningar för detta.</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Rapporten </w:t>
      </w:r>
      <w:r w:rsidRPr="007E263F">
        <w:rPr>
          <w:i/>
          <w:sz w:val="19"/>
          <w:szCs w:val="19"/>
        </w:rPr>
        <w:t>Att hantera brottmål effektivt – En utmaning för r</w:t>
      </w:r>
      <w:r w:rsidRPr="007E263F">
        <w:rPr>
          <w:i/>
          <w:sz w:val="19"/>
          <w:szCs w:val="19"/>
        </w:rPr>
        <w:t>e</w:t>
      </w:r>
      <w:r w:rsidRPr="007E263F">
        <w:rPr>
          <w:i/>
          <w:sz w:val="19"/>
          <w:szCs w:val="19"/>
        </w:rPr>
        <w:t xml:space="preserve">geringen och rättsväsendet </w:t>
      </w:r>
      <w:r w:rsidRPr="007E263F">
        <w:rPr>
          <w:sz w:val="19"/>
          <w:szCs w:val="19"/>
        </w:rPr>
        <w:t>(RiR 2011:27)</w:t>
      </w:r>
      <w:r w:rsidRPr="007E263F">
        <w:rPr>
          <w:i/>
          <w:sz w:val="19"/>
          <w:szCs w:val="19"/>
        </w:rPr>
        <w:t xml:space="preserve"> </w:t>
      </w:r>
      <w:r w:rsidRPr="007E263F">
        <w:rPr>
          <w:sz w:val="19"/>
          <w:szCs w:val="19"/>
        </w:rPr>
        <w:t>som publicerades i d</w:t>
      </w:r>
      <w:r w:rsidRPr="007E263F">
        <w:rPr>
          <w:sz w:val="19"/>
          <w:szCs w:val="19"/>
        </w:rPr>
        <w:t>e</w:t>
      </w:r>
      <w:r w:rsidRPr="007E263F">
        <w:rPr>
          <w:sz w:val="19"/>
          <w:szCs w:val="19"/>
        </w:rPr>
        <w:t>cember 2011 avslutade strategin. I slutrapporten analyserar Riksrevisionen orsaker till effektivitet</w:t>
      </w:r>
      <w:r w:rsidRPr="007E263F">
        <w:rPr>
          <w:sz w:val="19"/>
          <w:szCs w:val="19"/>
        </w:rPr>
        <w:t>s</w:t>
      </w:r>
      <w:r w:rsidRPr="007E263F">
        <w:rPr>
          <w:sz w:val="19"/>
          <w:szCs w:val="19"/>
        </w:rPr>
        <w:t>bristerna i rättsväsendet med fokus på regeringens och myndigheternas sty</w:t>
      </w:r>
      <w:r w:rsidRPr="007E263F">
        <w:rPr>
          <w:sz w:val="19"/>
          <w:szCs w:val="19"/>
        </w:rPr>
        <w:t>r</w:t>
      </w:r>
      <w:r w:rsidRPr="007E263F">
        <w:rPr>
          <w:sz w:val="19"/>
          <w:szCs w:val="19"/>
        </w:rPr>
        <w:t>ning under perioden 2000–2011.</w:t>
      </w:r>
    </w:p>
    <w:p w:rsidR="008C3183" w:rsidRPr="007E263F" w:rsidRDefault="008C3183" w:rsidP="00393044">
      <w:pPr>
        <w:pStyle w:val="normalmedindrag"/>
        <w:spacing w:before="0" w:line="250" w:lineRule="atLeast"/>
        <w:jc w:val="both"/>
        <w:rPr>
          <w:sz w:val="19"/>
          <w:szCs w:val="19"/>
        </w:rPr>
      </w:pPr>
      <w:r w:rsidRPr="007E263F">
        <w:rPr>
          <w:sz w:val="19"/>
          <w:szCs w:val="19"/>
        </w:rPr>
        <w:t>Sammanlagt har åtta granskningar</w:t>
      </w:r>
      <w:r w:rsidRPr="007E263F">
        <w:t xml:space="preserve">, </w:t>
      </w:r>
      <w:r w:rsidRPr="007E263F">
        <w:rPr>
          <w:sz w:val="19"/>
          <w:szCs w:val="19"/>
        </w:rPr>
        <w:t>utöver</w:t>
      </w:r>
      <w:r w:rsidRPr="007E263F">
        <w:t xml:space="preserve"> </w:t>
      </w:r>
      <w:r w:rsidRPr="007E263F">
        <w:rPr>
          <w:sz w:val="19"/>
          <w:szCs w:val="19"/>
        </w:rPr>
        <w:t>slutrapporten, geno</w:t>
      </w:r>
      <w:r w:rsidRPr="007E263F">
        <w:rPr>
          <w:sz w:val="19"/>
          <w:szCs w:val="19"/>
        </w:rPr>
        <w:t>m</w:t>
      </w:r>
      <w:r w:rsidRPr="007E263F">
        <w:rPr>
          <w:sz w:val="19"/>
          <w:szCs w:val="19"/>
        </w:rPr>
        <w:t>förts inom strategin.</w:t>
      </w:r>
    </w:p>
    <w:p w:rsidR="008C3183" w:rsidRPr="007E263F" w:rsidRDefault="008C3183" w:rsidP="00393044">
      <w:pPr>
        <w:pStyle w:val="Rubrik3"/>
        <w:jc w:val="both"/>
        <w:rPr>
          <w:noProof w:val="0"/>
        </w:rPr>
      </w:pPr>
      <w:bookmarkStart w:id="57" w:name="_Toc326137810"/>
      <w:r w:rsidRPr="007E263F">
        <w:rPr>
          <w:noProof w:val="0"/>
        </w:rPr>
        <w:t>Statens roll i utbildningssystemet</w:t>
      </w:r>
      <w:bookmarkEnd w:id="57"/>
    </w:p>
    <w:p w:rsidR="008C3183" w:rsidRPr="007E263F" w:rsidRDefault="008C3183" w:rsidP="00393044">
      <w:r w:rsidRPr="007E263F">
        <w:t>Inom strategin</w:t>
      </w:r>
      <w:r w:rsidR="0032520C" w:rsidRPr="007E263F">
        <w:t>,</w:t>
      </w:r>
      <w:r w:rsidRPr="007E263F">
        <w:t xml:space="preserve"> som inleddes 2007</w:t>
      </w:r>
      <w:r w:rsidR="0032520C" w:rsidRPr="007E263F">
        <w:t>,</w:t>
      </w:r>
      <w:r w:rsidRPr="007E263F">
        <w:t xml:space="preserve"> har Riksrevisionen granskat regeringens styrning av verksamheten vid universitet och högskolor samt hur lärosätena leder och följer upp sin verksamhet. Inom strategin har såväl utbildningen som forskningen inom högskolan belysts. </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Strategin avslutades i mars 2012 genom slutrapporten </w:t>
      </w:r>
      <w:r w:rsidRPr="007E263F">
        <w:rPr>
          <w:i/>
          <w:sz w:val="19"/>
          <w:szCs w:val="19"/>
        </w:rPr>
        <w:t>Att styra självstä</w:t>
      </w:r>
      <w:r w:rsidRPr="007E263F">
        <w:rPr>
          <w:i/>
          <w:sz w:val="19"/>
          <w:szCs w:val="19"/>
        </w:rPr>
        <w:t>n</w:t>
      </w:r>
      <w:r w:rsidRPr="007E263F">
        <w:rPr>
          <w:i/>
          <w:sz w:val="19"/>
          <w:szCs w:val="19"/>
        </w:rPr>
        <w:t xml:space="preserve">diga lärosäten </w:t>
      </w:r>
      <w:r w:rsidRPr="007E263F">
        <w:rPr>
          <w:sz w:val="19"/>
          <w:szCs w:val="19"/>
        </w:rPr>
        <w:t>(RiR 2012:4). Den övergripande grans</w:t>
      </w:r>
      <w:r w:rsidRPr="007E263F">
        <w:rPr>
          <w:sz w:val="19"/>
          <w:szCs w:val="19"/>
        </w:rPr>
        <w:t>k</w:t>
      </w:r>
      <w:r w:rsidRPr="007E263F">
        <w:rPr>
          <w:sz w:val="19"/>
          <w:szCs w:val="19"/>
        </w:rPr>
        <w:t xml:space="preserve">ningsfrågan i denna rapport är </w:t>
      </w:r>
      <w:r w:rsidRPr="007E263F">
        <w:rPr>
          <w:i/>
          <w:sz w:val="19"/>
          <w:szCs w:val="19"/>
        </w:rPr>
        <w:t>Har regeringen skapat förutsättningar för en väl fungerande hö</w:t>
      </w:r>
      <w:r w:rsidRPr="007E263F">
        <w:rPr>
          <w:i/>
          <w:sz w:val="19"/>
          <w:szCs w:val="19"/>
        </w:rPr>
        <w:t>g</w:t>
      </w:r>
      <w:r w:rsidRPr="007E263F">
        <w:rPr>
          <w:i/>
          <w:sz w:val="19"/>
          <w:szCs w:val="19"/>
        </w:rPr>
        <w:t xml:space="preserve">skola? </w:t>
      </w:r>
      <w:r w:rsidRPr="007E263F">
        <w:rPr>
          <w:sz w:val="19"/>
          <w:szCs w:val="19"/>
        </w:rPr>
        <w:t>Fokus för analysen i ra</w:t>
      </w:r>
      <w:r w:rsidRPr="007E263F">
        <w:rPr>
          <w:sz w:val="19"/>
          <w:szCs w:val="19"/>
        </w:rPr>
        <w:t>p</w:t>
      </w:r>
      <w:r w:rsidRPr="007E263F">
        <w:rPr>
          <w:sz w:val="19"/>
          <w:szCs w:val="19"/>
        </w:rPr>
        <w:t>porten är hur systemen för resurstilldelning styr i relation till sektorns övergripande mål om kvalitet och effektiv resur</w:t>
      </w:r>
      <w:r w:rsidRPr="007E263F">
        <w:rPr>
          <w:sz w:val="19"/>
          <w:szCs w:val="19"/>
        </w:rPr>
        <w:t>s</w:t>
      </w:r>
      <w:r w:rsidRPr="007E263F">
        <w:rPr>
          <w:sz w:val="19"/>
          <w:szCs w:val="19"/>
        </w:rPr>
        <w:t>användning. Sammanlagt har</w:t>
      </w:r>
      <w:r w:rsidR="0032520C" w:rsidRPr="007E263F">
        <w:rPr>
          <w:sz w:val="19"/>
          <w:szCs w:val="19"/>
        </w:rPr>
        <w:t>,</w:t>
      </w:r>
      <w:r w:rsidRPr="007E263F">
        <w:rPr>
          <w:sz w:val="19"/>
          <w:szCs w:val="19"/>
        </w:rPr>
        <w:t xml:space="preserve"> utöver slutrapporten</w:t>
      </w:r>
      <w:r w:rsidR="0032520C" w:rsidRPr="007E263F">
        <w:rPr>
          <w:sz w:val="19"/>
          <w:szCs w:val="19"/>
        </w:rPr>
        <w:t>,</w:t>
      </w:r>
      <w:r w:rsidRPr="007E263F">
        <w:rPr>
          <w:sz w:val="19"/>
          <w:szCs w:val="19"/>
        </w:rPr>
        <w:t xml:space="preserve"> tio rapporter publicerats inom strategin.</w:t>
      </w:r>
    </w:p>
    <w:p w:rsidR="008C3183" w:rsidRPr="007E263F" w:rsidRDefault="008C3183" w:rsidP="00615012">
      <w:pPr>
        <w:pStyle w:val="Rubrik2"/>
      </w:pPr>
      <w:bookmarkStart w:id="58" w:name="_Toc326137811"/>
      <w:r w:rsidRPr="007E263F">
        <w:t>Pågående strategier</w:t>
      </w:r>
      <w:bookmarkEnd w:id="58"/>
    </w:p>
    <w:p w:rsidR="008C3183" w:rsidRPr="007E263F" w:rsidRDefault="008C3183" w:rsidP="00615012">
      <w:pPr>
        <w:pStyle w:val="Rubrik3"/>
        <w:rPr>
          <w:noProof w:val="0"/>
        </w:rPr>
      </w:pPr>
      <w:bookmarkStart w:id="59" w:name="_Toc326137812"/>
      <w:r w:rsidRPr="007E263F">
        <w:rPr>
          <w:noProof w:val="0"/>
        </w:rPr>
        <w:t>Offentliga finanser</w:t>
      </w:r>
      <w:bookmarkEnd w:id="59"/>
    </w:p>
    <w:p w:rsidR="008C3183" w:rsidRPr="007E263F" w:rsidRDefault="008C3183" w:rsidP="00393044">
      <w:r w:rsidRPr="007E263F">
        <w:t>Strategin har pågått sedan 2006 och utgår från frågeställningen:</w:t>
      </w:r>
    </w:p>
    <w:p w:rsidR="008C3183" w:rsidRPr="007E263F" w:rsidRDefault="008C3183" w:rsidP="00393044">
      <w:pPr>
        <w:rPr>
          <w:i/>
        </w:rPr>
      </w:pPr>
      <w:r w:rsidRPr="007E263F">
        <w:rPr>
          <w:i/>
        </w:rPr>
        <w:t>Använder staten sina styrmedel på ett effektivt och ändamålsenligt sätt för att säkerställa stabila och hållbara offentliga finanser?</w:t>
      </w:r>
    </w:p>
    <w:p w:rsidR="008C3183" w:rsidRPr="007E263F" w:rsidRDefault="008C3183" w:rsidP="00393044">
      <w:r w:rsidRPr="007E263F">
        <w:t>Förutom återkommande granskningar av regeringens budgetproposition fok</w:t>
      </w:r>
      <w:r w:rsidRPr="007E263F">
        <w:t>u</w:t>
      </w:r>
      <w:r w:rsidRPr="007E263F">
        <w:t>serar strategin på granskningar inom skatteområdet och finansmarknadsomr</w:t>
      </w:r>
      <w:r w:rsidRPr="007E263F">
        <w:t>å</w:t>
      </w:r>
      <w:r w:rsidRPr="007E263F">
        <w:t>det. Totalt har 26 rapporter inom temat publicerats, varav tre stycken under det senaste året. Strategin ska avslutas under 2014.</w:t>
      </w:r>
    </w:p>
    <w:p w:rsidR="008C3183" w:rsidRPr="007E263F" w:rsidRDefault="008C3183" w:rsidP="00615012">
      <w:pPr>
        <w:pStyle w:val="Rubrik3"/>
        <w:rPr>
          <w:noProof w:val="0"/>
        </w:rPr>
      </w:pPr>
      <w:bookmarkStart w:id="60" w:name="_Toc326137813"/>
      <w:r w:rsidRPr="007E263F">
        <w:rPr>
          <w:noProof w:val="0"/>
        </w:rPr>
        <w:t>Infrastruktur på nya villkor</w:t>
      </w:r>
      <w:bookmarkEnd w:id="60"/>
    </w:p>
    <w:p w:rsidR="008C3183" w:rsidRPr="007E263F" w:rsidRDefault="008C3183" w:rsidP="00393044">
      <w:r w:rsidRPr="007E263F">
        <w:t>Strategin inleddes 2009 och utgår från följande frågeställning:</w:t>
      </w:r>
    </w:p>
    <w:p w:rsidR="008C3183" w:rsidRPr="007E263F" w:rsidRDefault="008C3183" w:rsidP="00393044">
      <w:pPr>
        <w:rPr>
          <w:i/>
        </w:rPr>
      </w:pPr>
      <w:r w:rsidRPr="007E263F">
        <w:rPr>
          <w:i/>
        </w:rPr>
        <w:t xml:space="preserve">Är statens instrument för att utveckla och underhålla transportinfrastrukturen utformade så att de leder till en effektiv användning av resurserna? </w:t>
      </w:r>
    </w:p>
    <w:p w:rsidR="008C3183" w:rsidRPr="007E263F" w:rsidRDefault="008C3183" w:rsidP="00393044">
      <w:r w:rsidRPr="007E263F">
        <w:t xml:space="preserve">Strategin syftar till att söka förklaringar till varför fördyringar och andra effektivitetsproblem uppstår, det vill säga varför instrumenten för att styra åtgärder för att underhålla och utveckla infrastrukturen inte fungerar. </w:t>
      </w:r>
    </w:p>
    <w:p w:rsidR="008C3183" w:rsidRPr="007E263F" w:rsidRDefault="008C3183" w:rsidP="00393044">
      <w:pPr>
        <w:pStyle w:val="Normaltindrag"/>
      </w:pPr>
      <w:r w:rsidRPr="007E263F">
        <w:t>Totalt har tio rapporter publicerats inom strategin</w:t>
      </w:r>
      <w:r w:rsidR="0032520C" w:rsidRPr="007E263F">
        <w:t>,</w:t>
      </w:r>
      <w:r w:rsidRPr="007E263F">
        <w:t xml:space="preserve"> varav tre det senaste året. Strategin kommer att avslutas med en slutrapport hösten 2012. </w:t>
      </w:r>
    </w:p>
    <w:p w:rsidR="008C3183" w:rsidRPr="007E263F" w:rsidRDefault="008C3183" w:rsidP="00615012">
      <w:pPr>
        <w:pStyle w:val="Rubrik3"/>
        <w:rPr>
          <w:noProof w:val="0"/>
        </w:rPr>
      </w:pPr>
      <w:bookmarkStart w:id="61" w:name="_Toc326137814"/>
      <w:r w:rsidRPr="007E263F">
        <w:rPr>
          <w:noProof w:val="0"/>
        </w:rPr>
        <w:t>Försvarets förmåga</w:t>
      </w:r>
      <w:bookmarkEnd w:id="61"/>
    </w:p>
    <w:p w:rsidR="008C3183" w:rsidRPr="007E263F" w:rsidRDefault="008C3183" w:rsidP="00393044">
      <w:r w:rsidRPr="007E263F">
        <w:t>Strategin utgår från följande övergripande frågeställning:</w:t>
      </w:r>
    </w:p>
    <w:p w:rsidR="008C3183" w:rsidRPr="007E263F" w:rsidRDefault="008C3183" w:rsidP="00393044">
      <w:pPr>
        <w:rPr>
          <w:i/>
        </w:rPr>
      </w:pPr>
      <w:r w:rsidRPr="007E263F">
        <w:rPr>
          <w:i/>
        </w:rPr>
        <w:t>Vilken förmåga har försvaret att under effektivt resursutnyttjande lösa de av regeringen ställda uppgifterna?</w:t>
      </w:r>
    </w:p>
    <w:p w:rsidR="008C3183" w:rsidRPr="007E263F" w:rsidRDefault="008C3183" w:rsidP="00393044">
      <w:r w:rsidRPr="007E263F">
        <w:t>Syftet med granskningsstrategin är att samlat granska regeringens och my</w:t>
      </w:r>
      <w:r w:rsidRPr="007E263F">
        <w:t>n</w:t>
      </w:r>
      <w:r w:rsidRPr="007E263F">
        <w:t>digheternas genomförande av riksdagens beslut och övriga intentioner som påverkar försvarets inriktning och förmåga.</w:t>
      </w:r>
    </w:p>
    <w:p w:rsidR="008C3183" w:rsidRPr="007E263F" w:rsidRDefault="008C3183" w:rsidP="00393044">
      <w:pPr>
        <w:pStyle w:val="Normaltindrag"/>
      </w:pPr>
      <w:r w:rsidRPr="007E263F">
        <w:t>Strategin inleddes i slutet av 2009. Hittills har sex granskningar public</w:t>
      </w:r>
      <w:r w:rsidRPr="007E263F">
        <w:t>e</w:t>
      </w:r>
      <w:r w:rsidRPr="007E263F">
        <w:t>rats, varav två det senaste året. Strategin planeras att avslutas 2013.</w:t>
      </w:r>
    </w:p>
    <w:p w:rsidR="008C3183" w:rsidRPr="007E263F" w:rsidRDefault="008C3183" w:rsidP="00615012">
      <w:pPr>
        <w:pStyle w:val="Rubrik3"/>
        <w:rPr>
          <w:noProof w:val="0"/>
        </w:rPr>
      </w:pPr>
      <w:bookmarkStart w:id="62" w:name="_Toc326137815"/>
      <w:r w:rsidRPr="007E263F">
        <w:rPr>
          <w:noProof w:val="0"/>
        </w:rPr>
        <w:t>Hållbar utveckling – Klimat</w:t>
      </w:r>
      <w:bookmarkEnd w:id="62"/>
    </w:p>
    <w:p w:rsidR="008C3183" w:rsidRPr="007E263F" w:rsidRDefault="008C3183" w:rsidP="00393044">
      <w:r w:rsidRPr="007E263F">
        <w:t>Strategins centrala frågeställning är:</w:t>
      </w:r>
    </w:p>
    <w:p w:rsidR="008C3183" w:rsidRPr="007E263F" w:rsidRDefault="008C3183" w:rsidP="00393044">
      <w:pPr>
        <w:rPr>
          <w:i/>
        </w:rPr>
      </w:pPr>
      <w:r w:rsidRPr="007E263F">
        <w:rPr>
          <w:i/>
        </w:rPr>
        <w:t>Använder staten sina styrmedel så att utsläppen av växthusgaser minskar i enlighet med målen och till rimliga kostnader?</w:t>
      </w:r>
    </w:p>
    <w:p w:rsidR="008C3183" w:rsidRPr="007E263F" w:rsidRDefault="008C3183" w:rsidP="00393044">
      <w:r w:rsidRPr="007E263F">
        <w:t>Fokus för granskningsstrategin är i vilken utsträckning statens insatser bidrar till att minska utsläppen och till vilka kostnader. I bedömningen av vad som är rimliga kostnader är ambitionen att även beakta sidoeffekter och vem som betalar för utsläppen. Utöver Sveriges och EU:s klimatmål utgår gransknin</w:t>
      </w:r>
      <w:r w:rsidRPr="007E263F">
        <w:t>g</w:t>
      </w:r>
      <w:r w:rsidRPr="007E263F">
        <w:t>arna från riksdagens uttalanden om kostnadseffektivitet och att förorenaren ska betala. Strategin ska, så långt det är möjligt, täcka in styrmedel som är ekonomiskt omfattande och som har stor potential att bidra till måluppfylle</w:t>
      </w:r>
      <w:r w:rsidRPr="007E263F">
        <w:t>l</w:t>
      </w:r>
      <w:r w:rsidRPr="007E263F">
        <w:t xml:space="preserve">se. </w:t>
      </w:r>
    </w:p>
    <w:p w:rsidR="008C3183" w:rsidRPr="007E263F" w:rsidRDefault="008C3183" w:rsidP="00393044">
      <w:pPr>
        <w:pStyle w:val="Normaltindrag"/>
      </w:pPr>
      <w:r w:rsidRPr="007E263F">
        <w:t>Klimatstrategin påbörjades 2010 och totalt har åtta stycken granskningar publicerats, varav fyra det senaste året. Strategins slutrapport färdigställs under 2013.</w:t>
      </w:r>
    </w:p>
    <w:p w:rsidR="008C3183" w:rsidRPr="007E263F" w:rsidRDefault="008C3183" w:rsidP="00615012">
      <w:pPr>
        <w:pStyle w:val="Rubrik3"/>
        <w:rPr>
          <w:noProof w:val="0"/>
        </w:rPr>
      </w:pPr>
      <w:bookmarkStart w:id="63" w:name="_Toc326137816"/>
      <w:r w:rsidRPr="007E263F">
        <w:rPr>
          <w:noProof w:val="0"/>
        </w:rPr>
        <w:t>Staten på marknaden</w:t>
      </w:r>
      <w:bookmarkEnd w:id="63"/>
    </w:p>
    <w:p w:rsidR="008C3183" w:rsidRPr="007E263F" w:rsidRDefault="008C3183" w:rsidP="00393044">
      <w:r w:rsidRPr="007E263F">
        <w:t>Denna strategi som inleddes under 2011 utgår från den övergripande frågan:</w:t>
      </w:r>
    </w:p>
    <w:p w:rsidR="008C3183" w:rsidRPr="007E263F" w:rsidRDefault="008C3183" w:rsidP="00393044">
      <w:pPr>
        <w:pStyle w:val="normalmedindrag"/>
        <w:spacing w:line="250" w:lineRule="atLeast"/>
        <w:ind w:firstLine="0"/>
        <w:jc w:val="both"/>
        <w:rPr>
          <w:sz w:val="19"/>
          <w:szCs w:val="19"/>
        </w:rPr>
      </w:pPr>
      <w:r w:rsidRPr="007E263F">
        <w:rPr>
          <w:i/>
          <w:sz w:val="19"/>
          <w:szCs w:val="19"/>
        </w:rPr>
        <w:t>Agerar staten på ett sätt som innebär att de statliga åtagandena fullföljs effektivt på olika marknader?</w:t>
      </w:r>
    </w:p>
    <w:p w:rsidR="008C3183" w:rsidRPr="007E263F" w:rsidRDefault="008C3183" w:rsidP="00393044">
      <w:r w:rsidRPr="007E263F">
        <w:t>Syftet med granskningsstrategin är att undersöka effektiviteten i genomföra</w:t>
      </w:r>
      <w:r w:rsidRPr="007E263F">
        <w:t>n</w:t>
      </w:r>
      <w:r w:rsidRPr="007E263F">
        <w:t>det av statliga åtaganden på marknader som har genomgått strukturella fö</w:t>
      </w:r>
      <w:r w:rsidRPr="007E263F">
        <w:t>r</w:t>
      </w:r>
      <w:r w:rsidRPr="007E263F">
        <w:t>ändringar av de grundläggande förutsät</w:t>
      </w:r>
      <w:r w:rsidRPr="007E263F">
        <w:t>t</w:t>
      </w:r>
      <w:r w:rsidRPr="007E263F">
        <w:t>ningarna och där det finns statliga bolag verksamma. Marknader som hittills omfattats av granskning är my</w:t>
      </w:r>
      <w:r w:rsidRPr="007E263F">
        <w:t>n</w:t>
      </w:r>
      <w:r w:rsidRPr="007E263F">
        <w:t>digheternas tjänstee</w:t>
      </w:r>
      <w:r w:rsidRPr="007E263F">
        <w:t>x</w:t>
      </w:r>
      <w:r w:rsidRPr="007E263F">
        <w:t>port, apoteksmarknaden, rymdmarknaden, telekom och elmarkn</w:t>
      </w:r>
      <w:r w:rsidRPr="007E263F">
        <w:t>a</w:t>
      </w:r>
      <w:r w:rsidRPr="007E263F">
        <w:t>derna</w:t>
      </w:r>
      <w:r w:rsidR="0032520C" w:rsidRPr="007E263F">
        <w:t>.</w:t>
      </w:r>
    </w:p>
    <w:p w:rsidR="008C3183" w:rsidRPr="007E263F" w:rsidRDefault="008C3183" w:rsidP="00393044">
      <w:pPr>
        <w:pStyle w:val="normalmedindrag"/>
        <w:spacing w:before="0" w:line="250" w:lineRule="atLeast"/>
        <w:jc w:val="both"/>
        <w:rPr>
          <w:sz w:val="19"/>
          <w:szCs w:val="19"/>
        </w:rPr>
      </w:pPr>
      <w:r w:rsidRPr="007E263F">
        <w:rPr>
          <w:sz w:val="19"/>
          <w:szCs w:val="19"/>
        </w:rPr>
        <w:t>Hittills har tre granskningsrapporter publicerats. Strategin avsl</w:t>
      </w:r>
      <w:r w:rsidRPr="007E263F">
        <w:rPr>
          <w:sz w:val="19"/>
          <w:szCs w:val="19"/>
        </w:rPr>
        <w:t>u</w:t>
      </w:r>
      <w:r w:rsidRPr="007E263F">
        <w:rPr>
          <w:sz w:val="19"/>
          <w:szCs w:val="19"/>
        </w:rPr>
        <w:t>tas med en slutrapport 2013.</w:t>
      </w:r>
    </w:p>
    <w:p w:rsidR="008C3183" w:rsidRPr="007E263F" w:rsidRDefault="008C3183" w:rsidP="00615012">
      <w:pPr>
        <w:pStyle w:val="Rubrik3"/>
        <w:rPr>
          <w:noProof w:val="0"/>
        </w:rPr>
      </w:pPr>
      <w:bookmarkStart w:id="64" w:name="_Toc326137817"/>
      <w:r w:rsidRPr="007E263F">
        <w:rPr>
          <w:noProof w:val="0"/>
        </w:rPr>
        <w:t>Etablering och integration</w:t>
      </w:r>
      <w:bookmarkEnd w:id="64"/>
    </w:p>
    <w:p w:rsidR="008C3183" w:rsidRPr="007E263F" w:rsidRDefault="008C3183" w:rsidP="00393044">
      <w:r w:rsidRPr="007E263F">
        <w:t>Även denna strategi startades under 2011. Strategin utgår från följande ce</w:t>
      </w:r>
      <w:r w:rsidRPr="007E263F">
        <w:t>n</w:t>
      </w:r>
      <w:r w:rsidRPr="007E263F">
        <w:t>trala frågeställning:</w:t>
      </w:r>
    </w:p>
    <w:p w:rsidR="008C3183" w:rsidRPr="007E263F" w:rsidRDefault="008C3183" w:rsidP="00393044">
      <w:pPr>
        <w:rPr>
          <w:i/>
        </w:rPr>
      </w:pPr>
      <w:r w:rsidRPr="007E263F">
        <w:rPr>
          <w:i/>
        </w:rPr>
        <w:t>Är de statliga insatserna inom arbets</w:t>
      </w:r>
      <w:r w:rsidRPr="007E263F">
        <w:rPr>
          <w:i/>
        </w:rPr>
        <w:softHyphen/>
        <w:t>marknads- och utbildningsområdena lämpligt utformade för att bidra till etablering på arbetsmarknaden och i samhället i övrigt av personer med utländsk bakgrund?</w:t>
      </w:r>
    </w:p>
    <w:p w:rsidR="008C3183" w:rsidRPr="007E263F" w:rsidRDefault="008C3183" w:rsidP="00393044">
      <w:r w:rsidRPr="007E263F">
        <w:t>Granskningsstrategin som avser etablering och integration har avgränsats till områdena arbetsmarknad och utbildning. Det finns inom dessa områden ind</w:t>
      </w:r>
      <w:r w:rsidRPr="007E263F">
        <w:t>i</w:t>
      </w:r>
      <w:r w:rsidRPr="007E263F">
        <w:t>kationer på att de statliga insatserna inte är ändamålsenliga och effektiva mot bakgrund av riksdagens intentioner och de demografiska utmaningar som Sverige står inför.</w:t>
      </w:r>
    </w:p>
    <w:p w:rsidR="008C3183" w:rsidRPr="007E263F" w:rsidRDefault="008C3183" w:rsidP="00393044">
      <w:pPr>
        <w:pStyle w:val="Normaltindrag"/>
      </w:pPr>
      <w:r w:rsidRPr="007E263F">
        <w:t>Hittills har två rapporter publicerats inom strategin som ska avslutas 2014.</w:t>
      </w:r>
    </w:p>
    <w:p w:rsidR="008C3183" w:rsidRPr="007E263F" w:rsidRDefault="008C3183" w:rsidP="00615012">
      <w:pPr>
        <w:pStyle w:val="Rubrik3"/>
        <w:rPr>
          <w:noProof w:val="0"/>
        </w:rPr>
      </w:pPr>
      <w:bookmarkStart w:id="65" w:name="_Toc326137818"/>
      <w:r w:rsidRPr="007E263F">
        <w:rPr>
          <w:noProof w:val="0"/>
        </w:rPr>
        <w:t>Staten och vården</w:t>
      </w:r>
      <w:bookmarkEnd w:id="65"/>
    </w:p>
    <w:p w:rsidR="008C3183" w:rsidRPr="007E263F" w:rsidRDefault="008C3183" w:rsidP="00393044">
      <w:r w:rsidRPr="007E263F">
        <w:t>Strategin startades 2011 och beräknas pågå till 2014. Den centrala frågestäl</w:t>
      </w:r>
      <w:r w:rsidRPr="007E263F">
        <w:t>l</w:t>
      </w:r>
      <w:r w:rsidRPr="007E263F">
        <w:t>ningen är:</w:t>
      </w:r>
    </w:p>
    <w:p w:rsidR="008C3183" w:rsidRPr="007E263F" w:rsidRDefault="008C3183" w:rsidP="00393044">
      <w:pPr>
        <w:rPr>
          <w:i/>
        </w:rPr>
      </w:pPr>
      <w:r w:rsidRPr="007E263F">
        <w:rPr>
          <w:i/>
        </w:rPr>
        <w:t>Främjar statens insatser effektiviteten och kvaliteten inom hälso- och sju</w:t>
      </w:r>
      <w:r w:rsidRPr="007E263F">
        <w:rPr>
          <w:i/>
        </w:rPr>
        <w:t>k</w:t>
      </w:r>
      <w:r w:rsidRPr="007E263F">
        <w:rPr>
          <w:i/>
        </w:rPr>
        <w:t>vården för att nå målet om en god vård på lika villkor?</w:t>
      </w:r>
    </w:p>
    <w:p w:rsidR="008C3183" w:rsidRPr="007E263F" w:rsidRDefault="008C3183" w:rsidP="00393044">
      <w:r w:rsidRPr="007E263F">
        <w:t>Syftet är att genom granskningar av de statliga insatserna inom hälso- och sjukvården ge underlag för en förbättrad statlig styrning av vård och omsorg, som i förlängningen kan ge bättre förutsättningar för en god vård på lika villkor.</w:t>
      </w:r>
    </w:p>
    <w:p w:rsidR="008C3183" w:rsidRPr="007E263F" w:rsidRDefault="008C3183" w:rsidP="00393044">
      <w:pPr>
        <w:pStyle w:val="Normaltindrag"/>
      </w:pPr>
      <w:r w:rsidRPr="007E263F">
        <w:t xml:space="preserve">Den första granskningen i strategin publicerades i maj 2012. </w:t>
      </w:r>
    </w:p>
    <w:p w:rsidR="008C3183" w:rsidRPr="007E263F" w:rsidRDefault="008C3183" w:rsidP="00615012">
      <w:pPr>
        <w:pStyle w:val="Rubrik3"/>
        <w:rPr>
          <w:noProof w:val="0"/>
        </w:rPr>
      </w:pPr>
      <w:bookmarkStart w:id="66" w:name="_Toc326137819"/>
      <w:r w:rsidRPr="007E263F">
        <w:rPr>
          <w:noProof w:val="0"/>
        </w:rPr>
        <w:t>Statens insatser på skolområdet</w:t>
      </w:r>
      <w:bookmarkEnd w:id="66"/>
    </w:p>
    <w:p w:rsidR="008C3183" w:rsidRPr="007E263F" w:rsidRDefault="008C3183" w:rsidP="00393044">
      <w:r w:rsidRPr="007E263F">
        <w:t xml:space="preserve">Strategin utgår från frågeställningen </w:t>
      </w:r>
      <w:r w:rsidRPr="007E263F">
        <w:rPr>
          <w:i/>
        </w:rPr>
        <w:t xml:space="preserve">Leder statens styrning till en effektiv och mer likvärdig skola? </w:t>
      </w:r>
    </w:p>
    <w:p w:rsidR="007736AB" w:rsidRPr="007E263F" w:rsidRDefault="008C3183" w:rsidP="00393044">
      <w:r w:rsidRPr="007E263F">
        <w:t>Strategin inleddes under 2011</w:t>
      </w:r>
      <w:r w:rsidR="0032520C" w:rsidRPr="007E263F">
        <w:t>,</w:t>
      </w:r>
      <w:r w:rsidRPr="007E263F">
        <w:t xml:space="preserve"> och utgångspunkten för strategin är att granska om statens styrning leder till att alla elever får sin rätt till utbildning tillgod</w:t>
      </w:r>
      <w:r w:rsidRPr="007E263F">
        <w:t>o</w:t>
      </w:r>
      <w:r w:rsidRPr="007E263F">
        <w:t xml:space="preserve">sedd. </w:t>
      </w:r>
    </w:p>
    <w:p w:rsidR="00294F3D" w:rsidRPr="007E263F" w:rsidRDefault="007736AB" w:rsidP="00393044">
      <w:pPr>
        <w:pStyle w:val="Normaltindrag"/>
      </w:pPr>
      <w:r w:rsidRPr="007E263F">
        <w:t>I slutet av juni 2011 publicerades den första granskningsrapporten i strat</w:t>
      </w:r>
      <w:r w:rsidRPr="007E263F">
        <w:t>e</w:t>
      </w:r>
      <w:r w:rsidRPr="007E263F">
        <w:t>gin. Granskningen handlade om statens insatser för en likvärdig betygssät</w:t>
      </w:r>
      <w:r w:rsidRPr="007E263F">
        <w:t>t</w:t>
      </w:r>
      <w:r w:rsidRPr="007E263F">
        <w:t xml:space="preserve">ning i grundskolan. </w:t>
      </w:r>
      <w:r w:rsidR="00294F3D" w:rsidRPr="007E263F">
        <w:t>Strategin ska avslutas 2014.</w:t>
      </w:r>
    </w:p>
    <w:p w:rsidR="007736AB" w:rsidRPr="007E263F" w:rsidRDefault="007736AB" w:rsidP="00393044"/>
    <w:p w:rsidR="007736AB" w:rsidRPr="007E263F" w:rsidRDefault="007736AB" w:rsidP="00393044">
      <w:pPr>
        <w:pStyle w:val="Normaltindrag"/>
      </w:pPr>
    </w:p>
    <w:p w:rsidR="007736AB" w:rsidRPr="007E263F" w:rsidRDefault="007736AB" w:rsidP="00393044">
      <w:pPr>
        <w:pStyle w:val="Normaltindrag"/>
      </w:pPr>
    </w:p>
    <w:p w:rsidR="007736AB" w:rsidRPr="007E263F" w:rsidRDefault="007736AB" w:rsidP="00393044">
      <w:pPr>
        <w:pStyle w:val="Normaltindrag"/>
      </w:pPr>
    </w:p>
    <w:p w:rsidR="007736AB" w:rsidRPr="007E263F" w:rsidRDefault="007736AB" w:rsidP="00393044">
      <w:pPr>
        <w:pStyle w:val="Normaltindrag"/>
      </w:pPr>
    </w:p>
    <w:p w:rsidR="007736AB" w:rsidRPr="007E263F" w:rsidRDefault="007736AB" w:rsidP="00393044">
      <w:pPr>
        <w:pStyle w:val="Normaltindrag"/>
      </w:pPr>
    </w:p>
    <w:p w:rsidR="007736AB" w:rsidRPr="007E263F" w:rsidRDefault="007736AB" w:rsidP="00393044">
      <w:pPr>
        <w:pStyle w:val="Normaltindrag"/>
      </w:pPr>
    </w:p>
    <w:p w:rsidR="007736AB" w:rsidRPr="007E263F" w:rsidRDefault="007736AB" w:rsidP="00393044">
      <w:pPr>
        <w:pStyle w:val="Normaltindrag"/>
      </w:pPr>
    </w:p>
    <w:p w:rsidR="007736AB" w:rsidRPr="007E263F" w:rsidRDefault="007736AB" w:rsidP="00393044">
      <w:pPr>
        <w:pStyle w:val="Normaltindrag"/>
        <w:sectPr w:rsidR="007736AB" w:rsidRPr="007E263F">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pPr>
    </w:p>
    <w:p w:rsidR="008C3183" w:rsidRPr="007E263F" w:rsidRDefault="008C3183" w:rsidP="00790E55">
      <w:pPr>
        <w:pStyle w:val="Rubrik1"/>
        <w:spacing w:line="250" w:lineRule="atLeast"/>
        <w:rPr>
          <w:noProof w:val="0"/>
        </w:rPr>
      </w:pPr>
      <w:bookmarkStart w:id="67" w:name="_Toc326137820"/>
      <w:r w:rsidRPr="007E263F">
        <w:rPr>
          <w:noProof w:val="0"/>
        </w:rPr>
        <w:t>Effektivitetsrevisionens rapporter – våra viktigaste iakttagelser</w:t>
      </w:r>
      <w:bookmarkEnd w:id="67"/>
    </w:p>
    <w:p w:rsidR="008C3183" w:rsidRPr="007E263F" w:rsidRDefault="008C3183" w:rsidP="00393044">
      <w:r w:rsidRPr="007E263F">
        <w:t>Sedan vi publicerade vår årliga rapport för 2011 har totalt 23 granskningsra</w:t>
      </w:r>
      <w:r w:rsidRPr="007E263F">
        <w:t>p</w:t>
      </w:r>
      <w:r w:rsidRPr="007E263F">
        <w:t>porter från effektivitetsrevisionen publicerats. I detta avsnitt redovisar vi de viktigaste iakttagelser</w:t>
      </w:r>
      <w:r w:rsidR="0032520C" w:rsidRPr="007E263F">
        <w:t>na från dessa rapporter sorterade</w:t>
      </w:r>
      <w:r w:rsidRPr="007E263F">
        <w:t xml:space="preserve"> per riksdagsutskott. Det bör påpekas att Riksrevisionens granskningsrapporter i vissa fall kan beröra flera riksdagsutskott. Här redovisar vi rapporterna under det utskott som berett rapporten. </w:t>
      </w:r>
    </w:p>
    <w:p w:rsidR="008C3183" w:rsidRPr="007E263F" w:rsidRDefault="008C3183" w:rsidP="00393044">
      <w:pPr>
        <w:pStyle w:val="Rubrik2"/>
        <w:spacing w:line="250" w:lineRule="atLeast"/>
        <w:jc w:val="both"/>
      </w:pPr>
      <w:bookmarkStart w:id="68" w:name="_Toc326137821"/>
      <w:r w:rsidRPr="007E263F">
        <w:t>Finansutskottet (FiU)</w:t>
      </w:r>
      <w:bookmarkEnd w:id="68"/>
      <w:r w:rsidRPr="007E263F">
        <w:t xml:space="preserve"> </w:t>
      </w:r>
    </w:p>
    <w:p w:rsidR="008C3183" w:rsidRPr="007E263F" w:rsidRDefault="008C3183" w:rsidP="00393044">
      <w:pPr>
        <w:pStyle w:val="Rubrik3"/>
        <w:jc w:val="both"/>
        <w:rPr>
          <w:noProof w:val="0"/>
        </w:rPr>
      </w:pPr>
      <w:bookmarkStart w:id="69" w:name="_Toc326137822"/>
      <w:r w:rsidRPr="007E263F">
        <w:rPr>
          <w:noProof w:val="0"/>
        </w:rPr>
        <w:t>Statliga myndigheters tjänsteexport (RiR 2011:24)</w:t>
      </w:r>
      <w:bookmarkEnd w:id="69"/>
    </w:p>
    <w:p w:rsidR="008C3183" w:rsidRPr="007E263F" w:rsidRDefault="008C3183" w:rsidP="00393044">
      <w:r w:rsidRPr="007E263F">
        <w:t>I rapporten granskas statliga myndigheters tjänsteexport.</w:t>
      </w:r>
      <w:r w:rsidRPr="007E263F" w:rsidDel="00D06E8A">
        <w:t xml:space="preserve"> </w:t>
      </w:r>
      <w:r w:rsidRPr="007E263F">
        <w:t>Enligt ESV uppgick myndigheternas tjänsteexport under 2009 till cirka 700 miljoner kronor. Granskningen omfattar 28 myndigheters tjänsteexport.</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konstaterar i granskningen att styrningen av tjänsteexporten är otydlig. Riksdagen uppmuntrar tjänsteexport, men det saknas tydliga mål för verksamheten. I många fall görs ingen uppföljning av tjänsteexporten, och resultatet av verksamh</w:t>
      </w:r>
      <w:r w:rsidRPr="007E263F">
        <w:rPr>
          <w:sz w:val="19"/>
          <w:szCs w:val="19"/>
        </w:rPr>
        <w:t>e</w:t>
      </w:r>
      <w:r w:rsidRPr="007E263F">
        <w:rPr>
          <w:sz w:val="19"/>
          <w:szCs w:val="19"/>
        </w:rPr>
        <w:t xml:space="preserve">ten är därmed oklart. Tjänsteexportens omfattning är dessutom okänd på grund av ofullständig återrapportering. Flera myndigheter bedriver tjänsteexport utan att rapportera den. Tjänsteexportens omfattning kan, enligt Riksrevisionens uppskattning, vara dubbelt så stor som den som officiellt rapporterats. </w:t>
      </w:r>
    </w:p>
    <w:p w:rsidR="008C3183" w:rsidRPr="007E263F" w:rsidRDefault="008C3183" w:rsidP="00393044">
      <w:pPr>
        <w:pStyle w:val="Normaltindrag"/>
      </w:pPr>
      <w:r w:rsidRPr="007E263F">
        <w:t>Bristfällig styrning av tjänsteexporten har lett till att myndigh</w:t>
      </w:r>
      <w:r w:rsidRPr="007E263F">
        <w:t>e</w:t>
      </w:r>
      <w:r w:rsidRPr="007E263F">
        <w:t>ter kan göra lite som de själva vill. Det gäller exempelvis prissättningen av tjänsteexpo</w:t>
      </w:r>
      <w:r w:rsidRPr="007E263F">
        <w:t>r</w:t>
      </w:r>
      <w:r w:rsidR="00931F06" w:rsidRPr="007E263F">
        <w:t>ten, vilket kan leda till ett</w:t>
      </w:r>
      <w:r w:rsidRPr="007E263F">
        <w:t xml:space="preserve"> ineffektivt resursutnyttjande. Riksdagen har u</w:t>
      </w:r>
      <w:r w:rsidRPr="007E263F">
        <w:t>t</w:t>
      </w:r>
      <w:r w:rsidRPr="007E263F">
        <w:t>tryckt att tjänsteexporten ska bedrivas till full kostnadstäckning, vara begrä</w:t>
      </w:r>
      <w:r w:rsidRPr="007E263F">
        <w:t>n</w:t>
      </w:r>
      <w:r w:rsidRPr="007E263F">
        <w:t>sad till myndigheters unika kompetens samt inte konkurrera med inhemska privata aktörer. Den varierande prissättningen och de obefintliga återrapport</w:t>
      </w:r>
      <w:r w:rsidRPr="007E263F">
        <w:t>e</w:t>
      </w:r>
      <w:r w:rsidRPr="007E263F">
        <w:t>ring</w:t>
      </w:r>
      <w:r w:rsidRPr="007E263F">
        <w:t>s</w:t>
      </w:r>
      <w:r w:rsidRPr="007E263F">
        <w:t xml:space="preserve">kraven försvårar, för att inte säga omöjliggör, för regeringen att följa upp till vilken grad detta efterlevts. </w:t>
      </w:r>
    </w:p>
    <w:p w:rsidR="008C3183" w:rsidRPr="007E263F" w:rsidRDefault="008C3183" w:rsidP="00393044">
      <w:pPr>
        <w:pStyle w:val="Normaltindrag"/>
      </w:pPr>
      <w:r w:rsidRPr="007E263F">
        <w:t>Riksrevisionen bedömer att regeringen inte har tillräckliga u</w:t>
      </w:r>
      <w:r w:rsidRPr="007E263F">
        <w:t>n</w:t>
      </w:r>
      <w:r w:rsidRPr="007E263F">
        <w:t>derlag för att kunna förse riksdagen med en rättvisande bild av den statliga tjänsteexporten.</w:t>
      </w:r>
    </w:p>
    <w:p w:rsidR="008C3183" w:rsidRPr="007E263F" w:rsidRDefault="008C3183" w:rsidP="00393044">
      <w:pPr>
        <w:pStyle w:val="Rubrik3"/>
        <w:jc w:val="both"/>
        <w:rPr>
          <w:noProof w:val="0"/>
        </w:rPr>
      </w:pPr>
      <w:bookmarkStart w:id="70" w:name="_Toc326137823"/>
      <w:r w:rsidRPr="007E263F">
        <w:rPr>
          <w:noProof w:val="0"/>
        </w:rPr>
        <w:t>Stabilitetsfonden – Gör den skäl för namnet? (RiR 2011:26)</w:t>
      </w:r>
      <w:bookmarkEnd w:id="70"/>
    </w:p>
    <w:p w:rsidR="008C3183" w:rsidRPr="007E263F" w:rsidRDefault="008C3183" w:rsidP="00393044">
      <w:r w:rsidRPr="007E263F">
        <w:t>Stabilitetsfonden är ett av statens nya verktyg för att finansiera och hantera framtida finanskriser. Genom avgifter till Stabilitetsfonden är det meningen att den finansiella sektorn, i</w:t>
      </w:r>
      <w:r w:rsidR="0032520C" w:rsidRPr="007E263F">
        <w:t xml:space="preserve"> </w:t>
      </w:r>
      <w:r w:rsidRPr="007E263F">
        <w:t>stället för skattebetalarna, ska stå för eventuella framtida stödåtgärder. Riksrevisionen har granskat om Stabilitetsfondens utformning är effektiv och om den användes i enlighet med riksdagens inte</w:t>
      </w:r>
      <w:r w:rsidRPr="007E263F">
        <w:t>n</w:t>
      </w:r>
      <w:r w:rsidRPr="007E263F">
        <w:t>tioner i samband med Nordeas nyemission 2009.</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konstaterar att Stabilitetsfonden i dag är konstr</w:t>
      </w:r>
      <w:r w:rsidRPr="007E263F">
        <w:rPr>
          <w:sz w:val="19"/>
          <w:szCs w:val="19"/>
        </w:rPr>
        <w:t>u</w:t>
      </w:r>
      <w:r w:rsidRPr="007E263F">
        <w:rPr>
          <w:sz w:val="19"/>
          <w:szCs w:val="19"/>
        </w:rPr>
        <w:t>erad så att staten måste ge ut nya statsobligationer för att finansiera eventuella utgifter för stödåtgärder. Det är inte säkert att detta är den placeringspolicy som lån</w:t>
      </w:r>
      <w:r w:rsidRPr="007E263F">
        <w:rPr>
          <w:sz w:val="19"/>
          <w:szCs w:val="19"/>
        </w:rPr>
        <w:t>g</w:t>
      </w:r>
      <w:r w:rsidRPr="007E263F">
        <w:rPr>
          <w:sz w:val="19"/>
          <w:szCs w:val="19"/>
        </w:rPr>
        <w:t xml:space="preserve">siktigt leder till den lägsta kostnaden för att hantera en finanskris. </w:t>
      </w:r>
    </w:p>
    <w:p w:rsidR="008C3183" w:rsidRPr="007E263F" w:rsidRDefault="008C3183" w:rsidP="00393044">
      <w:pPr>
        <w:pStyle w:val="normalmedindrag"/>
        <w:spacing w:before="0" w:line="250" w:lineRule="atLeast"/>
        <w:jc w:val="both"/>
        <w:rPr>
          <w:sz w:val="19"/>
          <w:szCs w:val="19"/>
        </w:rPr>
      </w:pPr>
      <w:r w:rsidRPr="007E263F">
        <w:rPr>
          <w:sz w:val="19"/>
          <w:szCs w:val="19"/>
        </w:rPr>
        <w:t>Enligt Riksrevisionens mening ska en effektiv stabilitetsfond leda till att statens finansiella ställning stärks då behållningen i fonden ökar. Statens finansiella sparande stärks visserligen när avgifterna till fonden betalas in, men utvecklingen av statens finansiella ställning bestäms av det finanspoliti</w:t>
      </w:r>
      <w:r w:rsidRPr="007E263F">
        <w:rPr>
          <w:sz w:val="19"/>
          <w:szCs w:val="19"/>
        </w:rPr>
        <w:t>s</w:t>
      </w:r>
      <w:r w:rsidRPr="007E263F">
        <w:rPr>
          <w:sz w:val="19"/>
          <w:szCs w:val="19"/>
        </w:rPr>
        <w:t>ka ramverket och dess överskottsmål. Avgifterna till Stabilitetsfonden räknas med då sparandet stäms av mot överskottsmålet, vilket får till resultat att up</w:t>
      </w:r>
      <w:r w:rsidRPr="007E263F">
        <w:rPr>
          <w:sz w:val="19"/>
          <w:szCs w:val="19"/>
        </w:rPr>
        <w:t>p</w:t>
      </w:r>
      <w:r w:rsidRPr="007E263F">
        <w:rPr>
          <w:sz w:val="19"/>
          <w:szCs w:val="19"/>
        </w:rPr>
        <w:t xml:space="preserve">byggandet av Stabilitetsfonden inte får någon effekt på statens finansiella ställning. </w:t>
      </w:r>
    </w:p>
    <w:p w:rsidR="008C3183" w:rsidRPr="007E263F" w:rsidRDefault="008C3183" w:rsidP="00790E55">
      <w:pPr>
        <w:pStyle w:val="Rubrik3"/>
        <w:rPr>
          <w:noProof w:val="0"/>
        </w:rPr>
      </w:pPr>
      <w:bookmarkStart w:id="71" w:name="_Toc326137824"/>
      <w:r w:rsidRPr="007E263F">
        <w:rPr>
          <w:noProof w:val="0"/>
        </w:rPr>
        <w:t>Miljökrav i offentlig upphandling – är styrningen mot klimatmålet effektiv? (RiR 2011:29)</w:t>
      </w:r>
      <w:bookmarkEnd w:id="71"/>
    </w:p>
    <w:p w:rsidR="008C3183" w:rsidRPr="007E263F" w:rsidRDefault="008C3183" w:rsidP="00393044">
      <w:pPr>
        <w:rPr>
          <w:szCs w:val="19"/>
        </w:rPr>
      </w:pPr>
      <w:r w:rsidRPr="007E263F">
        <w:rPr>
          <w:szCs w:val="19"/>
        </w:rPr>
        <w:t xml:space="preserve">Miljökrav i offentlig upphandling är ett av statens styrmedel för att minska belastningen på miljö och klimat. Styrmedlet ska bland annat bidra till att nå etappmålet för år 2020 för miljökvalitetsmålet </w:t>
      </w:r>
      <w:r w:rsidRPr="007E263F">
        <w:rPr>
          <w:rStyle w:val="Betoning"/>
          <w:szCs w:val="19"/>
        </w:rPr>
        <w:t>Begränsad klimatpåverkan</w:t>
      </w:r>
      <w:r w:rsidRPr="007E263F">
        <w:rPr>
          <w:szCs w:val="19"/>
        </w:rPr>
        <w:t>. Riksrevisionen har granskat om regeringen, berörda myndigheter och Miljöstyrningsrådet använder styrmedlet på ett effektivt sätt så att det bidrar till etappmålet för 2020 samt om styrningen i övrigt varit effektiv.</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Riksrevisionens övergripande slutsats är att regeringens styrning av arbetet med miljökrav i offentlig upphandling behöver stärkas för att öka effektivit</w:t>
      </w:r>
      <w:r w:rsidRPr="007E263F">
        <w:rPr>
          <w:sz w:val="19"/>
          <w:szCs w:val="19"/>
        </w:rPr>
        <w:t>e</w:t>
      </w:r>
      <w:r w:rsidRPr="007E263F">
        <w:rPr>
          <w:sz w:val="19"/>
          <w:szCs w:val="19"/>
        </w:rPr>
        <w:t>ten i styrmedlet. Regeringens handlingsplan för ökade miljökrav vid offentlig upphandling bör knytas tydligare till miljökvalitetsmålen och uppdragen i planen behöver uppdateras. Regeringens handlingsplan saknar en tydlig rik</w:t>
      </w:r>
      <w:r w:rsidRPr="007E263F">
        <w:rPr>
          <w:sz w:val="19"/>
          <w:szCs w:val="19"/>
        </w:rPr>
        <w:t>t</w:t>
      </w:r>
      <w:r w:rsidRPr="007E263F">
        <w:rPr>
          <w:sz w:val="19"/>
          <w:szCs w:val="19"/>
        </w:rPr>
        <w:t>ning mot pri</w:t>
      </w:r>
      <w:r w:rsidRPr="007E263F">
        <w:rPr>
          <w:sz w:val="19"/>
          <w:szCs w:val="19"/>
        </w:rPr>
        <w:t>o</w:t>
      </w:r>
      <w:r w:rsidRPr="007E263F">
        <w:rPr>
          <w:sz w:val="19"/>
          <w:szCs w:val="19"/>
        </w:rPr>
        <w:t>riterade miljöproblem. Det gör det svårt att bedöma i vilken grad och inom vilka områden miljökrav i offentlig upphandling kan bidra till att minska negativ miljöpåverkan för att uppnå miljökv</w:t>
      </w:r>
      <w:r w:rsidRPr="007E263F">
        <w:rPr>
          <w:sz w:val="19"/>
          <w:szCs w:val="19"/>
        </w:rPr>
        <w:t>a</w:t>
      </w:r>
      <w:r w:rsidRPr="007E263F">
        <w:rPr>
          <w:sz w:val="19"/>
          <w:szCs w:val="19"/>
        </w:rPr>
        <w:t>litetsmålen. Det skulle gå att skapa starkare styrning och högre effektivitet genom att peka ut prioriterade produktgrupper i förordning. Regeringens prioritering av pr</w:t>
      </w:r>
      <w:r w:rsidRPr="007E263F">
        <w:rPr>
          <w:sz w:val="19"/>
          <w:szCs w:val="19"/>
        </w:rPr>
        <w:t>o</w:t>
      </w:r>
      <w:r w:rsidRPr="007E263F">
        <w:rPr>
          <w:sz w:val="19"/>
          <w:szCs w:val="19"/>
        </w:rPr>
        <w:t>duktgruppen miljöbilar är ett exempel på ett område där detta, trots vissa brister i styrning och uppföljning, har lyckats. Det har lett till minskade u</w:t>
      </w:r>
      <w:r w:rsidRPr="007E263F">
        <w:rPr>
          <w:sz w:val="19"/>
          <w:szCs w:val="19"/>
        </w:rPr>
        <w:t>t</w:t>
      </w:r>
      <w:r w:rsidRPr="007E263F">
        <w:rPr>
          <w:sz w:val="19"/>
          <w:szCs w:val="19"/>
        </w:rPr>
        <w:t>släpp och sa</w:t>
      </w:r>
      <w:r w:rsidRPr="007E263F">
        <w:rPr>
          <w:sz w:val="19"/>
          <w:szCs w:val="19"/>
        </w:rPr>
        <w:t>m</w:t>
      </w:r>
      <w:r w:rsidRPr="007E263F">
        <w:rPr>
          <w:sz w:val="19"/>
          <w:szCs w:val="19"/>
        </w:rPr>
        <w:t xml:space="preserve">tidigt hållit transaktionskostnaderna låga. </w:t>
      </w:r>
    </w:p>
    <w:p w:rsidR="008C3183" w:rsidRPr="007E263F" w:rsidRDefault="008C3183" w:rsidP="00790E55">
      <w:pPr>
        <w:pStyle w:val="Rubrik3"/>
        <w:rPr>
          <w:noProof w:val="0"/>
        </w:rPr>
      </w:pPr>
      <w:bookmarkStart w:id="72" w:name="_Toc326137825"/>
      <w:r w:rsidRPr="007E263F">
        <w:rPr>
          <w:noProof w:val="0"/>
        </w:rPr>
        <w:t>Tillämpningen av det finanspolitiska ramverket – Regeringens redovisning i budgetpropositionen för 2012 (RiR 2011:30)</w:t>
      </w:r>
      <w:bookmarkEnd w:id="72"/>
    </w:p>
    <w:p w:rsidR="008C3183" w:rsidRPr="007E263F" w:rsidRDefault="008C3183" w:rsidP="00393044">
      <w:r w:rsidRPr="007E263F">
        <w:t>Riksrevisionen granskar regelbundet de ekonomiska propositionerna, och i denna rapport granskas om inriktningen av finanspolitiken i budgetpropos</w:t>
      </w:r>
      <w:r w:rsidRPr="007E263F">
        <w:t>i</w:t>
      </w:r>
      <w:r w:rsidRPr="007E263F">
        <w:t>tionen för 2012 stämmer överens med det finanspolitiska ramverket. Disku</w:t>
      </w:r>
      <w:r w:rsidRPr="007E263F">
        <w:t>s</w:t>
      </w:r>
      <w:r w:rsidRPr="007E263F">
        <w:t>sionen förs i första hand med utgångspunkt i regeringens redovisade bedö</w:t>
      </w:r>
      <w:r w:rsidRPr="007E263F">
        <w:t>m</w:t>
      </w:r>
      <w:r w:rsidRPr="007E263F">
        <w:t>ning av reformutrymmet. Reformutrymmet är det utrymme i statens budget som kan tas i anspråk för permanenta skattesänkningar och utgiftsökningar.</w:t>
      </w:r>
    </w:p>
    <w:p w:rsidR="008C3183" w:rsidRPr="007E263F" w:rsidRDefault="008C3183" w:rsidP="0093595F">
      <w:pPr>
        <w:pStyle w:val="normalmedindrag"/>
        <w:spacing w:before="0" w:line="250" w:lineRule="atLeast"/>
        <w:jc w:val="both"/>
        <w:rPr>
          <w:sz w:val="19"/>
          <w:szCs w:val="19"/>
        </w:rPr>
      </w:pPr>
      <w:r w:rsidRPr="007E263F">
        <w:rPr>
          <w:sz w:val="19"/>
          <w:szCs w:val="19"/>
        </w:rPr>
        <w:t>Regeringens bedömning av reformutrymmet i budgetpropositi</w:t>
      </w:r>
      <w:r w:rsidRPr="007E263F">
        <w:rPr>
          <w:sz w:val="19"/>
          <w:szCs w:val="19"/>
        </w:rPr>
        <w:t>o</w:t>
      </w:r>
      <w:r w:rsidRPr="007E263F">
        <w:rPr>
          <w:sz w:val="19"/>
          <w:szCs w:val="19"/>
        </w:rPr>
        <w:t>nen är mer strukturerat och utförligt beskriven än tidigare. Prese</w:t>
      </w:r>
      <w:r w:rsidRPr="007E263F">
        <w:rPr>
          <w:sz w:val="19"/>
          <w:szCs w:val="19"/>
        </w:rPr>
        <w:t>n</w:t>
      </w:r>
      <w:r w:rsidRPr="007E263F">
        <w:rPr>
          <w:sz w:val="19"/>
          <w:szCs w:val="19"/>
        </w:rPr>
        <w:t>tationen följer i stort de principer och utgångspunkter man tidigare klargjort ska gälla. Samtidigt kan transparensen i redovisningen förbättras ytterligare.</w:t>
      </w:r>
    </w:p>
    <w:p w:rsidR="008C3183" w:rsidRPr="007E263F" w:rsidRDefault="008C3183" w:rsidP="00393044">
      <w:pPr>
        <w:pStyle w:val="normalmedindrag"/>
        <w:spacing w:before="0" w:line="250" w:lineRule="atLeast"/>
        <w:jc w:val="both"/>
        <w:rPr>
          <w:sz w:val="19"/>
          <w:szCs w:val="19"/>
        </w:rPr>
      </w:pPr>
      <w:r w:rsidRPr="007E263F">
        <w:rPr>
          <w:sz w:val="19"/>
          <w:szCs w:val="19"/>
        </w:rPr>
        <w:t>I bedömningen av reformutrymmet lägger regeringen stor vikt vid osäke</w:t>
      </w:r>
      <w:r w:rsidRPr="007E263F">
        <w:rPr>
          <w:sz w:val="19"/>
          <w:szCs w:val="19"/>
        </w:rPr>
        <w:t>r</w:t>
      </w:r>
      <w:r w:rsidRPr="007E263F">
        <w:rPr>
          <w:sz w:val="19"/>
          <w:szCs w:val="19"/>
        </w:rPr>
        <w:t>heten om den framtida ekonomiska utvecklingen och argumenterar för att det nu är extra angeläget med säkerhetsmarg</w:t>
      </w:r>
      <w:r w:rsidRPr="007E263F">
        <w:rPr>
          <w:sz w:val="19"/>
          <w:szCs w:val="19"/>
        </w:rPr>
        <w:t>i</w:t>
      </w:r>
      <w:r w:rsidRPr="007E263F">
        <w:rPr>
          <w:sz w:val="19"/>
          <w:szCs w:val="19"/>
        </w:rPr>
        <w:t>naler. I resonemanget om risker bör man dock ha i åtanke att det redan finns en buffert inbyggd i den nivå man valt för överskott</w:t>
      </w:r>
      <w:r w:rsidRPr="007E263F">
        <w:rPr>
          <w:sz w:val="19"/>
          <w:szCs w:val="19"/>
        </w:rPr>
        <w:t>s</w:t>
      </w:r>
      <w:r w:rsidRPr="007E263F">
        <w:rPr>
          <w:sz w:val="19"/>
          <w:szCs w:val="19"/>
        </w:rPr>
        <w:t>målet.</w:t>
      </w:r>
    </w:p>
    <w:p w:rsidR="008C3183" w:rsidRPr="007E263F" w:rsidRDefault="008C3183" w:rsidP="0093595F">
      <w:pPr>
        <w:pStyle w:val="normalmedindrag"/>
        <w:spacing w:before="0" w:line="250" w:lineRule="atLeast"/>
        <w:jc w:val="both"/>
        <w:rPr>
          <w:sz w:val="19"/>
          <w:szCs w:val="19"/>
        </w:rPr>
      </w:pPr>
      <w:r w:rsidRPr="007E263F">
        <w:rPr>
          <w:sz w:val="19"/>
          <w:szCs w:val="19"/>
        </w:rPr>
        <w:t>Riksrevisionen menar att regeringens ansats med en ”samlad b</w:t>
      </w:r>
      <w:r w:rsidRPr="007E263F">
        <w:rPr>
          <w:sz w:val="19"/>
          <w:szCs w:val="19"/>
        </w:rPr>
        <w:t>e</w:t>
      </w:r>
      <w:r w:rsidRPr="007E263F">
        <w:rPr>
          <w:sz w:val="19"/>
          <w:szCs w:val="19"/>
        </w:rPr>
        <w:t>dömning” av reformutrymmet riskerar att leda till sämre transp</w:t>
      </w:r>
      <w:r w:rsidRPr="007E263F">
        <w:rPr>
          <w:sz w:val="19"/>
          <w:szCs w:val="19"/>
        </w:rPr>
        <w:t>a</w:t>
      </w:r>
      <w:r w:rsidRPr="007E263F">
        <w:rPr>
          <w:sz w:val="19"/>
          <w:szCs w:val="19"/>
        </w:rPr>
        <w:t>rens i finanspolitiken. Transparensen skulle förbättras om regeringen i redovisningen av sin bedö</w:t>
      </w:r>
      <w:r w:rsidRPr="007E263F">
        <w:rPr>
          <w:sz w:val="19"/>
          <w:szCs w:val="19"/>
        </w:rPr>
        <w:t>m</w:t>
      </w:r>
      <w:r w:rsidRPr="007E263F">
        <w:rPr>
          <w:sz w:val="19"/>
          <w:szCs w:val="19"/>
        </w:rPr>
        <w:t>ning tydligare skilde på det pote</w:t>
      </w:r>
      <w:r w:rsidRPr="007E263F">
        <w:rPr>
          <w:sz w:val="19"/>
          <w:szCs w:val="19"/>
        </w:rPr>
        <w:t>n</w:t>
      </w:r>
      <w:r w:rsidRPr="007E263F">
        <w:rPr>
          <w:sz w:val="19"/>
          <w:szCs w:val="19"/>
        </w:rPr>
        <w:t>tiella reformutrymme som är möjligt med utgångspunkt i det finanspolitiska ramverket och storleken på den extra s</w:t>
      </w:r>
      <w:r w:rsidRPr="007E263F">
        <w:rPr>
          <w:sz w:val="19"/>
          <w:szCs w:val="19"/>
        </w:rPr>
        <w:t>ä</w:t>
      </w:r>
      <w:r w:rsidRPr="007E263F">
        <w:rPr>
          <w:sz w:val="19"/>
          <w:szCs w:val="19"/>
        </w:rPr>
        <w:t>kerhetsma</w:t>
      </w:r>
      <w:r w:rsidRPr="007E263F">
        <w:rPr>
          <w:sz w:val="19"/>
          <w:szCs w:val="19"/>
        </w:rPr>
        <w:t>r</w:t>
      </w:r>
      <w:r w:rsidRPr="007E263F">
        <w:rPr>
          <w:sz w:val="19"/>
          <w:szCs w:val="19"/>
        </w:rPr>
        <w:t xml:space="preserve">ginal som regeringen räknar med. </w:t>
      </w:r>
    </w:p>
    <w:p w:rsidR="008C3183" w:rsidRPr="007E263F" w:rsidRDefault="008C3183" w:rsidP="00393044">
      <w:pPr>
        <w:pStyle w:val="Rubrik2"/>
        <w:spacing w:line="250" w:lineRule="atLeast"/>
        <w:jc w:val="both"/>
      </w:pPr>
      <w:bookmarkStart w:id="73" w:name="_Toc326137826"/>
      <w:r w:rsidRPr="007E263F">
        <w:t>Skatteutskottet (SkU)</w:t>
      </w:r>
      <w:bookmarkEnd w:id="73"/>
      <w:r w:rsidRPr="007E263F">
        <w:t xml:space="preserve"> </w:t>
      </w:r>
    </w:p>
    <w:p w:rsidR="008C3183" w:rsidRPr="007E263F" w:rsidRDefault="008C3183" w:rsidP="00790E55">
      <w:pPr>
        <w:pStyle w:val="Rubrik3"/>
        <w:rPr>
          <w:noProof w:val="0"/>
        </w:rPr>
      </w:pPr>
      <w:bookmarkStart w:id="74" w:name="_Toc326137827"/>
      <w:r w:rsidRPr="007E263F">
        <w:rPr>
          <w:noProof w:val="0"/>
        </w:rPr>
        <w:t>Klimatrelaterade skatter – Vem betalar? (RiR 2012:1)</w:t>
      </w:r>
      <w:bookmarkEnd w:id="74"/>
    </w:p>
    <w:p w:rsidR="008C3183" w:rsidRPr="007E263F" w:rsidRDefault="008C3183" w:rsidP="00393044">
      <w:r w:rsidRPr="007E263F">
        <w:t>Riksrevisionen har granskat användningen av klimatrelaterade skatter, främst energi- och koldioxidskatt. De är betydande styrmedel för att nå riksdagens klimatmål. De klimatrelaterade skatterna ska vara kostnadseffektiva och utgå från principen om att förorenaren ska betala för utsläppen.</w:t>
      </w:r>
    </w:p>
    <w:p w:rsidR="008C3183" w:rsidRPr="007E263F" w:rsidRDefault="008C3183" w:rsidP="00393044">
      <w:pPr>
        <w:pStyle w:val="normalmedindrag"/>
        <w:spacing w:before="0" w:line="250" w:lineRule="atLeast"/>
        <w:jc w:val="both"/>
        <w:rPr>
          <w:sz w:val="19"/>
          <w:szCs w:val="19"/>
        </w:rPr>
      </w:pPr>
      <w:r w:rsidRPr="007E263F">
        <w:rPr>
          <w:sz w:val="19"/>
          <w:szCs w:val="19"/>
        </w:rPr>
        <w:t>Fokus för granskningen är om rapporteringen till riksdagen av näringsl</w:t>
      </w:r>
      <w:r w:rsidRPr="007E263F">
        <w:rPr>
          <w:sz w:val="19"/>
          <w:szCs w:val="19"/>
        </w:rPr>
        <w:t>i</w:t>
      </w:r>
      <w:r w:rsidRPr="007E263F">
        <w:rPr>
          <w:sz w:val="19"/>
          <w:szCs w:val="19"/>
        </w:rPr>
        <w:t>vets och hushållens kostnader och effekterna av de klima</w:t>
      </w:r>
      <w:r w:rsidRPr="007E263F">
        <w:rPr>
          <w:sz w:val="19"/>
          <w:szCs w:val="19"/>
        </w:rPr>
        <w:t>t</w:t>
      </w:r>
      <w:r w:rsidRPr="007E263F">
        <w:rPr>
          <w:sz w:val="19"/>
          <w:szCs w:val="19"/>
        </w:rPr>
        <w:t>relaterade skatterna är tydlig och överblickbar samt om det är stora skillnader i hur mycket olika förorenare får betala.</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att det är stora skillnader mellan olika förorenares u</w:t>
      </w:r>
      <w:r w:rsidRPr="007E263F">
        <w:rPr>
          <w:sz w:val="19"/>
          <w:szCs w:val="19"/>
        </w:rPr>
        <w:t>t</w:t>
      </w:r>
      <w:r w:rsidRPr="007E263F">
        <w:rPr>
          <w:sz w:val="19"/>
          <w:szCs w:val="19"/>
        </w:rPr>
        <w:t>gifter för klimatrelaterade skatter och för utsläppsrätter i EU:s handelssystem. Klimatrelaterade skatter och handelssystemet för utsläppsrätter är olika sty</w:t>
      </w:r>
      <w:r w:rsidRPr="007E263F">
        <w:rPr>
          <w:sz w:val="19"/>
          <w:szCs w:val="19"/>
        </w:rPr>
        <w:t>r</w:t>
      </w:r>
      <w:r w:rsidRPr="007E263F">
        <w:rPr>
          <w:sz w:val="19"/>
          <w:szCs w:val="19"/>
        </w:rPr>
        <w:t xml:space="preserve">medel, men tillsammans har de i praktiken medfört ökade skillnader. </w:t>
      </w:r>
    </w:p>
    <w:p w:rsidR="008C3183" w:rsidRPr="007E263F" w:rsidRDefault="008C3183" w:rsidP="00393044">
      <w:pPr>
        <w:pStyle w:val="normalmedindrag"/>
        <w:spacing w:before="0" w:line="250" w:lineRule="atLeast"/>
        <w:jc w:val="both"/>
        <w:rPr>
          <w:sz w:val="19"/>
          <w:szCs w:val="19"/>
        </w:rPr>
      </w:pPr>
      <w:r w:rsidRPr="007E263F">
        <w:rPr>
          <w:sz w:val="19"/>
          <w:szCs w:val="19"/>
        </w:rPr>
        <w:t>Regeringens och myndigheternas analyser och redovisning ger ingen sa</w:t>
      </w:r>
      <w:r w:rsidRPr="007E263F">
        <w:rPr>
          <w:sz w:val="19"/>
          <w:szCs w:val="19"/>
        </w:rPr>
        <w:t>m</w:t>
      </w:r>
      <w:r w:rsidRPr="007E263F">
        <w:rPr>
          <w:sz w:val="19"/>
          <w:szCs w:val="19"/>
        </w:rPr>
        <w:t>lad och tydlig bild av utgifter för och effekter av de klimatrelaterade skatte</w:t>
      </w:r>
      <w:r w:rsidRPr="007E263F">
        <w:rPr>
          <w:sz w:val="19"/>
          <w:szCs w:val="19"/>
        </w:rPr>
        <w:t>r</w:t>
      </w:r>
      <w:r w:rsidRPr="007E263F">
        <w:rPr>
          <w:sz w:val="19"/>
          <w:szCs w:val="19"/>
        </w:rPr>
        <w:t>na. Därmed saknar myndigheterna, regeringen och riksdagen underlag för att bedöma om de klimatrelaterade skatterna i kombination med andra styrmedel är kostnadseffektiva och i vilken utsträckning de överensstämmer med princ</w:t>
      </w:r>
      <w:r w:rsidRPr="007E263F">
        <w:rPr>
          <w:sz w:val="19"/>
          <w:szCs w:val="19"/>
        </w:rPr>
        <w:t>i</w:t>
      </w:r>
      <w:r w:rsidRPr="007E263F">
        <w:rPr>
          <w:sz w:val="19"/>
          <w:szCs w:val="19"/>
        </w:rPr>
        <w:t>pen om att förorenaren ska betala. Vidare saknas underlag för att bedöma ri</w:t>
      </w:r>
      <w:r w:rsidRPr="007E263F">
        <w:rPr>
          <w:sz w:val="19"/>
          <w:szCs w:val="19"/>
        </w:rPr>
        <w:t>s</w:t>
      </w:r>
      <w:r w:rsidRPr="007E263F">
        <w:rPr>
          <w:sz w:val="19"/>
          <w:szCs w:val="19"/>
        </w:rPr>
        <w:t>ken för koldioxidläckage, det vill säga att produktion förläggs till länder utan eller med lägre utgifter för utsläpp, för olika branscher och delbranscher i Sverige.</w:t>
      </w:r>
    </w:p>
    <w:p w:rsidR="008C3183" w:rsidRPr="007E263F" w:rsidRDefault="008C3183" w:rsidP="00393044">
      <w:pPr>
        <w:pStyle w:val="Rubrik2"/>
        <w:spacing w:line="250" w:lineRule="atLeast"/>
        <w:jc w:val="both"/>
      </w:pPr>
      <w:bookmarkStart w:id="75" w:name="_Toc326137828"/>
      <w:r w:rsidRPr="007E263F">
        <w:t>Justitieutskottet (JuU)</w:t>
      </w:r>
      <w:bookmarkEnd w:id="75"/>
    </w:p>
    <w:p w:rsidR="008C3183" w:rsidRPr="007E263F" w:rsidRDefault="008C3183" w:rsidP="00393044">
      <w:pPr>
        <w:pStyle w:val="Rubrik3"/>
        <w:jc w:val="both"/>
        <w:rPr>
          <w:noProof w:val="0"/>
        </w:rPr>
      </w:pPr>
      <w:bookmarkStart w:id="76" w:name="_Toc326137829"/>
      <w:r w:rsidRPr="007E263F">
        <w:rPr>
          <w:noProof w:val="0"/>
        </w:rPr>
        <w:t>It-stödet i rättskedjan (RiR 2011:25)</w:t>
      </w:r>
      <w:bookmarkEnd w:id="76"/>
    </w:p>
    <w:p w:rsidR="008C3183" w:rsidRPr="007E263F" w:rsidRDefault="008C3183" w:rsidP="00393044">
      <w:r w:rsidRPr="007E263F">
        <w:t>Rättsväsendets myndigheter har sedan många år väl kända brister i it-stödet. Regeringens mål har sedan 15 år varit att skapa en bättre informationsförsör</w:t>
      </w:r>
      <w:r w:rsidRPr="007E263F">
        <w:t>j</w:t>
      </w:r>
      <w:r w:rsidRPr="007E263F">
        <w:t>ning för ett effektivare ärendeflöde i rättskedjan och brottmålsprocessen, men få konkreta resultat har hittills uppnåtts. Kostnaderna för it-verksamheten är betydande, cirka 2,26 miljarder kronor 2011, och har hittills ökat varje år. Det är angeläget att få ned kostnader för gamla system och it-stöd för att kunna utveckla nya.</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Riksrevisionens slutsats av granskningen av it-stödet i rättskedjan är att r</w:t>
      </w:r>
      <w:r w:rsidRPr="007E263F">
        <w:rPr>
          <w:sz w:val="19"/>
          <w:szCs w:val="19"/>
        </w:rPr>
        <w:t>e</w:t>
      </w:r>
      <w:r w:rsidRPr="007E263F">
        <w:rPr>
          <w:sz w:val="19"/>
          <w:szCs w:val="19"/>
        </w:rPr>
        <w:t>geringen och myndigheterna samlat, trots vissa tydliga förbättringar och insatser, ännu inte skapat tillräckliga förutsättningar för att utveckla ett effe</w:t>
      </w:r>
      <w:r w:rsidRPr="007E263F">
        <w:rPr>
          <w:sz w:val="19"/>
          <w:szCs w:val="19"/>
        </w:rPr>
        <w:t>k</w:t>
      </w:r>
      <w:r w:rsidRPr="007E263F">
        <w:rPr>
          <w:sz w:val="19"/>
          <w:szCs w:val="19"/>
        </w:rPr>
        <w:t>tivt it-stöd. Regeringen har ingen långsiktig planering för arbetet. Det finns en risk att myndighete</w:t>
      </w:r>
      <w:r w:rsidRPr="007E263F">
        <w:rPr>
          <w:sz w:val="19"/>
          <w:szCs w:val="19"/>
        </w:rPr>
        <w:t>r</w:t>
      </w:r>
      <w:r w:rsidRPr="007E263F">
        <w:rPr>
          <w:sz w:val="19"/>
          <w:szCs w:val="19"/>
        </w:rPr>
        <w:t>nas angelägna insatser inte påbörjas eller genomförs i tid, vilket kan leda till ökade kostnader och att nytt it-stöd inte utvecklas i den takt som krävs. Flera viktiga it-projekt inom rättsväsendets myndigheter är förs</w:t>
      </w:r>
      <w:r w:rsidRPr="007E263F">
        <w:rPr>
          <w:sz w:val="19"/>
          <w:szCs w:val="19"/>
        </w:rPr>
        <w:t>e</w:t>
      </w:r>
      <w:r w:rsidRPr="007E263F">
        <w:rPr>
          <w:sz w:val="19"/>
          <w:szCs w:val="19"/>
        </w:rPr>
        <w:t>nade och fördyrade. Riksrevisionen konstaterar att myndigheternas arbete med att ta fram it-strategier, handlingsplaner, budgetar och långsiktiga pr</w:t>
      </w:r>
      <w:r w:rsidRPr="007E263F">
        <w:rPr>
          <w:sz w:val="19"/>
          <w:szCs w:val="19"/>
        </w:rPr>
        <w:t>o</w:t>
      </w:r>
      <w:r w:rsidRPr="007E263F">
        <w:rPr>
          <w:sz w:val="19"/>
          <w:szCs w:val="19"/>
        </w:rPr>
        <w:t>gnoser för it-verksamheten har kommit olika långt. Det finns behov av bättre styrning av it-verksamheten och en ökad samverkan mellan myndigheterna.</w:t>
      </w:r>
    </w:p>
    <w:p w:rsidR="008C3183" w:rsidRPr="007E263F" w:rsidRDefault="008C3183" w:rsidP="00393044">
      <w:pPr>
        <w:pStyle w:val="Rubrik3"/>
        <w:jc w:val="both"/>
        <w:rPr>
          <w:noProof w:val="0"/>
        </w:rPr>
      </w:pPr>
      <w:bookmarkStart w:id="77" w:name="_Toc326137830"/>
      <w:r w:rsidRPr="007E263F">
        <w:rPr>
          <w:noProof w:val="0"/>
        </w:rPr>
        <w:t>Att hantera brottmål effektivt – En utmaning för regeringen och rättsväsendet (RiR 2011:27)</w:t>
      </w:r>
      <w:bookmarkEnd w:id="77"/>
    </w:p>
    <w:p w:rsidR="008C3183" w:rsidRPr="007E263F" w:rsidRDefault="008C3183" w:rsidP="00393044">
      <w:pPr>
        <w:rPr>
          <w:szCs w:val="19"/>
        </w:rPr>
      </w:pPr>
      <w:r w:rsidRPr="007E263F">
        <w:rPr>
          <w:szCs w:val="19"/>
        </w:rPr>
        <w:t xml:space="preserve">Brottslighet medför lidande och kostnader för enskilda människor och för samhället i stort. Riksrevisionen har i en serie granskningar på temat </w:t>
      </w:r>
      <w:r w:rsidRPr="007E263F">
        <w:rPr>
          <w:rStyle w:val="Betoning"/>
          <w:szCs w:val="19"/>
        </w:rPr>
        <w:t>Rättsv</w:t>
      </w:r>
      <w:r w:rsidRPr="007E263F">
        <w:rPr>
          <w:rStyle w:val="Betoning"/>
          <w:szCs w:val="19"/>
        </w:rPr>
        <w:t>ä</w:t>
      </w:r>
      <w:r w:rsidRPr="007E263F">
        <w:rPr>
          <w:rStyle w:val="Betoning"/>
          <w:szCs w:val="19"/>
        </w:rPr>
        <w:t xml:space="preserve">sendets samlade effektivitet </w:t>
      </w:r>
      <w:r w:rsidRPr="007E263F">
        <w:rPr>
          <w:szCs w:val="19"/>
        </w:rPr>
        <w:t>bedömt effektiviteten i rättsväsendet och specifikt brottmålsprocessen. Utifrån iakttagelserna från de åtta granskningar som genomförts 2008–2011 har Riksrevisionen analyserat orsaker till effektiv</w:t>
      </w:r>
      <w:r w:rsidRPr="007E263F">
        <w:rPr>
          <w:szCs w:val="19"/>
        </w:rPr>
        <w:t>i</w:t>
      </w:r>
      <w:r w:rsidRPr="007E263F">
        <w:rPr>
          <w:szCs w:val="19"/>
        </w:rPr>
        <w:t>tetsbristerna med fokus på regeringens och myndigheternas styrning under perioden 2000–2011.</w:t>
      </w:r>
    </w:p>
    <w:p w:rsidR="008C3183" w:rsidRPr="007E263F" w:rsidRDefault="008C3183" w:rsidP="0093595F">
      <w:pPr>
        <w:pStyle w:val="normalmedindrag"/>
        <w:spacing w:before="0" w:line="250" w:lineRule="atLeast"/>
        <w:jc w:val="both"/>
        <w:rPr>
          <w:sz w:val="19"/>
          <w:szCs w:val="19"/>
        </w:rPr>
      </w:pPr>
      <w:r w:rsidRPr="007E263F">
        <w:rPr>
          <w:sz w:val="19"/>
          <w:szCs w:val="19"/>
        </w:rPr>
        <w:t>Slutsatsen är att rättsväsendets myndigheter, trots stora anslagsökningar och medvetenhet om de brister som finns, inte lyckats förbättra resultaten och effektivisera verksamheten. Det finns for</w:t>
      </w:r>
      <w:r w:rsidRPr="007E263F">
        <w:rPr>
          <w:sz w:val="19"/>
          <w:szCs w:val="19"/>
        </w:rPr>
        <w:t>t</w:t>
      </w:r>
      <w:r w:rsidRPr="007E263F">
        <w:rPr>
          <w:sz w:val="19"/>
          <w:szCs w:val="19"/>
        </w:rPr>
        <w:t>farande mycket kvar att göra i hela rättskedjan – från anmälan till dom och verkställighet av straff. Regeringens och myndigheternas åtgärder har inte fått tillräckligt genomslag. En förklaring till detta är regeringens och myndigheternas styrning. Rättsväsendets kara</w:t>
      </w:r>
      <w:r w:rsidRPr="007E263F">
        <w:rPr>
          <w:sz w:val="19"/>
          <w:szCs w:val="19"/>
        </w:rPr>
        <w:t>k</w:t>
      </w:r>
      <w:r w:rsidRPr="007E263F">
        <w:rPr>
          <w:sz w:val="19"/>
          <w:szCs w:val="19"/>
        </w:rPr>
        <w:t>tär och uppdrag påverkar dock förutsättningarna att styra rättsväsendet. Brott</w:t>
      </w:r>
      <w:r w:rsidRPr="007E263F">
        <w:rPr>
          <w:sz w:val="19"/>
          <w:szCs w:val="19"/>
        </w:rPr>
        <w:t>s</w:t>
      </w:r>
      <w:r w:rsidRPr="007E263F">
        <w:rPr>
          <w:sz w:val="19"/>
          <w:szCs w:val="19"/>
        </w:rPr>
        <w:t>ligheten har också utvecklats och internationaliserats under 2000-talet, vilket ställer krav på styrningen.</w:t>
      </w:r>
    </w:p>
    <w:p w:rsidR="008C3183" w:rsidRPr="007E263F" w:rsidRDefault="008C3183" w:rsidP="00393044">
      <w:pPr>
        <w:pStyle w:val="normalmedindrag"/>
        <w:spacing w:before="0" w:line="250" w:lineRule="atLeast"/>
        <w:jc w:val="both"/>
        <w:rPr>
          <w:sz w:val="19"/>
          <w:szCs w:val="19"/>
        </w:rPr>
      </w:pPr>
      <w:r w:rsidRPr="007E263F">
        <w:rPr>
          <w:sz w:val="19"/>
          <w:szCs w:val="19"/>
        </w:rPr>
        <w:t>Granskningen visar att regeringen saknar viktig kunskap och en strategisk och åtgärdsinriktad plan för effektiv och långsiktig styrning och att myndi</w:t>
      </w:r>
      <w:r w:rsidRPr="007E263F">
        <w:rPr>
          <w:sz w:val="19"/>
          <w:szCs w:val="19"/>
        </w:rPr>
        <w:t>g</w:t>
      </w:r>
      <w:r w:rsidRPr="007E263F">
        <w:rPr>
          <w:sz w:val="19"/>
          <w:szCs w:val="19"/>
        </w:rPr>
        <w:t>heternas styrning inte fått genomslag i den operativa verksamheten. Samve</w:t>
      </w:r>
      <w:r w:rsidRPr="007E263F">
        <w:rPr>
          <w:sz w:val="19"/>
          <w:szCs w:val="19"/>
        </w:rPr>
        <w:t>r</w:t>
      </w:r>
      <w:r w:rsidRPr="007E263F">
        <w:rPr>
          <w:sz w:val="19"/>
          <w:szCs w:val="19"/>
        </w:rPr>
        <w:t>kan inom rättsväsendet och i rätt</w:t>
      </w:r>
      <w:r w:rsidRPr="007E263F">
        <w:rPr>
          <w:sz w:val="19"/>
          <w:szCs w:val="19"/>
        </w:rPr>
        <w:t>s</w:t>
      </w:r>
      <w:r w:rsidRPr="007E263F">
        <w:rPr>
          <w:sz w:val="19"/>
          <w:szCs w:val="19"/>
        </w:rPr>
        <w:t>kedjan behöver utvecklas. Regeringen och myndighetsledningarna måste därför tydliggöra hur målen för verksamheten ska uppnås, vilka prioriteringar som krävs och vilka åtgärder som måste vi</w:t>
      </w:r>
      <w:r w:rsidRPr="007E263F">
        <w:rPr>
          <w:sz w:val="19"/>
          <w:szCs w:val="19"/>
        </w:rPr>
        <w:t>d</w:t>
      </w:r>
      <w:r w:rsidRPr="007E263F">
        <w:rPr>
          <w:sz w:val="19"/>
          <w:szCs w:val="19"/>
        </w:rPr>
        <w:t>tas.</w:t>
      </w:r>
    </w:p>
    <w:p w:rsidR="008C3183" w:rsidRPr="007E263F" w:rsidRDefault="008C3183" w:rsidP="00393044">
      <w:pPr>
        <w:pStyle w:val="Rubrik2"/>
        <w:spacing w:line="250" w:lineRule="atLeast"/>
        <w:jc w:val="both"/>
      </w:pPr>
      <w:bookmarkStart w:id="78" w:name="_Toc326137831"/>
      <w:r w:rsidRPr="007E263F">
        <w:t>Försvarsutskottet (FöU)</w:t>
      </w:r>
      <w:bookmarkEnd w:id="78"/>
      <w:r w:rsidRPr="007E263F">
        <w:t xml:space="preserve"> </w:t>
      </w:r>
    </w:p>
    <w:p w:rsidR="008C3183" w:rsidRPr="007E263F" w:rsidRDefault="008C3183" w:rsidP="00790E55">
      <w:pPr>
        <w:pStyle w:val="Rubrik3"/>
        <w:rPr>
          <w:noProof w:val="0"/>
        </w:rPr>
      </w:pPr>
      <w:bookmarkStart w:id="79" w:name="_Toc326137832"/>
      <w:r w:rsidRPr="007E263F">
        <w:rPr>
          <w:noProof w:val="0"/>
        </w:rPr>
        <w:t>Besparingar i försvarets materielförsörjning – regeringens genomförandegrupp 2008 (RiR 2012:5)</w:t>
      </w:r>
      <w:bookmarkEnd w:id="79"/>
    </w:p>
    <w:p w:rsidR="008C3183" w:rsidRPr="007E263F" w:rsidRDefault="008C3183" w:rsidP="00393044">
      <w:r w:rsidRPr="007E263F">
        <w:t>I rapporten granskas konsekvenserna av de besparingar i försvarets materie</w:t>
      </w:r>
      <w:r w:rsidRPr="007E263F">
        <w:t>l</w:t>
      </w:r>
      <w:r w:rsidRPr="007E263F">
        <w:t>försörjning som regeringen beslutade om 2008. Cirka 2,8 miljarder kronor skulle sparas under en treårsperiod. I</w:t>
      </w:r>
      <w:r w:rsidR="00461E8D" w:rsidRPr="007E263F">
        <w:t xml:space="preserve"> </w:t>
      </w:r>
      <w:r w:rsidRPr="007E263F">
        <w:t>stället för att ge Försvarsmakten up</w:t>
      </w:r>
      <w:r w:rsidRPr="007E263F">
        <w:t>p</w:t>
      </w:r>
      <w:r w:rsidRPr="007E263F">
        <w:t>draget att göra besparingarna valde regeringen att tillsätta en genomförand</w:t>
      </w:r>
      <w:r w:rsidRPr="007E263F">
        <w:t>e</w:t>
      </w:r>
      <w:r w:rsidRPr="007E263F">
        <w:t>grupp. Gruppen fick i uppdrag att föreslå hur besparingarna skulle tas ut genom att stryka eller reducera ett antal materielprojekt.</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anser att regeringens val av styrning skapar pr</w:t>
      </w:r>
      <w:r w:rsidRPr="007E263F">
        <w:rPr>
          <w:sz w:val="19"/>
          <w:szCs w:val="19"/>
        </w:rPr>
        <w:t>o</w:t>
      </w:r>
      <w:r w:rsidRPr="007E263F">
        <w:rPr>
          <w:sz w:val="19"/>
          <w:szCs w:val="19"/>
        </w:rPr>
        <w:t>blem med hur ansvaret kan utkrävas i efterhand. Granskningen visar dessutom att arb</w:t>
      </w:r>
      <w:r w:rsidRPr="007E263F">
        <w:rPr>
          <w:sz w:val="19"/>
          <w:szCs w:val="19"/>
        </w:rPr>
        <w:t>e</w:t>
      </w:r>
      <w:r w:rsidRPr="007E263F">
        <w:rPr>
          <w:sz w:val="19"/>
          <w:szCs w:val="19"/>
        </w:rPr>
        <w:t>tet med att ta fram besparingarna präglas av bristfällig dokumentation, vilket försvårar insyn och uppföljning.</w:t>
      </w:r>
    </w:p>
    <w:p w:rsidR="008C3183" w:rsidRPr="007E263F" w:rsidRDefault="008C3183" w:rsidP="00393044">
      <w:pPr>
        <w:pStyle w:val="normalmedindrag"/>
        <w:spacing w:before="0" w:line="250" w:lineRule="atLeast"/>
        <w:jc w:val="both"/>
        <w:rPr>
          <w:sz w:val="19"/>
          <w:szCs w:val="19"/>
        </w:rPr>
      </w:pPr>
      <w:r w:rsidRPr="007E263F">
        <w:rPr>
          <w:sz w:val="19"/>
          <w:szCs w:val="19"/>
        </w:rPr>
        <w:t>Besparingarna har medfört vissa brister i Försvarsmaktens ver</w:t>
      </w:r>
      <w:r w:rsidRPr="007E263F">
        <w:rPr>
          <w:sz w:val="19"/>
          <w:szCs w:val="19"/>
        </w:rPr>
        <w:t>k</w:t>
      </w:r>
      <w:r w:rsidRPr="007E263F">
        <w:rPr>
          <w:sz w:val="19"/>
          <w:szCs w:val="19"/>
        </w:rPr>
        <w:t>samhet. De har bland annat haft negativ påverkan på Försvarsma</w:t>
      </w:r>
      <w:r w:rsidRPr="007E263F">
        <w:rPr>
          <w:sz w:val="19"/>
          <w:szCs w:val="19"/>
        </w:rPr>
        <w:t>k</w:t>
      </w:r>
      <w:r w:rsidRPr="007E263F">
        <w:rPr>
          <w:sz w:val="19"/>
          <w:szCs w:val="19"/>
        </w:rPr>
        <w:t>tens möjligheter att upprätthålla vissa delförmågor som myndigh</w:t>
      </w:r>
      <w:r w:rsidRPr="007E263F">
        <w:rPr>
          <w:sz w:val="19"/>
          <w:szCs w:val="19"/>
        </w:rPr>
        <w:t>e</w:t>
      </w:r>
      <w:r w:rsidRPr="007E263F">
        <w:rPr>
          <w:sz w:val="19"/>
          <w:szCs w:val="19"/>
        </w:rPr>
        <w:t xml:space="preserve">ten bedömt som viktiga för den operativa förmågan. </w:t>
      </w:r>
    </w:p>
    <w:p w:rsidR="008C3183" w:rsidRPr="007E263F" w:rsidRDefault="008C3183" w:rsidP="00393044">
      <w:pPr>
        <w:pStyle w:val="normalmedindrag"/>
        <w:spacing w:before="0" w:line="250" w:lineRule="atLeast"/>
        <w:jc w:val="both"/>
        <w:rPr>
          <w:sz w:val="19"/>
          <w:szCs w:val="19"/>
        </w:rPr>
      </w:pPr>
      <w:r w:rsidRPr="007E263F">
        <w:rPr>
          <w:sz w:val="19"/>
          <w:szCs w:val="19"/>
        </w:rPr>
        <w:t>För att uppnå besparingarna avbröts flera materielprojekt som rörde direk</w:t>
      </w:r>
      <w:r w:rsidRPr="007E263F">
        <w:rPr>
          <w:sz w:val="19"/>
          <w:szCs w:val="19"/>
        </w:rPr>
        <w:t>t</w:t>
      </w:r>
      <w:r w:rsidRPr="007E263F">
        <w:rPr>
          <w:sz w:val="19"/>
          <w:szCs w:val="19"/>
        </w:rPr>
        <w:t>anskaffning av materiel, vilket inte överensstämmer med principerna i rege</w:t>
      </w:r>
      <w:r w:rsidRPr="007E263F">
        <w:rPr>
          <w:sz w:val="19"/>
          <w:szCs w:val="19"/>
        </w:rPr>
        <w:t>r</w:t>
      </w:r>
      <w:r w:rsidRPr="007E263F">
        <w:rPr>
          <w:sz w:val="19"/>
          <w:szCs w:val="19"/>
        </w:rPr>
        <w:t>ingens materielförsörjningsstrategi. Många av de materielprojekt som avbröts för att nå besparingarna har återkommit, ibland till en högre kostnad. Både regeringen och Fö</w:t>
      </w:r>
      <w:r w:rsidRPr="007E263F">
        <w:rPr>
          <w:sz w:val="19"/>
          <w:szCs w:val="19"/>
        </w:rPr>
        <w:t>r</w:t>
      </w:r>
      <w:r w:rsidRPr="007E263F">
        <w:rPr>
          <w:sz w:val="19"/>
          <w:szCs w:val="19"/>
        </w:rPr>
        <w:t>svarsmakten hade kunnat säkerställa att besparingarna togs ut på ett mer effektivt sätt genom ett mer utvecklat samarbete.</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också att regeringen inte har gett riksdagen tillräcklig information om innebörden av besparingarna.</w:t>
      </w:r>
    </w:p>
    <w:p w:rsidR="008C3183" w:rsidRPr="007E263F" w:rsidRDefault="008C3183" w:rsidP="00790E55">
      <w:pPr>
        <w:pStyle w:val="Rubrik3"/>
        <w:rPr>
          <w:noProof w:val="0"/>
        </w:rPr>
      </w:pPr>
      <w:bookmarkStart w:id="80" w:name="_Toc326137833"/>
      <w:r w:rsidRPr="007E263F">
        <w:rPr>
          <w:noProof w:val="0"/>
        </w:rPr>
        <w:t>Den nordiska stridsgruppen – Nordic Battlegroup 2011 (RiR 2012:11)</w:t>
      </w:r>
      <w:bookmarkEnd w:id="80"/>
      <w:r w:rsidRPr="007E263F">
        <w:rPr>
          <w:noProof w:val="0"/>
        </w:rPr>
        <w:t xml:space="preserve">  </w:t>
      </w:r>
    </w:p>
    <w:p w:rsidR="008C3183" w:rsidRPr="007E263F" w:rsidRDefault="008C3183" w:rsidP="00393044">
      <w:pPr>
        <w:rPr>
          <w:szCs w:val="19"/>
        </w:rPr>
      </w:pPr>
      <w:r w:rsidRPr="007E263F">
        <w:rPr>
          <w:szCs w:val="19"/>
        </w:rPr>
        <w:t>EU-stridsgrupperna är en del av EU:s koncept för militär snabbinsatsförmåga och ska kunna användas inom ramen för EU:s krishantering. Kännetecknande är at</w:t>
      </w:r>
      <w:r w:rsidR="00461E8D" w:rsidRPr="007E263F">
        <w:rPr>
          <w:szCs w:val="19"/>
        </w:rPr>
        <w:t>t de ska kunna sättas in inom tio</w:t>
      </w:r>
      <w:r w:rsidRPr="007E263F">
        <w:rPr>
          <w:szCs w:val="19"/>
        </w:rPr>
        <w:t xml:space="preserve"> dagar för att verka under kort tid. Sver</w:t>
      </w:r>
      <w:r w:rsidRPr="007E263F">
        <w:rPr>
          <w:szCs w:val="19"/>
        </w:rPr>
        <w:t>i</w:t>
      </w:r>
      <w:r w:rsidRPr="007E263F">
        <w:rPr>
          <w:szCs w:val="19"/>
        </w:rPr>
        <w:t xml:space="preserve">ge har vid två tillfällen tagit ansvar för att organisera och producera en sådan styrka, Nordic Battlegroup 2008 (NBG08) samt Nordic Battlegroup 2011 (NBG11). </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har tidigare granskat framtagandet av NBG08. Riksrevisi</w:t>
      </w:r>
      <w:r w:rsidRPr="007E263F">
        <w:rPr>
          <w:sz w:val="19"/>
          <w:szCs w:val="19"/>
        </w:rPr>
        <w:t>o</w:t>
      </w:r>
      <w:r w:rsidRPr="007E263F">
        <w:rPr>
          <w:sz w:val="19"/>
          <w:szCs w:val="19"/>
        </w:rPr>
        <w:t>nens granskning av den andra nordiska stridsgruppen, NBG11</w:t>
      </w:r>
      <w:r w:rsidR="00461E8D" w:rsidRPr="007E263F">
        <w:rPr>
          <w:sz w:val="19"/>
          <w:szCs w:val="19"/>
        </w:rPr>
        <w:t>,</w:t>
      </w:r>
      <w:r w:rsidRPr="007E263F">
        <w:rPr>
          <w:sz w:val="19"/>
          <w:szCs w:val="19"/>
        </w:rPr>
        <w:t xml:space="preserve"> visar att fra</w:t>
      </w:r>
      <w:r w:rsidRPr="007E263F">
        <w:rPr>
          <w:sz w:val="19"/>
          <w:szCs w:val="19"/>
        </w:rPr>
        <w:t>m</w:t>
      </w:r>
      <w:r w:rsidRPr="007E263F">
        <w:rPr>
          <w:sz w:val="19"/>
          <w:szCs w:val="19"/>
        </w:rPr>
        <w:t>tagandet av NBG11 sammantaget fungerade bättre än vad som var fallet för NBG08. NBG11 anmäldes utan begränsningar till EU, och Riksrevisionen har inte funnit grund för att ifrågasätta detta. Rik</w:t>
      </w:r>
      <w:r w:rsidRPr="007E263F">
        <w:rPr>
          <w:sz w:val="19"/>
          <w:szCs w:val="19"/>
        </w:rPr>
        <w:t>s</w:t>
      </w:r>
      <w:r w:rsidRPr="007E263F">
        <w:rPr>
          <w:sz w:val="19"/>
          <w:szCs w:val="19"/>
        </w:rPr>
        <w:t>revisionen menar dock att det är viktigt att komma ihåg att en sty</w:t>
      </w:r>
      <w:r w:rsidRPr="007E263F">
        <w:rPr>
          <w:sz w:val="19"/>
          <w:szCs w:val="19"/>
        </w:rPr>
        <w:t>r</w:t>
      </w:r>
      <w:r w:rsidRPr="007E263F">
        <w:rPr>
          <w:sz w:val="19"/>
          <w:szCs w:val="19"/>
        </w:rPr>
        <w:t>ka av denna storlek och sammansättning sannolikt är mindre effe</w:t>
      </w:r>
      <w:r w:rsidRPr="007E263F">
        <w:rPr>
          <w:sz w:val="19"/>
          <w:szCs w:val="19"/>
        </w:rPr>
        <w:t>k</w:t>
      </w:r>
      <w:r w:rsidRPr="007E263F">
        <w:rPr>
          <w:sz w:val="19"/>
          <w:szCs w:val="19"/>
        </w:rPr>
        <w:t>tiv i situationer där konfliktnivån är hög.</w:t>
      </w:r>
    </w:p>
    <w:p w:rsidR="008C3183" w:rsidRPr="007E263F" w:rsidRDefault="008C3183" w:rsidP="00393044">
      <w:pPr>
        <w:pStyle w:val="normalmedindrag"/>
        <w:spacing w:before="0" w:line="250" w:lineRule="atLeast"/>
        <w:jc w:val="both"/>
        <w:rPr>
          <w:sz w:val="19"/>
          <w:szCs w:val="19"/>
        </w:rPr>
      </w:pPr>
      <w:r w:rsidRPr="007E263F">
        <w:rPr>
          <w:sz w:val="19"/>
          <w:szCs w:val="19"/>
        </w:rPr>
        <w:t>Försvarsmakten har tillvaratagit erfarenheter från NBG08, men vissa bri</w:t>
      </w:r>
      <w:r w:rsidRPr="007E263F">
        <w:rPr>
          <w:sz w:val="19"/>
          <w:szCs w:val="19"/>
        </w:rPr>
        <w:t>s</w:t>
      </w:r>
      <w:r w:rsidRPr="007E263F">
        <w:rPr>
          <w:sz w:val="19"/>
          <w:szCs w:val="19"/>
        </w:rPr>
        <w:t>ter kvarstår. Svag samordning inom Försvarsmaktens högkvarter medförde att myndigheten inte lyckades få fram styra</w:t>
      </w:r>
      <w:r w:rsidRPr="007E263F">
        <w:rPr>
          <w:sz w:val="19"/>
          <w:szCs w:val="19"/>
        </w:rPr>
        <w:t>n</w:t>
      </w:r>
      <w:r w:rsidRPr="007E263F">
        <w:rPr>
          <w:sz w:val="19"/>
          <w:szCs w:val="19"/>
        </w:rPr>
        <w:t>de dokument för förbandet i tid. Detta påverkade bland annat materielförsörjningen samt utbildning och ö</w:t>
      </w:r>
      <w:r w:rsidRPr="007E263F">
        <w:rPr>
          <w:sz w:val="19"/>
          <w:szCs w:val="19"/>
        </w:rPr>
        <w:t>v</w:t>
      </w:r>
      <w:r w:rsidRPr="007E263F">
        <w:rPr>
          <w:sz w:val="19"/>
          <w:szCs w:val="19"/>
        </w:rPr>
        <w:t>ning. Vidare tog Fö</w:t>
      </w:r>
      <w:r w:rsidRPr="007E263F">
        <w:rPr>
          <w:sz w:val="19"/>
          <w:szCs w:val="19"/>
        </w:rPr>
        <w:t>r</w:t>
      </w:r>
      <w:r w:rsidRPr="007E263F">
        <w:rPr>
          <w:sz w:val="19"/>
          <w:szCs w:val="19"/>
        </w:rPr>
        <w:t>svarsmakten risker när man planerade för materiel med knapp til</w:t>
      </w:r>
      <w:r w:rsidRPr="007E263F">
        <w:rPr>
          <w:sz w:val="19"/>
          <w:szCs w:val="19"/>
        </w:rPr>
        <w:t>l</w:t>
      </w:r>
      <w:r w:rsidRPr="007E263F">
        <w:rPr>
          <w:sz w:val="19"/>
          <w:szCs w:val="19"/>
        </w:rPr>
        <w:t>gång, som till exempel fordon.</w:t>
      </w:r>
    </w:p>
    <w:p w:rsidR="008C3183" w:rsidRPr="007E263F" w:rsidRDefault="008C3183" w:rsidP="00393044">
      <w:pPr>
        <w:pStyle w:val="normalmedindrag"/>
        <w:spacing w:before="0" w:line="250" w:lineRule="atLeast"/>
        <w:jc w:val="both"/>
        <w:rPr>
          <w:sz w:val="19"/>
          <w:szCs w:val="19"/>
        </w:rPr>
      </w:pPr>
      <w:r w:rsidRPr="007E263F">
        <w:rPr>
          <w:sz w:val="19"/>
          <w:szCs w:val="19"/>
        </w:rPr>
        <w:t>Regeringen har skärpt styrningen. En ram fastställdes till 1</w:t>
      </w:r>
      <w:r w:rsidR="00461E8D" w:rsidRPr="007E263F">
        <w:rPr>
          <w:sz w:val="19"/>
          <w:szCs w:val="19"/>
        </w:rPr>
        <w:t> </w:t>
      </w:r>
      <w:r w:rsidRPr="007E263F">
        <w:rPr>
          <w:sz w:val="19"/>
          <w:szCs w:val="19"/>
        </w:rPr>
        <w:t>600 svenskar, men denna och övrig styrning skedde sent i förhållande till förbandsprodu</w:t>
      </w:r>
      <w:r w:rsidRPr="007E263F">
        <w:rPr>
          <w:sz w:val="19"/>
          <w:szCs w:val="19"/>
        </w:rPr>
        <w:t>k</w:t>
      </w:r>
      <w:r w:rsidRPr="007E263F">
        <w:rPr>
          <w:sz w:val="19"/>
          <w:szCs w:val="19"/>
        </w:rPr>
        <w:t>tionen.</w:t>
      </w:r>
    </w:p>
    <w:p w:rsidR="008C3183" w:rsidRPr="007E263F" w:rsidRDefault="008C3183" w:rsidP="00393044">
      <w:pPr>
        <w:pStyle w:val="Rubrik2"/>
        <w:spacing w:line="250" w:lineRule="atLeast"/>
        <w:jc w:val="both"/>
      </w:pPr>
      <w:bookmarkStart w:id="81" w:name="_Toc326137834"/>
      <w:r w:rsidRPr="007E263F">
        <w:t>Socialförsäkringsutskottet (SfU)</w:t>
      </w:r>
      <w:bookmarkEnd w:id="81"/>
      <w:r w:rsidRPr="007E263F">
        <w:t xml:space="preserve"> </w:t>
      </w:r>
    </w:p>
    <w:p w:rsidR="008C3183" w:rsidRPr="007E263F" w:rsidRDefault="008C3183" w:rsidP="00393044">
      <w:pPr>
        <w:pStyle w:val="Rubrik3"/>
        <w:jc w:val="both"/>
        <w:rPr>
          <w:noProof w:val="0"/>
        </w:rPr>
      </w:pPr>
      <w:bookmarkStart w:id="82" w:name="_Toc326137835"/>
      <w:r w:rsidRPr="007E263F">
        <w:rPr>
          <w:noProof w:val="0"/>
        </w:rPr>
        <w:t>Vad blev det av de misstänkta bidragsbrotten? (RiR 2011:20)</w:t>
      </w:r>
      <w:bookmarkEnd w:id="82"/>
    </w:p>
    <w:p w:rsidR="008C3183" w:rsidRPr="007E263F" w:rsidRDefault="008C3183" w:rsidP="00393044">
      <w:r w:rsidRPr="007E263F">
        <w:t>I syfte att minska omfattningen av felaktiga utbetalningar från välfärdssyst</w:t>
      </w:r>
      <w:r w:rsidRPr="007E263F">
        <w:t>e</w:t>
      </w:r>
      <w:r w:rsidRPr="007E263F">
        <w:t>men infördes bidragsbrottslagen i augusti 2007. Regeringen framhöll i prop</w:t>
      </w:r>
      <w:r w:rsidRPr="007E263F">
        <w:t>o</w:t>
      </w:r>
      <w:r w:rsidRPr="007E263F">
        <w:t>sitionen att mycket talar för att brottsligheten mot välfärdssystemen kan vara omfattande och att den leder till stora felaktiga utbetalningar. Riksrevisionen har granskat statens insatser mot bidragsbrott efter införandet av bidrag</w:t>
      </w:r>
      <w:r w:rsidRPr="007E263F">
        <w:t>s</w:t>
      </w:r>
      <w:r w:rsidRPr="007E263F">
        <w:t>brottslagen.</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att det finns effektivitetsbrister i hela kedjan av my</w:t>
      </w:r>
      <w:r w:rsidRPr="007E263F">
        <w:rPr>
          <w:sz w:val="19"/>
          <w:szCs w:val="19"/>
        </w:rPr>
        <w:t>n</w:t>
      </w:r>
      <w:r w:rsidRPr="007E263F">
        <w:rPr>
          <w:sz w:val="19"/>
          <w:szCs w:val="19"/>
        </w:rPr>
        <w:t>digheter som hanterar bidragsbrott. Bidragsbrottsärenden blir liggande vid myndigheterna och genomströmningstiderna är långa. Många ärenden läggs ned i olika delar av utredningskedjan</w:t>
      </w:r>
      <w:r w:rsidR="00461E8D" w:rsidRPr="007E263F">
        <w:rPr>
          <w:sz w:val="19"/>
          <w:szCs w:val="19"/>
        </w:rPr>
        <w:t>,</w:t>
      </w:r>
      <w:r w:rsidRPr="007E263F">
        <w:rPr>
          <w:sz w:val="19"/>
          <w:szCs w:val="19"/>
        </w:rPr>
        <w:t xml:space="preserve"> och många bidragsbrott klaras inte upp. Det saknas ett lärande i utredningskedjan, och granskningen visar brister både vad gäller handläggarnas utbildning och återkopplingen från de brottsutr</w:t>
      </w:r>
      <w:r w:rsidRPr="007E263F">
        <w:rPr>
          <w:sz w:val="19"/>
          <w:szCs w:val="19"/>
        </w:rPr>
        <w:t>e</w:t>
      </w:r>
      <w:r w:rsidRPr="007E263F">
        <w:rPr>
          <w:sz w:val="19"/>
          <w:szCs w:val="19"/>
        </w:rPr>
        <w:t xml:space="preserve">dande myndigheterna. </w:t>
      </w:r>
    </w:p>
    <w:p w:rsidR="008C3183" w:rsidRPr="007E263F" w:rsidRDefault="008C3183" w:rsidP="00393044">
      <w:pPr>
        <w:pStyle w:val="normalmedindrag"/>
        <w:spacing w:before="0" w:line="250" w:lineRule="atLeast"/>
        <w:jc w:val="both"/>
        <w:rPr>
          <w:sz w:val="19"/>
          <w:szCs w:val="19"/>
        </w:rPr>
      </w:pPr>
      <w:r w:rsidRPr="007E263F">
        <w:rPr>
          <w:sz w:val="19"/>
          <w:szCs w:val="19"/>
        </w:rPr>
        <w:t>Det faktiska antalet bidragsbrott avviker dessutom från regeringens b</w:t>
      </w:r>
      <w:r w:rsidRPr="007E263F">
        <w:rPr>
          <w:sz w:val="19"/>
          <w:szCs w:val="19"/>
        </w:rPr>
        <w:t>e</w:t>
      </w:r>
      <w:r w:rsidRPr="007E263F">
        <w:rPr>
          <w:sz w:val="19"/>
          <w:szCs w:val="19"/>
        </w:rPr>
        <w:t>dömning av brottslighetens omfattning. Det finns därmed en risk för att rege</w:t>
      </w:r>
      <w:r w:rsidRPr="007E263F">
        <w:rPr>
          <w:sz w:val="19"/>
          <w:szCs w:val="19"/>
        </w:rPr>
        <w:t>r</w:t>
      </w:r>
      <w:r w:rsidRPr="007E263F">
        <w:rPr>
          <w:sz w:val="19"/>
          <w:szCs w:val="19"/>
        </w:rPr>
        <w:t>ingens styrning baseras på en föreställning om att bidragsbrotten är fler än vad de faktiskt är, vilket kan leda till fe</w:t>
      </w:r>
      <w:r w:rsidRPr="007E263F">
        <w:rPr>
          <w:sz w:val="19"/>
          <w:szCs w:val="19"/>
        </w:rPr>
        <w:t>l</w:t>
      </w:r>
      <w:r w:rsidRPr="007E263F">
        <w:rPr>
          <w:sz w:val="19"/>
          <w:szCs w:val="19"/>
        </w:rPr>
        <w:t xml:space="preserve">aktiga prioriteringar.  </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bedömer vidare att det straffrättsliga systemet för bidrag</w:t>
      </w:r>
      <w:r w:rsidRPr="007E263F">
        <w:rPr>
          <w:sz w:val="19"/>
          <w:szCs w:val="19"/>
        </w:rPr>
        <w:t>s</w:t>
      </w:r>
      <w:r w:rsidRPr="007E263F">
        <w:rPr>
          <w:sz w:val="19"/>
          <w:szCs w:val="19"/>
        </w:rPr>
        <w:t>brott inte är effektivt, vilket kan minska den förebyggande effekt som var regeringens huvudsakliga motiv till kriminaliseringen. Arbetet med bidrag</w:t>
      </w:r>
      <w:r w:rsidRPr="007E263F">
        <w:rPr>
          <w:sz w:val="19"/>
          <w:szCs w:val="19"/>
        </w:rPr>
        <w:t>s</w:t>
      </w:r>
      <w:r w:rsidRPr="007E263F">
        <w:rPr>
          <w:sz w:val="19"/>
          <w:szCs w:val="19"/>
        </w:rPr>
        <w:t>brott är inte heller lönsamt på alla myndi</w:t>
      </w:r>
      <w:r w:rsidRPr="007E263F">
        <w:rPr>
          <w:sz w:val="19"/>
          <w:szCs w:val="19"/>
        </w:rPr>
        <w:t>g</w:t>
      </w:r>
      <w:r w:rsidRPr="007E263F">
        <w:rPr>
          <w:sz w:val="19"/>
          <w:szCs w:val="19"/>
        </w:rPr>
        <w:t>heter, och myndigheterna har fått olika förutsättningar att tillämpa lagen och uppfylla kraven på kostnadseffe</w:t>
      </w:r>
      <w:r w:rsidRPr="007E263F">
        <w:rPr>
          <w:sz w:val="19"/>
          <w:szCs w:val="19"/>
        </w:rPr>
        <w:t>k</w:t>
      </w:r>
      <w:r w:rsidRPr="007E263F">
        <w:rPr>
          <w:sz w:val="19"/>
          <w:szCs w:val="19"/>
        </w:rPr>
        <w:t>tivitet.</w:t>
      </w:r>
    </w:p>
    <w:p w:rsidR="008C3183" w:rsidRPr="007E263F" w:rsidRDefault="008C3183" w:rsidP="00393044">
      <w:pPr>
        <w:pStyle w:val="Rubrik2"/>
        <w:spacing w:line="250" w:lineRule="atLeast"/>
        <w:jc w:val="both"/>
      </w:pPr>
      <w:bookmarkStart w:id="83" w:name="_Toc326137836"/>
      <w:r w:rsidRPr="007E263F">
        <w:t>Socialutskottet (SoU)</w:t>
      </w:r>
      <w:bookmarkEnd w:id="83"/>
      <w:r w:rsidRPr="007E263F">
        <w:t xml:space="preserve"> </w:t>
      </w:r>
    </w:p>
    <w:p w:rsidR="008C3183" w:rsidRPr="007E263F" w:rsidRDefault="008C3183" w:rsidP="00393044">
      <w:pPr>
        <w:pStyle w:val="Rubrik3"/>
        <w:jc w:val="both"/>
        <w:rPr>
          <w:noProof w:val="0"/>
        </w:rPr>
      </w:pPr>
      <w:bookmarkStart w:id="84" w:name="_Toc326137837"/>
      <w:r w:rsidRPr="007E263F">
        <w:rPr>
          <w:noProof w:val="0"/>
        </w:rPr>
        <w:t>Statens försäljningar av apotek (RiR 2012:10)</w:t>
      </w:r>
      <w:bookmarkEnd w:id="84"/>
    </w:p>
    <w:p w:rsidR="008C3183" w:rsidRPr="007E263F" w:rsidRDefault="008C3183" w:rsidP="00393044">
      <w:pPr>
        <w:pStyle w:val="normalmedindrag"/>
        <w:spacing w:line="250" w:lineRule="atLeast"/>
        <w:ind w:firstLine="0"/>
        <w:jc w:val="both"/>
        <w:rPr>
          <w:sz w:val="19"/>
          <w:szCs w:val="19"/>
        </w:rPr>
      </w:pPr>
      <w:r w:rsidRPr="007E263F">
        <w:rPr>
          <w:sz w:val="19"/>
          <w:szCs w:val="19"/>
        </w:rPr>
        <w:t>I april 2009 beslutade riksdagen att omreglera apoteksmarknaden. Centralt i omregleringen var patient- och konsumentperspektivet. Konsumenterna sku</w:t>
      </w:r>
      <w:r w:rsidRPr="007E263F">
        <w:rPr>
          <w:sz w:val="19"/>
          <w:szCs w:val="19"/>
        </w:rPr>
        <w:t>l</w:t>
      </w:r>
      <w:r w:rsidRPr="007E263F">
        <w:rPr>
          <w:sz w:val="19"/>
          <w:szCs w:val="19"/>
        </w:rPr>
        <w:t>le få ökad tillgång till läkemedel, bättre serv</w:t>
      </w:r>
      <w:r w:rsidRPr="007E263F">
        <w:rPr>
          <w:sz w:val="19"/>
          <w:szCs w:val="19"/>
        </w:rPr>
        <w:t>i</w:t>
      </w:r>
      <w:r w:rsidRPr="007E263F">
        <w:rPr>
          <w:sz w:val="19"/>
          <w:szCs w:val="19"/>
        </w:rPr>
        <w:t>ce och tjänsteutbud samt lägre</w:t>
      </w:r>
      <w:r w:rsidR="00615012" w:rsidRPr="007E263F">
        <w:rPr>
          <w:sz w:val="19"/>
          <w:szCs w:val="19"/>
        </w:rPr>
        <w:t xml:space="preserve"> </w:t>
      </w:r>
      <w:r w:rsidR="00615012" w:rsidRPr="007E263F">
        <w:rPr>
          <w:spacing w:val="-4"/>
          <w:sz w:val="19"/>
          <w:szCs w:val="19"/>
        </w:rPr>
        <w:t xml:space="preserve">läkemedelskostnader. </w:t>
      </w:r>
      <w:r w:rsidRPr="007E263F">
        <w:rPr>
          <w:spacing w:val="-4"/>
          <w:sz w:val="19"/>
          <w:szCs w:val="19"/>
        </w:rPr>
        <w:t>Apoteks</w:t>
      </w:r>
      <w:r w:rsidR="00615012" w:rsidRPr="007E263F">
        <w:rPr>
          <w:spacing w:val="-4"/>
          <w:sz w:val="19"/>
          <w:szCs w:val="19"/>
        </w:rPr>
        <w:softHyphen/>
      </w:r>
      <w:r w:rsidRPr="007E263F">
        <w:rPr>
          <w:spacing w:val="-4"/>
          <w:sz w:val="19"/>
          <w:szCs w:val="19"/>
        </w:rPr>
        <w:t>försälj</w:t>
      </w:r>
      <w:r w:rsidR="00615012" w:rsidRPr="007E263F">
        <w:rPr>
          <w:spacing w:val="-4"/>
          <w:sz w:val="19"/>
          <w:szCs w:val="19"/>
        </w:rPr>
        <w:softHyphen/>
      </w:r>
      <w:r w:rsidRPr="007E263F">
        <w:rPr>
          <w:spacing w:val="-4"/>
          <w:sz w:val="19"/>
          <w:szCs w:val="19"/>
        </w:rPr>
        <w:t>ningarna var en viktig del av o</w:t>
      </w:r>
      <w:r w:rsidRPr="007E263F">
        <w:rPr>
          <w:spacing w:val="-4"/>
          <w:sz w:val="19"/>
          <w:szCs w:val="19"/>
        </w:rPr>
        <w:t>m</w:t>
      </w:r>
      <w:r w:rsidRPr="007E263F">
        <w:rPr>
          <w:spacing w:val="-4"/>
          <w:sz w:val="19"/>
          <w:szCs w:val="19"/>
        </w:rPr>
        <w:t>re</w:t>
      </w:r>
      <w:r w:rsidR="00615012" w:rsidRPr="007E263F">
        <w:rPr>
          <w:spacing w:val="-4"/>
          <w:sz w:val="19"/>
          <w:szCs w:val="19"/>
        </w:rPr>
        <w:softHyphen/>
      </w:r>
      <w:r w:rsidRPr="007E263F">
        <w:rPr>
          <w:spacing w:val="-4"/>
          <w:sz w:val="19"/>
          <w:szCs w:val="19"/>
        </w:rPr>
        <w:t>gleringen.</w:t>
      </w:r>
      <w:r w:rsidRPr="007E263F">
        <w:rPr>
          <w:sz w:val="19"/>
          <w:szCs w:val="19"/>
        </w:rPr>
        <w:t xml:space="preserve"> De skulle ske a</w:t>
      </w:r>
      <w:r w:rsidRPr="007E263F">
        <w:rPr>
          <w:sz w:val="19"/>
          <w:szCs w:val="19"/>
        </w:rPr>
        <w:t>f</w:t>
      </w:r>
      <w:r w:rsidRPr="007E263F">
        <w:rPr>
          <w:sz w:val="19"/>
          <w:szCs w:val="19"/>
        </w:rPr>
        <w:t xml:space="preserve">färsmässigt och verka för omregleringens mål. </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har granskat om regeringen genomfört försäljningarna i e</w:t>
      </w:r>
      <w:r w:rsidRPr="007E263F">
        <w:rPr>
          <w:sz w:val="19"/>
          <w:szCs w:val="19"/>
        </w:rPr>
        <w:t>n</w:t>
      </w:r>
      <w:r w:rsidRPr="007E263F">
        <w:rPr>
          <w:sz w:val="19"/>
          <w:szCs w:val="19"/>
        </w:rPr>
        <w:t>lighet med riksdagens intentioner och om de redov</w:t>
      </w:r>
      <w:r w:rsidRPr="007E263F">
        <w:rPr>
          <w:sz w:val="19"/>
          <w:szCs w:val="19"/>
        </w:rPr>
        <w:t>i</w:t>
      </w:r>
      <w:r w:rsidRPr="007E263F">
        <w:rPr>
          <w:sz w:val="19"/>
          <w:szCs w:val="19"/>
        </w:rPr>
        <w:t xml:space="preserve">sats på ett transparent och ändamålsenligt sätt. </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bedömer att regeringens genomförande inte var ändamål</w:t>
      </w:r>
      <w:r w:rsidRPr="007E263F">
        <w:rPr>
          <w:sz w:val="19"/>
          <w:szCs w:val="19"/>
        </w:rPr>
        <w:t>s</w:t>
      </w:r>
      <w:r w:rsidRPr="007E263F">
        <w:rPr>
          <w:sz w:val="19"/>
          <w:szCs w:val="19"/>
        </w:rPr>
        <w:t>enligt i förhållande till försäljningens mål. Det hade varit ändamålsenligt om regeringen analyserat i vilka avseenden och inom vilka områden det fanns risker för att marknaden ensam inte skulle kunna leverera det önskvärda r</w:t>
      </w:r>
      <w:r w:rsidRPr="007E263F">
        <w:rPr>
          <w:sz w:val="19"/>
          <w:szCs w:val="19"/>
        </w:rPr>
        <w:t>e</w:t>
      </w:r>
      <w:r w:rsidRPr="007E263F">
        <w:rPr>
          <w:sz w:val="19"/>
          <w:szCs w:val="19"/>
        </w:rPr>
        <w:t>sultatet. Regeringens organisering och arbetssätt i vissa delar av försäljnin</w:t>
      </w:r>
      <w:r w:rsidRPr="007E263F">
        <w:rPr>
          <w:sz w:val="19"/>
          <w:szCs w:val="19"/>
        </w:rPr>
        <w:t>g</w:t>
      </w:r>
      <w:r w:rsidRPr="007E263F">
        <w:rPr>
          <w:sz w:val="19"/>
          <w:szCs w:val="19"/>
        </w:rPr>
        <w:t>arnas genomföra</w:t>
      </w:r>
      <w:r w:rsidRPr="007E263F">
        <w:rPr>
          <w:sz w:val="19"/>
          <w:szCs w:val="19"/>
        </w:rPr>
        <w:t>n</w:t>
      </w:r>
      <w:r w:rsidRPr="007E263F">
        <w:rPr>
          <w:sz w:val="19"/>
          <w:szCs w:val="19"/>
        </w:rPr>
        <w:t>de motverkade en effektiv användning av statens resurser. Detta dels genom hur villkoren för marknaden preciserades, dels genom sty</w:t>
      </w:r>
      <w:r w:rsidRPr="007E263F">
        <w:rPr>
          <w:sz w:val="19"/>
          <w:szCs w:val="19"/>
        </w:rPr>
        <w:t>r</w:t>
      </w:r>
      <w:r w:rsidRPr="007E263F">
        <w:rPr>
          <w:sz w:val="19"/>
          <w:szCs w:val="19"/>
        </w:rPr>
        <w:t xml:space="preserve">ningen av Apoteket AB. </w:t>
      </w:r>
    </w:p>
    <w:p w:rsidR="008C3183" w:rsidRPr="007E263F" w:rsidRDefault="008C3183" w:rsidP="00393044">
      <w:pPr>
        <w:pStyle w:val="normalmedindrag"/>
        <w:spacing w:before="0" w:line="250" w:lineRule="atLeast"/>
        <w:jc w:val="both"/>
        <w:rPr>
          <w:sz w:val="19"/>
          <w:szCs w:val="19"/>
        </w:rPr>
      </w:pPr>
      <w:r w:rsidRPr="007E263F">
        <w:rPr>
          <w:sz w:val="19"/>
          <w:szCs w:val="19"/>
        </w:rPr>
        <w:t>Regeringens rapportering till riksdagen om hur försäljningarna genomförts är hittills knapphändig och otydlig. Efter omregleringens genomförande ko</w:t>
      </w:r>
      <w:r w:rsidRPr="007E263F">
        <w:rPr>
          <w:sz w:val="19"/>
          <w:szCs w:val="19"/>
        </w:rPr>
        <w:t>n</w:t>
      </w:r>
      <w:r w:rsidRPr="007E263F">
        <w:rPr>
          <w:sz w:val="19"/>
          <w:szCs w:val="19"/>
        </w:rPr>
        <w:t>trollerar stat</w:t>
      </w:r>
      <w:r w:rsidR="00461E8D" w:rsidRPr="007E263F">
        <w:rPr>
          <w:sz w:val="19"/>
          <w:szCs w:val="19"/>
        </w:rPr>
        <w:t>en,</w:t>
      </w:r>
      <w:r w:rsidRPr="007E263F">
        <w:rPr>
          <w:sz w:val="19"/>
          <w:szCs w:val="19"/>
        </w:rPr>
        <w:t xml:space="preserve"> i allt väsentligt, två apotek</w:t>
      </w:r>
      <w:r w:rsidRPr="007E263F">
        <w:rPr>
          <w:sz w:val="19"/>
          <w:szCs w:val="19"/>
        </w:rPr>
        <w:t>s</w:t>
      </w:r>
      <w:r w:rsidRPr="007E263F">
        <w:rPr>
          <w:sz w:val="19"/>
          <w:szCs w:val="19"/>
        </w:rPr>
        <w:t>koncerner, vilket inte framgår tydligt av redovisningen till riksdagen. Riksrevisionen bedömer att den statl</w:t>
      </w:r>
      <w:r w:rsidRPr="007E263F">
        <w:rPr>
          <w:sz w:val="19"/>
          <w:szCs w:val="19"/>
        </w:rPr>
        <w:t>i</w:t>
      </w:r>
      <w:r w:rsidRPr="007E263F">
        <w:rPr>
          <w:sz w:val="19"/>
          <w:szCs w:val="19"/>
        </w:rPr>
        <w:t>ga koncern, som kontro</w:t>
      </w:r>
      <w:r w:rsidRPr="007E263F">
        <w:rPr>
          <w:sz w:val="19"/>
          <w:szCs w:val="19"/>
        </w:rPr>
        <w:t>l</w:t>
      </w:r>
      <w:r w:rsidRPr="007E263F">
        <w:rPr>
          <w:sz w:val="19"/>
          <w:szCs w:val="19"/>
        </w:rPr>
        <w:t>lerar den nya detaljistkedjan, Apoteksgruppen, fått ett inform</w:t>
      </w:r>
      <w:r w:rsidRPr="007E263F">
        <w:rPr>
          <w:sz w:val="19"/>
          <w:szCs w:val="19"/>
        </w:rPr>
        <w:t>a</w:t>
      </w:r>
      <w:r w:rsidRPr="007E263F">
        <w:rPr>
          <w:sz w:val="19"/>
          <w:szCs w:val="19"/>
        </w:rPr>
        <w:t xml:space="preserve">tionsövertag på apoteksmarknaden. </w:t>
      </w:r>
    </w:p>
    <w:p w:rsidR="00CB6764" w:rsidRPr="007E263F" w:rsidRDefault="00CB6764" w:rsidP="00CB6764">
      <w:pPr>
        <w:pStyle w:val="Rubrik3"/>
        <w:jc w:val="both"/>
        <w:rPr>
          <w:noProof w:val="0"/>
        </w:rPr>
      </w:pPr>
      <w:bookmarkStart w:id="85" w:name="_Toc326137838"/>
      <w:r w:rsidRPr="007E263F">
        <w:rPr>
          <w:noProof w:val="0"/>
        </w:rPr>
        <w:t>Tandvårdsreformen 2008 – når den alla? (RiR 2012:12)</w:t>
      </w:r>
      <w:bookmarkEnd w:id="85"/>
    </w:p>
    <w:p w:rsidR="00CB6764" w:rsidRPr="007E263F" w:rsidRDefault="00CB6764" w:rsidP="00CB6764">
      <w:r w:rsidRPr="007E263F">
        <w:t>Regeringen genomförde en ny tandvårdsreform 2008. Syftet med reformen var att utvidga den förebyggande tandvården och att erbjuda tandvård till en rimlig kostnad för personer med stora tandvårdsbehov. Regeringen införde därför ett allmänt tandvårdsbidrag för att öka besöksfrekvensen och ett hö</w:t>
      </w:r>
      <w:r w:rsidRPr="007E263F">
        <w:t>g</w:t>
      </w:r>
      <w:r w:rsidRPr="007E263F">
        <w:t>kostnadsskydd för att minska de ekonomiska hindren att genomföra den tan</w:t>
      </w:r>
      <w:r w:rsidRPr="007E263F">
        <w:t>d</w:t>
      </w:r>
      <w:r w:rsidRPr="007E263F">
        <w:t xml:space="preserve">vård som behövs för personer med stora tandvårdsbehov. </w:t>
      </w:r>
    </w:p>
    <w:p w:rsidR="00CB6764" w:rsidRPr="007E263F" w:rsidRDefault="00CB6764" w:rsidP="00CB6764">
      <w:pPr>
        <w:pStyle w:val="normalmedindrag"/>
        <w:spacing w:before="0" w:line="250" w:lineRule="atLeast"/>
        <w:jc w:val="both"/>
        <w:rPr>
          <w:sz w:val="19"/>
          <w:szCs w:val="19"/>
        </w:rPr>
      </w:pPr>
      <w:r w:rsidRPr="007E263F">
        <w:rPr>
          <w:sz w:val="19"/>
          <w:szCs w:val="19"/>
        </w:rPr>
        <w:t>I rapporten granskas om målen med reformen uppfylls och om statens i</w:t>
      </w:r>
      <w:r w:rsidRPr="007E263F">
        <w:rPr>
          <w:sz w:val="19"/>
          <w:szCs w:val="19"/>
        </w:rPr>
        <w:t>n</w:t>
      </w:r>
      <w:r w:rsidRPr="007E263F">
        <w:rPr>
          <w:sz w:val="19"/>
          <w:szCs w:val="19"/>
        </w:rPr>
        <w:t xml:space="preserve">satser har varit effektiva medel för att bidra till att målen nås. </w:t>
      </w:r>
    </w:p>
    <w:p w:rsidR="00CB6764" w:rsidRPr="007E263F" w:rsidRDefault="00CB6764" w:rsidP="00CB6764">
      <w:pPr>
        <w:pStyle w:val="normalmedindrag"/>
        <w:spacing w:before="0" w:line="250" w:lineRule="atLeast"/>
        <w:jc w:val="both"/>
        <w:rPr>
          <w:sz w:val="19"/>
          <w:szCs w:val="19"/>
        </w:rPr>
      </w:pPr>
      <w:r w:rsidRPr="007E263F">
        <w:rPr>
          <w:sz w:val="19"/>
          <w:szCs w:val="19"/>
        </w:rPr>
        <w:t>Granskningen visar att besöksfrekvensen ökat marginellt sedan reformen infördes och att den inte når upp till de nivåer som rege</w:t>
      </w:r>
      <w:r w:rsidRPr="007E263F">
        <w:rPr>
          <w:sz w:val="19"/>
          <w:szCs w:val="19"/>
        </w:rPr>
        <w:t>r</w:t>
      </w:r>
      <w:r w:rsidRPr="007E263F">
        <w:rPr>
          <w:sz w:val="19"/>
          <w:szCs w:val="19"/>
        </w:rPr>
        <w:t xml:space="preserve">ingen hoppades på. Det allmänna tandvårdsbidraget är varken känt eller utformat på ett sätt som gör att det leder till fler besök. </w:t>
      </w:r>
    </w:p>
    <w:p w:rsidR="00CB6764" w:rsidRPr="007E263F" w:rsidRDefault="00CB6764" w:rsidP="00CB6764">
      <w:pPr>
        <w:pStyle w:val="normalmedindrag"/>
        <w:spacing w:before="0" w:line="250" w:lineRule="atLeast"/>
        <w:jc w:val="both"/>
        <w:rPr>
          <w:sz w:val="19"/>
          <w:szCs w:val="19"/>
        </w:rPr>
      </w:pPr>
      <w:r w:rsidRPr="007E263F">
        <w:rPr>
          <w:sz w:val="19"/>
          <w:szCs w:val="19"/>
        </w:rPr>
        <w:t>Högkostnadsskyddet utgör visserligen många gånger ett bra skydd mot höga tandvårdskostnader. Men den höga graden av självfinansiering leder ofta till att personer med låga inkomster och stora tandvårdsbehov fortfarande har svårt att ta del av skyddet.</w:t>
      </w:r>
    </w:p>
    <w:p w:rsidR="00CB6764" w:rsidRPr="007E263F" w:rsidRDefault="00CB6764" w:rsidP="00CB6764">
      <w:pPr>
        <w:pStyle w:val="normalmedindrag"/>
        <w:spacing w:before="0" w:line="250" w:lineRule="atLeast"/>
        <w:jc w:val="both"/>
        <w:rPr>
          <w:sz w:val="19"/>
          <w:szCs w:val="19"/>
        </w:rPr>
      </w:pPr>
      <w:r w:rsidRPr="007E263F">
        <w:rPr>
          <w:sz w:val="19"/>
          <w:szCs w:val="19"/>
        </w:rPr>
        <w:t>Riksrevisionen bedömer att en förklaring till att målen med reformen hi</w:t>
      </w:r>
      <w:r w:rsidRPr="007E263F">
        <w:rPr>
          <w:sz w:val="19"/>
          <w:szCs w:val="19"/>
        </w:rPr>
        <w:t>t</w:t>
      </w:r>
      <w:r w:rsidRPr="007E263F">
        <w:rPr>
          <w:sz w:val="19"/>
          <w:szCs w:val="19"/>
        </w:rPr>
        <w:t>tills inte har uppnåtts är att en stor del av befolkningen varken känner till högkostnadsskyddet eller det allmänna tan</w:t>
      </w:r>
      <w:r w:rsidRPr="007E263F">
        <w:rPr>
          <w:sz w:val="19"/>
          <w:szCs w:val="19"/>
        </w:rPr>
        <w:t>d</w:t>
      </w:r>
      <w:r w:rsidRPr="007E263F">
        <w:rPr>
          <w:sz w:val="19"/>
          <w:szCs w:val="19"/>
        </w:rPr>
        <w:t xml:space="preserve">vårdsbidraget. Patientens ställning som tandvårdskonsument har inte stärkts. </w:t>
      </w:r>
    </w:p>
    <w:p w:rsidR="008C3183" w:rsidRPr="007E263F" w:rsidRDefault="008C3183" w:rsidP="00393044">
      <w:pPr>
        <w:pStyle w:val="Rubrik2"/>
        <w:spacing w:line="250" w:lineRule="atLeast"/>
        <w:jc w:val="both"/>
      </w:pPr>
      <w:bookmarkStart w:id="86" w:name="_Toc326137839"/>
      <w:r w:rsidRPr="007E263F">
        <w:t>Utbildningsutskottet (UbU)</w:t>
      </w:r>
      <w:bookmarkEnd w:id="86"/>
      <w:r w:rsidRPr="007E263F">
        <w:t xml:space="preserve"> </w:t>
      </w:r>
    </w:p>
    <w:p w:rsidR="008C3183" w:rsidRPr="007E263F" w:rsidRDefault="008C3183" w:rsidP="00393044">
      <w:pPr>
        <w:pStyle w:val="Rubrik3"/>
        <w:jc w:val="both"/>
        <w:rPr>
          <w:noProof w:val="0"/>
        </w:rPr>
      </w:pPr>
      <w:bookmarkStart w:id="87" w:name="_Toc326137840"/>
      <w:r w:rsidRPr="007E263F">
        <w:rPr>
          <w:noProof w:val="0"/>
        </w:rPr>
        <w:t>Användningen av basanslaget för forskning och forskarutbildning (RiR 2011:21)</w:t>
      </w:r>
      <w:bookmarkEnd w:id="87"/>
    </w:p>
    <w:p w:rsidR="008C3183" w:rsidRPr="007E263F" w:rsidRDefault="008C3183" w:rsidP="00393044">
      <w:pPr>
        <w:rPr>
          <w:szCs w:val="22"/>
        </w:rPr>
      </w:pPr>
      <w:r w:rsidRPr="007E263F">
        <w:rPr>
          <w:szCs w:val="22"/>
        </w:rPr>
        <w:t xml:space="preserve">I rapporten granskas hur basanslaget för forskning och forskarutbildning används vid universitet och högskolor. Basanslaget ska </w:t>
      </w:r>
      <w:r w:rsidRPr="007E263F">
        <w:rPr>
          <w:rFonts w:cs="Scala LF"/>
          <w:color w:val="000000"/>
          <w:szCs w:val="22"/>
        </w:rPr>
        <w:t>ge universitet och högskola förutsättningar att fatta långsiktiga beslut om sin forskning och att värna lärosätets integritet gentemot samarbetspartners.</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att det saknas övergripande kunskap om hur basansl</w:t>
      </w:r>
      <w:r w:rsidRPr="007E263F">
        <w:rPr>
          <w:sz w:val="19"/>
          <w:szCs w:val="19"/>
        </w:rPr>
        <w:t>a</w:t>
      </w:r>
      <w:r w:rsidRPr="007E263F">
        <w:rPr>
          <w:sz w:val="19"/>
          <w:szCs w:val="19"/>
        </w:rPr>
        <w:t>get används och vad forskarutbildningen kostar. Detta försvårar för lärosätena att fatta välgrundade beslut om dimensionering och långsiktiga forskning</w:t>
      </w:r>
      <w:r w:rsidRPr="007E263F">
        <w:rPr>
          <w:sz w:val="19"/>
          <w:szCs w:val="19"/>
        </w:rPr>
        <w:t>s</w:t>
      </w:r>
      <w:r w:rsidRPr="007E263F">
        <w:rPr>
          <w:sz w:val="19"/>
          <w:szCs w:val="19"/>
        </w:rPr>
        <w:t>satsningar. Åtaganden om framt</w:t>
      </w:r>
      <w:r w:rsidRPr="007E263F">
        <w:rPr>
          <w:sz w:val="19"/>
          <w:szCs w:val="19"/>
        </w:rPr>
        <w:t>i</w:t>
      </w:r>
      <w:r w:rsidRPr="007E263F">
        <w:rPr>
          <w:sz w:val="19"/>
          <w:szCs w:val="19"/>
        </w:rPr>
        <w:t>da samfinansiering av forskningsprojekt binder upp en betydande andel av lärosätenas nuvarande och framtida basa</w:t>
      </w:r>
      <w:r w:rsidRPr="007E263F">
        <w:rPr>
          <w:sz w:val="19"/>
          <w:szCs w:val="19"/>
        </w:rPr>
        <w:t>n</w:t>
      </w:r>
      <w:r w:rsidRPr="007E263F">
        <w:rPr>
          <w:sz w:val="19"/>
          <w:szCs w:val="19"/>
        </w:rPr>
        <w:t>slag, vilket inte framgår i redovisningen. Detta innebär en finansiell risk. Vidare har vissa mindre lärosäten svårt att få sitt basanslag att räcka till mer än samfinansiering och delar av forskarutbildningen. Samma</w:t>
      </w:r>
      <w:r w:rsidRPr="007E263F">
        <w:rPr>
          <w:sz w:val="19"/>
          <w:szCs w:val="19"/>
        </w:rPr>
        <w:t>n</w:t>
      </w:r>
      <w:r w:rsidRPr="007E263F">
        <w:rPr>
          <w:sz w:val="19"/>
          <w:szCs w:val="19"/>
        </w:rPr>
        <w:t>taget innebär det att lärosätena kan få svårt att uppfylla riksdagens intentioner med basa</w:t>
      </w:r>
      <w:r w:rsidRPr="007E263F">
        <w:rPr>
          <w:sz w:val="19"/>
          <w:szCs w:val="19"/>
        </w:rPr>
        <w:t>n</w:t>
      </w:r>
      <w:r w:rsidRPr="007E263F">
        <w:rPr>
          <w:sz w:val="19"/>
          <w:szCs w:val="19"/>
        </w:rPr>
        <w:t>slaget och att värna sin integritet gentemot sina samarbetspartner.</w:t>
      </w:r>
    </w:p>
    <w:p w:rsidR="008C3183" w:rsidRPr="007E263F" w:rsidRDefault="008C3183" w:rsidP="0093595F">
      <w:pPr>
        <w:pStyle w:val="normalmedindrag"/>
        <w:spacing w:before="0" w:line="250" w:lineRule="atLeast"/>
        <w:jc w:val="both"/>
        <w:rPr>
          <w:sz w:val="19"/>
          <w:szCs w:val="19"/>
        </w:rPr>
      </w:pPr>
      <w:r w:rsidRPr="007E263F">
        <w:rPr>
          <w:sz w:val="19"/>
          <w:szCs w:val="19"/>
        </w:rPr>
        <w:t>Riksrevisionen konstaterar i granskningen att lärosätena behöver utveckla sin interna redovisning så att den ger bättre underlag för att bedöma risker, prioritera och följa upp basanslagets användning.</w:t>
      </w:r>
      <w:r w:rsidRPr="007E263F">
        <w:rPr>
          <w:rFonts w:cs="Scala LF"/>
          <w:color w:val="000000"/>
          <w:sz w:val="19"/>
          <w:szCs w:val="19"/>
        </w:rPr>
        <w:t xml:space="preserve"> </w:t>
      </w:r>
      <w:r w:rsidRPr="007E263F">
        <w:rPr>
          <w:sz w:val="19"/>
          <w:szCs w:val="19"/>
        </w:rPr>
        <w:t>Vidare konstateras att rege</w:t>
      </w:r>
      <w:r w:rsidRPr="007E263F">
        <w:rPr>
          <w:sz w:val="19"/>
          <w:szCs w:val="19"/>
        </w:rPr>
        <w:t>r</w:t>
      </w:r>
      <w:r w:rsidRPr="007E263F">
        <w:rPr>
          <w:sz w:val="19"/>
          <w:szCs w:val="19"/>
        </w:rPr>
        <w:t>ingen inte följer upp</w:t>
      </w:r>
      <w:r w:rsidRPr="007E263F">
        <w:rPr>
          <w:rFonts w:cs="Scala LF"/>
          <w:color w:val="000000"/>
          <w:sz w:val="19"/>
          <w:szCs w:val="19"/>
        </w:rPr>
        <w:t xml:space="preserve"> basanslagets användning, vilket enligt Riksrevisionen innebär en risk att rege</w:t>
      </w:r>
      <w:r w:rsidRPr="007E263F">
        <w:rPr>
          <w:rFonts w:cs="Scala LF"/>
          <w:color w:val="000000"/>
          <w:sz w:val="19"/>
          <w:szCs w:val="19"/>
        </w:rPr>
        <w:t>r</w:t>
      </w:r>
      <w:r w:rsidRPr="007E263F">
        <w:rPr>
          <w:rFonts w:cs="Scala LF"/>
          <w:color w:val="000000"/>
          <w:sz w:val="19"/>
          <w:szCs w:val="19"/>
        </w:rPr>
        <w:t>ingen saknar kunskap för att effektivt kunna styra tilldelningen av basanslag och att följa upp om de intentioner som riksdagen har haft med basanslaget uppnås.</w:t>
      </w:r>
    </w:p>
    <w:p w:rsidR="008C3183" w:rsidRPr="007E263F" w:rsidRDefault="008C3183" w:rsidP="00393044">
      <w:pPr>
        <w:pStyle w:val="Rubrik3"/>
        <w:jc w:val="both"/>
        <w:rPr>
          <w:noProof w:val="0"/>
        </w:rPr>
      </w:pPr>
      <w:bookmarkStart w:id="88" w:name="_Toc326137841"/>
      <w:r w:rsidRPr="007E263F">
        <w:rPr>
          <w:noProof w:val="0"/>
        </w:rPr>
        <w:t>Lika betyg, lika kunskap? En uppföljning av statens styrning mot en likvärdig betygssättning i grundskolan (RiR 2011:23)</w:t>
      </w:r>
      <w:bookmarkEnd w:id="88"/>
    </w:p>
    <w:p w:rsidR="008C3183" w:rsidRPr="007E263F" w:rsidRDefault="008C3183" w:rsidP="00393044">
      <w:pPr>
        <w:rPr>
          <w:szCs w:val="22"/>
        </w:rPr>
      </w:pPr>
      <w:r w:rsidRPr="007E263F">
        <w:rPr>
          <w:szCs w:val="22"/>
        </w:rPr>
        <w:t xml:space="preserve">I granskningen undersöks statens insatser för en likvärdig betygssättning i grundskolan. </w:t>
      </w:r>
      <w:r w:rsidRPr="007E263F">
        <w:rPr>
          <w:rFonts w:cs="Scala LF"/>
          <w:color w:val="000000"/>
          <w:szCs w:val="22"/>
        </w:rPr>
        <w:t>Problemet med bristande likvärdighet i betygssättninge</w:t>
      </w:r>
      <w:r w:rsidR="00461E8D" w:rsidRPr="007E263F">
        <w:rPr>
          <w:rFonts w:cs="Scala LF"/>
          <w:color w:val="000000"/>
          <w:szCs w:val="22"/>
        </w:rPr>
        <w:t xml:space="preserve">n har varit känt under lång tid, </w:t>
      </w:r>
      <w:r w:rsidRPr="007E263F">
        <w:rPr>
          <w:rFonts w:cs="Scala LF"/>
          <w:color w:val="000000"/>
          <w:szCs w:val="22"/>
        </w:rPr>
        <w:t>och omfattande insatser har vidtagits för att åtgärda problemet, hittills utan uppenbara framgångar. Riksrevisionens granskning tyder på att de metoder som Skolverket hittills har använt för att styra mot en mer likvärdig betygssättning genom olika typer av stöd inte har fått ett til</w:t>
      </w:r>
      <w:r w:rsidRPr="007E263F">
        <w:rPr>
          <w:rFonts w:cs="Scala LF"/>
          <w:color w:val="000000"/>
          <w:szCs w:val="22"/>
        </w:rPr>
        <w:t>l</w:t>
      </w:r>
      <w:r w:rsidRPr="007E263F">
        <w:rPr>
          <w:rFonts w:cs="Scala LF"/>
          <w:color w:val="000000"/>
          <w:szCs w:val="22"/>
        </w:rPr>
        <w:t>räckligt genomslag bland de betygssättande lärarna. Någon bred utvärdering av orsakerna till att betygssättningen fortfarande inte är likvärdig har heller inte gjorts.</w:t>
      </w:r>
    </w:p>
    <w:p w:rsidR="008C3183" w:rsidRPr="007E263F" w:rsidRDefault="008C3183" w:rsidP="00393044">
      <w:pPr>
        <w:pStyle w:val="normalmedindrag"/>
        <w:spacing w:line="250" w:lineRule="atLeast"/>
        <w:jc w:val="both"/>
        <w:rPr>
          <w:sz w:val="19"/>
          <w:szCs w:val="19"/>
        </w:rPr>
      </w:pPr>
      <w:r w:rsidRPr="007E263F">
        <w:rPr>
          <w:sz w:val="19"/>
          <w:szCs w:val="19"/>
        </w:rPr>
        <w:t>Ansvaret för att betygssättningen sker på ett likvärdigt sätt är d</w:t>
      </w:r>
      <w:r w:rsidRPr="007E263F">
        <w:rPr>
          <w:sz w:val="19"/>
          <w:szCs w:val="19"/>
        </w:rPr>
        <w:t>e</w:t>
      </w:r>
      <w:r w:rsidRPr="007E263F">
        <w:rPr>
          <w:sz w:val="19"/>
          <w:szCs w:val="19"/>
        </w:rPr>
        <w:t>lat mellan staten och kommunala eller enskilda huvudmän. Det komplicerar styrningen. Den bild som framträder i granskningen är att staten inte fullt ut använder sitt mandat att styra mot en likvä</w:t>
      </w:r>
      <w:r w:rsidRPr="007E263F">
        <w:rPr>
          <w:sz w:val="19"/>
          <w:szCs w:val="19"/>
        </w:rPr>
        <w:t>r</w:t>
      </w:r>
      <w:r w:rsidRPr="007E263F">
        <w:rPr>
          <w:sz w:val="19"/>
          <w:szCs w:val="19"/>
        </w:rPr>
        <w:t>dig betygssättning. Skolverkets stödmaterial har inte fått geno</w:t>
      </w:r>
      <w:r w:rsidRPr="007E263F">
        <w:rPr>
          <w:sz w:val="19"/>
          <w:szCs w:val="19"/>
        </w:rPr>
        <w:t>m</w:t>
      </w:r>
      <w:r w:rsidRPr="007E263F">
        <w:rPr>
          <w:sz w:val="19"/>
          <w:szCs w:val="19"/>
        </w:rPr>
        <w:t xml:space="preserve">slag hos de betygssättande lärarna. De nationella ämnesproven har för många syften och mål för att stödja en likvärdig betygssättning. </w:t>
      </w:r>
    </w:p>
    <w:p w:rsidR="008C3183" w:rsidRPr="007E263F" w:rsidRDefault="008C3183" w:rsidP="0093595F">
      <w:pPr>
        <w:pStyle w:val="normalmedindrag"/>
        <w:spacing w:before="0" w:line="250" w:lineRule="atLeast"/>
        <w:jc w:val="both"/>
        <w:rPr>
          <w:sz w:val="19"/>
          <w:szCs w:val="19"/>
        </w:rPr>
      </w:pPr>
      <w:r w:rsidRPr="007E263F">
        <w:rPr>
          <w:rFonts w:cs="Scala LF"/>
          <w:color w:val="000000"/>
          <w:sz w:val="19"/>
          <w:szCs w:val="19"/>
        </w:rPr>
        <w:t>Skollagen har nu ändrats så att huvudmännens och rektorernas ansvar g</w:t>
      </w:r>
      <w:r w:rsidRPr="007E263F">
        <w:rPr>
          <w:rFonts w:cs="Scala LF"/>
          <w:color w:val="000000"/>
          <w:sz w:val="19"/>
          <w:szCs w:val="19"/>
        </w:rPr>
        <w:t>e</w:t>
      </w:r>
      <w:r w:rsidRPr="007E263F">
        <w:rPr>
          <w:rFonts w:cs="Scala LF"/>
          <w:color w:val="000000"/>
          <w:sz w:val="19"/>
          <w:szCs w:val="19"/>
        </w:rPr>
        <w:t>nerellt har blivit tydligare. Det är viktigt att Skolverket analyserar vad sko</w:t>
      </w:r>
      <w:r w:rsidRPr="007E263F">
        <w:rPr>
          <w:rFonts w:cs="Scala LF"/>
          <w:color w:val="000000"/>
          <w:sz w:val="19"/>
          <w:szCs w:val="19"/>
        </w:rPr>
        <w:t>l</w:t>
      </w:r>
      <w:r w:rsidRPr="007E263F">
        <w:rPr>
          <w:rFonts w:cs="Scala LF"/>
          <w:color w:val="000000"/>
          <w:sz w:val="19"/>
          <w:szCs w:val="19"/>
        </w:rPr>
        <w:t>huvudmännens tydligare roll innebär och u</w:t>
      </w:r>
      <w:r w:rsidRPr="007E263F">
        <w:rPr>
          <w:rFonts w:cs="Scala LF"/>
          <w:color w:val="000000"/>
          <w:sz w:val="19"/>
          <w:szCs w:val="19"/>
        </w:rPr>
        <w:t>t</w:t>
      </w:r>
      <w:r w:rsidRPr="007E263F">
        <w:rPr>
          <w:rFonts w:cs="Scala LF"/>
          <w:color w:val="000000"/>
          <w:sz w:val="19"/>
          <w:szCs w:val="19"/>
        </w:rPr>
        <w:t>ifrån den analysen inriktar sin styrning så att skolhuvudmännens ansvar för att skapa förutsättningar för en likvärdig betygssättning får effekt.</w:t>
      </w:r>
    </w:p>
    <w:p w:rsidR="008C3183" w:rsidRPr="007E263F" w:rsidRDefault="008C3183" w:rsidP="00790E55">
      <w:pPr>
        <w:pStyle w:val="Rubrik3"/>
        <w:rPr>
          <w:noProof w:val="0"/>
        </w:rPr>
      </w:pPr>
      <w:bookmarkStart w:id="89" w:name="_Toc326137842"/>
      <w:r w:rsidRPr="007E263F">
        <w:rPr>
          <w:noProof w:val="0"/>
        </w:rPr>
        <w:t>Svensk klimatforskning – Vad kostar den och vad har den gett? (RiR 2012:2)</w:t>
      </w:r>
      <w:bookmarkEnd w:id="89"/>
    </w:p>
    <w:p w:rsidR="008C3183" w:rsidRPr="007E263F" w:rsidRDefault="008C3183" w:rsidP="00393044">
      <w:r w:rsidRPr="007E263F">
        <w:t>För att nå de långsiktiga klimatmålen är forskning och teknikutveckling v</w:t>
      </w:r>
      <w:r w:rsidRPr="007E263F">
        <w:t>ä</w:t>
      </w:r>
      <w:r w:rsidRPr="007E263F">
        <w:t>sentliga. I rapporten granskas hur mycket staten satsar på klimatforskningen, vilka områden forskningen är inriktad mot och vilka resultat forskningen hittills har lett till. Granskningen fokuserar främst på klimatforskning som direkt eller indirekt handlar om att minska utsläppen av växthusgaser.</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Riksrevisionens övergripande slutsats är att klimatforskningen har potent</w:t>
      </w:r>
      <w:r w:rsidRPr="007E263F">
        <w:rPr>
          <w:sz w:val="19"/>
          <w:szCs w:val="19"/>
        </w:rPr>
        <w:t>i</w:t>
      </w:r>
      <w:r w:rsidRPr="007E263F">
        <w:rPr>
          <w:sz w:val="19"/>
          <w:szCs w:val="19"/>
        </w:rPr>
        <w:t>al att bidra till att klimatmålen kan nås. Granskningen visar att svensk klima</w:t>
      </w:r>
      <w:r w:rsidRPr="007E263F">
        <w:rPr>
          <w:sz w:val="19"/>
          <w:szCs w:val="19"/>
        </w:rPr>
        <w:t>t</w:t>
      </w:r>
      <w:r w:rsidRPr="007E263F">
        <w:rPr>
          <w:sz w:val="19"/>
          <w:szCs w:val="19"/>
        </w:rPr>
        <w:t>forskning fått mer pengar under senare år och producerar många vetenskapl</w:t>
      </w:r>
      <w:r w:rsidRPr="007E263F">
        <w:rPr>
          <w:sz w:val="19"/>
          <w:szCs w:val="19"/>
        </w:rPr>
        <w:t>i</w:t>
      </w:r>
      <w:r w:rsidRPr="007E263F">
        <w:rPr>
          <w:sz w:val="19"/>
          <w:szCs w:val="19"/>
        </w:rPr>
        <w:t>ga artiklar och patentansökningar. Men regeringens uppföljning av klima</w:t>
      </w:r>
      <w:r w:rsidRPr="007E263F">
        <w:rPr>
          <w:sz w:val="19"/>
          <w:szCs w:val="19"/>
        </w:rPr>
        <w:t>t</w:t>
      </w:r>
      <w:r w:rsidRPr="007E263F">
        <w:rPr>
          <w:sz w:val="19"/>
          <w:szCs w:val="19"/>
        </w:rPr>
        <w:t xml:space="preserve">forskningens omfattning, inriktning och resultat är otillräcklig. Därmed är det oklart i vilken utsträckning klimatforskningen faktiskt stöder klimatmålen och bidrar till minskade utsläpp på sikt samt om forskningsresultaten kommer till användning i näringslivet och samhället. </w:t>
      </w:r>
    </w:p>
    <w:p w:rsidR="008C3183" w:rsidRPr="007E263F" w:rsidRDefault="008C3183" w:rsidP="00393044">
      <w:pPr>
        <w:pStyle w:val="normalmedindrag"/>
        <w:spacing w:before="0" w:line="250" w:lineRule="atLeast"/>
        <w:jc w:val="both"/>
        <w:rPr>
          <w:sz w:val="19"/>
          <w:szCs w:val="19"/>
        </w:rPr>
      </w:pPr>
      <w:r w:rsidRPr="007E263F">
        <w:rPr>
          <w:sz w:val="19"/>
          <w:szCs w:val="19"/>
        </w:rPr>
        <w:t>Varken regeringen eller forskningsfinansiärerna har tagit fram en geme</w:t>
      </w:r>
      <w:r w:rsidRPr="007E263F">
        <w:rPr>
          <w:sz w:val="19"/>
          <w:szCs w:val="19"/>
        </w:rPr>
        <w:t>n</w:t>
      </w:r>
      <w:r w:rsidRPr="007E263F">
        <w:rPr>
          <w:sz w:val="19"/>
          <w:szCs w:val="19"/>
        </w:rPr>
        <w:t>sam definition av klimatforskning i Sverige. Det finns ingen myndighet eller departement som har utpekat ansvar för att samordna klimatforskningen och dess resultat. Vidare saknar regeringen en samlad strategi för hur klima</w:t>
      </w:r>
      <w:r w:rsidRPr="007E263F">
        <w:rPr>
          <w:sz w:val="19"/>
          <w:szCs w:val="19"/>
        </w:rPr>
        <w:t>t</w:t>
      </w:r>
      <w:r w:rsidRPr="007E263F">
        <w:rPr>
          <w:sz w:val="19"/>
          <w:szCs w:val="19"/>
        </w:rPr>
        <w:t>forskningen ska bidra till att minska utsläppen av växthusgaser. För att kl</w:t>
      </w:r>
      <w:r w:rsidRPr="007E263F">
        <w:rPr>
          <w:sz w:val="19"/>
          <w:szCs w:val="19"/>
        </w:rPr>
        <w:t>i</w:t>
      </w:r>
      <w:r w:rsidRPr="007E263F">
        <w:rPr>
          <w:sz w:val="19"/>
          <w:szCs w:val="19"/>
        </w:rPr>
        <w:t>matforskningen ska fungera som ett effe</w:t>
      </w:r>
      <w:r w:rsidR="00461E8D" w:rsidRPr="007E263F">
        <w:rPr>
          <w:sz w:val="19"/>
          <w:szCs w:val="19"/>
        </w:rPr>
        <w:t>ktivt klimatpolitiskt styrmedel</w:t>
      </w:r>
      <w:r w:rsidRPr="007E263F">
        <w:rPr>
          <w:sz w:val="19"/>
          <w:szCs w:val="19"/>
        </w:rPr>
        <w:t xml:space="preserve"> b</w:t>
      </w:r>
      <w:r w:rsidRPr="007E263F">
        <w:rPr>
          <w:sz w:val="19"/>
          <w:szCs w:val="19"/>
        </w:rPr>
        <w:t>e</w:t>
      </w:r>
      <w:r w:rsidRPr="007E263F">
        <w:rPr>
          <w:sz w:val="19"/>
          <w:szCs w:val="19"/>
        </w:rPr>
        <w:t>hövs en sa</w:t>
      </w:r>
      <w:r w:rsidRPr="007E263F">
        <w:rPr>
          <w:sz w:val="19"/>
          <w:szCs w:val="19"/>
        </w:rPr>
        <w:t>m</w:t>
      </w:r>
      <w:r w:rsidRPr="007E263F">
        <w:rPr>
          <w:sz w:val="19"/>
          <w:szCs w:val="19"/>
        </w:rPr>
        <w:t>lad strategi eller handlingsplan som konkretiserar forskningens bidrag till klimatmålen.</w:t>
      </w:r>
    </w:p>
    <w:p w:rsidR="008C3183" w:rsidRPr="007E263F" w:rsidRDefault="008C3183" w:rsidP="00393044">
      <w:pPr>
        <w:pStyle w:val="Rubrik3"/>
        <w:jc w:val="both"/>
        <w:rPr>
          <w:noProof w:val="0"/>
        </w:rPr>
      </w:pPr>
      <w:bookmarkStart w:id="90" w:name="_Toc326137843"/>
      <w:r w:rsidRPr="007E263F">
        <w:rPr>
          <w:noProof w:val="0"/>
        </w:rPr>
        <w:t>Att styra självständiga lärosäten (RiR 2012:4)</w:t>
      </w:r>
      <w:bookmarkEnd w:id="90"/>
    </w:p>
    <w:p w:rsidR="008C3183" w:rsidRPr="007E263F" w:rsidRDefault="008C3183" w:rsidP="00393044">
      <w:r w:rsidRPr="007E263F">
        <w:t>Högskolan är en av de största statliga sektorerna. Närmare en halv miljon människor har i</w:t>
      </w:r>
      <w:r w:rsidR="00461E8D" w:rsidRPr="007E263F">
        <w:t xml:space="preserve"> </w:t>
      </w:r>
      <w:r w:rsidRPr="007E263F">
        <w:t>dag sin vardag, antingen som student eller anställd, vid något av landets cirka fyrtio universitet och högskolor.</w:t>
      </w:r>
    </w:p>
    <w:p w:rsidR="008C3183" w:rsidRPr="007E263F" w:rsidRDefault="008C3183" w:rsidP="00393044">
      <w:pPr>
        <w:pStyle w:val="normalmedindrag"/>
        <w:spacing w:before="0" w:line="250" w:lineRule="atLeast"/>
        <w:jc w:val="both"/>
        <w:rPr>
          <w:sz w:val="19"/>
          <w:szCs w:val="19"/>
        </w:rPr>
      </w:pPr>
      <w:r w:rsidRPr="007E263F">
        <w:rPr>
          <w:sz w:val="19"/>
          <w:szCs w:val="19"/>
        </w:rPr>
        <w:t xml:space="preserve">Riksrevisionen har inom ramen för sin strategi </w:t>
      </w:r>
      <w:r w:rsidRPr="007E263F">
        <w:rPr>
          <w:i/>
          <w:sz w:val="19"/>
          <w:szCs w:val="19"/>
        </w:rPr>
        <w:t>Statens roll i utbildningss</w:t>
      </w:r>
      <w:r w:rsidRPr="007E263F">
        <w:rPr>
          <w:i/>
          <w:sz w:val="19"/>
          <w:szCs w:val="19"/>
        </w:rPr>
        <w:t>y</w:t>
      </w:r>
      <w:r w:rsidRPr="007E263F">
        <w:rPr>
          <w:i/>
          <w:sz w:val="19"/>
          <w:szCs w:val="19"/>
        </w:rPr>
        <w:t xml:space="preserve">stemet </w:t>
      </w:r>
      <w:r w:rsidRPr="007E263F">
        <w:rPr>
          <w:sz w:val="19"/>
          <w:szCs w:val="19"/>
        </w:rPr>
        <w:t>granskat regeringens styrning av verksamheten vid universitet och högskolor samt hur lärosätena leder och följer upp sin verksamhet. Denna avslutande granskningsrapport visar att systemen för resurstilldelning skapar risker som motverkar hög kvalitet och effektivt resursutnyttjande. Forsknin</w:t>
      </w:r>
      <w:r w:rsidRPr="007E263F">
        <w:rPr>
          <w:sz w:val="19"/>
          <w:szCs w:val="19"/>
        </w:rPr>
        <w:t>g</w:t>
      </w:r>
      <w:r w:rsidRPr="007E263F">
        <w:rPr>
          <w:sz w:val="19"/>
          <w:szCs w:val="19"/>
        </w:rPr>
        <w:t>en i högskolan finansieras med såväl direkta anslag till lärosätet som fors</w:t>
      </w:r>
      <w:r w:rsidRPr="007E263F">
        <w:rPr>
          <w:sz w:val="19"/>
          <w:szCs w:val="19"/>
        </w:rPr>
        <w:t>k</w:t>
      </w:r>
      <w:r w:rsidRPr="007E263F">
        <w:rPr>
          <w:sz w:val="19"/>
          <w:szCs w:val="19"/>
        </w:rPr>
        <w:t>ning</w:t>
      </w:r>
      <w:r w:rsidRPr="007E263F">
        <w:rPr>
          <w:sz w:val="19"/>
          <w:szCs w:val="19"/>
        </w:rPr>
        <w:t>s</w:t>
      </w:r>
      <w:r w:rsidRPr="007E263F">
        <w:rPr>
          <w:sz w:val="19"/>
          <w:szCs w:val="19"/>
        </w:rPr>
        <w:t>bidrag som beviljas av externa finansiärer. Detta tudelade system har medfört vissa effektivitetsproblem. Forskningsvolymen har inte expanderat i takt med att medel tillförts, varför de oförbrukade forskningsbidragen och lärosätenas myndighetskapital har ökat.</w:t>
      </w:r>
    </w:p>
    <w:p w:rsidR="008C3183" w:rsidRPr="007E263F" w:rsidRDefault="008C3183" w:rsidP="00393044">
      <w:pPr>
        <w:pStyle w:val="normalmedindrag"/>
        <w:spacing w:before="0" w:line="250" w:lineRule="atLeast"/>
        <w:jc w:val="both"/>
        <w:rPr>
          <w:sz w:val="19"/>
          <w:szCs w:val="19"/>
        </w:rPr>
      </w:pPr>
      <w:r w:rsidRPr="007E263F">
        <w:rPr>
          <w:sz w:val="19"/>
          <w:szCs w:val="19"/>
        </w:rPr>
        <w:t>Det finns risker för att kurser och program inom högskolan inte alltid genomförs med de krav på hög kvalitet och god resursnivå som bör ställas. Styrningen skapar drivkrafter mot likriktning, sa</w:t>
      </w:r>
      <w:r w:rsidRPr="007E263F">
        <w:rPr>
          <w:sz w:val="19"/>
          <w:szCs w:val="19"/>
        </w:rPr>
        <w:t>m</w:t>
      </w:r>
      <w:r w:rsidRPr="007E263F">
        <w:rPr>
          <w:sz w:val="19"/>
          <w:szCs w:val="19"/>
        </w:rPr>
        <w:t>tidigt som den inte stödjer forskningsanknytning av grundutbil</w:t>
      </w:r>
      <w:r w:rsidRPr="007E263F">
        <w:rPr>
          <w:sz w:val="19"/>
          <w:szCs w:val="19"/>
        </w:rPr>
        <w:t>d</w:t>
      </w:r>
      <w:r w:rsidRPr="007E263F">
        <w:rPr>
          <w:sz w:val="19"/>
          <w:szCs w:val="19"/>
        </w:rPr>
        <w:t>ningen. Regeringen har inte tagit några initiativ för att närmare precisera begreppet forskningsanknytning.</w:t>
      </w:r>
    </w:p>
    <w:p w:rsidR="008C3183" w:rsidRPr="007E263F" w:rsidRDefault="008C3183" w:rsidP="00393044">
      <w:pPr>
        <w:pStyle w:val="normalmedindrag"/>
        <w:spacing w:before="0" w:line="250" w:lineRule="atLeast"/>
        <w:jc w:val="both"/>
        <w:rPr>
          <w:sz w:val="19"/>
          <w:szCs w:val="19"/>
        </w:rPr>
      </w:pPr>
      <w:r w:rsidRPr="007E263F">
        <w:rPr>
          <w:sz w:val="19"/>
          <w:szCs w:val="19"/>
        </w:rPr>
        <w:t>Granskningen visar brister när det gäller lärosätenas uppföljning av hur tilldelade resurser kommer till användning inom verksamh</w:t>
      </w:r>
      <w:r w:rsidRPr="007E263F">
        <w:rPr>
          <w:sz w:val="19"/>
          <w:szCs w:val="19"/>
        </w:rPr>
        <w:t>e</w:t>
      </w:r>
      <w:r w:rsidRPr="007E263F">
        <w:rPr>
          <w:sz w:val="19"/>
          <w:szCs w:val="19"/>
        </w:rPr>
        <w:t>ten. Det finns svagheter när det gäller uppdelningen mellan kostn</w:t>
      </w:r>
      <w:r w:rsidRPr="007E263F">
        <w:rPr>
          <w:sz w:val="19"/>
          <w:szCs w:val="19"/>
        </w:rPr>
        <w:t>a</w:t>
      </w:r>
      <w:r w:rsidRPr="007E263F">
        <w:rPr>
          <w:sz w:val="19"/>
          <w:szCs w:val="19"/>
        </w:rPr>
        <w:t xml:space="preserve">der för grundutbildningen och kostnader för forskningen. </w:t>
      </w:r>
    </w:p>
    <w:p w:rsidR="008C3183" w:rsidRPr="007E263F" w:rsidRDefault="008C3183" w:rsidP="00393044">
      <w:pPr>
        <w:pStyle w:val="Rubrik2"/>
        <w:spacing w:line="250" w:lineRule="atLeast"/>
        <w:jc w:val="both"/>
      </w:pPr>
      <w:bookmarkStart w:id="91" w:name="_Toc326137844"/>
      <w:r w:rsidRPr="007E263F">
        <w:t>Trafikutskottet (TU)</w:t>
      </w:r>
      <w:bookmarkEnd w:id="91"/>
      <w:r w:rsidRPr="007E263F">
        <w:t xml:space="preserve"> </w:t>
      </w:r>
    </w:p>
    <w:p w:rsidR="008C3183" w:rsidRPr="007E263F" w:rsidRDefault="008C3183" w:rsidP="00393044">
      <w:pPr>
        <w:pStyle w:val="Rubrik3"/>
        <w:jc w:val="both"/>
        <w:rPr>
          <w:noProof w:val="0"/>
        </w:rPr>
      </w:pPr>
      <w:bookmarkStart w:id="92" w:name="_Toc326137845"/>
      <w:r w:rsidRPr="007E263F">
        <w:rPr>
          <w:noProof w:val="0"/>
        </w:rPr>
        <w:t>Botniabanan och järnvägen längs Norrlandskusten – hur har det blivit och vad har det kostat? (RiR 2011:22)</w:t>
      </w:r>
      <w:bookmarkEnd w:id="92"/>
    </w:p>
    <w:p w:rsidR="008C3183" w:rsidRPr="007E263F" w:rsidRDefault="008C3183" w:rsidP="00393044">
      <w:pPr>
        <w:rPr>
          <w:szCs w:val="19"/>
        </w:rPr>
      </w:pPr>
      <w:r w:rsidRPr="007E263F">
        <w:t>I rapporten granskas satsningen på Botniabanan, ett av Sveriges största infr</w:t>
      </w:r>
      <w:r w:rsidRPr="007E263F">
        <w:t>a</w:t>
      </w:r>
      <w:r w:rsidRPr="007E263F">
        <w:t xml:space="preserve">strukturprojekt. Granskningen har inriktats på om ändamålen med banan nås </w:t>
      </w:r>
      <w:r w:rsidRPr="007E263F">
        <w:rPr>
          <w:szCs w:val="19"/>
        </w:rPr>
        <w:t>och vad de totala kostnaderna blir för staten.</w:t>
      </w:r>
    </w:p>
    <w:p w:rsidR="008C3183" w:rsidRPr="007E263F" w:rsidRDefault="008C3183" w:rsidP="0093595F">
      <w:pPr>
        <w:pStyle w:val="normalmedindrag"/>
        <w:spacing w:before="0" w:line="250" w:lineRule="atLeast"/>
        <w:jc w:val="both"/>
        <w:rPr>
          <w:sz w:val="19"/>
          <w:szCs w:val="19"/>
        </w:rPr>
      </w:pPr>
      <w:r w:rsidRPr="007E263F">
        <w:rPr>
          <w:sz w:val="19"/>
          <w:szCs w:val="19"/>
        </w:rPr>
        <w:t>Riksrevisionen drar slutsatsen att intentionerna med Botniab</w:t>
      </w:r>
      <w:r w:rsidRPr="007E263F">
        <w:rPr>
          <w:sz w:val="19"/>
          <w:szCs w:val="19"/>
        </w:rPr>
        <w:t>a</w:t>
      </w:r>
      <w:r w:rsidRPr="007E263F">
        <w:rPr>
          <w:sz w:val="19"/>
          <w:szCs w:val="19"/>
        </w:rPr>
        <w:t>nan inte kommer att nås på det sätt som var tänkt. Underlaget inför beslutet om Botn</w:t>
      </w:r>
      <w:r w:rsidRPr="007E263F">
        <w:rPr>
          <w:sz w:val="19"/>
          <w:szCs w:val="19"/>
        </w:rPr>
        <w:t>i</w:t>
      </w:r>
      <w:r w:rsidRPr="007E263F">
        <w:rPr>
          <w:sz w:val="19"/>
          <w:szCs w:val="19"/>
        </w:rPr>
        <w:t>abanan var inte rättvisande och innehöll stora fel, exempelvis om vilka rest</w:t>
      </w:r>
      <w:r w:rsidRPr="007E263F">
        <w:rPr>
          <w:sz w:val="19"/>
          <w:szCs w:val="19"/>
        </w:rPr>
        <w:t>i</w:t>
      </w:r>
      <w:r w:rsidRPr="007E263F">
        <w:rPr>
          <w:sz w:val="19"/>
          <w:szCs w:val="19"/>
        </w:rPr>
        <w:t>der som skulle bli möjliga att nå. Det saknades också information om att det skulle bli för många tåg på Ostkustbanan mellan Sundsvall och Gävle, vilket begränsar Botn</w:t>
      </w:r>
      <w:r w:rsidRPr="007E263F">
        <w:rPr>
          <w:sz w:val="19"/>
          <w:szCs w:val="19"/>
        </w:rPr>
        <w:t>i</w:t>
      </w:r>
      <w:r w:rsidRPr="007E263F">
        <w:rPr>
          <w:sz w:val="19"/>
          <w:szCs w:val="19"/>
        </w:rPr>
        <w:t>abanans trafik. Även efter att beslutet fattades har regeringens och Banverkets planering varit bristfällig. Botniabanan är beroende av o</w:t>
      </w:r>
      <w:r w:rsidRPr="007E263F">
        <w:rPr>
          <w:sz w:val="19"/>
          <w:szCs w:val="19"/>
        </w:rPr>
        <w:t>m</w:t>
      </w:r>
      <w:r w:rsidRPr="007E263F">
        <w:rPr>
          <w:sz w:val="19"/>
          <w:szCs w:val="19"/>
        </w:rPr>
        <w:t>kringliggande banor för att fungera effektivt. Det krävs därför att planeringen av sammanhängande infrastrukturprojekt samor</w:t>
      </w:r>
      <w:r w:rsidRPr="007E263F">
        <w:rPr>
          <w:sz w:val="19"/>
          <w:szCs w:val="19"/>
        </w:rPr>
        <w:t>d</w:t>
      </w:r>
      <w:r w:rsidRPr="007E263F">
        <w:rPr>
          <w:sz w:val="19"/>
          <w:szCs w:val="19"/>
        </w:rPr>
        <w:t>nas, det vill säga att man har ett systemperspektiv. Bristen på ett systemperspektiv har lett till att banan under ett antal år inte kan användas som var tänkt.</w:t>
      </w:r>
    </w:p>
    <w:p w:rsidR="008C3183" w:rsidRPr="007E263F" w:rsidRDefault="008C3183" w:rsidP="00393044">
      <w:pPr>
        <w:pStyle w:val="normalmedindrag"/>
        <w:spacing w:before="0" w:line="250" w:lineRule="atLeast"/>
        <w:jc w:val="both"/>
        <w:rPr>
          <w:sz w:val="19"/>
          <w:szCs w:val="19"/>
        </w:rPr>
      </w:pPr>
      <w:r w:rsidRPr="007E263F">
        <w:rPr>
          <w:sz w:val="19"/>
          <w:szCs w:val="19"/>
        </w:rPr>
        <w:t>De sammanlagda kostnaderna för att uppnå Botniabanans änd</w:t>
      </w:r>
      <w:r w:rsidRPr="007E263F">
        <w:rPr>
          <w:sz w:val="19"/>
          <w:szCs w:val="19"/>
        </w:rPr>
        <w:t>a</w:t>
      </w:r>
      <w:r w:rsidRPr="007E263F">
        <w:rPr>
          <w:sz w:val="19"/>
          <w:szCs w:val="19"/>
        </w:rPr>
        <w:t xml:space="preserve">mål uppgår till cirka 26 miljarder kronor och är 140 procent högre än vad som uppskattats inför beslutet om att bygga banan. Det beror på fördyringar och på behovet av ytterligare investeringar i omkringliggande järnvägsnät. Fördyringarna beror både på ökade samhällskrav och på underskattade kostnader. </w:t>
      </w:r>
    </w:p>
    <w:p w:rsidR="008C3183" w:rsidRPr="007E263F" w:rsidRDefault="008C3183" w:rsidP="00393044">
      <w:pPr>
        <w:pStyle w:val="Rubrik3"/>
        <w:jc w:val="both"/>
        <w:rPr>
          <w:noProof w:val="0"/>
        </w:rPr>
      </w:pPr>
      <w:bookmarkStart w:id="93" w:name="_Toc326137846"/>
      <w:r w:rsidRPr="007E263F">
        <w:rPr>
          <w:noProof w:val="0"/>
        </w:rPr>
        <w:t>Medfinansiering av statlig infrastruktur (RiR 2011:28)</w:t>
      </w:r>
      <w:bookmarkEnd w:id="93"/>
    </w:p>
    <w:p w:rsidR="008C3183" w:rsidRPr="007E263F" w:rsidRDefault="008C3183" w:rsidP="00393044">
      <w:r w:rsidRPr="007E263F">
        <w:t>Regeringen gav 2008 trafikverken i uppdrag att undersöka möjligheterna till medfinansiering av statens infrastrukturinvesteringar för perioden 2010–2021. Trafikverken slöt därför mellan hösten 2008 och våren 2010 över 50 medf</w:t>
      </w:r>
      <w:r w:rsidRPr="007E263F">
        <w:t>i</w:t>
      </w:r>
      <w:r w:rsidRPr="007E263F">
        <w:t>nansieringsavtal, som främst avsåg ekonomiska bidrag, trängselskatt samt väg- och banavgifter. Det var också vanligt att lokala intressenter lånade ut investeringsmedel räntefritt till trafikverken, så kallade förskotteringar, för att tidigarelägga vissa infrastrukturprojekt.</w:t>
      </w:r>
    </w:p>
    <w:p w:rsidR="008C3183" w:rsidRPr="007E263F" w:rsidRDefault="008C3183" w:rsidP="0093595F">
      <w:pPr>
        <w:pStyle w:val="normalmedindrag"/>
        <w:spacing w:before="0" w:line="250" w:lineRule="atLeast"/>
        <w:jc w:val="both"/>
        <w:rPr>
          <w:sz w:val="19"/>
          <w:szCs w:val="19"/>
        </w:rPr>
      </w:pPr>
      <w:r w:rsidRPr="007E263F">
        <w:rPr>
          <w:sz w:val="19"/>
          <w:szCs w:val="19"/>
        </w:rPr>
        <w:t>I rapporten granskas effektiviteten i denna medfinansiering</w:t>
      </w:r>
      <w:r w:rsidRPr="007E263F">
        <w:rPr>
          <w:sz w:val="19"/>
          <w:szCs w:val="19"/>
        </w:rPr>
        <w:t>s</w:t>
      </w:r>
      <w:r w:rsidRPr="007E263F">
        <w:rPr>
          <w:sz w:val="19"/>
          <w:szCs w:val="19"/>
        </w:rPr>
        <w:t>satsning. Av granskningen framgår att riksdagen och regeringen inte gav trafikverken några riktlinjer för hur målkonflikterna i uppdraget skulle hanteras. Trafi</w:t>
      </w:r>
      <w:r w:rsidRPr="007E263F">
        <w:rPr>
          <w:sz w:val="19"/>
          <w:szCs w:val="19"/>
        </w:rPr>
        <w:t>k</w:t>
      </w:r>
      <w:r w:rsidRPr="007E263F">
        <w:rPr>
          <w:sz w:val="19"/>
          <w:szCs w:val="19"/>
        </w:rPr>
        <w:t>verken tog inte heller fram tydliga riktlinjer och principer för hur förhan</w:t>
      </w:r>
      <w:r w:rsidRPr="007E263F">
        <w:rPr>
          <w:sz w:val="19"/>
          <w:szCs w:val="19"/>
        </w:rPr>
        <w:t>d</w:t>
      </w:r>
      <w:r w:rsidRPr="007E263F">
        <w:rPr>
          <w:sz w:val="19"/>
          <w:szCs w:val="19"/>
        </w:rPr>
        <w:t>lingarna om medfinansiering skulle genomföras. Detta ledde till att förhan</w:t>
      </w:r>
      <w:r w:rsidRPr="007E263F">
        <w:rPr>
          <w:sz w:val="19"/>
          <w:szCs w:val="19"/>
        </w:rPr>
        <w:t>d</w:t>
      </w:r>
      <w:r w:rsidRPr="007E263F">
        <w:rPr>
          <w:sz w:val="19"/>
          <w:szCs w:val="19"/>
        </w:rPr>
        <w:t>lingarna inte bedrevs enhetligt och inte dokumenterades på ett tillräckligt bra sätt.</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att medfinansierade projekt fått förtur fra</w:t>
      </w:r>
      <w:r w:rsidRPr="007E263F">
        <w:rPr>
          <w:sz w:val="19"/>
          <w:szCs w:val="19"/>
        </w:rPr>
        <w:t>m</w:t>
      </w:r>
      <w:r w:rsidRPr="007E263F">
        <w:rPr>
          <w:sz w:val="19"/>
          <w:szCs w:val="19"/>
        </w:rPr>
        <w:t>för andra projekt. Det leder till att mer kostnadseffektiva lösningar på existerande tr</w:t>
      </w:r>
      <w:r w:rsidRPr="007E263F">
        <w:rPr>
          <w:sz w:val="19"/>
          <w:szCs w:val="19"/>
        </w:rPr>
        <w:t>a</w:t>
      </w:r>
      <w:r w:rsidRPr="007E263F">
        <w:rPr>
          <w:sz w:val="19"/>
          <w:szCs w:val="19"/>
        </w:rPr>
        <w:t>fikproblem, exempelvis billigare ombyggnadså</w:t>
      </w:r>
      <w:r w:rsidRPr="007E263F">
        <w:rPr>
          <w:sz w:val="19"/>
          <w:szCs w:val="19"/>
        </w:rPr>
        <w:t>t</w:t>
      </w:r>
      <w:r w:rsidRPr="007E263F">
        <w:rPr>
          <w:sz w:val="19"/>
          <w:szCs w:val="19"/>
        </w:rPr>
        <w:t>gärder eller trafikdämpande åtgärder, inte prövas i tillräcklig u</w:t>
      </w:r>
      <w:r w:rsidRPr="007E263F">
        <w:rPr>
          <w:sz w:val="19"/>
          <w:szCs w:val="19"/>
        </w:rPr>
        <w:t>t</w:t>
      </w:r>
      <w:r w:rsidRPr="007E263F">
        <w:rPr>
          <w:sz w:val="19"/>
          <w:szCs w:val="19"/>
        </w:rPr>
        <w:t>sträckning. Vägverket, Banverket och regeringen har därmed frångått den viktiga principen om högsta möjliga samhällsekon</w:t>
      </w:r>
      <w:r w:rsidRPr="007E263F">
        <w:rPr>
          <w:sz w:val="19"/>
          <w:szCs w:val="19"/>
        </w:rPr>
        <w:t>o</w:t>
      </w:r>
      <w:r w:rsidRPr="007E263F">
        <w:rPr>
          <w:sz w:val="19"/>
          <w:szCs w:val="19"/>
        </w:rPr>
        <w:t xml:space="preserve">miska effektivitet i användningen av statens medel. </w:t>
      </w:r>
    </w:p>
    <w:p w:rsidR="008C3183" w:rsidRPr="007E263F" w:rsidRDefault="008C3183" w:rsidP="0093595F">
      <w:pPr>
        <w:pStyle w:val="normalmedindrag"/>
        <w:spacing w:before="0" w:line="250" w:lineRule="atLeast"/>
        <w:jc w:val="both"/>
        <w:rPr>
          <w:sz w:val="19"/>
          <w:szCs w:val="19"/>
        </w:rPr>
      </w:pPr>
      <w:r w:rsidRPr="007E263F">
        <w:rPr>
          <w:sz w:val="19"/>
          <w:szCs w:val="19"/>
        </w:rPr>
        <w:t>Medfinansieringssatsningen har visserligen lett till att utrymmet för inv</w:t>
      </w:r>
      <w:r w:rsidRPr="007E263F">
        <w:rPr>
          <w:sz w:val="19"/>
          <w:szCs w:val="19"/>
        </w:rPr>
        <w:t>e</w:t>
      </w:r>
      <w:r w:rsidRPr="007E263F">
        <w:rPr>
          <w:sz w:val="19"/>
          <w:szCs w:val="19"/>
        </w:rPr>
        <w:t xml:space="preserve">steringar i infrastruktur ökat. Riksrevisionen drar dock slutsatsen att tillskottet till de statliga medlen inte är så stora som regeringen rapporterat. </w:t>
      </w:r>
    </w:p>
    <w:p w:rsidR="008C3183" w:rsidRPr="007E263F" w:rsidRDefault="008C3183" w:rsidP="00790E55">
      <w:pPr>
        <w:pStyle w:val="Rubrik3"/>
        <w:rPr>
          <w:noProof w:val="0"/>
        </w:rPr>
      </w:pPr>
      <w:bookmarkStart w:id="94" w:name="_Toc326137847"/>
      <w:r w:rsidRPr="007E263F">
        <w:rPr>
          <w:noProof w:val="0"/>
        </w:rPr>
        <w:t>Infrastrukturplanering – på väg mot klimatmålen? (RiR 2012:4)</w:t>
      </w:r>
      <w:bookmarkEnd w:id="94"/>
    </w:p>
    <w:p w:rsidR="008C3183" w:rsidRPr="007E263F" w:rsidRDefault="008C3183" w:rsidP="00393044">
      <w:r w:rsidRPr="007E263F">
        <w:t>Statens investeringar i infrastruktur ska bidra till ökad tillgänglighet och begränsad klimatpåverkan. Inför den senaste infrastrukturplaneringe</w:t>
      </w:r>
      <w:r w:rsidR="00461E8D" w:rsidRPr="007E263F">
        <w:t>n för perioden 2010</w:t>
      </w:r>
      <w:r w:rsidRPr="007E263F">
        <w:t>–2021 uttalade riksdagen i sitt ställningstagande att investe</w:t>
      </w:r>
      <w:r w:rsidRPr="007E263F">
        <w:t>r</w:t>
      </w:r>
      <w:r w:rsidRPr="007E263F">
        <w:t>ingar i ny infrastruktur sammantaget behöver bidra till att minska koldioxi</w:t>
      </w:r>
      <w:r w:rsidRPr="007E263F">
        <w:t>d</w:t>
      </w:r>
      <w:r w:rsidR="00461E8D" w:rsidRPr="007E263F">
        <w:t>utsläppen</w:t>
      </w:r>
      <w:r w:rsidRPr="007E263F">
        <w:t xml:space="preserve"> och att det krävs en prioritering av objekt som bidrar till en sådan utveckling.</w:t>
      </w:r>
    </w:p>
    <w:p w:rsidR="008C3183" w:rsidRPr="007E263F" w:rsidRDefault="008C3183" w:rsidP="0093595F">
      <w:pPr>
        <w:pStyle w:val="normalmedindrag"/>
        <w:spacing w:before="0" w:line="250" w:lineRule="atLeast"/>
        <w:jc w:val="both"/>
        <w:rPr>
          <w:sz w:val="19"/>
          <w:szCs w:val="19"/>
        </w:rPr>
      </w:pPr>
      <w:r w:rsidRPr="007E263F">
        <w:rPr>
          <w:sz w:val="19"/>
          <w:szCs w:val="19"/>
        </w:rPr>
        <w:t>I granskningen undersöks om styrningen mot klimat- och transportpoliti</w:t>
      </w:r>
      <w:r w:rsidRPr="007E263F">
        <w:rPr>
          <w:sz w:val="19"/>
          <w:szCs w:val="19"/>
        </w:rPr>
        <w:t>s</w:t>
      </w:r>
      <w:r w:rsidRPr="007E263F">
        <w:rPr>
          <w:sz w:val="19"/>
          <w:szCs w:val="19"/>
        </w:rPr>
        <w:t>ka mål är transparent och om rapporteringen till riksd</w:t>
      </w:r>
      <w:r w:rsidRPr="007E263F">
        <w:rPr>
          <w:sz w:val="19"/>
          <w:szCs w:val="19"/>
        </w:rPr>
        <w:t>a</w:t>
      </w:r>
      <w:r w:rsidRPr="007E263F">
        <w:rPr>
          <w:sz w:val="19"/>
          <w:szCs w:val="19"/>
        </w:rPr>
        <w:t>gen är rättvisande.</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att regeringen inte har tydliggjort sambandet mellan lönsamhet, trafikökningar och ökade koldioxidutsläpp. Lönsamheten för många investeringsobjekt bygger på antaganden om trafikvolymer och trafi</w:t>
      </w:r>
      <w:r w:rsidRPr="007E263F">
        <w:rPr>
          <w:sz w:val="19"/>
          <w:szCs w:val="19"/>
        </w:rPr>
        <w:t>k</w:t>
      </w:r>
      <w:r w:rsidRPr="007E263F">
        <w:rPr>
          <w:sz w:val="19"/>
          <w:szCs w:val="19"/>
        </w:rPr>
        <w:t>ökningar som med nu tillgänglig ku</w:t>
      </w:r>
      <w:r w:rsidRPr="007E263F">
        <w:rPr>
          <w:sz w:val="19"/>
          <w:szCs w:val="19"/>
        </w:rPr>
        <w:t>n</w:t>
      </w:r>
      <w:r w:rsidRPr="007E263F">
        <w:rPr>
          <w:sz w:val="19"/>
          <w:szCs w:val="19"/>
        </w:rPr>
        <w:t>skap sannolikt är svåra att förena med klimatmålen. Eftersom r</w:t>
      </w:r>
      <w:r w:rsidRPr="007E263F">
        <w:rPr>
          <w:sz w:val="19"/>
          <w:szCs w:val="19"/>
        </w:rPr>
        <w:t>e</w:t>
      </w:r>
      <w:r w:rsidRPr="007E263F">
        <w:rPr>
          <w:sz w:val="19"/>
          <w:szCs w:val="19"/>
        </w:rPr>
        <w:t>geringen inte har tydliggjort sambandet mellan lönsamhet, trafi</w:t>
      </w:r>
      <w:r w:rsidRPr="007E263F">
        <w:rPr>
          <w:sz w:val="19"/>
          <w:szCs w:val="19"/>
        </w:rPr>
        <w:t>k</w:t>
      </w:r>
      <w:r w:rsidRPr="007E263F">
        <w:rPr>
          <w:sz w:val="19"/>
          <w:szCs w:val="19"/>
        </w:rPr>
        <w:t>ökningar och ökade koldioxidutsläpp blir rapporteringen till riksdagen inte transparent, konsistent, eller rättvisande utifrån klima</w:t>
      </w:r>
      <w:r w:rsidRPr="007E263F">
        <w:rPr>
          <w:sz w:val="19"/>
          <w:szCs w:val="19"/>
        </w:rPr>
        <w:t>t</w:t>
      </w:r>
      <w:r w:rsidRPr="007E263F">
        <w:rPr>
          <w:sz w:val="19"/>
          <w:szCs w:val="19"/>
        </w:rPr>
        <w:t>målen.</w:t>
      </w:r>
    </w:p>
    <w:p w:rsidR="008C3183" w:rsidRPr="007E263F" w:rsidRDefault="008C3183" w:rsidP="0093595F">
      <w:pPr>
        <w:pStyle w:val="normalmedindrag"/>
        <w:spacing w:before="0" w:line="250" w:lineRule="atLeast"/>
        <w:jc w:val="both"/>
        <w:rPr>
          <w:sz w:val="19"/>
          <w:szCs w:val="19"/>
        </w:rPr>
      </w:pPr>
      <w:r w:rsidRPr="007E263F">
        <w:rPr>
          <w:sz w:val="19"/>
          <w:szCs w:val="19"/>
        </w:rPr>
        <w:t>Granskningen visar också att koldioxidutsläppen som följer av den nati</w:t>
      </w:r>
      <w:r w:rsidRPr="007E263F">
        <w:rPr>
          <w:sz w:val="19"/>
          <w:szCs w:val="19"/>
        </w:rPr>
        <w:t>o</w:t>
      </w:r>
      <w:r w:rsidRPr="007E263F">
        <w:rPr>
          <w:sz w:val="19"/>
          <w:szCs w:val="19"/>
        </w:rPr>
        <w:t>nella planen har underskattats. Enligt Riksrevisionens bedömning har både regeringens otydliga styrning av hur klimatmålen ska beaktas och trafikve</w:t>
      </w:r>
      <w:r w:rsidRPr="007E263F">
        <w:rPr>
          <w:sz w:val="19"/>
          <w:szCs w:val="19"/>
        </w:rPr>
        <w:t>r</w:t>
      </w:r>
      <w:r w:rsidRPr="007E263F">
        <w:rPr>
          <w:sz w:val="19"/>
          <w:szCs w:val="19"/>
        </w:rPr>
        <w:t>kens tillämpning av prognosmode</w:t>
      </w:r>
      <w:r w:rsidRPr="007E263F">
        <w:rPr>
          <w:sz w:val="19"/>
          <w:szCs w:val="19"/>
        </w:rPr>
        <w:t>l</w:t>
      </w:r>
      <w:r w:rsidRPr="007E263F">
        <w:rPr>
          <w:sz w:val="19"/>
          <w:szCs w:val="19"/>
        </w:rPr>
        <w:t>ler under åtgärdsplaneringen bidragit till underskattningen. Det är osäkert om den nationella planen sammantaget leder till minskade koldioxidutsläpp och därmed bidrar till klimatmålen. En rät</w:t>
      </w:r>
      <w:r w:rsidRPr="007E263F">
        <w:rPr>
          <w:sz w:val="19"/>
          <w:szCs w:val="19"/>
        </w:rPr>
        <w:t>t</w:t>
      </w:r>
      <w:r w:rsidRPr="007E263F">
        <w:rPr>
          <w:sz w:val="19"/>
          <w:szCs w:val="19"/>
        </w:rPr>
        <w:t>visande redovisning behövs för att riksdagen ska kunna fatta välgrund</w:t>
      </w:r>
      <w:r w:rsidRPr="007E263F">
        <w:rPr>
          <w:sz w:val="19"/>
          <w:szCs w:val="19"/>
        </w:rPr>
        <w:t>a</w:t>
      </w:r>
      <w:r w:rsidRPr="007E263F">
        <w:rPr>
          <w:sz w:val="19"/>
          <w:szCs w:val="19"/>
        </w:rPr>
        <w:t>de infrastrukturbeslut.</w:t>
      </w:r>
    </w:p>
    <w:p w:rsidR="008C3183" w:rsidRPr="007E263F" w:rsidRDefault="008C3183" w:rsidP="00393044">
      <w:pPr>
        <w:pStyle w:val="Rubrik3"/>
        <w:jc w:val="both"/>
        <w:rPr>
          <w:noProof w:val="0"/>
        </w:rPr>
      </w:pPr>
      <w:bookmarkStart w:id="95" w:name="_Toc326137848"/>
      <w:r w:rsidRPr="007E263F">
        <w:rPr>
          <w:noProof w:val="0"/>
        </w:rPr>
        <w:t>Citybanans regionala medfinansiering (RiR 2012:8)</w:t>
      </w:r>
      <w:bookmarkEnd w:id="95"/>
    </w:p>
    <w:p w:rsidR="008C3183" w:rsidRPr="007E263F" w:rsidRDefault="008C3183" w:rsidP="00393044">
      <w:pPr>
        <w:rPr>
          <w:szCs w:val="22"/>
        </w:rPr>
      </w:pPr>
      <w:r w:rsidRPr="007E263F">
        <w:rPr>
          <w:szCs w:val="22"/>
        </w:rPr>
        <w:t>Regeringen gav 2007 en statlig förhandlare i uppdrag att förhandla med reg</w:t>
      </w:r>
      <w:r w:rsidRPr="007E263F">
        <w:rPr>
          <w:szCs w:val="22"/>
        </w:rPr>
        <w:t>i</w:t>
      </w:r>
      <w:r w:rsidRPr="007E263F">
        <w:rPr>
          <w:szCs w:val="22"/>
        </w:rPr>
        <w:t>onala företrädare för Mälardalen och Östergötland om medfinansiering av Citybanan. Förhandlingen resulterade i ett avtal som innebär att regionen bidrar med 2 miljarder kronor till byggandet av Citybanan, men också i att staten åtar sig att bygga flera stora järnvägsprojekt i Mälardalen.</w:t>
      </w:r>
    </w:p>
    <w:p w:rsidR="008C3183" w:rsidRPr="007E263F" w:rsidRDefault="008C3183" w:rsidP="00393044">
      <w:pPr>
        <w:pStyle w:val="normalmedindrag"/>
        <w:spacing w:before="0" w:line="250" w:lineRule="atLeast"/>
        <w:jc w:val="both"/>
        <w:rPr>
          <w:sz w:val="19"/>
          <w:szCs w:val="19"/>
        </w:rPr>
      </w:pPr>
      <w:r w:rsidRPr="007E263F">
        <w:rPr>
          <w:sz w:val="19"/>
          <w:szCs w:val="19"/>
        </w:rPr>
        <w:t>I rapporten granskas om medfinansieringen av Citybanan har varit effe</w:t>
      </w:r>
      <w:r w:rsidRPr="007E263F">
        <w:rPr>
          <w:sz w:val="19"/>
          <w:szCs w:val="19"/>
        </w:rPr>
        <w:t>k</w:t>
      </w:r>
      <w:r w:rsidRPr="007E263F">
        <w:rPr>
          <w:sz w:val="19"/>
          <w:szCs w:val="19"/>
        </w:rPr>
        <w:t>tiv. Granskningen visar att medfinansieringen har lett till att viktiga principer för planering och finansiering av transportinfrastruktur har frångåtts. Proje</w:t>
      </w:r>
      <w:r w:rsidRPr="007E263F">
        <w:rPr>
          <w:sz w:val="19"/>
          <w:szCs w:val="19"/>
        </w:rPr>
        <w:t>k</w:t>
      </w:r>
      <w:r w:rsidRPr="007E263F">
        <w:rPr>
          <w:sz w:val="19"/>
          <w:szCs w:val="19"/>
        </w:rPr>
        <w:t>ten som utgör statens övriga åtaganden i avtalet om medfinansiering av Cit</w:t>
      </w:r>
      <w:r w:rsidRPr="007E263F">
        <w:rPr>
          <w:sz w:val="19"/>
          <w:szCs w:val="19"/>
        </w:rPr>
        <w:t>y</w:t>
      </w:r>
      <w:r w:rsidRPr="007E263F">
        <w:rPr>
          <w:sz w:val="19"/>
          <w:szCs w:val="19"/>
        </w:rPr>
        <w:t>banan jämfördes inte med andra projekt i landet. Riksrevisionen gör bedö</w:t>
      </w:r>
      <w:r w:rsidRPr="007E263F">
        <w:rPr>
          <w:sz w:val="19"/>
          <w:szCs w:val="19"/>
        </w:rPr>
        <w:t>m</w:t>
      </w:r>
      <w:r w:rsidRPr="007E263F">
        <w:rPr>
          <w:sz w:val="19"/>
          <w:szCs w:val="19"/>
        </w:rPr>
        <w:t>ningen att om projekten prioriterats utifrån de samhällsekonomiska analyser som togs fram under den senaste planomgången hade de troligtvis pri</w:t>
      </w:r>
      <w:r w:rsidRPr="007E263F">
        <w:rPr>
          <w:sz w:val="19"/>
          <w:szCs w:val="19"/>
        </w:rPr>
        <w:t>o</w:t>
      </w:r>
      <w:r w:rsidRPr="007E263F">
        <w:rPr>
          <w:sz w:val="19"/>
          <w:szCs w:val="19"/>
        </w:rPr>
        <w:t xml:space="preserve">riterats lägre. Medfinansieringen har vidare medfört risker och kostnader för både staten och den offentliga sektorn som helhet. </w:t>
      </w:r>
    </w:p>
    <w:p w:rsidR="008C3183" w:rsidRPr="007E263F" w:rsidRDefault="008C3183" w:rsidP="00393044">
      <w:pPr>
        <w:pStyle w:val="normalmedindrag"/>
        <w:spacing w:before="0" w:line="250" w:lineRule="atLeast"/>
        <w:jc w:val="both"/>
        <w:rPr>
          <w:sz w:val="19"/>
          <w:szCs w:val="19"/>
        </w:rPr>
      </w:pPr>
      <w:r w:rsidRPr="007E263F">
        <w:rPr>
          <w:sz w:val="19"/>
          <w:szCs w:val="19"/>
        </w:rPr>
        <w:t>Medfinansieringen har inte heller varit tillräckligt underbyggd och transp</w:t>
      </w:r>
      <w:r w:rsidRPr="007E263F">
        <w:rPr>
          <w:sz w:val="19"/>
          <w:szCs w:val="19"/>
        </w:rPr>
        <w:t>a</w:t>
      </w:r>
      <w:r w:rsidRPr="007E263F">
        <w:rPr>
          <w:sz w:val="19"/>
          <w:szCs w:val="19"/>
        </w:rPr>
        <w:t>rent. Regeringen har inte informerat riksdagen om kostnaderna för de åtgärder som staten åtar sig att genomföra i och med avtalet om Citybanans regionala medfinansiering. Vidare framgår inte i den kommunala redovisningen de faktiska kostn</w:t>
      </w:r>
      <w:r w:rsidRPr="007E263F">
        <w:rPr>
          <w:sz w:val="19"/>
          <w:szCs w:val="19"/>
        </w:rPr>
        <w:t>a</w:t>
      </w:r>
      <w:r w:rsidRPr="007E263F">
        <w:rPr>
          <w:sz w:val="19"/>
          <w:szCs w:val="19"/>
        </w:rPr>
        <w:t>derna för kommunerna som medfinansieringen leder till. Dessutom hade ingen statlig aktör ett tydligt ansvar för att tillgodose allmä</w:t>
      </w:r>
      <w:r w:rsidRPr="007E263F">
        <w:rPr>
          <w:sz w:val="19"/>
          <w:szCs w:val="19"/>
        </w:rPr>
        <w:t>n</w:t>
      </w:r>
      <w:r w:rsidRPr="007E263F">
        <w:rPr>
          <w:sz w:val="19"/>
          <w:szCs w:val="19"/>
        </w:rPr>
        <w:t xml:space="preserve">intresset i förhandlingarna. </w:t>
      </w:r>
    </w:p>
    <w:p w:rsidR="008C3183" w:rsidRPr="007E263F" w:rsidRDefault="008C3183" w:rsidP="00393044">
      <w:pPr>
        <w:pStyle w:val="Rubrik2"/>
        <w:spacing w:line="250" w:lineRule="atLeast"/>
        <w:jc w:val="both"/>
      </w:pPr>
      <w:bookmarkStart w:id="96" w:name="_Toc326137849"/>
      <w:r w:rsidRPr="007E263F">
        <w:t>Näringsutskottet (NU)</w:t>
      </w:r>
      <w:bookmarkEnd w:id="96"/>
      <w:r w:rsidRPr="007E263F">
        <w:t xml:space="preserve"> </w:t>
      </w:r>
    </w:p>
    <w:p w:rsidR="008C3183" w:rsidRPr="007E263F" w:rsidRDefault="008C3183" w:rsidP="00393044">
      <w:pPr>
        <w:pStyle w:val="Rubrik3"/>
        <w:jc w:val="both"/>
        <w:rPr>
          <w:noProof w:val="0"/>
        </w:rPr>
      </w:pPr>
      <w:bookmarkStart w:id="97" w:name="_Toc326137850"/>
      <w:r w:rsidRPr="007E263F">
        <w:rPr>
          <w:noProof w:val="0"/>
        </w:rPr>
        <w:t>Regelförenkling för företag – regeringen är fortfarande långt från målet (RiR 2012:6)</w:t>
      </w:r>
      <w:bookmarkEnd w:id="97"/>
    </w:p>
    <w:p w:rsidR="008C3183" w:rsidRPr="007E263F" w:rsidRDefault="008C3183" w:rsidP="00393044">
      <w:r w:rsidRPr="007E263F">
        <w:t>I granskningen undersöks re</w:t>
      </w:r>
      <w:r w:rsidR="006E2DB5" w:rsidRPr="007E263F">
        <w:t>geringens</w:t>
      </w:r>
      <w:r w:rsidRPr="007E263F">
        <w:t xml:space="preserve"> </w:t>
      </w:r>
      <w:r w:rsidR="006E2DB5" w:rsidRPr="007E263F">
        <w:t>arbete</w:t>
      </w:r>
      <w:r w:rsidRPr="007E263F">
        <w:t xml:space="preserve"> </w:t>
      </w:r>
      <w:r w:rsidR="006E2DB5" w:rsidRPr="007E263F">
        <w:t xml:space="preserve">att förenkla reglerna för </w:t>
      </w:r>
      <w:r w:rsidRPr="007E263F">
        <w:t>för</w:t>
      </w:r>
      <w:r w:rsidRPr="007E263F">
        <w:t>e</w:t>
      </w:r>
      <w:r w:rsidRPr="007E263F">
        <w:t>tag under åren 2006–2010. Granskningen visar att regeringen inte har uppnått det öve</w:t>
      </w:r>
      <w:r w:rsidRPr="007E263F">
        <w:t>r</w:t>
      </w:r>
      <w:r w:rsidRPr="007E263F">
        <w:t>gripande målet med regelförenklingsarbetet, nämligen att företagen ska up</w:t>
      </w:r>
      <w:r w:rsidRPr="007E263F">
        <w:t>p</w:t>
      </w:r>
      <w:r w:rsidRPr="007E263F">
        <w:t>leva en märkbar positiv förändring i sin vardag. Få företag upplever att rege</w:t>
      </w:r>
      <w:r w:rsidRPr="007E263F">
        <w:t>l</w:t>
      </w:r>
      <w:r w:rsidRPr="007E263F">
        <w:t>verken har blivit enklare. Regeringens delmål att minska företagens adminis</w:t>
      </w:r>
      <w:r w:rsidRPr="007E263F">
        <w:t>t</w:t>
      </w:r>
      <w:r w:rsidRPr="007E263F">
        <w:t>rativa kostnader med 25 procent har heller inte uppnåtts.</w:t>
      </w:r>
    </w:p>
    <w:p w:rsidR="008C3183" w:rsidRPr="007E263F" w:rsidRDefault="008C3183" w:rsidP="00393044">
      <w:pPr>
        <w:pStyle w:val="normalmedindrag"/>
        <w:spacing w:before="0" w:line="250" w:lineRule="atLeast"/>
        <w:jc w:val="both"/>
        <w:rPr>
          <w:sz w:val="19"/>
          <w:szCs w:val="19"/>
        </w:rPr>
      </w:pPr>
      <w:r w:rsidRPr="007E263F">
        <w:rPr>
          <w:sz w:val="19"/>
          <w:szCs w:val="19"/>
        </w:rPr>
        <w:t>Det finns flera problem i utformningen av regelförenklingsarb</w:t>
      </w:r>
      <w:r w:rsidRPr="007E263F">
        <w:rPr>
          <w:sz w:val="19"/>
          <w:szCs w:val="19"/>
        </w:rPr>
        <w:t>e</w:t>
      </w:r>
      <w:r w:rsidRPr="007E263F">
        <w:rPr>
          <w:sz w:val="19"/>
          <w:szCs w:val="19"/>
        </w:rPr>
        <w:t>tet. Arbetet har i alltför stor utsträckning fokuserat på företagens administrativa kostn</w:t>
      </w:r>
      <w:r w:rsidRPr="007E263F">
        <w:rPr>
          <w:sz w:val="19"/>
          <w:szCs w:val="19"/>
        </w:rPr>
        <w:t>a</w:t>
      </w:r>
      <w:r w:rsidRPr="007E263F">
        <w:rPr>
          <w:sz w:val="19"/>
          <w:szCs w:val="19"/>
        </w:rPr>
        <w:t>der, vilka endast är en delmängd av föret</w:t>
      </w:r>
      <w:r w:rsidRPr="007E263F">
        <w:rPr>
          <w:sz w:val="19"/>
          <w:szCs w:val="19"/>
        </w:rPr>
        <w:t>a</w:t>
      </w:r>
      <w:r w:rsidRPr="007E263F">
        <w:rPr>
          <w:sz w:val="19"/>
          <w:szCs w:val="19"/>
        </w:rPr>
        <w:t>gens totala kostnader till följd av regler. Endast två av fem företag anger de administrativa kostnaderna som mest betungande då de får välja mellan olika alternativ. Detta innebär en risk att arbetet inriktas på fel områden, det vill säga att åtgärder inte sätts in där de gör som mest nytta.</w:t>
      </w:r>
    </w:p>
    <w:p w:rsidR="008C3183" w:rsidRPr="007E263F" w:rsidRDefault="008C3183" w:rsidP="0093595F">
      <w:pPr>
        <w:pStyle w:val="normalmedindrag"/>
        <w:spacing w:before="0" w:line="250" w:lineRule="atLeast"/>
        <w:jc w:val="both"/>
      </w:pPr>
      <w:r w:rsidRPr="007E263F">
        <w:rPr>
          <w:sz w:val="19"/>
          <w:szCs w:val="19"/>
        </w:rPr>
        <w:t>Riksrevisionen bedömer att arbetsprocessen i regelförenkling</w:t>
      </w:r>
      <w:r w:rsidRPr="007E263F">
        <w:rPr>
          <w:sz w:val="19"/>
          <w:szCs w:val="19"/>
        </w:rPr>
        <w:t>s</w:t>
      </w:r>
      <w:r w:rsidRPr="007E263F">
        <w:rPr>
          <w:sz w:val="19"/>
          <w:szCs w:val="19"/>
        </w:rPr>
        <w:t xml:space="preserve">arbetet inte har utformats </w:t>
      </w:r>
      <w:r w:rsidR="006E2DB5" w:rsidRPr="007E263F">
        <w:rPr>
          <w:sz w:val="19"/>
          <w:szCs w:val="19"/>
        </w:rPr>
        <w:t>på ett strategiskt riktigt sätt</w:t>
      </w:r>
      <w:r w:rsidRPr="007E263F">
        <w:rPr>
          <w:sz w:val="19"/>
          <w:szCs w:val="19"/>
        </w:rPr>
        <w:t xml:space="preserve"> och anser att arbetet skulle ha ku</w:t>
      </w:r>
      <w:r w:rsidRPr="007E263F">
        <w:rPr>
          <w:sz w:val="19"/>
          <w:szCs w:val="19"/>
        </w:rPr>
        <w:t>n</w:t>
      </w:r>
      <w:r w:rsidRPr="007E263F">
        <w:rPr>
          <w:sz w:val="19"/>
          <w:szCs w:val="19"/>
        </w:rPr>
        <w:t>nat tjäna på en tydligare styrning uppifrån och ned där regeringen hade valt ut prioriterade regelområden. En fö</w:t>
      </w:r>
      <w:r w:rsidRPr="007E263F">
        <w:rPr>
          <w:sz w:val="19"/>
          <w:szCs w:val="19"/>
        </w:rPr>
        <w:t>r</w:t>
      </w:r>
      <w:r w:rsidRPr="007E263F">
        <w:rPr>
          <w:sz w:val="19"/>
          <w:szCs w:val="19"/>
        </w:rPr>
        <w:t>djupad analys på skatteområdet visar också att de konsekvensutredningar som ligger till grund för införandet av nya re</w:t>
      </w:r>
      <w:r w:rsidRPr="007E263F">
        <w:rPr>
          <w:sz w:val="19"/>
          <w:szCs w:val="19"/>
        </w:rPr>
        <w:t>g</w:t>
      </w:r>
      <w:r w:rsidRPr="007E263F">
        <w:rPr>
          <w:sz w:val="19"/>
          <w:szCs w:val="19"/>
        </w:rPr>
        <w:t>ler har stora brister när det gäller att redovisa förslagens effekter för föret</w:t>
      </w:r>
      <w:r w:rsidRPr="007E263F">
        <w:rPr>
          <w:sz w:val="19"/>
          <w:szCs w:val="19"/>
        </w:rPr>
        <w:t>a</w:t>
      </w:r>
      <w:r w:rsidRPr="007E263F">
        <w:rPr>
          <w:sz w:val="19"/>
          <w:szCs w:val="19"/>
        </w:rPr>
        <w:t>gen</w:t>
      </w:r>
      <w:r w:rsidRPr="007E263F">
        <w:t xml:space="preserve">. </w:t>
      </w:r>
    </w:p>
    <w:p w:rsidR="008C3183" w:rsidRPr="007E263F" w:rsidRDefault="008C3183" w:rsidP="00393044">
      <w:pPr>
        <w:pStyle w:val="Rubrik2"/>
        <w:spacing w:line="250" w:lineRule="atLeast"/>
        <w:jc w:val="both"/>
      </w:pPr>
      <w:bookmarkStart w:id="98" w:name="_Toc326137851"/>
      <w:r w:rsidRPr="007E263F">
        <w:t>Arbetsmarknadsutskottet (AU)</w:t>
      </w:r>
      <w:bookmarkEnd w:id="98"/>
      <w:r w:rsidRPr="007E263F">
        <w:t xml:space="preserve"> </w:t>
      </w:r>
    </w:p>
    <w:p w:rsidR="008C3183" w:rsidRPr="007E263F" w:rsidRDefault="008C3183" w:rsidP="00393044">
      <w:pPr>
        <w:pStyle w:val="Rubrik3"/>
        <w:jc w:val="both"/>
        <w:rPr>
          <w:noProof w:val="0"/>
        </w:rPr>
      </w:pPr>
      <w:bookmarkStart w:id="99" w:name="_Toc326137852"/>
      <w:r w:rsidRPr="007E263F">
        <w:rPr>
          <w:noProof w:val="0"/>
        </w:rPr>
        <w:t>DO och diskrimineringsfrågorna (RiR 2012:3)</w:t>
      </w:r>
      <w:bookmarkEnd w:id="99"/>
    </w:p>
    <w:p w:rsidR="008C3183" w:rsidRPr="007E263F" w:rsidRDefault="008C3183" w:rsidP="00393044">
      <w:pPr>
        <w:rPr>
          <w:rFonts w:cs="ScalaPro-Regular"/>
          <w:color w:val="000000"/>
          <w:szCs w:val="22"/>
        </w:rPr>
      </w:pPr>
      <w:r w:rsidRPr="007E263F">
        <w:rPr>
          <w:szCs w:val="22"/>
        </w:rPr>
        <w:t xml:space="preserve">Riksrevisionen har granskat Diskrimineringsombudsmannen (DO) för att </w:t>
      </w:r>
      <w:r w:rsidRPr="007E263F">
        <w:rPr>
          <w:rFonts w:cs="ScalaPro-Regular"/>
          <w:color w:val="000000"/>
          <w:szCs w:val="22"/>
        </w:rPr>
        <w:t xml:space="preserve">analysera orsakerna till att myndigheten initialt haft problem att genomföra hela sitt uppdrag på ett sätt som motsvarar förväntningarna. </w:t>
      </w:r>
      <w:r w:rsidRPr="007E263F">
        <w:rPr>
          <w:szCs w:val="22"/>
        </w:rPr>
        <w:t>Granskningen har också syftat till att bedöma vilka åtgärder som behövs för att DO ska kunna bedriva ett effektivare arbete mot diskriminering.</w:t>
      </w:r>
    </w:p>
    <w:p w:rsidR="008C3183" w:rsidRPr="007E263F" w:rsidRDefault="008C3183" w:rsidP="00393044">
      <w:pPr>
        <w:pStyle w:val="normalmedindrag"/>
        <w:spacing w:before="0" w:line="250" w:lineRule="atLeast"/>
        <w:jc w:val="both"/>
        <w:rPr>
          <w:sz w:val="19"/>
          <w:szCs w:val="19"/>
        </w:rPr>
      </w:pPr>
      <w:r w:rsidRPr="007E263F">
        <w:rPr>
          <w:rFonts w:cs="ScalaPro-Regular"/>
          <w:color w:val="000000"/>
          <w:sz w:val="19"/>
          <w:szCs w:val="19"/>
        </w:rPr>
        <w:t xml:space="preserve">Komplexiteten i att skapa en enda myndighet av fyra tidigare har präglat myndighetens möjligheter att forma sin verksamhet utifrån de krav som ställs. </w:t>
      </w:r>
      <w:r w:rsidRPr="007E263F">
        <w:rPr>
          <w:sz w:val="19"/>
          <w:szCs w:val="19"/>
        </w:rPr>
        <w:t>DO har haft problem med långa handläggning</w:t>
      </w:r>
      <w:r w:rsidRPr="007E263F">
        <w:rPr>
          <w:sz w:val="19"/>
          <w:szCs w:val="19"/>
        </w:rPr>
        <w:t>s</w:t>
      </w:r>
      <w:r w:rsidRPr="007E263F">
        <w:rPr>
          <w:sz w:val="19"/>
          <w:szCs w:val="19"/>
        </w:rPr>
        <w:t xml:space="preserve">tider och låg aktivitet i det förebyggande arbetet. </w:t>
      </w:r>
    </w:p>
    <w:p w:rsidR="008C3183" w:rsidRPr="007E263F" w:rsidRDefault="008C3183" w:rsidP="00393044">
      <w:pPr>
        <w:pStyle w:val="normalmedindrag"/>
        <w:spacing w:before="0" w:line="250" w:lineRule="atLeast"/>
        <w:jc w:val="both"/>
        <w:rPr>
          <w:rFonts w:cs="ScalaPro-Regular"/>
          <w:color w:val="000000"/>
          <w:sz w:val="19"/>
          <w:szCs w:val="19"/>
        </w:rPr>
      </w:pPr>
      <w:r w:rsidRPr="007E263F">
        <w:rPr>
          <w:sz w:val="19"/>
          <w:szCs w:val="19"/>
        </w:rPr>
        <w:t>Granskningen visar att verksamheten hittills kommit att bli ärendestyrd. Detta förhållande har gått ut över möjligheten att nå resultat inom de delar av DO:s uppdrag som är inriktat mot för</w:t>
      </w:r>
      <w:r w:rsidRPr="007E263F">
        <w:rPr>
          <w:sz w:val="19"/>
          <w:szCs w:val="19"/>
        </w:rPr>
        <w:t>e</w:t>
      </w:r>
      <w:r w:rsidRPr="007E263F">
        <w:rPr>
          <w:sz w:val="19"/>
          <w:szCs w:val="19"/>
        </w:rPr>
        <w:t>byggande arbete. Riksrevisionens bedömning är att DO, efter drygt tre års verksamhet, fortfarande står inför ett antal strategiska utm</w:t>
      </w:r>
      <w:r w:rsidRPr="007E263F">
        <w:rPr>
          <w:sz w:val="19"/>
          <w:szCs w:val="19"/>
        </w:rPr>
        <w:t>a</w:t>
      </w:r>
      <w:r w:rsidRPr="007E263F">
        <w:rPr>
          <w:sz w:val="19"/>
          <w:szCs w:val="19"/>
        </w:rPr>
        <w:t xml:space="preserve">ningar när det gäller hur myndigheten ska utforma sina insatser och balansera dem mot varandra för att ge största möjliga effekt. </w:t>
      </w:r>
      <w:r w:rsidRPr="007E263F">
        <w:rPr>
          <w:rFonts w:cs="ScalaPro-Regular"/>
          <w:color w:val="000000"/>
          <w:sz w:val="19"/>
          <w:szCs w:val="19"/>
        </w:rPr>
        <w:t>DO behöver bland annat fortsätta att utveckla hur tillsynsarbetet och den främja</w:t>
      </w:r>
      <w:r w:rsidRPr="007E263F">
        <w:rPr>
          <w:rFonts w:cs="ScalaPro-Regular"/>
          <w:color w:val="000000"/>
          <w:sz w:val="19"/>
          <w:szCs w:val="19"/>
        </w:rPr>
        <w:t>n</w:t>
      </w:r>
      <w:r w:rsidRPr="007E263F">
        <w:rPr>
          <w:rFonts w:cs="ScalaPro-Regular"/>
          <w:color w:val="000000"/>
          <w:sz w:val="19"/>
          <w:szCs w:val="19"/>
        </w:rPr>
        <w:t>de verksamheten kan samverka. DO saknar också for</w:t>
      </w:r>
      <w:r w:rsidRPr="007E263F">
        <w:rPr>
          <w:rFonts w:cs="ScalaPro-Regular"/>
          <w:color w:val="000000"/>
          <w:sz w:val="19"/>
          <w:szCs w:val="19"/>
        </w:rPr>
        <w:t>t</w:t>
      </w:r>
      <w:r w:rsidRPr="007E263F">
        <w:rPr>
          <w:rFonts w:cs="ScalaPro-Regular"/>
          <w:color w:val="000000"/>
          <w:sz w:val="19"/>
          <w:szCs w:val="19"/>
        </w:rPr>
        <w:t>farande ett systematiskt arbete med riskanalys av förekomsten av diskriminering.</w:t>
      </w:r>
    </w:p>
    <w:p w:rsidR="008C3183" w:rsidRPr="007E263F" w:rsidRDefault="008C3183" w:rsidP="00393044">
      <w:pPr>
        <w:pStyle w:val="normalmedindrag"/>
        <w:spacing w:before="0" w:line="250" w:lineRule="atLeast"/>
        <w:jc w:val="both"/>
        <w:rPr>
          <w:sz w:val="19"/>
          <w:szCs w:val="19"/>
        </w:rPr>
      </w:pPr>
      <w:r w:rsidRPr="007E263F">
        <w:rPr>
          <w:rFonts w:cs="ScalaPro-Regular"/>
          <w:color w:val="000000"/>
          <w:sz w:val="19"/>
          <w:szCs w:val="19"/>
        </w:rPr>
        <w:t>Granskningen visar också att regeringens styrning av DO har varit åte</w:t>
      </w:r>
      <w:r w:rsidRPr="007E263F">
        <w:rPr>
          <w:rFonts w:cs="ScalaPro-Regular"/>
          <w:color w:val="000000"/>
          <w:sz w:val="19"/>
          <w:szCs w:val="19"/>
        </w:rPr>
        <w:t>r</w:t>
      </w:r>
      <w:r w:rsidRPr="007E263F">
        <w:rPr>
          <w:rFonts w:cs="ScalaPro-Regular"/>
          <w:color w:val="000000"/>
          <w:sz w:val="19"/>
          <w:szCs w:val="19"/>
        </w:rPr>
        <w:t xml:space="preserve">hållsam, och uppföljningen av myndighetens arbete bör utvecklas.  </w:t>
      </w:r>
    </w:p>
    <w:p w:rsidR="008C3183" w:rsidRPr="007E263F" w:rsidRDefault="008C3183" w:rsidP="00790E55">
      <w:pPr>
        <w:pStyle w:val="Rubrik3"/>
        <w:rPr>
          <w:noProof w:val="0"/>
        </w:rPr>
      </w:pPr>
      <w:bookmarkStart w:id="100" w:name="_Toc326137853"/>
      <w:r w:rsidRPr="007E263F">
        <w:rPr>
          <w:noProof w:val="0"/>
        </w:rPr>
        <w:t>Effektivitetsmätning som metod för att jämföra arbetsförmedlingskontor (RiR 2012:9)</w:t>
      </w:r>
      <w:bookmarkEnd w:id="100"/>
    </w:p>
    <w:p w:rsidR="008C3183" w:rsidRPr="007E263F" w:rsidRDefault="008C3183" w:rsidP="00393044">
      <w:r w:rsidRPr="007E263F">
        <w:t>Riksrevisionen har granskat Arbetsförmedlingens resurseffektivitet genom jämförelser mellan arbetsförmedlingskontor.</w:t>
      </w:r>
      <w:r w:rsidRPr="007E263F">
        <w:rPr>
          <w:rFonts w:cs="ScalaPro-Regular"/>
          <w:color w:val="000000"/>
          <w:sz w:val="20"/>
        </w:rPr>
        <w:t xml:space="preserve"> </w:t>
      </w:r>
      <w:r w:rsidRPr="007E263F">
        <w:t>Granskningen har även unde</w:t>
      </w:r>
      <w:r w:rsidRPr="007E263F">
        <w:t>r</w:t>
      </w:r>
      <w:r w:rsidRPr="007E263F">
        <w:t>sökt hur regeringen styr Arbets</w:t>
      </w:r>
      <w:r w:rsidRPr="007E263F">
        <w:softHyphen/>
        <w:t>förmedlingens arbete för att åstadkomma en effektiv verksamhet.</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konstaterar att ett flertal av arbetsförmedlingskontoren b</w:t>
      </w:r>
      <w:r w:rsidRPr="007E263F">
        <w:rPr>
          <w:sz w:val="19"/>
          <w:szCs w:val="19"/>
        </w:rPr>
        <w:t>e</w:t>
      </w:r>
      <w:r w:rsidRPr="007E263F">
        <w:rPr>
          <w:sz w:val="19"/>
          <w:szCs w:val="19"/>
        </w:rPr>
        <w:t>driver sin verksamhet resurseffektivt och att de inte kan öka mängden prest</w:t>
      </w:r>
      <w:r w:rsidRPr="007E263F">
        <w:rPr>
          <w:sz w:val="19"/>
          <w:szCs w:val="19"/>
        </w:rPr>
        <w:t>a</w:t>
      </w:r>
      <w:r w:rsidRPr="007E263F">
        <w:rPr>
          <w:sz w:val="19"/>
          <w:szCs w:val="19"/>
        </w:rPr>
        <w:t>tioner utan att ytterligare resurser tillförs. Det finns dock arbetsförmedling</w:t>
      </w:r>
      <w:r w:rsidRPr="007E263F">
        <w:rPr>
          <w:sz w:val="19"/>
          <w:szCs w:val="19"/>
        </w:rPr>
        <w:t>s</w:t>
      </w:r>
      <w:r w:rsidRPr="007E263F">
        <w:rPr>
          <w:sz w:val="19"/>
          <w:szCs w:val="19"/>
        </w:rPr>
        <w:t>kontor med en förbättringspotential. Medeltalet för förbättringspotentialen är under den studerade per</w:t>
      </w:r>
      <w:r w:rsidRPr="007E263F">
        <w:rPr>
          <w:sz w:val="19"/>
          <w:szCs w:val="19"/>
        </w:rPr>
        <w:t>i</w:t>
      </w:r>
      <w:r w:rsidRPr="007E263F">
        <w:rPr>
          <w:sz w:val="19"/>
          <w:szCs w:val="19"/>
        </w:rPr>
        <w:t>oden drygt 8 procent. En stor del av den beräknade förbättringspotentialen som observerats kan ha att göra med kontorens inre arbetssätt, såsom organisering, styrning och ledarskap. Riksrevisionen bed</w:t>
      </w:r>
      <w:r w:rsidRPr="007E263F">
        <w:rPr>
          <w:sz w:val="19"/>
          <w:szCs w:val="19"/>
        </w:rPr>
        <w:t>ö</w:t>
      </w:r>
      <w:r w:rsidRPr="007E263F">
        <w:rPr>
          <w:sz w:val="19"/>
          <w:szCs w:val="19"/>
        </w:rPr>
        <w:t>mer därför att Arbetsförmedlingen bör ha stor möjlighet att ta vara på förbät</w:t>
      </w:r>
      <w:r w:rsidRPr="007E263F">
        <w:rPr>
          <w:sz w:val="19"/>
          <w:szCs w:val="19"/>
        </w:rPr>
        <w:t>t</w:t>
      </w:r>
      <w:r w:rsidRPr="007E263F">
        <w:rPr>
          <w:sz w:val="19"/>
          <w:szCs w:val="19"/>
        </w:rPr>
        <w:t>ringspotentialen genom ett internt utveckling</w:t>
      </w:r>
      <w:r w:rsidRPr="007E263F">
        <w:rPr>
          <w:sz w:val="19"/>
          <w:szCs w:val="19"/>
        </w:rPr>
        <w:t>s</w:t>
      </w:r>
      <w:r w:rsidRPr="007E263F">
        <w:rPr>
          <w:sz w:val="19"/>
          <w:szCs w:val="19"/>
        </w:rPr>
        <w:t>arbete.</w:t>
      </w:r>
    </w:p>
    <w:p w:rsidR="008C3183" w:rsidRPr="007E263F" w:rsidRDefault="008C3183" w:rsidP="00393044">
      <w:pPr>
        <w:pStyle w:val="normalmedindrag"/>
        <w:spacing w:before="0" w:line="250" w:lineRule="atLeast"/>
        <w:jc w:val="both"/>
        <w:rPr>
          <w:sz w:val="19"/>
          <w:szCs w:val="19"/>
        </w:rPr>
      </w:pPr>
      <w:r w:rsidRPr="007E263F">
        <w:rPr>
          <w:sz w:val="19"/>
          <w:szCs w:val="19"/>
        </w:rPr>
        <w:t>Den förbättringspotential som beräknats är inte jäm</w:t>
      </w:r>
      <w:r w:rsidR="006E2DB5" w:rsidRPr="007E263F">
        <w:rPr>
          <w:sz w:val="19"/>
          <w:szCs w:val="19"/>
        </w:rPr>
        <w:t>n</w:t>
      </w:r>
      <w:r w:rsidRPr="007E263F">
        <w:rPr>
          <w:sz w:val="19"/>
          <w:szCs w:val="19"/>
        </w:rPr>
        <w:t>t fördelad mellan a</w:t>
      </w:r>
      <w:r w:rsidRPr="007E263F">
        <w:rPr>
          <w:sz w:val="19"/>
          <w:szCs w:val="19"/>
        </w:rPr>
        <w:t>r</w:t>
      </w:r>
      <w:r w:rsidRPr="007E263F">
        <w:rPr>
          <w:sz w:val="19"/>
          <w:szCs w:val="19"/>
        </w:rPr>
        <w:t>betsförmedlingskontoren, och effektiviseringsarbetet bör inriktas mot förme</w:t>
      </w:r>
      <w:r w:rsidRPr="007E263F">
        <w:rPr>
          <w:sz w:val="19"/>
          <w:szCs w:val="19"/>
        </w:rPr>
        <w:t>d</w:t>
      </w:r>
      <w:r w:rsidRPr="007E263F">
        <w:rPr>
          <w:sz w:val="19"/>
          <w:szCs w:val="19"/>
        </w:rPr>
        <w:t xml:space="preserve">lingskontor med stor förbättringspotential. </w:t>
      </w:r>
    </w:p>
    <w:p w:rsidR="008C3183" w:rsidRPr="007E263F" w:rsidRDefault="008C3183" w:rsidP="00393044">
      <w:pPr>
        <w:pStyle w:val="normalmedindrag"/>
        <w:spacing w:before="0" w:line="250" w:lineRule="atLeast"/>
        <w:jc w:val="both"/>
        <w:rPr>
          <w:sz w:val="19"/>
          <w:szCs w:val="19"/>
        </w:rPr>
      </w:pPr>
      <w:r w:rsidRPr="007E263F">
        <w:rPr>
          <w:sz w:val="19"/>
          <w:szCs w:val="19"/>
        </w:rPr>
        <w:t>Riksrevisionen anser även att Arbetsförmedlingen återkomma</w:t>
      </w:r>
      <w:r w:rsidRPr="007E263F">
        <w:rPr>
          <w:sz w:val="19"/>
          <w:szCs w:val="19"/>
        </w:rPr>
        <w:t>n</w:t>
      </w:r>
      <w:r w:rsidRPr="007E263F">
        <w:rPr>
          <w:sz w:val="19"/>
          <w:szCs w:val="19"/>
        </w:rPr>
        <w:t>de bör följa upp sin resurseffektivitet som ett komplement till det pågående arbetet med att analysera myn</w:t>
      </w:r>
      <w:r w:rsidRPr="007E263F">
        <w:rPr>
          <w:sz w:val="19"/>
          <w:szCs w:val="19"/>
        </w:rPr>
        <w:softHyphen/>
        <w:t>dighetens kostnadseffekt</w:t>
      </w:r>
      <w:r w:rsidRPr="007E263F">
        <w:rPr>
          <w:sz w:val="19"/>
          <w:szCs w:val="19"/>
        </w:rPr>
        <w:t>i</w:t>
      </w:r>
      <w:r w:rsidRPr="007E263F">
        <w:rPr>
          <w:sz w:val="19"/>
          <w:szCs w:val="19"/>
        </w:rPr>
        <w:t>vitet. För att Arbetsförmedlingen ska kunna göra detta är det vi</w:t>
      </w:r>
      <w:r w:rsidRPr="007E263F">
        <w:rPr>
          <w:sz w:val="19"/>
          <w:szCs w:val="19"/>
        </w:rPr>
        <w:t>k</w:t>
      </w:r>
      <w:r w:rsidRPr="007E263F">
        <w:rPr>
          <w:sz w:val="19"/>
          <w:szCs w:val="19"/>
        </w:rPr>
        <w:t>tigt att nödvändig information sammanställs och kvalitetssäkras på ett systematiskt sätt på kontorsnivå. Enligt Riksrevisi</w:t>
      </w:r>
      <w:r w:rsidRPr="007E263F">
        <w:rPr>
          <w:sz w:val="19"/>
          <w:szCs w:val="19"/>
        </w:rPr>
        <w:t>o</w:t>
      </w:r>
      <w:r w:rsidRPr="007E263F">
        <w:rPr>
          <w:sz w:val="19"/>
          <w:szCs w:val="19"/>
        </w:rPr>
        <w:t xml:space="preserve">nens görs detta inte idag. </w:t>
      </w:r>
    </w:p>
    <w:p w:rsidR="008C3183" w:rsidRPr="007E263F" w:rsidRDefault="008C3183" w:rsidP="00393044"/>
    <w:p w:rsidR="009233B7" w:rsidRPr="007E263F" w:rsidRDefault="009233B7" w:rsidP="009233B7">
      <w:pPr>
        <w:pStyle w:val="Tryckort"/>
        <w:framePr w:wrap="around"/>
        <w:jc w:val="right"/>
      </w:pPr>
      <w:bookmarkStart w:id="101" w:name="TextStart"/>
      <w:bookmarkEnd w:id="101"/>
      <w:r w:rsidRPr="007E263F">
        <w:t>Elanders Gotab, Stockholm  2012</w:t>
      </w:r>
    </w:p>
    <w:p w:rsidR="00E87357" w:rsidRPr="007E263F" w:rsidRDefault="00E87357" w:rsidP="009233B7">
      <w:pPr>
        <w:pStyle w:val="Normaltindrag"/>
      </w:pPr>
    </w:p>
    <w:sectPr w:rsidR="00E87357" w:rsidRPr="007E263F" w:rsidSect="00820C2D">
      <w:headerReference w:type="even" r:id="rId70"/>
      <w:headerReference w:type="default" r:id="rId71"/>
      <w:footerReference w:type="even" r:id="rId72"/>
      <w:footerReference w:type="default" r:id="rId73"/>
      <w:headerReference w:type="first" r:id="rId74"/>
      <w:footerReference w:type="first" r:id="rId7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7F9" w:rsidRPr="007E263F" w:rsidRDefault="008117F9">
      <w:r w:rsidRPr="007E263F">
        <w:separator/>
      </w:r>
    </w:p>
  </w:endnote>
  <w:endnote w:type="continuationSeparator" w:id="0">
    <w:p w:rsidR="008117F9" w:rsidRPr="007E263F" w:rsidRDefault="008117F9">
      <w:r w:rsidRPr="007E2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cala LF">
    <w:altName w:val="Scala LF"/>
    <w:panose1 w:val="00000000000000000000"/>
    <w:charset w:val="00"/>
    <w:family w:val="roman"/>
    <w:notTrueType/>
    <w:pitch w:val="default"/>
    <w:sig w:usb0="00000003" w:usb1="0000000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2</w:t>
    </w:r>
    <w:r w:rsidRPr="007E263F">
      <w:fldChar w:fldCharType="end"/>
    </w:r>
  </w:p>
  <w:p w:rsidR="003059FC" w:rsidRPr="007E263F" w:rsidRDefault="003059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48</w:t>
    </w:r>
    <w:r w:rsidRPr="007E263F">
      <w:fldChar w:fldCharType="end"/>
    </w:r>
  </w:p>
  <w:p w:rsidR="003059FC" w:rsidRPr="007E263F" w:rsidRDefault="003059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5</w:t>
    </w:r>
    <w:r w:rsidRPr="007E263F">
      <w:fldChar w:fldCharType="end"/>
    </w:r>
  </w:p>
  <w:p w:rsidR="003059FC" w:rsidRPr="007E263F" w:rsidRDefault="003059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6</w:instrText>
    </w:r>
    <w:r w:rsidRPr="007E263F">
      <w:fldChar w:fldCharType="end"/>
    </w:r>
    <w:r w:rsidRPr="007E263F">
      <w:instrText xml:space="preserve">/2 </w:instrText>
    </w:r>
    <w:r w:rsidRPr="007E263F">
      <w:fldChar w:fldCharType="separate"/>
    </w:r>
    <w:r w:rsidR="003A0BA7" w:rsidRPr="007E263F">
      <w:instrText>3</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6</w:instrText>
    </w:r>
    <w:r w:rsidRPr="007E263F">
      <w:fldChar w:fldCharType="end"/>
    </w:r>
    <w:r w:rsidRPr="007E263F">
      <w:instrText xml:space="preserve">/2) </w:instrText>
    </w:r>
    <w:r w:rsidRPr="007E263F">
      <w:fldChar w:fldCharType="separate"/>
    </w:r>
    <w:r w:rsidR="003A0BA7" w:rsidRPr="007E263F">
      <w:instrText>3</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6</w:instrText>
    </w:r>
    <w:r w:rsidRPr="007E263F">
      <w:fldChar w:fldCharType="end"/>
    </w:r>
  </w:p>
  <w:p w:rsidR="003A0BA7" w:rsidRPr="007E263F" w:rsidRDefault="003059FC">
    <w:pPr>
      <w:pStyle w:val="SidfotV"/>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5</w:instrText>
    </w:r>
    <w:r w:rsidRPr="007E263F">
      <w:fldChar w:fldCharType="end"/>
    </w:r>
    <w:r w:rsidRPr="007E263F">
      <w:instrText>"</w:instrText>
    </w:r>
    <w:r w:rsidRPr="007E263F">
      <w:fldChar w:fldCharType="separate"/>
    </w:r>
    <w:r w:rsidR="003A0BA7" w:rsidRPr="007E263F">
      <w:t>6</w:t>
    </w:r>
  </w:p>
  <w:p w:rsidR="003059FC" w:rsidRPr="007E263F" w:rsidRDefault="003059FC">
    <w:pPr>
      <w:pStyle w:val="SidfotH"/>
      <w:framePr w:w="8732" w:h="284" w:hRule="exact" w:hSpace="0" w:vSpace="0" w:wrap="around" w:xAlign="inside" w:y="13042" w:anchorLock="0"/>
    </w:pPr>
    <w:r w:rsidRPr="007E263F">
      <w:fldChar w:fldCharType="end"/>
    </w:r>
  </w:p>
  <w:p w:rsidR="003059FC" w:rsidRPr="007E263F" w:rsidRDefault="003059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6</w:t>
    </w:r>
    <w:r w:rsidRPr="007E263F">
      <w:fldChar w:fldCharType="end"/>
    </w:r>
  </w:p>
  <w:p w:rsidR="003059FC" w:rsidRPr="007E263F" w:rsidRDefault="003059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49</w:t>
    </w:r>
    <w:r w:rsidRPr="007E263F">
      <w:fldChar w:fldCharType="end"/>
    </w:r>
  </w:p>
  <w:p w:rsidR="003059FC" w:rsidRPr="007E263F" w:rsidRDefault="003059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7</w:instrText>
    </w:r>
    <w:r w:rsidRPr="007E263F">
      <w:fldChar w:fldCharType="end"/>
    </w:r>
    <w:r w:rsidRPr="007E263F">
      <w:instrText xml:space="preserve">/2 </w:instrText>
    </w:r>
    <w:r w:rsidRPr="007E263F">
      <w:fldChar w:fldCharType="separate"/>
    </w:r>
    <w:r w:rsidR="003A0BA7" w:rsidRPr="007E263F">
      <w:instrText>3,5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7</w:instrText>
    </w:r>
    <w:r w:rsidRPr="007E263F">
      <w:fldChar w:fldCharType="end"/>
    </w:r>
    <w:r w:rsidRPr="007E263F">
      <w:instrText xml:space="preserve">/2) </w:instrText>
    </w:r>
    <w:r w:rsidRPr="007E263F">
      <w:fldChar w:fldCharType="separate"/>
    </w:r>
    <w:r w:rsidR="003A0BA7" w:rsidRPr="007E263F">
      <w:instrText>3</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6</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7</w:instrText>
    </w:r>
    <w:r w:rsidRPr="007E263F">
      <w:fldChar w:fldCharType="end"/>
    </w:r>
    <w:r w:rsidRPr="007E263F">
      <w:instrText>"</w:instrText>
    </w:r>
    <w:r w:rsidRPr="007E263F">
      <w:fldChar w:fldCharType="separate"/>
    </w:r>
    <w:r w:rsidR="003A0BA7" w:rsidRPr="007E263F">
      <w:t>7</w:t>
    </w:r>
    <w:r w:rsidRPr="007E263F">
      <w:fldChar w:fldCharType="end"/>
    </w:r>
  </w:p>
  <w:p w:rsidR="003059FC" w:rsidRPr="007E263F" w:rsidRDefault="003059F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14</w:t>
    </w:r>
    <w:r w:rsidRPr="007E263F">
      <w:fldChar w:fldCharType="end"/>
    </w:r>
  </w:p>
  <w:p w:rsidR="003059FC" w:rsidRPr="007E263F" w:rsidRDefault="003059F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13</w:t>
    </w:r>
    <w:r w:rsidRPr="007E263F">
      <w:fldChar w:fldCharType="end"/>
    </w:r>
  </w:p>
  <w:p w:rsidR="003059FC" w:rsidRPr="007E263F" w:rsidRDefault="003059F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8</w:instrText>
    </w:r>
    <w:r w:rsidRPr="007E263F">
      <w:fldChar w:fldCharType="end"/>
    </w:r>
    <w:r w:rsidRPr="007E263F">
      <w:instrText xml:space="preserve">/2 </w:instrText>
    </w:r>
    <w:r w:rsidRPr="007E263F">
      <w:fldChar w:fldCharType="separate"/>
    </w:r>
    <w:r w:rsidR="003A0BA7" w:rsidRPr="007E263F">
      <w:instrText>4</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8</w:instrText>
    </w:r>
    <w:r w:rsidRPr="007E263F">
      <w:fldChar w:fldCharType="end"/>
    </w:r>
    <w:r w:rsidRPr="007E263F">
      <w:instrText xml:space="preserve">/2) </w:instrText>
    </w:r>
    <w:r w:rsidRPr="007E263F">
      <w:fldChar w:fldCharType="separate"/>
    </w:r>
    <w:r w:rsidR="003A0BA7" w:rsidRPr="007E263F">
      <w:instrText>4</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8</w:instrText>
    </w:r>
    <w:r w:rsidRPr="007E263F">
      <w:fldChar w:fldCharType="end"/>
    </w:r>
  </w:p>
  <w:p w:rsidR="003A0BA7" w:rsidRPr="007E263F" w:rsidRDefault="003059FC">
    <w:pPr>
      <w:pStyle w:val="SidfotV"/>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7</w:instrText>
    </w:r>
    <w:r w:rsidRPr="007E263F">
      <w:fldChar w:fldCharType="end"/>
    </w:r>
    <w:r w:rsidRPr="007E263F">
      <w:instrText>"</w:instrText>
    </w:r>
    <w:r w:rsidRPr="007E263F">
      <w:fldChar w:fldCharType="separate"/>
    </w:r>
    <w:r w:rsidR="003A0BA7" w:rsidRPr="007E263F">
      <w:t>8</w:t>
    </w:r>
  </w:p>
  <w:p w:rsidR="003059FC" w:rsidRPr="007E263F" w:rsidRDefault="003059FC">
    <w:pPr>
      <w:pStyle w:val="SidfotH"/>
      <w:framePr w:w="8732" w:h="284" w:hRule="exact" w:hSpace="0" w:vSpace="0" w:wrap="around" w:xAlign="inside" w:y="13042" w:anchorLock="0"/>
    </w:pPr>
    <w:r w:rsidRPr="007E263F">
      <w:fldChar w:fldCharType="end"/>
    </w:r>
  </w:p>
  <w:p w:rsidR="003059FC" w:rsidRPr="007E263F" w:rsidRDefault="003059F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18</w:t>
    </w:r>
    <w:r w:rsidRPr="007E263F">
      <w:fldChar w:fldCharType="end"/>
    </w:r>
  </w:p>
  <w:p w:rsidR="003059FC" w:rsidRPr="007E263F" w:rsidRDefault="003059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3</w:t>
    </w:r>
    <w:r w:rsidRPr="007E263F">
      <w:fldChar w:fldCharType="end"/>
    </w:r>
  </w:p>
  <w:p w:rsidR="003059FC" w:rsidRPr="007E263F" w:rsidRDefault="003059F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17</w:t>
    </w:r>
    <w:r w:rsidRPr="007E263F">
      <w:fldChar w:fldCharType="end"/>
    </w:r>
  </w:p>
  <w:p w:rsidR="003059FC" w:rsidRPr="007E263F" w:rsidRDefault="003059F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15</w:instrText>
    </w:r>
    <w:r w:rsidRPr="007E263F">
      <w:fldChar w:fldCharType="end"/>
    </w:r>
    <w:r w:rsidRPr="007E263F">
      <w:instrText xml:space="preserve">/2 </w:instrText>
    </w:r>
    <w:r w:rsidRPr="007E263F">
      <w:fldChar w:fldCharType="separate"/>
    </w:r>
    <w:r w:rsidR="003A0BA7" w:rsidRPr="007E263F">
      <w:instrText>7,5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15</w:instrText>
    </w:r>
    <w:r w:rsidRPr="007E263F">
      <w:fldChar w:fldCharType="end"/>
    </w:r>
    <w:r w:rsidRPr="007E263F">
      <w:instrText xml:space="preserve">/2) </w:instrText>
    </w:r>
    <w:r w:rsidRPr="007E263F">
      <w:fldChar w:fldCharType="separate"/>
    </w:r>
    <w:r w:rsidR="003A0BA7" w:rsidRPr="007E263F">
      <w:instrText>7</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14</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15</w:instrText>
    </w:r>
    <w:r w:rsidRPr="007E263F">
      <w:fldChar w:fldCharType="end"/>
    </w:r>
    <w:r w:rsidRPr="007E263F">
      <w:instrText>"</w:instrText>
    </w:r>
    <w:r w:rsidRPr="007E263F">
      <w:fldChar w:fldCharType="separate"/>
    </w:r>
    <w:r w:rsidR="003A0BA7" w:rsidRPr="007E263F">
      <w:t>15</w:t>
    </w:r>
    <w:r w:rsidRPr="007E263F">
      <w:fldChar w:fldCharType="end"/>
    </w:r>
  </w:p>
  <w:p w:rsidR="003059FC" w:rsidRPr="007E263F" w:rsidRDefault="003059F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24</w:t>
    </w:r>
    <w:r w:rsidRPr="007E263F">
      <w:fldChar w:fldCharType="end"/>
    </w:r>
  </w:p>
  <w:p w:rsidR="003059FC" w:rsidRPr="007E263F" w:rsidRDefault="003059F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25</w:t>
    </w:r>
    <w:r w:rsidRPr="007E263F">
      <w:fldChar w:fldCharType="end"/>
    </w:r>
  </w:p>
  <w:p w:rsidR="003059FC" w:rsidRPr="007E263F" w:rsidRDefault="003059F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19</w:instrText>
    </w:r>
    <w:r w:rsidRPr="007E263F">
      <w:fldChar w:fldCharType="end"/>
    </w:r>
    <w:r w:rsidRPr="007E263F">
      <w:instrText xml:space="preserve">/2 </w:instrText>
    </w:r>
    <w:r w:rsidRPr="007E263F">
      <w:fldChar w:fldCharType="separate"/>
    </w:r>
    <w:r w:rsidR="003A0BA7" w:rsidRPr="007E263F">
      <w:instrText>9,5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19</w:instrText>
    </w:r>
    <w:r w:rsidRPr="007E263F">
      <w:fldChar w:fldCharType="end"/>
    </w:r>
    <w:r w:rsidRPr="007E263F">
      <w:instrText xml:space="preserve">/2) </w:instrText>
    </w:r>
    <w:r w:rsidRPr="007E263F">
      <w:fldChar w:fldCharType="separate"/>
    </w:r>
    <w:r w:rsidR="003A0BA7" w:rsidRPr="007E263F">
      <w:instrText>9</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18</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19</w:instrText>
    </w:r>
    <w:r w:rsidRPr="007E263F">
      <w:fldChar w:fldCharType="end"/>
    </w:r>
    <w:r w:rsidRPr="007E263F">
      <w:instrText>"</w:instrText>
    </w:r>
    <w:r w:rsidRPr="007E263F">
      <w:fldChar w:fldCharType="separate"/>
    </w:r>
    <w:r w:rsidR="003A0BA7" w:rsidRPr="007E263F">
      <w:t>19</w:t>
    </w:r>
    <w:r w:rsidRPr="007E263F">
      <w:fldChar w:fldCharType="end"/>
    </w:r>
  </w:p>
  <w:p w:rsidR="003059FC" w:rsidRPr="007E263F" w:rsidRDefault="003059F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28</w:t>
    </w:r>
    <w:r w:rsidRPr="007E263F">
      <w:fldChar w:fldCharType="end"/>
    </w:r>
  </w:p>
  <w:p w:rsidR="003059FC" w:rsidRPr="007E263F" w:rsidRDefault="003059F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27</w:t>
    </w:r>
    <w:r w:rsidRPr="007E263F">
      <w:fldChar w:fldCharType="end"/>
    </w:r>
  </w:p>
  <w:p w:rsidR="003059FC" w:rsidRPr="007E263F" w:rsidRDefault="003059F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26</w:instrText>
    </w:r>
    <w:r w:rsidRPr="007E263F">
      <w:fldChar w:fldCharType="end"/>
    </w:r>
    <w:r w:rsidRPr="007E263F">
      <w:instrText xml:space="preserve">/2 </w:instrText>
    </w:r>
    <w:r w:rsidRPr="007E263F">
      <w:fldChar w:fldCharType="separate"/>
    </w:r>
    <w:r w:rsidR="003A0BA7" w:rsidRPr="007E263F">
      <w:instrText>13</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26</w:instrText>
    </w:r>
    <w:r w:rsidRPr="007E263F">
      <w:fldChar w:fldCharType="end"/>
    </w:r>
    <w:r w:rsidRPr="007E263F">
      <w:instrText xml:space="preserve">/2) </w:instrText>
    </w:r>
    <w:r w:rsidRPr="007E263F">
      <w:fldChar w:fldCharType="separate"/>
    </w:r>
    <w:r w:rsidR="003A0BA7" w:rsidRPr="007E263F">
      <w:instrText>13</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26</w:instrText>
    </w:r>
    <w:r w:rsidRPr="007E263F">
      <w:fldChar w:fldCharType="end"/>
    </w:r>
  </w:p>
  <w:p w:rsidR="003A0BA7" w:rsidRPr="007E263F" w:rsidRDefault="003059FC">
    <w:pPr>
      <w:pStyle w:val="SidfotV"/>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25</w:instrText>
    </w:r>
    <w:r w:rsidRPr="007E263F">
      <w:fldChar w:fldCharType="end"/>
    </w:r>
    <w:r w:rsidRPr="007E263F">
      <w:instrText>"</w:instrText>
    </w:r>
    <w:r w:rsidRPr="007E263F">
      <w:fldChar w:fldCharType="separate"/>
    </w:r>
    <w:r w:rsidR="003A0BA7" w:rsidRPr="007E263F">
      <w:t>26</w:t>
    </w:r>
  </w:p>
  <w:p w:rsidR="003059FC" w:rsidRPr="007E263F" w:rsidRDefault="003059FC">
    <w:pPr>
      <w:pStyle w:val="SidfotH"/>
      <w:framePr w:w="8732" w:h="284" w:hRule="exact" w:hSpace="0" w:vSpace="0" w:wrap="around" w:xAlign="inside" w:y="13042" w:anchorLock="0"/>
    </w:pPr>
    <w:r w:rsidRPr="007E263F">
      <w:fldChar w:fldCharType="end"/>
    </w:r>
  </w:p>
  <w:p w:rsidR="003059FC" w:rsidRPr="007E263F" w:rsidRDefault="003059F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32</w:t>
    </w:r>
    <w:r w:rsidRPr="007E263F">
      <w:fldChar w:fldCharType="end"/>
    </w:r>
  </w:p>
  <w:p w:rsidR="003059FC" w:rsidRPr="007E263F" w:rsidRDefault="003059F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31</w:t>
    </w:r>
    <w:r w:rsidRPr="007E263F">
      <w:fldChar w:fldCharType="end"/>
    </w:r>
  </w:p>
  <w:p w:rsidR="003059FC" w:rsidRPr="007E263F" w:rsidRDefault="003059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7E263F">
      <w:rPr>
        <w:noProof/>
      </w:rPr>
      <w:instrText>1</w:instrText>
    </w:r>
    <w:r w:rsidRPr="007E263F">
      <w:fldChar w:fldCharType="end"/>
    </w:r>
    <w:r w:rsidRPr="007E263F">
      <w:instrText xml:space="preserve">/2 </w:instrText>
    </w:r>
    <w:r w:rsidRPr="007E263F">
      <w:fldChar w:fldCharType="separate"/>
    </w:r>
    <w:r w:rsidR="007E263F">
      <w:rPr>
        <w:noProof/>
      </w:rPr>
      <w:instrText>0,5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7E263F">
      <w:rPr>
        <w:noProof/>
      </w:rPr>
      <w:instrText>1</w:instrText>
    </w:r>
    <w:r w:rsidRPr="007E263F">
      <w:fldChar w:fldCharType="end"/>
    </w:r>
    <w:r w:rsidRPr="007E263F">
      <w:instrText xml:space="preserve">/2) </w:instrText>
    </w:r>
    <w:r w:rsidRPr="007E263F">
      <w:fldChar w:fldCharType="separate"/>
    </w:r>
    <w:r w:rsidR="007E263F">
      <w:rPr>
        <w:noProof/>
      </w:rPr>
      <w:instrText>0</w:instrText>
    </w:r>
    <w:r w:rsidRPr="007E263F">
      <w:fldChar w:fldCharType="end"/>
    </w:r>
    <w:r w:rsidRPr="007E263F">
      <w:fldChar w:fldCharType="separate"/>
    </w:r>
    <w:r w:rsidR="007E263F">
      <w:rPr>
        <w:noProof/>
      </w:rPr>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14</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7E263F">
      <w:rPr>
        <w:noProof/>
      </w:rPr>
      <w:instrText>1</w:instrText>
    </w:r>
    <w:r w:rsidRPr="007E263F">
      <w:fldChar w:fldCharType="end"/>
    </w:r>
    <w:r w:rsidRPr="007E263F">
      <w:instrText>"</w:instrText>
    </w:r>
    <w:r w:rsidRPr="007E263F">
      <w:fldChar w:fldCharType="separate"/>
    </w:r>
    <w:r w:rsidR="007E263F">
      <w:rPr>
        <w:noProof/>
      </w:rPr>
      <w:t>1</w:t>
    </w:r>
    <w:r w:rsidRPr="007E263F">
      <w:fldChar w:fldCharType="end"/>
    </w:r>
  </w:p>
  <w:p w:rsidR="003059FC" w:rsidRPr="007E263F" w:rsidRDefault="003059F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29</w:instrText>
    </w:r>
    <w:r w:rsidRPr="007E263F">
      <w:fldChar w:fldCharType="end"/>
    </w:r>
    <w:r w:rsidRPr="007E263F">
      <w:instrText xml:space="preserve">/2 </w:instrText>
    </w:r>
    <w:r w:rsidRPr="007E263F">
      <w:fldChar w:fldCharType="separate"/>
    </w:r>
    <w:r w:rsidR="003A0BA7" w:rsidRPr="007E263F">
      <w:instrText>14,5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29</w:instrText>
    </w:r>
    <w:r w:rsidRPr="007E263F">
      <w:fldChar w:fldCharType="end"/>
    </w:r>
    <w:r w:rsidRPr="007E263F">
      <w:instrText xml:space="preserve">/2) </w:instrText>
    </w:r>
    <w:r w:rsidRPr="007E263F">
      <w:fldChar w:fldCharType="separate"/>
    </w:r>
    <w:r w:rsidR="003A0BA7" w:rsidRPr="007E263F">
      <w:instrText>14</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28</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29</w:instrText>
    </w:r>
    <w:r w:rsidRPr="007E263F">
      <w:fldChar w:fldCharType="end"/>
    </w:r>
    <w:r w:rsidRPr="007E263F">
      <w:instrText>"</w:instrText>
    </w:r>
    <w:r w:rsidRPr="007E263F">
      <w:fldChar w:fldCharType="separate"/>
    </w:r>
    <w:r w:rsidR="003A0BA7" w:rsidRPr="007E263F">
      <w:t>29</w:t>
    </w:r>
    <w:r w:rsidRPr="007E263F">
      <w:fldChar w:fldCharType="end"/>
    </w:r>
  </w:p>
  <w:p w:rsidR="003059FC" w:rsidRPr="007E263F" w:rsidRDefault="003059FC">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46</w:t>
    </w:r>
    <w:r w:rsidRPr="007E263F">
      <w:fldChar w:fldCharType="end"/>
    </w:r>
  </w:p>
  <w:p w:rsidR="003059FC" w:rsidRPr="007E263F" w:rsidRDefault="003059FC">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45</w:t>
    </w:r>
    <w:r w:rsidRPr="007E263F">
      <w:fldChar w:fldCharType="end"/>
    </w:r>
  </w:p>
  <w:p w:rsidR="003059FC" w:rsidRPr="007E263F" w:rsidRDefault="003059FC">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33</w:instrText>
    </w:r>
    <w:r w:rsidRPr="007E263F">
      <w:fldChar w:fldCharType="end"/>
    </w:r>
    <w:r w:rsidRPr="007E263F">
      <w:instrText xml:space="preserve">/2 </w:instrText>
    </w:r>
    <w:r w:rsidRPr="007E263F">
      <w:fldChar w:fldCharType="separate"/>
    </w:r>
    <w:r w:rsidR="003A0BA7" w:rsidRPr="007E263F">
      <w:instrText>16,5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33</w:instrText>
    </w:r>
    <w:r w:rsidRPr="007E263F">
      <w:fldChar w:fldCharType="end"/>
    </w:r>
    <w:r w:rsidRPr="007E263F">
      <w:instrText xml:space="preserve">/2) </w:instrText>
    </w:r>
    <w:r w:rsidRPr="007E263F">
      <w:fldChar w:fldCharType="separate"/>
    </w:r>
    <w:r w:rsidR="003A0BA7" w:rsidRPr="007E263F">
      <w:instrText>16</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46</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33</w:instrText>
    </w:r>
    <w:r w:rsidRPr="007E263F">
      <w:fldChar w:fldCharType="end"/>
    </w:r>
    <w:r w:rsidRPr="007E263F">
      <w:instrText>"</w:instrText>
    </w:r>
    <w:r w:rsidRPr="007E263F">
      <w:fldChar w:fldCharType="separate"/>
    </w:r>
    <w:r w:rsidR="003A0BA7" w:rsidRPr="007E263F">
      <w:t>33</w:t>
    </w:r>
    <w:r w:rsidRPr="007E263F">
      <w:fldChar w:fldCharType="end"/>
    </w:r>
  </w:p>
  <w:p w:rsidR="003059FC" w:rsidRPr="007E263F" w:rsidRDefault="003059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4</w:t>
    </w:r>
    <w:r w:rsidRPr="007E263F">
      <w:fldChar w:fldCharType="end"/>
    </w:r>
  </w:p>
  <w:p w:rsidR="003059FC" w:rsidRPr="007E263F" w:rsidRDefault="003059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t>3</w:t>
    </w:r>
    <w:r w:rsidRPr="007E263F">
      <w:fldChar w:fldCharType="end"/>
    </w:r>
  </w:p>
  <w:p w:rsidR="003059FC" w:rsidRPr="007E263F" w:rsidRDefault="003059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2</w:instrText>
    </w:r>
    <w:r w:rsidRPr="007E263F">
      <w:fldChar w:fldCharType="end"/>
    </w:r>
    <w:r w:rsidRPr="007E263F">
      <w:instrText xml:space="preserve">/2 </w:instrText>
    </w:r>
    <w:r w:rsidRPr="007E263F">
      <w:fldChar w:fldCharType="separate"/>
    </w:r>
    <w:r w:rsidR="003A0BA7" w:rsidRPr="007E263F">
      <w:instrText>1</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2</w:instrText>
    </w:r>
    <w:r w:rsidRPr="007E263F">
      <w:fldChar w:fldCharType="end"/>
    </w:r>
    <w:r w:rsidRPr="007E263F">
      <w:instrText xml:space="preserve">/2) </w:instrText>
    </w:r>
    <w:r w:rsidRPr="007E263F">
      <w:fldChar w:fldCharType="separate"/>
    </w:r>
    <w:r w:rsidR="003A0BA7" w:rsidRPr="007E263F">
      <w:instrText>1</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2</w:instrText>
    </w:r>
    <w:r w:rsidRPr="007E263F">
      <w:fldChar w:fldCharType="end"/>
    </w:r>
  </w:p>
  <w:p w:rsidR="003A0BA7" w:rsidRPr="007E263F" w:rsidRDefault="003059FC">
    <w:pPr>
      <w:pStyle w:val="SidfotV"/>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3</w:instrText>
    </w:r>
    <w:r w:rsidRPr="007E263F">
      <w:fldChar w:fldCharType="end"/>
    </w:r>
    <w:r w:rsidRPr="007E263F">
      <w:instrText>"</w:instrText>
    </w:r>
    <w:r w:rsidRPr="007E263F">
      <w:fldChar w:fldCharType="separate"/>
    </w:r>
    <w:r w:rsidR="003A0BA7" w:rsidRPr="007E263F">
      <w:t>2</w:t>
    </w:r>
  </w:p>
  <w:p w:rsidR="003059FC" w:rsidRPr="007E263F" w:rsidRDefault="003059FC">
    <w:pPr>
      <w:pStyle w:val="SidfotH"/>
      <w:framePr w:w="8732" w:h="284" w:hRule="exact" w:hSpace="0" w:vSpace="0" w:wrap="around" w:xAlign="inside" w:y="13042" w:anchorLock="0"/>
    </w:pPr>
    <w:r w:rsidRPr="007E263F">
      <w:fldChar w:fldCharType="end"/>
    </w:r>
  </w:p>
  <w:p w:rsidR="003059FC" w:rsidRPr="007E263F" w:rsidRDefault="003059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4</w:t>
    </w:r>
    <w:r w:rsidRPr="007E263F">
      <w:fldChar w:fldCharType="end"/>
    </w:r>
  </w:p>
  <w:p w:rsidR="003059FC" w:rsidRPr="007E263F" w:rsidRDefault="003059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H"/>
      <w:framePr w:w="8732" w:h="284" w:hRule="exact" w:hSpace="0" w:vSpace="0" w:wrap="around" w:xAlign="inside" w:y="13042" w:anchorLock="0"/>
    </w:pP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t>3</w:t>
    </w:r>
    <w:r w:rsidRPr="007E263F">
      <w:fldChar w:fldCharType="end"/>
    </w:r>
  </w:p>
  <w:p w:rsidR="003059FC" w:rsidRPr="007E263F" w:rsidRDefault="003059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fotV"/>
      <w:framePr w:w="8732" w:h="284" w:hRule="exact" w:hSpace="0" w:vSpace="0" w:wrap="around" w:xAlign="inside" w:y="13042" w:anchorLock="0"/>
    </w:pP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5</w:instrText>
    </w:r>
    <w:r w:rsidRPr="007E263F">
      <w:fldChar w:fldCharType="end"/>
    </w:r>
    <w:r w:rsidRPr="007E263F">
      <w:instrText xml:space="preserve">/2 </w:instrText>
    </w:r>
    <w:r w:rsidRPr="007E263F">
      <w:fldChar w:fldCharType="separate"/>
    </w:r>
    <w:r w:rsidR="003A0BA7" w:rsidRPr="007E263F">
      <w:instrText>2,5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5</w:instrText>
    </w:r>
    <w:r w:rsidRPr="007E263F">
      <w:fldChar w:fldCharType="end"/>
    </w:r>
    <w:r w:rsidRPr="007E263F">
      <w:instrText xml:space="preserve">/2) </w:instrText>
    </w:r>
    <w:r w:rsidRPr="007E263F">
      <w:fldChar w:fldCharType="separate"/>
    </w:r>
    <w:r w:rsidR="003A0BA7" w:rsidRPr="007E263F">
      <w:instrText>2</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Pr="007E263F">
      <w:instrText>4</w:instrText>
    </w:r>
    <w:r w:rsidRPr="007E263F">
      <w:fldChar w:fldCharType="end"/>
    </w:r>
  </w:p>
  <w:p w:rsidR="003059FC" w:rsidRPr="007E263F" w:rsidRDefault="003059FC">
    <w:pPr>
      <w:pStyle w:val="SidfotH"/>
      <w:framePr w:w="8732" w:h="284" w:hRule="exact" w:hSpace="0" w:vSpace="0" w:wrap="around" w:xAlign="inside" w:y="13042" w:anchorLock="0"/>
    </w:pPr>
    <w:r w:rsidRPr="007E263F">
      <w:instrText>""</w:instrText>
    </w:r>
    <w:r w:rsidRPr="007E263F">
      <w:fldChar w:fldCharType="begin" w:fldLock="1"/>
    </w:r>
    <w:r w:rsidRPr="007E263F">
      <w:instrText xml:space="preserve"> P</w:instrText>
    </w:r>
    <w:r w:rsidRPr="007E263F">
      <w:instrText>A</w:instrText>
    </w:r>
    <w:r w:rsidRPr="007E263F">
      <w:instrText xml:space="preserve">GE </w:instrText>
    </w:r>
    <w:r w:rsidRPr="007E263F">
      <w:fldChar w:fldCharType="separate"/>
    </w:r>
    <w:r w:rsidR="003A0BA7" w:rsidRPr="007E263F">
      <w:instrText>5</w:instrText>
    </w:r>
    <w:r w:rsidRPr="007E263F">
      <w:fldChar w:fldCharType="end"/>
    </w:r>
    <w:r w:rsidRPr="007E263F">
      <w:instrText>"</w:instrText>
    </w:r>
    <w:r w:rsidRPr="007E263F">
      <w:fldChar w:fldCharType="separate"/>
    </w:r>
    <w:r w:rsidR="003A0BA7" w:rsidRPr="007E263F">
      <w:t>5</w:t>
    </w:r>
    <w:r w:rsidRPr="007E263F">
      <w:fldChar w:fldCharType="end"/>
    </w:r>
  </w:p>
  <w:p w:rsidR="003059FC" w:rsidRPr="007E263F" w:rsidRDefault="00305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7F9" w:rsidRPr="007E263F" w:rsidRDefault="008117F9">
      <w:r w:rsidRPr="007E263F">
        <w:separator/>
      </w:r>
    </w:p>
  </w:footnote>
  <w:footnote w:type="continuationSeparator" w:id="0">
    <w:p w:rsidR="008117F9" w:rsidRPr="007E263F" w:rsidRDefault="008117F9">
      <w:r w:rsidRPr="007E263F">
        <w:continuationSeparator/>
      </w:r>
    </w:p>
  </w:footnote>
  <w:footnote w:id="1">
    <w:p w:rsidR="003059FC" w:rsidRPr="007E263F" w:rsidRDefault="003059FC" w:rsidP="008C3183">
      <w:pPr>
        <w:pStyle w:val="Default"/>
      </w:pPr>
      <w:r w:rsidRPr="007E263F">
        <w:rPr>
          <w:rStyle w:val="Fotnotsreferens"/>
          <w:sz w:val="19"/>
          <w:szCs w:val="19"/>
        </w:rPr>
        <w:footnoteRef/>
      </w:r>
      <w:r w:rsidRPr="007E263F">
        <w:rPr>
          <w:sz w:val="19"/>
          <w:szCs w:val="19"/>
        </w:rPr>
        <w:t xml:space="preserve"> </w:t>
      </w:r>
      <w:r w:rsidRPr="007E263F">
        <w:rPr>
          <w:color w:val="auto"/>
          <w:sz w:val="16"/>
          <w:szCs w:val="20"/>
        </w:rPr>
        <w:t>Riksrevisionen 2012-01-20, 15-2011-1446, Riksrevisionens yttrande över Europeiska ko</w:t>
      </w:r>
      <w:r w:rsidRPr="007E263F">
        <w:rPr>
          <w:color w:val="auto"/>
          <w:sz w:val="16"/>
          <w:szCs w:val="20"/>
        </w:rPr>
        <w:t>m</w:t>
      </w:r>
      <w:r w:rsidRPr="007E263F">
        <w:rPr>
          <w:color w:val="auto"/>
          <w:sz w:val="16"/>
          <w:szCs w:val="20"/>
        </w:rPr>
        <w:t>missionens förslag om revision (Justitiedepartementets dnr Ju2011/8676/L1).</w:t>
      </w:r>
    </w:p>
  </w:footnote>
  <w:footnote w:id="2">
    <w:p w:rsidR="003059FC" w:rsidRPr="007E263F" w:rsidRDefault="003059FC" w:rsidP="008C3183">
      <w:pPr>
        <w:pStyle w:val="Fotnotstext"/>
      </w:pPr>
      <w:r w:rsidRPr="007E263F">
        <w:rPr>
          <w:rStyle w:val="Fotnotsreferens"/>
        </w:rPr>
        <w:footnoteRef/>
      </w:r>
      <w:r w:rsidRPr="007E263F">
        <w:t xml:space="preserve"> INTOSAI Task Force Global Financial Crisis.</w:t>
      </w:r>
    </w:p>
  </w:footnote>
  <w:footnote w:id="3">
    <w:p w:rsidR="003059FC" w:rsidRPr="007E263F" w:rsidRDefault="003059FC" w:rsidP="008C3183">
      <w:pPr>
        <w:pStyle w:val="Fotnotstext"/>
      </w:pPr>
      <w:r w:rsidRPr="007E263F">
        <w:rPr>
          <w:rStyle w:val="Fotnotsreferens"/>
        </w:rPr>
        <w:footnoteRef/>
      </w:r>
      <w:r w:rsidRPr="007E263F">
        <w:t xml:space="preserve"> I en av skrivelserna behandlar regeringen två av Riksrevisionens granskningsrappo</w:t>
      </w:r>
      <w:r w:rsidRPr="007E263F">
        <w:t>r</w:t>
      </w:r>
      <w:r w:rsidRPr="007E263F">
        <w:t xml:space="preserve">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6</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6</w:instrText>
    </w:r>
    <w:r w:rsidRPr="007E263F">
      <w:fldChar w:fldCharType="end"/>
    </w:r>
    <w:r w:rsidRPr="007E263F">
      <w:instrText xml:space="preserve">/2 </w:instrText>
    </w:r>
    <w:r w:rsidRPr="007E263F">
      <w:fldChar w:fldCharType="separate"/>
    </w:r>
    <w:r w:rsidR="003A0BA7" w:rsidRPr="007E263F">
      <w:instrText>3</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6</w:instrText>
    </w:r>
    <w:r w:rsidRPr="007E263F">
      <w:fldChar w:fldCharType="end"/>
    </w:r>
    <w:r w:rsidRPr="007E263F">
      <w:instrText xml:space="preserve">/2) </w:instrText>
    </w:r>
    <w:r w:rsidRPr="007E263F">
      <w:fldChar w:fldCharType="separate"/>
    </w:r>
    <w:r w:rsidR="003A0BA7" w:rsidRPr="007E263F">
      <w:instrText>3</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p>
  <w:p w:rsidR="003A0BA7"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separate"/>
    </w:r>
    <w:r w:rsidRPr="007E263F">
      <w:rPr>
        <w:rStyle w:val="SidhuvudUtskott"/>
      </w:rPr>
      <w:instrText>Utkast 2</w:instrText>
    </w:r>
    <w:r w:rsidRPr="007E263F">
      <w:rPr>
        <w:rStyle w:val="SidhuvudUtskott"/>
      </w:rPr>
      <w:fldChar w:fldCharType="end"/>
    </w:r>
    <w:r w:rsidRPr="007E263F">
      <w:instrText>"</w:instrText>
    </w:r>
    <w:r w:rsidRPr="007E263F">
      <w:fldChar w:fldCharType="separate"/>
    </w:r>
    <w:r w:rsidR="003A0BA7" w:rsidRPr="007E263F">
      <w:rPr>
        <w:rStyle w:val="SidhuvudUtskott"/>
      </w:rPr>
      <w:instrText>2011/12:RR5</w:instrText>
    </w:r>
    <w:r w:rsidR="003A0BA7" w:rsidRPr="007E263F">
      <w:instrText xml:space="preserve">    </w:instrText>
    </w:r>
  </w:p>
  <w:p w:rsidR="003A0BA7" w:rsidRPr="007E263F" w:rsidRDefault="003A0BA7">
    <w:pPr>
      <w:pStyle w:val="SidhuvudKantJmn"/>
      <w:framePr w:w="8732" w:h="567" w:hRule="exact" w:vSpace="0" w:wrap="around" w:vAnchor="page" w:y="341" w:anchorLock="0"/>
    </w:pPr>
  </w:p>
  <w:p w:rsidR="003A0BA7" w:rsidRPr="007E263F" w:rsidRDefault="003A0BA7">
    <w:pPr>
      <w:pStyle w:val="SidhuvudKantJmn"/>
      <w:framePr w:w="8732" w:h="567" w:hRule="exact" w:vSpace="0" w:wrap="around" w:vAnchor="page" w:y="341" w:anchorLock="0"/>
    </w:pPr>
    <w:r w:rsidRPr="007E263F">
      <w:rPr>
        <w:rStyle w:val="SidhuvudRubrikReferens"/>
        <w:smallCaps w:val="0"/>
      </w:rPr>
      <w:instrText xml:space="preserve"> </w:instrText>
    </w:r>
    <w:r w:rsidR="003059FC" w:rsidRPr="007E263F">
      <w:fldChar w:fldCharType="end"/>
    </w:r>
    <w:r w:rsidR="003059FC" w:rsidRPr="007E263F">
      <w:instrText>" " "</w:instrText>
    </w:r>
    <w:r w:rsidR="003059FC" w:rsidRPr="007E263F">
      <w:fldChar w:fldCharType="separate"/>
    </w:r>
    <w:r w:rsidRPr="007E263F">
      <w:rPr>
        <w:rStyle w:val="SidhuvudUtskott"/>
      </w:rPr>
      <w:t>2011/12:RR5</w:t>
    </w:r>
    <w:r w:rsidRPr="007E263F">
      <w:t xml:space="preserve">    </w:t>
    </w:r>
  </w:p>
  <w:p w:rsidR="003A0BA7" w:rsidRPr="007E263F" w:rsidRDefault="003A0BA7">
    <w:pPr>
      <w:pStyle w:val="SidhuvudKantJmn"/>
      <w:framePr w:w="8732" w:h="567" w:hRule="exact" w:vSpace="0" w:wrap="around" w:vAnchor="page" w:y="341" w:anchorLock="0"/>
    </w:pPr>
  </w:p>
  <w:p w:rsidR="003059FC" w:rsidRPr="007E263F" w:rsidRDefault="003A0BA7">
    <w:pPr>
      <w:pStyle w:val="SidhuvudKantUdda"/>
      <w:framePr w:w="8732" w:h="567" w:hRule="exact" w:vSpace="0" w:wrap="around" w:vAnchor="page" w:y="341" w:anchorLock="0"/>
    </w:pPr>
    <w:r w:rsidRPr="007E263F">
      <w:rPr>
        <w:rStyle w:val="SidhuvudRubrikReferens"/>
        <w:smallCaps w:val="0"/>
      </w:rPr>
      <w:t xml:space="preserve"> </w:t>
    </w:r>
    <w:r w:rsidR="003059FC" w:rsidRPr="007E263F">
      <w:fldChar w:fldCharType="end"/>
    </w:r>
  </w:p>
  <w:p w:rsidR="003059FC" w:rsidRPr="007E263F" w:rsidRDefault="003059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7</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7</w:instrText>
    </w:r>
    <w:r w:rsidRPr="007E263F">
      <w:fldChar w:fldCharType="end"/>
    </w:r>
    <w:r w:rsidRPr="007E263F">
      <w:instrText xml:space="preserve">/2 </w:instrText>
    </w:r>
    <w:r w:rsidRPr="007E263F">
      <w:fldChar w:fldCharType="separate"/>
    </w:r>
    <w:r w:rsidR="003A0BA7" w:rsidRPr="007E263F">
      <w:instrText>3,5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7</w:instrText>
    </w:r>
    <w:r w:rsidRPr="007E263F">
      <w:fldChar w:fldCharType="end"/>
    </w:r>
    <w:r w:rsidRPr="007E263F">
      <w:instrText xml:space="preserve">/2) </w:instrText>
    </w:r>
    <w:r w:rsidRPr="007E263F">
      <w:fldChar w:fldCharType="separate"/>
    </w:r>
    <w:r w:rsidR="003A0BA7" w:rsidRPr="007E263F">
      <w:instrText>3</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p>
  <w:p w:rsidR="003A0BA7"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r w:rsidRPr="007E263F">
      <w:instrText>"</w:instrText>
    </w:r>
    <w:r w:rsidRPr="007E263F">
      <w:fldChar w:fldCharType="separate"/>
    </w:r>
    <w:r w:rsidR="003A0BA7" w:rsidRPr="007E263F">
      <w:instrText xml:space="preserve">  </w:instrText>
    </w:r>
    <w:r w:rsidR="003A0BA7" w:rsidRPr="007E263F">
      <w:rPr>
        <w:rStyle w:val="SidhuvudUtskott"/>
      </w:rPr>
      <w:instrText>2011/12:RR5</w:instrText>
    </w:r>
  </w:p>
  <w:p w:rsidR="003A0BA7" w:rsidRPr="007E263F" w:rsidRDefault="003059FC">
    <w:pPr>
      <w:pStyle w:val="SidhuvudKantUdda"/>
      <w:framePr w:w="8732" w:h="567" w:hRule="exact" w:vSpace="0" w:wrap="around" w:vAnchor="page" w:y="341" w:anchorLock="0"/>
    </w:pPr>
    <w:r w:rsidRPr="007E263F">
      <w:fldChar w:fldCharType="end"/>
    </w:r>
    <w:r w:rsidRPr="007E263F">
      <w:instrText>" " "</w:instrText>
    </w:r>
    <w:r w:rsidRPr="007E263F">
      <w:fldChar w:fldCharType="separate"/>
    </w:r>
    <w:r w:rsidR="003A0BA7" w:rsidRPr="007E263F">
      <w:t xml:space="preserve">  </w:t>
    </w:r>
    <w:r w:rsidR="003A0BA7" w:rsidRPr="007E263F">
      <w:rPr>
        <w:rStyle w:val="SidhuvudUtskott"/>
      </w:rPr>
      <w:t>2011/12:RR5</w:t>
    </w:r>
  </w:p>
  <w:p w:rsidR="003059FC" w:rsidRPr="007E263F" w:rsidRDefault="003059FC">
    <w:pPr>
      <w:pStyle w:val="SidhuvudKantUdda"/>
      <w:framePr w:w="8732" w:h="567" w:hRule="exact" w:vSpace="0" w:wrap="around" w:vAnchor="page" w:y="341" w:anchorLock="0"/>
    </w:pPr>
    <w:r w:rsidRPr="007E263F">
      <w:fldChar w:fldCharType="end"/>
    </w:r>
  </w:p>
  <w:p w:rsidR="003059FC" w:rsidRPr="007E263F" w:rsidRDefault="003059F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Riksrevisionen och den internationella finans- och statsskuldskrisen – nya utmaningar för redovisning och revision</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Riksrevisionen och den internationella finans- och statsskuldskrisen – nya utmaningar för redovisning och revision</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8</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8</w:instrText>
    </w:r>
    <w:r w:rsidRPr="007E263F">
      <w:fldChar w:fldCharType="end"/>
    </w:r>
    <w:r w:rsidRPr="007E263F">
      <w:instrText xml:space="preserve">/2 </w:instrText>
    </w:r>
    <w:r w:rsidRPr="007E263F">
      <w:fldChar w:fldCharType="separate"/>
    </w:r>
    <w:r w:rsidR="003A0BA7" w:rsidRPr="007E263F">
      <w:instrText>4</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8</w:instrText>
    </w:r>
    <w:r w:rsidRPr="007E263F">
      <w:fldChar w:fldCharType="end"/>
    </w:r>
    <w:r w:rsidRPr="007E263F">
      <w:instrText xml:space="preserve">/2) </w:instrText>
    </w:r>
    <w:r w:rsidRPr="007E263F">
      <w:fldChar w:fldCharType="separate"/>
    </w:r>
    <w:r w:rsidR="003A0BA7" w:rsidRPr="007E263F">
      <w:instrText>4</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p>
  <w:p w:rsidR="003A0BA7"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separate"/>
    </w:r>
    <w:r w:rsidRPr="007E263F">
      <w:rPr>
        <w:rStyle w:val="SidhuvudUtskott"/>
      </w:rPr>
      <w:instrText>Utkast 2</w:instrText>
    </w:r>
    <w:r w:rsidRPr="007E263F">
      <w:rPr>
        <w:rStyle w:val="SidhuvudUtskott"/>
      </w:rPr>
      <w:fldChar w:fldCharType="end"/>
    </w:r>
    <w:r w:rsidRPr="007E263F">
      <w:instrText>"</w:instrText>
    </w:r>
    <w:r w:rsidRPr="007E263F">
      <w:fldChar w:fldCharType="separate"/>
    </w:r>
    <w:r w:rsidR="003A0BA7" w:rsidRPr="007E263F">
      <w:rPr>
        <w:rStyle w:val="SidhuvudUtskott"/>
      </w:rPr>
      <w:instrText>2011/12:RR5</w:instrText>
    </w:r>
    <w:r w:rsidR="003A0BA7" w:rsidRPr="007E263F">
      <w:instrText xml:space="preserve">    </w:instrText>
    </w:r>
  </w:p>
  <w:p w:rsidR="003A0BA7" w:rsidRPr="007E263F" w:rsidRDefault="003A0BA7">
    <w:pPr>
      <w:pStyle w:val="SidhuvudKantJmn"/>
      <w:framePr w:w="8732" w:h="567" w:hRule="exact" w:vSpace="0" w:wrap="around" w:vAnchor="page" w:y="341" w:anchorLock="0"/>
    </w:pPr>
  </w:p>
  <w:p w:rsidR="003A0BA7" w:rsidRPr="007E263F" w:rsidRDefault="003A0BA7">
    <w:pPr>
      <w:pStyle w:val="SidhuvudKantJmn"/>
      <w:framePr w:w="8732" w:h="567" w:hRule="exact" w:vSpace="0" w:wrap="around" w:vAnchor="page" w:y="341" w:anchorLock="0"/>
    </w:pPr>
    <w:r w:rsidRPr="007E263F">
      <w:rPr>
        <w:rStyle w:val="SidhuvudRubrikReferens"/>
        <w:smallCaps w:val="0"/>
      </w:rPr>
      <w:instrText xml:space="preserve"> </w:instrText>
    </w:r>
    <w:r w:rsidR="003059FC" w:rsidRPr="007E263F">
      <w:fldChar w:fldCharType="end"/>
    </w:r>
    <w:r w:rsidR="003059FC" w:rsidRPr="007E263F">
      <w:instrText>" " "</w:instrText>
    </w:r>
    <w:r w:rsidR="003059FC" w:rsidRPr="007E263F">
      <w:fldChar w:fldCharType="separate"/>
    </w:r>
    <w:r w:rsidRPr="007E263F">
      <w:rPr>
        <w:rStyle w:val="SidhuvudUtskott"/>
      </w:rPr>
      <w:t>2011/12:RR5</w:t>
    </w:r>
    <w:r w:rsidRPr="007E263F">
      <w:t xml:space="preserve">    </w:t>
    </w:r>
  </w:p>
  <w:p w:rsidR="003A0BA7" w:rsidRPr="007E263F" w:rsidRDefault="003A0BA7">
    <w:pPr>
      <w:pStyle w:val="SidhuvudKantJmn"/>
      <w:framePr w:w="8732" w:h="567" w:hRule="exact" w:vSpace="0" w:wrap="around" w:vAnchor="page" w:y="341" w:anchorLock="0"/>
    </w:pPr>
  </w:p>
  <w:p w:rsidR="003059FC" w:rsidRPr="007E263F" w:rsidRDefault="003A0BA7">
    <w:pPr>
      <w:pStyle w:val="SidhuvudKantUdda"/>
      <w:framePr w:w="8732" w:h="567" w:hRule="exact" w:vSpace="0" w:wrap="around" w:vAnchor="page" w:y="341" w:anchorLock="0"/>
    </w:pPr>
    <w:r w:rsidRPr="007E263F">
      <w:rPr>
        <w:rStyle w:val="SidhuvudRubrikReferens"/>
        <w:smallCaps w:val="0"/>
      </w:rPr>
      <w:t xml:space="preserve"> </w:t>
    </w:r>
    <w:r w:rsidR="003059FC" w:rsidRPr="007E263F">
      <w:fldChar w:fldCharType="end"/>
    </w:r>
  </w:p>
  <w:p w:rsidR="003059FC" w:rsidRPr="007E263F" w:rsidRDefault="003059F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Regeringens skrivelser till riksdagen med anledning av våra granskningar</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Regeringens skrivelser till riksdagen med anledning av våra granskningar</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15</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15</w:instrText>
    </w:r>
    <w:r w:rsidRPr="007E263F">
      <w:fldChar w:fldCharType="end"/>
    </w:r>
    <w:r w:rsidRPr="007E263F">
      <w:instrText xml:space="preserve">/2 </w:instrText>
    </w:r>
    <w:r w:rsidRPr="007E263F">
      <w:fldChar w:fldCharType="separate"/>
    </w:r>
    <w:r w:rsidR="003A0BA7" w:rsidRPr="007E263F">
      <w:instrText>7,5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15</w:instrText>
    </w:r>
    <w:r w:rsidRPr="007E263F">
      <w:fldChar w:fldCharType="end"/>
    </w:r>
    <w:r w:rsidRPr="007E263F">
      <w:instrText xml:space="preserve">/2) </w:instrText>
    </w:r>
    <w:r w:rsidRPr="007E263F">
      <w:fldChar w:fldCharType="separate"/>
    </w:r>
    <w:r w:rsidR="003A0BA7" w:rsidRPr="007E263F">
      <w:instrText>7</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p>
  <w:p w:rsidR="003A0BA7"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r w:rsidRPr="007E263F">
      <w:instrText>"</w:instrText>
    </w:r>
    <w:r w:rsidRPr="007E263F">
      <w:fldChar w:fldCharType="separate"/>
    </w:r>
    <w:r w:rsidR="003A0BA7" w:rsidRPr="007E263F">
      <w:instrText xml:space="preserve">  </w:instrText>
    </w:r>
    <w:r w:rsidR="003A0BA7" w:rsidRPr="007E263F">
      <w:rPr>
        <w:rStyle w:val="SidhuvudUtskott"/>
      </w:rPr>
      <w:instrText>2011/12:RR5</w:instrText>
    </w:r>
  </w:p>
  <w:p w:rsidR="003A0BA7" w:rsidRPr="007E263F" w:rsidRDefault="003059FC">
    <w:pPr>
      <w:pStyle w:val="SidhuvudKantUdda"/>
      <w:framePr w:w="8732" w:h="567" w:hRule="exact" w:vSpace="0" w:wrap="around" w:vAnchor="page" w:y="341" w:anchorLock="0"/>
    </w:pPr>
    <w:r w:rsidRPr="007E263F">
      <w:fldChar w:fldCharType="end"/>
    </w:r>
    <w:r w:rsidRPr="007E263F">
      <w:instrText>" " "</w:instrText>
    </w:r>
    <w:r w:rsidRPr="007E263F">
      <w:fldChar w:fldCharType="separate"/>
    </w:r>
    <w:r w:rsidR="003A0BA7" w:rsidRPr="007E263F">
      <w:t xml:space="preserve">  </w:t>
    </w:r>
    <w:r w:rsidR="003A0BA7" w:rsidRPr="007E263F">
      <w:rPr>
        <w:rStyle w:val="SidhuvudUtskott"/>
      </w:rPr>
      <w:t>2011/12:RR5</w:t>
    </w:r>
  </w:p>
  <w:p w:rsidR="003059FC" w:rsidRPr="007E263F" w:rsidRDefault="003059FC">
    <w:pPr>
      <w:pStyle w:val="SidhuvudKantUdda"/>
      <w:framePr w:w="8732" w:h="567" w:hRule="exact" w:vSpace="0" w:wrap="around" w:vAnchor="page" w:y="341" w:anchorLock="0"/>
    </w:pPr>
    <w:r w:rsidRPr="007E263F">
      <w:fldChar w:fldCharType="end"/>
    </w:r>
  </w:p>
  <w:p w:rsidR="003059FC" w:rsidRPr="007E263F" w:rsidRDefault="003059F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Den årliga revisionen – våra viktigaste iakttagelser</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Den årliga revisionen – våra viktigaste iakttagelser</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19</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19</w:instrText>
    </w:r>
    <w:r w:rsidRPr="007E263F">
      <w:fldChar w:fldCharType="end"/>
    </w:r>
    <w:r w:rsidRPr="007E263F">
      <w:instrText xml:space="preserve">/2 </w:instrText>
    </w:r>
    <w:r w:rsidRPr="007E263F">
      <w:fldChar w:fldCharType="separate"/>
    </w:r>
    <w:r w:rsidR="003A0BA7" w:rsidRPr="007E263F">
      <w:instrText>9,5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19</w:instrText>
    </w:r>
    <w:r w:rsidRPr="007E263F">
      <w:fldChar w:fldCharType="end"/>
    </w:r>
    <w:r w:rsidRPr="007E263F">
      <w:instrText xml:space="preserve">/2) </w:instrText>
    </w:r>
    <w:r w:rsidRPr="007E263F">
      <w:fldChar w:fldCharType="separate"/>
    </w:r>
    <w:r w:rsidR="003A0BA7" w:rsidRPr="007E263F">
      <w:instrText>9</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p>
  <w:p w:rsidR="003A0BA7"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r w:rsidRPr="007E263F">
      <w:instrText>"</w:instrText>
    </w:r>
    <w:r w:rsidRPr="007E263F">
      <w:fldChar w:fldCharType="separate"/>
    </w:r>
    <w:r w:rsidR="003A0BA7" w:rsidRPr="007E263F">
      <w:instrText xml:space="preserve">  </w:instrText>
    </w:r>
    <w:r w:rsidR="003A0BA7" w:rsidRPr="007E263F">
      <w:rPr>
        <w:rStyle w:val="SidhuvudUtskott"/>
      </w:rPr>
      <w:instrText>2011/12:RR5</w:instrText>
    </w:r>
  </w:p>
  <w:p w:rsidR="003A0BA7" w:rsidRPr="007E263F" w:rsidRDefault="003059FC">
    <w:pPr>
      <w:pStyle w:val="SidhuvudKantUdda"/>
      <w:framePr w:w="8732" w:h="567" w:hRule="exact" w:vSpace="0" w:wrap="around" w:vAnchor="page" w:y="341" w:anchorLock="0"/>
    </w:pPr>
    <w:r w:rsidRPr="007E263F">
      <w:fldChar w:fldCharType="end"/>
    </w:r>
    <w:r w:rsidRPr="007E263F">
      <w:instrText>" " "</w:instrText>
    </w:r>
    <w:r w:rsidRPr="007E263F">
      <w:fldChar w:fldCharType="separate"/>
    </w:r>
    <w:r w:rsidR="003A0BA7" w:rsidRPr="007E263F">
      <w:t xml:space="preserve">  </w:t>
    </w:r>
    <w:r w:rsidR="003A0BA7" w:rsidRPr="007E263F">
      <w:rPr>
        <w:rStyle w:val="SidhuvudUtskott"/>
      </w:rPr>
      <w:t>2011/12:RR5</w:t>
    </w:r>
  </w:p>
  <w:p w:rsidR="003059FC" w:rsidRPr="007E263F" w:rsidRDefault="003059FC">
    <w:pPr>
      <w:pStyle w:val="SidhuvudKantUdda"/>
      <w:framePr w:w="8732" w:h="567" w:hRule="exact" w:vSpace="0" w:wrap="around" w:vAnchor="page" w:y="341" w:anchorLock="0"/>
    </w:pPr>
    <w:r w:rsidRPr="007E263F">
      <w:fldChar w:fldCharType="end"/>
    </w:r>
  </w:p>
  <w:p w:rsidR="003059FC" w:rsidRPr="007E263F" w:rsidRDefault="003059F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Myndigheternas beskrivning av arbetet med intern styrning och kontroll</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Myndigheternas beskrivning av arbetet med intern styrning och kontroll</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26</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26</w:instrText>
    </w:r>
    <w:r w:rsidRPr="007E263F">
      <w:fldChar w:fldCharType="end"/>
    </w:r>
    <w:r w:rsidRPr="007E263F">
      <w:instrText xml:space="preserve">/2 </w:instrText>
    </w:r>
    <w:r w:rsidRPr="007E263F">
      <w:fldChar w:fldCharType="separate"/>
    </w:r>
    <w:r w:rsidR="003A0BA7" w:rsidRPr="007E263F">
      <w:instrText>13</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26</w:instrText>
    </w:r>
    <w:r w:rsidRPr="007E263F">
      <w:fldChar w:fldCharType="end"/>
    </w:r>
    <w:r w:rsidRPr="007E263F">
      <w:instrText xml:space="preserve">/2) </w:instrText>
    </w:r>
    <w:r w:rsidRPr="007E263F">
      <w:fldChar w:fldCharType="separate"/>
    </w:r>
    <w:r w:rsidR="003A0BA7" w:rsidRPr="007E263F">
      <w:instrText>13</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p>
  <w:p w:rsidR="003A0BA7"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separate"/>
    </w:r>
    <w:r w:rsidRPr="007E263F">
      <w:rPr>
        <w:rStyle w:val="SidhuvudUtskott"/>
      </w:rPr>
      <w:instrText>Utkast 2</w:instrText>
    </w:r>
    <w:r w:rsidRPr="007E263F">
      <w:rPr>
        <w:rStyle w:val="SidhuvudUtskott"/>
      </w:rPr>
      <w:fldChar w:fldCharType="end"/>
    </w:r>
    <w:r w:rsidRPr="007E263F">
      <w:instrText>"</w:instrText>
    </w:r>
    <w:r w:rsidRPr="007E263F">
      <w:fldChar w:fldCharType="separate"/>
    </w:r>
    <w:r w:rsidR="003A0BA7" w:rsidRPr="007E263F">
      <w:rPr>
        <w:rStyle w:val="SidhuvudUtskott"/>
      </w:rPr>
      <w:instrText>2011/12:RR5</w:instrText>
    </w:r>
    <w:r w:rsidR="003A0BA7" w:rsidRPr="007E263F">
      <w:instrText xml:space="preserve">    </w:instrText>
    </w:r>
  </w:p>
  <w:p w:rsidR="003A0BA7" w:rsidRPr="007E263F" w:rsidRDefault="003A0BA7">
    <w:pPr>
      <w:pStyle w:val="SidhuvudKantJmn"/>
      <w:framePr w:w="8732" w:h="567" w:hRule="exact" w:vSpace="0" w:wrap="around" w:vAnchor="page" w:y="341" w:anchorLock="0"/>
    </w:pPr>
  </w:p>
  <w:p w:rsidR="003A0BA7" w:rsidRPr="007E263F" w:rsidRDefault="003A0BA7">
    <w:pPr>
      <w:pStyle w:val="SidhuvudKantJmn"/>
      <w:framePr w:w="8732" w:h="567" w:hRule="exact" w:vSpace="0" w:wrap="around" w:vAnchor="page" w:y="341" w:anchorLock="0"/>
    </w:pPr>
    <w:r w:rsidRPr="007E263F">
      <w:rPr>
        <w:rStyle w:val="SidhuvudRubrikReferens"/>
        <w:smallCaps w:val="0"/>
      </w:rPr>
      <w:instrText xml:space="preserve"> </w:instrText>
    </w:r>
    <w:r w:rsidR="003059FC" w:rsidRPr="007E263F">
      <w:fldChar w:fldCharType="end"/>
    </w:r>
    <w:r w:rsidR="003059FC" w:rsidRPr="007E263F">
      <w:instrText>" " "</w:instrText>
    </w:r>
    <w:r w:rsidR="003059FC" w:rsidRPr="007E263F">
      <w:fldChar w:fldCharType="separate"/>
    </w:r>
    <w:r w:rsidRPr="007E263F">
      <w:rPr>
        <w:rStyle w:val="SidhuvudUtskott"/>
      </w:rPr>
      <w:t>2011/12:RR5</w:t>
    </w:r>
    <w:r w:rsidRPr="007E263F">
      <w:t xml:space="preserve">    </w:t>
    </w:r>
  </w:p>
  <w:p w:rsidR="003A0BA7" w:rsidRPr="007E263F" w:rsidRDefault="003A0BA7">
    <w:pPr>
      <w:pStyle w:val="SidhuvudKantJmn"/>
      <w:framePr w:w="8732" w:h="567" w:hRule="exact" w:vSpace="0" w:wrap="around" w:vAnchor="page" w:y="341" w:anchorLock="0"/>
    </w:pPr>
  </w:p>
  <w:p w:rsidR="003059FC" w:rsidRPr="007E263F" w:rsidRDefault="003A0BA7">
    <w:pPr>
      <w:pStyle w:val="SidhuvudKantUdda"/>
      <w:framePr w:w="8732" w:h="567" w:hRule="exact" w:vSpace="0" w:wrap="around" w:vAnchor="page" w:y="341" w:anchorLock="0"/>
    </w:pPr>
    <w:r w:rsidRPr="007E263F">
      <w:rPr>
        <w:rStyle w:val="SidhuvudRubrikReferens"/>
        <w:smallCaps w:val="0"/>
      </w:rPr>
      <w:t xml:space="preserve"> </w:t>
    </w:r>
    <w:r w:rsidR="003059FC" w:rsidRPr="007E263F">
      <w:fldChar w:fldCharType="end"/>
    </w:r>
  </w:p>
  <w:p w:rsidR="003059FC" w:rsidRPr="007E263F" w:rsidRDefault="003059F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Effektivitetsrevisionens strategier</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Effektivitetsrevisionens strategier</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7E263F">
      <w:rPr>
        <w:noProof/>
      </w:rPr>
      <w:instrText>1</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Pr="007E263F">
      <w:instrText>17</w:instrText>
    </w:r>
    <w:r w:rsidRPr="007E263F">
      <w:fldChar w:fldCharType="end"/>
    </w:r>
    <w:r w:rsidRPr="007E263F">
      <w:instrText xml:space="preserve">/2 </w:instrText>
    </w:r>
    <w:r w:rsidRPr="007E263F">
      <w:fldChar w:fldCharType="separate"/>
    </w:r>
    <w:r w:rsidRPr="007E263F">
      <w:instrText>8,5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Pr="007E263F">
      <w:instrText>17</w:instrText>
    </w:r>
    <w:r w:rsidRPr="007E263F">
      <w:fldChar w:fldCharType="end"/>
    </w:r>
    <w:r w:rsidRPr="007E263F">
      <w:instrText xml:space="preserve">/2) </w:instrText>
    </w:r>
    <w:r w:rsidRPr="007E263F">
      <w:fldChar w:fldCharType="separate"/>
    </w:r>
    <w:r w:rsidRPr="007E263F">
      <w:instrText>8</w:instrText>
    </w:r>
    <w:r w:rsidRPr="007E263F">
      <w:fldChar w:fldCharType="end"/>
    </w:r>
    <w:r w:rsidRPr="007E263F">
      <w:fldChar w:fldCharType="separate"/>
    </w:r>
    <w:r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separate"/>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separate"/>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separate"/>
    </w:r>
    <w:r w:rsidRPr="007E263F">
      <w:rPr>
        <w:rStyle w:val="SidhuvudUtskott"/>
      </w:rPr>
      <w:instrText>Utkast 2</w:instrText>
    </w:r>
    <w:r w:rsidRPr="007E263F">
      <w:rPr>
        <w:rStyle w:val="SidhuvudUtskott"/>
      </w:rPr>
      <w:fldChar w:fldCharType="end"/>
    </w:r>
    <w:r w:rsidRPr="007E263F">
      <w:instrText>"</w:instrText>
    </w:r>
    <w:r w:rsidRPr="007E263F">
      <w:fldChar w:fldCharType="separate"/>
    </w:r>
    <w:r w:rsidRPr="007E263F">
      <w:rPr>
        <w:position w:val="4"/>
        <w:sz w:val="28"/>
      </w:rPr>
      <w:instrText>|</w:instrText>
    </w:r>
    <w:r w:rsidRPr="007E263F">
      <w:instrText xml:space="preserve">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 2</w:instrText>
    </w:r>
    <w:r w:rsidRPr="007E263F">
      <w:rPr>
        <w:rStyle w:val="SidhuvudUtskott"/>
      </w:rPr>
      <w:fldChar w:fldCharType="end"/>
    </w:r>
    <w:r w:rsidRPr="007E263F">
      <w:fldChar w:fldCharType="end"/>
    </w:r>
    <w:r w:rsidRPr="007E263F">
      <w:instrText>" " "</w:instrText>
    </w:r>
    <w:r w:rsidRPr="007E263F">
      <w:fldChar w:fldCharType="separate"/>
    </w:r>
    <w:r w:rsidR="007E263F" w:rsidRPr="007E263F">
      <w:rPr>
        <w:noProof/>
      </w:rPr>
      <w:t xml:space="preserve"> </w:t>
    </w:r>
    <w:r w:rsidRPr="007E263F">
      <w:fldChar w:fldCharType="end"/>
    </w:r>
  </w:p>
  <w:p w:rsidR="003059FC" w:rsidRPr="007E263F" w:rsidRDefault="003059F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29</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29</w:instrText>
    </w:r>
    <w:r w:rsidRPr="007E263F">
      <w:fldChar w:fldCharType="end"/>
    </w:r>
    <w:r w:rsidRPr="007E263F">
      <w:instrText xml:space="preserve">/2 </w:instrText>
    </w:r>
    <w:r w:rsidRPr="007E263F">
      <w:fldChar w:fldCharType="separate"/>
    </w:r>
    <w:r w:rsidR="003A0BA7" w:rsidRPr="007E263F">
      <w:instrText>14,5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29</w:instrText>
    </w:r>
    <w:r w:rsidRPr="007E263F">
      <w:fldChar w:fldCharType="end"/>
    </w:r>
    <w:r w:rsidRPr="007E263F">
      <w:instrText xml:space="preserve">/2) </w:instrText>
    </w:r>
    <w:r w:rsidRPr="007E263F">
      <w:fldChar w:fldCharType="separate"/>
    </w:r>
    <w:r w:rsidR="003A0BA7" w:rsidRPr="007E263F">
      <w:instrText>14</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p>
  <w:p w:rsidR="003A0BA7"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r w:rsidRPr="007E263F">
      <w:instrText>"</w:instrText>
    </w:r>
    <w:r w:rsidRPr="007E263F">
      <w:fldChar w:fldCharType="separate"/>
    </w:r>
    <w:r w:rsidR="003A0BA7" w:rsidRPr="007E263F">
      <w:instrText xml:space="preserve">  </w:instrText>
    </w:r>
    <w:r w:rsidR="003A0BA7" w:rsidRPr="007E263F">
      <w:rPr>
        <w:rStyle w:val="SidhuvudUtskott"/>
      </w:rPr>
      <w:instrText>2011/12:RR5</w:instrText>
    </w:r>
  </w:p>
  <w:p w:rsidR="003A0BA7" w:rsidRPr="007E263F" w:rsidRDefault="003059FC">
    <w:pPr>
      <w:pStyle w:val="SidhuvudKantUdda"/>
      <w:framePr w:w="8732" w:h="567" w:hRule="exact" w:vSpace="0" w:wrap="around" w:vAnchor="page" w:y="341" w:anchorLock="0"/>
    </w:pPr>
    <w:r w:rsidRPr="007E263F">
      <w:fldChar w:fldCharType="end"/>
    </w:r>
    <w:r w:rsidRPr="007E263F">
      <w:instrText>" " "</w:instrText>
    </w:r>
    <w:r w:rsidRPr="007E263F">
      <w:fldChar w:fldCharType="separate"/>
    </w:r>
    <w:r w:rsidR="003A0BA7" w:rsidRPr="007E263F">
      <w:t xml:space="preserve">  </w:t>
    </w:r>
    <w:r w:rsidR="003A0BA7" w:rsidRPr="007E263F">
      <w:rPr>
        <w:rStyle w:val="SidhuvudUtskott"/>
      </w:rPr>
      <w:t>2011/12:RR5</w:t>
    </w:r>
  </w:p>
  <w:p w:rsidR="003059FC" w:rsidRPr="007E263F" w:rsidRDefault="003059FC">
    <w:pPr>
      <w:pStyle w:val="SidhuvudKantUdda"/>
      <w:framePr w:w="8732" w:h="567" w:hRule="exact" w:vSpace="0" w:wrap="around" w:vAnchor="page" w:y="341" w:anchorLock="0"/>
    </w:pPr>
    <w:r w:rsidRPr="007E263F">
      <w:fldChar w:fldCharType="end"/>
    </w:r>
  </w:p>
  <w:p w:rsidR="003059FC" w:rsidRPr="007E263F" w:rsidRDefault="003059F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Effektivitetsrevisionens rapporter – våra viktigaste iakttagelser</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Effektivitetsrevisionens rapporter – våra viktigaste iakttagelser</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33</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33</w:instrText>
    </w:r>
    <w:r w:rsidRPr="007E263F">
      <w:fldChar w:fldCharType="end"/>
    </w:r>
    <w:r w:rsidRPr="007E263F">
      <w:instrText xml:space="preserve">/2 </w:instrText>
    </w:r>
    <w:r w:rsidRPr="007E263F">
      <w:fldChar w:fldCharType="separate"/>
    </w:r>
    <w:r w:rsidR="003A0BA7" w:rsidRPr="007E263F">
      <w:instrText>16,5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33</w:instrText>
    </w:r>
    <w:r w:rsidRPr="007E263F">
      <w:fldChar w:fldCharType="end"/>
    </w:r>
    <w:r w:rsidRPr="007E263F">
      <w:instrText xml:space="preserve">/2) </w:instrText>
    </w:r>
    <w:r w:rsidRPr="007E263F">
      <w:fldChar w:fldCharType="separate"/>
    </w:r>
    <w:r w:rsidR="003A0BA7" w:rsidRPr="007E263F">
      <w:instrText>16</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separate"/>
    </w:r>
    <w:r w:rsidRPr="007E263F">
      <w:rPr>
        <w:rStyle w:val="SidhuvudUtskott"/>
      </w:rPr>
      <w:instrText>Utkast</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p>
  <w:p w:rsidR="003A0BA7"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r w:rsidRPr="007E263F">
      <w:instrText>"</w:instrText>
    </w:r>
    <w:r w:rsidRPr="007E263F">
      <w:fldChar w:fldCharType="separate"/>
    </w:r>
    <w:r w:rsidR="003A0BA7" w:rsidRPr="007E263F">
      <w:instrText xml:space="preserve">  </w:instrText>
    </w:r>
    <w:r w:rsidR="003A0BA7" w:rsidRPr="007E263F">
      <w:rPr>
        <w:rStyle w:val="SidhuvudUtskott"/>
      </w:rPr>
      <w:instrText>2011/12:RR5</w:instrText>
    </w:r>
  </w:p>
  <w:p w:rsidR="003A0BA7" w:rsidRPr="007E263F" w:rsidRDefault="003059FC">
    <w:pPr>
      <w:pStyle w:val="SidhuvudKantUdda"/>
      <w:framePr w:w="8732" w:h="567" w:hRule="exact" w:vSpace="0" w:wrap="around" w:vAnchor="page" w:y="341" w:anchorLock="0"/>
    </w:pPr>
    <w:r w:rsidRPr="007E263F">
      <w:fldChar w:fldCharType="end"/>
    </w:r>
    <w:r w:rsidRPr="007E263F">
      <w:instrText>" " "</w:instrText>
    </w:r>
    <w:r w:rsidRPr="007E263F">
      <w:fldChar w:fldCharType="separate"/>
    </w:r>
    <w:r w:rsidR="003A0BA7" w:rsidRPr="007E263F">
      <w:t xml:space="preserve">  </w:t>
    </w:r>
    <w:r w:rsidR="003A0BA7" w:rsidRPr="007E263F">
      <w:rPr>
        <w:rStyle w:val="SidhuvudUtskott"/>
      </w:rPr>
      <w:t>2011/12:RR5</w:t>
    </w:r>
  </w:p>
  <w:p w:rsidR="003059FC" w:rsidRPr="007E263F" w:rsidRDefault="003059FC">
    <w:pPr>
      <w:pStyle w:val="SidhuvudKantUdda"/>
      <w:framePr w:w="8732" w:h="567" w:hRule="exact" w:vSpace="0" w:wrap="around" w:vAnchor="page" w:y="341" w:anchorLock="0"/>
    </w:pPr>
    <w:r w:rsidRPr="007E263F">
      <w:fldChar w:fldCharType="end"/>
    </w:r>
  </w:p>
  <w:p w:rsidR="003059FC" w:rsidRPr="007E263F" w:rsidRDefault="003059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Innehållsförteckning</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3A0BA7" w:rsidRPr="007E263F">
      <w:rPr>
        <w:rStyle w:val="SidhuvudRubrikReferens"/>
      </w:rPr>
      <w:t>Innehållsförteckning</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2</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2</w:instrText>
    </w:r>
    <w:r w:rsidRPr="007E263F">
      <w:fldChar w:fldCharType="end"/>
    </w:r>
    <w:r w:rsidRPr="007E263F">
      <w:instrText xml:space="preserve">/2 </w:instrText>
    </w:r>
    <w:r w:rsidRPr="007E263F">
      <w:fldChar w:fldCharType="separate"/>
    </w:r>
    <w:r w:rsidR="003A0BA7" w:rsidRPr="007E263F">
      <w:instrText>1</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2</w:instrText>
    </w:r>
    <w:r w:rsidRPr="007E263F">
      <w:fldChar w:fldCharType="end"/>
    </w:r>
    <w:r w:rsidRPr="007E263F">
      <w:instrText xml:space="preserve">/2) </w:instrText>
    </w:r>
    <w:r w:rsidRPr="007E263F">
      <w:fldChar w:fldCharType="separate"/>
    </w:r>
    <w:r w:rsidR="003A0BA7" w:rsidRPr="007E263F">
      <w:instrText>1</w:instrText>
    </w:r>
    <w:r w:rsidRPr="007E263F">
      <w:fldChar w:fldCharType="end"/>
    </w:r>
    <w:r w:rsidRPr="007E263F">
      <w:fldChar w:fldCharType="separate"/>
    </w:r>
    <w:r w:rsidR="003A0BA7" w:rsidRPr="007E263F">
      <w:instrText>0</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1999/2000</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Pr="007E263F">
      <w:rPr>
        <w:rStyle w:val="SidhuvudUtskott"/>
      </w:rPr>
      <w:instrText>BoU</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6678</w:instrText>
    </w:r>
    <w:r w:rsidRPr="007E263F">
      <w:rPr>
        <w:rStyle w:val="SidhuvudUtskott"/>
      </w:rPr>
      <w:fldChar w:fldCharType="end"/>
    </w:r>
  </w:p>
  <w:p w:rsidR="003A0BA7"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separate"/>
    </w:r>
    <w:r w:rsidRPr="007E263F">
      <w:rPr>
        <w:rStyle w:val="SidhuvudUtskott"/>
      </w:rPr>
      <w:instrText>Utkast 2</w:instrText>
    </w:r>
    <w:r w:rsidRPr="007E263F">
      <w:rPr>
        <w:rStyle w:val="SidhuvudUtskott"/>
      </w:rPr>
      <w:fldChar w:fldCharType="end"/>
    </w:r>
    <w:r w:rsidRPr="007E263F">
      <w:instrText>"</w:instrText>
    </w:r>
    <w:r w:rsidRPr="007E263F">
      <w:fldChar w:fldCharType="separate"/>
    </w:r>
    <w:r w:rsidR="003A0BA7" w:rsidRPr="007E263F">
      <w:rPr>
        <w:rStyle w:val="SidhuvudUtskott"/>
      </w:rPr>
      <w:instrText>2011/12:RR5</w:instrText>
    </w:r>
    <w:r w:rsidR="003A0BA7" w:rsidRPr="007E263F">
      <w:instrText xml:space="preserve">    </w:instrText>
    </w:r>
  </w:p>
  <w:p w:rsidR="003A0BA7" w:rsidRPr="007E263F" w:rsidRDefault="003A0BA7">
    <w:pPr>
      <w:pStyle w:val="SidhuvudKantJmn"/>
      <w:framePr w:w="8732" w:h="567" w:hRule="exact" w:vSpace="0" w:wrap="around" w:vAnchor="page" w:y="341" w:anchorLock="0"/>
    </w:pPr>
  </w:p>
  <w:p w:rsidR="003A0BA7" w:rsidRPr="007E263F" w:rsidRDefault="003A0BA7">
    <w:pPr>
      <w:pStyle w:val="SidhuvudKantJmn"/>
      <w:framePr w:w="8732" w:h="567" w:hRule="exact" w:vSpace="0" w:wrap="around" w:vAnchor="page" w:y="341" w:anchorLock="0"/>
    </w:pPr>
    <w:r w:rsidRPr="007E263F">
      <w:rPr>
        <w:rStyle w:val="SidhuvudRubrikReferens"/>
        <w:smallCaps w:val="0"/>
      </w:rPr>
      <w:instrText xml:space="preserve"> </w:instrText>
    </w:r>
    <w:r w:rsidR="003059FC" w:rsidRPr="007E263F">
      <w:fldChar w:fldCharType="end"/>
    </w:r>
    <w:r w:rsidR="003059FC" w:rsidRPr="007E263F">
      <w:instrText>" " "</w:instrText>
    </w:r>
    <w:r w:rsidR="003059FC" w:rsidRPr="007E263F">
      <w:fldChar w:fldCharType="separate"/>
    </w:r>
    <w:r w:rsidRPr="007E263F">
      <w:rPr>
        <w:rStyle w:val="SidhuvudUtskott"/>
      </w:rPr>
      <w:t>2011/12:RR5</w:t>
    </w:r>
    <w:r w:rsidRPr="007E263F">
      <w:t xml:space="preserve">    </w:t>
    </w:r>
  </w:p>
  <w:p w:rsidR="003A0BA7" w:rsidRPr="007E263F" w:rsidRDefault="003A0BA7">
    <w:pPr>
      <w:pStyle w:val="SidhuvudKantJmn"/>
      <w:framePr w:w="8732" w:h="567" w:hRule="exact" w:vSpace="0" w:wrap="around" w:vAnchor="page" w:y="341" w:anchorLock="0"/>
    </w:pPr>
  </w:p>
  <w:p w:rsidR="003059FC" w:rsidRPr="007E263F" w:rsidRDefault="003A0BA7">
    <w:pPr>
      <w:pStyle w:val="SidhuvudKantUdda"/>
      <w:framePr w:w="8732" w:h="567" w:hRule="exact" w:vSpace="0" w:wrap="around" w:vAnchor="page" w:y="341" w:anchorLock="0"/>
    </w:pPr>
    <w:r w:rsidRPr="007E263F">
      <w:rPr>
        <w:rStyle w:val="SidhuvudRubrikReferens"/>
        <w:smallCaps w:val="0"/>
      </w:rPr>
      <w:t xml:space="preserve"> </w:t>
    </w:r>
    <w:r w:rsidR="003059FC" w:rsidRPr="007E263F">
      <w:fldChar w:fldCharType="end"/>
    </w:r>
  </w:p>
  <w:p w:rsidR="003059FC" w:rsidRPr="007E263F" w:rsidRDefault="003059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r w:rsidRPr="007E263F">
      <w:t xml:space="preserve">     </w:t>
    </w:r>
    <w:r w:rsidRPr="007E263F">
      <w:rPr>
        <w:rStyle w:val="SidhuvudBilaga"/>
      </w:rPr>
      <w:t xml:space="preserve"> </w:t>
    </w: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Udda"/>
      <w:framePr w:w="8732" w:h="567" w:hRule="exact" w:vSpace="0" w:wrap="around" w:vAnchor="page" w:y="341" w:anchorLock="0"/>
    </w:pPr>
    <w:r w:rsidRPr="007E263F">
      <w:rPr>
        <w:rStyle w:val="SidhuvudRubrikReferens"/>
      </w:rPr>
      <w:fldChar w:fldCharType="begin" w:fldLock="1"/>
    </w:r>
    <w:r w:rsidRPr="007E263F">
      <w:rPr>
        <w:rStyle w:val="SidhuvudRubrikReferens"/>
      </w:rPr>
      <w:instrText xml:space="preserve"> StyleREF "Rubrik 1" </w:instrText>
    </w:r>
    <w:r w:rsidRPr="007E263F">
      <w:rPr>
        <w:rStyle w:val="SidhuvudRubrikReferens"/>
      </w:rPr>
      <w:fldChar w:fldCharType="separate"/>
    </w:r>
    <w:r w:rsidR="00D21E7D" w:rsidRPr="007E263F">
      <w:rPr>
        <w:rStyle w:val="SidhuvudRubrikReferens"/>
      </w:rPr>
      <w:t>Innehållsförteckning</w:t>
    </w:r>
    <w:r w:rsidRPr="007E263F">
      <w:rPr>
        <w:rStyle w:val="SidhuvudRubrikReferens"/>
      </w:rPr>
      <w:fldChar w:fldCharType="end"/>
    </w:r>
    <w:r w:rsidRPr="007E263F">
      <w:rPr>
        <w:rStyle w:val="SidhuvudBilaga"/>
      </w:rPr>
      <w:t xml:space="preserve"> </w:t>
    </w:r>
    <w:r w:rsidRPr="007E263F">
      <w:t xml:space="preserve">     </w: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t>2011/12</w:t>
    </w:r>
    <w:r w:rsidRPr="007E263F">
      <w:rPr>
        <w:rStyle w:val="SidhuvudUtskott"/>
      </w:rPr>
      <w:fldChar w:fldCharType="end"/>
    </w:r>
    <w:r w:rsidRPr="007E263F">
      <w:rPr>
        <w:rStyle w:val="SidhuvudUtskott"/>
      </w:rPr>
      <w:t>:</w:t>
    </w:r>
    <w:r w:rsidRPr="007E263F">
      <w:rPr>
        <w:rStyle w:val="SidhuvudUtskott"/>
      </w:rPr>
      <w:fldChar w:fldCharType="begin" w:fldLock="1"/>
    </w:r>
    <w:r w:rsidRPr="007E263F">
      <w:rPr>
        <w:rStyle w:val="SidhuvudUtskott"/>
      </w:rPr>
      <w:instrText xml:space="preserve"> DOCPROPERTY</w:instrText>
    </w:r>
    <w:r w:rsidRPr="007E263F">
      <w:instrText xml:space="preserve"> </w:instrText>
    </w:r>
    <w:r w:rsidRPr="007E263F">
      <w:rPr>
        <w:rStyle w:val="SidhuvudUtskott"/>
      </w:rPr>
      <w:instrText>Utskott</w:instrText>
    </w:r>
    <w:r w:rsidRPr="007E263F">
      <w:rPr>
        <w:rStyle w:val="SidhuvudUtskott"/>
      </w:rPr>
      <w:fldChar w:fldCharType="separate"/>
    </w:r>
    <w:r w:rsidR="00D21E7D" w:rsidRPr="007E263F">
      <w:rPr>
        <w:rStyle w:val="SidhuvudUtskott"/>
      </w:rPr>
      <w:t>RR</w: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w:instrText>
    </w:r>
    <w:r w:rsidRPr="007E263F">
      <w:rPr>
        <w:rStyle w:val="SidhuvudUtskott"/>
      </w:rPr>
      <w:instrText>n</w:instrText>
    </w:r>
    <w:r w:rsidRPr="007E263F">
      <w:rPr>
        <w:rStyle w:val="SidhuvudUtskott"/>
      </w:rPr>
      <w:instrText>kandeNr</w:instrText>
    </w:r>
    <w:r w:rsidRPr="007E263F">
      <w:rPr>
        <w:rStyle w:val="SidhuvudUtskott"/>
      </w:rPr>
      <w:fldChar w:fldCharType="separate"/>
    </w:r>
    <w:r w:rsidR="00D21E7D" w:rsidRPr="007E263F">
      <w:rPr>
        <w:rStyle w:val="SidhuvudUtskott"/>
      </w:rPr>
      <w:t>5</w: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p>
  <w:p w:rsidR="003059FC" w:rsidRPr="007E263F" w:rsidRDefault="003059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FC" w:rsidRPr="007E263F" w:rsidRDefault="003059FC">
    <w:pPr>
      <w:pStyle w:val="SidhuvudKantJmn"/>
      <w:framePr w:w="8732" w:h="567" w:hRule="exact" w:vSpace="0" w:wrap="around" w:vAnchor="page" w:y="341" w:anchorLock="0"/>
    </w:pPr>
    <w:r w:rsidRPr="007E263F">
      <w:fldChar w:fldCharType="begin" w:fldLock="1"/>
    </w:r>
    <w:r w:rsidRPr="007E263F">
      <w:instrText xml:space="preserve"> if </w:instrText>
    </w:r>
    <w:r w:rsidRPr="007E263F">
      <w:fldChar w:fldCharType="begin" w:fldLock="1"/>
    </w:r>
    <w:r w:rsidRPr="007E263F">
      <w:instrText xml:space="preserve"> page</w:instrText>
    </w:r>
    <w:r w:rsidRPr="007E263F">
      <w:fldChar w:fldCharType="separate"/>
    </w:r>
    <w:r w:rsidR="003A0BA7" w:rsidRPr="007E263F">
      <w:instrText>5</w:instrText>
    </w:r>
    <w:r w:rsidRPr="007E263F">
      <w:fldChar w:fldCharType="end"/>
    </w:r>
    <w:r w:rsidRPr="007E263F">
      <w:instrText xml:space="preserve"> &gt; 1 "</w:instrText>
    </w:r>
    <w:r w:rsidRPr="007E263F">
      <w:fldChar w:fldCharType="begin" w:fldLock="1"/>
    </w:r>
    <w:r w:rsidRPr="007E263F">
      <w:instrText xml:space="preserve"> if </w:instrText>
    </w:r>
    <w:r w:rsidRPr="007E263F">
      <w:fldChar w:fldCharType="begin" w:fldLock="1"/>
    </w:r>
    <w:r w:rsidRPr="007E263F">
      <w:instrText xml:space="preserve"> = </w:instrText>
    </w:r>
    <w:r w:rsidRPr="007E263F">
      <w:fldChar w:fldCharType="begin" w:fldLock="1"/>
    </w:r>
    <w:r w:rsidRPr="007E263F">
      <w:instrText xml:space="preserve"> = </w:instrText>
    </w:r>
    <w:r w:rsidRPr="007E263F">
      <w:fldChar w:fldCharType="begin" w:fldLock="1"/>
    </w:r>
    <w:r w:rsidRPr="007E263F">
      <w:instrText xml:space="preserve"> page</w:instrText>
    </w:r>
    <w:r w:rsidRPr="007E263F">
      <w:fldChar w:fldCharType="separate"/>
    </w:r>
    <w:r w:rsidR="003A0BA7" w:rsidRPr="007E263F">
      <w:instrText>5</w:instrText>
    </w:r>
    <w:r w:rsidRPr="007E263F">
      <w:fldChar w:fldCharType="end"/>
    </w:r>
    <w:r w:rsidRPr="007E263F">
      <w:instrText xml:space="preserve">/2 </w:instrText>
    </w:r>
    <w:r w:rsidRPr="007E263F">
      <w:fldChar w:fldCharType="separate"/>
    </w:r>
    <w:r w:rsidR="003A0BA7" w:rsidRPr="007E263F">
      <w:instrText>2,5</w:instrText>
    </w:r>
    <w:r w:rsidRPr="007E263F">
      <w:fldChar w:fldCharType="end"/>
    </w:r>
    <w:r w:rsidRPr="007E263F">
      <w:instrText xml:space="preserve"> - </w:instrText>
    </w:r>
    <w:r w:rsidRPr="007E263F">
      <w:fldChar w:fldCharType="begin" w:fldLock="1"/>
    </w:r>
    <w:r w:rsidRPr="007E263F">
      <w:instrText xml:space="preserve"> = int(</w:instrText>
    </w:r>
    <w:r w:rsidRPr="007E263F">
      <w:fldChar w:fldCharType="begin" w:fldLock="1"/>
    </w:r>
    <w:r w:rsidRPr="007E263F">
      <w:instrText xml:space="preserve"> page</w:instrText>
    </w:r>
    <w:r w:rsidRPr="007E263F">
      <w:fldChar w:fldCharType="separate"/>
    </w:r>
    <w:r w:rsidR="003A0BA7" w:rsidRPr="007E263F">
      <w:instrText>5</w:instrText>
    </w:r>
    <w:r w:rsidRPr="007E263F">
      <w:fldChar w:fldCharType="end"/>
    </w:r>
    <w:r w:rsidRPr="007E263F">
      <w:instrText xml:space="preserve">/2) </w:instrText>
    </w:r>
    <w:r w:rsidRPr="007E263F">
      <w:fldChar w:fldCharType="separate"/>
    </w:r>
    <w:r w:rsidR="003A0BA7" w:rsidRPr="007E263F">
      <w:instrText>2</w:instrText>
    </w:r>
    <w:r w:rsidRPr="007E263F">
      <w:fldChar w:fldCharType="end"/>
    </w:r>
    <w:r w:rsidRPr="007E263F">
      <w:fldChar w:fldCharType="separate"/>
    </w:r>
    <w:r w:rsidR="003A0BA7" w:rsidRPr="007E263F">
      <w:instrText>0,5</w:instrText>
    </w:r>
    <w:r w:rsidRPr="007E263F">
      <w:fldChar w:fldCharType="end"/>
    </w:r>
    <w:r w:rsidRPr="007E263F">
      <w:instrText xml:space="preserve"> = 0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w:instrText>
    </w:r>
    <w:r w:rsidRPr="007E263F">
      <w:rPr>
        <w:rStyle w:val="SidhuvudUtskott"/>
      </w:rPr>
      <w:instrText>R</w:instrText>
    </w:r>
    <w:r w:rsidRPr="007E263F">
      <w:rPr>
        <w:rStyle w:val="SidhuvudUtskott"/>
      </w:rPr>
      <w:instrText>TY Utskott</w:instrText>
    </w:r>
    <w:r w:rsidRPr="007E263F">
      <w:rPr>
        <w:rStyle w:val="SidhuvudUtskott"/>
      </w:rPr>
      <w:fldChar w:fldCharType="separate"/>
    </w:r>
    <w:r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Pr="007E263F">
      <w:rPr>
        <w:rStyle w:val="SidhuvudUtskott"/>
      </w:rPr>
      <w:instrText>5</w:instrText>
    </w:r>
    <w:r w:rsidRPr="007E263F">
      <w:rPr>
        <w:rStyle w:val="SidhuvudUtskott"/>
      </w:rPr>
      <w:fldChar w:fldCharType="end"/>
    </w:r>
    <w:r w:rsidRPr="007E263F">
      <w:instrText xml:space="preserve">    </w:instrText>
    </w:r>
  </w:p>
  <w:p w:rsidR="003059FC" w:rsidRPr="007E263F" w:rsidRDefault="003059FC">
    <w:pPr>
      <w:pStyle w:val="SidhuvudKantJmn"/>
      <w:framePr w:w="8732" w:h="567" w:hRule="exact" w:vSpace="0" w:wrap="around" w:vAnchor="page" w:y="341" w:anchorLock="0"/>
    </w:pPr>
    <w:r w:rsidRPr="007E263F">
      <w:rPr>
        <w:rStyle w:val="SidhuvudUtskott"/>
      </w:rPr>
      <w:fldChar w:fldCharType="begin" w:fldLock="1"/>
    </w:r>
    <w:r w:rsidRPr="007E263F">
      <w:rPr>
        <w:rStyle w:val="SidhuvudUtskott"/>
      </w:rPr>
      <w:instrText xml:space="preserve"> DOCPROPERTY Status</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Pr="007E263F">
      <w:rPr>
        <w:rStyle w:val="SidhuvudUtskott"/>
      </w:rPr>
      <w:instrText>Nej</w:instrText>
    </w:r>
    <w:r w:rsidRPr="007E263F">
      <w:rPr>
        <w:rStyle w:val="SidhuvudUtskott"/>
      </w:rPr>
      <w:fldChar w:fldCharType="end"/>
    </w:r>
    <w:r w:rsidRPr="007E263F">
      <w:rPr>
        <w:rStyle w:val="SidhuvudUtskott"/>
      </w:rPr>
      <w:instrText xml:space="preserve"> = "Ja" "    </w:instrText>
    </w:r>
    <w:r w:rsidRPr="007E263F">
      <w:rPr>
        <w:rStyle w:val="SidhuvudUtskott"/>
      </w:rPr>
      <w:fldChar w:fldCharType="begin" w:fldLock="1"/>
    </w:r>
    <w:r w:rsidRPr="007E263F">
      <w:rPr>
        <w:rStyle w:val="SidhuvudUtskott"/>
      </w:rPr>
      <w:instrText xml:space="preserve"> PRINTDATE \@ "yyyy-MM-dd HH.mm"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p>
  <w:p w:rsidR="003059FC" w:rsidRPr="007E263F" w:rsidRDefault="003059FC">
    <w:pPr>
      <w:pStyle w:val="SidhuvudKantUdda"/>
      <w:framePr w:w="8732" w:h="567" w:hRule="exact" w:vSpace="0" w:wrap="around" w:vAnchor="page" w:y="341" w:anchorLock="0"/>
    </w:pPr>
    <w:r w:rsidRPr="007E263F">
      <w:rPr>
        <w:rStyle w:val="SidhuvudRubrikReferens"/>
        <w:smallCaps w:val="0"/>
      </w:rPr>
      <w:instrText xml:space="preserve"> </w:instrText>
    </w:r>
    <w:r w:rsidRPr="007E263F">
      <w:instrText xml:space="preserve">"  "  </w:instrText>
    </w:r>
    <w:r w:rsidRPr="007E263F">
      <w:rPr>
        <w:rStyle w:val="SidhuvudUtskott"/>
      </w:rPr>
      <w:fldChar w:fldCharType="begin" w:fldLock="1"/>
    </w:r>
    <w:r w:rsidRPr="007E263F">
      <w:rPr>
        <w:rStyle w:val="SidhuvudUtskott"/>
      </w:rPr>
      <w:instrText xml:space="preserve"> DOCPROPERTY BetänkandeÅr</w:instrText>
    </w:r>
    <w:r w:rsidRPr="007E263F">
      <w:rPr>
        <w:rStyle w:val="SidhuvudUtskott"/>
      </w:rPr>
      <w:fldChar w:fldCharType="separate"/>
    </w:r>
    <w:r w:rsidR="00D21E7D" w:rsidRPr="007E263F">
      <w:rPr>
        <w:rStyle w:val="SidhuvudUtskott"/>
      </w:rPr>
      <w:instrText>2011/12</w:instrText>
    </w:r>
    <w:r w:rsidRPr="007E263F">
      <w:rPr>
        <w:rStyle w:val="SidhuvudUtskott"/>
      </w:rPr>
      <w:fldChar w:fldCharType="end"/>
    </w:r>
    <w:r w:rsidRPr="007E263F">
      <w:rPr>
        <w:rStyle w:val="SidhuvudUtskott"/>
      </w:rPr>
      <w:instrText>:</w:instrText>
    </w:r>
    <w:r w:rsidRPr="007E263F">
      <w:rPr>
        <w:rStyle w:val="SidhuvudUtskott"/>
      </w:rPr>
      <w:fldChar w:fldCharType="begin" w:fldLock="1"/>
    </w:r>
    <w:r w:rsidRPr="007E263F">
      <w:rPr>
        <w:rStyle w:val="SidhuvudUtskott"/>
      </w:rPr>
      <w:instrText xml:space="preserve"> DOCPROPERTY Utskott</w:instrText>
    </w:r>
    <w:r w:rsidRPr="007E263F">
      <w:rPr>
        <w:rStyle w:val="SidhuvudUtskott"/>
      </w:rPr>
      <w:fldChar w:fldCharType="separate"/>
    </w:r>
    <w:r w:rsidR="00D21E7D" w:rsidRPr="007E263F">
      <w:rPr>
        <w:rStyle w:val="SidhuvudUtskott"/>
      </w:rPr>
      <w:instrText>RR</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DOCPROPERTY BetänkandeNr</w:instrText>
    </w:r>
    <w:r w:rsidRPr="007E263F">
      <w:rPr>
        <w:rStyle w:val="SidhuvudUtskott"/>
      </w:rPr>
      <w:fldChar w:fldCharType="separate"/>
    </w:r>
    <w:r w:rsidR="00D21E7D" w:rsidRPr="007E263F">
      <w:rPr>
        <w:rStyle w:val="SidhuvudUtskott"/>
      </w:rPr>
      <w:instrText>5</w:instrText>
    </w:r>
    <w:r w:rsidRPr="007E263F">
      <w:rPr>
        <w:rStyle w:val="SidhuvudUtskott"/>
      </w:rPr>
      <w:fldChar w:fldCharType="end"/>
    </w:r>
  </w:p>
  <w:p w:rsidR="003A0BA7" w:rsidRPr="007E263F" w:rsidRDefault="003059FC">
    <w:pPr>
      <w:pStyle w:val="SidhuvudKantUdda"/>
      <w:framePr w:w="8732" w:h="567" w:hRule="exact" w:vSpace="0" w:wrap="around" w:vAnchor="page" w:y="341" w:anchorLock="0"/>
    </w:pPr>
    <w:r w:rsidRPr="007E263F">
      <w:rPr>
        <w:rStyle w:val="SidhuvudUtskott"/>
      </w:rPr>
      <w:fldChar w:fldCharType="begin" w:fldLock="1"/>
    </w:r>
    <w:r w:rsidRPr="007E263F">
      <w:rPr>
        <w:rStyle w:val="SidhuvudUtskott"/>
      </w:rPr>
      <w:instrText xml:space="preserve"> if </w:instrText>
    </w:r>
    <w:r w:rsidRPr="007E263F">
      <w:rPr>
        <w:rStyle w:val="SidhuvudUtskott"/>
      </w:rPr>
      <w:fldChar w:fldCharType="begin" w:fldLock="1"/>
    </w:r>
    <w:r w:rsidRPr="007E263F">
      <w:rPr>
        <w:rStyle w:val="SidhuvudUtskott"/>
      </w:rPr>
      <w:instrText xml:space="preserve"> DOCPROPERTY "UtkastDatum"</w:instrText>
    </w:r>
    <w:r w:rsidRPr="007E263F">
      <w:rPr>
        <w:rStyle w:val="SidhuvudUtskott"/>
      </w:rPr>
      <w:fldChar w:fldCharType="separate"/>
    </w:r>
    <w:r w:rsidR="00D21E7D" w:rsidRPr="007E263F">
      <w:rPr>
        <w:rStyle w:val="SidhuvudUtskott"/>
      </w:rPr>
      <w:instrText>Nej</w:instrText>
    </w:r>
    <w:r w:rsidRPr="007E263F">
      <w:rPr>
        <w:rStyle w:val="SidhuvudUtskott"/>
      </w:rPr>
      <w:fldChar w:fldCharType="end"/>
    </w:r>
    <w:r w:rsidRPr="007E263F">
      <w:rPr>
        <w:rStyle w:val="SidhuvudUtskott"/>
      </w:rPr>
      <w:instrText xml:space="preserve"> = "Ja" "</w:instrText>
    </w:r>
    <w:r w:rsidRPr="007E263F">
      <w:rPr>
        <w:rStyle w:val="SidhuvudUtskott"/>
      </w:rPr>
      <w:fldChar w:fldCharType="begin" w:fldLock="1"/>
    </w:r>
    <w:r w:rsidRPr="007E263F">
      <w:rPr>
        <w:rStyle w:val="SidhuvudUtskott"/>
      </w:rPr>
      <w:instrText xml:space="preserve"> PRINTDATE \@ "yyyy-MM-dd HH.mm    " </w:instrText>
    </w:r>
    <w:r w:rsidRPr="007E263F">
      <w:rPr>
        <w:rStyle w:val="SidhuvudUtskott"/>
      </w:rPr>
      <w:fldChar w:fldCharType="separate"/>
    </w:r>
    <w:r w:rsidRPr="007E263F">
      <w:rPr>
        <w:rStyle w:val="SidhuvudUtskott"/>
      </w:rPr>
      <w:instrText>2000-08-11 16.42</w:instrText>
    </w:r>
    <w:r w:rsidRPr="007E263F">
      <w:rPr>
        <w:rStyle w:val="SidhuvudUtskott"/>
      </w:rPr>
      <w:fldChar w:fldCharType="end"/>
    </w:r>
    <w:r w:rsidRPr="007E263F">
      <w:rPr>
        <w:rStyle w:val="SidhuvudUtskott"/>
      </w:rPr>
      <w:instrText xml:space="preserve">" </w:instrText>
    </w:r>
    <w:r w:rsidRPr="007E263F">
      <w:rPr>
        <w:rStyle w:val="SidhuvudUtskott"/>
      </w:rPr>
      <w:fldChar w:fldCharType="end"/>
    </w:r>
    <w:r w:rsidRPr="007E263F">
      <w:rPr>
        <w:rStyle w:val="SidhuvudUtskott"/>
      </w:rPr>
      <w:fldChar w:fldCharType="begin" w:fldLock="1"/>
    </w:r>
    <w:r w:rsidRPr="007E263F">
      <w:rPr>
        <w:rStyle w:val="SidhuvudUtskott"/>
      </w:rPr>
      <w:instrText xml:space="preserve"> DOCPR</w:instrText>
    </w:r>
    <w:r w:rsidRPr="007E263F">
      <w:rPr>
        <w:rStyle w:val="SidhuvudUtskott"/>
      </w:rPr>
      <w:instrText>O</w:instrText>
    </w:r>
    <w:r w:rsidRPr="007E263F">
      <w:rPr>
        <w:rStyle w:val="SidhuvudUtskott"/>
      </w:rPr>
      <w:instrText>PERTY Status</w:instrText>
    </w:r>
    <w:r w:rsidRPr="007E263F">
      <w:rPr>
        <w:rStyle w:val="SidhuvudUtskott"/>
      </w:rPr>
      <w:fldChar w:fldCharType="end"/>
    </w:r>
    <w:r w:rsidRPr="007E263F">
      <w:instrText>"</w:instrText>
    </w:r>
    <w:r w:rsidRPr="007E263F">
      <w:fldChar w:fldCharType="separate"/>
    </w:r>
    <w:r w:rsidR="003A0BA7" w:rsidRPr="007E263F">
      <w:instrText xml:space="preserve">  </w:instrText>
    </w:r>
    <w:r w:rsidR="003A0BA7" w:rsidRPr="007E263F">
      <w:rPr>
        <w:rStyle w:val="SidhuvudUtskott"/>
      </w:rPr>
      <w:instrText>2011/12:RR5</w:instrText>
    </w:r>
  </w:p>
  <w:p w:rsidR="003A0BA7" w:rsidRPr="007E263F" w:rsidRDefault="003059FC">
    <w:pPr>
      <w:pStyle w:val="SidhuvudKantUdda"/>
      <w:framePr w:w="8732" w:h="567" w:hRule="exact" w:vSpace="0" w:wrap="around" w:vAnchor="page" w:y="341" w:anchorLock="0"/>
    </w:pPr>
    <w:r w:rsidRPr="007E263F">
      <w:fldChar w:fldCharType="end"/>
    </w:r>
    <w:r w:rsidRPr="007E263F">
      <w:instrText>" " "</w:instrText>
    </w:r>
    <w:r w:rsidRPr="007E263F">
      <w:fldChar w:fldCharType="separate"/>
    </w:r>
    <w:r w:rsidR="003A0BA7" w:rsidRPr="007E263F">
      <w:t xml:space="preserve">  </w:t>
    </w:r>
    <w:r w:rsidR="003A0BA7" w:rsidRPr="007E263F">
      <w:rPr>
        <w:rStyle w:val="SidhuvudUtskott"/>
      </w:rPr>
      <w:t>2011/12:RR5</w:t>
    </w:r>
  </w:p>
  <w:p w:rsidR="003059FC" w:rsidRPr="007E263F" w:rsidRDefault="003059FC">
    <w:pPr>
      <w:pStyle w:val="SidhuvudKantUdda"/>
      <w:framePr w:w="8732" w:h="567" w:hRule="exact" w:vSpace="0" w:wrap="around" w:vAnchor="page" w:y="341" w:anchorLock="0"/>
    </w:pPr>
    <w:r w:rsidRPr="007E263F">
      <w:fldChar w:fldCharType="end"/>
    </w:r>
  </w:p>
  <w:p w:rsidR="003059FC" w:rsidRPr="007E263F" w:rsidRDefault="003059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33E621D"/>
    <w:multiLevelType w:val="hybridMultilevel"/>
    <w:tmpl w:val="3274F7C6"/>
    <w:lvl w:ilvl="0" w:tplc="051EAC78">
      <w:start w:val="103"/>
      <w:numFmt w:val="bullet"/>
      <w:pStyle w:val="ListParagraph"/>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52E3D24"/>
    <w:multiLevelType w:val="hybridMultilevel"/>
    <w:tmpl w:val="9DB0D540"/>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27394950">
    <w:abstractNumId w:val="10"/>
  </w:num>
  <w:num w:numId="2" w16cid:durableId="536815997">
    <w:abstractNumId w:val="8"/>
  </w:num>
  <w:num w:numId="3" w16cid:durableId="1233126770">
    <w:abstractNumId w:val="3"/>
  </w:num>
  <w:num w:numId="4" w16cid:durableId="292251709">
    <w:abstractNumId w:val="2"/>
  </w:num>
  <w:num w:numId="5" w16cid:durableId="667289430">
    <w:abstractNumId w:val="1"/>
  </w:num>
  <w:num w:numId="6" w16cid:durableId="641812964">
    <w:abstractNumId w:val="0"/>
  </w:num>
  <w:num w:numId="7" w16cid:durableId="2059745265">
    <w:abstractNumId w:val="9"/>
  </w:num>
  <w:num w:numId="8" w16cid:durableId="1696689868">
    <w:abstractNumId w:val="7"/>
  </w:num>
  <w:num w:numId="9" w16cid:durableId="1570991461">
    <w:abstractNumId w:val="6"/>
  </w:num>
  <w:num w:numId="10" w16cid:durableId="2065133470">
    <w:abstractNumId w:val="5"/>
  </w:num>
  <w:num w:numId="11" w16cid:durableId="1617105592">
    <w:abstractNumId w:val="4"/>
  </w:num>
  <w:num w:numId="12" w16cid:durableId="1447234036">
    <w:abstractNumId w:val="11"/>
  </w:num>
  <w:num w:numId="13" w16cid:durableId="139152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1112"/>
  </w:docVars>
  <w:rsids>
    <w:rsidRoot w:val="00E87357"/>
    <w:rsid w:val="000452D5"/>
    <w:rsid w:val="000D2DF1"/>
    <w:rsid w:val="0019399E"/>
    <w:rsid w:val="001E47FF"/>
    <w:rsid w:val="002023D5"/>
    <w:rsid w:val="00252892"/>
    <w:rsid w:val="00262D01"/>
    <w:rsid w:val="00294F3D"/>
    <w:rsid w:val="002B0969"/>
    <w:rsid w:val="002F19B5"/>
    <w:rsid w:val="003059FC"/>
    <w:rsid w:val="00311E3A"/>
    <w:rsid w:val="00322737"/>
    <w:rsid w:val="0032520C"/>
    <w:rsid w:val="00393044"/>
    <w:rsid w:val="003A0BA7"/>
    <w:rsid w:val="003B709E"/>
    <w:rsid w:val="003E7264"/>
    <w:rsid w:val="00416316"/>
    <w:rsid w:val="00424C62"/>
    <w:rsid w:val="0044601F"/>
    <w:rsid w:val="00461C92"/>
    <w:rsid w:val="00461E8D"/>
    <w:rsid w:val="00484F62"/>
    <w:rsid w:val="004B67B1"/>
    <w:rsid w:val="005057F0"/>
    <w:rsid w:val="00550A90"/>
    <w:rsid w:val="00554DC0"/>
    <w:rsid w:val="005F5CCF"/>
    <w:rsid w:val="00615012"/>
    <w:rsid w:val="006A6412"/>
    <w:rsid w:val="006B44DC"/>
    <w:rsid w:val="006E2DB5"/>
    <w:rsid w:val="007531BA"/>
    <w:rsid w:val="007736AB"/>
    <w:rsid w:val="00790E55"/>
    <w:rsid w:val="007D46AA"/>
    <w:rsid w:val="007E263F"/>
    <w:rsid w:val="0081031C"/>
    <w:rsid w:val="008117F9"/>
    <w:rsid w:val="00820C2D"/>
    <w:rsid w:val="008A0BF9"/>
    <w:rsid w:val="008A6C84"/>
    <w:rsid w:val="008C3183"/>
    <w:rsid w:val="008E2F9E"/>
    <w:rsid w:val="009233B7"/>
    <w:rsid w:val="00931F06"/>
    <w:rsid w:val="0093595F"/>
    <w:rsid w:val="009851FA"/>
    <w:rsid w:val="00993605"/>
    <w:rsid w:val="009C40D6"/>
    <w:rsid w:val="00A34BEA"/>
    <w:rsid w:val="00B26FB2"/>
    <w:rsid w:val="00B410D3"/>
    <w:rsid w:val="00B468BA"/>
    <w:rsid w:val="00BD1D1C"/>
    <w:rsid w:val="00C6153F"/>
    <w:rsid w:val="00CB6764"/>
    <w:rsid w:val="00D03362"/>
    <w:rsid w:val="00D21E7D"/>
    <w:rsid w:val="00D87368"/>
    <w:rsid w:val="00DA2D00"/>
    <w:rsid w:val="00DE605D"/>
    <w:rsid w:val="00DF401B"/>
    <w:rsid w:val="00E87357"/>
    <w:rsid w:val="00EC5DF3"/>
    <w:rsid w:val="00F53A97"/>
    <w:rsid w:val="00FF68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2ADCC-B118-4CCE-B9BE-E8717CA8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Rubrik4Char">
    <w:name w:val="Rubrik 4 Char"/>
    <w:basedOn w:val="Standardstycketeckensnitt"/>
    <w:link w:val="Rubrik4"/>
    <w:locked/>
    <w:rsid w:val="008C3183"/>
    <w:rPr>
      <w:i/>
      <w:noProof/>
      <w:sz w:val="21"/>
      <w:lang w:val="sv-SE" w:eastAsia="sv-SE" w:bidi="ar-SA"/>
    </w:rPr>
  </w:style>
  <w:style w:type="paragraph" w:customStyle="1" w:styleId="normalmedindrag">
    <w:name w:val="normalmedindrag"/>
    <w:basedOn w:val="Normal"/>
    <w:link w:val="normalmedindragChar"/>
    <w:rsid w:val="008C3183"/>
    <w:pPr>
      <w:spacing w:before="40" w:line="280" w:lineRule="atLeast"/>
      <w:ind w:firstLine="227"/>
      <w:jc w:val="left"/>
    </w:pPr>
    <w:rPr>
      <w:sz w:val="22"/>
      <w:lang w:eastAsia="en-US"/>
    </w:rPr>
  </w:style>
  <w:style w:type="character" w:customStyle="1" w:styleId="FotnotstextChar">
    <w:name w:val="Fotnotstext Char"/>
    <w:basedOn w:val="Standardstycketeckensnitt"/>
    <w:link w:val="Fotnotstext"/>
    <w:locked/>
    <w:rsid w:val="008C3183"/>
    <w:rPr>
      <w:sz w:val="17"/>
      <w:lang w:val="sv-SE" w:eastAsia="sv-SE" w:bidi="ar-SA"/>
    </w:rPr>
  </w:style>
  <w:style w:type="character" w:styleId="Hyperlnk">
    <w:name w:val="Hyperlink"/>
    <w:basedOn w:val="Standardstycketeckensnitt"/>
    <w:rsid w:val="008C3183"/>
    <w:rPr>
      <w:rFonts w:cs="Times New Roman"/>
      <w:color w:val="0000FF"/>
      <w:u w:val="single"/>
    </w:rPr>
  </w:style>
  <w:style w:type="paragraph" w:customStyle="1" w:styleId="ListParagraph">
    <w:name w:val="List Paragraph"/>
    <w:basedOn w:val="Normal"/>
    <w:locked/>
    <w:rsid w:val="008C3183"/>
    <w:pPr>
      <w:widowControl w:val="0"/>
      <w:numPr>
        <w:numId w:val="12"/>
      </w:numPr>
      <w:tabs>
        <w:tab w:val="right" w:pos="360"/>
        <w:tab w:val="left" w:pos="576"/>
      </w:tabs>
      <w:spacing w:before="120" w:line="280" w:lineRule="exact"/>
      <w:ind w:left="255" w:hanging="255"/>
      <w:contextualSpacing/>
      <w:jc w:val="left"/>
    </w:pPr>
    <w:rPr>
      <w:color w:val="000000"/>
      <w:kern w:val="8"/>
      <w:sz w:val="22"/>
      <w:szCs w:val="22"/>
      <w:lang w:eastAsia="en-US"/>
    </w:rPr>
  </w:style>
  <w:style w:type="paragraph" w:styleId="Rubrik">
    <w:name w:val="Title"/>
    <w:basedOn w:val="Normal"/>
    <w:next w:val="Normal"/>
    <w:link w:val="RubrikChar"/>
    <w:qFormat/>
    <w:rsid w:val="008C3183"/>
    <w:pPr>
      <w:pBdr>
        <w:bottom w:val="single" w:sz="8" w:space="4" w:color="4F81BD"/>
      </w:pBdr>
      <w:spacing w:before="0" w:after="300" w:line="240" w:lineRule="auto"/>
      <w:contextualSpacing/>
      <w:jc w:val="left"/>
    </w:pPr>
    <w:rPr>
      <w:rFonts w:ascii="Cambria" w:hAnsi="Cambria"/>
      <w:color w:val="17365D"/>
      <w:spacing w:val="5"/>
      <w:kern w:val="28"/>
      <w:sz w:val="52"/>
      <w:szCs w:val="52"/>
    </w:rPr>
  </w:style>
  <w:style w:type="character" w:customStyle="1" w:styleId="RubrikChar">
    <w:name w:val="Rubrik Char"/>
    <w:basedOn w:val="Standardstycketeckensnitt"/>
    <w:link w:val="Rubrik"/>
    <w:locked/>
    <w:rsid w:val="008C3183"/>
    <w:rPr>
      <w:rFonts w:ascii="Cambria" w:hAnsi="Cambria"/>
      <w:color w:val="17365D"/>
      <w:spacing w:val="5"/>
      <w:kern w:val="28"/>
      <w:sz w:val="52"/>
      <w:szCs w:val="52"/>
      <w:lang w:val="sv-SE" w:eastAsia="sv-SE" w:bidi="ar-SA"/>
    </w:rPr>
  </w:style>
  <w:style w:type="character" w:customStyle="1" w:styleId="normalmedindragChar">
    <w:name w:val="normalmedindrag Char"/>
    <w:basedOn w:val="Standardstycketeckensnitt"/>
    <w:link w:val="normalmedindrag"/>
    <w:locked/>
    <w:rsid w:val="008C3183"/>
    <w:rPr>
      <w:sz w:val="22"/>
      <w:lang w:val="sv-SE" w:eastAsia="en-US" w:bidi="ar-SA"/>
    </w:rPr>
  </w:style>
  <w:style w:type="paragraph" w:customStyle="1" w:styleId="Default">
    <w:name w:val="Default"/>
    <w:rsid w:val="008C3183"/>
    <w:pPr>
      <w:autoSpaceDE w:val="0"/>
      <w:autoSpaceDN w:val="0"/>
      <w:adjustRightInd w:val="0"/>
    </w:pPr>
    <w:rPr>
      <w:color w:val="000000"/>
      <w:sz w:val="24"/>
      <w:szCs w:val="24"/>
      <w:lang w:val="sv-SE" w:eastAsia="en-US"/>
    </w:rPr>
  </w:style>
  <w:style w:type="character" w:styleId="Betoning">
    <w:name w:val="Emphasis"/>
    <w:basedOn w:val="Standardstycketeckensnitt"/>
    <w:qFormat/>
    <w:rsid w:val="008C318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30.xml"/><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www.riksrevisionen.se" TargetMode="External"/><Relationship Id="rId72"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footer" Target="footer23.xml"/><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eader" Target="header32.xml"/><Relationship Id="rId2" Type="http://schemas.openxmlformats.org/officeDocument/2006/relationships/styles" Target="styles.xml"/><Relationship Id="rId29" Type="http://schemas.openxmlformats.org/officeDocument/2006/relationships/footer" Target="foot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13667</Words>
  <Characters>89383</Characters>
  <Application>Microsoft Office Word</Application>
  <DocSecurity>4</DocSecurity>
  <Lines>1655</Lines>
  <Paragraphs>472</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102578</CharactersWithSpaces>
  <SharedDoc>false</SharedDoc>
  <HLinks>
    <vt:vector size="6" baseType="variant">
      <vt:variant>
        <vt:i4>262236</vt:i4>
      </vt:variant>
      <vt:variant>
        <vt:i4>271</vt:i4>
      </vt:variant>
      <vt:variant>
        <vt:i4>0</vt:i4>
      </vt:variant>
      <vt:variant>
        <vt:i4>5</vt:i4>
      </vt:variant>
      <vt:variant>
        <vt:lpwstr>http://www.riksrevisionen.se/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2012-05-30T08:49:00Z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