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C5A" w:rsidRPr="00896D4F" w:rsidRDefault="009C1C5A">
      <w:pPr>
        <w:spacing w:before="0"/>
        <w:jc w:val="left"/>
      </w:pPr>
      <w:r w:rsidRPr="00896D4F">
        <w:br w:type="page"/>
      </w: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spacing w:before="0"/>
        <w:jc w:val="left"/>
      </w:pPr>
    </w:p>
    <w:p w:rsidR="009C1C5A" w:rsidRPr="00896D4F" w:rsidRDefault="009C1C5A">
      <w:pPr>
        <w:pStyle w:val="Normaltindrag"/>
      </w:pPr>
    </w:p>
    <w:p w:rsidR="009C1C5A" w:rsidRPr="00896D4F" w:rsidRDefault="009C1C5A">
      <w:pPr>
        <w:spacing w:before="0"/>
        <w:jc w:val="left"/>
        <w:rPr>
          <w:sz w:val="16"/>
        </w:rPr>
      </w:pPr>
      <w:r w:rsidRPr="00896D4F">
        <w:rPr>
          <w:sz w:val="16"/>
        </w:rPr>
        <w:t>Omslag Eva Lena Johansson</w:t>
      </w:r>
    </w:p>
    <w:p w:rsidR="009C1C5A" w:rsidRPr="00896D4F" w:rsidRDefault="009C1C5A">
      <w:pPr>
        <w:spacing w:before="0"/>
        <w:jc w:val="left"/>
        <w:rPr>
          <w:sz w:val="16"/>
        </w:rPr>
      </w:pPr>
      <w:r w:rsidRPr="00896D4F">
        <w:rPr>
          <w:sz w:val="16"/>
        </w:rPr>
        <w:t>Översättning till engelska av Summary in English: David Jones</w:t>
      </w:r>
    </w:p>
    <w:p w:rsidR="009C1C5A" w:rsidRPr="00896D4F" w:rsidRDefault="009C1C5A">
      <w:pPr>
        <w:spacing w:before="0"/>
        <w:jc w:val="left"/>
        <w:rPr>
          <w:sz w:val="16"/>
        </w:rPr>
      </w:pPr>
      <w:r w:rsidRPr="00896D4F">
        <w:rPr>
          <w:sz w:val="16"/>
        </w:rPr>
        <w:t>ISSN 0282-0560</w:t>
      </w:r>
    </w:p>
    <w:p w:rsidR="009C1C5A" w:rsidRPr="00896D4F" w:rsidRDefault="009C1C5A">
      <w:pPr>
        <w:spacing w:before="120"/>
        <w:jc w:val="left"/>
        <w:rPr>
          <w:sz w:val="16"/>
        </w:rPr>
      </w:pPr>
      <w:r w:rsidRPr="00896D4F">
        <w:rPr>
          <w:sz w:val="16"/>
        </w:rPr>
        <w:t>Elanders Gotab, Stockholm 2002-09-30</w:t>
      </w:r>
    </w:p>
    <w:p w:rsidR="009C1C5A" w:rsidRPr="00896D4F" w:rsidRDefault="009C1C5A">
      <w:pPr>
        <w:pStyle w:val="Rubrik1"/>
      </w:pPr>
      <w:r w:rsidRPr="00896D4F">
        <w:br w:type="page"/>
        <w:t>Innehåll</w:t>
      </w:r>
    </w:p>
    <w:p w:rsidR="009C1C5A" w:rsidRPr="00896D4F" w:rsidRDefault="009C1C5A">
      <w:pPr>
        <w:pStyle w:val="innehJO"/>
      </w:pPr>
      <w:r w:rsidRPr="00896D4F">
        <w:t xml:space="preserve">Skrivelse till riksdagen </w:t>
      </w:r>
      <w:r w:rsidRPr="00896D4F">
        <w:tab/>
      </w:r>
      <w:r w:rsidRPr="00896D4F">
        <w:tab/>
        <w:t>13</w:t>
      </w:r>
    </w:p>
    <w:p w:rsidR="009C1C5A" w:rsidRPr="00896D4F" w:rsidRDefault="009C1C5A">
      <w:pPr>
        <w:pStyle w:val="Rubrik3"/>
      </w:pPr>
      <w:r w:rsidRPr="00896D4F">
        <w:t>Allmänna domstolar m.m.</w:t>
      </w:r>
    </w:p>
    <w:p w:rsidR="009C1C5A" w:rsidRPr="00896D4F" w:rsidRDefault="009C1C5A">
      <w:pPr>
        <w:pStyle w:val="innehJO"/>
      </w:pPr>
      <w:r w:rsidRPr="00896D4F">
        <w:t>Ett åtal mot en rådman för tjänstefel, bestående i att han i tre fall inte haft kanslidomar färdigställda på utsatta tider, har ogillats med hänvi</w:t>
      </w:r>
      <w:r w:rsidRPr="00896D4F">
        <w:t>s</w:t>
      </w:r>
      <w:r w:rsidRPr="00896D4F">
        <w:t xml:space="preserve">ning till att gärningarna fick anses vara ringa (1964-2000) </w:t>
      </w:r>
      <w:r w:rsidRPr="00896D4F">
        <w:tab/>
      </w:r>
      <w:r w:rsidRPr="00896D4F">
        <w:tab/>
        <w:t>34</w:t>
      </w:r>
    </w:p>
    <w:p w:rsidR="009C1C5A" w:rsidRPr="00896D4F" w:rsidRDefault="009C1C5A">
      <w:pPr>
        <w:pStyle w:val="innehJO"/>
      </w:pPr>
      <w:r w:rsidRPr="00896D4F">
        <w:t>Handläggningen av ett mål om vårdnad om barn m.m. (664-2000)</w:t>
      </w:r>
      <w:r w:rsidRPr="00896D4F">
        <w:tab/>
      </w:r>
      <w:r w:rsidRPr="00896D4F">
        <w:tab/>
        <w:t>40</w:t>
      </w:r>
    </w:p>
    <w:p w:rsidR="009C1C5A" w:rsidRPr="00896D4F" w:rsidRDefault="009C1C5A">
      <w:pPr>
        <w:pStyle w:val="innehJO"/>
      </w:pPr>
      <w:r w:rsidRPr="00896D4F">
        <w:t>En tingsrätt hade förvägrat allmänheten tillträde till en byggnad där rä</w:t>
      </w:r>
      <w:r w:rsidRPr="00896D4F">
        <w:t>t</w:t>
      </w:r>
      <w:r w:rsidRPr="00896D4F">
        <w:t xml:space="preserve">tegång pågick (828-2001) </w:t>
      </w:r>
      <w:r w:rsidRPr="00896D4F">
        <w:tab/>
      </w:r>
      <w:r w:rsidRPr="00896D4F">
        <w:tab/>
        <w:t>54</w:t>
      </w:r>
    </w:p>
    <w:p w:rsidR="009C1C5A" w:rsidRPr="00896D4F" w:rsidRDefault="009C1C5A">
      <w:pPr>
        <w:pStyle w:val="Rubrik3"/>
      </w:pPr>
      <w:r w:rsidRPr="00896D4F">
        <w:t>Åklagar- och polisväsendena</w:t>
      </w:r>
    </w:p>
    <w:p w:rsidR="009C1C5A" w:rsidRPr="00896D4F" w:rsidRDefault="009C1C5A">
      <w:pPr>
        <w:pStyle w:val="innehJO"/>
      </w:pPr>
      <w:r w:rsidRPr="00896D4F">
        <w:t>En åklagare har dömts för tjänstefel för att utan laglig grund ha b</w:t>
      </w:r>
      <w:r w:rsidRPr="00896D4F">
        <w:t>e</w:t>
      </w:r>
      <w:r w:rsidRPr="00896D4F">
        <w:t xml:space="preserve">gärt att ett bankkonto skulle spärras (2626-1999) </w:t>
      </w:r>
      <w:r w:rsidRPr="00896D4F">
        <w:tab/>
      </w:r>
      <w:r w:rsidRPr="00896D4F">
        <w:tab/>
        <w:t>60</w:t>
      </w:r>
    </w:p>
    <w:p w:rsidR="009C1C5A" w:rsidRPr="00896D4F" w:rsidRDefault="009C1C5A">
      <w:pPr>
        <w:pStyle w:val="innehJO"/>
      </w:pPr>
      <w:r w:rsidRPr="00896D4F">
        <w:t>Handläggningen av en förundersökning angående mord under vi</w:t>
      </w:r>
      <w:r w:rsidRPr="00896D4F">
        <w:t>l</w:t>
      </w:r>
      <w:r w:rsidRPr="00896D4F">
        <w:t>ken bl.a. bevisupptagning skett vid domstol med ett ”anonymt” vit</w:t>
      </w:r>
      <w:r w:rsidRPr="00896D4F">
        <w:t>t</w:t>
      </w:r>
      <w:r w:rsidRPr="00896D4F">
        <w:t xml:space="preserve">ne (1172-1998 och 4234-1998) </w:t>
      </w:r>
      <w:r w:rsidRPr="00896D4F">
        <w:tab/>
      </w:r>
      <w:r w:rsidRPr="00896D4F">
        <w:tab/>
        <w:t>67</w:t>
      </w:r>
    </w:p>
    <w:p w:rsidR="009C1C5A" w:rsidRPr="00896D4F" w:rsidRDefault="009C1C5A">
      <w:pPr>
        <w:pStyle w:val="innehJO"/>
      </w:pPr>
      <w:r w:rsidRPr="00896D4F">
        <w:t xml:space="preserve">Skrivelse till Justitiedepartementet med anledning av iakttagelser gjorda under inspektioner av den brottsutredande verksamheten vid ett antal polismyndigheter (3585-1999 m.fl.) </w:t>
      </w:r>
      <w:r w:rsidRPr="00896D4F">
        <w:tab/>
      </w:r>
      <w:r w:rsidRPr="00896D4F">
        <w:tab/>
        <w:t>98</w:t>
      </w:r>
    </w:p>
    <w:p w:rsidR="009C1C5A" w:rsidRPr="00896D4F" w:rsidRDefault="009C1C5A">
      <w:pPr>
        <w:pStyle w:val="innehJO"/>
      </w:pPr>
      <w:r w:rsidRPr="00896D4F">
        <w:t>Kritik mot en polismyndighet för handläggningen av ett ärende rörande utlämnande av en i beslag tagen moped sedan förundersö</w:t>
      </w:r>
      <w:r w:rsidRPr="00896D4F">
        <w:t>k</w:t>
      </w:r>
      <w:r w:rsidRPr="00896D4F">
        <w:t xml:space="preserve">ningen lagts ned; också fråga om grunden för nedläggningen av förundersökningen (275-2000) </w:t>
      </w:r>
      <w:r w:rsidRPr="00896D4F">
        <w:tab/>
      </w:r>
      <w:r w:rsidRPr="00896D4F">
        <w:tab/>
        <w:t>102</w:t>
      </w:r>
    </w:p>
    <w:p w:rsidR="009C1C5A" w:rsidRPr="00896D4F" w:rsidRDefault="009C1C5A">
      <w:pPr>
        <w:pStyle w:val="innehJO"/>
      </w:pPr>
      <w:r w:rsidRPr="00896D4F">
        <w:t>Handläggningen av förundersökningar efter det att åklagares stäl</w:t>
      </w:r>
      <w:r w:rsidRPr="00896D4F">
        <w:t>l</w:t>
      </w:r>
      <w:r w:rsidRPr="00896D4F">
        <w:t>ningstaga</w:t>
      </w:r>
      <w:r w:rsidRPr="00896D4F">
        <w:t>n</w:t>
      </w:r>
      <w:r w:rsidRPr="00896D4F">
        <w:t xml:space="preserve">de varit föremål för överprövning m.m. (1245-2000) </w:t>
      </w:r>
      <w:r w:rsidRPr="00896D4F">
        <w:tab/>
      </w:r>
      <w:r w:rsidRPr="00896D4F">
        <w:tab/>
        <w:t>107</w:t>
      </w:r>
    </w:p>
    <w:p w:rsidR="009C1C5A" w:rsidRPr="00896D4F" w:rsidRDefault="009C1C5A">
      <w:pPr>
        <w:pStyle w:val="innehJO"/>
      </w:pPr>
      <w:r w:rsidRPr="00896D4F">
        <w:t xml:space="preserve">Riksåklagarens handläggning av det s.k. Osmo Vallo-fallet (1986-2000) </w:t>
      </w:r>
      <w:r w:rsidRPr="00896D4F">
        <w:tab/>
      </w:r>
      <w:r w:rsidRPr="00896D4F">
        <w:tab/>
        <w:t>116</w:t>
      </w:r>
    </w:p>
    <w:p w:rsidR="009C1C5A" w:rsidRPr="00896D4F" w:rsidRDefault="009C1C5A">
      <w:pPr>
        <w:pStyle w:val="innehJO"/>
      </w:pPr>
      <w:r w:rsidRPr="00896D4F">
        <w:t xml:space="preserve">Kritik mot en polismyndighet för att den i ett fall inte hade vidtagit tillräckliga utredningsåtgärder innan den beslutat att lägga ned en förundersökning samt att den i ett annat fall beslutat att inte inleda förundersökning trots att det fanns anledning att anta att brott hade förövats (3208-2000) </w:t>
      </w:r>
      <w:r w:rsidRPr="00896D4F">
        <w:tab/>
      </w:r>
      <w:r w:rsidRPr="00896D4F">
        <w:tab/>
        <w:t>139</w:t>
      </w:r>
    </w:p>
    <w:p w:rsidR="009C1C5A" w:rsidRPr="00896D4F" w:rsidRDefault="009C1C5A">
      <w:pPr>
        <w:pStyle w:val="innehJO"/>
      </w:pPr>
      <w:r w:rsidRPr="00896D4F">
        <w:t>Kritik mot en förhörsledare för att denne under ett förhör lät en pe</w:t>
      </w:r>
      <w:r w:rsidRPr="00896D4F">
        <w:t>r</w:t>
      </w:r>
      <w:r w:rsidRPr="00896D4F">
        <w:t>son, som var misstänkt och häktad i det ärende som förhöret avsåg, i alltför stor omfattning ställa frågor till en annan i samma ärende misstänkt pe</w:t>
      </w:r>
      <w:r w:rsidRPr="00896D4F">
        <w:t>r</w:t>
      </w:r>
      <w:r w:rsidRPr="00896D4F">
        <w:t xml:space="preserve">son  (1881-2001) </w:t>
      </w:r>
      <w:r w:rsidRPr="00896D4F">
        <w:tab/>
      </w:r>
      <w:r w:rsidRPr="00896D4F">
        <w:tab/>
        <w:t>142</w:t>
      </w:r>
    </w:p>
    <w:p w:rsidR="009C1C5A" w:rsidRPr="00896D4F" w:rsidRDefault="009C1C5A">
      <w:pPr>
        <w:pStyle w:val="innehJO"/>
      </w:pPr>
      <w:r w:rsidRPr="00896D4F">
        <w:t>Kritik mot en polismyndighet för dröjsmål med diarieföring och b</w:t>
      </w:r>
      <w:r w:rsidRPr="00896D4F">
        <w:t>e</w:t>
      </w:r>
      <w:r w:rsidRPr="00896D4F">
        <w:t xml:space="preserve">svarande av ett till myndigheten inkommet e-postmeddelande (4060-2001) </w:t>
      </w:r>
      <w:r w:rsidRPr="00896D4F">
        <w:tab/>
      </w:r>
      <w:r w:rsidRPr="00896D4F">
        <w:tab/>
        <w:t>147</w:t>
      </w:r>
    </w:p>
    <w:p w:rsidR="009C1C5A" w:rsidRPr="00896D4F" w:rsidRDefault="009C1C5A">
      <w:pPr>
        <w:pStyle w:val="Rubrik3"/>
      </w:pPr>
      <w:r w:rsidRPr="00896D4F">
        <w:t>Kriminalvård</w:t>
      </w:r>
    </w:p>
    <w:p w:rsidR="009C1C5A" w:rsidRPr="00896D4F" w:rsidRDefault="009C1C5A">
      <w:pPr>
        <w:pStyle w:val="innehJO"/>
      </w:pPr>
      <w:r w:rsidRPr="00896D4F">
        <w:t xml:space="preserve">Kritik mot en kriminalvårdsmyndighet för att ha granskat ett brev från JO till intagna (3772-2000) </w:t>
      </w:r>
      <w:r w:rsidRPr="00896D4F">
        <w:tab/>
      </w:r>
      <w:r w:rsidRPr="00896D4F">
        <w:tab/>
        <w:t>151</w:t>
      </w:r>
    </w:p>
    <w:p w:rsidR="009C1C5A" w:rsidRPr="00896D4F" w:rsidRDefault="009C1C5A">
      <w:pPr>
        <w:pStyle w:val="innehJO"/>
      </w:pPr>
      <w:r w:rsidRPr="00896D4F">
        <w:t>Ett på JO:s initiativ upptaget ärende angående möjligheterna för i</w:t>
      </w:r>
      <w:r w:rsidRPr="00896D4F">
        <w:t>n</w:t>
      </w:r>
      <w:r w:rsidRPr="00896D4F">
        <w:t xml:space="preserve">tagna i kriminalvårdsanstalt att studera (3843-2000) </w:t>
      </w:r>
      <w:r w:rsidRPr="00896D4F">
        <w:tab/>
      </w:r>
      <w:r w:rsidRPr="00896D4F">
        <w:tab/>
        <w:t>153</w:t>
      </w:r>
    </w:p>
    <w:p w:rsidR="009C1C5A" w:rsidRPr="00896D4F" w:rsidRDefault="009C1C5A">
      <w:pPr>
        <w:pStyle w:val="innehJO"/>
      </w:pPr>
      <w:r w:rsidRPr="00896D4F">
        <w:t>Uttalanden om en kriminalvårdsmyndighets rutiner för granskning av inkommande och utgående post (1894-2001) .</w:t>
      </w:r>
      <w:r w:rsidRPr="00896D4F">
        <w:tab/>
      </w:r>
      <w:r w:rsidRPr="00896D4F">
        <w:tab/>
        <w:t>155</w:t>
      </w:r>
    </w:p>
    <w:p w:rsidR="009C1C5A" w:rsidRPr="00896D4F" w:rsidRDefault="009C1C5A">
      <w:pPr>
        <w:pStyle w:val="innehJO"/>
      </w:pPr>
      <w:r w:rsidRPr="00896D4F">
        <w:t xml:space="preserve">Fråga om en kriminalvårdsmyndighet borde ha fattat ett formellt beslut att omhänderta intagens egendom m.m. (2455-2001) </w:t>
      </w:r>
      <w:r w:rsidRPr="00896D4F">
        <w:tab/>
      </w:r>
      <w:r w:rsidRPr="00896D4F">
        <w:tab/>
        <w:t>160</w:t>
      </w:r>
    </w:p>
    <w:p w:rsidR="009C1C5A" w:rsidRPr="00896D4F" w:rsidRDefault="009C1C5A">
      <w:pPr>
        <w:pStyle w:val="Rubrik3"/>
      </w:pPr>
      <w:r w:rsidRPr="00896D4F">
        <w:t>Exekutiva ärenden</w:t>
      </w:r>
    </w:p>
    <w:p w:rsidR="009C1C5A" w:rsidRPr="00896D4F" w:rsidRDefault="009C1C5A">
      <w:pPr>
        <w:pStyle w:val="innehJO"/>
        <w:rPr>
          <w:sz w:val="23"/>
        </w:rPr>
      </w:pPr>
      <w:r w:rsidRPr="00896D4F">
        <w:t>En kronofogdemyndighet har i mål om betalningsföreläggande de</w:t>
      </w:r>
      <w:r w:rsidRPr="00896D4F">
        <w:t>l</w:t>
      </w:r>
      <w:r w:rsidRPr="00896D4F">
        <w:t xml:space="preserve">givit ett föreläggande med fel person (698-2001) </w:t>
      </w:r>
      <w:r w:rsidRPr="00896D4F">
        <w:tab/>
      </w:r>
      <w:r w:rsidRPr="00896D4F">
        <w:tab/>
        <w:t>162</w:t>
      </w:r>
    </w:p>
    <w:p w:rsidR="009C1C5A" w:rsidRPr="00896D4F" w:rsidRDefault="009C1C5A">
      <w:pPr>
        <w:pStyle w:val="innehJO"/>
      </w:pPr>
      <w:r w:rsidRPr="00896D4F">
        <w:t>Ett ärende angående rätten till ränta på utmätta medel som en kr</w:t>
      </w:r>
      <w:r w:rsidRPr="00896D4F">
        <w:t>o</w:t>
      </w:r>
      <w:r w:rsidRPr="00896D4F">
        <w:t>no</w:t>
      </w:r>
      <w:r w:rsidRPr="00896D4F">
        <w:softHyphen/>
        <w:t>fogdemyndighet placerat på räntebärande konto i avvaktan på r</w:t>
      </w:r>
      <w:r w:rsidRPr="00896D4F">
        <w:t>e</w:t>
      </w:r>
      <w:r w:rsidRPr="00896D4F">
        <w:t xml:space="preserve">dovisning (3828-2001) </w:t>
      </w:r>
      <w:r w:rsidRPr="00896D4F">
        <w:tab/>
      </w:r>
      <w:r w:rsidRPr="00896D4F">
        <w:tab/>
        <w:t>164</w:t>
      </w:r>
    </w:p>
    <w:p w:rsidR="009C1C5A" w:rsidRPr="00896D4F" w:rsidRDefault="009C1C5A">
      <w:pPr>
        <w:pStyle w:val="Rubrik3"/>
      </w:pPr>
      <w:r w:rsidRPr="00896D4F">
        <w:t>Förvaltningsdomstolar</w:t>
      </w:r>
    </w:p>
    <w:p w:rsidR="009C1C5A" w:rsidRPr="00896D4F" w:rsidRDefault="009C1C5A">
      <w:pPr>
        <w:pStyle w:val="innehJO"/>
      </w:pPr>
      <w:r w:rsidRPr="00896D4F">
        <w:t>En länsrätt har vid en muntlig förhandling som var offentlig tillfr</w:t>
      </w:r>
      <w:r w:rsidRPr="00896D4F">
        <w:t>å</w:t>
      </w:r>
      <w:r w:rsidRPr="00896D4F">
        <w:t xml:space="preserve">gat åhörare om namn och antecknat uppgifterna i protokollet (1310-2001) </w:t>
      </w:r>
      <w:r w:rsidRPr="00896D4F">
        <w:tab/>
      </w:r>
      <w:r w:rsidRPr="00896D4F">
        <w:tab/>
        <w:t>168</w:t>
      </w:r>
    </w:p>
    <w:p w:rsidR="009C1C5A" w:rsidRPr="00896D4F" w:rsidRDefault="009C1C5A">
      <w:pPr>
        <w:pStyle w:val="Rubrik3"/>
      </w:pPr>
      <w:r w:rsidRPr="00896D4F">
        <w:t>Central statsförvaltning, arbetsmarknadsmyndigheter m.m.</w:t>
      </w:r>
    </w:p>
    <w:p w:rsidR="009C1C5A" w:rsidRPr="00896D4F" w:rsidRDefault="009C1C5A">
      <w:pPr>
        <w:pStyle w:val="innehJO"/>
      </w:pPr>
      <w:r w:rsidRPr="00896D4F">
        <w:t>Fråga om skyldighet för Barnombudsmannen att göra anmälan till socialnämnd på grund av anonyma skrivelser enligt vilka det kunde misstänkas att några flickor hade blivit könsstympade; även fråga om det på grund av sekretess förelåg hinder för Barnombudsma</w:t>
      </w:r>
      <w:r w:rsidRPr="00896D4F">
        <w:t>n</w:t>
      </w:r>
      <w:r w:rsidRPr="00896D4F">
        <w:t>nen att göra en polisanmälan i anledning av de i skrivelserna lä</w:t>
      </w:r>
      <w:r w:rsidRPr="00896D4F">
        <w:t>m</w:t>
      </w:r>
      <w:r w:rsidRPr="00896D4F">
        <w:t xml:space="preserve">nade uppgifterna (3235-2001) </w:t>
      </w:r>
      <w:r w:rsidRPr="00896D4F">
        <w:tab/>
      </w:r>
      <w:r w:rsidRPr="00896D4F">
        <w:tab/>
        <w:t>170</w:t>
      </w:r>
    </w:p>
    <w:p w:rsidR="009C1C5A" w:rsidRPr="00896D4F" w:rsidRDefault="009C1C5A">
      <w:pPr>
        <w:pStyle w:val="innehJO"/>
      </w:pPr>
      <w:r w:rsidRPr="00896D4F">
        <w:t xml:space="preserve">Initiativärende mot Statens ansvarsnämnd beträffande grunderna för ett beslut om avstängning av en kammaråklagare från arbetet (2540-2001) </w:t>
      </w:r>
      <w:r w:rsidRPr="00896D4F">
        <w:tab/>
      </w:r>
      <w:r w:rsidRPr="00896D4F">
        <w:tab/>
        <w:t>182</w:t>
      </w:r>
    </w:p>
    <w:p w:rsidR="009C1C5A" w:rsidRPr="00896D4F" w:rsidRDefault="009C1C5A">
      <w:pPr>
        <w:pStyle w:val="Rubrik3"/>
        <w:rPr>
          <w:b w:val="0"/>
        </w:rPr>
      </w:pPr>
      <w:r w:rsidRPr="00896D4F">
        <w:t>Taxering och uppbörd samt folkbokföring</w:t>
      </w:r>
    </w:p>
    <w:p w:rsidR="009C1C5A" w:rsidRPr="00896D4F" w:rsidRDefault="009C1C5A">
      <w:pPr>
        <w:pStyle w:val="innehJO"/>
      </w:pPr>
      <w:r w:rsidRPr="00896D4F">
        <w:t>Fråga om lämpligheten av bandupptagning som efterforskning</w:t>
      </w:r>
      <w:r w:rsidRPr="00896D4F">
        <w:t>s</w:t>
      </w:r>
      <w:r w:rsidRPr="00896D4F">
        <w:t xml:space="preserve">metod vid skatterevision (274-2001) </w:t>
      </w:r>
      <w:r w:rsidRPr="00896D4F">
        <w:tab/>
      </w:r>
      <w:r w:rsidRPr="00896D4F">
        <w:tab/>
        <w:t>189</w:t>
      </w:r>
    </w:p>
    <w:p w:rsidR="009C1C5A" w:rsidRPr="00896D4F" w:rsidRDefault="009C1C5A">
      <w:pPr>
        <w:pStyle w:val="innehJO"/>
      </w:pPr>
      <w:r w:rsidRPr="00896D4F">
        <w:t xml:space="preserve">En skattemyndighets handläggning av ett överklagande, bl.a. fråga om den skattskyldiges återkallelse av överklagandet och återtagande av återkallelsen (1183-2001) </w:t>
      </w:r>
      <w:r w:rsidRPr="00896D4F">
        <w:tab/>
      </w:r>
      <w:r w:rsidRPr="00896D4F">
        <w:tab/>
        <w:t>192</w:t>
      </w:r>
    </w:p>
    <w:p w:rsidR="009C1C5A" w:rsidRPr="00896D4F" w:rsidRDefault="009C1C5A">
      <w:pPr>
        <w:pStyle w:val="Rubrik3"/>
      </w:pPr>
      <w:r w:rsidRPr="00896D4F">
        <w:t>Socialtjänst</w:t>
      </w:r>
    </w:p>
    <w:p w:rsidR="009C1C5A" w:rsidRPr="00896D4F" w:rsidRDefault="009C1C5A">
      <w:pPr>
        <w:pStyle w:val="Rubrik4"/>
        <w:spacing w:before="125"/>
      </w:pPr>
      <w:r w:rsidRPr="00896D4F">
        <w:t>Socialtjänstlagen (SoL)</w:t>
      </w:r>
    </w:p>
    <w:p w:rsidR="009C1C5A" w:rsidRPr="00896D4F" w:rsidRDefault="009C1C5A">
      <w:pPr>
        <w:pStyle w:val="innehJO"/>
      </w:pPr>
      <w:r w:rsidRPr="00896D4F">
        <w:t>Fråga om det förelåg förutsättningar för att avsluta en s.k. barn</w:t>
      </w:r>
      <w:r w:rsidRPr="00896D4F">
        <w:t>a</w:t>
      </w:r>
      <w:r w:rsidRPr="00896D4F">
        <w:t>vårdsu</w:t>
      </w:r>
      <w:r w:rsidRPr="00896D4F">
        <w:t>t</w:t>
      </w:r>
      <w:r w:rsidRPr="00896D4F">
        <w:t xml:space="preserve">redning (1295-2000) </w:t>
      </w:r>
      <w:r w:rsidRPr="00896D4F">
        <w:tab/>
      </w:r>
      <w:r w:rsidRPr="00896D4F">
        <w:tab/>
        <w:t>196</w:t>
      </w:r>
    </w:p>
    <w:p w:rsidR="009C1C5A" w:rsidRPr="00896D4F" w:rsidRDefault="009C1C5A">
      <w:pPr>
        <w:pStyle w:val="innehJO"/>
      </w:pPr>
      <w:r w:rsidRPr="00896D4F">
        <w:t>En kvinna som hade psykiska problem och som missbrukade na</w:t>
      </w:r>
      <w:r w:rsidRPr="00896D4F">
        <w:t>r</w:t>
      </w:r>
      <w:r w:rsidRPr="00896D4F">
        <w:t>kotika avled, sannolikt på grund av en överdos av narkotika; fråga om socialnämnden hade åsidosatt sina åligganden när det gällde att i olika häns</w:t>
      </w:r>
      <w:r w:rsidRPr="00896D4F">
        <w:t>e</w:t>
      </w:r>
      <w:r w:rsidRPr="00896D4F">
        <w:t xml:space="preserve">enden bistå kvinnan (4199-1999 och 1432-2000) </w:t>
      </w:r>
      <w:r w:rsidRPr="00896D4F">
        <w:tab/>
      </w:r>
      <w:r w:rsidRPr="00896D4F">
        <w:tab/>
        <w:t>205</w:t>
      </w:r>
    </w:p>
    <w:p w:rsidR="009C1C5A" w:rsidRPr="00896D4F" w:rsidRDefault="009C1C5A">
      <w:pPr>
        <w:pStyle w:val="innehJO"/>
      </w:pPr>
      <w:r w:rsidRPr="00896D4F">
        <w:t>Fråga om en socialnämnds utförande av en utredning rörande ett fami</w:t>
      </w:r>
      <w:r w:rsidRPr="00896D4F">
        <w:t>l</w:t>
      </w:r>
      <w:r w:rsidRPr="00896D4F">
        <w:t xml:space="preserve">jehems lämplighet (2948-2000) </w:t>
      </w:r>
      <w:r w:rsidRPr="00896D4F">
        <w:tab/>
      </w:r>
      <w:r w:rsidRPr="00896D4F">
        <w:tab/>
        <w:t>210</w:t>
      </w:r>
    </w:p>
    <w:p w:rsidR="009C1C5A" w:rsidRPr="00896D4F" w:rsidRDefault="009C1C5A">
      <w:pPr>
        <w:pStyle w:val="innehJO"/>
      </w:pPr>
      <w:r w:rsidRPr="00896D4F">
        <w:t>Fråga bl.a. om handläggningen av en ansökan om bistånd när soc</w:t>
      </w:r>
      <w:r w:rsidRPr="00896D4F">
        <w:t>i</w:t>
      </w:r>
      <w:r w:rsidRPr="00896D4F">
        <w:t xml:space="preserve">alnämnden nyligen hade prövat frågan (1759-2000) </w:t>
      </w:r>
      <w:r w:rsidRPr="00896D4F">
        <w:tab/>
      </w:r>
      <w:r w:rsidRPr="00896D4F">
        <w:tab/>
        <w:t xml:space="preserve">218 </w:t>
      </w:r>
    </w:p>
    <w:p w:rsidR="009C1C5A" w:rsidRPr="00896D4F" w:rsidRDefault="009C1C5A">
      <w:pPr>
        <w:pStyle w:val="Rubrik4"/>
      </w:pPr>
      <w:r w:rsidRPr="00896D4F">
        <w:t>Lagen med särskilda bestämmelser om vård av unga (LVU)</w:t>
      </w:r>
    </w:p>
    <w:p w:rsidR="009C1C5A" w:rsidRPr="00896D4F" w:rsidRDefault="009C1C5A">
      <w:pPr>
        <w:pStyle w:val="innehJO"/>
      </w:pPr>
      <w:r w:rsidRPr="00896D4F">
        <w:t xml:space="preserve">Fråga om det utan stöd i lag förekommit avskiljning av intagna vid ett särskilt ungdomshem (1036-2000) </w:t>
      </w:r>
      <w:r w:rsidRPr="00896D4F">
        <w:tab/>
      </w:r>
      <w:r w:rsidRPr="00896D4F">
        <w:tab/>
        <w:t>222</w:t>
      </w:r>
    </w:p>
    <w:p w:rsidR="009C1C5A" w:rsidRPr="00896D4F" w:rsidRDefault="009C1C5A">
      <w:pPr>
        <w:pStyle w:val="innehJO"/>
      </w:pPr>
      <w:r w:rsidRPr="00896D4F">
        <w:t xml:space="preserve">En anonym anmälan om att ett barn eventuellt utsatts för ett sexuellt övergrepp inkom till en socialnämnd; fråga bl.a. om det förelåg skäl för att omedelbart omhänderta barnet enligt 6 § LVU (1333-2000) </w:t>
      </w:r>
      <w:r w:rsidRPr="00896D4F">
        <w:tab/>
      </w:r>
      <w:r w:rsidRPr="00896D4F">
        <w:tab/>
        <w:t>229</w:t>
      </w:r>
    </w:p>
    <w:p w:rsidR="009C1C5A" w:rsidRPr="00896D4F" w:rsidRDefault="009C1C5A">
      <w:pPr>
        <w:pStyle w:val="innehJO"/>
      </w:pPr>
      <w:r w:rsidRPr="00896D4F">
        <w:t>Fråga om socialnämndens skyldighet att samråda med vårdnadsh</w:t>
      </w:r>
      <w:r w:rsidRPr="00896D4F">
        <w:t>a</w:t>
      </w:r>
      <w:r w:rsidRPr="00896D4F">
        <w:t xml:space="preserve">varen i frågor som rör ett barn som vårdas enligt LVU (809-2000) </w:t>
      </w:r>
      <w:r w:rsidRPr="00896D4F">
        <w:tab/>
      </w:r>
      <w:r w:rsidRPr="00896D4F">
        <w:tab/>
        <w:t>234</w:t>
      </w:r>
    </w:p>
    <w:p w:rsidR="009C1C5A" w:rsidRPr="00896D4F" w:rsidRDefault="009C1C5A">
      <w:pPr>
        <w:pStyle w:val="innehJO"/>
      </w:pPr>
      <w:r w:rsidRPr="00896D4F">
        <w:t>Fråga om socialnämndens skyldighet att underrätta vårdnadshav</w:t>
      </w:r>
      <w:r w:rsidRPr="00896D4F">
        <w:t>a</w:t>
      </w:r>
      <w:r w:rsidRPr="00896D4F">
        <w:t>ren om att ett barn som vårdas enligt LVU eventuellt blivit utsatt för sex</w:t>
      </w:r>
      <w:r w:rsidRPr="00896D4F">
        <w:t>u</w:t>
      </w:r>
      <w:r w:rsidRPr="00896D4F">
        <w:t xml:space="preserve">ellt övergrepp i familjehemmet (3342-2001) </w:t>
      </w:r>
      <w:r w:rsidRPr="00896D4F">
        <w:tab/>
      </w:r>
      <w:r w:rsidRPr="00896D4F">
        <w:tab/>
        <w:t>239</w:t>
      </w:r>
    </w:p>
    <w:p w:rsidR="009C1C5A" w:rsidRPr="00896D4F" w:rsidRDefault="009C1C5A">
      <w:pPr>
        <w:pStyle w:val="Rubrik4"/>
      </w:pPr>
      <w:r w:rsidRPr="00896D4F">
        <w:t>Lagen om vård av missbrukare i vissa fall (LVM)</w:t>
      </w:r>
    </w:p>
    <w:p w:rsidR="009C1C5A" w:rsidRPr="00896D4F" w:rsidRDefault="009C1C5A">
      <w:pPr>
        <w:pStyle w:val="innehJO"/>
      </w:pPr>
      <w:r w:rsidRPr="00896D4F">
        <w:t xml:space="preserve">Föreståndaren för ett LVM-hem bedömde att en man som vårdades vid hemmet behövde beredas psykiatrisk vård vid sjukhus. Fråga bl.a. om det förelåg förutsättningar för att skriva ut mannen från LVM-hemmet i samband med att han fördes till sjukhus (4423-1999 och 4466-1999) </w:t>
      </w:r>
      <w:r w:rsidRPr="00896D4F">
        <w:tab/>
      </w:r>
      <w:r w:rsidRPr="00896D4F">
        <w:tab/>
        <w:t>243</w:t>
      </w:r>
    </w:p>
    <w:p w:rsidR="009C1C5A" w:rsidRPr="00896D4F" w:rsidRDefault="009C1C5A">
      <w:pPr>
        <w:pStyle w:val="Rubrik4"/>
      </w:pPr>
      <w:r w:rsidRPr="00896D4F">
        <w:t>Handläggning</w:t>
      </w:r>
    </w:p>
    <w:p w:rsidR="009C1C5A" w:rsidRPr="00896D4F" w:rsidRDefault="009C1C5A">
      <w:pPr>
        <w:pStyle w:val="innehJO"/>
      </w:pPr>
      <w:r w:rsidRPr="00896D4F">
        <w:t>Fråga om en socialnämnds handläggning när domstol förordnat att en förälders umgänge med barn skall utövas i närvaro av en ko</w:t>
      </w:r>
      <w:r w:rsidRPr="00896D4F">
        <w:t>n</w:t>
      </w:r>
      <w:r w:rsidRPr="00896D4F">
        <w:t>taktperson som utses av socialnämnden; även fråga bl.a. om det på grund av jäv förelåg hinder för en tjänsteman att fatta beslut ang</w:t>
      </w:r>
      <w:r w:rsidRPr="00896D4F">
        <w:t>å</w:t>
      </w:r>
      <w:r w:rsidRPr="00896D4F">
        <w:t>ende entledigande av en kontaktperson när en berörd förälder var anställd vid samma förval</w:t>
      </w:r>
      <w:r w:rsidRPr="00896D4F">
        <w:t>t</w:t>
      </w:r>
      <w:r w:rsidRPr="00896D4F">
        <w:t xml:space="preserve">ning som tjänstemannen (3159-1999) </w:t>
      </w:r>
      <w:r w:rsidRPr="00896D4F">
        <w:tab/>
      </w:r>
      <w:r w:rsidRPr="00896D4F">
        <w:tab/>
        <w:t>252</w:t>
      </w:r>
    </w:p>
    <w:p w:rsidR="009C1C5A" w:rsidRPr="00896D4F" w:rsidRDefault="009C1C5A">
      <w:pPr>
        <w:pStyle w:val="innehJO"/>
      </w:pPr>
      <w:r w:rsidRPr="00896D4F">
        <w:t>Fråga om en socialnämnds möjlighet att bistå en dansk social my</w:t>
      </w:r>
      <w:r w:rsidRPr="00896D4F">
        <w:t>n</w:t>
      </w:r>
      <w:r w:rsidRPr="00896D4F">
        <w:t xml:space="preserve">dighet med uppgifter rörande ett barn som var tvångsomhändertaget i Danmark men som vistades i Sverige (3801-2000) </w:t>
      </w:r>
      <w:r w:rsidRPr="00896D4F">
        <w:tab/>
      </w:r>
      <w:r w:rsidRPr="00896D4F">
        <w:tab/>
        <w:t>273</w:t>
      </w:r>
    </w:p>
    <w:p w:rsidR="009C1C5A" w:rsidRPr="00896D4F" w:rsidRDefault="009C1C5A">
      <w:pPr>
        <w:pStyle w:val="innehJO"/>
      </w:pPr>
      <w:r w:rsidRPr="00896D4F">
        <w:t>Fråga om det förelegat skäl för en länsstyrelse att kritisera en soc</w:t>
      </w:r>
      <w:r w:rsidRPr="00896D4F">
        <w:t>i</w:t>
      </w:r>
      <w:r w:rsidRPr="00896D4F">
        <w:t xml:space="preserve">alnämnd för att nämnden bl.a. inte verkat för att i ett visst fall få till stånd s.k. samarbetssamtal  (3050-2000) </w:t>
      </w:r>
      <w:r w:rsidRPr="00896D4F">
        <w:tab/>
      </w:r>
      <w:r w:rsidRPr="00896D4F">
        <w:tab/>
        <w:t>279</w:t>
      </w:r>
    </w:p>
    <w:p w:rsidR="009C1C5A" w:rsidRPr="00896D4F" w:rsidRDefault="009C1C5A">
      <w:pPr>
        <w:pStyle w:val="innehJO"/>
      </w:pPr>
      <w:r w:rsidRPr="00896D4F">
        <w:t xml:space="preserve">Fråga om två avtal angående umgänge med barn var utformade så att socialnämnden bort godkänna dem (4089-2001) </w:t>
      </w:r>
      <w:r w:rsidRPr="00896D4F">
        <w:tab/>
      </w:r>
      <w:r w:rsidRPr="00896D4F">
        <w:tab/>
        <w:t>283</w:t>
      </w:r>
    </w:p>
    <w:p w:rsidR="009C1C5A" w:rsidRPr="00896D4F" w:rsidRDefault="009C1C5A">
      <w:pPr>
        <w:pStyle w:val="innehJO"/>
      </w:pPr>
      <w:r w:rsidRPr="00896D4F">
        <w:t xml:space="preserve">Fråga om en socialnämnds möjlighet att till en tjänsteman delegera rätten att överklaga domar och beslut som meddelats av en länsrätt (4089-2001) </w:t>
      </w:r>
      <w:r w:rsidRPr="00896D4F">
        <w:tab/>
      </w:r>
      <w:r w:rsidRPr="00896D4F">
        <w:tab/>
        <w:t>284</w:t>
      </w:r>
    </w:p>
    <w:p w:rsidR="009C1C5A" w:rsidRPr="00896D4F" w:rsidRDefault="009C1C5A">
      <w:pPr>
        <w:pStyle w:val="innehJO"/>
      </w:pPr>
      <w:r w:rsidRPr="00896D4F">
        <w:t>Fråga om det på grund av jäv förelåg hinder för en ledamot i en s</w:t>
      </w:r>
      <w:r w:rsidRPr="00896D4F">
        <w:t>o</w:t>
      </w:r>
      <w:r w:rsidRPr="00896D4F">
        <w:t>cia</w:t>
      </w:r>
      <w:r w:rsidRPr="00896D4F">
        <w:t>l</w:t>
      </w:r>
      <w:r w:rsidRPr="00896D4F">
        <w:t xml:space="preserve">nämnd att delta i ett beslut om svar på ett brev (1128-1999) </w:t>
      </w:r>
      <w:r w:rsidRPr="00896D4F">
        <w:tab/>
      </w:r>
      <w:r w:rsidRPr="00896D4F">
        <w:tab/>
        <w:t>285</w:t>
      </w:r>
    </w:p>
    <w:p w:rsidR="009C1C5A" w:rsidRPr="00896D4F" w:rsidRDefault="009C1C5A">
      <w:pPr>
        <w:pStyle w:val="innehJO"/>
      </w:pPr>
      <w:r w:rsidRPr="00896D4F">
        <w:t>Fråga om en socialnämnd var skyldig att kommunicera ett läkaru</w:t>
      </w:r>
      <w:r w:rsidRPr="00896D4F">
        <w:t>t</w:t>
      </w:r>
      <w:r w:rsidRPr="00896D4F">
        <w:t>låtande som kom in till nämnden i ett LVU-ärende efter det att län</w:t>
      </w:r>
      <w:r w:rsidRPr="00896D4F">
        <w:t>s</w:t>
      </w:r>
      <w:r w:rsidRPr="00896D4F">
        <w:t xml:space="preserve">rätten hade hållit förhandling i målet angående vård enligt LVU (3151-2000) </w:t>
      </w:r>
      <w:r w:rsidRPr="00896D4F">
        <w:tab/>
      </w:r>
      <w:r w:rsidRPr="00896D4F">
        <w:tab/>
        <w:t>287</w:t>
      </w:r>
    </w:p>
    <w:p w:rsidR="009C1C5A" w:rsidRPr="00896D4F" w:rsidRDefault="009C1C5A">
      <w:pPr>
        <w:pStyle w:val="Rubrik3"/>
      </w:pPr>
      <w:r w:rsidRPr="00896D4F">
        <w:t>Hälso- och sjukvård</w:t>
      </w:r>
    </w:p>
    <w:p w:rsidR="009C1C5A" w:rsidRPr="00896D4F" w:rsidRDefault="009C1C5A">
      <w:pPr>
        <w:pStyle w:val="innehJO"/>
      </w:pPr>
      <w:r w:rsidRPr="00896D4F">
        <w:t>Kritik mot barn- och ungdomspsykiatrisk verksamhet för under</w:t>
      </w:r>
      <w:r w:rsidRPr="00896D4F">
        <w:softHyphen/>
        <w:t>låtenhet att, vid misstanke om att ett barn utsatts för sexuella öve</w:t>
      </w:r>
      <w:r w:rsidRPr="00896D4F">
        <w:t>r</w:t>
      </w:r>
      <w:r w:rsidRPr="00896D4F">
        <w:t>grepp, anmäla saken till socialnämnden. – Även fråga om skyldi</w:t>
      </w:r>
      <w:r w:rsidRPr="00896D4F">
        <w:t>g</w:t>
      </w:r>
      <w:r w:rsidRPr="00896D4F">
        <w:t xml:space="preserve">het att underrätta vårdnadshavare (2628-2000) </w:t>
      </w:r>
      <w:r w:rsidRPr="00896D4F">
        <w:tab/>
      </w:r>
      <w:r w:rsidRPr="00896D4F">
        <w:tab/>
        <w:t>290</w:t>
      </w:r>
    </w:p>
    <w:p w:rsidR="009C1C5A" w:rsidRPr="00896D4F" w:rsidRDefault="009C1C5A">
      <w:pPr>
        <w:pStyle w:val="innehJO"/>
      </w:pPr>
      <w:r w:rsidRPr="00896D4F">
        <w:t>Handläggningen vid prövning av behandlingsförslag enligt 10 § tand</w:t>
      </w:r>
      <w:r w:rsidRPr="00896D4F">
        <w:softHyphen/>
        <w:t>vårds</w:t>
      </w:r>
      <w:r w:rsidRPr="00896D4F">
        <w:softHyphen/>
        <w:t xml:space="preserve">förordningen (1998:1338). Bl.a. fråga om beslut i sådana ärenden kan överklagas (3931-2000) </w:t>
      </w:r>
      <w:r w:rsidRPr="00896D4F">
        <w:tab/>
      </w:r>
      <w:r w:rsidRPr="00896D4F">
        <w:tab/>
        <w:t>294</w:t>
      </w:r>
    </w:p>
    <w:p w:rsidR="009C1C5A" w:rsidRPr="00896D4F" w:rsidRDefault="009C1C5A">
      <w:pPr>
        <w:pStyle w:val="innehJO"/>
      </w:pPr>
      <w:r w:rsidRPr="00896D4F">
        <w:t xml:space="preserve">Fråga om förutsättningarna för en enhet inom hälso- och sjukvården att kvarhålla en patient som är föremål för vård enligt lagen (1988:870) om vård av missbrukare i vissa fall, LVM (4453-2000) </w:t>
      </w:r>
      <w:r w:rsidRPr="00896D4F">
        <w:tab/>
      </w:r>
      <w:r w:rsidRPr="00896D4F">
        <w:tab/>
        <w:t>301</w:t>
      </w:r>
    </w:p>
    <w:p w:rsidR="009C1C5A" w:rsidRPr="00896D4F" w:rsidRDefault="009C1C5A">
      <w:pPr>
        <w:pStyle w:val="Rubrik3"/>
      </w:pPr>
      <w:r w:rsidRPr="00896D4F">
        <w:t xml:space="preserve"> Socialförsäkring</w:t>
      </w:r>
    </w:p>
    <w:p w:rsidR="009C1C5A" w:rsidRPr="00896D4F" w:rsidRDefault="009C1C5A">
      <w:pPr>
        <w:pStyle w:val="innehJO"/>
      </w:pPr>
      <w:r w:rsidRPr="00896D4F">
        <w:t>Socialförsäkringsnämnd har beslutat att begränsa tiden för ett anf</w:t>
      </w:r>
      <w:r w:rsidRPr="00896D4F">
        <w:t>ö</w:t>
      </w:r>
      <w:r w:rsidRPr="00896D4F">
        <w:t xml:space="preserve">rande av den försäkrades ombud (3301-2000) </w:t>
      </w:r>
      <w:r w:rsidRPr="00896D4F">
        <w:tab/>
      </w:r>
      <w:r w:rsidRPr="00896D4F">
        <w:tab/>
        <w:t>305</w:t>
      </w:r>
    </w:p>
    <w:p w:rsidR="009C1C5A" w:rsidRPr="00896D4F" w:rsidRDefault="009C1C5A">
      <w:pPr>
        <w:pStyle w:val="innehJO"/>
      </w:pPr>
      <w:r w:rsidRPr="00896D4F">
        <w:t xml:space="preserve">Brister i socialförsäkringsnämndens protokoll (3972-2000) </w:t>
      </w:r>
      <w:r w:rsidRPr="00896D4F">
        <w:tab/>
      </w:r>
      <w:r w:rsidRPr="00896D4F">
        <w:tab/>
        <w:t>306</w:t>
      </w:r>
    </w:p>
    <w:p w:rsidR="009C1C5A" w:rsidRPr="00896D4F" w:rsidRDefault="009C1C5A">
      <w:pPr>
        <w:pStyle w:val="innehJO"/>
      </w:pPr>
      <w:r w:rsidRPr="00896D4F">
        <w:t>Initiativärende mot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angåe</w:t>
      </w:r>
      <w:r w:rsidRPr="00896D4F">
        <w:t>n</w:t>
      </w:r>
      <w:r w:rsidRPr="00896D4F">
        <w:t>de social</w:t>
      </w:r>
      <w:r w:rsidRPr="00896D4F">
        <w:softHyphen/>
        <w:t>försäkringsnämnds upphävande av ett fattat beslut (3641-2000)</w:t>
      </w:r>
      <w:r w:rsidRPr="00896D4F">
        <w:tab/>
      </w:r>
      <w:r w:rsidRPr="00896D4F">
        <w:tab/>
        <w:t>309</w:t>
      </w:r>
    </w:p>
    <w:p w:rsidR="009C1C5A" w:rsidRPr="00896D4F" w:rsidRDefault="009C1C5A">
      <w:pPr>
        <w:pStyle w:val="innehJO"/>
      </w:pPr>
      <w:r w:rsidRPr="00896D4F">
        <w:t>Initiativärende mot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angåe</w:t>
      </w:r>
      <w:r w:rsidRPr="00896D4F">
        <w:t>n</w:t>
      </w:r>
      <w:r w:rsidRPr="00896D4F">
        <w:t>de hand</w:t>
      </w:r>
      <w:r w:rsidRPr="00896D4F">
        <w:softHyphen/>
        <w:t>läggningen av en begäran om omprövning enligt 20 kap. 10 a § lagen (1962:381) om all</w:t>
      </w:r>
      <w:r w:rsidRPr="00896D4F">
        <w:softHyphen/>
        <w:t>män för</w:t>
      </w:r>
      <w:r w:rsidRPr="00896D4F">
        <w:softHyphen/>
        <w:t>säk</w:t>
      </w:r>
      <w:r w:rsidRPr="00896D4F">
        <w:softHyphen/>
        <w:t>ring (3642-2000)</w:t>
      </w:r>
      <w:r w:rsidRPr="00896D4F">
        <w:tab/>
      </w:r>
      <w:r w:rsidRPr="00896D4F">
        <w:tab/>
        <w:t>311</w:t>
      </w:r>
    </w:p>
    <w:p w:rsidR="009C1C5A" w:rsidRPr="00896D4F" w:rsidRDefault="009C1C5A">
      <w:pPr>
        <w:pStyle w:val="innehJO"/>
      </w:pPr>
      <w:r w:rsidRPr="00896D4F">
        <w:t>Försäkringskassa har övervägt att återkalla ett beslut, sedan den funnit att en annan kassa borde ha handlagt ärendet (2871-2001)</w:t>
      </w:r>
      <w:r w:rsidRPr="00896D4F">
        <w:tab/>
      </w:r>
      <w:r w:rsidRPr="00896D4F">
        <w:tab/>
        <w:t>315</w:t>
      </w:r>
    </w:p>
    <w:p w:rsidR="009C1C5A" w:rsidRPr="00896D4F" w:rsidRDefault="009C1C5A">
      <w:pPr>
        <w:pStyle w:val="innehJO"/>
      </w:pPr>
      <w:r w:rsidRPr="00896D4F">
        <w:t xml:space="preserve">Försäkringskassas underlåtenhet att besvara en begäran om anstånd (3600-2001) </w:t>
      </w:r>
      <w:r w:rsidRPr="00896D4F">
        <w:tab/>
      </w:r>
      <w:r w:rsidRPr="00896D4F">
        <w:tab/>
        <w:t>316</w:t>
      </w:r>
    </w:p>
    <w:p w:rsidR="009C1C5A" w:rsidRPr="00896D4F" w:rsidRDefault="009C1C5A">
      <w:pPr>
        <w:pStyle w:val="innehJO"/>
      </w:pPr>
      <w:r w:rsidRPr="00896D4F">
        <w:t>Ett initiativärende angående allmän försäkringskassas handläg</w:t>
      </w:r>
      <w:r w:rsidRPr="00896D4F">
        <w:t>g</w:t>
      </w:r>
      <w:r w:rsidRPr="00896D4F">
        <w:t xml:space="preserve">ningstid för begäran om omprövning (469-2001) </w:t>
      </w:r>
      <w:r w:rsidRPr="00896D4F">
        <w:tab/>
      </w:r>
      <w:r w:rsidRPr="00896D4F">
        <w:tab/>
        <w:t>318</w:t>
      </w:r>
    </w:p>
    <w:p w:rsidR="009C1C5A" w:rsidRPr="00896D4F" w:rsidRDefault="009C1C5A">
      <w:pPr>
        <w:pStyle w:val="innehJO"/>
      </w:pPr>
      <w:r w:rsidRPr="00896D4F">
        <w:t xml:space="preserve">Ett initiativärende rörande försäkringskassas handläggning av en inkommen handling, vilken rubricerats som ett överklagande (3644-2000) </w:t>
      </w:r>
      <w:r w:rsidRPr="00896D4F">
        <w:tab/>
      </w:r>
      <w:r w:rsidRPr="00896D4F">
        <w:tab/>
        <w:t>322</w:t>
      </w:r>
    </w:p>
    <w:p w:rsidR="009C1C5A" w:rsidRPr="00896D4F" w:rsidRDefault="009C1C5A">
      <w:pPr>
        <w:pStyle w:val="innehJO"/>
      </w:pPr>
      <w:r w:rsidRPr="00896D4F">
        <w:t xml:space="preserve">Försäkringskassas utformning av ett avvisningsbeslut. Även fråga om handläggningstiden för överlämnande av ett överklagande till domstol (163-2001) </w:t>
      </w:r>
      <w:r w:rsidRPr="00896D4F">
        <w:tab/>
      </w:r>
      <w:r w:rsidRPr="00896D4F">
        <w:tab/>
        <w:t>323</w:t>
      </w:r>
    </w:p>
    <w:p w:rsidR="009C1C5A" w:rsidRPr="00896D4F" w:rsidRDefault="009C1C5A">
      <w:pPr>
        <w:pStyle w:val="innehJO"/>
      </w:pPr>
      <w:r w:rsidRPr="00896D4F">
        <w:t>Ett initiativärende om en försäkringskassas handläggning av äre</w:t>
      </w:r>
      <w:r w:rsidRPr="00896D4F">
        <w:t>n</w:t>
      </w:r>
      <w:r w:rsidRPr="00896D4F">
        <w:t>den rörande omprövning av beslut om pension enligt det gamla pensionssystemet och beslut om pensionsrätt enligt övergångsb</w:t>
      </w:r>
      <w:r w:rsidRPr="00896D4F">
        <w:t>e</w:t>
      </w:r>
      <w:r w:rsidRPr="00896D4F">
        <w:t xml:space="preserve">stämmelserna till det nya pensionssystemet (582-2002) </w:t>
      </w:r>
      <w:r w:rsidRPr="00896D4F">
        <w:tab/>
      </w:r>
      <w:r w:rsidRPr="00896D4F">
        <w:tab/>
        <w:t>326</w:t>
      </w:r>
    </w:p>
    <w:p w:rsidR="009C1C5A" w:rsidRPr="00896D4F" w:rsidRDefault="009C1C5A">
      <w:pPr>
        <w:pStyle w:val="innehJO"/>
      </w:pPr>
      <w:r w:rsidRPr="00896D4F">
        <w:t xml:space="preserve">Fråga om mot vem försäkringskassa skall rikta återkrav på för mycket utbetald assistansersättning (4068-2000) </w:t>
      </w:r>
      <w:r w:rsidRPr="00896D4F">
        <w:tab/>
      </w:r>
      <w:r w:rsidRPr="00896D4F">
        <w:tab/>
        <w:t>339</w:t>
      </w:r>
    </w:p>
    <w:p w:rsidR="009C1C5A" w:rsidRPr="00896D4F" w:rsidRDefault="009C1C5A">
      <w:pPr>
        <w:pStyle w:val="Rubrik3"/>
      </w:pPr>
      <w:r w:rsidRPr="00896D4F">
        <w:t>Miljö- och hälsoskydd samt djurskydd</w:t>
      </w:r>
    </w:p>
    <w:p w:rsidR="009C1C5A" w:rsidRPr="00896D4F" w:rsidRDefault="009C1C5A">
      <w:pPr>
        <w:pStyle w:val="innehJO"/>
      </w:pPr>
      <w:r w:rsidRPr="00896D4F">
        <w:t>Statens jordbruksverks handläggning av ett ärende rörande destru</w:t>
      </w:r>
      <w:r w:rsidRPr="00896D4F">
        <w:t>k</w:t>
      </w:r>
      <w:r w:rsidRPr="00896D4F">
        <w:t xml:space="preserve">tion av nötkreatur; bl.a. tillämpning av EG-förordningar (3743-1999) </w:t>
      </w:r>
      <w:r w:rsidRPr="00896D4F">
        <w:tab/>
      </w:r>
      <w:r w:rsidRPr="00896D4F">
        <w:tab/>
        <w:t>344</w:t>
      </w:r>
    </w:p>
    <w:p w:rsidR="009C1C5A" w:rsidRPr="00896D4F" w:rsidRDefault="009C1C5A">
      <w:pPr>
        <w:pStyle w:val="innehJO"/>
      </w:pPr>
      <w:r w:rsidRPr="00896D4F">
        <w:t>Kritik mot en miljö- och hälsoskyddsnämnd för långsam handläg</w:t>
      </w:r>
      <w:r w:rsidRPr="00896D4F">
        <w:t>g</w:t>
      </w:r>
      <w:r w:rsidRPr="00896D4F">
        <w:t xml:space="preserve">ning av ett ärende rörande bullerstörningar från ett nöjesfält (Gröna Lund) (1075-2000) </w:t>
      </w:r>
      <w:r w:rsidRPr="00896D4F">
        <w:tab/>
      </w:r>
      <w:r w:rsidRPr="00896D4F">
        <w:tab/>
        <w:t>348</w:t>
      </w:r>
    </w:p>
    <w:p w:rsidR="009C1C5A" w:rsidRPr="00896D4F" w:rsidRDefault="009C1C5A">
      <w:pPr>
        <w:pStyle w:val="innehJO"/>
      </w:pPr>
      <w:r w:rsidRPr="00896D4F">
        <w:t>En kommunal nämnd har uppdragit åt en advokat att biträda ko</w:t>
      </w:r>
      <w:r w:rsidRPr="00896D4F">
        <w:t>m</w:t>
      </w:r>
      <w:r w:rsidRPr="00896D4F">
        <w:t>munen i ett ärende rörande inrättande av en allmän vattenanläg</w:t>
      </w:r>
      <w:r w:rsidRPr="00896D4F">
        <w:t>g</w:t>
      </w:r>
      <w:r w:rsidRPr="00896D4F">
        <w:t>ning. Bl.a. fråga om de uppgifter som överlämnats till advokaten innefattar myndi</w:t>
      </w:r>
      <w:r w:rsidRPr="00896D4F">
        <w:t>g</w:t>
      </w:r>
      <w:r w:rsidRPr="00896D4F">
        <w:t xml:space="preserve">hetsutövning (1476-2000) </w:t>
      </w:r>
      <w:r w:rsidRPr="00896D4F">
        <w:tab/>
      </w:r>
      <w:r w:rsidRPr="00896D4F">
        <w:tab/>
        <w:t>352</w:t>
      </w:r>
    </w:p>
    <w:p w:rsidR="009C1C5A" w:rsidRPr="00896D4F" w:rsidRDefault="009C1C5A">
      <w:pPr>
        <w:pStyle w:val="innehJO"/>
      </w:pPr>
      <w:r w:rsidRPr="00896D4F">
        <w:t>En kommuns samverkan med en annan kommun inom djurskydd</w:t>
      </w:r>
      <w:r w:rsidRPr="00896D4F">
        <w:t>s</w:t>
      </w:r>
      <w:r w:rsidRPr="00896D4F">
        <w:t>o</w:t>
      </w:r>
      <w:r w:rsidRPr="00896D4F">
        <w:t>m</w:t>
      </w:r>
      <w:r w:rsidRPr="00896D4F">
        <w:t xml:space="preserve">rådet har inte ansetts ha stöd i lag (2414-2000) </w:t>
      </w:r>
      <w:r w:rsidRPr="00896D4F">
        <w:tab/>
      </w:r>
      <w:r w:rsidRPr="00896D4F">
        <w:tab/>
        <w:t>355</w:t>
      </w:r>
    </w:p>
    <w:p w:rsidR="009C1C5A" w:rsidRPr="00896D4F" w:rsidRDefault="009C1C5A">
      <w:pPr>
        <w:pStyle w:val="innehJO"/>
      </w:pPr>
      <w:r w:rsidRPr="00896D4F">
        <w:t xml:space="preserve">Handläggning av klagomålsärenden (2484–2487-2001) </w:t>
      </w:r>
      <w:r w:rsidRPr="00896D4F">
        <w:tab/>
      </w:r>
      <w:r w:rsidRPr="00896D4F">
        <w:tab/>
        <w:t>357</w:t>
      </w:r>
    </w:p>
    <w:p w:rsidR="009C1C5A" w:rsidRPr="00896D4F" w:rsidRDefault="009C1C5A">
      <w:pPr>
        <w:pStyle w:val="innehJO"/>
      </w:pPr>
      <w:r w:rsidRPr="00896D4F">
        <w:t xml:space="preserve">En miljö- och samhällsbyggnadsnämnd har dröjt med att översända ett överklagande till länsstyrelsen (3392-2001) </w:t>
      </w:r>
      <w:r w:rsidRPr="00896D4F">
        <w:tab/>
      </w:r>
      <w:r w:rsidRPr="00896D4F">
        <w:tab/>
        <w:t>359</w:t>
      </w:r>
    </w:p>
    <w:p w:rsidR="009C1C5A" w:rsidRPr="00896D4F" w:rsidRDefault="009C1C5A">
      <w:pPr>
        <w:pStyle w:val="Rubrik3"/>
      </w:pPr>
      <w:r w:rsidRPr="00896D4F">
        <w:t>Utbildnings- och kultursektorn</w:t>
      </w:r>
    </w:p>
    <w:p w:rsidR="009C1C5A" w:rsidRPr="00896D4F" w:rsidRDefault="009C1C5A">
      <w:pPr>
        <w:pStyle w:val="innehJO"/>
      </w:pPr>
      <w:r w:rsidRPr="00896D4F">
        <w:t xml:space="preserve">Fråga om en elev kunde tas emot i en grundskola efter framställning från endast en av barnets båda vårdnadshavare (1728-2000 och 1729-2000) </w:t>
      </w:r>
      <w:r w:rsidRPr="00896D4F">
        <w:tab/>
      </w:r>
      <w:r w:rsidRPr="00896D4F">
        <w:tab/>
        <w:t>362</w:t>
      </w:r>
    </w:p>
    <w:p w:rsidR="009C1C5A" w:rsidRPr="00896D4F" w:rsidRDefault="009C1C5A">
      <w:pPr>
        <w:pStyle w:val="innehJO"/>
      </w:pPr>
      <w:r w:rsidRPr="00896D4F">
        <w:t xml:space="preserve">Kritik mot en gymnasieskola för handläggningen av en fråga om avstängning av en elev inom kommunal vuxenutbildning, m.m. (2837-1999) </w:t>
      </w:r>
      <w:r w:rsidRPr="00896D4F">
        <w:tab/>
      </w:r>
      <w:r w:rsidRPr="00896D4F">
        <w:tab/>
        <w:t>366</w:t>
      </w:r>
    </w:p>
    <w:p w:rsidR="009C1C5A" w:rsidRPr="00896D4F" w:rsidRDefault="009C1C5A">
      <w:pPr>
        <w:pStyle w:val="innehJO"/>
      </w:pPr>
      <w:r w:rsidRPr="00896D4F">
        <w:t>Handläggningen av ett elevvårdsärende i en gymnasieskola. Fråga om eleven varit avstängd från praktikplats och om utformningen av skrive</w:t>
      </w:r>
      <w:r w:rsidRPr="00896D4F">
        <w:t>l</w:t>
      </w:r>
      <w:r w:rsidRPr="00896D4F">
        <w:t xml:space="preserve">ser till eleven (1185-2000) </w:t>
      </w:r>
      <w:r w:rsidRPr="00896D4F">
        <w:tab/>
      </w:r>
      <w:r w:rsidRPr="00896D4F">
        <w:tab/>
        <w:t>373</w:t>
      </w:r>
    </w:p>
    <w:p w:rsidR="009C1C5A" w:rsidRPr="00896D4F" w:rsidRDefault="009C1C5A">
      <w:pPr>
        <w:pStyle w:val="innehJO"/>
      </w:pPr>
      <w:r w:rsidRPr="00896D4F">
        <w:t>Handläggningen av ett återkravsärende; bl.a. fråga om Centrala st</w:t>
      </w:r>
      <w:r w:rsidRPr="00896D4F">
        <w:t>u</w:t>
      </w:r>
      <w:r w:rsidRPr="00896D4F">
        <w:t>die</w:t>
      </w:r>
      <w:r w:rsidRPr="00896D4F">
        <w:softHyphen/>
        <w:t>stödsnämnden (CSN) varit förhindrad att ompröva ett beslut i</w:t>
      </w:r>
      <w:r w:rsidRPr="00896D4F">
        <w:t>n</w:t>
      </w:r>
      <w:r w:rsidRPr="00896D4F">
        <w:t xml:space="preserve">nan Regeringsrätten prövat en begäran om rättsprövning av beslutet (3072-2000) </w:t>
      </w:r>
      <w:r w:rsidRPr="00896D4F">
        <w:tab/>
      </w:r>
      <w:r w:rsidRPr="00896D4F">
        <w:tab/>
        <w:t>377</w:t>
      </w:r>
    </w:p>
    <w:p w:rsidR="009C1C5A" w:rsidRPr="00896D4F" w:rsidRDefault="009C1C5A">
      <w:pPr>
        <w:pStyle w:val="Rubrik3"/>
      </w:pPr>
      <w:r w:rsidRPr="00896D4F">
        <w:t>Kommunikationsväsendet</w:t>
      </w:r>
    </w:p>
    <w:p w:rsidR="009C1C5A" w:rsidRPr="00896D4F" w:rsidRDefault="009C1C5A">
      <w:pPr>
        <w:pStyle w:val="innehJO"/>
      </w:pPr>
      <w:r w:rsidRPr="00896D4F">
        <w:t>Post- och telestyrelsen sökte vid indrivning av en fordran verkstä</w:t>
      </w:r>
      <w:r w:rsidRPr="00896D4F">
        <w:t>l</w:t>
      </w:r>
      <w:r w:rsidRPr="00896D4F">
        <w:t>lighet av en icke lagakraftvunnen, senare upphävd, dom utan att ånyo kräva betalning, vilket ledde till registrering för betalningsfö</w:t>
      </w:r>
      <w:r w:rsidRPr="00896D4F">
        <w:t>r</w:t>
      </w:r>
      <w:r w:rsidRPr="00896D4F">
        <w:t xml:space="preserve">summelse (betalningsanmärkning). Förfarandet har prövats enligt såväl regler om utsökning och personlig integritet som en allmän proportionalitetsprincip (2204-1999) </w:t>
      </w:r>
      <w:r w:rsidRPr="00896D4F">
        <w:tab/>
      </w:r>
      <w:r w:rsidRPr="00896D4F">
        <w:tab/>
        <w:t>385</w:t>
      </w:r>
    </w:p>
    <w:p w:rsidR="009C1C5A" w:rsidRPr="00896D4F" w:rsidRDefault="009C1C5A">
      <w:pPr>
        <w:pStyle w:val="innehJO"/>
      </w:pPr>
      <w:r w:rsidRPr="00896D4F">
        <w:t xml:space="preserve">Förfarandet för återfående av körkort efter </w:t>
      </w:r>
      <w:r w:rsidRPr="00896D4F">
        <w:rPr>
          <w:spacing w:val="-8"/>
        </w:rPr>
        <w:t>återkallelse (2111-2000)</w:t>
      </w:r>
      <w:r w:rsidRPr="00896D4F">
        <w:t xml:space="preserve"> </w:t>
      </w:r>
      <w:r w:rsidRPr="00896D4F">
        <w:tab/>
      </w:r>
      <w:r w:rsidRPr="00896D4F">
        <w:tab/>
        <w:t>389</w:t>
      </w:r>
    </w:p>
    <w:p w:rsidR="009C1C5A" w:rsidRPr="00896D4F" w:rsidRDefault="009C1C5A">
      <w:pPr>
        <w:pStyle w:val="innehJO"/>
      </w:pPr>
      <w:r w:rsidRPr="00896D4F">
        <w:t>Nummerpresentation när myndigheter kontaktas per telefon. Hä</w:t>
      </w:r>
      <w:r w:rsidRPr="00896D4F">
        <w:t>n</w:t>
      </w:r>
      <w:r w:rsidRPr="00896D4F">
        <w:t xml:space="preserve">syn till den enskildes rätt till skydd av anonymitet m.m. (2750-2001) </w:t>
      </w:r>
      <w:r w:rsidRPr="00896D4F">
        <w:tab/>
      </w:r>
      <w:r w:rsidRPr="00896D4F">
        <w:tab/>
        <w:t>393</w:t>
      </w:r>
    </w:p>
    <w:p w:rsidR="009C1C5A" w:rsidRPr="00896D4F" w:rsidRDefault="009C1C5A">
      <w:pPr>
        <w:pStyle w:val="Rubrik3"/>
      </w:pPr>
      <w:r w:rsidRPr="00896D4F">
        <w:t>Plan- och byggnadsväsendet</w:t>
      </w:r>
    </w:p>
    <w:p w:rsidR="009C1C5A" w:rsidRPr="00896D4F" w:rsidRDefault="009C1C5A">
      <w:pPr>
        <w:pStyle w:val="innehJO"/>
      </w:pPr>
      <w:r w:rsidRPr="00896D4F">
        <w:t>En byggnadsnämnds hantering av ett överklagande som getts in i</w:t>
      </w:r>
      <w:r w:rsidRPr="00896D4F">
        <w:t>n</w:t>
      </w:r>
      <w:r w:rsidRPr="00896D4F">
        <w:t xml:space="preserve">nan beslutet meddelats (542-2001) </w:t>
      </w:r>
      <w:r w:rsidRPr="00896D4F">
        <w:tab/>
      </w:r>
      <w:r w:rsidRPr="00896D4F">
        <w:tab/>
        <w:t>396</w:t>
      </w:r>
    </w:p>
    <w:p w:rsidR="009C1C5A" w:rsidRPr="00896D4F" w:rsidRDefault="009C1C5A">
      <w:pPr>
        <w:pStyle w:val="innehJO"/>
      </w:pPr>
      <w:r w:rsidRPr="00896D4F">
        <w:t>Frågor om dels förfarandet vid ändringar av en kommunal myndi</w:t>
      </w:r>
      <w:r w:rsidRPr="00896D4F">
        <w:t>g</w:t>
      </w:r>
      <w:r w:rsidRPr="00896D4F">
        <w:t>hets beslut genom självrättelse, dels utrymmet för villkor i beslut om lov e</w:t>
      </w:r>
      <w:r w:rsidRPr="00896D4F">
        <w:t>n</w:t>
      </w:r>
      <w:r w:rsidRPr="00896D4F">
        <w:t xml:space="preserve">ligt plan- och bygglagen (3337-2001) </w:t>
      </w:r>
      <w:r w:rsidRPr="00896D4F">
        <w:tab/>
      </w:r>
      <w:r w:rsidRPr="00896D4F">
        <w:tab/>
        <w:t>397</w:t>
      </w:r>
    </w:p>
    <w:p w:rsidR="009C1C5A" w:rsidRPr="00896D4F" w:rsidRDefault="009C1C5A">
      <w:pPr>
        <w:pStyle w:val="Rubrik3"/>
      </w:pPr>
      <w:r w:rsidRPr="00896D4F">
        <w:t>Överförmyndarnämnder och överförmyndare</w:t>
      </w:r>
    </w:p>
    <w:p w:rsidR="009C1C5A" w:rsidRPr="00896D4F" w:rsidRDefault="009C1C5A">
      <w:pPr>
        <w:pStyle w:val="innehJO"/>
      </w:pPr>
      <w:r w:rsidRPr="00896D4F">
        <w:t xml:space="preserve">Kritik mot en överförmyndare för handläggningen av ett ärende om godmanskap m.m. (3512-2000) </w:t>
      </w:r>
      <w:r w:rsidRPr="00896D4F">
        <w:tab/>
      </w:r>
      <w:r w:rsidRPr="00896D4F">
        <w:tab/>
        <w:t>403</w:t>
      </w:r>
    </w:p>
    <w:p w:rsidR="009C1C5A" w:rsidRPr="00896D4F" w:rsidRDefault="009C1C5A">
      <w:pPr>
        <w:pStyle w:val="innehJO"/>
      </w:pPr>
      <w:r w:rsidRPr="00896D4F">
        <w:t xml:space="preserve">Kritik mot en överförmyndare för handläggningen av ett ärende om godmanskap m.m. (3555-2000) </w:t>
      </w:r>
      <w:r w:rsidRPr="00896D4F">
        <w:tab/>
      </w:r>
      <w:r w:rsidRPr="00896D4F">
        <w:tab/>
        <w:t>409</w:t>
      </w:r>
    </w:p>
    <w:p w:rsidR="009C1C5A" w:rsidRPr="00896D4F" w:rsidRDefault="009C1C5A">
      <w:pPr>
        <w:pStyle w:val="innehJO"/>
      </w:pPr>
      <w:r w:rsidRPr="00896D4F">
        <w:t xml:space="preserve">En överförmyndarnämnds handläggning av ärenden om god man och förvaltare (3836-2000) </w:t>
      </w:r>
      <w:r w:rsidRPr="00896D4F">
        <w:tab/>
      </w:r>
      <w:r w:rsidRPr="00896D4F">
        <w:tab/>
        <w:t>415</w:t>
      </w:r>
    </w:p>
    <w:p w:rsidR="009C1C5A" w:rsidRPr="00896D4F" w:rsidRDefault="009C1C5A">
      <w:pPr>
        <w:pStyle w:val="innehJO"/>
      </w:pPr>
      <w:r w:rsidRPr="00896D4F">
        <w:t>Kritik mot en överförmyndarnämnd för handläggningen av och til</w:t>
      </w:r>
      <w:r w:rsidRPr="00896D4F">
        <w:t>l</w:t>
      </w:r>
      <w:r w:rsidRPr="00896D4F">
        <w:t>s</w:t>
      </w:r>
      <w:r w:rsidRPr="00896D4F">
        <w:t>y</w:t>
      </w:r>
      <w:r w:rsidRPr="00896D4F">
        <w:t xml:space="preserve">nen över ett ärende om godmanskap (1893-2001) </w:t>
      </w:r>
      <w:r w:rsidRPr="00896D4F">
        <w:tab/>
      </w:r>
      <w:r w:rsidRPr="00896D4F">
        <w:tab/>
        <w:t>417</w:t>
      </w:r>
    </w:p>
    <w:p w:rsidR="009C1C5A" w:rsidRPr="00896D4F" w:rsidRDefault="009C1C5A">
      <w:pPr>
        <w:pStyle w:val="innehJO"/>
      </w:pPr>
      <w:r w:rsidRPr="00896D4F">
        <w:t>Ett på JO:s initiativ upptaget ärende angående en överförmynda</w:t>
      </w:r>
      <w:r w:rsidRPr="00896D4F">
        <w:t>r</w:t>
      </w:r>
      <w:r w:rsidRPr="00896D4F">
        <w:t xml:space="preserve">nämnds handläggning av ett ärende om godmanskap (2195-2001) </w:t>
      </w:r>
      <w:r w:rsidRPr="00896D4F">
        <w:tab/>
      </w:r>
      <w:r w:rsidRPr="00896D4F">
        <w:tab/>
        <w:t>420</w:t>
      </w:r>
    </w:p>
    <w:p w:rsidR="009C1C5A" w:rsidRPr="00896D4F" w:rsidRDefault="009C1C5A">
      <w:pPr>
        <w:pStyle w:val="innehJO"/>
      </w:pPr>
      <w:r w:rsidRPr="00896D4F">
        <w:t>Kritik mot en överförmyndare för långsam handläggning av en b</w:t>
      </w:r>
      <w:r w:rsidRPr="00896D4F">
        <w:t>e</w:t>
      </w:r>
      <w:r w:rsidRPr="00896D4F">
        <w:t xml:space="preserve">gäran om byte av god man (2450-2001) </w:t>
      </w:r>
      <w:r w:rsidRPr="00896D4F">
        <w:tab/>
      </w:r>
      <w:r w:rsidRPr="00896D4F">
        <w:tab/>
        <w:t>421</w:t>
      </w:r>
    </w:p>
    <w:p w:rsidR="009C1C5A" w:rsidRPr="00896D4F" w:rsidRDefault="009C1C5A">
      <w:pPr>
        <w:pStyle w:val="innehJO"/>
      </w:pPr>
      <w:r w:rsidRPr="00896D4F">
        <w:t xml:space="preserve">Initiativärende angående en överförmyndarnämnds dröjsmål med att överlämna överklaganden till tingsrätten (3473-2001) </w:t>
      </w:r>
      <w:r w:rsidRPr="00896D4F">
        <w:tab/>
      </w:r>
      <w:r w:rsidRPr="00896D4F">
        <w:tab/>
        <w:t>424</w:t>
      </w:r>
    </w:p>
    <w:p w:rsidR="009C1C5A" w:rsidRPr="00896D4F" w:rsidRDefault="009C1C5A">
      <w:pPr>
        <w:pStyle w:val="innehJO"/>
      </w:pPr>
      <w:r w:rsidRPr="00896D4F">
        <w:t>Ett på JO:s initiativ upptaget ärende angående brister i handläg</w:t>
      </w:r>
      <w:r w:rsidRPr="00896D4F">
        <w:t>g</w:t>
      </w:r>
      <w:r w:rsidRPr="00896D4F">
        <w:t xml:space="preserve">ningen av ett ärende om godmanskap (4477-2001) </w:t>
      </w:r>
      <w:r w:rsidRPr="00896D4F">
        <w:tab/>
      </w:r>
      <w:r w:rsidRPr="00896D4F">
        <w:tab/>
        <w:t>426</w:t>
      </w:r>
    </w:p>
    <w:p w:rsidR="009C1C5A" w:rsidRPr="00896D4F" w:rsidRDefault="009C1C5A">
      <w:pPr>
        <w:pStyle w:val="innehJO"/>
      </w:pPr>
      <w:r w:rsidRPr="00896D4F">
        <w:t xml:space="preserve">Ett på JO:s initiativ upptaget ärende angående en överförmyndares handläggning av ett ärende om godmanskap (4478-2001) </w:t>
      </w:r>
      <w:r w:rsidRPr="00896D4F">
        <w:tab/>
      </w:r>
      <w:r w:rsidRPr="00896D4F">
        <w:tab/>
        <w:t>430</w:t>
      </w:r>
    </w:p>
    <w:p w:rsidR="009C1C5A" w:rsidRPr="00896D4F" w:rsidRDefault="009C1C5A">
      <w:pPr>
        <w:pStyle w:val="innehJO"/>
      </w:pPr>
      <w:r w:rsidRPr="00896D4F">
        <w:t xml:space="preserve">Kritik mot en överförmyndare för handläggningen av ett ärende om godmanskap m.m. (4646-2001) </w:t>
      </w:r>
      <w:r w:rsidRPr="00896D4F">
        <w:tab/>
      </w:r>
      <w:r w:rsidRPr="00896D4F">
        <w:tab/>
        <w:t>432</w:t>
      </w:r>
    </w:p>
    <w:p w:rsidR="009C1C5A" w:rsidRPr="00896D4F" w:rsidRDefault="009C1C5A">
      <w:pPr>
        <w:pStyle w:val="innehJO"/>
      </w:pPr>
      <w:r w:rsidRPr="00896D4F">
        <w:t>Kritik mot en överförmyndare för handläggningen av ett godman</w:t>
      </w:r>
      <w:r w:rsidRPr="00896D4F">
        <w:t>s</w:t>
      </w:r>
      <w:r w:rsidRPr="00896D4F">
        <w:t>äre</w:t>
      </w:r>
      <w:r w:rsidRPr="00896D4F">
        <w:t>n</w:t>
      </w:r>
      <w:r w:rsidRPr="00896D4F">
        <w:t xml:space="preserve">de m.m. (247-2002) </w:t>
      </w:r>
      <w:r w:rsidRPr="00896D4F">
        <w:tab/>
      </w:r>
      <w:r w:rsidRPr="00896D4F">
        <w:tab/>
        <w:t>436</w:t>
      </w:r>
    </w:p>
    <w:p w:rsidR="009C1C5A" w:rsidRPr="00896D4F" w:rsidRDefault="009C1C5A">
      <w:pPr>
        <w:pStyle w:val="Rubrik3"/>
      </w:pPr>
      <w:r w:rsidRPr="00896D4F">
        <w:t>Övriga kommunalförvaltningsärenden</w:t>
      </w:r>
    </w:p>
    <w:p w:rsidR="009C1C5A" w:rsidRPr="00896D4F" w:rsidRDefault="009C1C5A">
      <w:pPr>
        <w:pStyle w:val="innehJO"/>
      </w:pPr>
      <w:r w:rsidRPr="00896D4F">
        <w:t>En kommunal myndighets rätt att till enskilda överlämna förval</w:t>
      </w:r>
      <w:r w:rsidRPr="00896D4F">
        <w:t>t</w:t>
      </w:r>
      <w:r w:rsidRPr="00896D4F">
        <w:t>ningsuppgifter: att på gator anordna farthinder och sätta upp vä</w:t>
      </w:r>
      <w:r w:rsidRPr="00896D4F">
        <w:t>g</w:t>
      </w:r>
      <w:r w:rsidRPr="00896D4F">
        <w:t>märken hä</w:t>
      </w:r>
      <w:r w:rsidRPr="00896D4F">
        <w:t>r</w:t>
      </w:r>
      <w:r w:rsidRPr="00896D4F">
        <w:t xml:space="preserve">om (3976-1999) </w:t>
      </w:r>
      <w:r w:rsidRPr="00896D4F">
        <w:tab/>
      </w:r>
      <w:r w:rsidRPr="00896D4F">
        <w:tab/>
        <w:t>440</w:t>
      </w:r>
    </w:p>
    <w:p w:rsidR="009C1C5A" w:rsidRPr="00896D4F" w:rsidRDefault="009C1C5A">
      <w:pPr>
        <w:pStyle w:val="innehJO"/>
      </w:pPr>
      <w:r w:rsidRPr="00896D4F">
        <w:t xml:space="preserve">Kritik mot en kommun för domstolstrots i ett upphandlingsärende (3497-2000) </w:t>
      </w:r>
      <w:r w:rsidRPr="00896D4F">
        <w:tab/>
      </w:r>
      <w:r w:rsidRPr="00896D4F">
        <w:tab/>
        <w:t>446</w:t>
      </w:r>
    </w:p>
    <w:p w:rsidR="009C1C5A" w:rsidRPr="00896D4F" w:rsidRDefault="009C1C5A">
      <w:pPr>
        <w:pStyle w:val="innehJO"/>
      </w:pPr>
      <w:r w:rsidRPr="00896D4F">
        <w:t>Allvarlig kritik mot en kommun som genom uppmaningar som saknat rättslig grund under sken av myndighetsutövning utövat p</w:t>
      </w:r>
      <w:r w:rsidRPr="00896D4F">
        <w:t>å</w:t>
      </w:r>
      <w:r w:rsidRPr="00896D4F">
        <w:t xml:space="preserve">tryckning mot en fastighetsägare (189-2001) </w:t>
      </w:r>
      <w:r w:rsidRPr="00896D4F">
        <w:tab/>
      </w:r>
      <w:r w:rsidRPr="00896D4F">
        <w:tab/>
        <w:t>452</w:t>
      </w:r>
    </w:p>
    <w:p w:rsidR="009C1C5A" w:rsidRPr="00896D4F" w:rsidRDefault="009C1C5A">
      <w:pPr>
        <w:pStyle w:val="Rubrik3"/>
      </w:pPr>
      <w:r w:rsidRPr="00896D4F">
        <w:t>Offentlighet och sekretess samt yttrande- och tryckfrihet</w:t>
      </w:r>
    </w:p>
    <w:p w:rsidR="009C1C5A" w:rsidRPr="00896D4F" w:rsidRDefault="009C1C5A">
      <w:pPr>
        <w:pStyle w:val="Rubrik4"/>
        <w:spacing w:before="125"/>
      </w:pPr>
      <w:r w:rsidRPr="00896D4F">
        <w:t>Socialtjänst samt hälso- och sjukvård</w:t>
      </w:r>
    </w:p>
    <w:p w:rsidR="009C1C5A" w:rsidRPr="00896D4F" w:rsidRDefault="009C1C5A">
      <w:pPr>
        <w:pStyle w:val="innehJO"/>
      </w:pPr>
      <w:r w:rsidRPr="00896D4F">
        <w:t>Fråga om ett uttalande av en ledamot av en socialnämnd utgjort krän</w:t>
      </w:r>
      <w:r w:rsidRPr="00896D4F">
        <w:t>k</w:t>
      </w:r>
      <w:r w:rsidRPr="00896D4F">
        <w:t xml:space="preserve">ning av tjänstemans yttrande- och meddelarfrihet m.m. (1323-2001) </w:t>
      </w:r>
      <w:r w:rsidRPr="00896D4F">
        <w:tab/>
      </w:r>
      <w:r w:rsidRPr="00896D4F">
        <w:tab/>
        <w:t>455</w:t>
      </w:r>
    </w:p>
    <w:p w:rsidR="009C1C5A" w:rsidRPr="00896D4F" w:rsidRDefault="009C1C5A">
      <w:pPr>
        <w:pStyle w:val="innehJO"/>
      </w:pPr>
      <w:r w:rsidRPr="00896D4F">
        <w:t>Handläggningen av en begäran om att få en kopia av en patien</w:t>
      </w:r>
      <w:r w:rsidRPr="00896D4F">
        <w:t>t</w:t>
      </w:r>
      <w:r w:rsidRPr="00896D4F">
        <w:t xml:space="preserve">journal som tidvis varit försvunnen och slutligen förkommit, m.m. (3141-2000) </w:t>
      </w:r>
      <w:r w:rsidRPr="00896D4F">
        <w:tab/>
      </w:r>
      <w:r w:rsidRPr="00896D4F">
        <w:tab/>
        <w:t>458</w:t>
      </w:r>
    </w:p>
    <w:p w:rsidR="009C1C5A" w:rsidRPr="00896D4F" w:rsidRDefault="009C1C5A">
      <w:pPr>
        <w:pStyle w:val="Rubrik4"/>
      </w:pPr>
      <w:r w:rsidRPr="00896D4F">
        <w:t>Övriga områden</w:t>
      </w:r>
    </w:p>
    <w:p w:rsidR="009C1C5A" w:rsidRPr="00896D4F" w:rsidRDefault="009C1C5A">
      <w:pPr>
        <w:pStyle w:val="innehJO"/>
      </w:pPr>
      <w:r w:rsidRPr="00896D4F">
        <w:t xml:space="preserve">Påstående om sekretessbrott vid utlämnande av handlingar från JO </w:t>
      </w:r>
      <w:r w:rsidRPr="00896D4F">
        <w:rPr>
          <w:rFonts w:ascii="Garamond" w:hAnsi="Garamond"/>
        </w:rPr>
        <w:t>–</w:t>
      </w:r>
      <w:r w:rsidRPr="00896D4F">
        <w:t xml:space="preserve"> Handlingar i en förundersökning, rekvirerade i ett tillsynsärende hos JO och innehållande uppgifter som omfattas av sekretess enligt 9 kap. 17 § första stycket 1 sekretesslagen, har lämnats ut till e</w:t>
      </w:r>
      <w:r w:rsidRPr="00896D4F">
        <w:t>n</w:t>
      </w:r>
      <w:r w:rsidRPr="00896D4F">
        <w:t>skild. En handling som bifogats anmälan i det aktuella ärendet har innehållit de</w:t>
      </w:r>
      <w:r w:rsidRPr="00896D4F">
        <w:t>l</w:t>
      </w:r>
      <w:r w:rsidRPr="00896D4F">
        <w:t xml:space="preserve">vis samma uppgifter (Adm 18-2002) </w:t>
      </w:r>
      <w:r w:rsidRPr="00896D4F">
        <w:tab/>
      </w:r>
      <w:r w:rsidRPr="00896D4F">
        <w:tab/>
        <w:t>465</w:t>
      </w:r>
    </w:p>
    <w:p w:rsidR="009C1C5A" w:rsidRPr="00896D4F" w:rsidRDefault="009C1C5A">
      <w:pPr>
        <w:pStyle w:val="innehJO"/>
      </w:pPr>
      <w:r w:rsidRPr="00896D4F">
        <w:t>Fråga om en handling som av barnomsorgspersonal lagts i de pol</w:t>
      </w:r>
      <w:r w:rsidRPr="00896D4F">
        <w:t>i</w:t>
      </w:r>
      <w:r w:rsidRPr="00896D4F">
        <w:t>tiska partiernas postfack på en stadsdelsförvaltning utgjort allmän handling. Även fråga om en barnomsorgschef genom att omhä</w:t>
      </w:r>
      <w:r w:rsidRPr="00896D4F">
        <w:t>n</w:t>
      </w:r>
      <w:r w:rsidRPr="00896D4F">
        <w:t>derta handlingen och genom olika uttalanden kränkt de anställdas yttrande</w:t>
      </w:r>
      <w:r w:rsidRPr="00896D4F">
        <w:softHyphen/>
        <w:t xml:space="preserve">frihet (963-2000) </w:t>
      </w:r>
      <w:r w:rsidRPr="00896D4F">
        <w:tab/>
      </w:r>
      <w:r w:rsidRPr="00896D4F">
        <w:tab/>
        <w:t>470</w:t>
      </w:r>
    </w:p>
    <w:p w:rsidR="009C1C5A" w:rsidRPr="00896D4F" w:rsidRDefault="009C1C5A">
      <w:pPr>
        <w:pStyle w:val="innehJO"/>
      </w:pPr>
      <w:r w:rsidRPr="00896D4F">
        <w:t>Fråga om vissa tjänstemän vid en barn-, kultur- och utbildning</w:t>
      </w:r>
      <w:r w:rsidRPr="00896D4F">
        <w:t>s</w:t>
      </w:r>
      <w:r w:rsidRPr="00896D4F">
        <w:t>nämnd i en kommun hade kränkt anställdas meddelar- och yttrand</w:t>
      </w:r>
      <w:r w:rsidRPr="00896D4F">
        <w:t>e</w:t>
      </w:r>
      <w:r w:rsidRPr="00896D4F">
        <w:t>frihet</w:t>
      </w:r>
      <w:r w:rsidRPr="00896D4F">
        <w:rPr>
          <w:sz w:val="28"/>
        </w:rPr>
        <w:t xml:space="preserve"> </w:t>
      </w:r>
      <w:r w:rsidRPr="00896D4F">
        <w:t xml:space="preserve">m.m. (2062-2000) </w:t>
      </w:r>
      <w:r w:rsidRPr="00896D4F">
        <w:tab/>
      </w:r>
      <w:r w:rsidRPr="00896D4F">
        <w:tab/>
        <w:t>479</w:t>
      </w:r>
    </w:p>
    <w:p w:rsidR="009C1C5A" w:rsidRPr="00896D4F" w:rsidRDefault="009C1C5A">
      <w:pPr>
        <w:pStyle w:val="innehJO"/>
      </w:pPr>
      <w:r w:rsidRPr="00896D4F">
        <w:t xml:space="preserve">Fråga om meddelarfrihet rått för uppgifter som en yrkesinspektör fått kännedom om i samband med inspektion av ett s.k. korttidshem (2673-1999) </w:t>
      </w:r>
      <w:r w:rsidRPr="00896D4F">
        <w:tab/>
      </w:r>
      <w:r w:rsidRPr="00896D4F">
        <w:tab/>
        <w:t>486</w:t>
      </w:r>
    </w:p>
    <w:p w:rsidR="009C1C5A" w:rsidRPr="00896D4F" w:rsidRDefault="009C1C5A">
      <w:pPr>
        <w:pStyle w:val="innehJO"/>
      </w:pPr>
      <w:r w:rsidRPr="00896D4F">
        <w:t>Uttalanden om att kommunala bolag lämpligen bör lämna ful</w:t>
      </w:r>
      <w:r w:rsidRPr="00896D4F">
        <w:t>l</w:t>
      </w:r>
      <w:r w:rsidRPr="00896D4F">
        <w:t>följdshänvisning till beslut att avslå begäran om utlämnande av al</w:t>
      </w:r>
      <w:r w:rsidRPr="00896D4F">
        <w:t>l</w:t>
      </w:r>
      <w:r w:rsidRPr="00896D4F">
        <w:t xml:space="preserve">männa handlingar. Även fråga om rutiner för diarieföring m.m. (1384-2000) </w:t>
      </w:r>
      <w:r w:rsidRPr="00896D4F">
        <w:tab/>
      </w:r>
      <w:r w:rsidRPr="00896D4F">
        <w:tab/>
        <w:t>491</w:t>
      </w:r>
    </w:p>
    <w:p w:rsidR="009C1C5A" w:rsidRPr="00896D4F" w:rsidRDefault="009C1C5A">
      <w:pPr>
        <w:pStyle w:val="innehJO"/>
      </w:pPr>
      <w:r w:rsidRPr="00896D4F">
        <w:t>Rutiner för hantering av postförsändelser till en kommun som adress</w:t>
      </w:r>
      <w:r w:rsidRPr="00896D4F">
        <w:t>e</w:t>
      </w:r>
      <w:r w:rsidRPr="00896D4F">
        <w:t xml:space="preserve">rats till en anställd personligen (2022-2000) </w:t>
      </w:r>
      <w:r w:rsidRPr="00896D4F">
        <w:tab/>
      </w:r>
      <w:r w:rsidRPr="00896D4F">
        <w:tab/>
        <w:t>495</w:t>
      </w:r>
    </w:p>
    <w:p w:rsidR="009C1C5A" w:rsidRPr="00896D4F" w:rsidRDefault="009C1C5A">
      <w:pPr>
        <w:pStyle w:val="innehJO"/>
      </w:pPr>
      <w:r w:rsidRPr="00896D4F">
        <w:t xml:space="preserve">Rutiner för hantering av elektronisk post (e-post); bl.a. fråga om myndighetens tillgång till befattningshavares e-post under tid då denne är frånvarande (2668-2000) </w:t>
      </w:r>
      <w:r w:rsidRPr="00896D4F">
        <w:tab/>
      </w:r>
      <w:r w:rsidRPr="00896D4F">
        <w:tab/>
        <w:t>497</w:t>
      </w:r>
    </w:p>
    <w:p w:rsidR="009C1C5A" w:rsidRPr="00896D4F" w:rsidRDefault="009C1C5A">
      <w:pPr>
        <w:pStyle w:val="innehJO"/>
      </w:pPr>
      <w:r w:rsidRPr="00896D4F">
        <w:t>Ett kommunalt bolags handläggning av en begäran om uppgifter och om kopior av handlingar. Även fråga om bolagets avgiftsdeb</w:t>
      </w:r>
      <w:r w:rsidRPr="00896D4F">
        <w:t>i</w:t>
      </w:r>
      <w:r w:rsidRPr="00896D4F">
        <w:t xml:space="preserve">tering vid utlämnande av kopior av allmänna handlingar (3452-2000) </w:t>
      </w:r>
      <w:r w:rsidRPr="00896D4F">
        <w:tab/>
      </w:r>
      <w:r w:rsidRPr="00896D4F">
        <w:tab/>
        <w:t>501</w:t>
      </w:r>
    </w:p>
    <w:p w:rsidR="009C1C5A" w:rsidRPr="00896D4F" w:rsidRDefault="009C1C5A">
      <w:pPr>
        <w:pStyle w:val="innehJO"/>
      </w:pPr>
      <w:r w:rsidRPr="00896D4F">
        <w:t>Kritik mot en kommunstyrelse som vägrat lämna ut allmänna han</w:t>
      </w:r>
      <w:r w:rsidRPr="00896D4F">
        <w:t>d</w:t>
      </w:r>
      <w:r w:rsidRPr="00896D4F">
        <w:t>lingar med hänvisning till en av domstol fastställd förli</w:t>
      </w:r>
      <w:r w:rsidRPr="00896D4F">
        <w:t>k</w:t>
      </w:r>
      <w:r w:rsidRPr="00896D4F">
        <w:t xml:space="preserve">ning (841-2001) </w:t>
      </w:r>
      <w:r w:rsidRPr="00896D4F">
        <w:tab/>
      </w:r>
      <w:r w:rsidRPr="00896D4F">
        <w:tab/>
        <w:t>507</w:t>
      </w:r>
    </w:p>
    <w:p w:rsidR="009C1C5A" w:rsidRPr="00896D4F" w:rsidRDefault="009C1C5A">
      <w:pPr>
        <w:pStyle w:val="innehJO"/>
      </w:pPr>
      <w:r w:rsidRPr="00896D4F">
        <w:t>Krav på personligt besök och kontant betalning får ej ställas då n</w:t>
      </w:r>
      <w:r w:rsidRPr="00896D4F">
        <w:t>å</w:t>
      </w:r>
      <w:r w:rsidRPr="00896D4F">
        <w:t xml:space="preserve">gon begär kopior av allmänna handlingar (3313-2001) </w:t>
      </w:r>
      <w:r w:rsidRPr="00896D4F">
        <w:tab/>
      </w:r>
      <w:r w:rsidRPr="00896D4F">
        <w:tab/>
        <w:t>509</w:t>
      </w:r>
    </w:p>
    <w:p w:rsidR="009C1C5A" w:rsidRPr="00896D4F" w:rsidRDefault="009C1C5A">
      <w:pPr>
        <w:pStyle w:val="Rubrik3"/>
      </w:pPr>
      <w:r w:rsidRPr="00896D4F">
        <w:t>Remissyttranden</w:t>
      </w:r>
    </w:p>
    <w:p w:rsidR="009C1C5A" w:rsidRPr="00896D4F" w:rsidRDefault="009C1C5A">
      <w:pPr>
        <w:pStyle w:val="innehJO"/>
      </w:pPr>
      <w:r w:rsidRPr="00896D4F">
        <w:t>Yttrande över betänkandet (SOU 2001:97) Regler för Riksrevisi</w:t>
      </w:r>
      <w:r w:rsidRPr="00896D4F">
        <w:t>o</w:t>
      </w:r>
      <w:r w:rsidRPr="00896D4F">
        <w:t>nen (4581-2001)</w:t>
      </w:r>
      <w:r w:rsidRPr="00896D4F">
        <w:tab/>
      </w:r>
      <w:r w:rsidRPr="00896D4F">
        <w:tab/>
        <w:t>512</w:t>
      </w:r>
    </w:p>
    <w:p w:rsidR="009C1C5A" w:rsidRPr="00896D4F" w:rsidRDefault="009C1C5A">
      <w:pPr>
        <w:pStyle w:val="Rubrik3"/>
      </w:pPr>
      <w:r w:rsidRPr="00896D4F">
        <w:br w:type="page"/>
        <w:t>Bilagor</w:t>
      </w:r>
    </w:p>
    <w:p w:rsidR="009C1C5A" w:rsidRPr="00896D4F" w:rsidRDefault="009C1C5A">
      <w:pPr>
        <w:pStyle w:val="innehJO"/>
      </w:pPr>
      <w:r w:rsidRPr="00896D4F">
        <w:t xml:space="preserve">Instruktion för Riksdagens ombudsmän </w:t>
      </w:r>
      <w:r w:rsidRPr="00896D4F">
        <w:tab/>
      </w:r>
      <w:r w:rsidRPr="00896D4F">
        <w:tab/>
        <w:t>522</w:t>
      </w:r>
    </w:p>
    <w:p w:rsidR="009C1C5A" w:rsidRPr="00896D4F" w:rsidRDefault="009C1C5A">
      <w:pPr>
        <w:pStyle w:val="innehJO"/>
      </w:pPr>
      <w:r w:rsidRPr="00896D4F">
        <w:t xml:space="preserve">Arbetsordning för riksdagens ombudsmannaexpedition </w:t>
      </w:r>
      <w:r w:rsidRPr="00896D4F">
        <w:tab/>
      </w:r>
      <w:r w:rsidRPr="00896D4F">
        <w:tab/>
        <w:t>528</w:t>
      </w:r>
    </w:p>
    <w:p w:rsidR="009C1C5A" w:rsidRPr="00896D4F" w:rsidRDefault="009C1C5A">
      <w:pPr>
        <w:pStyle w:val="innehJO"/>
      </w:pPr>
      <w:r w:rsidRPr="00896D4F">
        <w:t xml:space="preserve">Personalorganisationen </w:t>
      </w:r>
      <w:r w:rsidRPr="00896D4F">
        <w:tab/>
      </w:r>
      <w:r w:rsidRPr="00896D4F">
        <w:tab/>
        <w:t>534</w:t>
      </w:r>
    </w:p>
    <w:p w:rsidR="009C1C5A" w:rsidRPr="00896D4F" w:rsidRDefault="009C1C5A">
      <w:pPr>
        <w:pStyle w:val="innehJO"/>
      </w:pPr>
      <w:r w:rsidRPr="00896D4F">
        <w:t xml:space="preserve">Sakregister </w:t>
      </w:r>
      <w:r w:rsidRPr="00896D4F">
        <w:tab/>
      </w:r>
      <w:r w:rsidRPr="00896D4F">
        <w:tab/>
        <w:t>535</w:t>
      </w:r>
    </w:p>
    <w:p w:rsidR="009C1C5A" w:rsidRPr="00896D4F" w:rsidRDefault="009C1C5A">
      <w:pPr>
        <w:pStyle w:val="innehJO"/>
      </w:pPr>
      <w:r w:rsidRPr="00896D4F">
        <w:t xml:space="preserve">Summary in English </w:t>
      </w:r>
      <w:r w:rsidRPr="00896D4F">
        <w:tab/>
      </w:r>
      <w:r w:rsidRPr="00896D4F">
        <w:tab/>
        <w:t>589</w:t>
      </w:r>
    </w:p>
    <w:p w:rsidR="009C1C5A" w:rsidRPr="00896D4F" w:rsidRDefault="009C1C5A">
      <w:pPr>
        <w:pStyle w:val="Rubrik1"/>
        <w:rPr>
          <w:sz w:val="28"/>
        </w:rPr>
      </w:pPr>
      <w:r w:rsidRPr="00896D4F">
        <w:br w:type="page"/>
      </w:r>
      <w:r w:rsidRPr="00896D4F">
        <w:br w:type="page"/>
      </w:r>
      <w:r w:rsidRPr="00896D4F">
        <w:rPr>
          <w:sz w:val="28"/>
        </w:rPr>
        <w:t>Till RIKSDAGEN</w:t>
      </w:r>
    </w:p>
    <w:p w:rsidR="009C1C5A" w:rsidRPr="00896D4F" w:rsidRDefault="009C1C5A">
      <w:r w:rsidRPr="00896D4F">
        <w:t>Riksdagens ombudsmän överlämnar härmed enligt 11 § lagen (1986:765) med instruktion för Riksdagens ombudsmän (fortsättningsvis benämnd i</w:t>
      </w:r>
      <w:r w:rsidRPr="00896D4F">
        <w:t>n</w:t>
      </w:r>
      <w:r w:rsidRPr="00896D4F">
        <w:t>struktionen) ämbetsberättelse för tiden den 1 juli 2001–30 juni 2002.</w:t>
      </w:r>
    </w:p>
    <w:p w:rsidR="009C1C5A" w:rsidRPr="00896D4F" w:rsidRDefault="009C1C5A">
      <w:pPr>
        <w:pStyle w:val="Rubrik2"/>
        <w:rPr>
          <w:sz w:val="28"/>
        </w:rPr>
      </w:pPr>
      <w:r w:rsidRPr="00896D4F">
        <w:rPr>
          <w:sz w:val="28"/>
        </w:rPr>
        <w:t>1 Organisationen m.m.</w:t>
      </w:r>
    </w:p>
    <w:p w:rsidR="009C1C5A" w:rsidRPr="00896D4F" w:rsidRDefault="009C1C5A">
      <w:pPr>
        <w:pStyle w:val="Rubrik3"/>
        <w:spacing w:before="125"/>
      </w:pPr>
      <w:r w:rsidRPr="00896D4F">
        <w:t>1.1 Val och entlediganden</w:t>
      </w:r>
    </w:p>
    <w:p w:rsidR="009C1C5A" w:rsidRPr="00896D4F" w:rsidRDefault="009C1C5A">
      <w:r w:rsidRPr="00896D4F">
        <w:t xml:space="preserve">Riksdagen omvalde den 21 mars 2002 </w:t>
      </w:r>
      <w:r w:rsidRPr="00896D4F">
        <w:rPr>
          <w:i/>
        </w:rPr>
        <w:t>Kerstin André</w:t>
      </w:r>
      <w:r w:rsidRPr="00896D4F">
        <w:t xml:space="preserve"> att vara justitieombud</w:t>
      </w:r>
      <w:r w:rsidRPr="00896D4F">
        <w:t>s</w:t>
      </w:r>
      <w:r w:rsidRPr="00896D4F">
        <w:t xml:space="preserve">man fr.o.m. dagen för valet till dess att nytt val genomförts under fjärde året därefter. </w:t>
      </w:r>
    </w:p>
    <w:p w:rsidR="009C1C5A" w:rsidRPr="00896D4F" w:rsidRDefault="009C1C5A">
      <w:pPr>
        <w:pStyle w:val="Normaltindrag"/>
      </w:pPr>
      <w:r w:rsidRPr="00896D4F">
        <w:t xml:space="preserve">Riksdagen valde den 11 juni 2002 </w:t>
      </w:r>
      <w:r w:rsidRPr="00896D4F">
        <w:rPr>
          <w:i/>
        </w:rPr>
        <w:t>hovrättspresidenten Anna-Karin Lundin</w:t>
      </w:r>
      <w:r w:rsidRPr="00896D4F">
        <w:t xml:space="preserve"> att vara justitieombudsman fr.o.m. den 1 januari 2003 till dess att nytt val genomförts under fjärde året därefter.</w:t>
      </w:r>
    </w:p>
    <w:p w:rsidR="009C1C5A" w:rsidRPr="00896D4F" w:rsidRDefault="009C1C5A">
      <w:pPr>
        <w:pStyle w:val="Normaltindrag"/>
      </w:pPr>
      <w:r w:rsidRPr="00896D4F">
        <w:t xml:space="preserve">Riksdagen omvalde den 5 december 2001 </w:t>
      </w:r>
      <w:r w:rsidRPr="00896D4F">
        <w:rPr>
          <w:i/>
        </w:rPr>
        <w:t>Gunnel Norell Söderblom</w:t>
      </w:r>
      <w:r w:rsidRPr="00896D4F">
        <w:t xml:space="preserve"> att vara ställföreträdande ombudsman under en period av två år fr.o.m. den 1 januari 2002.</w:t>
      </w:r>
    </w:p>
    <w:p w:rsidR="009C1C5A" w:rsidRPr="00896D4F" w:rsidRDefault="009C1C5A">
      <w:pPr>
        <w:pStyle w:val="Normaltindrag"/>
      </w:pPr>
      <w:r w:rsidRPr="00896D4F">
        <w:t xml:space="preserve">Riksdagen beslöt den 10 juni 2002 att bifalla en begäran från </w:t>
      </w:r>
      <w:r w:rsidRPr="00896D4F">
        <w:rPr>
          <w:i/>
        </w:rPr>
        <w:t>Jan Pennlöv</w:t>
      </w:r>
      <w:r w:rsidRPr="00896D4F">
        <w:t xml:space="preserve"> om entledigande per den 1 december 2002 från uppdraget att vara justitieo</w:t>
      </w:r>
      <w:r w:rsidRPr="00896D4F">
        <w:t>m</w:t>
      </w:r>
      <w:r w:rsidRPr="00896D4F">
        <w:t xml:space="preserve">budsman. </w:t>
      </w:r>
    </w:p>
    <w:p w:rsidR="009C1C5A" w:rsidRPr="00896D4F" w:rsidRDefault="009C1C5A">
      <w:pPr>
        <w:pStyle w:val="Rubrik3"/>
      </w:pPr>
      <w:r w:rsidRPr="00896D4F">
        <w:t>1.2 Ställföreträdande ombudsmännens tjänstgöring</w:t>
      </w:r>
    </w:p>
    <w:p w:rsidR="009C1C5A" w:rsidRPr="00896D4F" w:rsidRDefault="009C1C5A">
      <w:pPr>
        <w:tabs>
          <w:tab w:val="left" w:pos="284"/>
        </w:tabs>
      </w:pPr>
      <w:r w:rsidRPr="00896D4F">
        <w:rPr>
          <w:i/>
        </w:rPr>
        <w:t>Stf ombudsmannen Gunnel Norell Söderblom</w:t>
      </w:r>
      <w:r w:rsidRPr="00896D4F">
        <w:t xml:space="preserve"> tjänstgjorde med handläggning och avgörande av tillsynsärenden den 23–27 juli, den 31 juli–1 augusti och den 29 oktober–2 november 2001. </w:t>
      </w:r>
    </w:p>
    <w:p w:rsidR="009C1C5A" w:rsidRPr="00896D4F" w:rsidRDefault="009C1C5A">
      <w:pPr>
        <w:pStyle w:val="Normaltindrag"/>
      </w:pPr>
      <w:r w:rsidRPr="00896D4F">
        <w:rPr>
          <w:i/>
        </w:rPr>
        <w:t>Stf ombudsmannen Leif Ekberg</w:t>
      </w:r>
      <w:r w:rsidRPr="00896D4F">
        <w:t xml:space="preserve"> tjänstgjorde med handläggning och avg</w:t>
      </w:r>
      <w:r w:rsidRPr="00896D4F">
        <w:t>ö</w:t>
      </w:r>
      <w:r w:rsidRPr="00896D4F">
        <w:t>rande av tillsynsärenden den 15–17 maj och den 21–24 maj 2002.</w:t>
      </w:r>
    </w:p>
    <w:p w:rsidR="009C1C5A" w:rsidRPr="00896D4F" w:rsidRDefault="009C1C5A">
      <w:pPr>
        <w:pStyle w:val="Rubrik3"/>
      </w:pPr>
      <w:r w:rsidRPr="00896D4F">
        <w:t>1.3 Ändringar i arbetsordningen</w:t>
      </w:r>
    </w:p>
    <w:p w:rsidR="009C1C5A" w:rsidRPr="00896D4F" w:rsidRDefault="009C1C5A">
      <w:r w:rsidRPr="00896D4F">
        <w:t>Chefsjustitieombudsmannen beslöt den 22 januari 2002 om vissa ändringar i arbets</w:t>
      </w:r>
      <w:r w:rsidRPr="00896D4F">
        <w:softHyphen/>
        <w:t>ordningen för riksdagens ombudsmannaexpedition (fortsättningsvis be</w:t>
      </w:r>
      <w:r w:rsidRPr="00896D4F">
        <w:softHyphen/>
        <w:t>nämnd arbetsordningen). Ändringarna avser avgränsningen av de fyra a</w:t>
      </w:r>
      <w:r w:rsidRPr="00896D4F">
        <w:t>n</w:t>
      </w:r>
      <w:r w:rsidRPr="00896D4F">
        <w:t>svars</w:t>
      </w:r>
      <w:r w:rsidRPr="00896D4F">
        <w:softHyphen/>
        <w:t>områdena. De berör bl.a. ansvaret för tillsynen över miljödomstolarna och skattemyndigheternas särskilda enheter för brottsutredning samt han</w:t>
      </w:r>
      <w:r w:rsidRPr="00896D4F">
        <w:t>d</w:t>
      </w:r>
      <w:r w:rsidRPr="00896D4F">
        <w:t>läggningen av förmynderskapsärenden vid domstolar.</w:t>
      </w:r>
    </w:p>
    <w:p w:rsidR="009C1C5A" w:rsidRPr="00896D4F" w:rsidRDefault="009C1C5A">
      <w:pPr>
        <w:pStyle w:val="Rubrik3"/>
      </w:pPr>
      <w:r w:rsidRPr="00896D4F">
        <w:t>1.4 Bilagor</w:t>
      </w:r>
    </w:p>
    <w:p w:rsidR="009C1C5A" w:rsidRPr="00896D4F" w:rsidRDefault="009C1C5A">
      <w:r w:rsidRPr="00896D4F">
        <w:t>Instruktionen i aktuell lydelse den 30 juni 2002 finns intagen som bilaga 1.</w:t>
      </w:r>
    </w:p>
    <w:p w:rsidR="009C1C5A" w:rsidRPr="00896D4F" w:rsidRDefault="009C1C5A">
      <w:pPr>
        <w:pStyle w:val="Normaltindrag"/>
      </w:pPr>
      <w:r w:rsidRPr="00896D4F">
        <w:t>Arbetsordningen i aktuell lydelse den 30 juni 2002 finns intagen som bil</w:t>
      </w:r>
      <w:r w:rsidRPr="00896D4F">
        <w:t>a</w:t>
      </w:r>
      <w:r w:rsidRPr="00896D4F">
        <w:t>ga 2.</w:t>
      </w:r>
    </w:p>
    <w:p w:rsidR="009C1C5A" w:rsidRPr="00896D4F" w:rsidRDefault="009C1C5A">
      <w:pPr>
        <w:pStyle w:val="Normaltindrag"/>
      </w:pPr>
      <w:r w:rsidRPr="00896D4F">
        <w:t>En redogörelse för personalorganisationen under verksamhetsåret finns i bilaga 3.</w:t>
      </w:r>
    </w:p>
    <w:p w:rsidR="009C1C5A" w:rsidRPr="00896D4F" w:rsidRDefault="009C1C5A">
      <w:pPr>
        <w:pStyle w:val="Rubrik2"/>
        <w:spacing w:before="0"/>
        <w:rPr>
          <w:sz w:val="28"/>
        </w:rPr>
      </w:pPr>
      <w:r w:rsidRPr="00896D4F">
        <w:rPr>
          <w:sz w:val="28"/>
        </w:rPr>
        <w:t>2 Verksamheten</w:t>
      </w:r>
    </w:p>
    <w:p w:rsidR="009C1C5A" w:rsidRPr="00896D4F" w:rsidRDefault="009C1C5A">
      <w:pPr>
        <w:pStyle w:val="Rubrik3"/>
        <w:spacing w:before="125"/>
      </w:pPr>
      <w:r w:rsidRPr="00896D4F">
        <w:t>2.1 Totalstatistiken</w:t>
      </w:r>
    </w:p>
    <w:p w:rsidR="009C1C5A" w:rsidRPr="00896D4F" w:rsidRDefault="009C1C5A">
      <w:pPr>
        <w:pStyle w:val="Rubrik4"/>
      </w:pPr>
      <w:r w:rsidRPr="00896D4F">
        <w:t>Balansläget</w:t>
      </w:r>
    </w:p>
    <w:tbl>
      <w:tblPr>
        <w:tblW w:w="0" w:type="auto"/>
        <w:tblInd w:w="-70" w:type="dxa"/>
        <w:tblLayout w:type="fixed"/>
        <w:tblCellMar>
          <w:left w:w="70" w:type="dxa"/>
          <w:right w:w="70" w:type="dxa"/>
        </w:tblCellMar>
        <w:tblLook w:val="0000" w:firstRow="0" w:lastRow="0" w:firstColumn="0" w:lastColumn="0" w:noHBand="0" w:noVBand="0"/>
      </w:tblPr>
      <w:tblGrid>
        <w:gridCol w:w="4748"/>
        <w:gridCol w:w="709"/>
        <w:gridCol w:w="708"/>
      </w:tblGrid>
      <w:tr w:rsidR="00000000" w:rsidRPr="00896D4F">
        <w:tblPrEx>
          <w:tblCellMar>
            <w:top w:w="0" w:type="dxa"/>
            <w:bottom w:w="0" w:type="dxa"/>
          </w:tblCellMar>
        </w:tblPrEx>
        <w:tc>
          <w:tcPr>
            <w:tcW w:w="4748" w:type="dxa"/>
          </w:tcPr>
          <w:p w:rsidR="009C1C5A" w:rsidRPr="00896D4F" w:rsidRDefault="009C1C5A">
            <w:pPr>
              <w:tabs>
                <w:tab w:val="left" w:pos="284"/>
              </w:tabs>
              <w:ind w:right="-1"/>
            </w:pPr>
            <w:r w:rsidRPr="00896D4F">
              <w:t>Ingående balans</w:t>
            </w:r>
          </w:p>
        </w:tc>
        <w:tc>
          <w:tcPr>
            <w:tcW w:w="709" w:type="dxa"/>
          </w:tcPr>
          <w:p w:rsidR="009C1C5A" w:rsidRPr="00896D4F" w:rsidRDefault="009C1C5A">
            <w:pPr>
              <w:tabs>
                <w:tab w:val="left" w:pos="284"/>
              </w:tabs>
              <w:ind w:right="-1"/>
              <w:jc w:val="right"/>
            </w:pPr>
          </w:p>
        </w:tc>
        <w:tc>
          <w:tcPr>
            <w:tcW w:w="708" w:type="dxa"/>
          </w:tcPr>
          <w:p w:rsidR="009C1C5A" w:rsidRPr="00896D4F" w:rsidRDefault="009C1C5A">
            <w:pPr>
              <w:tabs>
                <w:tab w:val="left" w:pos="284"/>
              </w:tabs>
              <w:ind w:right="-1"/>
              <w:jc w:val="right"/>
            </w:pPr>
            <w:r w:rsidRPr="00896D4F">
              <w:t>754</w:t>
            </w:r>
          </w:p>
        </w:tc>
      </w:tr>
      <w:tr w:rsidR="00000000" w:rsidRPr="00896D4F">
        <w:tblPrEx>
          <w:tblCellMar>
            <w:top w:w="0" w:type="dxa"/>
            <w:bottom w:w="0" w:type="dxa"/>
          </w:tblCellMar>
        </w:tblPrEx>
        <w:tc>
          <w:tcPr>
            <w:tcW w:w="4748" w:type="dxa"/>
          </w:tcPr>
          <w:p w:rsidR="009C1C5A" w:rsidRPr="00896D4F" w:rsidRDefault="009C1C5A">
            <w:pPr>
              <w:tabs>
                <w:tab w:val="left" w:pos="284"/>
              </w:tabs>
              <w:ind w:right="-1"/>
            </w:pPr>
            <w:r w:rsidRPr="00896D4F">
              <w:t>Nya ärenden</w:t>
            </w:r>
          </w:p>
        </w:tc>
        <w:tc>
          <w:tcPr>
            <w:tcW w:w="709" w:type="dxa"/>
            <w:tcBorders>
              <w:left w:val="nil"/>
            </w:tcBorders>
          </w:tcPr>
          <w:p w:rsidR="009C1C5A" w:rsidRPr="00896D4F" w:rsidRDefault="009C1C5A">
            <w:pPr>
              <w:tabs>
                <w:tab w:val="left" w:pos="284"/>
              </w:tabs>
              <w:ind w:right="-1"/>
              <w:jc w:val="right"/>
            </w:pPr>
          </w:p>
        </w:tc>
        <w:tc>
          <w:tcPr>
            <w:tcW w:w="708" w:type="dxa"/>
          </w:tcPr>
          <w:p w:rsidR="009C1C5A" w:rsidRPr="00896D4F" w:rsidRDefault="009C1C5A">
            <w:pPr>
              <w:tabs>
                <w:tab w:val="left" w:pos="284"/>
              </w:tabs>
              <w:ind w:right="-1"/>
              <w:jc w:val="right"/>
            </w:pP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 xml:space="preserve">  Remisser och andra skrivelser från myndigheter</w:t>
            </w:r>
          </w:p>
        </w:tc>
        <w:tc>
          <w:tcPr>
            <w:tcW w:w="709" w:type="dxa"/>
          </w:tcPr>
          <w:p w:rsidR="009C1C5A" w:rsidRPr="00896D4F" w:rsidRDefault="009C1C5A">
            <w:pPr>
              <w:tabs>
                <w:tab w:val="left" w:pos="284"/>
              </w:tabs>
              <w:spacing w:before="0"/>
              <w:jc w:val="right"/>
            </w:pPr>
            <w:r w:rsidRPr="00896D4F">
              <w:t>89</w:t>
            </w:r>
          </w:p>
        </w:tc>
        <w:tc>
          <w:tcPr>
            <w:tcW w:w="708" w:type="dxa"/>
          </w:tcPr>
          <w:p w:rsidR="009C1C5A" w:rsidRPr="00896D4F" w:rsidRDefault="009C1C5A">
            <w:pPr>
              <w:tabs>
                <w:tab w:val="left" w:pos="284"/>
              </w:tabs>
              <w:spacing w:before="0"/>
              <w:jc w:val="right"/>
            </w:pP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 xml:space="preserve">  Klagomål och andra framställningar från enskilda</w:t>
            </w:r>
          </w:p>
        </w:tc>
        <w:tc>
          <w:tcPr>
            <w:tcW w:w="709" w:type="dxa"/>
            <w:tcBorders>
              <w:left w:val="nil"/>
            </w:tcBorders>
          </w:tcPr>
          <w:p w:rsidR="009C1C5A" w:rsidRPr="00896D4F" w:rsidRDefault="009C1C5A">
            <w:pPr>
              <w:tabs>
                <w:tab w:val="left" w:pos="284"/>
              </w:tabs>
              <w:spacing w:before="0"/>
              <w:jc w:val="right"/>
            </w:pPr>
            <w:r w:rsidRPr="00896D4F">
              <w:t>4 374</w:t>
            </w:r>
          </w:p>
        </w:tc>
        <w:tc>
          <w:tcPr>
            <w:tcW w:w="708" w:type="dxa"/>
          </w:tcPr>
          <w:p w:rsidR="009C1C5A" w:rsidRPr="00896D4F" w:rsidRDefault="009C1C5A">
            <w:pPr>
              <w:tabs>
                <w:tab w:val="left" w:pos="284"/>
              </w:tabs>
              <w:spacing w:before="0"/>
              <w:jc w:val="right"/>
            </w:pP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 xml:space="preserve">  Initiativärenden med anledning av inspektioner</w:t>
            </w:r>
          </w:p>
        </w:tc>
        <w:tc>
          <w:tcPr>
            <w:tcW w:w="709" w:type="dxa"/>
          </w:tcPr>
          <w:p w:rsidR="009C1C5A" w:rsidRPr="00896D4F" w:rsidRDefault="009C1C5A">
            <w:pPr>
              <w:tabs>
                <w:tab w:val="left" w:pos="284"/>
              </w:tabs>
              <w:spacing w:before="0"/>
              <w:jc w:val="right"/>
            </w:pPr>
            <w:r w:rsidRPr="00896D4F">
              <w:t>69</w:t>
            </w:r>
          </w:p>
        </w:tc>
        <w:tc>
          <w:tcPr>
            <w:tcW w:w="708" w:type="dxa"/>
          </w:tcPr>
          <w:p w:rsidR="009C1C5A" w:rsidRPr="00896D4F" w:rsidRDefault="009C1C5A">
            <w:pPr>
              <w:tabs>
                <w:tab w:val="left" w:pos="284"/>
              </w:tabs>
              <w:spacing w:before="0"/>
              <w:jc w:val="right"/>
            </w:pP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 xml:space="preserve">  Initiativärenden på grund av uppgifter i massmedier m.m.</w:t>
            </w:r>
          </w:p>
        </w:tc>
        <w:tc>
          <w:tcPr>
            <w:tcW w:w="709" w:type="dxa"/>
            <w:tcBorders>
              <w:left w:val="nil"/>
              <w:bottom w:val="single" w:sz="4" w:space="0" w:color="auto"/>
            </w:tcBorders>
          </w:tcPr>
          <w:p w:rsidR="009C1C5A" w:rsidRPr="00896D4F" w:rsidRDefault="009C1C5A">
            <w:pPr>
              <w:tabs>
                <w:tab w:val="left" w:pos="284"/>
              </w:tabs>
              <w:spacing w:before="0"/>
              <w:jc w:val="right"/>
            </w:pPr>
            <w:r w:rsidRPr="00896D4F">
              <w:t>42</w:t>
            </w:r>
          </w:p>
        </w:tc>
        <w:tc>
          <w:tcPr>
            <w:tcW w:w="708" w:type="dxa"/>
          </w:tcPr>
          <w:p w:rsidR="009C1C5A" w:rsidRPr="00896D4F" w:rsidRDefault="009C1C5A">
            <w:pPr>
              <w:tabs>
                <w:tab w:val="left" w:pos="284"/>
              </w:tabs>
              <w:spacing w:before="0"/>
              <w:jc w:val="right"/>
            </w:pP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p>
        </w:tc>
        <w:tc>
          <w:tcPr>
            <w:tcW w:w="709" w:type="dxa"/>
            <w:tcBorders>
              <w:top w:val="single" w:sz="4" w:space="0" w:color="auto"/>
            </w:tcBorders>
          </w:tcPr>
          <w:p w:rsidR="009C1C5A" w:rsidRPr="00896D4F" w:rsidRDefault="009C1C5A">
            <w:pPr>
              <w:tabs>
                <w:tab w:val="left" w:pos="284"/>
              </w:tabs>
              <w:spacing w:before="0"/>
              <w:jc w:val="right"/>
              <w:rPr>
                <w:u w:val="single"/>
              </w:rPr>
            </w:pPr>
          </w:p>
        </w:tc>
        <w:tc>
          <w:tcPr>
            <w:tcW w:w="708" w:type="dxa"/>
          </w:tcPr>
          <w:p w:rsidR="009C1C5A" w:rsidRPr="00896D4F" w:rsidRDefault="009C1C5A">
            <w:pPr>
              <w:tabs>
                <w:tab w:val="left" w:pos="284"/>
              </w:tabs>
              <w:spacing w:before="0"/>
              <w:jc w:val="right"/>
            </w:pPr>
            <w:r w:rsidRPr="00896D4F">
              <w:t>4 574</w:t>
            </w: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Summa balanserade och nya ärenden</w:t>
            </w:r>
          </w:p>
        </w:tc>
        <w:tc>
          <w:tcPr>
            <w:tcW w:w="709" w:type="dxa"/>
          </w:tcPr>
          <w:p w:rsidR="009C1C5A" w:rsidRPr="00896D4F" w:rsidRDefault="009C1C5A">
            <w:pPr>
              <w:tabs>
                <w:tab w:val="left" w:pos="284"/>
              </w:tabs>
              <w:spacing w:before="0"/>
              <w:jc w:val="right"/>
            </w:pPr>
          </w:p>
        </w:tc>
        <w:tc>
          <w:tcPr>
            <w:tcW w:w="708" w:type="dxa"/>
          </w:tcPr>
          <w:p w:rsidR="009C1C5A" w:rsidRPr="00896D4F" w:rsidRDefault="009C1C5A">
            <w:pPr>
              <w:tabs>
                <w:tab w:val="left" w:pos="284"/>
              </w:tabs>
              <w:spacing w:before="0"/>
              <w:jc w:val="right"/>
            </w:pPr>
            <w:r w:rsidRPr="00896D4F">
              <w:t>5 328</w:t>
            </w: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Avslutade ärenden</w:t>
            </w:r>
          </w:p>
        </w:tc>
        <w:tc>
          <w:tcPr>
            <w:tcW w:w="709" w:type="dxa"/>
            <w:tcBorders>
              <w:left w:val="nil"/>
            </w:tcBorders>
          </w:tcPr>
          <w:p w:rsidR="009C1C5A" w:rsidRPr="00896D4F" w:rsidRDefault="009C1C5A">
            <w:pPr>
              <w:tabs>
                <w:tab w:val="left" w:pos="284"/>
              </w:tabs>
              <w:spacing w:before="0"/>
              <w:jc w:val="right"/>
            </w:pPr>
          </w:p>
        </w:tc>
        <w:tc>
          <w:tcPr>
            <w:tcW w:w="708" w:type="dxa"/>
          </w:tcPr>
          <w:p w:rsidR="009C1C5A" w:rsidRPr="00896D4F" w:rsidRDefault="009C1C5A">
            <w:pPr>
              <w:tabs>
                <w:tab w:val="left" w:pos="284"/>
              </w:tabs>
              <w:spacing w:before="0"/>
              <w:jc w:val="right"/>
            </w:pPr>
            <w:r w:rsidRPr="00896D4F">
              <w:t>4 588</w:t>
            </w:r>
          </w:p>
        </w:tc>
      </w:tr>
      <w:tr w:rsidR="00000000" w:rsidRPr="00896D4F">
        <w:tblPrEx>
          <w:tblCellMar>
            <w:top w:w="0" w:type="dxa"/>
            <w:bottom w:w="0" w:type="dxa"/>
          </w:tblCellMar>
        </w:tblPrEx>
        <w:tc>
          <w:tcPr>
            <w:tcW w:w="4748" w:type="dxa"/>
          </w:tcPr>
          <w:p w:rsidR="009C1C5A" w:rsidRPr="00896D4F" w:rsidRDefault="009C1C5A">
            <w:pPr>
              <w:tabs>
                <w:tab w:val="left" w:pos="284"/>
              </w:tabs>
              <w:spacing w:before="0"/>
            </w:pPr>
            <w:r w:rsidRPr="00896D4F">
              <w:t>Utgående balans</w:t>
            </w:r>
          </w:p>
        </w:tc>
        <w:tc>
          <w:tcPr>
            <w:tcW w:w="709" w:type="dxa"/>
          </w:tcPr>
          <w:p w:rsidR="009C1C5A" w:rsidRPr="00896D4F" w:rsidRDefault="009C1C5A">
            <w:pPr>
              <w:tabs>
                <w:tab w:val="left" w:pos="284"/>
              </w:tabs>
              <w:spacing w:before="0"/>
              <w:jc w:val="right"/>
            </w:pPr>
          </w:p>
        </w:tc>
        <w:tc>
          <w:tcPr>
            <w:tcW w:w="708" w:type="dxa"/>
          </w:tcPr>
          <w:p w:rsidR="009C1C5A" w:rsidRPr="00896D4F" w:rsidRDefault="009C1C5A">
            <w:pPr>
              <w:tabs>
                <w:tab w:val="left" w:pos="284"/>
              </w:tabs>
              <w:spacing w:before="0"/>
              <w:jc w:val="right"/>
            </w:pPr>
            <w:r w:rsidRPr="00896D4F">
              <w:t>740</w:t>
            </w:r>
          </w:p>
        </w:tc>
      </w:tr>
    </w:tbl>
    <w:p w:rsidR="009C1C5A" w:rsidRPr="00896D4F" w:rsidRDefault="009C1C5A">
      <w:r w:rsidRPr="00896D4F">
        <w:t xml:space="preserve">Under perioden nyregistrerades 4 574 ärenden, en minskning med 70 (1,5 %) i förhållande till verksamhetsåret 2000/01. Antalet nya inspektions- eller andra initiativärenden var 111, en minskning med 22 jämfört med föregående verksamhetsår. 89 ärenden föranleddes av remisser – huvudsakligen från Regeringskansliet –, en ökning med 15. Klagomålsärendena uppgick till 4 374, vilket innebär en nedgång med 63 (1,4 %) sedan 2000/01. </w:t>
      </w:r>
    </w:p>
    <w:p w:rsidR="009C1C5A" w:rsidRPr="00896D4F" w:rsidRDefault="009C1C5A">
      <w:pPr>
        <w:pStyle w:val="Normaltindrag"/>
      </w:pPr>
      <w:r w:rsidRPr="00896D4F">
        <w:t>Antalet avgjorda ärenden uppgick till 4 588, vilket innebär en minskning med 162 eller 3,4 % från föregående års nivå. Av de avslutade ärendena var 4 382 klagomålsärenden, 85 remissärenden och 121 inspektions- eller andra initi</w:t>
      </w:r>
      <w:r w:rsidRPr="00896D4F">
        <w:t>a</w:t>
      </w:r>
      <w:r w:rsidRPr="00896D4F">
        <w:t>tivärenden.</w:t>
      </w:r>
    </w:p>
    <w:p w:rsidR="009C1C5A" w:rsidRPr="00896D4F" w:rsidRDefault="009C1C5A">
      <w:pPr>
        <w:pStyle w:val="Normaltindrag"/>
      </w:pPr>
      <w:r w:rsidRPr="00896D4F">
        <w:t xml:space="preserve">De oavgjorda ärendena i balans var vid verksamhetsårets slut 740. Detta betyder att balansen under året gått ned med 14 ärenden (1,8 %) till en nivå som är den lägsta som noterats på mer än 20 år. </w:t>
      </w:r>
    </w:p>
    <w:p w:rsidR="009C1C5A" w:rsidRPr="00896D4F" w:rsidRDefault="009C1C5A">
      <w:pPr>
        <w:pStyle w:val="Rubrik4"/>
      </w:pPr>
      <w:r w:rsidRPr="00896D4F">
        <w:br w:type="page"/>
        <w:t>Anmälnings- och initiativärenden 1.7.1990–30.6.2002</w:t>
      </w:r>
    </w:p>
    <w:tbl>
      <w:tblPr>
        <w:tblW w:w="0" w:type="auto"/>
        <w:tblInd w:w="-70" w:type="dxa"/>
        <w:tblLayout w:type="fixed"/>
        <w:tblCellMar>
          <w:left w:w="70" w:type="dxa"/>
          <w:right w:w="70" w:type="dxa"/>
        </w:tblCellMar>
        <w:tblLook w:val="0000" w:firstRow="0" w:lastRow="0" w:firstColumn="0" w:lastColumn="0" w:noHBand="0" w:noVBand="0"/>
      </w:tblPr>
      <w:tblGrid>
        <w:gridCol w:w="1771"/>
        <w:gridCol w:w="2268"/>
        <w:gridCol w:w="1985"/>
      </w:tblGrid>
      <w:tr w:rsidR="00000000" w:rsidRPr="00896D4F">
        <w:tblPrEx>
          <w:tblCellMar>
            <w:top w:w="0" w:type="dxa"/>
            <w:bottom w:w="0" w:type="dxa"/>
          </w:tblCellMar>
        </w:tblPrEx>
        <w:tc>
          <w:tcPr>
            <w:tcW w:w="1771" w:type="dxa"/>
            <w:tcBorders>
              <w:top w:val="single" w:sz="4" w:space="0" w:color="auto"/>
              <w:bottom w:val="single" w:sz="6" w:space="0" w:color="auto"/>
            </w:tcBorders>
          </w:tcPr>
          <w:p w:rsidR="009C1C5A" w:rsidRPr="00896D4F" w:rsidRDefault="009C1C5A">
            <w:pPr>
              <w:tabs>
                <w:tab w:val="left" w:pos="284"/>
              </w:tabs>
              <w:ind w:right="-1"/>
              <w:jc w:val="center"/>
            </w:pPr>
            <w:r w:rsidRPr="00896D4F">
              <w:t>År</w:t>
            </w:r>
          </w:p>
        </w:tc>
        <w:tc>
          <w:tcPr>
            <w:tcW w:w="2268" w:type="dxa"/>
            <w:tcBorders>
              <w:top w:val="single" w:sz="4" w:space="0" w:color="auto"/>
              <w:bottom w:val="single" w:sz="6" w:space="0" w:color="auto"/>
            </w:tcBorders>
          </w:tcPr>
          <w:p w:rsidR="009C1C5A" w:rsidRPr="00896D4F" w:rsidRDefault="009C1C5A">
            <w:pPr>
              <w:tabs>
                <w:tab w:val="left" w:pos="284"/>
              </w:tabs>
              <w:ind w:right="-1"/>
              <w:jc w:val="center"/>
            </w:pPr>
            <w:r w:rsidRPr="00896D4F">
              <w:t xml:space="preserve">Klagomålsärenden </w:t>
            </w:r>
          </w:p>
          <w:p w:rsidR="009C1C5A" w:rsidRPr="00896D4F" w:rsidRDefault="009C1C5A">
            <w:pPr>
              <w:tabs>
                <w:tab w:val="left" w:pos="284"/>
              </w:tabs>
              <w:spacing w:before="0"/>
              <w:jc w:val="center"/>
            </w:pPr>
            <w:r w:rsidRPr="00896D4F">
              <w:t>och remisser</w:t>
            </w:r>
          </w:p>
        </w:tc>
        <w:tc>
          <w:tcPr>
            <w:tcW w:w="1985" w:type="dxa"/>
            <w:tcBorders>
              <w:top w:val="single" w:sz="4" w:space="0" w:color="auto"/>
              <w:bottom w:val="single" w:sz="6" w:space="0" w:color="auto"/>
            </w:tcBorders>
          </w:tcPr>
          <w:p w:rsidR="009C1C5A" w:rsidRPr="00896D4F" w:rsidRDefault="009C1C5A">
            <w:pPr>
              <w:tabs>
                <w:tab w:val="left" w:pos="284"/>
              </w:tabs>
              <w:ind w:right="-1"/>
              <w:jc w:val="center"/>
            </w:pPr>
            <w:r w:rsidRPr="00896D4F">
              <w:t>Initiativärenden</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1990/91</w:t>
            </w:r>
          </w:p>
        </w:tc>
        <w:tc>
          <w:tcPr>
            <w:tcW w:w="2268" w:type="dxa"/>
          </w:tcPr>
          <w:p w:rsidR="009C1C5A" w:rsidRPr="00896D4F" w:rsidRDefault="009C1C5A">
            <w:pPr>
              <w:tabs>
                <w:tab w:val="left" w:pos="284"/>
              </w:tabs>
              <w:ind w:right="-1"/>
              <w:jc w:val="center"/>
            </w:pPr>
            <w:r w:rsidRPr="00896D4F">
              <w:t>3 883</w:t>
            </w:r>
          </w:p>
        </w:tc>
        <w:tc>
          <w:tcPr>
            <w:tcW w:w="1985" w:type="dxa"/>
          </w:tcPr>
          <w:p w:rsidR="009C1C5A" w:rsidRPr="00896D4F" w:rsidRDefault="009C1C5A">
            <w:pPr>
              <w:tabs>
                <w:tab w:val="left" w:pos="284"/>
              </w:tabs>
              <w:ind w:right="-1"/>
              <w:jc w:val="center"/>
            </w:pPr>
            <w:r w:rsidRPr="00896D4F">
              <w:t>260</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1991/92</w:t>
            </w:r>
          </w:p>
        </w:tc>
        <w:tc>
          <w:tcPr>
            <w:tcW w:w="2268" w:type="dxa"/>
          </w:tcPr>
          <w:p w:rsidR="009C1C5A" w:rsidRPr="00896D4F" w:rsidRDefault="009C1C5A">
            <w:pPr>
              <w:tabs>
                <w:tab w:val="left" w:pos="284"/>
              </w:tabs>
              <w:ind w:right="-1"/>
              <w:jc w:val="center"/>
            </w:pPr>
            <w:r w:rsidRPr="00896D4F">
              <w:t>4 076</w:t>
            </w:r>
          </w:p>
        </w:tc>
        <w:tc>
          <w:tcPr>
            <w:tcW w:w="1985" w:type="dxa"/>
          </w:tcPr>
          <w:p w:rsidR="009C1C5A" w:rsidRPr="00896D4F" w:rsidRDefault="009C1C5A">
            <w:pPr>
              <w:tabs>
                <w:tab w:val="left" w:pos="284"/>
              </w:tabs>
              <w:ind w:right="-1"/>
              <w:jc w:val="center"/>
            </w:pPr>
            <w:r w:rsidRPr="00896D4F">
              <w:t>213</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1992/93</w:t>
            </w:r>
          </w:p>
        </w:tc>
        <w:tc>
          <w:tcPr>
            <w:tcW w:w="2268" w:type="dxa"/>
          </w:tcPr>
          <w:p w:rsidR="009C1C5A" w:rsidRPr="00896D4F" w:rsidRDefault="009C1C5A">
            <w:pPr>
              <w:tabs>
                <w:tab w:val="left" w:pos="284"/>
              </w:tabs>
              <w:ind w:right="-1"/>
              <w:jc w:val="center"/>
            </w:pPr>
            <w:r w:rsidRPr="00896D4F">
              <w:t>4 468</w:t>
            </w:r>
          </w:p>
        </w:tc>
        <w:tc>
          <w:tcPr>
            <w:tcW w:w="1985" w:type="dxa"/>
          </w:tcPr>
          <w:p w:rsidR="009C1C5A" w:rsidRPr="00896D4F" w:rsidRDefault="009C1C5A">
            <w:pPr>
              <w:tabs>
                <w:tab w:val="left" w:pos="284"/>
              </w:tabs>
              <w:ind w:right="-1"/>
              <w:jc w:val="center"/>
            </w:pPr>
            <w:r w:rsidRPr="00896D4F">
              <w:t>233</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1993/94</w:t>
            </w:r>
          </w:p>
        </w:tc>
        <w:tc>
          <w:tcPr>
            <w:tcW w:w="2268" w:type="dxa"/>
          </w:tcPr>
          <w:p w:rsidR="009C1C5A" w:rsidRPr="00896D4F" w:rsidRDefault="009C1C5A">
            <w:pPr>
              <w:tabs>
                <w:tab w:val="left" w:pos="284"/>
              </w:tabs>
              <w:ind w:right="-1"/>
              <w:jc w:val="center"/>
            </w:pPr>
            <w:r w:rsidRPr="00896D4F">
              <w:t>4 634</w:t>
            </w:r>
          </w:p>
        </w:tc>
        <w:tc>
          <w:tcPr>
            <w:tcW w:w="1985" w:type="dxa"/>
          </w:tcPr>
          <w:p w:rsidR="009C1C5A" w:rsidRPr="00896D4F" w:rsidRDefault="009C1C5A">
            <w:pPr>
              <w:tabs>
                <w:tab w:val="left" w:pos="284"/>
              </w:tabs>
              <w:ind w:right="-1"/>
              <w:jc w:val="center"/>
            </w:pPr>
            <w:r w:rsidRPr="00896D4F">
              <w:t>107</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1994/95</w:t>
            </w:r>
          </w:p>
        </w:tc>
        <w:tc>
          <w:tcPr>
            <w:tcW w:w="2268" w:type="dxa"/>
          </w:tcPr>
          <w:p w:rsidR="009C1C5A" w:rsidRPr="00896D4F" w:rsidRDefault="009C1C5A">
            <w:pPr>
              <w:tabs>
                <w:tab w:val="left" w:pos="284"/>
              </w:tabs>
              <w:ind w:right="-1"/>
              <w:jc w:val="center"/>
            </w:pPr>
            <w:r w:rsidRPr="00896D4F">
              <w:t>4 764</w:t>
            </w:r>
          </w:p>
        </w:tc>
        <w:tc>
          <w:tcPr>
            <w:tcW w:w="1985" w:type="dxa"/>
          </w:tcPr>
          <w:p w:rsidR="009C1C5A" w:rsidRPr="00896D4F" w:rsidRDefault="009C1C5A">
            <w:pPr>
              <w:tabs>
                <w:tab w:val="left" w:pos="284"/>
              </w:tabs>
              <w:ind w:right="-1"/>
              <w:jc w:val="center"/>
            </w:pPr>
            <w:r w:rsidRPr="00896D4F">
              <w:t>127</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1995/96</w:t>
            </w:r>
          </w:p>
        </w:tc>
        <w:tc>
          <w:tcPr>
            <w:tcW w:w="2268" w:type="dxa"/>
          </w:tcPr>
          <w:p w:rsidR="009C1C5A" w:rsidRPr="00896D4F" w:rsidRDefault="009C1C5A">
            <w:pPr>
              <w:tabs>
                <w:tab w:val="left" w:pos="284"/>
              </w:tabs>
              <w:ind w:right="-1"/>
              <w:jc w:val="center"/>
            </w:pPr>
            <w:r w:rsidRPr="00896D4F">
              <w:t>4 990</w:t>
            </w:r>
          </w:p>
        </w:tc>
        <w:tc>
          <w:tcPr>
            <w:tcW w:w="1985" w:type="dxa"/>
          </w:tcPr>
          <w:p w:rsidR="009C1C5A" w:rsidRPr="00896D4F" w:rsidRDefault="009C1C5A">
            <w:pPr>
              <w:tabs>
                <w:tab w:val="left" w:pos="284"/>
              </w:tabs>
              <w:ind w:right="-1"/>
              <w:jc w:val="center"/>
            </w:pPr>
            <w:r w:rsidRPr="00896D4F">
              <w:t>125</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1996/97</w:t>
            </w:r>
          </w:p>
        </w:tc>
        <w:tc>
          <w:tcPr>
            <w:tcW w:w="2268" w:type="dxa"/>
          </w:tcPr>
          <w:p w:rsidR="009C1C5A" w:rsidRPr="00896D4F" w:rsidRDefault="009C1C5A">
            <w:pPr>
              <w:tabs>
                <w:tab w:val="left" w:pos="284"/>
              </w:tabs>
              <w:ind w:right="-1"/>
              <w:jc w:val="center"/>
            </w:pPr>
            <w:r w:rsidRPr="00896D4F">
              <w:t>4 840</w:t>
            </w:r>
          </w:p>
        </w:tc>
        <w:tc>
          <w:tcPr>
            <w:tcW w:w="1985" w:type="dxa"/>
          </w:tcPr>
          <w:p w:rsidR="009C1C5A" w:rsidRPr="00896D4F" w:rsidRDefault="009C1C5A">
            <w:pPr>
              <w:tabs>
                <w:tab w:val="left" w:pos="284"/>
              </w:tabs>
              <w:ind w:right="-1"/>
              <w:jc w:val="center"/>
            </w:pPr>
            <w:r w:rsidRPr="00896D4F">
              <w:t xml:space="preserve"> 64</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1997/98</w:t>
            </w:r>
          </w:p>
        </w:tc>
        <w:tc>
          <w:tcPr>
            <w:tcW w:w="2268" w:type="dxa"/>
          </w:tcPr>
          <w:p w:rsidR="009C1C5A" w:rsidRPr="00896D4F" w:rsidRDefault="009C1C5A">
            <w:pPr>
              <w:tabs>
                <w:tab w:val="left" w:pos="284"/>
              </w:tabs>
              <w:ind w:right="-1"/>
              <w:jc w:val="center"/>
            </w:pPr>
            <w:r w:rsidRPr="00896D4F">
              <w:t>4 885</w:t>
            </w:r>
          </w:p>
        </w:tc>
        <w:tc>
          <w:tcPr>
            <w:tcW w:w="1985" w:type="dxa"/>
          </w:tcPr>
          <w:p w:rsidR="009C1C5A" w:rsidRPr="00896D4F" w:rsidRDefault="009C1C5A">
            <w:pPr>
              <w:tabs>
                <w:tab w:val="left" w:pos="284"/>
              </w:tabs>
              <w:ind w:right="-1"/>
              <w:jc w:val="center"/>
            </w:pPr>
            <w:r w:rsidRPr="00896D4F">
              <w:t>118</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1998/99</w:t>
            </w:r>
          </w:p>
        </w:tc>
        <w:tc>
          <w:tcPr>
            <w:tcW w:w="2268" w:type="dxa"/>
          </w:tcPr>
          <w:p w:rsidR="009C1C5A" w:rsidRPr="00896D4F" w:rsidRDefault="009C1C5A">
            <w:pPr>
              <w:tabs>
                <w:tab w:val="left" w:pos="284"/>
              </w:tabs>
              <w:ind w:right="-1"/>
              <w:jc w:val="center"/>
            </w:pPr>
            <w:r w:rsidRPr="00896D4F">
              <w:t>4 791</w:t>
            </w:r>
          </w:p>
        </w:tc>
        <w:tc>
          <w:tcPr>
            <w:tcW w:w="1985" w:type="dxa"/>
          </w:tcPr>
          <w:p w:rsidR="009C1C5A" w:rsidRPr="00896D4F" w:rsidRDefault="009C1C5A">
            <w:pPr>
              <w:tabs>
                <w:tab w:val="left" w:pos="284"/>
              </w:tabs>
              <w:ind w:right="-1"/>
              <w:jc w:val="center"/>
            </w:pPr>
            <w:r w:rsidRPr="00896D4F">
              <w:t>147</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1999/2000</w:t>
            </w:r>
          </w:p>
        </w:tc>
        <w:tc>
          <w:tcPr>
            <w:tcW w:w="2268" w:type="dxa"/>
          </w:tcPr>
          <w:p w:rsidR="009C1C5A" w:rsidRPr="00896D4F" w:rsidRDefault="009C1C5A">
            <w:pPr>
              <w:tabs>
                <w:tab w:val="left" w:pos="284"/>
              </w:tabs>
              <w:ind w:right="-1"/>
              <w:jc w:val="center"/>
            </w:pPr>
            <w:r w:rsidRPr="00896D4F">
              <w:t>4 626</w:t>
            </w:r>
          </w:p>
        </w:tc>
        <w:tc>
          <w:tcPr>
            <w:tcW w:w="1985" w:type="dxa"/>
          </w:tcPr>
          <w:p w:rsidR="009C1C5A" w:rsidRPr="00896D4F" w:rsidRDefault="009C1C5A">
            <w:pPr>
              <w:tabs>
                <w:tab w:val="left" w:pos="284"/>
              </w:tabs>
              <w:ind w:right="-1"/>
              <w:jc w:val="center"/>
            </w:pPr>
            <w:r w:rsidRPr="00896D4F">
              <w:t>113</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jc w:val="center"/>
            </w:pPr>
            <w:r w:rsidRPr="00896D4F">
              <w:t>2000/01</w:t>
            </w:r>
          </w:p>
        </w:tc>
        <w:tc>
          <w:tcPr>
            <w:tcW w:w="2268" w:type="dxa"/>
          </w:tcPr>
          <w:p w:rsidR="009C1C5A" w:rsidRPr="00896D4F" w:rsidRDefault="009C1C5A">
            <w:pPr>
              <w:tabs>
                <w:tab w:val="left" w:pos="284"/>
              </w:tabs>
              <w:ind w:right="-1"/>
              <w:jc w:val="center"/>
            </w:pPr>
            <w:r w:rsidRPr="00896D4F">
              <w:t>4 511</w:t>
            </w:r>
          </w:p>
        </w:tc>
        <w:tc>
          <w:tcPr>
            <w:tcW w:w="1985" w:type="dxa"/>
          </w:tcPr>
          <w:p w:rsidR="009C1C5A" w:rsidRPr="00896D4F" w:rsidRDefault="009C1C5A">
            <w:pPr>
              <w:tabs>
                <w:tab w:val="left" w:pos="284"/>
              </w:tabs>
              <w:ind w:right="-1"/>
              <w:jc w:val="center"/>
            </w:pPr>
            <w:r w:rsidRPr="00896D4F">
              <w:t>133</w:t>
            </w:r>
          </w:p>
        </w:tc>
      </w:tr>
      <w:tr w:rsidR="00000000" w:rsidRPr="00896D4F">
        <w:tblPrEx>
          <w:tblCellMar>
            <w:top w:w="0" w:type="dxa"/>
            <w:bottom w:w="0" w:type="dxa"/>
          </w:tblCellMar>
        </w:tblPrEx>
        <w:tc>
          <w:tcPr>
            <w:tcW w:w="1771" w:type="dxa"/>
            <w:tcBorders>
              <w:bottom w:val="single" w:sz="6" w:space="0" w:color="auto"/>
            </w:tcBorders>
          </w:tcPr>
          <w:p w:rsidR="009C1C5A" w:rsidRPr="00896D4F" w:rsidRDefault="009C1C5A">
            <w:pPr>
              <w:tabs>
                <w:tab w:val="left" w:pos="284"/>
              </w:tabs>
              <w:ind w:right="-1"/>
              <w:jc w:val="center"/>
            </w:pPr>
            <w:r w:rsidRPr="00896D4F">
              <w:t>2001/02</w:t>
            </w:r>
          </w:p>
        </w:tc>
        <w:tc>
          <w:tcPr>
            <w:tcW w:w="2268" w:type="dxa"/>
            <w:tcBorders>
              <w:bottom w:val="single" w:sz="6" w:space="0" w:color="auto"/>
            </w:tcBorders>
          </w:tcPr>
          <w:p w:rsidR="009C1C5A" w:rsidRPr="00896D4F" w:rsidRDefault="009C1C5A">
            <w:pPr>
              <w:tabs>
                <w:tab w:val="left" w:pos="284"/>
              </w:tabs>
              <w:ind w:right="-1"/>
              <w:jc w:val="center"/>
            </w:pPr>
            <w:r w:rsidRPr="00896D4F">
              <w:t>4 463</w:t>
            </w:r>
          </w:p>
        </w:tc>
        <w:tc>
          <w:tcPr>
            <w:tcW w:w="1985" w:type="dxa"/>
            <w:tcBorders>
              <w:bottom w:val="single" w:sz="6" w:space="0" w:color="auto"/>
            </w:tcBorders>
          </w:tcPr>
          <w:p w:rsidR="009C1C5A" w:rsidRPr="00896D4F" w:rsidRDefault="009C1C5A">
            <w:pPr>
              <w:tabs>
                <w:tab w:val="left" w:pos="284"/>
              </w:tabs>
              <w:ind w:right="-1"/>
              <w:jc w:val="center"/>
            </w:pPr>
            <w:r w:rsidRPr="00896D4F">
              <w:t>111</w:t>
            </w:r>
          </w:p>
        </w:tc>
      </w:tr>
    </w:tbl>
    <w:p w:rsidR="009C1C5A" w:rsidRPr="00896D4F" w:rsidRDefault="009C1C5A">
      <w:pPr>
        <w:pStyle w:val="Rubrik4"/>
      </w:pPr>
    </w:p>
    <w:p w:rsidR="009C1C5A" w:rsidRPr="00896D4F" w:rsidRDefault="009C1C5A">
      <w:pPr>
        <w:pStyle w:val="Rubrik4"/>
        <w:spacing w:before="0" w:line="20" w:lineRule="exact"/>
      </w:pPr>
      <w:r w:rsidRPr="00896D4F">
        <w:br w:type="page"/>
      </w:r>
    </w:p>
    <w:p w:rsidR="009C1C5A" w:rsidRPr="00896D4F" w:rsidRDefault="009C1C5A">
      <w:pPr>
        <w:spacing w:before="0"/>
        <w:ind w:left="-851"/>
      </w:pPr>
      <w:r w:rsidRPr="00896D4F">
        <w:object w:dxaOrig="14551" w:dyaOrig="9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11.7pt" o:ole="" fillcolor="window">
            <v:imagedata r:id="rId7" o:title=""/>
          </v:shape>
          <o:OLEObject Type="Embed" ProgID="Excel.Sheet.8" ShapeID="_x0000_i1025" DrawAspect="Content" ObjectID="_1827360829" r:id="rId8"/>
        </w:object>
      </w:r>
    </w:p>
    <w:p w:rsidR="009C1C5A" w:rsidRPr="00896D4F" w:rsidRDefault="009C1C5A">
      <w:pPr>
        <w:pStyle w:val="Rubrik4"/>
      </w:pPr>
      <w:r w:rsidRPr="00896D4F">
        <w:t>Månadsöversikt över ärendena under verksamhetsåret</w:t>
      </w:r>
    </w:p>
    <w:tbl>
      <w:tblPr>
        <w:tblW w:w="0" w:type="auto"/>
        <w:tblInd w:w="-70" w:type="dxa"/>
        <w:tblLayout w:type="fixed"/>
        <w:tblCellMar>
          <w:left w:w="70" w:type="dxa"/>
          <w:right w:w="70" w:type="dxa"/>
        </w:tblCellMar>
        <w:tblLook w:val="0000" w:firstRow="0" w:lastRow="0" w:firstColumn="0" w:lastColumn="0" w:noHBand="0" w:noVBand="0"/>
      </w:tblPr>
      <w:tblGrid>
        <w:gridCol w:w="1771"/>
        <w:gridCol w:w="1417"/>
        <w:gridCol w:w="1418"/>
        <w:gridCol w:w="1418"/>
      </w:tblGrid>
      <w:tr w:rsidR="00000000" w:rsidRPr="00896D4F">
        <w:tblPrEx>
          <w:tblCellMar>
            <w:top w:w="0" w:type="dxa"/>
            <w:bottom w:w="0" w:type="dxa"/>
          </w:tblCellMar>
        </w:tblPrEx>
        <w:tc>
          <w:tcPr>
            <w:tcW w:w="1771" w:type="dxa"/>
            <w:tcBorders>
              <w:top w:val="single" w:sz="4" w:space="0" w:color="auto"/>
              <w:bottom w:val="single" w:sz="6" w:space="0" w:color="auto"/>
            </w:tcBorders>
          </w:tcPr>
          <w:p w:rsidR="009C1C5A" w:rsidRPr="00896D4F" w:rsidRDefault="009C1C5A">
            <w:pPr>
              <w:tabs>
                <w:tab w:val="left" w:pos="284"/>
              </w:tabs>
              <w:ind w:right="-1"/>
            </w:pPr>
            <w:r w:rsidRPr="00896D4F">
              <w:t>Månad</w:t>
            </w:r>
          </w:p>
        </w:tc>
        <w:tc>
          <w:tcPr>
            <w:tcW w:w="1417" w:type="dxa"/>
            <w:tcBorders>
              <w:top w:val="single" w:sz="4" w:space="0" w:color="auto"/>
              <w:bottom w:val="single" w:sz="6" w:space="0" w:color="auto"/>
            </w:tcBorders>
          </w:tcPr>
          <w:p w:rsidR="009C1C5A" w:rsidRPr="00896D4F" w:rsidRDefault="009C1C5A">
            <w:pPr>
              <w:tabs>
                <w:tab w:val="left" w:pos="284"/>
              </w:tabs>
              <w:ind w:right="-1"/>
              <w:jc w:val="center"/>
            </w:pPr>
            <w:r w:rsidRPr="00896D4F">
              <w:t>Nya</w:t>
            </w:r>
          </w:p>
        </w:tc>
        <w:tc>
          <w:tcPr>
            <w:tcW w:w="1418" w:type="dxa"/>
            <w:tcBorders>
              <w:top w:val="single" w:sz="4" w:space="0" w:color="auto"/>
              <w:bottom w:val="single" w:sz="6" w:space="0" w:color="auto"/>
            </w:tcBorders>
          </w:tcPr>
          <w:p w:rsidR="009C1C5A" w:rsidRPr="00896D4F" w:rsidRDefault="009C1C5A">
            <w:pPr>
              <w:tabs>
                <w:tab w:val="left" w:pos="284"/>
              </w:tabs>
              <w:ind w:right="-1"/>
              <w:jc w:val="center"/>
            </w:pPr>
            <w:r w:rsidRPr="00896D4F">
              <w:t>Avslutade</w:t>
            </w:r>
          </w:p>
        </w:tc>
        <w:tc>
          <w:tcPr>
            <w:tcW w:w="1418" w:type="dxa"/>
            <w:tcBorders>
              <w:top w:val="single" w:sz="4" w:space="0" w:color="auto"/>
              <w:bottom w:val="single" w:sz="6" w:space="0" w:color="auto"/>
            </w:tcBorders>
          </w:tcPr>
          <w:p w:rsidR="009C1C5A" w:rsidRPr="00896D4F" w:rsidRDefault="009C1C5A">
            <w:pPr>
              <w:tabs>
                <w:tab w:val="left" w:pos="284"/>
              </w:tabs>
              <w:ind w:right="-1"/>
              <w:jc w:val="center"/>
            </w:pPr>
            <w:r w:rsidRPr="00896D4F">
              <w:t>Balans</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Juli</w:t>
            </w:r>
          </w:p>
        </w:tc>
        <w:tc>
          <w:tcPr>
            <w:tcW w:w="1417" w:type="dxa"/>
          </w:tcPr>
          <w:p w:rsidR="009C1C5A" w:rsidRPr="00896D4F" w:rsidRDefault="009C1C5A">
            <w:pPr>
              <w:tabs>
                <w:tab w:val="left" w:pos="284"/>
              </w:tabs>
              <w:ind w:right="-1"/>
              <w:jc w:val="center"/>
            </w:pPr>
            <w:r w:rsidRPr="00896D4F">
              <w:t>357</w:t>
            </w:r>
          </w:p>
        </w:tc>
        <w:tc>
          <w:tcPr>
            <w:tcW w:w="1418" w:type="dxa"/>
          </w:tcPr>
          <w:p w:rsidR="009C1C5A" w:rsidRPr="00896D4F" w:rsidRDefault="009C1C5A">
            <w:pPr>
              <w:tabs>
                <w:tab w:val="left" w:pos="284"/>
              </w:tabs>
              <w:ind w:right="-1"/>
              <w:jc w:val="center"/>
            </w:pPr>
            <w:r w:rsidRPr="00896D4F">
              <w:t>93</w:t>
            </w:r>
          </w:p>
        </w:tc>
        <w:tc>
          <w:tcPr>
            <w:tcW w:w="1418" w:type="dxa"/>
          </w:tcPr>
          <w:p w:rsidR="009C1C5A" w:rsidRPr="00896D4F" w:rsidRDefault="009C1C5A">
            <w:pPr>
              <w:tabs>
                <w:tab w:val="left" w:pos="284"/>
              </w:tabs>
              <w:ind w:right="-1"/>
              <w:jc w:val="center"/>
            </w:pPr>
            <w:r w:rsidRPr="00896D4F">
              <w:t>1 018</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Augusti</w:t>
            </w:r>
          </w:p>
        </w:tc>
        <w:tc>
          <w:tcPr>
            <w:tcW w:w="1417" w:type="dxa"/>
          </w:tcPr>
          <w:p w:rsidR="009C1C5A" w:rsidRPr="00896D4F" w:rsidRDefault="009C1C5A">
            <w:pPr>
              <w:tabs>
                <w:tab w:val="left" w:pos="284"/>
              </w:tabs>
              <w:ind w:right="-1"/>
              <w:jc w:val="center"/>
            </w:pPr>
            <w:r w:rsidRPr="00896D4F">
              <w:t>352</w:t>
            </w:r>
          </w:p>
        </w:tc>
        <w:tc>
          <w:tcPr>
            <w:tcW w:w="1418" w:type="dxa"/>
          </w:tcPr>
          <w:p w:rsidR="009C1C5A" w:rsidRPr="00896D4F" w:rsidRDefault="009C1C5A">
            <w:pPr>
              <w:tabs>
                <w:tab w:val="left" w:pos="284"/>
              </w:tabs>
              <w:ind w:right="-1"/>
              <w:jc w:val="center"/>
            </w:pPr>
            <w:r w:rsidRPr="00896D4F">
              <w:t>521</w:t>
            </w:r>
          </w:p>
        </w:tc>
        <w:tc>
          <w:tcPr>
            <w:tcW w:w="1418" w:type="dxa"/>
          </w:tcPr>
          <w:p w:rsidR="009C1C5A" w:rsidRPr="00896D4F" w:rsidRDefault="009C1C5A">
            <w:pPr>
              <w:tabs>
                <w:tab w:val="left" w:pos="284"/>
              </w:tabs>
              <w:ind w:right="-1"/>
              <w:jc w:val="center"/>
            </w:pPr>
            <w:r w:rsidRPr="00896D4F">
              <w:t>849</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September</w:t>
            </w:r>
          </w:p>
        </w:tc>
        <w:tc>
          <w:tcPr>
            <w:tcW w:w="1417" w:type="dxa"/>
          </w:tcPr>
          <w:p w:rsidR="009C1C5A" w:rsidRPr="00896D4F" w:rsidRDefault="009C1C5A">
            <w:pPr>
              <w:tabs>
                <w:tab w:val="left" w:pos="284"/>
              </w:tabs>
              <w:ind w:right="-1"/>
              <w:jc w:val="center"/>
            </w:pPr>
            <w:r w:rsidRPr="00896D4F">
              <w:t>361</w:t>
            </w:r>
          </w:p>
        </w:tc>
        <w:tc>
          <w:tcPr>
            <w:tcW w:w="1418" w:type="dxa"/>
          </w:tcPr>
          <w:p w:rsidR="009C1C5A" w:rsidRPr="00896D4F" w:rsidRDefault="009C1C5A">
            <w:pPr>
              <w:tabs>
                <w:tab w:val="left" w:pos="284"/>
              </w:tabs>
              <w:ind w:right="-1"/>
              <w:jc w:val="center"/>
            </w:pPr>
            <w:r w:rsidRPr="00896D4F">
              <w:t>420</w:t>
            </w:r>
          </w:p>
        </w:tc>
        <w:tc>
          <w:tcPr>
            <w:tcW w:w="1418" w:type="dxa"/>
          </w:tcPr>
          <w:p w:rsidR="009C1C5A" w:rsidRPr="00896D4F" w:rsidRDefault="009C1C5A">
            <w:pPr>
              <w:tabs>
                <w:tab w:val="left" w:pos="284"/>
              </w:tabs>
              <w:ind w:right="-1"/>
              <w:jc w:val="center"/>
            </w:pPr>
            <w:r w:rsidRPr="00896D4F">
              <w:t>790</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Oktober</w:t>
            </w:r>
          </w:p>
        </w:tc>
        <w:tc>
          <w:tcPr>
            <w:tcW w:w="1417" w:type="dxa"/>
          </w:tcPr>
          <w:p w:rsidR="009C1C5A" w:rsidRPr="00896D4F" w:rsidRDefault="009C1C5A">
            <w:pPr>
              <w:tabs>
                <w:tab w:val="left" w:pos="284"/>
              </w:tabs>
              <w:ind w:right="-1"/>
              <w:jc w:val="center"/>
            </w:pPr>
            <w:r w:rsidRPr="00896D4F">
              <w:t>435</w:t>
            </w:r>
          </w:p>
        </w:tc>
        <w:tc>
          <w:tcPr>
            <w:tcW w:w="1418" w:type="dxa"/>
          </w:tcPr>
          <w:p w:rsidR="009C1C5A" w:rsidRPr="00896D4F" w:rsidRDefault="009C1C5A">
            <w:pPr>
              <w:tabs>
                <w:tab w:val="left" w:pos="284"/>
              </w:tabs>
              <w:ind w:right="-1"/>
              <w:jc w:val="center"/>
            </w:pPr>
            <w:r w:rsidRPr="00896D4F">
              <w:t>431</w:t>
            </w:r>
          </w:p>
        </w:tc>
        <w:tc>
          <w:tcPr>
            <w:tcW w:w="1418" w:type="dxa"/>
          </w:tcPr>
          <w:p w:rsidR="009C1C5A" w:rsidRPr="00896D4F" w:rsidRDefault="009C1C5A">
            <w:pPr>
              <w:tabs>
                <w:tab w:val="left" w:pos="284"/>
              </w:tabs>
              <w:ind w:right="-1"/>
              <w:jc w:val="center"/>
            </w:pPr>
            <w:r w:rsidRPr="00896D4F">
              <w:t>794</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November</w:t>
            </w:r>
          </w:p>
        </w:tc>
        <w:tc>
          <w:tcPr>
            <w:tcW w:w="1417" w:type="dxa"/>
          </w:tcPr>
          <w:p w:rsidR="009C1C5A" w:rsidRPr="00896D4F" w:rsidRDefault="009C1C5A">
            <w:pPr>
              <w:tabs>
                <w:tab w:val="left" w:pos="284"/>
              </w:tabs>
              <w:ind w:right="-1"/>
              <w:jc w:val="center"/>
            </w:pPr>
            <w:r w:rsidRPr="00896D4F">
              <w:t>411</w:t>
            </w:r>
          </w:p>
        </w:tc>
        <w:tc>
          <w:tcPr>
            <w:tcW w:w="1418" w:type="dxa"/>
          </w:tcPr>
          <w:p w:rsidR="009C1C5A" w:rsidRPr="00896D4F" w:rsidRDefault="009C1C5A">
            <w:pPr>
              <w:tabs>
                <w:tab w:val="left" w:pos="284"/>
              </w:tabs>
              <w:ind w:right="-1"/>
              <w:jc w:val="center"/>
            </w:pPr>
            <w:r w:rsidRPr="00896D4F">
              <w:t>396</w:t>
            </w:r>
          </w:p>
        </w:tc>
        <w:tc>
          <w:tcPr>
            <w:tcW w:w="1418" w:type="dxa"/>
          </w:tcPr>
          <w:p w:rsidR="009C1C5A" w:rsidRPr="00896D4F" w:rsidRDefault="009C1C5A">
            <w:pPr>
              <w:tabs>
                <w:tab w:val="left" w:pos="284"/>
              </w:tabs>
              <w:ind w:right="-1"/>
              <w:jc w:val="center"/>
            </w:pPr>
            <w:r w:rsidRPr="00896D4F">
              <w:t>809</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December</w:t>
            </w:r>
          </w:p>
        </w:tc>
        <w:tc>
          <w:tcPr>
            <w:tcW w:w="1417" w:type="dxa"/>
          </w:tcPr>
          <w:p w:rsidR="009C1C5A" w:rsidRPr="00896D4F" w:rsidRDefault="009C1C5A">
            <w:pPr>
              <w:tabs>
                <w:tab w:val="left" w:pos="284"/>
              </w:tabs>
              <w:ind w:right="-1"/>
              <w:jc w:val="center"/>
            </w:pPr>
            <w:r w:rsidRPr="00896D4F">
              <w:t>304</w:t>
            </w:r>
          </w:p>
        </w:tc>
        <w:tc>
          <w:tcPr>
            <w:tcW w:w="1418" w:type="dxa"/>
          </w:tcPr>
          <w:p w:rsidR="009C1C5A" w:rsidRPr="00896D4F" w:rsidRDefault="009C1C5A">
            <w:pPr>
              <w:tabs>
                <w:tab w:val="left" w:pos="284"/>
              </w:tabs>
              <w:ind w:right="-1"/>
              <w:jc w:val="center"/>
            </w:pPr>
            <w:r w:rsidRPr="00896D4F">
              <w:t>267</w:t>
            </w:r>
          </w:p>
        </w:tc>
        <w:tc>
          <w:tcPr>
            <w:tcW w:w="1418" w:type="dxa"/>
          </w:tcPr>
          <w:p w:rsidR="009C1C5A" w:rsidRPr="00896D4F" w:rsidRDefault="009C1C5A">
            <w:pPr>
              <w:tabs>
                <w:tab w:val="left" w:pos="284"/>
              </w:tabs>
              <w:ind w:right="-1"/>
              <w:jc w:val="center"/>
            </w:pPr>
            <w:r w:rsidRPr="00896D4F">
              <w:t>846</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Januari</w:t>
            </w:r>
          </w:p>
        </w:tc>
        <w:tc>
          <w:tcPr>
            <w:tcW w:w="1417" w:type="dxa"/>
          </w:tcPr>
          <w:p w:rsidR="009C1C5A" w:rsidRPr="00896D4F" w:rsidRDefault="009C1C5A">
            <w:pPr>
              <w:tabs>
                <w:tab w:val="left" w:pos="284"/>
              </w:tabs>
              <w:ind w:right="-1"/>
              <w:jc w:val="center"/>
            </w:pPr>
            <w:r w:rsidRPr="00896D4F">
              <w:t>425</w:t>
            </w:r>
          </w:p>
        </w:tc>
        <w:tc>
          <w:tcPr>
            <w:tcW w:w="1418" w:type="dxa"/>
          </w:tcPr>
          <w:p w:rsidR="009C1C5A" w:rsidRPr="00896D4F" w:rsidRDefault="009C1C5A">
            <w:pPr>
              <w:tabs>
                <w:tab w:val="left" w:pos="284"/>
              </w:tabs>
              <w:ind w:right="-1"/>
              <w:jc w:val="center"/>
            </w:pPr>
            <w:r w:rsidRPr="00896D4F">
              <w:t>506</w:t>
            </w:r>
          </w:p>
        </w:tc>
        <w:tc>
          <w:tcPr>
            <w:tcW w:w="1418" w:type="dxa"/>
          </w:tcPr>
          <w:p w:rsidR="009C1C5A" w:rsidRPr="00896D4F" w:rsidRDefault="009C1C5A">
            <w:pPr>
              <w:tabs>
                <w:tab w:val="left" w:pos="284"/>
              </w:tabs>
              <w:ind w:right="-1"/>
              <w:jc w:val="center"/>
            </w:pPr>
            <w:r w:rsidRPr="00896D4F">
              <w:t>765</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Februari</w:t>
            </w:r>
          </w:p>
        </w:tc>
        <w:tc>
          <w:tcPr>
            <w:tcW w:w="1417" w:type="dxa"/>
          </w:tcPr>
          <w:p w:rsidR="009C1C5A" w:rsidRPr="00896D4F" w:rsidRDefault="009C1C5A">
            <w:pPr>
              <w:tabs>
                <w:tab w:val="left" w:pos="284"/>
              </w:tabs>
              <w:ind w:right="-1"/>
              <w:jc w:val="center"/>
            </w:pPr>
            <w:r w:rsidRPr="00896D4F">
              <w:t>381</w:t>
            </w:r>
          </w:p>
        </w:tc>
        <w:tc>
          <w:tcPr>
            <w:tcW w:w="1418" w:type="dxa"/>
          </w:tcPr>
          <w:p w:rsidR="009C1C5A" w:rsidRPr="00896D4F" w:rsidRDefault="009C1C5A">
            <w:pPr>
              <w:tabs>
                <w:tab w:val="left" w:pos="284"/>
              </w:tabs>
              <w:ind w:right="-1"/>
              <w:jc w:val="center"/>
            </w:pPr>
            <w:r w:rsidRPr="00896D4F">
              <w:t>360</w:t>
            </w:r>
          </w:p>
        </w:tc>
        <w:tc>
          <w:tcPr>
            <w:tcW w:w="1418" w:type="dxa"/>
          </w:tcPr>
          <w:p w:rsidR="009C1C5A" w:rsidRPr="00896D4F" w:rsidRDefault="009C1C5A">
            <w:pPr>
              <w:tabs>
                <w:tab w:val="left" w:pos="284"/>
              </w:tabs>
              <w:ind w:right="-1"/>
              <w:jc w:val="center"/>
            </w:pPr>
            <w:r w:rsidRPr="00896D4F">
              <w:t>786</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Mars</w:t>
            </w:r>
          </w:p>
        </w:tc>
        <w:tc>
          <w:tcPr>
            <w:tcW w:w="1417" w:type="dxa"/>
          </w:tcPr>
          <w:p w:rsidR="009C1C5A" w:rsidRPr="00896D4F" w:rsidRDefault="009C1C5A">
            <w:pPr>
              <w:tabs>
                <w:tab w:val="left" w:pos="284"/>
              </w:tabs>
              <w:ind w:right="-1"/>
              <w:jc w:val="center"/>
            </w:pPr>
            <w:r w:rsidRPr="00896D4F">
              <w:t>378</w:t>
            </w:r>
          </w:p>
        </w:tc>
        <w:tc>
          <w:tcPr>
            <w:tcW w:w="1418" w:type="dxa"/>
          </w:tcPr>
          <w:p w:rsidR="009C1C5A" w:rsidRPr="00896D4F" w:rsidRDefault="009C1C5A">
            <w:pPr>
              <w:tabs>
                <w:tab w:val="left" w:pos="284"/>
              </w:tabs>
              <w:ind w:right="-1"/>
              <w:jc w:val="center"/>
            </w:pPr>
            <w:r w:rsidRPr="00896D4F">
              <w:t>414</w:t>
            </w:r>
          </w:p>
        </w:tc>
        <w:tc>
          <w:tcPr>
            <w:tcW w:w="1418" w:type="dxa"/>
          </w:tcPr>
          <w:p w:rsidR="009C1C5A" w:rsidRPr="00896D4F" w:rsidRDefault="009C1C5A">
            <w:pPr>
              <w:tabs>
                <w:tab w:val="left" w:pos="284"/>
              </w:tabs>
              <w:ind w:right="-1"/>
              <w:jc w:val="center"/>
            </w:pPr>
            <w:r w:rsidRPr="00896D4F">
              <w:t>750</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April</w:t>
            </w:r>
          </w:p>
        </w:tc>
        <w:tc>
          <w:tcPr>
            <w:tcW w:w="1417" w:type="dxa"/>
          </w:tcPr>
          <w:p w:rsidR="009C1C5A" w:rsidRPr="00896D4F" w:rsidRDefault="009C1C5A">
            <w:pPr>
              <w:tabs>
                <w:tab w:val="left" w:pos="284"/>
              </w:tabs>
              <w:ind w:right="-1"/>
              <w:jc w:val="center"/>
            </w:pPr>
            <w:r w:rsidRPr="00896D4F">
              <w:t>421</w:t>
            </w:r>
          </w:p>
        </w:tc>
        <w:tc>
          <w:tcPr>
            <w:tcW w:w="1418" w:type="dxa"/>
          </w:tcPr>
          <w:p w:rsidR="009C1C5A" w:rsidRPr="00896D4F" w:rsidRDefault="009C1C5A">
            <w:pPr>
              <w:tabs>
                <w:tab w:val="left" w:pos="284"/>
              </w:tabs>
              <w:ind w:right="-1"/>
              <w:jc w:val="center"/>
            </w:pPr>
            <w:r w:rsidRPr="00896D4F">
              <w:t>362</w:t>
            </w:r>
          </w:p>
        </w:tc>
        <w:tc>
          <w:tcPr>
            <w:tcW w:w="1418" w:type="dxa"/>
          </w:tcPr>
          <w:p w:rsidR="009C1C5A" w:rsidRPr="00896D4F" w:rsidRDefault="009C1C5A">
            <w:pPr>
              <w:tabs>
                <w:tab w:val="left" w:pos="284"/>
              </w:tabs>
              <w:ind w:right="-1"/>
              <w:jc w:val="center"/>
            </w:pPr>
            <w:r w:rsidRPr="00896D4F">
              <w:t>809</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Maj</w:t>
            </w:r>
          </w:p>
        </w:tc>
        <w:tc>
          <w:tcPr>
            <w:tcW w:w="1417" w:type="dxa"/>
          </w:tcPr>
          <w:p w:rsidR="009C1C5A" w:rsidRPr="00896D4F" w:rsidRDefault="009C1C5A">
            <w:pPr>
              <w:tabs>
                <w:tab w:val="left" w:pos="284"/>
              </w:tabs>
              <w:ind w:right="-1"/>
              <w:jc w:val="center"/>
            </w:pPr>
            <w:r w:rsidRPr="00896D4F">
              <w:t>378</w:t>
            </w:r>
          </w:p>
        </w:tc>
        <w:tc>
          <w:tcPr>
            <w:tcW w:w="1418" w:type="dxa"/>
          </w:tcPr>
          <w:p w:rsidR="009C1C5A" w:rsidRPr="00896D4F" w:rsidRDefault="009C1C5A">
            <w:pPr>
              <w:tabs>
                <w:tab w:val="left" w:pos="284"/>
              </w:tabs>
              <w:ind w:right="-1"/>
              <w:jc w:val="center"/>
            </w:pPr>
            <w:r w:rsidRPr="00896D4F">
              <w:t>446</w:t>
            </w:r>
          </w:p>
        </w:tc>
        <w:tc>
          <w:tcPr>
            <w:tcW w:w="1418" w:type="dxa"/>
          </w:tcPr>
          <w:p w:rsidR="009C1C5A" w:rsidRPr="00896D4F" w:rsidRDefault="009C1C5A">
            <w:pPr>
              <w:tabs>
                <w:tab w:val="left" w:pos="284"/>
              </w:tabs>
              <w:ind w:right="-1"/>
              <w:jc w:val="center"/>
            </w:pPr>
            <w:r w:rsidRPr="00896D4F">
              <w:t>741</w:t>
            </w:r>
          </w:p>
        </w:tc>
      </w:tr>
      <w:tr w:rsidR="00000000" w:rsidRPr="00896D4F">
        <w:tblPrEx>
          <w:tblCellMar>
            <w:top w:w="0" w:type="dxa"/>
            <w:bottom w:w="0" w:type="dxa"/>
          </w:tblCellMar>
        </w:tblPrEx>
        <w:tc>
          <w:tcPr>
            <w:tcW w:w="1771" w:type="dxa"/>
          </w:tcPr>
          <w:p w:rsidR="009C1C5A" w:rsidRPr="00896D4F" w:rsidRDefault="009C1C5A">
            <w:pPr>
              <w:tabs>
                <w:tab w:val="left" w:pos="284"/>
              </w:tabs>
              <w:ind w:right="-1"/>
            </w:pPr>
            <w:r w:rsidRPr="00896D4F">
              <w:t>Juni</w:t>
            </w:r>
          </w:p>
        </w:tc>
        <w:tc>
          <w:tcPr>
            <w:tcW w:w="1417" w:type="dxa"/>
            <w:tcBorders>
              <w:bottom w:val="single" w:sz="6" w:space="0" w:color="auto"/>
            </w:tcBorders>
          </w:tcPr>
          <w:p w:rsidR="009C1C5A" w:rsidRPr="00896D4F" w:rsidRDefault="009C1C5A">
            <w:pPr>
              <w:tabs>
                <w:tab w:val="left" w:pos="284"/>
              </w:tabs>
              <w:ind w:right="-1"/>
              <w:jc w:val="center"/>
            </w:pPr>
            <w:r w:rsidRPr="00896D4F">
              <w:t>371</w:t>
            </w:r>
          </w:p>
        </w:tc>
        <w:tc>
          <w:tcPr>
            <w:tcW w:w="1418" w:type="dxa"/>
            <w:tcBorders>
              <w:bottom w:val="single" w:sz="6" w:space="0" w:color="auto"/>
            </w:tcBorders>
          </w:tcPr>
          <w:p w:rsidR="009C1C5A" w:rsidRPr="00896D4F" w:rsidRDefault="009C1C5A">
            <w:pPr>
              <w:tabs>
                <w:tab w:val="left" w:pos="284"/>
              </w:tabs>
              <w:ind w:right="-1"/>
              <w:jc w:val="center"/>
            </w:pPr>
            <w:r w:rsidRPr="00896D4F">
              <w:t>372</w:t>
            </w:r>
          </w:p>
        </w:tc>
        <w:tc>
          <w:tcPr>
            <w:tcW w:w="1418" w:type="dxa"/>
            <w:tcBorders>
              <w:bottom w:val="single" w:sz="6" w:space="0" w:color="auto"/>
            </w:tcBorders>
          </w:tcPr>
          <w:p w:rsidR="009C1C5A" w:rsidRPr="00896D4F" w:rsidRDefault="009C1C5A">
            <w:pPr>
              <w:tabs>
                <w:tab w:val="left" w:pos="284"/>
              </w:tabs>
              <w:ind w:right="-1"/>
              <w:jc w:val="center"/>
            </w:pPr>
            <w:r w:rsidRPr="00896D4F">
              <w:t>740</w:t>
            </w:r>
          </w:p>
        </w:tc>
      </w:tr>
      <w:tr w:rsidR="00000000" w:rsidRPr="00896D4F">
        <w:tblPrEx>
          <w:tblCellMar>
            <w:top w:w="0" w:type="dxa"/>
            <w:bottom w:w="0" w:type="dxa"/>
          </w:tblCellMar>
        </w:tblPrEx>
        <w:tc>
          <w:tcPr>
            <w:tcW w:w="1771" w:type="dxa"/>
            <w:tcBorders>
              <w:bottom w:val="single" w:sz="6" w:space="0" w:color="auto"/>
            </w:tcBorders>
          </w:tcPr>
          <w:p w:rsidR="009C1C5A" w:rsidRPr="00896D4F" w:rsidRDefault="009C1C5A">
            <w:pPr>
              <w:tabs>
                <w:tab w:val="left" w:pos="284"/>
              </w:tabs>
              <w:ind w:right="-1"/>
            </w:pPr>
            <w:r w:rsidRPr="00896D4F">
              <w:t>Summa</w:t>
            </w:r>
          </w:p>
        </w:tc>
        <w:tc>
          <w:tcPr>
            <w:tcW w:w="1417" w:type="dxa"/>
            <w:tcBorders>
              <w:bottom w:val="single" w:sz="6" w:space="0" w:color="auto"/>
            </w:tcBorders>
          </w:tcPr>
          <w:p w:rsidR="009C1C5A" w:rsidRPr="00896D4F" w:rsidRDefault="009C1C5A">
            <w:pPr>
              <w:tabs>
                <w:tab w:val="left" w:pos="284"/>
              </w:tabs>
              <w:ind w:right="-1"/>
              <w:jc w:val="center"/>
            </w:pPr>
            <w:r w:rsidRPr="00896D4F">
              <w:t>4 574</w:t>
            </w:r>
          </w:p>
        </w:tc>
        <w:tc>
          <w:tcPr>
            <w:tcW w:w="1418" w:type="dxa"/>
            <w:tcBorders>
              <w:bottom w:val="single" w:sz="6" w:space="0" w:color="auto"/>
            </w:tcBorders>
          </w:tcPr>
          <w:p w:rsidR="009C1C5A" w:rsidRPr="00896D4F" w:rsidRDefault="009C1C5A">
            <w:pPr>
              <w:tabs>
                <w:tab w:val="left" w:pos="284"/>
              </w:tabs>
              <w:ind w:right="-1"/>
              <w:jc w:val="center"/>
            </w:pPr>
            <w:r w:rsidRPr="00896D4F">
              <w:t>4 588</w:t>
            </w:r>
          </w:p>
        </w:tc>
        <w:tc>
          <w:tcPr>
            <w:tcW w:w="1418" w:type="dxa"/>
            <w:tcBorders>
              <w:bottom w:val="single" w:sz="6" w:space="0" w:color="auto"/>
            </w:tcBorders>
          </w:tcPr>
          <w:p w:rsidR="009C1C5A" w:rsidRPr="00896D4F" w:rsidRDefault="009C1C5A">
            <w:pPr>
              <w:tabs>
                <w:tab w:val="left" w:pos="284"/>
              </w:tabs>
              <w:ind w:right="-1"/>
              <w:jc w:val="center"/>
            </w:pPr>
          </w:p>
        </w:tc>
      </w:tr>
    </w:tbl>
    <w:p w:rsidR="009C1C5A" w:rsidRPr="00896D4F" w:rsidRDefault="009C1C5A">
      <w:pPr>
        <w:pStyle w:val="Rubrik4"/>
      </w:pPr>
    </w:p>
    <w:p w:rsidR="009C1C5A" w:rsidRPr="00896D4F" w:rsidRDefault="009C1C5A">
      <w:pPr>
        <w:pStyle w:val="Rubrik4"/>
      </w:pPr>
      <w:r w:rsidRPr="00896D4F">
        <w:br w:type="page"/>
        <w:t>Tablå över utgången i de under tiden den 1 juli 2001–30 juni 2002 avgjorda inspektions- och övriga initiativärendena</w:t>
      </w:r>
    </w:p>
    <w:tbl>
      <w:tblPr>
        <w:tblW w:w="0" w:type="auto"/>
        <w:tblLayout w:type="fixed"/>
        <w:tblCellMar>
          <w:left w:w="70" w:type="dxa"/>
          <w:right w:w="70" w:type="dxa"/>
        </w:tblCellMar>
        <w:tblLook w:val="0000" w:firstRow="0" w:lastRow="0" w:firstColumn="0" w:lastColumn="0" w:noHBand="0" w:noVBand="0"/>
      </w:tblPr>
      <w:tblGrid>
        <w:gridCol w:w="1560"/>
        <w:gridCol w:w="992"/>
        <w:gridCol w:w="923"/>
        <w:gridCol w:w="850"/>
        <w:gridCol w:w="1134"/>
        <w:gridCol w:w="920"/>
        <w:gridCol w:w="851"/>
      </w:tblGrid>
      <w:tr w:rsidR="00000000" w:rsidRPr="00896D4F">
        <w:tblPrEx>
          <w:tblCellMar>
            <w:top w:w="0" w:type="dxa"/>
            <w:bottom w:w="0" w:type="dxa"/>
          </w:tblCellMar>
        </w:tblPrEx>
        <w:tc>
          <w:tcPr>
            <w:tcW w:w="1560"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Sakområde</w:t>
            </w:r>
          </w:p>
        </w:tc>
        <w:tc>
          <w:tcPr>
            <w:tcW w:w="992"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Avgjorda utan slutlig anledning till kritik</w:t>
            </w:r>
          </w:p>
        </w:tc>
        <w:tc>
          <w:tcPr>
            <w:tcW w:w="923"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Erinran eller an</w:t>
            </w:r>
            <w:r w:rsidRPr="00896D4F">
              <w:rPr>
                <w:sz w:val="16"/>
              </w:rPr>
              <w:softHyphen/>
              <w:t>nan kritik; vägl. utt</w:t>
            </w:r>
            <w:r w:rsidRPr="00896D4F">
              <w:rPr>
                <w:sz w:val="16"/>
              </w:rPr>
              <w:t>a</w:t>
            </w:r>
            <w:r w:rsidRPr="00896D4F">
              <w:rPr>
                <w:sz w:val="16"/>
              </w:rPr>
              <w:t xml:space="preserve">landen </w:t>
            </w:r>
          </w:p>
        </w:tc>
        <w:tc>
          <w:tcPr>
            <w:tcW w:w="850"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 xml:space="preserve">Förunder-sökning; ej åtal </w:t>
            </w:r>
          </w:p>
        </w:tc>
        <w:tc>
          <w:tcPr>
            <w:tcW w:w="1134"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Överlämnan-de till annan myndighet enligt 18 § instrukti</w:t>
            </w:r>
            <w:r w:rsidRPr="00896D4F">
              <w:rPr>
                <w:sz w:val="16"/>
              </w:rPr>
              <w:t>o</w:t>
            </w:r>
            <w:r w:rsidRPr="00896D4F">
              <w:rPr>
                <w:sz w:val="16"/>
              </w:rPr>
              <w:t>nen</w:t>
            </w:r>
          </w:p>
        </w:tc>
        <w:tc>
          <w:tcPr>
            <w:tcW w:w="920"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Framstäl</w:t>
            </w:r>
            <w:r w:rsidRPr="00896D4F">
              <w:rPr>
                <w:sz w:val="16"/>
              </w:rPr>
              <w:t>l</w:t>
            </w:r>
            <w:r w:rsidRPr="00896D4F">
              <w:rPr>
                <w:sz w:val="16"/>
              </w:rPr>
              <w:t>ning till riksdagen eller re</w:t>
            </w:r>
            <w:r w:rsidRPr="00896D4F">
              <w:rPr>
                <w:sz w:val="16"/>
              </w:rPr>
              <w:softHyphen/>
              <w:t>gerin</w:t>
            </w:r>
            <w:r w:rsidRPr="00896D4F">
              <w:rPr>
                <w:sz w:val="16"/>
              </w:rPr>
              <w:t>g</w:t>
            </w:r>
            <w:r w:rsidRPr="00896D4F">
              <w:rPr>
                <w:sz w:val="16"/>
              </w:rPr>
              <w:t>en</w:t>
            </w:r>
          </w:p>
        </w:tc>
        <w:tc>
          <w:tcPr>
            <w:tcW w:w="851" w:type="dxa"/>
            <w:tcBorders>
              <w:top w:val="single" w:sz="4" w:space="0" w:color="auto"/>
              <w:bottom w:val="single" w:sz="4" w:space="0" w:color="auto"/>
            </w:tcBorders>
          </w:tcPr>
          <w:p w:rsidR="009C1C5A" w:rsidRPr="00896D4F" w:rsidRDefault="009C1C5A">
            <w:pPr>
              <w:tabs>
                <w:tab w:val="left" w:pos="284"/>
              </w:tabs>
              <w:spacing w:before="120" w:line="200" w:lineRule="exact"/>
              <w:jc w:val="left"/>
              <w:rPr>
                <w:sz w:val="16"/>
              </w:rPr>
            </w:pPr>
            <w:r w:rsidRPr="00896D4F">
              <w:rPr>
                <w:sz w:val="16"/>
              </w:rPr>
              <w:t>Summa ärenden</w:t>
            </w:r>
          </w:p>
        </w:tc>
      </w:tr>
      <w:tr w:rsidR="00000000" w:rsidRPr="00896D4F">
        <w:tblPrEx>
          <w:tblCellMar>
            <w:top w:w="0" w:type="dxa"/>
            <w:bottom w:w="0" w:type="dxa"/>
          </w:tblCellMar>
        </w:tblPrEx>
        <w:tc>
          <w:tcPr>
            <w:tcW w:w="1560" w:type="dxa"/>
            <w:tcBorders>
              <w:top w:val="single" w:sz="4" w:space="0" w:color="auto"/>
            </w:tcBorders>
            <w:vAlign w:val="bottom"/>
          </w:tcPr>
          <w:p w:rsidR="009C1C5A" w:rsidRPr="00896D4F" w:rsidRDefault="009C1C5A">
            <w:pPr>
              <w:tabs>
                <w:tab w:val="left" w:pos="284"/>
              </w:tabs>
              <w:spacing w:before="120" w:line="200" w:lineRule="exact"/>
              <w:ind w:right="-1"/>
              <w:rPr>
                <w:sz w:val="16"/>
              </w:rPr>
            </w:pPr>
            <w:r w:rsidRPr="00896D4F">
              <w:rPr>
                <w:sz w:val="16"/>
              </w:rPr>
              <w:t>Domstolsväsendet</w:t>
            </w:r>
          </w:p>
        </w:tc>
        <w:tc>
          <w:tcPr>
            <w:tcW w:w="992"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12</w:t>
            </w:r>
          </w:p>
        </w:tc>
        <w:tc>
          <w:tcPr>
            <w:tcW w:w="850"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tcBorders>
              <w:top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12</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 xml:space="preserve">Åklagarväsendet       </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4</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7</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Polisväsendet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5</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17</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Försvarsväsendet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5</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Kriminalvård</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4</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7</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Socialtjänst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Hälso- och sjukvård</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Allmän försäkring</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17</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17</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 xml:space="preserve">Arbetsmarknad </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 xml:space="preserve">Utbildning </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Beskattning, folkbo</w:t>
            </w:r>
            <w:r w:rsidRPr="00896D4F">
              <w:rPr>
                <w:sz w:val="16"/>
              </w:rPr>
              <w:t>k</w:t>
            </w:r>
            <w:r w:rsidRPr="00896D4F">
              <w:rPr>
                <w:sz w:val="16"/>
              </w:rPr>
              <w:t>f</w:t>
            </w:r>
            <w:r w:rsidRPr="00896D4F">
              <w:rPr>
                <w:sz w:val="16"/>
              </w:rPr>
              <w:t>ö</w:t>
            </w:r>
            <w:r w:rsidRPr="00896D4F">
              <w:rPr>
                <w:sz w:val="16"/>
              </w:rPr>
              <w:t xml:space="preserve">ring, tull </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Jordbruk, miljö- och hälsoskydd, dju</w:t>
            </w:r>
            <w:r w:rsidRPr="00896D4F">
              <w:rPr>
                <w:sz w:val="16"/>
              </w:rPr>
              <w:t>r</w:t>
            </w:r>
            <w:r w:rsidRPr="00896D4F">
              <w:rPr>
                <w:sz w:val="16"/>
              </w:rPr>
              <w:t>skydd</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13</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13</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Plan- och byggnad</w:t>
            </w:r>
            <w:r w:rsidRPr="00896D4F">
              <w:rPr>
                <w:sz w:val="16"/>
              </w:rPr>
              <w:t>s</w:t>
            </w:r>
            <w:r w:rsidRPr="00896D4F">
              <w:rPr>
                <w:sz w:val="16"/>
              </w:rPr>
              <w:t>väsendet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4</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4</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Exekutionsväsendet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Väg- och kommu-nikationsväsendet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Kommunal självst</w:t>
            </w:r>
            <w:r w:rsidRPr="00896D4F">
              <w:rPr>
                <w:sz w:val="16"/>
              </w:rPr>
              <w:t>y</w:t>
            </w:r>
            <w:r w:rsidRPr="00896D4F">
              <w:rPr>
                <w:sz w:val="16"/>
              </w:rPr>
              <w:t>relse</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rPr>
                <w:sz w:val="16"/>
              </w:rPr>
            </w:pPr>
            <w:r w:rsidRPr="00896D4F">
              <w:rPr>
                <w:sz w:val="16"/>
              </w:rPr>
              <w:t>Utlänningsärenden</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Central statsförval</w:t>
            </w:r>
            <w:r w:rsidRPr="00896D4F">
              <w:rPr>
                <w:sz w:val="16"/>
              </w:rPr>
              <w:t>t</w:t>
            </w:r>
            <w:r w:rsidRPr="00896D4F">
              <w:rPr>
                <w:sz w:val="16"/>
              </w:rPr>
              <w:t>ning</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3</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Överförmyndarv</w:t>
            </w:r>
            <w:r w:rsidRPr="00896D4F">
              <w:rPr>
                <w:sz w:val="16"/>
              </w:rPr>
              <w:t>ä</w:t>
            </w:r>
            <w:r w:rsidRPr="00896D4F">
              <w:rPr>
                <w:sz w:val="16"/>
              </w:rPr>
              <w:t>sendet</w:t>
            </w:r>
          </w:p>
        </w:tc>
        <w:tc>
          <w:tcPr>
            <w:tcW w:w="992" w:type="dxa"/>
            <w:vAlign w:val="bottom"/>
          </w:tcPr>
          <w:p w:rsidR="009C1C5A" w:rsidRPr="00896D4F" w:rsidRDefault="009C1C5A">
            <w:pPr>
              <w:tabs>
                <w:tab w:val="left" w:pos="284"/>
              </w:tabs>
              <w:spacing w:before="120" w:line="200" w:lineRule="exact"/>
              <w:ind w:right="-1"/>
              <w:jc w:val="center"/>
              <w:rPr>
                <w:sz w:val="16"/>
              </w:rPr>
            </w:pPr>
            <w:r w:rsidRPr="00896D4F">
              <w:rPr>
                <w:sz w:val="16"/>
              </w:rPr>
              <w:t>2</w:t>
            </w:r>
          </w:p>
        </w:tc>
        <w:tc>
          <w:tcPr>
            <w:tcW w:w="923" w:type="dxa"/>
            <w:vAlign w:val="bottom"/>
          </w:tcPr>
          <w:p w:rsidR="009C1C5A" w:rsidRPr="00896D4F" w:rsidRDefault="009C1C5A">
            <w:pPr>
              <w:tabs>
                <w:tab w:val="left" w:pos="284"/>
              </w:tabs>
              <w:spacing w:before="120" w:line="200" w:lineRule="exact"/>
              <w:ind w:right="-1"/>
              <w:jc w:val="center"/>
              <w:rPr>
                <w:sz w:val="16"/>
              </w:rPr>
            </w:pPr>
            <w:r w:rsidRPr="00896D4F">
              <w:rPr>
                <w:sz w:val="16"/>
              </w:rPr>
              <w:t>10</w:t>
            </w:r>
          </w:p>
        </w:tc>
        <w:tc>
          <w:tcPr>
            <w:tcW w:w="85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vAlign w:val="bottom"/>
          </w:tcPr>
          <w:p w:rsidR="009C1C5A" w:rsidRPr="00896D4F" w:rsidRDefault="009C1C5A">
            <w:pPr>
              <w:tabs>
                <w:tab w:val="left" w:pos="284"/>
              </w:tabs>
              <w:spacing w:before="120" w:line="200" w:lineRule="exact"/>
              <w:ind w:right="-1"/>
              <w:jc w:val="center"/>
              <w:rPr>
                <w:sz w:val="16"/>
              </w:rPr>
            </w:pPr>
            <w:r w:rsidRPr="00896D4F">
              <w:rPr>
                <w:sz w:val="16"/>
              </w:rPr>
              <w:t>12</w:t>
            </w:r>
          </w:p>
        </w:tc>
      </w:tr>
      <w:tr w:rsidR="00000000" w:rsidRPr="00896D4F">
        <w:tblPrEx>
          <w:tblCellMar>
            <w:top w:w="0" w:type="dxa"/>
            <w:bottom w:w="0" w:type="dxa"/>
          </w:tblCellMar>
        </w:tblPrEx>
        <w:tc>
          <w:tcPr>
            <w:tcW w:w="1560" w:type="dxa"/>
            <w:vAlign w:val="bottom"/>
          </w:tcPr>
          <w:p w:rsidR="009C1C5A" w:rsidRPr="00896D4F" w:rsidRDefault="009C1C5A">
            <w:pPr>
              <w:tabs>
                <w:tab w:val="left" w:pos="284"/>
              </w:tabs>
              <w:spacing w:before="120" w:line="200" w:lineRule="exact"/>
              <w:ind w:right="-1"/>
              <w:jc w:val="left"/>
              <w:rPr>
                <w:sz w:val="16"/>
              </w:rPr>
            </w:pPr>
            <w:r w:rsidRPr="00896D4F">
              <w:rPr>
                <w:sz w:val="16"/>
              </w:rPr>
              <w:t>Offentlighet, sekr</w:t>
            </w:r>
            <w:r w:rsidRPr="00896D4F">
              <w:rPr>
                <w:sz w:val="16"/>
              </w:rPr>
              <w:t>e</w:t>
            </w:r>
            <w:r w:rsidRPr="00896D4F">
              <w:rPr>
                <w:sz w:val="16"/>
              </w:rPr>
              <w:t xml:space="preserve">tess, yttrandefrihet  </w:t>
            </w:r>
          </w:p>
        </w:tc>
        <w:tc>
          <w:tcPr>
            <w:tcW w:w="992"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1</w:t>
            </w:r>
          </w:p>
        </w:tc>
        <w:tc>
          <w:tcPr>
            <w:tcW w:w="923"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3</w:t>
            </w:r>
          </w:p>
        </w:tc>
        <w:tc>
          <w:tcPr>
            <w:tcW w:w="850"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1134"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920"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w:t>
            </w:r>
          </w:p>
        </w:tc>
        <w:tc>
          <w:tcPr>
            <w:tcW w:w="851" w:type="dxa"/>
            <w:tcBorders>
              <w:bottom w:val="single" w:sz="4" w:space="0" w:color="auto"/>
            </w:tcBorders>
            <w:vAlign w:val="bottom"/>
          </w:tcPr>
          <w:p w:rsidR="009C1C5A" w:rsidRPr="00896D4F" w:rsidRDefault="009C1C5A">
            <w:pPr>
              <w:tabs>
                <w:tab w:val="left" w:pos="284"/>
              </w:tabs>
              <w:spacing w:before="120" w:line="200" w:lineRule="exact"/>
              <w:ind w:right="-1"/>
              <w:jc w:val="center"/>
              <w:rPr>
                <w:sz w:val="16"/>
              </w:rPr>
            </w:pPr>
            <w:r w:rsidRPr="00896D4F">
              <w:rPr>
                <w:sz w:val="16"/>
              </w:rPr>
              <w:t>4</w:t>
            </w:r>
          </w:p>
        </w:tc>
      </w:tr>
      <w:tr w:rsidR="00000000" w:rsidRPr="00896D4F">
        <w:tblPrEx>
          <w:tblCellMar>
            <w:top w:w="0" w:type="dxa"/>
            <w:bottom w:w="0" w:type="dxa"/>
          </w:tblCellMar>
        </w:tblPrEx>
        <w:tc>
          <w:tcPr>
            <w:tcW w:w="1560" w:type="dxa"/>
            <w:tcBorders>
              <w:bottom w:val="single" w:sz="4" w:space="0" w:color="auto"/>
            </w:tcBorders>
            <w:vAlign w:val="bottom"/>
          </w:tcPr>
          <w:p w:rsidR="009C1C5A" w:rsidRPr="00896D4F" w:rsidRDefault="009C1C5A">
            <w:pPr>
              <w:tabs>
                <w:tab w:val="left" w:pos="284"/>
              </w:tabs>
              <w:spacing w:before="120" w:line="200" w:lineRule="exact"/>
              <w:ind w:right="-1"/>
              <w:rPr>
                <w:b/>
                <w:sz w:val="16"/>
              </w:rPr>
            </w:pPr>
            <w:r w:rsidRPr="00896D4F">
              <w:rPr>
                <w:b/>
                <w:sz w:val="16"/>
              </w:rPr>
              <w:t>Summa ärenden</w:t>
            </w:r>
          </w:p>
        </w:tc>
        <w:tc>
          <w:tcPr>
            <w:tcW w:w="992"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23</w:t>
            </w:r>
          </w:p>
        </w:tc>
        <w:tc>
          <w:tcPr>
            <w:tcW w:w="923"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95</w:t>
            </w:r>
          </w:p>
        </w:tc>
        <w:tc>
          <w:tcPr>
            <w:tcW w:w="850"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0</w:t>
            </w:r>
          </w:p>
        </w:tc>
        <w:tc>
          <w:tcPr>
            <w:tcW w:w="1134"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3</w:t>
            </w:r>
          </w:p>
        </w:tc>
        <w:tc>
          <w:tcPr>
            <w:tcW w:w="920"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0</w:t>
            </w:r>
          </w:p>
        </w:tc>
        <w:tc>
          <w:tcPr>
            <w:tcW w:w="851" w:type="dxa"/>
            <w:tcBorders>
              <w:top w:val="single" w:sz="4" w:space="0" w:color="auto"/>
              <w:bottom w:val="single" w:sz="4" w:space="0" w:color="auto"/>
            </w:tcBorders>
            <w:vAlign w:val="bottom"/>
          </w:tcPr>
          <w:p w:rsidR="009C1C5A" w:rsidRPr="00896D4F" w:rsidRDefault="009C1C5A">
            <w:pPr>
              <w:tabs>
                <w:tab w:val="left" w:pos="284"/>
              </w:tabs>
              <w:spacing w:before="120" w:line="200" w:lineRule="exact"/>
              <w:ind w:right="-1"/>
              <w:jc w:val="center"/>
              <w:rPr>
                <w:b/>
                <w:sz w:val="16"/>
              </w:rPr>
            </w:pPr>
            <w:r w:rsidRPr="00896D4F">
              <w:rPr>
                <w:b/>
                <w:sz w:val="16"/>
              </w:rPr>
              <w:t>121</w:t>
            </w:r>
          </w:p>
        </w:tc>
      </w:tr>
    </w:tbl>
    <w:p w:rsidR="009C1C5A" w:rsidRPr="00896D4F" w:rsidRDefault="009C1C5A">
      <w:pPr>
        <w:pStyle w:val="Rubrik4"/>
      </w:pPr>
    </w:p>
    <w:p w:rsidR="009C1C5A" w:rsidRPr="00896D4F" w:rsidRDefault="009C1C5A">
      <w:pPr>
        <w:pStyle w:val="Rubrik4"/>
        <w:ind w:left="-1418"/>
      </w:pPr>
      <w:r w:rsidRPr="00896D4F">
        <w:br w:type="page"/>
        <w:t>Tablå över utgången i de under tiden den 1 juli 2001–30 juni 2002 avgjorda klagomålsärendena</w:t>
      </w:r>
    </w:p>
    <w:tbl>
      <w:tblPr>
        <w:tblW w:w="0" w:type="auto"/>
        <w:tblInd w:w="-1418" w:type="dxa"/>
        <w:tblLayout w:type="fixed"/>
        <w:tblCellMar>
          <w:left w:w="70" w:type="dxa"/>
          <w:right w:w="70" w:type="dxa"/>
        </w:tblCellMar>
        <w:tblLook w:val="00B7" w:firstRow="1" w:lastRow="0" w:firstColumn="1" w:lastColumn="0" w:noHBand="0" w:noVBand="0"/>
      </w:tblPr>
      <w:tblGrid>
        <w:gridCol w:w="1715"/>
        <w:gridCol w:w="851"/>
        <w:gridCol w:w="794"/>
        <w:gridCol w:w="794"/>
        <w:gridCol w:w="879"/>
        <w:gridCol w:w="765"/>
        <w:gridCol w:w="907"/>
        <w:gridCol w:w="680"/>
      </w:tblGrid>
      <w:tr w:rsidR="00000000" w:rsidRPr="00896D4F">
        <w:tblPrEx>
          <w:tblCellMar>
            <w:top w:w="0" w:type="dxa"/>
            <w:bottom w:w="0" w:type="dxa"/>
          </w:tblCellMar>
        </w:tblPrEx>
        <w:tc>
          <w:tcPr>
            <w:tcW w:w="1715" w:type="dxa"/>
            <w:tcBorders>
              <w:top w:val="single" w:sz="4" w:space="0" w:color="auto"/>
              <w:bottom w:val="single" w:sz="4" w:space="0" w:color="auto"/>
            </w:tcBorders>
          </w:tcPr>
          <w:p w:rsidR="009C1C5A" w:rsidRPr="00896D4F" w:rsidRDefault="009C1C5A">
            <w:pPr>
              <w:tabs>
                <w:tab w:val="left" w:pos="284"/>
              </w:tabs>
              <w:spacing w:before="0" w:line="200" w:lineRule="exact"/>
              <w:ind w:right="-1"/>
              <w:jc w:val="left"/>
              <w:rPr>
                <w:sz w:val="16"/>
              </w:rPr>
            </w:pPr>
            <w:r w:rsidRPr="00896D4F">
              <w:rPr>
                <w:sz w:val="16"/>
              </w:rPr>
              <w:t>Sakområde</w:t>
            </w:r>
          </w:p>
        </w:tc>
        <w:tc>
          <w:tcPr>
            <w:tcW w:w="851" w:type="dxa"/>
            <w:tcBorders>
              <w:top w:val="single" w:sz="4" w:space="0" w:color="auto"/>
              <w:bottom w:val="single" w:sz="4" w:space="0" w:color="auto"/>
            </w:tcBorders>
          </w:tcPr>
          <w:p w:rsidR="009C1C5A" w:rsidRPr="00896D4F" w:rsidRDefault="009C1C5A">
            <w:pPr>
              <w:tabs>
                <w:tab w:val="left" w:pos="284"/>
              </w:tabs>
              <w:spacing w:before="0" w:line="200" w:lineRule="exact"/>
              <w:ind w:right="-1"/>
              <w:jc w:val="left"/>
              <w:rPr>
                <w:sz w:val="16"/>
              </w:rPr>
            </w:pPr>
            <w:r w:rsidRPr="00896D4F">
              <w:rPr>
                <w:sz w:val="16"/>
              </w:rPr>
              <w:t>Avvisning eller avgö-rande utan särskild utredning</w:t>
            </w:r>
          </w:p>
        </w:tc>
        <w:tc>
          <w:tcPr>
            <w:tcW w:w="794" w:type="dxa"/>
            <w:tcBorders>
              <w:top w:val="single" w:sz="4" w:space="0" w:color="auto"/>
              <w:bottom w:val="single" w:sz="4" w:space="0" w:color="auto"/>
            </w:tcBorders>
          </w:tcPr>
          <w:p w:rsidR="009C1C5A" w:rsidRPr="00896D4F" w:rsidRDefault="009C1C5A">
            <w:pPr>
              <w:tabs>
                <w:tab w:val="left" w:pos="284"/>
              </w:tabs>
              <w:spacing w:before="0" w:line="200" w:lineRule="exact"/>
              <w:jc w:val="left"/>
              <w:rPr>
                <w:sz w:val="16"/>
              </w:rPr>
            </w:pPr>
            <w:r w:rsidRPr="00896D4F">
              <w:rPr>
                <w:sz w:val="16"/>
              </w:rPr>
              <w:t>Överläm- nande en</w:t>
            </w:r>
            <w:r w:rsidRPr="00896D4F">
              <w:rPr>
                <w:sz w:val="16"/>
              </w:rPr>
              <w:softHyphen/>
              <w:t>ligt 18 § i</w:t>
            </w:r>
            <w:r w:rsidRPr="00896D4F">
              <w:rPr>
                <w:sz w:val="16"/>
              </w:rPr>
              <w:t>n</w:t>
            </w:r>
            <w:r w:rsidRPr="00896D4F">
              <w:rPr>
                <w:sz w:val="16"/>
              </w:rPr>
              <w:t>struk-tionen</w:t>
            </w:r>
          </w:p>
        </w:tc>
        <w:tc>
          <w:tcPr>
            <w:tcW w:w="794" w:type="dxa"/>
            <w:tcBorders>
              <w:top w:val="single" w:sz="4" w:space="0" w:color="auto"/>
              <w:bottom w:val="single" w:sz="4" w:space="0" w:color="auto"/>
            </w:tcBorders>
          </w:tcPr>
          <w:p w:rsidR="009C1C5A" w:rsidRPr="00896D4F" w:rsidRDefault="009C1C5A">
            <w:pPr>
              <w:tabs>
                <w:tab w:val="left" w:pos="284"/>
              </w:tabs>
              <w:spacing w:before="0" w:line="200" w:lineRule="exact"/>
              <w:ind w:right="-1"/>
              <w:jc w:val="left"/>
              <w:rPr>
                <w:sz w:val="16"/>
              </w:rPr>
            </w:pPr>
            <w:r w:rsidRPr="00896D4F">
              <w:rPr>
                <w:sz w:val="16"/>
              </w:rPr>
              <w:t>Avgjorda efter ut</w:t>
            </w:r>
            <w:r w:rsidRPr="00896D4F">
              <w:rPr>
                <w:sz w:val="16"/>
              </w:rPr>
              <w:softHyphen/>
              <w:t>redning; ingen kritik</w:t>
            </w:r>
          </w:p>
        </w:tc>
        <w:tc>
          <w:tcPr>
            <w:tcW w:w="879" w:type="dxa"/>
            <w:tcBorders>
              <w:top w:val="single" w:sz="4" w:space="0" w:color="auto"/>
              <w:bottom w:val="single" w:sz="4" w:space="0" w:color="auto"/>
            </w:tcBorders>
          </w:tcPr>
          <w:p w:rsidR="009C1C5A" w:rsidRPr="00896D4F" w:rsidRDefault="009C1C5A">
            <w:pPr>
              <w:tabs>
                <w:tab w:val="left" w:pos="284"/>
              </w:tabs>
              <w:spacing w:before="0" w:line="200" w:lineRule="exact"/>
              <w:jc w:val="left"/>
              <w:rPr>
                <w:sz w:val="16"/>
              </w:rPr>
            </w:pPr>
            <w:r w:rsidRPr="00896D4F">
              <w:rPr>
                <w:sz w:val="16"/>
              </w:rPr>
              <w:t xml:space="preserve">Erinran </w:t>
            </w:r>
            <w:r w:rsidRPr="00896D4F">
              <w:rPr>
                <w:sz w:val="16"/>
              </w:rPr>
              <w:br/>
              <w:t>eller annan kritik; väg</w:t>
            </w:r>
            <w:r w:rsidRPr="00896D4F">
              <w:rPr>
                <w:sz w:val="16"/>
              </w:rPr>
              <w:softHyphen/>
              <w:t xml:space="preserve">ledande uttalanden </w:t>
            </w:r>
          </w:p>
        </w:tc>
        <w:tc>
          <w:tcPr>
            <w:tcW w:w="765" w:type="dxa"/>
            <w:tcBorders>
              <w:top w:val="single" w:sz="4" w:space="0" w:color="auto"/>
              <w:bottom w:val="single" w:sz="4" w:space="0" w:color="auto"/>
            </w:tcBorders>
          </w:tcPr>
          <w:p w:rsidR="009C1C5A" w:rsidRPr="00896D4F" w:rsidRDefault="009C1C5A">
            <w:pPr>
              <w:tabs>
                <w:tab w:val="left" w:pos="284"/>
              </w:tabs>
              <w:spacing w:before="0" w:line="200" w:lineRule="exact"/>
              <w:ind w:right="-1"/>
              <w:jc w:val="left"/>
              <w:rPr>
                <w:sz w:val="16"/>
              </w:rPr>
            </w:pPr>
            <w:r w:rsidRPr="00896D4F">
              <w:rPr>
                <w:sz w:val="16"/>
              </w:rPr>
              <w:t>Åtal eller anmälan för disci-plinär åt-gärd</w:t>
            </w:r>
          </w:p>
        </w:tc>
        <w:tc>
          <w:tcPr>
            <w:tcW w:w="907" w:type="dxa"/>
            <w:tcBorders>
              <w:top w:val="single" w:sz="4" w:space="0" w:color="auto"/>
              <w:bottom w:val="single" w:sz="4" w:space="0" w:color="auto"/>
            </w:tcBorders>
          </w:tcPr>
          <w:p w:rsidR="009C1C5A" w:rsidRPr="00896D4F" w:rsidRDefault="009C1C5A">
            <w:pPr>
              <w:tabs>
                <w:tab w:val="left" w:pos="284"/>
              </w:tabs>
              <w:spacing w:before="0" w:line="200" w:lineRule="exact"/>
              <w:ind w:right="-1"/>
              <w:jc w:val="left"/>
              <w:rPr>
                <w:sz w:val="16"/>
              </w:rPr>
            </w:pPr>
            <w:r w:rsidRPr="00896D4F">
              <w:rPr>
                <w:sz w:val="16"/>
              </w:rPr>
              <w:t>Framstäl</w:t>
            </w:r>
            <w:r w:rsidRPr="00896D4F">
              <w:rPr>
                <w:sz w:val="16"/>
              </w:rPr>
              <w:t>l</w:t>
            </w:r>
            <w:r w:rsidRPr="00896D4F">
              <w:rPr>
                <w:sz w:val="16"/>
              </w:rPr>
              <w:t xml:space="preserve">ning till riksdagen eller </w:t>
            </w:r>
            <w:r w:rsidRPr="00896D4F">
              <w:rPr>
                <w:sz w:val="16"/>
              </w:rPr>
              <w:br/>
              <w:t>rege</w:t>
            </w:r>
            <w:r w:rsidRPr="00896D4F">
              <w:rPr>
                <w:sz w:val="16"/>
              </w:rPr>
              <w:t>r</w:t>
            </w:r>
            <w:r w:rsidRPr="00896D4F">
              <w:rPr>
                <w:sz w:val="16"/>
              </w:rPr>
              <w:t>ingen</w:t>
            </w:r>
          </w:p>
        </w:tc>
        <w:tc>
          <w:tcPr>
            <w:tcW w:w="680" w:type="dxa"/>
            <w:tcBorders>
              <w:top w:val="single" w:sz="4" w:space="0" w:color="auto"/>
              <w:bottom w:val="single" w:sz="4" w:space="0" w:color="auto"/>
            </w:tcBorders>
          </w:tcPr>
          <w:p w:rsidR="009C1C5A" w:rsidRPr="00896D4F" w:rsidRDefault="009C1C5A">
            <w:pPr>
              <w:tabs>
                <w:tab w:val="left" w:pos="284"/>
                <w:tab w:val="left" w:pos="781"/>
              </w:tabs>
              <w:spacing w:before="0" w:line="200" w:lineRule="exact"/>
              <w:ind w:right="-212"/>
              <w:jc w:val="left"/>
              <w:rPr>
                <w:sz w:val="16"/>
              </w:rPr>
            </w:pPr>
            <w:r w:rsidRPr="00896D4F">
              <w:rPr>
                <w:sz w:val="16"/>
              </w:rPr>
              <w:t>Summa ärenden</w:t>
            </w:r>
          </w:p>
        </w:tc>
      </w:tr>
      <w:tr w:rsidR="00000000" w:rsidRPr="00896D4F">
        <w:tblPrEx>
          <w:tblCellMar>
            <w:top w:w="0" w:type="dxa"/>
            <w:bottom w:w="0" w:type="dxa"/>
          </w:tblCellMar>
        </w:tblPrEx>
        <w:tc>
          <w:tcPr>
            <w:tcW w:w="1715" w:type="dxa"/>
            <w:tcBorders>
              <w:top w:val="single" w:sz="4" w:space="0" w:color="auto"/>
            </w:tcBorders>
          </w:tcPr>
          <w:p w:rsidR="009C1C5A" w:rsidRPr="00896D4F" w:rsidRDefault="009C1C5A">
            <w:pPr>
              <w:tabs>
                <w:tab w:val="left" w:pos="284"/>
              </w:tabs>
              <w:spacing w:before="80" w:line="200" w:lineRule="exact"/>
              <w:jc w:val="left"/>
              <w:rPr>
                <w:sz w:val="16"/>
              </w:rPr>
            </w:pPr>
            <w:r w:rsidRPr="00896D4F">
              <w:rPr>
                <w:sz w:val="16"/>
              </w:rPr>
              <w:t>Allmänna domst</w:t>
            </w:r>
            <w:r w:rsidRPr="00896D4F">
              <w:rPr>
                <w:sz w:val="16"/>
              </w:rPr>
              <w:t>o</w:t>
            </w:r>
            <w:r w:rsidRPr="00896D4F">
              <w:rPr>
                <w:sz w:val="16"/>
              </w:rPr>
              <w:t xml:space="preserve">lar   </w:t>
            </w:r>
          </w:p>
        </w:tc>
        <w:tc>
          <w:tcPr>
            <w:tcW w:w="851"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162</w:t>
            </w:r>
          </w:p>
        </w:tc>
        <w:tc>
          <w:tcPr>
            <w:tcW w:w="794"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w:t>
            </w:r>
          </w:p>
        </w:tc>
        <w:tc>
          <w:tcPr>
            <w:tcW w:w="794" w:type="dxa"/>
            <w:tcBorders>
              <w:top w:val="single" w:sz="4" w:space="0" w:color="auto"/>
            </w:tcBorders>
          </w:tcPr>
          <w:p w:rsidR="009C1C5A" w:rsidRPr="00896D4F" w:rsidRDefault="009C1C5A">
            <w:pPr>
              <w:tabs>
                <w:tab w:val="left" w:pos="284"/>
              </w:tabs>
              <w:spacing w:before="80" w:line="200" w:lineRule="exact"/>
              <w:ind w:right="227"/>
              <w:jc w:val="right"/>
              <w:rPr>
                <w:sz w:val="16"/>
              </w:rPr>
            </w:pPr>
            <w:r w:rsidRPr="00896D4F">
              <w:rPr>
                <w:sz w:val="16"/>
              </w:rPr>
              <w:t>109</w:t>
            </w:r>
          </w:p>
        </w:tc>
        <w:tc>
          <w:tcPr>
            <w:tcW w:w="879"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17</w:t>
            </w:r>
          </w:p>
        </w:tc>
        <w:tc>
          <w:tcPr>
            <w:tcW w:w="765"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1</w:t>
            </w:r>
          </w:p>
        </w:tc>
        <w:tc>
          <w:tcPr>
            <w:tcW w:w="907"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w:t>
            </w:r>
          </w:p>
        </w:tc>
        <w:tc>
          <w:tcPr>
            <w:tcW w:w="680" w:type="dxa"/>
            <w:tcBorders>
              <w:top w:val="single" w:sz="4" w:space="0" w:color="auto"/>
            </w:tcBorders>
          </w:tcPr>
          <w:p w:rsidR="009C1C5A" w:rsidRPr="00896D4F" w:rsidRDefault="009C1C5A">
            <w:pPr>
              <w:tabs>
                <w:tab w:val="left" w:pos="284"/>
              </w:tabs>
              <w:spacing w:before="80" w:line="200" w:lineRule="exact"/>
              <w:jc w:val="center"/>
              <w:rPr>
                <w:sz w:val="16"/>
              </w:rPr>
            </w:pPr>
            <w:r w:rsidRPr="00896D4F">
              <w:rPr>
                <w:sz w:val="16"/>
              </w:rPr>
              <w:t>289</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jc w:val="left"/>
              <w:rPr>
                <w:sz w:val="16"/>
              </w:rPr>
            </w:pPr>
            <w:r w:rsidRPr="00896D4F">
              <w:rPr>
                <w:sz w:val="16"/>
              </w:rPr>
              <w:t>Förvaltningsdomstolar</w:t>
            </w:r>
          </w:p>
        </w:tc>
        <w:tc>
          <w:tcPr>
            <w:tcW w:w="851" w:type="dxa"/>
          </w:tcPr>
          <w:p w:rsidR="009C1C5A" w:rsidRPr="00896D4F" w:rsidRDefault="009C1C5A">
            <w:pPr>
              <w:tabs>
                <w:tab w:val="left" w:pos="284"/>
              </w:tabs>
              <w:spacing w:before="80" w:line="200" w:lineRule="exact"/>
              <w:jc w:val="center"/>
              <w:rPr>
                <w:sz w:val="16"/>
              </w:rPr>
            </w:pPr>
            <w:r w:rsidRPr="00896D4F">
              <w:rPr>
                <w:sz w:val="16"/>
              </w:rPr>
              <w:t>30</w:t>
            </w:r>
          </w:p>
        </w:tc>
        <w:tc>
          <w:tcPr>
            <w:tcW w:w="794" w:type="dxa"/>
          </w:tcPr>
          <w:p w:rsidR="009C1C5A" w:rsidRPr="00896D4F" w:rsidRDefault="009C1C5A">
            <w:pPr>
              <w:tabs>
                <w:tab w:val="left" w:pos="284"/>
              </w:tabs>
              <w:spacing w:before="80" w:line="200" w:lineRule="exact"/>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32</w:t>
            </w:r>
          </w:p>
        </w:tc>
        <w:tc>
          <w:tcPr>
            <w:tcW w:w="879" w:type="dxa"/>
          </w:tcPr>
          <w:p w:rsidR="009C1C5A" w:rsidRPr="00896D4F" w:rsidRDefault="009C1C5A">
            <w:pPr>
              <w:tabs>
                <w:tab w:val="left" w:pos="284"/>
              </w:tabs>
              <w:spacing w:before="80" w:line="200" w:lineRule="exact"/>
              <w:jc w:val="center"/>
              <w:rPr>
                <w:sz w:val="16"/>
              </w:rPr>
            </w:pPr>
            <w:r w:rsidRPr="00896D4F">
              <w:rPr>
                <w:sz w:val="16"/>
              </w:rPr>
              <w:t>3</w:t>
            </w:r>
          </w:p>
        </w:tc>
        <w:tc>
          <w:tcPr>
            <w:tcW w:w="765" w:type="dxa"/>
          </w:tcPr>
          <w:p w:rsidR="009C1C5A" w:rsidRPr="00896D4F" w:rsidRDefault="009C1C5A">
            <w:pPr>
              <w:tabs>
                <w:tab w:val="left" w:pos="284"/>
              </w:tabs>
              <w:spacing w:before="80" w:line="200" w:lineRule="exact"/>
              <w:jc w:val="center"/>
              <w:rPr>
                <w:sz w:val="16"/>
              </w:rPr>
            </w:pPr>
            <w:r w:rsidRPr="00896D4F">
              <w:rPr>
                <w:sz w:val="16"/>
              </w:rPr>
              <w:t>–</w:t>
            </w:r>
          </w:p>
        </w:tc>
        <w:tc>
          <w:tcPr>
            <w:tcW w:w="907" w:type="dxa"/>
          </w:tcPr>
          <w:p w:rsidR="009C1C5A" w:rsidRPr="00896D4F" w:rsidRDefault="009C1C5A">
            <w:pPr>
              <w:tabs>
                <w:tab w:val="left" w:pos="284"/>
              </w:tabs>
              <w:spacing w:before="80" w:line="200" w:lineRule="exact"/>
              <w:jc w:val="center"/>
              <w:rPr>
                <w:sz w:val="16"/>
              </w:rPr>
            </w:pPr>
            <w:r w:rsidRPr="00896D4F">
              <w:rPr>
                <w:sz w:val="16"/>
              </w:rPr>
              <w:t>–</w:t>
            </w:r>
          </w:p>
        </w:tc>
        <w:tc>
          <w:tcPr>
            <w:tcW w:w="680" w:type="dxa"/>
          </w:tcPr>
          <w:p w:rsidR="009C1C5A" w:rsidRPr="00896D4F" w:rsidRDefault="009C1C5A">
            <w:pPr>
              <w:tabs>
                <w:tab w:val="left" w:pos="284"/>
              </w:tabs>
              <w:spacing w:before="80" w:line="200" w:lineRule="exact"/>
              <w:jc w:val="center"/>
              <w:rPr>
                <w:sz w:val="16"/>
              </w:rPr>
            </w:pPr>
            <w:r w:rsidRPr="00896D4F">
              <w:rPr>
                <w:sz w:val="16"/>
              </w:rPr>
              <w:t>65</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jc w:val="left"/>
              <w:rPr>
                <w:sz w:val="16"/>
              </w:rPr>
            </w:pPr>
            <w:r w:rsidRPr="00896D4F">
              <w:rPr>
                <w:sz w:val="16"/>
              </w:rPr>
              <w:t>Åklagarväsendet</w:t>
            </w:r>
          </w:p>
        </w:tc>
        <w:tc>
          <w:tcPr>
            <w:tcW w:w="851" w:type="dxa"/>
          </w:tcPr>
          <w:p w:rsidR="009C1C5A" w:rsidRPr="00896D4F" w:rsidRDefault="009C1C5A">
            <w:pPr>
              <w:tabs>
                <w:tab w:val="left" w:pos="284"/>
              </w:tabs>
              <w:spacing w:before="80" w:line="200" w:lineRule="exact"/>
              <w:jc w:val="center"/>
              <w:rPr>
                <w:sz w:val="16"/>
              </w:rPr>
            </w:pPr>
            <w:r w:rsidRPr="00896D4F">
              <w:rPr>
                <w:sz w:val="16"/>
              </w:rPr>
              <w:t>88</w:t>
            </w:r>
          </w:p>
        </w:tc>
        <w:tc>
          <w:tcPr>
            <w:tcW w:w="794" w:type="dxa"/>
          </w:tcPr>
          <w:p w:rsidR="009C1C5A" w:rsidRPr="00896D4F" w:rsidRDefault="009C1C5A">
            <w:pPr>
              <w:tabs>
                <w:tab w:val="left" w:pos="284"/>
              </w:tabs>
              <w:spacing w:before="80" w:line="200" w:lineRule="exact"/>
              <w:jc w:val="center"/>
              <w:rPr>
                <w:sz w:val="16"/>
              </w:rPr>
            </w:pPr>
            <w:r w:rsidRPr="00896D4F">
              <w:rPr>
                <w:sz w:val="16"/>
              </w:rPr>
              <w:t>6</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77</w:t>
            </w:r>
          </w:p>
        </w:tc>
        <w:tc>
          <w:tcPr>
            <w:tcW w:w="879" w:type="dxa"/>
          </w:tcPr>
          <w:p w:rsidR="009C1C5A" w:rsidRPr="00896D4F" w:rsidRDefault="009C1C5A">
            <w:pPr>
              <w:tabs>
                <w:tab w:val="left" w:pos="284"/>
              </w:tabs>
              <w:spacing w:before="80" w:line="200" w:lineRule="exact"/>
              <w:jc w:val="center"/>
              <w:rPr>
                <w:sz w:val="16"/>
              </w:rPr>
            </w:pPr>
            <w:r w:rsidRPr="00896D4F">
              <w:rPr>
                <w:sz w:val="16"/>
              </w:rPr>
              <w:t>9</w:t>
            </w:r>
          </w:p>
        </w:tc>
        <w:tc>
          <w:tcPr>
            <w:tcW w:w="765" w:type="dxa"/>
          </w:tcPr>
          <w:p w:rsidR="009C1C5A" w:rsidRPr="00896D4F" w:rsidRDefault="009C1C5A">
            <w:pPr>
              <w:tabs>
                <w:tab w:val="left" w:pos="284"/>
              </w:tabs>
              <w:spacing w:before="80" w:line="200" w:lineRule="exact"/>
              <w:jc w:val="center"/>
              <w:rPr>
                <w:sz w:val="16"/>
              </w:rPr>
            </w:pPr>
            <w:r w:rsidRPr="00896D4F">
              <w:rPr>
                <w:sz w:val="16"/>
              </w:rPr>
              <w:t>1</w:t>
            </w:r>
          </w:p>
        </w:tc>
        <w:tc>
          <w:tcPr>
            <w:tcW w:w="907" w:type="dxa"/>
          </w:tcPr>
          <w:p w:rsidR="009C1C5A" w:rsidRPr="00896D4F" w:rsidRDefault="009C1C5A">
            <w:pPr>
              <w:tabs>
                <w:tab w:val="left" w:pos="284"/>
              </w:tabs>
              <w:spacing w:before="80" w:line="200" w:lineRule="exact"/>
              <w:jc w:val="center"/>
              <w:rPr>
                <w:sz w:val="16"/>
              </w:rPr>
            </w:pPr>
            <w:r w:rsidRPr="00896D4F">
              <w:rPr>
                <w:sz w:val="16"/>
              </w:rPr>
              <w:t>–</w:t>
            </w:r>
          </w:p>
        </w:tc>
        <w:tc>
          <w:tcPr>
            <w:tcW w:w="680" w:type="dxa"/>
          </w:tcPr>
          <w:p w:rsidR="009C1C5A" w:rsidRPr="00896D4F" w:rsidRDefault="009C1C5A">
            <w:pPr>
              <w:tabs>
                <w:tab w:val="left" w:pos="284"/>
              </w:tabs>
              <w:spacing w:before="80" w:line="200" w:lineRule="exact"/>
              <w:jc w:val="center"/>
              <w:rPr>
                <w:sz w:val="16"/>
              </w:rPr>
            </w:pPr>
            <w:r w:rsidRPr="00896D4F">
              <w:rPr>
                <w:sz w:val="16"/>
              </w:rPr>
              <w:t>181</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Polisväsendet</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210</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43</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178</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23</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454</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Försvarsväsendet</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5</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1</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2</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8</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Kriminalvård</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352</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167</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59</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578</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Socialtjänst</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254</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7</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305</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54</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620</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Hälso- och sjukvård</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130</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3</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80</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8</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221</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Allmän försäkring</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147</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85</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36</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1</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269</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Arbetsmarknad m.m.</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46</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1</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49</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11</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107</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Plan- och byggnadsv</w:t>
            </w:r>
            <w:r w:rsidRPr="00896D4F">
              <w:rPr>
                <w:sz w:val="16"/>
              </w:rPr>
              <w:t>ä</w:t>
            </w:r>
            <w:r w:rsidRPr="00896D4F">
              <w:rPr>
                <w:sz w:val="16"/>
              </w:rPr>
              <w:t>sendet</w:t>
            </w:r>
          </w:p>
        </w:tc>
        <w:tc>
          <w:tcPr>
            <w:tcW w:w="851" w:type="dxa"/>
            <w:vAlign w:val="bottom"/>
          </w:tcPr>
          <w:p w:rsidR="009C1C5A" w:rsidRPr="00896D4F" w:rsidRDefault="009C1C5A">
            <w:pPr>
              <w:tabs>
                <w:tab w:val="left" w:pos="284"/>
              </w:tabs>
              <w:spacing w:before="80" w:line="200" w:lineRule="exact"/>
              <w:jc w:val="center"/>
              <w:rPr>
                <w:sz w:val="16"/>
              </w:rPr>
            </w:pPr>
            <w:r w:rsidRPr="00896D4F">
              <w:rPr>
                <w:sz w:val="16"/>
              </w:rPr>
              <w:t>53</w:t>
            </w:r>
          </w:p>
        </w:tc>
        <w:tc>
          <w:tcPr>
            <w:tcW w:w="794"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35</w:t>
            </w:r>
          </w:p>
        </w:tc>
        <w:tc>
          <w:tcPr>
            <w:tcW w:w="879" w:type="dxa"/>
            <w:vAlign w:val="bottom"/>
          </w:tcPr>
          <w:p w:rsidR="009C1C5A" w:rsidRPr="00896D4F" w:rsidRDefault="009C1C5A">
            <w:pPr>
              <w:tabs>
                <w:tab w:val="left" w:pos="284"/>
              </w:tabs>
              <w:spacing w:before="80" w:line="200" w:lineRule="exact"/>
              <w:jc w:val="center"/>
              <w:rPr>
                <w:sz w:val="16"/>
              </w:rPr>
            </w:pPr>
            <w:r w:rsidRPr="00896D4F">
              <w:rPr>
                <w:sz w:val="16"/>
              </w:rPr>
              <w:t>15</w:t>
            </w:r>
          </w:p>
        </w:tc>
        <w:tc>
          <w:tcPr>
            <w:tcW w:w="765"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jc w:val="center"/>
              <w:rPr>
                <w:sz w:val="16"/>
              </w:rPr>
            </w:pPr>
            <w:r w:rsidRPr="00896D4F">
              <w:rPr>
                <w:sz w:val="16"/>
              </w:rPr>
              <w:t>103</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jc w:val="left"/>
              <w:rPr>
                <w:sz w:val="16"/>
              </w:rPr>
            </w:pPr>
            <w:r w:rsidRPr="00896D4F">
              <w:rPr>
                <w:sz w:val="16"/>
              </w:rPr>
              <w:t>Exekutionsväsendet</w:t>
            </w:r>
          </w:p>
        </w:tc>
        <w:tc>
          <w:tcPr>
            <w:tcW w:w="851" w:type="dxa"/>
          </w:tcPr>
          <w:p w:rsidR="009C1C5A" w:rsidRPr="00896D4F" w:rsidRDefault="009C1C5A">
            <w:pPr>
              <w:tabs>
                <w:tab w:val="left" w:pos="284"/>
              </w:tabs>
              <w:spacing w:before="80" w:line="200" w:lineRule="exact"/>
              <w:jc w:val="center"/>
              <w:rPr>
                <w:sz w:val="16"/>
              </w:rPr>
            </w:pPr>
            <w:r w:rsidRPr="00896D4F">
              <w:rPr>
                <w:sz w:val="16"/>
              </w:rPr>
              <w:t>73</w:t>
            </w:r>
          </w:p>
        </w:tc>
        <w:tc>
          <w:tcPr>
            <w:tcW w:w="794" w:type="dxa"/>
          </w:tcPr>
          <w:p w:rsidR="009C1C5A" w:rsidRPr="00896D4F" w:rsidRDefault="009C1C5A">
            <w:pPr>
              <w:tabs>
                <w:tab w:val="left" w:pos="284"/>
              </w:tabs>
              <w:spacing w:before="80" w:line="200" w:lineRule="exact"/>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35</w:t>
            </w:r>
          </w:p>
        </w:tc>
        <w:tc>
          <w:tcPr>
            <w:tcW w:w="879" w:type="dxa"/>
          </w:tcPr>
          <w:p w:rsidR="009C1C5A" w:rsidRPr="00896D4F" w:rsidRDefault="009C1C5A">
            <w:pPr>
              <w:tabs>
                <w:tab w:val="left" w:pos="284"/>
              </w:tabs>
              <w:spacing w:before="80" w:line="200" w:lineRule="exact"/>
              <w:jc w:val="center"/>
              <w:rPr>
                <w:sz w:val="16"/>
              </w:rPr>
            </w:pPr>
            <w:r w:rsidRPr="00896D4F">
              <w:rPr>
                <w:sz w:val="16"/>
              </w:rPr>
              <w:t>11</w:t>
            </w:r>
          </w:p>
        </w:tc>
        <w:tc>
          <w:tcPr>
            <w:tcW w:w="765" w:type="dxa"/>
          </w:tcPr>
          <w:p w:rsidR="009C1C5A" w:rsidRPr="00896D4F" w:rsidRDefault="009C1C5A">
            <w:pPr>
              <w:tabs>
                <w:tab w:val="left" w:pos="284"/>
              </w:tabs>
              <w:spacing w:before="80" w:line="200" w:lineRule="exact"/>
              <w:jc w:val="center"/>
              <w:rPr>
                <w:sz w:val="16"/>
              </w:rPr>
            </w:pPr>
            <w:r w:rsidRPr="00896D4F">
              <w:rPr>
                <w:sz w:val="16"/>
              </w:rPr>
              <w:t>–</w:t>
            </w:r>
          </w:p>
        </w:tc>
        <w:tc>
          <w:tcPr>
            <w:tcW w:w="907" w:type="dxa"/>
          </w:tcPr>
          <w:p w:rsidR="009C1C5A" w:rsidRPr="00896D4F" w:rsidRDefault="009C1C5A">
            <w:pPr>
              <w:tabs>
                <w:tab w:val="left" w:pos="284"/>
              </w:tabs>
              <w:spacing w:before="80" w:line="200" w:lineRule="exact"/>
              <w:jc w:val="center"/>
              <w:rPr>
                <w:sz w:val="16"/>
              </w:rPr>
            </w:pPr>
            <w:r w:rsidRPr="00896D4F">
              <w:rPr>
                <w:sz w:val="16"/>
              </w:rPr>
              <w:t>–</w:t>
            </w:r>
          </w:p>
        </w:tc>
        <w:tc>
          <w:tcPr>
            <w:tcW w:w="680" w:type="dxa"/>
          </w:tcPr>
          <w:p w:rsidR="009C1C5A" w:rsidRPr="00896D4F" w:rsidRDefault="009C1C5A">
            <w:pPr>
              <w:tabs>
                <w:tab w:val="left" w:pos="284"/>
              </w:tabs>
              <w:spacing w:before="80" w:line="200" w:lineRule="exact"/>
              <w:jc w:val="center"/>
              <w:rPr>
                <w:sz w:val="16"/>
              </w:rPr>
            </w:pPr>
            <w:r w:rsidRPr="00896D4F">
              <w:rPr>
                <w:sz w:val="16"/>
              </w:rPr>
              <w:t>119</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jc w:val="left"/>
              <w:rPr>
                <w:sz w:val="16"/>
              </w:rPr>
            </w:pPr>
            <w:r w:rsidRPr="00896D4F">
              <w:rPr>
                <w:sz w:val="16"/>
              </w:rPr>
              <w:t>Kommunal självst</w:t>
            </w:r>
            <w:r w:rsidRPr="00896D4F">
              <w:rPr>
                <w:sz w:val="16"/>
              </w:rPr>
              <w:t>y</w:t>
            </w:r>
            <w:r w:rsidRPr="00896D4F">
              <w:rPr>
                <w:sz w:val="16"/>
              </w:rPr>
              <w:t>relse</w:t>
            </w:r>
          </w:p>
        </w:tc>
        <w:tc>
          <w:tcPr>
            <w:tcW w:w="851" w:type="dxa"/>
          </w:tcPr>
          <w:p w:rsidR="009C1C5A" w:rsidRPr="00896D4F" w:rsidRDefault="009C1C5A">
            <w:pPr>
              <w:tabs>
                <w:tab w:val="left" w:pos="284"/>
              </w:tabs>
              <w:spacing w:before="80" w:line="200" w:lineRule="exact"/>
              <w:jc w:val="center"/>
              <w:rPr>
                <w:sz w:val="16"/>
              </w:rPr>
            </w:pPr>
            <w:r w:rsidRPr="00896D4F">
              <w:rPr>
                <w:sz w:val="16"/>
              </w:rPr>
              <w:t>63</w:t>
            </w:r>
          </w:p>
        </w:tc>
        <w:tc>
          <w:tcPr>
            <w:tcW w:w="794" w:type="dxa"/>
          </w:tcPr>
          <w:p w:rsidR="009C1C5A" w:rsidRPr="00896D4F" w:rsidRDefault="009C1C5A">
            <w:pPr>
              <w:tabs>
                <w:tab w:val="left" w:pos="284"/>
              </w:tabs>
              <w:spacing w:before="80" w:line="200" w:lineRule="exact"/>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25</w:t>
            </w:r>
          </w:p>
        </w:tc>
        <w:tc>
          <w:tcPr>
            <w:tcW w:w="879" w:type="dxa"/>
          </w:tcPr>
          <w:p w:rsidR="009C1C5A" w:rsidRPr="00896D4F" w:rsidRDefault="009C1C5A">
            <w:pPr>
              <w:tabs>
                <w:tab w:val="left" w:pos="284"/>
              </w:tabs>
              <w:spacing w:before="80" w:line="200" w:lineRule="exact"/>
              <w:jc w:val="center"/>
              <w:rPr>
                <w:sz w:val="16"/>
              </w:rPr>
            </w:pPr>
            <w:r w:rsidRPr="00896D4F">
              <w:rPr>
                <w:sz w:val="16"/>
              </w:rPr>
              <w:t>1</w:t>
            </w:r>
          </w:p>
        </w:tc>
        <w:tc>
          <w:tcPr>
            <w:tcW w:w="765" w:type="dxa"/>
          </w:tcPr>
          <w:p w:rsidR="009C1C5A" w:rsidRPr="00896D4F" w:rsidRDefault="009C1C5A">
            <w:pPr>
              <w:tabs>
                <w:tab w:val="left" w:pos="284"/>
              </w:tabs>
              <w:spacing w:before="80" w:line="200" w:lineRule="exact"/>
              <w:jc w:val="center"/>
              <w:rPr>
                <w:sz w:val="16"/>
              </w:rPr>
            </w:pPr>
            <w:r w:rsidRPr="00896D4F">
              <w:rPr>
                <w:sz w:val="16"/>
              </w:rPr>
              <w:t>–</w:t>
            </w:r>
          </w:p>
        </w:tc>
        <w:tc>
          <w:tcPr>
            <w:tcW w:w="907" w:type="dxa"/>
          </w:tcPr>
          <w:p w:rsidR="009C1C5A" w:rsidRPr="00896D4F" w:rsidRDefault="009C1C5A">
            <w:pPr>
              <w:tabs>
                <w:tab w:val="left" w:pos="284"/>
              </w:tabs>
              <w:spacing w:before="80" w:line="200" w:lineRule="exact"/>
              <w:jc w:val="center"/>
              <w:rPr>
                <w:sz w:val="16"/>
              </w:rPr>
            </w:pPr>
            <w:r w:rsidRPr="00896D4F">
              <w:rPr>
                <w:sz w:val="16"/>
              </w:rPr>
              <w:t>–</w:t>
            </w:r>
          </w:p>
        </w:tc>
        <w:tc>
          <w:tcPr>
            <w:tcW w:w="680" w:type="dxa"/>
          </w:tcPr>
          <w:p w:rsidR="009C1C5A" w:rsidRPr="00896D4F" w:rsidRDefault="009C1C5A">
            <w:pPr>
              <w:tabs>
                <w:tab w:val="left" w:pos="284"/>
              </w:tabs>
              <w:spacing w:before="80" w:line="200" w:lineRule="exact"/>
              <w:jc w:val="center"/>
              <w:rPr>
                <w:sz w:val="16"/>
              </w:rPr>
            </w:pPr>
            <w:r w:rsidRPr="00896D4F">
              <w:rPr>
                <w:sz w:val="16"/>
              </w:rPr>
              <w:t>89</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Väg- och kommunik</w:t>
            </w:r>
            <w:r w:rsidRPr="00896D4F">
              <w:rPr>
                <w:sz w:val="16"/>
              </w:rPr>
              <w:t>a</w:t>
            </w:r>
            <w:r w:rsidRPr="00896D4F">
              <w:rPr>
                <w:sz w:val="16"/>
              </w:rPr>
              <w:t>tionsväsendet</w:t>
            </w:r>
          </w:p>
        </w:tc>
        <w:tc>
          <w:tcPr>
            <w:tcW w:w="851" w:type="dxa"/>
            <w:vAlign w:val="bottom"/>
          </w:tcPr>
          <w:p w:rsidR="009C1C5A" w:rsidRPr="00896D4F" w:rsidRDefault="009C1C5A">
            <w:pPr>
              <w:tabs>
                <w:tab w:val="left" w:pos="284"/>
              </w:tabs>
              <w:spacing w:before="80" w:line="200" w:lineRule="exact"/>
              <w:jc w:val="center"/>
              <w:rPr>
                <w:sz w:val="16"/>
              </w:rPr>
            </w:pPr>
            <w:r w:rsidRPr="00896D4F">
              <w:rPr>
                <w:sz w:val="16"/>
              </w:rPr>
              <w:t>68</w:t>
            </w:r>
          </w:p>
        </w:tc>
        <w:tc>
          <w:tcPr>
            <w:tcW w:w="794"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35</w:t>
            </w:r>
          </w:p>
        </w:tc>
        <w:tc>
          <w:tcPr>
            <w:tcW w:w="879" w:type="dxa"/>
            <w:vAlign w:val="bottom"/>
          </w:tcPr>
          <w:p w:rsidR="009C1C5A" w:rsidRPr="00896D4F" w:rsidRDefault="009C1C5A">
            <w:pPr>
              <w:tabs>
                <w:tab w:val="left" w:pos="284"/>
              </w:tabs>
              <w:spacing w:before="80" w:line="200" w:lineRule="exact"/>
              <w:jc w:val="center"/>
              <w:rPr>
                <w:sz w:val="16"/>
              </w:rPr>
            </w:pPr>
            <w:r w:rsidRPr="00896D4F">
              <w:rPr>
                <w:sz w:val="16"/>
              </w:rPr>
              <w:t>16</w:t>
            </w:r>
          </w:p>
        </w:tc>
        <w:tc>
          <w:tcPr>
            <w:tcW w:w="765"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jc w:val="center"/>
              <w:rPr>
                <w:sz w:val="16"/>
              </w:rPr>
            </w:pPr>
            <w:r w:rsidRPr="00896D4F">
              <w:rPr>
                <w:sz w:val="16"/>
              </w:rPr>
              <w:t>119</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Beskattning, folkbokf</w:t>
            </w:r>
            <w:r w:rsidRPr="00896D4F">
              <w:rPr>
                <w:sz w:val="16"/>
              </w:rPr>
              <w:t>ö</w:t>
            </w:r>
            <w:r w:rsidRPr="00896D4F">
              <w:rPr>
                <w:sz w:val="16"/>
              </w:rPr>
              <w:t xml:space="preserve">ring, tull </w:t>
            </w:r>
          </w:p>
        </w:tc>
        <w:tc>
          <w:tcPr>
            <w:tcW w:w="851" w:type="dxa"/>
            <w:vAlign w:val="bottom"/>
          </w:tcPr>
          <w:p w:rsidR="009C1C5A" w:rsidRPr="00896D4F" w:rsidRDefault="009C1C5A">
            <w:pPr>
              <w:tabs>
                <w:tab w:val="left" w:pos="284"/>
              </w:tabs>
              <w:spacing w:before="80" w:line="200" w:lineRule="exact"/>
              <w:jc w:val="center"/>
              <w:rPr>
                <w:sz w:val="16"/>
              </w:rPr>
            </w:pPr>
            <w:r w:rsidRPr="00896D4F">
              <w:rPr>
                <w:sz w:val="16"/>
              </w:rPr>
              <w:t>100</w:t>
            </w:r>
          </w:p>
        </w:tc>
        <w:tc>
          <w:tcPr>
            <w:tcW w:w="794"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42</w:t>
            </w:r>
          </w:p>
        </w:tc>
        <w:tc>
          <w:tcPr>
            <w:tcW w:w="879" w:type="dxa"/>
            <w:vAlign w:val="bottom"/>
          </w:tcPr>
          <w:p w:rsidR="009C1C5A" w:rsidRPr="00896D4F" w:rsidRDefault="009C1C5A">
            <w:pPr>
              <w:tabs>
                <w:tab w:val="left" w:pos="284"/>
              </w:tabs>
              <w:spacing w:before="80" w:line="200" w:lineRule="exact"/>
              <w:jc w:val="center"/>
              <w:rPr>
                <w:sz w:val="16"/>
              </w:rPr>
            </w:pPr>
            <w:r w:rsidRPr="00896D4F">
              <w:rPr>
                <w:sz w:val="16"/>
              </w:rPr>
              <w:t>32</w:t>
            </w:r>
          </w:p>
        </w:tc>
        <w:tc>
          <w:tcPr>
            <w:tcW w:w="765"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jc w:val="center"/>
              <w:rPr>
                <w:sz w:val="16"/>
              </w:rPr>
            </w:pPr>
            <w:r w:rsidRPr="00896D4F">
              <w:rPr>
                <w:sz w:val="16"/>
              </w:rPr>
              <w:t>174</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jc w:val="left"/>
              <w:rPr>
                <w:sz w:val="16"/>
              </w:rPr>
            </w:pPr>
            <w:r w:rsidRPr="00896D4F">
              <w:rPr>
                <w:sz w:val="16"/>
              </w:rPr>
              <w:t>Utbildning och kultur</w:t>
            </w:r>
          </w:p>
        </w:tc>
        <w:tc>
          <w:tcPr>
            <w:tcW w:w="851" w:type="dxa"/>
          </w:tcPr>
          <w:p w:rsidR="009C1C5A" w:rsidRPr="00896D4F" w:rsidRDefault="009C1C5A">
            <w:pPr>
              <w:tabs>
                <w:tab w:val="left" w:pos="284"/>
              </w:tabs>
              <w:spacing w:before="80" w:line="200" w:lineRule="exact"/>
              <w:jc w:val="center"/>
              <w:rPr>
                <w:sz w:val="16"/>
              </w:rPr>
            </w:pPr>
            <w:r w:rsidRPr="00896D4F">
              <w:rPr>
                <w:sz w:val="16"/>
              </w:rPr>
              <w:t>75</w:t>
            </w:r>
          </w:p>
        </w:tc>
        <w:tc>
          <w:tcPr>
            <w:tcW w:w="794" w:type="dxa"/>
          </w:tcPr>
          <w:p w:rsidR="009C1C5A" w:rsidRPr="00896D4F" w:rsidRDefault="009C1C5A">
            <w:pPr>
              <w:tabs>
                <w:tab w:val="left" w:pos="284"/>
              </w:tabs>
              <w:spacing w:before="80" w:line="200" w:lineRule="exact"/>
              <w:jc w:val="center"/>
              <w:rPr>
                <w:sz w:val="16"/>
              </w:rPr>
            </w:pPr>
            <w:r w:rsidRPr="00896D4F">
              <w:rPr>
                <w:sz w:val="16"/>
              </w:rPr>
              <w:t>2</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83</w:t>
            </w:r>
          </w:p>
        </w:tc>
        <w:tc>
          <w:tcPr>
            <w:tcW w:w="879" w:type="dxa"/>
          </w:tcPr>
          <w:p w:rsidR="009C1C5A" w:rsidRPr="00896D4F" w:rsidRDefault="009C1C5A">
            <w:pPr>
              <w:tabs>
                <w:tab w:val="left" w:pos="284"/>
              </w:tabs>
              <w:spacing w:before="80" w:line="200" w:lineRule="exact"/>
              <w:jc w:val="center"/>
              <w:rPr>
                <w:sz w:val="16"/>
              </w:rPr>
            </w:pPr>
            <w:r w:rsidRPr="00896D4F">
              <w:rPr>
                <w:sz w:val="16"/>
              </w:rPr>
              <w:t>23</w:t>
            </w:r>
          </w:p>
        </w:tc>
        <w:tc>
          <w:tcPr>
            <w:tcW w:w="765" w:type="dxa"/>
          </w:tcPr>
          <w:p w:rsidR="009C1C5A" w:rsidRPr="00896D4F" w:rsidRDefault="009C1C5A">
            <w:pPr>
              <w:tabs>
                <w:tab w:val="left" w:pos="284"/>
              </w:tabs>
              <w:spacing w:before="80" w:line="200" w:lineRule="exact"/>
              <w:jc w:val="center"/>
              <w:rPr>
                <w:sz w:val="16"/>
              </w:rPr>
            </w:pPr>
            <w:r w:rsidRPr="00896D4F">
              <w:rPr>
                <w:sz w:val="16"/>
              </w:rPr>
              <w:t>–</w:t>
            </w:r>
          </w:p>
        </w:tc>
        <w:tc>
          <w:tcPr>
            <w:tcW w:w="907" w:type="dxa"/>
          </w:tcPr>
          <w:p w:rsidR="009C1C5A" w:rsidRPr="00896D4F" w:rsidRDefault="009C1C5A">
            <w:pPr>
              <w:tabs>
                <w:tab w:val="left" w:pos="284"/>
              </w:tabs>
              <w:spacing w:before="80" w:line="200" w:lineRule="exact"/>
              <w:jc w:val="center"/>
              <w:rPr>
                <w:sz w:val="16"/>
              </w:rPr>
            </w:pPr>
            <w:r w:rsidRPr="00896D4F">
              <w:rPr>
                <w:sz w:val="16"/>
              </w:rPr>
              <w:t>–</w:t>
            </w:r>
          </w:p>
        </w:tc>
        <w:tc>
          <w:tcPr>
            <w:tcW w:w="680" w:type="dxa"/>
          </w:tcPr>
          <w:p w:rsidR="009C1C5A" w:rsidRPr="00896D4F" w:rsidRDefault="009C1C5A">
            <w:pPr>
              <w:tabs>
                <w:tab w:val="left" w:pos="284"/>
              </w:tabs>
              <w:spacing w:before="80" w:line="200" w:lineRule="exact"/>
              <w:jc w:val="center"/>
              <w:rPr>
                <w:sz w:val="16"/>
              </w:rPr>
            </w:pPr>
            <w:r w:rsidRPr="00896D4F">
              <w:rPr>
                <w:sz w:val="16"/>
              </w:rPr>
              <w:t>183</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Kyrkoärenden</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5</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5</w:t>
            </w:r>
          </w:p>
        </w:tc>
      </w:tr>
      <w:tr w:rsidR="00000000" w:rsidRPr="00896D4F">
        <w:tblPrEx>
          <w:tblCellMar>
            <w:top w:w="0" w:type="dxa"/>
            <w:bottom w:w="0" w:type="dxa"/>
          </w:tblCellMar>
        </w:tblPrEx>
        <w:tc>
          <w:tcPr>
            <w:tcW w:w="1715" w:type="dxa"/>
          </w:tcPr>
          <w:p w:rsidR="009C1C5A" w:rsidRPr="00896D4F" w:rsidRDefault="009C1C5A">
            <w:pPr>
              <w:tabs>
                <w:tab w:val="left" w:pos="284"/>
              </w:tabs>
              <w:spacing w:before="80" w:line="200" w:lineRule="exact"/>
              <w:ind w:right="-1"/>
              <w:jc w:val="left"/>
              <w:rPr>
                <w:sz w:val="16"/>
              </w:rPr>
            </w:pPr>
            <w:r w:rsidRPr="00896D4F">
              <w:rPr>
                <w:sz w:val="16"/>
              </w:rPr>
              <w:t>Överförmyndarv</w:t>
            </w:r>
            <w:r w:rsidRPr="00896D4F">
              <w:rPr>
                <w:sz w:val="16"/>
              </w:rPr>
              <w:t>ä</w:t>
            </w:r>
            <w:r w:rsidRPr="00896D4F">
              <w:rPr>
                <w:sz w:val="16"/>
              </w:rPr>
              <w:t>sendet</w:t>
            </w:r>
          </w:p>
        </w:tc>
        <w:tc>
          <w:tcPr>
            <w:tcW w:w="851" w:type="dxa"/>
          </w:tcPr>
          <w:p w:rsidR="009C1C5A" w:rsidRPr="00896D4F" w:rsidRDefault="009C1C5A">
            <w:pPr>
              <w:tabs>
                <w:tab w:val="left" w:pos="284"/>
              </w:tabs>
              <w:spacing w:before="80" w:line="200" w:lineRule="exact"/>
              <w:ind w:right="-1"/>
              <w:jc w:val="center"/>
              <w:rPr>
                <w:sz w:val="16"/>
              </w:rPr>
            </w:pPr>
            <w:r w:rsidRPr="00896D4F">
              <w:rPr>
                <w:sz w:val="16"/>
              </w:rPr>
              <w:t>27</w:t>
            </w:r>
          </w:p>
        </w:tc>
        <w:tc>
          <w:tcPr>
            <w:tcW w:w="794"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tcPr>
          <w:p w:rsidR="009C1C5A" w:rsidRPr="00896D4F" w:rsidRDefault="009C1C5A">
            <w:pPr>
              <w:tabs>
                <w:tab w:val="left" w:pos="284"/>
              </w:tabs>
              <w:spacing w:before="80" w:line="200" w:lineRule="exact"/>
              <w:ind w:right="227"/>
              <w:jc w:val="right"/>
              <w:rPr>
                <w:sz w:val="16"/>
              </w:rPr>
            </w:pPr>
            <w:r w:rsidRPr="00896D4F">
              <w:rPr>
                <w:sz w:val="16"/>
              </w:rPr>
              <w:t>18</w:t>
            </w:r>
          </w:p>
        </w:tc>
        <w:tc>
          <w:tcPr>
            <w:tcW w:w="879" w:type="dxa"/>
          </w:tcPr>
          <w:p w:rsidR="009C1C5A" w:rsidRPr="00896D4F" w:rsidRDefault="009C1C5A">
            <w:pPr>
              <w:tabs>
                <w:tab w:val="left" w:pos="284"/>
              </w:tabs>
              <w:spacing w:before="80" w:line="200" w:lineRule="exact"/>
              <w:ind w:right="-1"/>
              <w:jc w:val="center"/>
              <w:rPr>
                <w:sz w:val="16"/>
              </w:rPr>
            </w:pPr>
            <w:r w:rsidRPr="00896D4F">
              <w:rPr>
                <w:sz w:val="16"/>
              </w:rPr>
              <w:t>12</w:t>
            </w:r>
          </w:p>
        </w:tc>
        <w:tc>
          <w:tcPr>
            <w:tcW w:w="765"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tcPr>
          <w:p w:rsidR="009C1C5A" w:rsidRPr="00896D4F" w:rsidRDefault="009C1C5A">
            <w:pPr>
              <w:tabs>
                <w:tab w:val="left" w:pos="284"/>
              </w:tabs>
              <w:spacing w:before="80" w:line="200" w:lineRule="exact"/>
              <w:ind w:right="-1"/>
              <w:jc w:val="center"/>
              <w:rPr>
                <w:sz w:val="16"/>
              </w:rPr>
            </w:pPr>
            <w:r w:rsidRPr="00896D4F">
              <w:rPr>
                <w:sz w:val="16"/>
              </w:rPr>
              <w:t>57</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ind w:right="-1"/>
              <w:jc w:val="left"/>
              <w:rPr>
                <w:sz w:val="16"/>
              </w:rPr>
            </w:pPr>
            <w:r w:rsidRPr="00896D4F">
              <w:rPr>
                <w:sz w:val="16"/>
              </w:rPr>
              <w:t>Jordbruk, djurskydd, miljö- och hälsoskydd m.m.</w:t>
            </w:r>
          </w:p>
        </w:tc>
        <w:tc>
          <w:tcPr>
            <w:tcW w:w="851" w:type="dxa"/>
            <w:vAlign w:val="bottom"/>
          </w:tcPr>
          <w:p w:rsidR="009C1C5A" w:rsidRPr="00896D4F" w:rsidRDefault="009C1C5A">
            <w:pPr>
              <w:tabs>
                <w:tab w:val="left" w:pos="284"/>
              </w:tabs>
              <w:spacing w:before="80" w:line="200" w:lineRule="exact"/>
              <w:ind w:right="-1"/>
              <w:jc w:val="center"/>
              <w:rPr>
                <w:sz w:val="16"/>
              </w:rPr>
            </w:pPr>
            <w:r w:rsidRPr="00896D4F">
              <w:rPr>
                <w:sz w:val="16"/>
              </w:rPr>
              <w:t>53</w:t>
            </w:r>
          </w:p>
        </w:tc>
        <w:tc>
          <w:tcPr>
            <w:tcW w:w="794"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63</w:t>
            </w:r>
          </w:p>
        </w:tc>
        <w:tc>
          <w:tcPr>
            <w:tcW w:w="879" w:type="dxa"/>
            <w:vAlign w:val="bottom"/>
          </w:tcPr>
          <w:p w:rsidR="009C1C5A" w:rsidRPr="00896D4F" w:rsidRDefault="009C1C5A">
            <w:pPr>
              <w:tabs>
                <w:tab w:val="left" w:pos="284"/>
              </w:tabs>
              <w:spacing w:before="80" w:line="200" w:lineRule="exact"/>
              <w:ind w:right="-1"/>
              <w:jc w:val="center"/>
              <w:rPr>
                <w:sz w:val="16"/>
              </w:rPr>
            </w:pPr>
            <w:r w:rsidRPr="00896D4F">
              <w:rPr>
                <w:sz w:val="16"/>
              </w:rPr>
              <w:t>13</w:t>
            </w:r>
          </w:p>
        </w:tc>
        <w:tc>
          <w:tcPr>
            <w:tcW w:w="765"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ind w:right="-1"/>
              <w:jc w:val="center"/>
              <w:rPr>
                <w:sz w:val="16"/>
              </w:rPr>
            </w:pPr>
            <w:r w:rsidRPr="00896D4F">
              <w:rPr>
                <w:sz w:val="16"/>
              </w:rPr>
              <w:t>129</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ind w:right="-1"/>
              <w:jc w:val="left"/>
              <w:rPr>
                <w:sz w:val="16"/>
              </w:rPr>
            </w:pPr>
            <w:r w:rsidRPr="00896D4F">
              <w:rPr>
                <w:sz w:val="16"/>
              </w:rPr>
              <w:t>Utlänningsärenden</w:t>
            </w:r>
          </w:p>
        </w:tc>
        <w:tc>
          <w:tcPr>
            <w:tcW w:w="851" w:type="dxa"/>
            <w:vAlign w:val="bottom"/>
          </w:tcPr>
          <w:p w:rsidR="009C1C5A" w:rsidRPr="00896D4F" w:rsidRDefault="009C1C5A">
            <w:pPr>
              <w:tabs>
                <w:tab w:val="left" w:pos="284"/>
              </w:tabs>
              <w:spacing w:before="80" w:line="200" w:lineRule="exact"/>
              <w:ind w:right="-1"/>
              <w:jc w:val="center"/>
              <w:rPr>
                <w:sz w:val="16"/>
              </w:rPr>
            </w:pPr>
            <w:r w:rsidRPr="00896D4F">
              <w:rPr>
                <w:sz w:val="16"/>
              </w:rPr>
              <w:t>41</w:t>
            </w:r>
          </w:p>
        </w:tc>
        <w:tc>
          <w:tcPr>
            <w:tcW w:w="794"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31</w:t>
            </w:r>
          </w:p>
        </w:tc>
        <w:tc>
          <w:tcPr>
            <w:tcW w:w="879" w:type="dxa"/>
            <w:vAlign w:val="bottom"/>
          </w:tcPr>
          <w:p w:rsidR="009C1C5A" w:rsidRPr="00896D4F" w:rsidRDefault="009C1C5A">
            <w:pPr>
              <w:tabs>
                <w:tab w:val="left" w:pos="284"/>
              </w:tabs>
              <w:spacing w:before="80" w:line="200" w:lineRule="exact"/>
              <w:ind w:right="-1"/>
              <w:jc w:val="center"/>
              <w:rPr>
                <w:sz w:val="16"/>
              </w:rPr>
            </w:pPr>
            <w:r w:rsidRPr="00896D4F">
              <w:rPr>
                <w:sz w:val="16"/>
              </w:rPr>
              <w:t>7</w:t>
            </w:r>
          </w:p>
        </w:tc>
        <w:tc>
          <w:tcPr>
            <w:tcW w:w="765"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ind w:right="-1"/>
              <w:jc w:val="center"/>
              <w:rPr>
                <w:sz w:val="16"/>
              </w:rPr>
            </w:pPr>
            <w:r w:rsidRPr="00896D4F">
              <w:rPr>
                <w:sz w:val="16"/>
              </w:rPr>
              <w:t>79</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ind w:right="-1"/>
              <w:jc w:val="left"/>
              <w:rPr>
                <w:sz w:val="16"/>
              </w:rPr>
            </w:pPr>
            <w:r w:rsidRPr="00896D4F">
              <w:rPr>
                <w:sz w:val="16"/>
              </w:rPr>
              <w:t>Övriga länsstyrels</w:t>
            </w:r>
            <w:r w:rsidRPr="00896D4F">
              <w:rPr>
                <w:sz w:val="16"/>
              </w:rPr>
              <w:t>e</w:t>
            </w:r>
            <w:r w:rsidRPr="00896D4F">
              <w:rPr>
                <w:sz w:val="16"/>
              </w:rPr>
              <w:t>ärenden, se</w:t>
            </w:r>
            <w:r w:rsidRPr="00896D4F">
              <w:rPr>
                <w:sz w:val="16"/>
              </w:rPr>
              <w:t>r</w:t>
            </w:r>
            <w:r w:rsidRPr="00896D4F">
              <w:rPr>
                <w:sz w:val="16"/>
              </w:rPr>
              <w:t>verings</w:t>
            </w:r>
            <w:r w:rsidRPr="00896D4F">
              <w:rPr>
                <w:sz w:val="16"/>
              </w:rPr>
              <w:softHyphen/>
              <w:t>tillstånd, spel</w:t>
            </w:r>
          </w:p>
        </w:tc>
        <w:tc>
          <w:tcPr>
            <w:tcW w:w="851" w:type="dxa"/>
            <w:vAlign w:val="bottom"/>
          </w:tcPr>
          <w:p w:rsidR="009C1C5A" w:rsidRPr="00896D4F" w:rsidRDefault="009C1C5A">
            <w:pPr>
              <w:tabs>
                <w:tab w:val="left" w:pos="284"/>
              </w:tabs>
              <w:spacing w:before="80" w:line="200" w:lineRule="exact"/>
              <w:ind w:right="-1"/>
              <w:jc w:val="center"/>
              <w:rPr>
                <w:sz w:val="16"/>
              </w:rPr>
            </w:pPr>
            <w:r w:rsidRPr="00896D4F">
              <w:rPr>
                <w:sz w:val="16"/>
              </w:rPr>
              <w:t>18</w:t>
            </w:r>
          </w:p>
        </w:tc>
        <w:tc>
          <w:tcPr>
            <w:tcW w:w="794"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8</w:t>
            </w:r>
          </w:p>
        </w:tc>
        <w:tc>
          <w:tcPr>
            <w:tcW w:w="879" w:type="dxa"/>
            <w:vAlign w:val="bottom"/>
          </w:tcPr>
          <w:p w:rsidR="009C1C5A" w:rsidRPr="00896D4F" w:rsidRDefault="009C1C5A">
            <w:pPr>
              <w:tabs>
                <w:tab w:val="left" w:pos="284"/>
              </w:tabs>
              <w:spacing w:before="80" w:line="200" w:lineRule="exact"/>
              <w:ind w:right="-1"/>
              <w:jc w:val="center"/>
              <w:rPr>
                <w:sz w:val="16"/>
              </w:rPr>
            </w:pPr>
            <w:r w:rsidRPr="00896D4F">
              <w:rPr>
                <w:sz w:val="16"/>
              </w:rPr>
              <w:t>3</w:t>
            </w:r>
          </w:p>
        </w:tc>
        <w:tc>
          <w:tcPr>
            <w:tcW w:w="765"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ind w:right="-1"/>
              <w:jc w:val="center"/>
              <w:rPr>
                <w:sz w:val="16"/>
              </w:rPr>
            </w:pPr>
            <w:r w:rsidRPr="00896D4F">
              <w:rPr>
                <w:sz w:val="16"/>
              </w:rPr>
              <w:t>29</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ind w:right="-1"/>
              <w:jc w:val="left"/>
              <w:rPr>
                <w:sz w:val="16"/>
              </w:rPr>
            </w:pPr>
            <w:r w:rsidRPr="00896D4F">
              <w:rPr>
                <w:sz w:val="16"/>
              </w:rPr>
              <w:t>Tjänstemannaäre</w:t>
            </w:r>
            <w:r w:rsidRPr="00896D4F">
              <w:rPr>
                <w:sz w:val="16"/>
              </w:rPr>
              <w:t>n</w:t>
            </w:r>
            <w:r w:rsidRPr="00896D4F">
              <w:rPr>
                <w:sz w:val="16"/>
              </w:rPr>
              <w:t>den</w:t>
            </w:r>
          </w:p>
        </w:tc>
        <w:tc>
          <w:tcPr>
            <w:tcW w:w="851" w:type="dxa"/>
            <w:vAlign w:val="bottom"/>
          </w:tcPr>
          <w:p w:rsidR="009C1C5A" w:rsidRPr="00896D4F" w:rsidRDefault="009C1C5A">
            <w:pPr>
              <w:tabs>
                <w:tab w:val="left" w:pos="284"/>
              </w:tabs>
              <w:spacing w:before="80" w:line="200" w:lineRule="exact"/>
              <w:ind w:right="-1"/>
              <w:jc w:val="center"/>
              <w:rPr>
                <w:sz w:val="16"/>
              </w:rPr>
            </w:pPr>
            <w:r w:rsidRPr="00896D4F">
              <w:rPr>
                <w:sz w:val="16"/>
              </w:rPr>
              <w:t>68</w:t>
            </w:r>
          </w:p>
        </w:tc>
        <w:tc>
          <w:tcPr>
            <w:tcW w:w="794"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15</w:t>
            </w:r>
          </w:p>
        </w:tc>
        <w:tc>
          <w:tcPr>
            <w:tcW w:w="879" w:type="dxa"/>
            <w:vAlign w:val="bottom"/>
          </w:tcPr>
          <w:p w:rsidR="009C1C5A" w:rsidRPr="00896D4F" w:rsidRDefault="009C1C5A">
            <w:pPr>
              <w:tabs>
                <w:tab w:val="left" w:pos="284"/>
              </w:tabs>
              <w:spacing w:before="80" w:line="200" w:lineRule="exact"/>
              <w:ind w:right="-1"/>
              <w:jc w:val="center"/>
              <w:rPr>
                <w:sz w:val="16"/>
              </w:rPr>
            </w:pPr>
            <w:r w:rsidRPr="00896D4F">
              <w:rPr>
                <w:sz w:val="16"/>
              </w:rPr>
              <w:t>4</w:t>
            </w:r>
          </w:p>
        </w:tc>
        <w:tc>
          <w:tcPr>
            <w:tcW w:w="765"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ind w:right="-1"/>
              <w:jc w:val="center"/>
              <w:rPr>
                <w:sz w:val="16"/>
              </w:rPr>
            </w:pPr>
            <w:r w:rsidRPr="00896D4F">
              <w:rPr>
                <w:sz w:val="16"/>
              </w:rPr>
              <w:t>87</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ind w:right="-1"/>
              <w:jc w:val="left"/>
              <w:rPr>
                <w:sz w:val="16"/>
              </w:rPr>
            </w:pPr>
            <w:r w:rsidRPr="00896D4F">
              <w:rPr>
                <w:sz w:val="16"/>
              </w:rPr>
              <w:t>Yttrandefrihet; offen</w:t>
            </w:r>
            <w:r w:rsidRPr="00896D4F">
              <w:rPr>
                <w:sz w:val="16"/>
              </w:rPr>
              <w:t>t</w:t>
            </w:r>
            <w:r w:rsidRPr="00896D4F">
              <w:rPr>
                <w:sz w:val="16"/>
              </w:rPr>
              <w:t>lighet och sekretess</w:t>
            </w:r>
          </w:p>
        </w:tc>
        <w:tc>
          <w:tcPr>
            <w:tcW w:w="851" w:type="dxa"/>
            <w:vAlign w:val="bottom"/>
          </w:tcPr>
          <w:p w:rsidR="009C1C5A" w:rsidRPr="00896D4F" w:rsidRDefault="009C1C5A">
            <w:pPr>
              <w:tabs>
                <w:tab w:val="left" w:pos="284"/>
              </w:tabs>
              <w:spacing w:before="80" w:line="200" w:lineRule="exact"/>
              <w:ind w:right="-1"/>
              <w:jc w:val="center"/>
              <w:rPr>
                <w:sz w:val="16"/>
              </w:rPr>
            </w:pPr>
            <w:r w:rsidRPr="00896D4F">
              <w:rPr>
                <w:sz w:val="16"/>
              </w:rPr>
              <w:t>97</w:t>
            </w:r>
          </w:p>
        </w:tc>
        <w:tc>
          <w:tcPr>
            <w:tcW w:w="794" w:type="dxa"/>
            <w:vAlign w:val="bottom"/>
          </w:tcPr>
          <w:p w:rsidR="009C1C5A" w:rsidRPr="00896D4F" w:rsidRDefault="009C1C5A">
            <w:pPr>
              <w:tabs>
                <w:tab w:val="left" w:pos="284"/>
              </w:tabs>
              <w:spacing w:before="80" w:line="200" w:lineRule="exact"/>
              <w:ind w:right="-1"/>
              <w:jc w:val="center"/>
              <w:rPr>
                <w:sz w:val="16"/>
              </w:rPr>
            </w:pPr>
            <w:r w:rsidRPr="00896D4F">
              <w:rPr>
                <w:sz w:val="16"/>
              </w:rPr>
              <w:t>2</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74</w:t>
            </w:r>
          </w:p>
        </w:tc>
        <w:tc>
          <w:tcPr>
            <w:tcW w:w="879" w:type="dxa"/>
            <w:vAlign w:val="bottom"/>
          </w:tcPr>
          <w:p w:rsidR="009C1C5A" w:rsidRPr="00896D4F" w:rsidRDefault="009C1C5A">
            <w:pPr>
              <w:tabs>
                <w:tab w:val="left" w:pos="284"/>
              </w:tabs>
              <w:spacing w:before="80" w:line="200" w:lineRule="exact"/>
              <w:ind w:right="-1"/>
              <w:jc w:val="center"/>
              <w:rPr>
                <w:sz w:val="16"/>
              </w:rPr>
            </w:pPr>
            <w:r w:rsidRPr="00896D4F">
              <w:rPr>
                <w:sz w:val="16"/>
              </w:rPr>
              <w:t>89</w:t>
            </w:r>
          </w:p>
        </w:tc>
        <w:tc>
          <w:tcPr>
            <w:tcW w:w="765"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ind w:right="-1"/>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ind w:right="-1"/>
              <w:jc w:val="center"/>
              <w:rPr>
                <w:sz w:val="16"/>
              </w:rPr>
            </w:pPr>
            <w:r w:rsidRPr="00896D4F">
              <w:rPr>
                <w:sz w:val="16"/>
              </w:rPr>
              <w:t>262</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Riksdags- samt utrike</w:t>
            </w:r>
            <w:r w:rsidRPr="00896D4F">
              <w:rPr>
                <w:sz w:val="16"/>
              </w:rPr>
              <w:t>s</w:t>
            </w:r>
            <w:r w:rsidRPr="00896D4F">
              <w:rPr>
                <w:sz w:val="16"/>
              </w:rPr>
              <w:t>förvaltning; allm. val</w:t>
            </w:r>
          </w:p>
        </w:tc>
        <w:tc>
          <w:tcPr>
            <w:tcW w:w="851" w:type="dxa"/>
            <w:vAlign w:val="bottom"/>
          </w:tcPr>
          <w:p w:rsidR="009C1C5A" w:rsidRPr="00896D4F" w:rsidRDefault="009C1C5A">
            <w:pPr>
              <w:tabs>
                <w:tab w:val="left" w:pos="284"/>
              </w:tabs>
              <w:spacing w:before="80" w:line="200" w:lineRule="exact"/>
              <w:jc w:val="center"/>
              <w:rPr>
                <w:sz w:val="16"/>
              </w:rPr>
            </w:pPr>
            <w:r w:rsidRPr="00896D4F">
              <w:rPr>
                <w:sz w:val="16"/>
              </w:rPr>
              <w:t>11</w:t>
            </w:r>
          </w:p>
        </w:tc>
        <w:tc>
          <w:tcPr>
            <w:tcW w:w="794"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2</w:t>
            </w:r>
          </w:p>
        </w:tc>
        <w:tc>
          <w:tcPr>
            <w:tcW w:w="879"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65"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jc w:val="center"/>
              <w:rPr>
                <w:sz w:val="16"/>
              </w:rPr>
            </w:pPr>
            <w:r w:rsidRPr="00896D4F">
              <w:rPr>
                <w:sz w:val="16"/>
              </w:rPr>
              <w:t>13</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Övrig förvaltning</w:t>
            </w:r>
          </w:p>
        </w:tc>
        <w:tc>
          <w:tcPr>
            <w:tcW w:w="851" w:type="dxa"/>
            <w:vAlign w:val="bottom"/>
          </w:tcPr>
          <w:p w:rsidR="009C1C5A" w:rsidRPr="00896D4F" w:rsidRDefault="009C1C5A">
            <w:pPr>
              <w:tabs>
                <w:tab w:val="left" w:pos="284"/>
              </w:tabs>
              <w:spacing w:before="80" w:line="200" w:lineRule="exact"/>
              <w:jc w:val="center"/>
              <w:rPr>
                <w:sz w:val="16"/>
              </w:rPr>
            </w:pPr>
            <w:r w:rsidRPr="00896D4F">
              <w:rPr>
                <w:sz w:val="16"/>
              </w:rPr>
              <w:t>36</w:t>
            </w:r>
          </w:p>
        </w:tc>
        <w:tc>
          <w:tcPr>
            <w:tcW w:w="794"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vAlign w:val="bottom"/>
          </w:tcPr>
          <w:p w:rsidR="009C1C5A" w:rsidRPr="00896D4F" w:rsidRDefault="009C1C5A">
            <w:pPr>
              <w:tabs>
                <w:tab w:val="left" w:pos="284"/>
              </w:tabs>
              <w:spacing w:before="80" w:line="200" w:lineRule="exact"/>
              <w:ind w:right="227"/>
              <w:jc w:val="right"/>
              <w:rPr>
                <w:sz w:val="16"/>
              </w:rPr>
            </w:pPr>
            <w:r w:rsidRPr="00896D4F">
              <w:rPr>
                <w:sz w:val="16"/>
              </w:rPr>
              <w:t>26</w:t>
            </w:r>
          </w:p>
        </w:tc>
        <w:tc>
          <w:tcPr>
            <w:tcW w:w="879" w:type="dxa"/>
            <w:vAlign w:val="bottom"/>
          </w:tcPr>
          <w:p w:rsidR="009C1C5A" w:rsidRPr="00896D4F" w:rsidRDefault="009C1C5A">
            <w:pPr>
              <w:tabs>
                <w:tab w:val="left" w:pos="284"/>
              </w:tabs>
              <w:spacing w:before="80" w:line="200" w:lineRule="exact"/>
              <w:jc w:val="center"/>
              <w:rPr>
                <w:sz w:val="16"/>
              </w:rPr>
            </w:pPr>
            <w:r w:rsidRPr="00896D4F">
              <w:rPr>
                <w:sz w:val="16"/>
              </w:rPr>
              <w:t>4</w:t>
            </w:r>
          </w:p>
        </w:tc>
        <w:tc>
          <w:tcPr>
            <w:tcW w:w="765"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vAlign w:val="bottom"/>
          </w:tcPr>
          <w:p w:rsidR="009C1C5A" w:rsidRPr="00896D4F" w:rsidRDefault="009C1C5A">
            <w:pPr>
              <w:tabs>
                <w:tab w:val="left" w:pos="284"/>
              </w:tabs>
              <w:spacing w:before="80" w:line="200" w:lineRule="exact"/>
              <w:jc w:val="center"/>
              <w:rPr>
                <w:sz w:val="16"/>
              </w:rPr>
            </w:pPr>
            <w:r w:rsidRPr="00896D4F">
              <w:rPr>
                <w:sz w:val="16"/>
              </w:rPr>
              <w:t>66</w:t>
            </w:r>
          </w:p>
        </w:tc>
      </w:tr>
      <w:tr w:rsidR="00000000" w:rsidRPr="00896D4F">
        <w:tblPrEx>
          <w:tblCellMar>
            <w:top w:w="0" w:type="dxa"/>
            <w:bottom w:w="0" w:type="dxa"/>
          </w:tblCellMar>
        </w:tblPrEx>
        <w:tc>
          <w:tcPr>
            <w:tcW w:w="1715" w:type="dxa"/>
            <w:vAlign w:val="bottom"/>
          </w:tcPr>
          <w:p w:rsidR="009C1C5A" w:rsidRPr="00896D4F" w:rsidRDefault="009C1C5A">
            <w:pPr>
              <w:tabs>
                <w:tab w:val="left" w:pos="284"/>
              </w:tabs>
              <w:spacing w:before="80" w:line="200" w:lineRule="exact"/>
              <w:jc w:val="left"/>
              <w:rPr>
                <w:sz w:val="16"/>
              </w:rPr>
            </w:pPr>
            <w:r w:rsidRPr="00896D4F">
              <w:rPr>
                <w:sz w:val="16"/>
              </w:rPr>
              <w:t>Frågor utom komp</w:t>
            </w:r>
            <w:r w:rsidRPr="00896D4F">
              <w:rPr>
                <w:sz w:val="16"/>
              </w:rPr>
              <w:t>e</w:t>
            </w:r>
            <w:r w:rsidRPr="00896D4F">
              <w:rPr>
                <w:sz w:val="16"/>
              </w:rPr>
              <w:t>tensområdet; oklara yrkanden</w:t>
            </w:r>
          </w:p>
        </w:tc>
        <w:tc>
          <w:tcPr>
            <w:tcW w:w="851"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76</w:t>
            </w:r>
          </w:p>
        </w:tc>
        <w:tc>
          <w:tcPr>
            <w:tcW w:w="794"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94" w:type="dxa"/>
            <w:tcBorders>
              <w:bottom w:val="single" w:sz="4" w:space="0" w:color="auto"/>
            </w:tcBorders>
            <w:vAlign w:val="bottom"/>
          </w:tcPr>
          <w:p w:rsidR="009C1C5A" w:rsidRPr="00896D4F" w:rsidRDefault="009C1C5A">
            <w:pPr>
              <w:tabs>
                <w:tab w:val="left" w:pos="284"/>
              </w:tabs>
              <w:spacing w:before="80" w:line="200" w:lineRule="exact"/>
              <w:ind w:right="227"/>
              <w:jc w:val="right"/>
              <w:rPr>
                <w:sz w:val="16"/>
              </w:rPr>
            </w:pPr>
            <w:r w:rsidRPr="00896D4F">
              <w:rPr>
                <w:sz w:val="16"/>
              </w:rPr>
              <w:t>–</w:t>
            </w:r>
          </w:p>
        </w:tc>
        <w:tc>
          <w:tcPr>
            <w:tcW w:w="879"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w:t>
            </w:r>
          </w:p>
        </w:tc>
        <w:tc>
          <w:tcPr>
            <w:tcW w:w="765"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w:t>
            </w:r>
          </w:p>
        </w:tc>
        <w:tc>
          <w:tcPr>
            <w:tcW w:w="907"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w:t>
            </w:r>
          </w:p>
        </w:tc>
        <w:tc>
          <w:tcPr>
            <w:tcW w:w="680" w:type="dxa"/>
            <w:tcBorders>
              <w:bottom w:val="single" w:sz="4" w:space="0" w:color="auto"/>
            </w:tcBorders>
            <w:vAlign w:val="bottom"/>
          </w:tcPr>
          <w:p w:rsidR="009C1C5A" w:rsidRPr="00896D4F" w:rsidRDefault="009C1C5A">
            <w:pPr>
              <w:tabs>
                <w:tab w:val="left" w:pos="284"/>
              </w:tabs>
              <w:spacing w:before="80" w:line="200" w:lineRule="exact"/>
              <w:jc w:val="center"/>
              <w:rPr>
                <w:sz w:val="16"/>
              </w:rPr>
            </w:pPr>
            <w:r w:rsidRPr="00896D4F">
              <w:rPr>
                <w:sz w:val="16"/>
              </w:rPr>
              <w:t>76</w:t>
            </w:r>
          </w:p>
        </w:tc>
      </w:tr>
      <w:tr w:rsidR="00000000" w:rsidRPr="00896D4F">
        <w:tblPrEx>
          <w:tblCellMar>
            <w:top w:w="0" w:type="dxa"/>
            <w:bottom w:w="0" w:type="dxa"/>
          </w:tblCellMar>
        </w:tblPrEx>
        <w:tc>
          <w:tcPr>
            <w:tcW w:w="1715" w:type="dxa"/>
            <w:tcBorders>
              <w:bottom w:val="single" w:sz="4" w:space="0" w:color="auto"/>
            </w:tcBorders>
          </w:tcPr>
          <w:p w:rsidR="009C1C5A" w:rsidRPr="00896D4F" w:rsidRDefault="009C1C5A">
            <w:pPr>
              <w:tabs>
                <w:tab w:val="left" w:pos="284"/>
              </w:tabs>
              <w:spacing w:before="80" w:line="200" w:lineRule="exact"/>
              <w:jc w:val="left"/>
              <w:rPr>
                <w:b/>
                <w:sz w:val="16"/>
              </w:rPr>
            </w:pPr>
            <w:r w:rsidRPr="00896D4F">
              <w:rPr>
                <w:b/>
                <w:sz w:val="16"/>
              </w:rPr>
              <w:t>Summa ärenden</w:t>
            </w:r>
          </w:p>
        </w:tc>
        <w:tc>
          <w:tcPr>
            <w:tcW w:w="851"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2 288</w:t>
            </w:r>
          </w:p>
        </w:tc>
        <w:tc>
          <w:tcPr>
            <w:tcW w:w="794"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64</w:t>
            </w:r>
          </w:p>
        </w:tc>
        <w:tc>
          <w:tcPr>
            <w:tcW w:w="794" w:type="dxa"/>
            <w:tcBorders>
              <w:top w:val="single" w:sz="4" w:space="0" w:color="auto"/>
              <w:bottom w:val="single" w:sz="4" w:space="0" w:color="auto"/>
            </w:tcBorders>
          </w:tcPr>
          <w:p w:rsidR="009C1C5A" w:rsidRPr="00896D4F" w:rsidRDefault="009C1C5A">
            <w:pPr>
              <w:tabs>
                <w:tab w:val="left" w:pos="284"/>
              </w:tabs>
              <w:spacing w:before="80" w:line="200" w:lineRule="exact"/>
              <w:ind w:right="227"/>
              <w:jc w:val="right"/>
              <w:rPr>
                <w:b/>
                <w:sz w:val="16"/>
              </w:rPr>
            </w:pPr>
            <w:r w:rsidRPr="00896D4F">
              <w:rPr>
                <w:b/>
                <w:sz w:val="16"/>
              </w:rPr>
              <w:t>1 575</w:t>
            </w:r>
          </w:p>
        </w:tc>
        <w:tc>
          <w:tcPr>
            <w:tcW w:w="879"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452</w:t>
            </w:r>
          </w:p>
        </w:tc>
        <w:tc>
          <w:tcPr>
            <w:tcW w:w="765"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2</w:t>
            </w:r>
          </w:p>
        </w:tc>
        <w:tc>
          <w:tcPr>
            <w:tcW w:w="907"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1</w:t>
            </w:r>
          </w:p>
        </w:tc>
        <w:tc>
          <w:tcPr>
            <w:tcW w:w="680" w:type="dxa"/>
            <w:tcBorders>
              <w:top w:val="single" w:sz="4" w:space="0" w:color="auto"/>
              <w:bottom w:val="single" w:sz="4" w:space="0" w:color="auto"/>
            </w:tcBorders>
          </w:tcPr>
          <w:p w:rsidR="009C1C5A" w:rsidRPr="00896D4F" w:rsidRDefault="009C1C5A">
            <w:pPr>
              <w:tabs>
                <w:tab w:val="left" w:pos="284"/>
              </w:tabs>
              <w:spacing w:before="80" w:line="200" w:lineRule="exact"/>
              <w:jc w:val="center"/>
              <w:rPr>
                <w:b/>
                <w:sz w:val="16"/>
              </w:rPr>
            </w:pPr>
            <w:r w:rsidRPr="00896D4F">
              <w:rPr>
                <w:b/>
                <w:sz w:val="16"/>
              </w:rPr>
              <w:t>4 382</w:t>
            </w:r>
          </w:p>
        </w:tc>
      </w:tr>
    </w:tbl>
    <w:p w:rsidR="009C1C5A" w:rsidRPr="00896D4F" w:rsidRDefault="009C1C5A">
      <w:pPr>
        <w:tabs>
          <w:tab w:val="left" w:pos="284"/>
        </w:tabs>
        <w:ind w:right="-1"/>
        <w:rPr>
          <w:i/>
        </w:rPr>
      </w:pPr>
    </w:p>
    <w:p w:rsidR="009C1C5A" w:rsidRPr="00896D4F" w:rsidRDefault="009C1C5A">
      <w:pPr>
        <w:tabs>
          <w:tab w:val="left" w:pos="2835"/>
        </w:tabs>
      </w:pPr>
      <w:r w:rsidRPr="00896D4F">
        <w:br w:type="page"/>
      </w:r>
      <w:bookmarkStart w:id="0" w:name="_MON_1094534735"/>
      <w:bookmarkStart w:id="1" w:name="_MON_1094534969"/>
      <w:bookmarkStart w:id="2" w:name="_MON_1094535106"/>
      <w:bookmarkEnd w:id="0"/>
      <w:bookmarkEnd w:id="1"/>
      <w:bookmarkEnd w:id="2"/>
      <w:r w:rsidRPr="00896D4F">
        <w:object w:dxaOrig="12285" w:dyaOrig="6684">
          <v:shape id="_x0000_i1026" type="#_x0000_t75" style="width:473.55pt;height:276pt" o:ole="" fillcolor="window">
            <v:imagedata r:id="rId9" o:title="" cropbottom="8272f" cropleft="8195f" cropright="4284f"/>
          </v:shape>
          <o:OLEObject Type="Embed" ProgID="Excel.Sheet.8" ShapeID="_x0000_i1026" DrawAspect="Content" ObjectID="_1827360830" r:id="rId10"/>
        </w:object>
      </w:r>
    </w:p>
    <w:p w:rsidR="009C1C5A" w:rsidRPr="00896D4F" w:rsidRDefault="00896D4F">
      <w:pPr>
        <w:tabs>
          <w:tab w:val="left" w:pos="2835"/>
        </w:tabs>
      </w:pPr>
      <w:r w:rsidRPr="00896D4F">
        <w:rPr>
          <w:noProof/>
        </w:rPr>
        <w:drawing>
          <wp:inline distT="0" distB="0" distL="0" distR="0">
            <wp:extent cx="5758815" cy="3581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15" cy="3581400"/>
                    </a:xfrm>
                    <a:prstGeom prst="rect">
                      <a:avLst/>
                    </a:prstGeom>
                    <a:noFill/>
                    <a:ln>
                      <a:noFill/>
                    </a:ln>
                  </pic:spPr>
                </pic:pic>
              </a:graphicData>
            </a:graphic>
          </wp:inline>
        </w:drawing>
      </w:r>
    </w:p>
    <w:p w:rsidR="009C1C5A" w:rsidRPr="00896D4F" w:rsidRDefault="009C1C5A">
      <w:pPr>
        <w:tabs>
          <w:tab w:val="left" w:pos="4253"/>
        </w:tabs>
        <w:ind w:left="-1418"/>
      </w:pPr>
      <w:r w:rsidRPr="00896D4F">
        <w:br w:type="page"/>
      </w:r>
      <w:r w:rsidR="00896D4F" w:rsidRPr="00896D4F">
        <w:rPr>
          <w:noProof/>
        </w:rPr>
        <w:drawing>
          <wp:inline distT="0" distB="0" distL="0" distR="0">
            <wp:extent cx="4718685" cy="32823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4494" r="13376" b="8369"/>
                    <a:stretch>
                      <a:fillRect/>
                    </a:stretch>
                  </pic:blipFill>
                  <pic:spPr bwMode="auto">
                    <a:xfrm>
                      <a:off x="0" y="0"/>
                      <a:ext cx="4718685" cy="3282315"/>
                    </a:xfrm>
                    <a:prstGeom prst="rect">
                      <a:avLst/>
                    </a:prstGeom>
                    <a:noFill/>
                    <a:ln>
                      <a:noFill/>
                    </a:ln>
                  </pic:spPr>
                </pic:pic>
              </a:graphicData>
            </a:graphic>
          </wp:inline>
        </w:drawing>
      </w:r>
    </w:p>
    <w:p w:rsidR="009C1C5A" w:rsidRPr="00896D4F" w:rsidRDefault="009C1C5A">
      <w:pPr>
        <w:pStyle w:val="Normaltindrag"/>
      </w:pPr>
    </w:p>
    <w:p w:rsidR="009C1C5A" w:rsidRPr="00896D4F" w:rsidRDefault="009C1C5A">
      <w:pPr>
        <w:pStyle w:val="Normaltindrag"/>
      </w:pPr>
    </w:p>
    <w:p w:rsidR="009C1C5A" w:rsidRPr="00896D4F" w:rsidRDefault="00896D4F">
      <w:pPr>
        <w:tabs>
          <w:tab w:val="left" w:pos="4253"/>
        </w:tabs>
        <w:ind w:left="-1418"/>
      </w:pPr>
      <w:r w:rsidRPr="00896D4F">
        <w:rPr>
          <w:noProof/>
        </w:rPr>
        <w:drawing>
          <wp:inline distT="0" distB="0" distL="0" distR="0">
            <wp:extent cx="5083810" cy="35706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1956" r="9326"/>
                    <a:stretch>
                      <a:fillRect/>
                    </a:stretch>
                  </pic:blipFill>
                  <pic:spPr bwMode="auto">
                    <a:xfrm>
                      <a:off x="0" y="0"/>
                      <a:ext cx="5083810" cy="3570605"/>
                    </a:xfrm>
                    <a:prstGeom prst="rect">
                      <a:avLst/>
                    </a:prstGeom>
                    <a:noFill/>
                    <a:ln>
                      <a:noFill/>
                    </a:ln>
                  </pic:spPr>
                </pic:pic>
              </a:graphicData>
            </a:graphic>
          </wp:inline>
        </w:drawing>
      </w:r>
    </w:p>
    <w:p w:rsidR="009C1C5A" w:rsidRPr="00896D4F" w:rsidRDefault="009C1C5A">
      <w:r w:rsidRPr="00896D4F">
        <w:br w:type="page"/>
      </w:r>
    </w:p>
    <w:p w:rsidR="009C1C5A" w:rsidRPr="00896D4F" w:rsidRDefault="00896D4F">
      <w:r w:rsidRPr="00896D4F">
        <w:rPr>
          <w:noProof/>
        </w:rPr>
        <w:drawing>
          <wp:inline distT="0" distB="0" distL="0" distR="0">
            <wp:extent cx="5758815" cy="35814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3581400"/>
                    </a:xfrm>
                    <a:prstGeom prst="rect">
                      <a:avLst/>
                    </a:prstGeom>
                    <a:noFill/>
                    <a:ln>
                      <a:noFill/>
                    </a:ln>
                  </pic:spPr>
                </pic:pic>
              </a:graphicData>
            </a:graphic>
          </wp:inline>
        </w:drawing>
      </w:r>
    </w:p>
    <w:p w:rsidR="009C1C5A" w:rsidRPr="00896D4F" w:rsidRDefault="009C1C5A">
      <w:pPr>
        <w:pStyle w:val="Rubrik3"/>
      </w:pPr>
      <w:r w:rsidRPr="00896D4F">
        <w:br w:type="page"/>
        <w:t>2.2 Besvarande av remisser</w:t>
      </w:r>
    </w:p>
    <w:p w:rsidR="009C1C5A" w:rsidRPr="00896D4F" w:rsidRDefault="009C1C5A">
      <w:r w:rsidRPr="00896D4F">
        <w:t>Riksdagens ombudsmän har besvarat 85 remisser, flertalet från olika depa</w:t>
      </w:r>
      <w:r w:rsidRPr="00896D4F">
        <w:t>r</w:t>
      </w:r>
      <w:r w:rsidRPr="00896D4F">
        <w:t>tement inom Regeringskansliet men också i vissa fall från riksdagsutskott, från Riksdagens revisorer samt från en myndighet inom den centrala statsfö</w:t>
      </w:r>
      <w:r w:rsidRPr="00896D4F">
        <w:t>r</w:t>
      </w:r>
      <w:r w:rsidRPr="00896D4F">
        <w:t>valtningen.</w:t>
      </w:r>
    </w:p>
    <w:p w:rsidR="009C1C5A" w:rsidRPr="00896D4F" w:rsidRDefault="009C1C5A">
      <w:r w:rsidRPr="00896D4F">
        <w:rPr>
          <w:i/>
        </w:rPr>
        <w:t xml:space="preserve">ChefsJO Eklundh </w:t>
      </w:r>
      <w:r w:rsidRPr="00896D4F">
        <w:t>har yttrat sig till</w:t>
      </w:r>
    </w:p>
    <w:p w:rsidR="009C1C5A" w:rsidRPr="00896D4F" w:rsidRDefault="009C1C5A">
      <w:pPr>
        <w:pStyle w:val="Normaltindrag"/>
      </w:pPr>
      <w:r w:rsidRPr="00896D4F">
        <w:t>1) Justitiedepartementet över en framställning från Justitiekanslern om ändring i lagen (1991:1559) med föreskrifter på tryckfrihetsförordningens och yttrandefrihetsgrundlagens o</w:t>
      </w:r>
      <w:r w:rsidRPr="00896D4F">
        <w:t>m</w:t>
      </w:r>
      <w:r w:rsidRPr="00896D4F">
        <w:t>råden (Ju 2001/3649/L6)</w:t>
      </w:r>
    </w:p>
    <w:p w:rsidR="009C1C5A" w:rsidRPr="00896D4F" w:rsidRDefault="009C1C5A">
      <w:pPr>
        <w:pStyle w:val="Normaltindrag"/>
      </w:pPr>
      <w:r w:rsidRPr="00896D4F">
        <w:t>2) Justitiedepartementet över betänkandet (SOU 2001:37) Lagrådets sa</w:t>
      </w:r>
      <w:r w:rsidRPr="00896D4F">
        <w:t>m</w:t>
      </w:r>
      <w:r w:rsidRPr="00896D4F">
        <w:t>mansättning – förslag till ändringar i regering</w:t>
      </w:r>
      <w:r w:rsidRPr="00896D4F">
        <w:t>s</w:t>
      </w:r>
      <w:r w:rsidRPr="00896D4F">
        <w:t>formen</w:t>
      </w:r>
    </w:p>
    <w:p w:rsidR="009C1C5A" w:rsidRPr="00896D4F" w:rsidRDefault="009C1C5A">
      <w:pPr>
        <w:pStyle w:val="Normaltindrag"/>
      </w:pPr>
      <w:r w:rsidRPr="00896D4F">
        <w:t>3) Justitiedepartementet över betänkandet (SOU 2000:99) Domarutnä</w:t>
      </w:r>
      <w:r w:rsidRPr="00896D4F">
        <w:t>m</w:t>
      </w:r>
      <w:r w:rsidRPr="00896D4F">
        <w:t>ningar och domstolsledning – frågor om utnämning av högre domare och domstolschefens roll</w:t>
      </w:r>
    </w:p>
    <w:p w:rsidR="009C1C5A" w:rsidRPr="00896D4F" w:rsidRDefault="009C1C5A">
      <w:pPr>
        <w:pStyle w:val="Normaltindrag"/>
      </w:pPr>
      <w:r w:rsidRPr="00896D4F">
        <w:t>4) Justitiedepartementet över promemorian (Ju 1994/405/DOM) Lag om grupprättegång</w:t>
      </w:r>
    </w:p>
    <w:p w:rsidR="009C1C5A" w:rsidRPr="00896D4F" w:rsidRDefault="009C1C5A">
      <w:pPr>
        <w:pStyle w:val="Normaltindrag"/>
      </w:pPr>
      <w:r w:rsidRPr="00896D4F">
        <w:t>5) Justitiedepartementet över betänkandet (SOU 2001:30) Sjöfylleri</w:t>
      </w:r>
    </w:p>
    <w:p w:rsidR="009C1C5A" w:rsidRPr="00896D4F" w:rsidRDefault="009C1C5A">
      <w:pPr>
        <w:pStyle w:val="Normaltindrag"/>
      </w:pPr>
      <w:r w:rsidRPr="00896D4F">
        <w:t>6) Justitiedepartementet över departementspromemorian (Ds 2001:8) Två frågor om sekretess hos Säkerhetspolisen och promemorian Förslag till än</w:t>
      </w:r>
      <w:r w:rsidRPr="00896D4F">
        <w:t>d</w:t>
      </w:r>
      <w:r w:rsidRPr="00896D4F">
        <w:t>ring i 5 kap. 1 § sekretesslagen</w:t>
      </w:r>
    </w:p>
    <w:p w:rsidR="009C1C5A" w:rsidRPr="00896D4F" w:rsidRDefault="009C1C5A">
      <w:pPr>
        <w:pStyle w:val="Normaltindrag"/>
      </w:pPr>
      <w:r w:rsidRPr="00896D4F">
        <w:t>7) Justitiedepartementet över departementspromemorian (Ds 2001:25) Några frågor om myndigheternas service</w:t>
      </w:r>
    </w:p>
    <w:p w:rsidR="009C1C5A" w:rsidRPr="00896D4F" w:rsidRDefault="009C1C5A">
      <w:pPr>
        <w:pStyle w:val="Normaltindrag"/>
      </w:pPr>
      <w:r w:rsidRPr="00896D4F">
        <w:t>8) Justitiedepartementet över Rikspolisstyrelsens redovisning av uppdraget att stärka polisens arbete med den grova o</w:t>
      </w:r>
      <w:r w:rsidRPr="00896D4F">
        <w:t>r</w:t>
      </w:r>
      <w:r w:rsidRPr="00896D4F">
        <w:t>ganiserade brottsligheten</w:t>
      </w:r>
    </w:p>
    <w:p w:rsidR="009C1C5A" w:rsidRPr="00896D4F" w:rsidRDefault="009C1C5A">
      <w:pPr>
        <w:pStyle w:val="Normaltindrag"/>
      </w:pPr>
      <w:r w:rsidRPr="00896D4F">
        <w:t>9) Justitiedepartementet över promemorian (Ju 97:2249) Kallelse av barn och ungdomar till polisförhör och domstolssa</w:t>
      </w:r>
      <w:r w:rsidRPr="00896D4F">
        <w:t>m</w:t>
      </w:r>
      <w:r w:rsidRPr="00896D4F">
        <w:t>manträde</w:t>
      </w:r>
    </w:p>
    <w:p w:rsidR="009C1C5A" w:rsidRPr="00896D4F" w:rsidRDefault="009C1C5A">
      <w:pPr>
        <w:pStyle w:val="Normaltindrag"/>
      </w:pPr>
      <w:r w:rsidRPr="00896D4F">
        <w:t>10) Justitiedepartementet över departementspromemorian (Ds 2001:36) Hovrättsprocessen i framtiden</w:t>
      </w:r>
    </w:p>
    <w:p w:rsidR="009C1C5A" w:rsidRPr="00896D4F" w:rsidRDefault="009C1C5A">
      <w:pPr>
        <w:pStyle w:val="Normaltindrag"/>
      </w:pPr>
      <w:r w:rsidRPr="00896D4F">
        <w:t>11) Justitiedepartementet över departementspromemorian (Ds 2001:31) Omhändertagande av berusade personer enligt LOB</w:t>
      </w:r>
    </w:p>
    <w:p w:rsidR="009C1C5A" w:rsidRPr="00896D4F" w:rsidRDefault="009C1C5A">
      <w:pPr>
        <w:pStyle w:val="Normaltindrag"/>
      </w:pPr>
      <w:r w:rsidRPr="00896D4F">
        <w:t>12) Justitiedepartementet över departementspromemorian (Ds 2001:43) Åtgärder mot klotter</w:t>
      </w:r>
    </w:p>
    <w:p w:rsidR="009C1C5A" w:rsidRPr="00896D4F" w:rsidRDefault="009C1C5A">
      <w:pPr>
        <w:pStyle w:val="Normaltindrag"/>
      </w:pPr>
      <w:r w:rsidRPr="00896D4F">
        <w:t>13) Justitiedepartementet över promemorian från Arrendenämndernas och hyresnämndernas samarbetsorgan Förfarandet vid hyresnämnderna och arre</w:t>
      </w:r>
      <w:r w:rsidRPr="00896D4F">
        <w:t>n</w:t>
      </w:r>
      <w:r w:rsidRPr="00896D4F">
        <w:t>denämnderna</w:t>
      </w:r>
    </w:p>
    <w:p w:rsidR="009C1C5A" w:rsidRPr="00896D4F" w:rsidRDefault="009C1C5A">
      <w:pPr>
        <w:pStyle w:val="Normaltindrag"/>
      </w:pPr>
      <w:r w:rsidRPr="00896D4F">
        <w:t>14) Justitiedepartementet över betänkandet (SOU 2001:59) Snabbare la</w:t>
      </w:r>
      <w:r w:rsidRPr="00896D4F">
        <w:t>g</w:t>
      </w:r>
      <w:r w:rsidRPr="00896D4F">
        <w:t>föring 1 – Några förslag till förenklingar</w:t>
      </w:r>
    </w:p>
    <w:p w:rsidR="009C1C5A" w:rsidRPr="00896D4F" w:rsidRDefault="009C1C5A">
      <w:pPr>
        <w:pStyle w:val="Normaltindrag"/>
      </w:pPr>
      <w:r w:rsidRPr="00896D4F">
        <w:t>15) Justitiedepartementet över promemorian (Ju 2001/7524/DOM) Ver</w:t>
      </w:r>
      <w:r w:rsidRPr="00896D4F">
        <w:t>k</w:t>
      </w:r>
      <w:r w:rsidRPr="00896D4F">
        <w:t>ställighet av utländska domar på priva</w:t>
      </w:r>
      <w:r w:rsidRPr="00896D4F">
        <w:t>t</w:t>
      </w:r>
      <w:r w:rsidRPr="00896D4F">
        <w:t>rättens område</w:t>
      </w:r>
    </w:p>
    <w:p w:rsidR="009C1C5A" w:rsidRPr="00896D4F" w:rsidRDefault="009C1C5A">
      <w:pPr>
        <w:pStyle w:val="Normaltindrag"/>
      </w:pPr>
      <w:r w:rsidRPr="00896D4F">
        <w:t>16) Konstitutionsutskottet över en framställning från Riksbanken om vissa ändringar i regeringsformen (01-1176-DIR)</w:t>
      </w:r>
    </w:p>
    <w:p w:rsidR="009C1C5A" w:rsidRPr="00896D4F" w:rsidRDefault="009C1C5A">
      <w:pPr>
        <w:pStyle w:val="Normaltindrag"/>
      </w:pPr>
      <w:r w:rsidRPr="00896D4F">
        <w:t xml:space="preserve">17) Justitiedepartementet över promemorian Sveriges tillträde till Förenta Nationernas internationella konvention om bekämpande av finansiering av terrorism </w:t>
      </w:r>
    </w:p>
    <w:p w:rsidR="009C1C5A" w:rsidRPr="00896D4F" w:rsidRDefault="009C1C5A">
      <w:pPr>
        <w:pStyle w:val="Normaltindrag"/>
      </w:pPr>
      <w:r w:rsidRPr="00896D4F">
        <w:t>18) Justitiedepartementet över promemorian Delegering i tingsrätt</w:t>
      </w:r>
    </w:p>
    <w:p w:rsidR="009C1C5A" w:rsidRPr="00896D4F" w:rsidRDefault="009C1C5A">
      <w:pPr>
        <w:pStyle w:val="Normaltindrag"/>
      </w:pPr>
      <w:r w:rsidRPr="00896D4F">
        <w:t>19) Justitiedepartementet över departementspromemorian (Ds 2001:73) Ytterligare åtgärder för att motverka våld i nära rel</w:t>
      </w:r>
      <w:r w:rsidRPr="00896D4F">
        <w:t>a</w:t>
      </w:r>
      <w:r w:rsidRPr="00896D4F">
        <w:t>tioner</w:t>
      </w:r>
    </w:p>
    <w:p w:rsidR="009C1C5A" w:rsidRPr="00896D4F" w:rsidRDefault="009C1C5A">
      <w:pPr>
        <w:pStyle w:val="Normaltindrag"/>
      </w:pPr>
      <w:r w:rsidRPr="00896D4F">
        <w:t>20) Finansdepartementet över betänkandet (SOU 2001:97) Regler för Riksrevisionen, se s. 512</w:t>
      </w:r>
    </w:p>
    <w:p w:rsidR="009C1C5A" w:rsidRPr="00896D4F" w:rsidRDefault="009C1C5A">
      <w:pPr>
        <w:pStyle w:val="Normaltindrag"/>
      </w:pPr>
      <w:r w:rsidRPr="00896D4F">
        <w:t>21) Justitiedepartementet över departementspromemorian (Ds 2001:69) Företagsbot</w:t>
      </w:r>
    </w:p>
    <w:p w:rsidR="009C1C5A" w:rsidRPr="00896D4F" w:rsidRDefault="009C1C5A">
      <w:pPr>
        <w:pStyle w:val="Normaltindrag"/>
      </w:pPr>
      <w:r w:rsidRPr="00896D4F">
        <w:t>22) Justitiedepartementet över betänkandet (SOU 2001:88) Lagrådets a</w:t>
      </w:r>
      <w:r w:rsidRPr="00896D4F">
        <w:t>r</w:t>
      </w:r>
      <w:r w:rsidRPr="00896D4F">
        <w:t>betsvillkor</w:t>
      </w:r>
    </w:p>
    <w:p w:rsidR="009C1C5A" w:rsidRPr="00896D4F" w:rsidRDefault="009C1C5A">
      <w:pPr>
        <w:pStyle w:val="Normaltindrag"/>
      </w:pPr>
      <w:r w:rsidRPr="00896D4F">
        <w:t>23) Justitiedepartementet över betänkandet (SOU 2002:14) Statlig tillsyn – Granskning på medborgarnas uppdrag</w:t>
      </w:r>
    </w:p>
    <w:p w:rsidR="009C1C5A" w:rsidRPr="00896D4F" w:rsidRDefault="009C1C5A">
      <w:pPr>
        <w:pStyle w:val="Normaltindrag"/>
      </w:pPr>
      <w:r w:rsidRPr="00896D4F">
        <w:t>24) Justitiedepartementet över departementspromemorian (Ds 2002:1) Domare och åklagare i internationella instanser</w:t>
      </w:r>
    </w:p>
    <w:p w:rsidR="009C1C5A" w:rsidRPr="00896D4F" w:rsidRDefault="009C1C5A">
      <w:pPr>
        <w:pStyle w:val="Normaltindrag"/>
      </w:pPr>
      <w:r w:rsidRPr="00896D4F">
        <w:t>25) Justitiedepartementet över betänkandet (SOU 2001:103) En modernare rättegång</w:t>
      </w:r>
    </w:p>
    <w:p w:rsidR="009C1C5A" w:rsidRPr="00896D4F" w:rsidRDefault="009C1C5A">
      <w:pPr>
        <w:pStyle w:val="Normaltindrag"/>
      </w:pPr>
      <w:r w:rsidRPr="00896D4F">
        <w:t>26) Justitiedepartementet över promemorian Delgivning.</w:t>
      </w:r>
    </w:p>
    <w:p w:rsidR="009C1C5A" w:rsidRPr="00896D4F" w:rsidRDefault="009C1C5A">
      <w:r w:rsidRPr="00896D4F">
        <w:rPr>
          <w:i/>
        </w:rPr>
        <w:t>JO Pennlöv</w:t>
      </w:r>
      <w:r w:rsidRPr="00896D4F">
        <w:t xml:space="preserve"> har yttrat sig till</w:t>
      </w:r>
    </w:p>
    <w:p w:rsidR="009C1C5A" w:rsidRPr="00896D4F" w:rsidRDefault="009C1C5A">
      <w:pPr>
        <w:pStyle w:val="Normaltindrag"/>
      </w:pPr>
      <w:r w:rsidRPr="00896D4F">
        <w:t>1) Socialdepartementet över promemorian Försöksverksamhet med 24-timmarsmyndighet inom socialförsäkringsadministr</w:t>
      </w:r>
      <w:r w:rsidRPr="00896D4F">
        <w:t>a</w:t>
      </w:r>
      <w:r w:rsidRPr="00896D4F">
        <w:t>tionen</w:t>
      </w:r>
    </w:p>
    <w:p w:rsidR="009C1C5A" w:rsidRPr="00896D4F" w:rsidRDefault="009C1C5A">
      <w:pPr>
        <w:pStyle w:val="Normaltindrag"/>
      </w:pPr>
      <w:r w:rsidRPr="00896D4F">
        <w:t>2) Försvarsdepartementet över betänkandet (SOU 2001:41) Säkerhet i en ny tid</w:t>
      </w:r>
    </w:p>
    <w:p w:rsidR="009C1C5A" w:rsidRPr="00896D4F" w:rsidRDefault="009C1C5A">
      <w:pPr>
        <w:pStyle w:val="Normaltindrag"/>
      </w:pPr>
      <w:r w:rsidRPr="00896D4F">
        <w:t>3) Riksarkivet över förslaget Allmänna råd om bevarande och gallring av handlingar hos överförmyndare</w:t>
      </w:r>
    </w:p>
    <w:p w:rsidR="009C1C5A" w:rsidRPr="00896D4F" w:rsidRDefault="009C1C5A">
      <w:pPr>
        <w:pStyle w:val="Normaltindrag"/>
      </w:pPr>
      <w:r w:rsidRPr="00896D4F">
        <w:t>4) Justitiedepartementet över en promemoria från Socialdepartementet med förslag till ändringar i lagen (1962:381) om allmän försäkring i anslu</w:t>
      </w:r>
      <w:r w:rsidRPr="00896D4F">
        <w:t>t</w:t>
      </w:r>
      <w:r w:rsidRPr="00896D4F">
        <w:t>ning till pågående lagstiftningsarbete rörande barn i homosexuella familjer</w:t>
      </w:r>
    </w:p>
    <w:p w:rsidR="009C1C5A" w:rsidRPr="00896D4F" w:rsidRDefault="009C1C5A">
      <w:pPr>
        <w:pStyle w:val="Normaltindrag"/>
      </w:pPr>
      <w:r w:rsidRPr="00896D4F">
        <w:t>5) Riksdagens revisorer över deras rapport (2001/02:1) Försäkringskasso</w:t>
      </w:r>
      <w:r w:rsidRPr="00896D4F">
        <w:t>r</w:t>
      </w:r>
      <w:r w:rsidRPr="00896D4F">
        <w:t>nas efterkontroll av förtidspension</w:t>
      </w:r>
    </w:p>
    <w:p w:rsidR="009C1C5A" w:rsidRPr="00896D4F" w:rsidRDefault="009C1C5A">
      <w:pPr>
        <w:pStyle w:val="Normaltindrag"/>
      </w:pPr>
      <w:r w:rsidRPr="00896D4F">
        <w:t>6) Finansdepartementet över promemorian (Fi 2001/4215) Straffrättslig sanktionering av EG:s punktskatteregler för alk</w:t>
      </w:r>
      <w:r w:rsidRPr="00896D4F">
        <w:t>o</w:t>
      </w:r>
      <w:r w:rsidRPr="00896D4F">
        <w:t>hol, tobak och mineraloljor</w:t>
      </w:r>
    </w:p>
    <w:p w:rsidR="009C1C5A" w:rsidRPr="00896D4F" w:rsidRDefault="009C1C5A">
      <w:pPr>
        <w:pStyle w:val="Normaltindrag"/>
      </w:pPr>
      <w:r w:rsidRPr="00896D4F">
        <w:t>7) Försvarsdepartementet över betänkandet (SOU 2001:98) Stöd från Fö</w:t>
      </w:r>
      <w:r w:rsidRPr="00896D4F">
        <w:t>r</w:t>
      </w:r>
      <w:r w:rsidRPr="00896D4F">
        <w:t>svarsmakten</w:t>
      </w:r>
    </w:p>
    <w:p w:rsidR="009C1C5A" w:rsidRPr="00896D4F" w:rsidRDefault="009C1C5A">
      <w:pPr>
        <w:pStyle w:val="Normaltindrag"/>
      </w:pPr>
      <w:r w:rsidRPr="00896D4F">
        <w:t>8) Socialdepartementet över betänkandet (SOU 2001:47) En handläg</w:t>
      </w:r>
      <w:r w:rsidRPr="00896D4F">
        <w:t>g</w:t>
      </w:r>
      <w:r w:rsidRPr="00896D4F">
        <w:t>ningslag – förfarandet hos försäkringskassorna</w:t>
      </w:r>
    </w:p>
    <w:p w:rsidR="009C1C5A" w:rsidRPr="00896D4F" w:rsidRDefault="009C1C5A">
      <w:pPr>
        <w:pStyle w:val="Normaltindrag"/>
      </w:pPr>
      <w:r w:rsidRPr="00896D4F">
        <w:t>9) Finansdepartementet över betänkandet (SOU 2002:8) För</w:t>
      </w:r>
      <w:r w:rsidRPr="00896D4F">
        <w:t>e</w:t>
      </w:r>
      <w:r w:rsidRPr="00896D4F">
        <w:t>trädareansvar</w:t>
      </w:r>
    </w:p>
    <w:p w:rsidR="009C1C5A" w:rsidRPr="00896D4F" w:rsidRDefault="009C1C5A">
      <w:pPr>
        <w:pStyle w:val="Normaltindrag"/>
      </w:pPr>
      <w:r w:rsidRPr="00896D4F">
        <w:t>10) Finansdepartementet över en hemställan från Riksgäldskontoret om ändring av bankrörelselagens regler om bankse</w:t>
      </w:r>
      <w:r w:rsidRPr="00896D4F">
        <w:t>k</w:t>
      </w:r>
      <w:r w:rsidRPr="00896D4F">
        <w:t xml:space="preserve">retess </w:t>
      </w:r>
    </w:p>
    <w:p w:rsidR="009C1C5A" w:rsidRPr="00896D4F" w:rsidRDefault="009C1C5A">
      <w:pPr>
        <w:pStyle w:val="Normaltindrag"/>
      </w:pPr>
      <w:r w:rsidRPr="00896D4F">
        <w:t>11) Finansdepartementet över departementspromemorian (Ds 2002:22) Obligatorisk redovisning av sjukfrånvaron.</w:t>
      </w:r>
    </w:p>
    <w:p w:rsidR="009C1C5A" w:rsidRPr="00896D4F" w:rsidRDefault="009C1C5A">
      <w:pPr>
        <w:tabs>
          <w:tab w:val="left" w:pos="284"/>
        </w:tabs>
        <w:ind w:right="1134"/>
      </w:pPr>
      <w:r w:rsidRPr="00896D4F">
        <w:rPr>
          <w:i/>
        </w:rPr>
        <w:t>JO André har</w:t>
      </w:r>
      <w:r w:rsidRPr="00896D4F">
        <w:t xml:space="preserve"> yttrat sig till</w:t>
      </w:r>
    </w:p>
    <w:p w:rsidR="009C1C5A" w:rsidRPr="00896D4F" w:rsidRDefault="009C1C5A">
      <w:pPr>
        <w:pStyle w:val="Normaltindrag"/>
      </w:pPr>
      <w:r w:rsidRPr="00896D4F">
        <w:t xml:space="preserve">1) Socialdepartementet över en utredningsrapport (S 2001/9592/HS) från Svenska Kommunförbundet och Landstingsförbundet angående samarbetet kring medicinskt färdigbehandlade / utskrivningsklara patienter </w:t>
      </w:r>
    </w:p>
    <w:p w:rsidR="009C1C5A" w:rsidRPr="00896D4F" w:rsidRDefault="009C1C5A">
      <w:pPr>
        <w:pStyle w:val="Normaltindrag"/>
      </w:pPr>
      <w:r w:rsidRPr="00896D4F">
        <w:t>2) Utbildningsdepartementet över departementspromemorian (Ds 2001:62) Etikprövning av forskning som avser männ</w:t>
      </w:r>
      <w:r w:rsidRPr="00896D4F">
        <w:t>i</w:t>
      </w:r>
      <w:r w:rsidRPr="00896D4F">
        <w:t>skor</w:t>
      </w:r>
    </w:p>
    <w:p w:rsidR="009C1C5A" w:rsidRPr="00896D4F" w:rsidRDefault="009C1C5A">
      <w:pPr>
        <w:pStyle w:val="Normaltindrag"/>
      </w:pPr>
      <w:r w:rsidRPr="00896D4F">
        <w:t>3) Socialdepartementet över departementspromemorian (Ds 2001:47) Kommunernas ansvar i vissa barn- och ungdom</w:t>
      </w:r>
      <w:r w:rsidRPr="00896D4F">
        <w:t>s</w:t>
      </w:r>
      <w:r w:rsidRPr="00896D4F">
        <w:t>ärenden</w:t>
      </w:r>
    </w:p>
    <w:p w:rsidR="009C1C5A" w:rsidRPr="00896D4F" w:rsidRDefault="009C1C5A">
      <w:pPr>
        <w:pStyle w:val="Normaltindrag"/>
      </w:pPr>
      <w:r w:rsidRPr="00896D4F">
        <w:t xml:space="preserve">4) Socialdepartementet över betänkandet </w:t>
      </w:r>
      <w:r w:rsidRPr="00896D4F">
        <w:rPr>
          <w:spacing w:val="-6"/>
        </w:rPr>
        <w:t>(SOU 2001:72)</w:t>
      </w:r>
      <w:r w:rsidRPr="00896D4F">
        <w:t xml:space="preserve"> Barnmisshandel – att förebygga och åtgärda</w:t>
      </w:r>
    </w:p>
    <w:p w:rsidR="009C1C5A" w:rsidRPr="00896D4F" w:rsidRDefault="009C1C5A">
      <w:pPr>
        <w:pStyle w:val="Normaltindrag"/>
      </w:pPr>
      <w:r w:rsidRPr="00896D4F">
        <w:t xml:space="preserve">5) Utbildningsdepartementet över </w:t>
      </w:r>
      <w:r w:rsidRPr="00896D4F">
        <w:rPr>
          <w:spacing w:val="-6"/>
        </w:rPr>
        <w:t>Högskoleverkets</w:t>
      </w:r>
      <w:r w:rsidRPr="00896D4F">
        <w:t xml:space="preserve"> rapport (</w:t>
      </w:r>
      <w:r w:rsidRPr="00896D4F">
        <w:rPr>
          <w:spacing w:val="-6"/>
        </w:rPr>
        <w:t>U 2001/440/UH)</w:t>
      </w:r>
      <w:r w:rsidRPr="00896D4F">
        <w:t xml:space="preserve"> 20 åtgärder för att stärka studenternas rättss</w:t>
      </w:r>
      <w:r w:rsidRPr="00896D4F">
        <w:t>ä</w:t>
      </w:r>
      <w:r w:rsidRPr="00896D4F">
        <w:t>kerhet</w:t>
      </w:r>
    </w:p>
    <w:p w:rsidR="009C1C5A" w:rsidRPr="00896D4F" w:rsidRDefault="009C1C5A">
      <w:pPr>
        <w:pStyle w:val="Normaltindrag"/>
      </w:pPr>
      <w:r w:rsidRPr="00896D4F">
        <w:t>6) Socialdepartementet över betänkandet (SOU 2001:95) Att motverka hemlöshet. En samlad strategi för samhället</w:t>
      </w:r>
    </w:p>
    <w:p w:rsidR="009C1C5A" w:rsidRPr="00896D4F" w:rsidRDefault="009C1C5A">
      <w:pPr>
        <w:pStyle w:val="Normaltindrag"/>
      </w:pPr>
      <w:r w:rsidRPr="00896D4F">
        <w:t>7) Riksdagens revisorer över deras rapport (2001/02:13) Statens styrning av skolan – från målstyrning till uppsökande b</w:t>
      </w:r>
      <w:r w:rsidRPr="00896D4F">
        <w:t>i</w:t>
      </w:r>
      <w:r w:rsidRPr="00896D4F">
        <w:t>dragsförmedling.</w:t>
      </w:r>
    </w:p>
    <w:p w:rsidR="009C1C5A" w:rsidRPr="00896D4F" w:rsidRDefault="009C1C5A">
      <w:r w:rsidRPr="00896D4F">
        <w:rPr>
          <w:i/>
        </w:rPr>
        <w:t xml:space="preserve">JO Berggren </w:t>
      </w:r>
      <w:r w:rsidRPr="00896D4F">
        <w:t>har yttrat sig till</w:t>
      </w:r>
    </w:p>
    <w:p w:rsidR="009C1C5A" w:rsidRPr="00896D4F" w:rsidRDefault="009C1C5A">
      <w:pPr>
        <w:pStyle w:val="Normaltindrag"/>
      </w:pPr>
      <w:r w:rsidRPr="00896D4F">
        <w:t>1) Justitiedepartementet över betänkandet (SOU 2001:10) Barn i hom</w:t>
      </w:r>
      <w:r w:rsidRPr="00896D4F">
        <w:t>o</w:t>
      </w:r>
      <w:r w:rsidRPr="00896D4F">
        <w:t xml:space="preserve">sexuella familjer </w:t>
      </w:r>
    </w:p>
    <w:p w:rsidR="009C1C5A" w:rsidRPr="00896D4F" w:rsidRDefault="009C1C5A">
      <w:pPr>
        <w:pStyle w:val="Normaltindrag"/>
      </w:pPr>
      <w:r w:rsidRPr="00896D4F">
        <w:t>2) Utrikesdepartementet över departementspromemorian (Ds 2001:29) N</w:t>
      </w:r>
      <w:r w:rsidRPr="00896D4F">
        <w:t>i</w:t>
      </w:r>
      <w:r w:rsidRPr="00896D4F">
        <w:t>cefördraget – EU:s regeringskonferens 2000</w:t>
      </w:r>
    </w:p>
    <w:p w:rsidR="009C1C5A" w:rsidRPr="00896D4F" w:rsidRDefault="009C1C5A">
      <w:pPr>
        <w:pStyle w:val="Normaltindrag"/>
      </w:pPr>
      <w:r w:rsidRPr="00896D4F">
        <w:t>3) Justitiedepartementet över betänkandet (SOU 2001:28) Yttrandefrihet</w:t>
      </w:r>
      <w:r w:rsidRPr="00896D4F">
        <w:t>s</w:t>
      </w:r>
      <w:r w:rsidRPr="00896D4F">
        <w:t xml:space="preserve">grundlagen och Internet. Utvidgat grundlagsskydd och andra frågor om tryck- och yttrandefrihet </w:t>
      </w:r>
    </w:p>
    <w:p w:rsidR="009C1C5A" w:rsidRPr="00896D4F" w:rsidRDefault="009C1C5A">
      <w:pPr>
        <w:pStyle w:val="Normaltindrag"/>
      </w:pPr>
      <w:r w:rsidRPr="00896D4F">
        <w:t>4) Finansdepartementet över betänkandet (SOU 2001:27) Allmännyttiga bostadsföretag och kommunernas boendeplan</w:t>
      </w:r>
      <w:r w:rsidRPr="00896D4F">
        <w:t>e</w:t>
      </w:r>
      <w:r w:rsidRPr="00896D4F">
        <w:t>ring</w:t>
      </w:r>
    </w:p>
    <w:p w:rsidR="009C1C5A" w:rsidRPr="00896D4F" w:rsidRDefault="009C1C5A">
      <w:pPr>
        <w:pStyle w:val="Normaltindrag"/>
      </w:pPr>
      <w:r w:rsidRPr="00896D4F">
        <w:t>5) Finansdepartementet över EG-kommissionens förslag till nytt direktiv om insiderhandel och otillbörlig marknadspåve</w:t>
      </w:r>
      <w:r w:rsidRPr="00896D4F">
        <w:t>r</w:t>
      </w:r>
      <w:r w:rsidRPr="00896D4F">
        <w:t>kan (marknadsmissbruk)</w:t>
      </w:r>
    </w:p>
    <w:p w:rsidR="009C1C5A" w:rsidRPr="00896D4F" w:rsidRDefault="009C1C5A">
      <w:pPr>
        <w:pStyle w:val="Normaltindrag"/>
      </w:pPr>
      <w:r w:rsidRPr="00896D4F">
        <w:t>6) Riksdagens revisorer över deras rapport (2000/01:13) Sponsring av statliga myndigheter</w:t>
      </w:r>
    </w:p>
    <w:p w:rsidR="009C1C5A" w:rsidRPr="00896D4F" w:rsidRDefault="009C1C5A">
      <w:pPr>
        <w:pStyle w:val="Normaltindrag"/>
      </w:pPr>
      <w:r w:rsidRPr="00896D4F">
        <w:t>7) Näringsdepartementet över Kartellbekämpningsutredningens promem</w:t>
      </w:r>
      <w:r w:rsidRPr="00896D4F">
        <w:t>o</w:t>
      </w:r>
      <w:r w:rsidRPr="00896D4F">
        <w:t>ria med förslag till ändring i sekretesslagen samt nordiskt avtal om samarbete i konkurrensfrågor</w:t>
      </w:r>
    </w:p>
    <w:p w:rsidR="009C1C5A" w:rsidRPr="00896D4F" w:rsidRDefault="009C1C5A">
      <w:pPr>
        <w:pStyle w:val="Normaltindrag"/>
      </w:pPr>
      <w:r w:rsidRPr="00896D4F">
        <w:t>8) Näringsdepartementet över ett förslag till förordning för möjliggörande av elektronisk ingivning till Patent- och reg</w:t>
      </w:r>
      <w:r w:rsidRPr="00896D4F">
        <w:t>i</w:t>
      </w:r>
      <w:r w:rsidRPr="00896D4F">
        <w:t>streringsverket</w:t>
      </w:r>
    </w:p>
    <w:p w:rsidR="009C1C5A" w:rsidRPr="00896D4F" w:rsidRDefault="009C1C5A">
      <w:pPr>
        <w:pStyle w:val="Normaltindrag"/>
      </w:pPr>
      <w:r w:rsidRPr="00896D4F">
        <w:t>9) Justitiedepartementet över departementspromemorian (Ds 2001:34) Ökade möjligheter till brukarinflytande</w:t>
      </w:r>
    </w:p>
    <w:p w:rsidR="009C1C5A" w:rsidRPr="00896D4F" w:rsidRDefault="009C1C5A">
      <w:pPr>
        <w:pStyle w:val="Normaltindrag"/>
      </w:pPr>
      <w:r w:rsidRPr="00896D4F">
        <w:t>10) Justitiedepartementet över betänkandet (SOU 2001:26) Ny varumä</w:t>
      </w:r>
      <w:r w:rsidRPr="00896D4F">
        <w:t>r</w:t>
      </w:r>
      <w:r w:rsidRPr="00896D4F">
        <w:t>keslag och ändringar i firmalagen</w:t>
      </w:r>
    </w:p>
    <w:p w:rsidR="009C1C5A" w:rsidRPr="00896D4F" w:rsidRDefault="009C1C5A">
      <w:pPr>
        <w:pStyle w:val="Normaltindrag"/>
      </w:pPr>
      <w:r w:rsidRPr="00896D4F">
        <w:t>11) Näringsdepartementet över departementspromemorian (Ds 2001:46) Vissa frågor om sjömäns vilotid</w:t>
      </w:r>
    </w:p>
    <w:p w:rsidR="009C1C5A" w:rsidRPr="00896D4F" w:rsidRDefault="009C1C5A">
      <w:pPr>
        <w:pStyle w:val="Normaltindrag"/>
      </w:pPr>
      <w:r w:rsidRPr="00896D4F">
        <w:t>12) Riksdagens revisorer över deras rapport (2001/02:6) Uppehållstillstånd för asylsökande – tidsåtgång, kostnader, r</w:t>
      </w:r>
      <w:r w:rsidRPr="00896D4F">
        <w:t>e</w:t>
      </w:r>
      <w:r w:rsidRPr="00896D4F">
        <w:t>formarbete</w:t>
      </w:r>
    </w:p>
    <w:p w:rsidR="009C1C5A" w:rsidRPr="00896D4F" w:rsidRDefault="009C1C5A">
      <w:pPr>
        <w:pStyle w:val="Normaltindrag"/>
      </w:pPr>
      <w:r w:rsidRPr="00896D4F">
        <w:t>13) Justitiedepartementet över promemorian (Ju 2001/6026/PP) Statens ansvarsnämnds funktion och komp</w:t>
      </w:r>
      <w:r w:rsidRPr="00896D4F">
        <w:t>e</w:t>
      </w:r>
      <w:r w:rsidRPr="00896D4F">
        <w:t>tensområde m.m.</w:t>
      </w:r>
    </w:p>
    <w:p w:rsidR="009C1C5A" w:rsidRPr="00896D4F" w:rsidRDefault="009C1C5A">
      <w:pPr>
        <w:pStyle w:val="Normaltindrag"/>
      </w:pPr>
      <w:r w:rsidRPr="00896D4F">
        <w:t>14) Justitiedepartementet över förslag (Ju 2001/7497/D) till nationell handlingsplan för de mänskliga rättigheterna</w:t>
      </w:r>
    </w:p>
    <w:p w:rsidR="009C1C5A" w:rsidRPr="00896D4F" w:rsidRDefault="009C1C5A">
      <w:pPr>
        <w:pStyle w:val="Normaltindrag"/>
      </w:pPr>
      <w:r w:rsidRPr="00896D4F">
        <w:t>15) Näringsdepartementet över promemorian Utökad sekretess hos JämO, DO, HomO, HO, KO, Jämställdhetsnämnden och Nämnden mot diskrimin</w:t>
      </w:r>
      <w:r w:rsidRPr="00896D4F">
        <w:t>e</w:t>
      </w:r>
      <w:r w:rsidRPr="00896D4F">
        <w:t>ring</w:t>
      </w:r>
    </w:p>
    <w:p w:rsidR="009C1C5A" w:rsidRPr="00896D4F" w:rsidRDefault="009C1C5A">
      <w:pPr>
        <w:pStyle w:val="Normaltindrag"/>
      </w:pPr>
      <w:r w:rsidRPr="00896D4F">
        <w:t>16) Utrikesdepartementet över Europeiska kommissionens vitbok om st</w:t>
      </w:r>
      <w:r w:rsidRPr="00896D4F">
        <w:t>y</w:t>
      </w:r>
      <w:r w:rsidRPr="00896D4F">
        <w:t>relseformerna i EU</w:t>
      </w:r>
    </w:p>
    <w:p w:rsidR="009C1C5A" w:rsidRPr="00896D4F" w:rsidRDefault="009C1C5A">
      <w:pPr>
        <w:pStyle w:val="Normaltindrag"/>
      </w:pPr>
      <w:r w:rsidRPr="00896D4F">
        <w:t>17) Näringsdepartementet över ett utkast till proposition avseende lag om behandling av personuppgifter i den arbetsmarknadspolitiska verksamheten</w:t>
      </w:r>
    </w:p>
    <w:p w:rsidR="009C1C5A" w:rsidRPr="00896D4F" w:rsidRDefault="009C1C5A">
      <w:pPr>
        <w:pStyle w:val="Normaltindrag"/>
      </w:pPr>
      <w:r w:rsidRPr="00896D4F">
        <w:t>18) Näringsdepartementet över en promemoria om genomförande av E</w:t>
      </w:r>
      <w:r w:rsidRPr="00896D4F">
        <w:t>u</w:t>
      </w:r>
      <w:r w:rsidRPr="00896D4F">
        <w:t>ropaparlamentets och rådets direktiv 2000/59/EG om mottagningsanordningar i hamn för fartygsgenererat avfall och lastrester</w:t>
      </w:r>
    </w:p>
    <w:p w:rsidR="009C1C5A" w:rsidRPr="00896D4F" w:rsidRDefault="009C1C5A">
      <w:pPr>
        <w:pStyle w:val="Normaltindrag"/>
      </w:pPr>
      <w:r w:rsidRPr="00896D4F">
        <w:t>19) Näringsdepartementet över delbetänkandet (SOU 2001:74) Kartellb</w:t>
      </w:r>
      <w:r w:rsidRPr="00896D4F">
        <w:t>e</w:t>
      </w:r>
      <w:r w:rsidRPr="00896D4F">
        <w:t>kämpning</w:t>
      </w:r>
    </w:p>
    <w:p w:rsidR="009C1C5A" w:rsidRPr="00896D4F" w:rsidRDefault="009C1C5A">
      <w:pPr>
        <w:pStyle w:val="Normaltindrag"/>
      </w:pPr>
      <w:r w:rsidRPr="00896D4F">
        <w:t>20) Försvarsdepartementet över rapporterna Översyn av huvudmannask</w:t>
      </w:r>
      <w:r w:rsidRPr="00896D4F">
        <w:t>a</w:t>
      </w:r>
      <w:r w:rsidRPr="00896D4F">
        <w:t>pet för Räddningsverkets skolor respektive Utbildning för skydd mot olyckor</w:t>
      </w:r>
    </w:p>
    <w:p w:rsidR="009C1C5A" w:rsidRPr="00896D4F" w:rsidRDefault="009C1C5A">
      <w:pPr>
        <w:pStyle w:val="Normaltindrag"/>
      </w:pPr>
      <w:r w:rsidRPr="00896D4F">
        <w:t>21) Justitiedepartementet över Domstolsverkets rapport (2001:6 A) Utvä</w:t>
      </w:r>
      <w:r w:rsidRPr="00896D4F">
        <w:t>r</w:t>
      </w:r>
      <w:r w:rsidRPr="00896D4F">
        <w:t>dering av rättshjälpslagen – en redovisning av ett regering</w:t>
      </w:r>
      <w:r w:rsidRPr="00896D4F">
        <w:t>s</w:t>
      </w:r>
      <w:r w:rsidRPr="00896D4F">
        <w:t>uppdrag</w:t>
      </w:r>
    </w:p>
    <w:p w:rsidR="009C1C5A" w:rsidRPr="00896D4F" w:rsidRDefault="009C1C5A">
      <w:pPr>
        <w:pStyle w:val="Normaltindrag"/>
      </w:pPr>
      <w:r w:rsidRPr="00896D4F">
        <w:t>22) Näringsdepartementet över departementspromemorian (Ds 2001:75) Tillsynen över arbetslöshetsförsäkringen</w:t>
      </w:r>
    </w:p>
    <w:p w:rsidR="009C1C5A" w:rsidRPr="00896D4F" w:rsidRDefault="009C1C5A">
      <w:pPr>
        <w:pStyle w:val="Normaltindrag"/>
      </w:pPr>
      <w:r w:rsidRPr="00896D4F">
        <w:t>23) Kulturdepartementet över departementspromemorian (Ds 2001:52) Abonnentinflytande i kabel-TV-nät – en analys av behovet av lagregler för att stärka abonnenternas inflytande över programutbudet i kabel-TV-nät</w:t>
      </w:r>
    </w:p>
    <w:p w:rsidR="009C1C5A" w:rsidRPr="00896D4F" w:rsidRDefault="009C1C5A">
      <w:pPr>
        <w:pStyle w:val="Normaltindrag"/>
      </w:pPr>
      <w:r w:rsidRPr="00896D4F">
        <w:t>24) Riksdagens revisorer över den inom revisorernas kansli upprättade rapporten Hur styr staten livsmedelstillsynen?</w:t>
      </w:r>
    </w:p>
    <w:p w:rsidR="009C1C5A" w:rsidRPr="00896D4F" w:rsidRDefault="009C1C5A">
      <w:pPr>
        <w:pStyle w:val="Normaltindrag"/>
      </w:pPr>
      <w:r w:rsidRPr="00896D4F">
        <w:t>25) Utrikesdepartementet över departementspromemorian (Ds 2001:77) Om uppehållstillstånd med tillfälligt skydd vid mas</w:t>
      </w:r>
      <w:r w:rsidRPr="00896D4F">
        <w:t>s</w:t>
      </w:r>
      <w:r w:rsidRPr="00896D4F">
        <w:t>flykt</w:t>
      </w:r>
    </w:p>
    <w:p w:rsidR="009C1C5A" w:rsidRPr="00896D4F" w:rsidRDefault="009C1C5A">
      <w:pPr>
        <w:pStyle w:val="Normaltindrag"/>
      </w:pPr>
      <w:r w:rsidRPr="00896D4F">
        <w:t>26) Justitiedepartementet över Justitiekanslerns framställning med förslag till ändring i förordningen om handläggning av skadeståndsanspråk mot st</w:t>
      </w:r>
      <w:r w:rsidRPr="00896D4F">
        <w:t>a</w:t>
      </w:r>
      <w:r w:rsidRPr="00896D4F">
        <w:t>ten</w:t>
      </w:r>
    </w:p>
    <w:p w:rsidR="009C1C5A" w:rsidRPr="00896D4F" w:rsidRDefault="009C1C5A">
      <w:pPr>
        <w:pStyle w:val="Normaltindrag"/>
      </w:pPr>
      <w:r w:rsidRPr="00896D4F">
        <w:t>27) Näringsdepartementet över promemorian (N 2002/1665/A) Revisionen av arbetslöshetsförsäkringen och aktivitetsstödet</w:t>
      </w:r>
    </w:p>
    <w:p w:rsidR="009C1C5A" w:rsidRPr="00896D4F" w:rsidRDefault="009C1C5A">
      <w:pPr>
        <w:pStyle w:val="Normaltindrag"/>
      </w:pPr>
      <w:r w:rsidRPr="00896D4F">
        <w:t>28) Justitiedepartementet över betänkandet (SOU 2001:99) Offentliga va</w:t>
      </w:r>
      <w:r w:rsidRPr="00896D4F">
        <w:t>l</w:t>
      </w:r>
      <w:r w:rsidRPr="00896D4F">
        <w:t>förberedelser – Anmälan av partier och kandidater</w:t>
      </w:r>
    </w:p>
    <w:p w:rsidR="009C1C5A" w:rsidRPr="00896D4F" w:rsidRDefault="009C1C5A">
      <w:pPr>
        <w:pStyle w:val="Normaltindrag"/>
      </w:pPr>
      <w:r w:rsidRPr="00896D4F">
        <w:t>29) Utrikesdepartementet över departementspromemorian (Ds 2001:76) Om ömsesidigt erkännande av beslut om avvisning eller utvisning</w:t>
      </w:r>
    </w:p>
    <w:p w:rsidR="009C1C5A" w:rsidRPr="00896D4F" w:rsidRDefault="009C1C5A">
      <w:pPr>
        <w:pStyle w:val="Normaltindrag"/>
      </w:pPr>
      <w:r w:rsidRPr="00896D4F">
        <w:t>30) Justitiedepartementet över departementspromemorian (Ds 2001:66) Några frågor om ordningslagen</w:t>
      </w:r>
    </w:p>
    <w:p w:rsidR="009C1C5A" w:rsidRPr="00896D4F" w:rsidRDefault="009C1C5A">
      <w:pPr>
        <w:pStyle w:val="Normaltindrag"/>
      </w:pPr>
      <w:r w:rsidRPr="00896D4F">
        <w:t>31) Justitiedepartementet över departementspromemorian (Ds 2001:53) Föräldrars samtycke till adoption m.m.</w:t>
      </w:r>
    </w:p>
    <w:p w:rsidR="009C1C5A" w:rsidRPr="00896D4F" w:rsidRDefault="009C1C5A">
      <w:pPr>
        <w:pStyle w:val="Normaltindrag"/>
      </w:pPr>
      <w:r w:rsidRPr="00896D4F">
        <w:t>32) Utrikesdepartementet över departementspromemorian (Ds 2001:74) Transportörsansvaret i utlänningslagen</w:t>
      </w:r>
    </w:p>
    <w:p w:rsidR="009C1C5A" w:rsidRPr="00896D4F" w:rsidRDefault="009C1C5A">
      <w:pPr>
        <w:pStyle w:val="Normaltindrag"/>
      </w:pPr>
      <w:r w:rsidRPr="00896D4F">
        <w:t>33) Konstitutionsutskottet över promemorian Lagstiftning om Sveriges i</w:t>
      </w:r>
      <w:r w:rsidRPr="00896D4F">
        <w:t>n</w:t>
      </w:r>
      <w:r w:rsidRPr="00896D4F">
        <w:t>delning i landsting m.m.</w:t>
      </w:r>
    </w:p>
    <w:p w:rsidR="009C1C5A" w:rsidRPr="00896D4F" w:rsidRDefault="009C1C5A">
      <w:pPr>
        <w:pStyle w:val="Normaltindrag"/>
      </w:pPr>
      <w:r w:rsidRPr="00896D4F">
        <w:t>34) Justitiedepartementet över betänkandet (SOU 2002:2) Datainspekti</w:t>
      </w:r>
      <w:r w:rsidRPr="00896D4F">
        <w:t>o</w:t>
      </w:r>
      <w:r w:rsidRPr="00896D4F">
        <w:t>nen; Kompetens – Effektivitet – Service</w:t>
      </w:r>
    </w:p>
    <w:p w:rsidR="009C1C5A" w:rsidRPr="00896D4F" w:rsidRDefault="009C1C5A">
      <w:pPr>
        <w:pStyle w:val="Normaltindrag"/>
      </w:pPr>
      <w:r w:rsidRPr="00896D4F">
        <w:t>35) Justitiedepartementet över betänkandet (SOU 2001:105) Kommuners och landstings beslutsfattande och kompetens vid extraordinära händelser i fredstid</w:t>
      </w:r>
    </w:p>
    <w:p w:rsidR="009C1C5A" w:rsidRPr="00896D4F" w:rsidRDefault="009C1C5A">
      <w:pPr>
        <w:pStyle w:val="Normaltindrag"/>
      </w:pPr>
      <w:r w:rsidRPr="00896D4F">
        <w:t>36) Justitiedepartementet över betänkandet (SOU 2001:100) Information</w:t>
      </w:r>
      <w:r w:rsidRPr="00896D4F">
        <w:t>s</w:t>
      </w:r>
      <w:r w:rsidRPr="00896D4F">
        <w:t>hantering och behandling av uppgifter vid do</w:t>
      </w:r>
      <w:r w:rsidRPr="00896D4F">
        <w:t>m</w:t>
      </w:r>
      <w:r w:rsidRPr="00896D4F">
        <w:t>stolar – En rättslig översyn</w:t>
      </w:r>
    </w:p>
    <w:p w:rsidR="009C1C5A" w:rsidRPr="00896D4F" w:rsidRDefault="009C1C5A">
      <w:pPr>
        <w:pStyle w:val="Normaltindrag"/>
      </w:pPr>
      <w:r w:rsidRPr="00896D4F">
        <w:t>37) Jordbruksdepartementet över rapporten Redovisning av erfarenheterna av och förslag beträffande den svenska användningen av sanktioner i ärenden om överträdelse av fiskeb</w:t>
      </w:r>
      <w:r w:rsidRPr="00896D4F">
        <w:t>e</w:t>
      </w:r>
      <w:r w:rsidRPr="00896D4F">
        <w:t>stämmelser</w:t>
      </w:r>
    </w:p>
    <w:p w:rsidR="009C1C5A" w:rsidRPr="00896D4F" w:rsidRDefault="009C1C5A">
      <w:pPr>
        <w:pStyle w:val="Normaltindrag"/>
      </w:pPr>
      <w:r w:rsidRPr="00896D4F">
        <w:t>38) Försvarsdepartementet över betänkandet (SOU 2002:10) En reform</w:t>
      </w:r>
      <w:r w:rsidRPr="00896D4F">
        <w:t>e</w:t>
      </w:r>
      <w:r w:rsidRPr="00896D4F">
        <w:t>rad räddningstjänstlagstiftning</w:t>
      </w:r>
    </w:p>
    <w:p w:rsidR="009C1C5A" w:rsidRPr="00896D4F" w:rsidRDefault="009C1C5A">
      <w:pPr>
        <w:pStyle w:val="Normaltindrag"/>
      </w:pPr>
      <w:r w:rsidRPr="00896D4F">
        <w:t>39) Justitiedepartementet över departementspromemorian (Ds 2002:6) Adelns offentligrättsliga status</w:t>
      </w:r>
    </w:p>
    <w:p w:rsidR="009C1C5A" w:rsidRPr="00896D4F" w:rsidRDefault="009C1C5A">
      <w:pPr>
        <w:pStyle w:val="Normaltindrag"/>
      </w:pPr>
      <w:r w:rsidRPr="00896D4F">
        <w:t>40) Utrikesdepartementet över betänkandet (SOU 2001:110) Utlandsmy</w:t>
      </w:r>
      <w:r w:rsidRPr="00896D4F">
        <w:t>n</w:t>
      </w:r>
      <w:r w:rsidRPr="00896D4F">
        <w:t>digheternas medverkan i utlänning</w:t>
      </w:r>
      <w:r w:rsidRPr="00896D4F">
        <w:t>s</w:t>
      </w:r>
      <w:r w:rsidRPr="00896D4F">
        <w:t>ärenden m.m.</w:t>
      </w:r>
    </w:p>
    <w:p w:rsidR="009C1C5A" w:rsidRPr="00896D4F" w:rsidRDefault="009C1C5A">
      <w:pPr>
        <w:pStyle w:val="Normaltindrag"/>
      </w:pPr>
      <w:r w:rsidRPr="00896D4F">
        <w:t>41) Justitiedepartementet över betänkandet (SOU 2002:20) Guide på I</w:t>
      </w:r>
      <w:r w:rsidRPr="00896D4F">
        <w:t>n</w:t>
      </w:r>
      <w:r w:rsidRPr="00896D4F">
        <w:t>ternet – ett stöd för medborgarnas möte med det offentliga samt över Stat</w:t>
      </w:r>
      <w:r w:rsidRPr="00896D4F">
        <w:t>s</w:t>
      </w:r>
      <w:r w:rsidRPr="00896D4F">
        <w:t>kontorets rapport Framställning med förslag till åtgärder för en sammanhållen elektronisk förval</w:t>
      </w:r>
      <w:r w:rsidRPr="00896D4F">
        <w:t>t</w:t>
      </w:r>
      <w:r w:rsidRPr="00896D4F">
        <w:t>ning.</w:t>
      </w:r>
    </w:p>
    <w:p w:rsidR="009C1C5A" w:rsidRPr="00896D4F" w:rsidRDefault="009C1C5A">
      <w:pPr>
        <w:pStyle w:val="Rubrik3"/>
      </w:pPr>
      <w:r w:rsidRPr="00896D4F">
        <w:t>2.3 Framställningar och överlämnande av beslut till riksdagen respektive regeringen</w:t>
      </w:r>
    </w:p>
    <w:p w:rsidR="009C1C5A" w:rsidRPr="00896D4F" w:rsidRDefault="009C1C5A">
      <w:r w:rsidRPr="00896D4F">
        <w:rPr>
          <w:i/>
        </w:rPr>
        <w:t>JO Pennlöv</w:t>
      </w:r>
      <w:r w:rsidRPr="00896D4F">
        <w:t xml:space="preserve"> har efter samråd med chefsJO Eklundh gjort en framställning med stöd av 4 § instruktionen till regeringen (Socialdepartementet) rörande vissa oklarheter i lagen (1993:389) om assistansersättning (LASS) vad gäller återkrav av assistansersättning, se s. 339</w:t>
      </w:r>
    </w:p>
    <w:p w:rsidR="009C1C5A" w:rsidRPr="00896D4F" w:rsidRDefault="009C1C5A">
      <w:pPr>
        <w:pStyle w:val="Normaltindrag"/>
      </w:pPr>
      <w:r w:rsidRPr="00896D4F">
        <w:t>12 beslut har överlämnats till riksdagsutskott, departement inom Rege</w:t>
      </w:r>
      <w:r w:rsidRPr="00896D4F">
        <w:t>r</w:t>
      </w:r>
      <w:r w:rsidRPr="00896D4F">
        <w:t>ingskansliet eller myndigheter. Överlämnandena har gjorts för att fästa vede</w:t>
      </w:r>
      <w:r w:rsidRPr="00896D4F">
        <w:t>r</w:t>
      </w:r>
      <w:r w:rsidRPr="00896D4F">
        <w:t>börandes uppmärksamhet på förhållanden som framkommit under ärendets utredning eller för kännedom. Av de överlämnade besluten tillhör 4 st. a</w:t>
      </w:r>
      <w:r w:rsidRPr="00896D4F">
        <w:t>n</w:t>
      </w:r>
      <w:r w:rsidRPr="00896D4F">
        <w:t>svarsområde 2 enligt arbetsordningen, 4 st. ansvarsområde 3 och 4 st. a</w:t>
      </w:r>
      <w:r w:rsidRPr="00896D4F">
        <w:t>n</w:t>
      </w:r>
      <w:r w:rsidRPr="00896D4F">
        <w:t>svarsområde 4.</w:t>
      </w:r>
    </w:p>
    <w:p w:rsidR="009C1C5A" w:rsidRPr="00896D4F" w:rsidRDefault="009C1C5A">
      <w:pPr>
        <w:pStyle w:val="Normaltindrag"/>
      </w:pPr>
      <w:r w:rsidRPr="00896D4F">
        <w:t xml:space="preserve">Härutöver hänvisas till s. 98 (referat av beslut dnr 3585-1999 m.fl.)  </w:t>
      </w:r>
    </w:p>
    <w:p w:rsidR="009C1C5A" w:rsidRPr="00896D4F" w:rsidRDefault="009C1C5A">
      <w:pPr>
        <w:pStyle w:val="Rubrik3"/>
      </w:pPr>
      <w:r w:rsidRPr="00896D4F">
        <w:t xml:space="preserve">2.4 Åtal, anmälningar för vidtagande av disciplinär åtgärd samt överlämnande av ärenden till annan myndighet </w:t>
      </w:r>
    </w:p>
    <w:p w:rsidR="009C1C5A" w:rsidRPr="00896D4F" w:rsidRDefault="009C1C5A">
      <w:r w:rsidRPr="00896D4F">
        <w:rPr>
          <w:i/>
        </w:rPr>
        <w:t xml:space="preserve">ChefsJO Eklundh </w:t>
      </w:r>
      <w:r w:rsidRPr="00896D4F">
        <w:t>har under verksamhetsåret väckt åtal mot en rådman vid en tingsrätt för tjänstefel (dnr 3312-2001).</w:t>
      </w:r>
    </w:p>
    <w:p w:rsidR="009C1C5A" w:rsidRPr="00896D4F" w:rsidRDefault="009C1C5A">
      <w:pPr>
        <w:pStyle w:val="Normaltindrag"/>
      </w:pPr>
      <w:r w:rsidRPr="00896D4F">
        <w:rPr>
          <w:i/>
        </w:rPr>
        <w:t xml:space="preserve">JO Berggren </w:t>
      </w:r>
      <w:r w:rsidRPr="00896D4F">
        <w:t>har under verksamhetsåret väckt åtal mot en biskop för tjänst</w:t>
      </w:r>
      <w:r w:rsidRPr="00896D4F">
        <w:t>e</w:t>
      </w:r>
      <w:r w:rsidRPr="00896D4F">
        <w:t>fel (dnr 298-2000).</w:t>
      </w:r>
    </w:p>
    <w:p w:rsidR="009C1C5A" w:rsidRPr="00896D4F" w:rsidRDefault="009C1C5A">
      <w:pPr>
        <w:pStyle w:val="Normaltindrag"/>
      </w:pPr>
      <w:r w:rsidRPr="00896D4F">
        <w:t>Under verksamhetsåret har inga anmälningar gjorts för vidtagande av d</w:t>
      </w:r>
      <w:r w:rsidRPr="00896D4F">
        <w:t>i</w:t>
      </w:r>
      <w:r w:rsidRPr="00896D4F">
        <w:t>sciplinär åtgärd.</w:t>
      </w:r>
    </w:p>
    <w:p w:rsidR="009C1C5A" w:rsidRPr="00896D4F" w:rsidRDefault="009C1C5A">
      <w:pPr>
        <w:pStyle w:val="Normaltindrag"/>
      </w:pPr>
      <w:r w:rsidRPr="00896D4F">
        <w:t>Med stöd av 18 § instruktionen har 3 initiativärenden och 64 klagomål</w:t>
      </w:r>
      <w:r w:rsidRPr="00896D4F">
        <w:t>s</w:t>
      </w:r>
      <w:r w:rsidRPr="00896D4F">
        <w:t>ärenden lämnats över till annan tillsynsmyndighet för prövning och avgöra</w:t>
      </w:r>
      <w:r w:rsidRPr="00896D4F">
        <w:t>n</w:t>
      </w:r>
      <w:r w:rsidRPr="00896D4F">
        <w:t>de. (Motsvarande antal under verksamhetsåret 2000/01 var 1 initiativärende och 58 klagomålsärenden.) Av de överlämnade ärendena tillhörde 52 st. a</w:t>
      </w:r>
      <w:r w:rsidRPr="00896D4F">
        <w:t>n</w:t>
      </w:r>
      <w:r w:rsidRPr="00896D4F">
        <w:t>svarsområde 1 enligt arbetsordningen, 1 st. ansvarsområde 2, 13 st. ansvar</w:t>
      </w:r>
      <w:r w:rsidRPr="00896D4F">
        <w:t>s</w:t>
      </w:r>
      <w:r w:rsidRPr="00896D4F">
        <w:t>område 3 och 1 st. ansvarsområde 4.</w:t>
      </w:r>
    </w:p>
    <w:p w:rsidR="009C1C5A" w:rsidRPr="00896D4F" w:rsidRDefault="009C1C5A">
      <w:pPr>
        <w:pStyle w:val="Rubrik3"/>
      </w:pPr>
      <w:r w:rsidRPr="00896D4F">
        <w:t>2.5 Inspektioner och myndighetsbesök</w:t>
      </w:r>
    </w:p>
    <w:p w:rsidR="009C1C5A" w:rsidRPr="00896D4F" w:rsidRDefault="009C1C5A">
      <w:r w:rsidRPr="00896D4F">
        <w:rPr>
          <w:i/>
        </w:rPr>
        <w:t xml:space="preserve">ChefsJO Eklundh </w:t>
      </w:r>
      <w:r w:rsidRPr="00896D4F">
        <w:t xml:space="preserve">har inspekterat Karlstads tingsrätt och Polismyndigheten Gotland. </w:t>
      </w:r>
      <w:r w:rsidRPr="00896D4F">
        <w:rPr>
          <w:i/>
        </w:rPr>
        <w:t>Byråchefen Manninen</w:t>
      </w:r>
      <w:r w:rsidRPr="00896D4F">
        <w:t xml:space="preserve"> har på chefsJO Eklundhs uppdrag inspekterat Polismyndigheten i Stockholms län/Södertörns polismästardistrikt. Inspekti</w:t>
      </w:r>
      <w:r w:rsidRPr="00896D4F">
        <w:t>o</w:t>
      </w:r>
      <w:r w:rsidRPr="00896D4F">
        <w:t>nerna har omfattat sammanlagt 6 dagar.</w:t>
      </w:r>
    </w:p>
    <w:p w:rsidR="009C1C5A" w:rsidRPr="00896D4F" w:rsidRDefault="009C1C5A">
      <w:pPr>
        <w:pStyle w:val="Normaltindrag"/>
      </w:pPr>
      <w:r w:rsidRPr="00896D4F">
        <w:rPr>
          <w:i/>
        </w:rPr>
        <w:t>JO Pennlöv</w:t>
      </w:r>
      <w:r w:rsidRPr="00896D4F">
        <w:t xml:space="preserve"> har inspekterat Älvsborgs amfibieregemente (Amf 4) i Göt</w:t>
      </w:r>
      <w:r w:rsidRPr="00896D4F">
        <w:t>e</w:t>
      </w:r>
      <w:r w:rsidRPr="00896D4F">
        <w:t>borg, Livregementets husarer (K 3) i Karlsborg, Luftvärnsregementet (Lv 6) i Halmstad, Pliktverket i Karlstad, Kronofogdemyndigheten i Stockholm, Kr</w:t>
      </w:r>
      <w:r w:rsidRPr="00896D4F">
        <w:t>i</w:t>
      </w:r>
      <w:r w:rsidRPr="00896D4F">
        <w:t>minalvårdsmyndigheten Gävle/anstalten Gävle, Kriminalvårdsmyndigheten Malmö Kirseberg, Kriminalvårdsmyndigheten Kristianstad/anstalterna Krist</w:t>
      </w:r>
      <w:r w:rsidRPr="00896D4F">
        <w:t>i</w:t>
      </w:r>
      <w:r w:rsidRPr="00896D4F">
        <w:t>anstad Centrum och Kristianstad, Norrbottens läns allmänna försäkringska</w:t>
      </w:r>
      <w:r w:rsidRPr="00896D4F">
        <w:t>s</w:t>
      </w:r>
      <w:r w:rsidRPr="00896D4F">
        <w:t>sa/centralkontoret samt lokalkontoren i Boden och Piteå, Stockholms läns allmänna försäkr</w:t>
      </w:r>
      <w:r w:rsidRPr="00896D4F">
        <w:t>ingskassa/lokalkontoren i Södertälje och Solna/Sundbyberg, Hallands läns allmänna försäkringskassa/centralkontoret samt lokalkontoren i Halmstad, Varberg och Falkenberg, Överförmyndaren i Nordanstigs ko</w:t>
      </w:r>
      <w:r w:rsidRPr="00896D4F">
        <w:t>m</w:t>
      </w:r>
      <w:r w:rsidRPr="00896D4F">
        <w:t xml:space="preserve">mun, Överförmyndaren i Hudiksvalls kommun, Överförmyndaren i Västerås kommun, Överförmyndarnämnden i Göteborgs kommun, Överförmyndaren i Skövde kommun samt Överförmyndarnämnden i Halmstads kommun. </w:t>
      </w:r>
      <w:r w:rsidRPr="00896D4F">
        <w:rPr>
          <w:i/>
        </w:rPr>
        <w:t>Byr</w:t>
      </w:r>
      <w:r w:rsidRPr="00896D4F">
        <w:rPr>
          <w:i/>
        </w:rPr>
        <w:t>å</w:t>
      </w:r>
      <w:r w:rsidRPr="00896D4F">
        <w:rPr>
          <w:i/>
        </w:rPr>
        <w:t>chefen Buhre</w:t>
      </w:r>
      <w:r w:rsidRPr="00896D4F">
        <w:t xml:space="preserve"> har på JO Pennlövs uppdrag inspekterat Överförmyndarnäm</w:t>
      </w:r>
      <w:r w:rsidRPr="00896D4F">
        <w:t>n</w:t>
      </w:r>
      <w:r w:rsidRPr="00896D4F">
        <w:t>den i Laholms kommun. Inspektionerna ha</w:t>
      </w:r>
      <w:r w:rsidRPr="00896D4F">
        <w:t>r omfattat sammanlagt 27 dagar.</w:t>
      </w:r>
    </w:p>
    <w:p w:rsidR="009C1C5A" w:rsidRPr="00896D4F" w:rsidRDefault="009C1C5A">
      <w:pPr>
        <w:pStyle w:val="Normaltindrag"/>
      </w:pPr>
      <w:r w:rsidRPr="00896D4F">
        <w:rPr>
          <w:i/>
        </w:rPr>
        <w:t>JO André</w:t>
      </w:r>
      <w:r w:rsidRPr="00896D4F">
        <w:t xml:space="preserve"> har inspekterat Salberga sjukhus (särskilt LRV-enheten) inom Västmanlands läns landsting, Vård- och omsorgsnämnden i Sala kommun, socialtjänsten inom Norrmalms stadsdelsnämnd i Stockholms kommun, Ö</w:t>
      </w:r>
      <w:r w:rsidRPr="00896D4F">
        <w:t>s</w:t>
      </w:r>
      <w:r w:rsidRPr="00896D4F">
        <w:t>termalms stadsdelsnämnd i Stockholms kommun med avseende på grun</w:t>
      </w:r>
      <w:r w:rsidRPr="00896D4F">
        <w:t>d</w:t>
      </w:r>
      <w:r w:rsidRPr="00896D4F">
        <w:t>skolefrågor samt Engelbrektsskolan i Stockholms kommun. JO André har vidare besökt Högskoleverket. Inspektioner och myndighetsbesök har omfa</w:t>
      </w:r>
      <w:r w:rsidRPr="00896D4F">
        <w:t>t</w:t>
      </w:r>
      <w:r w:rsidRPr="00896D4F">
        <w:t>tat sammanlagt 10 dagar.</w:t>
      </w:r>
    </w:p>
    <w:p w:rsidR="009C1C5A" w:rsidRPr="00896D4F" w:rsidRDefault="009C1C5A">
      <w:pPr>
        <w:pStyle w:val="Normaltindrag"/>
      </w:pPr>
      <w:r w:rsidRPr="00896D4F">
        <w:rPr>
          <w:i/>
        </w:rPr>
        <w:t>JO Berggren</w:t>
      </w:r>
      <w:r w:rsidRPr="00896D4F">
        <w:t xml:space="preserve"> har inspekterat Länsrätten i Västerbottens län, Miljödomst</w:t>
      </w:r>
      <w:r w:rsidRPr="00896D4F">
        <w:t>o</w:t>
      </w:r>
      <w:r w:rsidRPr="00896D4F">
        <w:t>len vid Umeå tingsrätt, Brottsoffermyndigheten, Länsarbetsnämnden i Up</w:t>
      </w:r>
      <w:r w:rsidRPr="00896D4F">
        <w:t>p</w:t>
      </w:r>
      <w:r w:rsidRPr="00896D4F">
        <w:t>sala län/arbetsförmedlingskontor i Uppsala, Miljö- och hälsoskyddsnämnden i Uppsala kommun, Miljö- och byggnadsnämnden i Tomelilla kommun, Miljö- och byggnadsnämnden i Ystads kommun samt Byggnadsnämnden i Uppsala kommun. JO Berggren har vidare besökt Migrationsverket, Utlänningsnäm</w:t>
      </w:r>
      <w:r w:rsidRPr="00896D4F">
        <w:t>n</w:t>
      </w:r>
      <w:r w:rsidRPr="00896D4F">
        <w:t>den och Datainspektionen samt tagit emot besök från Migrationsverket och Riksdagens revisorer. Ins</w:t>
      </w:r>
      <w:r w:rsidRPr="00896D4F">
        <w:t>pektioner och myndighetsbesök har omfattat sa</w:t>
      </w:r>
      <w:r w:rsidRPr="00896D4F">
        <w:t>m</w:t>
      </w:r>
      <w:r w:rsidRPr="00896D4F">
        <w:t>manlagt 16 dagar.</w:t>
      </w:r>
    </w:p>
    <w:p w:rsidR="009C1C5A" w:rsidRPr="00896D4F" w:rsidRDefault="009C1C5A">
      <w:pPr>
        <w:pStyle w:val="Normaltindrag"/>
      </w:pPr>
      <w:r w:rsidRPr="00896D4F">
        <w:t xml:space="preserve">Totalt har 59 dagar ägnats åt inspektioner och myndighetsbesök. </w:t>
      </w:r>
    </w:p>
    <w:p w:rsidR="009C1C5A" w:rsidRPr="00896D4F" w:rsidRDefault="009C1C5A">
      <w:pPr>
        <w:pStyle w:val="Rubrik3"/>
      </w:pPr>
      <w:r w:rsidRPr="00896D4F">
        <w:t>2.6 Samråd med riksdagens konstitutionsutskott m.m.</w:t>
      </w:r>
    </w:p>
    <w:p w:rsidR="009C1C5A" w:rsidRPr="00896D4F" w:rsidRDefault="009C1C5A">
      <w:r w:rsidRPr="00896D4F">
        <w:t xml:space="preserve">I samband med överlämnandet till riksdagen av ämbetsberättelsen 2001/02 besökte </w:t>
      </w:r>
      <w:r w:rsidRPr="00896D4F">
        <w:rPr>
          <w:i/>
        </w:rPr>
        <w:t xml:space="preserve">ChefsJO Eklundh, JO Pennlöv, JO André, JO Berggren </w:t>
      </w:r>
      <w:r w:rsidRPr="00896D4F">
        <w:t xml:space="preserve">samt </w:t>
      </w:r>
      <w:r w:rsidRPr="00896D4F">
        <w:rPr>
          <w:i/>
        </w:rPr>
        <w:t>kansl</w:t>
      </w:r>
      <w:r w:rsidRPr="00896D4F">
        <w:rPr>
          <w:i/>
        </w:rPr>
        <w:t>i</w:t>
      </w:r>
      <w:r w:rsidRPr="00896D4F">
        <w:rPr>
          <w:i/>
        </w:rPr>
        <w:t xml:space="preserve">chefen Swanström </w:t>
      </w:r>
      <w:r w:rsidRPr="00896D4F">
        <w:t>den 27 november 2001 konstitutionsutskottet och inform</w:t>
      </w:r>
      <w:r w:rsidRPr="00896D4F">
        <w:t>e</w:t>
      </w:r>
      <w:r w:rsidRPr="00896D4F">
        <w:t>rade dess ledamöter om ämbetsberättelsens innehåll och i övrigt om verksa</w:t>
      </w:r>
      <w:r w:rsidRPr="00896D4F">
        <w:t>m</w:t>
      </w:r>
      <w:r w:rsidRPr="00896D4F">
        <w:t>heten under 2000/01 samt besvarade ledamöternas frågor.</w:t>
      </w:r>
    </w:p>
    <w:p w:rsidR="009C1C5A" w:rsidRPr="00896D4F" w:rsidRDefault="009C1C5A">
      <w:pPr>
        <w:pStyle w:val="Normaltindrag"/>
      </w:pPr>
      <w:r w:rsidRPr="00896D4F">
        <w:t>Två tjänstemän vid konstitutionsutskottets kansli besökte ombudsmanna- expeditionen den 9 november 2001 för att orientera sig om verksamheten och arbetsläget.</w:t>
      </w:r>
    </w:p>
    <w:p w:rsidR="009C1C5A" w:rsidRPr="00896D4F" w:rsidRDefault="009C1C5A">
      <w:pPr>
        <w:pStyle w:val="Normaltindrag"/>
      </w:pPr>
      <w:r w:rsidRPr="00896D4F">
        <w:t>I övrigt har frågor av principiellt och gemensamt intresse dryftats vid i</w:t>
      </w:r>
      <w:r w:rsidRPr="00896D4F">
        <w:t>n</w:t>
      </w:r>
      <w:r w:rsidRPr="00896D4F">
        <w:t>for</w:t>
      </w:r>
      <w:r w:rsidRPr="00896D4F">
        <w:softHyphen/>
        <w:t>mella kontakter mellan ombudsmännen – särskilt chefsJO – och företräd</w:t>
      </w:r>
      <w:r w:rsidRPr="00896D4F">
        <w:t>a</w:t>
      </w:r>
      <w:r w:rsidRPr="00896D4F">
        <w:t>re för konstitutionsutskottet, främst dess presidium. I åtskilliga angelägenh</w:t>
      </w:r>
      <w:r w:rsidRPr="00896D4F">
        <w:t>e</w:t>
      </w:r>
      <w:r w:rsidRPr="00896D4F">
        <w:t>ter har samråd förekommit mellan kanslicheferna.</w:t>
      </w:r>
    </w:p>
    <w:p w:rsidR="009C1C5A" w:rsidRPr="00896D4F" w:rsidRDefault="009C1C5A">
      <w:pPr>
        <w:pStyle w:val="Rubrik3"/>
      </w:pPr>
      <w:r w:rsidRPr="00896D4F">
        <w:t>2.7 Justitieombudsmännens och vissa tjänstemäns deltagande i konferenser, seminarier och utbildningsverksamhet m.m. inom Sverige</w:t>
      </w:r>
    </w:p>
    <w:p w:rsidR="009C1C5A" w:rsidRPr="00896D4F" w:rsidRDefault="009C1C5A">
      <w:r w:rsidRPr="00896D4F">
        <w:rPr>
          <w:i/>
        </w:rPr>
        <w:t>De fyra justitieombudsmännen</w:t>
      </w:r>
      <w:r w:rsidRPr="00896D4F">
        <w:t xml:space="preserve"> samt </w:t>
      </w:r>
      <w:r w:rsidRPr="00896D4F">
        <w:rPr>
          <w:i/>
        </w:rPr>
        <w:t>kanslichefen Swanström</w:t>
      </w:r>
      <w:r w:rsidRPr="00896D4F">
        <w:t xml:space="preserve"> deltog den 14 februari 2002 i ett seminarium anordnat av Statens kvalitets- och komp</w:t>
      </w:r>
      <w:r w:rsidRPr="00896D4F">
        <w:t>e</w:t>
      </w:r>
      <w:r w:rsidRPr="00896D4F">
        <w:t>tensråd på temat Inspirerande exempel på förbättrad förvaltningskultur. Vid</w:t>
      </w:r>
      <w:r w:rsidRPr="00896D4F">
        <w:t>a</w:t>
      </w:r>
      <w:r w:rsidRPr="00896D4F">
        <w:t>re besökte de fyra justitieombudsmännen tillsammans med byråcheferna vid ombudsmannaexpeditionen den 16 januari 2002 Riksdagens revisorer för överläggningar om angelägenheter av gemensamt intresse. Den 3 juni 2002 besökte justitiekanslern Göran Lambertz Riksdagens ombudsmän för samtal om angelägenheter av gemensamt intre</w:t>
      </w:r>
      <w:r w:rsidRPr="00896D4F">
        <w:t xml:space="preserve">sse. Samtliga fyra justitieombudsmän deltog. </w:t>
      </w:r>
    </w:p>
    <w:p w:rsidR="009C1C5A" w:rsidRPr="00896D4F" w:rsidRDefault="009C1C5A">
      <w:pPr>
        <w:pStyle w:val="Normaltindrag"/>
      </w:pPr>
      <w:r w:rsidRPr="00896D4F">
        <w:rPr>
          <w:i/>
        </w:rPr>
        <w:t xml:space="preserve">JO Pennlöv </w:t>
      </w:r>
      <w:r w:rsidRPr="00896D4F">
        <w:t xml:space="preserve">och </w:t>
      </w:r>
      <w:r w:rsidRPr="00896D4F">
        <w:rPr>
          <w:i/>
        </w:rPr>
        <w:t xml:space="preserve">JO André </w:t>
      </w:r>
      <w:r w:rsidRPr="00896D4F">
        <w:t>tog den 31 maj 2002 emot ett studiebesök från Rättskretsen inom Socialdepartementet.</w:t>
      </w:r>
    </w:p>
    <w:p w:rsidR="009C1C5A" w:rsidRPr="00896D4F" w:rsidRDefault="009C1C5A">
      <w:pPr>
        <w:pStyle w:val="Normaltindrag"/>
        <w:rPr>
          <w:i/>
        </w:rPr>
      </w:pPr>
      <w:r w:rsidRPr="00896D4F">
        <w:rPr>
          <w:i/>
        </w:rPr>
        <w:t xml:space="preserve">JO André </w:t>
      </w:r>
      <w:r w:rsidRPr="00896D4F">
        <w:t>och</w:t>
      </w:r>
      <w:r w:rsidRPr="00896D4F">
        <w:rPr>
          <w:i/>
        </w:rPr>
        <w:t xml:space="preserve"> JO Berggren </w:t>
      </w:r>
      <w:r w:rsidRPr="00896D4F">
        <w:t>tog den 12 oktober 2001 emot ett besök av ordföranden och vice ordföranden i Sveriges kommunaljuridiska förening.</w:t>
      </w:r>
      <w:r w:rsidRPr="00896D4F">
        <w:rPr>
          <w:i/>
        </w:rPr>
        <w:t xml:space="preserve"> </w:t>
      </w:r>
    </w:p>
    <w:p w:rsidR="009C1C5A" w:rsidRPr="00896D4F" w:rsidRDefault="009C1C5A">
      <w:pPr>
        <w:pStyle w:val="Normaltindrag"/>
      </w:pPr>
      <w:r w:rsidRPr="00896D4F">
        <w:rPr>
          <w:i/>
        </w:rPr>
        <w:t xml:space="preserve">ChefsJO Eklundh </w:t>
      </w:r>
      <w:r w:rsidRPr="00896D4F">
        <w:t xml:space="preserve">deltog den 19 september 2001 i  seminariet Demokrati i framtiden, anordnat i Lund av Vetenskapsrådet och Justitiedepartementet, den 19 februari 2002 (tillsammans med </w:t>
      </w:r>
      <w:r w:rsidRPr="00896D4F">
        <w:rPr>
          <w:i/>
        </w:rPr>
        <w:t>kanslichefen Swanström</w:t>
      </w:r>
      <w:r w:rsidRPr="00896D4F">
        <w:t>) i ett av riksd</w:t>
      </w:r>
      <w:r w:rsidRPr="00896D4F">
        <w:t>a</w:t>
      </w:r>
      <w:r w:rsidRPr="00896D4F">
        <w:t>gen anordnat seminarium för exilparlamentariker från Burma samt den 17 maj 2002 i ett av Sveriges domarförbund anordnat seminarium i Göteborg ang</w:t>
      </w:r>
      <w:r w:rsidRPr="00896D4F">
        <w:t>å</w:t>
      </w:r>
      <w:r w:rsidRPr="00896D4F">
        <w:t>ende reglerna om tjänstefel. ChefsJO Eklundh föreläste – i samarbete med Raoul Wallenberg Institute i Lund – den 29 augusti 2001 om mänskliga rä</w:t>
      </w:r>
      <w:r w:rsidRPr="00896D4F">
        <w:t>t</w:t>
      </w:r>
      <w:r w:rsidRPr="00896D4F">
        <w:t xml:space="preserve">tigheter för en </w:t>
      </w:r>
      <w:r w:rsidRPr="00896D4F">
        <w:t>grupp från Indonesien, den 27 november 2001 om JO-ämbetet för en grupp från Östeuropa, Kaukasien och Centralasien samt den 8 maj 2002 om mänskliga rättigheter för en grupp från Marocko. Vidare föreläste han den 17 oktober 2001 om JO-ämbetet inom ramen för en lärarkurs i rik</w:t>
      </w:r>
      <w:r w:rsidRPr="00896D4F">
        <w:t>s</w:t>
      </w:r>
      <w:r w:rsidRPr="00896D4F">
        <w:t>dagen, den 29 oktober 2001 vid Senioruniversitetet, den 30 oktober 2001 vid länskriminalavdelningen vid Polismyndigheten i Stockholms län, den 15 no</w:t>
      </w:r>
      <w:r w:rsidRPr="00896D4F">
        <w:softHyphen/>
        <w:t>vember 2001 vid Svensk juriststämma samt den 16 mars 2002 vid ett semin</w:t>
      </w:r>
      <w:r w:rsidRPr="00896D4F">
        <w:t>a</w:t>
      </w:r>
      <w:r w:rsidRPr="00896D4F">
        <w:t>rium i riksdagen</w:t>
      </w:r>
      <w:r w:rsidRPr="00896D4F">
        <w:t xml:space="preserve"> för en grupp politiker från Vitryssland. </w:t>
      </w:r>
    </w:p>
    <w:p w:rsidR="009C1C5A" w:rsidRPr="00896D4F" w:rsidRDefault="009C1C5A">
      <w:pPr>
        <w:pStyle w:val="Normaltindrag"/>
      </w:pPr>
      <w:r w:rsidRPr="00896D4F">
        <w:rPr>
          <w:i/>
        </w:rPr>
        <w:t>JO Pennlöv</w:t>
      </w:r>
      <w:r w:rsidRPr="00896D4F">
        <w:t xml:space="preserve"> föreläste den 27 september 2001 för föredragande i socialfö</w:t>
      </w:r>
      <w:r w:rsidRPr="00896D4F">
        <w:t>r</w:t>
      </w:r>
      <w:r w:rsidRPr="00896D4F">
        <w:t xml:space="preserve">säkringsnämnder/Norra blocket i Östersund (medverkan av </w:t>
      </w:r>
      <w:r w:rsidRPr="00896D4F">
        <w:rPr>
          <w:i/>
        </w:rPr>
        <w:t>byråchefen Joh</w:t>
      </w:r>
      <w:r w:rsidRPr="00896D4F">
        <w:rPr>
          <w:i/>
        </w:rPr>
        <w:t>n</w:t>
      </w:r>
      <w:r w:rsidRPr="00896D4F">
        <w:rPr>
          <w:i/>
        </w:rPr>
        <w:t>son</w:t>
      </w:r>
      <w:r w:rsidRPr="00896D4F">
        <w:t xml:space="preserve">), den 30 november 2001 för tjänstemän hos Riksdagens revisorer, den 5 december 2001 för personal vid Riksförsäkringsverkets rättsenhet, den 6 december 2001 för ledamöter i socialförsäkringsnämnden, Gotlands läns allmänna försäkringskassa (medverkan av </w:t>
      </w:r>
      <w:r w:rsidRPr="00896D4F">
        <w:rPr>
          <w:i/>
        </w:rPr>
        <w:t>byråchefen Johnson</w:t>
      </w:r>
      <w:r w:rsidRPr="00896D4F">
        <w:t>), den 11 d</w:t>
      </w:r>
      <w:r w:rsidRPr="00896D4F">
        <w:t>e</w:t>
      </w:r>
      <w:r w:rsidRPr="00896D4F">
        <w:t xml:space="preserve">cember 2001 för tjänstemän vid Socialdepartementets socialförsäkringsenhet (medverkan av </w:t>
      </w:r>
      <w:r w:rsidRPr="00896D4F">
        <w:rPr>
          <w:i/>
        </w:rPr>
        <w:t>byråc</w:t>
      </w:r>
      <w:r w:rsidRPr="00896D4F">
        <w:rPr>
          <w:i/>
        </w:rPr>
        <w:t xml:space="preserve">hefen Johnson </w:t>
      </w:r>
      <w:r w:rsidRPr="00896D4F">
        <w:t>samt</w:t>
      </w:r>
      <w:r w:rsidRPr="00896D4F">
        <w:rPr>
          <w:i/>
        </w:rPr>
        <w:t xml:space="preserve"> föredragandena von Sivers, Nilsson Edin, Johansson </w:t>
      </w:r>
      <w:r w:rsidRPr="00896D4F">
        <w:t>och</w:t>
      </w:r>
      <w:r w:rsidRPr="00896D4F">
        <w:rPr>
          <w:i/>
        </w:rPr>
        <w:t xml:space="preserve"> Fryklund</w:t>
      </w:r>
      <w:r w:rsidRPr="00896D4F">
        <w:t>), den 14 januari 2002 för Sveriges muslimska råd vid en internationell konferens om muslimska intagna vid anstalter i E</w:t>
      </w:r>
      <w:r w:rsidRPr="00896D4F">
        <w:t>u</w:t>
      </w:r>
      <w:r w:rsidRPr="00896D4F">
        <w:t xml:space="preserve">ropa (medverkan av </w:t>
      </w:r>
      <w:r w:rsidRPr="00896D4F">
        <w:rPr>
          <w:i/>
        </w:rPr>
        <w:t>byråchefen Buhre</w:t>
      </w:r>
      <w:r w:rsidRPr="00896D4F">
        <w:t xml:space="preserve">), den 6 maj 2002 för personal vid Gävleborgs läns allmänna försäkringskassa (medverkan av </w:t>
      </w:r>
      <w:r w:rsidRPr="00896D4F">
        <w:rPr>
          <w:i/>
        </w:rPr>
        <w:t>byråchefen Joh</w:t>
      </w:r>
      <w:r w:rsidRPr="00896D4F">
        <w:rPr>
          <w:i/>
        </w:rPr>
        <w:t>n</w:t>
      </w:r>
      <w:r w:rsidRPr="00896D4F">
        <w:rPr>
          <w:i/>
        </w:rPr>
        <w:t>son</w:t>
      </w:r>
      <w:r w:rsidRPr="00896D4F">
        <w:t>), den 5 juni 2002 för personal vid Norrbottens läns allmänna försäkring</w:t>
      </w:r>
      <w:r w:rsidRPr="00896D4F">
        <w:t>s</w:t>
      </w:r>
      <w:r w:rsidRPr="00896D4F">
        <w:t xml:space="preserve">kassa (medverkan av </w:t>
      </w:r>
      <w:r w:rsidRPr="00896D4F">
        <w:rPr>
          <w:i/>
        </w:rPr>
        <w:t>byråchefen Johnson</w:t>
      </w:r>
      <w:r w:rsidRPr="00896D4F">
        <w:t xml:space="preserve">), den 15 maj 2002 på Länsstyrelsen i Norrbottens län </w:t>
      </w:r>
      <w:r w:rsidRPr="00896D4F">
        <w:t>under en informationsdag angående länsstyrelsens överfö</w:t>
      </w:r>
      <w:r w:rsidRPr="00896D4F">
        <w:t>r</w:t>
      </w:r>
      <w:r w:rsidRPr="00896D4F">
        <w:t xml:space="preserve">myndartillsyn (medverkan av </w:t>
      </w:r>
      <w:r w:rsidRPr="00896D4F">
        <w:rPr>
          <w:i/>
        </w:rPr>
        <w:t>byråchefen Buhre</w:t>
      </w:r>
      <w:r w:rsidRPr="00896D4F">
        <w:t xml:space="preserve">), samt den 13 juni 2002 vid Föreningen Sveriges överförmyndares årsmöte i Ronneby (medverkan av </w:t>
      </w:r>
      <w:r w:rsidRPr="00896D4F">
        <w:rPr>
          <w:i/>
        </w:rPr>
        <w:t>byråchefen Buhre</w:t>
      </w:r>
      <w:r w:rsidRPr="00896D4F">
        <w:t>).</w:t>
      </w:r>
    </w:p>
    <w:p w:rsidR="009C1C5A" w:rsidRPr="00896D4F" w:rsidRDefault="009C1C5A">
      <w:pPr>
        <w:pStyle w:val="Normaltindrag"/>
      </w:pPr>
      <w:r w:rsidRPr="00896D4F">
        <w:rPr>
          <w:i/>
        </w:rPr>
        <w:t xml:space="preserve">JO André </w:t>
      </w:r>
      <w:r w:rsidRPr="00896D4F">
        <w:t xml:space="preserve">tog den 14 maj 2002 emot ett studiebesök från Länsstyrelsen i Dalarnas län. </w:t>
      </w:r>
    </w:p>
    <w:p w:rsidR="009C1C5A" w:rsidRPr="00896D4F" w:rsidRDefault="009C1C5A">
      <w:pPr>
        <w:pStyle w:val="Normaltindrag"/>
      </w:pPr>
      <w:r w:rsidRPr="00896D4F">
        <w:rPr>
          <w:i/>
        </w:rPr>
        <w:t>JO Berggren</w:t>
      </w:r>
      <w:r w:rsidRPr="00896D4F">
        <w:t xml:space="preserve"> deltog den 16 augusti 2001 i Sveriges Kommunaljuridiska förenings studiedagar och årsmöte i Göteborg (medverkan av </w:t>
      </w:r>
      <w:r w:rsidRPr="00896D4F">
        <w:rPr>
          <w:i/>
        </w:rPr>
        <w:t>byråchefen Lundgren</w:t>
      </w:r>
      <w:r w:rsidRPr="00896D4F">
        <w:t>) och den 15 april 2002 i Miljörättsdagen. JO Berggren gjorde den 6 november 2001 ett informationsbesök hos Svenska Kommunförbundet (medverkan av byråchefer och övriga anställda inom JO Berggrens ansvar</w:t>
      </w:r>
      <w:r w:rsidRPr="00896D4F">
        <w:t>s</w:t>
      </w:r>
      <w:r w:rsidRPr="00896D4F">
        <w:t>omr</w:t>
      </w:r>
      <w:r w:rsidRPr="00896D4F">
        <w:t>å</w:t>
      </w:r>
      <w:r w:rsidRPr="00896D4F">
        <w:t>de).</w:t>
      </w:r>
    </w:p>
    <w:p w:rsidR="009C1C5A" w:rsidRPr="00896D4F" w:rsidRDefault="009C1C5A">
      <w:pPr>
        <w:pStyle w:val="Normaltindrag"/>
      </w:pPr>
      <w:r w:rsidRPr="00896D4F">
        <w:rPr>
          <w:i/>
        </w:rPr>
        <w:t xml:space="preserve">Kanslichefen Swanström </w:t>
      </w:r>
      <w:r w:rsidRPr="00896D4F">
        <w:t>föreläste den 3 oktober 2001 för deltagarna i Svea hovrätts notariekurs, den 28 november 2001 inom ramen för riksdagens seminarium om parlamentarisk demokrati och parlamentariskt arbete med deltagare från länder i Kaukasien och Centralasien, den 3 december 2001 inom ramen för riksdagens Trainee-ship Programme (Taiex) med deltagare från länder i Östeuropa och den 21 februari 2002 om offentlighet och sekr</w:t>
      </w:r>
      <w:r w:rsidRPr="00896D4F">
        <w:t>e</w:t>
      </w:r>
      <w:r w:rsidRPr="00896D4F">
        <w:t>tess för personal vid Domstolsverket i Jönköping. Vidare föreläste kanslich</w:t>
      </w:r>
      <w:r w:rsidRPr="00896D4F">
        <w:t>e</w:t>
      </w:r>
      <w:r w:rsidRPr="00896D4F">
        <w:t>fen Swanström om JO:s roll in</w:t>
      </w:r>
      <w:r w:rsidRPr="00896D4F">
        <w:t>om riksdagens kontrollmakt vid ett seminarium den 24 april 2002 för Utrikesdepartementets handläggare under utbildning.</w:t>
      </w:r>
    </w:p>
    <w:p w:rsidR="009C1C5A" w:rsidRPr="00896D4F" w:rsidRDefault="009C1C5A">
      <w:pPr>
        <w:pStyle w:val="Normaltindrag"/>
      </w:pPr>
      <w:r w:rsidRPr="00896D4F">
        <w:rPr>
          <w:i/>
        </w:rPr>
        <w:t xml:space="preserve">Byråchefen Johnson </w:t>
      </w:r>
      <w:r w:rsidRPr="00896D4F">
        <w:t>föreläste den 18 oktober 2001 vid en utbildningsdag i Södertälje för ledamöter i socialförsäkringsnämnder. Vidare deltog byråch</w:t>
      </w:r>
      <w:r w:rsidRPr="00896D4F">
        <w:t>e</w:t>
      </w:r>
      <w:r w:rsidRPr="00896D4F">
        <w:t xml:space="preserve">fen Johnson tillsammans med </w:t>
      </w:r>
      <w:r w:rsidRPr="00896D4F">
        <w:rPr>
          <w:i/>
        </w:rPr>
        <w:t>föredraganden von Sivers</w:t>
      </w:r>
      <w:r w:rsidRPr="00896D4F">
        <w:t xml:space="preserve"> den 15 maj 2002 i en av Socialdepartementet anordnad hearing om underhållsstöd.</w:t>
      </w:r>
    </w:p>
    <w:p w:rsidR="009C1C5A" w:rsidRPr="00896D4F" w:rsidRDefault="009C1C5A">
      <w:pPr>
        <w:pStyle w:val="Normaltindrag"/>
      </w:pPr>
      <w:r w:rsidRPr="00896D4F">
        <w:rPr>
          <w:i/>
        </w:rPr>
        <w:t>Byråchefen Sjöstedt</w:t>
      </w:r>
      <w:r w:rsidRPr="00896D4F">
        <w:t xml:space="preserve"> föreläste den 26 september 2001, den 28 november 2001 samt den 15 januari 2002 vid av SIPU anordnade kurser i offentlighet och sekretess för jurister och kvalificerade handläggare.</w:t>
      </w:r>
    </w:p>
    <w:p w:rsidR="009C1C5A" w:rsidRPr="00896D4F" w:rsidRDefault="009C1C5A">
      <w:pPr>
        <w:pStyle w:val="Normaltindrag"/>
      </w:pPr>
      <w:r w:rsidRPr="00896D4F">
        <w:rPr>
          <w:i/>
        </w:rPr>
        <w:t xml:space="preserve">Byråchefen Hedbom Blomkvist </w:t>
      </w:r>
      <w:r w:rsidRPr="00896D4F">
        <w:t>föreläste den 7 september 2001 vid en ko</w:t>
      </w:r>
      <w:r w:rsidRPr="00896D4F">
        <w:t>n</w:t>
      </w:r>
      <w:r w:rsidRPr="00896D4F">
        <w:t>f</w:t>
      </w:r>
      <w:r w:rsidRPr="00896D4F">
        <w:t>e</w:t>
      </w:r>
      <w:r w:rsidRPr="00896D4F">
        <w:t>rens i Borås för alkoholhandläggare.</w:t>
      </w:r>
    </w:p>
    <w:p w:rsidR="009C1C5A" w:rsidRPr="00896D4F" w:rsidRDefault="009C1C5A">
      <w:pPr>
        <w:pStyle w:val="Normaltindrag"/>
      </w:pPr>
      <w:r w:rsidRPr="00896D4F">
        <w:rPr>
          <w:i/>
        </w:rPr>
        <w:t>Byråchefen Lundgren</w:t>
      </w:r>
      <w:r w:rsidRPr="00896D4F">
        <w:t xml:space="preserve"> föreläste den 22 mars 2002 om offentlighet och se</w:t>
      </w:r>
      <w:r w:rsidRPr="00896D4F">
        <w:t>k</w:t>
      </w:r>
      <w:r w:rsidRPr="00896D4F">
        <w:t>r</w:t>
      </w:r>
      <w:r w:rsidRPr="00896D4F">
        <w:t>e</w:t>
      </w:r>
      <w:r w:rsidRPr="00896D4F">
        <w:t>tess för tjänstemän i riksdagen.</w:t>
      </w:r>
    </w:p>
    <w:p w:rsidR="009C1C5A" w:rsidRPr="00896D4F" w:rsidRDefault="009C1C5A">
      <w:pPr>
        <w:pStyle w:val="Rubrik2"/>
        <w:rPr>
          <w:sz w:val="28"/>
        </w:rPr>
      </w:pPr>
      <w:r w:rsidRPr="00896D4F">
        <w:rPr>
          <w:sz w:val="28"/>
        </w:rPr>
        <w:t xml:space="preserve">3 Internationellt samarbete </w:t>
      </w:r>
    </w:p>
    <w:p w:rsidR="009C1C5A" w:rsidRPr="00896D4F" w:rsidRDefault="009C1C5A">
      <w:pPr>
        <w:pStyle w:val="Rubrik3"/>
        <w:spacing w:before="125"/>
      </w:pPr>
      <w:r w:rsidRPr="00896D4F">
        <w:t>3.1 Deltagande i internationella konferenser och seminarier, bilaterala besök m.m.</w:t>
      </w:r>
    </w:p>
    <w:p w:rsidR="009C1C5A" w:rsidRPr="00896D4F" w:rsidRDefault="009C1C5A">
      <w:r w:rsidRPr="00896D4F">
        <w:rPr>
          <w:i/>
        </w:rPr>
        <w:t xml:space="preserve">ChefsJO Eklundh </w:t>
      </w:r>
      <w:r w:rsidRPr="00896D4F">
        <w:t>och</w:t>
      </w:r>
      <w:r w:rsidRPr="00896D4F">
        <w:rPr>
          <w:i/>
        </w:rPr>
        <w:t xml:space="preserve"> JO Berggren </w:t>
      </w:r>
      <w:r w:rsidRPr="00896D4F">
        <w:t>deltog den 21–24 april 2002 i VI Europ</w:t>
      </w:r>
      <w:r w:rsidRPr="00896D4F">
        <w:t>e</w:t>
      </w:r>
      <w:r w:rsidRPr="00896D4F">
        <w:t>an Ombudsman Conference i Krakow, anordnad av Europarådet och den polska ombudsmannainstitutionen.</w:t>
      </w:r>
    </w:p>
    <w:p w:rsidR="009C1C5A" w:rsidRPr="00896D4F" w:rsidRDefault="009C1C5A">
      <w:pPr>
        <w:pStyle w:val="Normaltindrag"/>
      </w:pPr>
      <w:r w:rsidRPr="00896D4F">
        <w:rPr>
          <w:i/>
        </w:rPr>
        <w:t xml:space="preserve">JO Pennlöv </w:t>
      </w:r>
      <w:r w:rsidRPr="00896D4F">
        <w:t xml:space="preserve">och </w:t>
      </w:r>
      <w:r w:rsidRPr="00896D4F">
        <w:rPr>
          <w:i/>
        </w:rPr>
        <w:t>byråchefen Johnson</w:t>
      </w:r>
      <w:r w:rsidRPr="00896D4F">
        <w:t xml:space="preserve"> besökte den 24–28 april 2002 O</w:t>
      </w:r>
      <w:r w:rsidRPr="00896D4F">
        <w:t>m</w:t>
      </w:r>
      <w:r w:rsidRPr="00896D4F">
        <w:t>bud</w:t>
      </w:r>
      <w:r w:rsidRPr="00896D4F">
        <w:t>s</w:t>
      </w:r>
      <w:r w:rsidRPr="00896D4F">
        <w:t xml:space="preserve">mannen i Bosnien-Hercegovina Frank Orton. </w:t>
      </w:r>
    </w:p>
    <w:p w:rsidR="009C1C5A" w:rsidRPr="00896D4F" w:rsidRDefault="009C1C5A">
      <w:pPr>
        <w:pStyle w:val="Normaltindrag"/>
        <w:rPr>
          <w:i/>
        </w:rPr>
      </w:pPr>
      <w:r w:rsidRPr="00896D4F">
        <w:rPr>
          <w:i/>
        </w:rPr>
        <w:t xml:space="preserve">JO Berggren </w:t>
      </w:r>
      <w:r w:rsidRPr="00896D4F">
        <w:t xml:space="preserve">och </w:t>
      </w:r>
      <w:r w:rsidRPr="00896D4F">
        <w:rPr>
          <w:i/>
        </w:rPr>
        <w:t xml:space="preserve">kanslichefen Swanström </w:t>
      </w:r>
      <w:r w:rsidRPr="00896D4F">
        <w:t>deltog den 19–21 september 2001 i konferensen ”The Ombudsman against Discrimination” i Bryssel, anordnad av Europarådet och Europeiska Ombudsmannen.</w:t>
      </w:r>
      <w:r w:rsidRPr="00896D4F">
        <w:rPr>
          <w:i/>
        </w:rPr>
        <w:t xml:space="preserve"> </w:t>
      </w:r>
    </w:p>
    <w:p w:rsidR="009C1C5A" w:rsidRPr="00896D4F" w:rsidRDefault="009C1C5A">
      <w:pPr>
        <w:pStyle w:val="Normaltindrag"/>
      </w:pPr>
      <w:r w:rsidRPr="00896D4F">
        <w:rPr>
          <w:i/>
        </w:rPr>
        <w:t>ChefsJO Eklundh</w:t>
      </w:r>
      <w:r w:rsidRPr="00896D4F">
        <w:t xml:space="preserve"> deltog den 24–25 september 2001 i en av Folketingets Ombudsmand anordnad konferens i Köpenhamn med företrädare för europ</w:t>
      </w:r>
      <w:r w:rsidRPr="00896D4F">
        <w:t>e</w:t>
      </w:r>
      <w:r w:rsidRPr="00896D4F">
        <w:t>iska och ibero-amerikanska ombudsmannainstitutioner, den 12–13 november 2001 i en av Ombudsmannen för mänskliga rättigheter i Slovenien anordnad konferens i Ljubljana angående relationerna mellan ombudsmän och organ inom rättsväsendet, den 3–5 april 2002 i samband med ett besök hos Alban</w:t>
      </w:r>
      <w:r w:rsidRPr="00896D4F">
        <w:t>i</w:t>
      </w:r>
      <w:r w:rsidRPr="00896D4F">
        <w:t>ens ombudsmannainstitution (People´s Advocate) i ett seminarium i Tirana rörande ombudsmannens tillsy</w:t>
      </w:r>
      <w:r w:rsidRPr="00896D4F">
        <w:t>n över domstolarna, den 12 april 2002 i ett möte med styrelsen för Europäisches Ombudsmann Institut i Innsbruck, samt den 11–17 juni 2002 i en workshop i Dili om en framtida ombudsmannai</w:t>
      </w:r>
      <w:r w:rsidRPr="00896D4F">
        <w:t>n</w:t>
      </w:r>
      <w:r w:rsidRPr="00896D4F">
        <w:t>stitution, ”Provedor de Direitos Humanos e Justica”, i Östtimor. Vidare me</w:t>
      </w:r>
      <w:r w:rsidRPr="00896D4F">
        <w:t>d</w:t>
      </w:r>
      <w:r w:rsidRPr="00896D4F">
        <w:t>verkade chefsJO Eklundh den 3–7 december 2001 i en utbildning av kinesi</w:t>
      </w:r>
      <w:r w:rsidRPr="00896D4F">
        <w:t>s</w:t>
      </w:r>
      <w:r w:rsidRPr="00896D4F">
        <w:t>ka åklagare i Beijing inom ramen för ett av SIPU International anordnat u</w:t>
      </w:r>
      <w:r w:rsidRPr="00896D4F">
        <w:t>t</w:t>
      </w:r>
      <w:r w:rsidRPr="00896D4F">
        <w:t>bildningsprogram.</w:t>
      </w:r>
    </w:p>
    <w:p w:rsidR="009C1C5A" w:rsidRPr="00896D4F" w:rsidRDefault="009C1C5A">
      <w:pPr>
        <w:pStyle w:val="Normaltindrag"/>
      </w:pPr>
      <w:r w:rsidRPr="00896D4F">
        <w:rPr>
          <w:i/>
        </w:rPr>
        <w:t xml:space="preserve">JO André </w:t>
      </w:r>
      <w:r w:rsidRPr="00896D4F">
        <w:t>deltog den 12–16 september 2001 i ett seminarium i Nicosia,</w:t>
      </w:r>
      <w:r w:rsidRPr="00896D4F">
        <w:rPr>
          <w:i/>
        </w:rPr>
        <w:t xml:space="preserve"> </w:t>
      </w:r>
      <w:r w:rsidRPr="00896D4F">
        <w:t>anordnat med anledning av den cypriotiska ombudsmannainstitutionens 10-årsjubileum, den 27 oktober–2 november 2001 i ordinarie årsmöte i Seoul med styrelsen för International Ombudsman Institute (IOI), den 20–24 n</w:t>
      </w:r>
      <w:r w:rsidRPr="00896D4F">
        <w:t>o</w:t>
      </w:r>
      <w:r w:rsidRPr="00896D4F">
        <w:t>vember 2001 i Europarådets Round Table for European Ombudsmen och europeiskt ombudsmannamöte i Zürich samt den 4–7 april 2002 i en konf</w:t>
      </w:r>
      <w:r w:rsidRPr="00896D4F">
        <w:t>e</w:t>
      </w:r>
      <w:r w:rsidRPr="00896D4F">
        <w:t>rens i Vilnius på temat The Role of the Ombudsman in the Protection of H</w:t>
      </w:r>
      <w:r w:rsidRPr="00896D4F">
        <w:t>u</w:t>
      </w:r>
      <w:r w:rsidRPr="00896D4F">
        <w:t>man Rights, anordnad av Litau</w:t>
      </w:r>
      <w:r w:rsidRPr="00896D4F">
        <w:t>ens regering, den litauiska ombudsmannai</w:t>
      </w:r>
      <w:r w:rsidRPr="00896D4F">
        <w:t>n</w:t>
      </w:r>
      <w:r w:rsidRPr="00896D4F">
        <w:t>stitutionen samt Europarådets kommissionär för mänskliga rättigheter. Slutl</w:t>
      </w:r>
      <w:r w:rsidRPr="00896D4F">
        <w:t>i</w:t>
      </w:r>
      <w:r w:rsidRPr="00896D4F">
        <w:t>gen deltog hon den 5–8 juni 2002 i en konferens i Sofia på temat European Standards and Ombudsman Institutions in Southeast Europe, anordnad av bl.a. Center for the Study of Democracy i Bulgarien som del i ett av EU stött projekt.</w:t>
      </w:r>
    </w:p>
    <w:p w:rsidR="009C1C5A" w:rsidRPr="00896D4F" w:rsidRDefault="009C1C5A">
      <w:pPr>
        <w:pStyle w:val="Normaltindrag"/>
      </w:pPr>
      <w:r w:rsidRPr="00896D4F">
        <w:rPr>
          <w:i/>
        </w:rPr>
        <w:t xml:space="preserve">JO Berggren </w:t>
      </w:r>
      <w:r w:rsidRPr="00896D4F">
        <w:t>deltog den 15–16 maj 2002 i ”Seminar of Nati</w:t>
      </w:r>
      <w:r w:rsidRPr="00896D4F">
        <w:t>o</w:t>
      </w:r>
      <w:r w:rsidRPr="00896D4F">
        <w:t>nal/Parliamentary Ombudsmen of the CBSS Member States” i S:t Petersburg, anordnat av Council for the Baltic Sea States samt den ryska nationella o</w:t>
      </w:r>
      <w:r w:rsidRPr="00896D4F">
        <w:t>m</w:t>
      </w:r>
      <w:r w:rsidRPr="00896D4F">
        <w:t>budsmannainstitutionen.</w:t>
      </w:r>
    </w:p>
    <w:p w:rsidR="009C1C5A" w:rsidRPr="00896D4F" w:rsidRDefault="009C1C5A">
      <w:pPr>
        <w:pStyle w:val="Normaltindrag"/>
      </w:pPr>
      <w:r w:rsidRPr="00896D4F">
        <w:rPr>
          <w:i/>
        </w:rPr>
        <w:t>Kanslichefen Swanström</w:t>
      </w:r>
      <w:r w:rsidRPr="00896D4F">
        <w:t xml:space="preserve"> deltog den 12–19 oktober 2001 i ett seminarium om parlamentarisk kontroll och andra tillsynsfrågor i Ho Chi Minh City, a</w:t>
      </w:r>
      <w:r w:rsidRPr="00896D4F">
        <w:t>n</w:t>
      </w:r>
      <w:r w:rsidRPr="00896D4F">
        <w:t>ordnat inom ramen för riksdagens och Sidas demokratibiståndsprojekt til</w:t>
      </w:r>
      <w:r w:rsidRPr="00896D4F">
        <w:t>l</w:t>
      </w:r>
      <w:r w:rsidRPr="00896D4F">
        <w:t>sammans med Vietnams nationalförsamling, den 12–15 mars 2002 i ett sem</w:t>
      </w:r>
      <w:r w:rsidRPr="00896D4F">
        <w:t>i</w:t>
      </w:r>
      <w:r w:rsidRPr="00896D4F">
        <w:t>narium om informationsfrihet i Mexico City, anordnat av UNAM (Mexikos nationella oberoende universitet), the Oaxaca Group och den internationella organisationen Article 19  samt den 2–5 juni 2002 i ett seminarium i Beirut angående inrättande av en</w:t>
      </w:r>
      <w:r w:rsidRPr="00896D4F">
        <w:t xml:space="preserve"> ombudsmannainstitution i Libanon, anordnat av den libanesiska regeringen.</w:t>
      </w:r>
    </w:p>
    <w:p w:rsidR="009C1C5A" w:rsidRPr="00896D4F" w:rsidRDefault="009C1C5A">
      <w:pPr>
        <w:pStyle w:val="Normaltindrag"/>
      </w:pPr>
      <w:r w:rsidRPr="00896D4F">
        <w:rPr>
          <w:i/>
        </w:rPr>
        <w:t>Enhetschefen von der Esch</w:t>
      </w:r>
      <w:r w:rsidRPr="00896D4F">
        <w:t xml:space="preserve"> deltog den 6–7 juli 2001 i en konferens i Tbilisi på temat Caucasus – Democratic Institutions and Civil Society, anordnad av Tbilisi School of Political Studies i Georgien och den 18–19 september 2001 i OSSE:s implementeringsmötes speciella session i Warszawa på temat ”The Role of the Ombudspersons in Protecting Human Rights in the OSCE Cou</w:t>
      </w:r>
      <w:r w:rsidRPr="00896D4F">
        <w:t>n</w:t>
      </w:r>
      <w:r w:rsidRPr="00896D4F">
        <w:t>tries”. Vidare utförde hon den 9–15 december 2001 på uppdrag av Europar</w:t>
      </w:r>
      <w:r w:rsidRPr="00896D4F">
        <w:t>å</w:t>
      </w:r>
      <w:r w:rsidRPr="00896D4F">
        <w:t>det ett expertuppdrag vid The Office of the People´s Advocate i Tirana (den albanska ombudsmanna</w:t>
      </w:r>
      <w:r w:rsidRPr="00896D4F">
        <w:t>institutionen), presenterade den svenska offentli</w:t>
      </w:r>
      <w:r w:rsidRPr="00896D4F">
        <w:t>g</w:t>
      </w:r>
      <w:r w:rsidRPr="00896D4F">
        <w:t>hetslagstiftningen vid ett seminarium den 28–29 mars 2002 i Bukarest, a</w:t>
      </w:r>
      <w:r w:rsidRPr="00896D4F">
        <w:t>n</w:t>
      </w:r>
      <w:r w:rsidRPr="00896D4F">
        <w:t>ordnat av den internationella organisationen Article 19, The Centre for Ind</w:t>
      </w:r>
      <w:r w:rsidRPr="00896D4F">
        <w:t>e</w:t>
      </w:r>
      <w:r w:rsidRPr="00896D4F">
        <w:t>pendent Journalism i Rumänien samt den rumänska Helsingforskommittén och medverkade slutligen den 22–24 maj 2002 vid The 7th Asian Ombud</w:t>
      </w:r>
      <w:r w:rsidRPr="00896D4F">
        <w:t>s</w:t>
      </w:r>
      <w:r w:rsidRPr="00896D4F">
        <w:t>man Association Conference i Beijing, anordnad av den kinesiska regeringens tillsynsministerium.</w:t>
      </w:r>
    </w:p>
    <w:p w:rsidR="009C1C5A" w:rsidRPr="00896D4F" w:rsidRDefault="009C1C5A">
      <w:pPr>
        <w:pStyle w:val="Normaltindrag"/>
      </w:pPr>
      <w:r w:rsidRPr="00896D4F">
        <w:rPr>
          <w:i/>
        </w:rPr>
        <w:t>Byråchefen Manninen</w:t>
      </w:r>
      <w:r w:rsidRPr="00896D4F">
        <w:t xml:space="preserve"> slutförde den 1 juli–3 oktober 2001 ett under för</w:t>
      </w:r>
      <w:r w:rsidRPr="00896D4F">
        <w:t>e</w:t>
      </w:r>
      <w:r w:rsidRPr="00896D4F">
        <w:t>gående verksamhetsår påbörjat uppdrag att som expert och rådgivare åt The Permanent Human Rights Commission of Zambia tjänstgöra vid denna my</w:t>
      </w:r>
      <w:r w:rsidRPr="00896D4F">
        <w:t>n</w:t>
      </w:r>
      <w:r w:rsidRPr="00896D4F">
        <w:t xml:space="preserve">dighets kontor i Lusaka. </w:t>
      </w:r>
    </w:p>
    <w:p w:rsidR="009C1C5A" w:rsidRPr="00896D4F" w:rsidRDefault="009C1C5A">
      <w:pPr>
        <w:pStyle w:val="Rubrik3"/>
      </w:pPr>
      <w:r w:rsidRPr="00896D4F">
        <w:t>3.2 Flerdagsbesök hos JO för studier, information och diskussion m.m.</w:t>
      </w:r>
    </w:p>
    <w:p w:rsidR="009C1C5A" w:rsidRPr="00896D4F" w:rsidRDefault="009C1C5A">
      <w:r w:rsidRPr="00896D4F">
        <w:t xml:space="preserve">The Investigator-General V.H. Chileshe och Mr. John K. Kampekete från the Commission for Investigations i Zambia besökte JO den 26–31 augusti 2001. I besöksprogrammet medverkade ombudsmännen, kanslichefen, enhetschefen för internationella frågor samt byråcheferna. Gästerna tillbringade tre dagar hos Riksdagens ombudsmän. Härutöver anordnades under två dagar besök hos Pressombudsmannen, JämO och konstitutionsutskottet samt en rundtur med guide i riksdagen. </w:t>
      </w:r>
    </w:p>
    <w:p w:rsidR="009C1C5A" w:rsidRPr="00896D4F" w:rsidRDefault="009C1C5A">
      <w:pPr>
        <w:pStyle w:val="Normaltindrag"/>
      </w:pPr>
      <w:r w:rsidRPr="00896D4F">
        <w:t>En delegation från The Office of the Parliamentary Ombudsman in Tha</w:t>
      </w:r>
      <w:r w:rsidRPr="00896D4F">
        <w:t>i</w:t>
      </w:r>
      <w:r w:rsidRPr="00896D4F">
        <w:t>land under ledning av ombudsmannen Mr. Pichet Soontornpipit besökte JO den 9–13 april 2002. Besöksprogrammet omfattade orientering om verksa</w:t>
      </w:r>
      <w:r w:rsidRPr="00896D4F">
        <w:t>m</w:t>
      </w:r>
      <w:r w:rsidRPr="00896D4F">
        <w:t>heten i stort, samtal med de fyra justitieombudsmännen samt byråcheferna om tillsynsarbetet inom respektive ansvarsområde samt med kanslichefen och enhetschefen för internationella frågor om det administrativa arbetet. Häru</w:t>
      </w:r>
      <w:r w:rsidRPr="00896D4F">
        <w:t>t</w:t>
      </w:r>
      <w:r w:rsidRPr="00896D4F">
        <w:t>över arrangerades besök för delegationen hos BO, JämO och Sida.</w:t>
      </w:r>
    </w:p>
    <w:p w:rsidR="009C1C5A" w:rsidRPr="00896D4F" w:rsidRDefault="009C1C5A">
      <w:pPr>
        <w:pStyle w:val="Normaltindrag"/>
      </w:pPr>
      <w:r w:rsidRPr="00896D4F">
        <w:t xml:space="preserve">En delegation från Le Médiateur du Faso, ombudsmannainstitutionen i Burkina Faso, </w:t>
      </w:r>
      <w:r w:rsidRPr="00896D4F">
        <w:t>under ledning av ombudsmannen Jean-Baptiste Kafando b</w:t>
      </w:r>
      <w:r w:rsidRPr="00896D4F">
        <w:t>e</w:t>
      </w:r>
      <w:r w:rsidRPr="00896D4F">
        <w:t>sökte JO den 27 maj–1 juni 2002. Besöksprogrammet omfattade orientering om verksamheten i stort, samtal med de fyra justitieombudsmännen samt byråcheferna om tillsynsarbetet inom respektive ansvarsområde samt med kanslichefen och enhetschefen för internationella frågor om det administrativa arbetet. Härutöver anordnades besök för delegationen hos konstitutionsu</w:t>
      </w:r>
      <w:r w:rsidRPr="00896D4F">
        <w:t>t</w:t>
      </w:r>
      <w:r w:rsidRPr="00896D4F">
        <w:t>skottet, Justitiekanslern och Sida.</w:t>
      </w:r>
    </w:p>
    <w:p w:rsidR="009C1C5A" w:rsidRPr="00896D4F" w:rsidRDefault="009C1C5A">
      <w:pPr>
        <w:pStyle w:val="Rubrik3"/>
      </w:pPr>
      <w:r w:rsidRPr="00896D4F">
        <w:t>3.3 Endagsbesök hos JO för information och diskussion</w:t>
      </w:r>
    </w:p>
    <w:p w:rsidR="009C1C5A" w:rsidRPr="00896D4F" w:rsidRDefault="009C1C5A">
      <w:r w:rsidRPr="00896D4F">
        <w:t>Riksdagens ombudsmän besöktes den 6 juli 2001 av en delegation från Sy</w:t>
      </w:r>
      <w:r w:rsidRPr="00896D4F">
        <w:t>d</w:t>
      </w:r>
      <w:r w:rsidRPr="00896D4F">
        <w:t>koreas  ombudsmannainstitution under ledning av Director of Investigation Park Sung-kwon, den 10 juli 2001 av en studentgrupp från Universitetet i Brno, Tjeckien, den 24 september 2001 av en delegation från Rwanda samt Pieter-Jan Jongen från den holländska nationella revisionsmyndigheten (A</w:t>
      </w:r>
      <w:r w:rsidRPr="00896D4F">
        <w:t>l</w:t>
      </w:r>
      <w:r w:rsidRPr="00896D4F">
        <w:t xml:space="preserve">gemene Rekenkamer) som inslag i ett längre Stockholmsbesök för denna delegation under värdskap av Riksrevisionsverket, den 25 september 2001 av en parlamentariker- och tjänstemannadelegation från Nationalförsamlingen i </w:t>
      </w:r>
      <w:r w:rsidRPr="00896D4F">
        <w:t>Vietnam under ledning av lagkommitténs ordförande Tran The Vuong, den 27 september 2001 av Ombudsmannen i Honduras Dr. Leo Valladares samt två vice ombudsmän, den 28 september 2001 av en indonesisk delegation under ledning av Mas Achmad Santosa, medlemmar av en kommitté med uppdrag att utarbeta en ny informationsfrihetslagstiftning i Indonesien, den 2 oktober 2001 av en parlamentarikerdelegation från Nationalrådet (parl</w:t>
      </w:r>
      <w:r w:rsidRPr="00896D4F">
        <w:t>a</w:t>
      </w:r>
      <w:r w:rsidRPr="00896D4F">
        <w:t>mentet) i Slovakien, den 12 oktober 2001 av Mr. Charles Chiviru, generalse</w:t>
      </w:r>
      <w:r w:rsidRPr="00896D4F">
        <w:t>k</w:t>
      </w:r>
      <w:r w:rsidRPr="00896D4F">
        <w:t xml:space="preserve">reterare för </w:t>
      </w:r>
      <w:r w:rsidRPr="00896D4F">
        <w:t>en facklig organisation för offentliganställda i Zimbabwe, den 22 oktober 2001 av Ms. Enas Abu-Laban och Mr. Nidal Foquha från Pale</w:t>
      </w:r>
      <w:r w:rsidRPr="00896D4F">
        <w:softHyphen/>
        <w:t>stinska Myndigheten, den 7 november 2001 av professor Salvador Sanchez vid Universidad Santa María La Antigua i Panama och Ms. Paula Gaviria Betancur, sekreterare hos Ombudsmannen i Colombia, den 12 november 2001 av Dra. Beatrice Alamanni de Carrillo, åklagare för försvar av de mänskliga rättigheterna i El Salvador, den 6 december 2001 av en delegation från Special Investigatio</w:t>
      </w:r>
      <w:r w:rsidRPr="00896D4F">
        <w:t>ns Service, en myndighet för bekämpning av korru</w:t>
      </w:r>
      <w:r w:rsidRPr="00896D4F">
        <w:t>p</w:t>
      </w:r>
      <w:r w:rsidRPr="00896D4F">
        <w:t>tion inom statsförvaltningen i Litauen, under ledning av Valentina Junokas, den 11 december 2001 av en delegation från Oblast Novgorod i Ryssland under ledning av Mr. Dmitri Zavidovski (inom ramen för SIPU Internationals program Public Administration and Management), den 17 januari 2002 av Mr. Kensuke Seguchi från forskningssekretariatet vid det japanska parl</w:t>
      </w:r>
      <w:r w:rsidRPr="00896D4F">
        <w:t>a</w:t>
      </w:r>
      <w:r w:rsidRPr="00896D4F">
        <w:t>mentets representanthus, den 30 januari 2002 av senatorerna Ms. Pensak Chagsushinda och Mr. Thonbai T</w:t>
      </w:r>
      <w:r w:rsidRPr="00896D4F">
        <w:t>hongpao från Thailand, den 5 februari 2002 av Sveriges honorärkonsul i  Rio de Janeiro Bernhard Vaena, den 15 februari av åklagarna Zenonas Burokas och Simonas Minkevicius från Riksåklagari</w:t>
      </w:r>
      <w:r w:rsidRPr="00896D4F">
        <w:t>n</w:t>
      </w:r>
      <w:r w:rsidRPr="00896D4F">
        <w:t>stitutionen i Litauen, den 19 februari 2002 av Mukelani Dimba från the Open Democracy Advice Centre i Sydafrika, den 20 februari 2002 av en delegation från det litauiska parlamentets (Seimas) kommitté för mänskliga rättigheter under ledning av Gedimas Dalinkevicius, den 26 februari 2002 av en deleg</w:t>
      </w:r>
      <w:r w:rsidRPr="00896D4F">
        <w:t>a</w:t>
      </w:r>
      <w:r w:rsidRPr="00896D4F">
        <w:t>tion från The Commissi</w:t>
      </w:r>
      <w:r w:rsidRPr="00896D4F">
        <w:t>on for the Investigation of Abuse of Authority i Nepal under ledning av Indra Bahadur Sherchan, den 19 mars 2002 av Filomeno Jacob och João Asa från justitie- respektive finansministerierna (under up</w:t>
      </w:r>
      <w:r w:rsidRPr="00896D4F">
        <w:t>p</w:t>
      </w:r>
      <w:r w:rsidRPr="00896D4F">
        <w:t>byggnad) i Östtimor, den 25 mars 2002 av en delegation från Justitieminist</w:t>
      </w:r>
      <w:r w:rsidRPr="00896D4F">
        <w:t>e</w:t>
      </w:r>
      <w:r w:rsidRPr="00896D4F">
        <w:t>riet och Högsta domstolen i Kina under ledning av vice ministern Ms. Hu Zejun, den 23 april 2002 av en delegation från Ukraina under ledning av den parlamentariska kommissionären för mänskliga rättigheter Ms. Nina Karpa</w:t>
      </w:r>
      <w:r w:rsidRPr="00896D4F">
        <w:t>t</w:t>
      </w:r>
      <w:r w:rsidRPr="00896D4F">
        <w:t xml:space="preserve">jova, den 23 maj </w:t>
      </w:r>
      <w:r w:rsidRPr="00896D4F">
        <w:t>2002 av journalisten Danko Plevnik från Kroatien, den 31 maj 2002 av en delegation från Japan Federation of Bar Associations under ledning av Mr. Yoichi Oe, den 4 juni 2002 av en tjänsteman från Special Investigation Service i Litauen (inom ramen för ett av Ekobrottsmyndigheten anordnat besöksprogram), den 6 juni 2002 av professor Cai Dingjian från Kina (inom ramen för ett av Centrum för Öst- och Sydöstasienstudier vid Lunds universitet anordnat besöksprogram), den 13 juni 2002 av en deleg</w:t>
      </w:r>
      <w:r w:rsidRPr="00896D4F">
        <w:t>a</w:t>
      </w:r>
      <w:r w:rsidRPr="00896D4F">
        <w:t>tion från Moldavi</w:t>
      </w:r>
      <w:r w:rsidRPr="00896D4F">
        <w:t>ens parlament under ledning av Mr. Vadim Misin samt den 19 juni 2002 av en delegation från Taipei City Government i Taiwan under ledning av chefsse</w:t>
      </w:r>
      <w:r w:rsidRPr="00896D4F">
        <w:t>k</w:t>
      </w:r>
      <w:r w:rsidRPr="00896D4F">
        <w:t xml:space="preserve">reteraren Jung-Kuei Chang.    </w:t>
      </w:r>
    </w:p>
    <w:p w:rsidR="009C1C5A" w:rsidRPr="00896D4F" w:rsidRDefault="009C1C5A">
      <w:pPr>
        <w:tabs>
          <w:tab w:val="left" w:pos="284"/>
        </w:tabs>
      </w:pPr>
      <w:r w:rsidRPr="00896D4F">
        <w:br w:type="page"/>
        <w:t>Stockholm i november 2002</w:t>
      </w:r>
    </w:p>
    <w:p w:rsidR="009C1C5A" w:rsidRPr="00896D4F" w:rsidRDefault="009C1C5A">
      <w:pPr>
        <w:tabs>
          <w:tab w:val="left" w:pos="284"/>
        </w:tabs>
        <w:spacing w:before="480"/>
        <w:rPr>
          <w:i/>
          <w:sz w:val="21"/>
        </w:rPr>
      </w:pPr>
      <w:r w:rsidRPr="00896D4F">
        <w:rPr>
          <w:i/>
          <w:sz w:val="21"/>
        </w:rPr>
        <w:t xml:space="preserve">Claes Eklundh                                                        Jan Pennlöv </w:t>
      </w:r>
    </w:p>
    <w:p w:rsidR="009C1C5A" w:rsidRPr="00896D4F" w:rsidRDefault="009C1C5A">
      <w:pPr>
        <w:tabs>
          <w:tab w:val="left" w:pos="284"/>
        </w:tabs>
        <w:spacing w:before="480"/>
        <w:rPr>
          <w:i/>
          <w:sz w:val="21"/>
        </w:rPr>
      </w:pPr>
      <w:r w:rsidRPr="00896D4F">
        <w:rPr>
          <w:i/>
          <w:sz w:val="21"/>
        </w:rPr>
        <w:t xml:space="preserve">Kerstin André                                                       Nils-Olof Berggren </w:t>
      </w:r>
    </w:p>
    <w:p w:rsidR="009C1C5A" w:rsidRPr="00896D4F" w:rsidRDefault="009C1C5A">
      <w:pPr>
        <w:tabs>
          <w:tab w:val="left" w:pos="284"/>
        </w:tabs>
        <w:spacing w:before="480"/>
      </w:pPr>
      <w:r w:rsidRPr="00896D4F">
        <w:rPr>
          <w:i/>
          <w:sz w:val="21"/>
        </w:rPr>
        <w:t>/ Kjell Swanström</w:t>
      </w:r>
    </w:p>
    <w:p w:rsidR="009C1C5A" w:rsidRPr="00896D4F" w:rsidRDefault="009C1C5A"/>
    <w:p w:rsidR="009C1C5A" w:rsidRPr="00896D4F" w:rsidRDefault="009C1C5A">
      <w:pPr>
        <w:pStyle w:val="Rubrik1"/>
      </w:pPr>
      <w:r w:rsidRPr="00896D4F">
        <w:br w:type="page"/>
      </w:r>
      <w:bookmarkStart w:id="3" w:name="Start"/>
      <w:bookmarkEnd w:id="3"/>
      <w:r w:rsidRPr="00896D4F">
        <w:t>Allmänna domstolar m.m.</w:t>
      </w:r>
    </w:p>
    <w:p w:rsidR="009C1C5A" w:rsidRPr="00896D4F" w:rsidRDefault="009C1C5A">
      <w:pPr>
        <w:pStyle w:val="Rubrik2"/>
        <w:spacing w:before="250"/>
      </w:pPr>
      <w:r w:rsidRPr="00896D4F">
        <w:t xml:space="preserve">Ett åtal mot en rådman för tjänstefel bestående i att han i tre fall inte haft kanslidomar färdigställda på utsatta tider har ogillats med hänvisning till att gärningarna fick anses vara ringa  </w:t>
      </w:r>
    </w:p>
    <w:p w:rsidR="009C1C5A" w:rsidRPr="00896D4F" w:rsidRDefault="009C1C5A">
      <w:pPr>
        <w:spacing w:before="0"/>
      </w:pPr>
      <w:r w:rsidRPr="00896D4F">
        <w:t>(Dnr 1964-2000)</w:t>
      </w:r>
    </w:p>
    <w:p w:rsidR="009C1C5A" w:rsidRPr="00896D4F" w:rsidRDefault="009C1C5A">
      <w:pPr>
        <w:pStyle w:val="Rubrik3"/>
      </w:pPr>
      <w:r w:rsidRPr="00896D4F">
        <w:t>Bakgrund och utredning</w:t>
      </w:r>
    </w:p>
    <w:p w:rsidR="009C1C5A" w:rsidRPr="00896D4F" w:rsidRDefault="009C1C5A">
      <w:r w:rsidRPr="00896D4F">
        <w:t>I en anmälan anfördes att Örebro tingsrätt skulle ha meddelat kanslidom i ett brottmål den 12 maj 2000 men vid denna tidpunkt förelåg endast domslutet. Anmälaren anförde vidare att han inte så sent som den 29 maj 2000 hade erhållit några domskäl, trots att tiden för att överklaga domen gick ut den 2 juni 2000.</w:t>
      </w:r>
    </w:p>
    <w:p w:rsidR="009C1C5A" w:rsidRPr="00896D4F" w:rsidRDefault="009C1C5A">
      <w:pPr>
        <w:pStyle w:val="Normaltindrag"/>
      </w:pPr>
      <w:r w:rsidRPr="00896D4F">
        <w:t>Vissa handlingar infordrades och granskades. Av handlingarna framgick bl.a. att rådmannen Lars-Eric Hult varit ordförande vid den aktuella huvu</w:t>
      </w:r>
      <w:r w:rsidRPr="00896D4F">
        <w:t>d</w:t>
      </w:r>
      <w:r w:rsidRPr="00896D4F">
        <w:t xml:space="preserve">förhandlingen,  att den aktuella kanslidomen skulle ha meddelats den 12 maj 2000 samt att domen hade expedierats till parterna den 30 maj 2000.  </w:t>
      </w:r>
    </w:p>
    <w:p w:rsidR="009C1C5A" w:rsidRPr="00896D4F" w:rsidRDefault="009C1C5A">
      <w:pPr>
        <w:pStyle w:val="Normaltindrag"/>
      </w:pPr>
      <w:r w:rsidRPr="00896D4F">
        <w:t xml:space="preserve">På grund av vad som hade framkommit fann </w:t>
      </w:r>
      <w:r w:rsidRPr="00896D4F">
        <w:rPr>
          <w:i/>
        </w:rPr>
        <w:t>chefsJO Eklundh</w:t>
      </w:r>
      <w:r w:rsidRPr="00896D4F">
        <w:t xml:space="preserve"> anledning anta att tjänstefel enligt 20 kap. 1 § brottsbalken hade begåtts under han</w:t>
      </w:r>
      <w:r w:rsidRPr="00896D4F">
        <w:t>d</w:t>
      </w:r>
      <w:r w:rsidRPr="00896D4F">
        <w:t>läggningen av målet. Förundersökning inleddes. Under förundersökningen framkom att kanslidomar inte hade tillhandahållits parterna på utsatt tid i ytterligare två brottmål som hade handlagts av Lars-Eric Hult. Förundersö</w:t>
      </w:r>
      <w:r w:rsidRPr="00896D4F">
        <w:t>k</w:t>
      </w:r>
      <w:r w:rsidRPr="00896D4F">
        <w:t>ningen utvidgades till att oc</w:t>
      </w:r>
      <w:r w:rsidRPr="00896D4F">
        <w:t>k</w:t>
      </w:r>
      <w:r w:rsidRPr="00896D4F">
        <w:t>så omfatta dessa fall.</w:t>
      </w:r>
    </w:p>
    <w:p w:rsidR="009C1C5A" w:rsidRPr="00896D4F" w:rsidRDefault="009C1C5A">
      <w:pPr>
        <w:pStyle w:val="Rubrik3"/>
      </w:pPr>
      <w:r w:rsidRPr="00896D4F">
        <w:t>Åtalet</w:t>
      </w:r>
    </w:p>
    <w:p w:rsidR="009C1C5A" w:rsidRPr="00896D4F" w:rsidRDefault="009C1C5A">
      <w:r w:rsidRPr="00896D4F">
        <w:t xml:space="preserve">Efter avslutad förundersökning beslutade </w:t>
      </w:r>
      <w:r w:rsidRPr="00896D4F">
        <w:rPr>
          <w:i/>
        </w:rPr>
        <w:t>chefsJO Eklundh</w:t>
      </w:r>
      <w:r w:rsidRPr="00896D4F">
        <w:t xml:space="preserve"> att väcka åtal mot Lars-Eric Hult för tjänstefel enligt 20 kap. 1 § brottsbalken enligt följande gärning</w:t>
      </w:r>
      <w:r w:rsidRPr="00896D4F">
        <w:t>s</w:t>
      </w:r>
      <w:r w:rsidRPr="00896D4F">
        <w:t>beskrivning.</w:t>
      </w:r>
    </w:p>
    <w:p w:rsidR="009C1C5A" w:rsidRPr="00896D4F" w:rsidRDefault="009C1C5A">
      <w:pPr>
        <w:pStyle w:val="Citat"/>
      </w:pPr>
      <w:r w:rsidRPr="00896D4F">
        <w:t>Rådmannen Lars-Eric Hult har som rättens ordförande vid huvudförhandlin</w:t>
      </w:r>
      <w:r w:rsidRPr="00896D4F">
        <w:t>g</w:t>
      </w:r>
      <w:r w:rsidRPr="00896D4F">
        <w:t>ar i tre nedan angivna brottmål vid Örebro tingsrätt vid myndighetsutövnin</w:t>
      </w:r>
      <w:r w:rsidRPr="00896D4F">
        <w:t>g</w:t>
      </w:r>
      <w:r w:rsidRPr="00896D4F">
        <w:t>en uppsåtligen åsidosatt vad som gäller för uppgiften enligt följa</w:t>
      </w:r>
      <w:r w:rsidRPr="00896D4F">
        <w:t>n</w:t>
      </w:r>
      <w:r w:rsidRPr="00896D4F">
        <w:t>de.</w:t>
      </w:r>
    </w:p>
    <w:p w:rsidR="009C1C5A" w:rsidRPr="00896D4F" w:rsidRDefault="009C1C5A">
      <w:pPr>
        <w:pStyle w:val="Citatindrag"/>
      </w:pPr>
      <w:r w:rsidRPr="00896D4F">
        <w:t>1. I samband med huvudförhandlingens avslutande den 17 mars 2000 i mål B 2287-99 underrättades parterna om att dom i målet skulle meddelas genom att hållas till</w:t>
      </w:r>
      <w:r w:rsidRPr="00896D4F">
        <w:softHyphen/>
        <w:t>gäng</w:t>
      </w:r>
      <w:r w:rsidRPr="00896D4F">
        <w:softHyphen/>
        <w:t>lig på rättens kansli den 19 april kl. 14.00. Enligt ett beslut den 18 april flytta</w:t>
      </w:r>
      <w:r w:rsidRPr="00896D4F">
        <w:softHyphen/>
        <w:t>des domen fram till den 3 maj och den 2 maj beslutades att domen skulle meddelas den 12 maj. Sistnämnda dag meddelades parterna domsluten samt beslut i övriga frågor m.m. Den 30 maj 2000 expedierades domen i sin helhet till parterna.</w:t>
      </w:r>
      <w:r w:rsidRPr="00896D4F">
        <w:softHyphen/>
      </w:r>
    </w:p>
    <w:p w:rsidR="009C1C5A" w:rsidRPr="00896D4F" w:rsidRDefault="009C1C5A">
      <w:pPr>
        <w:pStyle w:val="Citatindrag"/>
      </w:pPr>
      <w:r w:rsidRPr="00896D4F">
        <w:t>2. I mål B 304-00 förekom tre tilltalade under 21 år. När huvudförhan</w:t>
      </w:r>
      <w:r w:rsidRPr="00896D4F">
        <w:t>d</w:t>
      </w:r>
      <w:r w:rsidRPr="00896D4F">
        <w:t>lingen avslu</w:t>
      </w:r>
      <w:r w:rsidRPr="00896D4F">
        <w:softHyphen/>
        <w:t>ta</w:t>
      </w:r>
      <w:r w:rsidRPr="00896D4F">
        <w:softHyphen/>
        <w:t xml:space="preserve">des den 28 april 2000 förklarades en tilltalad, född år 1984, häktad till dess att dom skulle meddelas. Vidare underrättades parterna om att domen skulle meddelas genom att hållas tillgänglig på rättens kansli den 8 maj från kl. 14.00. Den 1 maj ändrade Lars-Eric Hult tidpunkten för doms meddelande till den 3 maj. Domen var dock inte färdigställd den 3 maj utan expedierades till bl.a. parterna och häktet först den 8 maj 2000.         </w:t>
      </w:r>
    </w:p>
    <w:p w:rsidR="009C1C5A" w:rsidRPr="00896D4F" w:rsidRDefault="009C1C5A">
      <w:pPr>
        <w:pStyle w:val="Citatindrag"/>
      </w:pPr>
      <w:r w:rsidRPr="00896D4F">
        <w:t>3. I mål B 474-00 avslutades huvudförhandlingen den 26 a</w:t>
      </w:r>
      <w:r w:rsidRPr="00896D4F">
        <w:t>pril 2000 med en underrät</w:t>
      </w:r>
      <w:r w:rsidRPr="00896D4F">
        <w:softHyphen/>
        <w:t>telse om att dom i målet skulle meddelas genom att hållas til</w:t>
      </w:r>
      <w:r w:rsidRPr="00896D4F">
        <w:t>l</w:t>
      </w:r>
      <w:r w:rsidRPr="00896D4F">
        <w:t>gänglig på rättens kansli den 17 maj från kl. 14.00. Enligt ett beslut den 15 maj flyttades domens med</w:t>
      </w:r>
      <w:r w:rsidRPr="00896D4F">
        <w:softHyphen/>
        <w:t>delande fram till den 22 maj och den 22 maj besl</w:t>
      </w:r>
      <w:r w:rsidRPr="00896D4F">
        <w:t>u</w:t>
      </w:r>
      <w:r w:rsidRPr="00896D4F">
        <w:t>tades att domen skulle meddelas den 29 maj kl. 14.00. Sistnämnda dag var domen inte färdigställd men muntligt be</w:t>
      </w:r>
      <w:r w:rsidRPr="00896D4F">
        <w:softHyphen/>
        <w:t>sked om domens innehåll lämnades. Domen expedierades till parterna den 8 juni 2000.</w:t>
      </w:r>
    </w:p>
    <w:p w:rsidR="009C1C5A" w:rsidRPr="00896D4F" w:rsidRDefault="009C1C5A">
      <w:pPr>
        <w:pStyle w:val="Citatindrag"/>
      </w:pPr>
      <w:r w:rsidRPr="00896D4F">
        <w:t>Lars-Eric Hult har alltså den 3 maj, den 12 maj och den 29 maj 2000 inte ha</w:t>
      </w:r>
      <w:r w:rsidRPr="00896D4F">
        <w:t>ft do</w:t>
      </w:r>
      <w:r w:rsidRPr="00896D4F">
        <w:softHyphen/>
        <w:t>mar</w:t>
      </w:r>
      <w:r w:rsidRPr="00896D4F">
        <w:softHyphen/>
        <w:t>na färdigställda på sätt som föreskrivs i 30 kap. 5 och 8 §§ rätt</w:t>
      </w:r>
      <w:r w:rsidRPr="00896D4F">
        <w:t>e</w:t>
      </w:r>
      <w:r w:rsidRPr="00896D4F">
        <w:t>gångsbalken. Han har därigenom åsidosatt bestämmelsen i 30 kap. 7 § andra stycket rättegångs</w:t>
      </w:r>
      <w:r w:rsidRPr="00896D4F">
        <w:softHyphen/>
        <w:t>balken om sättet för doms meddelande. Härigenom har också bestämmelserna i 26 § förordning</w:t>
      </w:r>
      <w:r w:rsidRPr="00896D4F">
        <w:softHyphen/>
        <w:t>en (1996:271) om mål och ärenden i allmän domstol, 2 § förordningen (1980:900) om statliga myndigheters serv</w:t>
      </w:r>
      <w:r w:rsidRPr="00896D4F">
        <w:t>i</w:t>
      </w:r>
      <w:r w:rsidRPr="00896D4F">
        <w:t>ceskyldighet, m.m. och 2 § förordningen (1990:893) om underrättelse om dom i vissa brottmål, m.m. ifråga om expediering av domar kommit att åsi</w:t>
      </w:r>
      <w:r w:rsidRPr="00896D4F">
        <w:t>d</w:t>
      </w:r>
      <w:r w:rsidRPr="00896D4F">
        <w:t>o</w:t>
      </w:r>
      <w:r w:rsidRPr="00896D4F">
        <w:t xml:space="preserve">sättas. </w:t>
      </w:r>
    </w:p>
    <w:p w:rsidR="009C1C5A" w:rsidRPr="00896D4F" w:rsidRDefault="009C1C5A">
      <w:pPr>
        <w:pStyle w:val="Rubrik3"/>
      </w:pPr>
      <w:r w:rsidRPr="00896D4F">
        <w:t>Hovrättens dom</w:t>
      </w:r>
    </w:p>
    <w:p w:rsidR="009C1C5A" w:rsidRPr="00896D4F" w:rsidRDefault="009C1C5A">
      <w:r w:rsidRPr="00896D4F">
        <w:t>Göta hovrätt dömde den 10 september 2001 Lars-Eric Hult för tjänstefel i enlighet med åtalet samt bestämde påföljden till trettio (30) dagsböter.</w:t>
      </w:r>
    </w:p>
    <w:p w:rsidR="009C1C5A" w:rsidRPr="00896D4F" w:rsidRDefault="009C1C5A">
      <w:pPr>
        <w:pStyle w:val="Normaltindrag"/>
      </w:pPr>
      <w:r w:rsidRPr="00896D4F">
        <w:t>I hovrätten vitsordade Lars-Eric Hult de faktiska omständigheterna men bestred ansvar för tjänstefel och gjorde därvid gällande att gärningarna var att anse som ringa.</w:t>
      </w:r>
    </w:p>
    <w:p w:rsidR="009C1C5A" w:rsidRPr="00896D4F" w:rsidRDefault="009C1C5A">
      <w:r w:rsidRPr="00896D4F">
        <w:t>Under rubriken domskäl anförde hovrätten bl.a. följande.</w:t>
      </w:r>
    </w:p>
    <w:p w:rsidR="009C1C5A" w:rsidRPr="00896D4F" w:rsidRDefault="009C1C5A">
      <w:r w:rsidRPr="00896D4F">
        <w:t>Lars-Eric Hult har hörts. Vidare har på Lars-Eric Hults begäran vittnesförhör hållits med lagmannen Lars Levin. Som skriftlig bevisning har åklagaren åberopat protokoll, dagboksblad, expeditionsanteckningar och domarna i de tre aktuella målen. Åklaga</w:t>
      </w:r>
      <w:r w:rsidRPr="00896D4F">
        <w:softHyphen/>
        <w:t>ren har även åberopat arbetsordningen för Örebro tingsrätt och en handling benämnd Balanserade mål och ärenden. Lars-Eric Hult har åberopat en promemoria över domar i Örebro tingsrätt under tiden den 1 januari–den 31 maj 2000, vissa delar av huvudför</w:t>
      </w:r>
      <w:r w:rsidRPr="00896D4F">
        <w:softHyphen/>
        <w:t>handlingsprotokollen och domarna i två tvistemål samt vissa statistikuppgi</w:t>
      </w:r>
      <w:r w:rsidRPr="00896D4F">
        <w:t>f</w:t>
      </w:r>
      <w:r w:rsidRPr="00896D4F">
        <w:t>ter.</w:t>
      </w:r>
    </w:p>
    <w:p w:rsidR="009C1C5A" w:rsidRPr="00896D4F" w:rsidRDefault="009C1C5A">
      <w:pPr>
        <w:pStyle w:val="Normaltindrag"/>
      </w:pPr>
      <w:r w:rsidRPr="00896D4F">
        <w:t>Lars-Eric Hult har uppgett bl.a. följande. Han började sin anställning som rådman vid Örebro tingsrätt i april 1999 och fick då ansvar för en rotel som stått obemannad i tre månade</w:t>
      </w:r>
      <w:r w:rsidRPr="00896D4F">
        <w:t>r. Förutom arbete med egen rotel ansvarade han för notarieutbildningen, fick ta hand om post på andra obemannade rotlar samt handlägga mål på dessa rotlar. Han ar</w:t>
      </w:r>
      <w:r w:rsidRPr="00896D4F">
        <w:softHyphen/>
        <w:t>betade långt utöver normal arbet</w:t>
      </w:r>
      <w:r w:rsidRPr="00896D4F">
        <w:t>s</w:t>
      </w:r>
      <w:r w:rsidRPr="00896D4F">
        <w:t>tid i tron att det höga arbetstrycket skulle minska med tiden och att bristen på domarpersonal endast var tillfällig. Så visade sig emeller</w:t>
      </w:r>
      <w:r w:rsidRPr="00896D4F">
        <w:softHyphen/>
        <w:t>tid inte vara fallet. Under april och maj 2000 arbetade han med undantag för annan</w:t>
      </w:r>
      <w:r w:rsidRPr="00896D4F">
        <w:softHyphen/>
        <w:t xml:space="preserve">dag påsk minst full arbetsdag sju dagar i veckan. Trots detta räckte tiden inte till för att </w:t>
      </w:r>
      <w:r w:rsidRPr="00896D4F">
        <w:t>färdigställa de nu aktuella domarna i tid. För att minimera eventuell skada för parterna meddelade han dem domsluten på de utsatta domsdagarna. I målet B 304-00 gav han häktet besked om domslutet den 3 maj 2000. Han inform</w:t>
      </w:r>
      <w:r w:rsidRPr="00896D4F">
        <w:t>e</w:t>
      </w:r>
      <w:r w:rsidRPr="00896D4F">
        <w:t>rade försvararen om domslutet dagen efter. Denne fick då även ta del av do</w:t>
      </w:r>
      <w:r w:rsidRPr="00896D4F">
        <w:t>m</w:t>
      </w:r>
      <w:r w:rsidRPr="00896D4F">
        <w:t>skälen i påföljdsdelen. Lars-</w:t>
      </w:r>
      <w:r w:rsidRPr="00896D4F">
        <w:softHyphen/>
        <w:t>Eric Hult var i de tre målen i kontakt med berörda försvarare under överklagan</w:t>
      </w:r>
      <w:r w:rsidRPr="00896D4F">
        <w:softHyphen/>
        <w:t>detiden. Han är väl införstådd med reglerna om doms avfattande och meddelande. Han infor</w:t>
      </w:r>
      <w:r w:rsidRPr="00896D4F">
        <w:softHyphen/>
        <w:t>merade inte doms</w:t>
      </w:r>
      <w:r w:rsidRPr="00896D4F">
        <w:t>tolens chef om förseningarna av domarna eller sin åtgärd att meddela parterna endast domslutet på domsdagarna. Han bad emellertid vid ett tillfälle att få slippa lottningen av mål med häktade och ungdomar, vilket inte visade sig möjligt.</w:t>
      </w:r>
    </w:p>
    <w:p w:rsidR="009C1C5A" w:rsidRPr="00896D4F" w:rsidRDefault="009C1C5A">
      <w:pPr>
        <w:pStyle w:val="Normaltindrag"/>
      </w:pPr>
      <w:r w:rsidRPr="00896D4F">
        <w:t>Lars Levin har uppgett bl.a. följande. Arbetssituationen har sedan slutet av år 1998 va</w:t>
      </w:r>
      <w:r w:rsidRPr="00896D4F">
        <w:softHyphen/>
        <w:t>rit extremt besvärlig på Örebro tingsrätt. Tingsrätten har åtta bla</w:t>
      </w:r>
      <w:r w:rsidRPr="00896D4F">
        <w:t>n</w:t>
      </w:r>
      <w:r w:rsidRPr="00896D4F">
        <w:t>dade rotlar varvid en eller två rotlar har varit obemannade ända sedan dece</w:t>
      </w:r>
      <w:r w:rsidRPr="00896D4F">
        <w:t>m</w:t>
      </w:r>
      <w:r w:rsidRPr="00896D4F">
        <w:t>ber 1998. Därtill kommer att tingsrätten handlagt ett stort antal stora eko- och ungdomsbrottmål. Göta hovrätt har inte kunnat hjälpa till med personal. Lars Levin har på olika sätt försökt att komma till rätta med problemen varvid hovrätten och Domstolsverket kontinuerligt informerats. I mars 2000 skrev han ett brev till Göta hovrätt där han klargjorde kris</w:t>
      </w:r>
      <w:r w:rsidRPr="00896D4F">
        <w:softHyphen/>
        <w:t>situat</w:t>
      </w:r>
      <w:r w:rsidRPr="00896D4F">
        <w:t>ionen och begärde hjälp med domarpersonal. Tingsrätten fick emellertid inte någon hjälp. Lars Levin har uppfattat Lars-Eric Hult som en effektiv och skicklig domare. Lars-Eric Hult ställde alltid upp när det behövdes och lade ned en stor del av sin fritid på arbe</w:t>
      </w:r>
      <w:r w:rsidRPr="00896D4F">
        <w:softHyphen/>
        <w:t>tet. Det var emellertid först genom åtalet mot Lars-Eric Hult som Lars Levin insåg att Lars-Eric Hult hade haft en alltför hög arbetsbelastning.</w:t>
      </w:r>
    </w:p>
    <w:p w:rsidR="009C1C5A" w:rsidRPr="00896D4F" w:rsidRDefault="009C1C5A">
      <w:r w:rsidRPr="00896D4F">
        <w:t>Hovrättens bedömning</w:t>
      </w:r>
    </w:p>
    <w:p w:rsidR="009C1C5A" w:rsidRPr="00896D4F" w:rsidRDefault="009C1C5A">
      <w:r w:rsidRPr="00896D4F">
        <w:t>I målet är utrett att Lars-Eric Hult i tre fall har underlåtit att meddela fullstä</w:t>
      </w:r>
      <w:r w:rsidRPr="00896D4F">
        <w:t>n</w:t>
      </w:r>
      <w:r w:rsidRPr="00896D4F">
        <w:t>diga do</w:t>
      </w:r>
      <w:r w:rsidRPr="00896D4F">
        <w:softHyphen/>
        <w:t>mar i brottmål på utsatta tider och att han var medveten om att detta stred mot rätte</w:t>
      </w:r>
      <w:r w:rsidRPr="00896D4F">
        <w:softHyphen/>
        <w:t>gångsbalkens bestämmelser om sättet för doms avfattande och meddelande. Han har härigenom uppsåtligen åsidosatt vad som gäller för hans uppgift som d</w:t>
      </w:r>
      <w:r w:rsidRPr="00896D4F">
        <w:t>o</w:t>
      </w:r>
      <w:r w:rsidRPr="00896D4F">
        <w:t>mare.</w:t>
      </w:r>
    </w:p>
    <w:p w:rsidR="009C1C5A" w:rsidRPr="00896D4F" w:rsidRDefault="009C1C5A">
      <w:pPr>
        <w:pStyle w:val="Normaltindrag"/>
      </w:pPr>
      <w:r w:rsidRPr="00896D4F">
        <w:t>Enligt 20 kap. 1 § första stycket brottsbalken föranleder en gärning som är att anse som ringa inte ansvar för tjänstefel. Vid bedömningen om en gärning är att anse som ringa skall rätten enligt lagrummet beakta gärningsmannens befogenheter och uppgif</w:t>
      </w:r>
      <w:r w:rsidRPr="00896D4F">
        <w:softHyphen/>
        <w:t>tens samband med myndighetsutövningen i övrigt samt andra omständi</w:t>
      </w:r>
      <w:r w:rsidRPr="00896D4F">
        <w:t>g</w:t>
      </w:r>
      <w:r w:rsidRPr="00896D4F">
        <w:t>heter. Hov</w:t>
      </w:r>
      <w:r w:rsidRPr="00896D4F">
        <w:softHyphen/>
        <w:t>rätten gör i denna fråga följande bedömning.</w:t>
      </w:r>
    </w:p>
    <w:p w:rsidR="009C1C5A" w:rsidRPr="00896D4F" w:rsidRDefault="009C1C5A">
      <w:pPr>
        <w:pStyle w:val="Normaltindrag"/>
      </w:pPr>
      <w:r w:rsidRPr="00896D4F">
        <w:t>Möjligheten för part att överklaga en tingsrätts dom utgör en fundamental del av den rättssäkerhet som vår rättegångsordning erbjuder. För att en part fullt ut skall kunna utnyttja denna möjlighet att ta till vara sin rätt är det b</w:t>
      </w:r>
      <w:r w:rsidRPr="00896D4F">
        <w:t>e</w:t>
      </w:r>
      <w:r w:rsidRPr="00896D4F">
        <w:t>träffande en s.k. kanslidom viktigt att den verkligen är tillgänglig i sin helhet den dag den meddelas så att parten härigenom får hela överklagandetiden på sig för att bedöma domskälens bärkraft och om ett överklagande bör ske. Lars-Eric Hult har således brutit mot en från rättssäker</w:t>
      </w:r>
      <w:r w:rsidRPr="00896D4F">
        <w:softHyphen/>
        <w:t>hetssynpunkt viktig regel genom att tillhandahålla domarna i fullständigt skick senare än den dag respektive dom meddelats. Det bör framhållas att det är särskilt allvarligt att han i två av fallen meddelat domarna i fullstän</w:t>
      </w:r>
      <w:r w:rsidRPr="00896D4F">
        <w:t>digt skick först några få dagar före överklagandetidens utgång. Den omständigheten att Lars-Eric Hult har upplyst om själva domsluten på domsdagarna och att han under överklaga</w:t>
      </w:r>
      <w:r w:rsidRPr="00896D4F">
        <w:t>n</w:t>
      </w:r>
      <w:r w:rsidRPr="00896D4F">
        <w:t>detiden varit i kontakt med berörda försvarare har i och för sig minskat ol</w:t>
      </w:r>
      <w:r w:rsidRPr="00896D4F">
        <w:t>ä</w:t>
      </w:r>
      <w:r w:rsidRPr="00896D4F">
        <w:t>genheterna av att parterna inte fått tillgång till de fullständiga domarna. Dessa åtgärder kan dock inte föranleda be</w:t>
      </w:r>
      <w:r w:rsidRPr="00896D4F">
        <w:softHyphen/>
        <w:t>döm</w:t>
      </w:r>
      <w:r w:rsidRPr="00896D4F">
        <w:softHyphen/>
        <w:t>ningen att gärningarna är att anse som ringa.</w:t>
      </w:r>
    </w:p>
    <w:p w:rsidR="009C1C5A" w:rsidRPr="00896D4F" w:rsidRDefault="009C1C5A">
      <w:pPr>
        <w:pStyle w:val="Normaltindrag"/>
      </w:pPr>
      <w:r w:rsidRPr="00896D4F">
        <w:t xml:space="preserve">Utredningen i målet ger vid handen att Örebro tingsrätt under bl.a. den tid som åtalet mot </w:t>
      </w:r>
      <w:r w:rsidRPr="00896D4F">
        <w:t>Lars-Eric Hult avser var en mycket arbetstyngd domstol och att arbetssituationen till följd härav var mycket besvärlig för Lars-Eric Hult och de andra domarna vid tingsrätten. På grund av den ansträngda arbets</w:t>
      </w:r>
      <w:r w:rsidRPr="00896D4F">
        <w:softHyphen/>
        <w:t>situationen, men också till följd av sin beredvillighet att bistå på andra rotlar, hann Lars-Eric Hult inte med att färdigställa de tre domarna på utsatta tider. Han informerade emellertid inte vid något tillfälle tings</w:t>
      </w:r>
      <w:r w:rsidRPr="00896D4F">
        <w:softHyphen/>
        <w:t>rättens chef om att han hade svårigheter att få domarna klara i tid. Det måste enl</w:t>
      </w:r>
      <w:r w:rsidRPr="00896D4F">
        <w:t>igt hovrättens m</w:t>
      </w:r>
      <w:r w:rsidRPr="00896D4F">
        <w:t>e</w:t>
      </w:r>
      <w:r w:rsidRPr="00896D4F">
        <w:t>ning normalt kunna krävas av en ordinarie domare, som inser att han är i färd med att förlora kontrollen över sina arbetsuppgifter eller som exempelvis ser vik</w:t>
      </w:r>
      <w:r w:rsidRPr="00896D4F">
        <w:softHyphen/>
        <w:t>tiga frister löpa ut och inte själv förmår att komma ikapp, att han på ett tydligt sätt och inom rimlig tid gör sin chef uppmär</w:t>
      </w:r>
      <w:r w:rsidRPr="00896D4F">
        <w:t>k</w:t>
      </w:r>
      <w:r w:rsidRPr="00896D4F">
        <w:t>sam på problemen. Lars-Eric Hult har inte vid</w:t>
      </w:r>
      <w:r w:rsidRPr="00896D4F">
        <w:softHyphen/>
        <w:t>tagit sådana åtgärder. I stället har situationen alltefte</w:t>
      </w:r>
      <w:r w:rsidRPr="00896D4F">
        <w:t>r</w:t>
      </w:r>
      <w:r w:rsidRPr="00896D4F">
        <w:t>som kommit att bli honom över</w:t>
      </w:r>
      <w:r w:rsidRPr="00896D4F">
        <w:softHyphen/>
        <w:t>mäktig utan att han slagit larm. Inte ens med beaktande av det pressade a</w:t>
      </w:r>
      <w:r w:rsidRPr="00896D4F">
        <w:t>rbetsläge som han ostridigt haft kan det mot denna bakgrund anses föreligga till</w:t>
      </w:r>
      <w:r w:rsidRPr="00896D4F">
        <w:softHyphen/>
        <w:t>räckliga skäl att be</w:t>
      </w:r>
      <w:r w:rsidRPr="00896D4F">
        <w:softHyphen/>
        <w:t>döma hans avsiktliga åsid</w:t>
      </w:r>
      <w:r w:rsidRPr="00896D4F">
        <w:t>o</w:t>
      </w:r>
      <w:r w:rsidRPr="00896D4F">
        <w:t>sättande av rättegångsbalkens bestäm</w:t>
      </w:r>
      <w:r w:rsidRPr="00896D4F">
        <w:softHyphen/>
        <w:t>melser som ringa. Han skall därför d</w:t>
      </w:r>
      <w:r w:rsidRPr="00896D4F">
        <w:t>ö</w:t>
      </w:r>
      <w:r w:rsidRPr="00896D4F">
        <w:t>mas för tjänstefel.</w:t>
      </w:r>
    </w:p>
    <w:p w:rsidR="009C1C5A" w:rsidRPr="00896D4F" w:rsidRDefault="009C1C5A">
      <w:r w:rsidRPr="00896D4F">
        <w:t>Påföljden skall bestämmas till böter</w:t>
      </w:r>
    </w:p>
    <w:p w:rsidR="009C1C5A" w:rsidRPr="00896D4F" w:rsidRDefault="009C1C5A">
      <w:r w:rsidRPr="00896D4F">
        <w:t>Vid bestämmande av antalet dagsböter beaktar hovrätten såväl vad som fra</w:t>
      </w:r>
      <w:r w:rsidRPr="00896D4F">
        <w:t>m</w:t>
      </w:r>
      <w:r w:rsidRPr="00896D4F">
        <w:t>kommit om Lars-Eric Hults pressade arbetssituation som att han vidtagit vissa åtgärder för att försöka begränsa skadan av sitt agerande.</w:t>
      </w:r>
    </w:p>
    <w:p w:rsidR="009C1C5A" w:rsidRPr="00896D4F" w:rsidRDefault="009C1C5A">
      <w:pPr>
        <w:pStyle w:val="Rubrik3"/>
      </w:pPr>
      <w:r w:rsidRPr="00896D4F">
        <w:t>Överklagandet</w:t>
      </w:r>
    </w:p>
    <w:p w:rsidR="009C1C5A" w:rsidRPr="00896D4F" w:rsidRDefault="009C1C5A">
      <w:r w:rsidRPr="00896D4F">
        <w:t>Lars-Eric Hult överklagade hovrättens dom och yrkade i första hand att Högsta domstolen skulle ogilla åtalet och i andra hand att påföljdseftergift skulle medd</w:t>
      </w:r>
      <w:r w:rsidRPr="00896D4F">
        <w:t>e</w:t>
      </w:r>
      <w:r w:rsidRPr="00896D4F">
        <w:t>las.</w:t>
      </w:r>
    </w:p>
    <w:p w:rsidR="009C1C5A" w:rsidRPr="00896D4F" w:rsidRDefault="009C1C5A">
      <w:r w:rsidRPr="00896D4F">
        <w:rPr>
          <w:i/>
        </w:rPr>
        <w:t>ChefsJO Eklundh</w:t>
      </w:r>
      <w:r w:rsidRPr="00896D4F">
        <w:t xml:space="preserve"> bestred ändring.</w:t>
      </w:r>
    </w:p>
    <w:p w:rsidR="009C1C5A" w:rsidRPr="00896D4F" w:rsidRDefault="009C1C5A">
      <w:pPr>
        <w:pStyle w:val="Rubrik3"/>
      </w:pPr>
      <w:r w:rsidRPr="00896D4F">
        <w:t>Högsta domstolens dom</w:t>
      </w:r>
    </w:p>
    <w:p w:rsidR="009C1C5A" w:rsidRPr="00896D4F" w:rsidRDefault="009C1C5A">
      <w:r w:rsidRPr="00896D4F">
        <w:t>I en dom den 13 juni 2002 ogillade Högsta domstolen åtalet. Ett justitieråd var ski</w:t>
      </w:r>
      <w:r w:rsidRPr="00896D4F">
        <w:t>l</w:t>
      </w:r>
      <w:r w:rsidRPr="00896D4F">
        <w:t>jaktig och ville fastställa hovrättens domslut.</w:t>
      </w:r>
    </w:p>
    <w:p w:rsidR="009C1C5A" w:rsidRPr="00896D4F" w:rsidRDefault="009C1C5A">
      <w:r w:rsidRPr="00896D4F">
        <w:t>I domskälen anförde Högsta domstolen följande.</w:t>
      </w:r>
    </w:p>
    <w:p w:rsidR="009C1C5A" w:rsidRPr="00896D4F" w:rsidRDefault="009C1C5A">
      <w:r w:rsidRPr="00896D4F">
        <w:t>Åtalet mot Lars-Eric Hult gäller meddelandet och expedieringen av tre brot</w:t>
      </w:r>
      <w:r w:rsidRPr="00896D4F">
        <w:t>t</w:t>
      </w:r>
      <w:r w:rsidRPr="00896D4F">
        <w:t>målsd</w:t>
      </w:r>
      <w:r w:rsidRPr="00896D4F">
        <w:t>o</w:t>
      </w:r>
      <w:r w:rsidRPr="00896D4F">
        <w:t>mar under våren 2000.</w:t>
      </w:r>
    </w:p>
    <w:p w:rsidR="009C1C5A" w:rsidRPr="00896D4F" w:rsidRDefault="009C1C5A">
      <w:pPr>
        <w:pStyle w:val="Normaltindrag"/>
      </w:pPr>
      <w:r w:rsidRPr="00896D4F">
        <w:t>Enligt 30 kap. 7 § andra stycket rättegångsbalken kan en dom i brottmål medde</w:t>
      </w:r>
      <w:r w:rsidRPr="00896D4F">
        <w:softHyphen/>
        <w:t>las genom att avkunnas antingen vid huvudförhandlingens slut eller vid ett senare sammanträde eller genom att hållas tillgänglig på rättens kansli en viss dag, s.k. kanslidom. En kanslidom skall skickas till parterna samma dag som domen med</w:t>
      </w:r>
      <w:r w:rsidRPr="00896D4F">
        <w:softHyphen/>
        <w:t>delas (se 26 § förordningen 1996:271 om mål och ärenden i allmän domstol jäm</w:t>
      </w:r>
      <w:r w:rsidRPr="00896D4F">
        <w:softHyphen/>
        <w:t>förd med 2 § förordningen 1980:900 om statliga myndi</w:t>
      </w:r>
      <w:r w:rsidRPr="00896D4F">
        <w:t>g</w:t>
      </w:r>
      <w:r w:rsidRPr="00896D4F">
        <w:t>heters serviceskyldighet, m.m.). Domen skall vara skriftligen avfattad och innehålla bl.a. domslut, parter</w:t>
      </w:r>
      <w:r w:rsidRPr="00896D4F">
        <w:softHyphen/>
        <w:t>nas yrkanden och de omständighete</w:t>
      </w:r>
      <w:r w:rsidRPr="00896D4F">
        <w:t>r som dessa grundats på samt domskäl med uppgift om vad som är be</w:t>
      </w:r>
      <w:r w:rsidRPr="00896D4F">
        <w:softHyphen/>
        <w:t>visat i målet. I d</w:t>
      </w:r>
      <w:r w:rsidRPr="00896D4F">
        <w:t>o</w:t>
      </w:r>
      <w:r w:rsidRPr="00896D4F">
        <w:t>men skall också anges vad en part som vill överklaga domen har att iaktta. (Se närmare 30 kap. 5 § rättegångsbal</w:t>
      </w:r>
      <w:r w:rsidRPr="00896D4F">
        <w:softHyphen/>
        <w:t>ken.) Varje dom skall vidare vara sä</w:t>
      </w:r>
      <w:r w:rsidRPr="00896D4F">
        <w:t>r</w:t>
      </w:r>
      <w:r w:rsidRPr="00896D4F">
        <w:t>skilt uppsatt och underskriven av de lagfar</w:t>
      </w:r>
      <w:r w:rsidRPr="00896D4F">
        <w:softHyphen/>
        <w:t>na ledamöter som deltagit i avg</w:t>
      </w:r>
      <w:r w:rsidRPr="00896D4F">
        <w:t>ö</w:t>
      </w:r>
      <w:r w:rsidRPr="00896D4F">
        <w:t>randet (30 kap. 8 § rättegångsbalken). Om domen i stället meddelas genom att avkunnas, behöver den däremot inte sändas förrän en vecka efter avkunnandet (se nyssnämnda bestämmelse i 1996 års för</w:t>
      </w:r>
      <w:r w:rsidRPr="00896D4F">
        <w:softHyphen/>
        <w:t>ordnin</w:t>
      </w:r>
      <w:r w:rsidRPr="00896D4F">
        <w:t>g med hänvisning). Ett avkunnande av en dom får ske genom att domslutet och skälen återges och fullföljdshänvisning meddelas (30 kap. 7 § fjärde stycket rättegångsbalken). Om den tilltalade är häktad i målet, skall en kopia av do</w:t>
      </w:r>
      <w:r w:rsidRPr="00896D4F">
        <w:softHyphen/>
        <w:t>men eller ett domsb</w:t>
      </w:r>
      <w:r w:rsidRPr="00896D4F">
        <w:t>e</w:t>
      </w:r>
      <w:r w:rsidRPr="00896D4F">
        <w:t>vis skickas till häktet samma dag som domen meddelas (se 2 § första stycket förordningen 1990:893 om underrättelse om dom i vissa brottmål, m.m.).</w:t>
      </w:r>
    </w:p>
    <w:p w:rsidR="009C1C5A" w:rsidRPr="00896D4F" w:rsidRDefault="009C1C5A">
      <w:pPr>
        <w:pStyle w:val="Normaltindrag"/>
      </w:pPr>
      <w:r w:rsidRPr="00896D4F">
        <w:t>I 20 kap. 1 § brottsbalken finns bestämmelser om ansvar för tjänstefel. Av första stycket framgår att sådant ansvar</w:t>
      </w:r>
      <w:r w:rsidRPr="00896D4F">
        <w:t xml:space="preserve"> skall ådömas den som uppsåtligen eller av oakt</w:t>
      </w:r>
      <w:r w:rsidRPr="00896D4F">
        <w:softHyphen/>
        <w:t>sam</w:t>
      </w:r>
      <w:r w:rsidRPr="00896D4F">
        <w:softHyphen/>
        <w:t>het vid myndighetsutövning genom handling eller underl</w:t>
      </w:r>
      <w:r w:rsidRPr="00896D4F">
        <w:t>å</w:t>
      </w:r>
      <w:r w:rsidRPr="00896D4F">
        <w:t>tenhet åsidosätter vad som gäller för uppgiften, såvida inte gärningen är att anse som ringa.</w:t>
      </w:r>
    </w:p>
    <w:p w:rsidR="009C1C5A" w:rsidRPr="00896D4F" w:rsidRDefault="009C1C5A">
      <w:pPr>
        <w:pStyle w:val="Normaltindrag"/>
      </w:pPr>
      <w:r w:rsidRPr="00896D4F">
        <w:t>I samtliga tre nu aktuella mål underrättades parterna om utgången när tiden för att meddela kanslidomarna var inne. Först senare expedierades domarna i sin helhet. Domen i målet B 2287-99 kom att expedieras skriftligt och i ful</w:t>
      </w:r>
      <w:r w:rsidRPr="00896D4F">
        <w:t>l</w:t>
      </w:r>
      <w:r w:rsidRPr="00896D4F">
        <w:t>ständigt skick tre dagar före den i domen avgivna dagen för överklagandet</w:t>
      </w:r>
      <w:r w:rsidRPr="00896D4F">
        <w:t>i</w:t>
      </w:r>
      <w:r w:rsidRPr="00896D4F">
        <w:t>dens utgång, medan ex</w:t>
      </w:r>
      <w:r w:rsidRPr="00896D4F">
        <w:softHyphen/>
        <w:t>pedieringen i de båda övriga målen skedde 16 respe</w:t>
      </w:r>
      <w:r w:rsidRPr="00896D4F">
        <w:t>k</w:t>
      </w:r>
      <w:r w:rsidRPr="00896D4F">
        <w:t>tive 11 dagar före den angi</w:t>
      </w:r>
      <w:r w:rsidRPr="00896D4F">
        <w:t>v</w:t>
      </w:r>
      <w:r w:rsidRPr="00896D4F">
        <w:t>na sista dagen för överklagande.</w:t>
      </w:r>
    </w:p>
    <w:p w:rsidR="009C1C5A" w:rsidRPr="00896D4F" w:rsidRDefault="009C1C5A">
      <w:pPr>
        <w:pStyle w:val="Normaltindrag"/>
      </w:pPr>
      <w:r w:rsidRPr="00896D4F">
        <w:t>Lars-Eric Hult har vitsordat de faktiska omständigheterna såsom de återges i gär</w:t>
      </w:r>
      <w:r w:rsidRPr="00896D4F">
        <w:softHyphen/>
        <w:t>ningsbeskrivningen. Genom sitt handlande åsidosatte Hult vid myndi</w:t>
      </w:r>
      <w:r w:rsidRPr="00896D4F">
        <w:t>g</w:t>
      </w:r>
      <w:r w:rsidRPr="00896D4F">
        <w:t>hetsut</w:t>
      </w:r>
      <w:r w:rsidRPr="00896D4F">
        <w:softHyphen/>
        <w:t>övning sina skyldigheter enligt åberopade lagrum. Av rättssäker</w:t>
      </w:r>
      <w:r w:rsidRPr="00896D4F">
        <w:softHyphen/>
        <w:t>hets</w:t>
      </w:r>
      <w:r w:rsidRPr="00896D4F">
        <w:softHyphen/>
        <w:t>skäl ställs generellt höga krav på en korrekt handläggning inom rättsväsendet. Särskilt höga krav ställs på en domstol (se bl.a. NJA 1992 s. 555, 1994 s. 304, 1996 s. 237 och 806, 1997 s. 368 och B 3 samt 2001 s. 35, se också NJA 1996 s. 307 och 1997 s. 186).</w:t>
      </w:r>
    </w:p>
    <w:p w:rsidR="009C1C5A" w:rsidRPr="00896D4F" w:rsidRDefault="009C1C5A">
      <w:pPr>
        <w:pStyle w:val="Normaltindrag"/>
      </w:pPr>
      <w:r w:rsidRPr="00896D4F">
        <w:t>Lars-Eric Hult och Lars Levin, som har hörts på nytt i Högsta domstolen, har i allt väsentligt uppgett vad s</w:t>
      </w:r>
      <w:r w:rsidRPr="00896D4F">
        <w:t>om i hovrättens dom antecknats från förhören med dem där. Levin har dock till rättelse uppgett att han vid den aktuella tiden var fullt medveten om att arbetssituationen var utomordentligt besvärlig för Hult och de andra rådmän</w:t>
      </w:r>
      <w:r w:rsidRPr="00896D4F">
        <w:softHyphen/>
        <w:t>nen men att han inte förrän efteråt fick veta att Hult var försenad med expedieringen av kanslidomar.</w:t>
      </w:r>
    </w:p>
    <w:p w:rsidR="009C1C5A" w:rsidRPr="00896D4F" w:rsidRDefault="009C1C5A">
      <w:pPr>
        <w:pStyle w:val="Normaltindrag"/>
      </w:pPr>
      <w:r w:rsidRPr="00896D4F">
        <w:t>Lars-Eric Hult har uppgett bl.a. följande. Alltsedan han började sin tjäns</w:t>
      </w:r>
      <w:r w:rsidRPr="00896D4F">
        <w:t>t</w:t>
      </w:r>
      <w:r w:rsidRPr="00896D4F">
        <w:t>göring som rådman i tingsrätten i april 1999 hade han en mycket tung arbet</w:t>
      </w:r>
      <w:r w:rsidRPr="00896D4F">
        <w:t>s</w:t>
      </w:r>
      <w:r w:rsidRPr="00896D4F">
        <w:t>börda med arbete även under helger och sent in på kvällarna. En och under viss tid två råd</w:t>
      </w:r>
      <w:r w:rsidRPr="00896D4F">
        <w:softHyphen/>
        <w:t>manstjänster var vakanta, och han tog på sig arbete med mål också från de vakanta rotlarna. Därut</w:t>
      </w:r>
      <w:r w:rsidRPr="00896D4F">
        <w:softHyphen/>
        <w:t>över var han engagerad i andra arbet</w:t>
      </w:r>
      <w:r w:rsidRPr="00896D4F">
        <w:t>s</w:t>
      </w:r>
      <w:r w:rsidRPr="00896D4F">
        <w:t>uppgifter i tingsrät</w:t>
      </w:r>
      <w:r w:rsidRPr="00896D4F">
        <w:softHyphen/>
        <w:t>ten. – Under våren 2000 var han engagerad i flera stora och arbetskrävande mål, som delvis handlades samtidigt. Genom lagmannen kä</w:t>
      </w:r>
      <w:r w:rsidRPr="00896D4F">
        <w:t>n</w:t>
      </w:r>
      <w:r w:rsidRPr="00896D4F">
        <w:t>de han till att någon per</w:t>
      </w:r>
      <w:r w:rsidRPr="00896D4F">
        <w:softHyphen/>
        <w:t>sonalförstärkning inte var att f</w:t>
      </w:r>
      <w:r w:rsidRPr="00896D4F">
        <w:t>örvänta, och han kunde inte räkna med någon av</w:t>
      </w:r>
      <w:r w:rsidRPr="00896D4F">
        <w:softHyphen/>
        <w:t>lastning i arbetet på annat sätt.</w:t>
      </w:r>
    </w:p>
    <w:p w:rsidR="009C1C5A" w:rsidRPr="00896D4F" w:rsidRDefault="009C1C5A">
      <w:r w:rsidRPr="00896D4F">
        <w:t>Högsta domstolen gör i ansvarsfrågan följande bedömning.</w:t>
      </w:r>
    </w:p>
    <w:p w:rsidR="009C1C5A" w:rsidRPr="00896D4F" w:rsidRDefault="009C1C5A">
      <w:r w:rsidRPr="00896D4F">
        <w:t>Lars-Eric Hult är en omvittnat arbetsam och duglig domare. Den utredning som förebragts visar att han under den ifrågavarande tiden befann sig i en utomor</w:t>
      </w:r>
      <w:r w:rsidRPr="00896D4F">
        <w:softHyphen/>
        <w:t>dentligt pressad arbetssituation. Av vad Lars Levin har berättat i Högsta dom</w:t>
      </w:r>
      <w:r w:rsidRPr="00896D4F">
        <w:softHyphen/>
        <w:t>stolen framgår att det saknades möjlighet att lämna Hult någon avlastning och att Hult var medveten om detta. Att Hult trots goda föresatser inte förmådde färdig</w:t>
      </w:r>
      <w:r w:rsidRPr="00896D4F">
        <w:softHyphen/>
        <w:t>ställa de tre aktuella do</w:t>
      </w:r>
      <w:r w:rsidRPr="00896D4F">
        <w:softHyphen/>
        <w:t>marna till de tidpunkter som s</w:t>
      </w:r>
      <w:r w:rsidRPr="00896D4F">
        <w:t>e</w:t>
      </w:r>
      <w:r w:rsidRPr="00896D4F">
        <w:t>nast hade bestämts för deras meddelande kan inte i och för sig läggas honom till last som straffbar under</w:t>
      </w:r>
      <w:r w:rsidRPr="00896D4F">
        <w:softHyphen/>
        <w:t>låtenhet. Som chefsjustitieombuds</w:t>
      </w:r>
      <w:r w:rsidRPr="00896D4F">
        <w:softHyphen/>
        <w:t>mannen har framhållit har det emellertid ålegat Hult att söka lösa den upp</w:t>
      </w:r>
      <w:r w:rsidRPr="00896D4F">
        <w:t>komna situ</w:t>
      </w:r>
      <w:r w:rsidRPr="00896D4F">
        <w:softHyphen/>
        <w:t>ationen på bästa sätt, vilket uppenbarligen skulle ha varit att ytterligare up</w:t>
      </w:r>
      <w:r w:rsidRPr="00896D4F">
        <w:t>p</w:t>
      </w:r>
      <w:r w:rsidRPr="00896D4F">
        <w:t>skjuta tid</w:t>
      </w:r>
      <w:r w:rsidRPr="00896D4F">
        <w:softHyphen/>
        <w:t>punkterna för domarnas meddelande. Att Hult inte valde denna u</w:t>
      </w:r>
      <w:r w:rsidRPr="00896D4F">
        <w:t>t</w:t>
      </w:r>
      <w:r w:rsidRPr="00896D4F">
        <w:t>väg får anses ha v</w:t>
      </w:r>
      <w:r w:rsidRPr="00896D4F">
        <w:t>a</w:t>
      </w:r>
      <w:r w:rsidRPr="00896D4F">
        <w:t>rit en felbedömning.</w:t>
      </w:r>
    </w:p>
    <w:p w:rsidR="009C1C5A" w:rsidRPr="00896D4F" w:rsidRDefault="009C1C5A">
      <w:pPr>
        <w:pStyle w:val="Normaltindrag"/>
      </w:pPr>
      <w:r w:rsidRPr="00896D4F">
        <w:t>Vid prövningen av om denna felbedömning bör föranleda straffansvar för Lars-Eric Hult bör beaktas att – som Hult själv har anfört – inte heller ett ytterli</w:t>
      </w:r>
      <w:r w:rsidRPr="00896D4F">
        <w:softHyphen/>
        <w:t>gare uppskju</w:t>
      </w:r>
      <w:r w:rsidRPr="00896D4F">
        <w:softHyphen/>
        <w:t>tande av tidpunkterna för domarnas meddelande skulle, åtminstone när det gäller B 2287-99, ha varit invändningsfritt. Det har inte påståtts att hans handlande förorsakat parterna skada i den meningen att något överklagande kom att ges in för sent eller att någon klagande gick miste om möjligheten att utveckla skälen för sitt överklagande. Detta kan ha sin fö</w:t>
      </w:r>
      <w:r w:rsidRPr="00896D4F">
        <w:t>r</w:t>
      </w:r>
      <w:r w:rsidRPr="00896D4F">
        <w:t>klaring i de muntliga kontakter som Hult hade med parterna.</w:t>
      </w:r>
    </w:p>
    <w:p w:rsidR="009C1C5A" w:rsidRPr="00896D4F" w:rsidRDefault="009C1C5A">
      <w:pPr>
        <w:pStyle w:val="Normaltindrag"/>
      </w:pPr>
      <w:r w:rsidRPr="00896D4F">
        <w:t>Även med beaktande av de olägenheter som har vållats parterna genom Lars-Eric</w:t>
      </w:r>
      <w:r w:rsidRPr="00896D4F">
        <w:t xml:space="preserve"> Hults handlande finner Högsta domstolen vid en samlad bedömning av omstän</w:t>
      </w:r>
      <w:r w:rsidRPr="00896D4F">
        <w:softHyphen/>
        <w:t>digheterna i målet att det som lagts Hult till last får anses som en ringa gärning. Han skall därför inte dömas till ansvar.</w:t>
      </w:r>
    </w:p>
    <w:p w:rsidR="009C1C5A" w:rsidRPr="00896D4F" w:rsidRDefault="009C1C5A">
      <w:r w:rsidRPr="00896D4F">
        <w:t>Från domen var ett justitieråd skiljaktig och anförde.</w:t>
      </w:r>
    </w:p>
    <w:p w:rsidR="009C1C5A" w:rsidRPr="00896D4F" w:rsidRDefault="009C1C5A">
      <w:r w:rsidRPr="00896D4F">
        <w:t>Lars-Eric Hult har i tre brottmål inte haft s.k. kanslidom färdig i fullständigt skick på utsatta dagar. Förseningen med expedieringen har varit arton, fem respektive tio dagar. Som hovrätten funnit har Hult härigenom uppsåtligen åsidosatt vad som gäller för hans uppgift som domare. Frågan är om gärnin</w:t>
      </w:r>
      <w:r w:rsidRPr="00896D4F">
        <w:t>g</w:t>
      </w:r>
      <w:r w:rsidRPr="00896D4F">
        <w:t>en kan anses som ringa.</w:t>
      </w:r>
    </w:p>
    <w:p w:rsidR="009C1C5A" w:rsidRPr="00896D4F" w:rsidRDefault="009C1C5A">
      <w:pPr>
        <w:pStyle w:val="Normaltindrag"/>
      </w:pPr>
      <w:r w:rsidRPr="00896D4F">
        <w:t>Arbetssituationen vid Örebro tingsrätt var under den aktuella tiden uto</w:t>
      </w:r>
      <w:r w:rsidRPr="00896D4F">
        <w:t>m</w:t>
      </w:r>
      <w:r w:rsidRPr="00896D4F">
        <w:t>ordentligt ansträngd, och det lyckades inte för lagmannen att skaffa hjälp utifrån. Lars-Eric Hult hade alltså en mycket stor arbetsbörda. Han är en o</w:t>
      </w:r>
      <w:r w:rsidRPr="00896D4F">
        <w:t>m</w:t>
      </w:r>
      <w:r w:rsidRPr="00896D4F">
        <w:t>vittnat arbetsam och duglig do</w:t>
      </w:r>
      <w:r w:rsidRPr="00896D4F">
        <w:softHyphen/>
        <w:t>mare. Som hovrätten konstaterat har han vidt</w:t>
      </w:r>
      <w:r w:rsidRPr="00896D4F">
        <w:t>a</w:t>
      </w:r>
      <w:r w:rsidRPr="00896D4F">
        <w:t>git åtgärder för att minska olägenhe</w:t>
      </w:r>
      <w:r w:rsidRPr="00896D4F">
        <w:softHyphen/>
        <w:t>terna för parterna av att de inte i tid fått tillgång till de tre brottmålsdomarna i full</w:t>
      </w:r>
      <w:r w:rsidRPr="00896D4F">
        <w:softHyphen/>
        <w:t>ständigt skick. Emellertid måste inom domstolsväsendet stora krav ställas på en kor</w:t>
      </w:r>
      <w:r w:rsidRPr="00896D4F">
        <w:softHyphen/>
        <w:t>rekt handläggning. Av rättssäkerhetsskäl är det viktigt att reglerna om t</w:t>
      </w:r>
      <w:r w:rsidRPr="00896D4F">
        <w:t>idpunkten för expediering av domar iakttas. Även om omständigheterna är förmildrande kan gär</w:t>
      </w:r>
      <w:r w:rsidRPr="00896D4F">
        <w:softHyphen/>
        <w:t>ningen alltså inte bed</w:t>
      </w:r>
      <w:r w:rsidRPr="00896D4F">
        <w:t>ö</w:t>
      </w:r>
      <w:r w:rsidRPr="00896D4F">
        <w:t>mas som ringa.</w:t>
      </w:r>
    </w:p>
    <w:p w:rsidR="009C1C5A" w:rsidRPr="00896D4F" w:rsidRDefault="009C1C5A">
      <w:r w:rsidRPr="00896D4F">
        <w:t xml:space="preserve">Det föreligger inte förutsättningar att meddela påföljdseftergift. </w:t>
      </w:r>
    </w:p>
    <w:p w:rsidR="009C1C5A" w:rsidRPr="00896D4F" w:rsidRDefault="009C1C5A">
      <w:r w:rsidRPr="00896D4F">
        <w:t>Lars-Eric Hult skall alltså som hovrätten funnit dömas för tjänstefel.</w:t>
      </w:r>
    </w:p>
    <w:p w:rsidR="009C1C5A" w:rsidRPr="00896D4F" w:rsidRDefault="009C1C5A">
      <w:pPr>
        <w:pStyle w:val="Rubrik2"/>
      </w:pPr>
      <w:r w:rsidRPr="00896D4F">
        <w:br w:type="page"/>
        <w:t>Handläggningen av ett mål om vårdnad om barn m.m.</w:t>
      </w:r>
    </w:p>
    <w:p w:rsidR="009C1C5A" w:rsidRPr="00896D4F" w:rsidRDefault="009C1C5A">
      <w:pPr>
        <w:spacing w:before="0"/>
      </w:pPr>
      <w:r w:rsidRPr="00896D4F">
        <w:t>(Dnr 664-2000)</w:t>
      </w:r>
    </w:p>
    <w:p w:rsidR="009C1C5A" w:rsidRPr="00896D4F" w:rsidRDefault="009C1C5A">
      <w:r w:rsidRPr="00896D4F">
        <w:t xml:space="preserve">I ett beslut den 6 maj 2002 anförde </w:t>
      </w:r>
      <w:r w:rsidRPr="00896D4F">
        <w:rPr>
          <w:i/>
        </w:rPr>
        <w:t>chefsJO Eklundh</w:t>
      </w:r>
      <w:r w:rsidRPr="00896D4F">
        <w:t xml:space="preserve"> bl.a. följande.</w:t>
      </w:r>
    </w:p>
    <w:p w:rsidR="009C1C5A" w:rsidRPr="00896D4F" w:rsidRDefault="009C1C5A">
      <w:pPr>
        <w:pStyle w:val="Rubrik3"/>
      </w:pPr>
      <w:r w:rsidRPr="00896D4F">
        <w:t>Anmälan</w:t>
      </w:r>
    </w:p>
    <w:p w:rsidR="009C1C5A" w:rsidRPr="00896D4F" w:rsidRDefault="009C1C5A">
      <w:r w:rsidRPr="00896D4F">
        <w:t>A. begärde i en anmälan, som kom in den 17 februari 2000, att JO skulle granska handläggningen av ett mål gällande vårdnad om barn m.m. vid Gäll</w:t>
      </w:r>
      <w:r w:rsidRPr="00896D4F">
        <w:t>i</w:t>
      </w:r>
      <w:r w:rsidRPr="00896D4F">
        <w:t>vare tingsrätt. Hon anförde bl.a. att handläggningen pågått sedan september 1997 utan att målet avgjorts. Hennes uppfattning var att tingsrätten endast gick motparten till mötes. Någon muntlig förberedelse hade inte ägt rum efter den 17 november 1998 trots att hon begärt det. Detta hade fått till följd att samtliga beslut, även beträffande umgänge och vårdnad, i tiden därefter hade avgjorts på handlingarna. Vidare uppgav hon att det dröjde cirka en och en halv månad innan tingsrätten fattade beslut när hon</w:t>
      </w:r>
      <w:r w:rsidRPr="00896D4F">
        <w:t xml:space="preserve"> begärde att få byta rätt</w:t>
      </w:r>
      <w:r w:rsidRPr="00896D4F">
        <w:t>s</w:t>
      </w:r>
      <w:r w:rsidRPr="00896D4F">
        <w:t xml:space="preserve">hjälpsbiträde. Under tiden meddelade rätten ett interimistiskt beslut angående umgänge. En begäran om omprövning av ett beslut gällande umgänge som hon framställde prövades aldrig. I oktober 1999 begärde hon att tingsrätten skulle förordna om samarbetssamtal men i februari 2000 hade inte något beslut i saken meddelats.  </w:t>
      </w:r>
    </w:p>
    <w:p w:rsidR="009C1C5A" w:rsidRPr="00896D4F" w:rsidRDefault="009C1C5A">
      <w:pPr>
        <w:pStyle w:val="Rubrik3"/>
      </w:pPr>
      <w:r w:rsidRPr="00896D4F">
        <w:t>Utredning</w:t>
      </w:r>
    </w:p>
    <w:p w:rsidR="009C1C5A" w:rsidRPr="00896D4F" w:rsidRDefault="009C1C5A">
      <w:r w:rsidRPr="00896D4F">
        <w:t>Från tingsrätten infordrades och granskades dagboksbladet samt handlingar ur akten i mål T 204-97. Av handlingarna framgick att målet gällde frågor om vårdnad och umgänge beträffande A:s och S:s gemensamma son W., född 1995. I en ansökan om stämning som kom in till tingsrätten i september 1997 yrkade S. att vårdnaden om W. skulle överflyttas från A. till h</w:t>
      </w:r>
      <w:r w:rsidRPr="00896D4F">
        <w:t>o</w:t>
      </w:r>
      <w:r w:rsidRPr="00896D4F">
        <w:t>nom.</w:t>
      </w:r>
    </w:p>
    <w:p w:rsidR="009C1C5A" w:rsidRPr="00896D4F" w:rsidRDefault="009C1C5A">
      <w:pPr>
        <w:pStyle w:val="Normaltindrag"/>
      </w:pPr>
      <w:r w:rsidRPr="00896D4F">
        <w:t>På grund av vad som kommit fram vid granskningen anmodades tingsrä</w:t>
      </w:r>
      <w:r w:rsidRPr="00896D4F">
        <w:t>t</w:t>
      </w:r>
      <w:r w:rsidRPr="00896D4F">
        <w:t>ten att komma in med upplysningar och yttrande i nedanstående hänsee</w:t>
      </w:r>
      <w:r w:rsidRPr="00896D4F">
        <w:t>n</w:t>
      </w:r>
      <w:r w:rsidRPr="00896D4F">
        <w:t>den.</w:t>
      </w:r>
    </w:p>
    <w:p w:rsidR="009C1C5A" w:rsidRPr="00896D4F" w:rsidRDefault="009C1C5A">
      <w:pPr>
        <w:pStyle w:val="Citat"/>
        <w:rPr>
          <w:sz w:val="20"/>
        </w:rPr>
      </w:pPr>
      <w:r w:rsidRPr="00896D4F">
        <w:t>1. Anledningen till att A:s begäran den 28 juli 1998 att få byta rättshjälpsb</w:t>
      </w:r>
      <w:r w:rsidRPr="00896D4F">
        <w:t>i</w:t>
      </w:r>
      <w:r w:rsidRPr="00896D4F">
        <w:t>träde, vilken begäran upprepades den 26 augusti 1998, prövades först den 11 september 1998,</w:t>
      </w:r>
    </w:p>
    <w:p w:rsidR="009C1C5A" w:rsidRPr="00896D4F" w:rsidRDefault="009C1C5A">
      <w:pPr>
        <w:pStyle w:val="Citat"/>
        <w:rPr>
          <w:sz w:val="20"/>
        </w:rPr>
      </w:pPr>
      <w:r w:rsidRPr="00896D4F">
        <w:t>2. anledningen till att något beslut, såvitt framgår, inte fattats beträffande A:s yrkande om omprövning av ett umgängestillfälle mellan den 5 juli 1999 och den 25 juli 1999,</w:t>
      </w:r>
    </w:p>
    <w:p w:rsidR="009C1C5A" w:rsidRPr="00896D4F" w:rsidRDefault="009C1C5A">
      <w:pPr>
        <w:pStyle w:val="Citat"/>
        <w:rPr>
          <w:sz w:val="20"/>
        </w:rPr>
      </w:pPr>
      <w:r w:rsidRPr="00896D4F">
        <w:t>3. anledningen till att A:s yrkande i oktober 1999 om samarbetssamtal pröv</w:t>
      </w:r>
      <w:r w:rsidRPr="00896D4F">
        <w:t>a</w:t>
      </w:r>
      <w:r w:rsidRPr="00896D4F">
        <w:t>des först den 9 mars 2000,</w:t>
      </w:r>
    </w:p>
    <w:p w:rsidR="009C1C5A" w:rsidRPr="00896D4F" w:rsidRDefault="009C1C5A">
      <w:pPr>
        <w:pStyle w:val="Citat"/>
        <w:rPr>
          <w:sz w:val="20"/>
        </w:rPr>
      </w:pPr>
      <w:r w:rsidRPr="00896D4F">
        <w:t>4. den rättsliga grunden för att förelägga socialnämnder att besvara vissa frågor, att redogöra för grunden för sina beslut och att inkomma med journa</w:t>
      </w:r>
      <w:r w:rsidRPr="00896D4F">
        <w:t>l</w:t>
      </w:r>
      <w:r w:rsidRPr="00896D4F">
        <w:t>handlingar,</w:t>
      </w:r>
    </w:p>
    <w:p w:rsidR="009C1C5A" w:rsidRPr="00896D4F" w:rsidRDefault="009C1C5A">
      <w:pPr>
        <w:pStyle w:val="Citat"/>
        <w:rPr>
          <w:sz w:val="20"/>
        </w:rPr>
      </w:pPr>
      <w:r w:rsidRPr="00896D4F">
        <w:t>5. den rättsliga grunden för att begära yttrande från polismyndigheten ang</w:t>
      </w:r>
      <w:r w:rsidRPr="00896D4F">
        <w:t>å</w:t>
      </w:r>
      <w:r w:rsidRPr="00896D4F">
        <w:t>ende en pågående p</w:t>
      </w:r>
      <w:r w:rsidRPr="00896D4F">
        <w:t>o</w:t>
      </w:r>
      <w:r w:rsidRPr="00896D4F">
        <w:t>lisutredning,</w:t>
      </w:r>
    </w:p>
    <w:p w:rsidR="009C1C5A" w:rsidRPr="00896D4F" w:rsidRDefault="009C1C5A">
      <w:pPr>
        <w:pStyle w:val="Citat"/>
        <w:rPr>
          <w:sz w:val="20"/>
        </w:rPr>
      </w:pPr>
      <w:r w:rsidRPr="00896D4F">
        <w:t>6. den rättsliga grunden för att förelägga regionsjukhuset, BUP, att besvara vissa frågor,</w:t>
      </w:r>
    </w:p>
    <w:p w:rsidR="009C1C5A" w:rsidRPr="00896D4F" w:rsidRDefault="009C1C5A">
      <w:pPr>
        <w:pStyle w:val="Citat"/>
        <w:rPr>
          <w:sz w:val="20"/>
        </w:rPr>
      </w:pPr>
      <w:r w:rsidRPr="00896D4F">
        <w:t>7. bakgrunden till och lämpligheten av att rotelinnehavaren anmälde socia</w:t>
      </w:r>
      <w:r w:rsidRPr="00896D4F">
        <w:t>l</w:t>
      </w:r>
      <w:r w:rsidRPr="00896D4F">
        <w:t>nämnden i Örebro till Justitiekanslern,</w:t>
      </w:r>
    </w:p>
    <w:p w:rsidR="009C1C5A" w:rsidRPr="00896D4F" w:rsidRDefault="009C1C5A">
      <w:pPr>
        <w:pStyle w:val="Citat"/>
        <w:rPr>
          <w:sz w:val="20"/>
        </w:rPr>
      </w:pPr>
      <w:r w:rsidRPr="00896D4F">
        <w:t>8. de överväganden som gjordes innan journalanteckningarna från socialfö</w:t>
      </w:r>
      <w:r w:rsidRPr="00896D4F">
        <w:t>r</w:t>
      </w:r>
      <w:r w:rsidRPr="00896D4F">
        <w:t>valtningen fogades som bilagor till protokollet, samt lämpligheten av åtgä</w:t>
      </w:r>
      <w:r w:rsidRPr="00896D4F">
        <w:t>r</w:t>
      </w:r>
      <w:r w:rsidRPr="00896D4F">
        <w:t>den,</w:t>
      </w:r>
    </w:p>
    <w:p w:rsidR="009C1C5A" w:rsidRPr="00896D4F" w:rsidRDefault="009C1C5A">
      <w:pPr>
        <w:pStyle w:val="Citat"/>
        <w:rPr>
          <w:sz w:val="20"/>
        </w:rPr>
      </w:pPr>
      <w:r w:rsidRPr="00896D4F">
        <w:t>9. avfattningen av beslutet beträffande interimistiskt umgänge i protokoll den 9 mars 2000,</w:t>
      </w:r>
    </w:p>
    <w:p w:rsidR="009C1C5A" w:rsidRPr="00896D4F" w:rsidRDefault="009C1C5A">
      <w:pPr>
        <w:pStyle w:val="Citat"/>
        <w:rPr>
          <w:sz w:val="20"/>
        </w:rPr>
      </w:pPr>
      <w:r w:rsidRPr="00896D4F">
        <w:t>10. anledningen till att något sammanträde för muntlig förberedelse inte har hållits efter november 1998,</w:t>
      </w:r>
    </w:p>
    <w:p w:rsidR="009C1C5A" w:rsidRPr="00896D4F" w:rsidRDefault="009C1C5A">
      <w:pPr>
        <w:pStyle w:val="Citat"/>
        <w:rPr>
          <w:sz w:val="20"/>
        </w:rPr>
      </w:pPr>
      <w:r w:rsidRPr="00896D4F">
        <w:t>11. anledningen till att något beslut inte fattats beträffande inhämtande av vårdnadsutredning (jfr bl.a. yrkanden från parterna vid muntlig förberedelse den 17 november 1998 och beslutet den 8 december 1998 då tingsrätten a</w:t>
      </w:r>
      <w:r w:rsidRPr="00896D4F">
        <w:t>n</w:t>
      </w:r>
      <w:r w:rsidRPr="00896D4F">
        <w:t>gav att förordnande om vårdnadsutredning bör anstå till dess yttrande från BUP inkommit samt S:s yrkande den 9 februari 2000; yttrande från BUP inkom den 4 oktober 1999), samt</w:t>
      </w:r>
    </w:p>
    <w:p w:rsidR="009C1C5A" w:rsidRPr="00896D4F" w:rsidRDefault="009C1C5A">
      <w:pPr>
        <w:pStyle w:val="Citat"/>
      </w:pPr>
      <w:r w:rsidRPr="00896D4F">
        <w:t>12. i vad mån tingsrättens handläggning kan anses förenlig med 42 kap. 6 § sista stycket rätt</w:t>
      </w:r>
      <w:r w:rsidRPr="00896D4F">
        <w:t>e</w:t>
      </w:r>
      <w:r w:rsidRPr="00896D4F">
        <w:t xml:space="preserve">gångsbalken. </w:t>
      </w:r>
    </w:p>
    <w:p w:rsidR="009C1C5A" w:rsidRPr="00896D4F" w:rsidRDefault="009C1C5A">
      <w:r w:rsidRPr="00896D4F">
        <w:t xml:space="preserve">Tingsrätten (dåvarande lagmannen Roland Åkne) kom in med ett remissvar till vilket hade fogats ett yttrande från rådmannen Ingemar Taavola. </w:t>
      </w:r>
    </w:p>
    <w:p w:rsidR="009C1C5A" w:rsidRPr="00896D4F" w:rsidRDefault="009C1C5A">
      <w:pPr>
        <w:pStyle w:val="Rubrik3"/>
      </w:pPr>
      <w:r w:rsidRPr="00896D4F">
        <w:t>Bedömning</w:t>
      </w:r>
    </w:p>
    <w:p w:rsidR="009C1C5A" w:rsidRPr="00896D4F" w:rsidRDefault="009C1C5A">
      <w:pPr>
        <w:pStyle w:val="Rubrik4"/>
        <w:rPr>
          <w:i w:val="0"/>
        </w:rPr>
      </w:pPr>
      <w:r w:rsidRPr="00896D4F">
        <w:t>Inledning</w:t>
      </w:r>
    </w:p>
    <w:p w:rsidR="009C1C5A" w:rsidRPr="00896D4F" w:rsidRDefault="009C1C5A">
      <w:r w:rsidRPr="00896D4F">
        <w:t>JO:s tillsyn avser i första hand en kontroll av att myndigheter och andra som står under JO:s tillsyn följer lagar och andra författningar samt i övrigt fullgör sina åligganden. Granskningen är av rättslig art och avser främst tillämpnin</w:t>
      </w:r>
      <w:r w:rsidRPr="00896D4F">
        <w:t>g</w:t>
      </w:r>
      <w:r w:rsidRPr="00896D4F">
        <w:t>en av gällande förfaranderegler. Däremot brukar JO inte pröva förvaltning</w:t>
      </w:r>
      <w:r w:rsidRPr="00896D4F">
        <w:t>s</w:t>
      </w:r>
      <w:r w:rsidRPr="00896D4F">
        <w:t>myndigheternas och domstolarnas ställningstaganden i de sakfrågor som det ankommer på dem att avgöra, så länge ställningstagandena faller inom ramen för aktuella författningsbestämmelsers tillämpningsområde. Detta gäller i synnerhet sådana frågor som genom överklagande kan bli föremål för prö</w:t>
      </w:r>
      <w:r w:rsidRPr="00896D4F">
        <w:t>v</w:t>
      </w:r>
      <w:r w:rsidRPr="00896D4F">
        <w:t xml:space="preserve">ning i högre instans. </w:t>
      </w:r>
    </w:p>
    <w:p w:rsidR="009C1C5A" w:rsidRPr="00896D4F" w:rsidRDefault="009C1C5A">
      <w:pPr>
        <w:pStyle w:val="Normaltindrag"/>
        <w:rPr>
          <w:i/>
        </w:rPr>
      </w:pPr>
      <w:r w:rsidRPr="00896D4F">
        <w:t>Min granskning begränsar sig därför till att avse vissa av tingsrätten vi</w:t>
      </w:r>
      <w:r w:rsidRPr="00896D4F">
        <w:t>d</w:t>
      </w:r>
      <w:r w:rsidRPr="00896D4F">
        <w:t>tagna handläggningsåtgärder.</w:t>
      </w:r>
    </w:p>
    <w:p w:rsidR="009C1C5A" w:rsidRPr="00896D4F" w:rsidRDefault="009C1C5A">
      <w:pPr>
        <w:pStyle w:val="Rubrik4"/>
      </w:pPr>
      <w:r w:rsidRPr="00896D4F">
        <w:t>Handläggningen av begäran om byte av rättshjälpsbiträde (remissfråga 1)</w:t>
      </w:r>
    </w:p>
    <w:p w:rsidR="009C1C5A" w:rsidRPr="00896D4F" w:rsidRDefault="009C1C5A">
      <w:r w:rsidRPr="00896D4F">
        <w:t>I en skrivelse den 28 juli 1998 begärde A. att få byta rättshjälpsbiträde. Till stöd för sin begäran anförde hon bl.a. att det förelåg djupa motsättningar mellan henne och biträdet samt att hon hade flyttat från Gällivare till Örebro. Biträdet hade kontorsadress i Kiruna. Sedan biträdet hade beretts tillfälle att yttra sig med anledning av A:s begäran inkom yttranden den 30 juli och den 3 augusti. I dessa uppgavs att det inte förelåg några motsättningar mellan honom och A. men att han hade förståelse för a</w:t>
      </w:r>
      <w:r w:rsidRPr="00896D4F">
        <w:t>tt hon ville ha ett ombud på närmare ort samt att han inte hade någon erinran mot att bli entled</w:t>
      </w:r>
      <w:r w:rsidRPr="00896D4F">
        <w:t>i</w:t>
      </w:r>
      <w:r w:rsidRPr="00896D4F">
        <w:t xml:space="preserve">gad. </w:t>
      </w:r>
    </w:p>
    <w:p w:rsidR="009C1C5A" w:rsidRPr="00896D4F" w:rsidRDefault="009C1C5A">
      <w:pPr>
        <w:pStyle w:val="Normaltindrag"/>
      </w:pPr>
      <w:r w:rsidRPr="00896D4F">
        <w:t>Den 7 augusti 1998 påbörjade tingsrätten ett sammanträde för muntlig fö</w:t>
      </w:r>
      <w:r w:rsidRPr="00896D4F">
        <w:t>r</w:t>
      </w:r>
      <w:r w:rsidRPr="00896D4F">
        <w:t>beredelse, som emellertid ställdes in på grund av att A. var sjuk. Vid sa</w:t>
      </w:r>
      <w:r w:rsidRPr="00896D4F">
        <w:t>m</w:t>
      </w:r>
      <w:r w:rsidRPr="00896D4F">
        <w:t>manträdet tillfrågades biträdet på nytt om sin inställning till bytet, varvid han uppgav att det inte förelåg några motsättningar mellan honom och A. men att han inte hade någon erinran mot bytet. Vid sammanträdet förklarade ting</w:t>
      </w:r>
      <w:r w:rsidRPr="00896D4F">
        <w:t>s</w:t>
      </w:r>
      <w:r w:rsidRPr="00896D4F">
        <w:t>rätten att A. skulle komma att föreläggas att yttra sig över ett av S. framfört yrkande om umgängesrätt. En skrivelse från biträdet i den saken kom in till tingsrätten den 14 augusti. A. upprepade sin begära</w:t>
      </w:r>
      <w:r w:rsidRPr="00896D4F">
        <w:t>n om att få byta biträde i en skrivelse som kom in till tingsrätten den 31 augusti. Genom beslut den 1 september förordnade tingsrätten om visst umgänge mellan S. och sonen. Den 3 september förelades A. att yttra sig över vad hennes biträde hade a</w:t>
      </w:r>
      <w:r w:rsidRPr="00896D4F">
        <w:t>n</w:t>
      </w:r>
      <w:r w:rsidRPr="00896D4F">
        <w:t>fört, och hennes yttrande kom in den 8 september. Hennes yrkande om byte av rättshjälpsbiträde bifölls genom beslut den 11 se</w:t>
      </w:r>
      <w:r w:rsidRPr="00896D4F">
        <w:t>p</w:t>
      </w:r>
      <w:r w:rsidRPr="00896D4F">
        <w:t>tember.</w:t>
      </w:r>
    </w:p>
    <w:p w:rsidR="009C1C5A" w:rsidRPr="00896D4F" w:rsidRDefault="009C1C5A">
      <w:pPr>
        <w:pStyle w:val="Normaltindrag"/>
      </w:pPr>
      <w:r w:rsidRPr="00896D4F">
        <w:t>A:s begäran om byte av rättshjälpsbiträde, som kom in till tingsrätten den 29 juli 1998, prövades således först den 11 september s</w:t>
      </w:r>
      <w:r w:rsidRPr="00896D4F">
        <w:t>amma år. Under denna tid hade vissa handläggningsåtgärder förekommit i målet.</w:t>
      </w:r>
    </w:p>
    <w:p w:rsidR="009C1C5A" w:rsidRPr="00896D4F" w:rsidRDefault="009C1C5A">
      <w:pPr>
        <w:pStyle w:val="Normaltindrag"/>
      </w:pPr>
      <w:r w:rsidRPr="00896D4F">
        <w:t>Frågan om byte av rättshjälpsbiträde har betydelse såväl för parten som för biträdet. Det ligger i sakens natur att ett sådant yrkande bör prövas skyndsamt så att de berörda får klarhet i vad som gäller. Detta är en förutsättning för att parten och rättshjälpsbiträdet skall kunna planera för det fortsatta förfarandet. Enligt min mening har tingsrättens handläggning i denna del inte skett med den skyndsamhet som förhållandena påkal</w:t>
      </w:r>
      <w:r w:rsidRPr="00896D4F">
        <w:t>l</w:t>
      </w:r>
      <w:r w:rsidRPr="00896D4F">
        <w:t>a</w:t>
      </w:r>
      <w:r w:rsidRPr="00896D4F">
        <w:t xml:space="preserve">de. </w:t>
      </w:r>
    </w:p>
    <w:p w:rsidR="009C1C5A" w:rsidRPr="00896D4F" w:rsidRDefault="009C1C5A">
      <w:pPr>
        <w:pStyle w:val="Rubrik4"/>
        <w:rPr>
          <w:i w:val="0"/>
        </w:rPr>
      </w:pPr>
      <w:r w:rsidRPr="00896D4F">
        <w:t>Handläggningen av A:s begäran om omprövning av umgänge              (remissfråga 2)</w:t>
      </w:r>
    </w:p>
    <w:p w:rsidR="009C1C5A" w:rsidRPr="00896D4F" w:rsidRDefault="009C1C5A">
      <w:r w:rsidRPr="00896D4F">
        <w:t>Tingsrätten förordnade genom beslut i maj 1999 att S. skulle äga rätt till u</w:t>
      </w:r>
      <w:r w:rsidRPr="00896D4F">
        <w:t>m</w:t>
      </w:r>
      <w:r w:rsidRPr="00896D4F">
        <w:t>gänge med sonen under perioderna fr.o.m. den 25 maj 1999 t.o.m. den 5 juni 1999 och fr.o.m. den 5 juli 1999 t.o.m. den 25 juli 1999. Hovrätten fastställde tingsrättens beslut den 4 juni.</w:t>
      </w:r>
    </w:p>
    <w:p w:rsidR="009C1C5A" w:rsidRPr="00896D4F" w:rsidRDefault="009C1C5A">
      <w:pPr>
        <w:pStyle w:val="Normaltindrag"/>
      </w:pPr>
      <w:r w:rsidRPr="00896D4F">
        <w:t>I en skrivelse som kom in till tingsrätten den 30 juni 1999 begärde A. att beslutet såvitt avsåg det senare umgängestillfället skulle omprövas eftersom förhållandena ändrats. Den 2 juli förelades S:s ombud att senast den 16 juli yttra sig beträffande yrkandet. Av en anteckning på dagboksbladet framgår att ombudet den 15 ju</w:t>
      </w:r>
      <w:r w:rsidRPr="00896D4F">
        <w:t>li begärde och erhöll anstånd till den 20 augusti. Ett yttra</w:t>
      </w:r>
      <w:r w:rsidRPr="00896D4F">
        <w:t>n</w:t>
      </w:r>
      <w:r w:rsidRPr="00896D4F">
        <w:t>de kom in den 20 juli. Den 27 juli förelades A:s ombud att yttra sig. I ett yt</w:t>
      </w:r>
      <w:r w:rsidRPr="00896D4F">
        <w:t>t</w:t>
      </w:r>
      <w:r w:rsidRPr="00896D4F">
        <w:t>rande konstaterade hon att någon omprövning inte längre var a</w:t>
      </w:r>
      <w:r w:rsidRPr="00896D4F">
        <w:t>k</w:t>
      </w:r>
      <w:r w:rsidRPr="00896D4F">
        <w:t>tuell.</w:t>
      </w:r>
    </w:p>
    <w:p w:rsidR="009C1C5A" w:rsidRPr="00896D4F" w:rsidRDefault="009C1C5A">
      <w:pPr>
        <w:pStyle w:val="Normaltindrag"/>
      </w:pPr>
      <w:r w:rsidRPr="00896D4F">
        <w:t>Av 6 kap. 20 § föräldrabalken framgår att rätten i mål gällande vårdnad m.m. kan meddela interimistiskt förordnande beträffande bl.a. umgänge. Innan ett sådant beslut meddelas skall motparten få tillfälle att yttra sig i fr</w:t>
      </w:r>
      <w:r w:rsidRPr="00896D4F">
        <w:t>å</w:t>
      </w:r>
      <w:r w:rsidRPr="00896D4F">
        <w:t xml:space="preserve">gan. </w:t>
      </w:r>
    </w:p>
    <w:p w:rsidR="009C1C5A" w:rsidRPr="00896D4F" w:rsidRDefault="009C1C5A">
      <w:pPr>
        <w:pStyle w:val="Normaltindrag"/>
      </w:pPr>
      <w:r w:rsidRPr="00896D4F">
        <w:t>A:s begäran om omprövning kom in till tingsrätten kort ti</w:t>
      </w:r>
      <w:r w:rsidRPr="00896D4F">
        <w:softHyphen/>
        <w:t>d före um</w:t>
      </w:r>
      <w:r w:rsidRPr="00896D4F">
        <w:softHyphen/>
        <w:t>gänges</w:t>
      </w:r>
      <w:r w:rsidRPr="00896D4F">
        <w:softHyphen/>
        <w:t>periodens början den 5 juli 1999. Det var därför inte praktiskt möjligt för tingsrätten att pröva yrkandet före periodens början. A:s begäran borde eme</w:t>
      </w:r>
      <w:r w:rsidRPr="00896D4F">
        <w:t>l</w:t>
      </w:r>
      <w:r w:rsidRPr="00896D4F">
        <w:t>lertid ha kommunicerats med så kort svarstid att en prövning inom um</w:t>
      </w:r>
      <w:r w:rsidRPr="00896D4F">
        <w:softHyphen/>
        <w:t>gänges</w:t>
      </w:r>
      <w:r w:rsidRPr="00896D4F">
        <w:softHyphen/>
        <w:t>perioden hade varit möjlig. Tingsrättens sätt att hantera A:s begäran fick till följd att någon omprövning al</w:t>
      </w:r>
      <w:r w:rsidRPr="00896D4F">
        <w:t>d</w:t>
      </w:r>
      <w:r w:rsidRPr="00896D4F">
        <w:t>rig kom till stånd.</w:t>
      </w:r>
    </w:p>
    <w:p w:rsidR="009C1C5A" w:rsidRPr="00896D4F" w:rsidRDefault="009C1C5A">
      <w:pPr>
        <w:pStyle w:val="Rubrik4"/>
      </w:pPr>
      <w:r w:rsidRPr="00896D4F">
        <w:t xml:space="preserve">Handläggningen av yrkandet om förordnande av samarbetssamtal (remissfråga 3) </w:t>
      </w:r>
    </w:p>
    <w:p w:rsidR="009C1C5A" w:rsidRPr="00896D4F" w:rsidRDefault="009C1C5A">
      <w:r w:rsidRPr="00896D4F">
        <w:t>Av stämningsansökan, som kom in i september 1997, och det snabbyttrande som inhämtades i samma månad framgick att parterna hade deltagit i sama</w:t>
      </w:r>
      <w:r w:rsidRPr="00896D4F">
        <w:t>r</w:t>
      </w:r>
      <w:r w:rsidRPr="00896D4F">
        <w:t>betssamtal hos socialförvaltningen under augusti och september 1997. I pr</w:t>
      </w:r>
      <w:r w:rsidRPr="00896D4F">
        <w:t>o</w:t>
      </w:r>
      <w:r w:rsidRPr="00896D4F">
        <w:t>tokollet från den muntliga förberedelsen i november 1997 antecknades att parterna var överens om att tills vidare avstå från fortsatta samarbetssamtal. I en skrivelse den 18 oktober 1999 yrkade A. att tingsrätten skulle förordna om samarbetssamtal mellan parterna. Under främst november och december 1999 framförde parterna synpunkter i frågan om samarbetssamtal. Genom ett beslut den 9 mars 2000 lämnade tingsrätten begäran om samarbets</w:t>
      </w:r>
      <w:r w:rsidRPr="00896D4F">
        <w:t>samtal utan b</w:t>
      </w:r>
      <w:r w:rsidRPr="00896D4F">
        <w:t>i</w:t>
      </w:r>
      <w:r w:rsidRPr="00896D4F">
        <w:t xml:space="preserve">fall.  </w:t>
      </w:r>
    </w:p>
    <w:p w:rsidR="009C1C5A" w:rsidRPr="00896D4F" w:rsidRDefault="009C1C5A">
      <w:pPr>
        <w:pStyle w:val="Normaltindrag"/>
      </w:pPr>
      <w:r w:rsidRPr="00896D4F">
        <w:t>Ingemar Taavola har anfört att frågan om förordnande om samarbetssamtal kan hållas öppen för att rätten senare, om förutsättningar föreligger, skall kunna förordna om det. Eftersom det inte förelåg förutsättningar att anordna samarbetssamtal, avvaktade tingsrätten att ta ställning till frågan i förhop</w:t>
      </w:r>
      <w:r w:rsidRPr="00896D4F">
        <w:t>p</w:t>
      </w:r>
      <w:r w:rsidRPr="00896D4F">
        <w:t xml:space="preserve">ning om att ett sådant förordnande skulle kunna meddelas senare. Enligt Ingemar Taavolas mening bedömdes ett omedelbart avslagsbeslut kunna motverka möjligheten att senare få parterna att medverka vid sådana samtal. Den 9 mars 2000 fann han det lönlöst att ytterligare avvakta med beslut i frågan och lämnade yrkandet utan bifall. </w:t>
      </w:r>
    </w:p>
    <w:p w:rsidR="009C1C5A" w:rsidRPr="00896D4F" w:rsidRDefault="009C1C5A">
      <w:pPr>
        <w:pStyle w:val="Normaltindrag"/>
      </w:pPr>
      <w:r w:rsidRPr="00896D4F">
        <w:t>Av 6 kap. 18 § föräldrabalken framgår att föräldrar enligt 5 kap. 3 § soc</w:t>
      </w:r>
      <w:r w:rsidRPr="00896D4F">
        <w:t>i</w:t>
      </w:r>
      <w:r w:rsidRPr="00896D4F">
        <w:t>altjänstlagen (2001:453) genom samarbetssamtal kan få hjälp att nå enighet i frågor om vårdnad, boende och umgänge. I mål om sådana frågor får rätten uppdra åt socialnämnden eller något annat organ att i barnets intresse anordna samarbetssamtal i syfte att nå enighet mellan föräldra</w:t>
      </w:r>
      <w:r w:rsidRPr="00896D4F">
        <w:t>r</w:t>
      </w:r>
      <w:r w:rsidRPr="00896D4F">
        <w:t xml:space="preserve">na. </w:t>
      </w:r>
    </w:p>
    <w:p w:rsidR="009C1C5A" w:rsidRPr="00896D4F" w:rsidRDefault="009C1C5A">
      <w:pPr>
        <w:pStyle w:val="Normaltindrag"/>
      </w:pPr>
      <w:r w:rsidRPr="00896D4F">
        <w:t>Det krävs inte att föräldrarna begär eller samtycker till samarbetssamtal. Rätten kan själv ta initiativ till sådana samtal. Någon skyldighet för föräldra</w:t>
      </w:r>
      <w:r w:rsidRPr="00896D4F">
        <w:t>r</w:t>
      </w:r>
      <w:r w:rsidRPr="00896D4F">
        <w:t>na att delta i samtalen finns inte och ett skäl att underlåta att ta initiativ till samarbetssamtal kan vara att det står mer eller mindre klart att en av föräl</w:t>
      </w:r>
      <w:r w:rsidRPr="00896D4F">
        <w:t>d</w:t>
      </w:r>
      <w:r w:rsidRPr="00896D4F">
        <w:t>rarna, eller båda, inte kommer att infinna sig till samtalen. Ett annat skäl kan vara att samarbetssamtal redan har förekommit men misslyckats och att det på grund av omständigheterna måste antas att nya samtal skulle vara gagnlösa. I sådana fall skulle ett förordnande om samarbetssamtal endast medföra en onödig tidsutdräkt (Walin–Vängby, Föräldrab</w:t>
      </w:r>
      <w:r w:rsidRPr="00896D4F">
        <w:t xml:space="preserve">alken, En kommentar, Del I, 1–13 kap., s. 6:85 f.). </w:t>
      </w:r>
    </w:p>
    <w:p w:rsidR="009C1C5A" w:rsidRPr="00896D4F" w:rsidRDefault="009C1C5A">
      <w:pPr>
        <w:pStyle w:val="Normaltindrag"/>
      </w:pPr>
      <w:r w:rsidRPr="00896D4F">
        <w:t>Av utredningen framgår att parterna inte var ense i frågan om samarbet</w:t>
      </w:r>
      <w:r w:rsidRPr="00896D4F">
        <w:t>s</w:t>
      </w:r>
      <w:r w:rsidRPr="00896D4F">
        <w:t>samtal. Som jag inledningsvis har uttalat om inriktningen av JO:s tillsyn a</w:t>
      </w:r>
      <w:r w:rsidRPr="00896D4F">
        <w:t>n</w:t>
      </w:r>
      <w:r w:rsidRPr="00896D4F">
        <w:t>kommer det inte på mig att anlägga synpunkter på frågan om tingsrätten skulle ha förordnat om samarbetssamtal eller inte. Tingsrätten borde emelle</w:t>
      </w:r>
      <w:r w:rsidRPr="00896D4F">
        <w:t>r</w:t>
      </w:r>
      <w:r w:rsidRPr="00896D4F">
        <w:t>tid, oavsett hur man ser på denna fråga, ha tagit ställning till det yrkande som hade framställts så snart skriftväxlingen i frågan hade avslutats. Om förutsät</w:t>
      </w:r>
      <w:r w:rsidRPr="00896D4F">
        <w:t>t</w:t>
      </w:r>
      <w:r w:rsidRPr="00896D4F">
        <w:t>ningarna därefter förändrades, hade frågan på parternas eller tingsrättens initiativ kunnat väckas på nytt i ett senare skede. I</w:t>
      </w:r>
      <w:r w:rsidRPr="00896D4F">
        <w:t>ngemar Taavola borde således ha prövat yrkandet om förordnande av samarbetssamtal tidigare än som skedde.</w:t>
      </w:r>
    </w:p>
    <w:p w:rsidR="009C1C5A" w:rsidRPr="00896D4F" w:rsidRDefault="009C1C5A">
      <w:pPr>
        <w:pStyle w:val="Rubrik4"/>
      </w:pPr>
      <w:r w:rsidRPr="00896D4F">
        <w:t>Rättslig grund för att begära yttranden från socialnämnder och BUP (remiss-  frågorna 4 och 6)</w:t>
      </w:r>
    </w:p>
    <w:p w:rsidR="009C1C5A" w:rsidRPr="00896D4F" w:rsidRDefault="009C1C5A">
      <w:pPr>
        <w:rPr>
          <w:sz w:val="20"/>
        </w:rPr>
      </w:pPr>
      <w:r w:rsidRPr="00896D4F">
        <w:t>Med anledning av att tjänstemän från socialförvaltningen i Gällivare på kvä</w:t>
      </w:r>
      <w:r w:rsidRPr="00896D4F">
        <w:t>l</w:t>
      </w:r>
      <w:r w:rsidRPr="00896D4F">
        <w:t>len den 31 december 1999 sökt upp S. under dennes pågående umgänge med sonen och försökt förmå honom att lämna ifrån sig sonen till A. begärde S:s ombud i en skrivelse, som kom in till tingsrätten den 5 januari 2000, att rätten skulle förelägga socialförvaltningarna i Örebro och Gällivare att besvara vissa frågor enligt följa</w:t>
      </w:r>
      <w:r w:rsidRPr="00896D4F">
        <w:t>n</w:t>
      </w:r>
      <w:r w:rsidRPr="00896D4F">
        <w:t>de.</w:t>
      </w:r>
    </w:p>
    <w:p w:rsidR="009C1C5A" w:rsidRPr="00896D4F" w:rsidRDefault="009C1C5A">
      <w:pPr>
        <w:pStyle w:val="Citat"/>
        <w:rPr>
          <w:sz w:val="20"/>
        </w:rPr>
      </w:pPr>
      <w:r w:rsidRPr="00896D4F">
        <w:t>S. yrkar vidare att tingsrätten förelägger socialförvaltningen i Örebro att fö</w:t>
      </w:r>
      <w:r w:rsidRPr="00896D4F">
        <w:t>r</w:t>
      </w:r>
      <w:r w:rsidRPr="00896D4F">
        <w:t>klara varför man på nyårsaftonen den 31.12.1999 förklarat att W. skall hämtas och att man dessutom hotat med polis för att verkställa denna hämtning. S. yrkar vidare att tingsrätten förelägger socialförvaltningen att avge yttrande om vilka exakta uppgifter som A. lämnat och vad som ligger till grund för deras samtal med S. och med S:s syster den 31.12.1999. Detta måste vara dokumenterat i journaler. S. yrkar också att tingsrätten förelägger socialfö</w:t>
      </w:r>
      <w:r w:rsidRPr="00896D4F">
        <w:t>r</w:t>
      </w:r>
      <w:r w:rsidRPr="00896D4F">
        <w:t>valtningen i Örebro att avge yttrande om varför de vidtag</w:t>
      </w:r>
      <w:r w:rsidRPr="00896D4F">
        <w:t>it dessa åtgärder med tanke på att två andra socialtjänstemän sagt att det inte fanns något fö</w:t>
      </w:r>
      <w:r w:rsidRPr="00896D4F">
        <w:t>r</w:t>
      </w:r>
      <w:r w:rsidRPr="00896D4F">
        <w:t>bud för sonen W. att träffa – – –  samt varför de beordrat S. att lämna sonen till A.</w:t>
      </w:r>
    </w:p>
    <w:p w:rsidR="009C1C5A" w:rsidRPr="00896D4F" w:rsidRDefault="009C1C5A">
      <w:pPr>
        <w:pStyle w:val="Citatindrag"/>
        <w:rPr>
          <w:sz w:val="20"/>
        </w:rPr>
      </w:pPr>
      <w:r w:rsidRPr="00896D4F">
        <w:t>S. yrkar att tingsrätten förelägger socialförvaltningen i Gällivare att förkl</w:t>
      </w:r>
      <w:r w:rsidRPr="00896D4F">
        <w:t>a</w:t>
      </w:r>
      <w:r w:rsidRPr="00896D4F">
        <w:t>ra varför man på nyårsaftonen den 31.12.1999 oanmäld inställer sig hos S:s syster och uppger att W. skall hämtas när W. enligt två domstolars beslut har rätt till umgänge med sin far. S. yrkar också att tingsrätten förelägger socia</w:t>
      </w:r>
      <w:r w:rsidRPr="00896D4F">
        <w:t>l</w:t>
      </w:r>
      <w:r w:rsidRPr="00896D4F">
        <w:t>förvaltningen i Gällivare att avge ett exakt yttrande om vilka uppgifter som A. lämnat till dem och vad som ligger till grund för deras beslut om att ingripa den aktuella helgdagskvällen hos en familj som inte ens är misstänkt för något brott. Uppgifterna måste vara dokume</w:t>
      </w:r>
      <w:r w:rsidRPr="00896D4F">
        <w:t>n</w:t>
      </w:r>
      <w:r w:rsidRPr="00896D4F">
        <w:t>terad</w:t>
      </w:r>
      <w:r w:rsidRPr="00896D4F">
        <w:t>e i journalhandlingar.</w:t>
      </w:r>
    </w:p>
    <w:p w:rsidR="009C1C5A" w:rsidRPr="00896D4F" w:rsidRDefault="009C1C5A">
      <w:pPr>
        <w:pStyle w:val="Citatindrag"/>
      </w:pPr>
      <w:r w:rsidRPr="00896D4F">
        <w:t>Båda socialförvaltningarna bör också föreläggas att uppge varför de inte kontaktat undertecknade ombud, som S. uttryckligen önskat och sagt att de skulle göra vid de samtal han haft med tjänst</w:t>
      </w:r>
      <w:r w:rsidRPr="00896D4F">
        <w:t>e</w:t>
      </w:r>
      <w:r w:rsidRPr="00896D4F">
        <w:t>männen.</w:t>
      </w:r>
    </w:p>
    <w:p w:rsidR="009C1C5A" w:rsidRPr="00896D4F" w:rsidRDefault="009C1C5A">
      <w:pPr>
        <w:rPr>
          <w:sz w:val="20"/>
        </w:rPr>
      </w:pPr>
      <w:r w:rsidRPr="00896D4F">
        <w:t>Vidare hemställde S. i skrivelsen att tingsrätten skulle inhämta yttrande från BUP i Örebro enligt följande.</w:t>
      </w:r>
    </w:p>
    <w:p w:rsidR="009C1C5A" w:rsidRPr="00896D4F" w:rsidRDefault="009C1C5A">
      <w:pPr>
        <w:pStyle w:val="Citat"/>
        <w:rPr>
          <w:sz w:val="20"/>
        </w:rPr>
      </w:pPr>
      <w:r w:rsidRPr="00896D4F">
        <w:t>S. hemställer därför om att tingsrätten inhämtar yttrande från BUP i Örebro med följande frågeställningar. Vem har tagit initiativet till uppgivna sama</w:t>
      </w:r>
      <w:r w:rsidRPr="00896D4F">
        <w:t>r</w:t>
      </w:r>
      <w:r w:rsidRPr="00896D4F">
        <w:t>betssamtal? S. vill därvid också ha besked om BUP varit medveten om S:s umgänge i januari månad 2000, vilket skulle innebära att S. vid ett samma</w:t>
      </w:r>
      <w:r w:rsidRPr="00896D4F">
        <w:t>n</w:t>
      </w:r>
      <w:r w:rsidRPr="00896D4F">
        <w:t>träde i Örebro den 13.1.2000 skulle tvingas lämna sonen och att hans möjli</w:t>
      </w:r>
      <w:r w:rsidRPr="00896D4F">
        <w:t>g</w:t>
      </w:r>
      <w:r w:rsidRPr="00896D4F">
        <w:t>heter till umgänge därmed skulle försvårats. Eftersom skrivelsen från BUP undertecknats av en läkarsekreterare vill S. ha besked om samtliga de angivna personerna som uppges skall medverka till detta sammanträde står bakom denna skrivelse eller om det är någon enskild tjänsteman vid sjukhu</w:t>
      </w:r>
      <w:r w:rsidRPr="00896D4F">
        <w:t>set. Efte</w:t>
      </w:r>
      <w:r w:rsidRPr="00896D4F">
        <w:t>r</w:t>
      </w:r>
      <w:r w:rsidRPr="00896D4F">
        <w:t>som tingsrätten, enligt S:s uppfattning, bör inhämta dessa upplysningar från BUP bör man samtidigt fråga vem som upptagit frågan om växelvis boende, som berörts i yttrande från BUP, och vad anledningen till detta varit.</w:t>
      </w:r>
    </w:p>
    <w:p w:rsidR="009C1C5A" w:rsidRPr="00896D4F" w:rsidRDefault="009C1C5A">
      <w:r w:rsidRPr="00896D4F">
        <w:t>I förelägganden den 7 januari 2000 anmodades socialnämnderna och BUP att b</w:t>
      </w:r>
      <w:r w:rsidRPr="00896D4F">
        <w:t>e</w:t>
      </w:r>
      <w:r w:rsidRPr="00896D4F">
        <w:t>svara de frågor som ställts av S.</w:t>
      </w:r>
    </w:p>
    <w:p w:rsidR="009C1C5A" w:rsidRPr="00896D4F" w:rsidRDefault="009C1C5A">
      <w:pPr>
        <w:rPr>
          <w:sz w:val="20"/>
        </w:rPr>
      </w:pPr>
      <w:r w:rsidRPr="00896D4F">
        <w:t>S. framförde i en skrivelse som kom in till tingsrätten den 10 februari 2000 synpunkter på en socialsekreterares handlande e</w:t>
      </w:r>
      <w:r w:rsidRPr="00896D4F">
        <w:t>n</w:t>
      </w:r>
      <w:r w:rsidRPr="00896D4F">
        <w:t>ligt följande.</w:t>
      </w:r>
    </w:p>
    <w:p w:rsidR="009C1C5A" w:rsidRPr="00896D4F" w:rsidRDefault="009C1C5A">
      <w:pPr>
        <w:pStyle w:val="Citat"/>
        <w:rPr>
          <w:sz w:val="20"/>
        </w:rPr>
      </w:pPr>
      <w:r w:rsidRPr="00896D4F">
        <w:t>S. har uppgivit att han den 31.1.2000 kontaktats av en uppgiven socialsekret</w:t>
      </w:r>
      <w:r w:rsidRPr="00896D4F">
        <w:t>e</w:t>
      </w:r>
      <w:r w:rsidRPr="00896D4F">
        <w:t>rare i Örebro som uppgivit att socialförvaltningen i Örebro skall kontakta socialförvaltningen i Gällivare för att starta en utredning om hur W. mår. S. har ställt sig frågande till detta eftersom Gällivare tingsrätt inte beslutat om vår</w:t>
      </w:r>
      <w:r w:rsidRPr="00896D4F">
        <w:t>d</w:t>
      </w:r>
      <w:r w:rsidRPr="00896D4F">
        <w:t>nadsutredning.</w:t>
      </w:r>
    </w:p>
    <w:p w:rsidR="009C1C5A" w:rsidRPr="00896D4F" w:rsidRDefault="009C1C5A">
      <w:pPr>
        <w:pStyle w:val="Citatindrag"/>
      </w:pPr>
      <w:r w:rsidRPr="00896D4F">
        <w:t>S. har den 9.2.2000 ånyo kontaktats av samma socialsekreterare som sagt att S. måste komma ned med sonen till Örebro för polisförhör den 22.2.2000. Socialsekreteraren har också uppgivit att S. måste komma ned några dagar före förhöret för att sonen skall kun</w:t>
      </w:r>
      <w:r w:rsidRPr="00896D4F">
        <w:t>na vistas hos sin ma</w:t>
      </w:r>
      <w:r w:rsidRPr="00896D4F">
        <w:t>m</w:t>
      </w:r>
      <w:r w:rsidRPr="00896D4F">
        <w:t xml:space="preserve">ma. </w:t>
      </w:r>
    </w:p>
    <w:p w:rsidR="009C1C5A" w:rsidRPr="00896D4F" w:rsidRDefault="009C1C5A">
      <w:r w:rsidRPr="00896D4F">
        <w:t xml:space="preserve">Den 11 februari förelades Socialnämnden i Örebro att inkomma med yttrande över dessa uppgifter. </w:t>
      </w:r>
    </w:p>
    <w:p w:rsidR="009C1C5A" w:rsidRPr="00896D4F" w:rsidRDefault="009C1C5A">
      <w:pPr>
        <w:pStyle w:val="Normaltindrag"/>
      </w:pPr>
      <w:r w:rsidRPr="00896D4F">
        <w:t>Av 6 kap. 19 § föräldrabalken framgår att rätten skall se till att frågor om vårdnad, boende och umgänge blir tillbörligt utredda. Innan rätten avgör ett mål eller ärende om vårdnad, boende eller umgänge skall socialnämnden ges tillfälle att lämna upplysningar. Vidare sägs att rätten, om det behövs utre</w:t>
      </w:r>
      <w:r w:rsidRPr="00896D4F">
        <w:t>d</w:t>
      </w:r>
      <w:r w:rsidRPr="00896D4F">
        <w:t>ning därutöver, får uppdra åt socialnämnden eller något annat organ att utse någon att verkställa den. Rätten får fastställa riktlinjer för en sådan utredning.</w:t>
      </w:r>
    </w:p>
    <w:p w:rsidR="009C1C5A" w:rsidRPr="00896D4F" w:rsidRDefault="009C1C5A">
      <w:pPr>
        <w:pStyle w:val="Normaltindrag"/>
      </w:pPr>
      <w:r w:rsidRPr="00896D4F">
        <w:t>Om ytterligare utredning befinns erforderlig, skall domstolen således up</w:t>
      </w:r>
      <w:r w:rsidRPr="00896D4F">
        <w:t>p</w:t>
      </w:r>
      <w:r w:rsidRPr="00896D4F">
        <w:t>dra åt ett lämpligt organ att föranstalta om sådan. Normalt bör utredningen verkställas av någon som utses av socialnämnden. Endast i undantagsfall bör det bli aktuellt för domstolen att vända sig till ett annat organ för att få någon utsedd. Så kan bli fallet om domstolen redan har ett aktuellt utredningsmater</w:t>
      </w:r>
      <w:r w:rsidRPr="00896D4F">
        <w:t>i</w:t>
      </w:r>
      <w:r w:rsidRPr="00896D4F">
        <w:t>al som endast behöver kompletteras med t.ex. ett barnpsykiatriskt utlåtande. I stället för att vända sig till socialnämnden kan domstolen då begära ett sådant utlåtande direkt hos en barn- och ungdo</w:t>
      </w:r>
      <w:r w:rsidRPr="00896D4F">
        <w:t>mspsykiatrisk klinik. Om det däremot under en vårdnadsutredning i socialnämndens regi uppkommer behov av att höra barnpsykiatrisk expertis, bör detta i regel kunna tillgodoses genom att vederbörande tjänsteman vid socialförvaltningen – efter samråd med do</w:t>
      </w:r>
      <w:r w:rsidRPr="00896D4F">
        <w:t>m</w:t>
      </w:r>
      <w:r w:rsidRPr="00896D4F">
        <w:t>stolen – själv tar kontakt med berörd klinik. Bestämmelserna i 6 kap. 19 § FB ger domstolen möjlighet att ange riktlinjer för utredningen. Huruvida det finns anledning att från domstolens sida lägga fast vissa ramar för utrednin</w:t>
      </w:r>
      <w:r w:rsidRPr="00896D4F">
        <w:t>g</w:t>
      </w:r>
      <w:r w:rsidRPr="00896D4F">
        <w:t>en får bedömas från fall ti</w:t>
      </w:r>
      <w:r w:rsidRPr="00896D4F">
        <w:t>ll fall. Även när domstolen bestämmer om riktlinjer för utredningen ankommer det på utredaren att avgöra hur utredningen närm</w:t>
      </w:r>
      <w:r w:rsidRPr="00896D4F">
        <w:t>a</w:t>
      </w:r>
      <w:r w:rsidRPr="00896D4F">
        <w:t>re skall bedrivas. Tanken med bestämmelsen är inte att domstolen mera r</w:t>
      </w:r>
      <w:r w:rsidRPr="00896D4F">
        <w:t>e</w:t>
      </w:r>
      <w:r w:rsidRPr="00896D4F">
        <w:t>gelmässigt skall fastställa riktlinjer för utredningen utan att domstolen skall ha möjlighet därtill i de fall där det ter sig påkallat (Walin–Vängby, Föräldr</w:t>
      </w:r>
      <w:r w:rsidRPr="00896D4F">
        <w:t>a</w:t>
      </w:r>
      <w:r w:rsidRPr="00896D4F">
        <w:t>ba</w:t>
      </w:r>
      <w:r w:rsidRPr="00896D4F">
        <w:t>l</w:t>
      </w:r>
      <w:r w:rsidRPr="00896D4F">
        <w:t xml:space="preserve">ken, En kommentar, Del I, 1–13 kap., s. 6:89 f.). </w:t>
      </w:r>
    </w:p>
    <w:p w:rsidR="009C1C5A" w:rsidRPr="00896D4F" w:rsidRDefault="009C1C5A">
      <w:pPr>
        <w:pStyle w:val="Normaltindrag"/>
      </w:pPr>
      <w:r w:rsidRPr="00896D4F">
        <w:t>Tingsrätten har således i ett mål gällande vårdnad m.m. ett ansvar för att frågorna i målet blir till</w:t>
      </w:r>
      <w:r w:rsidRPr="00896D4F">
        <w:t>börligt utredda. Det är emellertid av hänsyn till förtr</w:t>
      </w:r>
      <w:r w:rsidRPr="00896D4F">
        <w:t>o</w:t>
      </w:r>
      <w:r w:rsidRPr="00896D4F">
        <w:t>endet för domstols</w:t>
      </w:r>
      <w:r w:rsidRPr="00896D4F">
        <w:softHyphen/>
        <w:t>väsendet angeläget att denna utredning sker på ett korrekt och objektivt sätt. Som nyss har nämnts fullgör tingsrätten vanligtvis sin u</w:t>
      </w:r>
      <w:r w:rsidRPr="00896D4F">
        <w:t>t</w:t>
      </w:r>
      <w:r w:rsidRPr="00896D4F">
        <w:t>redningsskyldighet genom att förordna om en vår</w:t>
      </w:r>
      <w:r w:rsidRPr="00896D4F">
        <w:t>d</w:t>
      </w:r>
      <w:r w:rsidRPr="00896D4F">
        <w:t xml:space="preserve">nadsutredning. </w:t>
      </w:r>
    </w:p>
    <w:p w:rsidR="009C1C5A" w:rsidRPr="00896D4F" w:rsidRDefault="009C1C5A">
      <w:pPr>
        <w:pStyle w:val="Normaltindrag"/>
      </w:pPr>
      <w:r w:rsidRPr="00896D4F">
        <w:t>I förevarande fall har tingsrätten i stället, i anslutning till att S. ifrågasatt handläggningen hos socialtjänsten samt BUP, vid ett flertal tillfällen förelagt  socialnämnderna, socialförvaltningarna och BUP att inkomma med yttranden o</w:t>
      </w:r>
      <w:r w:rsidRPr="00896D4F">
        <w:t>m handläggningen av där förekommande ärenden. Tingsrätten har också ifrågasatt dessa myndigheters sätt att handlägga ärendena. Det kan ifrågasä</w:t>
      </w:r>
      <w:r w:rsidRPr="00896D4F">
        <w:t>t</w:t>
      </w:r>
      <w:r w:rsidRPr="00896D4F">
        <w:t>tas om ett sådant förfarande är ägnat att föra målet framåt på ett effektivt sätt. Allvarligare är emellertid att ett förfarande, som innebär att man i ett indisp</w:t>
      </w:r>
      <w:r w:rsidRPr="00896D4F">
        <w:t>o</w:t>
      </w:r>
      <w:r w:rsidRPr="00896D4F">
        <w:t>sitivt tvistemål lägger enbart skrivelser från en part till grund för förelägga</w:t>
      </w:r>
      <w:r w:rsidRPr="00896D4F">
        <w:t>n</w:t>
      </w:r>
      <w:r w:rsidRPr="00896D4F">
        <w:t>den till olika myndigheter, kan ge befogad anledning att ifrågasätta rättens opartiskhet och objektivitet. Tingsrättens handl</w:t>
      </w:r>
      <w:r w:rsidRPr="00896D4F">
        <w:t>äggning i de här behandlade hänseendena måste av nu angivna skäl bedömas som direkt olämplig. Som nyss har nämnts har lagstiftarens avsikt varit att den utredningsskyldighet som ankommer på rätten skall fullgöras genom att rätten förordnar om en vår</w:t>
      </w:r>
      <w:r w:rsidRPr="00896D4F">
        <w:t>d</w:t>
      </w:r>
      <w:r w:rsidRPr="00896D4F">
        <w:t>nadsutredning, något som parterna i det aktuella målet också begärde på ett tidigt stad</w:t>
      </w:r>
      <w:r w:rsidRPr="00896D4F">
        <w:t>i</w:t>
      </w:r>
      <w:r w:rsidRPr="00896D4F">
        <w:t>um.</w:t>
      </w:r>
    </w:p>
    <w:p w:rsidR="009C1C5A" w:rsidRPr="00896D4F" w:rsidRDefault="009C1C5A">
      <w:pPr>
        <w:pStyle w:val="Normaltindrag"/>
      </w:pPr>
      <w:r w:rsidRPr="00896D4F">
        <w:t>Den 15 februari 2000 upplyste S:s ombud att en s.k. § 50 SoL-utredning (paragrafen motsvaras numera av 11 kap. 1 § socialtjänstlagen) hade inletts. I skrivelsen uppgavs a</w:t>
      </w:r>
      <w:r w:rsidRPr="00896D4F">
        <w:t>tt S. ställt sig mycket frågande till beslutet att inleda en sådan utredning. Enligt hans uppfattning var det tingsrätten som hade det yttersta ansvaret med hänsyn till att målet handlades vid Gällivare tingsrätt. Han ansåg vidare att eventuell utredning kunde ske genom en vårdnadsutre</w:t>
      </w:r>
      <w:r w:rsidRPr="00896D4F">
        <w:t>d</w:t>
      </w:r>
      <w:r w:rsidRPr="00896D4F">
        <w:t>ning. S. framförde också att han inte kände något förtroende för vissa av soc</w:t>
      </w:r>
      <w:r w:rsidRPr="00896D4F">
        <w:t>i</w:t>
      </w:r>
      <w:r w:rsidRPr="00896D4F">
        <w:t>altjänstemännen i Örebro. Med anledning av detta yrkade S. att tingsrätten skulle förelägga socialtjänsten att ange grunden för att man beslutat at</w:t>
      </w:r>
      <w:r w:rsidRPr="00896D4F">
        <w:t>t p</w:t>
      </w:r>
      <w:r w:rsidRPr="00896D4F">
        <w:t>å</w:t>
      </w:r>
      <w:r w:rsidRPr="00896D4F">
        <w:t>börja en § 50-utredning och att socialförvaltningen skulle föreläggas att inge journalhan</w:t>
      </w:r>
      <w:r w:rsidRPr="00896D4F">
        <w:t>d</w:t>
      </w:r>
      <w:r w:rsidRPr="00896D4F">
        <w:t xml:space="preserve">lingar i det aktuella hänseendet. </w:t>
      </w:r>
    </w:p>
    <w:p w:rsidR="009C1C5A" w:rsidRPr="00896D4F" w:rsidRDefault="009C1C5A">
      <w:pPr>
        <w:pStyle w:val="Normaltindrag"/>
      </w:pPr>
      <w:r w:rsidRPr="00896D4F">
        <w:t>Den 16 februari förelades Socialnämnden i Örebro att inkomma med yt</w:t>
      </w:r>
      <w:r w:rsidRPr="00896D4F">
        <w:t>t</w:t>
      </w:r>
      <w:r w:rsidRPr="00896D4F">
        <w:t>rande med anledning av vad som framförts. Föreläggandet avsåg uppenbarl</w:t>
      </w:r>
      <w:r w:rsidRPr="00896D4F">
        <w:t>i</w:t>
      </w:r>
      <w:r w:rsidRPr="00896D4F">
        <w:t>gen också til</w:t>
      </w:r>
      <w:r w:rsidRPr="00896D4F">
        <w:t>l</w:t>
      </w:r>
      <w:r w:rsidRPr="00896D4F">
        <w:t>handahållandet av de av S. efterfrågade journalhandlingarna.</w:t>
      </w:r>
    </w:p>
    <w:p w:rsidR="009C1C5A" w:rsidRPr="00896D4F" w:rsidRDefault="009C1C5A">
      <w:pPr>
        <w:pStyle w:val="Normaltindrag"/>
      </w:pPr>
      <w:r w:rsidRPr="00896D4F">
        <w:t>Av den aktuella bestämmelsen i socialtjänstlagen framgår att socialnäm</w:t>
      </w:r>
      <w:r w:rsidRPr="00896D4F">
        <w:t>n</w:t>
      </w:r>
      <w:r w:rsidRPr="00896D4F">
        <w:t>den utan dröjsmål skall inleda utredning av vad som genom ansökan eller på annat sätt har kommit till nämndens kännedom och som kan föranleda någon åtgärd från nämndens sida. Socialnämnden är således skyldig att göra en självständig prövning av de uppgifter som inkommit. Tingsrättens förelä</w:t>
      </w:r>
      <w:r w:rsidRPr="00896D4F">
        <w:t>g</w:t>
      </w:r>
      <w:r w:rsidRPr="00896D4F">
        <w:t>gande till socialnämnden kunde lätt uppfattas som ett ifrågasättande av näm</w:t>
      </w:r>
      <w:r w:rsidRPr="00896D4F">
        <w:t>n</w:t>
      </w:r>
      <w:r w:rsidRPr="00896D4F">
        <w:t xml:space="preserve">dens beslut att inleda den aktuella utredningen. Det ankommer emellertid inte på tingsrätten att utöva tillsyn över hur befattningshavare inom </w:t>
      </w:r>
      <w:r w:rsidRPr="00896D4F">
        <w:t>socialtjänsten fullgör sina arbetsuppgifter. I den mån S. hade synpunkter på handläggningen där kunde tingsrätten ha hänvisat honom att vända sig till den ordinära til</w:t>
      </w:r>
      <w:r w:rsidRPr="00896D4F">
        <w:t>l</w:t>
      </w:r>
      <w:r w:rsidRPr="00896D4F">
        <w:t>synsmyndigheten som i detta fall var länsstyrelsen. Tingsrätten borde således under inga förhållanden ha föranstaltat om några utredningsåtgärder i detta hänseende. En annan sak är att tingsrätten på eget initiativ hade kunnat i</w:t>
      </w:r>
      <w:r w:rsidRPr="00896D4F">
        <w:t>n</w:t>
      </w:r>
      <w:r w:rsidRPr="00896D4F">
        <w:t>hämta sakuppgifter från socialnämnden, om dessa bedömdes vara av betyde</w:t>
      </w:r>
      <w:r w:rsidRPr="00896D4F">
        <w:t>l</w:t>
      </w:r>
      <w:r w:rsidRPr="00896D4F">
        <w:t>se för rättens fortsatta överväga</w:t>
      </w:r>
      <w:r w:rsidRPr="00896D4F">
        <w:t>n</w:t>
      </w:r>
      <w:r w:rsidRPr="00896D4F">
        <w:t>den i mål</w:t>
      </w:r>
      <w:r w:rsidRPr="00896D4F">
        <w:t>et.</w:t>
      </w:r>
    </w:p>
    <w:p w:rsidR="009C1C5A" w:rsidRPr="00896D4F" w:rsidRDefault="009C1C5A">
      <w:pPr>
        <w:pStyle w:val="Normaltindrag"/>
      </w:pPr>
      <w:r w:rsidRPr="00896D4F">
        <w:t>I den skrivelse i vilken S:s ombud ifrågasatte socialnämndens beslut att inleda en utredning enligt 50 § socialtjänstlagen begärde han, som nyss nämnts, också att socialförvaltningen skulle föreläggas att ge in sina journa</w:t>
      </w:r>
      <w:r w:rsidRPr="00896D4F">
        <w:t>l</w:t>
      </w:r>
      <w:r w:rsidRPr="00896D4F">
        <w:t xml:space="preserve">handlingar i ärendet. </w:t>
      </w:r>
    </w:p>
    <w:p w:rsidR="009C1C5A" w:rsidRPr="00896D4F" w:rsidRDefault="009C1C5A">
      <w:pPr>
        <w:pStyle w:val="Normaltindrag"/>
      </w:pPr>
      <w:r w:rsidRPr="00896D4F">
        <w:t>Ingemar Taavola har inte närmare redogjort för sina överväganden såvitt gäller journalhandlingarna utan har endast i allmänna ordalag hänvisat till rättens skyldighet att ta till vara barnets i</w:t>
      </w:r>
      <w:r w:rsidRPr="00896D4F">
        <w:t>n</w:t>
      </w:r>
      <w:r w:rsidRPr="00896D4F">
        <w:t>tressen.</w:t>
      </w:r>
    </w:p>
    <w:p w:rsidR="009C1C5A" w:rsidRPr="00896D4F" w:rsidRDefault="009C1C5A">
      <w:pPr>
        <w:pStyle w:val="Normaltindrag"/>
        <w:rPr>
          <w:i/>
        </w:rPr>
      </w:pPr>
      <w:r w:rsidRPr="00896D4F">
        <w:t>Enligt 7 kap. 4 § sekretesslagen (1980:100) gäller, med vissa särskilt a</w:t>
      </w:r>
      <w:r w:rsidRPr="00896D4F">
        <w:t>n</w:t>
      </w:r>
      <w:r w:rsidRPr="00896D4F">
        <w:t>givna undantag, sekretess inom socialtjänsten för uppgift om enskilds perso</w:t>
      </w:r>
      <w:r w:rsidRPr="00896D4F">
        <w:t>n</w:t>
      </w:r>
      <w:r w:rsidRPr="00896D4F">
        <w:t>liga förhållanden, om det inte står klart att uppgiften kan röjas utan att den enskilde eller någon honom närstående lider men. Detta förhållande bör b</w:t>
      </w:r>
      <w:r w:rsidRPr="00896D4F">
        <w:t>e</w:t>
      </w:r>
      <w:r w:rsidRPr="00896D4F">
        <w:t>aktas när rätten begär att få handlingar från socialtjänsten. Uppgifterna i e</w:t>
      </w:r>
      <w:r w:rsidRPr="00896D4F">
        <w:t>x</w:t>
      </w:r>
      <w:r w:rsidRPr="00896D4F">
        <w:t>empelvis journalhandlingar kan innehålla mycket integritetskänsligt material. Infordrande av sådana handlingar bör därför ske med största restriktivitet. Innan rätten infordrar sådana handlingar bör den så</w:t>
      </w:r>
      <w:r w:rsidRPr="00896D4F">
        <w:t>ledes noggrant överväga om handlingarna är oundgängligen nödvändiga för rättens tilltänkta avgöra</w:t>
      </w:r>
      <w:r w:rsidRPr="00896D4F">
        <w:t>n</w:t>
      </w:r>
      <w:r w:rsidRPr="00896D4F">
        <w:t>de. Att, som det förefaller att ha gått till i detta fall, okritiskt tillhandagå en part med sådant inhämtande får under inga förhållanden föreko</w:t>
      </w:r>
      <w:r w:rsidRPr="00896D4F">
        <w:t>m</w:t>
      </w:r>
      <w:r w:rsidRPr="00896D4F">
        <w:t xml:space="preserve">ma. </w:t>
      </w:r>
    </w:p>
    <w:p w:rsidR="009C1C5A" w:rsidRPr="00896D4F" w:rsidRDefault="009C1C5A">
      <w:pPr>
        <w:pStyle w:val="Rubrik4"/>
      </w:pPr>
      <w:r w:rsidRPr="00896D4F">
        <w:t>Rättslig grund för att begära yttrande från polismyndigheten (remissfråga 5)</w:t>
      </w:r>
    </w:p>
    <w:p w:rsidR="009C1C5A" w:rsidRPr="00896D4F" w:rsidRDefault="009C1C5A">
      <w:r w:rsidRPr="00896D4F">
        <w:t>I en skrivelse som kom in till tingsrätten den 14 februari 2000 ifrågasatte S. handläggningen av en polisutredning i vilken sonen var målsägande. Vidare ifr</w:t>
      </w:r>
      <w:r w:rsidRPr="00896D4F">
        <w:t>å</w:t>
      </w:r>
      <w:r w:rsidRPr="00896D4F">
        <w:t xml:space="preserve">gasattes en socialsekreterares handlande i visst hänseende. </w:t>
      </w:r>
    </w:p>
    <w:p w:rsidR="009C1C5A" w:rsidRPr="00896D4F" w:rsidRDefault="009C1C5A">
      <w:pPr>
        <w:pStyle w:val="Normaltindrag"/>
      </w:pPr>
      <w:r w:rsidRPr="00896D4F">
        <w:t>Med anledning av S:s uppgifter skickade tingsrätten ett föreläggande till Polismyndigheten i Örebro län i vilket upplystes att en vårdnadstvist pågick vid tingsrätten samt att tingsrätten och hovrätten hade beslutat att fadern skulle ha den interimistiska vårdnaden och att S. genom sitt ombud gett in en inlaga till tingsrätten vari han ställt frågor beträffande polisutredningen. Vid</w:t>
      </w:r>
      <w:r w:rsidRPr="00896D4F">
        <w:t>a</w:t>
      </w:r>
      <w:r w:rsidRPr="00896D4F">
        <w:t xml:space="preserve">re hemställde tingsrätten att polismyndigheten skulle besvara de i skrivelsen framställda frågorna angående polisutredningen och ”den, vårdnadshavaren icke delgivna, påstådda kallelsen till polisförhör i Örebro den 22 februari 2000”. </w:t>
      </w:r>
    </w:p>
    <w:p w:rsidR="009C1C5A" w:rsidRPr="00896D4F" w:rsidRDefault="009C1C5A">
      <w:pPr>
        <w:pStyle w:val="Normaltindrag"/>
      </w:pPr>
      <w:r w:rsidRPr="00896D4F">
        <w:t>Av handlingarna framgår att W. hade kallats till förhör hos polisen för att som måls</w:t>
      </w:r>
      <w:r w:rsidRPr="00896D4F">
        <w:softHyphen/>
        <w:t>ägande höras i en pågående förundersökning. Vidare framgår att en socialsekreterare hade skrivit till S. om det kommande förhöret med W. U</w:t>
      </w:r>
      <w:r w:rsidRPr="00896D4F">
        <w:t>t</w:t>
      </w:r>
      <w:r w:rsidRPr="00896D4F">
        <w:t xml:space="preserve">talandet i tingsrättens föreläggande om kallelsen till polisförhör syftar på uppgifter i denna skrivelse. Skrivelsen innehåller emellertid varken någon kallelse till polisförhör eller någon redogörelse för något beslut rörande W. </w:t>
      </w:r>
    </w:p>
    <w:p w:rsidR="009C1C5A" w:rsidRPr="00896D4F" w:rsidRDefault="009C1C5A">
      <w:pPr>
        <w:pStyle w:val="Normaltindrag"/>
      </w:pPr>
      <w:r w:rsidRPr="00896D4F">
        <w:t>Innan ett barn som inte fyllt 20 år hörs inom ramen för en förundersö</w:t>
      </w:r>
      <w:r w:rsidRPr="00896D4F">
        <w:t>k</w:t>
      </w:r>
      <w:r w:rsidRPr="00896D4F">
        <w:t>ning, skall enligt 16 § förundersökningskungörelsen (1947:948) socialnäm</w:t>
      </w:r>
      <w:r w:rsidRPr="00896D4F">
        <w:t>n</w:t>
      </w:r>
      <w:r w:rsidRPr="00896D4F">
        <w:t>den i god tid underrättas om tid och plats för förhöret, om det finns skäl till antagande att vad som förekommit bör föranleda ingripande från socialnäm</w:t>
      </w:r>
      <w:r w:rsidRPr="00896D4F">
        <w:t>n</w:t>
      </w:r>
      <w:r w:rsidRPr="00896D4F">
        <w:t xml:space="preserve">den. </w:t>
      </w:r>
    </w:p>
    <w:p w:rsidR="009C1C5A" w:rsidRPr="00896D4F" w:rsidRDefault="009C1C5A">
      <w:pPr>
        <w:pStyle w:val="Normaltindrag"/>
        <w:rPr>
          <w:i/>
        </w:rPr>
      </w:pPr>
      <w:r w:rsidRPr="00896D4F">
        <w:t>Det är förundersökningsledaren som har ansvaret för en förundersökning. Vilka åtgärder som skall företas under en sådan undersökning bestäms av denne. Det ankommer inte på tingsrätten att inom ramen för ett vårdnadsmål utöva någon tillsyn över polis och åklagare. Tingsrättens fö</w:t>
      </w:r>
      <w:r w:rsidRPr="00896D4F">
        <w:t>rfarande att för</w:t>
      </w:r>
      <w:r w:rsidRPr="00896D4F">
        <w:t>e</w:t>
      </w:r>
      <w:r w:rsidRPr="00896D4F">
        <w:t>lägga polismyndigheten att inkomma med yttrande framstår mot denna ba</w:t>
      </w:r>
      <w:r w:rsidRPr="00896D4F">
        <w:t>k</w:t>
      </w:r>
      <w:r w:rsidRPr="00896D4F">
        <w:t>grund som minst sagt anmärkningsvärt. Det kan tilläggas att polismyndigh</w:t>
      </w:r>
      <w:r w:rsidRPr="00896D4F">
        <w:t>e</w:t>
      </w:r>
      <w:r w:rsidRPr="00896D4F">
        <w:t>ten inte efterkom förelägga</w:t>
      </w:r>
      <w:r w:rsidRPr="00896D4F">
        <w:t>n</w:t>
      </w:r>
      <w:r w:rsidRPr="00896D4F">
        <w:t>det.</w:t>
      </w:r>
    </w:p>
    <w:p w:rsidR="009C1C5A" w:rsidRPr="00896D4F" w:rsidRDefault="009C1C5A">
      <w:pPr>
        <w:pStyle w:val="Rubrik4"/>
      </w:pPr>
      <w:r w:rsidRPr="00896D4F">
        <w:t>Skrivelsen till Justitiekanslern (remissfråga 7)</w:t>
      </w:r>
    </w:p>
    <w:p w:rsidR="009C1C5A" w:rsidRPr="00896D4F" w:rsidRDefault="009C1C5A">
      <w:pPr>
        <w:rPr>
          <w:sz w:val="20"/>
        </w:rPr>
      </w:pPr>
      <w:r w:rsidRPr="00896D4F">
        <w:t>Ingemar Taavola skrev den 18 februari 2000 till Justitiekanslern (JK) och anförde under rubriken ”angående förfrågan om en socialnämnd får obstruera domstola</w:t>
      </w:r>
      <w:r w:rsidRPr="00896D4F">
        <w:t>r</w:t>
      </w:r>
      <w:r w:rsidRPr="00896D4F">
        <w:t>nas beslut, se bilagorna 1–2” bl.a. följande.</w:t>
      </w:r>
    </w:p>
    <w:p w:rsidR="009C1C5A" w:rsidRPr="00896D4F" w:rsidRDefault="009C1C5A">
      <w:pPr>
        <w:pStyle w:val="Citat"/>
      </w:pPr>
      <w:r w:rsidRPr="00896D4F">
        <w:t>Vid Gällivare tingsrätt pågår en vårdnads- och umgängestvist där tingsrätten och hovrätten sett sig nödsakade att interimistiskt flytta över vårdnaden av ett barn från modern till fadern, – – – .</w:t>
      </w:r>
    </w:p>
    <w:p w:rsidR="009C1C5A" w:rsidRPr="00896D4F" w:rsidRDefault="009C1C5A">
      <w:pPr>
        <w:pStyle w:val="Citat"/>
      </w:pPr>
      <w:r w:rsidRPr="00896D4F">
        <w:t>Fadern bor i Gällivare och modern bor i Örebro.</w:t>
      </w:r>
    </w:p>
    <w:p w:rsidR="009C1C5A" w:rsidRPr="00896D4F" w:rsidRDefault="009C1C5A">
      <w:pPr>
        <w:pStyle w:val="Citat"/>
      </w:pPr>
      <w:r w:rsidRPr="00896D4F">
        <w:t>Av tingsrättens beslut framgår att socialnämnden i Örebro agerat på ett myc</w:t>
      </w:r>
      <w:r w:rsidRPr="00896D4F">
        <w:t>k</w:t>
      </w:r>
      <w:r w:rsidRPr="00896D4F">
        <w:t>et anmärkningsvärt sätt under nyårsaftonen 1999. Med hänvisning till JK:s beslut 1991-06-18, Dnr 2810-88-21, kan det ifrågasättas om socialnämndens agerande varit lagligen grundat. Under alla förhållanden kan Örebro socia</w:t>
      </w:r>
      <w:r w:rsidRPr="00896D4F">
        <w:t>l</w:t>
      </w:r>
      <w:r w:rsidRPr="00896D4F">
        <w:t>nämnds handla</w:t>
      </w:r>
      <w:r w:rsidRPr="00896D4F">
        <w:t>n</w:t>
      </w:r>
      <w:r w:rsidRPr="00896D4F">
        <w:t>de inte anses ha varit bra för barnet.</w:t>
      </w:r>
    </w:p>
    <w:p w:rsidR="009C1C5A" w:rsidRPr="00896D4F" w:rsidRDefault="009C1C5A">
      <w:pPr>
        <w:pStyle w:val="Citatindrag"/>
      </w:pPr>
      <w:r w:rsidRPr="00896D4F">
        <w:t>Efter det att hovrätten fastställt tingsrättens beslut, att fadern ensam skall ha vårdnaden om sonen, har barnet, sedan den 27 december 1999, vistats hos sin far i Gällivare. Tingsrätten har i sitt beslut uttalat att moderns umgänge, ti</w:t>
      </w:r>
      <w:r w:rsidRPr="00896D4F">
        <w:t>lls vidare, bör inskränkas till övervakade umgängen i Gälliv</w:t>
      </w:r>
      <w:r w:rsidRPr="00896D4F">
        <w:t>a</w:t>
      </w:r>
      <w:r w:rsidRPr="00896D4F">
        <w:t xml:space="preserve">re. </w:t>
      </w:r>
    </w:p>
    <w:p w:rsidR="009C1C5A" w:rsidRPr="00896D4F" w:rsidRDefault="009C1C5A">
      <w:pPr>
        <w:pStyle w:val="Citatindrag"/>
      </w:pPr>
      <w:r w:rsidRPr="00896D4F">
        <w:t>Trots att beslutet delgetts socialnämnden i Örebro, har nämnden på olika sätt och i olika kallelser beordrat fadern att åka ner till Örebro med barnet,     – – –.</w:t>
      </w:r>
    </w:p>
    <w:p w:rsidR="009C1C5A" w:rsidRPr="00896D4F" w:rsidRDefault="009C1C5A">
      <w:pPr>
        <w:pStyle w:val="Citatindrag"/>
        <w:rPr>
          <w:sz w:val="20"/>
        </w:rPr>
      </w:pPr>
      <w:r w:rsidRPr="00896D4F">
        <w:t>Dessutom har socialnämnden i Örebro, utan att ange grunden härför, p</w:t>
      </w:r>
      <w:r w:rsidRPr="00896D4F">
        <w:t>å</w:t>
      </w:r>
      <w:r w:rsidRPr="00896D4F">
        <w:t>börjat en 50 § SoL-utredning. Nämnden har dock till BUP i Örebro uppgivit att det handlar om en 50 a § SoL-utredning, – – –.</w:t>
      </w:r>
    </w:p>
    <w:p w:rsidR="009C1C5A" w:rsidRPr="00896D4F" w:rsidRDefault="009C1C5A">
      <w:pPr>
        <w:pStyle w:val="Citatindrag"/>
        <w:rPr>
          <w:sz w:val="20"/>
        </w:rPr>
      </w:pPr>
      <w:r w:rsidRPr="00896D4F">
        <w:t>Förutom att det är ytterst olämpligt och direkt skadligt för ett barn att det pågår två parallella utredningar om det, synes, med beaktande av JK:s ovan nämnda beslut, socialnämndens beslut sakna laglig grund.</w:t>
      </w:r>
    </w:p>
    <w:p w:rsidR="009C1C5A" w:rsidRPr="00896D4F" w:rsidRDefault="009C1C5A">
      <w:pPr>
        <w:pStyle w:val="Citatindrag"/>
        <w:rPr>
          <w:sz w:val="20"/>
        </w:rPr>
      </w:pPr>
      <w:r w:rsidRPr="00896D4F">
        <w:t>Tingsrätten hemställer därför att JK överväger huruvida socialnämndens i Örebro redan vidtagna och tillämnade åtgärder kan anses lagliga och förenliga med ba</w:t>
      </w:r>
      <w:r w:rsidRPr="00896D4F">
        <w:t>r</w:t>
      </w:r>
      <w:r w:rsidRPr="00896D4F">
        <w:t>nets bästa.</w:t>
      </w:r>
    </w:p>
    <w:p w:rsidR="009C1C5A" w:rsidRPr="00896D4F" w:rsidRDefault="009C1C5A">
      <w:pPr>
        <w:pStyle w:val="Citat"/>
      </w:pPr>
      <w:r w:rsidRPr="00896D4F">
        <w:t>Av särskilt intresse för tingsrätten är följande frågeställningar.</w:t>
      </w:r>
    </w:p>
    <w:p w:rsidR="009C1C5A" w:rsidRPr="00896D4F" w:rsidRDefault="009C1C5A">
      <w:pPr>
        <w:pStyle w:val="Citat"/>
        <w:ind w:left="227" w:hanging="227"/>
      </w:pPr>
      <w:r w:rsidRPr="00896D4F">
        <w:t>1.</w:t>
      </w:r>
      <w:r w:rsidRPr="00896D4F">
        <w:tab/>
        <w:t>Har socialnämnden i Örebro, då både barnet och vårdnadshavaren finns i Gällivare, laglig rätt att vidta åtgärder avseende barnet, eller är detta en uppgift förbehållet socialnämnden i Gäll</w:t>
      </w:r>
      <w:r w:rsidRPr="00896D4F">
        <w:t>i</w:t>
      </w:r>
      <w:r w:rsidRPr="00896D4F">
        <w:t>vare?</w:t>
      </w:r>
    </w:p>
    <w:p w:rsidR="009C1C5A" w:rsidRPr="00896D4F" w:rsidRDefault="009C1C5A">
      <w:pPr>
        <w:pStyle w:val="Citat"/>
        <w:ind w:left="227" w:hanging="227"/>
        <w:jc w:val="left"/>
        <w:rPr>
          <w:sz w:val="20"/>
        </w:rPr>
      </w:pPr>
      <w:r w:rsidRPr="00896D4F">
        <w:rPr>
          <w:sz w:val="20"/>
        </w:rPr>
        <w:t>2.</w:t>
      </w:r>
      <w:r w:rsidRPr="00896D4F">
        <w:rPr>
          <w:sz w:val="20"/>
        </w:rPr>
        <w:tab/>
        <w:t xml:space="preserve">Kan </w:t>
      </w:r>
      <w:r w:rsidRPr="00896D4F">
        <w:t>socialnämnden</w:t>
      </w:r>
      <w:r w:rsidRPr="00896D4F">
        <w:rPr>
          <w:sz w:val="20"/>
        </w:rPr>
        <w:t>, när förhållanden enligt 50 a § SoL inte föreligger (barnets liv och hälsa är enligt tingsrättens utredning inte i fara), bortse från tingsrättens och hovrättens ställningstaganden och agera mot do</w:t>
      </w:r>
      <w:r w:rsidRPr="00896D4F">
        <w:rPr>
          <w:sz w:val="20"/>
        </w:rPr>
        <w:t>m</w:t>
      </w:r>
      <w:r w:rsidRPr="00896D4F">
        <w:rPr>
          <w:sz w:val="20"/>
        </w:rPr>
        <w:t>stolarnas beslut, d v s vems beslut har parterna i ett pågående vår</w:t>
      </w:r>
      <w:r w:rsidRPr="00896D4F">
        <w:rPr>
          <w:sz w:val="20"/>
        </w:rPr>
        <w:t>d</w:t>
      </w:r>
      <w:r w:rsidRPr="00896D4F">
        <w:rPr>
          <w:sz w:val="20"/>
        </w:rPr>
        <w:t>nads-mål att rätta sig efter, domstolarnas eller socialnämndens b</w:t>
      </w:r>
      <w:r w:rsidRPr="00896D4F">
        <w:rPr>
          <w:sz w:val="20"/>
        </w:rPr>
        <w:t>e</w:t>
      </w:r>
      <w:r w:rsidRPr="00896D4F">
        <w:rPr>
          <w:sz w:val="20"/>
        </w:rPr>
        <w:t>slut?</w:t>
      </w:r>
    </w:p>
    <w:p w:rsidR="009C1C5A" w:rsidRPr="00896D4F" w:rsidRDefault="009C1C5A">
      <w:pPr>
        <w:pStyle w:val="Citat"/>
        <w:ind w:left="227" w:hanging="227"/>
        <w:rPr>
          <w:sz w:val="20"/>
        </w:rPr>
      </w:pPr>
      <w:r w:rsidRPr="00896D4F">
        <w:rPr>
          <w:sz w:val="20"/>
        </w:rPr>
        <w:t>3.</w:t>
      </w:r>
      <w:r w:rsidRPr="00896D4F">
        <w:rPr>
          <w:sz w:val="20"/>
        </w:rPr>
        <w:tab/>
        <w:t>Vilka åtgärder kan och bör tingsrätten, som har att självständigt agera för barnets bästa, vidta för att förhindra att ett barn kommer till skada under ovan r</w:t>
      </w:r>
      <w:r w:rsidRPr="00896D4F">
        <w:rPr>
          <w:sz w:val="20"/>
        </w:rPr>
        <w:t>e</w:t>
      </w:r>
      <w:r w:rsidRPr="00896D4F">
        <w:rPr>
          <w:sz w:val="20"/>
        </w:rPr>
        <w:t>dovisade förhållanden?</w:t>
      </w:r>
    </w:p>
    <w:p w:rsidR="009C1C5A" w:rsidRPr="00896D4F" w:rsidRDefault="009C1C5A">
      <w:r w:rsidRPr="00896D4F">
        <w:t xml:space="preserve">– – – </w:t>
      </w:r>
    </w:p>
    <w:p w:rsidR="009C1C5A" w:rsidRPr="00896D4F" w:rsidRDefault="009C1C5A">
      <w:pPr>
        <w:pStyle w:val="Citat"/>
      </w:pPr>
      <w:r w:rsidRPr="00896D4F">
        <w:t>Avslutningsvis anmärks dels att något yttrande, någon förklaring, inte i</w:t>
      </w:r>
      <w:r w:rsidRPr="00896D4F">
        <w:t>n</w:t>
      </w:r>
      <w:r w:rsidRPr="00896D4F">
        <w:t>kommit från socialnämnden i Örebro trots föreläggande härom, dels att ting</w:t>
      </w:r>
      <w:r w:rsidRPr="00896D4F">
        <w:t>s</w:t>
      </w:r>
      <w:r w:rsidRPr="00896D4F">
        <w:t>rätten, efter sedvanlig vårdnadsutredning, kommer att kalla till huvudfö</w:t>
      </w:r>
      <w:r w:rsidRPr="00896D4F">
        <w:t>r</w:t>
      </w:r>
      <w:r w:rsidRPr="00896D4F">
        <w:t>handling i målet.</w:t>
      </w:r>
    </w:p>
    <w:p w:rsidR="009C1C5A" w:rsidRPr="00896D4F" w:rsidRDefault="009C1C5A">
      <w:r w:rsidRPr="00896D4F">
        <w:t>Under hand har inhämtats att JK den 29 februari 2000 begärt in ett yttrande från socialtjänsten i Örebro med anledning av vad Ingemar Taavola anfört om socia</w:t>
      </w:r>
      <w:r w:rsidRPr="00896D4F">
        <w:t>l</w:t>
      </w:r>
      <w:r w:rsidRPr="00896D4F">
        <w:t xml:space="preserve">nämndens agerande.  </w:t>
      </w:r>
    </w:p>
    <w:p w:rsidR="009C1C5A" w:rsidRPr="00896D4F" w:rsidRDefault="009C1C5A">
      <w:pPr>
        <w:pStyle w:val="Normaltindrag"/>
      </w:pPr>
      <w:r w:rsidRPr="00896D4F">
        <w:t xml:space="preserve">Ingemar Taavola har anfört att hans skrivelse till JK inte var avsedd som en anmälan utan att han riktat en förfrågan till JK i förhoppningen att få svar på principiellt viktiga frågor. Det var enligt hans uppfattning ointressant vem som vidtog åtgärden att skriva till JK. Bakgrunden till åtgärden var att rätten hade funnit att det var viktigt för vårdnadshavaren att veta vilket beslut som gällde. Om fadern lämnade barnet till modern som socialtjänsten i Örebro krävde skulle han bryta </w:t>
      </w:r>
      <w:r w:rsidRPr="00896D4F">
        <w:t>mot domstolarnas beslut och riskera att själv bli di</w:t>
      </w:r>
      <w:r w:rsidRPr="00896D4F">
        <w:t>s</w:t>
      </w:r>
      <w:r w:rsidRPr="00896D4F">
        <w:t>kvalificerad som vårdnadshavare. Det var således viktigt att få klarlagt vilka åtgärder som enligt JK var förenliga med ba</w:t>
      </w:r>
      <w:r w:rsidRPr="00896D4F">
        <w:t>r</w:t>
      </w:r>
      <w:r w:rsidRPr="00896D4F">
        <w:t xml:space="preserve">nets bästa.  </w:t>
      </w:r>
    </w:p>
    <w:p w:rsidR="009C1C5A" w:rsidRPr="00896D4F" w:rsidRDefault="009C1C5A">
      <w:pPr>
        <w:pStyle w:val="Normaltindrag"/>
      </w:pPr>
      <w:r w:rsidRPr="00896D4F">
        <w:t>Enligt 1 § lagen (1975:1339) om Justitiekanslerns tillsyn har JK till uppgift att utöva tillsyn över att statliga och kommunala myndigheter efterlever lagar och andra författningar samt i övrigt fullgör sina åligganden. Denna tillsyn utövas i efterhand och JK:s bedömningar grundas på resultatet av de utre</w:t>
      </w:r>
      <w:r w:rsidRPr="00896D4F">
        <w:t>d</w:t>
      </w:r>
      <w:r w:rsidRPr="00896D4F">
        <w:t>ningsåtgärder som vidtas i varje särskilt ärende. Det är däremot inte en up</w:t>
      </w:r>
      <w:r w:rsidRPr="00896D4F">
        <w:t>p</w:t>
      </w:r>
      <w:r w:rsidRPr="00896D4F">
        <w:t>gift för JK att besvara frågor från domstolar eller förvaltningsmyndigheter om hur man skall förfara i ett pågående mål eller ärende. Jag kan i detta hänsee</w:t>
      </w:r>
      <w:r w:rsidRPr="00896D4F">
        <w:t>n</w:t>
      </w:r>
      <w:r w:rsidRPr="00896D4F">
        <w:t>de hänvisa till vad som föreskrivs i 11 kap. 2 och 7 §§ regeringsformen om att ingen myndighet får bestämma hur en domstol skall döma i det enskilda fallet eller hur domstolen i övrigt skall tillämpa en rättsregel i ett särskilt fall eller hur en förvaltningsmyndighet i ett sär</w:t>
      </w:r>
      <w:r w:rsidRPr="00896D4F">
        <w:t>skilt fall skall besluta i ett ärende som rör myndighetsutövning mot enskild eller som rör ti</w:t>
      </w:r>
      <w:r w:rsidRPr="00896D4F">
        <w:t>l</w:t>
      </w:r>
      <w:r w:rsidRPr="00896D4F">
        <w:t xml:space="preserve">lämpning av lag. </w:t>
      </w:r>
    </w:p>
    <w:p w:rsidR="009C1C5A" w:rsidRPr="00896D4F" w:rsidRDefault="009C1C5A">
      <w:pPr>
        <w:pStyle w:val="Normaltindrag"/>
      </w:pPr>
      <w:r w:rsidRPr="00896D4F">
        <w:t>De frågor som Ingemar Taavola aktualiserade skulle således inte kunna behandlas av JK annat än på grundval av en utredning företagen inom ramen för ett tillsynsärende. Det kan tilläggas att Ingemar Taavolas skrivelse var utformad på sådant sätt att han borde ha insett att den av JK skulle uppfattas som en anmälan mot socialnämnden. Skrivelsen får i själva verket anses inn</w:t>
      </w:r>
      <w:r w:rsidRPr="00896D4F">
        <w:t>e</w:t>
      </w:r>
      <w:r w:rsidRPr="00896D4F">
        <w:t>fatta ett påstående om att tjänstefel kunde ha förekommit i nämndens ver</w:t>
      </w:r>
      <w:r w:rsidRPr="00896D4F">
        <w:t>k</w:t>
      </w:r>
      <w:r w:rsidRPr="00896D4F">
        <w:t>samhet. Det kan tilläggas att det beslut som Ingemar Taavola hänvisar till i sin skrivelse hade meddelats i ett tillsynsäre</w:t>
      </w:r>
      <w:r w:rsidRPr="00896D4F">
        <w:t>n</w:t>
      </w:r>
      <w:r w:rsidRPr="00896D4F">
        <w:t xml:space="preserve">de av sedvanligt slag. </w:t>
      </w:r>
    </w:p>
    <w:p w:rsidR="009C1C5A" w:rsidRPr="00896D4F" w:rsidRDefault="009C1C5A">
      <w:pPr>
        <w:pStyle w:val="Normaltindrag"/>
      </w:pPr>
      <w:r w:rsidRPr="00896D4F">
        <w:t>Det finns i och för sig inte något lagligt hinder mot att domstolar eller för-valtningsmyndigheter för prövning underställer ordinära eller extraordinära granskningsorgan andra myndigheters åtgärder som man har fått kännedom om under handläggningen av ett mål eller ärende. Man kan inte hel</w:t>
      </w:r>
      <w:r w:rsidRPr="00896D4F">
        <w:t>ler slå fast att ett sådant förfarande generellt skulle vara olämpligt. Omsorgen om do</w:t>
      </w:r>
      <w:r w:rsidRPr="00896D4F">
        <w:t>m</w:t>
      </w:r>
      <w:r w:rsidRPr="00896D4F">
        <w:t>stolsväsendets integritet kräver emellertid att en domstol vidtar en åtgärd av här diskuterat slag endast i sällsynta undantagsfall och efter noggrann efte</w:t>
      </w:r>
      <w:r w:rsidRPr="00896D4F">
        <w:t>r</w:t>
      </w:r>
      <w:r w:rsidRPr="00896D4F">
        <w:t>tanke (jfr JO 1990/91 s. 29). Domstolen måste när den tar ställning i en sådan fråga alltid beakta risken för att dess opartiskhet kommer att ifrågasättas. Det står däremot självfallet parter och deras ombud fritt att när som helst initiera tillsynsärenden hos ordinära</w:t>
      </w:r>
      <w:r w:rsidRPr="00896D4F">
        <w:t xml:space="preserve"> eller extraordinära tillsynso</w:t>
      </w:r>
      <w:r w:rsidRPr="00896D4F">
        <w:t>r</w:t>
      </w:r>
      <w:r w:rsidRPr="00896D4F">
        <w:t xml:space="preserve">gan.  </w:t>
      </w:r>
    </w:p>
    <w:p w:rsidR="009C1C5A" w:rsidRPr="00896D4F" w:rsidRDefault="009C1C5A">
      <w:pPr>
        <w:pStyle w:val="Normaltindrag"/>
        <w:rPr>
          <w:i/>
        </w:rPr>
      </w:pPr>
      <w:r w:rsidRPr="00896D4F">
        <w:t>Till skillnad från Ingemar Taavola anser jag således att det inte är ointre</w:t>
      </w:r>
      <w:r w:rsidRPr="00896D4F">
        <w:t>s</w:t>
      </w:r>
      <w:r w:rsidRPr="00896D4F">
        <w:t xml:space="preserve">sant om det är rätten eller t.ex. en part som under pågående handläggning av ett mål vänder sig till JK med frågor av det här aktuella slaget. Av Ingemar Taavolas yttrande framgår att hans åtgärd att skriva till JK till en del vidtogs i den ena partens intresse. Den måste redan av detta skäl betraktas som klart olämplig. </w:t>
      </w:r>
    </w:p>
    <w:p w:rsidR="009C1C5A" w:rsidRPr="00896D4F" w:rsidRDefault="009C1C5A">
      <w:pPr>
        <w:pStyle w:val="Rubrik4"/>
      </w:pPr>
      <w:r w:rsidRPr="00896D4F">
        <w:t>Åtgärden att bifoga socialnämndernas journalanteckningar till tingsrättens beslut (remissfråga 8)</w:t>
      </w:r>
    </w:p>
    <w:p w:rsidR="009C1C5A" w:rsidRPr="00896D4F" w:rsidRDefault="009C1C5A">
      <w:r w:rsidRPr="00896D4F">
        <w:t>Som sagts i det föregående begärde S. i början av januari 2000 att socialfö</w:t>
      </w:r>
      <w:r w:rsidRPr="00896D4F">
        <w:t>r</w:t>
      </w:r>
      <w:r w:rsidRPr="00896D4F">
        <w:t>valtningarna i Örebro och Gällivare skulle föreläggas att svara på vissa frågor, varefter tingsrätten den sjunde i samma månad förelade socialnämnderna att svara på dessa. Socialnämnderna besvarade föreläggandena genom skrivelser som kom in till tingsrätten den 21 januari respektive den 24 januari 2000. Till skrivelserna hade nämnderna fogat kopior av journalanteckningar. Genom ett beslut den 25 januari 2000 överflyttade tingsrätten sedan interimistiskt vår</w:t>
      </w:r>
      <w:r w:rsidRPr="00896D4F">
        <w:t>d</w:t>
      </w:r>
      <w:r w:rsidRPr="00896D4F">
        <w:t>naden om W. till S. Till beslutet fogade tingsrät</w:t>
      </w:r>
      <w:r w:rsidRPr="00896D4F">
        <w:t>ten bl.a. kopior av journala</w:t>
      </w:r>
      <w:r w:rsidRPr="00896D4F">
        <w:t>n</w:t>
      </w:r>
      <w:r w:rsidRPr="00896D4F">
        <w:t>teckningarna.</w:t>
      </w:r>
    </w:p>
    <w:p w:rsidR="009C1C5A" w:rsidRPr="00896D4F" w:rsidRDefault="009C1C5A">
      <w:pPr>
        <w:pStyle w:val="Normaltindrag"/>
      </w:pPr>
      <w:r w:rsidRPr="00896D4F">
        <w:t>Ingemar Taavola har anfört att han på grund av tidsbrist ibland använder sig av systemet med protokolls- och domsbilagor, eftersom det är viktigt att redovisa hela beslutsunderlaget. Han har vidare uppgett att sekretess inte förelåg i målet beträffande de aktuella journalkopiorna, eftersom ingen part hade begärt det. Även om en sekretessprövning enligt 9 kap. 15 § sekretessl</w:t>
      </w:r>
      <w:r w:rsidRPr="00896D4F">
        <w:t>a</w:t>
      </w:r>
      <w:r w:rsidRPr="00896D4F">
        <w:t>gen skulle ha varit aktuell, var vidare enligt hans mening uppgifterna i jou</w:t>
      </w:r>
      <w:r w:rsidRPr="00896D4F">
        <w:t>r</w:t>
      </w:r>
      <w:r w:rsidRPr="00896D4F">
        <w:t>nalanteckningarna inte av sådant slag att de skulle kunna anses vara omfatt</w:t>
      </w:r>
      <w:r w:rsidRPr="00896D4F">
        <w:t>a</w:t>
      </w:r>
      <w:r w:rsidRPr="00896D4F">
        <w:t xml:space="preserve">de av sekretess. </w:t>
      </w:r>
    </w:p>
    <w:p w:rsidR="009C1C5A" w:rsidRPr="00896D4F" w:rsidRDefault="009C1C5A">
      <w:pPr>
        <w:pStyle w:val="Normaltindrag"/>
      </w:pPr>
      <w:r w:rsidRPr="00896D4F">
        <w:t>I 9 kap. 15 § sekretesslagen regleras sekretessen hos domstol i fyra typer av familjerättsliga mål eller ärenden, däribland mål enligt föräldrabalken. För dessa mål gäller sekretess för uppgifter om enskildas personliga eller ekon</w:t>
      </w:r>
      <w:r w:rsidRPr="00896D4F">
        <w:t>o</w:t>
      </w:r>
      <w:r w:rsidRPr="00896D4F">
        <w:t>miska förhållanden om part begär det och det kan antas att den enskilde eller någon honom närstående lider skada eller men om uppgiften röjs. Av 12 kap. 4 § första stycket samma lag framgår att sekretess för uppgift i mål eller äre</w:t>
      </w:r>
      <w:r w:rsidRPr="00896D4F">
        <w:t>n</w:t>
      </w:r>
      <w:r w:rsidRPr="00896D4F">
        <w:t xml:space="preserve">de i domstols rättskipande eller rättsvårdande verksamhet upphör att gälla, om uppgiften tas in i dom eller annat beslut i samma mål eller ärende.  </w:t>
      </w:r>
    </w:p>
    <w:p w:rsidR="009C1C5A" w:rsidRPr="00896D4F" w:rsidRDefault="009C1C5A">
      <w:pPr>
        <w:pStyle w:val="Normaltindrag"/>
      </w:pPr>
      <w:r w:rsidRPr="00896D4F">
        <w:t>I 17 kap. 13 § rättegångsbalken föreskrivs att ett beslut som inte är slutligt skall i den utsträckning det behövs ange de skäl so</w:t>
      </w:r>
      <w:r w:rsidRPr="00896D4F">
        <w:t>m det grundas på.</w:t>
      </w:r>
    </w:p>
    <w:p w:rsidR="009C1C5A" w:rsidRPr="00896D4F" w:rsidRDefault="009C1C5A">
      <w:pPr>
        <w:pStyle w:val="Normaltindrag"/>
      </w:pPr>
      <w:r w:rsidRPr="00896D4F">
        <w:t>Ingemar Taavola har anfört att ingen av parterna hade begärt att sekretess skulle gälla för uppgifterna i journalanteckningarna. Det bör emellertid not</w:t>
      </w:r>
      <w:r w:rsidRPr="00896D4F">
        <w:t>e</w:t>
      </w:r>
      <w:r w:rsidRPr="00896D4F">
        <w:t>ras att anteckningarna kom in till tingsrätten dagen innan respektive fyra dagar innan beslutet meddelades. Det finns vidare varken på dagboksbladet eller i akten någon uppgift om att A. hade fått del av anteckningarna eller på något annat sätt fått uppgift om att dessa kommit in till tingsrätten. Huruvida hon av socialnämnderna eller på annat sätt fått klart för sig att anteckningarna skulle komma att skickas till tingsrätten framgår inte heller. Det här anförda leder till slutsatsen att hon i själva verk</w:t>
      </w:r>
      <w:r w:rsidRPr="00896D4F">
        <w:t>et inte haft någon reell möjlighet att begära att sekretessen skulle bestå. Tingsrätten borde självfallet inom ramen för sin processledning ha gett  A. til</w:t>
      </w:r>
      <w:r w:rsidRPr="00896D4F">
        <w:t>l</w:t>
      </w:r>
      <w:r w:rsidRPr="00896D4F">
        <w:t>fälle att begära att sekretess skulle gälla.</w:t>
      </w:r>
    </w:p>
    <w:p w:rsidR="009C1C5A" w:rsidRPr="00896D4F" w:rsidRDefault="009C1C5A">
      <w:pPr>
        <w:pStyle w:val="Normaltindrag"/>
      </w:pPr>
      <w:r w:rsidRPr="00896D4F">
        <w:t>Även om sekretess inte gäller för vissa uppgifter kan det vara mindre lämpligt att de ingår som en del av ett beslut på sätt som skett. Journalhan</w:t>
      </w:r>
      <w:r w:rsidRPr="00896D4F">
        <w:t>d</w:t>
      </w:r>
      <w:r w:rsidRPr="00896D4F">
        <w:t>lingar från socia</w:t>
      </w:r>
      <w:r w:rsidRPr="00896D4F">
        <w:t>l</w:t>
      </w:r>
      <w:r w:rsidRPr="00896D4F">
        <w:t xml:space="preserve">tjänsten innehåller vanligen integritetskänsliga uppgifter. </w:t>
      </w:r>
    </w:p>
    <w:p w:rsidR="009C1C5A" w:rsidRPr="00896D4F" w:rsidRDefault="009C1C5A">
      <w:pPr>
        <w:pStyle w:val="Normaltindrag"/>
        <w:rPr>
          <w:i/>
        </w:rPr>
      </w:pPr>
      <w:r w:rsidRPr="00896D4F">
        <w:t>I förevarande fall flyttade tingsrätten genom det aktuella beslutet inter</w:t>
      </w:r>
      <w:r w:rsidRPr="00896D4F">
        <w:t>i</w:t>
      </w:r>
      <w:r w:rsidRPr="00896D4F">
        <w:t>mistiskt över vårdnaden om sonen från modern till fadern. Enligt Ingemar Taavola var det därför viktigt att parterna fick klart för sig de skäl som ting</w:t>
      </w:r>
      <w:r w:rsidRPr="00896D4F">
        <w:t>s</w:t>
      </w:r>
      <w:r w:rsidRPr="00896D4F">
        <w:t>rätten grundade sitt beslut på. De uppgifter som bedömdes vara av betydelse för beslutets innehåll finns emellertid utförligt redovisade i det protokoll som upprättades. Mot denna bakgrund och med hänsyn till journalanteckningarnas integritetskänsliga natur framstår det därför som både onödigt och olämpligt att på sätt som skett foga dessa som bilagor till</w:t>
      </w:r>
      <w:r w:rsidRPr="00896D4F">
        <w:t xml:space="preserve"> protoko</w:t>
      </w:r>
      <w:r w:rsidRPr="00896D4F">
        <w:t>l</w:t>
      </w:r>
      <w:r w:rsidRPr="00896D4F">
        <w:t>let.</w:t>
      </w:r>
    </w:p>
    <w:p w:rsidR="009C1C5A" w:rsidRPr="00896D4F" w:rsidRDefault="009C1C5A">
      <w:pPr>
        <w:pStyle w:val="Rubrik4"/>
      </w:pPr>
      <w:r w:rsidRPr="00896D4F">
        <w:t>Överväganden beträffande avfattningen av ett beslut (remissfråga 9)</w:t>
      </w:r>
    </w:p>
    <w:p w:rsidR="009C1C5A" w:rsidRPr="00896D4F" w:rsidRDefault="009C1C5A">
      <w:r w:rsidRPr="00896D4F">
        <w:t>I ett beslut den 9 mars 2000 förordnade tingsrätten bl.a. interimistiskt att A. ägde rätt till övervakat umgänge med sonen dagtid i Gällivare efter särskild överen</w:t>
      </w:r>
      <w:r w:rsidRPr="00896D4F">
        <w:t>s</w:t>
      </w:r>
      <w:r w:rsidRPr="00896D4F">
        <w:t>kommelse med socialförvaltningen i Gällivare och S.</w:t>
      </w:r>
    </w:p>
    <w:p w:rsidR="009C1C5A" w:rsidRPr="00896D4F" w:rsidRDefault="009C1C5A">
      <w:pPr>
        <w:pStyle w:val="Normaltindrag"/>
      </w:pPr>
      <w:r w:rsidRPr="00896D4F">
        <w:t>Hovrätten för Övre Norrland undanröjde beslutet den 7 april 2000 och u</w:t>
      </w:r>
      <w:r w:rsidRPr="00896D4F">
        <w:t>t</w:t>
      </w:r>
      <w:r w:rsidRPr="00896D4F">
        <w:t>talade därvid att tingsrätten i det överklagade beslutet i praktiken överlåtit beslutanderätten om när och i vilken omfattning umgänge skulle äga rum till socialförvaltningen och fadern samt att ett sådant förordnande fick anses sakna stöd i lag. Vidare uttalade hovrätten att det borde ankomma på ting</w:t>
      </w:r>
      <w:r w:rsidRPr="00896D4F">
        <w:t>s</w:t>
      </w:r>
      <w:r w:rsidRPr="00896D4F">
        <w:t>rätten att på nytt ta ställning till i vilken omfattning u</w:t>
      </w:r>
      <w:r w:rsidRPr="00896D4F">
        <w:t>m</w:t>
      </w:r>
      <w:r w:rsidRPr="00896D4F">
        <w:t xml:space="preserve">gänge skulle ske. </w:t>
      </w:r>
    </w:p>
    <w:p w:rsidR="009C1C5A" w:rsidRPr="00896D4F" w:rsidRDefault="009C1C5A">
      <w:pPr>
        <w:pStyle w:val="Normaltindrag"/>
        <w:rPr>
          <w:i/>
        </w:rPr>
      </w:pPr>
      <w:r w:rsidRPr="00896D4F">
        <w:t>Sedan hovrätten prövat tingsrättens beslut finner jag inte skäl att göra n</w:t>
      </w:r>
      <w:r w:rsidRPr="00896D4F">
        <w:t>å</w:t>
      </w:r>
      <w:r w:rsidRPr="00896D4F">
        <w:t>got utt</w:t>
      </w:r>
      <w:r w:rsidRPr="00896D4F">
        <w:t>a</w:t>
      </w:r>
      <w:r w:rsidRPr="00896D4F">
        <w:t xml:space="preserve">lande i saken. </w:t>
      </w:r>
    </w:p>
    <w:p w:rsidR="009C1C5A" w:rsidRPr="00896D4F" w:rsidRDefault="009C1C5A">
      <w:pPr>
        <w:pStyle w:val="Rubrik4"/>
      </w:pPr>
      <w:r w:rsidRPr="00896D4F">
        <w:t>Handläggningen i övrigt (remissfrågorna 10–12)</w:t>
      </w:r>
    </w:p>
    <w:p w:rsidR="009C1C5A" w:rsidRPr="00896D4F" w:rsidRDefault="009C1C5A">
      <w:r w:rsidRPr="00896D4F">
        <w:t>Stämningsansökan kom in till tingsrätten i september 1997. Det året höll tingsrätten två sammanträden för muntlig förberedelse, och under 1998 hölls ytterligare fyra. Därefter har förberedelsen, i vart fall fram till september 2000, varit skriftlig. I februari 2000 bestod akten av 185 aktbilagor. Av han</w:t>
      </w:r>
      <w:r w:rsidRPr="00896D4F">
        <w:t>d</w:t>
      </w:r>
      <w:r w:rsidRPr="00896D4F">
        <w:t>lingarna kan man utläsa att tingsrätten i stor utsträckning bedrivit förberede</w:t>
      </w:r>
      <w:r w:rsidRPr="00896D4F">
        <w:t>l</w:t>
      </w:r>
      <w:r w:rsidRPr="00896D4F">
        <w:t>sen på så sätt att en handling som kommit in från en av parternas ombud har skickats över till motpartsombudet med tillfälle för denne att yttra sig. Däru</w:t>
      </w:r>
      <w:r w:rsidRPr="00896D4F">
        <w:t>t</w:t>
      </w:r>
      <w:r w:rsidRPr="00896D4F">
        <w:t>över har, som närmare redovisats i det föregående, utredning inhämtats g</w:t>
      </w:r>
      <w:r w:rsidRPr="00896D4F">
        <w:t>e</w:t>
      </w:r>
      <w:r w:rsidRPr="00896D4F">
        <w:t xml:space="preserve">nom att socialnämnder och andra myndigheter vid flera tillfällen förelagts att yttra sig. </w:t>
      </w:r>
    </w:p>
    <w:p w:rsidR="009C1C5A" w:rsidRPr="00896D4F" w:rsidRDefault="009C1C5A">
      <w:pPr>
        <w:pStyle w:val="Normaltindrag"/>
      </w:pPr>
      <w:r w:rsidRPr="00896D4F">
        <w:t>Redan vid sammanträdet för muntlig förberedelse i november 1997 fra</w:t>
      </w:r>
      <w:r w:rsidRPr="00896D4F">
        <w:t>m</w:t>
      </w:r>
      <w:r w:rsidRPr="00896D4F">
        <w:t>ställde S. ett yrkande att tingsrätten skulle förordna att en vårdnadsutredning verkställdes. Yrkandet återkallades vid sammanträdet sedan parterna träffat överenskommelse rörande visst umgänge. I augusti 1998 hemställde A. att tingsrätten skulle inhämta utredning om vilket umgänge som var mest före</w:t>
      </w:r>
      <w:r w:rsidRPr="00896D4F">
        <w:t>n</w:t>
      </w:r>
      <w:r w:rsidRPr="00896D4F">
        <w:t xml:space="preserve">ligt med sonens bästa. S. bestred yrkandet. Tingsrätten uttalade i beslut den 1 september 1998 att det inte behövdes någon utredning i detta avseende. I oktober hemställde S. att tingsrätten skulle förordna om </w:t>
      </w:r>
      <w:r w:rsidRPr="00896D4F">
        <w:t>en vårdnadsutre</w:t>
      </w:r>
      <w:r w:rsidRPr="00896D4F">
        <w:t>d</w:t>
      </w:r>
      <w:r w:rsidRPr="00896D4F">
        <w:t>ning. A. tillstyrkte hans begäran. Parterna var emellertid oense om var utre</w:t>
      </w:r>
      <w:r w:rsidRPr="00896D4F">
        <w:t>d</w:t>
      </w:r>
      <w:r w:rsidRPr="00896D4F">
        <w:t>ningen skulle äga rum. Yrkandet framställdes ånyo vid ett sammanträde för muntlig förberedelse i november 1998. Tingsrätten beslutade därefter att inhämta yttrande från BUP beträffande vissa frågeställningar. I beslutet a</w:t>
      </w:r>
      <w:r w:rsidRPr="00896D4F">
        <w:t>n</w:t>
      </w:r>
      <w:r w:rsidRPr="00896D4F">
        <w:t>gavs också att ett förordnande om vårdnadsutredning borde anstå till dess att ett yttrande kommit in från BUP. Ett sådant yttrande kom in cirka tio månader senare. Något förordnande om vårdnadsutre</w:t>
      </w:r>
      <w:r w:rsidRPr="00896D4F">
        <w:t>dning meddelades inte. Den 10 februari 2000 framställde S. på nytt ett yrkande om att tingsrätten skulle fö</w:t>
      </w:r>
      <w:r w:rsidRPr="00896D4F">
        <w:t>r</w:t>
      </w:r>
      <w:r w:rsidRPr="00896D4F">
        <w:t xml:space="preserve">ordna att en vårdnadsutredning skulle verkställas.  </w:t>
      </w:r>
    </w:p>
    <w:p w:rsidR="009C1C5A" w:rsidRPr="00896D4F" w:rsidRDefault="009C1C5A">
      <w:pPr>
        <w:pStyle w:val="Normaltindrag"/>
      </w:pPr>
      <w:r w:rsidRPr="00896D4F">
        <w:t>Av ett dagboksblad som inhämtats i mars 2002 framgår att akten numera innehåller 350 aktbilagor samt att vårdnadsutredningar från socialförvaltnin</w:t>
      </w:r>
      <w:r w:rsidRPr="00896D4F">
        <w:t>g</w:t>
      </w:r>
      <w:r w:rsidRPr="00896D4F">
        <w:t>arna i Gäll</w:t>
      </w:r>
      <w:r w:rsidRPr="00896D4F">
        <w:t>i</w:t>
      </w:r>
      <w:r w:rsidRPr="00896D4F">
        <w:t xml:space="preserve">vare och Örebro kom in till tingsrätten i juli 2001.      </w:t>
      </w:r>
    </w:p>
    <w:p w:rsidR="009C1C5A" w:rsidRPr="00896D4F" w:rsidRDefault="009C1C5A">
      <w:pPr>
        <w:pStyle w:val="Normaltindrag"/>
      </w:pPr>
      <w:r w:rsidRPr="00896D4F">
        <w:t>Ingemar Taavola har beträffande handläggningen i dessa avseenden anfört i huvudsak följande. Han ansåg inte att det var nödvändigt med ytterligare muntliga förberedelser efter de sex som förevarit, eftersom moderns agerande gick ut på att störa och hindra barnet från att umgås med sin far och domst</w:t>
      </w:r>
      <w:r w:rsidRPr="00896D4F">
        <w:t>o</w:t>
      </w:r>
      <w:r w:rsidRPr="00896D4F">
        <w:t>larna koncentrerat sig på att tillgodose barnets behov av en god och nära kontakt med den andre fö</w:t>
      </w:r>
      <w:r w:rsidRPr="00896D4F">
        <w:t>r</w:t>
      </w:r>
      <w:r w:rsidRPr="00896D4F">
        <w:t>äldern.</w:t>
      </w:r>
    </w:p>
    <w:p w:rsidR="009C1C5A" w:rsidRPr="00896D4F" w:rsidRDefault="009C1C5A">
      <w:pPr>
        <w:pStyle w:val="Normaltindrag"/>
      </w:pPr>
      <w:r w:rsidRPr="00896D4F">
        <w:t>Vidare har han uppgett att det var tänkt att en vårdnadsutredning skulle i</w:t>
      </w:r>
      <w:r w:rsidRPr="00896D4F">
        <w:t>n</w:t>
      </w:r>
      <w:r w:rsidRPr="00896D4F">
        <w:t>hämtas när barnet genomgått BUP-utredning. Sedan den utredningen slutförts fanns det emellertid inte skäl att förordna om ytterligare utredning. Efter år</w:t>
      </w:r>
      <w:r w:rsidRPr="00896D4F">
        <w:t>s</w:t>
      </w:r>
      <w:r w:rsidRPr="00896D4F">
        <w:t>skiftet 1999/2000 blev barnet föremål för en polisutredning och därefter flera utredningar inom socialtjänsten. Det hade inte varit bra för barnet att i det läget förordna om ytterligare utredning.</w:t>
      </w:r>
    </w:p>
    <w:p w:rsidR="009C1C5A" w:rsidRPr="00896D4F" w:rsidRDefault="009C1C5A">
      <w:pPr>
        <w:pStyle w:val="Normaltindrag"/>
      </w:pPr>
      <w:r w:rsidRPr="00896D4F">
        <w:t>Han har därutöver anfört att vissa vårdnadsmål kräver en längre handläg</w:t>
      </w:r>
      <w:r w:rsidRPr="00896D4F">
        <w:t>g</w:t>
      </w:r>
      <w:r w:rsidRPr="00896D4F">
        <w:t>ningstid och att det inte är ovanligt i infekterade vårdnadsmål med en han</w:t>
      </w:r>
      <w:r w:rsidRPr="00896D4F">
        <w:t>d</w:t>
      </w:r>
      <w:r w:rsidRPr="00896D4F">
        <w:t>läggningstid som i detta mål. Det är oftast de svåraste och besvärligaste fallen som tas upp och prövas av domstolarna, av vilka dock endast ett fåtal kräver en handläggningstid på flera år, eftersom det i merparten av fallen går att nå frivilliga överenskomme</w:t>
      </w:r>
      <w:r w:rsidRPr="00896D4F">
        <w:t>l</w:t>
      </w:r>
      <w:r w:rsidRPr="00896D4F">
        <w:t xml:space="preserve">ser.   </w:t>
      </w:r>
    </w:p>
    <w:p w:rsidR="009C1C5A" w:rsidRPr="00896D4F" w:rsidRDefault="009C1C5A">
      <w:pPr>
        <w:pStyle w:val="Normaltindrag"/>
      </w:pPr>
      <w:r w:rsidRPr="00896D4F">
        <w:t>I 42 kap. 6 § tredje stycket rättegångsbalken föreskrivs att rätten skall driva förberedelsen med inriktning på ett snabbt avgörande av målet. Bestämmelsen innebär att</w:t>
      </w:r>
      <w:r w:rsidRPr="00896D4F">
        <w:t xml:space="preserve"> ansvaret för att handläggningen av målet fortskrider ligger på rätten. Detta gäller såväl dispositiva som indispositiva tvistemål. När det gäller familjemålen är det givetvis önskvärt att föräldrar ges möjlighet att komma till samförståndslösningar till gagn för barnets bästa. Detta kan mot</w:t>
      </w:r>
      <w:r w:rsidRPr="00896D4F">
        <w:t>i</w:t>
      </w:r>
      <w:r w:rsidRPr="00896D4F">
        <w:t>vera att handläggningen av målet avstannar under viss kortare tid. I vissa av de tvister som förs till domstol är förutsättningarna för samförståndslösningar emellertid inte för handen. Rätten måste då inrikta sina anst</w:t>
      </w:r>
      <w:r w:rsidRPr="00896D4F">
        <w:t>rängningar på att bereda målet för ett skyndsamt avgörande. För att detta resultat skall kunna uppnås är det nödvändigt att rätten under förberedelsen agerar med fasthet vid utövandet av såväl formell som materiell processle</w:t>
      </w:r>
      <w:r w:rsidRPr="00896D4F">
        <w:t>d</w:t>
      </w:r>
      <w:r w:rsidRPr="00896D4F">
        <w:t>ning.</w:t>
      </w:r>
    </w:p>
    <w:p w:rsidR="009C1C5A" w:rsidRPr="00896D4F" w:rsidRDefault="009C1C5A">
      <w:pPr>
        <w:pStyle w:val="Normaltindrag"/>
      </w:pPr>
      <w:r w:rsidRPr="00896D4F">
        <w:t xml:space="preserve">Av utredningen framgår att tingsrätten under det första året, från september 1997 t.o.m. augusti 1998, höll fem sammanträden för muntlig förberedelse, varav det sista fick ställas in på grund av den ena partens sjukdom. Vid de fyra första sammanträdena bereddes parterna tillfälle </w:t>
      </w:r>
      <w:r w:rsidRPr="00896D4F">
        <w:t>till diskussioner under rättens ledning. Vid varje sådant tillfälle överenskom parterna också om u</w:t>
      </w:r>
      <w:r w:rsidRPr="00896D4F">
        <w:t>m</w:t>
      </w:r>
      <w:r w:rsidRPr="00896D4F">
        <w:t>gänge mellan S. och sonen för viss kortare tidsp</w:t>
      </w:r>
      <w:r w:rsidRPr="00896D4F">
        <w:t>e</w:t>
      </w:r>
      <w:r w:rsidRPr="00896D4F">
        <w:t>riod.</w:t>
      </w:r>
    </w:p>
    <w:p w:rsidR="009C1C5A" w:rsidRPr="00896D4F" w:rsidRDefault="009C1C5A">
      <w:pPr>
        <w:pStyle w:val="Normaltindrag"/>
      </w:pPr>
      <w:r w:rsidRPr="00896D4F">
        <w:t>I vart fall efter ett par sammanträden borde det ha stått klart att förutsät</w:t>
      </w:r>
      <w:r w:rsidRPr="00896D4F">
        <w:t>t</w:t>
      </w:r>
      <w:r w:rsidRPr="00896D4F">
        <w:t>ningar för en varaktig samförståndslösning inte förelåg. Tingsrätten borde då ha koncentrerat förberedelsen med sikte på ett snabbt avgörande av målet. I stället har rätten föranstaltat om en omfattande skriftväxling samt inhämtat information från socialnämnderna m.fl. genom att förelägga dessa att besvara frågor. Vårdnadsutredning i målet kom in först i juli 2001, nästan fyra år efter det att målet anhängiggjordes. Om tingsrätten på ett tidigare stadium hade förordnat om en vårdnadsutredning finns det anl</w:t>
      </w:r>
      <w:r w:rsidRPr="00896D4F">
        <w:t xml:space="preserve">edning att anta att flera av de förhållanden som tingsrätten velat få belysta genom föreläggandena till olika myndigheter hade kunnat komma fram. </w:t>
      </w:r>
    </w:p>
    <w:p w:rsidR="009C1C5A" w:rsidRPr="00896D4F" w:rsidRDefault="009C1C5A">
      <w:pPr>
        <w:pStyle w:val="Normaltindrag"/>
      </w:pPr>
      <w:r w:rsidRPr="00896D4F">
        <w:t>Under denna utredning hade även parterna kunnat komma till tals och framföra sina sy</w:t>
      </w:r>
      <w:r w:rsidRPr="00896D4F">
        <w:t>n</w:t>
      </w:r>
      <w:r w:rsidRPr="00896D4F">
        <w:t>punkter och sin uppfattning i olika frågor.</w:t>
      </w:r>
    </w:p>
    <w:p w:rsidR="009C1C5A" w:rsidRPr="00896D4F" w:rsidRDefault="009C1C5A">
      <w:pPr>
        <w:pStyle w:val="Normaltindrag"/>
        <w:rPr>
          <w:i/>
        </w:rPr>
      </w:pPr>
      <w:r w:rsidRPr="00896D4F">
        <w:t>Handläggningen har nu pågått i fyra och ett halvt år och ännu har målet inte kommit till ett avgörande. W. som när målet anhängiggjordes var knappt två år gammal kommer i år att fylla sju år. Förhållandet mellan parterna i en tvist beträffande vårdnad om barn är inte sällan infekterat, vilket i sig ställer höga krav på rättens processledning. Jag konstaterar att tingsrätten i förev</w:t>
      </w:r>
      <w:r w:rsidRPr="00896D4F">
        <w:t>a</w:t>
      </w:r>
      <w:r w:rsidRPr="00896D4F">
        <w:t>rande mål allvarligt har brustit i detta avseende genom att inte bedriva förb</w:t>
      </w:r>
      <w:r w:rsidRPr="00896D4F">
        <w:t>e</w:t>
      </w:r>
      <w:r w:rsidRPr="00896D4F">
        <w:t xml:space="preserve">redelsen med den koncentration och skyndsamhet som förhållandena krävt. Det är fullständigt oacceptabelt att ett vårdnadsmål drar ut på tiden på det sätt som skett. </w:t>
      </w:r>
    </w:p>
    <w:p w:rsidR="009C1C5A" w:rsidRPr="00896D4F" w:rsidRDefault="009C1C5A">
      <w:pPr>
        <w:pStyle w:val="Rubrik4"/>
      </w:pPr>
      <w:r w:rsidRPr="00896D4F">
        <w:t>Avslutande synpunkter</w:t>
      </w:r>
    </w:p>
    <w:p w:rsidR="009C1C5A" w:rsidRPr="00896D4F" w:rsidRDefault="009C1C5A">
      <w:r w:rsidRPr="00896D4F">
        <w:t>A. har i sin anmälan till JO uppgett att hon upplevt att tingsrätten endast gått motparten till mötes. Som framgår av den kritik som jag har funnit skäl att rikta mot Ingemar Taavolas handläggning framstår en sådan uppfattning inte som helt obefogad, och den får ytterligare stöd genom det sätt på vilket Ing</w:t>
      </w:r>
      <w:r w:rsidRPr="00896D4F">
        <w:t>e</w:t>
      </w:r>
      <w:r w:rsidRPr="00896D4F">
        <w:t xml:space="preserve">mar Taavola i sitt yttrande till JO riktat kritik mot A. </w:t>
      </w:r>
    </w:p>
    <w:p w:rsidR="009C1C5A" w:rsidRPr="00896D4F" w:rsidRDefault="009C1C5A">
      <w:pPr>
        <w:pStyle w:val="Normaltindrag"/>
      </w:pPr>
      <w:r w:rsidRPr="00896D4F">
        <w:t>Det är av grundläggande betydelse för förtroendet för rättsväsendet att en domare under handläggningen av ett mål i alla hänseenden uppträder på s</w:t>
      </w:r>
      <w:r w:rsidRPr="00896D4F">
        <w:t>å</w:t>
      </w:r>
      <w:r w:rsidRPr="00896D4F">
        <w:t>dant sätt att det inte finns befogad anledning att ifrågasätta rättens objektivitet och opartiskhet. Med anledning av vad Ingemar Taavola anfört i sitt yttrande till JO att en annan domare nu övertagit handläggningen av målet och att någon jävssituation därför inte kan uppkomma med anledning av JO:s remiss vill jag särskilt framhålla att det är ett tjänsteåliggande för en befattningshav</w:t>
      </w:r>
      <w:r w:rsidRPr="00896D4F">
        <w:t>a</w:t>
      </w:r>
      <w:r w:rsidRPr="00896D4F">
        <w:t>re vid en myndighet att på begäran yttra sig till JO. Den som avger ett sådant yttrande är således skyldig att beakta vad</w:t>
      </w:r>
      <w:r w:rsidRPr="00896D4F">
        <w:t xml:space="preserve"> som föreskrivs i 1 kap. 9 § rege</w:t>
      </w:r>
      <w:r w:rsidRPr="00896D4F">
        <w:t>r</w:t>
      </w:r>
      <w:r w:rsidRPr="00896D4F">
        <w:t>ingsformen om att domstolar samt förvaltningsmyndigheter och andra som fullgör uppgifter inom den offentliga förvaltningen i sin verksamhet skall beakta allas likhet inför lagen samt iaktta saklighet och opartis</w:t>
      </w:r>
      <w:r w:rsidRPr="00896D4F">
        <w:t>k</w:t>
      </w:r>
      <w:r w:rsidRPr="00896D4F">
        <w:t xml:space="preserve">het. </w:t>
      </w:r>
    </w:p>
    <w:p w:rsidR="009C1C5A" w:rsidRPr="00896D4F" w:rsidRDefault="009C1C5A">
      <w:pPr>
        <w:pStyle w:val="Normaltindrag"/>
      </w:pPr>
      <w:r w:rsidRPr="00896D4F">
        <w:t>Som framgår av vad som sagts i det föregående har handläggningen vid tingsrätten varit behäftad med åtskilliga fel och brister i väsentliga avseenden. För dessa fel och brister förtjänar Ingemar Taavola allvarlig kritik. Med detta uttalande a</w:t>
      </w:r>
      <w:r w:rsidRPr="00896D4F">
        <w:t>v</w:t>
      </w:r>
      <w:r w:rsidRPr="00896D4F">
        <w:t xml:space="preserve">slutar jag ärendet. </w:t>
      </w:r>
    </w:p>
    <w:p w:rsidR="009C1C5A" w:rsidRPr="00896D4F" w:rsidRDefault="009C1C5A">
      <w:pPr>
        <w:pStyle w:val="Rubrik2"/>
      </w:pPr>
      <w:r w:rsidRPr="00896D4F">
        <w:br w:type="page"/>
        <w:t xml:space="preserve">En tingsrätt hade förvägrat allmänheten tillträde till en byggnad där rättegång pågick </w:t>
      </w:r>
    </w:p>
    <w:p w:rsidR="009C1C5A" w:rsidRPr="00896D4F" w:rsidRDefault="009C1C5A">
      <w:pPr>
        <w:spacing w:before="0"/>
      </w:pPr>
      <w:r w:rsidRPr="00896D4F">
        <w:t>(Dnr 828-2001)</w:t>
      </w:r>
    </w:p>
    <w:p w:rsidR="009C1C5A" w:rsidRPr="00896D4F" w:rsidRDefault="009C1C5A">
      <w:pPr>
        <w:pStyle w:val="Rubrik3"/>
      </w:pPr>
      <w:r w:rsidRPr="00896D4F">
        <w:t>Bakgrund</w:t>
      </w:r>
    </w:p>
    <w:p w:rsidR="009C1C5A" w:rsidRPr="00896D4F" w:rsidRDefault="009C1C5A">
      <w:r w:rsidRPr="00896D4F">
        <w:t xml:space="preserve">I en artikel i Svenska Dagbladet uppgavs att Huddinge tingsrätt beslutat att varken journalister eller allmänheten skulle få komma in i den byggnad på Bergsgatan i Stockholm där en rättegång pågick. </w:t>
      </w:r>
    </w:p>
    <w:p w:rsidR="009C1C5A" w:rsidRPr="00896D4F" w:rsidRDefault="009C1C5A">
      <w:pPr>
        <w:pStyle w:val="Normaltindrag"/>
      </w:pPr>
      <w:r w:rsidRPr="00896D4F">
        <w:t>Med anledning av vad som hade anförts i tidningsartikeln beslutade</w:t>
      </w:r>
      <w:r w:rsidRPr="00896D4F">
        <w:rPr>
          <w:i/>
        </w:rPr>
        <w:t xml:space="preserve"> chefs-JO Eklundh </w:t>
      </w:r>
      <w:r w:rsidRPr="00896D4F">
        <w:t>att ta upp förhå</w:t>
      </w:r>
      <w:r w:rsidRPr="00896D4F">
        <w:t>l</w:t>
      </w:r>
      <w:r w:rsidRPr="00896D4F">
        <w:t>landena till utredning i ett särskilt ärende.</w:t>
      </w:r>
    </w:p>
    <w:p w:rsidR="009C1C5A" w:rsidRPr="00896D4F" w:rsidRDefault="009C1C5A">
      <w:pPr>
        <w:pStyle w:val="Normaltindrag"/>
      </w:pPr>
      <w:r w:rsidRPr="00896D4F">
        <w:t>Ett utdrag ur Huddinge tingsrätts protokoll den 31 januari och beslut den 1 februari 2001 i mål B 4144-00 samt Svea hovrätts beslut den 7 februari 2001 i mål Ö 949-01 infordrades och granskades.</w:t>
      </w:r>
    </w:p>
    <w:p w:rsidR="009C1C5A" w:rsidRPr="00896D4F" w:rsidRDefault="009C1C5A">
      <w:r w:rsidRPr="00896D4F">
        <w:t>I beslutet den 1 februari 2001 anförde tingsrätten följande.</w:t>
      </w:r>
    </w:p>
    <w:p w:rsidR="009C1C5A" w:rsidRPr="00896D4F" w:rsidRDefault="009C1C5A">
      <w:pPr>
        <w:pStyle w:val="Citat"/>
      </w:pPr>
      <w:r w:rsidRPr="00896D4F">
        <w:t>I rubricerat mål som gäller ansvar för bl.a. mord som handläggs i Stockholms tingsrätts förhandlingslokaler vid Bergsgatan 50 i Stockholm har Huddinge tingsätt fattat beslut om säkerhetskontroll och senare förordnat att målet i dess helhet skall hållas inom stängda dörrar med stöd av 27 § lagen med särskilda bestämmelser om unga lagöverträdare. Bl.a. ICW och BB har begärt att de skall ”få tillgång till sina arbetslokaler” vid Berg</w:t>
      </w:r>
      <w:r w:rsidRPr="00896D4F">
        <w:t>s</w:t>
      </w:r>
      <w:r w:rsidRPr="00896D4F">
        <w:t>gatan.</w:t>
      </w:r>
    </w:p>
    <w:p w:rsidR="009C1C5A" w:rsidRPr="00896D4F" w:rsidRDefault="009C1C5A">
      <w:pPr>
        <w:pStyle w:val="Citat"/>
      </w:pPr>
      <w:r w:rsidRPr="00896D4F">
        <w:t>Det har upplysts att Stockholms tingsrätt upplåtit bl.a. sex arbetsrum åt jou</w:t>
      </w:r>
      <w:r w:rsidRPr="00896D4F">
        <w:t>r</w:t>
      </w:r>
      <w:r w:rsidRPr="00896D4F">
        <w:t>nalister för att dispon</w:t>
      </w:r>
      <w:r w:rsidRPr="00896D4F">
        <w:t>e</w:t>
      </w:r>
      <w:r w:rsidRPr="00896D4F">
        <w:t>ras i samband med rättegångar.</w:t>
      </w:r>
    </w:p>
    <w:p w:rsidR="009C1C5A" w:rsidRPr="00896D4F" w:rsidRDefault="009C1C5A">
      <w:pPr>
        <w:pStyle w:val="Rubrik5"/>
        <w:spacing w:before="250"/>
      </w:pPr>
      <w:r w:rsidRPr="00896D4F">
        <w:t>Beslut</w:t>
      </w:r>
    </w:p>
    <w:p w:rsidR="009C1C5A" w:rsidRPr="00896D4F" w:rsidRDefault="009C1C5A">
      <w:pPr>
        <w:pStyle w:val="Citat"/>
      </w:pPr>
      <w:r w:rsidRPr="00896D4F">
        <w:t>Huddinge tingsrätt har förordnat att huvudförhandlingen skall hållas inom stängda dörrar. Mål mot unga, då det gäller ansvar för brott för vilket fängelse kan följa, skall sättas ut till handläggning i sådan ordning att målet inte tilldrar sig uppmärksamhet. I lokalerna vid Bergsgatan hålls inga andra förhandlingar och bedrivs – vid de tider Huddinge tingsrätt håller huvudförhandling i målet – ingen annan domstolsverksamhet än handläggningen av detta mål.</w:t>
      </w:r>
    </w:p>
    <w:p w:rsidR="009C1C5A" w:rsidRPr="00896D4F" w:rsidRDefault="009C1C5A">
      <w:pPr>
        <w:pStyle w:val="Citatindrag"/>
      </w:pPr>
      <w:r w:rsidRPr="00896D4F">
        <w:t>Vid angivna förhållanden finner Huddinge tingsrätt – med beaktande även av att ordningen utanför lokalerna vid Bergsgatan störts i sådan omfattning att det påverkat handläggningen av målet – att det saknas beaktansvärda skäl att under de tider huvudförhandlingen i målet pågår bereda allmänheten tillträde till lokalerna på Bergsgatan.</w:t>
      </w:r>
    </w:p>
    <w:p w:rsidR="009C1C5A" w:rsidRPr="00896D4F" w:rsidRDefault="009C1C5A">
      <w:pPr>
        <w:pStyle w:val="Citatindrag"/>
      </w:pPr>
      <w:r w:rsidRPr="00896D4F">
        <w:t>Frågan är då om det finns anledning att särbehandla journalister. Det fö</w:t>
      </w:r>
      <w:r w:rsidRPr="00896D4F">
        <w:t>r</w:t>
      </w:r>
      <w:r w:rsidRPr="00896D4F">
        <w:t>hållandet att Stockholms tingsrätt upplåtit vissa rum till journalister medför inte att de under alla förhållanden har rätt att disponera dessa rum.</w:t>
      </w:r>
    </w:p>
    <w:p w:rsidR="009C1C5A" w:rsidRPr="00896D4F" w:rsidRDefault="009C1C5A">
      <w:pPr>
        <w:pStyle w:val="Citatindrag"/>
      </w:pPr>
      <w:r w:rsidRPr="00896D4F">
        <w:t>På grund härav och då det i övrigt saknas anledning att i detta samma</w:t>
      </w:r>
      <w:r w:rsidRPr="00896D4F">
        <w:t>n</w:t>
      </w:r>
      <w:r w:rsidRPr="00896D4F">
        <w:t>hang särskilja journalister finner Huddinge tingsrätt inte anledning att tillåta att just journalister bereds tillträde till lokalerna vid Bergsgatan.</w:t>
      </w:r>
    </w:p>
    <w:p w:rsidR="009C1C5A" w:rsidRPr="00896D4F" w:rsidRDefault="009C1C5A">
      <w:pPr>
        <w:pStyle w:val="Citatindrag"/>
      </w:pPr>
      <w:r w:rsidRPr="00896D4F">
        <w:t>Tingsrätten utgår därvid från att oavsett detta beslut enskilda journalister även under huvudförhandlingen kan få tillgång till sådan egendom som tillhör dem och förvaras i lokalerna vid Berg</w:t>
      </w:r>
      <w:r w:rsidRPr="00896D4F">
        <w:t>s</w:t>
      </w:r>
      <w:r w:rsidRPr="00896D4F">
        <w:t>gatan.</w:t>
      </w:r>
    </w:p>
    <w:p w:rsidR="009C1C5A" w:rsidRPr="00896D4F" w:rsidRDefault="009C1C5A">
      <w:r w:rsidRPr="00896D4F">
        <w:t>Sedan B.B. överklagat tingsrättens beslut avvisade Svea hovrätt överklaga</w:t>
      </w:r>
      <w:r w:rsidRPr="00896D4F">
        <w:t>n</w:t>
      </w:r>
      <w:r w:rsidRPr="00896D4F">
        <w:t>det genom ett beslut den 7 februari 2001. Under rubriken Hovrättens mot</w:t>
      </w:r>
      <w:r w:rsidRPr="00896D4F">
        <w:t>i</w:t>
      </w:r>
      <w:r w:rsidRPr="00896D4F">
        <w:t>vering anförde hovrätten bl.a. följande.</w:t>
      </w:r>
    </w:p>
    <w:p w:rsidR="009C1C5A" w:rsidRPr="00896D4F" w:rsidRDefault="009C1C5A">
      <w:pPr>
        <w:pStyle w:val="Citat"/>
      </w:pPr>
      <w:r w:rsidRPr="00896D4F">
        <w:t>Tingsrätten har i det överklagade beslutet angett förhållanden i målet som rör frågor om sekretess och handläggning som regleras i lagen (1964:167) med särskilda bestämmelser om unga lagöverträdare och om ordningshållning som regleras i rättegångsbalken, närmast 5 kap. 9 §. Det ligger, enligt hovrättens mening, därmed nära till hands att uppfatta beslutet som lagtillämpning i målet. Tingsrättens</w:t>
      </w:r>
      <w:r w:rsidRPr="00896D4F">
        <w:t xml:space="preserve"> ställningstagande kan emellertid också uppfattas som ett i administrativ ordning fattat beslut rörande användningen av de aktuella lok</w:t>
      </w:r>
      <w:r w:rsidRPr="00896D4F">
        <w:t>a</w:t>
      </w:r>
      <w:r w:rsidRPr="00896D4F">
        <w:t>lerna, dvs, ett civilrättsligt grundat besked av den som förfogar över lokale</w:t>
      </w:r>
      <w:r w:rsidRPr="00896D4F">
        <w:t>r</w:t>
      </w:r>
      <w:r w:rsidRPr="00896D4F">
        <w:t>na.</w:t>
      </w:r>
    </w:p>
    <w:p w:rsidR="009C1C5A" w:rsidRPr="00896D4F" w:rsidRDefault="009C1C5A">
      <w:pPr>
        <w:pStyle w:val="Citat"/>
      </w:pPr>
      <w:r w:rsidRPr="00896D4F">
        <w:t>Hovrätten anser att – oavsett huruvida det överklagade beslutet innefattar lagtillämpning eller ett besked som nyss har sagts – beslutet inte är ett sådant beslut som kan överklagas till hovrätten. Överklagandet skall dä</w:t>
      </w:r>
      <w:r w:rsidRPr="00896D4F">
        <w:t>r</w:t>
      </w:r>
      <w:r w:rsidRPr="00896D4F">
        <w:t>för avvisas.</w:t>
      </w:r>
    </w:p>
    <w:p w:rsidR="009C1C5A" w:rsidRPr="00896D4F" w:rsidRDefault="009C1C5A">
      <w:pPr>
        <w:pStyle w:val="Rubrik3"/>
      </w:pPr>
      <w:r w:rsidRPr="00896D4F">
        <w:t>Utredningen</w:t>
      </w:r>
    </w:p>
    <w:p w:rsidR="009C1C5A" w:rsidRPr="00896D4F" w:rsidRDefault="009C1C5A">
      <w:r w:rsidRPr="00896D4F">
        <w:t>Tingsrätten anmodades att lämna upplysningar och avge yttrande över den rättsliga grunden för beslutet den 1 februari 2001 att inte bereda allmänheten tillträde till byggnaden på Bergsgatan 50 i Stockholm.</w:t>
      </w:r>
    </w:p>
    <w:p w:rsidR="009C1C5A" w:rsidRPr="00896D4F" w:rsidRDefault="009C1C5A">
      <w:pPr>
        <w:pStyle w:val="Normaltindrag"/>
      </w:pPr>
      <w:r w:rsidRPr="00896D4F">
        <w:t>Lagmannen Alf Andersson kom in med ett remissvar till vilket hade fogats ett yttrande från rådmannen Klas Widström.</w:t>
      </w:r>
    </w:p>
    <w:p w:rsidR="009C1C5A" w:rsidRPr="00896D4F" w:rsidRDefault="009C1C5A">
      <w:pPr>
        <w:pStyle w:val="Rubrik5"/>
      </w:pPr>
      <w:r w:rsidRPr="00896D4F">
        <w:t xml:space="preserve">Klas Widström </w:t>
      </w:r>
    </w:p>
    <w:p w:rsidR="009C1C5A" w:rsidRPr="00896D4F" w:rsidRDefault="009C1C5A">
      <w:pPr>
        <w:pStyle w:val="Citat"/>
      </w:pPr>
      <w:r w:rsidRPr="00896D4F">
        <w:t>Tingsrätten hade på begäran av två av de tilltalades offentliga försvarare och efter att ha hört åklagaren, målsägandebiträdet och de övriga försvararna beslutat att förhandlingen som gällde ansvar för mord, misshandel och grov misshandel med stöd av bestämmelserna i lagen med särskilda bestämmelser om unga lagöverträ</w:t>
      </w:r>
      <w:r w:rsidRPr="00896D4F">
        <w:softHyphen/>
        <w:t>dare (LUL) skulle hållas inom stängda dörrar. En omstä</w:t>
      </w:r>
      <w:r w:rsidRPr="00896D4F">
        <w:t>n</w:t>
      </w:r>
      <w:r w:rsidRPr="00896D4F">
        <w:t>dighet som tingsrätten vägde in vid sitt beslut var att, enligt vad som redan då framkommit, den för mord åtalade personen före gärningen inte haft något samröre med merparten av de i målet i övrigt åtalade personerna, av vilka flera bara var 15 år gamla.</w:t>
      </w:r>
    </w:p>
    <w:p w:rsidR="009C1C5A" w:rsidRPr="00896D4F" w:rsidRDefault="009C1C5A">
      <w:pPr>
        <w:pStyle w:val="Citatindrag"/>
      </w:pPr>
      <w:r w:rsidRPr="00896D4F">
        <w:t>Vid detta förhållande fann jag innan förhandlingen den första dagen p</w:t>
      </w:r>
      <w:r w:rsidRPr="00896D4F">
        <w:t>å</w:t>
      </w:r>
      <w:r w:rsidRPr="00896D4F">
        <w:t>börjades – efter samråd med den polisman som jag uppfattade förde befäl över den polisper</w:t>
      </w:r>
      <w:r w:rsidRPr="00896D4F">
        <w:softHyphen/>
        <w:t>sonal som skötte säkerhetskontrollerna vid förhandlingen – att det inte fanns skäl att bereda allmänheten tillträde till de för dem avsedda uppehållsrummen. Ingen annan verksamhet än den aktuella förhandlingen bedrevs ju då i lokalerna. Enligt min uppfattning då fanns det ingen beaktans-värd anledning att bereda allmänheten tillträde till dessa lokaler i och med att förhandlingen – i vart fall i det skedet – i dess he</w:t>
      </w:r>
      <w:r w:rsidRPr="00896D4F">
        <w:t>lhet skulle hållas inom stängda dörrar. Jag drog därvid en parallell med att tingsrätten normalt inte håller dessa lokaler öppna för allmänheten när det inte förekommer några förhandlingar. Vid den tiden var det inte känt för mig att jour</w:t>
      </w:r>
      <w:r w:rsidRPr="00896D4F">
        <w:softHyphen/>
        <w:t>nalister hade tillgång till vissa lokaler i anslutning till allmänhetens uppehållsrum. Det bör även framhållas att hallen, dvs utrymmet mellan ytterdörren och platsen för säkerhetskontroll, inte stängdes av. Uppropslistor och andra meddelanden fanns således tillgängliga fö</w:t>
      </w:r>
      <w:r w:rsidRPr="00896D4F">
        <w:t>r al</w:t>
      </w:r>
      <w:r w:rsidRPr="00896D4F">
        <w:t>l</w:t>
      </w:r>
      <w:r w:rsidRPr="00896D4F">
        <w:t>mänheten.</w:t>
      </w:r>
    </w:p>
    <w:p w:rsidR="009C1C5A" w:rsidRPr="00896D4F" w:rsidRDefault="009C1C5A">
      <w:pPr>
        <w:pStyle w:val="Citatindrag"/>
      </w:pPr>
      <w:r w:rsidRPr="00896D4F">
        <w:t>Sedan bl a ICW och BB begärt att ”få tillgång till sina arbetslokaler” vid Bergsgatan fann jag att det var lämpligt att i ett skriftligt beslut redovisa stäl</w:t>
      </w:r>
      <w:r w:rsidRPr="00896D4F">
        <w:t>l</w:t>
      </w:r>
      <w:r w:rsidRPr="00896D4F">
        <w:t>ningstagandet. Inför det beslutet samrådde jag med tingsrättens lag</w:t>
      </w:r>
      <w:r w:rsidRPr="00896D4F">
        <w:softHyphen/>
        <w:t>man.</w:t>
      </w:r>
    </w:p>
    <w:p w:rsidR="009C1C5A" w:rsidRPr="00896D4F" w:rsidRDefault="009C1C5A">
      <w:pPr>
        <w:pStyle w:val="Citatindrag"/>
      </w:pPr>
      <w:r w:rsidRPr="00896D4F">
        <w:t>Rättens ordförande har att upprätthålla ordningen vid sammanträden och meddela de föreskrifter som behövs. Det förhållandet att vissa av de tilltalade den första förhandlingsdagen, efter vad som upplystes, inte kunde komma in i lokalerna i tid på grund av tumult på Bergsgatan förändrade inte min uppfat</w:t>
      </w:r>
      <w:r w:rsidRPr="00896D4F">
        <w:t>t</w:t>
      </w:r>
      <w:r w:rsidRPr="00896D4F">
        <w:t>ning om det lämp</w:t>
      </w:r>
      <w:r w:rsidRPr="00896D4F">
        <w:softHyphen/>
        <w:t>liga i beslutet. Det kan nämnas att de tilltalade som var på fri fot, tillsammans med sina anhöriga därefter genom polisens försorg bere</w:t>
      </w:r>
      <w:r w:rsidRPr="00896D4F">
        <w:t>d</w:t>
      </w:r>
      <w:r w:rsidRPr="00896D4F">
        <w:t>des tillträde till lokalerna från en sidoi</w:t>
      </w:r>
      <w:r w:rsidRPr="00896D4F">
        <w:t>n</w:t>
      </w:r>
      <w:r w:rsidRPr="00896D4F">
        <w:t>gång.</w:t>
      </w:r>
    </w:p>
    <w:p w:rsidR="009C1C5A" w:rsidRPr="00896D4F" w:rsidRDefault="009C1C5A">
      <w:pPr>
        <w:pStyle w:val="Citatindrag"/>
      </w:pPr>
      <w:r w:rsidRPr="00896D4F">
        <w:t>Jag vill sammanfattningsvis framhålla: Ordningsfrågan var således inte avgörande för mitt ställningstagande utan jag styrdes av den uppfattningen att de lokaler som det var fråga om skall hållas öppna i den omfattning som b</w:t>
      </w:r>
      <w:r w:rsidRPr="00896D4F">
        <w:t>e</w:t>
      </w:r>
      <w:r w:rsidRPr="00896D4F">
        <w:t>hövs för att tillgodose kravet på offentlighet vid rättegångar. Den aktuella förhandlingen skulle hållas inom stängda dörrar till följd av att det inte fanns skäl att då bereda allmänheten tillträde till den del av lokalerna som är beläg-en innanför zonen för säkerhetskon</w:t>
      </w:r>
      <w:r w:rsidRPr="00896D4F">
        <w:softHyphen/>
        <w:t>troller. Ett visst stöd för mitt ställningst</w:t>
      </w:r>
      <w:r w:rsidRPr="00896D4F">
        <w:t>a</w:t>
      </w:r>
      <w:r w:rsidRPr="00896D4F">
        <w:t>gande tycker jag mig få i det resonemang som förs i prop 2000/01, om Säke</w:t>
      </w:r>
      <w:r w:rsidRPr="00896D4F">
        <w:t>r</w:t>
      </w:r>
      <w:r w:rsidRPr="00896D4F">
        <w:t>hetskontroll i domstol, särskilt sid 29.</w:t>
      </w:r>
    </w:p>
    <w:p w:rsidR="009C1C5A" w:rsidRPr="00896D4F" w:rsidRDefault="009C1C5A">
      <w:pPr>
        <w:pStyle w:val="Rubrik5"/>
      </w:pPr>
      <w:r w:rsidRPr="00896D4F">
        <w:t>Alf Andersson</w:t>
      </w:r>
    </w:p>
    <w:p w:rsidR="009C1C5A" w:rsidRPr="00896D4F" w:rsidRDefault="009C1C5A">
      <w:pPr>
        <w:pStyle w:val="Citat"/>
      </w:pPr>
      <w:r w:rsidRPr="00896D4F">
        <w:t>JO har frågat efter den rättsliga grunden för tingsrättens beslut att inte bereda all</w:t>
      </w:r>
      <w:r w:rsidRPr="00896D4F">
        <w:softHyphen/>
        <w:t>mänheten tillträde till byggnaden på Bergsgatan 50 vid huvudförhand</w:t>
      </w:r>
      <w:r w:rsidRPr="00896D4F">
        <w:softHyphen/>
        <w:t>lingen i mål 4144-00.</w:t>
      </w:r>
    </w:p>
    <w:p w:rsidR="009C1C5A" w:rsidRPr="00896D4F" w:rsidRDefault="009C1C5A">
      <w:pPr>
        <w:pStyle w:val="Citatindrag"/>
      </w:pPr>
      <w:r w:rsidRPr="00896D4F">
        <w:t>De regler som är relevanta och klara inom området avser i första hand or</w:t>
      </w:r>
      <w:r w:rsidRPr="00896D4F">
        <w:t>d</w:t>
      </w:r>
      <w:r w:rsidRPr="00896D4F">
        <w:t>ning och säkerhet i förhandlingssalar. Några motsvarande bestämmelser som tar sikte på lokaler i anslutning till förhandlingssalar finns inte. Självklart är emellertid att allmänheten skall beredas tillträde till angränsande lokaler i sådan utsträckning att principen om domstolsförhandlingars offentlighet al</w:t>
      </w:r>
      <w:r w:rsidRPr="00896D4F">
        <w:t>d</w:t>
      </w:r>
      <w:r w:rsidRPr="00896D4F">
        <w:t>rig träds för när.</w:t>
      </w:r>
    </w:p>
    <w:p w:rsidR="009C1C5A" w:rsidRPr="00896D4F" w:rsidRDefault="009C1C5A">
      <w:pPr>
        <w:pStyle w:val="Citatindrag"/>
      </w:pPr>
      <w:r w:rsidRPr="00896D4F">
        <w:t>När det gäller överväganden i mål 4144-00 överlämnar jag rådmannen Klas Wid</w:t>
      </w:r>
      <w:r w:rsidRPr="00896D4F">
        <w:softHyphen/>
        <w:t>ströms yttrande. Jag delar de uppfattningar som kommer till uttryck där och menar alltså att allmänheten har haft tillgång till t ex uppropslistor och andra meddelan</w:t>
      </w:r>
      <w:r w:rsidRPr="00896D4F">
        <w:softHyphen/>
        <w:t>den på sådant sätt att offentlighets</w:t>
      </w:r>
      <w:r w:rsidRPr="00896D4F">
        <w:softHyphen/>
        <w:t>princi</w:t>
      </w:r>
      <w:r w:rsidRPr="00896D4F">
        <w:softHyphen/>
        <w:t>pen har upprät</w:t>
      </w:r>
      <w:r w:rsidRPr="00896D4F">
        <w:t>t</w:t>
      </w:r>
      <w:r w:rsidRPr="00896D4F">
        <w:t>hå</w:t>
      </w:r>
      <w:r w:rsidRPr="00896D4F">
        <w:t>l</w:t>
      </w:r>
      <w:r w:rsidRPr="00896D4F">
        <w:t>lits.</w:t>
      </w:r>
    </w:p>
    <w:p w:rsidR="009C1C5A" w:rsidRPr="00896D4F" w:rsidRDefault="009C1C5A">
      <w:pPr>
        <w:pStyle w:val="Citatindrag"/>
      </w:pPr>
      <w:r w:rsidRPr="00896D4F">
        <w:t>För egen del kan jag tillägga att även faktorer som ordning och säkerhet hade kunnat ligga till grund för ett motsvarande beslut.</w:t>
      </w:r>
    </w:p>
    <w:p w:rsidR="009C1C5A" w:rsidRPr="00896D4F" w:rsidRDefault="009C1C5A">
      <w:r w:rsidRPr="00896D4F">
        <w:t xml:space="preserve">I ett beslut den 16 april 2002 anförde </w:t>
      </w:r>
      <w:r w:rsidRPr="00896D4F">
        <w:rPr>
          <w:i/>
        </w:rPr>
        <w:t>chefsJO Eklundh</w:t>
      </w:r>
      <w:r w:rsidRPr="00896D4F">
        <w:t xml:space="preserve"> följande.</w:t>
      </w:r>
    </w:p>
    <w:p w:rsidR="009C1C5A" w:rsidRPr="00896D4F" w:rsidRDefault="009C1C5A">
      <w:pPr>
        <w:pStyle w:val="Rubrik3"/>
      </w:pPr>
      <w:r w:rsidRPr="00896D4F">
        <w:t>Rättslig reglering</w:t>
      </w:r>
    </w:p>
    <w:p w:rsidR="009C1C5A" w:rsidRPr="00896D4F" w:rsidRDefault="009C1C5A">
      <w:r w:rsidRPr="00896D4F">
        <w:t>Av 2 kap. 11 § andra stycket och 12 § regeringsformen framgår att en fö</w:t>
      </w:r>
      <w:r w:rsidRPr="00896D4F">
        <w:t>r</w:t>
      </w:r>
      <w:r w:rsidRPr="00896D4F">
        <w:t>handling vid domstol skall vara offentlig om inte annat föreskrivits i lag. Principen om offentlighet vid domstolsförhandlingar upprepas i 5 kap. 1 § första stycket rättegångsbalken (RB). Denna princip är dock inte oinskränkt. Rättens ordförande har t.ex. rätt att med stöd av 5 kap. 9 § RB begränsa ant</w:t>
      </w:r>
      <w:r w:rsidRPr="00896D4F">
        <w:t>a</w:t>
      </w:r>
      <w:r w:rsidRPr="00896D4F">
        <w:t>let åhörare i rättssalen för att undvika trängsel och att enligt 5 kap. 2 § samma balk vägra yngre åhörare tillträde till förhandlingen. Rätten kan även med stöd av 36 kap. 18 § och 37 kap. 3 § RB i särskilt</w:t>
      </w:r>
      <w:r w:rsidRPr="00896D4F">
        <w:t xml:space="preserve"> fall förordna att en viss åhörare inte får närvara vid förhör med ett vittne, en part eller en målsägande som inte har ställning som part i målet.</w:t>
      </w:r>
    </w:p>
    <w:p w:rsidR="009C1C5A" w:rsidRPr="00896D4F" w:rsidRDefault="009C1C5A">
      <w:pPr>
        <w:pStyle w:val="Normaltindrag"/>
      </w:pPr>
      <w:r w:rsidRPr="00896D4F">
        <w:t>I 5 kap. 1 § andra–fjärde styckena RB föreskrivs vissa ytterligare undantag från offentlighetsprincipen. Undantagen innebär att rätten kan besluta att en förhandling skall hållas inom stängda dörrar och därmed att personer stängs ute från förhandlingen. Rätten får sålunda av sekretesskäl besluta om fö</w:t>
      </w:r>
      <w:r w:rsidRPr="00896D4F">
        <w:t>r</w:t>
      </w:r>
      <w:r w:rsidRPr="00896D4F">
        <w:t>handling inom stängda dörrar. Det föreskrivs vidare att förhör med en person som är under 15 år eller som lider av en psykisk störning får hållas utan åh</w:t>
      </w:r>
      <w:r w:rsidRPr="00896D4F">
        <w:t>ö</w:t>
      </w:r>
      <w:r w:rsidRPr="00896D4F">
        <w:t>rare och att regler om förhandlingar inom stängda dörrar i andra författningar skall gälla när det är sä</w:t>
      </w:r>
      <w:r w:rsidRPr="00896D4F">
        <w:t>r</w:t>
      </w:r>
      <w:r w:rsidRPr="00896D4F">
        <w:t>skilt föreskrivet.</w:t>
      </w:r>
    </w:p>
    <w:p w:rsidR="009C1C5A" w:rsidRPr="00896D4F" w:rsidRDefault="009C1C5A">
      <w:pPr>
        <w:pStyle w:val="Normaltindrag"/>
      </w:pPr>
      <w:r w:rsidRPr="00896D4F">
        <w:t>I 27 § första stycket lagen (1964:167) med särskilda bestämmelser om unga lagöverträdare sägs att mål mot den som inte fyllt 21 år om möjligt skall sättas ut till handläggning i sådan ordning att målet inte tilldrar sig uppmär</w:t>
      </w:r>
      <w:r w:rsidRPr="00896D4F">
        <w:t>k</w:t>
      </w:r>
      <w:r w:rsidRPr="00896D4F">
        <w:t>samhet, om målet avser brott på vilket fängelse kan följa. Om offentlighet vid en sådan förhandling är till uppenbar olägenhet till följd av den uppmärksa</w:t>
      </w:r>
      <w:r w:rsidRPr="00896D4F">
        <w:t>m</w:t>
      </w:r>
      <w:r w:rsidRPr="00896D4F">
        <w:t>het den tilltalade kan antas bli föremål för, får rätten enligt paragrafens andra stycke förordna att målet skall handläggas inom stängda dörrar.</w:t>
      </w:r>
    </w:p>
    <w:p w:rsidR="009C1C5A" w:rsidRPr="00896D4F" w:rsidRDefault="009C1C5A">
      <w:pPr>
        <w:pStyle w:val="Normaltindrag"/>
      </w:pPr>
      <w:r w:rsidRPr="00896D4F">
        <w:t>Enligt 5 kap. 9 § RB ankommer det på rättens ordförande att upprätthålla ordningen vid rättens sammanträden och meddela de föreskrifter som behövs. Ordföranden får vidare, med stöd av paragrafen, visa ut den so</w:t>
      </w:r>
      <w:r w:rsidRPr="00896D4F">
        <w:t>m stör fö</w:t>
      </w:r>
      <w:r w:rsidRPr="00896D4F">
        <w:t>r</w:t>
      </w:r>
      <w:r w:rsidRPr="00896D4F">
        <w:t>handlingen eller på annat sätt uppträder otillbörligt. Om någon som har visats ut tränger sig in i rättssalen eller om någon inte lyder en tillsägelse som har meddelats för att upprätthålla ordningen, får rätten omedelbart häkta personen så länge sammanträdet varar, dock högst i tre dagar. I paragrafen föreskrivs också att fotografi inte får tas i rättssalen. Sistnämnda gäller dock endast under tid då förhandling pågår.</w:t>
      </w:r>
    </w:p>
    <w:p w:rsidR="009C1C5A" w:rsidRPr="00896D4F" w:rsidRDefault="009C1C5A">
      <w:r w:rsidRPr="00896D4F">
        <w:t xml:space="preserve">Bestämmelser om straff för ordningsstörande beteende i domstol finns i 9 kap. </w:t>
      </w:r>
      <w:r w:rsidRPr="00896D4F">
        <w:t>5 § RB.</w:t>
      </w:r>
    </w:p>
    <w:p w:rsidR="009C1C5A" w:rsidRPr="00896D4F" w:rsidRDefault="009C1C5A">
      <w:r w:rsidRPr="00896D4F">
        <w:t>Vid tidpunkten för den i ärendet aktuella åtgärden gällde lagen (1981:1064) om säkerhetskontroll vid domstolsförhandlingar. Förutsättningen för att s</w:t>
      </w:r>
      <w:r w:rsidRPr="00896D4F">
        <w:t>ä</w:t>
      </w:r>
      <w:r w:rsidRPr="00896D4F">
        <w:t>kerhetskontroll enligt den lagen skulle få ske var att det till följd av särskilda omständigheter fanns risk för att det i samband med en domstolsförhandling kunde komma att förövas brott som innebar en allvarlig fara för någons liv, hälsa eller frihet eller för omfattande förstörelse av egendom. Kontrollen skedde i form av kroppsvisitation och omfattade åhörare och dem som hade kallats att närvara vid förhandlingen. Vissa närmare angivna personkategorier var undantagna från kravet på kontroll. Den åhörare</w:t>
      </w:r>
      <w:r w:rsidRPr="00896D4F">
        <w:t xml:space="preserve"> som inte underkastade sig säkerhetskontrollen skulle vägras tillträde till förhandlingen.</w:t>
      </w:r>
    </w:p>
    <w:p w:rsidR="009C1C5A" w:rsidRPr="00896D4F" w:rsidRDefault="009C1C5A">
      <w:r w:rsidRPr="00896D4F">
        <w:t xml:space="preserve">Den 1 juli 2001 trädde ändringar i den nyss nämnda lagen i kraft och lagen gavs i samband därmed också en ny rubrik (SFS 2001:180). </w:t>
      </w:r>
    </w:p>
    <w:p w:rsidR="009C1C5A" w:rsidRPr="00896D4F" w:rsidRDefault="009C1C5A">
      <w:r w:rsidRPr="00896D4F">
        <w:t>Bestämmelser om åtgärder vid allvarliga störningar av den allmänna ordnin</w:t>
      </w:r>
      <w:r w:rsidRPr="00896D4F">
        <w:t>g</w:t>
      </w:r>
      <w:r w:rsidRPr="00896D4F">
        <w:t>en eller säkerheten finns i polislagen (1984:387). I 24 § föreskrivs att poli</w:t>
      </w:r>
      <w:r w:rsidRPr="00896D4F">
        <w:t>s</w:t>
      </w:r>
      <w:r w:rsidRPr="00896D4F">
        <w:t>myndigheten i samband med allvarliga störningar av den allmänna ordningen eller säkerheten får förbjuda tillträde till visst område eller utrymme, om det är nödvändigt för att ordningen eller säkerheten skall kunna upprätthållas. Detsamma gäller om det finns risk för såd</w:t>
      </w:r>
      <w:r w:rsidRPr="00896D4F">
        <w:t>a</w:t>
      </w:r>
      <w:r w:rsidRPr="00896D4F">
        <w:t xml:space="preserve">na störningar. </w:t>
      </w:r>
    </w:p>
    <w:p w:rsidR="009C1C5A" w:rsidRPr="00896D4F" w:rsidRDefault="009C1C5A">
      <w:pPr>
        <w:pStyle w:val="Normaltindrag"/>
      </w:pPr>
      <w:r w:rsidRPr="00896D4F">
        <w:t>I Nils-Olof Berggrens och Johan Muncks kommentar till polislagen (3:e uppl. s. 148) sägs bl.a. i anslutning till den aktuella paragrafen att best</w:t>
      </w:r>
      <w:r w:rsidRPr="00896D4F">
        <w:t>ämme</w:t>
      </w:r>
      <w:r w:rsidRPr="00896D4F">
        <w:t>l</w:t>
      </w:r>
      <w:r w:rsidRPr="00896D4F">
        <w:t>sen är tillämplig både då en allvarlig ordnings- eller säkerhetsstörning har inträffat och då det finns risk för en sådan störning. Bestämmelsen uppges kunna tillämpas i mera allmänt förebyggande syfte. Det krävs dock att det finns en konkret risk för störningar av den allmänna ordningen eller säkerh</w:t>
      </w:r>
      <w:r w:rsidRPr="00896D4F">
        <w:t>e</w:t>
      </w:r>
      <w:r w:rsidRPr="00896D4F">
        <w:t>ten. Ett tillträdesförbud enligt paragrafen kan avse i princip vilka områden och utrymmen som helst, såväl inom- som utomhus. Det naturliga torde dock vara att bestämmelsen tillämpas beträffande sådana omr</w:t>
      </w:r>
      <w:r w:rsidRPr="00896D4F">
        <w:t>åden och utrymmen dit allmänheten har tillträde. Bestämmelsen ger emellertid också möjlighet att t.ex. spärra av en privat klubblokal i samband med allvarliga störningar av den allmänna ordningen eller säkerheten om det är nödvändigt för att or</w:t>
      </w:r>
      <w:r w:rsidRPr="00896D4F">
        <w:t>d</w:t>
      </w:r>
      <w:r w:rsidRPr="00896D4F">
        <w:t>ningen eller s</w:t>
      </w:r>
      <w:r w:rsidRPr="00896D4F">
        <w:t>ä</w:t>
      </w:r>
      <w:r w:rsidRPr="00896D4F">
        <w:t xml:space="preserve">kerheten skall kunna upprätthållas. </w:t>
      </w:r>
    </w:p>
    <w:p w:rsidR="009C1C5A" w:rsidRPr="00896D4F" w:rsidRDefault="009C1C5A">
      <w:pPr>
        <w:pStyle w:val="Rubrik3"/>
      </w:pPr>
      <w:r w:rsidRPr="00896D4F">
        <w:t>Bedömning</w:t>
      </w:r>
    </w:p>
    <w:p w:rsidR="009C1C5A" w:rsidRPr="00896D4F" w:rsidRDefault="009C1C5A">
      <w:r w:rsidRPr="00896D4F">
        <w:t>Av utredningen framgår att allmänheten och journalister till följd av Hu</w:t>
      </w:r>
      <w:r w:rsidRPr="00896D4F">
        <w:t>d</w:t>
      </w:r>
      <w:r w:rsidRPr="00896D4F">
        <w:t>dinge tingsrätts beslut förvägrades tillträde till förhandlingslokalerna i fasti</w:t>
      </w:r>
      <w:r w:rsidRPr="00896D4F">
        <w:t>g</w:t>
      </w:r>
      <w:r w:rsidRPr="00896D4F">
        <w:t>heten Bergsgatan 50 i Stockholm under den tid som tingsrättens huvudfö</w:t>
      </w:r>
      <w:r w:rsidRPr="00896D4F">
        <w:t>r</w:t>
      </w:r>
      <w:r w:rsidRPr="00896D4F">
        <w:t>handling pågick i en av rättssalarna. Av tingsrättens beslut framgår vidare att ordningsstörningar förekommit utanför lokalerna i sådan utsträckning att det påverkat handläggnin</w:t>
      </w:r>
      <w:r w:rsidRPr="00896D4F">
        <w:t>g</w:t>
      </w:r>
      <w:r w:rsidRPr="00896D4F">
        <w:t>en av målet.</w:t>
      </w:r>
    </w:p>
    <w:p w:rsidR="009C1C5A" w:rsidRPr="00896D4F" w:rsidRDefault="009C1C5A">
      <w:pPr>
        <w:pStyle w:val="Normaltindrag"/>
      </w:pPr>
      <w:r w:rsidRPr="00896D4F">
        <w:t>Bestämmelserna i 5 kap. RB tar i första hand sikte på förhållandena i rätt</w:t>
      </w:r>
      <w:r w:rsidRPr="00896D4F">
        <w:t>s</w:t>
      </w:r>
      <w:r w:rsidRPr="00896D4F">
        <w:t>salen och kan inte sägas ge rätten befogenhet att förbjuda tillträde till en do</w:t>
      </w:r>
      <w:r w:rsidRPr="00896D4F">
        <w:t>m</w:t>
      </w:r>
      <w:r w:rsidRPr="00896D4F">
        <w:t>stols lokaler. I den mån det förekommer ordningsstörningar utanför en fö</w:t>
      </w:r>
      <w:r w:rsidRPr="00896D4F">
        <w:t>r</w:t>
      </w:r>
      <w:r w:rsidRPr="00896D4F">
        <w:t>handlingslokal är detta en fråga för polisen att hantera oavsett om störninga</w:t>
      </w:r>
      <w:r w:rsidRPr="00896D4F">
        <w:t>r</w:t>
      </w:r>
      <w:r w:rsidRPr="00896D4F">
        <w:t>na förekommer inom- eller utomhus. Det ankommer vid sådant förhållande på polismyndigheten att med tillämpning av de författningsbestämmelser som gäller för polisen återställa or</w:t>
      </w:r>
      <w:r w:rsidRPr="00896D4F">
        <w:t>d</w:t>
      </w:r>
      <w:r w:rsidRPr="00896D4F">
        <w:t xml:space="preserve">ningen. </w:t>
      </w:r>
    </w:p>
    <w:p w:rsidR="009C1C5A" w:rsidRPr="00896D4F" w:rsidRDefault="009C1C5A">
      <w:pPr>
        <w:pStyle w:val="Normaltindrag"/>
      </w:pPr>
      <w:r w:rsidRPr="00896D4F">
        <w:t>I propositionen som ligger till grund för ändringarna i lagen om säkerhet</w:t>
      </w:r>
      <w:r w:rsidRPr="00896D4F">
        <w:t>s</w:t>
      </w:r>
      <w:r w:rsidRPr="00896D4F">
        <w:t>kontroll i domstol (prop. 2000/01:32) togs frågan om tillträde till domstolsl</w:t>
      </w:r>
      <w:r w:rsidRPr="00896D4F">
        <w:t>o</w:t>
      </w:r>
      <w:r w:rsidRPr="00896D4F">
        <w:t>kaler upp. Under rubriken Allmänt om tillträdesrätten till domstolarna anfö</w:t>
      </w:r>
      <w:r w:rsidRPr="00896D4F">
        <w:t>r</w:t>
      </w:r>
      <w:r w:rsidRPr="00896D4F">
        <w:t>des bl.a. följa</w:t>
      </w:r>
      <w:r w:rsidRPr="00896D4F">
        <w:t>n</w:t>
      </w:r>
      <w:r w:rsidRPr="00896D4F">
        <w:t>de (s. 29 f.).</w:t>
      </w:r>
    </w:p>
    <w:p w:rsidR="009C1C5A" w:rsidRPr="00896D4F" w:rsidRDefault="009C1C5A">
      <w:pPr>
        <w:pStyle w:val="Citat"/>
      </w:pPr>
      <w:r w:rsidRPr="00896D4F">
        <w:t>En domstolsbyggnad torde, liksom övriga offentliga byggnader, inte vara att betrakta som offentlig plats i ordningslagens (1993:1617) mening. Den rätt som normalt finns för var och en att uppehålla sig på offentlig plats gäller således inte för domstolslokaler. I stället har byggnadens eller lokalens ägare eller nyttjanderät</w:t>
      </w:r>
      <w:r w:rsidRPr="00896D4F">
        <w:t>tshavare (i det här fallet staten) enligt civilrättsliga principer rätt att bestämma vem som får vistas där eller vilken verksamhet som får förekomma där.</w:t>
      </w:r>
    </w:p>
    <w:p w:rsidR="009C1C5A" w:rsidRPr="00896D4F" w:rsidRDefault="009C1C5A">
      <w:pPr>
        <w:pStyle w:val="Citat"/>
      </w:pPr>
      <w:r w:rsidRPr="00896D4F">
        <w:t>I en domstolsbyggnad finns dock utrymmen som i realiteten är tillgängliga för, eller till och med avsedda att användas av, allmänheten. Sådana utry</w:t>
      </w:r>
      <w:r w:rsidRPr="00896D4F">
        <w:t>m</w:t>
      </w:r>
      <w:r w:rsidRPr="00896D4F">
        <w:t>men omfattas av brottsbalkens begrepp allmän plats (se 16 kap. 16 §). Detta begrepp är mer vidsträckt än vad som avses med offentlig plats enligt or</w:t>
      </w:r>
      <w:r w:rsidRPr="00896D4F">
        <w:t>d</w:t>
      </w:r>
      <w:r w:rsidRPr="00896D4F">
        <w:t>ningslagen (se 2 §) och omfattar varje plats, utomhus eller inomhus, som är upplåten för eller på annat sätt frekventeras av allmänheten (se kommentaren till Brottsbalken, kap. 13–24, supplement 3, januari 2000, s. 16:104 f.). Om allmänheten har tillträde till platsen endast under vissa tider, är denna att anse som allmän under sådan tid men inte i ö</w:t>
      </w:r>
      <w:r w:rsidRPr="00896D4F">
        <w:t>v</w:t>
      </w:r>
      <w:r w:rsidRPr="00896D4F">
        <w:t>rigt.</w:t>
      </w:r>
    </w:p>
    <w:p w:rsidR="009C1C5A" w:rsidRPr="00896D4F" w:rsidRDefault="009C1C5A">
      <w:r w:rsidRPr="00896D4F">
        <w:t>– –</w:t>
      </w:r>
      <w:r w:rsidRPr="00896D4F">
        <w:t xml:space="preserve"> – </w:t>
      </w:r>
    </w:p>
    <w:p w:rsidR="009C1C5A" w:rsidRPr="00896D4F" w:rsidRDefault="009C1C5A">
      <w:pPr>
        <w:pStyle w:val="Citat"/>
      </w:pPr>
      <w:r w:rsidRPr="00896D4F">
        <w:t>Även om i vart fall delar av en domstols lokaler sålunda är att beteckna som allmän plats i brottsbalkens mening, har domstolen rätt att meddela föreskri</w:t>
      </w:r>
      <w:r w:rsidRPr="00896D4F">
        <w:t>f</w:t>
      </w:r>
      <w:r w:rsidRPr="00896D4F">
        <w:t>ter för tillträdesrätten. Det bör i sammanhanget påpekas att domstolen vid utövandet av denna befogenhet naturligtvis har en skyldighet att anpassa sådana föreskrifter så att inte medborgarnas grundlagsskyddade intressen begränsas på ett otillbörligt sätt.</w:t>
      </w:r>
    </w:p>
    <w:p w:rsidR="009C1C5A" w:rsidRPr="00896D4F" w:rsidRDefault="009C1C5A">
      <w:pPr>
        <w:pStyle w:val="Citat"/>
      </w:pPr>
      <w:r w:rsidRPr="00896D4F">
        <w:t>Det grundlagsskyddade kravet på öppenhet och tillgänglighet i domstolarna medför alltså inte någon obegränsad tillträdesrätt. Domstolspersonalens a</w:t>
      </w:r>
      <w:r w:rsidRPr="00896D4F">
        <w:t>n</w:t>
      </w:r>
      <w:r w:rsidRPr="00896D4F">
        <w:t>språk på trygghet och ostördhet, liksom hänsynen till parter, vittnen, måls-ägande och andra som skall medverka vid rättegångar eller annars utöva ver</w:t>
      </w:r>
      <w:r w:rsidRPr="00896D4F">
        <w:t>k</w:t>
      </w:r>
      <w:r w:rsidRPr="00896D4F">
        <w:t>samhet i domstolen, berättigar domstolen att, som en allmän förutsättning för tillträde, ställa krav på att besökare har ett rättsordningens godtagbart ärende till domstolen. Även om det alltså föreligger en grundlagsskyddad rätt för var och en att fritt närvara vid domstolsförhandlingar, finns det ingen motsvara</w:t>
      </w:r>
      <w:r w:rsidRPr="00896D4F">
        <w:t>n</w:t>
      </w:r>
      <w:r w:rsidRPr="00896D4F">
        <w:t xml:space="preserve">de rätt att fritt uppehålla sig i de lokaler </w:t>
      </w:r>
      <w:r w:rsidRPr="00896D4F">
        <w:t xml:space="preserve">som i övrigt disponeras av domstolen. </w:t>
      </w:r>
    </w:p>
    <w:p w:rsidR="009C1C5A" w:rsidRPr="00896D4F" w:rsidRDefault="009C1C5A">
      <w:r w:rsidRPr="00896D4F">
        <w:t>Enligt vad som framkommit i ärendet pågick inte någon annan förhandling i den del av byggnaden än den av Huddinge tingsrätt bakom stängda dörrar pågående huvudförhandlingen. Med hänsyn till de tilltalades ålder förelåg lagliga förutsättningar att besluta om stängda dörrar vid den aktuella förhan</w:t>
      </w:r>
      <w:r w:rsidRPr="00896D4F">
        <w:t>d</w:t>
      </w:r>
      <w:r w:rsidRPr="00896D4F">
        <w:t>lingen. Det fanns därför inte någon anledning för allmänheten att med anle</w:t>
      </w:r>
      <w:r w:rsidRPr="00896D4F">
        <w:t>d</w:t>
      </w:r>
      <w:r w:rsidRPr="00896D4F">
        <w:t>ning av huvudförhandlingen befinna sig i uppehållsrummen utanför rättss</w:t>
      </w:r>
      <w:r w:rsidRPr="00896D4F">
        <w:t>a</w:t>
      </w:r>
      <w:r w:rsidRPr="00896D4F">
        <w:t>len. Såvitt framkommit hade allmänheten tillgång till uppropslistor och andra meddelanden på sådant sätt att offentlighetsprincipen upprät</w:t>
      </w:r>
      <w:r w:rsidRPr="00896D4F">
        <w:t>t</w:t>
      </w:r>
      <w:r w:rsidRPr="00896D4F">
        <w:t xml:space="preserve">hölls. </w:t>
      </w:r>
    </w:p>
    <w:p w:rsidR="009C1C5A" w:rsidRPr="00896D4F" w:rsidRDefault="009C1C5A">
      <w:pPr>
        <w:pStyle w:val="Normaltindrag"/>
      </w:pPr>
      <w:r w:rsidRPr="00896D4F">
        <w:t>Som framgår av vad som sagts i det föregående har varken rätten eller rä</w:t>
      </w:r>
      <w:r w:rsidRPr="00896D4F">
        <w:t>t</w:t>
      </w:r>
      <w:r w:rsidRPr="00896D4F">
        <w:t>tens ordförande behörighet att inom ramen för ett pågående mål besluta att allmänheten inte skall få tillträde till en domstolsbyggnad. Ett beslut som begränsar allmänhetens rätt till tillträde till en domstols lokaler kan däremot fattas i administrativ ordning av någon behörig befattningshavare vid do</w:t>
      </w:r>
      <w:r w:rsidRPr="00896D4F">
        <w:t>m</w:t>
      </w:r>
      <w:r w:rsidRPr="00896D4F">
        <w:t>stolen.</w:t>
      </w:r>
    </w:p>
    <w:p w:rsidR="009C1C5A" w:rsidRPr="00896D4F" w:rsidRDefault="009C1C5A">
      <w:pPr>
        <w:pStyle w:val="Normaltindrag"/>
      </w:pPr>
      <w:r w:rsidRPr="00896D4F">
        <w:t>När det sedan gäller utestängandet av journaliserna från de arbetsrum som Stockholms tingsrätt hade upplåtit åt dem är dispositionsrätten beroende av vilket avtal mellan parterna som gällt för nyttja</w:t>
      </w:r>
      <w:r w:rsidRPr="00896D4F">
        <w:t>ndet. Jag finner emellertid inte skäl att närmare utreda den s</w:t>
      </w:r>
      <w:r w:rsidRPr="00896D4F">
        <w:t>a</w:t>
      </w:r>
      <w:r w:rsidRPr="00896D4F">
        <w:t>ken.</w:t>
      </w:r>
      <w:r w:rsidRPr="00896D4F">
        <w:tab/>
      </w:r>
    </w:p>
    <w:p w:rsidR="009C1C5A" w:rsidRPr="00896D4F" w:rsidRDefault="009C1C5A">
      <w:pPr>
        <w:pStyle w:val="Normaltindrag"/>
      </w:pPr>
    </w:p>
    <w:p w:rsidR="009C1C5A" w:rsidRPr="00896D4F" w:rsidRDefault="009C1C5A">
      <w:pPr>
        <w:pStyle w:val="Rubrik1"/>
      </w:pPr>
      <w:r w:rsidRPr="00896D4F">
        <w:br w:type="page"/>
        <w:t>Åklagar- och polisväsendena</w:t>
      </w:r>
    </w:p>
    <w:p w:rsidR="009C1C5A" w:rsidRPr="00896D4F" w:rsidRDefault="009C1C5A">
      <w:pPr>
        <w:pStyle w:val="Rubrik2"/>
        <w:spacing w:before="120"/>
      </w:pPr>
      <w:r w:rsidRPr="00896D4F">
        <w:t>En åklagare har dömts för tjänstefel för att utan laglig grund ha begärt att ett bankkonto skulle spärras</w:t>
      </w:r>
    </w:p>
    <w:p w:rsidR="009C1C5A" w:rsidRPr="00896D4F" w:rsidRDefault="009C1C5A">
      <w:pPr>
        <w:spacing w:before="0"/>
        <w:rPr>
          <w:b/>
        </w:rPr>
      </w:pPr>
      <w:r w:rsidRPr="00896D4F">
        <w:t>(Dnr 2626-1999)</w:t>
      </w:r>
    </w:p>
    <w:p w:rsidR="009C1C5A" w:rsidRPr="00896D4F" w:rsidRDefault="009C1C5A">
      <w:pPr>
        <w:pStyle w:val="Rubrik3"/>
      </w:pPr>
      <w:r w:rsidRPr="00896D4F">
        <w:t xml:space="preserve">Anmälan och utredning </w:t>
      </w:r>
    </w:p>
    <w:p w:rsidR="009C1C5A" w:rsidRPr="00896D4F" w:rsidRDefault="009C1C5A">
      <w:r w:rsidRPr="00896D4F">
        <w:t>I en anmälan till JO gjorde R.A. gällande att kammaråklagaren Anita Enocs</w:t>
      </w:r>
      <w:r w:rsidRPr="00896D4F">
        <w:softHyphen/>
        <w:t>son vid Åklagarmyndigheten i Umeå (Åklagarkammaren i Sundsvall) under handläggningen av en förundersökning om brott mot upphovsrättslagen hade gjort sig skyldig till tjänstefel bl.a. genom att utan giltigt beslut spärra hans postgiro</w:t>
      </w:r>
      <w:r w:rsidRPr="00896D4F">
        <w:softHyphen/>
        <w:t>konto.</w:t>
      </w:r>
    </w:p>
    <w:p w:rsidR="009C1C5A" w:rsidRPr="00896D4F" w:rsidRDefault="009C1C5A">
      <w:pPr>
        <w:pStyle w:val="Normaltindrag"/>
        <w:rPr>
          <w:b/>
        </w:rPr>
      </w:pPr>
      <w:r w:rsidRPr="00896D4F">
        <w:t xml:space="preserve">Efter genomgång av vissa handlingar i ärendet fann </w:t>
      </w:r>
      <w:r w:rsidRPr="00896D4F">
        <w:rPr>
          <w:i/>
        </w:rPr>
        <w:t>chefsJO Eklundh</w:t>
      </w:r>
      <w:r w:rsidRPr="00896D4F">
        <w:t xml:space="preserve"> a</w:t>
      </w:r>
      <w:r w:rsidRPr="00896D4F">
        <w:t>n</w:t>
      </w:r>
      <w:r w:rsidRPr="00896D4F">
        <w:t>ledning anta att tjänstefel enligt 20 kap. 1 § brottsbalken hade begåtts under handläggningen. Han beslutade den 3 september 1999 att inleda förundersö</w:t>
      </w:r>
      <w:r w:rsidRPr="00896D4F">
        <w:t>k</w:t>
      </w:r>
      <w:r w:rsidRPr="00896D4F">
        <w:t xml:space="preserve">ning angående sådant brott. </w:t>
      </w:r>
    </w:p>
    <w:p w:rsidR="009C1C5A" w:rsidRPr="00896D4F" w:rsidRDefault="009C1C5A">
      <w:pPr>
        <w:pStyle w:val="Normaltindrag"/>
      </w:pPr>
      <w:r w:rsidRPr="00896D4F">
        <w:t xml:space="preserve">Efter verkställd förundersökning beslutade </w:t>
      </w:r>
      <w:r w:rsidRPr="00896D4F">
        <w:rPr>
          <w:i/>
        </w:rPr>
        <w:t>chefsJO Eklundh</w:t>
      </w:r>
      <w:r w:rsidRPr="00896D4F">
        <w:t xml:space="preserve"> att väcka åtal vid Sundsvalls tingsrätt mot Anita Enocsson för tjänstefel enligt följande gärningsb</w:t>
      </w:r>
      <w:r w:rsidRPr="00896D4F">
        <w:t>e</w:t>
      </w:r>
      <w:r w:rsidRPr="00896D4F">
        <w:t>skrivning.</w:t>
      </w:r>
    </w:p>
    <w:p w:rsidR="009C1C5A" w:rsidRPr="00896D4F" w:rsidRDefault="009C1C5A">
      <w:pPr>
        <w:pStyle w:val="Citat"/>
      </w:pPr>
      <w:r w:rsidRPr="00896D4F">
        <w:t>Kammaråklagaren Anita Enocsson var förundersökningsledare i Åklaga</w:t>
      </w:r>
      <w:r w:rsidRPr="00896D4F">
        <w:t>r</w:t>
      </w:r>
      <w:r w:rsidRPr="00896D4F">
        <w:t>kamma</w:t>
      </w:r>
      <w:r w:rsidRPr="00896D4F">
        <w:softHyphen/>
        <w:t>rens i Sundsvall ärende C-10-1300-98 angående brott mot upphov</w:t>
      </w:r>
      <w:r w:rsidRPr="00896D4F">
        <w:t>s</w:t>
      </w:r>
      <w:r w:rsidRPr="00896D4F">
        <w:t>rättslagen. Brottsmisstankarna gällde bl.a. att R.A. olovligen kopierat dataspel och sedan sålt kopiorna. I en skrivelse den 16 oktober 1998 till Postgirot, Stock</w:t>
      </w:r>
      <w:r w:rsidRPr="00896D4F">
        <w:softHyphen/>
        <w:t>holm, Spärravdelningen, begärde Anita Enocsson att R.A:s konto med nummer – – – skulle spärras för direktuttag och övriga uttag. I skrivel</w:t>
      </w:r>
      <w:r w:rsidRPr="00896D4F">
        <w:softHyphen/>
        <w:t>sen hänvisades till förundersökning i brottmål samt angavs att</w:t>
      </w:r>
      <w:r w:rsidRPr="00896D4F">
        <w:rPr>
          <w:i/>
        </w:rPr>
        <w:t xml:space="preserve"> ”</w:t>
      </w:r>
      <w:r w:rsidRPr="00896D4F">
        <w:t>kontot misstänks ha använts i brottslig verksamhet”. R.A:s offentlige försva</w:t>
      </w:r>
      <w:r w:rsidRPr="00896D4F">
        <w:t>rare, ad</w:t>
      </w:r>
      <w:r w:rsidRPr="00896D4F">
        <w:softHyphen/>
        <w:t>vokaten Sten Burman, begärde i en skrift som kom in till åklagarkammaren den 11 mars 1999 att beslaget beträffande bl.a. postgirokontot skulle hävas. Som svar på denna begäran anförde Anita Enocsson i en skrivelse den 17 mars 1999 att pengarna utgjorde ersättning för sålda piratkopior och skulle förverkas, varför hon inte hade för avsikt att häva beslagen. Under en beslagsförhandling den 22 mars 1999 i mål B 1647-98 vid Sundsvalls tingsrätt gjorde hon, enligt vad som anges i tingsrättens protokoll,</w:t>
      </w:r>
      <w:r w:rsidRPr="00896D4F">
        <w:t xml:space="preserve"> gällande bl.a. att beslag av R.A:s postgiro</w:t>
      </w:r>
      <w:r w:rsidRPr="00896D4F">
        <w:softHyphen/>
        <w:t>konto aldrig hade varit aktuellt, att detta måste ha berott på ett missförstånd mel</w:t>
      </w:r>
      <w:r w:rsidRPr="00896D4F">
        <w:softHyphen/>
        <w:t>lan åkla</w:t>
      </w:r>
      <w:r w:rsidRPr="00896D4F">
        <w:softHyphen/>
        <w:t>garkammaren och Postgirot i Stockholm och att detta skulle åtgä</w:t>
      </w:r>
      <w:r w:rsidRPr="00896D4F">
        <w:t>r</w:t>
      </w:r>
      <w:r w:rsidRPr="00896D4F">
        <w:t>das omedelbart. Kont</w:t>
      </w:r>
      <w:r w:rsidRPr="00896D4F">
        <w:t>o</w:t>
      </w:r>
      <w:r w:rsidRPr="00896D4F">
        <w:t>spärren hävdes samma dag.</w:t>
      </w:r>
    </w:p>
    <w:p w:rsidR="009C1C5A" w:rsidRPr="00896D4F" w:rsidRDefault="009C1C5A">
      <w:pPr>
        <w:pStyle w:val="Citatindrag"/>
      </w:pPr>
      <w:r w:rsidRPr="00896D4F">
        <w:t>Lagliga förutsättningar att som en utredningsåtgärd under en förundersö</w:t>
      </w:r>
      <w:r w:rsidRPr="00896D4F">
        <w:t>k</w:t>
      </w:r>
      <w:r w:rsidRPr="00896D4F">
        <w:t>ning begränsa R.A:s dispositionsrätt över medlen på kontot förelåg inte. S</w:t>
      </w:r>
      <w:r w:rsidRPr="00896D4F">
        <w:t>å</w:t>
      </w:r>
      <w:r w:rsidRPr="00896D4F">
        <w:t>vitt framkommit förelåg inte heller någon annan rättslig grund för en sådan åtgärd. Genom Anita Enocssons handlande har R.A. således varit be</w:t>
      </w:r>
      <w:r w:rsidRPr="00896D4F">
        <w:softHyphen/>
        <w:t xml:space="preserve">rövad dispositionsrätten över medlen på kontot under tiden den 19 oktober 1998– </w:t>
      </w:r>
      <w:r w:rsidRPr="00896D4F">
        <w:softHyphen/>
        <w:t>21 mars 1999 utan att någon rättslig grund därför förelegat. Anita Enocsson har alltså vid myndighetsutövningen av oaktsamhet åsidosatt vad som gäller för upp</w:t>
      </w:r>
      <w:r w:rsidRPr="00896D4F">
        <w:softHyphen/>
        <w:t>giften.</w:t>
      </w:r>
    </w:p>
    <w:p w:rsidR="009C1C5A" w:rsidRPr="00896D4F" w:rsidRDefault="009C1C5A">
      <w:pPr>
        <w:pStyle w:val="Rubrik3"/>
      </w:pPr>
      <w:r w:rsidRPr="00896D4F">
        <w:t>Sundsvalls tingsrätts dom</w:t>
      </w:r>
    </w:p>
    <w:p w:rsidR="009C1C5A" w:rsidRPr="00896D4F" w:rsidRDefault="009C1C5A">
      <w:r w:rsidRPr="00896D4F">
        <w:t>Sundsvalls tingsrätt dömde i en dom den 25 maj 2000 Anita Enocsson för tjänstefel i enlighet med åtalet och bestämde påföljden till trettio (30) dag</w:t>
      </w:r>
      <w:r w:rsidRPr="00896D4F">
        <w:t>s</w:t>
      </w:r>
      <w:r w:rsidRPr="00896D4F">
        <w:t>böter.</w:t>
      </w:r>
    </w:p>
    <w:p w:rsidR="009C1C5A" w:rsidRPr="00896D4F" w:rsidRDefault="009C1C5A">
      <w:pPr>
        <w:rPr>
          <w:b/>
        </w:rPr>
      </w:pPr>
      <w:r w:rsidRPr="00896D4F">
        <w:t>Under rubriken domskäl anförde tingsrätten följande.</w:t>
      </w:r>
    </w:p>
    <w:p w:rsidR="009C1C5A" w:rsidRPr="00896D4F" w:rsidRDefault="009C1C5A">
      <w:r w:rsidRPr="00896D4F">
        <w:t>Anita Enocsson har vitsordat att de faktiska omständigheterna varit sådana som anges i första stycket i gärningsbeskrivningen men bestritt ansvar. Hon har därvid gjort gällande att hon hade haft laglig möjlighet att som utre</w:t>
      </w:r>
      <w:r w:rsidRPr="00896D4F">
        <w:t>d</w:t>
      </w:r>
      <w:r w:rsidRPr="00896D4F">
        <w:t>ningsåtgärder under förundersökningen begränsa R.A:s dispositionsrätt över medlen på kontot nämligen genom att besluta om förvar av medlen och dä</w:t>
      </w:r>
      <w:r w:rsidRPr="00896D4F">
        <w:t>r</w:t>
      </w:r>
      <w:r w:rsidRPr="00896D4F">
        <w:t>efter begära kvar</w:t>
      </w:r>
      <w:r w:rsidRPr="00896D4F">
        <w:softHyphen/>
        <w:t>stad på dessa. Vidare har hon hävdat att R.A. inte orsakats annat än försumbar skada av att kontot spärrats och att hon med tillämpning av proportio</w:t>
      </w:r>
      <w:r w:rsidRPr="00896D4F">
        <w:softHyphen/>
        <w:t>nalitetsprincipen skall gå fri från ansvar. Slutligen har hon invänt att gärningen i allt fall är att bedöma som ringa och därför inte skall föranleda a</w:t>
      </w:r>
      <w:r w:rsidRPr="00896D4F">
        <w:t>n</w:t>
      </w:r>
      <w:r w:rsidRPr="00896D4F">
        <w:t>svar.</w:t>
      </w:r>
    </w:p>
    <w:p w:rsidR="009C1C5A" w:rsidRPr="00896D4F" w:rsidRDefault="009C1C5A">
      <w:r w:rsidRPr="00896D4F">
        <w:t>Förutom att Anita Enocsson har hörts ha</w:t>
      </w:r>
      <w:r w:rsidRPr="00896D4F">
        <w:t>r den skriftliga bevisning som fra</w:t>
      </w:r>
      <w:r w:rsidRPr="00896D4F">
        <w:t>m</w:t>
      </w:r>
      <w:r w:rsidRPr="00896D4F">
        <w:t>går av bilaga 1 (här utesluten, JO:s anmärkning) åberopats och för</w:t>
      </w:r>
      <w:r w:rsidRPr="00896D4F">
        <w:t>e</w:t>
      </w:r>
      <w:r w:rsidRPr="00896D4F">
        <w:t>bringats.</w:t>
      </w:r>
    </w:p>
    <w:p w:rsidR="009C1C5A" w:rsidRPr="00896D4F" w:rsidRDefault="009C1C5A">
      <w:pPr>
        <w:pStyle w:val="Normaltindrag"/>
      </w:pPr>
      <w:r w:rsidRPr="00896D4F">
        <w:t>Beträffande vad som framkommit av utredningen antecknar tingsrätten till en början följande. Anita Enocsson har tjänstgjort som åklagare sedan 1986. Hon blev eko</w:t>
      </w:r>
      <w:r w:rsidRPr="00896D4F">
        <w:softHyphen/>
        <w:t>åklagare 1992 och tjänstgjorde som sådan på Regionåklaga</w:t>
      </w:r>
      <w:r w:rsidRPr="00896D4F">
        <w:t>r</w:t>
      </w:r>
      <w:r w:rsidRPr="00896D4F">
        <w:t>myndighe</w:t>
      </w:r>
      <w:r w:rsidRPr="00896D4F">
        <w:softHyphen/>
        <w:t>ten i Härnö</w:t>
      </w:r>
      <w:r w:rsidRPr="00896D4F">
        <w:softHyphen/>
        <w:t>sand fram till 1996 då åklagarväsendet omorganiserades. Därefter har hon tjänst</w:t>
      </w:r>
      <w:r w:rsidRPr="00896D4F">
        <w:softHyphen/>
        <w:t>gjort på Åklagarkammaren i Sundsvall, alltjämt som ekoåklagare. När det nu aktuella ärendet aktualiserades hade Anita Enocsson dagjour och ärendet hade inte anknytning till hennes arbete som ekoåklagare. Ärendet aktualiserades bl.a. på grund av att en intresseorganisation för spe</w:t>
      </w:r>
      <w:r w:rsidRPr="00896D4F">
        <w:t>l</w:t>
      </w:r>
      <w:r w:rsidRPr="00896D4F">
        <w:t>tillverkare benämnd MDTS hade gjort en ny anmälan i ett tidigare anhängi</w:t>
      </w:r>
      <w:r w:rsidRPr="00896D4F">
        <w:t>gt ärende efter att via Internet ha köpt spel som visade sig vara kopierade. Den 7 oktober 1998 beslutade Anita Enocsson att med anledning av misstanke om brott mot upphovsrättslagen hus</w:t>
      </w:r>
      <w:r w:rsidRPr="00896D4F">
        <w:softHyphen/>
        <w:t>rannsakan skulle företas hos R.A. i Söråker utanför Sundsvall. Hus</w:t>
      </w:r>
      <w:r w:rsidRPr="00896D4F">
        <w:softHyphen/>
        <w:t>rannsakan företogs den 8 oktober 1998, varvid bl.a. en stor mängd cd-skivor och datautrust</w:t>
      </w:r>
      <w:r w:rsidRPr="00896D4F">
        <w:softHyphen/>
        <w:t>ning togs i beslag. R.A. anhölls samma dag och häktades dagen därpå. Han frigavs senare eller närmare bestämt den 22 oktober 1998 efter beslut av åklagaren. I samma sk</w:t>
      </w:r>
      <w:r w:rsidRPr="00896D4F">
        <w:t>ede frihetsberövades även en person vid namn P.H., som misstänktes vara delaktig i samma brott</w:t>
      </w:r>
      <w:r w:rsidRPr="00896D4F">
        <w:t>s</w:t>
      </w:r>
      <w:r w:rsidRPr="00896D4F">
        <w:t>liga verksamhet. Den 16 oktober 1998, alltså under tid då R.A. var frihetsb</w:t>
      </w:r>
      <w:r w:rsidRPr="00896D4F">
        <w:t>e</w:t>
      </w:r>
      <w:r w:rsidRPr="00896D4F">
        <w:t>rövad, begärde Anita Enocsson i en skrivelse rubricerad ”begäran om kont</w:t>
      </w:r>
      <w:r w:rsidRPr="00896D4F">
        <w:t>o</w:t>
      </w:r>
      <w:r w:rsidRPr="00896D4F">
        <w:t>spärr” hos Postgirot att R.A:s postgiro</w:t>
      </w:r>
      <w:r w:rsidRPr="00896D4F">
        <w:softHyphen/>
        <w:t>konto med nr - - - - ” i anledning av förun</w:t>
      </w:r>
      <w:r w:rsidRPr="00896D4F">
        <w:softHyphen/>
        <w:t>dersökning i brottmål” skulle spärras för direktuttag och övriga uttag samt angav hon att ”kontot misstänks ha använts i brottslig verksamhet”. Saldot på kontot, som spärrades den 19 o</w:t>
      </w:r>
      <w:r w:rsidRPr="00896D4F">
        <w:t>ktober 1998, var den dagen 12 935 kr 92 öre. Skrivelsen till Postgirot diariefördes inte vid åklagar</w:t>
      </w:r>
      <w:r w:rsidRPr="00896D4F">
        <w:softHyphen/>
        <w:t>kammaren. R.A. har enligt vad som upplysts nyligen dömts för brott mot upphovsrättsl</w:t>
      </w:r>
      <w:r w:rsidRPr="00896D4F">
        <w:t>a</w:t>
      </w:r>
      <w:r w:rsidRPr="00896D4F">
        <w:t>gen till fängelse.</w:t>
      </w:r>
    </w:p>
    <w:p w:rsidR="009C1C5A" w:rsidRPr="00896D4F" w:rsidRDefault="009C1C5A">
      <w:pPr>
        <w:pStyle w:val="Normaltindrag"/>
      </w:pPr>
      <w:r w:rsidRPr="00896D4F">
        <w:t>Angående rutinerna vid diarieföring m.m. vid Åklagarkammaren i Sund</w:t>
      </w:r>
      <w:r w:rsidRPr="00896D4F">
        <w:t>s</w:t>
      </w:r>
      <w:r w:rsidRPr="00896D4F">
        <w:t>vall har Anita Enocsson upplyst bl.a. följande. I samband med omorganis</w:t>
      </w:r>
      <w:r w:rsidRPr="00896D4F">
        <w:t>a</w:t>
      </w:r>
      <w:r w:rsidRPr="00896D4F">
        <w:t>tionen 1996 blev ett antal administratörer uppsagda. Dessförinnan delade två tre åklagare på en sekreterare, vilket innebar att det fanns ytterligare en pe</w:t>
      </w:r>
      <w:r w:rsidRPr="00896D4F">
        <w:t>r</w:t>
      </w:r>
      <w:r w:rsidRPr="00896D4F">
        <w:t>son, förutom åklagaren, som hade ett bra grepp om ärendena. Efter omorgan</w:t>
      </w:r>
      <w:r w:rsidRPr="00896D4F">
        <w:t>i</w:t>
      </w:r>
      <w:r w:rsidRPr="00896D4F">
        <w:t>sationen tillskapades ett s.k. allkansli. Om ett beslut fattades skulle beslutet läggas på en hylla i ett postrum varefter kanslipersonal tog ärendet och omb</w:t>
      </w:r>
      <w:r w:rsidRPr="00896D4F">
        <w:t>e</w:t>
      </w:r>
      <w:r w:rsidRPr="00896D4F">
        <w:t>sörjde diarieföringen. Efter det att den nu aktuell</w:t>
      </w:r>
      <w:r w:rsidRPr="00896D4F">
        <w:t>a händelsen uppdagats än</w:t>
      </w:r>
      <w:r w:rsidRPr="00896D4F">
        <w:t>d</w:t>
      </w:r>
      <w:r w:rsidRPr="00896D4F">
        <w:t>rades rutinerna på så sätt att det numera finns en administratör som har da</w:t>
      </w:r>
      <w:r w:rsidRPr="00896D4F">
        <w:t>g</w:t>
      </w:r>
      <w:r w:rsidRPr="00896D4F">
        <w:t>jour på kansliet och omgående ombesörjer dia</w:t>
      </w:r>
      <w:r w:rsidRPr="00896D4F">
        <w:softHyphen/>
        <w:t>reföringen av beslut som skall bevakas.</w:t>
      </w:r>
    </w:p>
    <w:p w:rsidR="009C1C5A" w:rsidRPr="00896D4F" w:rsidRDefault="009C1C5A">
      <w:pPr>
        <w:pStyle w:val="Normaltindrag"/>
      </w:pPr>
      <w:r w:rsidRPr="00896D4F">
        <w:t>Anita Enocsson har därutöver lämnat uppgifter med i huvudsak följande innebörd: Förundersökningen hade inte gällt annat än upphovsrättsbrott. När beslutet om husrannsakan fattades fanns dock även spaningsuppslag som tydde på brottslighet i form av datorstölder och även hembränning. Krimina</w:t>
      </w:r>
      <w:r w:rsidRPr="00896D4F">
        <w:t>l</w:t>
      </w:r>
      <w:r w:rsidRPr="00896D4F">
        <w:t>underrättelsetjänsten hade nämligen fått tips om att det hade burits datorer och förekommit trafik med mys</w:t>
      </w:r>
      <w:r w:rsidRPr="00896D4F">
        <w:softHyphen/>
        <w:t>tiska bilar i det område där husrannsakan skulle företas – ett område med pensio</w:t>
      </w:r>
      <w:r w:rsidRPr="00896D4F">
        <w:softHyphen/>
        <w:t>närs</w:t>
      </w:r>
      <w:r w:rsidRPr="00896D4F">
        <w:softHyphen/>
        <w:t>lägenheter. Hon klargjorde eme</w:t>
      </w:r>
      <w:r w:rsidRPr="00896D4F">
        <w:t>l</w:t>
      </w:r>
      <w:r w:rsidRPr="00896D4F">
        <w:t>lertid, när beslutet fattades, för polisen att om nå</w:t>
      </w:r>
      <w:r w:rsidRPr="00896D4F">
        <w:softHyphen/>
        <w:t>gon annan brottslighet pågick än upphovsrättsbrott kontakt måste tas med henne för nya beslut. Polis ko</w:t>
      </w:r>
      <w:r w:rsidRPr="00896D4F">
        <w:t>n</w:t>
      </w:r>
      <w:r w:rsidRPr="00896D4F">
        <w:t>taktade henne i samband med att husrannsakan företogs. Hon fick veta att verksamheten var mycket större än man kunnat tro, bl.a. a</w:t>
      </w:r>
      <w:r w:rsidRPr="00896D4F">
        <w:t>tt det stod tre dat</w:t>
      </w:r>
      <w:r w:rsidRPr="00896D4F">
        <w:t>o</w:t>
      </w:r>
      <w:r w:rsidRPr="00896D4F">
        <w:t>rer med brännare i gång och att där fanns en stor mängd skivor klara för di</w:t>
      </w:r>
      <w:r w:rsidRPr="00896D4F">
        <w:t>s</w:t>
      </w:r>
      <w:r w:rsidRPr="00896D4F">
        <w:t>tribution. Polisen videofilmade i lägenheten vid husrannsakan och hon fick se videofilmen. All utrustning i lägenheten togs till polisstationen. Vid g</w:t>
      </w:r>
      <w:r w:rsidRPr="00896D4F">
        <w:t>e</w:t>
      </w:r>
      <w:r w:rsidRPr="00896D4F">
        <w:t>nom</w:t>
      </w:r>
      <w:r w:rsidRPr="00896D4F">
        <w:softHyphen/>
        <w:t>gång av den i beslag tagna egendomen påträffades en stor mängd post</w:t>
      </w:r>
      <w:r w:rsidRPr="00896D4F">
        <w:softHyphen/>
        <w:t>giroavier ställda till P.H. avseende insättningar på ett postgirokonto i hans namn. Även insättningsavier till ett postgirokonto i R.A:s namn på</w:t>
      </w:r>
      <w:r w:rsidRPr="00896D4F">
        <w:softHyphen/>
        <w:t>träffades. Från Postgirot lämnades besked att po</w:t>
      </w:r>
      <w:r w:rsidRPr="00896D4F">
        <w:t>stgirokontot i P.H:s namn hade öppnats den 1 juli 1998 och att det fram till oktober samma år hade funnits ca 120 000 kr på kontot. P.H. förnekade att peng</w:t>
      </w:r>
      <w:r w:rsidRPr="00896D4F">
        <w:softHyphen/>
        <w:t>arna på kontot var hans och uppgav att han hade öppnat kontot på begäran av R.A. Kontot avslutades senare på P.H:s begäran. Hon miss</w:t>
      </w:r>
      <w:r w:rsidRPr="00896D4F">
        <w:softHyphen/>
        <w:t>tänkte av olika skäl att även postgirokontot i R.A:s namn, åt</w:t>
      </w:r>
      <w:r w:rsidRPr="00896D4F">
        <w:softHyphen/>
        <w:t>minstone delvis, kunde ha använts i verksamheten som ett reserv- eller transak</w:t>
      </w:r>
      <w:r w:rsidRPr="00896D4F">
        <w:softHyphen/>
        <w:t>tionskonto och att det, med hänsyn till verksamhetens omfattning, kunde tänkas fin</w:t>
      </w:r>
      <w:r w:rsidRPr="00896D4F">
        <w:t>nas andra personer som kunde ta ut pengar från kontot. Up</w:t>
      </w:r>
      <w:r w:rsidRPr="00896D4F">
        <w:t>p</w:t>
      </w:r>
      <w:r w:rsidRPr="00896D4F">
        <w:t>hovsrättsbrott var inte hennes ”grej” men hon såg en möjlighet att komma på fast mark om man kunde finna att R.A. hade bedrivit något slags legal nä</w:t>
      </w:r>
      <w:r w:rsidRPr="00896D4F">
        <w:t>r</w:t>
      </w:r>
      <w:r w:rsidRPr="00896D4F">
        <w:t>ingsverk</w:t>
      </w:r>
      <w:r w:rsidRPr="00896D4F">
        <w:softHyphen/>
        <w:t>samhet och inte bokfört i verk</w:t>
      </w:r>
      <w:r w:rsidRPr="00896D4F">
        <w:softHyphen/>
        <w:t>samheten. Bestämmelserna om förve</w:t>
      </w:r>
      <w:r w:rsidRPr="00896D4F">
        <w:t>r</w:t>
      </w:r>
      <w:r w:rsidRPr="00896D4F">
        <w:t>kande i 36 kap. brottsbalken fanns därför med i bilden. Enligt R. A. hade han sålt tillbehör till TV-spel och reparerat sådana spel. Det var emellertid svårt att finna att R. A. hade bedrivit en legal verksamhet. Att hon inte under</w:t>
      </w:r>
      <w:r w:rsidRPr="00896D4F">
        <w:t xml:space="preserve"> fö</w:t>
      </w:r>
      <w:r w:rsidRPr="00896D4F">
        <w:t>r</w:t>
      </w:r>
      <w:r w:rsidRPr="00896D4F">
        <w:t>undersök</w:t>
      </w:r>
      <w:r w:rsidRPr="00896D4F">
        <w:softHyphen/>
        <w:t>ningen mot henne nämnt att det fanns överväganden avseende brott i näringsverk</w:t>
      </w:r>
      <w:r w:rsidRPr="00896D4F">
        <w:softHyphen/>
        <w:t>samhet med i bil</w:t>
      </w:r>
      <w:r w:rsidRPr="00896D4F">
        <w:softHyphen/>
        <w:t>den beror på att hon inte är van att själv bli för</w:t>
      </w:r>
      <w:r w:rsidRPr="00896D4F">
        <w:t>e</w:t>
      </w:r>
      <w:r w:rsidRPr="00896D4F">
        <w:t>mål för förunder</w:t>
      </w:r>
      <w:r w:rsidRPr="00896D4F">
        <w:softHyphen/>
        <w:t>sökning. – Trans</w:t>
      </w:r>
      <w:r w:rsidRPr="00896D4F">
        <w:softHyphen/>
        <w:t>aktionslistor avseende kontot togs in, men det dröjde flera dagar innan de fick lis</w:t>
      </w:r>
      <w:r w:rsidRPr="00896D4F">
        <w:softHyphen/>
        <w:t>torna. Hon fick genom studier av rätt</w:t>
      </w:r>
      <w:r w:rsidRPr="00896D4F">
        <w:t>s</w:t>
      </w:r>
      <w:r w:rsidRPr="00896D4F">
        <w:t>fall och på annat sätt klart för sig att skade</w:t>
      </w:r>
      <w:r w:rsidRPr="00896D4F">
        <w:softHyphen/>
        <w:t>ståndskraven vid intrång i upphov</w:t>
      </w:r>
      <w:r w:rsidRPr="00896D4F">
        <w:t>s</w:t>
      </w:r>
      <w:r w:rsidRPr="00896D4F">
        <w:t>rätt var höga. For</w:t>
      </w:r>
      <w:r w:rsidRPr="00896D4F">
        <w:softHyphen/>
        <w:t>mellt hade emellertid inte några skadeståndsanspråk anmälts i ärendet. När R.A. var häktad tyckt</w:t>
      </w:r>
      <w:r w:rsidRPr="00896D4F">
        <w:t>e hon att det fanns fog för att för måls</w:t>
      </w:r>
      <w:r w:rsidRPr="00896D4F">
        <w:softHyphen/>
        <w:t>ägandenas räk</w:t>
      </w:r>
      <w:r w:rsidRPr="00896D4F">
        <w:softHyphen/>
        <w:t>ning kontrol</w:t>
      </w:r>
      <w:r w:rsidRPr="00896D4F">
        <w:softHyphen/>
        <w:t>lera om pengarna på postgirokontot kunde tänkas komma från pirat</w:t>
      </w:r>
      <w:r w:rsidRPr="00896D4F">
        <w:softHyphen/>
        <w:t>tillverkningen. Med tanke på att det fanns andra personer som kunde tänkas ta ut pengar från kontot frågade hon Postgirot hur man kunde gå till väga och fick be</w:t>
      </w:r>
      <w:r w:rsidRPr="00896D4F">
        <w:softHyphen/>
        <w:t>sked att det var ganska vanligt att man spärrade konton några dagar för vidare beslut. Idén till kontospärren fick hon alltså från Postgirot. I det läget reflekterade hon inte när</w:t>
      </w:r>
      <w:r w:rsidRPr="00896D4F">
        <w:softHyphen/>
        <w:t>mare på om det kunde vara någon egen r</w:t>
      </w:r>
      <w:r w:rsidRPr="00896D4F">
        <w:t>ättsfigur utan ville säkerställa beloppet. När hon beslutade om kontospärren tänkte hon att den skulle ha bety</w:t>
      </w:r>
      <w:r w:rsidRPr="00896D4F">
        <w:softHyphen/>
        <w:t>delse för brottsutredningen, som en förundersökningsåtgärd. Hon skulle ha kon</w:t>
      </w:r>
      <w:r w:rsidRPr="00896D4F">
        <w:softHyphen/>
        <w:t>troll över medlen. Det var ett förstadium till beslut om förvar. I förlängningen var syftet med åtgärden att säkerställa målsägandenas rätt. Hon var medveten om att konto</w:t>
      </w:r>
      <w:r w:rsidRPr="00896D4F">
        <w:softHyphen/>
        <w:t>spärren inte var en laga åtgärd under utredningen utan såg kontospärren som en tillfällig åtgärd i avvaktan på beslut om förvar. Dessutom visste hon att</w:t>
      </w:r>
      <w:r w:rsidRPr="00896D4F">
        <w:t xml:space="preserve"> det hade spär</w:t>
      </w:r>
      <w:r w:rsidRPr="00896D4F">
        <w:t>r</w:t>
      </w:r>
      <w:r w:rsidRPr="00896D4F">
        <w:t>ats konton i andra ärenden som en tillfällig åtgärd utan föregående be</w:t>
      </w:r>
      <w:r w:rsidRPr="00896D4F">
        <w:softHyphen/>
        <w:t>slut om straffprocessuella tvångsmedel varefter egendomen tagits i förvar och kva</w:t>
      </w:r>
      <w:r w:rsidRPr="00896D4F">
        <w:t>r</w:t>
      </w:r>
      <w:r w:rsidRPr="00896D4F">
        <w:t>stad begärts. Hennes beslut lades som vanligt ut för diarieföring. Hon vet inte vad som hände men förmodligen blev hon av någon anledning tvungen att ta fram akten och lade sedan inte ut den på nytt för diarieföring vilket hon borde ha gjort. Be</w:t>
      </w:r>
      <w:r w:rsidRPr="00896D4F">
        <w:softHyphen/>
        <w:t>slutet blev därför inte diariefört och kom av den anledningen senare inte upp för bevakning. Konto</w:t>
      </w:r>
      <w:r w:rsidRPr="00896D4F">
        <w:t>spärren föll sedan henne ur minnet. Hon underrättade per</w:t>
      </w:r>
      <w:r w:rsidRPr="00896D4F">
        <w:softHyphen/>
        <w:t>sonli</w:t>
      </w:r>
      <w:r w:rsidRPr="00896D4F">
        <w:softHyphen/>
        <w:t>gen inte R.A. eller hans försvarare om åtgärden. När R.A. sedan frigavs hörde han av sig, ibland flera gånger om dagen, och ville få till</w:t>
      </w:r>
      <w:r w:rsidRPr="00896D4F">
        <w:softHyphen/>
        <w:t>baka sina saker. Någon gång pratade han också om sina pengar. Hon var helt in</w:t>
      </w:r>
      <w:r w:rsidRPr="00896D4F">
        <w:softHyphen/>
        <w:t>riktad på att han då syftade på pengarna som funnits på kontot i P.H:s namn. Även när hon fick skrivelsen daterad den 10 mars 1999 från Sten Bu</w:t>
      </w:r>
      <w:r w:rsidRPr="00896D4F">
        <w:t>r</w:t>
      </w:r>
      <w:r w:rsidRPr="00896D4F">
        <w:t>man var hon helt inriktad på att det var P.H:s postgiro</w:t>
      </w:r>
      <w:r w:rsidRPr="00896D4F">
        <w:softHyphen/>
        <w:t>konto som åsyftades. I skrivelsen</w:t>
      </w:r>
      <w:r w:rsidRPr="00896D4F">
        <w:t xml:space="preserve"> angavs inte heller något kontonummer. Först när hon fick skrive</w:t>
      </w:r>
      <w:r w:rsidRPr="00896D4F">
        <w:t>l</w:t>
      </w:r>
      <w:r w:rsidRPr="00896D4F">
        <w:t>sen daterad den 17 mars 1999 från Sten Burman i vilken angavs ett konto</w:t>
      </w:r>
      <w:r w:rsidRPr="00896D4F">
        <w:softHyphen/>
        <w:t>nummer som hon inte kände igen förstod hon att något var fel. Konto</w:t>
      </w:r>
      <w:r w:rsidRPr="00896D4F">
        <w:softHyphen/>
        <w:t>numret fanns inte noterat i beslagsprotokollet. Hon kontaktade Postgirot och fick besked att kontot var spärrat på hennes begäran. Av den anledningen talade hon vid beslags</w:t>
      </w:r>
      <w:r w:rsidRPr="00896D4F">
        <w:softHyphen/>
        <w:t>förhandlingen om att kontospärren var ett missförstånd och hävde spär</w:t>
      </w:r>
      <w:r w:rsidRPr="00896D4F">
        <w:softHyphen/>
        <w:t>ren. Vid en genomgång av akten hittade hon i en pärm med rättsfa</w:t>
      </w:r>
      <w:r w:rsidRPr="00896D4F">
        <w:t>ll handlingen angående kontospärren. – Eftersom det inte fanns någon IT-utredare i Sundsvall vid den tiden och även av andra skäl blev hon mycket mer inblandad i den prak</w:t>
      </w:r>
      <w:r w:rsidRPr="00896D4F">
        <w:softHyphen/>
        <w:t>tiska han</w:t>
      </w:r>
      <w:r w:rsidRPr="00896D4F">
        <w:softHyphen/>
        <w:t>teringen av utredningen än vad som är no</w:t>
      </w:r>
      <w:r w:rsidRPr="00896D4F">
        <w:t>r</w:t>
      </w:r>
      <w:r w:rsidRPr="00896D4F">
        <w:t>malt. Dessutom förbereddes samtidigt ett tillslag i ett ärende rörande impor</w:t>
      </w:r>
      <w:r w:rsidRPr="00896D4F">
        <w:t>t</w:t>
      </w:r>
      <w:r w:rsidRPr="00896D4F">
        <w:t>bilar i vilket hon var förundersök</w:t>
      </w:r>
      <w:r w:rsidRPr="00896D4F">
        <w:softHyphen/>
        <w:t>ningsledare.</w:t>
      </w:r>
    </w:p>
    <w:p w:rsidR="009C1C5A" w:rsidRPr="00896D4F" w:rsidRDefault="009C1C5A">
      <w:pPr>
        <w:pStyle w:val="Citat"/>
      </w:pPr>
      <w:r w:rsidRPr="00896D4F">
        <w:t>Tingsrätten gör följande bedömning.</w:t>
      </w:r>
    </w:p>
    <w:p w:rsidR="009C1C5A" w:rsidRPr="00896D4F" w:rsidRDefault="009C1C5A">
      <w:r w:rsidRPr="00896D4F">
        <w:t>Det är till en början klarlagt att Anita Enocsson genom sin åtgärd att begära och få till stånd att kontot spärrades begränsat R.A:s dispositionsrätt över medlen på kontot. Klart är också att Anita Enocsson inte haft någon laglig grund för att låta spärra kontot på sätt som skett. Hon har till sitt fredande gjort gällande i första hand att hon hade laglig möjlighet att som en utre</w:t>
      </w:r>
      <w:r w:rsidRPr="00896D4F">
        <w:t>d</w:t>
      </w:r>
      <w:r w:rsidRPr="00896D4F">
        <w:t>ningsåtgärd under för</w:t>
      </w:r>
      <w:r w:rsidRPr="00896D4F">
        <w:softHyphen/>
        <w:t>undersökningen begränsa R.A:s dispositionsrätt till medlen genom att besluta om förvar av medlen och därefter begära kvarstad på dessa. Det förelåg alltså enligt Anita Enocsson förutsättningar att inom ramen för existerande straffprocessuella tvångsmedel begränsa R.A:s dispos</w:t>
      </w:r>
      <w:r w:rsidRPr="00896D4F">
        <w:t>i</w:t>
      </w:r>
      <w:r w:rsidRPr="00896D4F">
        <w:t>tionsrätt till medlen på kontot, låt vara att hon inte använde sig av dessa. De straffprocessuella tvångsmedel som kunde komma i fråga att tillämpa var beslag och tagande i för</w:t>
      </w:r>
      <w:r w:rsidRPr="00896D4F">
        <w:softHyphen/>
        <w:t>var.</w:t>
      </w:r>
    </w:p>
    <w:p w:rsidR="009C1C5A" w:rsidRPr="00896D4F" w:rsidRDefault="009C1C5A">
      <w:pPr>
        <w:pStyle w:val="Normaltindrag"/>
      </w:pPr>
      <w:r w:rsidRPr="00896D4F">
        <w:t>Anita Enocsson har lämnat olik</w:t>
      </w:r>
      <w:r w:rsidRPr="00896D4F">
        <w:t>a förklaringar om skälen till att hon föra</w:t>
      </w:r>
      <w:r w:rsidRPr="00896D4F">
        <w:t>n</w:t>
      </w:r>
      <w:r w:rsidRPr="00896D4F">
        <w:t>staltade om kontospärren och vid huvudförhandlingen lämnat uppgifter om sina bevekel</w:t>
      </w:r>
      <w:r w:rsidRPr="00896D4F">
        <w:softHyphen/>
        <w:t>segrunder för detta som hon tydligen inte lämnat tidigare under förundersök</w:t>
      </w:r>
      <w:r w:rsidRPr="00896D4F">
        <w:softHyphen/>
        <w:t>ningen mot henne. Hon har uppgivit bl.a. att hon, när hon besl</w:t>
      </w:r>
      <w:r w:rsidRPr="00896D4F">
        <w:t>u</w:t>
      </w:r>
      <w:r w:rsidRPr="00896D4F">
        <w:t>tade om konto</w:t>
      </w:r>
      <w:r w:rsidRPr="00896D4F">
        <w:softHyphen/>
        <w:t>spärren, hade i åtanke att den skulle ha betydelse för brottsu</w:t>
      </w:r>
      <w:r w:rsidRPr="00896D4F">
        <w:t>t</w:t>
      </w:r>
      <w:r w:rsidRPr="00896D4F">
        <w:t>redningen som en åtgärd under förundersökningen. Hon har också vidgått att syftet med kontospär</w:t>
      </w:r>
      <w:r w:rsidRPr="00896D4F">
        <w:softHyphen/>
        <w:t>ren måste ha varit den som hon angav i sin begäran till Postgirot, nämli</w:t>
      </w:r>
      <w:r w:rsidRPr="00896D4F">
        <w:t>gen att begäran var föranledd i anledning av för</w:t>
      </w:r>
      <w:r w:rsidRPr="00896D4F">
        <w:softHyphen/>
        <w:t>undersökning i brottmål.</w:t>
      </w:r>
    </w:p>
    <w:p w:rsidR="009C1C5A" w:rsidRPr="00896D4F" w:rsidRDefault="009C1C5A">
      <w:pPr>
        <w:pStyle w:val="Normaltindrag"/>
      </w:pPr>
      <w:r w:rsidRPr="00896D4F">
        <w:t>Enligt 27 kap. 1 § första stycket rättegångsbalken kan, såvitt nu är av i</w:t>
      </w:r>
      <w:r w:rsidRPr="00896D4F">
        <w:t>n</w:t>
      </w:r>
      <w:r w:rsidRPr="00896D4F">
        <w:t>tresse, fö</w:t>
      </w:r>
      <w:r w:rsidRPr="00896D4F">
        <w:softHyphen/>
        <w:t>remål som skäligen kan antagas äga betydelse för utredning om brott tagas i be</w:t>
      </w:r>
      <w:r w:rsidRPr="00896D4F">
        <w:softHyphen/>
        <w:t>slag. Det är uppenbart att den bestämmelsen inte var tillämplig i detta fall och Anita Enocsson har också, enligt vad som framgår av protoko</w:t>
      </w:r>
      <w:r w:rsidRPr="00896D4F">
        <w:t>l</w:t>
      </w:r>
      <w:r w:rsidRPr="00896D4F">
        <w:t>let från beslagsför</w:t>
      </w:r>
      <w:r w:rsidRPr="00896D4F">
        <w:softHyphen/>
        <w:t>handlingen, åtminstone tidigare själv hävdat att det aldrig varit aktuellt att R.A:s postgirokonto skulle tas i beslag. Lagliga förutsät</w:t>
      </w:r>
      <w:r w:rsidRPr="00896D4F">
        <w:t>t</w:t>
      </w:r>
      <w:r w:rsidRPr="00896D4F">
        <w:t>ningar för att, på sätt som anges i gärnings</w:t>
      </w:r>
      <w:r w:rsidRPr="00896D4F">
        <w:softHyphen/>
        <w:t>beskrivningen, som en utredning</w:t>
      </w:r>
      <w:r w:rsidRPr="00896D4F">
        <w:t>s</w:t>
      </w:r>
      <w:r w:rsidRPr="00896D4F">
        <w:t>åtgärd under en förun</w:t>
      </w:r>
      <w:r w:rsidRPr="00896D4F">
        <w:softHyphen/>
        <w:t>dersökning begränsa R.A:</w:t>
      </w:r>
      <w:r w:rsidRPr="00896D4F">
        <w:t>s dispositionsrätt över medlen på kontot förelåg alltså inte. Frågan är då om det förelåg rättslig grund för att ta medlen i fö</w:t>
      </w:r>
      <w:r w:rsidRPr="00896D4F">
        <w:t>r</w:t>
      </w:r>
      <w:r w:rsidRPr="00896D4F">
        <w:t>var.</w:t>
      </w:r>
    </w:p>
    <w:p w:rsidR="009C1C5A" w:rsidRPr="00896D4F" w:rsidRDefault="009C1C5A">
      <w:pPr>
        <w:pStyle w:val="Normaltindrag"/>
      </w:pPr>
      <w:r w:rsidRPr="00896D4F">
        <w:t>Anita Enocsson har hävdat att skälen till att medlen skulle ha kunnat tas i förvar var att säkerställa målsägandenas anspråk på skadestånd samt att R.A. kunde misstänkas för brott i näringsverksamhet och att förverkade till det all</w:t>
      </w:r>
      <w:r w:rsidRPr="00896D4F">
        <w:softHyphen/>
        <w:t>männa med stöd av bestämmelserna i 36 kap. 1 §, 2 § eller 4 § brottsbalken kunde komma i fråga.</w:t>
      </w:r>
    </w:p>
    <w:p w:rsidR="009C1C5A" w:rsidRPr="00896D4F" w:rsidRDefault="009C1C5A">
      <w:pPr>
        <w:pStyle w:val="Normaltindrag"/>
      </w:pPr>
      <w:r w:rsidRPr="00896D4F">
        <w:t>Det har inte framkommit att några konkreta skadeståndsanspråk hade a</w:t>
      </w:r>
      <w:r w:rsidRPr="00896D4F">
        <w:t>n</w:t>
      </w:r>
      <w:r w:rsidRPr="00896D4F">
        <w:t>mälts när Anita Enocsson föranstaltade om kontospärren. Utredningen gällde misstanke om brott mot upphovsrättslagen. Upphovsrättslagen innehåller inte några bestämmel</w:t>
      </w:r>
      <w:r w:rsidRPr="00896D4F">
        <w:softHyphen/>
        <w:t>ser om förverkande till det allmänna. Anita Enocssons tydl</w:t>
      </w:r>
      <w:r w:rsidRPr="00896D4F">
        <w:t>i</w:t>
      </w:r>
      <w:r w:rsidRPr="00896D4F">
        <w:t>gen först vid huvud</w:t>
      </w:r>
      <w:r w:rsidRPr="00896D4F">
        <w:softHyphen/>
        <w:t>förhandlingen här lämnade uppgift om att en av hennes bevekelsegrunder var att R. A. kunde misstänkas för brott i näringsverksa</w:t>
      </w:r>
      <w:r w:rsidRPr="00896D4F">
        <w:t>m</w:t>
      </w:r>
      <w:r w:rsidRPr="00896D4F">
        <w:t>het och att brotts</w:t>
      </w:r>
      <w:r w:rsidRPr="00896D4F">
        <w:softHyphen/>
        <w:t>balkens förverkande</w:t>
      </w:r>
      <w:r w:rsidRPr="00896D4F">
        <w:softHyphen/>
        <w:t>regler kunde aktualiseras framstår i hög grad som konstruerad i efterhand. Hon har inte heller mer</w:t>
      </w:r>
      <w:r w:rsidRPr="00896D4F">
        <w:t>a konkret kunnat redogöra för vilken brottslig</w:t>
      </w:r>
      <w:r w:rsidRPr="00896D4F">
        <w:softHyphen/>
        <w:t>het det i så fall skulle ha varit fråga om. Det är vidare uppenbart att eventuell misstanke om brott som kunde medföra förve</w:t>
      </w:r>
      <w:r w:rsidRPr="00896D4F">
        <w:t>r</w:t>
      </w:r>
      <w:r w:rsidRPr="00896D4F">
        <w:t>kande inte hade uppnått sådan styrka att beslut om förvar av medlen kunde komma i fråga. Såvitt framkommit förelåg det alltså inte någon rättslig grund att begränsa R.A:s dispo</w:t>
      </w:r>
      <w:r w:rsidRPr="00896D4F">
        <w:softHyphen/>
        <w:t>sitionsrätt över medlen på kontot genom att ta medlen i förvar.</w:t>
      </w:r>
    </w:p>
    <w:p w:rsidR="009C1C5A" w:rsidRPr="00896D4F" w:rsidRDefault="009C1C5A">
      <w:pPr>
        <w:pStyle w:val="Normaltindrag"/>
      </w:pPr>
      <w:r w:rsidRPr="00896D4F">
        <w:t>Tingsrätten finner sammanfattningsvis utrett att Anita Enocssons åtgärd att föran</w:t>
      </w:r>
      <w:r w:rsidRPr="00896D4F">
        <w:softHyphen/>
        <w:t>stalta om kontospärren saknat laga grund och att det inte heller inom ramen för tillämpliga straffprocessuella tvångsmedel eller på annan grund förelegat lagliga möjligheter att begränsa R.A:s dispositionsrätt över medlen på kon</w:t>
      </w:r>
      <w:r w:rsidRPr="00896D4F">
        <w:softHyphen/>
        <w:t>tot. R.A. har därmed varit berövad dispositionsrätten över medlen på kontot under tid som anges i gärningsbeskrivningen utan att någon rättslig grund därför förel</w:t>
      </w:r>
      <w:r w:rsidRPr="00896D4F">
        <w:t>e</w:t>
      </w:r>
      <w:r w:rsidRPr="00896D4F">
        <w:t>gat.</w:t>
      </w:r>
    </w:p>
    <w:p w:rsidR="009C1C5A" w:rsidRPr="00896D4F" w:rsidRDefault="009C1C5A">
      <w:pPr>
        <w:pStyle w:val="Normaltindrag"/>
      </w:pPr>
      <w:r w:rsidRPr="00896D4F">
        <w:t>Enligt vad som framkommit genom förhöret med Anita Enocsson fick hon uppslaget till kontospärren från Postgirot. D</w:t>
      </w:r>
      <w:r w:rsidRPr="00896D4F">
        <w:t>et är tydligt att hon inte gjort några närmare rättsliga överväganden innan hon föranstaltade om åtgärden att låta spärra kontot. Något tvivel om att hon, som är en erfaren åklagare, förf</w:t>
      </w:r>
      <w:r w:rsidRPr="00896D4F">
        <w:t>a</w:t>
      </w:r>
      <w:r w:rsidRPr="00896D4F">
        <w:t>rit oaktsamt vid sin myndighetsutövning föreligger inte. I den mån proporti</w:t>
      </w:r>
      <w:r w:rsidRPr="00896D4F">
        <w:t>o</w:t>
      </w:r>
      <w:r w:rsidRPr="00896D4F">
        <w:t>nalitetsprincipen kan anses vara relevant i detta sammanhang kan inte en tillämpning av den medföra att Anita Enocsson kan gå fri från ansvar för tjänstefel. Den eventuella skada som R.A. orsakats av den oriktiga myndi</w:t>
      </w:r>
      <w:r w:rsidRPr="00896D4F">
        <w:t>g</w:t>
      </w:r>
      <w:r w:rsidRPr="00896D4F">
        <w:t>hetsutövningen är en omstän</w:t>
      </w:r>
      <w:r w:rsidRPr="00896D4F">
        <w:softHyphen/>
        <w:t>d</w:t>
      </w:r>
      <w:r w:rsidRPr="00896D4F">
        <w:t>ighet som skall beaktas vid bedömningen om gärningen är att anse som ringa e</w:t>
      </w:r>
      <w:r w:rsidRPr="00896D4F">
        <w:t>l</w:t>
      </w:r>
      <w:r w:rsidRPr="00896D4F">
        <w:t>ler ej.</w:t>
      </w:r>
    </w:p>
    <w:p w:rsidR="009C1C5A" w:rsidRPr="00896D4F" w:rsidRDefault="009C1C5A">
      <w:pPr>
        <w:pStyle w:val="Normaltindrag"/>
      </w:pPr>
      <w:r w:rsidRPr="00896D4F">
        <w:t>Frågan är då om gärningen är att anse som ringa och att Anita Enocsson dä</w:t>
      </w:r>
      <w:r w:rsidRPr="00896D4F">
        <w:t>r</w:t>
      </w:r>
      <w:r w:rsidRPr="00896D4F">
        <w:t>för inte skall dömas till ansvar.</w:t>
      </w:r>
    </w:p>
    <w:p w:rsidR="009C1C5A" w:rsidRPr="00896D4F" w:rsidRDefault="009C1C5A">
      <w:pPr>
        <w:pStyle w:val="Normaltindrag"/>
      </w:pPr>
      <w:r w:rsidRPr="00896D4F">
        <w:t>Anita Enocsson är en erfaren åklagare och måste som sådan vara väl insatt i vilka tvångsmedel som är tillåtna. Hon har, såvitt framkommit, inte handlat under nå</w:t>
      </w:r>
      <w:r w:rsidRPr="00896D4F">
        <w:softHyphen/>
        <w:t>gon större tidspress när hon beslutade om kontospärren. Inte heller har framkom</w:t>
      </w:r>
      <w:r w:rsidRPr="00896D4F">
        <w:softHyphen/>
        <w:t>mit att hennes arbetsbörda vid tillfället var anmärkningsvärt hög. Hennes oriktiga myndighetsutövning har medfört att R.A. under drygt fem månaders tid var berövad dispositionsrätten till de medel, nästan 13 000 kr, som fanns på kontot. Det är alltså ett relativt betydande belopp som han under lång tid inte kun</w:t>
      </w:r>
      <w:r w:rsidRPr="00896D4F">
        <w:softHyphen/>
        <w:t>nat dis</w:t>
      </w:r>
      <w:r w:rsidRPr="00896D4F">
        <w:softHyphen/>
        <w:t>ponera över. Vid en helhetsbedömning av nu angivna omständigheter och vad som i övrigt förekommit finner tings</w:t>
      </w:r>
      <w:r w:rsidRPr="00896D4F">
        <w:t>rätten att gä</w:t>
      </w:r>
      <w:r w:rsidRPr="00896D4F">
        <w:t>r</w:t>
      </w:r>
      <w:r w:rsidRPr="00896D4F">
        <w:t>ningen inte är att bedöma som ringa. Anita Enocsson skall följaktligen dömas för tjänstefel.</w:t>
      </w:r>
    </w:p>
    <w:p w:rsidR="009C1C5A" w:rsidRPr="00896D4F" w:rsidRDefault="009C1C5A">
      <w:pPr>
        <w:pStyle w:val="Normaltindrag"/>
        <w:spacing w:before="125"/>
      </w:pPr>
      <w:r w:rsidRPr="00896D4F">
        <w:t>Annan påföljd än ett bötesstraff är inte aktuell.</w:t>
      </w:r>
    </w:p>
    <w:p w:rsidR="009C1C5A" w:rsidRPr="00896D4F" w:rsidRDefault="009C1C5A">
      <w:pPr>
        <w:pStyle w:val="Rubrik3"/>
      </w:pPr>
      <w:r w:rsidRPr="00896D4F">
        <w:t>Anita Enocssons överklagande m.m.</w:t>
      </w:r>
    </w:p>
    <w:p w:rsidR="009C1C5A" w:rsidRPr="00896D4F" w:rsidRDefault="009C1C5A">
      <w:r w:rsidRPr="00896D4F">
        <w:t>Anita Enocsson överklagade tingsrättens dom och yrkade bl.a. att åtalet skulle ogillas och i annat fall att hon skulle meddelas påföljdseftergift.</w:t>
      </w:r>
    </w:p>
    <w:p w:rsidR="009C1C5A" w:rsidRPr="00896D4F" w:rsidRDefault="009C1C5A">
      <w:r w:rsidRPr="00896D4F">
        <w:rPr>
          <w:i/>
        </w:rPr>
        <w:t>ChefsJO Eklundh</w:t>
      </w:r>
      <w:r w:rsidRPr="00896D4F">
        <w:t xml:space="preserve"> bestred ändring.</w:t>
      </w:r>
    </w:p>
    <w:p w:rsidR="009C1C5A" w:rsidRPr="00896D4F" w:rsidRDefault="009C1C5A">
      <w:r w:rsidRPr="00896D4F">
        <w:t>Hovrätten för Nedre Norrland beviljade prövningstillstånd i målet.</w:t>
      </w:r>
    </w:p>
    <w:p w:rsidR="009C1C5A" w:rsidRPr="00896D4F" w:rsidRDefault="009C1C5A">
      <w:pPr>
        <w:pStyle w:val="Rubrik3"/>
      </w:pPr>
      <w:r w:rsidRPr="00896D4F">
        <w:t xml:space="preserve">Hovrättens för Nedre Norrland dom </w:t>
      </w:r>
    </w:p>
    <w:p w:rsidR="009C1C5A" w:rsidRPr="00896D4F" w:rsidRDefault="009C1C5A">
      <w:r w:rsidRPr="00896D4F">
        <w:t>I en dom den 24 oktober 2001 fastställde hovrätten tingsrättens dom.</w:t>
      </w:r>
    </w:p>
    <w:p w:rsidR="009C1C5A" w:rsidRPr="00896D4F" w:rsidRDefault="009C1C5A">
      <w:r w:rsidRPr="00896D4F">
        <w:t>I domskälen anförde hovrätten bl.a. följande.</w:t>
      </w:r>
    </w:p>
    <w:p w:rsidR="009C1C5A" w:rsidRPr="00896D4F" w:rsidRDefault="009C1C5A">
      <w:r w:rsidRPr="00896D4F">
        <w:t>Anita Enocsson har angivit samma inställning till åtalet som vid tingsrätten. Ut</w:t>
      </w:r>
      <w:r w:rsidRPr="00896D4F">
        <w:softHyphen/>
        <w:t>över vad hon uppgav vid tingsrätten – enligt redovisningen i tingsrättens dom – har vä</w:t>
      </w:r>
      <w:r w:rsidRPr="00896D4F">
        <w:softHyphen/>
        <w:t>sentligen följande anförts. Då hon begärde att kontot skulle spä</w:t>
      </w:r>
      <w:r w:rsidRPr="00896D4F">
        <w:t>r</w:t>
      </w:r>
      <w:r w:rsidRPr="00896D4F">
        <w:t>ras hade hon klart för sig att speltillverkarna genom intresseorganisationen MDTS skulle komma att begära skadestånd i storleksordningen 2–3 miljoner kr. Hennes tanke måste ha varit att inom någon dag efter det att kontot hade spärrats ge in en ansö</w:t>
      </w:r>
      <w:r w:rsidRPr="00896D4F">
        <w:softHyphen/>
        <w:t>kan till tingsrätten om kvarstad. MDTS</w:t>
      </w:r>
      <w:r w:rsidRPr="00896D4F">
        <w:rPr>
          <w:b/>
        </w:rPr>
        <w:t xml:space="preserve"> </w:t>
      </w:r>
      <w:r w:rsidRPr="00896D4F">
        <w:t>bestämde sig emellertid för att avvakta utgången i ett mål där en medg</w:t>
      </w:r>
      <w:r w:rsidRPr="00896D4F">
        <w:t>ärningsman till R.A. i stockholms</w:t>
      </w:r>
      <w:r w:rsidRPr="00896D4F">
        <w:softHyphen/>
        <w:t>trakten åtalades för brott mot upphovsrättslagen. Det pågår n</w:t>
      </w:r>
      <w:r w:rsidRPr="00896D4F">
        <w:t>u</w:t>
      </w:r>
      <w:r w:rsidRPr="00896D4F">
        <w:t>mera en civilrättslig process mellan MDTS och bl.a. R.A. där skadeståndsan</w:t>
      </w:r>
      <w:r w:rsidRPr="00896D4F">
        <w:softHyphen/>
        <w:t>språket upp</w:t>
      </w:r>
      <w:r w:rsidRPr="00896D4F">
        <w:softHyphen/>
        <w:t>går till mer än 4 miljoner kr. – Nå</w:t>
      </w:r>
      <w:r w:rsidRPr="00896D4F">
        <w:softHyphen/>
        <w:t>gon skada kan inte ha uppko</w:t>
      </w:r>
      <w:r w:rsidRPr="00896D4F">
        <w:t>m</w:t>
      </w:r>
      <w:r w:rsidRPr="00896D4F">
        <w:t>mit för R.A. till följd av kontospärren, eftersom han först den 10 mars 1999 efter</w:t>
      </w:r>
      <w:r w:rsidRPr="00896D4F">
        <w:softHyphen/>
        <w:t>frågat medlen på kontot och inte gått för</w:t>
      </w:r>
      <w:r w:rsidRPr="00896D4F">
        <w:softHyphen/>
        <w:t>lustig någon del av medlen eller ränta på dessa. – Den typ av brott mot upphovsrätts</w:t>
      </w:r>
      <w:r w:rsidRPr="00896D4F">
        <w:softHyphen/>
        <w:t>lagen som det var fråga om förekom inte ofta, och det v</w:t>
      </w:r>
      <w:r w:rsidRPr="00896D4F">
        <w:t>ar lätt att göra fel. Därför skulle det under alla förhållanden vara oskäligt att i detta fall döma till påföljd. – Hon är för närv</w:t>
      </w:r>
      <w:r w:rsidRPr="00896D4F">
        <w:t>a</w:t>
      </w:r>
      <w:r w:rsidRPr="00896D4F">
        <w:t>rande tjänstledig från arbetet som åklagare och innehar en annan anställning i Härnösand.</w:t>
      </w:r>
    </w:p>
    <w:p w:rsidR="009C1C5A" w:rsidRPr="00896D4F" w:rsidRDefault="009C1C5A">
      <w:pPr>
        <w:pStyle w:val="Citat"/>
      </w:pPr>
      <w:r w:rsidRPr="00896D4F">
        <w:t>Den skriftliga utredning som förebringades vid tingsrätten har åberopats även i hov</w:t>
      </w:r>
      <w:r w:rsidRPr="00896D4F">
        <w:softHyphen/>
        <w:t>rätten.</w:t>
      </w:r>
    </w:p>
    <w:p w:rsidR="009C1C5A" w:rsidRPr="00896D4F" w:rsidRDefault="009C1C5A">
      <w:pPr>
        <w:pStyle w:val="Citat"/>
      </w:pPr>
      <w:r w:rsidRPr="00896D4F">
        <w:t>Hovrättens bedömning</w:t>
      </w:r>
    </w:p>
    <w:p w:rsidR="009C1C5A" w:rsidRPr="00896D4F" w:rsidRDefault="009C1C5A">
      <w:r w:rsidRPr="00896D4F">
        <w:t>Innebörden av åtalet är att Anita Enocsson utan att lagliga förutsättningar före</w:t>
      </w:r>
      <w:r w:rsidRPr="00896D4F">
        <w:softHyphen/>
        <w:t>legat för en begränsning av R.A:s dispositionsrätt över medlen på hans konto, hos Postgirot begärt – med hänvisning till pågående förundersökning i brott</w:t>
      </w:r>
      <w:r w:rsidRPr="00896D4F">
        <w:softHyphen/>
        <w:t>mål och uppkommen misstanke om att kontot användes i brottslig ver</w:t>
      </w:r>
      <w:r w:rsidRPr="00896D4F">
        <w:t>k</w:t>
      </w:r>
      <w:r w:rsidRPr="00896D4F">
        <w:t>sam</w:t>
      </w:r>
      <w:r w:rsidRPr="00896D4F">
        <w:softHyphen/>
        <w:t>het – att R.A:s konto skulle spärras för direktuttag och övriga uttag. En följd av hennes framställan var att R.A. blev berövad disposi</w:t>
      </w:r>
      <w:r w:rsidRPr="00896D4F">
        <w:softHyphen/>
        <w:t>tionsrätten över medlen på kontot under tiden den 19 oktober 1998 – den 21 mars l999. Det görs gällande i åtalet att Anita Enocsson härigenom vid mynd</w:t>
      </w:r>
      <w:r w:rsidRPr="00896D4F">
        <w:t>ighets</w:t>
      </w:r>
      <w:r w:rsidRPr="00896D4F">
        <w:softHyphen/>
        <w:t>utövning av oaktsamhet har åsidosatt vad som gäller för uppgiften.</w:t>
      </w:r>
    </w:p>
    <w:p w:rsidR="009C1C5A" w:rsidRPr="00896D4F" w:rsidRDefault="009C1C5A">
      <w:pPr>
        <w:pStyle w:val="Normaltindrag"/>
      </w:pPr>
      <w:r w:rsidRPr="00896D4F">
        <w:t>Det måste genom utredningen anses stå klart att det är just genom Anita Enocs</w:t>
      </w:r>
      <w:r w:rsidRPr="00896D4F">
        <w:softHyphen/>
        <w:t>sons begäran hos Postgirot som kontot kommit att spärras, en spärr som seder</w:t>
      </w:r>
      <w:r w:rsidRPr="00896D4F">
        <w:softHyphen/>
        <w:t>mera också tagits bort på hennes begäran och att innebörden av denna spärr var att R.A. inte kunde disponera över medlen under den tid som spä</w:t>
      </w:r>
      <w:r w:rsidRPr="00896D4F">
        <w:t>r</w:t>
      </w:r>
      <w:r w:rsidRPr="00896D4F">
        <w:t>ren gällde.</w:t>
      </w:r>
    </w:p>
    <w:p w:rsidR="009C1C5A" w:rsidRPr="00896D4F" w:rsidRDefault="009C1C5A">
      <w:pPr>
        <w:pStyle w:val="Normaltindrag"/>
      </w:pPr>
      <w:r w:rsidRPr="00896D4F">
        <w:t>Anita Enocsson har i hovrätten angivit att avsikten med att spärra kontot för uttag men låta kontot alltjämt vara tillgängligt för insättningar av medel var att bereda bl.a. de som mottagit piratkopierade spel och program fortsatt möjlighet göra be</w:t>
      </w:r>
      <w:r w:rsidRPr="00896D4F">
        <w:softHyphen/>
        <w:t>talningar därför till kontot. Hovrätten anser med hänsyn härtill och med beaktande av utred</w:t>
      </w:r>
      <w:r w:rsidRPr="00896D4F">
        <w:softHyphen/>
        <w:t>ningen i övrigt att det inte finns belägg för att den i begäran om spärr an</w:t>
      </w:r>
      <w:r w:rsidRPr="00896D4F">
        <w:softHyphen/>
        <w:t>givna brotts</w:t>
      </w:r>
      <w:r w:rsidRPr="00896D4F">
        <w:softHyphen/>
        <w:t>misstanken mot R. A. avsåg annat än brott mot upphovs</w:t>
      </w:r>
      <w:r w:rsidRPr="00896D4F">
        <w:softHyphen/>
        <w:t>rättslagen. Något annat straffprocessuellt tvångsmedel än ett tagande av medlen på kontot i förvar kan därför inte ha stått Anita Enoc</w:t>
      </w:r>
      <w:r w:rsidRPr="00896D4F">
        <w:t>s</w:t>
      </w:r>
      <w:r w:rsidRPr="00896D4F">
        <w:t>son till buds.</w:t>
      </w:r>
    </w:p>
    <w:p w:rsidR="009C1C5A" w:rsidRPr="00896D4F" w:rsidRDefault="009C1C5A">
      <w:pPr>
        <w:pStyle w:val="Normaltindrag"/>
      </w:pPr>
      <w:r w:rsidRPr="00896D4F">
        <w:t>Enligt vad Anita Enocsson uppgivit skulle ett tagande av penningmedlen i förvar ha haft till syfte att säkerställa fullgörande</w:t>
      </w:r>
      <w:r w:rsidRPr="00896D4F">
        <w:t>t av ett skadeståndskrav från målsägan</w:t>
      </w:r>
      <w:r w:rsidRPr="00896D4F">
        <w:softHyphen/>
        <w:t>den. Förvarstagande skall i en sådan situation inom fem dagar följas av en ansö</w:t>
      </w:r>
      <w:r w:rsidRPr="00896D4F">
        <w:softHyphen/>
        <w:t>kan till rätten om kvarstad enligt reglerna i 26 kap. rättegångsba</w:t>
      </w:r>
      <w:r w:rsidRPr="00896D4F">
        <w:t>l</w:t>
      </w:r>
      <w:r w:rsidRPr="00896D4F">
        <w:t>ken. För att åkla</w:t>
      </w:r>
      <w:r w:rsidRPr="00896D4F">
        <w:softHyphen/>
        <w:t>garen skall vara behörig att göra en sådan kvarstadsansökan måste målsäganden ha an</w:t>
      </w:r>
      <w:r w:rsidRPr="00896D4F">
        <w:softHyphen/>
        <w:t>mält ett skadeståndsanspråk hos åklagaren. Om en framställning om kvarstad inte görs skall egendomen omedelbart återställas till ägaren. Någon ansökan om kvar</w:t>
      </w:r>
      <w:r w:rsidRPr="00896D4F">
        <w:softHyphen/>
        <w:t xml:space="preserve">stad gjordes emellertid inte och såvitt framkommit anmäldes inte </w:t>
      </w:r>
      <w:r w:rsidRPr="00896D4F">
        <w:t>heller något ska</w:t>
      </w:r>
      <w:r w:rsidRPr="00896D4F">
        <w:softHyphen/>
        <w:t>deståndskrav till åklagaren.</w:t>
      </w:r>
    </w:p>
    <w:p w:rsidR="009C1C5A" w:rsidRPr="00896D4F" w:rsidRDefault="009C1C5A">
      <w:pPr>
        <w:pStyle w:val="Normaltindrag"/>
      </w:pPr>
      <w:r w:rsidRPr="00896D4F">
        <w:t>Ett beslut om att ta penningmedlen i förvar borde med hänsyn till tid</w:t>
      </w:r>
      <w:r w:rsidRPr="00896D4F">
        <w:t>s</w:t>
      </w:r>
      <w:r w:rsidRPr="00896D4F">
        <w:t>fristen för en kvarstadsansökan ha föranlett, förutom diarieföring av han</w:t>
      </w:r>
      <w:r w:rsidRPr="00896D4F">
        <w:t>d</w:t>
      </w:r>
      <w:r w:rsidRPr="00896D4F">
        <w:t>lingen, att en åtgärd vidtogs för bevakning av denna tidsfrist. Någon utre</w:t>
      </w:r>
      <w:r w:rsidRPr="00896D4F">
        <w:t>d</w:t>
      </w:r>
      <w:r w:rsidRPr="00896D4F">
        <w:t>ning om rutinerna vid åkla</w:t>
      </w:r>
      <w:r w:rsidRPr="00896D4F">
        <w:softHyphen/>
        <w:t>gar</w:t>
      </w:r>
      <w:r w:rsidRPr="00896D4F">
        <w:softHyphen/>
        <w:t>kammaren för sådan bevakning finns inte i målet. Innehållet i handlingen torde dock knappast ha gett anledning för n</w:t>
      </w:r>
      <w:r w:rsidRPr="00896D4F">
        <w:t>å</w:t>
      </w:r>
      <w:r w:rsidRPr="00896D4F">
        <w:t>gon annan på åklagarkammaren än Anita Enocsson att ta initiativ till en b</w:t>
      </w:r>
      <w:r w:rsidRPr="00896D4F">
        <w:t>e</w:t>
      </w:r>
      <w:r w:rsidRPr="00896D4F">
        <w:t>vakning av nämnda tidsfrist och uppenbarligen har inte Anita Enocsson själv tagit ett sådant init</w:t>
      </w:r>
      <w:r w:rsidRPr="00896D4F">
        <w:t>i</w:t>
      </w:r>
      <w:r w:rsidRPr="00896D4F">
        <w:t>ativ.</w:t>
      </w:r>
    </w:p>
    <w:p w:rsidR="009C1C5A" w:rsidRPr="00896D4F" w:rsidRDefault="009C1C5A">
      <w:pPr>
        <w:pStyle w:val="Normaltindrag"/>
      </w:pPr>
      <w:r w:rsidRPr="00896D4F">
        <w:t>Hovrätten gör med hänsyn till det an</w:t>
      </w:r>
      <w:r w:rsidRPr="00896D4F">
        <w:t>förda den bedömningen att Anita Enocssons begäran hos Postgirot om kontospärr inte utgör och inte heller kan jämställas med ett beslut om förvarstagande. Som tingsrätten funnit kan det således inte anses ha fun</w:t>
      </w:r>
      <w:r w:rsidRPr="00896D4F">
        <w:softHyphen/>
        <w:t>nits någon rättslig grund för att låta begränsa R.A:s di</w:t>
      </w:r>
      <w:r w:rsidRPr="00896D4F">
        <w:t>s</w:t>
      </w:r>
      <w:r w:rsidRPr="00896D4F">
        <w:t>positions</w:t>
      </w:r>
      <w:r w:rsidRPr="00896D4F">
        <w:softHyphen/>
        <w:t>rätt över medlen på kontot.</w:t>
      </w:r>
    </w:p>
    <w:p w:rsidR="009C1C5A" w:rsidRPr="00896D4F" w:rsidRDefault="009C1C5A">
      <w:pPr>
        <w:pStyle w:val="Normaltindrag"/>
      </w:pPr>
      <w:r w:rsidRPr="00896D4F">
        <w:t>Hovrätten ansluter sig till tingsrättens bedömning att Anita Enocsson i det avse</w:t>
      </w:r>
      <w:r w:rsidRPr="00896D4F">
        <w:softHyphen/>
        <w:t>ende som anges i åtalet och redovisats ovan av oaktsamhet vid myndi</w:t>
      </w:r>
      <w:r w:rsidRPr="00896D4F">
        <w:t>g</w:t>
      </w:r>
      <w:r w:rsidRPr="00896D4F">
        <w:t>hetsutöv</w:t>
      </w:r>
      <w:r w:rsidRPr="00896D4F">
        <w:softHyphen/>
        <w:t>ning åsidosatt vad som gällt för uppdraget och att hennes gärning inte är att be</w:t>
      </w:r>
      <w:r w:rsidRPr="00896D4F">
        <w:softHyphen/>
        <w:t>döma som endast ringa. Den omständigheten att man vid Postgirot måhända inte varit skyldig att verkställa åklagarens begäran om kontospärr inverkar enligt hovrättens mening inte på bedömningen. Anita Enocsson kan därför inte undgå ansvar för tjänstefel.</w:t>
      </w:r>
    </w:p>
    <w:p w:rsidR="009C1C5A" w:rsidRPr="00896D4F" w:rsidRDefault="009C1C5A">
      <w:pPr>
        <w:pStyle w:val="Normaltindrag"/>
      </w:pPr>
      <w:r w:rsidRPr="00896D4F">
        <w:t>Vad som Anita Enocsson anfört och i övrigt framkommit ger inte anle</w:t>
      </w:r>
      <w:r w:rsidRPr="00896D4F">
        <w:t>d</w:t>
      </w:r>
      <w:r w:rsidRPr="00896D4F">
        <w:t>ning att med tillämpning av 29 kap. 6 § brottsbalken meddela henne påföljd</w:t>
      </w:r>
      <w:r w:rsidRPr="00896D4F">
        <w:t>s</w:t>
      </w:r>
      <w:r w:rsidRPr="00896D4F">
        <w:t>efte</w:t>
      </w:r>
      <w:r w:rsidRPr="00896D4F">
        <w:t>r</w:t>
      </w:r>
      <w:r w:rsidRPr="00896D4F">
        <w:t xml:space="preserve">gift. </w:t>
      </w:r>
    </w:p>
    <w:p w:rsidR="009C1C5A" w:rsidRPr="00896D4F" w:rsidRDefault="009C1C5A">
      <w:pPr>
        <w:pStyle w:val="Normaltindrag"/>
      </w:pPr>
      <w:r w:rsidRPr="00896D4F">
        <w:t>Tingsrättens dom skall vid angivna bedömningar fastställas.</w:t>
      </w:r>
    </w:p>
    <w:p w:rsidR="009C1C5A" w:rsidRPr="00896D4F" w:rsidRDefault="009C1C5A">
      <w:pPr>
        <w:pStyle w:val="Rubrik2"/>
        <w:rPr>
          <w:b/>
          <w:sz w:val="28"/>
        </w:rPr>
      </w:pPr>
      <w:r w:rsidRPr="00896D4F">
        <w:t>Handläggningen av en förundersökning angående mord under vilken bl.a. bevisupptagning skett vid domstol med ett ”anonymt” vittne</w:t>
      </w:r>
    </w:p>
    <w:p w:rsidR="009C1C5A" w:rsidRPr="00896D4F" w:rsidRDefault="009C1C5A">
      <w:pPr>
        <w:spacing w:before="0"/>
      </w:pPr>
      <w:r w:rsidRPr="00896D4F">
        <w:t>(Dnr 1172-1998 och 4234-1998)</w:t>
      </w:r>
    </w:p>
    <w:p w:rsidR="009C1C5A" w:rsidRPr="00896D4F" w:rsidRDefault="009C1C5A">
      <w:pPr>
        <w:rPr>
          <w:b/>
          <w:sz w:val="28"/>
        </w:rPr>
      </w:pPr>
      <w:r w:rsidRPr="00896D4F">
        <w:t xml:space="preserve">I ett beslut den 28 september 2001 anförde </w:t>
      </w:r>
      <w:r w:rsidRPr="00896D4F">
        <w:rPr>
          <w:i/>
        </w:rPr>
        <w:t>chefsJO Eklundh</w:t>
      </w:r>
      <w:r w:rsidRPr="00896D4F">
        <w:t xml:space="preserve"> bl.a. följande.</w:t>
      </w:r>
    </w:p>
    <w:p w:rsidR="009C1C5A" w:rsidRPr="00896D4F" w:rsidRDefault="009C1C5A">
      <w:pPr>
        <w:pStyle w:val="Rubrik3"/>
        <w:rPr>
          <w:b w:val="0"/>
        </w:rPr>
      </w:pPr>
      <w:r w:rsidRPr="00896D4F">
        <w:t>BAKGRUND OCH UTREDNING</w:t>
      </w:r>
    </w:p>
    <w:p w:rsidR="009C1C5A" w:rsidRPr="00896D4F" w:rsidRDefault="009C1C5A">
      <w:pPr>
        <w:pStyle w:val="Rubrik3"/>
      </w:pPr>
      <w:r w:rsidRPr="00896D4F">
        <w:t>1 Inledning</w:t>
      </w:r>
    </w:p>
    <w:p w:rsidR="009C1C5A" w:rsidRPr="00896D4F" w:rsidRDefault="009C1C5A">
      <w:r w:rsidRPr="00896D4F">
        <w:t>Den 26 augusti 1997 dödades en man på kriminalvårdsanstalten i Tidaholm. Förundersökning om mord inleddes, och biträdande chefsåklagaren Marianne Aldén (Åklagarmyndigheten i Göteborg, Åklagarkammaren i Skövde) utsågs till förundersökningsledare. Kort tid efter händelsen delgavs den i krimina</w:t>
      </w:r>
      <w:r w:rsidRPr="00896D4F">
        <w:t>l</w:t>
      </w:r>
      <w:r w:rsidRPr="00896D4F">
        <w:t>vårdsanstalten intagne J.A. misstanke om mord och vissa föremål beslagtogs i hans cell. I februari 1998 förordnade Falköpings tingsrätt advokaten Staffan Bergfeldt till offentlig försvarare för J.A. Tingsrätten höll i september 1998 bevisupptagning och häktningsförhandling i målet. Vid denna tidpunkt var J.A. och två andra personer misstänkta för de</w:t>
      </w:r>
      <w:r w:rsidRPr="00896D4F">
        <w:t>l</w:t>
      </w:r>
      <w:r w:rsidRPr="00896D4F">
        <w:t>aktighet i brottet.</w:t>
      </w:r>
    </w:p>
    <w:p w:rsidR="009C1C5A" w:rsidRPr="00896D4F" w:rsidRDefault="009C1C5A">
      <w:pPr>
        <w:pStyle w:val="Normaltindrag"/>
        <w:rPr>
          <w:b/>
        </w:rPr>
      </w:pPr>
      <w:r w:rsidRPr="00896D4F">
        <w:t>Med anledning av Marianne Aldéns och tingsrättens handläggning i vissa hänseenden skickade Staffan Bergfeldt, i egenskap av ombud för J.A.,</w:t>
      </w:r>
      <w:r w:rsidRPr="00896D4F">
        <w:t xml:space="preserve"> in flera anmälningar till JO. Anmälningarna handlades i två ärenden (dnr 1172-1998 och dnr 4234-1998). I det första ärendet behandlades frågor om offentlig för</w:t>
      </w:r>
      <w:r w:rsidRPr="00896D4F">
        <w:softHyphen/>
        <w:t xml:space="preserve">svarare och beslag och i det andra bl.a. frågor som uppkom i samband med bevisupptagningen och häktningsförhandlingen i september 1998, däribland frågan om s.k. anonyma vittnen. </w:t>
      </w:r>
    </w:p>
    <w:p w:rsidR="009C1C5A" w:rsidRPr="00896D4F" w:rsidRDefault="009C1C5A">
      <w:pPr>
        <w:pStyle w:val="Rubrik3"/>
      </w:pPr>
      <w:r w:rsidRPr="00896D4F">
        <w:t>2 Anmälningar och inledningsvis företagna utredningsåtgärder</w:t>
      </w:r>
    </w:p>
    <w:p w:rsidR="009C1C5A" w:rsidRPr="00896D4F" w:rsidRDefault="009C1C5A">
      <w:pPr>
        <w:pStyle w:val="Rubrik4"/>
        <w:spacing w:before="125"/>
      </w:pPr>
      <w:r w:rsidRPr="00896D4F">
        <w:t>2.1 Ärende dnr 1172-1998</w:t>
      </w:r>
    </w:p>
    <w:p w:rsidR="009C1C5A" w:rsidRPr="00896D4F" w:rsidRDefault="009C1C5A">
      <w:r w:rsidRPr="00896D4F">
        <w:t>J.A. begärde att JO skulle granska Marianne Aldéns handläggning i förunde</w:t>
      </w:r>
      <w:r w:rsidRPr="00896D4F">
        <w:t>r</w:t>
      </w:r>
      <w:r w:rsidRPr="00896D4F">
        <w:t>sökningen beträffande förordnande av offentlig försvarare och verkställda beslag. Han gjorde därvid gällande att Marianne Aldén allvarligt hade brustit i sin ämbetsutövning genom att inte ha vidtagit de åtgärder som ålegat henne i fråga om förordnande av offentlig försvarare. Vidare hade Marianne Aldén enligt hans mening inte i rimlig tid efterkommit en begäran om utlämnande av ett beslagsprotokoll, och slutligen ifrågasatte han om det hade funnits skäl att låta beslagen bestå under så lång tid som varit f</w:t>
      </w:r>
      <w:r w:rsidRPr="00896D4F">
        <w:t xml:space="preserve">allet. </w:t>
      </w:r>
    </w:p>
    <w:p w:rsidR="009C1C5A" w:rsidRPr="00896D4F" w:rsidRDefault="009C1C5A">
      <w:pPr>
        <w:pStyle w:val="Normaltindrag"/>
      </w:pPr>
      <w:r w:rsidRPr="00896D4F">
        <w:t xml:space="preserve">Till anmälan fogades vissa handlingar (beslagsprotokoll, brev m.m.). Av anmälan och de bifogade handlingarna framgick bl.a. följande. </w:t>
      </w:r>
    </w:p>
    <w:p w:rsidR="009C1C5A" w:rsidRPr="00896D4F" w:rsidRDefault="009C1C5A">
      <w:pPr>
        <w:pStyle w:val="Normaltindrag"/>
      </w:pPr>
      <w:r w:rsidRPr="00896D4F">
        <w:t>J.A. delgavs misstanke om mord den 27 augusti 1997. Han hade då inte fyllt 21 år. Till polisen uppgav han att han inte avsåg att svara på frågor utan närvaro av en advokat. I samband med misstankedelgivningen beslagtogs vissa föremål i J.A:s cell. Han fick inte något beslagsprotokoll. J.A. antog sedan felaktigt att misstankarna mot honom hade avskrivits, varför han b</w:t>
      </w:r>
      <w:r w:rsidRPr="00896D4F">
        <w:t>e</w:t>
      </w:r>
      <w:r w:rsidRPr="00896D4F">
        <w:t>gärde hjälp av Staffan Bergfeldt med att återfå den beslagtagna egendomen. Staffan Bergfeldt skrev den 11 september 1997 till polismyndigheten och begärde att de beslagtagna föremålen skulle återlämnas till J.A. Staffan Ber</w:t>
      </w:r>
      <w:r w:rsidRPr="00896D4F">
        <w:t>g</w:t>
      </w:r>
      <w:r w:rsidRPr="00896D4F">
        <w:t>feldt fick då reda på att J.A. fortfarande var misstänkt och att det inte fanns förutsättningar att häva beslaget. Under hösten 1997 begärde J.A. därför, med biträde av Staffan Bergfeldt, skriftligen den 3 november hos polisen och den 9 december hos åklagaren att offentlig försvarare sk</w:t>
      </w:r>
      <w:r w:rsidRPr="00896D4F">
        <w:t>ulle förordnas. Breven resulterade inte i att Marianne Aldén gjorde någon anmälan till rätten om att offentlig försvarare skulle utses för J.A. Vid ett telefonsamtal med Staffan Bergfeldt i slutet av januari 1998 uppgav Marianne Aldén att det inte var aktuellt med en försvarare, eftersom J.A. inte ville svara på polisens frågor. Den 26 januari 1998 skrev Staffan Bergfeldt återigen till Marianne Aldén. Sedan ytterligare en vecka hade gått utan att Marianne Aldén vidtagit någon åtgärd, ansökte J.A. genom Staf</w:t>
      </w:r>
      <w:r w:rsidRPr="00896D4F">
        <w:t>fan Bergfeldt vid Falköpings tingsrätt att Staffan Bergfeldt skulle förordnas till offentlig försvarare för honom. I ett yttrande till tingsrätten tillstyrkte Marianne Aldén ansökningen, varefter tingsrätten den 10 februari 1998 förordnade Staffan Bergfeldt till offentlig försvarare för J.A.</w:t>
      </w:r>
    </w:p>
    <w:p w:rsidR="009C1C5A" w:rsidRPr="00896D4F" w:rsidRDefault="009C1C5A">
      <w:pPr>
        <w:pStyle w:val="Normaltindrag"/>
      </w:pPr>
      <w:r w:rsidRPr="00896D4F">
        <w:t>I brev den 11 och den 26 februari 1998 till Marianne Aldén begärde Sta</w:t>
      </w:r>
      <w:r w:rsidRPr="00896D4F">
        <w:t>f</w:t>
      </w:r>
      <w:r w:rsidRPr="00896D4F">
        <w:t>fan Bergfeldt att den beslagtagna egendomen skulle återlämnas till J.A. I det sistnämnda brevet begärde han vidare att få en kopia av beslagsprotokollet och även att få ta del av det som dittills hade förekommit under förundersö</w:t>
      </w:r>
      <w:r w:rsidRPr="00896D4F">
        <w:t>k</w:t>
      </w:r>
      <w:r w:rsidRPr="00896D4F">
        <w:t>ningen. Marianne Aldén meddelade den 4 mars 1998 att den beslagtagna egendomen inte kunde återlämnas, eftersom genomgången inte var klar. N</w:t>
      </w:r>
      <w:r w:rsidRPr="00896D4F">
        <w:t>å</w:t>
      </w:r>
      <w:r w:rsidRPr="00896D4F">
        <w:t>got beslagsprotokoll översändes inte. Staffan Bergfeldt skrev den 6 mars 1998 tillbaka till Marianne Aldén och påtalade att hon inte i något a</w:t>
      </w:r>
      <w:r w:rsidRPr="00896D4F">
        <w:t xml:space="preserve">vseende hade uppfyllt hans önskemål. Den 16 mars 1998 yrkade J.A. vid tingsrätten att rätten skulle häva beslagen. Dagen före beslagsförhandlingen, den 19 mars 1998, meddelade Marianne Aldén att beslagen var hävda, och hon översände samtidigt beslagsprotokollet till Staffan Bergfeldt. </w:t>
      </w:r>
    </w:p>
    <w:p w:rsidR="009C1C5A" w:rsidRPr="00896D4F" w:rsidRDefault="009C1C5A">
      <w:pPr>
        <w:pStyle w:val="Normaltindrag"/>
      </w:pPr>
      <w:r w:rsidRPr="00896D4F">
        <w:t>Med anledning av innehållet i anmälan infordrades och granskades han</w:t>
      </w:r>
      <w:r w:rsidRPr="00896D4F">
        <w:t>d</w:t>
      </w:r>
      <w:r w:rsidRPr="00896D4F">
        <w:t xml:space="preserve">lingar i åklagarkammarens ärende AC9-1501-97. Av dessa framgick, utöver vad som nämnts i det föregående, bl.a. följande. </w:t>
      </w:r>
    </w:p>
    <w:p w:rsidR="009C1C5A" w:rsidRPr="00896D4F" w:rsidRDefault="009C1C5A">
      <w:pPr>
        <w:pStyle w:val="Normaltindrag"/>
      </w:pPr>
      <w:r w:rsidRPr="00896D4F">
        <w:t>Vid ett polisförhör den 28 augusti 1997 underrättades J.A. om misstanke om mord och om att han hade rätt att anlita försvarare. J.A. hade ingen ko</w:t>
      </w:r>
      <w:r w:rsidRPr="00896D4F">
        <w:t>m</w:t>
      </w:r>
      <w:r w:rsidRPr="00896D4F">
        <w:t>mentar till underrättelsen men önskade att någon av advokaterna Claes Bor</w:t>
      </w:r>
      <w:r w:rsidRPr="00896D4F">
        <w:t>g</w:t>
      </w:r>
      <w:r w:rsidRPr="00896D4F">
        <w:t>ström och Peter Althin skulle förordnas till offentlig försvarare för honom. I annat fall skulle han inte gå med på några förhör. Vid ett nytt förhör den 5 november 1997 önskade J.A. i stället att Staffan Bergfeldt skulle förordnas till offentlig försvarare. På fråga om J.A. kom att berätta om händelsen, om advokaten var med vid förhöret, uppgav J.A. att han inte tänkte berätta n</w:t>
      </w:r>
      <w:r w:rsidRPr="00896D4F">
        <w:t>å</w:t>
      </w:r>
      <w:r w:rsidRPr="00896D4F">
        <w:t xml:space="preserve">gonting förrän vid en eventuell rättegång. </w:t>
      </w:r>
    </w:p>
    <w:p w:rsidR="009C1C5A" w:rsidRPr="00896D4F" w:rsidRDefault="009C1C5A">
      <w:pPr>
        <w:pStyle w:val="Normaltindrag"/>
      </w:pPr>
      <w:r w:rsidRPr="00896D4F">
        <w:t>På Staffan</w:t>
      </w:r>
      <w:r w:rsidRPr="00896D4F">
        <w:t xml:space="preserve"> Bergfeldts brev den 11 september 1997 till polismyndigheten fanns följande notering: ”Tjänsteanteckning, Tfn 970916 m adv. Bergfeldt. Adv. underrättad om att anledning ej föreligger att häva beslaget.” Antec</w:t>
      </w:r>
      <w:r w:rsidRPr="00896D4F">
        <w:t>k</w:t>
      </w:r>
      <w:r w:rsidRPr="00896D4F">
        <w:t>ningen var undertecknad av Marianne Aldén. På brevet den 26 februari 1998 till Marianne Aldén fanns noteringen: ”Beslagsprotokoll ang. J.A. till Ber</w:t>
      </w:r>
      <w:r w:rsidRPr="00896D4F">
        <w:t>g</w:t>
      </w:r>
      <w:r w:rsidRPr="00896D4F">
        <w:t>feldt” och på brevet den 6 mars 1998 fanns anteckningen: ”Ej åtgärd 980309”. Den sistnämnda anteckningen var signerad av Mar</w:t>
      </w:r>
      <w:r w:rsidRPr="00896D4F">
        <w:t>i</w:t>
      </w:r>
      <w:r w:rsidRPr="00896D4F">
        <w:t xml:space="preserve">anne Aldén. </w:t>
      </w:r>
    </w:p>
    <w:p w:rsidR="009C1C5A" w:rsidRPr="00896D4F" w:rsidRDefault="009C1C5A">
      <w:pPr>
        <w:pStyle w:val="Rubrik4"/>
      </w:pPr>
      <w:r w:rsidRPr="00896D4F">
        <w:t>2.2 Ärende dnr 4</w:t>
      </w:r>
      <w:r w:rsidRPr="00896D4F">
        <w:t>234-1998</w:t>
      </w:r>
    </w:p>
    <w:p w:rsidR="009C1C5A" w:rsidRPr="00896D4F" w:rsidRDefault="009C1C5A">
      <w:r w:rsidRPr="00896D4F">
        <w:t>J.A. begärde att JO skulle granska Marianne Aldéns handlande vid en bevi</w:t>
      </w:r>
      <w:r w:rsidRPr="00896D4F">
        <w:t>s</w:t>
      </w:r>
      <w:r w:rsidRPr="00896D4F">
        <w:t>upptagning den 4 september 1998 och en häktningsförhandling den 8 septe</w:t>
      </w:r>
      <w:r w:rsidRPr="00896D4F">
        <w:t>m</w:t>
      </w:r>
      <w:r w:rsidRPr="00896D4F">
        <w:t>ber 1998 i Falköpings tingsrätts mål B 135-97. Anmälan kompletterades kort tid därefter, varvid J.A. bl.a. begärde att JO även skulle granska ett anhål</w:t>
      </w:r>
      <w:r w:rsidRPr="00896D4F">
        <w:t>l</w:t>
      </w:r>
      <w:r w:rsidRPr="00896D4F">
        <w:t>ningsbeslut som Marianne Aldén hade meddelat den 16 september 1998 i samma ärende.</w:t>
      </w:r>
    </w:p>
    <w:p w:rsidR="009C1C5A" w:rsidRPr="00896D4F" w:rsidRDefault="009C1C5A">
      <w:pPr>
        <w:pStyle w:val="Normaltindrag"/>
      </w:pPr>
      <w:r w:rsidRPr="00896D4F">
        <w:t>J.A. begärde vidare att lagmannen Jan Waréns (Falköpings tingsrätt) handläggning vid den nyss nämnda bevisupptagningen skulle granskas. Enligt hans uppfattning hade Jan Warén allvarligt brustit i sin ämbe</w:t>
      </w:r>
      <w:r w:rsidRPr="00896D4F">
        <w:t>tsutövning g</w:t>
      </w:r>
      <w:r w:rsidRPr="00896D4F">
        <w:t>e</w:t>
      </w:r>
      <w:r w:rsidRPr="00896D4F">
        <w:t xml:space="preserve">nom att tillåta en bevisform som inte är tillåten enligt svensk rätt. </w:t>
      </w:r>
    </w:p>
    <w:p w:rsidR="009C1C5A" w:rsidRPr="00896D4F" w:rsidRDefault="009C1C5A">
      <w:pPr>
        <w:pStyle w:val="Normaltindrag"/>
      </w:pPr>
      <w:r w:rsidRPr="00896D4F">
        <w:t>Till anmälningarna fogades vissa handlingar (bl.a. tingsrättens protokoll från de aktuella förhandlingarna). Av anmälningarna och bifogade handlingar framgick i huvudsak fö</w:t>
      </w:r>
      <w:r w:rsidRPr="00896D4F">
        <w:t>l</w:t>
      </w:r>
      <w:r w:rsidRPr="00896D4F">
        <w:t xml:space="preserve">jande. </w:t>
      </w:r>
    </w:p>
    <w:p w:rsidR="009C1C5A" w:rsidRPr="00896D4F" w:rsidRDefault="009C1C5A">
      <w:pPr>
        <w:pStyle w:val="Normaltindrag"/>
      </w:pPr>
      <w:r w:rsidRPr="00896D4F">
        <w:t>I september 1998 var J.A. och två andra personer misstänkta för delakti</w:t>
      </w:r>
      <w:r w:rsidRPr="00896D4F">
        <w:t>g</w:t>
      </w:r>
      <w:r w:rsidRPr="00896D4F">
        <w:t>het i det aktuella mordet. Den 3 september 1998 fick Staffan Bergfeldt en kallelse till en bevisupptagning utom huvudförhandling som skulle äga rum vid tingsrätten påföljande dag. Några handlingar utöver kallelsen översändes inte. Vid förhandlingen, till vilken J.A. och de andra misstänkta inte hade kallats, framkom att Marianne Aldén önskade höra ett vittne som på grund av rädsla för repressalier inte vågade visa sig eller uppge sitt namn. Vittnet hade två dagar tidigare uppgett för polis och åklagare att</w:t>
      </w:r>
      <w:r w:rsidRPr="00896D4F">
        <w:t xml:space="preserve"> han ville berätta om sina iakttagelser inför domstol. Då försvararen efterfrågade protokollet från detta förhör uppgavs att något sådant inte hade upprättats. Anledningen till bevi</w:t>
      </w:r>
      <w:r w:rsidRPr="00896D4F">
        <w:t>s</w:t>
      </w:r>
      <w:r w:rsidRPr="00896D4F">
        <w:t>upptagningen var att vittnet skulle utvisas ur riket ett par dagar senare. Enligt Marianne Aldén var vittnet närvarande vid mordet och skulle därför höras om sina iakttagelser. Trots invändningar från försvararna tillät tingsrätten (Jan Warén) genom ett i protokollet från bevisupptagningen särskilt upprättat beslut det av åklaga</w:t>
      </w:r>
      <w:r w:rsidRPr="00896D4F">
        <w:t>ren föreslagna arrangemanget, vilket innebar att vittnet skulle få vara anonymt och avge sin berättelse bakom en skärm så att han var synlig för åklagaren och rätten men inte för de närvarande försvararna. Ting</w:t>
      </w:r>
      <w:r w:rsidRPr="00896D4F">
        <w:t>s</w:t>
      </w:r>
      <w:r w:rsidRPr="00896D4F">
        <w:t>rättens beslut hade, såvitt här är av intresse, följande lydelse.</w:t>
      </w:r>
    </w:p>
    <w:p w:rsidR="009C1C5A" w:rsidRPr="00896D4F" w:rsidRDefault="009C1C5A">
      <w:pPr>
        <w:pStyle w:val="Citat"/>
      </w:pPr>
      <w:r w:rsidRPr="00896D4F">
        <w:t>Eftersom visst utrymme torde finnas för anonyma vittnesförhör (se SOU 1998:40 sid. 326) och förhöret avser bevisupptagning under förundersöknin</w:t>
      </w:r>
      <w:r w:rsidRPr="00896D4F">
        <w:t>g</w:t>
      </w:r>
      <w:r w:rsidRPr="00896D4F">
        <w:t>en, vilket innebär att de omständigheter under vilka beviset upptagits får b</w:t>
      </w:r>
      <w:r w:rsidRPr="00896D4F">
        <w:t>e</w:t>
      </w:r>
      <w:r w:rsidRPr="00896D4F">
        <w:t>aktas vid en ev. framtida bevisvärdering, samt med beaktande av de särskilda förhållanden som åklagaren har angett, anser tingsrätten att det inte föreligger något hinder mot bevisupptagningen eller mot de former för den som åklag</w:t>
      </w:r>
      <w:r w:rsidRPr="00896D4F">
        <w:t>a</w:t>
      </w:r>
      <w:r w:rsidRPr="00896D4F">
        <w:t>ren har begärt. Med hänsyn till den korta tid som stått till buds anser tingsrä</w:t>
      </w:r>
      <w:r w:rsidRPr="00896D4F">
        <w:t>t</w:t>
      </w:r>
      <w:r w:rsidRPr="00896D4F">
        <w:t>ten inte heller att den omständigheten att de misstänkta inte kallats till bevi</w:t>
      </w:r>
      <w:r w:rsidRPr="00896D4F">
        <w:t>s</w:t>
      </w:r>
      <w:r w:rsidRPr="00896D4F">
        <w:t>upptagningen utgör något hinder mot att den</w:t>
      </w:r>
      <w:r w:rsidRPr="00896D4F">
        <w:t xml:space="preserve"> genomförs (jfr 35 kap. 9 § sista meningen rättegångsbalken).</w:t>
      </w:r>
    </w:p>
    <w:p w:rsidR="009C1C5A" w:rsidRPr="00896D4F" w:rsidRDefault="009C1C5A">
      <w:r w:rsidRPr="00896D4F">
        <w:t>Efter beslutet hade i protokollet från bevisupptagningen bl.a. följande antec</w:t>
      </w:r>
      <w:r w:rsidRPr="00896D4F">
        <w:t>k</w:t>
      </w:r>
      <w:r w:rsidRPr="00896D4F">
        <w:t>nats.</w:t>
      </w:r>
    </w:p>
    <w:p w:rsidR="009C1C5A" w:rsidRPr="00896D4F" w:rsidRDefault="009C1C5A">
      <w:pPr>
        <w:pStyle w:val="Citat"/>
      </w:pPr>
      <w:r w:rsidRPr="00896D4F">
        <w:t>De offentliga försvararna lämnar rättssalen, varefter ”X-son” förs in och tar plats bakom en avskärmning. Även tolken kommer in i rättssalen.</w:t>
      </w:r>
    </w:p>
    <w:p w:rsidR="009C1C5A" w:rsidRPr="00896D4F" w:rsidRDefault="009C1C5A">
      <w:pPr>
        <w:pStyle w:val="Citatindrag"/>
      </w:pPr>
      <w:r w:rsidRPr="00896D4F">
        <w:t>Tolken erinras om att tidigare avlagd tolked alltjämt gäller för honom.</w:t>
      </w:r>
    </w:p>
    <w:p w:rsidR="009C1C5A" w:rsidRPr="00896D4F" w:rsidRDefault="009C1C5A">
      <w:pPr>
        <w:pStyle w:val="Citatindrag"/>
      </w:pPr>
      <w:r w:rsidRPr="00896D4F">
        <w:t>”X-son” avlägger i rättens, åklagarens och tolkens närvaro – i sitt rätta namn – vittnesed och erinras om dess betydelse.</w:t>
      </w:r>
    </w:p>
    <w:p w:rsidR="009C1C5A" w:rsidRPr="00896D4F" w:rsidRDefault="009C1C5A">
      <w:pPr>
        <w:pStyle w:val="Citatindrag"/>
      </w:pPr>
      <w:r w:rsidRPr="00896D4F">
        <w:t>De offentliga försvararna kommer in i rättssalen, varvid de inte har mö</w:t>
      </w:r>
      <w:r w:rsidRPr="00896D4F">
        <w:t>j</w:t>
      </w:r>
      <w:r w:rsidRPr="00896D4F">
        <w:t xml:space="preserve">lighet att se vittnet. </w:t>
      </w:r>
    </w:p>
    <w:p w:rsidR="009C1C5A" w:rsidRPr="00896D4F" w:rsidRDefault="009C1C5A">
      <w:pPr>
        <w:pStyle w:val="Citatindrag"/>
      </w:pPr>
      <w:r w:rsidRPr="00896D4F">
        <w:t>Vittnesförhör äger rum med ”X-son” – – – , varvid även försvararna bereds til</w:t>
      </w:r>
      <w:r w:rsidRPr="00896D4F">
        <w:t>l</w:t>
      </w:r>
      <w:r w:rsidRPr="00896D4F">
        <w:t>fälle att ställa frågor.</w:t>
      </w:r>
    </w:p>
    <w:p w:rsidR="009C1C5A" w:rsidRPr="00896D4F" w:rsidRDefault="009C1C5A">
      <w:pPr>
        <w:pStyle w:val="Citat"/>
        <w:spacing w:line="250" w:lineRule="atLeast"/>
      </w:pPr>
      <w:r w:rsidRPr="00896D4F">
        <w:t>– – –</w:t>
      </w:r>
    </w:p>
    <w:p w:rsidR="009C1C5A" w:rsidRPr="00896D4F" w:rsidRDefault="009C1C5A">
      <w:pPr>
        <w:pStyle w:val="Citatindrag"/>
      </w:pPr>
      <w:r w:rsidRPr="00896D4F">
        <w:t>Sammanträdet förklaras avslutat, varvid försvararna avträder först och dä</w:t>
      </w:r>
      <w:r w:rsidRPr="00896D4F">
        <w:t>r</w:t>
      </w:r>
      <w:r w:rsidRPr="00896D4F">
        <w:t>efter vittnet.</w:t>
      </w:r>
    </w:p>
    <w:p w:rsidR="009C1C5A" w:rsidRPr="00896D4F" w:rsidRDefault="009C1C5A">
      <w:r w:rsidRPr="00896D4F">
        <w:t xml:space="preserve">Någon timme efter bevisupptagningen greps J.A. på Kumlaanstalten och förpassades till häkte. </w:t>
      </w:r>
    </w:p>
    <w:p w:rsidR="009C1C5A" w:rsidRPr="00896D4F" w:rsidRDefault="009C1C5A">
      <w:pPr>
        <w:pStyle w:val="Normaltindrag"/>
      </w:pPr>
      <w:r w:rsidRPr="00896D4F">
        <w:t>Den 7 september 1998 begärde Staffan Bergfeldt att chefsåklagaren Ulf Holmberg (Åklagarkammaren i Skövde) skulle förklara Marianne Aldén jävig och att hon inte längre skulle få fortsätta som förundersökningsledare i äre</w:t>
      </w:r>
      <w:r w:rsidRPr="00896D4F">
        <w:t>n</w:t>
      </w:r>
      <w:r w:rsidRPr="00896D4F">
        <w:t>det. Ulf Holmberg avslog påföljande dag denna begäran, varvid han anförde att han inte ansåg att sådana omständigheter förebringats som var ägnade att rubba förtroendet för Marianne Aldéns opa</w:t>
      </w:r>
      <w:r w:rsidRPr="00896D4F">
        <w:t>r</w:t>
      </w:r>
      <w:r w:rsidRPr="00896D4F">
        <w:t>tiskhet i målet.</w:t>
      </w:r>
    </w:p>
    <w:p w:rsidR="009C1C5A" w:rsidRPr="00896D4F" w:rsidRDefault="009C1C5A">
      <w:pPr>
        <w:pStyle w:val="Normaltindrag"/>
      </w:pPr>
      <w:r w:rsidRPr="00896D4F">
        <w:t>Den 7 september 1998 skrev Staffan Bergfeldt också till tingsrätten och efterhörde anledningen till att J.A. inte hade getts tillfälle att närvara vid b</w:t>
      </w:r>
      <w:r w:rsidRPr="00896D4F">
        <w:t>e</w:t>
      </w:r>
      <w:r w:rsidRPr="00896D4F">
        <w:t>visupptagningen. Han ville vidare ha besked om vilken lagbestämmelse som låg till grund för rättens beslut att låta vittnet höras utan att de närvarande försvararna tilläts se h</w:t>
      </w:r>
      <w:r w:rsidRPr="00896D4F">
        <w:t>o</w:t>
      </w:r>
      <w:r w:rsidRPr="00896D4F">
        <w:t xml:space="preserve">nom. </w:t>
      </w:r>
    </w:p>
    <w:p w:rsidR="009C1C5A" w:rsidRPr="00896D4F" w:rsidRDefault="009C1C5A">
      <w:r w:rsidRPr="00896D4F">
        <w:t>Jan Warén besvarade Staffan Bergfeldts brev samma dag enligt följande.</w:t>
      </w:r>
    </w:p>
    <w:p w:rsidR="009C1C5A" w:rsidRPr="00896D4F" w:rsidRDefault="009C1C5A">
      <w:pPr>
        <w:pStyle w:val="Citat"/>
      </w:pPr>
      <w:r w:rsidRPr="00896D4F">
        <w:t>Frågan om anonymitet för målsägande och vittnen behandlas utförligt i ett nyligen avgivet betänkande av Brottsofferutredningen, SOU 1998:40. Där anges bl.a. (sid. 326) att all användning av anonyma vittnen inte är oförenlig med Europakonventionen ang. skydd för de mänskliga rättigheterna och de grund</w:t>
      </w:r>
      <w:r w:rsidRPr="00896D4F">
        <w:softHyphen/>
        <w:t>läggande friheterna, vilket framgår av Europadomstolens praxis. Föru</w:t>
      </w:r>
      <w:r w:rsidRPr="00896D4F">
        <w:t>t</w:t>
      </w:r>
      <w:r w:rsidRPr="00896D4F">
        <w:t>sättningen för att anonyma vittnen skall tillåtas anges vara att vittnets liv eller personliga frihet och säkerhet är i fara, att den tilltalades försvarare har fått tillfälle att ställa frågor till vittnet samt att en fällande dom inte</w:t>
      </w:r>
      <w:r w:rsidRPr="00896D4F">
        <w:rPr>
          <w:b/>
        </w:rPr>
        <w:t xml:space="preserve"> </w:t>
      </w:r>
      <w:r w:rsidRPr="00896D4F">
        <w:t>grundas e</w:t>
      </w:r>
      <w:r w:rsidRPr="00896D4F">
        <w:t>n</w:t>
      </w:r>
      <w:r w:rsidRPr="00896D4F">
        <w:t>bart eller ens väsentligen på uppgifter som lämnats av ett anonymt</w:t>
      </w:r>
      <w:r w:rsidRPr="00896D4F">
        <w:rPr>
          <w:b/>
        </w:rPr>
        <w:t xml:space="preserve"> </w:t>
      </w:r>
      <w:r w:rsidRPr="00896D4F">
        <w:t>vittne. Vidare hänvisas i betänkandet till vissa rekommendationer från Europarådets ministerråd om hot mot vittnen och den tillt</w:t>
      </w:r>
      <w:r w:rsidRPr="00896D4F">
        <w:t>alades rätt till försvar. Enligt r</w:t>
      </w:r>
      <w:r w:rsidRPr="00896D4F">
        <w:t>e</w:t>
      </w:r>
      <w:r w:rsidRPr="00896D4F">
        <w:t>kommendationen bör möjligheten att vittna anonymt vara en exceptionell åtgärd och således användas endast i undantags</w:t>
      </w:r>
      <w:r w:rsidRPr="00896D4F">
        <w:softHyphen/>
        <w:t>fall. Frågan om ett vittne skall få vara anonymt bör vidare prövas genom ett rättsligt förfarande</w:t>
      </w:r>
      <w:r w:rsidRPr="00896D4F">
        <w:rPr>
          <w:b/>
        </w:rPr>
        <w:t xml:space="preserve"> </w:t>
      </w:r>
      <w:r w:rsidRPr="00896D4F">
        <w:t>som gör det möjligt för den misstänkte att ifråga</w:t>
      </w:r>
      <w:r w:rsidRPr="00896D4F">
        <w:softHyphen/>
        <w:t>sätta vittnets behov av att vara an</w:t>
      </w:r>
      <w:r w:rsidRPr="00896D4F">
        <w:t>o</w:t>
      </w:r>
      <w:r w:rsidRPr="00896D4F">
        <w:t>nym.</w:t>
      </w:r>
    </w:p>
    <w:p w:rsidR="009C1C5A" w:rsidRPr="00896D4F" w:rsidRDefault="009C1C5A">
      <w:pPr>
        <w:pStyle w:val="Citatindrag"/>
        <w:rPr>
          <w:sz w:val="20"/>
        </w:rPr>
      </w:pPr>
      <w:r w:rsidRPr="00896D4F">
        <w:t>De angivna uttalandena var av betydelse för tingsrättens beslut att tillåta anonymitet för vittnet. Av väsentlig betydelse var även att det var fråga om en bevisupptagnin</w:t>
      </w:r>
      <w:r w:rsidRPr="00896D4F">
        <w:t>g under förundersökningen, varför det fortfarande är oklart om beviset överhuvudtaget kommer att åberopas vid en huvud</w:t>
      </w:r>
      <w:r w:rsidRPr="00896D4F">
        <w:softHyphen/>
        <w:t>förhandling. Om så skulle ske får naturligtvis de omständigheter under vilka beviset upptagits beaktas vid bevisvärderingen och frågan om tillåtlig</w:t>
      </w:r>
      <w:r w:rsidRPr="00896D4F">
        <w:softHyphen/>
        <w:t>heten av bevisets för</w:t>
      </w:r>
      <w:r w:rsidRPr="00896D4F">
        <w:t>e</w:t>
      </w:r>
      <w:r w:rsidRPr="00896D4F">
        <w:t>bringande eventuellt prövas.</w:t>
      </w:r>
    </w:p>
    <w:p w:rsidR="009C1C5A" w:rsidRPr="00896D4F" w:rsidRDefault="009C1C5A">
      <w:pPr>
        <w:pStyle w:val="Citatindrag"/>
      </w:pPr>
      <w:r w:rsidRPr="00896D4F">
        <w:t>Vad gäller frågan om parts närvaro vid bevisupptagningen anges i 23 kap. 15 § RB, vilken är den bestämmelse som torde vara tillämplig i detta fall, att reglerna om bevis, som tas upp utom huvudf</w:t>
      </w:r>
      <w:r w:rsidRPr="00896D4F">
        <w:t>örhandling, i tillämpliga delar skall gälla. I 35 kap. 9 § RB anges att parterna skall kallas, då bevis skall upptagas utom huvudförhandling. Enligt sista meningen må beviset dock upptagas, om part uteblir. Bortsett från att åtal ej väckts ansåg tingsrätten med hänsyn till den korta tid som stod till buds och omständigheterna i övrigt att det inte var praktiskt genomförbart att förordna om J.A:s inställande inför rätten eller att kalla de båda övriga misstänkta. Även denna omständighet torde komma att få be</w:t>
      </w:r>
      <w:r w:rsidRPr="00896D4F">
        <w:t>tydelse vid en eventuell värdering av det upptagna bev</w:t>
      </w:r>
      <w:r w:rsidRPr="00896D4F">
        <w:t>i</w:t>
      </w:r>
      <w:r w:rsidRPr="00896D4F">
        <w:t>set.</w:t>
      </w:r>
    </w:p>
    <w:p w:rsidR="009C1C5A" w:rsidRPr="00896D4F" w:rsidRDefault="009C1C5A">
      <w:r w:rsidRPr="00896D4F">
        <w:t>Påföljande dag, den 8 september 1998, hölls häktningsförhandling i målet, varvid J.A. begärdes häktad såsom på sannolika skäl misstänkt för mord. Till stöd för häktningsyrkandet åberopade Marianne Aldén de uppgifter som det ”anonyma” vittnet hade lämnat vid bevisupptagningen. Tingsrätten (hovrätt</w:t>
      </w:r>
      <w:r w:rsidRPr="00896D4F">
        <w:t>s</w:t>
      </w:r>
      <w:r w:rsidRPr="00896D4F">
        <w:t>assessorn Carl Olof Nilsson Öhrnell) biföll häktningsyrkandet. Vid häktning</w:t>
      </w:r>
      <w:r w:rsidRPr="00896D4F">
        <w:t>s</w:t>
      </w:r>
      <w:r w:rsidRPr="00896D4F">
        <w:t>förhandling samma dag och den 10 september 1998 häktades även de två andra misstänkta personerna. J.A. överklagade tingsrättens beslut till Göta hovrätt som den 15 september 1998 hävde häktningsbeslutet (Ö 1336/98). Hovrättens beslut hade följande lydelse.</w:t>
      </w:r>
    </w:p>
    <w:p w:rsidR="009C1C5A" w:rsidRPr="00896D4F" w:rsidRDefault="009C1C5A">
      <w:pPr>
        <w:pStyle w:val="Citat"/>
        <w:rPr>
          <w:sz w:val="20"/>
        </w:rPr>
      </w:pPr>
      <w:r w:rsidRPr="00896D4F">
        <w:t>Det vittnesförhör tingsrätten hållit med ett anonymt vittne har inte varit tillåtet enligt svensk rätt. Att den europeiska domstolen i Strasbourg i visst fall funnit sådana förhö</w:t>
      </w:r>
      <w:r w:rsidRPr="00896D4F">
        <w:t>r förenliga med Europakonventionen saknar vid sådant förhå</w:t>
      </w:r>
      <w:r w:rsidRPr="00896D4F">
        <w:t>l</w:t>
      </w:r>
      <w:r w:rsidRPr="00896D4F">
        <w:t>lande betydelse för frågan om tillåtligheten i Sverige av sådana förhör.</w:t>
      </w:r>
    </w:p>
    <w:p w:rsidR="009C1C5A" w:rsidRPr="00896D4F" w:rsidRDefault="009C1C5A">
      <w:pPr>
        <w:pStyle w:val="Citatindrag"/>
      </w:pPr>
      <w:r w:rsidRPr="00896D4F">
        <w:t xml:space="preserve">Den utredning åklagaren åberopat är enligt hovrättens mening inte sådan att J.A. kan anses vara på sannolika skäl misstänkt för mord. Beslutet om häktning hävs därför med omedelbar verkan. </w:t>
      </w:r>
    </w:p>
    <w:p w:rsidR="009C1C5A" w:rsidRPr="00896D4F" w:rsidRDefault="009C1C5A">
      <w:r w:rsidRPr="00896D4F">
        <w:t>Mindre än ett dygn efter hovrättens beslut anhöll Marianne Aldén återigen J.A. Staffan Bergfeldt underrättades inte om anhållningsbeslutet utan han fick uppgiften om detta per telefon av J.A. Staffan Bergfeldt begärde omedelbart överprövning av anhållningsbeslutet hos Åklagarmyndigheten i Göteborg. Med anledning härav infordrade biträdande överåklagaren Birgitta Fernqvist ett yttrande från Marianne Aldén. Yttrandet, som är daterat den 17 september 1998, innehöll bl.a. följande.</w:t>
      </w:r>
    </w:p>
    <w:p w:rsidR="009C1C5A" w:rsidRPr="00896D4F" w:rsidRDefault="009C1C5A">
      <w:pPr>
        <w:pStyle w:val="Citat"/>
      </w:pPr>
      <w:r w:rsidRPr="00896D4F">
        <w:t>Den 7 september 1998 begärde jag J.A. häktad. Vid häktningsförhandling anförde jag att sannolika skäl till misstanke förelåg, enär en person vid do</w:t>
      </w:r>
      <w:r w:rsidRPr="00896D4F">
        <w:t>m</w:t>
      </w:r>
      <w:r w:rsidRPr="00896D4F">
        <w:t xml:space="preserve">stol och under ed hade pekat ut J.A. som en av tre gärningsmän till mordet </w:t>
      </w:r>
      <w:r w:rsidRPr="00896D4F">
        <w:br/>
        <w:t>– – –. I övrigt uppgav jag att tid nu erfordrades för att plocka fram och sa</w:t>
      </w:r>
      <w:r w:rsidRPr="00896D4F">
        <w:t>m</w:t>
      </w:r>
      <w:r w:rsidRPr="00896D4F">
        <w:t>manställa uppgifter som framkommit i utredningen. Jag kunde då inte redog</w:t>
      </w:r>
      <w:r w:rsidRPr="00896D4F">
        <w:t>ö</w:t>
      </w:r>
      <w:r w:rsidRPr="00896D4F">
        <w:t>ra för de omständigheter som fanns och som kunde vara belastande för J.A. Sedermera, och inför förberedelse inför en åtalsförlängning med ny förhan</w:t>
      </w:r>
      <w:r w:rsidRPr="00896D4F">
        <w:t>d</w:t>
      </w:r>
      <w:r w:rsidRPr="00896D4F">
        <w:t>ling, har en sådan sammanställning påbörjats. Härvid finns omständigheter som är besvärande för J.A. Ävensom har framkommit nya mindre o</w:t>
      </w:r>
      <w:r w:rsidRPr="00896D4F">
        <w:t>mständi</w:t>
      </w:r>
      <w:r w:rsidRPr="00896D4F">
        <w:t>g</w:t>
      </w:r>
      <w:r w:rsidRPr="00896D4F">
        <w:t xml:space="preserve">heter, enär övriga intagna nu har börjat lämna om än knapphändiga uppgifter. Mitt beslut om anhållande grundar sig på dessa omständigheter och vilka inte har prövats av tingsrätten. </w:t>
      </w:r>
    </w:p>
    <w:p w:rsidR="009C1C5A" w:rsidRPr="00896D4F" w:rsidRDefault="009C1C5A">
      <w:r w:rsidRPr="00896D4F">
        <w:t>Biträdande överåklagaren Birgitta Fernqvist meddelade den 17 september 1998 följande beslut.</w:t>
      </w:r>
    </w:p>
    <w:p w:rsidR="009C1C5A" w:rsidRPr="00896D4F" w:rsidRDefault="009C1C5A">
      <w:pPr>
        <w:pStyle w:val="Citat"/>
        <w:rPr>
          <w:sz w:val="20"/>
        </w:rPr>
      </w:pPr>
      <w:r w:rsidRPr="00896D4F">
        <w:t>Falköpings tingsrätt beslutade den 8 september 1998 att häkta J.A. och N.N. samt den 10 september 1998 häkta Y.Y. De häktades såsom på sannolika skäl misstänkta för mord.</w:t>
      </w:r>
    </w:p>
    <w:p w:rsidR="009C1C5A" w:rsidRPr="00896D4F" w:rsidRDefault="009C1C5A">
      <w:pPr>
        <w:pStyle w:val="Citatindrag"/>
        <w:rPr>
          <w:sz w:val="20"/>
        </w:rPr>
      </w:pPr>
      <w:r w:rsidRPr="00896D4F">
        <w:t>J.A. överklagade tingsrättens beslut till Göta hovrätt som i beslut den 15 september 1998 hävde häktningsbeslutet.</w:t>
      </w:r>
    </w:p>
    <w:p w:rsidR="009C1C5A" w:rsidRPr="00896D4F" w:rsidRDefault="009C1C5A">
      <w:pPr>
        <w:pStyle w:val="Citatindrag"/>
        <w:rPr>
          <w:sz w:val="20"/>
        </w:rPr>
      </w:pPr>
      <w:r w:rsidRPr="00896D4F">
        <w:t>Bitr. chefsåklagaren Marianne Aldén beslutade, i anledning av hovrättens beslut, den 16 september klockan 12.20 att häva häktningsbesluten beträffa</w:t>
      </w:r>
      <w:r w:rsidRPr="00896D4F">
        <w:t>n</w:t>
      </w:r>
      <w:r w:rsidRPr="00896D4F">
        <w:t>de de två andra misstänkta. Marianne Aldén beslutade samma dag och samma tid att anhålla de tre misstänkta på nytt. Som grund för anhållningsbeslutet har Aldén uppgivit att nya omständigheter hade fra</w:t>
      </w:r>
      <w:r w:rsidRPr="00896D4F">
        <w:t>m</w:t>
      </w:r>
      <w:r w:rsidRPr="00896D4F">
        <w:t>kommit.</w:t>
      </w:r>
    </w:p>
    <w:p w:rsidR="009C1C5A" w:rsidRPr="00896D4F" w:rsidRDefault="009C1C5A">
      <w:pPr>
        <w:pStyle w:val="Citatindrag"/>
        <w:rPr>
          <w:sz w:val="20"/>
        </w:rPr>
      </w:pPr>
      <w:r w:rsidRPr="00896D4F">
        <w:t>Ni (</w:t>
      </w:r>
      <w:r w:rsidRPr="00896D4F">
        <w:rPr>
          <w:i/>
        </w:rPr>
        <w:t>JO:s anmärkning; Staffan Bergfeldt</w:t>
      </w:r>
      <w:r w:rsidRPr="00896D4F">
        <w:t>) har som ombud för J.A. begärt överprövning av Aldéns beslut.</w:t>
      </w:r>
    </w:p>
    <w:p w:rsidR="009C1C5A" w:rsidRPr="00896D4F" w:rsidRDefault="009C1C5A">
      <w:pPr>
        <w:pStyle w:val="Citatindrag"/>
        <w:rPr>
          <w:sz w:val="20"/>
        </w:rPr>
      </w:pPr>
      <w:r w:rsidRPr="00896D4F">
        <w:t>Jag har införskaffat och tagit del bl.a. av Falköpings tingsrätts häktning</w:t>
      </w:r>
      <w:r w:rsidRPr="00896D4F">
        <w:t>s</w:t>
      </w:r>
      <w:r w:rsidRPr="00896D4F">
        <w:t>protokoll, protokoll från sammanträde för bevisupptagning vid Falköpings tingsrätt den 4 september 1998, svarsskrivelse från Aldén till Göta hovrätt, Göta hovrätts protokoll den 15 september 1998, yttrande från Aldén, häk</w:t>
      </w:r>
      <w:r w:rsidRPr="00896D4F">
        <w:t>t</w:t>
      </w:r>
      <w:r w:rsidRPr="00896D4F">
        <w:t>ningspromemoria daterad den 16 september 1998 samt promemoria upprättad med anledning av föredragning den 16 september 1998.</w:t>
      </w:r>
    </w:p>
    <w:p w:rsidR="009C1C5A" w:rsidRPr="00896D4F" w:rsidRDefault="009C1C5A">
      <w:pPr>
        <w:pStyle w:val="Citat"/>
        <w:rPr>
          <w:sz w:val="20"/>
        </w:rPr>
      </w:pPr>
      <w:r w:rsidRPr="00896D4F">
        <w:t>Jag har på eget initiativ tagit upp till prövning anhållningsbesluten avseende N.N. och Y.Y.</w:t>
      </w:r>
    </w:p>
    <w:p w:rsidR="009C1C5A" w:rsidRPr="00896D4F" w:rsidRDefault="009C1C5A">
      <w:pPr>
        <w:pStyle w:val="Citat"/>
        <w:rPr>
          <w:sz w:val="20"/>
        </w:rPr>
      </w:pPr>
      <w:r w:rsidRPr="00896D4F">
        <w:t>Jag har även inhämtat muntliga uppgifter från Aldén.</w:t>
      </w:r>
    </w:p>
    <w:p w:rsidR="009C1C5A" w:rsidRPr="00896D4F" w:rsidRDefault="009C1C5A">
      <w:pPr>
        <w:pStyle w:val="Citat"/>
      </w:pPr>
      <w:r w:rsidRPr="00896D4F">
        <w:t>Mot bakgrund av vad som framkommit finner jag vid en samlad bedömning att anhållningsbesluten mot en var av de anhållna ej längre skall kvarstå. Anhållningsbesluten hävs sålunda den 17 september 1998 kloc</w:t>
      </w:r>
      <w:r w:rsidRPr="00896D4F">
        <w:t>k</w:t>
      </w:r>
      <w:r w:rsidRPr="00896D4F">
        <w:t>an 21.15.</w:t>
      </w:r>
    </w:p>
    <w:p w:rsidR="009C1C5A" w:rsidRPr="00896D4F" w:rsidRDefault="009C1C5A">
      <w:r w:rsidRPr="00896D4F">
        <w:t>Med anledning av innehållet i anmälan infordrades och granskades handlingar i åklagarkammarens ärende AC9-1501-97 och åklagarmyndighetens ärende AD II A 400-209-98, däribland en häktningspromemoria daterad den 16 se</w:t>
      </w:r>
      <w:r w:rsidRPr="00896D4F">
        <w:t>p</w:t>
      </w:r>
      <w:r w:rsidRPr="00896D4F">
        <w:t>tember 1998, en promemoria upprättad med anledning av hovrättens beslut att häva häktningsbeslutet, anhållningsbeslutet den 16 september 1998 och Mar</w:t>
      </w:r>
      <w:r w:rsidRPr="00896D4F">
        <w:t>i</w:t>
      </w:r>
      <w:r w:rsidRPr="00896D4F">
        <w:t>anne Aldéns yttrande den 17 september 1998 till Birgitta Fernqvist. Vidare granskades handlingar i tingsrättens mål B 135-97 och hovrättens beslut den 15 september 1998 i ärende Ö 1336/98.</w:t>
      </w:r>
    </w:p>
    <w:p w:rsidR="009C1C5A" w:rsidRPr="00896D4F" w:rsidRDefault="009C1C5A">
      <w:pPr>
        <w:pStyle w:val="Rubrik3"/>
      </w:pPr>
      <w:r w:rsidRPr="00896D4F">
        <w:t>3 Remisser</w:t>
      </w:r>
    </w:p>
    <w:p w:rsidR="009C1C5A" w:rsidRPr="00896D4F" w:rsidRDefault="009C1C5A">
      <w:pPr>
        <w:pStyle w:val="Rubrik4"/>
        <w:spacing w:before="125"/>
        <w:rPr>
          <w:i w:val="0"/>
        </w:rPr>
      </w:pPr>
      <w:r w:rsidRPr="00896D4F">
        <w:t>3.1 Ärende dnr 1172-1998</w:t>
      </w:r>
    </w:p>
    <w:p w:rsidR="009C1C5A" w:rsidRPr="00896D4F" w:rsidRDefault="009C1C5A">
      <w:r w:rsidRPr="00896D4F">
        <w:t>Åklagarmyndigheten anmodades att komma in med upplysningar och yttra</w:t>
      </w:r>
      <w:r w:rsidRPr="00896D4F">
        <w:t>n</w:t>
      </w:r>
      <w:r w:rsidRPr="00896D4F">
        <w:t>de över vad J.A. hade anfört i sin anmälan i ärendet.</w:t>
      </w:r>
    </w:p>
    <w:p w:rsidR="009C1C5A" w:rsidRPr="00896D4F" w:rsidRDefault="009C1C5A">
      <w:pPr>
        <w:pStyle w:val="Normaltindrag"/>
      </w:pPr>
      <w:r w:rsidRPr="00896D4F">
        <w:t>Åklagarmyndigheten (biträdande överåklagaren Birgitta Fernqvist) kom in med ett yttrande till vilket hade fogats yttranden från Marianne Aldén och chefsåklagaren Ulf Holmberg. Till remissvaret fogades dessutom en av kr</w:t>
      </w:r>
      <w:r w:rsidRPr="00896D4F">
        <w:t>i</w:t>
      </w:r>
      <w:r w:rsidRPr="00896D4F">
        <w:t>minalinspektörerna Lars Johansson och Jan Carlsson upprättad promemoria rörande vissa utredningsåtgärder med anledning av det aktuella mordet samt vissa kompletterande upplysningar från åklagarkammaren och Lars Johan</w:t>
      </w:r>
      <w:r w:rsidRPr="00896D4F">
        <w:t>s</w:t>
      </w:r>
      <w:r w:rsidRPr="00896D4F">
        <w:t>son.</w:t>
      </w:r>
    </w:p>
    <w:p w:rsidR="009C1C5A" w:rsidRPr="00896D4F" w:rsidRDefault="009C1C5A">
      <w:pPr>
        <w:pStyle w:val="Rubrik4"/>
      </w:pPr>
      <w:r w:rsidRPr="00896D4F">
        <w:t>3.2 Ärende dnr 4234-1998</w:t>
      </w:r>
    </w:p>
    <w:p w:rsidR="009C1C5A" w:rsidRPr="00896D4F" w:rsidRDefault="009C1C5A">
      <w:r w:rsidRPr="00896D4F">
        <w:t>Åklagarmyndigheten anmodades att komma in med upplysningar och yttra</w:t>
      </w:r>
      <w:r w:rsidRPr="00896D4F">
        <w:t>n</w:t>
      </w:r>
      <w:r w:rsidRPr="00896D4F">
        <w:t>de i neda</w:t>
      </w:r>
      <w:r w:rsidRPr="00896D4F">
        <w:t>n</w:t>
      </w:r>
      <w:r w:rsidRPr="00896D4F">
        <w:t>stående hänseenden.</w:t>
      </w:r>
    </w:p>
    <w:p w:rsidR="009C1C5A" w:rsidRPr="00896D4F" w:rsidRDefault="009C1C5A">
      <w:pPr>
        <w:numPr>
          <w:ilvl w:val="0"/>
          <w:numId w:val="30"/>
        </w:numPr>
        <w:spacing w:before="0"/>
        <w:rPr>
          <w:sz w:val="20"/>
        </w:rPr>
      </w:pPr>
      <w:r w:rsidRPr="00896D4F">
        <w:t>Vad som hade framförts i anmälan till JO om bevisupptagningen den 4 september 1998.</w:t>
      </w:r>
    </w:p>
    <w:p w:rsidR="009C1C5A" w:rsidRPr="00896D4F" w:rsidRDefault="009C1C5A">
      <w:pPr>
        <w:numPr>
          <w:ilvl w:val="0"/>
          <w:numId w:val="30"/>
        </w:numPr>
        <w:spacing w:before="0"/>
      </w:pPr>
      <w:r w:rsidRPr="00896D4F">
        <w:t>Hade vittnet X:son förhörts av åklagare och polis före bevisupptagnin</w:t>
      </w:r>
      <w:r w:rsidRPr="00896D4F">
        <w:t>g</w:t>
      </w:r>
      <w:r w:rsidRPr="00896D4F">
        <w:t>en?</w:t>
      </w:r>
    </w:p>
    <w:p w:rsidR="009C1C5A" w:rsidRPr="00896D4F" w:rsidRDefault="009C1C5A">
      <w:pPr>
        <w:numPr>
          <w:ilvl w:val="0"/>
          <w:numId w:val="30"/>
        </w:numPr>
        <w:spacing w:before="0"/>
      </w:pPr>
      <w:r w:rsidRPr="00896D4F">
        <w:t>Om så var fallet, hade förhörsprotokoll upprättats, och om protokoll inte hade upprättats, vad var a</w:t>
      </w:r>
      <w:r w:rsidRPr="00896D4F">
        <w:t>n</w:t>
      </w:r>
      <w:r w:rsidRPr="00896D4F">
        <w:t>ledningen därtill?</w:t>
      </w:r>
    </w:p>
    <w:p w:rsidR="009C1C5A" w:rsidRPr="00896D4F" w:rsidRDefault="009C1C5A">
      <w:pPr>
        <w:numPr>
          <w:ilvl w:val="0"/>
          <w:numId w:val="30"/>
        </w:numPr>
        <w:spacing w:before="0"/>
      </w:pPr>
      <w:r w:rsidRPr="00896D4F">
        <w:t>Varför hade Marianne Aldén vid häktningsförhandlingen den 8 septe</w:t>
      </w:r>
      <w:r w:rsidRPr="00896D4F">
        <w:t>m</w:t>
      </w:r>
      <w:r w:rsidRPr="00896D4F">
        <w:t>ber 1998 inte redogjort för alla de omständigheter som då fanns tillgän</w:t>
      </w:r>
      <w:r w:rsidRPr="00896D4F">
        <w:t>g</w:t>
      </w:r>
      <w:r w:rsidRPr="00896D4F">
        <w:t>liga i utredningen och som kunde ha betydelse för bedömningen av häk</w:t>
      </w:r>
      <w:r w:rsidRPr="00896D4F">
        <w:t>t</w:t>
      </w:r>
      <w:r w:rsidRPr="00896D4F">
        <w:t>ningsfrågan (jfr Marianne Aldéns yttrande den 17 september 1998)?</w:t>
      </w:r>
    </w:p>
    <w:p w:rsidR="009C1C5A" w:rsidRPr="00896D4F" w:rsidRDefault="009C1C5A">
      <w:pPr>
        <w:numPr>
          <w:ilvl w:val="0"/>
          <w:numId w:val="30"/>
        </w:numPr>
        <w:spacing w:before="0"/>
        <w:rPr>
          <w:sz w:val="20"/>
        </w:rPr>
      </w:pPr>
      <w:r w:rsidRPr="00896D4F">
        <w:t>Vilka överväganden hade föregått beslutet att anhålla J.A. m.fl. den 16 september 1998, dvs. dagen efter det att hovrätten hade hävt det tid</w:t>
      </w:r>
      <w:r w:rsidRPr="00896D4F">
        <w:t>i</w:t>
      </w:r>
      <w:r w:rsidRPr="00896D4F">
        <w:t>gare häk</w:t>
      </w:r>
      <w:r w:rsidRPr="00896D4F">
        <w:t>t</w:t>
      </w:r>
      <w:r w:rsidRPr="00896D4F">
        <w:t>ningsbeslutet?</w:t>
      </w:r>
    </w:p>
    <w:p w:rsidR="009C1C5A" w:rsidRPr="00896D4F" w:rsidRDefault="009C1C5A">
      <w:pPr>
        <w:numPr>
          <w:ilvl w:val="0"/>
          <w:numId w:val="30"/>
        </w:numPr>
        <w:spacing w:before="0"/>
      </w:pPr>
      <w:r w:rsidRPr="00896D4F">
        <w:t>När hade de olika förhör hållits som omnämns i häktningspromemorian den 16 september 1998 och i den promemoria som upprättats med anle</w:t>
      </w:r>
      <w:r w:rsidRPr="00896D4F">
        <w:t>d</w:t>
      </w:r>
      <w:r w:rsidRPr="00896D4F">
        <w:t>ning av hovrättens beslut att häva häktningsbeslutet?</w:t>
      </w:r>
    </w:p>
    <w:p w:rsidR="009C1C5A" w:rsidRPr="00896D4F" w:rsidRDefault="009C1C5A">
      <w:pPr>
        <w:numPr>
          <w:ilvl w:val="0"/>
          <w:numId w:val="30"/>
        </w:numPr>
        <w:spacing w:before="0"/>
      </w:pPr>
      <w:r w:rsidRPr="00896D4F">
        <w:t>Vilka nya omständigheter hade framkommit efter hovrättens beslut?</w:t>
      </w:r>
    </w:p>
    <w:p w:rsidR="009C1C5A" w:rsidRPr="00896D4F" w:rsidRDefault="009C1C5A">
      <w:pPr>
        <w:numPr>
          <w:ilvl w:val="0"/>
          <w:numId w:val="30"/>
        </w:numPr>
        <w:spacing w:before="0"/>
      </w:pPr>
      <w:r w:rsidRPr="00896D4F">
        <w:t>Vad som hade framförts i anmälan om avsaknaden av information till Sta</w:t>
      </w:r>
      <w:r w:rsidRPr="00896D4F">
        <w:t>f</w:t>
      </w:r>
      <w:r w:rsidRPr="00896D4F">
        <w:t>fan Bergfeldt beträffande anhållningsbeslutet.</w:t>
      </w:r>
    </w:p>
    <w:p w:rsidR="009C1C5A" w:rsidRPr="00896D4F" w:rsidRDefault="009C1C5A">
      <w:r w:rsidRPr="00896D4F">
        <w:t>Åklagarmyndigheten (Birgitta Fernqvist) kom in med ett yttrande till vilket hade fogats yttranden från Marianne Aldén och Ulf Holmberg. Till remissv</w:t>
      </w:r>
      <w:r w:rsidRPr="00896D4F">
        <w:t>a</w:t>
      </w:r>
      <w:r w:rsidRPr="00896D4F">
        <w:t>ret hade vidare fogats bl.a. en förteckning över hållna förhör och en prom</w:t>
      </w:r>
      <w:r w:rsidRPr="00896D4F">
        <w:t>e</w:t>
      </w:r>
      <w:r w:rsidRPr="00896D4F">
        <w:t>moria angående tidpunkten för dessa förhör (se JO:s fråga 6), en promemoria upprättad i samband med anhållandet av J.A. den 16 september 1998 och en promemoria rörande vissa utredningsåtgärder.</w:t>
      </w:r>
    </w:p>
    <w:p w:rsidR="009C1C5A" w:rsidRPr="00896D4F" w:rsidRDefault="009C1C5A">
      <w:pPr>
        <w:pStyle w:val="Normaltindrag"/>
      </w:pPr>
      <w:r w:rsidRPr="00896D4F">
        <w:t>Tingsrätten anmodades att komma in med upplysningar och yttrande över vad som hade anförts i anmälan hit om bevisupptagningen samt om de öve</w:t>
      </w:r>
      <w:r w:rsidRPr="00896D4F">
        <w:t>r</w:t>
      </w:r>
      <w:r w:rsidRPr="00896D4F">
        <w:t>väganden som hade föregått beslutet att häkta J.A. m.fl.</w:t>
      </w:r>
    </w:p>
    <w:p w:rsidR="009C1C5A" w:rsidRPr="00896D4F" w:rsidRDefault="009C1C5A">
      <w:pPr>
        <w:pStyle w:val="Normaltindrag"/>
      </w:pPr>
      <w:r w:rsidRPr="00896D4F">
        <w:t xml:space="preserve">Som remissvar kom tingsrätten (lagmannen Jan Warén) in med ett yttrande till vilket hade fogats ett yttrande från hovrättsassessorn Carl Olof Nilsson Öhrnell. </w:t>
      </w:r>
    </w:p>
    <w:p w:rsidR="009C1C5A" w:rsidRPr="00896D4F" w:rsidRDefault="009C1C5A">
      <w:pPr>
        <w:pStyle w:val="Rubrik4"/>
      </w:pPr>
      <w:r w:rsidRPr="00896D4F">
        <w:t>3.3 Övriga handläggningsåtgärder m.m.</w:t>
      </w:r>
    </w:p>
    <w:p w:rsidR="009C1C5A" w:rsidRPr="00896D4F" w:rsidRDefault="009C1C5A">
      <w:r w:rsidRPr="00896D4F">
        <w:t xml:space="preserve">J.A. kom under ärendenas handläggning in med ytterligare skrivelser och anmälningar mot Marianne Aldén. </w:t>
      </w:r>
    </w:p>
    <w:p w:rsidR="009C1C5A" w:rsidRPr="00896D4F" w:rsidRDefault="009C1C5A">
      <w:pPr>
        <w:pStyle w:val="Normaltindrag"/>
      </w:pPr>
      <w:r w:rsidRPr="00896D4F">
        <w:t xml:space="preserve">Under handläggningen av ärendena kom det till min kännedom att J.A. och övriga misstänkta återigen hade häktats i målet och att åtal för mord därefter hade väckts vid tingsrätten. Med anledning av att saken således kom att bli föremål för domstolsprövning beslutade jag att tills vidare inte meddela något beslut i ärendena. </w:t>
      </w:r>
    </w:p>
    <w:p w:rsidR="009C1C5A" w:rsidRPr="00896D4F" w:rsidRDefault="009C1C5A">
      <w:pPr>
        <w:pStyle w:val="Normaltindrag"/>
      </w:pPr>
      <w:r w:rsidRPr="00896D4F">
        <w:t>Jag tog därefter del av stämningsansökan och tingsrättens beslut den 31 mars 2000 i mål B 135-97. Av dessa handlingar framgick bl.a. att Maria</w:t>
      </w:r>
      <w:r w:rsidRPr="00896D4F">
        <w:t>n</w:t>
      </w:r>
      <w:r w:rsidRPr="00896D4F">
        <w:t>ne Aldén som bevisning åberopade bandupptagningen av det förhör som hade hållits med X:son vid bevisupptagningen inför tingsrätten. X:son hade eme</w:t>
      </w:r>
      <w:r w:rsidRPr="00896D4F">
        <w:t>l</w:t>
      </w:r>
      <w:r w:rsidRPr="00896D4F">
        <w:t>lertid nu namngivits. Med anledning härav uttalade tingsrätten i ett beslut att Göta hovrätt tidigare hade uttalat att det enligt svensk rätt inte är tillåtet med anonyma vittnen. Enligt tingsrätten hade hovrätten redan gjort en bedömning av tillåtligheten av den aktuella bevisningen, va</w:t>
      </w:r>
      <w:r w:rsidRPr="00896D4F">
        <w:t>r</w:t>
      </w:r>
      <w:r w:rsidRPr="00896D4F">
        <w:t xml:space="preserve">för den avvisades. </w:t>
      </w:r>
    </w:p>
    <w:p w:rsidR="009C1C5A" w:rsidRPr="00896D4F" w:rsidRDefault="009C1C5A">
      <w:pPr>
        <w:pStyle w:val="Normaltindrag"/>
      </w:pPr>
      <w:r w:rsidRPr="00896D4F">
        <w:t>I ärendet fanns vidare tillgängliga tingsrättens deldom</w:t>
      </w:r>
      <w:r w:rsidRPr="00896D4F">
        <w:t>ar den 28 april och den 29 maj 2000 i mål B 135-97, Göta hovrätts dom den 18 juli 2000 i mål B 572-00 och B 692-00 samt Högsta domstolens beslut den 5 september 2000 i mål B 3214-00. Av dessa handlingar framgick bl.a. att J.A. dömdes för mord till fängelse tio år med anledning av den aktuella händelsen.</w:t>
      </w:r>
    </w:p>
    <w:p w:rsidR="009C1C5A" w:rsidRPr="00896D4F" w:rsidRDefault="009C1C5A">
      <w:pPr>
        <w:pStyle w:val="Normaltindrag"/>
        <w:rPr>
          <w:sz w:val="18"/>
        </w:rPr>
      </w:pPr>
      <w:r w:rsidRPr="00896D4F">
        <w:t>Göta hovrätt meddelade den 29 juni 2001 dom i mål B 525-01 avseende en av J.A:s medtilltalade. Av domen framgick att hovrätten – med stöd av pri</w:t>
      </w:r>
      <w:r w:rsidRPr="00896D4F">
        <w:t>n</w:t>
      </w:r>
      <w:r w:rsidRPr="00896D4F">
        <w:t>ciperna om fri bevisprövning och bästa bevismedel – hade tillåtit att en u</w:t>
      </w:r>
      <w:r w:rsidRPr="00896D4F">
        <w:t>t</w:t>
      </w:r>
      <w:r w:rsidRPr="00896D4F">
        <w:t>skrift av förhöret med det ”anonyma” vittnet åberopades och förebringades som bevisning.</w:t>
      </w:r>
    </w:p>
    <w:p w:rsidR="009C1C5A" w:rsidRPr="00896D4F" w:rsidRDefault="009C1C5A">
      <w:pPr>
        <w:pStyle w:val="Rubrik3"/>
        <w:rPr>
          <w:b w:val="0"/>
        </w:rPr>
      </w:pPr>
      <w:r w:rsidRPr="00896D4F">
        <w:t>JO:s BEDÖMNING</w:t>
      </w:r>
    </w:p>
    <w:p w:rsidR="009C1C5A" w:rsidRPr="00896D4F" w:rsidRDefault="009C1C5A">
      <w:pPr>
        <w:pStyle w:val="Rubrik3"/>
        <w:rPr>
          <w:b w:val="0"/>
        </w:rPr>
      </w:pPr>
      <w:r w:rsidRPr="00896D4F">
        <w:t>4 Inledning</w:t>
      </w:r>
    </w:p>
    <w:p w:rsidR="009C1C5A" w:rsidRPr="00896D4F" w:rsidRDefault="009C1C5A">
      <w:r w:rsidRPr="00896D4F">
        <w:t>I ärendena föreligger klagomål från J.A. med anledning av åklagarens han</w:t>
      </w:r>
      <w:r w:rsidRPr="00896D4F">
        <w:t>d</w:t>
      </w:r>
      <w:r w:rsidRPr="00896D4F">
        <w:t>läggning av frågorna om förordnande av offentlig försvarare för J.A. och om utlämnande av en kopia av ett beslagsprotokoll. Jag har vidare att ta ställning till om bevisupptagningen den 4 september 1998 varit rätts</w:t>
      </w:r>
      <w:r w:rsidRPr="00896D4F">
        <w:softHyphen/>
        <w:t>enlig. Det finns härutöver anledning att pröva vad som förekom vid häktningsförhandlingen den 8 september och i samband med anhållningsbeslutet den 16 september 1998. Jag kommer att i det följande behandla de olika frågorna under särski</w:t>
      </w:r>
      <w:r w:rsidRPr="00896D4F">
        <w:t>l</w:t>
      </w:r>
      <w:r w:rsidRPr="00896D4F">
        <w:t>da rubriker.</w:t>
      </w:r>
    </w:p>
    <w:p w:rsidR="009C1C5A" w:rsidRPr="00896D4F" w:rsidRDefault="009C1C5A">
      <w:pPr>
        <w:pStyle w:val="Rubrik3"/>
      </w:pPr>
      <w:r w:rsidRPr="00896D4F">
        <w:t>5 J.A:s rätt till offentlig försvarare (dnr 11</w:t>
      </w:r>
      <w:r w:rsidRPr="00896D4F">
        <w:t>72-1998)</w:t>
      </w:r>
    </w:p>
    <w:p w:rsidR="009C1C5A" w:rsidRPr="00896D4F" w:rsidRDefault="009C1C5A">
      <w:pPr>
        <w:pStyle w:val="Rubrik4"/>
        <w:spacing w:before="125"/>
      </w:pPr>
      <w:r w:rsidRPr="00896D4F">
        <w:t>5.1 Inledning</w:t>
      </w:r>
    </w:p>
    <w:p w:rsidR="009C1C5A" w:rsidRPr="00896D4F" w:rsidRDefault="009C1C5A">
      <w:r w:rsidRPr="00896D4F">
        <w:t>J.A. har gjort gällande att Marianne Aldén inte vidtog några åtgärder för att få en o</w:t>
      </w:r>
      <w:r w:rsidRPr="00896D4F">
        <w:t>f</w:t>
      </w:r>
      <w:r w:rsidRPr="00896D4F">
        <w:t>fentlig försvarare förordnad för honom.</w:t>
      </w:r>
    </w:p>
    <w:p w:rsidR="009C1C5A" w:rsidRPr="00896D4F" w:rsidRDefault="009C1C5A">
      <w:pPr>
        <w:pStyle w:val="Normaltindrag"/>
      </w:pPr>
      <w:r w:rsidRPr="00896D4F">
        <w:t>I denna del har åklagarmyndigheten anfört att det med hänsyn till den brott</w:t>
      </w:r>
      <w:r w:rsidRPr="00896D4F">
        <w:t>s</w:t>
      </w:r>
      <w:r w:rsidRPr="00896D4F">
        <w:t>misstanke som delgavs J.A. och utredningens karaktär förelåg förut</w:t>
      </w:r>
      <w:r w:rsidRPr="00896D4F">
        <w:softHyphen/>
        <w:t>sättningar för förordnande av offentlig försvarare. Det ålåg därför Marianne Aldén som förundersökningsledare att anmäla behovet av offentlig försvarare till rätten. J.A:s inställning i fråga om medverkan i eventuella förhör saknar enligt my</w:t>
      </w:r>
      <w:r w:rsidRPr="00896D4F">
        <w:t>n</w:t>
      </w:r>
      <w:r w:rsidRPr="00896D4F">
        <w:t xml:space="preserve">dighetens uppfattning betydelse i sammanhanget. </w:t>
      </w:r>
    </w:p>
    <w:p w:rsidR="009C1C5A" w:rsidRPr="00896D4F" w:rsidRDefault="009C1C5A">
      <w:pPr>
        <w:pStyle w:val="Rubrik4"/>
      </w:pPr>
      <w:r w:rsidRPr="00896D4F">
        <w:t>5.2 Rättslig reglering</w:t>
      </w:r>
    </w:p>
    <w:p w:rsidR="009C1C5A" w:rsidRPr="00896D4F" w:rsidRDefault="009C1C5A">
      <w:r w:rsidRPr="00896D4F">
        <w:t>I 21 kap. RB finns bestämmelser om den misstänkte och hans försvar. Är den misstänkte anhållen eller häktad, skall offentlig försvarare förordnas för h</w:t>
      </w:r>
      <w:r w:rsidRPr="00896D4F">
        <w:t>o</w:t>
      </w:r>
      <w:r w:rsidRPr="00896D4F">
        <w:t>nom, om han begär det. Offentlig försvarare skall också på begäran förordnas för den som är misstänkt för ett brott, för vilket inte är stadgat lindrigare straff än fängelse i sex månader (3 a § första stycket). I förarbetena till lagrummet anges att de där angivna brotten generellt sett är av så allvarlig art att en misstänkt nära nog undantagslöst har behov av en försvarare (prop. 1983/84:23 s. 15). I inget av de nu angivna fallen har det någon betydelse om den misstänkte har erkänt eller förnekat gärnin</w:t>
      </w:r>
      <w:r w:rsidRPr="00896D4F">
        <w:t>gen (a.a. s. 15 och Fitger, Rä</w:t>
      </w:r>
      <w:r w:rsidRPr="00896D4F">
        <w:t>t</w:t>
      </w:r>
      <w:r w:rsidRPr="00896D4F">
        <w:t>tegångsba</w:t>
      </w:r>
      <w:r w:rsidRPr="00896D4F">
        <w:t>l</w:t>
      </w:r>
      <w:r w:rsidRPr="00896D4F">
        <w:t>ken, del 2, s. 21:16 a).</w:t>
      </w:r>
    </w:p>
    <w:p w:rsidR="009C1C5A" w:rsidRPr="00896D4F" w:rsidRDefault="009C1C5A">
      <w:pPr>
        <w:pStyle w:val="Normaltindrag"/>
      </w:pPr>
      <w:r w:rsidRPr="00896D4F">
        <w:t>Av paragrafens andra stycke framgår att offentlig försvarare därutöver skall förordnas om den misstänkte är i behov av försvarare med hänsyn till utredningen om brottet, om försvarare behövs med hänsyn till att det är tve</w:t>
      </w:r>
      <w:r w:rsidRPr="00896D4F">
        <w:t>k</w:t>
      </w:r>
      <w:r w:rsidRPr="00896D4F">
        <w:t>samt vilken påföljd som skall väljas och det finns anledning att döma till annan påföljd än böter eller villkorlig dom eller sådana påföljder i förening, eller om det i övrigt föreligger särskilda skäl med hänsyn till den misstänktes personl</w:t>
      </w:r>
      <w:r w:rsidRPr="00896D4F">
        <w:t>i</w:t>
      </w:r>
      <w:r w:rsidRPr="00896D4F">
        <w:t xml:space="preserve">ga förhållanden eller till vad målet rör. </w:t>
      </w:r>
    </w:p>
    <w:p w:rsidR="009C1C5A" w:rsidRPr="00896D4F" w:rsidRDefault="009C1C5A">
      <w:pPr>
        <w:pStyle w:val="Normaltindrag"/>
      </w:pPr>
      <w:r w:rsidRPr="00896D4F">
        <w:t>Offentlig försvarare förordnas av rätten (21 kap. 4 § RB). Skall enligt 21 kap. 3 a § RB offentlig försvarare utses för den misstänkte, åligger det unde</w:t>
      </w:r>
      <w:r w:rsidRPr="00896D4F">
        <w:t>r</w:t>
      </w:r>
      <w:r w:rsidRPr="00896D4F">
        <w:t>sökningsledaren att göra anmälan om det hos rätten (23 kap. 5 § RB). En framställan från den misstänkte till undersökningsledaren om offentlig försv</w:t>
      </w:r>
      <w:r w:rsidRPr="00896D4F">
        <w:t>a</w:t>
      </w:r>
      <w:r w:rsidRPr="00896D4F">
        <w:t xml:space="preserve">rare skall omedelbart vidarebefordras till rätten (Fitger, Rättegångsbalken, del 2, s. 23:34 och JO 1964 s. 97). </w:t>
      </w:r>
    </w:p>
    <w:p w:rsidR="009C1C5A" w:rsidRPr="00896D4F" w:rsidRDefault="009C1C5A">
      <w:pPr>
        <w:pStyle w:val="Rubrik4"/>
      </w:pPr>
      <w:r w:rsidRPr="00896D4F">
        <w:t>5.3 Bedömning</w:t>
      </w:r>
    </w:p>
    <w:p w:rsidR="009C1C5A" w:rsidRPr="00896D4F" w:rsidRDefault="009C1C5A">
      <w:r w:rsidRPr="00896D4F">
        <w:t>Mordet begicks den 26 augusti 1997. Som framgår av utredningen beslutade förundersökningsledaren Marianne Aldén med anledning därav redan påfö</w:t>
      </w:r>
      <w:r w:rsidRPr="00896D4F">
        <w:t>l</w:t>
      </w:r>
      <w:r w:rsidRPr="00896D4F">
        <w:t xml:space="preserve">jande dag om husrannsakan i J.A:s cell och om kroppsbesiktning beträffande honom. </w:t>
      </w:r>
    </w:p>
    <w:p w:rsidR="009C1C5A" w:rsidRPr="00896D4F" w:rsidRDefault="009C1C5A">
      <w:pPr>
        <w:pStyle w:val="Normaltindrag"/>
      </w:pPr>
      <w:r w:rsidRPr="00896D4F">
        <w:t>Vid förhör den 28 augusti 1997 delgavs J.A. misstanke om mord. I sa</w:t>
      </w:r>
      <w:r w:rsidRPr="00896D4F">
        <w:t>m</w:t>
      </w:r>
      <w:r w:rsidRPr="00896D4F">
        <w:t>band därmed underrättades han också om sin rätt att anlita försvarare, varvid han uppgav att han önskade att en av två namngivna advokater skulle föror</w:t>
      </w:r>
      <w:r w:rsidRPr="00896D4F">
        <w:t>d</w:t>
      </w:r>
      <w:r w:rsidRPr="00896D4F">
        <w:t>nas till offentlig försvarare. Såvitt framgår av utredningen finns det inte något som tyder på att misstankegraden mot J.A. minskade under den i ärendet aktuella tidsperioden. Exempelvis tillfrågades han vid förhöret den 5 nove</w:t>
      </w:r>
      <w:r w:rsidRPr="00896D4F">
        <w:t>m</w:t>
      </w:r>
      <w:r w:rsidRPr="00896D4F">
        <w:t>ber 1997 om han hade förstått att han blivit underrättad om misstanke om mord, vilket han bekräftade. Utredningen ger vidare vid ha</w:t>
      </w:r>
      <w:r w:rsidRPr="00896D4F">
        <w:t>nden att J.A. under hösten 1997 och i januari 1998 ett flertal gånger upprepade sin begäran om offentlig försvarare, bl.a. vid förhöret den 5 november. Vid detta förhör up</w:t>
      </w:r>
      <w:r w:rsidRPr="00896D4F">
        <w:t>p</w:t>
      </w:r>
      <w:r w:rsidRPr="00896D4F">
        <w:t xml:space="preserve">gav J.A. också att han inte tänkte berätta någonting förrän vid en eventuell rättegång även om en advokat var med vid förhöret. </w:t>
      </w:r>
    </w:p>
    <w:p w:rsidR="009C1C5A" w:rsidRPr="00896D4F" w:rsidRDefault="009C1C5A">
      <w:pPr>
        <w:pStyle w:val="Normaltindrag"/>
      </w:pPr>
      <w:r w:rsidRPr="00896D4F">
        <w:t>Som nyss har nämnts skall offentlig försvarare på begäran förordnas för den som är misstänkt för ett brott för vilket inte är stadgat lindrigare straff än fängelse i sex månader. Straffskalan för mord är fängels</w:t>
      </w:r>
      <w:r w:rsidRPr="00896D4F">
        <w:t xml:space="preserve">e i tio år eller livstid (3 kap. 1 § brottsbalken). </w:t>
      </w:r>
    </w:p>
    <w:p w:rsidR="009C1C5A" w:rsidRPr="00896D4F" w:rsidRDefault="009C1C5A">
      <w:pPr>
        <w:pStyle w:val="Normaltindrag"/>
      </w:pPr>
      <w:r w:rsidRPr="00896D4F">
        <w:t>Av vad som har sagts i det föregående framgår att det åligger undersö</w:t>
      </w:r>
      <w:r w:rsidRPr="00896D4F">
        <w:t>k</w:t>
      </w:r>
      <w:r w:rsidRPr="00896D4F">
        <w:t>ningsledaren att göra anmälan hos rätten, om offentlig försvarare skall utses. Så skedde emellertid inte, trots att Marianne Aldén i sitt yttrande har vidgått att hon redan i ett tidigt skede av utredningen informerades om J.A:s önsk</w:t>
      </w:r>
      <w:r w:rsidRPr="00896D4F">
        <w:t>e</w:t>
      </w:r>
      <w:r w:rsidRPr="00896D4F">
        <w:t>mål om försvarare. Som förklaring till sin underlåtenhet har hon i huvudsak anfört att hon inte uppfattade att J.A. begärde försvarare, eftersom det inte var aktuellt med något förhör, samt att hon inte heller såg något behov av försv</w:t>
      </w:r>
      <w:r w:rsidRPr="00896D4F">
        <w:t>a</w:t>
      </w:r>
      <w:r w:rsidRPr="00896D4F">
        <w:t>rare för J.A., eftersom det inte hade fram</w:t>
      </w:r>
      <w:r w:rsidRPr="00896D4F">
        <w:t>kommit några ytterligare omständi</w:t>
      </w:r>
      <w:r w:rsidRPr="00896D4F">
        <w:t>g</w:t>
      </w:r>
      <w:r w:rsidRPr="00896D4F">
        <w:t xml:space="preserve">heter som skulle ha föranlett utredning mot honom. </w:t>
      </w:r>
    </w:p>
    <w:p w:rsidR="009C1C5A" w:rsidRPr="00896D4F" w:rsidRDefault="009C1C5A">
      <w:pPr>
        <w:pStyle w:val="Normaltindrag"/>
      </w:pPr>
      <w:r w:rsidRPr="00896D4F">
        <w:t>Den skyldighet för undersökningsledaren, som följer av reglerna i 23 kap. 5 § och 21 kap. 3 a § första stycket första meningen RB, att till rätten anmäla ett önskemål om offentlig försvarare av någon som är misstänkt för ett brott för vilket inte är stadgat lindrigare straff än fängelse i sex månader, är unda</w:t>
      </w:r>
      <w:r w:rsidRPr="00896D4F">
        <w:t>n</w:t>
      </w:r>
      <w:r w:rsidRPr="00896D4F">
        <w:t>tagslös. Det finns således i ett sådant fall inte något utrymme för undersö</w:t>
      </w:r>
      <w:r w:rsidRPr="00896D4F">
        <w:t>k</w:t>
      </w:r>
      <w:r w:rsidRPr="00896D4F">
        <w:t>ningsledaren att pröva om den misstänkte har behov av försvarare eller ej. Som framhålls i åklagarmyndighetens remissvar saknar frågan om den mis</w:t>
      </w:r>
      <w:r w:rsidRPr="00896D4F">
        <w:t>s</w:t>
      </w:r>
      <w:r w:rsidRPr="00896D4F">
        <w:t>tänktes inställning till eventuella förhör betydelse vid bedömningen om fö</w:t>
      </w:r>
      <w:r w:rsidRPr="00896D4F">
        <w:t>r</w:t>
      </w:r>
      <w:r w:rsidRPr="00896D4F">
        <w:t xml:space="preserve">svarare skall förordnas eller inte. </w:t>
      </w:r>
    </w:p>
    <w:p w:rsidR="009C1C5A" w:rsidRPr="00896D4F" w:rsidRDefault="009C1C5A">
      <w:pPr>
        <w:pStyle w:val="Normaltindrag"/>
      </w:pPr>
      <w:r w:rsidRPr="00896D4F">
        <w:t>Marianne Aldén borde således omedelbart ha vidarebefordrat J.A:s beg</w:t>
      </w:r>
      <w:r w:rsidRPr="00896D4F">
        <w:t>ä</w:t>
      </w:r>
      <w:r w:rsidRPr="00896D4F">
        <w:t>ran om offentlig försvarare till rätten. Hennes underlåtenhet framstår som särskilt svårförståelig mot bakgrund av vad hon har anfört i sitt yttrande hit om att en misstänkt enligt hennes uppfattning undantagslöst skall ha en fö</w:t>
      </w:r>
      <w:r w:rsidRPr="00896D4F">
        <w:t>r</w:t>
      </w:r>
      <w:r w:rsidRPr="00896D4F">
        <w:t xml:space="preserve">svarare om det är fråga om misstanke om brott av så allvarlig art som mord. Det kan vidare noteras att hon hos rätten väckte frågan om förordnande av offentlig försvarare för J.A:s två medmisstänkta. </w:t>
      </w:r>
    </w:p>
    <w:p w:rsidR="009C1C5A" w:rsidRPr="00896D4F" w:rsidRDefault="009C1C5A">
      <w:pPr>
        <w:pStyle w:val="Rubrik3"/>
      </w:pPr>
      <w:r w:rsidRPr="00896D4F">
        <w:t>6 J.A:s begäran om beslagsprotokoll m.m. (dnr 1172-1998)</w:t>
      </w:r>
    </w:p>
    <w:p w:rsidR="009C1C5A" w:rsidRPr="00896D4F" w:rsidRDefault="009C1C5A">
      <w:pPr>
        <w:pStyle w:val="Rubrik4"/>
        <w:spacing w:before="125"/>
      </w:pPr>
      <w:r w:rsidRPr="00896D4F">
        <w:t>6.1 Inledning</w:t>
      </w:r>
    </w:p>
    <w:p w:rsidR="009C1C5A" w:rsidRPr="00896D4F" w:rsidRDefault="009C1C5A">
      <w:r w:rsidRPr="00896D4F">
        <w:t>J.A. har i sin anmälan gjort gällande att Marianne Aldén inte inom rimlig tid efterkommit en begäran om ett beslagsprotokoll samt ifrågasatt om det funnits skäl att låta besl</w:t>
      </w:r>
      <w:r w:rsidRPr="00896D4F">
        <w:t>a</w:t>
      </w:r>
      <w:r w:rsidRPr="00896D4F">
        <w:t xml:space="preserve">gen bestå så lång tid som varit fallet. </w:t>
      </w:r>
    </w:p>
    <w:p w:rsidR="009C1C5A" w:rsidRPr="00896D4F" w:rsidRDefault="009C1C5A">
      <w:pPr>
        <w:pStyle w:val="Normaltindrag"/>
      </w:pPr>
      <w:r w:rsidRPr="00896D4F">
        <w:t>I sitt remissvar har åklagarmyndigheten i denna del konstaterat att Maria</w:t>
      </w:r>
      <w:r w:rsidRPr="00896D4F">
        <w:t>n</w:t>
      </w:r>
      <w:r w:rsidRPr="00896D4F">
        <w:t>ne Aldén borde ha ombesörjt att Staffan Bergfeldt skyndsamt erhöll ett b</w:t>
      </w:r>
      <w:r w:rsidRPr="00896D4F">
        <w:t>e</w:t>
      </w:r>
      <w:r w:rsidRPr="00896D4F">
        <w:t>slagsprotokoll. Myndigheten har vidare uttalat att det i en utredning av det aktuella slaget kan vara vanskligt att bedöma ett beslags betydelse för utre</w:t>
      </w:r>
      <w:r w:rsidRPr="00896D4F">
        <w:t>d</w:t>
      </w:r>
      <w:r w:rsidRPr="00896D4F">
        <w:t>ningen och att det därför är svårt att avgöra när skäl inte längre förekommer för beslaget.</w:t>
      </w:r>
    </w:p>
    <w:p w:rsidR="009C1C5A" w:rsidRPr="00896D4F" w:rsidRDefault="009C1C5A">
      <w:pPr>
        <w:pStyle w:val="Rubrik4"/>
      </w:pPr>
      <w:r w:rsidRPr="00896D4F">
        <w:t>6.2 Rättslig reglering</w:t>
      </w:r>
    </w:p>
    <w:p w:rsidR="009C1C5A" w:rsidRPr="00896D4F" w:rsidRDefault="009C1C5A">
      <w:r w:rsidRPr="00896D4F">
        <w:t xml:space="preserve">I 27 kap. RB finns bestämmelser om beslag. Enligt 1 § får ett föremål, som skäligen kan antas äga betydelse för utredning om brott eller vara genom brott någon avhänt eller på grund av brott förverkat, tas i beslag. </w:t>
      </w:r>
    </w:p>
    <w:p w:rsidR="009C1C5A" w:rsidRPr="00896D4F" w:rsidRDefault="009C1C5A">
      <w:pPr>
        <w:pStyle w:val="Normaltindrag"/>
      </w:pPr>
      <w:r w:rsidRPr="00896D4F">
        <w:t>I 4 och 5 §§ finns bestämmelser om vem som har rätt att besluta om b</w:t>
      </w:r>
      <w:r w:rsidRPr="00896D4F">
        <w:t>e</w:t>
      </w:r>
      <w:r w:rsidRPr="00896D4F">
        <w:t>slag, bl.a. undersökningsledaren, åklagaren och rätten. Om ett beslag har verkställts utan rättens förordnande, har den som drabbats rätt att begära rä</w:t>
      </w:r>
      <w:r w:rsidRPr="00896D4F">
        <w:t>t</w:t>
      </w:r>
      <w:r w:rsidRPr="00896D4F">
        <w:t xml:space="preserve">tens prövning av beslaget (6 §). </w:t>
      </w:r>
    </w:p>
    <w:p w:rsidR="009C1C5A" w:rsidRPr="00896D4F" w:rsidRDefault="009C1C5A">
      <w:pPr>
        <w:pStyle w:val="Normaltindrag"/>
      </w:pPr>
      <w:r w:rsidRPr="00896D4F">
        <w:t>Ett beslag hävs av rätten eller, om beslaget inte har meddelats eller fas</w:t>
      </w:r>
      <w:r w:rsidRPr="00896D4F">
        <w:t>t</w:t>
      </w:r>
      <w:r w:rsidRPr="00896D4F">
        <w:t xml:space="preserve">ställts av rätten, av undersökningsledaren eller åklagaren (8 § tredje stycket). </w:t>
      </w:r>
    </w:p>
    <w:p w:rsidR="009C1C5A" w:rsidRPr="00896D4F" w:rsidRDefault="009C1C5A">
      <w:pPr>
        <w:pStyle w:val="Normaltindrag"/>
      </w:pPr>
      <w:r w:rsidRPr="00896D4F">
        <w:t>Om den, från vilken beslag sker inte är närvarande vid beslaget, skall han utan dröjsmål underrättas om det och om vad som har skett med det besla</w:t>
      </w:r>
      <w:r w:rsidRPr="00896D4F">
        <w:t>g</w:t>
      </w:r>
      <w:r w:rsidRPr="00896D4F">
        <w:t>tagna (11 §). Protokoll skall föras över beslag och den som drabbas av besl</w:t>
      </w:r>
      <w:r w:rsidRPr="00896D4F">
        <w:t>a</w:t>
      </w:r>
      <w:r w:rsidRPr="00896D4F">
        <w:t xml:space="preserve">get har rätt att på begäran få bevis om beslaget (13 §). </w:t>
      </w:r>
    </w:p>
    <w:p w:rsidR="009C1C5A" w:rsidRPr="00896D4F" w:rsidRDefault="009C1C5A">
      <w:pPr>
        <w:pStyle w:val="Rubrik4"/>
      </w:pPr>
      <w:r w:rsidRPr="00896D4F">
        <w:t>6.3 Bedömning</w:t>
      </w:r>
    </w:p>
    <w:p w:rsidR="009C1C5A" w:rsidRPr="00896D4F" w:rsidRDefault="009C1C5A">
      <w:r w:rsidRPr="00896D4F">
        <w:t>Såvitt kommit fram i ärendet begärde Staffan Bergfeldt i ett brev den 26 fe</w:t>
      </w:r>
      <w:r w:rsidRPr="00896D4F">
        <w:t>b</w:t>
      </w:r>
      <w:r w:rsidRPr="00896D4F">
        <w:t xml:space="preserve">ruari 1998 att få en kopia av ett beslagsprotokoll. Enligt egen uppgift fick han emellertid inte det efterfrågade protokollet förrän omkring den 20 mars 1998. </w:t>
      </w:r>
    </w:p>
    <w:p w:rsidR="009C1C5A" w:rsidRPr="00896D4F" w:rsidRDefault="009C1C5A">
      <w:pPr>
        <w:pStyle w:val="Normaltindrag"/>
      </w:pPr>
      <w:r w:rsidRPr="00896D4F">
        <w:t>Som åklagarmyndigheten har anfört i remissvaret förefaller det som om Marianne Aldén i anslutning till Staffan Bergfeldts begäran den 26 februari 1998 vidtog vissa åtgärder för att efterkomma denna. Anledningen till att någon expediering då inte ägde rum har inte kunnat klarläggas, och det är enligt min mening inte meningsfullt att gå vidare i den s</w:t>
      </w:r>
      <w:r w:rsidRPr="00896D4F">
        <w:t xml:space="preserve">aken. </w:t>
      </w:r>
    </w:p>
    <w:p w:rsidR="009C1C5A" w:rsidRPr="00896D4F" w:rsidRDefault="009C1C5A">
      <w:pPr>
        <w:pStyle w:val="Normaltindrag"/>
      </w:pPr>
      <w:r w:rsidRPr="00896D4F">
        <w:t>Med anledning av J.A:s ifrågasättande av den tid under vilken beslagen v</w:t>
      </w:r>
      <w:r w:rsidRPr="00896D4F">
        <w:t>a</w:t>
      </w:r>
      <w:r w:rsidRPr="00896D4F">
        <w:t>rade – från augusti 1997 till den 19 mars 1998 då flera beslag hävdes – har Ulf Holmberg i sitt yttrande förklarat att genomgången av de beslagtagna föremålen inte blev klar förrän sistnämnda dag beroende på en betungande arbetssituation. Vad som har kommit fram i detta hänseende föranleder inte något annat uttalande från min sida än ett konstaterande att den som drabbas av beslag som har tillkommit utan rättens förordnande alltid har möjlighet att vända sig till domstol för att få till stånd en prövning a</w:t>
      </w:r>
      <w:r w:rsidRPr="00896D4F">
        <w:t>v beslag</w:t>
      </w:r>
      <w:r w:rsidRPr="00896D4F">
        <w:t>s</w:t>
      </w:r>
      <w:r w:rsidRPr="00896D4F">
        <w:t>frågan.</w:t>
      </w:r>
    </w:p>
    <w:p w:rsidR="009C1C5A" w:rsidRPr="00896D4F" w:rsidRDefault="009C1C5A">
      <w:pPr>
        <w:pStyle w:val="Rubrik3"/>
      </w:pPr>
      <w:r w:rsidRPr="00896D4F">
        <w:t>7 Bevisupptagningen den 4 september 1998 (dnr 4234-1998)</w:t>
      </w:r>
    </w:p>
    <w:p w:rsidR="009C1C5A" w:rsidRPr="00896D4F" w:rsidRDefault="009C1C5A">
      <w:pPr>
        <w:pStyle w:val="Rubrik4"/>
        <w:spacing w:before="125"/>
      </w:pPr>
      <w:r w:rsidRPr="00896D4F">
        <w:t>7.1 Inledning</w:t>
      </w:r>
    </w:p>
    <w:p w:rsidR="009C1C5A" w:rsidRPr="00896D4F" w:rsidRDefault="009C1C5A">
      <w:r w:rsidRPr="00896D4F">
        <w:t>J.A. har hävdat att den bevisupptagning som ägde rum den 4 september 1998 vid ting</w:t>
      </w:r>
      <w:r w:rsidRPr="00896D4F">
        <w:t>s</w:t>
      </w:r>
      <w:r w:rsidRPr="00896D4F">
        <w:t>rätten inte var rättsenlig.</w:t>
      </w:r>
    </w:p>
    <w:p w:rsidR="009C1C5A" w:rsidRPr="00896D4F" w:rsidRDefault="009C1C5A">
      <w:pPr>
        <w:rPr>
          <w:sz w:val="20"/>
        </w:rPr>
      </w:pPr>
      <w:r w:rsidRPr="00896D4F">
        <w:t>Marianne Aldén har i denna del anfört bl.a. följande.</w:t>
      </w:r>
    </w:p>
    <w:p w:rsidR="009C1C5A" w:rsidRPr="00896D4F" w:rsidRDefault="009C1C5A">
      <w:pPr>
        <w:pStyle w:val="Citat"/>
        <w:rPr>
          <w:sz w:val="20"/>
        </w:rPr>
      </w:pPr>
      <w:r w:rsidRPr="00896D4F">
        <w:t>Att bedriva en förundersökning på en klass-1-anstalt har visat sig vara att bedriva en utredning i den mest extremt svårutredda miljö det går att tänka sig. Anstaltsmiljön är ett samhälle i samhället med egna normer och regler de intagna emellan. En huvudregel är att inte tala med polisen. Väl känt är att det inom anstalten sker bestraffning intagna emellan vid överträdelse av ”reglerna”.</w:t>
      </w:r>
    </w:p>
    <w:p w:rsidR="009C1C5A" w:rsidRPr="00896D4F" w:rsidRDefault="009C1C5A">
      <w:pPr>
        <w:rPr>
          <w:sz w:val="20"/>
        </w:rPr>
      </w:pPr>
      <w:r w:rsidRPr="00896D4F">
        <w:rPr>
          <w:sz w:val="20"/>
        </w:rPr>
        <w:t>– – –</w:t>
      </w:r>
    </w:p>
    <w:p w:rsidR="009C1C5A" w:rsidRPr="00896D4F" w:rsidRDefault="009C1C5A">
      <w:pPr>
        <w:pStyle w:val="Citat"/>
        <w:rPr>
          <w:sz w:val="20"/>
        </w:rPr>
      </w:pPr>
      <w:r w:rsidRPr="00896D4F">
        <w:t>I en utredning av detta slag är det även så att det förekommer en hel del up</w:t>
      </w:r>
      <w:r w:rsidRPr="00896D4F">
        <w:t>p</w:t>
      </w:r>
      <w:r w:rsidRPr="00896D4F">
        <w:t>gifter utom förhör. Talar en intagen är steget långt till att han talar i förhör</w:t>
      </w:r>
      <w:r w:rsidRPr="00896D4F">
        <w:t>s</w:t>
      </w:r>
      <w:r w:rsidRPr="00896D4F">
        <w:t>form. Även uppgifter utom förhör har ett värde och för åklagaren kan dessa uppgifter tas fram genom förhör med vederbörande förhörsledare. Sådana uppgifter, liksom allt annat som förekommer av betydelse för utredningen, skall dokumenteras. Vanligt är härvid att polisen i en promemoria dokume</w:t>
      </w:r>
      <w:r w:rsidRPr="00896D4F">
        <w:t>n</w:t>
      </w:r>
      <w:r w:rsidRPr="00896D4F">
        <w:t>terar vad man fått vetskap om. I aktuell utredning har ett antal sådana uppgi</w:t>
      </w:r>
      <w:r w:rsidRPr="00896D4F">
        <w:t>f</w:t>
      </w:r>
      <w:r w:rsidRPr="00896D4F">
        <w:t>ter framkommit.</w:t>
      </w:r>
    </w:p>
    <w:p w:rsidR="009C1C5A" w:rsidRPr="00896D4F" w:rsidRDefault="009C1C5A">
      <w:pPr>
        <w:pStyle w:val="Citatindrag"/>
        <w:rPr>
          <w:sz w:val="20"/>
        </w:rPr>
      </w:pPr>
      <w:r w:rsidRPr="00896D4F">
        <w:t>Vad avser den person som har hörts vid en b</w:t>
      </w:r>
      <w:r w:rsidRPr="00896D4F">
        <w:t>evisupptagning, så hade pol</w:t>
      </w:r>
      <w:r w:rsidRPr="00896D4F">
        <w:t>i</w:t>
      </w:r>
      <w:r w:rsidRPr="00896D4F">
        <w:t>sen av personal på en anstalt fått vetskap om att denna person med stor sa</w:t>
      </w:r>
      <w:r w:rsidRPr="00896D4F">
        <w:t>n</w:t>
      </w:r>
      <w:r w:rsidRPr="00896D4F">
        <w:t>nolikhet hade sett hela händelsen och att han ville berätta detta, men inte vågade på grund av rädsla för repressalier. Polis tog kontakt med honom och besökte honom på den anstalt där han nu vistades. Man fick klart för sig att han sett sådant som kunde ha stor betydelse för utredningen. Mer än ett besök skedde och vid det sista besöket var jag som åklagare närvarande på hans begäran. Han ställde frågor t</w:t>
      </w:r>
      <w:r w:rsidRPr="00896D4F">
        <w:t>ill mig om utrednings- och rättegångsförfarandet. Efter redogörelse från mig om reglerna som gäller för en rättegång och fra</w:t>
      </w:r>
      <w:r w:rsidRPr="00896D4F">
        <w:t>m</w:t>
      </w:r>
      <w:r w:rsidRPr="00896D4F">
        <w:t>förallt om omedelbarhetsprincipen och muntlighetsprincipen, uppger han att han är villig att vid ett tillfälle och inför domare berätta vad han sett. Detta samtal om rättegångsförfarandet kan näppeligen ses som ett förhör och har inte heller dokumenterats som ett sådant. När jag därefter och samma kväll kontaktade domstolen inför en kommande bevisupptagning hade denna pe</w:t>
      </w:r>
      <w:r w:rsidRPr="00896D4F">
        <w:t>r</w:t>
      </w:r>
      <w:r w:rsidRPr="00896D4F">
        <w:t>son således i</w:t>
      </w:r>
      <w:r w:rsidRPr="00896D4F">
        <w:t>nte berättat för vare sig mig eller polis vad han sett, bara att han var där och visste vad som hänt. Besöken och samtalen har dokumenterats, men förhör har hä</w:t>
      </w:r>
      <w:r w:rsidRPr="00896D4F">
        <w:t>r</w:t>
      </w:r>
      <w:r w:rsidRPr="00896D4F">
        <w:t>vid ej skett.</w:t>
      </w:r>
    </w:p>
    <w:p w:rsidR="009C1C5A" w:rsidRPr="00896D4F" w:rsidRDefault="009C1C5A">
      <w:pPr>
        <w:pStyle w:val="Citatindrag"/>
        <w:rPr>
          <w:sz w:val="20"/>
        </w:rPr>
      </w:pPr>
      <w:r w:rsidRPr="00896D4F">
        <w:t>Ytterligare ett krav från personens sida var att han, efter att han berättat, inte skulle behöva komma tillbaka till anstalt. En avvisning var förestående och flygresa var bokad. Med kort rådrum skulle en bevisupptagning kunna ske och efter denna skulle vittnet omedelbart sättas på ett flyg för omedelbar resa utanför vårt lands gränser.</w:t>
      </w:r>
      <w:r w:rsidRPr="00896D4F">
        <w:t xml:space="preserve"> Stora säkerhetsarrangemang vidtogs, framfö</w:t>
      </w:r>
      <w:r w:rsidRPr="00896D4F">
        <w:t>r</w:t>
      </w:r>
      <w:r w:rsidRPr="00896D4F">
        <w:t>allt så att ingen på anstalten skulle få någon ind</w:t>
      </w:r>
      <w:r w:rsidRPr="00896D4F">
        <w:t>i</w:t>
      </w:r>
      <w:r w:rsidRPr="00896D4F">
        <w:t>kation på vad som planerades.</w:t>
      </w:r>
    </w:p>
    <w:p w:rsidR="009C1C5A" w:rsidRPr="00896D4F" w:rsidRDefault="009C1C5A">
      <w:pPr>
        <w:pStyle w:val="Citatindrag"/>
        <w:rPr>
          <w:sz w:val="20"/>
        </w:rPr>
      </w:pPr>
      <w:r w:rsidRPr="00896D4F">
        <w:t>Aktuell morgon var det ändock osäkert om han fortfarande var beredd att sätta sig i polisens fordon för transport till domstolen. Personen anlände dock till domstolen och under transporten hade man på hans begäran ordnat fram en engelskspråkig tolk, för att inte hans hemlands språk skulle avslöjas. Ho</w:t>
      </w:r>
      <w:r w:rsidRPr="00896D4F">
        <w:t>t</w:t>
      </w:r>
      <w:r w:rsidRPr="00896D4F">
        <w:t>bilden för personen bedömdes som mycket stor, inte bara för att han var en intagen utan även av andra orsaker, vilka har måst sekretessbeläggas. Jag hade uppgivit för personen att jag och polisen skulle företaga alla åtgärder som var möjliga för oss för att skydda honom och även att hans identitet inte skulle avslöjas. Inför domstolen kom vi fram till den lösningen att han skulle få avlägga ed inför domare, polis och åklagare i sitt rätta namn, men att na</w:t>
      </w:r>
      <w:r w:rsidRPr="00896D4F">
        <w:t>m</w:t>
      </w:r>
      <w:r w:rsidRPr="00896D4F">
        <w:t>net sedan under förhöret inte skulle avslöjas inför</w:t>
      </w:r>
      <w:r w:rsidRPr="00896D4F">
        <w:t xml:space="preserve"> den misstänkte och hans försvarare. Under dessa villkor var han villig att inför domaren och i närvaro av de misstänktas advokater berätta vad han sett. En bevisupptagning kom till stånd och han avlade en fullständig berättelse om vad som skett. Han berätt</w:t>
      </w:r>
      <w:r w:rsidRPr="00896D4F">
        <w:t>a</w:t>
      </w:r>
      <w:r w:rsidRPr="00896D4F">
        <w:t>de att han sett hela händelseförloppet och redogjorde i detalj om vad som skett. Advokaterna fick tillfälle att ställa frågor. Att notera är att ingen av advokaterna ställde någon fråga om vad han hette, vem han var, var han kom ifrån eller över huvud nå</w:t>
      </w:r>
      <w:r w:rsidRPr="00896D4F">
        <w:t>gon fråga som hade kunnat avslöja hans identitet. Samtliga närvarande var både överraskade och tagna av att han under dödshot lämnade en så utförlig redogörelse.</w:t>
      </w:r>
    </w:p>
    <w:p w:rsidR="009C1C5A" w:rsidRPr="00896D4F" w:rsidRDefault="009C1C5A">
      <w:pPr>
        <w:rPr>
          <w:sz w:val="20"/>
        </w:rPr>
      </w:pPr>
      <w:r w:rsidRPr="00896D4F">
        <w:rPr>
          <w:sz w:val="20"/>
        </w:rPr>
        <w:t>– – –</w:t>
      </w:r>
    </w:p>
    <w:p w:rsidR="009C1C5A" w:rsidRPr="00896D4F" w:rsidRDefault="009C1C5A">
      <w:pPr>
        <w:pStyle w:val="Citat"/>
        <w:rPr>
          <w:sz w:val="20"/>
        </w:rPr>
      </w:pPr>
      <w:r w:rsidRPr="00896D4F">
        <w:t>Tingsrätten förklarade de tre häktade såsom på sannolika skäl misstänkta för mord. J.A. överklagade häktningen. Hovrätten frigav J.A. med motivering att de ansåg att vittnesförhöret inte kunde utgöra grund för sannolika skäl efte</w:t>
      </w:r>
      <w:r w:rsidRPr="00896D4F">
        <w:t>r</w:t>
      </w:r>
      <w:r w:rsidRPr="00896D4F">
        <w:t>som förhöret skett utan att de misstänkta fått reda på vit</w:t>
      </w:r>
      <w:r w:rsidRPr="00896D4F">
        <w:t>t</w:t>
      </w:r>
      <w:r w:rsidRPr="00896D4F">
        <w:t>nets namn.</w:t>
      </w:r>
    </w:p>
    <w:p w:rsidR="009C1C5A" w:rsidRPr="00896D4F" w:rsidRDefault="009C1C5A">
      <w:pPr>
        <w:pStyle w:val="Citatindrag"/>
        <w:rPr>
          <w:sz w:val="20"/>
        </w:rPr>
      </w:pPr>
      <w:r w:rsidRPr="00896D4F">
        <w:t>Hovrätten anför härvid att anonyma vittnen ej är tillåtet enligt svensk rätt. Frånsett vad som är förenligt med Europakonventionen är det riktigt att i svensk rätt finns inte något lagstadgande som tillåter vittnesförhör med an</w:t>
      </w:r>
      <w:r w:rsidRPr="00896D4F">
        <w:t>o</w:t>
      </w:r>
      <w:r w:rsidRPr="00896D4F">
        <w:t>nymt vittne. Uppfattningen att anonymt vittne ej är tillåtet enligt svensk lag vilar å andra sidan och enligt min uppfattning på reglerna i rättegångsbalken 23 kap. 18 §, om att misstänkt har rätt att ta del av vad som förekommit i utredningen. Innan så skett får åtal ej ske. I förvarande fall hölls förhör inför domare för att säkra bevisvärdet inför en förestående avvisning. I normala fall hålls förhör under utredningen inför polis, och jag kan inte se att jag i förev</w:t>
      </w:r>
      <w:r w:rsidRPr="00896D4F">
        <w:t>a</w:t>
      </w:r>
      <w:r w:rsidRPr="00896D4F">
        <w:t>rande fall skulle vara sämre ställd f</w:t>
      </w:r>
      <w:r w:rsidRPr="00896D4F">
        <w:t>ör att förhöret hållits inför domaren med de misstänktas advokater närvarande. Vid en häktningsförhandling och om förhöret hållits inför polis hade åklagaren inte behövt tala om vittnets namn för att sannolika skäl till misstanke om brott skulle föreligga. Det är tvärtom vanligt förekommande att åklagaren inte uppger vittnets namn i en häktning</w:t>
      </w:r>
      <w:r w:rsidRPr="00896D4F">
        <w:t>s</w:t>
      </w:r>
      <w:r w:rsidRPr="00896D4F">
        <w:t>förhandling. I det fall vi i aktuell utredning kommer fram till beslut om åtal har jag att iakttaga 23 kap. 18 §. I ett sådant läge skulle jag enligt de regler som g</w:t>
      </w:r>
      <w:r w:rsidRPr="00896D4F">
        <w:t>äller i svensk rätt enligt min uppfattning inte kunna undanhålla den misstänkte identiteten på ett vittne. Vår person var också medveten om detta och menade att det då skulle bli känt vilka de övriga i lokalen var och därmed var det lätt att också förstå vem han var. Om vi i utredningen inte skulle nå fram till åtal, är det min alldeles klara uppfattning att jag i förevarande fall kan skydda mitt vittnes identitet. Avgörande har således varit att förhöret inför domstolen har skett under förundersökningen. R</w:t>
      </w:r>
      <w:r w:rsidRPr="00896D4F">
        <w:t>eglerna i rättegångsba</w:t>
      </w:r>
      <w:r w:rsidRPr="00896D4F">
        <w:t>l</w:t>
      </w:r>
      <w:r w:rsidRPr="00896D4F">
        <w:t>ken har följts vad gäller förhör vid domstol, med bland annat att vittnet har avlagt ed i sitt namn och att part haft möjlighet att följa förhöret och också ställa frågor.</w:t>
      </w:r>
    </w:p>
    <w:p w:rsidR="009C1C5A" w:rsidRPr="00896D4F" w:rsidRDefault="009C1C5A">
      <w:r w:rsidRPr="00896D4F">
        <w:t>Marianne Aldén har sedan lämnat vissa kompletterande uppgifter av innebörd att besöken hos det ”anonyma” vittnet hade dokumenterats genom att utre</w:t>
      </w:r>
      <w:r w:rsidRPr="00896D4F">
        <w:t>d</w:t>
      </w:r>
      <w:r w:rsidRPr="00896D4F">
        <w:t xml:space="preserve">ningsmännen upprättat en promemoria om de kontakter som förevarit. Något förhör kom däremot inte till stånd. </w:t>
      </w:r>
    </w:p>
    <w:p w:rsidR="009C1C5A" w:rsidRPr="00896D4F" w:rsidRDefault="009C1C5A">
      <w:pPr>
        <w:rPr>
          <w:sz w:val="20"/>
        </w:rPr>
      </w:pPr>
      <w:r w:rsidRPr="00896D4F">
        <w:t>Åklagarmyndigheten har i denna del anfört bl.a. följande.</w:t>
      </w:r>
    </w:p>
    <w:p w:rsidR="009C1C5A" w:rsidRPr="00896D4F" w:rsidRDefault="009C1C5A">
      <w:pPr>
        <w:pStyle w:val="Citat"/>
      </w:pPr>
      <w:r w:rsidRPr="00896D4F">
        <w:t>Av begäran om bevisupptagning framgår inte om denna grundades på b</w:t>
      </w:r>
      <w:r w:rsidRPr="00896D4F">
        <w:t>e</w:t>
      </w:r>
      <w:r w:rsidRPr="00896D4F">
        <w:t>stämmelsen i 23 kap. 13 § eller 23 kap. 15 § RB. I tingsrättens protokoll den 4 september 1998 anges emellertid att fråga var om bevisupptagning enligt 23 kap. 15 § RB.</w:t>
      </w:r>
    </w:p>
    <w:p w:rsidR="009C1C5A" w:rsidRPr="00896D4F" w:rsidRDefault="009C1C5A">
      <w:r w:rsidRPr="00896D4F">
        <w:t>Dokumentation, som Bergfeldt efterfrågat, föreligger i utredningen.</w:t>
      </w:r>
    </w:p>
    <w:p w:rsidR="009C1C5A" w:rsidRPr="00896D4F" w:rsidRDefault="009C1C5A">
      <w:pPr>
        <w:pStyle w:val="Citat"/>
        <w:rPr>
          <w:sz w:val="20"/>
        </w:rPr>
      </w:pPr>
      <w:r w:rsidRPr="00896D4F">
        <w:t>Det är mot bakgrund av vad som ovan under rättslig reglering sagts av stor vikt att en korrekt och skyndsam dokumentation sker under förundersöknin</w:t>
      </w:r>
      <w:r w:rsidRPr="00896D4F">
        <w:t>g</w:t>
      </w:r>
      <w:r w:rsidRPr="00896D4F">
        <w:t>en och att den ger en riktig bild av vad som förekommit. För att en försvarare på ett tillfreds</w:t>
      </w:r>
      <w:r w:rsidRPr="00896D4F">
        <w:softHyphen/>
        <w:t>ställande sätt skall kunna iaktta sin klients rätt vid en bevisup</w:t>
      </w:r>
      <w:r w:rsidRPr="00896D4F">
        <w:t>p</w:t>
      </w:r>
      <w:r w:rsidRPr="00896D4F">
        <w:t>tagning är det av vikt att försvararen får del av det material eller de uppgifter, som ligger till grund för bevisupptagningen, om detta kan ske utan men för utredningen. Frågan om ett sådant utlämnande till försvararna var till men för utredningen i förevarande fall är i viss mån en bedömningsfråga, varvid mö</w:t>
      </w:r>
      <w:r w:rsidRPr="00896D4F">
        <w:t>j</w:t>
      </w:r>
      <w:r w:rsidRPr="00896D4F">
        <w:t>ligheter att förordna om sekretess ha</w:t>
      </w:r>
      <w:r w:rsidRPr="00896D4F">
        <w:t>r bet</w:t>
      </w:r>
      <w:r w:rsidRPr="00896D4F">
        <w:t>y</w:t>
      </w:r>
      <w:r w:rsidRPr="00896D4F">
        <w:t>delse.</w:t>
      </w:r>
    </w:p>
    <w:p w:rsidR="009C1C5A" w:rsidRPr="00896D4F" w:rsidRDefault="009C1C5A">
      <w:pPr>
        <w:pStyle w:val="Citatindrag"/>
        <w:rPr>
          <w:sz w:val="20"/>
        </w:rPr>
      </w:pPr>
      <w:r w:rsidRPr="00896D4F">
        <w:t>Enligt min uppfattning hade, med beaktande av de sekretessmöjligheter som förelegat, utrymme funnits för att närmare ange grunden för bevisup</w:t>
      </w:r>
      <w:r w:rsidRPr="00896D4F">
        <w:t>p</w:t>
      </w:r>
      <w:r w:rsidRPr="00896D4F">
        <w:t>tagningen och också att närmare ange vilken dokumentation som förelegat och översiktligt redovisa innehållet däri.</w:t>
      </w:r>
    </w:p>
    <w:p w:rsidR="009C1C5A" w:rsidRPr="00896D4F" w:rsidRDefault="009C1C5A">
      <w:pPr>
        <w:rPr>
          <w:sz w:val="20"/>
        </w:rPr>
      </w:pPr>
      <w:r w:rsidRPr="00896D4F">
        <w:t>Beträffande handläggningen vid tingsrätten har Jan Warén anfört följande.</w:t>
      </w:r>
    </w:p>
    <w:p w:rsidR="009C1C5A" w:rsidRPr="00896D4F" w:rsidRDefault="009C1C5A">
      <w:pPr>
        <w:pStyle w:val="Citat"/>
        <w:rPr>
          <w:sz w:val="20"/>
        </w:rPr>
      </w:pPr>
      <w:r w:rsidRPr="00896D4F">
        <w:t>Bitr. chefsåklagaren Marianne Aldén ringde upp mig i min bostad under on</w:t>
      </w:r>
      <w:r w:rsidRPr="00896D4F">
        <w:t>s</w:t>
      </w:r>
      <w:r w:rsidRPr="00896D4F">
        <w:t>dagskväl</w:t>
      </w:r>
      <w:r w:rsidRPr="00896D4F">
        <w:softHyphen/>
        <w:t>len den 2 september 1998. Hon meddelade att det fanns ett vittne till ett mord på Tida</w:t>
      </w:r>
      <w:r w:rsidRPr="00896D4F">
        <w:softHyphen/>
        <w:t>holmsanstalten, beträffande vilket förundersökning pågick, och att vittnet var beredd att inför domstol under ed berätta vad han hade sett. Anledningen till telefonsamtalet under kvällen var att vittnet, som själv avtj</w:t>
      </w:r>
      <w:r w:rsidRPr="00896D4F">
        <w:t>ä</w:t>
      </w:r>
      <w:r w:rsidRPr="00896D4F">
        <w:t xml:space="preserve">nade straff på Tidaholmsanstalten, skulle friges under kommande helg och därefter utvisas till ett avlägset beläget land. För att inte vittnets uppgifter, som bedömdes vara av väsentlig betydelse </w:t>
      </w:r>
      <w:r w:rsidRPr="00896D4F">
        <w:t>för utredningen, skulle gå förlor</w:t>
      </w:r>
      <w:r w:rsidRPr="00896D4F">
        <w:t>a</w:t>
      </w:r>
      <w:r w:rsidRPr="00896D4F">
        <w:t>de var det enligt åklagaren angeläget med en bevisupptagning under förunde</w:t>
      </w:r>
      <w:r w:rsidRPr="00896D4F">
        <w:t>r</w:t>
      </w:r>
      <w:r w:rsidRPr="00896D4F">
        <w:t>sökningen senast under fredagen den 4 september. Hon meddelade också att vittnet fruktade för sin säkerhet och därför endast var beredd att vittna om hans iden</w:t>
      </w:r>
      <w:r w:rsidRPr="00896D4F">
        <w:softHyphen/>
        <w:t>titet inte röjdes för de misstänkta och deras försvarare. Åklagaren uppgav vidare att hon inte slutligen hade bestämt sig för om hon skulle göra en framställning om be</w:t>
      </w:r>
      <w:r w:rsidRPr="00896D4F">
        <w:softHyphen/>
        <w:t>visupptagning och att hon skulle återkomma med slu</w:t>
      </w:r>
      <w:r w:rsidRPr="00896D4F">
        <w:t>t</w:t>
      </w:r>
      <w:r w:rsidRPr="00896D4F">
        <w:t>ligt besked under följan</w:t>
      </w:r>
      <w:r w:rsidRPr="00896D4F">
        <w:t>de dag.</w:t>
      </w:r>
    </w:p>
    <w:p w:rsidR="009C1C5A" w:rsidRPr="00896D4F" w:rsidRDefault="009C1C5A">
      <w:pPr>
        <w:pStyle w:val="Citatindrag"/>
        <w:rPr>
          <w:sz w:val="20"/>
        </w:rPr>
      </w:pPr>
      <w:r w:rsidRPr="00896D4F">
        <w:t>Efter lunch dagen därpå, den 3 september, inkom en formell begäran till tingsrätten om bevisupptagning under förundersökningen. Möjligheten att närmare överväga de frågor som framställningen reste – framför allt frågorna om vittnets identitet och de misstänktas närvaro vid bevisupptagningen – var mycket begränsad med hänsyn till den korta tid som stod till buds.</w:t>
      </w:r>
    </w:p>
    <w:p w:rsidR="009C1C5A" w:rsidRPr="00896D4F" w:rsidRDefault="009C1C5A">
      <w:pPr>
        <w:pStyle w:val="Citatindrag"/>
        <w:rPr>
          <w:sz w:val="20"/>
        </w:rPr>
      </w:pPr>
      <w:r w:rsidRPr="00896D4F">
        <w:t>Som framgår av tingsrättens beslut under bevisupptagningen – – – och sv</w:t>
      </w:r>
      <w:r w:rsidRPr="00896D4F">
        <w:t>a</w:t>
      </w:r>
      <w:r w:rsidRPr="00896D4F">
        <w:t>ret till Staffan Bergfeldt kunde jag konstatera att Europadomstolen i några fall till</w:t>
      </w:r>
      <w:r w:rsidRPr="00896D4F">
        <w:softHyphen/>
        <w:t>åtit användningen av anonyma vittnen, dock endast under förutsättning att vissa vill</w:t>
      </w:r>
      <w:r w:rsidRPr="00896D4F">
        <w:softHyphen/>
        <w:t>kor är uppfyllda (jfr SOU 1998:40 sid. 325 f). Dessa villkor anges vara att vittnets liv eller personliga frihet och säkerhet är i fara, att den tillt</w:t>
      </w:r>
      <w:r w:rsidRPr="00896D4F">
        <w:t>a</w:t>
      </w:r>
      <w:r w:rsidRPr="00896D4F">
        <w:t>lades försvarare har fått till</w:t>
      </w:r>
      <w:r w:rsidRPr="00896D4F">
        <w:softHyphen/>
        <w:t>fälle att ställa frågor till vittnet samt att en fällande dom inte grundas enbart eller ens väsentligen på uppgifter som lämnats av ett anonymt vittne. Efters</w:t>
      </w:r>
      <w:r w:rsidRPr="00896D4F">
        <w:t>om det var fråga om en bevisupptagning under föru</w:t>
      </w:r>
      <w:r w:rsidRPr="00896D4F">
        <w:t>n</w:t>
      </w:r>
      <w:r w:rsidRPr="00896D4F">
        <w:t>dersökningen var det endast de två första av dessa vill</w:t>
      </w:r>
      <w:r w:rsidRPr="00896D4F">
        <w:softHyphen/>
        <w:t>kor som var aktuella. Utifrån åklagarens uppgifter och brottets art – mord på en krimi</w:t>
      </w:r>
      <w:r w:rsidRPr="00896D4F">
        <w:softHyphen/>
        <w:t>nalvårdsanstalt – ansåg jag att det första villkoret om vittnets säkerhet var uppfyllt. Det andra villkoret skulle också uppfyllas genom att de misstänktas försvarare kallades till bevisupptagningen. Då jag härutöver inte kunde finna att det enligt svensk rätt finns något legalt förbud mot att under förundersö</w:t>
      </w:r>
      <w:r w:rsidRPr="00896D4F">
        <w:t>k</w:t>
      </w:r>
      <w:r w:rsidRPr="00896D4F">
        <w:t xml:space="preserve">ningen </w:t>
      </w:r>
      <w:r w:rsidRPr="00896D4F">
        <w:t>ta upp bevis på det sätt som åkla</w:t>
      </w:r>
      <w:r w:rsidRPr="00896D4F">
        <w:softHyphen/>
        <w:t>garen önskade – jämför bestämmelsen i 23 kap. 18 § 1 st andra meningen rättegångs</w:t>
      </w:r>
      <w:r w:rsidRPr="00896D4F">
        <w:softHyphen/>
        <w:t>balken – beslutade jag mig för att låta kalla till bevisupptagning i enlighet med åklaga</w:t>
      </w:r>
      <w:r w:rsidRPr="00896D4F">
        <w:softHyphen/>
        <w:t>rens framställning. Eftersom tiden inte medgav skriftliga kallelser kontaktades de tre försvararna per telefon från tingsrättens kansli och kallades till bevisupptagning dagen därpå.</w:t>
      </w:r>
    </w:p>
    <w:p w:rsidR="009C1C5A" w:rsidRPr="00896D4F" w:rsidRDefault="009C1C5A">
      <w:pPr>
        <w:pStyle w:val="Citatindrag"/>
      </w:pPr>
      <w:r w:rsidRPr="00896D4F">
        <w:t>Vad gäller frågan om de tre misstänktas närvaro vid bevisupptagningen hade åklaga</w:t>
      </w:r>
      <w:r w:rsidRPr="00896D4F">
        <w:softHyphen/>
        <w:t>ren upplyst att två av dem avtjänade längre fängelsestraff medan den tredje var frigi</w:t>
      </w:r>
      <w:r w:rsidRPr="00896D4F">
        <w:softHyphen/>
        <w:t>ven efter att ha avtjänat det straff han ådömts. Eftersom bevisupptagningen inte kunde ske senare än påföljande dag bedömde jag att det skulle vara förenat med stora svårig</w:t>
      </w:r>
      <w:r w:rsidRPr="00896D4F">
        <w:softHyphen/>
        <w:t xml:space="preserve">heter att få de misstänkta inställda till bevisupptagningen. Att föranstalta om inställelse av de två som avtjänade fängelsestraff skulle krävt en omfattande säkerhetsinsats och att få tag på den tredje, som var på fri fot, torde inte ha varit möjligt </w:t>
      </w:r>
      <w:r w:rsidRPr="00896D4F">
        <w:t>med den korta tid som stod till buds. Enligt 23 kap. 15 § jämförd med 35 kap. 9 § rättegångsbalken skall parterna kallas, då bevis skall upptas utom huvudförhandling. Även om kallelse inte torde kunna underlåtas finns dock enligt den sistnämnda b</w:t>
      </w:r>
      <w:r w:rsidRPr="00896D4F">
        <w:t>e</w:t>
      </w:r>
      <w:r w:rsidRPr="00896D4F">
        <w:t>stämmelsen möjlighet att uppta beviset, även om parten uteblir. I det extrao</w:t>
      </w:r>
      <w:r w:rsidRPr="00896D4F">
        <w:t>r</w:t>
      </w:r>
      <w:r w:rsidRPr="00896D4F">
        <w:t>dinära läge som förelåg ansåg jag, mot bakgrund bl.a. av den praxis från E</w:t>
      </w:r>
      <w:r w:rsidRPr="00896D4F">
        <w:t>u</w:t>
      </w:r>
      <w:r w:rsidRPr="00896D4F">
        <w:t>ropadomstolen som redovisats ovan, som till</w:t>
      </w:r>
      <w:r w:rsidRPr="00896D4F">
        <w:softHyphen/>
        <w:t>räckligt att försvararna var närv</w:t>
      </w:r>
      <w:r w:rsidRPr="00896D4F">
        <w:t>a</w:t>
      </w:r>
      <w:r w:rsidRPr="00896D4F">
        <w:t>rande vid bevisupptagningen och fic</w:t>
      </w:r>
      <w:r w:rsidRPr="00896D4F">
        <w:t>k tillfälle att ställa frågor till vittnet. N</w:t>
      </w:r>
      <w:r w:rsidRPr="00896D4F">
        <w:t>å</w:t>
      </w:r>
      <w:r w:rsidRPr="00896D4F">
        <w:t>gon kallelse eller begäran om inställelse utfärdades därför inte beträffande de tre misstänkta.</w:t>
      </w:r>
    </w:p>
    <w:p w:rsidR="009C1C5A" w:rsidRPr="00896D4F" w:rsidRDefault="009C1C5A">
      <w:pPr>
        <w:pStyle w:val="Citatindrag"/>
        <w:rPr>
          <w:sz w:val="20"/>
        </w:rPr>
      </w:pPr>
      <w:r w:rsidRPr="00896D4F">
        <w:t>De bedömningar som gjordes inför kallelserna till bevisupptagningen var endast av förberedande eller preliminärt slag. För att försvararna skulle få tillfälle att framställa eventuella erinringar mot formerna för bevisuppta</w:t>
      </w:r>
      <w:r w:rsidRPr="00896D4F">
        <w:t>g</w:t>
      </w:r>
      <w:r w:rsidRPr="00896D4F">
        <w:t>ningen såg jag det som angeläget att åklagaren inledde sammanträdet med en noggrannare redogörelse för skälen till hennes framställning och önskemålet om skydd av vittnets identitet. Som framgår av protokollet skedde så också, varvid åklagaren bl.a. uppgav att frågan om vittnets iden</w:t>
      </w:r>
      <w:r w:rsidRPr="00896D4F">
        <w:softHyphen/>
        <w:t>titet kom i ett annat läge om vittnesmålet skulle komma att åberopas vid en kommande huvudfö</w:t>
      </w:r>
      <w:r w:rsidRPr="00896D4F">
        <w:t>r</w:t>
      </w:r>
      <w:r w:rsidRPr="00896D4F">
        <w:t>handling. Som vidare framgår av protokollet fick försvararna därefter tillfälle att framföra synpunkter, varefter tingsrätten fattade</w:t>
      </w:r>
      <w:r w:rsidRPr="00896D4F">
        <w:t xml:space="preserve"> ett formellt beslut om att tillåta bevisupptagningen under de fo</w:t>
      </w:r>
      <w:r w:rsidRPr="00896D4F">
        <w:t>r</w:t>
      </w:r>
      <w:r w:rsidRPr="00896D4F">
        <w:t>mer som åklagaren önskat.</w:t>
      </w:r>
    </w:p>
    <w:p w:rsidR="009C1C5A" w:rsidRPr="00896D4F" w:rsidRDefault="009C1C5A">
      <w:pPr>
        <w:pStyle w:val="Citatindrag"/>
        <w:rPr>
          <w:sz w:val="20"/>
        </w:rPr>
      </w:pPr>
      <w:r w:rsidRPr="00896D4F">
        <w:t>Det aktuella målet är lottat på rotel 1, som innehas av lagmannen. Bl.a. med hänsyn till formerna för den bevisupptagning som skett ansåg jag att en annan domare skulle handlägga de häktningsframställningar mot de tre mis</w:t>
      </w:r>
      <w:r w:rsidRPr="00896D4F">
        <w:t>s</w:t>
      </w:r>
      <w:r w:rsidRPr="00896D4F">
        <w:t>tänkta, som sedermera kom in. Skälet härtill var att en helt fristående bedö</w:t>
      </w:r>
      <w:r w:rsidRPr="00896D4F">
        <w:t>m</w:t>
      </w:r>
      <w:r w:rsidRPr="00896D4F">
        <w:t>ning skulle kunna göras vad gällde såväl formerna för bevisupptagningen som bevisvärdet av de uppgifter som kommit fram vid denna. Carl Olof Nilsson Öhrnell, som innehar den andra roteln vid tingsrätten, kom därför att han</w:t>
      </w:r>
      <w:r w:rsidRPr="00896D4F">
        <w:t>d</w:t>
      </w:r>
      <w:r w:rsidRPr="00896D4F">
        <w:t>lägga häktningsförhandlingarna.</w:t>
      </w:r>
    </w:p>
    <w:p w:rsidR="009C1C5A" w:rsidRPr="00896D4F" w:rsidRDefault="009C1C5A">
      <w:pPr>
        <w:pStyle w:val="Citatindrag"/>
      </w:pPr>
      <w:r w:rsidRPr="00896D4F">
        <w:t>Oavsett tillåtligheten vid en huvudförhandling av ett vittne som är an</w:t>
      </w:r>
      <w:r w:rsidRPr="00896D4F">
        <w:t>o</w:t>
      </w:r>
      <w:r w:rsidRPr="00896D4F">
        <w:t>nymt för den tilltalade och hans försvarare avsåg det förhör som hölls en bevisupptagning under förundersökningen jämlikt 23 kap. 15 § rättegångsba</w:t>
      </w:r>
      <w:r w:rsidRPr="00896D4F">
        <w:t>l</w:t>
      </w:r>
      <w:r w:rsidRPr="00896D4F">
        <w:t>ken. När framställningen om be</w:t>
      </w:r>
      <w:r w:rsidRPr="00896D4F">
        <w:softHyphen/>
        <w:t>visupptagning kom in till tingsrätten var det fortfarande okänt om de uppgifter som kom fram vid förhöret skulle komma att åberopas i ett fortsatt rättsligt förfarande eller ej. Som framgår ovan hade för övrigt åklagaren antytt att frågan om vittnets identitet skulle komma i ett annat läge om uppgifterna åberopades vid en huvudför</w:t>
      </w:r>
      <w:r w:rsidRPr="00896D4F">
        <w:t>handling. Det fanns i detta läge därför inte anledning för tingsrätten att ta ställning till någon an</w:t>
      </w:r>
      <w:r w:rsidRPr="00896D4F">
        <w:softHyphen/>
        <w:t>nan fråga än om bevisupptagningen skulle tillåtas eller ej. Som framgår gjordes den bedömningen att det saknades grund för att inte tillmötesgå åklagarens framställning. En förutsättning för att uppgifterna över huvud taget skulle kunna komma till använd</w:t>
      </w:r>
      <w:r w:rsidRPr="00896D4F">
        <w:softHyphen/>
        <w:t>ning var dock att förhöret genomfördes med tillg</w:t>
      </w:r>
      <w:r w:rsidRPr="00896D4F">
        <w:t>o</w:t>
      </w:r>
      <w:r w:rsidRPr="00896D4F">
        <w:t>doseende av rimliga rättssäkerhets</w:t>
      </w:r>
      <w:r w:rsidRPr="00896D4F">
        <w:softHyphen/>
        <w:t>garantier. I enlighet med den praxis som kan utläsas från Europadomstol</w:t>
      </w:r>
      <w:r w:rsidRPr="00896D4F">
        <w:t>en anser jag att så var fallet. Att formerna för bevisupptagningen – vittnets identitet, den korta för</w:t>
      </w:r>
      <w:r w:rsidRPr="00896D4F">
        <w:softHyphen/>
        <w:t>beredelsetid försvararna fick till förfogande och frånvaron av de misstänkta under för</w:t>
      </w:r>
      <w:r w:rsidRPr="00896D4F">
        <w:softHyphen/>
        <w:t>höret – naturlig</w:t>
      </w:r>
      <w:r w:rsidRPr="00896D4F">
        <w:t>t</w:t>
      </w:r>
      <w:r w:rsidRPr="00896D4F">
        <w:t>vis förringar bevisvärdet fanns inte anledning för tingsrätten att beakta i sa</w:t>
      </w:r>
      <w:r w:rsidRPr="00896D4F">
        <w:t>m</w:t>
      </w:r>
      <w:r w:rsidRPr="00896D4F">
        <w:t>band med bevisupptagningen.</w:t>
      </w:r>
    </w:p>
    <w:p w:rsidR="009C1C5A" w:rsidRPr="00896D4F" w:rsidRDefault="009C1C5A">
      <w:pPr>
        <w:pStyle w:val="Rubrik3"/>
      </w:pPr>
      <w:r w:rsidRPr="00896D4F">
        <w:t>7.2 Rättslig reglering</w:t>
      </w:r>
    </w:p>
    <w:p w:rsidR="009C1C5A" w:rsidRPr="00896D4F" w:rsidRDefault="009C1C5A">
      <w:pPr>
        <w:pStyle w:val="Rubrik4"/>
        <w:spacing w:before="125"/>
        <w:rPr>
          <w:i w:val="0"/>
        </w:rPr>
      </w:pPr>
      <w:r w:rsidRPr="00896D4F">
        <w:t>7.2.1 Allmänt om förundersökning</w:t>
      </w:r>
    </w:p>
    <w:p w:rsidR="009C1C5A" w:rsidRPr="00896D4F" w:rsidRDefault="009C1C5A">
      <w:r w:rsidRPr="00896D4F">
        <w:t>De grundläggande reglerna om förundersökning finns i 23 kap. RB och fö</w:t>
      </w:r>
      <w:r w:rsidRPr="00896D4F">
        <w:t>r</w:t>
      </w:r>
      <w:r w:rsidRPr="00896D4F">
        <w:t>undersö</w:t>
      </w:r>
      <w:r w:rsidRPr="00896D4F">
        <w:t>k</w:t>
      </w:r>
      <w:r w:rsidRPr="00896D4F">
        <w:t xml:space="preserve">ningskungörelsen (1947:948) (FUK). </w:t>
      </w:r>
    </w:p>
    <w:p w:rsidR="009C1C5A" w:rsidRPr="00896D4F" w:rsidRDefault="009C1C5A">
      <w:pPr>
        <w:pStyle w:val="Normaltindrag"/>
      </w:pPr>
      <w:r w:rsidRPr="00896D4F">
        <w:t>För förundersökningar gäller enligt 23 kap. 4 § första stycket RB en o</w:t>
      </w:r>
      <w:r w:rsidRPr="00896D4F">
        <w:t>b</w:t>
      </w:r>
      <w:r w:rsidRPr="00896D4F">
        <w:t>jektivitetsprincip. Denna innebär att inte endast de omständigheter, som talar emot den misstänkte, utan även de som är gynnsamma för honom skall bea</w:t>
      </w:r>
      <w:r w:rsidRPr="00896D4F">
        <w:t>k</w:t>
      </w:r>
      <w:r w:rsidRPr="00896D4F">
        <w:t>tas och att bevis, som är till hans fö</w:t>
      </w:r>
      <w:r w:rsidRPr="00896D4F">
        <w:t>r</w:t>
      </w:r>
      <w:r w:rsidRPr="00896D4F">
        <w:t xml:space="preserve">mån, skall tillvaratas. </w:t>
      </w:r>
    </w:p>
    <w:p w:rsidR="009C1C5A" w:rsidRPr="00896D4F" w:rsidRDefault="009C1C5A">
      <w:pPr>
        <w:pStyle w:val="Normaltindrag"/>
      </w:pPr>
      <w:r w:rsidRPr="00896D4F">
        <w:t>Enligt 1 a § andra stycket FUK har undersökningsledaren ansvar för fö</w:t>
      </w:r>
      <w:r w:rsidRPr="00896D4F">
        <w:t>r</w:t>
      </w:r>
      <w:r w:rsidRPr="00896D4F">
        <w:t>undersökningen i dess helhet, och han skall bl.a. se till att den enskildes rätt</w:t>
      </w:r>
      <w:r w:rsidRPr="00896D4F">
        <w:t>s</w:t>
      </w:r>
      <w:r w:rsidRPr="00896D4F">
        <w:t xml:space="preserve">säkerhetsintressen tas till vara. </w:t>
      </w:r>
    </w:p>
    <w:p w:rsidR="009C1C5A" w:rsidRPr="00896D4F" w:rsidRDefault="009C1C5A">
      <w:pPr>
        <w:pStyle w:val="Normaltindrag"/>
      </w:pPr>
      <w:r w:rsidRPr="00896D4F">
        <w:t>Vid förundersökningen skall protokoll föras över vad som därvid för</w:t>
      </w:r>
      <w:r w:rsidRPr="00896D4F">
        <w:t>e</w:t>
      </w:r>
      <w:r w:rsidRPr="00896D4F">
        <w:t>kommit av betydelse för utredningen (23 kap. 21 § första stycket RB). I 20–25 §§ FUK finns närmare bestämmelser om protokoll och anteckningar vid förundersökning.</w:t>
      </w:r>
    </w:p>
    <w:p w:rsidR="009C1C5A" w:rsidRPr="00896D4F" w:rsidRDefault="009C1C5A">
      <w:pPr>
        <w:pStyle w:val="Rubrik5"/>
        <w:spacing w:before="250"/>
        <w:rPr>
          <w:i/>
        </w:rPr>
      </w:pPr>
      <w:r w:rsidRPr="00896D4F">
        <w:rPr>
          <w:i/>
        </w:rPr>
        <w:t>7.2.2 Den misstänktes och hans försvarares rätt till insyn</w:t>
      </w:r>
    </w:p>
    <w:p w:rsidR="009C1C5A" w:rsidRPr="00896D4F" w:rsidRDefault="009C1C5A">
      <w:r w:rsidRPr="00896D4F">
        <w:t>I rättegångsbalken finns ett antal bestämmelser om information till den mis</w:t>
      </w:r>
      <w:r w:rsidRPr="00896D4F">
        <w:t>s</w:t>
      </w:r>
      <w:r w:rsidRPr="00896D4F">
        <w:t>tänkte och hans försvarare som i olika hänseenden ger uttryck för en grun</w:t>
      </w:r>
      <w:r w:rsidRPr="00896D4F">
        <w:t>d</w:t>
      </w:r>
      <w:r w:rsidRPr="00896D4F">
        <w:t>läggande princip av innebörd att den som är part i ett mål inför allmän do</w:t>
      </w:r>
      <w:r w:rsidRPr="00896D4F">
        <w:t>m</w:t>
      </w:r>
      <w:r w:rsidRPr="00896D4F">
        <w:t>stol skall ha rätt att ta del av alla omständigheter som läggs till grund för avgörandet i målet.</w:t>
      </w:r>
    </w:p>
    <w:p w:rsidR="009C1C5A" w:rsidRPr="00896D4F" w:rsidRDefault="009C1C5A">
      <w:pPr>
        <w:pStyle w:val="Normaltindrag"/>
      </w:pPr>
      <w:r w:rsidRPr="00896D4F">
        <w:t>Den misstänkte och hans försvarare har sålunda rätt att fortlöpande, i den mån det kan ske utan men för utredningen, ta del av vad som har förekommit vid förundersökningen. De har vidare rätt att ange den utredning de anser önskvärd och i övrigt anföra vad de anse</w:t>
      </w:r>
      <w:r w:rsidRPr="00896D4F">
        <w:t>r nödvändigt. Underrättelse härom skall lämnas eller sändas till den misstänkte och hans försvarare, varvid sk</w:t>
      </w:r>
      <w:r w:rsidRPr="00896D4F">
        <w:t>ä</w:t>
      </w:r>
      <w:r w:rsidRPr="00896D4F">
        <w:t>ligt rådrum skall beredas dem, s.k. slutdelgivning. Åtal får inte beslutas innan detta har skett (23 kap. 18 § första stycket RB).</w:t>
      </w:r>
    </w:p>
    <w:p w:rsidR="009C1C5A" w:rsidRPr="00896D4F" w:rsidRDefault="009C1C5A">
      <w:pPr>
        <w:pStyle w:val="Normaltindrag"/>
      </w:pPr>
      <w:r w:rsidRPr="00896D4F">
        <w:t>Så snart åtal beslutats, har den misstänkte eller hans försvarare rätt att på begäran få en avskrift av protokoll eller anteckningar från förundersökningen. Har offentlig försvarare förordnats för den misstänkte, skall en avskrift utan särskild begäran lämnas eller sänd</w:t>
      </w:r>
      <w:r w:rsidRPr="00896D4F">
        <w:t>as till försvararen (23 kap. 21 § fjärde stycket RB).</w:t>
      </w:r>
    </w:p>
    <w:p w:rsidR="009C1C5A" w:rsidRPr="00896D4F" w:rsidRDefault="009C1C5A">
      <w:pPr>
        <w:pStyle w:val="Normaltindrag"/>
      </w:pPr>
      <w:r w:rsidRPr="00896D4F">
        <w:t>Vidare skall stämningsansökan och därvid fogade handlingar delges den tilltalade. Uppgift om målsägandes eller vittnens ålder, yrke och bostad</w:t>
      </w:r>
      <w:r w:rsidRPr="00896D4F">
        <w:t>s</w:t>
      </w:r>
      <w:r w:rsidRPr="00896D4F">
        <w:t>adress som saknar betydelse för åtalet skall inte framgå av de handlingar som delges (45 kap. 9 § andra stycket RB).</w:t>
      </w:r>
    </w:p>
    <w:p w:rsidR="009C1C5A" w:rsidRPr="00896D4F" w:rsidRDefault="009C1C5A">
      <w:pPr>
        <w:pStyle w:val="Normaltindrag"/>
        <w:rPr>
          <w:i/>
        </w:rPr>
      </w:pPr>
      <w:r w:rsidRPr="00896D4F">
        <w:t>Principen om rätten för en part vid allmän domstol att få del av alla o</w:t>
      </w:r>
      <w:r w:rsidRPr="00896D4F">
        <w:t>m</w:t>
      </w:r>
      <w:r w:rsidRPr="00896D4F">
        <w:t>ständigheter som läggs till grund för avgörandet av ett mål eller ärende ko</w:t>
      </w:r>
      <w:r w:rsidRPr="00896D4F">
        <w:t>m</w:t>
      </w:r>
      <w:r w:rsidRPr="00896D4F">
        <w:t>mer också till uttryck i 14 kap. 5 § sekretesslagen (1980:100) (SekrL), som reglerar förhållandet mellan lagens bestämmelser om sekretess och den rätt till partsinsyn i domstolars och andra myndigheters handläggning av mål och ärenden som kan finnas föreskriven på annat håll. Av paragrafens andra stycke framgår att sekretesslagens regelsystem över huvud taget inte kan åberopas mot parten i ett mål vid allmän domstol såvitt avser om</w:t>
      </w:r>
      <w:r w:rsidRPr="00896D4F">
        <w:t xml:space="preserve">ständigheter som läggs till grund för domstolens avgörande (se JO 1995/96 s. 46 f., SOU 1998:46 s. 90 f. och SOU 1999:53 s. 391 f.). </w:t>
      </w:r>
    </w:p>
    <w:p w:rsidR="009C1C5A" w:rsidRPr="00896D4F" w:rsidRDefault="009C1C5A">
      <w:pPr>
        <w:pStyle w:val="Rubrik5"/>
        <w:spacing w:before="250"/>
        <w:rPr>
          <w:i/>
        </w:rPr>
      </w:pPr>
      <w:r w:rsidRPr="00896D4F">
        <w:rPr>
          <w:i/>
        </w:rPr>
        <w:t xml:space="preserve">7.2.3 Förhör under förundersökningen och bevisupptagning utom huvudförhandling </w:t>
      </w:r>
    </w:p>
    <w:p w:rsidR="009C1C5A" w:rsidRPr="00896D4F" w:rsidRDefault="009C1C5A">
      <w:r w:rsidRPr="00896D4F">
        <w:t>Under förundersökningen får förhör hållas med envar som antas kunna lämna upply</w:t>
      </w:r>
      <w:r w:rsidRPr="00896D4F">
        <w:t>s</w:t>
      </w:r>
      <w:r w:rsidRPr="00896D4F">
        <w:t xml:space="preserve">ning av betydelse för utredningen (23 kap. 6 § RB). </w:t>
      </w:r>
    </w:p>
    <w:p w:rsidR="009C1C5A" w:rsidRPr="00896D4F" w:rsidRDefault="009C1C5A">
      <w:pPr>
        <w:pStyle w:val="Normaltindrag"/>
      </w:pPr>
      <w:r w:rsidRPr="00896D4F">
        <w:t xml:space="preserve">Om någon vid förhör vägrar att yttra sig angående en omständighet som är av vikt för utredningen och är han, om åtal väcks, skyldig att vittna i målet eller om det annars är av synnerlig vikt för utredningen att någon, som är skyldig att vittna i målet redan under förundersökningen hörs som vittne, får på undersökningsledarens begäran vittnesförhör med honom äga rum inför rätten (23 kap. 13 § första stycket RB). Ett sådant förhör får inte äga rum, innan </w:t>
      </w:r>
      <w:r w:rsidRPr="00896D4F">
        <w:t>förundersökningen fortskridit så långt, att någon skäligen kan misstä</w:t>
      </w:r>
      <w:r w:rsidRPr="00896D4F">
        <w:t>n</w:t>
      </w:r>
      <w:r w:rsidRPr="00896D4F">
        <w:t xml:space="preserve">kas för brottet. Om förhöret gäller i tillämpliga delar vad som föreskrivs om bevisupptagning utom huvudförhandling. Den misstänkte skall ges tillfälle att närvara vid förhöret (andra stycket). </w:t>
      </w:r>
    </w:p>
    <w:p w:rsidR="009C1C5A" w:rsidRPr="00896D4F" w:rsidRDefault="009C1C5A">
      <w:pPr>
        <w:pStyle w:val="Normaltindrag"/>
      </w:pPr>
      <w:r w:rsidRPr="00896D4F">
        <w:t>Om det är fara att ett bevis, som skall åberopas vid huvudförhandlingen, dessförinnan går förlorat eller då endast med svårighet kan föras, får på y</w:t>
      </w:r>
      <w:r w:rsidRPr="00896D4F">
        <w:t>r</w:t>
      </w:r>
      <w:r w:rsidRPr="00896D4F">
        <w:t>kande av undersökningsledaren eller den misstänkte rätten genast ta upp bev</w:t>
      </w:r>
      <w:r w:rsidRPr="00896D4F">
        <w:t>i</w:t>
      </w:r>
      <w:r w:rsidRPr="00896D4F">
        <w:t xml:space="preserve">set. Om beviset gäller i tillämpliga delar vad som är föreskrivet om bevis, som tas upp utom huvudförhandling (23 kap. 15 § RB). </w:t>
      </w:r>
    </w:p>
    <w:p w:rsidR="009C1C5A" w:rsidRPr="00896D4F" w:rsidRDefault="009C1C5A">
      <w:pPr>
        <w:pStyle w:val="Normaltindrag"/>
      </w:pPr>
      <w:r w:rsidRPr="00896D4F">
        <w:t>Bestämmelser om bevisning i allmänhet finns i 35 kap. RB. Huvudregeln är att bevisning skall tas upp vid huvudförhandling. Under vissa närmare angivna förutsättningar får emellertid bevisupptagning ske utom huvudfö</w:t>
      </w:r>
      <w:r w:rsidRPr="00896D4F">
        <w:t>r</w:t>
      </w:r>
      <w:r w:rsidRPr="00896D4F">
        <w:t>handling. Till en sådan bevisupptagning skall parterna kallas. Om den tilltal</w:t>
      </w:r>
      <w:r w:rsidRPr="00896D4F">
        <w:t>a</w:t>
      </w:r>
      <w:r w:rsidRPr="00896D4F">
        <w:t>de är anhållen eller häktad och hans närvaro finns erforderlig, skall rätten förordna om hans inställande. Om parten uteblir får beviset emellertid ändå tas upp (9 §).</w:t>
      </w:r>
    </w:p>
    <w:p w:rsidR="009C1C5A" w:rsidRPr="00896D4F" w:rsidRDefault="009C1C5A">
      <w:pPr>
        <w:pStyle w:val="Normaltindrag"/>
      </w:pPr>
      <w:r w:rsidRPr="00896D4F">
        <w:t>Vid huvudförhandlingen skall de bevis som upptagits utom huvudförhan</w:t>
      </w:r>
      <w:r w:rsidRPr="00896D4F">
        <w:t>d</w:t>
      </w:r>
      <w:r w:rsidRPr="00896D4F">
        <w:t>lingen tas upp på nytt, om rätten finner detta vara av betydelse i målet och det inte föreligger hinder mot att ta upp beviset (13 § första stycket). Om ett bevis inte tas upp på nytt, skall det läggas fram på lämpligt sätt (13 § fjärde styc</w:t>
      </w:r>
      <w:r w:rsidRPr="00896D4F">
        <w:t>k</w:t>
      </w:r>
      <w:r w:rsidRPr="00896D4F">
        <w:t xml:space="preserve">et). </w:t>
      </w:r>
    </w:p>
    <w:p w:rsidR="009C1C5A" w:rsidRPr="00896D4F" w:rsidRDefault="009C1C5A">
      <w:pPr>
        <w:pStyle w:val="Rubrik5"/>
        <w:spacing w:before="250"/>
        <w:rPr>
          <w:i/>
        </w:rPr>
      </w:pPr>
      <w:r w:rsidRPr="00896D4F">
        <w:rPr>
          <w:i/>
        </w:rPr>
        <w:t>7.2.4 Vittnen</w:t>
      </w:r>
    </w:p>
    <w:p w:rsidR="009C1C5A" w:rsidRPr="00896D4F" w:rsidRDefault="009C1C5A">
      <w:r w:rsidRPr="00896D4F">
        <w:t>Bestämmelser om vittnen finns i 36 kap. RB. Det är en medborgerlig skyldi</w:t>
      </w:r>
      <w:r w:rsidRPr="00896D4F">
        <w:t>g</w:t>
      </w:r>
      <w:r w:rsidRPr="00896D4F">
        <w:t>het att vittna, vilket innebär att i princip var och en är skyldig att på begäran vittna om de iakttagelser han har gjort (jfr Fitger, Rättegångsbalken, del 3, s. 36:3). Från denna huvudregel finns emellertid vissa undantag. Exempelvis får den som är part i målet inte vittna, och i brottmål får inte vittnesförhör äga rum med den som har åtalats för medverkan till den gärning förhöret gäller eller för någon annan gärning som har omedelbart samband med den gärnin</w:t>
      </w:r>
      <w:r w:rsidRPr="00896D4F">
        <w:t>g</w:t>
      </w:r>
      <w:r w:rsidRPr="00896D4F">
        <w:t>en (1 §).</w:t>
      </w:r>
    </w:p>
    <w:p w:rsidR="009C1C5A" w:rsidRPr="00896D4F" w:rsidRDefault="009C1C5A">
      <w:pPr>
        <w:pStyle w:val="Normaltindrag"/>
      </w:pPr>
      <w:r w:rsidRPr="00896D4F">
        <w:t>Innan vittnesmål avläggs skall rätt</w:t>
      </w:r>
      <w:r w:rsidRPr="00896D4F">
        <w:t>en höra vittnet om hans fullständiga namn och, om det behövs, ålder, yrke och hemvist. Rätten skall också försöka klargöra om vittnet till part eller till saken står i något förhållande som kan vara av vikt för bedömandet av tilltron till vittnets berättelse, eller om det annars finns omständigheter av betydelse i detta hänseende (10 § första styc</w:t>
      </w:r>
      <w:r w:rsidRPr="00896D4F">
        <w:t>k</w:t>
      </w:r>
      <w:r w:rsidRPr="00896D4F">
        <w:t xml:space="preserve">et). </w:t>
      </w:r>
    </w:p>
    <w:p w:rsidR="009C1C5A" w:rsidRPr="00896D4F" w:rsidRDefault="009C1C5A">
      <w:pPr>
        <w:pStyle w:val="Normaltindrag"/>
      </w:pPr>
      <w:r w:rsidRPr="00896D4F">
        <w:t>Vittnet skall innan han lämnar sin berättelse avlägga vittnesed (11 §). Från skyldigheten att avlägga ed finns vissa undantag. Vittnesed får inte avläggas a</w:t>
      </w:r>
      <w:r w:rsidRPr="00896D4F">
        <w:t>v den som är under 15 år eller av den som på grund av psykisk störning befinns sakna erforderlig insikt om betydelsen av ed. I brottmål får inte heller ed avläggas av någon den tilltalade nä</w:t>
      </w:r>
      <w:r w:rsidRPr="00896D4F">
        <w:t>r</w:t>
      </w:r>
      <w:r w:rsidRPr="00896D4F">
        <w:t>stående (13 § jämförd med 3 §).</w:t>
      </w:r>
    </w:p>
    <w:p w:rsidR="009C1C5A" w:rsidRPr="00896D4F" w:rsidRDefault="009C1C5A">
      <w:pPr>
        <w:pStyle w:val="Normaltindrag"/>
      </w:pPr>
      <w:r w:rsidRPr="00896D4F">
        <w:t>Av 19 § första stycket framgår att ett vittnesförhör får äga rum utom h</w:t>
      </w:r>
      <w:r w:rsidRPr="00896D4F">
        <w:t>u</w:t>
      </w:r>
      <w:r w:rsidRPr="00896D4F">
        <w:t>vudförhandling, om det inte är möjligt för vittnet att infinna sig vid huvudfö</w:t>
      </w:r>
      <w:r w:rsidRPr="00896D4F">
        <w:t>r</w:t>
      </w:r>
      <w:r w:rsidRPr="00896D4F">
        <w:t>handlingen eller om en inställelse vid huvudförhandlingen skulle medföra kostnader eller olägenheter som inte står i rimligt förhållande till betydelsen av att förhöret hålls vid huvudförhandlingen.</w:t>
      </w:r>
    </w:p>
    <w:p w:rsidR="009C1C5A" w:rsidRPr="00896D4F" w:rsidRDefault="009C1C5A">
      <w:pPr>
        <w:pStyle w:val="Rubrik5"/>
        <w:spacing w:before="250"/>
        <w:rPr>
          <w:i/>
        </w:rPr>
      </w:pPr>
      <w:r w:rsidRPr="00896D4F">
        <w:rPr>
          <w:i/>
        </w:rPr>
        <w:t>7.2.5 Uttalanden om synen i svensk rätt på anonyma vittnen</w:t>
      </w:r>
    </w:p>
    <w:p w:rsidR="009C1C5A" w:rsidRPr="00896D4F" w:rsidRDefault="009C1C5A">
      <w:r w:rsidRPr="00896D4F">
        <w:t>Det finns i svensk rätt inte någon bestämmelse som tillåter ett vittne eller en måls</w:t>
      </w:r>
      <w:r w:rsidRPr="00896D4F">
        <w:softHyphen/>
        <w:t>ägande att vara anonym. Frågan om anonymitet för vittnen och måls</w:t>
      </w:r>
      <w:r w:rsidRPr="00896D4F">
        <w:t>ä</w:t>
      </w:r>
      <w:r w:rsidRPr="00896D4F">
        <w:t>gande har under 1990-talet aktualiserats vid ett flertal tillfällen. I det följande lämnas en översiktlig redovisning av uttalanden i frågan i olika rapporter, betänkanden och lagstiftningsäre</w:t>
      </w:r>
      <w:r w:rsidRPr="00896D4F">
        <w:t>n</w:t>
      </w:r>
      <w:r w:rsidRPr="00896D4F">
        <w:t>den.</w:t>
      </w:r>
    </w:p>
    <w:p w:rsidR="009C1C5A" w:rsidRPr="00896D4F" w:rsidRDefault="009C1C5A">
      <w:pPr>
        <w:pStyle w:val="Normaltindrag"/>
      </w:pPr>
      <w:r w:rsidRPr="00896D4F">
        <w:t xml:space="preserve">En arbetsgrupp vid Rikspolisstyrelsen, den s.k. KRIPUT-gruppen, föreslog år 1990 i rapporten </w:t>
      </w:r>
      <w:r w:rsidRPr="00896D4F">
        <w:rPr>
          <w:i/>
        </w:rPr>
        <w:t>Vittnesskydd</w:t>
      </w:r>
      <w:r w:rsidRPr="00896D4F">
        <w:t xml:space="preserve"> ett visst anonymitetsskydd för vittnen. Fö</w:t>
      </w:r>
      <w:r w:rsidRPr="00896D4F">
        <w:t>r</w:t>
      </w:r>
      <w:r w:rsidRPr="00896D4F">
        <w:t>slaget innebar bl.a. att vittnenas identitetsuppgifter i vissa fall skulle kunna hemlighållas för den misstänkte/tilltalade, medan identiteten under tystnad</w:t>
      </w:r>
      <w:r w:rsidRPr="00896D4F">
        <w:t>s</w:t>
      </w:r>
      <w:r w:rsidRPr="00896D4F">
        <w:t>plikt däremot skulle vara känd för polis, åklagare, försvarare och domstol (RPS rapport 1990:4).</w:t>
      </w:r>
    </w:p>
    <w:p w:rsidR="009C1C5A" w:rsidRPr="00896D4F" w:rsidRDefault="009C1C5A">
      <w:pPr>
        <w:pStyle w:val="Normaltindrag"/>
      </w:pPr>
      <w:r w:rsidRPr="00896D4F">
        <w:t>Våldskommissionen undersökte bl.a. hur vanligt det var att parter och vit</w:t>
      </w:r>
      <w:r w:rsidRPr="00896D4F">
        <w:t>t</w:t>
      </w:r>
      <w:r w:rsidRPr="00896D4F">
        <w:t xml:space="preserve">nen utsattes för våld och hot i anslutning till förundersökning och rättegång. I sitt slutbetänkande </w:t>
      </w:r>
      <w:r w:rsidRPr="00896D4F">
        <w:rPr>
          <w:i/>
        </w:rPr>
        <w:t>Våld och brottsoffer</w:t>
      </w:r>
      <w:r w:rsidRPr="00896D4F">
        <w:t xml:space="preserve"> uttalade kommissionen att det av flera skäl är olämpligt att hemlighålla ett vittnes identitet för den tilltalade. Enligt kommissionens uppfattning fanns det inte någon anledning att vidta åtgärder som rubbar de principer om offentlighet och insyn i processmaterialet som svensk rättsordning omfattar (SOU 1990:92 s. 24 och 175).</w:t>
      </w:r>
    </w:p>
    <w:p w:rsidR="009C1C5A" w:rsidRPr="00896D4F" w:rsidRDefault="009C1C5A">
      <w:pPr>
        <w:pStyle w:val="Normaltindrag"/>
      </w:pPr>
      <w:r w:rsidRPr="00896D4F">
        <w:t>Med anledning av en motion om att införa anonymitetsskydd f</w:t>
      </w:r>
      <w:r w:rsidRPr="00896D4F">
        <w:t>ör vittnen uttalade justitieutskottet att det är en grundläggande princip i ett rättssamhälle att en part i ett mål eller ärende skall ha fullständig insyn i de förhållanden som kan läggas till grund för en domstols eller myndighets avgörande, vilket även i stor utsträckning gäller sekretessbelagda uppgifter. En part skall nä</w:t>
      </w:r>
      <w:r w:rsidRPr="00896D4F">
        <w:t>m</w:t>
      </w:r>
      <w:r w:rsidRPr="00896D4F">
        <w:t>ligen känna till och kunna bemöta alla uppgifter som domstolen eller my</w:t>
      </w:r>
      <w:r w:rsidRPr="00896D4F">
        <w:t>n</w:t>
      </w:r>
      <w:r w:rsidRPr="00896D4F">
        <w:t>digheten grundar sitt avgörande på (bet.1992/93:JuU6 s. 9 f.). Justitieutskottet avstyrkte bifall till motionen.</w:t>
      </w:r>
    </w:p>
    <w:p w:rsidR="009C1C5A" w:rsidRPr="00896D4F" w:rsidRDefault="009C1C5A">
      <w:pPr>
        <w:pStyle w:val="Normaltindrag"/>
      </w:pPr>
      <w:r w:rsidRPr="00896D4F">
        <w:t>Frågan har vidare behandlats i den i Justitiedepartementet upprättade pr</w:t>
      </w:r>
      <w:r w:rsidRPr="00896D4F">
        <w:t>o</w:t>
      </w:r>
      <w:r w:rsidRPr="00896D4F">
        <w:t xml:space="preserve">memorian </w:t>
      </w:r>
      <w:r w:rsidRPr="00896D4F">
        <w:rPr>
          <w:i/>
        </w:rPr>
        <w:t>Brottsoffren i blickpunkten – åtgärder för att stärka brottsoffrens ställning</w:t>
      </w:r>
      <w:r w:rsidRPr="00896D4F">
        <w:t>. Det skulle enligt vad som där sägs föra för långt att ändra de nuv</w:t>
      </w:r>
      <w:r w:rsidRPr="00896D4F">
        <w:t>a</w:t>
      </w:r>
      <w:r w:rsidRPr="00896D4F">
        <w:t>rande reglerna om sekretess eller om parts rätt till insyn, eftersom dessa utgör de minimikrav som rättssäkerheten föreskriver i förevarande sammanhang. Att undanhålla den misstänkte uppgift om namn på målsäganden eller ett vittne borde därför inte komma i fråga (Ds 1993:29 s. 51).</w:t>
      </w:r>
    </w:p>
    <w:p w:rsidR="009C1C5A" w:rsidRPr="00896D4F" w:rsidRDefault="009C1C5A">
      <w:pPr>
        <w:pStyle w:val="Normaltindrag"/>
      </w:pPr>
      <w:r w:rsidRPr="00896D4F">
        <w:t>Justitieutskottet avstyrkte, med hänvisning till utskottets tidigare stäl</w:t>
      </w:r>
      <w:r w:rsidRPr="00896D4F">
        <w:t>l</w:t>
      </w:r>
      <w:r w:rsidRPr="00896D4F">
        <w:t>ningstagande i frågan, ett motionsyrkande om att vittnen och andra uppgift</w:t>
      </w:r>
      <w:r w:rsidRPr="00896D4F">
        <w:t>s</w:t>
      </w:r>
      <w:r w:rsidRPr="00896D4F">
        <w:t>lämnare bör få vara anonyma inför den tilltalade i mål som gäller allvarlig brottslighet, t.ex. narkotikabrott och terrorism. Utskottet tillade att Europ</w:t>
      </w:r>
      <w:r w:rsidRPr="00896D4F">
        <w:t>a</w:t>
      </w:r>
      <w:r w:rsidRPr="00896D4F">
        <w:t>domstolen i två avgöranden (</w:t>
      </w:r>
      <w:r w:rsidRPr="00896D4F">
        <w:rPr>
          <w:i/>
        </w:rPr>
        <w:t xml:space="preserve">Kostovski mot Nederländerna </w:t>
      </w:r>
      <w:r w:rsidRPr="00896D4F">
        <w:t xml:space="preserve">och </w:t>
      </w:r>
      <w:r w:rsidRPr="00896D4F">
        <w:rPr>
          <w:i/>
        </w:rPr>
        <w:t>Windisch mot Österrike</w:t>
      </w:r>
      <w:r w:rsidRPr="00896D4F">
        <w:t>) hade avvisat möjligheten att använda anonyma vittnen under hä</w:t>
      </w:r>
      <w:r w:rsidRPr="00896D4F">
        <w:t>n</w:t>
      </w:r>
      <w:r w:rsidRPr="00896D4F">
        <w:t>visning till att den europeiska konventionen om de mänskliga rättig-heterna och de grundläggande friheterna inte tillåter detta (bet.199</w:t>
      </w:r>
      <w:r w:rsidRPr="00896D4F">
        <w:t xml:space="preserve">3/94:JuU4 s. 19). </w:t>
      </w:r>
    </w:p>
    <w:p w:rsidR="009C1C5A" w:rsidRPr="00896D4F" w:rsidRDefault="009C1C5A">
      <w:pPr>
        <w:pStyle w:val="Normaltindrag"/>
      </w:pPr>
      <w:r w:rsidRPr="00896D4F">
        <w:t xml:space="preserve">I propositionen </w:t>
      </w:r>
      <w:r w:rsidRPr="00896D4F">
        <w:rPr>
          <w:i/>
        </w:rPr>
        <w:t>Brottsoffren i blickpunkten – en brottsofferfond och andra åtgärder för att stärka brottsoffrens ställning</w:t>
      </w:r>
      <w:r w:rsidRPr="00896D4F">
        <w:t xml:space="preserve"> uttalades att det inte var möjligt att göra några mera genomgripande förändringar för att förbättra skyddet för målsägande och vittnen mot våld och hot om våld utan att komma i konflikt med de grundläggande principerna för ett rättssamhälle. En sådan princip är att en part skall känna till och kunna bemöta alla uppgifter som domstolen grundar sitt avgörande på. Enligt regeringens mening var det därför </w:t>
      </w:r>
      <w:r w:rsidRPr="00896D4F">
        <w:t>inte mö</w:t>
      </w:r>
      <w:r w:rsidRPr="00896D4F">
        <w:t>j</w:t>
      </w:r>
      <w:r w:rsidRPr="00896D4F">
        <w:t>ligt att ändra reglerna om sekretess eller om parters rätt till insyn i proces</w:t>
      </w:r>
      <w:r w:rsidRPr="00896D4F">
        <w:t>s</w:t>
      </w:r>
      <w:r w:rsidRPr="00896D4F">
        <w:t>materialet. I propositionen föreslogs i stället att skyddet för målsägande och vittnen skulle förbättras genom att man skulle försöka se till att sådana up</w:t>
      </w:r>
      <w:r w:rsidRPr="00896D4F">
        <w:t>p</w:t>
      </w:r>
      <w:r w:rsidRPr="00896D4F">
        <w:t>gifter om målsägande och vittnen som saknar materiell betydelse i målet inte ko</w:t>
      </w:r>
      <w:r w:rsidRPr="00896D4F">
        <w:t>m</w:t>
      </w:r>
      <w:r w:rsidRPr="00896D4F">
        <w:t>mer till den tilltalades kännedom (prop. 1993/94:143 s. 44 f.).</w:t>
      </w:r>
    </w:p>
    <w:p w:rsidR="009C1C5A" w:rsidRPr="00896D4F" w:rsidRDefault="009C1C5A">
      <w:pPr>
        <w:pStyle w:val="Normaltindrag"/>
      </w:pPr>
      <w:r w:rsidRPr="00896D4F">
        <w:t>I samband med sin behandling av propositionen tog justitieutskottet stäl</w:t>
      </w:r>
      <w:r w:rsidRPr="00896D4F">
        <w:t>l</w:t>
      </w:r>
      <w:r w:rsidRPr="00896D4F">
        <w:t>ning till en ny motion om att vittnen skulle kunna erbjudas möjligheter att vara anonyma. Utskottet fann i denna del inte skäl att ändra sin tidigare red</w:t>
      </w:r>
      <w:r w:rsidRPr="00896D4F">
        <w:t>o</w:t>
      </w:r>
      <w:r w:rsidRPr="00896D4F">
        <w:t>visade inställning i fråga om anonymitet för vittnen (bet.1993/94:JuU25 s. 21 f.).</w:t>
      </w:r>
    </w:p>
    <w:p w:rsidR="009C1C5A" w:rsidRPr="00896D4F" w:rsidRDefault="009C1C5A">
      <w:pPr>
        <w:pStyle w:val="Normaltindrag"/>
      </w:pPr>
      <w:r w:rsidRPr="00896D4F">
        <w:t xml:space="preserve">Frågan har sedan återigen behandlats i promemorian </w:t>
      </w:r>
      <w:r w:rsidRPr="00896D4F">
        <w:rPr>
          <w:i/>
        </w:rPr>
        <w:t>Vittnen och måls</w:t>
      </w:r>
      <w:r w:rsidRPr="00896D4F">
        <w:rPr>
          <w:i/>
        </w:rPr>
        <w:t>ä</w:t>
      </w:r>
      <w:r w:rsidRPr="00896D4F">
        <w:rPr>
          <w:i/>
        </w:rPr>
        <w:t>gande i domstol</w:t>
      </w:r>
      <w:r w:rsidRPr="00896D4F">
        <w:t>. Det uttalades där att inte all användning av anonyma vittnen som bevisning i en rättegång skulle medföra att Europakonventionen krän</w:t>
      </w:r>
      <w:r w:rsidRPr="00896D4F">
        <w:t>k</w:t>
      </w:r>
      <w:r w:rsidRPr="00896D4F">
        <w:t>tes. Med hänvisning till den ståndpunkt som regering och riksdag hade intagit i frågan om anonyma vittnen lade promemorieförfattarna emellertid inte fram något förslag om tillåtande av sådan bevisning. Frågan lämnades däremot öppen för framtida överväganden (Ds 1995:1 s. 50 f.).</w:t>
      </w:r>
    </w:p>
    <w:p w:rsidR="009C1C5A" w:rsidRPr="00896D4F" w:rsidRDefault="009C1C5A">
      <w:pPr>
        <w:pStyle w:val="Normaltindrag"/>
      </w:pPr>
      <w:r w:rsidRPr="00896D4F">
        <w:t>Brottsofferutredningen, som hade till uppgift att utvärdera de åt</w:t>
      </w:r>
      <w:r w:rsidRPr="00896D4F">
        <w:t xml:space="preserve">gärder som den senaste tioårsperioden hade vidtagits på brottsofferområdet, lade i mars 1998 fram sitt betänkande (SOU 1998:40) </w:t>
      </w:r>
      <w:r w:rsidRPr="00896D4F">
        <w:rPr>
          <w:i/>
        </w:rPr>
        <w:t xml:space="preserve">Brottsoffer Vad har gjorts? Vad bör göras? </w:t>
      </w:r>
      <w:r w:rsidRPr="00896D4F">
        <w:t>Av betänkandet framgår att utredningen hade övervägt en ordning med möjlighet för bevispersoner att under vissa förutsättningar få vara an</w:t>
      </w:r>
      <w:r w:rsidRPr="00896D4F">
        <w:t>o</w:t>
      </w:r>
      <w:r w:rsidRPr="00896D4F">
        <w:t>nyma i förhållande till den tilltalade. Vid övervägandena hade utredningen emellertid beaktat att de undersökningar som gjorts visat att hot och andra övergrepp mot målsägande och vittnen förekommer rel</w:t>
      </w:r>
      <w:r w:rsidRPr="00896D4F">
        <w:t>ativt sällan och inte hade ökat i någon större omfattning samt att de övergrepp som förekommer främst riktas mot personer som den tilltalade har en relation till. Vidare hade utredningen beaktat att försvararen hamnar i en konfliktsituation gentemot sin klient genom att han måste förtiga identitetsuppgifter som han fått kännedom om under förhören med målsäganden eller vittnet. Mot bakgrund av dessa omständigheter och det förhållandet att principen om offentlighet och parts rätt till fullständig insyn inte b</w:t>
      </w:r>
      <w:r w:rsidRPr="00896D4F">
        <w:t xml:space="preserve">ör åsidosättas utan mycket starka skäl fann utredningen det inte motiverat att föreslå en ordning med anonymitet för målsägande och vittnen (s. 320). </w:t>
      </w:r>
    </w:p>
    <w:p w:rsidR="009C1C5A" w:rsidRPr="00896D4F" w:rsidRDefault="009C1C5A">
      <w:pPr>
        <w:pStyle w:val="Normaltindrag"/>
      </w:pPr>
      <w:r w:rsidRPr="00896D4F">
        <w:t>Det kan tilläggas att Brottsofferutredningen som underlag för sin bedö</w:t>
      </w:r>
      <w:r w:rsidRPr="00896D4F">
        <w:t>m</w:t>
      </w:r>
      <w:r w:rsidRPr="00896D4F">
        <w:t>ning hade Europarådets ministerråds rekommendation den 10 september 1997 om hot mot vittnen och den tilltalades rätt till försvar (No. R [97] 13). I punkt 10 i rekommendationen uttalas bl.a. att i de fall, där anonymitet för personer som kan komma att vittna är förenlig med den nationella lagstiftningen, detta bör vara en exceptionell åtgärd (betänkandet s. 615).</w:t>
      </w:r>
    </w:p>
    <w:p w:rsidR="009C1C5A" w:rsidRPr="00896D4F" w:rsidRDefault="009C1C5A">
      <w:pPr>
        <w:pStyle w:val="Rubrik5"/>
        <w:spacing w:before="250"/>
        <w:rPr>
          <w:i/>
        </w:rPr>
      </w:pPr>
      <w:r w:rsidRPr="00896D4F">
        <w:rPr>
          <w:i/>
        </w:rPr>
        <w:t xml:space="preserve">7.2.6 Europakonventionen </w:t>
      </w:r>
    </w:p>
    <w:p w:rsidR="009C1C5A" w:rsidRPr="00896D4F" w:rsidRDefault="009C1C5A">
      <w:r w:rsidRPr="00896D4F">
        <w:t>Den europeiska konventionen om de mänskliga rättigheterna och de grun</w:t>
      </w:r>
      <w:r w:rsidRPr="00896D4F">
        <w:t>d</w:t>
      </w:r>
      <w:r w:rsidRPr="00896D4F">
        <w:t>läggande friheterna (Europakonventionen) är sedan den 1 januari 1995 en del av den svenska rätten. Konventionen innehåller i artikel 6 bestämmelser om den enskildes rätt till en rättvis rättegång (fair trial).</w:t>
      </w:r>
    </w:p>
    <w:p w:rsidR="009C1C5A" w:rsidRPr="00896D4F" w:rsidRDefault="009C1C5A">
      <w:pPr>
        <w:pStyle w:val="Normaltindrag"/>
      </w:pPr>
      <w:r w:rsidRPr="00896D4F">
        <w:t>Var och en skall, vid prövningen av en anklagelse mot honom för brott, vara berättigad till en rättvis och offentlig förhandling inom skälig tid och inför en oavhängig och opartisk domstol, som upprättats enligt lag (punkt 1). Var och en som blivit anklagad för brott har vidare ett antal minimirättig</w:t>
      </w:r>
      <w:r w:rsidRPr="00896D4F">
        <w:t>heter (punkt 3). En sådan rättighet är att förhöra eller låta förhöra vittnen som åb</w:t>
      </w:r>
      <w:r w:rsidRPr="00896D4F">
        <w:t>e</w:t>
      </w:r>
      <w:r w:rsidRPr="00896D4F">
        <w:t>ropas mot honom samt att själv få vittnen inkallade och förhörda under sa</w:t>
      </w:r>
      <w:r w:rsidRPr="00896D4F">
        <w:t>m</w:t>
      </w:r>
      <w:r w:rsidRPr="00896D4F">
        <w:t>ma förhållanden som vit</w:t>
      </w:r>
      <w:r w:rsidRPr="00896D4F">
        <w:t>t</w:t>
      </w:r>
      <w:r w:rsidRPr="00896D4F">
        <w:t xml:space="preserve">nen åberopade mot honom (punkt 3 d). </w:t>
      </w:r>
    </w:p>
    <w:p w:rsidR="009C1C5A" w:rsidRPr="00896D4F" w:rsidRDefault="009C1C5A">
      <w:pPr>
        <w:pStyle w:val="Normaltindrag"/>
      </w:pPr>
      <w:r w:rsidRPr="00896D4F">
        <w:t>Rätten till en rättvis rättegång innefattar ett krav på ett s.k. kontradiktoriskt förfarande vid domstolen. Denna får inte till nackdel för en enskild part gru</w:t>
      </w:r>
      <w:r w:rsidRPr="00896D4F">
        <w:t>n</w:t>
      </w:r>
      <w:r w:rsidRPr="00896D4F">
        <w:t>da sitt avgörande på bevisning eller information som parten inte fått del av eller inte fått tillfälle att bemöta. Den i punkten 3 d angivna rätten är ett utfl</w:t>
      </w:r>
      <w:r w:rsidRPr="00896D4F">
        <w:t>ö</w:t>
      </w:r>
      <w:r w:rsidRPr="00896D4F">
        <w:t xml:space="preserve">de av principen om ”equality of arms” som innebär att parterna skall vara likställda i processen och att den ene således inte får gynnas procedurmässigt på den andres bekostnad (se Danelius, Mänskliga rättigheter, 5:e uppl., s. 162 och 164). </w:t>
      </w:r>
    </w:p>
    <w:p w:rsidR="009C1C5A" w:rsidRPr="00896D4F" w:rsidRDefault="009C1C5A">
      <w:pPr>
        <w:pStyle w:val="Rubrik5"/>
        <w:spacing w:before="250"/>
        <w:rPr>
          <w:i/>
        </w:rPr>
      </w:pPr>
      <w:r w:rsidRPr="00896D4F">
        <w:rPr>
          <w:i/>
        </w:rPr>
        <w:t>7.2.7 Domstolspraxis</w:t>
      </w:r>
    </w:p>
    <w:p w:rsidR="009C1C5A" w:rsidRPr="00896D4F" w:rsidRDefault="009C1C5A">
      <w:r w:rsidRPr="00896D4F">
        <w:t>Den europeiska domstolen för de mänskliga rättigheterna (Europadomstolen) har i några fall behandlat frågan om tillåtligheten av användandet av anonyma vittnen, dvs. av vittnen vilkas identitet inte är känd för den tilltalade eller den mis</w:t>
      </w:r>
      <w:r w:rsidRPr="00896D4F">
        <w:t>s</w:t>
      </w:r>
      <w:r w:rsidRPr="00896D4F">
        <w:t xml:space="preserve">tänkte. </w:t>
      </w:r>
    </w:p>
    <w:p w:rsidR="009C1C5A" w:rsidRPr="00896D4F" w:rsidRDefault="009C1C5A">
      <w:pPr>
        <w:pStyle w:val="Normaltindrag"/>
      </w:pPr>
      <w:r w:rsidRPr="00896D4F">
        <w:t>Europadomstolen har härvid funnit att det inte är oförenligt med konve</w:t>
      </w:r>
      <w:r w:rsidRPr="00896D4F">
        <w:t>n</w:t>
      </w:r>
      <w:r w:rsidRPr="00896D4F">
        <w:t xml:space="preserve">tionen att åberopa anonyma vittnen som bevisning, men att anonymitet kan godtas endast när starka skäl talar därför. I fallet </w:t>
      </w:r>
      <w:r w:rsidRPr="00896D4F">
        <w:rPr>
          <w:i/>
        </w:rPr>
        <w:t>van Mechelen mot Nede</w:t>
      </w:r>
      <w:r w:rsidRPr="00896D4F">
        <w:rPr>
          <w:i/>
        </w:rPr>
        <w:t>r</w:t>
      </w:r>
      <w:r w:rsidRPr="00896D4F">
        <w:rPr>
          <w:i/>
        </w:rPr>
        <w:t>länderna</w:t>
      </w:r>
      <w:r w:rsidRPr="00896D4F">
        <w:t xml:space="preserve"> framhöll domstolen att vittnens anonymitet medför svårigheter för försvaret av ett slag som normalt inte bör förekomma i en brottmålsprocess och att en fällande dom inte får grundas enbart på eller ens väsentligen på anonyma vittnesmål. I fallet </w:t>
      </w:r>
      <w:r w:rsidRPr="00896D4F">
        <w:rPr>
          <w:i/>
        </w:rPr>
        <w:t>Doorson mot Nederländerna</w:t>
      </w:r>
      <w:r w:rsidRPr="00896D4F">
        <w:t xml:space="preserve"> gjorde Europado</w:t>
      </w:r>
      <w:r w:rsidRPr="00896D4F">
        <w:t>m</w:t>
      </w:r>
      <w:r w:rsidRPr="00896D4F">
        <w:t>stolen bl.a. följande principuttalande i frågan (se Danelius, Mäns</w:t>
      </w:r>
      <w:r w:rsidRPr="00896D4F">
        <w:t>kliga rätti</w:t>
      </w:r>
      <w:r w:rsidRPr="00896D4F">
        <w:t>g</w:t>
      </w:r>
      <w:r w:rsidRPr="00896D4F">
        <w:t xml:space="preserve">heter i europeisk praxis, s. 184 f.): </w:t>
      </w:r>
    </w:p>
    <w:p w:rsidR="009C1C5A" w:rsidRPr="00896D4F" w:rsidRDefault="009C1C5A">
      <w:pPr>
        <w:pStyle w:val="Citat"/>
        <w:rPr>
          <w:sz w:val="20"/>
        </w:rPr>
      </w:pPr>
      <w:r w:rsidRPr="00896D4F">
        <w:t>Som domstolen tidigare har uttalat, hindrar konventionen inte att man på förundersökningsstadiet förlitar sig på källor som anonyma uppgiftslämnare. När domstolen senare använder de upplysningar dessa lämnat som grundval för en fällande dom, kan detta emellertid skapa problem i förhållande till konventi</w:t>
      </w:r>
      <w:r w:rsidRPr="00896D4F">
        <w:t>o</w:t>
      </w:r>
      <w:r w:rsidRPr="00896D4F">
        <w:t>nen ...</w:t>
      </w:r>
    </w:p>
    <w:p w:rsidR="009C1C5A" w:rsidRPr="00896D4F" w:rsidRDefault="009C1C5A">
      <w:pPr>
        <w:pStyle w:val="Citatindrag"/>
        <w:rPr>
          <w:sz w:val="20"/>
        </w:rPr>
      </w:pPr>
      <w:r w:rsidRPr="00896D4F">
        <w:t>Som redan var underförstått i ... Kostovskidomen ..., är ... användning ... [av utsagor av anonyma uppgiftslämnare] inte under alla förhållanden ofö</w:t>
      </w:r>
      <w:r w:rsidRPr="00896D4F">
        <w:t>r</w:t>
      </w:r>
      <w:r w:rsidRPr="00896D4F">
        <w:t>enlig med konventionen.</w:t>
      </w:r>
    </w:p>
    <w:p w:rsidR="009C1C5A" w:rsidRPr="00896D4F" w:rsidRDefault="009C1C5A">
      <w:pPr>
        <w:pStyle w:val="Citatindrag"/>
      </w:pPr>
      <w:r w:rsidRPr="00896D4F">
        <w:t>Visserligen kräver artikel 6 inte uttryckligen att man tar hänsyn till vittnens eller målsägandes intressen i samband med att de kallas för att höras i ett mål. Emellertid kan deras liv, frihet eller personliga säkerhet stå på spel, liksom också intressen som i allmänhet är att hänföra till artikel 8 i konventionen. Sådana intressen för vittnen och målsägande skyddas i princip av andra mat</w:t>
      </w:r>
      <w:r w:rsidRPr="00896D4F">
        <w:t>e</w:t>
      </w:r>
      <w:r w:rsidRPr="00896D4F">
        <w:t>riella bestämmelser i konventionen, vilket innebär att konventionsstaterna bör organisera sina straffprocesser så, att dessa intressen inte äventyras på ett oförsvarligt sätt. Mot denna bakgrund kräver principerna för en rättvis rätt</w:t>
      </w:r>
      <w:r w:rsidRPr="00896D4F">
        <w:t>e</w:t>
      </w:r>
      <w:r w:rsidRPr="00896D4F">
        <w:t>gång också att försvarets intressen i förekommande fall avvägs mot intressena hos vittnen och må</w:t>
      </w:r>
      <w:r w:rsidRPr="00896D4F">
        <w:t>l</w:t>
      </w:r>
      <w:r w:rsidRPr="00896D4F">
        <w:t>sägande som kallas att avge utsagor.</w:t>
      </w:r>
    </w:p>
    <w:p w:rsidR="009C1C5A" w:rsidRPr="00896D4F" w:rsidRDefault="009C1C5A">
      <w:pPr>
        <w:rPr>
          <w:b/>
        </w:rPr>
      </w:pPr>
      <w:r w:rsidRPr="00896D4F">
        <w:t>I bilaga 4 (här utesluten) lämnas en kortare redogörelse för vissa rättsfall från Europadomstolen av i</w:t>
      </w:r>
      <w:r w:rsidRPr="00896D4F">
        <w:t>n</w:t>
      </w:r>
      <w:r w:rsidRPr="00896D4F">
        <w:t>tresse för den här behandlade frågan.</w:t>
      </w:r>
    </w:p>
    <w:p w:rsidR="009C1C5A" w:rsidRPr="00896D4F" w:rsidRDefault="009C1C5A">
      <w:pPr>
        <w:pStyle w:val="Normaltindrag"/>
      </w:pPr>
      <w:r w:rsidRPr="00896D4F">
        <w:t>Också i ett avgörande från Hovrätten för Västra Sverige (RH 1995:32) har frågan om anonyma vittnen berörts. Den där aktuella frågan var om det hade förelegat giltigt skäl enligt 36 kap. 21 § RB för ett vittne att inte besvara en under vittnesförhör framställd fråga angående en uppgiftslämnares identitet. Efter en utförlig redogörelse för Europadomstolens praxis och för olika utt</w:t>
      </w:r>
      <w:r w:rsidRPr="00896D4F">
        <w:t>a</w:t>
      </w:r>
      <w:r w:rsidRPr="00896D4F">
        <w:t>landen om synen på anonyma vittnen i svensk rätt kom hovrätten fram till slutsatsen att vittnet inte hade något giltigt skäl att hemlighålla sin sagesmans identitet.</w:t>
      </w:r>
    </w:p>
    <w:p w:rsidR="009C1C5A" w:rsidRPr="00896D4F" w:rsidRDefault="009C1C5A">
      <w:pPr>
        <w:pStyle w:val="Normaltindrag"/>
        <w:rPr>
          <w:b/>
        </w:rPr>
      </w:pPr>
      <w:r w:rsidRPr="00896D4F">
        <w:t>Frågan om de rättsliga möjligheterna att för en misstänkt hemlighålla en uppgiftslämnares identitet har vidare behandlats i ett avgörande av Högsta domstolen (NJA 1983 C 7). I detta fall hade domstolen att överpröva ett b</w:t>
      </w:r>
      <w:r w:rsidRPr="00896D4F">
        <w:t>e</w:t>
      </w:r>
      <w:r w:rsidRPr="00896D4F">
        <w:t xml:space="preserve">slut av hovrätten att inte lämna ut två förhörsprotokoll från förundersökningen till en person som hade häktats i sin frånvaro. Tingsrättens häktningsbeslut, som inte var verkställt, hade överklagats av den häktade, och hovrätten hade fordrat in förhörsprotokollen i besvärsmålet. I sitt beslut hänvisade Högsta domstolen till regeln i 14 kap. 5 § andra stycket sekretesslagen att sekretess inte innebär begränsning i en parts rätt enligt rättegångsbalken att få del av alla omständigheter som läggs till grund </w:t>
      </w:r>
      <w:r w:rsidRPr="00896D4F">
        <w:t>för avgörandet av ett mål eller äre</w:t>
      </w:r>
      <w:r w:rsidRPr="00896D4F">
        <w:t>n</w:t>
      </w:r>
      <w:r w:rsidRPr="00896D4F">
        <w:t>de. Till sådana omständigheter fick enligt Högsta domstolen i ett brottmål som hade avgjorts på handlingarna anses hänförliga alla omständigheter som framgår av domstolens processmaterial, i den mån de inte är ovidkommande för prövningen. Högsta domstolen konstaterade härefter att förhörsprotoko</w:t>
      </w:r>
      <w:r w:rsidRPr="00896D4F">
        <w:t>l</w:t>
      </w:r>
      <w:r w:rsidRPr="00896D4F">
        <w:t>lens innehåll måste anses höra till de omständigheter som lagts till grund för hovrättens häktningsbeslut. Den häktade fick därför anses berättigad att få del av de omständigheter</w:t>
      </w:r>
      <w:r w:rsidRPr="00896D4F">
        <w:t xml:space="preserve"> som framgick av förhörsprotokollen, något som lämpl</w:t>
      </w:r>
      <w:r w:rsidRPr="00896D4F">
        <w:t>i</w:t>
      </w:r>
      <w:r w:rsidRPr="00896D4F">
        <w:t xml:space="preserve">gen kunde ske genom att kopior av protokollen lämnades ut. </w:t>
      </w:r>
    </w:p>
    <w:p w:rsidR="009C1C5A" w:rsidRPr="00896D4F" w:rsidRDefault="009C1C5A">
      <w:pPr>
        <w:pStyle w:val="Rubrik4"/>
      </w:pPr>
      <w:r w:rsidRPr="00896D4F">
        <w:t>7.3 Bedömning</w:t>
      </w:r>
    </w:p>
    <w:p w:rsidR="009C1C5A" w:rsidRPr="00896D4F" w:rsidRDefault="009C1C5A">
      <w:r w:rsidRPr="00896D4F">
        <w:t>Av utredningen framgår att Marianne Aldén kontaktade Jan Warén på kvällen den 2 september 1998, varvid hon berättade att det fanns ett vittne till mordet på Tidaholms</w:t>
      </w:r>
      <w:r w:rsidRPr="00896D4F">
        <w:softHyphen/>
        <w:t>anstalten som var berett att inför domstol under ed berätta om vad han hade sett. Anledningen till telefonsamtalet var att vittnet, som själv avtjänade ett straff på anstalten, skulle friges under kommande veckohelg och därefter utvisas till ett avlägset beläget land. Enligt Jan Warén uppgav Mar</w:t>
      </w:r>
      <w:r w:rsidRPr="00896D4F">
        <w:t>i</w:t>
      </w:r>
      <w:r w:rsidRPr="00896D4F">
        <w:t>anne Aldén vid samtalet att det var angeläget att en bevisupptagning under förundersökningen ägde rum senast den 4 september 1998 för att inte vittnets uppgifter, som bedömdes vara av väsentlig betydelse för utredn</w:t>
      </w:r>
      <w:r w:rsidRPr="00896D4F">
        <w:t>ingen, skulle gå förlorade. Jan Warén fick vid samtalet också reda på att vittnet fruktade för sin säkerhet och därför var berett att vittna endast om hans identitet inte rö</w:t>
      </w:r>
      <w:r w:rsidRPr="00896D4F">
        <w:t>j</w:t>
      </w:r>
      <w:r w:rsidRPr="00896D4F">
        <w:t>des för de mis</w:t>
      </w:r>
      <w:r w:rsidRPr="00896D4F">
        <w:t>s</w:t>
      </w:r>
      <w:r w:rsidRPr="00896D4F">
        <w:t>tänkta och deras försvarare.</w:t>
      </w:r>
    </w:p>
    <w:p w:rsidR="009C1C5A" w:rsidRPr="00896D4F" w:rsidRDefault="009C1C5A">
      <w:pPr>
        <w:pStyle w:val="Normaltindrag"/>
      </w:pPr>
      <w:r w:rsidRPr="00896D4F">
        <w:t>Påföljande dag, dvs. den 3 september 1998, kom Marianne Aldén in till tingsrätten med en formell begäran om bevisupptagning under förundersö</w:t>
      </w:r>
      <w:r w:rsidRPr="00896D4F">
        <w:t>k</w:t>
      </w:r>
      <w:r w:rsidRPr="00896D4F">
        <w:t>ning. Den 4 september 1998 ägde bevisupptagningen rum. Den gick till på så sätt att vittnet, vars identitet inte var känd av försvararna, lämnade sin berä</w:t>
      </w:r>
      <w:r w:rsidRPr="00896D4F">
        <w:t>t</w:t>
      </w:r>
      <w:r w:rsidRPr="00896D4F">
        <w:t>telse bakom en skärm där han var synlig för åklagaren och rätten men inte för de närvarande försvararna. De misstänkta, som inte hade kallats till bevi</w:t>
      </w:r>
      <w:r w:rsidRPr="00896D4F">
        <w:t>s</w:t>
      </w:r>
      <w:r w:rsidRPr="00896D4F">
        <w:t xml:space="preserve">upptagningen, var inte närvarande. Försvararna tilläts ställa frågor till vittnet. </w:t>
      </w:r>
    </w:p>
    <w:p w:rsidR="009C1C5A" w:rsidRPr="00896D4F" w:rsidRDefault="009C1C5A">
      <w:pPr>
        <w:pStyle w:val="Normaltindrag"/>
      </w:pPr>
      <w:r w:rsidRPr="00896D4F">
        <w:t>Det tillämpade förfarandet väcker frågorna om det över huvud taget är fö</w:t>
      </w:r>
      <w:r w:rsidRPr="00896D4F">
        <w:t>r</w:t>
      </w:r>
      <w:r w:rsidRPr="00896D4F">
        <w:t>enligt med svensk rätt att tillåta anonyma vittnesmål inför domstol och, om så skulle vara fallet, om ett vittnes identitet får hållas hemlig för den misstänkte vid en bevisupptagning under förundersökning?</w:t>
      </w:r>
    </w:p>
    <w:p w:rsidR="009C1C5A" w:rsidRPr="00896D4F" w:rsidRDefault="009C1C5A">
      <w:pPr>
        <w:pStyle w:val="Normaltindrag"/>
      </w:pPr>
      <w:r w:rsidRPr="00896D4F">
        <w:t>Såvitt framgår av utredningen grundade Marianne Aldén sin framställning om bevisupptagning på bestämmelserna i 23 kap. 15 § RB. Den direkta a</w:t>
      </w:r>
      <w:r w:rsidRPr="00896D4F">
        <w:t>n</w:t>
      </w:r>
      <w:r w:rsidRPr="00896D4F">
        <w:t>ledningen till framställningen var att vittnet inom kort skulle utvisas ur riket till ett avlägset land och att bevisningen därför skulle gå förlorad om bevi</w:t>
      </w:r>
      <w:r w:rsidRPr="00896D4F">
        <w:t>s</w:t>
      </w:r>
      <w:r w:rsidRPr="00896D4F">
        <w:t xml:space="preserve">upptagningen inte ägde rum. Tingsrätten har också i sitt protokoll angett att det var fråga om bevisupptagning enligt den nyss nämnda bestämmelsen. </w:t>
      </w:r>
    </w:p>
    <w:p w:rsidR="009C1C5A" w:rsidRPr="00896D4F" w:rsidRDefault="009C1C5A">
      <w:pPr>
        <w:pStyle w:val="Normaltindrag"/>
      </w:pPr>
      <w:r w:rsidRPr="00896D4F">
        <w:t>Bestämmelserna i 23 kap. 15 § RB gör det möjligt att redan under föru</w:t>
      </w:r>
      <w:r w:rsidRPr="00896D4F">
        <w:t>n</w:t>
      </w:r>
      <w:r w:rsidRPr="00896D4F">
        <w:t>dersökningen ta upp bevisning som sedan skall kunna åberopas vid huvudfö</w:t>
      </w:r>
      <w:r w:rsidRPr="00896D4F">
        <w:t>r</w:t>
      </w:r>
      <w:r w:rsidRPr="00896D4F">
        <w:t>handlingen. Förutsättningen för en sådan upptagning är att det föreligger en fara för att bevis som skall åberopas vid en huvudförhandling dessförinnan går förlorat eller då endast med svårighet kan föras, t.ex. om det finns anle</w:t>
      </w:r>
      <w:r w:rsidRPr="00896D4F">
        <w:t>d</w:t>
      </w:r>
      <w:r w:rsidRPr="00896D4F">
        <w:t>ning anta att ett vittne på grund av sjukdom, resa eller annan orsak skall vara ur stånd att inställa sig vid huvudförhandlingen (Fitger, Rättegångsbalken, del 2, s. 23:55 f.). Det står enligt min mening klar</w:t>
      </w:r>
      <w:r w:rsidRPr="00896D4F">
        <w:t>t att situationen var sådan att det fanns rättsliga förutsättningar för en bevisupptagning med stöd av 23 kap. 15 § RB. Varken Marianne Aldéns begäran om bevisupptagning eller ting</w:t>
      </w:r>
      <w:r w:rsidRPr="00896D4F">
        <w:t>s</w:t>
      </w:r>
      <w:r w:rsidRPr="00896D4F">
        <w:t xml:space="preserve">rättens beslut att tillåta upptagningen föranleder därför någon kritik från min sida. </w:t>
      </w:r>
    </w:p>
    <w:p w:rsidR="009C1C5A" w:rsidRPr="00896D4F" w:rsidRDefault="009C1C5A">
      <w:pPr>
        <w:pStyle w:val="Normaltindrag"/>
      </w:pPr>
      <w:r w:rsidRPr="00896D4F">
        <w:t>Härav följer emellertid inte att det var tillåtet att genomföra bevisuppta</w:t>
      </w:r>
      <w:r w:rsidRPr="00896D4F">
        <w:t>g</w:t>
      </w:r>
      <w:r w:rsidRPr="00896D4F">
        <w:t>nin</w:t>
      </w:r>
      <w:r w:rsidRPr="00896D4F">
        <w:t>g</w:t>
      </w:r>
      <w:r w:rsidRPr="00896D4F">
        <w:t>en på det sätt som skedde.</w:t>
      </w:r>
    </w:p>
    <w:p w:rsidR="009C1C5A" w:rsidRPr="00896D4F" w:rsidRDefault="009C1C5A">
      <w:pPr>
        <w:pStyle w:val="Normaltindrag"/>
      </w:pPr>
      <w:r w:rsidRPr="00896D4F">
        <w:t xml:space="preserve">Som framgår av redogörelsen i det föregående har såväl statsmakterna som olika offentliga utredningar gett uttryck för uppfattningen att svensk rätt inte tillåter användning av anonyma vittnen inför domstol. Marianne Aldén och Jan Warén har emellertid – låt vara på skilda vägar – kommit till ett annat resultat såvitt avser vittnesförhör under en pågående förundersökning. </w:t>
      </w:r>
    </w:p>
    <w:p w:rsidR="009C1C5A" w:rsidRPr="00896D4F" w:rsidRDefault="009C1C5A">
      <w:pPr>
        <w:pStyle w:val="Normaltindrag"/>
      </w:pPr>
      <w:r w:rsidRPr="00896D4F">
        <w:t>Marianne Aldén synes vara av den uppfattningen att samma principer skall anses gälla för förhör under förundersökning vare sig det är fråga om ett p</w:t>
      </w:r>
      <w:r w:rsidRPr="00896D4F">
        <w:t>o</w:t>
      </w:r>
      <w:r w:rsidRPr="00896D4F">
        <w:t>lisförhör eller ett vittnesförhör inför domstol med stöd av 23 kap. 13 eller 15 § RB. Hon har framhållit att hon, om hon vid exempelvis en häktningsfö</w:t>
      </w:r>
      <w:r w:rsidRPr="00896D4F">
        <w:t>r</w:t>
      </w:r>
      <w:r w:rsidRPr="00896D4F">
        <w:t>handling hade åberopat en vittnesutsaga lämnad vid ett polisförhör, inte hade varit skyldig att röja vittnets identitet, utan att en sådan skyldighet inträder först vid den tidpunkt när den misstänkte enligt bestämmelserna i 23 kap. 18 § RB skall underrättas om sin rätt att ta del av vad som förekommit i utrednin</w:t>
      </w:r>
      <w:r w:rsidRPr="00896D4F">
        <w:t>g</w:t>
      </w:r>
      <w:r w:rsidRPr="00896D4F">
        <w:t>en. Hon har förklarat att hon inte kan inse a</w:t>
      </w:r>
      <w:r w:rsidRPr="00896D4F">
        <w:t>tt hon som åklagare skulle vara sämre ställd vad gäller möjligheterna att hemlighålla ett vittnes identitet av det skälet att förhöret hålls inför domaren med de misstänktas advokater nä</w:t>
      </w:r>
      <w:r w:rsidRPr="00896D4F">
        <w:t>r</w:t>
      </w:r>
      <w:r w:rsidRPr="00896D4F">
        <w:t>varande.</w:t>
      </w:r>
    </w:p>
    <w:p w:rsidR="009C1C5A" w:rsidRPr="00896D4F" w:rsidRDefault="009C1C5A">
      <w:pPr>
        <w:pStyle w:val="Normaltindrag"/>
      </w:pPr>
      <w:r w:rsidRPr="00896D4F">
        <w:t>Jan Warén har å sin sida hänvisat till uttalanden av Europadomstolen av innebörd att användning av anonyma vittnen inte i alla situationer är oförenlig med Europakonventionen. Han har vidare förklarat att han inte kunnat finna något legalt förbud mot att under en förundersökning ta upp vittnesförhör på det sätt som</w:t>
      </w:r>
      <w:r w:rsidRPr="00896D4F">
        <w:t xml:space="preserve"> skedde i det aktuella fallet.</w:t>
      </w:r>
    </w:p>
    <w:p w:rsidR="009C1C5A" w:rsidRPr="00896D4F" w:rsidRDefault="009C1C5A">
      <w:pPr>
        <w:pStyle w:val="Normaltindrag"/>
      </w:pPr>
      <w:r w:rsidRPr="00896D4F">
        <w:t>Jag vill med anledning av vad Jan Warén har anfört om tillämpningen av Europakonventionen framhålla att det ligger i sakens natur att denna inte kan åberopas till stöd för begränsningar av de grundläggande fri- och rättigheterna som går längre än vad som följer av den nationella rätten i de enskilda ko</w:t>
      </w:r>
      <w:r w:rsidRPr="00896D4F">
        <w:t>n</w:t>
      </w:r>
      <w:r w:rsidRPr="00896D4F">
        <w:t>ventionsstaterna. Vad som däremot kan prövas med utgångspunkt i konve</w:t>
      </w:r>
      <w:r w:rsidRPr="00896D4F">
        <w:t>n</w:t>
      </w:r>
      <w:r w:rsidRPr="00896D4F">
        <w:t>tionens bestämmelser är om en begränsning i ett visst fall av någons fri- och rättigheter med stöd av nationell rätt kan anses vara tillåtlig också enligt ko</w:t>
      </w:r>
      <w:r w:rsidRPr="00896D4F">
        <w:t>n</w:t>
      </w:r>
      <w:r w:rsidRPr="00896D4F">
        <w:t>ventionen. Ett grundläggande krav för att användningen av anonyma vittnen skall kunna anses vara förenlig med Europakonventionen är att sådana förhör är tillåtna enligt den nationella rätten. Härutöver fordras sedan att den nati</w:t>
      </w:r>
      <w:r w:rsidRPr="00896D4F">
        <w:t>o</w:t>
      </w:r>
      <w:r w:rsidRPr="00896D4F">
        <w:t>nella rätten uppfyller de krav som har lagts fast geno</w:t>
      </w:r>
      <w:r w:rsidRPr="00896D4F">
        <w:t>m Europadomstolens praxis (jfr SOU 1998:40 s. 326 och punkten 10 i Europarådets rekommend</w:t>
      </w:r>
      <w:r w:rsidRPr="00896D4F">
        <w:t>a</w:t>
      </w:r>
      <w:r w:rsidRPr="00896D4F">
        <w:t>tion om hot mot vittnen och den tilltalades rätt till försvar). Europadomstolen har i ett antal fall konstaterat att frågan om tillåtligheten av viss bevisning i första hand regleras av nationell rätt och har sedan begränsat sin bedömning till frågan om processen som helhet, däribland sättet för bevisupptagningen, uppfyllt de krav som kan ställas på en rättvis rättegång (Fitger, Rättegång</w:t>
      </w:r>
      <w:r w:rsidRPr="00896D4F">
        <w:t>s</w:t>
      </w:r>
      <w:r w:rsidRPr="00896D4F">
        <w:t>balken, del 3, s. 35:80).</w:t>
      </w:r>
    </w:p>
    <w:p w:rsidR="009C1C5A" w:rsidRPr="00896D4F" w:rsidRDefault="009C1C5A">
      <w:pPr>
        <w:pStyle w:val="Normaltindrag"/>
      </w:pPr>
      <w:r w:rsidRPr="00896D4F">
        <w:t>Avgö</w:t>
      </w:r>
      <w:r w:rsidRPr="00896D4F">
        <w:t>rande för frågan hur man skall se på det förfarande som tillämpades vid bevisupptagningen är således i första hand vad som föreskrivs i rätt</w:t>
      </w:r>
      <w:r w:rsidRPr="00896D4F">
        <w:t>e</w:t>
      </w:r>
      <w:r w:rsidRPr="00896D4F">
        <w:t xml:space="preserve">gångsbalken. </w:t>
      </w:r>
    </w:p>
    <w:p w:rsidR="009C1C5A" w:rsidRPr="00896D4F" w:rsidRDefault="009C1C5A">
      <w:pPr>
        <w:pStyle w:val="Normaltindrag"/>
      </w:pPr>
      <w:r w:rsidRPr="00896D4F">
        <w:t>Vid en bevisupptagning enligt 23 kap. 15 § RB gäller som tidigare nämnts i tillämpliga delar de bestämmelser som meddelats om bevis som tas upp utom huvudförhandling. Vissa bestämmelser i ämnet, avseende bl.a. kallelse till parterna, återfinns i 35 kap. 9–12 §§ RB (Fitger, Rättegångsbalken, del 2, s. 23:56 a). I övrigt gäller rättegångsbalkens vanliga reg</w:t>
      </w:r>
      <w:r w:rsidRPr="00896D4F">
        <w:t>ler om de olika slagen av bevis. Bestämmelserna om vittnesförhör i 36 kap. RB är sålunda tillämpl</w:t>
      </w:r>
      <w:r w:rsidRPr="00896D4F">
        <w:t>i</w:t>
      </w:r>
      <w:r w:rsidRPr="00896D4F">
        <w:t>ga i fråga om alla former av vittnesförhör med stöd av rättegångsbalkens bestämmelser, dvs. också sådana vittnesförhör som hålls under en förunde</w:t>
      </w:r>
      <w:r w:rsidRPr="00896D4F">
        <w:t>r</w:t>
      </w:r>
      <w:r w:rsidRPr="00896D4F">
        <w:t>sökning med stöd av 23 kap. 15 § RB. Detta innebär att ett vittne även vid en bevisupptagning enligt detta lagrum är skyldig att avlägga den i 36 kap. 11 § RB föreskrivna vittneseden och att rätten enligt 10 § i samma kapitel, innan vittnesmålet avläggs, skall höra vi</w:t>
      </w:r>
      <w:r w:rsidRPr="00896D4F">
        <w:t>ttnet om hans fullständiga namn och, om det behövs, ålder, yrke och hemvist. Någon laglig möjlighet att utestänga en part från detta moment i bevisupptagningen finns inte. Vid upptagande av vittnesförhör enligt rättegångsbalken saknas således, oavsett om förhöret hålls vid eller utom huvudförhandling, rättslig möjlighet att för parterna hemli</w:t>
      </w:r>
      <w:r w:rsidRPr="00896D4F">
        <w:t>g</w:t>
      </w:r>
      <w:r w:rsidRPr="00896D4F">
        <w:t>hålla vittnets identitet. Detta står i god överensstämmelse med den grun</w:t>
      </w:r>
      <w:r w:rsidRPr="00896D4F">
        <w:t>d</w:t>
      </w:r>
      <w:r w:rsidRPr="00896D4F">
        <w:t>läggande princip bakom rättegångsbalkens regelsystem som innebär att en part har rätt att få d</w:t>
      </w:r>
      <w:r w:rsidRPr="00896D4F">
        <w:t>el av alla omständigheter som läggs till grund för avgöra</w:t>
      </w:r>
      <w:r w:rsidRPr="00896D4F">
        <w:t>n</w:t>
      </w:r>
      <w:r w:rsidRPr="00896D4F">
        <w:t>det av ett mål eller äre</w:t>
      </w:r>
      <w:r w:rsidRPr="00896D4F">
        <w:t>n</w:t>
      </w:r>
      <w:r w:rsidRPr="00896D4F">
        <w:t xml:space="preserve">de.  </w:t>
      </w:r>
    </w:p>
    <w:p w:rsidR="009C1C5A" w:rsidRPr="00896D4F" w:rsidRDefault="009C1C5A">
      <w:pPr>
        <w:pStyle w:val="Normaltindrag"/>
      </w:pPr>
      <w:r w:rsidRPr="00896D4F">
        <w:t>Jag vill i sammanhanget särskilt framhålla att avsikten med ett vittnesfö</w:t>
      </w:r>
      <w:r w:rsidRPr="00896D4F">
        <w:t>r</w:t>
      </w:r>
      <w:r w:rsidRPr="00896D4F">
        <w:t>hör enligt 23 kap. 15 § RB är att det som upptas senare skall kunna åberopas vid en huvudförhandling. En handläggning som innebär att försvaret vid ett sådant förhör inte får reda på vittnets namn och ges samma möjligheter att ifrågasätta vittnets tillförlitlighet och trovärdighet som vid ett vittnesförhör under huvudförhandling utgör ett uppenbart åsidosättande av principen om ”equality of arms”. Detta kan givetvis inte läkas genom att namnet på vittnet lämnas ut till den misstänkte i ett senare skede.</w:t>
      </w:r>
    </w:p>
    <w:p w:rsidR="009C1C5A" w:rsidRPr="00896D4F" w:rsidRDefault="009C1C5A">
      <w:pPr>
        <w:pStyle w:val="Normaltindrag"/>
      </w:pPr>
      <w:r w:rsidRPr="00896D4F">
        <w:t>So</w:t>
      </w:r>
      <w:r w:rsidRPr="00896D4F">
        <w:t>m tidigare nämnts kallades varken J.A. eller någon av de två andra misstänkta till bevisupptagningen. Som förklaring härtill har Jan Warén up</w:t>
      </w:r>
      <w:r w:rsidRPr="00896D4F">
        <w:t>p</w:t>
      </w:r>
      <w:r w:rsidRPr="00896D4F">
        <w:t>gett att han – bl.a. med hänsyn till att två av de misstänkta, däribland J.A., avtjänade ett längre fängelsestraff – bedömde att det skulle vara förenat med stora svårigheter att få dem inställda till bevisupptagningen. Han har vidare hänvisat till att det med tanke på den korta tid som stod till buds inte skulle ha varit möjligt att få tag på den tredje misstänkte, s</w:t>
      </w:r>
      <w:r w:rsidRPr="00896D4F">
        <w:t>om var på fri fot. I det extr</w:t>
      </w:r>
      <w:r w:rsidRPr="00896D4F">
        <w:t>a</w:t>
      </w:r>
      <w:r w:rsidRPr="00896D4F">
        <w:t>ordinära läge som förelåg ansåg han mot bakgrund av Europadomstolens praxis i saken att det var tillräckligt om försvararna var närvarande vid bevi</w:t>
      </w:r>
      <w:r w:rsidRPr="00896D4F">
        <w:t>s</w:t>
      </w:r>
      <w:r w:rsidRPr="00896D4F">
        <w:t>uppta</w:t>
      </w:r>
      <w:r w:rsidRPr="00896D4F">
        <w:t>g</w:t>
      </w:r>
      <w:r w:rsidRPr="00896D4F">
        <w:t xml:space="preserve">ningen. </w:t>
      </w:r>
    </w:p>
    <w:p w:rsidR="009C1C5A" w:rsidRPr="00896D4F" w:rsidRDefault="009C1C5A">
      <w:pPr>
        <w:pStyle w:val="Normaltindrag"/>
      </w:pPr>
      <w:r w:rsidRPr="00896D4F">
        <w:t>Enligt 35 kap. 9 § RB skall parterna kallas då bevis tas upp utom huvu</w:t>
      </w:r>
      <w:r w:rsidRPr="00896D4F">
        <w:t>d</w:t>
      </w:r>
      <w:r w:rsidRPr="00896D4F">
        <w:t>förhandling. Denna regel är undantagslös. Om det är fråga om ett brottmål där den tilltalade är anhållen eller häktad, skall rätten däremot göra en bedömning av om dennes inställelse är erforderlig, när den tar ställning till om den skall förordna att den tilltalade skall inställas inför rätten. Om en part som har ka</w:t>
      </w:r>
      <w:r w:rsidRPr="00896D4F">
        <w:t>l</w:t>
      </w:r>
      <w:r w:rsidRPr="00896D4F">
        <w:t>lats uteblir får beviset ändå tas upp. En förutsättning härför torde emellertid vara att han har kallats till förhandlingen. Om en part inte har kunnat delges kallelse får enligt Fitger bevisu</w:t>
      </w:r>
      <w:r w:rsidRPr="00896D4F">
        <w:t>pptagningen inte ske (Fitger, Rättegångsba</w:t>
      </w:r>
      <w:r w:rsidRPr="00896D4F">
        <w:t>l</w:t>
      </w:r>
      <w:r w:rsidRPr="00896D4F">
        <w:t>ken ,del 3, s. 35:69).</w:t>
      </w:r>
    </w:p>
    <w:p w:rsidR="009C1C5A" w:rsidRPr="00896D4F" w:rsidRDefault="009C1C5A">
      <w:pPr>
        <w:pStyle w:val="Normaltindrag"/>
      </w:pPr>
      <w:r w:rsidRPr="00896D4F">
        <w:t>Som tidigare nämnts gäller vad som föreskrivs i 35 kap. 9 § RB i tillämpl</w:t>
      </w:r>
      <w:r w:rsidRPr="00896D4F">
        <w:t>i</w:t>
      </w:r>
      <w:r w:rsidRPr="00896D4F">
        <w:t>ga delar också i fråga om bevisupptagning enligt 23 kap. 15 § RB. Vad som där sägs om en tilltalad i ett brottmål skall därför i ett sådant fall tillämpas på den misstänkte. Rätten var således skyldig att kalla de misstänkta till bevi</w:t>
      </w:r>
      <w:r w:rsidRPr="00896D4F">
        <w:t>s</w:t>
      </w:r>
      <w:r w:rsidRPr="00896D4F">
        <w:t>upptagningen. Lagtexten öppnar inte någon möjlighet för rätten att, på det sätt som här skedde, beakta de praktiska problem som kan vara förbundna med att inställa eller a</w:t>
      </w:r>
      <w:r w:rsidRPr="00896D4F">
        <w:t>n</w:t>
      </w:r>
      <w:r w:rsidRPr="00896D4F">
        <w:t xml:space="preserve">träffa en misstänkt. </w:t>
      </w:r>
    </w:p>
    <w:p w:rsidR="009C1C5A" w:rsidRPr="00896D4F" w:rsidRDefault="009C1C5A">
      <w:pPr>
        <w:pStyle w:val="Normaltindrag"/>
      </w:pPr>
      <w:r w:rsidRPr="00896D4F">
        <w:t>J.A. har vidare framfört klagomål med anledning av att försvaret inte före bevisup</w:t>
      </w:r>
      <w:r w:rsidRPr="00896D4F">
        <w:t>ptagningen fick ta del av några handlingar, t.ex. protokoll över poli</w:t>
      </w:r>
      <w:r w:rsidRPr="00896D4F">
        <w:t>s</w:t>
      </w:r>
      <w:r w:rsidRPr="00896D4F">
        <w:t>förhör med vittnet. Marianne Aldén har i detta hänseende uppgett att det inte hade hållits något förhör med vittnet före bevisupptagningen och att det dä</w:t>
      </w:r>
      <w:r w:rsidRPr="00896D4F">
        <w:t>r</w:t>
      </w:r>
      <w:r w:rsidRPr="00896D4F">
        <w:t>för inte fanns något förhörsprotokoll. Hon har emellertid sedan uppgett att det hade upprättats en promemoria med anledning av de uppgifter som hade lä</w:t>
      </w:r>
      <w:r w:rsidRPr="00896D4F">
        <w:t>m</w:t>
      </w:r>
      <w:r w:rsidRPr="00896D4F">
        <w:t>nats av vittnet till polisen. Jag vill med anledning av vad som kommit fram i denna del i likhet med åklagarmyndigheten framhålla vikten</w:t>
      </w:r>
      <w:r w:rsidRPr="00896D4F">
        <w:t xml:space="preserve"> av att försvar</w:t>
      </w:r>
      <w:r w:rsidRPr="00896D4F">
        <w:t>a</w:t>
      </w:r>
      <w:r w:rsidRPr="00896D4F">
        <w:t xml:space="preserve">ren, för att kunna tillvarata sin klients rätt på ett tillfredsställande sätt, får del av det material och de uppgifter som ligger till grund för bevisupptagningen i den mån detta kan ske utan men för utredningen. </w:t>
      </w:r>
    </w:p>
    <w:p w:rsidR="009C1C5A" w:rsidRPr="00896D4F" w:rsidRDefault="009C1C5A">
      <w:pPr>
        <w:pStyle w:val="Normaltindrag"/>
      </w:pPr>
      <w:r w:rsidRPr="00896D4F">
        <w:t>Sammanfattningsvis kan konstateras att den aktuella bevisupptagningen ägde rum under former som stod i strid med lag.</w:t>
      </w:r>
    </w:p>
    <w:p w:rsidR="009C1C5A" w:rsidRPr="00896D4F" w:rsidRDefault="009C1C5A">
      <w:pPr>
        <w:pStyle w:val="Rubrik3"/>
      </w:pPr>
      <w:r w:rsidRPr="00896D4F">
        <w:t>8 Häktningsförhandlingen den 8 september 1998 (dnr 4234-1998)</w:t>
      </w:r>
    </w:p>
    <w:p w:rsidR="009C1C5A" w:rsidRPr="00896D4F" w:rsidRDefault="009C1C5A">
      <w:pPr>
        <w:pStyle w:val="Rubrik4"/>
        <w:spacing w:before="125"/>
      </w:pPr>
      <w:r w:rsidRPr="00896D4F">
        <w:t>8.1 Inledning</w:t>
      </w:r>
    </w:p>
    <w:p w:rsidR="009C1C5A" w:rsidRPr="00896D4F" w:rsidRDefault="009C1C5A">
      <w:r w:rsidRPr="00896D4F">
        <w:t>I sitt yttrande den 17 september till Birgitta Fernqvist i överprövningsärendet anförde Marianne Aldén bl.a. att hon vid häktningsförhandlingen den 8 se</w:t>
      </w:r>
      <w:r w:rsidRPr="00896D4F">
        <w:t>p</w:t>
      </w:r>
      <w:r w:rsidRPr="00896D4F">
        <w:t>tember 1998 som grund för häktningsyrkandet åberopade de uppgifter som hade lämnats av det ”anonyma” vittnet samt att hon i övrigt uppgav att tid erfordrades för att plocka fram och sammanställa uppgifter som framkommit i utredningen. Hon uttalade vidare att hon vid förhandlingen inte kunde red</w:t>
      </w:r>
      <w:r w:rsidRPr="00896D4F">
        <w:t>o</w:t>
      </w:r>
      <w:r w:rsidRPr="00896D4F">
        <w:t>göra för de omständigheter som fanns som kunde vara belastande för J.A. I sitt yttrande den 29 mars 1999 i de här aktuella ärendena har Marianne Aldén anfört bl.a. följande om orsaken till att hon vid häktningsförha</w:t>
      </w:r>
      <w:r w:rsidRPr="00896D4F">
        <w:t>ndlingen inte redogjorde för alla de omständigheter som då fanns tillgängliga i utredningen och som kunde ha betydelse för bedömningen av häktningsfrågan.</w:t>
      </w:r>
    </w:p>
    <w:p w:rsidR="009C1C5A" w:rsidRPr="00896D4F" w:rsidRDefault="009C1C5A">
      <w:pPr>
        <w:pStyle w:val="Citat"/>
      </w:pPr>
      <w:r w:rsidRPr="00896D4F">
        <w:t>Vid häktningsförhandlingen åberopade åklagaren de uppgifter som fra</w:t>
      </w:r>
      <w:r w:rsidRPr="00896D4F">
        <w:t>m</w:t>
      </w:r>
      <w:r w:rsidRPr="00896D4F">
        <w:t>kommit vid vittnesförhöret i domstolen såsom grund för att sannolika skäl till misstanke om mord förelåg. I detta läge fanns en stor utredning med en mängd uppgifter och jag var nogsam med att uppge inför domstolen att ytte</w:t>
      </w:r>
      <w:r w:rsidRPr="00896D4F">
        <w:t>r</w:t>
      </w:r>
      <w:r w:rsidRPr="00896D4F">
        <w:t>ligare uppgifter och omständigheter fanns mot de misstänkta, och att tid nu erfordrades att sammanställa materialet och dessa uppgifter. Vare sig dom</w:t>
      </w:r>
      <w:r w:rsidRPr="00896D4F">
        <w:t>a</w:t>
      </w:r>
      <w:r w:rsidRPr="00896D4F">
        <w:t>ren eller någon av advokaterna ställde någon fråga om vad som i övrigt fanns i utredningsmaterialet. Någon uppgift som förringade tilltro</w:t>
      </w:r>
      <w:r w:rsidRPr="00896D4F">
        <w:t>n till vittnet, vit</w:t>
      </w:r>
      <w:r w:rsidRPr="00896D4F">
        <w:t>t</w:t>
      </w:r>
      <w:r w:rsidRPr="00896D4F">
        <w:t>nets berättelse eller att annan person skulle vara gärningsman finns enligt polisens uppgift inte i materi</w:t>
      </w:r>
      <w:r w:rsidRPr="00896D4F">
        <w:t>a</w:t>
      </w:r>
      <w:r w:rsidRPr="00896D4F">
        <w:t>let.</w:t>
      </w:r>
    </w:p>
    <w:p w:rsidR="009C1C5A" w:rsidRPr="00896D4F" w:rsidRDefault="009C1C5A">
      <w:pPr>
        <w:rPr>
          <w:sz w:val="20"/>
        </w:rPr>
      </w:pPr>
      <w:r w:rsidRPr="00896D4F">
        <w:t>Åklagarmyndigheten har anfört bl.a. följande i frågan.</w:t>
      </w:r>
    </w:p>
    <w:p w:rsidR="009C1C5A" w:rsidRPr="00896D4F" w:rsidRDefault="009C1C5A">
      <w:pPr>
        <w:pStyle w:val="Citat"/>
        <w:rPr>
          <w:sz w:val="20"/>
        </w:rPr>
      </w:pPr>
      <w:r w:rsidRPr="00896D4F">
        <w:t>När en åklagare skall ta ställning till vilka omständigheter han skall redovisa vid en häktningsförhandling ställs han inför bedömningsfrågor, där det kan finnas utrymme för olika meningar. Enligt min uppfattning bör åklagaren, om han gör den bedömningen att ett visst utredningsmaterial saknar betydelse, emellertid upplysa rätten om att utredningsåtgärden vidtagits och resultatet av den, om det inte är uppenbart att materialet saknar all betydelse (jmf. JO:s dnr 3410-1996). Försvararen och domstolen bereds</w:t>
      </w:r>
      <w:r w:rsidRPr="00896D4F">
        <w:t xml:space="preserve"> därigenom tillfälle att ta stäl</w:t>
      </w:r>
      <w:r w:rsidRPr="00896D4F">
        <w:t>l</w:t>
      </w:r>
      <w:r w:rsidRPr="00896D4F">
        <w:t>ning till om de önskar ta del av denna utredning och själva bedöma dess vä</w:t>
      </w:r>
      <w:r w:rsidRPr="00896D4F">
        <w:t>r</w:t>
      </w:r>
      <w:r w:rsidRPr="00896D4F">
        <w:t>de.</w:t>
      </w:r>
    </w:p>
    <w:p w:rsidR="009C1C5A" w:rsidRPr="00896D4F" w:rsidRDefault="009C1C5A">
      <w:pPr>
        <w:pStyle w:val="Citatindrag"/>
      </w:pPr>
      <w:r w:rsidRPr="00896D4F">
        <w:t>Av Aldéns bifogade yttrande den 17 september 1998 i överprövningsäre</w:t>
      </w:r>
      <w:r w:rsidRPr="00896D4F">
        <w:t>n</w:t>
      </w:r>
      <w:r w:rsidRPr="00896D4F">
        <w:t>det synes det som om inte alla uppgifter av betydelse lämnats vid häktning</w:t>
      </w:r>
      <w:r w:rsidRPr="00896D4F">
        <w:t>s</w:t>
      </w:r>
      <w:r w:rsidRPr="00896D4F">
        <w:t>förhandlingen. I yttrandet den 29 mars 1999 anger Aldén, att hon i domstolen som grund för sannolika skäl för misstanken om mord åberopade de uppgifter som framkommit vid den i ärendet vidtagna bevisupptagningen. Aldén fra</w:t>
      </w:r>
      <w:r w:rsidRPr="00896D4F">
        <w:t>m</w:t>
      </w:r>
      <w:r w:rsidRPr="00896D4F">
        <w:t>för i samma yttrande att hon inför domstolen nämnt att ytterligare uppgifter och omständigheter fanns mot de misstänkta. Det framgår inte av yttrandena om hon redogjort för vilka dessa uppgifter och omständigheter</w:t>
      </w:r>
      <w:r w:rsidRPr="00896D4F">
        <w:t xml:space="preserve"> var. I utre</w:t>
      </w:r>
      <w:r w:rsidRPr="00896D4F">
        <w:t>d</w:t>
      </w:r>
      <w:r w:rsidRPr="00896D4F">
        <w:t>ningsmaterialet, såvitt gäller tiden före häktningsförhandlingen, synes finnas uppgifter som inte saknar uppenbar betydelse för bedömningen i häktning</w:t>
      </w:r>
      <w:r w:rsidRPr="00896D4F">
        <w:t>s</w:t>
      </w:r>
      <w:r w:rsidRPr="00896D4F">
        <w:t>frågan.</w:t>
      </w:r>
    </w:p>
    <w:p w:rsidR="009C1C5A" w:rsidRPr="00896D4F" w:rsidRDefault="009C1C5A">
      <w:r w:rsidRPr="00896D4F">
        <w:t>Carl Olof Nilsson Öhrnell har om de överväganden som föregick tingsrättens beslut att häkta J.A. anfört bl.a. att åklagaren till stöd för ett häktningsyrkande torde kunna åberopa uppgifter ur förundersökningen från en icke namngiven person. Han ansåg i det aktuella fallet att uppgifter lämnade under sådana förhållanden som det här var frå</w:t>
      </w:r>
      <w:r w:rsidRPr="00896D4F">
        <w:t>ga om inte gärna kunde tillmätas lägre bevi</w:t>
      </w:r>
      <w:r w:rsidRPr="00896D4F">
        <w:t>s</w:t>
      </w:r>
      <w:r w:rsidRPr="00896D4F">
        <w:t>värde än anonyma uppgifter från förundersökningen. Uppgifterna fick i stället värderas utifrån sitt faktiska värde som bevis. Denna värdering ledde till att uppgifterna bedömdes vara tillräckliga i varje fall för att misstankegraden sannolika skäl skulle vara uppnådd.</w:t>
      </w:r>
    </w:p>
    <w:p w:rsidR="009C1C5A" w:rsidRPr="00896D4F" w:rsidRDefault="009C1C5A">
      <w:pPr>
        <w:pStyle w:val="Rubrik4"/>
      </w:pPr>
      <w:r w:rsidRPr="00896D4F">
        <w:t xml:space="preserve">8.2 Rättslig reglering </w:t>
      </w:r>
    </w:p>
    <w:p w:rsidR="009C1C5A" w:rsidRPr="00896D4F" w:rsidRDefault="009C1C5A">
      <w:r w:rsidRPr="00896D4F">
        <w:t>Bestämmelser om häktning finns i 24 kap. RB. Den som på sannolika skäl är misstänkt för ett brott, för vilket är föreskrivet fängelse ett år eller däröver, får häktas, om det med hänsyn till brottets beskaffenhet, den misstänktes förhå</w:t>
      </w:r>
      <w:r w:rsidRPr="00896D4F">
        <w:t>l</w:t>
      </w:r>
      <w:r w:rsidRPr="00896D4F">
        <w:t>lande eller någon annan omständighet finns risk för att han avviker eller på något annat sätt undandrar sig lagföring eller straff (flyktfara), genom att undanröja bevis eller på något annat sätt försvårar sakens utredning (koll</w:t>
      </w:r>
      <w:r w:rsidRPr="00896D4F">
        <w:t>u</w:t>
      </w:r>
      <w:r w:rsidRPr="00896D4F">
        <w:t>sionsfara) eller fortsätter sin brottsliga verksamhet (recidivfara) (1 § första stycket). Är för brottet inte föreskrivet lindrigare straff än fängelse i två år, skall häktning ske om det inte är uppenbart att skäl till häktning saknas (1 § andra stycket). Beslut att häkta någon me</w:t>
      </w:r>
      <w:r w:rsidRPr="00896D4F">
        <w:t>ddelas av rätten (5 §).</w:t>
      </w:r>
    </w:p>
    <w:p w:rsidR="009C1C5A" w:rsidRPr="00896D4F" w:rsidRDefault="009C1C5A">
      <w:pPr>
        <w:pStyle w:val="Rubrik4"/>
      </w:pPr>
      <w:r w:rsidRPr="00896D4F">
        <w:t>8.3 Bedömning</w:t>
      </w:r>
    </w:p>
    <w:p w:rsidR="009C1C5A" w:rsidRPr="00896D4F" w:rsidRDefault="009C1C5A">
      <w:r w:rsidRPr="00896D4F">
        <w:t>Av utredningen framgår att Marianne Aldén omedelbart efter bevisuppta</w:t>
      </w:r>
      <w:r w:rsidRPr="00896D4F">
        <w:t>g</w:t>
      </w:r>
      <w:r w:rsidRPr="00896D4F">
        <w:t>ningen begärde J.A. häktad såsom på sannolika skäl misstänkt för mord. Till stöd för häktningsyrkandet åberopade hon det ”anonyma” vittnesförhöret. Den 8 september 1998 häktade tingsrätten J.A. i enlighet med Marianne A</w:t>
      </w:r>
      <w:r w:rsidRPr="00896D4F">
        <w:t>l</w:t>
      </w:r>
      <w:r w:rsidRPr="00896D4F">
        <w:t>déns begäran. Carl Olof Nilsson Öhrnell har redogjort för sina överväganden i fråga om vittnesförhörets bevisvärde. Som har nämnts i det föregående har Göta hovrätt i ett mål avseende en av J.A:s medtilltalade, under hänvisning till principerna om fri bevisprövning och bästa bevisningen, ti</w:t>
      </w:r>
      <w:r w:rsidRPr="00896D4F">
        <w:t>llåtit att en utskrift av vittnesförhöret där åberopades som bevisning. Det är i första hand en uppgift för rättstillämpningen att avgöra hur man skall ställa sig till åber</w:t>
      </w:r>
      <w:r w:rsidRPr="00896D4F">
        <w:t>o</w:t>
      </w:r>
      <w:r w:rsidRPr="00896D4F">
        <w:t>pad bevisning som har åtkommits på ett lagstridigt sätt. Carl Olof Nilsson Öhrnells bedömning av de rättsliga möjligheterna att åberopa vittnesförhöret som bevisning föranleder mot den här angivna bakgrunden inte något uttala</w:t>
      </w:r>
      <w:r w:rsidRPr="00896D4F">
        <w:t>n</w:t>
      </w:r>
      <w:r w:rsidRPr="00896D4F">
        <w:t>de från min sida.</w:t>
      </w:r>
    </w:p>
    <w:p w:rsidR="009C1C5A" w:rsidRPr="00896D4F" w:rsidRDefault="009C1C5A">
      <w:pPr>
        <w:pStyle w:val="Normaltindrag"/>
      </w:pPr>
      <w:r w:rsidRPr="00896D4F">
        <w:t>I ärendet har vidare uppkommit frågan varför Marianne Aldén vid den a</w:t>
      </w:r>
      <w:r w:rsidRPr="00896D4F">
        <w:t>k</w:t>
      </w:r>
      <w:r w:rsidRPr="00896D4F">
        <w:t>tuella häktningsförhandlingen inte redogjorde för alla de omständigheter som då fanns tillgängliga i utredningen och som kunde ha betydelse för bedö</w:t>
      </w:r>
      <w:r w:rsidRPr="00896D4F">
        <w:t>m</w:t>
      </w:r>
      <w:r w:rsidRPr="00896D4F">
        <w:t xml:space="preserve">ningen av häktningsfrågan. </w:t>
      </w:r>
    </w:p>
    <w:p w:rsidR="009C1C5A" w:rsidRPr="00896D4F" w:rsidRDefault="009C1C5A">
      <w:pPr>
        <w:pStyle w:val="Normaltindrag"/>
      </w:pPr>
      <w:r w:rsidRPr="00896D4F">
        <w:t>Jag har i ett tidigare ärende (dnr 3410-1996) framhållit att åklagaren, när han eller hon skall ta ställning till vilka omständigheter som skall redovisas vid en häktningsförhandling, regelmässigt ställs inför bedömningsfrågor där det finns ett visst utrymme för olika meningar. Om åklagaren vid en häk</w:t>
      </w:r>
      <w:r w:rsidRPr="00896D4F">
        <w:t>t</w:t>
      </w:r>
      <w:r w:rsidRPr="00896D4F">
        <w:t>ningsförhandling gör den bedömningen att ett visst utredningsmaterial är utan betydelse, bör han emellertid enligt vad jag uttalade i samma ärende, upplysa rätten om att utredningsåtgärden i fråga har vidtagits och redogöra för sin uppfattning om resultatet av den, om det inte är uppenbart att materialet sa</w:t>
      </w:r>
      <w:r w:rsidRPr="00896D4F">
        <w:t>k</w:t>
      </w:r>
      <w:r w:rsidRPr="00896D4F">
        <w:t>nar b</w:t>
      </w:r>
      <w:r w:rsidRPr="00896D4F">
        <w:t>e</w:t>
      </w:r>
      <w:r w:rsidRPr="00896D4F">
        <w:t>tydelse.</w:t>
      </w:r>
    </w:p>
    <w:p w:rsidR="009C1C5A" w:rsidRPr="00896D4F" w:rsidRDefault="009C1C5A">
      <w:pPr>
        <w:pStyle w:val="Normaltindrag"/>
      </w:pPr>
      <w:r w:rsidRPr="00896D4F">
        <w:t>Av Marianne Aldéns yttrande den 17 september 1998 till Birgitta Fer</w:t>
      </w:r>
      <w:r w:rsidRPr="00896D4F">
        <w:t>n</w:t>
      </w:r>
      <w:r w:rsidRPr="00896D4F">
        <w:t>qvist i överprövningsärendet framgår att Marianne Aldén vid häktningsfö</w:t>
      </w:r>
      <w:r w:rsidRPr="00896D4F">
        <w:t>r</w:t>
      </w:r>
      <w:r w:rsidRPr="00896D4F">
        <w:t>handlingen inte kunde redogöra för de omständigheter som fanns och som kunde vara belastande för J.A. Såvitt framgår av skrivelsen uppgav Marianne Aldén vid häktningsförhandlingen att hon behövde tid för att ta fram och sammanställa de uppgifter som hade kommit fram under utredningen. I sitt yttrande till JO har hon uppgett att hon åberopade de uppgifter som hade kommit fram vid bevisupptagningen, men att hon också var noga med att upp</w:t>
      </w:r>
      <w:r w:rsidRPr="00896D4F">
        <w:t>lysa domstolen om att det fanns ytterligare uppgifter och omständigheter som talade mot de misstänkta och att tid erfordrades för att sammanställa materialet och dessa uppgifter. Enligt Marianne Aldén ställde varken domaren eller någon av försvararna någon fråga om vad som i övrigt fanns i utre</w:t>
      </w:r>
      <w:r w:rsidRPr="00896D4F">
        <w:t>d</w:t>
      </w:r>
      <w:r w:rsidRPr="00896D4F">
        <w:t>ningsmaterialet. Enligt polisen fanns det inte någon uppgift som förringade tilltron till vittnet och hans berättelse eller som pekade på att någon annan person skulle vara gä</w:t>
      </w:r>
      <w:r w:rsidRPr="00896D4F">
        <w:t>r</w:t>
      </w:r>
      <w:r w:rsidRPr="00896D4F">
        <w:t xml:space="preserve">ningsman. </w:t>
      </w:r>
    </w:p>
    <w:p w:rsidR="009C1C5A" w:rsidRPr="00896D4F" w:rsidRDefault="009C1C5A">
      <w:pPr>
        <w:pStyle w:val="Normaltindrag"/>
      </w:pPr>
      <w:r w:rsidRPr="00896D4F">
        <w:t>Vid en häktningsförhandling s</w:t>
      </w:r>
      <w:r w:rsidRPr="00896D4F">
        <w:t>kall åklagaren självfallet redovisa alla de omständigheter som krävs för att domstolen skall kunna göra ett välövervägt ställningstagande i häktningsfrågan. Jag är medveten om att det material som har kommit fram under en förundersökning avseende ett allvarligt brott ibland kan vara omfattande och svåröverskådligt. Det är emellertid nödvändigt att åklagaren före förhandlingen går igenom och sätter sig in i det tillgängliga materialet i all den utsträckning som krävs för att rätten skall få ett fullgott besl</w:t>
      </w:r>
      <w:r w:rsidRPr="00896D4F">
        <w:t>utsunderlag. Det är inte godtagbart att åklagaren underlåter att åberopa eller nämna uppgifter av betydelse för häktningsfrågan endast av det skälet att han eller hon inte har hunnit sammanställa uppgifterna och med tillräcklig noggrannhet sätta sig in i materialet.</w:t>
      </w:r>
    </w:p>
    <w:p w:rsidR="009C1C5A" w:rsidRPr="00896D4F" w:rsidRDefault="009C1C5A">
      <w:pPr>
        <w:pStyle w:val="Rubrik3"/>
      </w:pPr>
      <w:r w:rsidRPr="00896D4F">
        <w:t>9 Anhållningsbeslutet den 16 september 1998 m.m. (dnr 4234-1998)</w:t>
      </w:r>
    </w:p>
    <w:p w:rsidR="009C1C5A" w:rsidRPr="00896D4F" w:rsidRDefault="009C1C5A">
      <w:pPr>
        <w:pStyle w:val="Rubrik4"/>
        <w:spacing w:before="125"/>
      </w:pPr>
      <w:r w:rsidRPr="00896D4F">
        <w:t>9.1 Inledning</w:t>
      </w:r>
    </w:p>
    <w:p w:rsidR="009C1C5A" w:rsidRPr="00896D4F" w:rsidRDefault="009C1C5A">
      <w:pPr>
        <w:rPr>
          <w:sz w:val="20"/>
        </w:rPr>
      </w:pPr>
      <w:r w:rsidRPr="00896D4F">
        <w:t>Punkterna 5–8 i JO:s remiss avser frågorna om vilka överväganden som hade föregått beslutet att anhålla J.A. m.fl. den 16 september 1998, om tidpunkte</w:t>
      </w:r>
      <w:r w:rsidRPr="00896D4F">
        <w:t>r</w:t>
      </w:r>
      <w:r w:rsidRPr="00896D4F">
        <w:t>na för de olika förhör som omnämns i häktningspromemorian den 16 septe</w:t>
      </w:r>
      <w:r w:rsidRPr="00896D4F">
        <w:t>m</w:t>
      </w:r>
      <w:r w:rsidRPr="00896D4F">
        <w:t>ber 1998 och i promemorian upprättad med anledning av hovrättens beslut att häva häktningsbeslutet, om vilka nya omständigheter som hade framkommit efter hovrättens beslut samt om vad som hade påståtts i fråga om avsaknaden av information till försvararen. Marianne Aldén har i dessa hänseenden anfört bl.a. följande.</w:t>
      </w:r>
    </w:p>
    <w:p w:rsidR="009C1C5A" w:rsidRPr="00896D4F" w:rsidRDefault="009C1C5A">
      <w:pPr>
        <w:pStyle w:val="Citat"/>
        <w:rPr>
          <w:sz w:val="20"/>
        </w:rPr>
      </w:pPr>
      <w:r w:rsidRPr="00896D4F">
        <w:t>När tingsrätten beslutade om häktning kom utredningen in i ett nytt och inte</w:t>
      </w:r>
      <w:r w:rsidRPr="00896D4F">
        <w:t>n</w:t>
      </w:r>
      <w:r w:rsidRPr="00896D4F">
        <w:t>sivt skede. Åklagarens direktiv till utredningsmännen var nu att samtliga övriga närvarande i träningslokalerna skulle höras och att förmå dessa pers</w:t>
      </w:r>
      <w:r w:rsidRPr="00896D4F">
        <w:t>o</w:t>
      </w:r>
      <w:r w:rsidRPr="00896D4F">
        <w:t>ner inte bara att komma ut ur sin cell och tala med polisen utan också att fö</w:t>
      </w:r>
      <w:r w:rsidRPr="00896D4F">
        <w:t>r</w:t>
      </w:r>
      <w:r w:rsidRPr="00896D4F">
        <w:t>må dessa att lämna uppgifter i förhör. Direktiven var också att samtliga dessa övriga närvarande omkring sexton personer skulle höras vid huvudförhan</w:t>
      </w:r>
      <w:r w:rsidRPr="00896D4F">
        <w:t>d</w:t>
      </w:r>
      <w:r w:rsidRPr="00896D4F">
        <w:t>lingen, eftersom man får anse att bevisvärdet inte är lika högt om inte varje intagens berättelse kan styrkas av övriga intagnas berä</w:t>
      </w:r>
      <w:r w:rsidRPr="00896D4F">
        <w:t>ttelser. Min uppfattning var att det skulle underlätta för var och en av de intagna att omtala vad de sett och hört om de visste att alla närvarande inte bara skulle höras av polisen utan att alla också skulle höras i domstolen. Ett antal förhörsledare utsågs och flera förhör kunde ske på de olika anstalterna, där nu de intagna vistades. När ho</w:t>
      </w:r>
      <w:r w:rsidRPr="00896D4F">
        <w:t>v</w:t>
      </w:r>
      <w:r w:rsidRPr="00896D4F">
        <w:t>rätten beslutade att ogilla häktningsyrkandet och frigav J.A. hade utredningen kommit i ett helt annat och nytt läge. Förhörsledarna ute på anstalterna ra</w:t>
      </w:r>
      <w:r w:rsidRPr="00896D4F">
        <w:t>p</w:t>
      </w:r>
      <w:r w:rsidRPr="00896D4F">
        <w:t xml:space="preserve">porterade </w:t>
      </w:r>
      <w:r w:rsidRPr="00896D4F">
        <w:t>att de intagna nu började våga prata. I utredningen upplevde man en ren ”ketchupeffekt”, allt kom på en gång. Det avgörande för de intagna var att de tre satt häktade och att en person berättat allt. Efter noggranna föredra</w:t>
      </w:r>
      <w:r w:rsidRPr="00896D4F">
        <w:t>g</w:t>
      </w:r>
      <w:r w:rsidRPr="00896D4F">
        <w:t>ningar från rotelchefen för länskriminalroteln i Skaraborg Jan Carlsson och ansvarig för utredningen krinsp. Lars Johansson och även i samråd med chefsåklagare Ulf Holmberg beslöt jag att åter anhålla J.A. i avsikt att han skulle höras och häktningsframställning åter skulle ske. Nya omst</w:t>
      </w:r>
      <w:r w:rsidRPr="00896D4F">
        <w:t>ändigheter låg i att nu ett antal personer lämnade uppgifter i utredningen. Dessa uppgifter måste ses i belysning av att andra uppgifter fanns i utredningen. Uppgifterna fick ett självständigt värde i jämförelse med de sedan tidigare i utredningen förekommande uppgifterna. Det fullständiga vittnesmålet fanns redan, nu sammanställdes såväl nya som gamla uppgifter för att få fram samma up</w:t>
      </w:r>
      <w:r w:rsidRPr="00896D4F">
        <w:t>p</w:t>
      </w:r>
      <w:r w:rsidRPr="00896D4F">
        <w:t xml:space="preserve">gifter som vårt vittne hade lämnat. Situationen kan betecknas som unik. Vi hade ett vittne och nu skulle vi ha fram samma </w:t>
      </w:r>
      <w:r w:rsidRPr="00896D4F">
        <w:t>uppgifter men från andra pe</w:t>
      </w:r>
      <w:r w:rsidRPr="00896D4F">
        <w:t>r</w:t>
      </w:r>
      <w:r w:rsidRPr="00896D4F">
        <w:t>soner, samtidigt som i sig vårt vittne fortfarande hade ett bevisvärde. – Min bedömning var och är fortfarande att vi då var i ett läge att ett anhållande skulle ske och en ny häktningsförhandling skulle hållas.</w:t>
      </w:r>
    </w:p>
    <w:p w:rsidR="009C1C5A" w:rsidRPr="00896D4F" w:rsidRDefault="009C1C5A">
      <w:pPr>
        <w:pStyle w:val="Citatindrag"/>
      </w:pPr>
      <w:r w:rsidRPr="00896D4F">
        <w:t>Överprövning skedde av mitt anhållningsbeslut och biträdande överåklag</w:t>
      </w:r>
      <w:r w:rsidRPr="00896D4F">
        <w:t>a</w:t>
      </w:r>
      <w:r w:rsidRPr="00896D4F">
        <w:t>ren ansåg att skäl till anhållande inte fanns. Därefter återgick utredningen till sitt ursprungliga läge, dvs. ingen intagen vågade säga något och jag beslöt att återkalla min häktningsframställning. Jag kan förstå överåklagarens beslut på sätt att det inte var möjligt för utredningsmännen och mig att vid den korta tid som stod oss till buds sätta henne in i den komplicerade problematik vi b</w:t>
      </w:r>
      <w:r w:rsidRPr="00896D4F">
        <w:t>e</w:t>
      </w:r>
      <w:r w:rsidRPr="00896D4F">
        <w:t>fann oss i och värdet av de uppgifter som framkom efter att hovrätten me</w:t>
      </w:r>
      <w:r w:rsidRPr="00896D4F">
        <w:t>d</w:t>
      </w:r>
      <w:r w:rsidRPr="00896D4F">
        <w:t>delade sitt beslut. Vi kunde heller inte på</w:t>
      </w:r>
      <w:r w:rsidRPr="00896D4F">
        <w:t xml:space="preserve"> grund av avståndet tillställa henne akten eller övriga utredningshandlin</w:t>
      </w:r>
      <w:r w:rsidRPr="00896D4F">
        <w:t>g</w:t>
      </w:r>
      <w:r w:rsidRPr="00896D4F">
        <w:t>ar.</w:t>
      </w:r>
    </w:p>
    <w:p w:rsidR="009C1C5A" w:rsidRPr="00896D4F" w:rsidRDefault="009C1C5A">
      <w:pPr>
        <w:pStyle w:val="Citatindrag"/>
        <w:rPr>
          <w:sz w:val="20"/>
        </w:rPr>
      </w:pPr>
      <w:r w:rsidRPr="00896D4F">
        <w:t>Att jag därefter beslöt att återkalla min gjorda häktningsframställning är en annan sak. Av taktiska skäl och med all den publicitet och det hårda tryck massmedia utövade på polis, åklagare och även domstolen valde jag att inte ta en förhandling där jag skulle tvingas att redogöra för allt vad som hittills framkommit. Vad jag då också skulle vara tvingad att uppge var förutom de framkomna uppgifterna den nu uppkomna situationen at</w:t>
      </w:r>
      <w:r w:rsidRPr="00896D4F">
        <w:t>t de intagna nu åter inte litade på rättsinstanserna och att jag inte längre kunde vara lika säker på att nå fram till ett åtal. Jag hade inte kunnat undanhålla den uppfattningen för domstolen, enär det är en uppgift som har betydelse för domstolens beslut om häktning.</w:t>
      </w:r>
    </w:p>
    <w:p w:rsidR="009C1C5A" w:rsidRPr="00896D4F" w:rsidRDefault="009C1C5A">
      <w:r w:rsidRPr="00896D4F">
        <w:t>Marianne Aldén har därefter lämnat vissa kompletterande uppgifter, varvid hon bl.a. i vissa delar har hänvisat till promemorian den 16 september 1998 och till förteckningen över hållna förhör.</w:t>
      </w:r>
    </w:p>
    <w:p w:rsidR="009C1C5A" w:rsidRPr="00896D4F" w:rsidRDefault="009C1C5A">
      <w:pPr>
        <w:rPr>
          <w:sz w:val="20"/>
        </w:rPr>
      </w:pPr>
      <w:r w:rsidRPr="00896D4F">
        <w:t xml:space="preserve">Åklagarmyndigheten har anfört bl. a. följande. </w:t>
      </w:r>
    </w:p>
    <w:p w:rsidR="009C1C5A" w:rsidRPr="00896D4F" w:rsidRDefault="009C1C5A">
      <w:pPr>
        <w:pStyle w:val="Citat"/>
        <w:rPr>
          <w:i/>
          <w:sz w:val="20"/>
        </w:rPr>
      </w:pPr>
      <w:r w:rsidRPr="00896D4F">
        <w:rPr>
          <w:i/>
        </w:rPr>
        <w:t>I. Fråga om när de förhör hållits som omnämns i häktningspromemorian den 16 september 1998 och i promemorian med anledning av hovrättens beslut att häva häktningsbeslutet</w:t>
      </w:r>
    </w:p>
    <w:p w:rsidR="009C1C5A" w:rsidRPr="00896D4F" w:rsidRDefault="009C1C5A">
      <w:pPr>
        <w:pStyle w:val="Citat"/>
      </w:pPr>
      <w:r w:rsidRPr="00896D4F">
        <w:t>Aldén har i denna del hänvisat till bilaga 2 (</w:t>
      </w:r>
      <w:r w:rsidRPr="00896D4F">
        <w:rPr>
          <w:i/>
        </w:rPr>
        <w:t>JO:s anmärkning; bilagan har utelämnats</w:t>
      </w:r>
      <w:r w:rsidRPr="00896D4F">
        <w:t>) till yttrandet avgivet den 17 maj 1999. Uppgifterna – – – synes hänförliga till promemorian med anledning av hovrättens beslut att häva häktningsbeslutet. Beträffande häktningspromemorian framgår inte vilka förhör som avses.</w:t>
      </w:r>
    </w:p>
    <w:p w:rsidR="009C1C5A" w:rsidRPr="00896D4F" w:rsidRDefault="009C1C5A">
      <w:pPr>
        <w:pStyle w:val="Citat"/>
        <w:rPr>
          <w:sz w:val="20"/>
        </w:rPr>
      </w:pPr>
      <w:r w:rsidRPr="00896D4F">
        <w:t>Vissa av de – – – angivna uppgifterna är inhämtade i tiden före hovrättens beslut och vissa i tiden efter anhållningsbesluten. De närmare uppgifterna om tiderna framgår av en till detta yttrande bilagd prom</w:t>
      </w:r>
      <w:r w:rsidRPr="00896D4F">
        <w:t>e</w:t>
      </w:r>
      <w:r w:rsidRPr="00896D4F">
        <w:t>moria.</w:t>
      </w:r>
    </w:p>
    <w:p w:rsidR="009C1C5A" w:rsidRPr="00896D4F" w:rsidRDefault="009C1C5A">
      <w:pPr>
        <w:pStyle w:val="Citat"/>
        <w:rPr>
          <w:i/>
          <w:sz w:val="20"/>
        </w:rPr>
      </w:pPr>
      <w:r w:rsidRPr="00896D4F">
        <w:rPr>
          <w:i/>
        </w:rPr>
        <w:t>II. Beträffande vilka överväganden som föregick beslutet att anhålla J.A. m.fl. den 16 september 1998 samt vilka nya omständigheter som framkommit efter hovrättens beslut</w:t>
      </w:r>
    </w:p>
    <w:p w:rsidR="009C1C5A" w:rsidRPr="00896D4F" w:rsidRDefault="009C1C5A">
      <w:pPr>
        <w:rPr>
          <w:sz w:val="20"/>
        </w:rPr>
      </w:pPr>
      <w:r w:rsidRPr="00896D4F">
        <w:rPr>
          <w:sz w:val="20"/>
        </w:rPr>
        <w:t>– – –</w:t>
      </w:r>
    </w:p>
    <w:p w:rsidR="009C1C5A" w:rsidRPr="00896D4F" w:rsidRDefault="009C1C5A">
      <w:pPr>
        <w:pStyle w:val="Citat"/>
        <w:rPr>
          <w:sz w:val="20"/>
        </w:rPr>
      </w:pPr>
      <w:r w:rsidRPr="00896D4F">
        <w:t>Av Aldéns avgivna yttranden jämte därtill fogade bilagor framgår inte klart vilka nya uppgifter som legat till grund för hennes beslut att anhålla J.A. kort tid efter att hovrätten hävt häktningsbeslutet samt att häva häktningen beträ</w:t>
      </w:r>
      <w:r w:rsidRPr="00896D4F">
        <w:t>f</w:t>
      </w:r>
      <w:r w:rsidRPr="00896D4F">
        <w:t>fande de två övriga och samtidigt anhålla dem på nytt.</w:t>
      </w:r>
    </w:p>
    <w:p w:rsidR="009C1C5A" w:rsidRPr="00896D4F" w:rsidRDefault="009C1C5A">
      <w:pPr>
        <w:pStyle w:val="Citatindrag"/>
        <w:rPr>
          <w:sz w:val="20"/>
        </w:rPr>
      </w:pPr>
      <w:r w:rsidRPr="00896D4F">
        <w:t>Vid en jämförelse mellan vad som anförts i Aldéns yttranden jämte bilagor, i den promemoria som upprättats den 16 september 1998 inför häk</w:t>
      </w:r>
      <w:r w:rsidRPr="00896D4F">
        <w:t>t</w:t>
      </w:r>
      <w:r w:rsidRPr="00896D4F">
        <w:t>ningsförhandling och i promemorian upprättad efter hovrättens beslut att häva häktningen och de uppgifter som förelåg i utredningen i tiden före hovrättens beslut föreligger, enligt min bedömning, inte sådana nya omständigheter som utgör grund för ett nytt anhållande beträffande J.A. Det torde i denna del emellertid finnas visst utrymme för olika meningar. Vad gäller hävandet av häktningsbesluten beträffande de två andra personerna och anhållandet av dem samma tid som hävandet synes utrymmet för att nya om</w:t>
      </w:r>
      <w:r w:rsidRPr="00896D4F">
        <w:t>ständigheter kan ha tillkommit vara mindre.</w:t>
      </w:r>
    </w:p>
    <w:p w:rsidR="009C1C5A" w:rsidRPr="00896D4F" w:rsidRDefault="009C1C5A">
      <w:pPr>
        <w:pStyle w:val="Citat"/>
        <w:rPr>
          <w:i/>
          <w:sz w:val="20"/>
        </w:rPr>
      </w:pPr>
      <w:r w:rsidRPr="00896D4F">
        <w:rPr>
          <w:i/>
        </w:rPr>
        <w:t>III. Beträffande vad som anförts i anmälan om avsaknad av information till den offentlige försvararen om anhållningsbeslutet den 16 september 1998</w:t>
      </w:r>
    </w:p>
    <w:p w:rsidR="009C1C5A" w:rsidRPr="00896D4F" w:rsidRDefault="009C1C5A">
      <w:pPr>
        <w:pStyle w:val="Citat"/>
      </w:pPr>
      <w:r w:rsidRPr="00896D4F">
        <w:t>Av utredningsmaterialet framgår att J.A. greps den 16 september 1998 kloc</w:t>
      </w:r>
      <w:r w:rsidRPr="00896D4F">
        <w:t>k</w:t>
      </w:r>
      <w:r w:rsidRPr="00896D4F">
        <w:t>an 13.10. Av protokoll över 24:8-förhör med A., vilket förhör påbörjades klockan 13.39, framgår att J.A. önskat få kontakta sin offentlige försvarare. Vidare framgår att J.A. klockan 14.05 haft telefonkontakt med advokaten Dick Levinson på Advokatbyrån Bergfeldt &amp; Levinson. J.A. har således vi</w:t>
      </w:r>
      <w:r w:rsidRPr="00896D4F">
        <w:t>s</w:t>
      </w:r>
      <w:r w:rsidRPr="00896D4F">
        <w:t>serligen inte fått kontakt med Bergfeldt men väl med annan advokat på sa</w:t>
      </w:r>
      <w:r w:rsidRPr="00896D4F">
        <w:t>m</w:t>
      </w:r>
      <w:r w:rsidRPr="00896D4F">
        <w:t>ma byrå, vilken i Bergfeldts frånvaro, på uppdrag av J.A. via telefax klockan 15.09 samma dag till Åklagarmyndigheten i Göteborg begärt överprö</w:t>
      </w:r>
      <w:r w:rsidRPr="00896D4F">
        <w:t>vning av beslutet. Levinson synes således ha bev</w:t>
      </w:r>
      <w:r w:rsidRPr="00896D4F">
        <w:t>a</w:t>
      </w:r>
      <w:r w:rsidRPr="00896D4F">
        <w:t>kat J.A:s intressen.</w:t>
      </w:r>
    </w:p>
    <w:p w:rsidR="009C1C5A" w:rsidRPr="00896D4F" w:rsidRDefault="009C1C5A">
      <w:pPr>
        <w:pStyle w:val="Rubrik4"/>
      </w:pPr>
      <w:r w:rsidRPr="00896D4F">
        <w:t>9.2 Rättslig reglering</w:t>
      </w:r>
    </w:p>
    <w:p w:rsidR="009C1C5A" w:rsidRPr="00896D4F" w:rsidRDefault="009C1C5A">
      <w:r w:rsidRPr="00896D4F">
        <w:t>Om det finns skäl att häkta någon, får han anhållas i avvaktan på rättens pröv</w:t>
      </w:r>
      <w:r w:rsidRPr="00896D4F">
        <w:softHyphen/>
        <w:t>ning av häktningsfrågan. Finns inte fulla skäl till häktning men är den mis</w:t>
      </w:r>
      <w:r w:rsidRPr="00896D4F">
        <w:t>s</w:t>
      </w:r>
      <w:r w:rsidRPr="00896D4F">
        <w:t>tänkte skäli</w:t>
      </w:r>
      <w:r w:rsidRPr="00896D4F">
        <w:softHyphen/>
        <w:t>gen misstänkt för brottet, får han anhållas om det är av synnerlig vikt att han tas i förvar i avvaktan på ytterligare utredning. Beslut om anhå</w:t>
      </w:r>
      <w:r w:rsidRPr="00896D4F">
        <w:t>l</w:t>
      </w:r>
      <w:r w:rsidRPr="00896D4F">
        <w:t xml:space="preserve">lande meddelas av åklagaren (24 kap. 6 § RB). </w:t>
      </w:r>
    </w:p>
    <w:p w:rsidR="009C1C5A" w:rsidRPr="00896D4F" w:rsidRDefault="009C1C5A">
      <w:pPr>
        <w:pStyle w:val="Normaltindrag"/>
      </w:pPr>
      <w:r w:rsidRPr="00896D4F">
        <w:t xml:space="preserve">Grundtanken att anhållande inte skall pågå längre än till dess domstolen blivit i tillfälle att besluta rörande häktning medför att åklagaren inte utan vidare kan anhålla den som efter domstols prövning av fråga om häktning sätts </w:t>
      </w:r>
      <w:r w:rsidRPr="00896D4F">
        <w:t>på fri fot. Enligt den praxis som utvecklats torde det krävas att nya o</w:t>
      </w:r>
      <w:r w:rsidRPr="00896D4F">
        <w:t>m</w:t>
      </w:r>
      <w:r w:rsidRPr="00896D4F">
        <w:t>ständigheter tillkommit som påkallar en sådan åtgärd (Fitger, Rättegångsba</w:t>
      </w:r>
      <w:r w:rsidRPr="00896D4F">
        <w:t>l</w:t>
      </w:r>
      <w:r w:rsidRPr="00896D4F">
        <w:t>ken, del 2, s. 24:29 och JO 1954 s. 139).</w:t>
      </w:r>
    </w:p>
    <w:p w:rsidR="009C1C5A" w:rsidRPr="00896D4F" w:rsidRDefault="009C1C5A">
      <w:pPr>
        <w:pStyle w:val="Rubrik4"/>
      </w:pPr>
      <w:r w:rsidRPr="00896D4F">
        <w:t>9.3 Bedömning</w:t>
      </w:r>
    </w:p>
    <w:p w:rsidR="009C1C5A" w:rsidRPr="00896D4F" w:rsidRDefault="009C1C5A">
      <w:r w:rsidRPr="00896D4F">
        <w:t>Tingsrätten häktade den 8 september 1998 J.A. såsom på sannolika skäl misstänkt för mord. Göta hovrätt hävde sedan häktningsbeslutet den 15 se</w:t>
      </w:r>
      <w:r w:rsidRPr="00896D4F">
        <w:t>p</w:t>
      </w:r>
      <w:r w:rsidRPr="00896D4F">
        <w:t xml:space="preserve">tember 1998. Redan påföljande dag anhöll Marianne Aldén återigen J.A. såsom misstänkt för mord. Efter begäran om överprövning hävde Birgitta Fernqvist anhållningsbeslutet den 17 september 1998. </w:t>
      </w:r>
    </w:p>
    <w:p w:rsidR="009C1C5A" w:rsidRPr="00896D4F" w:rsidRDefault="009C1C5A">
      <w:pPr>
        <w:pStyle w:val="Normaltindrag"/>
      </w:pPr>
      <w:r w:rsidRPr="00896D4F">
        <w:t>J.A. har framfört klagomål mot Marianne Aldéns anhållningsbeslut den 16 september 1998 och bl.a. anfört att det fortfarande är okänt på vilken grund hon beslutade att anhålla honom mindre än ett dygn efter det att Göta hovrätt hade hävt det tidigare fattade beslutet om häktning. Han har vidare klagat på att Mariann</w:t>
      </w:r>
      <w:r w:rsidRPr="00896D4F">
        <w:t>e Aldén inte underrättade Staffan Bergfeldt om att J.A. hade blivit anhållen igen, utan att det var J.A. som själv fick berätta detta för sin försv</w:t>
      </w:r>
      <w:r w:rsidRPr="00896D4F">
        <w:t>a</w:t>
      </w:r>
      <w:r w:rsidRPr="00896D4F">
        <w:t xml:space="preserve">rare. </w:t>
      </w:r>
    </w:p>
    <w:p w:rsidR="009C1C5A" w:rsidRPr="00896D4F" w:rsidRDefault="009C1C5A">
      <w:pPr>
        <w:pStyle w:val="Normaltindrag"/>
      </w:pPr>
      <w:r w:rsidRPr="00896D4F">
        <w:t>Marianne Aldén har anfört att tingsrättens häktningsbeslut ledde till att fl</w:t>
      </w:r>
      <w:r w:rsidRPr="00896D4F">
        <w:t>e</w:t>
      </w:r>
      <w:r w:rsidRPr="00896D4F">
        <w:t>ra förhör kunde hållas och att utredningen därför, när hovrätten beslutade att upphäva beslutet, hade kommit i ett helt annat och nytt läge. De intagna hade börjat berätta och man uppfattade en ”ketchupeffekt”. Det kom enligt Mar</w:t>
      </w:r>
      <w:r w:rsidRPr="00896D4F">
        <w:t>i</w:t>
      </w:r>
      <w:r w:rsidRPr="00896D4F">
        <w:t>anne Aldén under kort tid fram nya uppgifter som sammanställdes med de gamla uppgifterna. Hennes bedömning var därför att utredningen var i ett sådant läge att ett nytt anhållande kunde ske och en ny häktningsförhandling hållas.</w:t>
      </w:r>
    </w:p>
    <w:p w:rsidR="009C1C5A" w:rsidRPr="00896D4F" w:rsidRDefault="009C1C5A">
      <w:pPr>
        <w:pStyle w:val="Normaltindrag"/>
      </w:pPr>
      <w:r w:rsidRPr="00896D4F">
        <w:t>I ärendet har förebragts vissa handlingar beträffand</w:t>
      </w:r>
      <w:r w:rsidRPr="00896D4F">
        <w:t>e den nu diskuterade frågan, bl.a. den tidigare nämnda promemorian upprättad med anledning av hovrättens beslut att häva häktningsbeslutet och häktningspromemorian den 16 september 1998. Vidare kan nämnas en förteckning över hållna förhör och en promemoria angående tidpunkten för dessa förhör. Av handlingarna fra</w:t>
      </w:r>
      <w:r w:rsidRPr="00896D4F">
        <w:t>m</w:t>
      </w:r>
      <w:r w:rsidRPr="00896D4F">
        <w:t>går att utredningsåtgärder i form av förhör med ett flertal personer ägde rum mellan hovrättens beslut den 15 september 1998 och anhållningsbeslutet påföljande dag. En del av de då lämnade uppgifte</w:t>
      </w:r>
      <w:r w:rsidRPr="00896D4F">
        <w:t>rna kan tänkas ha varit av visst intresse för utredningen.</w:t>
      </w:r>
    </w:p>
    <w:p w:rsidR="009C1C5A" w:rsidRPr="00896D4F" w:rsidRDefault="009C1C5A">
      <w:pPr>
        <w:pStyle w:val="Normaltindrag"/>
      </w:pPr>
      <w:r w:rsidRPr="00896D4F">
        <w:t>Åklagarmyndigheten har i remissvaret anfört det inte är klart vilka nya omständigheter som låg till grund för Marianne Aldéns beslut att anhålla J.A. igen. Enligt myndighetens bedömning förelåg det emellertid inte några sådana omständigheter som kunde anses utgöra grund för ett nytt anhållande. Det torde emellertid enligt vad myndigheten anfört kunna finnas utrymme för olika bedömningar i saken.</w:t>
      </w:r>
    </w:p>
    <w:p w:rsidR="009C1C5A" w:rsidRPr="00896D4F" w:rsidRDefault="009C1C5A">
      <w:pPr>
        <w:pStyle w:val="Normaltindrag"/>
      </w:pPr>
      <w:r w:rsidRPr="00896D4F">
        <w:t xml:space="preserve">Som framgår av redogörelsen för den rättsliga regleringen krävs det enligt praxis att nya omständigheter tillkommit för att åklagaren på nytt skall få anhålla den som efter domstols prövning av fråga om häktning har försatts på fri fot. </w:t>
      </w:r>
    </w:p>
    <w:p w:rsidR="009C1C5A" w:rsidRPr="00896D4F" w:rsidRDefault="009C1C5A">
      <w:pPr>
        <w:pStyle w:val="Normaltindrag"/>
      </w:pPr>
      <w:r w:rsidRPr="00896D4F">
        <w:t>Frågan om en person skall anhållas eller inte är, som åklagarmyndigheten anfört, av den arten att den ger ett visst utrymme för olika, var för sig godta</w:t>
      </w:r>
      <w:r w:rsidRPr="00896D4F">
        <w:t>g</w:t>
      </w:r>
      <w:r w:rsidRPr="00896D4F">
        <w:t xml:space="preserve">bara bedömningar. Även om det kan ifrågasättas om de omständigheter som hade tillkommit verkligen var av sådant slag att de kunde utgöra grund för ett nytt anhållningsbeslut, ger mig utredningen inte tillräckligt underlag för att påstå att Marianne Aldéns beslut att åter anhålla J.A. låg utanför ramen för vad som får betraktas som godtagbart. </w:t>
      </w:r>
    </w:p>
    <w:p w:rsidR="009C1C5A" w:rsidRPr="00896D4F" w:rsidRDefault="009C1C5A">
      <w:pPr>
        <w:pStyle w:val="Normaltindrag"/>
      </w:pPr>
      <w:r w:rsidRPr="00896D4F">
        <w:t>Vad sedan gäller Marianne Aldéns underlåtenhet att underrätta Staffan Bergfeldt om att J.A. hade anhållits på nytt har åklagarmyndigheten upplyst att J.A. omedelbart</w:t>
      </w:r>
      <w:r w:rsidRPr="00896D4F">
        <w:t xml:space="preserve"> efter det att förhör hade hållits med honom kontaktade Staffan Bergfeldts kollega Dick Levinson, som sedan begärde överprövning av anhållningsbeslutet. J.A:s intressen synes således vid detta tillfälle ha b</w:t>
      </w:r>
      <w:r w:rsidRPr="00896D4F">
        <w:t>e</w:t>
      </w:r>
      <w:r w:rsidRPr="00896D4F">
        <w:t>vakats av Dick Levinson. Vad som förekommit i denna del ger mot den a</w:t>
      </w:r>
      <w:r w:rsidRPr="00896D4F">
        <w:t>n</w:t>
      </w:r>
      <w:r w:rsidRPr="00896D4F">
        <w:t>givna bakgrunden inte anledning till något uttalande från min sida.</w:t>
      </w:r>
    </w:p>
    <w:p w:rsidR="009C1C5A" w:rsidRPr="00896D4F" w:rsidRDefault="009C1C5A">
      <w:pPr>
        <w:pStyle w:val="Rubrik3"/>
      </w:pPr>
      <w:r w:rsidRPr="00896D4F">
        <w:t>10 Sammanfattande anmärkningar</w:t>
      </w:r>
    </w:p>
    <w:p w:rsidR="009C1C5A" w:rsidRPr="00896D4F" w:rsidRDefault="009C1C5A">
      <w:r w:rsidRPr="00896D4F">
        <w:t>I de två här behandlade ärendena, som avser en förundersökning med anle</w:t>
      </w:r>
      <w:r w:rsidRPr="00896D4F">
        <w:t>d</w:t>
      </w:r>
      <w:r w:rsidRPr="00896D4F">
        <w:t>ning av ett mord, har ett antal frågor av stor betydelse för den misstänktes rättssäkerhet under en förundersökning kommit att aktualiseras. Dessa frågor avser bl.a. den misstänktes rätt till försvarare, formerna för hörande av vittnen inför domstol under förundersökningen, åklagarens redovisning av utre</w:t>
      </w:r>
      <w:r w:rsidRPr="00896D4F">
        <w:t>d</w:t>
      </w:r>
      <w:r w:rsidRPr="00896D4F">
        <w:t>ningsmaterialet vid häktningsförhandlingen och åklagarens möjligheter att åter anhålla en misstänkt efter det att en domstol har hävt ett häktningsbeslut avseende denne.</w:t>
      </w:r>
    </w:p>
    <w:p w:rsidR="009C1C5A" w:rsidRPr="00896D4F" w:rsidRDefault="009C1C5A">
      <w:pPr>
        <w:pStyle w:val="Normaltindrag"/>
      </w:pPr>
      <w:r w:rsidRPr="00896D4F">
        <w:t>Av utredningen framgår att den åkla</w:t>
      </w:r>
      <w:r w:rsidRPr="00896D4F">
        <w:t>gare som var förundersökningsledare inte till rätten vidarebefordrade den misstänktes önskemål att en offentlig försvarare skulle förordnas för honom. En person som är misstänkt för ett brott för vilket inte är stadgat lindrigare straff än fängelse sex månader har enligt rättegångsbalken en ovillkorlig rätt att på begäran få en offentlig fö</w:t>
      </w:r>
      <w:r w:rsidRPr="00896D4F">
        <w:t>r</w:t>
      </w:r>
      <w:r w:rsidRPr="00896D4F">
        <w:t>svarare. Om offentlig försvarare skall utses för den misstänkte åligger det undersökningsledaren att göra anmälan om det hos rätten. Rätten till försvar</w:t>
      </w:r>
      <w:r w:rsidRPr="00896D4F">
        <w:t>a</w:t>
      </w:r>
      <w:r w:rsidRPr="00896D4F">
        <w:t>re är av grundlä</w:t>
      </w:r>
      <w:r w:rsidRPr="00896D4F">
        <w:t>ggande betydelse för den misstänktes rättssäkerhet, och det finns därför anledning att rikta allvarlig kritik mot den ansvariga åklagaren med anledning av hennes underlåtenhet i detta hänseende.</w:t>
      </w:r>
    </w:p>
    <w:p w:rsidR="009C1C5A" w:rsidRPr="00896D4F" w:rsidRDefault="009C1C5A">
      <w:pPr>
        <w:pStyle w:val="Normaltindrag"/>
      </w:pPr>
      <w:r w:rsidRPr="00896D4F">
        <w:t>En fråga i ärendet av betydande principiellt intresse gäller möjligheterna att vid domstol hålla förhör med ett vittne vars identitet inte är känd för den ena parten. Under förundersökningen hölls på åklagarens begäran en bevi</w:t>
      </w:r>
      <w:r w:rsidRPr="00896D4F">
        <w:t>s</w:t>
      </w:r>
      <w:r w:rsidRPr="00896D4F">
        <w:t xml:space="preserve">upptagning vid domstol vid vilken förhör hölls med ett av åklagaren åberopat vittne vars identitet och utseende hemlighölls för de närvarande försvararna. Det framgår vidare att de misstänkta inte hade kallats till bevisupptagningen. </w:t>
      </w:r>
    </w:p>
    <w:p w:rsidR="009C1C5A" w:rsidRPr="00896D4F" w:rsidRDefault="009C1C5A">
      <w:pPr>
        <w:pStyle w:val="Normaltindrag"/>
      </w:pPr>
      <w:r w:rsidRPr="00896D4F">
        <w:t>Som närmare utvecklas i beslutet är användning av anonyma vittnen vid domstol inte tillåten enligt svensk rätt. Detta gäller oavsett om vittnesförhöret äger rum vid eller utom huvudförhandling. Tanken att tillåta anonyma vittnen i brottmål har vid flera tillfällen avvisats så</w:t>
      </w:r>
      <w:r w:rsidRPr="00896D4F">
        <w:t>väl av statsmakterna som av olika utredningar som därvid har hänvisat till den tilltalades rättssäkerhet. Den omständigheten att Europadomstolen har uttalat att användning av anonyma vittnen inte i alla situationer är oförenlig med Europakonventionen saknar därför betydelse i sammanhanget. Det saknas vidare rättslig möjlighet att underlåta att kalla en misstänkt till en bevisupptagning av det slag som det här var fråga om. Det finns därför anledning att rikta kritik mot såväl åklagaren som domaren med anled</w:t>
      </w:r>
      <w:r w:rsidRPr="00896D4F">
        <w:t>ning av det förfarande som tillämpades vid bevi</w:t>
      </w:r>
      <w:r w:rsidRPr="00896D4F">
        <w:t>s</w:t>
      </w:r>
      <w:r w:rsidRPr="00896D4F">
        <w:t xml:space="preserve">upptagningen. </w:t>
      </w:r>
    </w:p>
    <w:p w:rsidR="009C1C5A" w:rsidRPr="00896D4F" w:rsidRDefault="009C1C5A">
      <w:pPr>
        <w:pStyle w:val="Normaltindrag"/>
      </w:pPr>
      <w:r w:rsidRPr="00896D4F">
        <w:t>Vad som förekommit i ärendet har vidare gett mig anledning att framhålla vikten av att åklagaren inför en häktningsförhandling sätter sig in i utre</w:t>
      </w:r>
      <w:r w:rsidRPr="00896D4F">
        <w:t>d</w:t>
      </w:r>
      <w:r w:rsidRPr="00896D4F">
        <w:t>ningsmaterialet på sådant sätt att han eller hon har möjlighet att redovisa alla de omständigheter som kan ha betydelse för rättens ställningstagande i häk</w:t>
      </w:r>
      <w:r w:rsidRPr="00896D4F">
        <w:t>t</w:t>
      </w:r>
      <w:r w:rsidRPr="00896D4F">
        <w:t>ningsfrågan.</w:t>
      </w:r>
    </w:p>
    <w:p w:rsidR="009C1C5A" w:rsidRPr="00896D4F" w:rsidRDefault="009C1C5A">
      <w:pPr>
        <w:pStyle w:val="Normaltindrag"/>
      </w:pPr>
      <w:r w:rsidRPr="00896D4F">
        <w:t>Det kan slutligen ifrågasättas om det efter hovrättens beslut att häva häk</w:t>
      </w:r>
      <w:r w:rsidRPr="00896D4F">
        <w:t>t</w:t>
      </w:r>
      <w:r w:rsidRPr="00896D4F">
        <w:t>ningsbeslutet verkligen hade tillkommit sådana nya omständigheter som ku</w:t>
      </w:r>
      <w:r w:rsidRPr="00896D4F">
        <w:t>n</w:t>
      </w:r>
      <w:r w:rsidRPr="00896D4F">
        <w:t xml:space="preserve">de motivera åklagarens åtgärd att omgående fatta ett nytt anhållningsbeslut. </w:t>
      </w:r>
    </w:p>
    <w:p w:rsidR="009C1C5A" w:rsidRPr="00896D4F" w:rsidRDefault="009C1C5A">
      <w:pPr>
        <w:pStyle w:val="Normaltindrag"/>
      </w:pPr>
      <w:r w:rsidRPr="00896D4F">
        <w:t>Det kan således sammanfattningsvis konstateras att handläggningen av förundersökningen brustit i flera från rättssäkerhetssynpunkt centrala häns</w:t>
      </w:r>
      <w:r w:rsidRPr="00896D4F">
        <w:t>e</w:t>
      </w:r>
      <w:r w:rsidRPr="00896D4F">
        <w:t>enden.</w:t>
      </w:r>
    </w:p>
    <w:p w:rsidR="009C1C5A" w:rsidRPr="00896D4F" w:rsidRDefault="009C1C5A">
      <w:pPr>
        <w:pStyle w:val="Normaltindrag"/>
      </w:pPr>
      <w:r w:rsidRPr="00896D4F">
        <w:t>Vad som i övrigt kommit fram föranleder inte någon åtgärd eller något u</w:t>
      </w:r>
      <w:r w:rsidRPr="00896D4F">
        <w:t>t</w:t>
      </w:r>
      <w:r w:rsidRPr="00896D4F">
        <w:t>talande från min sida.</w:t>
      </w:r>
    </w:p>
    <w:p w:rsidR="009C1C5A" w:rsidRPr="00896D4F" w:rsidRDefault="009C1C5A">
      <w:pPr>
        <w:pStyle w:val="Rubrik2"/>
      </w:pPr>
      <w:r w:rsidRPr="00896D4F">
        <w:t xml:space="preserve">Skrivelse till Justitiedepartementet med anledning av iakttagelser gjorda under inspektioner av den brottsutredande verksamheten vid ett antal polismyndigheter </w:t>
      </w:r>
    </w:p>
    <w:p w:rsidR="009C1C5A" w:rsidRPr="00896D4F" w:rsidRDefault="009C1C5A">
      <w:pPr>
        <w:spacing w:before="0"/>
      </w:pPr>
      <w:r w:rsidRPr="00896D4F">
        <w:t>(Dnr 3585-1999 m.fl.)</w:t>
      </w:r>
    </w:p>
    <w:p w:rsidR="009C1C5A" w:rsidRPr="00896D4F" w:rsidRDefault="009C1C5A">
      <w:r w:rsidRPr="00896D4F">
        <w:t>I en skrivelse till Justitiedepartementet den 31 maj 2002, vilken också öve</w:t>
      </w:r>
      <w:r w:rsidRPr="00896D4F">
        <w:t>r</w:t>
      </w:r>
      <w:r w:rsidRPr="00896D4F">
        <w:t xml:space="preserve">sändes till bl.a. justitieutskottet för kännedom, anförde </w:t>
      </w:r>
      <w:r w:rsidRPr="00896D4F">
        <w:rPr>
          <w:i/>
        </w:rPr>
        <w:t>chefsJO Eklundh</w:t>
      </w:r>
      <w:r w:rsidRPr="00896D4F">
        <w:t xml:space="preserve"> fö</w:t>
      </w:r>
      <w:r w:rsidRPr="00896D4F">
        <w:t>l</w:t>
      </w:r>
      <w:r w:rsidRPr="00896D4F">
        <w:t xml:space="preserve">jande. </w:t>
      </w:r>
    </w:p>
    <w:p w:rsidR="009C1C5A" w:rsidRPr="00896D4F" w:rsidRDefault="009C1C5A">
      <w:pPr>
        <w:pStyle w:val="Rubrik3"/>
      </w:pPr>
      <w:r w:rsidRPr="00896D4F">
        <w:t>Bakgrund</w:t>
      </w:r>
    </w:p>
    <w:p w:rsidR="009C1C5A" w:rsidRPr="00896D4F" w:rsidRDefault="009C1C5A">
      <w:r w:rsidRPr="00896D4F">
        <w:t xml:space="preserve">Till polisens uppgifter hör enligt 2 § polislagen (1984:387) bl.a. att förebygga brott och andra störningar av den allmänna ordningen eller säkerheten samt att bedriva spaning och utredning i fråga om brott som hör under allmänt åtal. </w:t>
      </w:r>
    </w:p>
    <w:p w:rsidR="009C1C5A" w:rsidRPr="00896D4F" w:rsidRDefault="009C1C5A">
      <w:pPr>
        <w:pStyle w:val="Normaltindrag"/>
      </w:pPr>
      <w:r w:rsidRPr="00896D4F">
        <w:t>En väl fungerande utredningsverksamhet har en betydande brottsföreby</w:t>
      </w:r>
      <w:r w:rsidRPr="00896D4F">
        <w:t>g</w:t>
      </w:r>
      <w:r w:rsidRPr="00896D4F">
        <w:t>gande effekt och den bidrar därmed till tryggheten i samhället. Att anmälda brott utreds på ett kompetent sätt inom rimlig tid är vidare en förutsättning för att målsägandenas intressen skall kunna tillvaratas och är också av grun</w:t>
      </w:r>
      <w:r w:rsidRPr="00896D4F">
        <w:t>d</w:t>
      </w:r>
      <w:r w:rsidRPr="00896D4F">
        <w:t xml:space="preserve">läggande betydelse för allmänhetens förtroende för polisen. Många människor får sin första kontakt med polisen i samband med att de utsätts för brott, t.ex. en misshandel eller ett bostads- eller bilinbrott, och det sätt på vilket en brottsanmälan handläggs blir ofta bestämmande </w:t>
      </w:r>
      <w:r w:rsidRPr="00896D4F">
        <w:t>för anmälarens fortsatta syn på polisen och rättssamhället. Det ligger även i en för brott utpekad persons intresse att polisens handläggning inte drar ut på tiden.</w:t>
      </w:r>
    </w:p>
    <w:p w:rsidR="009C1C5A" w:rsidRPr="00896D4F" w:rsidRDefault="009C1C5A">
      <w:pPr>
        <w:pStyle w:val="Normaltindrag"/>
      </w:pPr>
      <w:r w:rsidRPr="00896D4F">
        <w:t>Det är därför av största vikt att utredningsverksamheten ges tillräckliga r</w:t>
      </w:r>
      <w:r w:rsidRPr="00896D4F">
        <w:t>e</w:t>
      </w:r>
      <w:r w:rsidRPr="00896D4F">
        <w:t>surser och att de enheter inom polisväsendet som sysslar med brottsutredning är organiserade på ett ändamålsenligt sätt. Av avgörande betydelse för mö</w:t>
      </w:r>
      <w:r w:rsidRPr="00896D4F">
        <w:t>j</w:t>
      </w:r>
      <w:r w:rsidRPr="00896D4F">
        <w:t>ligheterna att bedriva en effektiv och rättssäker verksamhet är vidare att den personal som arbetar med brottsutredning har den utbildning och kompetens i övrigt som uppgiften kräver. Det nu sagda gäller självfallet även i fråga om den utredningsverksamhet som b</w:t>
      </w:r>
      <w:r w:rsidRPr="00896D4F">
        <w:t>e</w:t>
      </w:r>
      <w:r w:rsidRPr="00896D4F">
        <w:t>drivs vid närpolisen.</w:t>
      </w:r>
    </w:p>
    <w:p w:rsidR="009C1C5A" w:rsidRPr="00896D4F" w:rsidRDefault="009C1C5A">
      <w:pPr>
        <w:pStyle w:val="Normaltindrag"/>
      </w:pPr>
      <w:r w:rsidRPr="00896D4F">
        <w:t>Jag kunde under tiden efter genomförandet av närpolisreformen i ett antal t</w:t>
      </w:r>
      <w:r w:rsidRPr="00896D4F">
        <w:t>illsyns</w:t>
      </w:r>
      <w:r w:rsidRPr="00896D4F">
        <w:softHyphen/>
        <w:t>ärenden konstatera att det förekom brister av olika slag i närpolisens utredningar av s.k. vardagsbrottslighet. Iakttagelserna avsåg såväl oaccept</w:t>
      </w:r>
      <w:r w:rsidRPr="00896D4F">
        <w:t>a</w:t>
      </w:r>
      <w:r w:rsidRPr="00896D4F">
        <w:t>belt långa handläggningstider som formella brister av skilda slag. Jag beslut</w:t>
      </w:r>
      <w:r w:rsidRPr="00896D4F">
        <w:t>a</w:t>
      </w:r>
      <w:r w:rsidRPr="00896D4F">
        <w:t>de därför år 1999 att försöka få en bredare bild av närpolisens utredningsver</w:t>
      </w:r>
      <w:r w:rsidRPr="00896D4F">
        <w:t>k</w:t>
      </w:r>
      <w:r w:rsidRPr="00896D4F">
        <w:t>samhet genom att genomföra inspektioner vid ett antal polismyndigheter. Dessa inspektioner ägde rum under tiden september 1999–maj 2001. Inspe</w:t>
      </w:r>
      <w:r w:rsidRPr="00896D4F">
        <w:t>k</w:t>
      </w:r>
      <w:r w:rsidRPr="00896D4F">
        <w:t>tionerna gav upphov till ett antal särskilda ärenden. Seda</w:t>
      </w:r>
      <w:r w:rsidRPr="00896D4F">
        <w:t>n dessa nu avslutats får jag härmed för kännedom överlämna protokollen från inspektionerna och samtliga de beslut som kan vara av intresse. Ett antal av dessa beslut har r</w:t>
      </w:r>
      <w:r w:rsidRPr="00896D4F">
        <w:t>e</w:t>
      </w:r>
      <w:r w:rsidRPr="00896D4F">
        <w:t>dan tidigare tillställts depa</w:t>
      </w:r>
      <w:r w:rsidRPr="00896D4F">
        <w:t>r</w:t>
      </w:r>
      <w:r w:rsidRPr="00896D4F">
        <w:t>tementet.</w:t>
      </w:r>
    </w:p>
    <w:p w:rsidR="009C1C5A" w:rsidRPr="00896D4F" w:rsidRDefault="009C1C5A">
      <w:pPr>
        <w:pStyle w:val="Rubrik3"/>
      </w:pPr>
      <w:r w:rsidRPr="00896D4F">
        <w:t>Allmänt om uppläggningen av inspektionerna</w:t>
      </w:r>
    </w:p>
    <w:p w:rsidR="009C1C5A" w:rsidRPr="00896D4F" w:rsidRDefault="009C1C5A">
      <w:r w:rsidRPr="00896D4F">
        <w:t>Urvalet av de myndigheter som skulle inspekteras gjordes på ett sådant sätt att man skulle kunna få en uppfattning om utredningen av vardagsbrottslighet vid polismyndigheter av olika storlek och i olika delar av landet. Syftet var att med en rimlig arbetsinsats få en representativ bild av den brottsutredande verksamheten inom det svenska polisväsendet.</w:t>
      </w:r>
    </w:p>
    <w:p w:rsidR="009C1C5A" w:rsidRPr="00896D4F" w:rsidRDefault="009C1C5A">
      <w:pPr>
        <w:pStyle w:val="Normaltindrag"/>
      </w:pPr>
      <w:r w:rsidRPr="00896D4F">
        <w:t>Det visade sig under inspektionerna att närpolisreformen hade utformats på olika sätt vid olika polismyndigheter. För att man skulle få en rättvisande bild av utredningen av vardagsbrottslighet vid de olika myndigheterna var det därför nödvändigt att i vissa fall låta inspektionerna avse också centrala u</w:t>
      </w:r>
      <w:r w:rsidRPr="00896D4F">
        <w:t>t</w:t>
      </w:r>
      <w:r w:rsidRPr="00896D4F">
        <w:t>redningsenheter av olika slag.</w:t>
      </w:r>
    </w:p>
    <w:p w:rsidR="009C1C5A" w:rsidRPr="00896D4F" w:rsidRDefault="009C1C5A">
      <w:pPr>
        <w:pStyle w:val="Rubrik3"/>
      </w:pPr>
      <w:r w:rsidRPr="00896D4F">
        <w:t>Inspektionerna</w:t>
      </w:r>
    </w:p>
    <w:p w:rsidR="009C1C5A" w:rsidRPr="00896D4F" w:rsidRDefault="009C1C5A">
      <w:pPr>
        <w:pStyle w:val="Rubrik4"/>
        <w:spacing w:before="125"/>
      </w:pPr>
      <w:r w:rsidRPr="00896D4F">
        <w:t>Polismyndigheten i Stockholms län</w:t>
      </w:r>
    </w:p>
    <w:p w:rsidR="009C1C5A" w:rsidRPr="00896D4F" w:rsidRDefault="009C1C5A">
      <w:r w:rsidRPr="00896D4F">
        <w:t>I september 1999 inspekterades närpolisområde Centralstationen (CST) (dnr 3585-1999), i maj 2000 närpolisområde Klara (dnr 1647-2000), båda i City polismästardistrikt, och i november 2000 närpolisområde Upplands Väsby (dnr 3973-2000) i Norrorts polismästardistrikt.</w:t>
      </w:r>
    </w:p>
    <w:p w:rsidR="009C1C5A" w:rsidRPr="00896D4F" w:rsidRDefault="009C1C5A">
      <w:pPr>
        <w:pStyle w:val="Normaltindrag"/>
      </w:pPr>
      <w:r w:rsidRPr="00896D4F">
        <w:t>Mina bedömningar i de ärenden som föranleddes av iakttagelserna vid i</w:t>
      </w:r>
      <w:r w:rsidRPr="00896D4F">
        <w:t>n</w:t>
      </w:r>
      <w:r w:rsidRPr="00896D4F">
        <w:t>spektionerna redovisades i beslut den 8 mars (dnr 4613-1999), den 9 mars (dnr 4618-1999), den 6 april (dnr 4617-1999), den 10 april (dnr 4620-1999), den 25 april (dnr 4615-1999 och 4616-1999), den 17 oktober (dnr 4612-1999), den 14 december (dnr 4619-1999) och den 19 december 2000 (dnr 4614-1999) avseende närpolisområde CST, den 9 oktober (dnr 2213-2000 och 2215-2000), den 17 oktober (dnr 2214-2000), den 6 november (dnr 2211-2000), den 11 december (dnr 2210-2000 och 2212-2000) och den 15 dece</w:t>
      </w:r>
      <w:r w:rsidRPr="00896D4F">
        <w:t>m</w:t>
      </w:r>
      <w:r w:rsidRPr="00896D4F">
        <w:t>ber 2000 (dnr</w:t>
      </w:r>
      <w:r w:rsidRPr="00896D4F">
        <w:t xml:space="preserve"> 2216-2000) avseende närpolisområde Klara samt den 12 mars 2001 (dnr 4226-2000) avseende närpolisområde Up</w:t>
      </w:r>
      <w:r w:rsidRPr="00896D4F">
        <w:t>p</w:t>
      </w:r>
      <w:r w:rsidRPr="00896D4F">
        <w:t xml:space="preserve">lands Väsby.  </w:t>
      </w:r>
    </w:p>
    <w:p w:rsidR="009C1C5A" w:rsidRPr="00896D4F" w:rsidRDefault="009C1C5A">
      <w:pPr>
        <w:pStyle w:val="Rubrik4"/>
      </w:pPr>
      <w:r w:rsidRPr="00896D4F">
        <w:t>Polismyndigheten i Hallands län</w:t>
      </w:r>
    </w:p>
    <w:p w:rsidR="009C1C5A" w:rsidRPr="00896D4F" w:rsidRDefault="009C1C5A">
      <w:r w:rsidRPr="00896D4F">
        <w:t>I juni 2000 inspekterades kriminalavdelningen i Halmstad och närpolisomr</w:t>
      </w:r>
      <w:r w:rsidRPr="00896D4F">
        <w:t>å</w:t>
      </w:r>
      <w:r w:rsidRPr="00896D4F">
        <w:t>de Halmstad (dnr 2127-2000). Mina bedömningar i de ärenden som föranle</w:t>
      </w:r>
      <w:r w:rsidRPr="00896D4F">
        <w:t>d</w:t>
      </w:r>
      <w:r w:rsidRPr="00896D4F">
        <w:t>des av iakttagelserna vid inspektionen redovisades i beslut den 18 januari (dnr 3212-2000), den  31 januari (dnr 3203-2000), den 6 februari (dnr 3209-2000), den 13 juni (dnr 3211-2000), den 6 juli (dnr 3204-2000 och 3206-2000) och den 5 okt</w:t>
      </w:r>
      <w:r w:rsidRPr="00896D4F">
        <w:t>o</w:t>
      </w:r>
      <w:r w:rsidRPr="00896D4F">
        <w:t xml:space="preserve">ber 2001 (dnr 3208-2000). </w:t>
      </w:r>
    </w:p>
    <w:p w:rsidR="009C1C5A" w:rsidRPr="00896D4F" w:rsidRDefault="009C1C5A">
      <w:pPr>
        <w:pStyle w:val="Rubrik4"/>
      </w:pPr>
      <w:r w:rsidRPr="00896D4F">
        <w:t>Polismyndigheten i Kalmar län</w:t>
      </w:r>
    </w:p>
    <w:p w:rsidR="009C1C5A" w:rsidRPr="00896D4F" w:rsidRDefault="009C1C5A">
      <w:r w:rsidRPr="00896D4F">
        <w:t>I december 2000 inspekterades kriminalavdelningen och närpolisområde Kalmar (dnr 4228-2000). Mina bedömningar i de ärenden som föranleddes av iakttage</w:t>
      </w:r>
      <w:r w:rsidRPr="00896D4F">
        <w:t>l</w:t>
      </w:r>
      <w:r w:rsidRPr="00896D4F">
        <w:t>serna vid inspektionen redovisades i beslut den 21 juni (dnr 527-2001) och den 25 juni 2001 (dnr 526-2001) samt den 19 mars 2002 (dnr 528-2001).</w:t>
      </w:r>
    </w:p>
    <w:p w:rsidR="009C1C5A" w:rsidRPr="00896D4F" w:rsidRDefault="009C1C5A">
      <w:pPr>
        <w:pStyle w:val="Rubrik4"/>
      </w:pPr>
      <w:r w:rsidRPr="00896D4F">
        <w:t>Polismyndigheten i Södermanlands län</w:t>
      </w:r>
    </w:p>
    <w:p w:rsidR="009C1C5A" w:rsidRPr="00896D4F" w:rsidRDefault="009C1C5A">
      <w:r w:rsidRPr="00896D4F">
        <w:t>I februari 2001 inspekterades utredningsverksamheten i Strängnäs i Poliso</w:t>
      </w:r>
      <w:r w:rsidRPr="00896D4F">
        <w:t>m</w:t>
      </w:r>
      <w:r w:rsidRPr="00896D4F">
        <w:t>råde Eskilstuna (dnr 667-2001). Mina bedömningar i de ärenden som föra</w:t>
      </w:r>
      <w:r w:rsidRPr="00896D4F">
        <w:t>n</w:t>
      </w:r>
      <w:r w:rsidRPr="00896D4F">
        <w:t>leddes av iakttagelserna vid inspektionen redovisades i beslut den 13 mars 2001 (dnr 667-2001) och den 19 november 2001 (dnr 3311-2001).</w:t>
      </w:r>
    </w:p>
    <w:p w:rsidR="009C1C5A" w:rsidRPr="00896D4F" w:rsidRDefault="009C1C5A">
      <w:pPr>
        <w:pStyle w:val="Rubrik4"/>
      </w:pPr>
      <w:r w:rsidRPr="00896D4F">
        <w:t>Polismyndigheten i Jämtlands län</w:t>
      </w:r>
    </w:p>
    <w:p w:rsidR="009C1C5A" w:rsidRPr="00896D4F" w:rsidRDefault="009C1C5A">
      <w:r w:rsidRPr="00896D4F">
        <w:t>I mars 2001 inspekterades kriminalavdelningen (rotel 9), polisområde Öste</w:t>
      </w:r>
      <w:r w:rsidRPr="00896D4F">
        <w:t>r</w:t>
      </w:r>
      <w:r w:rsidRPr="00896D4F">
        <w:t>sund och närpolisområde Berg (dnr 1087-2001). Mina bedömningar i det ärende som föranleddes av iakttagelserna vid inspektionen redovisades i ett beslut den 21 september 2001 (dnr 1456-2001).</w:t>
      </w:r>
    </w:p>
    <w:p w:rsidR="009C1C5A" w:rsidRPr="00896D4F" w:rsidRDefault="009C1C5A">
      <w:pPr>
        <w:pStyle w:val="Rubrik4"/>
      </w:pPr>
      <w:r w:rsidRPr="00896D4F">
        <w:t>Polismyndigheten i Norrbotten</w:t>
      </w:r>
    </w:p>
    <w:p w:rsidR="009C1C5A" w:rsidRPr="00896D4F" w:rsidRDefault="009C1C5A">
      <w:r w:rsidRPr="00896D4F">
        <w:t>I maj 2001 inspekterades länskriminalavdelningen samt närpolis</w:t>
      </w:r>
      <w:r w:rsidRPr="00896D4F">
        <w:softHyphen/>
        <w:t xml:space="preserve">områdena Boden och Luleå i polisområde Luleå (dnr 1914-2001). Mina bedömningar i de ärenden som föranleddes av iakttagelserna vid inspektionen redovisades i beslut den 26 juni (dnr 1914-2001) och den 2 november 2001 (dnr 2435-2001) samt den 15 maj 2002 (dnr 2437-2001). </w:t>
      </w:r>
    </w:p>
    <w:p w:rsidR="009C1C5A" w:rsidRPr="00896D4F" w:rsidRDefault="009C1C5A">
      <w:pPr>
        <w:pStyle w:val="Rubrik3"/>
      </w:pPr>
      <w:r w:rsidRPr="00896D4F">
        <w:t xml:space="preserve">Iakttagelser </w:t>
      </w:r>
    </w:p>
    <w:p w:rsidR="009C1C5A" w:rsidRPr="00896D4F" w:rsidRDefault="009C1C5A">
      <w:r w:rsidRPr="00896D4F">
        <w:t>Syftet med inspektionerna var i första hand att undersöka om ärendena vid de inspekterade enheterna handlades i enlighet med det skyndsamhetskrav som uppställs i 23 kap. 4 § andra stycket rättegångsbalken. Vid granskningen tillämpades ett ”generöst” synsätt, som innebar att som huvudregel endast sådana öppna ärenden i vilka det under minst ett års tid inte hade vidtagits någon synbar utredningsåtgärd antecknades i protokollet. Ungdomsärenden antecknades emellertid med utgångspunkt i de särskilda skyndsamhe</w:t>
      </w:r>
      <w:r w:rsidRPr="00896D4F">
        <w:t>tskraven i lagen (1964:167) med särskilda bestämmelser om unga lagöverträdare (LUL). I protokollen antecknades vidare iakttagelser av anmärkningsvärda dröjsmål med att fatta beslut i frågan om förundersökning skulle inledas samt iakttagelser av brister av andra slag i den formella handläg</w:t>
      </w:r>
      <w:r w:rsidRPr="00896D4F">
        <w:t>g</w:t>
      </w:r>
      <w:r w:rsidRPr="00896D4F">
        <w:t xml:space="preserve">ningen.  </w:t>
      </w:r>
    </w:p>
    <w:p w:rsidR="009C1C5A" w:rsidRPr="00896D4F" w:rsidRDefault="009C1C5A">
      <w:pPr>
        <w:pStyle w:val="Normaltindrag"/>
      </w:pPr>
      <w:r w:rsidRPr="00896D4F">
        <w:t xml:space="preserve">Ingen av de inspekterade myndigheterna undgick kritik. Det kunde genomgående konstateras att utredningsverksamheten vid de inspekterade enheterna inte uppfyllde rättegångsbalkens skyndsamhetskrav. När det gäller </w:t>
      </w:r>
      <w:r w:rsidRPr="00896D4F">
        <w:t>ungdomsärenden kunde jag i ett antal fall konstatera att det särskilda krav på skyndsam handläggning som läggs fast i 4 § LUL inte har varit uppfyllt. Som framgår av de bifogade protokollen och besluten kunde också andra brister i verksamheten iak</w:t>
      </w:r>
      <w:r w:rsidRPr="00896D4F">
        <w:t>t</w:t>
      </w:r>
      <w:r w:rsidRPr="00896D4F">
        <w:t xml:space="preserve">tas. </w:t>
      </w:r>
    </w:p>
    <w:p w:rsidR="009C1C5A" w:rsidRPr="00896D4F" w:rsidRDefault="009C1C5A">
      <w:pPr>
        <w:pStyle w:val="Rubrik3"/>
      </w:pPr>
      <w:r w:rsidRPr="00896D4F">
        <w:t>Åtgärder efter mina inspektioner</w:t>
      </w:r>
    </w:p>
    <w:p w:rsidR="009C1C5A" w:rsidRPr="00896D4F" w:rsidRDefault="009C1C5A">
      <w:r w:rsidRPr="00896D4F">
        <w:t>Jag har till uppföljning av inspektionerna infordrat uppgifter om balansläget vid de inspekterade enheterna vid polismyndigheterna i Stockholms, Hallands, Kalmar, Jämtlands och Södermanlands län avseende tidpunkter ungefär ett år efter respektive inspektionstillfälle. Jag har därvid kunnat ko</w:t>
      </w:r>
      <w:r w:rsidRPr="00896D4F">
        <w:t>n</w:t>
      </w:r>
      <w:r w:rsidRPr="00896D4F">
        <w:t>statera att balansläget genomgående har förbättrats. Det framgår emellertid inte i vilken utsträckning ärenden har avslutats genom att färdigställda föru</w:t>
      </w:r>
      <w:r w:rsidRPr="00896D4F">
        <w:t>n</w:t>
      </w:r>
      <w:r w:rsidRPr="00896D4F">
        <w:t>dersökningsprotokoll har lämnats till åklagare och i vilken utsträckning de i stället har avslutats genom nedläggningsbeslut av poli</w:t>
      </w:r>
      <w:r w:rsidRPr="00896D4F">
        <w:t>s</w:t>
      </w:r>
      <w:r w:rsidRPr="00896D4F">
        <w:t xml:space="preserve">myndigheten. </w:t>
      </w:r>
    </w:p>
    <w:p w:rsidR="009C1C5A" w:rsidRPr="00896D4F" w:rsidRDefault="009C1C5A">
      <w:pPr>
        <w:pStyle w:val="Normaltindrag"/>
      </w:pPr>
      <w:r w:rsidRPr="00896D4F">
        <w:t>Polismyndigheten i Södermanlands län har uppgett att myndigheten sedan den 1 januari 2002 har en ny organisation, som bl.a. innebär att det inte längre finns något Polisområde Eskilstuna. Det går därför inte at</w:t>
      </w:r>
      <w:r w:rsidRPr="00896D4F">
        <w:t>t göra några direkta jämförelser mellan den nuvarande situationen och förhållandena vid tidpun</w:t>
      </w:r>
      <w:r w:rsidRPr="00896D4F">
        <w:t>k</w:t>
      </w:r>
      <w:r w:rsidRPr="00896D4F">
        <w:t>ten för inspektionen. Redovisningarna från övriga myndigheter har samma</w:t>
      </w:r>
      <w:r w:rsidRPr="00896D4F">
        <w:t>n</w:t>
      </w:r>
      <w:r w:rsidRPr="00896D4F">
        <w:t xml:space="preserve">fattats i </w:t>
      </w:r>
      <w:r w:rsidRPr="00896D4F">
        <w:rPr>
          <w:i/>
        </w:rPr>
        <w:t>bilaga</w:t>
      </w:r>
      <w:r w:rsidRPr="00896D4F">
        <w:t xml:space="preserve"> till denna skr</w:t>
      </w:r>
      <w:r w:rsidRPr="00896D4F">
        <w:t>i</w:t>
      </w:r>
      <w:r w:rsidRPr="00896D4F">
        <w:t xml:space="preserve">velse. </w:t>
      </w:r>
    </w:p>
    <w:p w:rsidR="009C1C5A" w:rsidRPr="00896D4F" w:rsidRDefault="009C1C5A">
      <w:pPr>
        <w:pStyle w:val="Rubrik3"/>
      </w:pPr>
      <w:r w:rsidRPr="00896D4F">
        <w:t>Synpunkter med anledning av iakttagelserna</w:t>
      </w:r>
    </w:p>
    <w:p w:rsidR="009C1C5A" w:rsidRPr="00896D4F" w:rsidRDefault="009C1C5A">
      <w:r w:rsidRPr="00896D4F">
        <w:t>Jag har inte sett som min uppgift att göra någon egentlig analys av orsakerna till de iakttagna bristerna. I några fall har jag emellertid kunnat konstatera att personalstyrkan har varit klart underdimensionerad; i ett närpolisområde med en balans om 600 ärenden fanns exempelvis endast två utredningsmän, och vid en kriminalavdelning var en person förundersökningsledare i mer än 800 ärenden. Vid flera enheter saknades effektiv och kompetent arbetsledning, och på många håll förelåg brister vad gällde bevakni</w:t>
      </w:r>
      <w:r w:rsidRPr="00896D4F">
        <w:t>ngs- och prioriteringsr</w:t>
      </w:r>
      <w:r w:rsidRPr="00896D4F">
        <w:t>u</w:t>
      </w:r>
      <w:r w:rsidRPr="00896D4F">
        <w:t>tiner. I några fall hade ärendena t.ex. inte fördelats mellan olika utredande enheter på ett rationellt sätt.</w:t>
      </w:r>
    </w:p>
    <w:p w:rsidR="009C1C5A" w:rsidRPr="00896D4F" w:rsidRDefault="009C1C5A">
      <w:pPr>
        <w:pStyle w:val="Normaltindrag"/>
      </w:pPr>
      <w:r w:rsidRPr="00896D4F">
        <w:t>Polismyndigheterna har i sina yttranden själva i första hand hänvisat till r</w:t>
      </w:r>
      <w:r w:rsidRPr="00896D4F">
        <w:t>e</w:t>
      </w:r>
      <w:r w:rsidRPr="00896D4F">
        <w:t>sursbrist. I vissa fall har man också medgett att rutinerna för ärendebeva</w:t>
      </w:r>
      <w:r w:rsidRPr="00896D4F">
        <w:t>k</w:t>
      </w:r>
      <w:r w:rsidRPr="00896D4F">
        <w:t>ningen har varit bristfälliga och att utredningspersonalens kompetens inte har varit tillräc</w:t>
      </w:r>
      <w:r w:rsidRPr="00896D4F">
        <w:t>k</w:t>
      </w:r>
      <w:r w:rsidRPr="00896D4F">
        <w:t xml:space="preserve">lig. </w:t>
      </w:r>
    </w:p>
    <w:p w:rsidR="009C1C5A" w:rsidRPr="00896D4F" w:rsidRDefault="009C1C5A">
      <w:pPr>
        <w:pStyle w:val="Normaltindrag"/>
      </w:pPr>
      <w:r w:rsidRPr="00896D4F">
        <w:t>Jag har i ett antal beslut funnit anledning att erinra om vad som föreskrivs i 3 kap. 6 a § polisförordningen (1998:1558). Enligt denna bestämmelse skall polismyndigheten fördela ärendena mellan de anställda efter deras kvalifik</w:t>
      </w:r>
      <w:r w:rsidRPr="00896D4F">
        <w:t>a</w:t>
      </w:r>
      <w:r w:rsidRPr="00896D4F">
        <w:t>tioner och därvid beakta vad som krävs för att upprätthålla kvalitet och säke</w:t>
      </w:r>
      <w:r w:rsidRPr="00896D4F">
        <w:t>r</w:t>
      </w:r>
      <w:r w:rsidRPr="00896D4F">
        <w:t>het i handläggningen samt se till att effektivitet och snabbhet i verksamheten främjas. Myndigheten skall vidare beakta i vilken utsträckning handläggnin</w:t>
      </w:r>
      <w:r w:rsidRPr="00896D4F">
        <w:t>g</w:t>
      </w:r>
      <w:r w:rsidRPr="00896D4F">
        <w:t xml:space="preserve">en kräver särskild kompetens, utbildning eller erfarenhet. </w:t>
      </w:r>
    </w:p>
    <w:p w:rsidR="009C1C5A" w:rsidRPr="00896D4F" w:rsidRDefault="009C1C5A">
      <w:pPr>
        <w:pStyle w:val="Normaltindrag"/>
      </w:pPr>
      <w:r w:rsidRPr="00896D4F">
        <w:t>Jag har i mina beslut vidare framhållit att det övergripande ansvaret för verksamheten vid en utredningsavdelning vilar på avdelningens chef samt att det ankommer på denne att se till att ärendena fördelas mellan utreda</w:t>
      </w:r>
      <w:r w:rsidRPr="00896D4F">
        <w:t>rna på ett lämpligt sätt och att ombesörja att det finns väl fungerande prioriterings- och bevakningsrutiner. Det ankommer vidare på honom att informera närmast högre chef, om han gör den bedömningen att verksamheten, t.ex. på grund av underbemanning eller bristande kompetens hos utredningspersonalen, inte kan bedrivas på ett godtagbart sätt. Ytterst vilar enligt 6 § verksförordningen (1995:1322) och 1 kap. 7 § polisförordningen (1998:1558) ansvaret  för ver</w:t>
      </w:r>
      <w:r w:rsidRPr="00896D4F">
        <w:t>k</w:t>
      </w:r>
      <w:r w:rsidRPr="00896D4F">
        <w:t>samheten vid en polismyndighet på länspolismästar</w:t>
      </w:r>
      <w:r w:rsidRPr="00896D4F">
        <w:t xml:space="preserve">en i dennes egenskap av myndighetens chef. </w:t>
      </w:r>
    </w:p>
    <w:p w:rsidR="009C1C5A" w:rsidRPr="00896D4F" w:rsidRDefault="009C1C5A">
      <w:pPr>
        <w:pStyle w:val="Rubrik3"/>
      </w:pPr>
      <w:r w:rsidRPr="00896D4F">
        <w:t xml:space="preserve">Slutord </w:t>
      </w:r>
    </w:p>
    <w:p w:rsidR="009C1C5A" w:rsidRPr="00896D4F" w:rsidRDefault="009C1C5A">
      <w:r w:rsidRPr="00896D4F">
        <w:t>Som framgått har mina inspektioner visat på allvarliga brister vad gäller u</w:t>
      </w:r>
      <w:r w:rsidRPr="00896D4F">
        <w:t>t</w:t>
      </w:r>
      <w:r w:rsidRPr="00896D4F">
        <w:t>redningen av vardagsbrottslighet vid samtliga inspekterade polismyndigheter. Framställningen i Brottsförebyggande rådets rapport (2002:4) Varför har brottsuppklaringen minskat? ger vid handen att det förekommer liknande brister också vid andra polismyndigheter.</w:t>
      </w:r>
    </w:p>
    <w:p w:rsidR="009C1C5A" w:rsidRPr="00896D4F" w:rsidRDefault="009C1C5A">
      <w:pPr>
        <w:pStyle w:val="Normaltindrag"/>
      </w:pPr>
      <w:r w:rsidRPr="00896D4F">
        <w:t>Det är enligt min mening angeläget att man generellt ser över polisens brottsutredande verksamhet och vidtar de åtgärder som kan krävas för att utredningsverksamheten skall hålla godtagbar kvalitet. Det har i JO:s ärende dnr 2970-2001 upplysts att R</w:t>
      </w:r>
      <w:r w:rsidRPr="00896D4F">
        <w:t>ikspolisstyrelsen i samarbete med polismyndi</w:t>
      </w:r>
      <w:r w:rsidRPr="00896D4F">
        <w:t>g</w:t>
      </w:r>
      <w:r w:rsidRPr="00896D4F">
        <w:t>heterna har påbörjat ett metodutvecklingsarbete avseende vardagsbrottsligh</w:t>
      </w:r>
      <w:r w:rsidRPr="00896D4F">
        <w:t>e</w:t>
      </w:r>
      <w:r w:rsidRPr="00896D4F">
        <w:t>ten. Som jag har nämnt i det föregående har flera av de inspekterade poli</w:t>
      </w:r>
      <w:r w:rsidRPr="00896D4F">
        <w:t>s</w:t>
      </w:r>
      <w:r w:rsidRPr="00896D4F">
        <w:t>myndigheterna efter mina inspektioner lyckats nedbringa utredningsbalanse</w:t>
      </w:r>
      <w:r w:rsidRPr="00896D4F">
        <w:t>r</w:t>
      </w:r>
      <w:r w:rsidRPr="00896D4F">
        <w:t>na vid de inspekterade enheterna. Av avgörande betydelse för allmänhetens förtroende för polisverksamheten är emellertid att arbetet med att minska balanserna inte sker på bekostnad av utredningarnas kvalitet och målsäga</w:t>
      </w:r>
      <w:r w:rsidRPr="00896D4F">
        <w:t>n</w:t>
      </w:r>
      <w:r w:rsidRPr="00896D4F">
        <w:t>des, misstänktas och an</w:t>
      </w:r>
      <w:r w:rsidRPr="00896D4F">
        <w:t>dra berörda personers rättss</w:t>
      </w:r>
      <w:r w:rsidRPr="00896D4F">
        <w:t>ä</w:t>
      </w:r>
      <w:r w:rsidRPr="00896D4F">
        <w:t xml:space="preserve">kerhet.  </w:t>
      </w:r>
    </w:p>
    <w:p w:rsidR="009C1C5A" w:rsidRPr="00896D4F" w:rsidRDefault="009C1C5A">
      <w:pPr>
        <w:pStyle w:val="Rubrik2"/>
      </w:pPr>
      <w:r w:rsidRPr="00896D4F">
        <w:t>Kritik mot en polismyndighet för handläggningen av ett ärende rörande utlämnande av en i beslag tagen moped sedan förundersökningen lagts ned; också fråga om grunden för nedläggningen av förundersö</w:t>
      </w:r>
      <w:r w:rsidRPr="00896D4F">
        <w:t>k</w:t>
      </w:r>
      <w:r w:rsidRPr="00896D4F">
        <w:t xml:space="preserve">ningen </w:t>
      </w:r>
    </w:p>
    <w:p w:rsidR="009C1C5A" w:rsidRPr="00896D4F" w:rsidRDefault="009C1C5A">
      <w:pPr>
        <w:spacing w:before="0"/>
      </w:pPr>
      <w:r w:rsidRPr="00896D4F">
        <w:t>(Dnr 275-2000)</w:t>
      </w:r>
    </w:p>
    <w:p w:rsidR="009C1C5A" w:rsidRPr="00896D4F" w:rsidRDefault="009C1C5A">
      <w:pPr>
        <w:pStyle w:val="Rubrik3"/>
      </w:pPr>
      <w:r w:rsidRPr="00896D4F">
        <w:t xml:space="preserve">Bakgrund </w:t>
      </w:r>
    </w:p>
    <w:p w:rsidR="009C1C5A" w:rsidRPr="00896D4F" w:rsidRDefault="009C1C5A">
      <w:r w:rsidRPr="00896D4F">
        <w:t>I en anmälan till JO begärde Sten A. att JO skulle granska Polismyndighetens i Skåne handläggning av ett ärende där en moped tagits i beslag. Han hänv</w:t>
      </w:r>
      <w:r w:rsidRPr="00896D4F">
        <w:t>i</w:t>
      </w:r>
      <w:r w:rsidRPr="00896D4F">
        <w:t>sade till bl.a. en tidningsartikel om en stulen moped enligt vilken den påstå</w:t>
      </w:r>
      <w:r w:rsidRPr="00896D4F">
        <w:t>d</w:t>
      </w:r>
      <w:r w:rsidRPr="00896D4F">
        <w:t>de ägaren till mopeden inte kunde processa för att hävda sin rätt till mopeden eftersom polisen i Malmö inte kunde lämna ut personuppgifterna avseende den person som mopeden b</w:t>
      </w:r>
      <w:r w:rsidRPr="00896D4F">
        <w:t>e</w:t>
      </w:r>
      <w:r w:rsidRPr="00896D4F">
        <w:t>slagtagits hos.</w:t>
      </w:r>
    </w:p>
    <w:p w:rsidR="009C1C5A" w:rsidRPr="00896D4F" w:rsidRDefault="009C1C5A">
      <w:pPr>
        <w:pStyle w:val="Rubrik3"/>
      </w:pPr>
      <w:r w:rsidRPr="00896D4F">
        <w:t>Utredning</w:t>
      </w:r>
    </w:p>
    <w:p w:rsidR="009C1C5A" w:rsidRPr="00896D4F" w:rsidRDefault="009C1C5A">
      <w:pPr>
        <w:pStyle w:val="Rubrik4"/>
        <w:spacing w:before="120"/>
      </w:pPr>
      <w:r w:rsidRPr="00896D4F">
        <w:t>Granskning av handlingar</w:t>
      </w:r>
    </w:p>
    <w:p w:rsidR="009C1C5A" w:rsidRPr="00896D4F" w:rsidRDefault="009C1C5A">
      <w:r w:rsidRPr="00896D4F">
        <w:t xml:space="preserve">Handlingar i polismyndighetens ärenden </w:t>
      </w:r>
      <w:r w:rsidRPr="00896D4F">
        <w:rPr>
          <w:spacing w:val="-6"/>
        </w:rPr>
        <w:t>K84862</w:t>
      </w:r>
      <w:r w:rsidRPr="00896D4F">
        <w:rPr>
          <w:spacing w:val="6"/>
        </w:rPr>
        <w:t>-99</w:t>
      </w:r>
      <w:r w:rsidRPr="00896D4F">
        <w:t xml:space="preserve">, </w:t>
      </w:r>
      <w:r w:rsidRPr="00896D4F">
        <w:rPr>
          <w:spacing w:val="-6"/>
        </w:rPr>
        <w:t>K93961</w:t>
      </w:r>
      <w:r w:rsidRPr="00896D4F">
        <w:rPr>
          <w:spacing w:val="6"/>
        </w:rPr>
        <w:t>-99</w:t>
      </w:r>
      <w:r w:rsidRPr="00896D4F">
        <w:t xml:space="preserve"> och </w:t>
      </w:r>
      <w:r w:rsidRPr="00896D4F">
        <w:rPr>
          <w:spacing w:val="-6"/>
        </w:rPr>
        <w:t>K15093-99</w:t>
      </w:r>
      <w:r w:rsidRPr="00896D4F">
        <w:t xml:space="preserve"> och Åklagarkammarens i Malmö ärende C01-9-4196-99-1 granskades. Vidare inhämtades muntliga upplysningar från kriminalkommissarien Fredrik Andersson vid polismyndigheten. Av handlingarna och upplysningarna fra</w:t>
      </w:r>
      <w:r w:rsidRPr="00896D4F">
        <w:t>m</w:t>
      </w:r>
      <w:r w:rsidRPr="00896D4F">
        <w:t>gick följande.</w:t>
      </w:r>
    </w:p>
    <w:p w:rsidR="009C1C5A" w:rsidRPr="00896D4F" w:rsidRDefault="009C1C5A">
      <w:pPr>
        <w:pStyle w:val="Normaltindrag"/>
      </w:pPr>
      <w:r w:rsidRPr="00896D4F">
        <w:t>Den 8 juli 1999 anmälde I.K.L. sin moped stulen. Två veckor senare, den 27 juli 1999, stoppade han en flicka som framförde en moped som liknade hans stulna moped. En polispatrull kallades till platsen. Vakthavande befäl beslutade att inleda en förunders</w:t>
      </w:r>
      <w:r w:rsidRPr="00896D4F">
        <w:t>ökning om ”tillgrepp av moped/häleri” samt att ta mopeden i beslag. I.K.L. gjorde gällande att mopeden var hans. Flickans mor uppgav att hon den 9 december 1998 hade köpt mopeden av en viss fi</w:t>
      </w:r>
      <w:r w:rsidRPr="00896D4F">
        <w:t>r</w:t>
      </w:r>
      <w:r w:rsidRPr="00896D4F">
        <w:t>ma. Under hösten undersöktes mopeden vid tekniska roteln i Malmö. Unde</w:t>
      </w:r>
      <w:r w:rsidRPr="00896D4F">
        <w:t>r</w:t>
      </w:r>
      <w:r w:rsidRPr="00896D4F">
        <w:t>sö</w:t>
      </w:r>
      <w:r w:rsidRPr="00896D4F">
        <w:t>k</w:t>
      </w:r>
      <w:r w:rsidRPr="00896D4F">
        <w:t xml:space="preserve">ningen redovisades den 13 oktober 1999. </w:t>
      </w:r>
    </w:p>
    <w:p w:rsidR="009C1C5A" w:rsidRPr="00896D4F" w:rsidRDefault="009C1C5A">
      <w:pPr>
        <w:pStyle w:val="Normaltindrag"/>
      </w:pPr>
      <w:r w:rsidRPr="00896D4F">
        <w:t>Fredrik Andersson beslutade den 18 oktober 1999 att lägga ned förunde</w:t>
      </w:r>
      <w:r w:rsidRPr="00896D4F">
        <w:t>r</w:t>
      </w:r>
      <w:r w:rsidRPr="00896D4F">
        <w:t xml:space="preserve">sökningen beträffande I.K.L:s anmälan om tillgrepp av moped (K84862-99) eftersom spaningsuppslag saknades. En underrättelse enligt 27 kap. 8 § tredje stycket rättegångsbalken (RB) om att beslaget skulle hävas och lämnas ut till flickan skickades till I.K.L. Han informerades samtidigt om möjligheten att vid tingsrätten föra talan om bättre rätt till mopeden samt att begära kvarstad. </w:t>
      </w:r>
    </w:p>
    <w:p w:rsidR="009C1C5A" w:rsidRPr="00896D4F" w:rsidRDefault="009C1C5A">
      <w:pPr>
        <w:pStyle w:val="Normaltindrag"/>
      </w:pPr>
      <w:r w:rsidRPr="00896D4F">
        <w:t>Den 21 oktober 1999 begärde I.K.L:s ombud att få ut handlingarna i fö</w:t>
      </w:r>
      <w:r w:rsidRPr="00896D4F">
        <w:t>r</w:t>
      </w:r>
      <w:r w:rsidRPr="00896D4F">
        <w:t>undersökningen och den 25 oktober 1999 beslutade polismyndigheten att handlingarna inte skulle lämnas ut. Efter en begäran från I.K.L:s ombud f</w:t>
      </w:r>
      <w:r w:rsidRPr="00896D4F">
        <w:t>ö</w:t>
      </w:r>
      <w:r w:rsidRPr="00896D4F">
        <w:t>retogs en förnyad teknisk undersökning av mopeden i november. Därefter förhördes den person som uppgavs ha sålt mopeden till modern. Fredrik A</w:t>
      </w:r>
      <w:r w:rsidRPr="00896D4F">
        <w:t>n</w:t>
      </w:r>
      <w:r w:rsidRPr="00896D4F">
        <w:t>dersson beslutade den 11 november att förundersökningen skulle fortsätta. Vidare tog han på nytt mopeden i beslag för att säkerställa målsägandens rätt. Förhör hölls med den person som hade sålt mopeden till den firma som m</w:t>
      </w:r>
      <w:r w:rsidRPr="00896D4F">
        <w:t>o</w:t>
      </w:r>
      <w:r w:rsidRPr="00896D4F">
        <w:t>dern hade köpt mopeden av. Mannen som hördes erkände att han hade stulit mopeden någon gång under år 1998. En med anledning härav inledd föru</w:t>
      </w:r>
      <w:r w:rsidRPr="00896D4F">
        <w:t>n</w:t>
      </w:r>
      <w:r w:rsidRPr="00896D4F">
        <w:t>dersökning lades ned av åklagare den 7 december 1999 på den grunden att brott inte ku</w:t>
      </w:r>
      <w:r w:rsidRPr="00896D4F">
        <w:t>n</w:t>
      </w:r>
      <w:r w:rsidRPr="00896D4F">
        <w:t xml:space="preserve">de styrkas. </w:t>
      </w:r>
    </w:p>
    <w:p w:rsidR="009C1C5A" w:rsidRPr="00896D4F" w:rsidRDefault="009C1C5A">
      <w:pPr>
        <w:pStyle w:val="Normaltindrag"/>
      </w:pPr>
      <w:r w:rsidRPr="00896D4F">
        <w:t>Den 21 december 1999 beslutade Fredrik Andersson att den ursprungliga förundersökningen skulle slutredovisas och att beslaget skulle hävas men att en underrättelse enligt 27 kap. 8 § RB skulle skickas till I.K.L. I.K.L. öve</w:t>
      </w:r>
      <w:r w:rsidRPr="00896D4F">
        <w:t>r</w:t>
      </w:r>
      <w:r w:rsidRPr="00896D4F">
        <w:t>klagade polismyndighetens beslut att inte lämna ut handlingarna i ärendet och kammarrätten återförvisade den 17 januari 2000 ärendet till polismyndigh</w:t>
      </w:r>
      <w:r w:rsidRPr="00896D4F">
        <w:t>e</w:t>
      </w:r>
      <w:r w:rsidRPr="00896D4F">
        <w:t>ten. Efter en förnyad sekretessprövning beslutade polismyndigheten den 27 januari 2000 att handlingarna, med undantag av sådana handlingar som inn</w:t>
      </w:r>
      <w:r w:rsidRPr="00896D4F">
        <w:t>e</w:t>
      </w:r>
      <w:r w:rsidRPr="00896D4F">
        <w:t>höll uppgifter om den misstänkte som erkänt mopedstölden, skulle lämnas ut. Detta föranledde Fredrik Andersson att den 31 januari skicka en ny underrä</w:t>
      </w:r>
      <w:r w:rsidRPr="00896D4F">
        <w:t>t</w:t>
      </w:r>
      <w:r w:rsidRPr="00896D4F">
        <w:t>telse till I.K.L. och underrätta personalen att den beslagtagn</w:t>
      </w:r>
      <w:r w:rsidRPr="00896D4F">
        <w:t>a mopeden inte fick lä</w:t>
      </w:r>
      <w:r w:rsidRPr="00896D4F">
        <w:t>m</w:t>
      </w:r>
      <w:r w:rsidRPr="00896D4F">
        <w:t>nas ut.</w:t>
      </w:r>
    </w:p>
    <w:p w:rsidR="009C1C5A" w:rsidRPr="00896D4F" w:rsidRDefault="009C1C5A">
      <w:pPr>
        <w:pStyle w:val="Normaltindrag"/>
      </w:pPr>
      <w:r w:rsidRPr="00896D4F">
        <w:t>Vid telefonsamtal den 4 februari 2000 uppgav Fredrik Andersson bl.a. att förundersökningen då alltjämt stod öppen men att den, eftersom brott inte kunde sty</w:t>
      </w:r>
      <w:r w:rsidRPr="00896D4F">
        <w:t>r</w:t>
      </w:r>
      <w:r w:rsidRPr="00896D4F">
        <w:t xml:space="preserve">kas, skulle läggas ned så snart fristen för målsäganden hade löpt ut. </w:t>
      </w:r>
    </w:p>
    <w:p w:rsidR="009C1C5A" w:rsidRPr="00896D4F" w:rsidRDefault="009C1C5A">
      <w:pPr>
        <w:pStyle w:val="Rubrik4"/>
      </w:pPr>
      <w:r w:rsidRPr="00896D4F">
        <w:t>Remiss</w:t>
      </w:r>
    </w:p>
    <w:p w:rsidR="009C1C5A" w:rsidRPr="00896D4F" w:rsidRDefault="009C1C5A">
      <w:r w:rsidRPr="00896D4F">
        <w:t>Ärendet remitterades till polismyndigheten för upplysningar och yttrande över handläggningen av beslaget av mopeden. Vidare skulle myndigheten yttra sig över frågan vid vilken tidpunkt, enligt myndighetens uppfattning, en föru</w:t>
      </w:r>
      <w:r w:rsidRPr="00896D4F">
        <w:t>n</w:t>
      </w:r>
      <w:r w:rsidRPr="00896D4F">
        <w:t>dersökning skall läggas ned i förhållande till tidpunkten för ett beslut att häva ett beslag om bestämmelsen i 27 kap. 8 § andra stycket rättegångsbalken tillämpas.</w:t>
      </w:r>
    </w:p>
    <w:p w:rsidR="009C1C5A" w:rsidRPr="00896D4F" w:rsidRDefault="009C1C5A">
      <w:pPr>
        <w:pStyle w:val="Normaltindrag"/>
      </w:pPr>
      <w:r w:rsidRPr="00896D4F">
        <w:t>Polismyndigheten (biträdande länspolismästaren Kjell Arne Eliasson) kom in med ett yttrande.</w:t>
      </w:r>
    </w:p>
    <w:p w:rsidR="009C1C5A" w:rsidRPr="00896D4F" w:rsidRDefault="009C1C5A">
      <w:r w:rsidRPr="00896D4F">
        <w:t xml:space="preserve">I ett beslut den 31 augusti 2001 anförde </w:t>
      </w:r>
      <w:r w:rsidRPr="00896D4F">
        <w:rPr>
          <w:i/>
        </w:rPr>
        <w:t>chefsJO Eklundh</w:t>
      </w:r>
      <w:r w:rsidRPr="00896D4F">
        <w:t xml:space="preserve"> följande.</w:t>
      </w:r>
    </w:p>
    <w:p w:rsidR="009C1C5A" w:rsidRPr="00896D4F" w:rsidRDefault="009C1C5A">
      <w:pPr>
        <w:pStyle w:val="Rubrik3"/>
      </w:pPr>
      <w:r w:rsidRPr="00896D4F">
        <w:t>Bedömning</w:t>
      </w:r>
    </w:p>
    <w:p w:rsidR="009C1C5A" w:rsidRPr="00896D4F" w:rsidRDefault="009C1C5A">
      <w:pPr>
        <w:pStyle w:val="Rubrik4"/>
      </w:pPr>
      <w:r w:rsidRPr="00896D4F">
        <w:t>Beslaget av mopeden</w:t>
      </w:r>
    </w:p>
    <w:p w:rsidR="009C1C5A" w:rsidRPr="00896D4F" w:rsidRDefault="009C1C5A">
      <w:r w:rsidRPr="00896D4F">
        <w:t>Ett föremål som kan antas ha betydelse för utredningen om brott eller vara någon avhänt genom brott eller kan komma att förverkas på grund av brott får enligt 27 kap. 1 § rättegångsbalken (RB) tas i beslag.</w:t>
      </w:r>
    </w:p>
    <w:p w:rsidR="009C1C5A" w:rsidRPr="00896D4F" w:rsidRDefault="009C1C5A">
      <w:pPr>
        <w:pStyle w:val="Normaltindrag"/>
      </w:pPr>
      <w:r w:rsidRPr="00896D4F">
        <w:t>Ett beslag skall omedelbart hävas bl.a. om det inte längre finns skäl för b</w:t>
      </w:r>
      <w:r w:rsidRPr="00896D4F">
        <w:t>e</w:t>
      </w:r>
      <w:r w:rsidRPr="00896D4F">
        <w:t xml:space="preserve">slaget (27 kap. 8 § första stycket RB). Enligt andra stycket i samma paragraf får emellertid beslag av föremål som någon framställt anspråk på hävas först tre veckor efter det att en underrättelse om att beslaget kan komma att hävas har sänts till den som framställt anspråket. </w:t>
      </w:r>
    </w:p>
    <w:p w:rsidR="009C1C5A" w:rsidRPr="00896D4F" w:rsidRDefault="009C1C5A">
      <w:pPr>
        <w:pStyle w:val="Normaltindrag"/>
      </w:pPr>
      <w:r w:rsidRPr="00896D4F">
        <w:t>Myndigheten har anfört att den åtgärd som Fredrik Andersson kan kritis</w:t>
      </w:r>
      <w:r w:rsidRPr="00896D4F">
        <w:t>e</w:t>
      </w:r>
      <w:r w:rsidRPr="00896D4F">
        <w:t>ras för är hans beslut att förlänga tiden för utlämnande av den beslagtagna mopeden till den person hos vilken den hade tagits i beslag. Som skäl för sitt beslut har Fredrik Andersson angett att han ville ge målsäganden, som inte tidigare haft tillgång till  några uppgifter om denna person, en praktisk mö</w:t>
      </w:r>
      <w:r w:rsidRPr="00896D4F">
        <w:t>j</w:t>
      </w:r>
      <w:r w:rsidRPr="00896D4F">
        <w:t>lighet att säkerställa sin rätt innan beslaget hävdes. Polismyndigheten har anfört att det inte funnits någon rättslig grund för Fredrik Anderssons förf</w:t>
      </w:r>
      <w:r w:rsidRPr="00896D4F">
        <w:t>a</w:t>
      </w:r>
      <w:r w:rsidRPr="00896D4F">
        <w:t>rande men har framhållit att han har handlat i enli</w:t>
      </w:r>
      <w:r w:rsidRPr="00896D4F">
        <w:t>ghet med andan i och syftet med bestämmelsen i 27 kap. 8 § andra stycket RB. Myndigheten konstaterar emellertid samtidigt att detta lett till en viss rättsförlust för den person till vilken mopeden sedan lämnats u</w:t>
      </w:r>
      <w:r w:rsidRPr="00896D4F">
        <w:t>t</w:t>
      </w:r>
      <w:r w:rsidRPr="00896D4F">
        <w:t>.</w:t>
      </w:r>
    </w:p>
    <w:p w:rsidR="009C1C5A" w:rsidRPr="00896D4F" w:rsidRDefault="009C1C5A">
      <w:pPr>
        <w:pStyle w:val="Normaltindrag"/>
      </w:pPr>
      <w:r w:rsidRPr="00896D4F">
        <w:t>Det har här varit fråga om ett beslag i syfte att säkerställa den rätt som kunde tillkomma målsäganden, som hade framställt anspråk på mopeden. Bestämmelsen i 27 kap. 8 § andra stycket RB var således tillämplig. I likhet med polismyndigheten anser jag emellertid att bestämmelsen inte gav stöd fö</w:t>
      </w:r>
      <w:r w:rsidRPr="00896D4F">
        <w:t>r Fredrik Anderssons beslut den 31 januari 2000 att förlänga tiden för beslaget med tre veckor från den dagen. Med anledning av vad som har framkommit i ärendet om målsägandens svårigheter att få ut identitetsuppgifter avseende den person hos vilken mopeden hade tagits i beslag vill jag upplysa om att en underrättelse enligt 27 kap. 8 § andra stycket RB fr.o.m. den 1 juli 2001 skall innehålla en uppgift om hos vem besl</w:t>
      </w:r>
      <w:r w:rsidRPr="00896D4F">
        <w:t>a</w:t>
      </w:r>
      <w:r w:rsidRPr="00896D4F">
        <w:t>get har gjorts (SFS 2001:355).</w:t>
      </w:r>
    </w:p>
    <w:p w:rsidR="009C1C5A" w:rsidRPr="00896D4F" w:rsidRDefault="009C1C5A">
      <w:pPr>
        <w:pStyle w:val="Rubrik4"/>
      </w:pPr>
      <w:r w:rsidRPr="00896D4F">
        <w:t>Tidpunkten för att lägga ned förundersökningen</w:t>
      </w:r>
    </w:p>
    <w:p w:rsidR="009C1C5A" w:rsidRPr="00896D4F" w:rsidRDefault="009C1C5A">
      <w:r w:rsidRPr="00896D4F">
        <w:t>Om det inte längre finns anledning att fullfölja en förundersökning skall den lä</w:t>
      </w:r>
      <w:r w:rsidRPr="00896D4F">
        <w:t>g</w:t>
      </w:r>
      <w:r w:rsidRPr="00896D4F">
        <w:t>gas ned ( 23 kap. 4 § andra stycket RB).</w:t>
      </w:r>
    </w:p>
    <w:p w:rsidR="009C1C5A" w:rsidRPr="00896D4F" w:rsidRDefault="009C1C5A">
      <w:pPr>
        <w:pStyle w:val="Normaltindrag"/>
      </w:pPr>
      <w:r w:rsidRPr="00896D4F">
        <w:t>Det regelsystem som avser förundersökningsförfarandet och de straffpr</w:t>
      </w:r>
      <w:r w:rsidRPr="00896D4F">
        <w:t>o</w:t>
      </w:r>
      <w:r w:rsidRPr="00896D4F">
        <w:t>cessuella tvångsmedlen är konstruerat på ett sådant sätt att ett tvångsmedel enligt 24–28 kap. RB kan användas endast inom ramen för en pågående fö</w:t>
      </w:r>
      <w:r w:rsidRPr="00896D4F">
        <w:t>r</w:t>
      </w:r>
      <w:r w:rsidRPr="00896D4F">
        <w:t>undersökning eller en rättegång som inte har avslutats genom ett lagakraf</w:t>
      </w:r>
      <w:r w:rsidRPr="00896D4F">
        <w:t>t</w:t>
      </w:r>
      <w:r w:rsidRPr="00896D4F">
        <w:t>vunnet avgörande. Eventuellt föreliggande tvångsmedelsbeslut måste således hävas när en förundersökning läggs ned. Gör man den bedömningen att ett tvångsmedelsbeslut bör bestå kan förundersökningen omvänt inte anses a</w:t>
      </w:r>
      <w:r w:rsidRPr="00896D4F">
        <w:t>v</w:t>
      </w:r>
      <w:r w:rsidRPr="00896D4F">
        <w:t>slutad, och förutsättningar att lägga ned den genom ett formligt beslut</w:t>
      </w:r>
      <w:r w:rsidRPr="00896D4F">
        <w:t xml:space="preserve"> saknas då (JO 1995/96 s. 103).</w:t>
      </w:r>
    </w:p>
    <w:p w:rsidR="009C1C5A" w:rsidRPr="00896D4F" w:rsidRDefault="009C1C5A">
      <w:pPr>
        <w:pStyle w:val="Normaltindrag"/>
      </w:pPr>
      <w:r w:rsidRPr="00896D4F">
        <w:t>Av utredningen framgår att Fredrik Andersson lade ned förundersökningen den 23 februari 2000, dvs. tre veckor efter det att den sista underrättelsen hade skickats till I.K.L. Polismyndigheten har som skäl härför anfört att en förundersökning i ett sådant fall som avses i 27 kap. 8 § andra stycket RB inte kan läggas ned förrän tre veckor efter det att underrättelsen har sänts till må</w:t>
      </w:r>
      <w:r w:rsidRPr="00896D4F">
        <w:t>l</w:t>
      </w:r>
      <w:r w:rsidRPr="00896D4F">
        <w:t>säganden, eftersom b</w:t>
      </w:r>
      <w:r w:rsidRPr="00896D4F">
        <w:t>e</w:t>
      </w:r>
      <w:r w:rsidRPr="00896D4F">
        <w:t xml:space="preserve">slaget får hävas först vid denna tidpunkt. </w:t>
      </w:r>
    </w:p>
    <w:p w:rsidR="009C1C5A" w:rsidRPr="00896D4F" w:rsidRDefault="009C1C5A">
      <w:pPr>
        <w:pStyle w:val="Normaltindrag"/>
      </w:pPr>
      <w:r w:rsidRPr="00896D4F">
        <w:t>En förundersökning syftar enligt 23 kap. 2 § RB bl.a. till att utreda vem som skäligen kan misstänkas för brottet och om tillräckliga skäl föreligger till åtal mot honom. Syftet med beslag av föremål som skäligen kan antas ha frånhänts någon genom brott är däremot att säkra den rätt till egendomen som kan tillkomma måls</w:t>
      </w:r>
      <w:r w:rsidRPr="00896D4F">
        <w:softHyphen/>
        <w:t>äganden. Ett sådant beslag tillgodoser således inte något utredningsbehov. Även om det här formellt är fråga om ett straffprocessuellt tvångsmedel är beslagets egentliga uppgift att tillgodose ett civilrättsligt i</w:t>
      </w:r>
      <w:r w:rsidRPr="00896D4F">
        <w:t>n</w:t>
      </w:r>
      <w:r w:rsidRPr="00896D4F">
        <w:t>tresse. Jag har av detta skäl – bl.a. i mitt remissyttrande över Polisrättsutre</w:t>
      </w:r>
      <w:r w:rsidRPr="00896D4F">
        <w:t>d</w:t>
      </w:r>
      <w:r w:rsidRPr="00896D4F">
        <w:t>ningens slutbetänkande (SOU 1995:47) – förordat att det s.k. återställandeb</w:t>
      </w:r>
      <w:r w:rsidRPr="00896D4F">
        <w:t>e</w:t>
      </w:r>
      <w:r w:rsidRPr="00896D4F">
        <w:t>slaget i lagstiftningen ersätts med ett tvångsmedel som klart framstår som civilprocess</w:t>
      </w:r>
      <w:r w:rsidRPr="00896D4F">
        <w:t>u</w:t>
      </w:r>
      <w:r w:rsidRPr="00896D4F">
        <w:t>ellt.</w:t>
      </w:r>
    </w:p>
    <w:p w:rsidR="009C1C5A" w:rsidRPr="00896D4F" w:rsidRDefault="009C1C5A">
      <w:pPr>
        <w:pStyle w:val="Normaltindrag"/>
      </w:pPr>
      <w:r w:rsidRPr="00896D4F">
        <w:t xml:space="preserve">Eftersom regeln i 27 kap. 8 § andra stycket RB </w:t>
      </w:r>
      <w:r w:rsidRPr="00896D4F">
        <w:t>om treveckorsfristen för hävandet av ett återställandebeslag således har en renodlat civilprocessuell funktion, finns det inte någon saklig grund för att hålla förundersökningen öppen enbart av det skälet att denna frist ännu inte har löpt ut. Om det inte föreligger någon annan omständighet som kan motivera att förundersöknin</w:t>
      </w:r>
      <w:r w:rsidRPr="00896D4F">
        <w:t>g</w:t>
      </w:r>
      <w:r w:rsidRPr="00896D4F">
        <w:t>en fortsätter avseende den aktuella egendomen, skall förundersökningen dä</w:t>
      </w:r>
      <w:r w:rsidRPr="00896D4F">
        <w:t>r</w:t>
      </w:r>
      <w:r w:rsidRPr="00896D4F">
        <w:t>för enligt huvudregeln i 23 kap. 4 § andra stycket RB läggas ned. Det framstår som naturligt att detta görs se</w:t>
      </w:r>
      <w:r w:rsidRPr="00896D4F">
        <w:t xml:space="preserve">nast i samband med att en underrättelse enligt regeln i 27 kap. 8 § andra stycket RB sänds till den som framställt anspråk på egendomen. </w:t>
      </w:r>
    </w:p>
    <w:p w:rsidR="009C1C5A" w:rsidRPr="00896D4F" w:rsidRDefault="009C1C5A">
      <w:pPr>
        <w:pStyle w:val="Normaltindrag"/>
      </w:pPr>
      <w:r w:rsidRPr="00896D4F">
        <w:t>Det nu sagda innebär att regeln i 27 kap. 8 § andra stycket RB måste b</w:t>
      </w:r>
      <w:r w:rsidRPr="00896D4F">
        <w:t>e</w:t>
      </w:r>
      <w:r w:rsidRPr="00896D4F">
        <w:t>traktas som ett undantag från den grundläggande princip som har nämnts i det föregående, att ett i 24–28 kap. RB reglerat tvångsmedel inte kan användas utanför ramen för en pågående förundersökning eller en rättegång som inte har avslutats genom ett lagakraftvunnet avgörande. Detta är emellertid något som inte framgår klart av vare sig lagtexten eller förarbetena. Jag anser mig därför inte kunna rikta någon kritik mot Fredrik Andersson med anledning av att han inte ansåg sig kunna lägga ned förundersökning</w:t>
      </w:r>
      <w:r w:rsidRPr="00896D4F">
        <w:t>en förrän treveckor</w:t>
      </w:r>
      <w:r w:rsidRPr="00896D4F">
        <w:t>s</w:t>
      </w:r>
      <w:r w:rsidRPr="00896D4F">
        <w:t xml:space="preserve">fristen hade löpt ut. </w:t>
      </w:r>
    </w:p>
    <w:p w:rsidR="009C1C5A" w:rsidRPr="00896D4F" w:rsidRDefault="009C1C5A">
      <w:pPr>
        <w:pStyle w:val="Normaltindrag"/>
      </w:pPr>
      <w:r w:rsidRPr="00896D4F">
        <w:t>Det är enligt min mening av systematiska skäl olyckligt att lagtexten har utformats på det sätt som skett. Det är fullt möjligt att uppnå det eftersträvade resultatet att förbättra målsägandens möjligheter att komma till sin rätt genom en reglering som gör skillnad mellan ett beslut att häva ett beslag och åtgä</w:t>
      </w:r>
      <w:r w:rsidRPr="00896D4F">
        <w:t>r</w:t>
      </w:r>
      <w:r w:rsidRPr="00896D4F">
        <w:t>den att faktiskt lämna ut den beslagtagna egendomen. Med en sådan lösning skulle tre</w:t>
      </w:r>
      <w:r w:rsidRPr="00896D4F">
        <w:softHyphen/>
        <w:t>veckorsfristen inte avse hävandet av beslaget utan utlämnandet av egendomen. Detta skulle få till följd att man – med bibehållande av principen om de straffprocessuella tvångsmedlens koppling till förundersökningsförf</w:t>
      </w:r>
      <w:r w:rsidRPr="00896D4F">
        <w:t>a</w:t>
      </w:r>
      <w:r w:rsidRPr="00896D4F">
        <w:t>randet – samtidigt kunde såväl besluta att lägga ned förundersökningen och häva beslaget som underrätta måls</w:t>
      </w:r>
      <w:r w:rsidRPr="00896D4F">
        <w:softHyphen/>
        <w:t>äganden om treveckorsfristen för utlä</w:t>
      </w:r>
      <w:r w:rsidRPr="00896D4F">
        <w:t>m</w:t>
      </w:r>
      <w:r w:rsidRPr="00896D4F">
        <w:t>nande av egendomen. Polisens skyldighet att behålla egendomen</w:t>
      </w:r>
      <w:r w:rsidRPr="00896D4F">
        <w:t xml:space="preserve"> under denna period kommer då att få karaktären av ett särskilt rättsligt institut skilt från de straffprocessuella tvång</w:t>
      </w:r>
      <w:r w:rsidRPr="00896D4F">
        <w:t>s</w:t>
      </w:r>
      <w:r w:rsidRPr="00896D4F">
        <w:t>medlen.</w:t>
      </w:r>
    </w:p>
    <w:p w:rsidR="009C1C5A" w:rsidRPr="00896D4F" w:rsidRDefault="009C1C5A">
      <w:pPr>
        <w:pStyle w:val="Normaltindrag"/>
      </w:pPr>
      <w:r w:rsidRPr="00896D4F">
        <w:t>Jag finner anledning att fästa Justitiedepartementets och justitieutskottets uppmärksamhet på den här behandlade frågan genom att dit överlämna kopior av detta beslut.</w:t>
      </w:r>
    </w:p>
    <w:p w:rsidR="009C1C5A" w:rsidRPr="00896D4F" w:rsidRDefault="009C1C5A">
      <w:pPr>
        <w:pStyle w:val="Rubrik4"/>
      </w:pPr>
      <w:r w:rsidRPr="00896D4F">
        <w:t>Övrigt</w:t>
      </w:r>
    </w:p>
    <w:p w:rsidR="009C1C5A" w:rsidRPr="00896D4F" w:rsidRDefault="009C1C5A">
      <w:r w:rsidRPr="00896D4F">
        <w:t>Som grund för beslutet den 23 februari 2000 att lägga ned förundersökningen i ärendet K93961-99 synes Fredrik Andersson ha anfört att brott inte kunde sty</w:t>
      </w:r>
      <w:r w:rsidRPr="00896D4F">
        <w:t>r</w:t>
      </w:r>
      <w:r w:rsidRPr="00896D4F">
        <w:t xml:space="preserve">kas. </w:t>
      </w:r>
    </w:p>
    <w:p w:rsidR="009C1C5A" w:rsidRPr="00896D4F" w:rsidRDefault="009C1C5A">
      <w:pPr>
        <w:pStyle w:val="Normaltindrag"/>
      </w:pPr>
      <w:r w:rsidRPr="00896D4F">
        <w:t>Jag vill med anledning härav hänvisa till vad jag i ett tidigare beslut (JO 2000/01 s. 62) har anfört om möjligheterna för en polismyndighet att lägga ned en förundersökning med den motiveringen. Enligt min mening bör b</w:t>
      </w:r>
      <w:r w:rsidRPr="00896D4F">
        <w:t>e</w:t>
      </w:r>
      <w:r w:rsidRPr="00896D4F">
        <w:t>slutsmotiveringen ”brott kan ej styrkas” användas endast i de fall där det inte kan styrkas att den som är misstänkt för brottet verkligen har begått detta. Det skall alltså vara fråga om situationer där förundersökningsledaren på grundval av en värdering av föreliggande bevisning finner att man inte kan förvänta sig en fällande dom och därför beslutar att lägga ned förundersökningen eller att åtal inte skall väckas. Det får vidare anses följa av rättegångsbalkens förde</w:t>
      </w:r>
      <w:r w:rsidRPr="00896D4F">
        <w:t>l</w:t>
      </w:r>
      <w:r w:rsidRPr="00896D4F">
        <w:t>ning av uppgifter mellan polis och å</w:t>
      </w:r>
      <w:r w:rsidRPr="00896D4F">
        <w:t>klagare att, sedan någon delgetts missta</w:t>
      </w:r>
      <w:r w:rsidRPr="00896D4F">
        <w:t>n</w:t>
      </w:r>
      <w:r w:rsidRPr="00896D4F">
        <w:t>ke om brott, frågan om nedläggande av förundersökningen på grundval av en bevisvärdering skall överlämnas till åklagaren för beslut. Om det däremot inte kan klarläggas om något brott över huvud taget har begåtts eller det inte finns någon misstänkt, bör utredningen i stället avslutas t.ex. på den grunden att det inte kan antas att något brott som hör under allmänt åtal har förövats eller att spaningsuppslag sa</w:t>
      </w:r>
      <w:r w:rsidRPr="00896D4F">
        <w:t>k</w:t>
      </w:r>
      <w:r w:rsidRPr="00896D4F">
        <w:t xml:space="preserve">nas. </w:t>
      </w:r>
    </w:p>
    <w:p w:rsidR="009C1C5A" w:rsidRPr="00896D4F" w:rsidRDefault="009C1C5A">
      <w:pPr>
        <w:pStyle w:val="Normaltindrag"/>
      </w:pPr>
      <w:r w:rsidRPr="00896D4F">
        <w:t xml:space="preserve">Såvitt framgår av utredningen har det inte funnits </w:t>
      </w:r>
      <w:r w:rsidRPr="00896D4F">
        <w:t xml:space="preserve">någon som varit skäligen misstänkt för brott i ärendet. Det har därför inte funnits något rättsligt hinder mot att nedläggningsbeslutet fattades av Fredrik Andersson. Av vad som nyss har sagts följer emellertid att det borde ha anförts en annan grund för beslutet än att brott inte kunde styrkas.   </w:t>
      </w:r>
    </w:p>
    <w:p w:rsidR="009C1C5A" w:rsidRPr="00896D4F" w:rsidRDefault="009C1C5A">
      <w:pPr>
        <w:pStyle w:val="Normaltindrag"/>
      </w:pPr>
      <w:r w:rsidRPr="00896D4F">
        <w:t>Vad som kommit fram i övrigt motiverar inte någon åtgärd eller något u</w:t>
      </w:r>
      <w:r w:rsidRPr="00896D4F">
        <w:t>t</w:t>
      </w:r>
      <w:r w:rsidRPr="00896D4F">
        <w:t>talande från min sida.</w:t>
      </w:r>
    </w:p>
    <w:p w:rsidR="009C1C5A" w:rsidRPr="00896D4F" w:rsidRDefault="009C1C5A">
      <w:pPr>
        <w:pStyle w:val="Rubrik2"/>
      </w:pPr>
      <w:r w:rsidRPr="00896D4F">
        <w:t>Handläggningen av förundersökningar efter det att åklagares ställningstagande varit föremål för överprövning m.m.</w:t>
      </w:r>
    </w:p>
    <w:p w:rsidR="009C1C5A" w:rsidRPr="00896D4F" w:rsidRDefault="009C1C5A">
      <w:pPr>
        <w:spacing w:before="0"/>
      </w:pPr>
      <w:r w:rsidRPr="00896D4F">
        <w:t>(Dnr 1245-2000)</w:t>
      </w:r>
    </w:p>
    <w:p w:rsidR="009C1C5A" w:rsidRPr="00896D4F" w:rsidRDefault="009C1C5A">
      <w:pPr>
        <w:pStyle w:val="Rubrik3"/>
      </w:pPr>
      <w:r w:rsidRPr="00896D4F">
        <w:t>Bakgrund</w:t>
      </w:r>
    </w:p>
    <w:p w:rsidR="009C1C5A" w:rsidRPr="00896D4F" w:rsidRDefault="009C1C5A">
      <w:r w:rsidRPr="00896D4F">
        <w:t>Den 11 juli 1999 blev en kvinna påkörd och skadad av en bilist på Kungsg</w:t>
      </w:r>
      <w:r w:rsidRPr="00896D4F">
        <w:t>a</w:t>
      </w:r>
      <w:r w:rsidRPr="00896D4F">
        <w:t>tan i Stockholm. Sedan en privatperson gjort en anmälan om ifrågasatt tjän</w:t>
      </w:r>
      <w:r w:rsidRPr="00896D4F">
        <w:t>s</w:t>
      </w:r>
      <w:r w:rsidRPr="00896D4F">
        <w:t>tefel av polis i samband med händelsen, beslutade biträdande chefsåklagaren Tora Holst vid Åklagarmyndigheten i Stockholm, 4:e åklagarkammaren, den 30 juli 1999 att inte inleda förundersökning mot någon av de inblandade p</w:t>
      </w:r>
      <w:r w:rsidRPr="00896D4F">
        <w:t>o</w:t>
      </w:r>
      <w:r w:rsidRPr="00896D4F">
        <w:t>lismännen. Den skadade kvinnans ombud begärde överprövning av beslutet. Biträdande överåklagaren Agneta Blidberg fann vid sin överprövning den 31 januari 2000 att det fanns anledning att anta att brott som hör unde</w:t>
      </w:r>
      <w:r w:rsidRPr="00896D4F">
        <w:t>r al</w:t>
      </w:r>
      <w:r w:rsidRPr="00896D4F">
        <w:t>l</w:t>
      </w:r>
      <w:r w:rsidRPr="00896D4F">
        <w:t>mänt åtal hade förövats och förordnade därför att förundersökning skulle inledas avseende framkallande av fara för annan alternativt tjänstefel. Agneta Blidberg uppdrog i sitt beslut åt Tora Holst att tillse att utredningen verkstäl</w:t>
      </w:r>
      <w:r w:rsidRPr="00896D4F">
        <w:t>l</w:t>
      </w:r>
      <w:r w:rsidRPr="00896D4F">
        <w:t>des och att därefter det beslut som saken kunde föranleda me</w:t>
      </w:r>
      <w:r w:rsidRPr="00896D4F">
        <w:t>d</w:t>
      </w:r>
      <w:r w:rsidRPr="00896D4F">
        <w:t>delades.</w:t>
      </w:r>
    </w:p>
    <w:p w:rsidR="009C1C5A" w:rsidRPr="00896D4F" w:rsidRDefault="009C1C5A">
      <w:pPr>
        <w:pStyle w:val="Rubrik3"/>
      </w:pPr>
      <w:r w:rsidRPr="00896D4F">
        <w:t>Anmälan</w:t>
      </w:r>
    </w:p>
    <w:p w:rsidR="009C1C5A" w:rsidRPr="00896D4F" w:rsidRDefault="009C1C5A">
      <w:r w:rsidRPr="00896D4F">
        <w:t>I en anmälan till JO framförde A.E. klagomål mot Tora Holst för hennes handläggning av ärendet. Han ifrågasatte därvid också bl.a. den åtgärden att hon hade tilldelats förundersökningen på nytt sedan den återupptagits.</w:t>
      </w:r>
    </w:p>
    <w:p w:rsidR="009C1C5A" w:rsidRPr="00896D4F" w:rsidRDefault="009C1C5A">
      <w:pPr>
        <w:pStyle w:val="Rubrik3"/>
      </w:pPr>
      <w:r w:rsidRPr="00896D4F">
        <w:t>Utredning</w:t>
      </w:r>
    </w:p>
    <w:p w:rsidR="009C1C5A" w:rsidRPr="00896D4F" w:rsidRDefault="009C1C5A">
      <w:r w:rsidRPr="00896D4F">
        <w:t>Inledningsvis infordrades Tora Holsts beslut den 30 juli 1999 i Åklagarmy</w:t>
      </w:r>
      <w:r w:rsidRPr="00896D4F">
        <w:t>n</w:t>
      </w:r>
      <w:r w:rsidRPr="00896D4F">
        <w:t>dighetens i Stockholm ärende C04-2-2608-99 samt Agneta Blidbergs beslut den 31 januari 2000 i Åklagarmyndighetens i Stockholm överprövningsäre</w:t>
      </w:r>
      <w:r w:rsidRPr="00896D4F">
        <w:t>n</w:t>
      </w:r>
      <w:r w:rsidRPr="00896D4F">
        <w:t>de ÖÅAD I 468-99.</w:t>
      </w:r>
    </w:p>
    <w:p w:rsidR="009C1C5A" w:rsidRPr="00896D4F" w:rsidRDefault="009C1C5A">
      <w:pPr>
        <w:pStyle w:val="Normaltindrag"/>
      </w:pPr>
      <w:r w:rsidRPr="00896D4F">
        <w:t>Ärendet remitterades därefter till Åklagarmyndigheten i Stockholm. My</w:t>
      </w:r>
      <w:r w:rsidRPr="00896D4F">
        <w:t>n</w:t>
      </w:r>
      <w:r w:rsidRPr="00896D4F">
        <w:t>digheten a</w:t>
      </w:r>
      <w:r w:rsidRPr="00896D4F">
        <w:t>n</w:t>
      </w:r>
      <w:r w:rsidRPr="00896D4F">
        <w:t xml:space="preserve">modades att i ett yttrande redovisa </w:t>
      </w:r>
    </w:p>
    <w:p w:rsidR="009C1C5A" w:rsidRPr="00896D4F" w:rsidRDefault="009C1C5A">
      <w:pPr>
        <w:numPr>
          <w:ilvl w:val="0"/>
          <w:numId w:val="34"/>
        </w:numPr>
      </w:pPr>
      <w:r w:rsidRPr="00896D4F">
        <w:t>vilka principer som tillämpas med avseende på fördelningen av ärenden på åklagare när en åklagares beslut ändras efter överprövning på så sätt att förundersö</w:t>
      </w:r>
      <w:r w:rsidRPr="00896D4F">
        <w:t>k</w:t>
      </w:r>
      <w:r w:rsidRPr="00896D4F">
        <w:t xml:space="preserve">ning inleds eller återupptas, </w:t>
      </w:r>
    </w:p>
    <w:p w:rsidR="009C1C5A" w:rsidRPr="00896D4F" w:rsidRDefault="009C1C5A">
      <w:pPr>
        <w:numPr>
          <w:ilvl w:val="0"/>
          <w:numId w:val="34"/>
        </w:numPr>
        <w:spacing w:before="0"/>
      </w:pPr>
      <w:r w:rsidRPr="00896D4F">
        <w:t>om det för fördelningen på åklagare efter överprövning har någon bet</w:t>
      </w:r>
      <w:r w:rsidRPr="00896D4F">
        <w:t>y</w:t>
      </w:r>
      <w:r w:rsidRPr="00896D4F">
        <w:t>delse om nya omständigheter anförts eller framkommit i överprövning</w:t>
      </w:r>
      <w:r w:rsidRPr="00896D4F">
        <w:t>s</w:t>
      </w:r>
      <w:r w:rsidRPr="00896D4F">
        <w:t>ärendet, samt</w:t>
      </w:r>
    </w:p>
    <w:p w:rsidR="009C1C5A" w:rsidRPr="00896D4F" w:rsidRDefault="009C1C5A">
      <w:pPr>
        <w:numPr>
          <w:ilvl w:val="0"/>
          <w:numId w:val="34"/>
        </w:numPr>
        <w:spacing w:before="0"/>
      </w:pPr>
      <w:r w:rsidRPr="00896D4F">
        <w:t>lämpligheten av att samma åklagare som beslutat i det ärende som öve</w:t>
      </w:r>
      <w:r w:rsidRPr="00896D4F">
        <w:t>r</w:t>
      </w:r>
      <w:r w:rsidRPr="00896D4F">
        <w:t>prövats tilldelas ärendet på nytt efter det att förundersökning inletts eller återup</w:t>
      </w:r>
      <w:r w:rsidRPr="00896D4F">
        <w:t>p</w:t>
      </w:r>
      <w:r w:rsidRPr="00896D4F">
        <w:t>tagits.</w:t>
      </w:r>
    </w:p>
    <w:p w:rsidR="009C1C5A" w:rsidRPr="00896D4F" w:rsidRDefault="009C1C5A">
      <w:r w:rsidRPr="00896D4F">
        <w:t>Åklagarmyndigheten (biträdande överåklagaren Agneta Blidberg) kom in med följande yttrande.</w:t>
      </w:r>
    </w:p>
    <w:p w:rsidR="009C1C5A" w:rsidRPr="00896D4F" w:rsidRDefault="009C1C5A">
      <w:pPr>
        <w:pStyle w:val="Citat"/>
      </w:pPr>
      <w:r w:rsidRPr="00896D4F">
        <w:t>En överåklagares rätt och skyldighet att överpröva underordnad åklagares beslut grundas på reglerna i 7 kap. 2 § andra stycket och 5 § rättegångsbalken. Överprövningsförfarandet är i övrigt inte författningsreglerat, utan har u</w:t>
      </w:r>
      <w:r w:rsidRPr="00896D4F">
        <w:t>t</w:t>
      </w:r>
      <w:r w:rsidRPr="00896D4F">
        <w:t>vecklats i praxis. Uttalandena i 1985 års budgetproposition (prop. 1984/85:100, bilaga 4) har, tillsammans med numera upphävt cirkulär från Riksåklagaren, RÅC 1:108, varit vägledande för den praxis som har utvec</w:t>
      </w:r>
      <w:r w:rsidRPr="00896D4F">
        <w:t>k</w:t>
      </w:r>
      <w:r w:rsidRPr="00896D4F">
        <w:t>lats.</w:t>
      </w:r>
    </w:p>
    <w:p w:rsidR="009C1C5A" w:rsidRPr="00896D4F" w:rsidRDefault="009C1C5A">
      <w:pPr>
        <w:pStyle w:val="Citatindrag"/>
      </w:pPr>
      <w:r w:rsidRPr="00896D4F">
        <w:t>I princip kan alla beslut av en åklagare bli föremål för överprövning. Efte</w:t>
      </w:r>
      <w:r w:rsidRPr="00896D4F">
        <w:t>r</w:t>
      </w:r>
      <w:r w:rsidRPr="00896D4F">
        <w:t>som jag anmodats att redovisa åklagarmyndighetens praxis beträffande de beslut där för</w:t>
      </w:r>
      <w:r w:rsidRPr="00896D4F">
        <w:softHyphen/>
        <w:t>undersökningen efter överprövning ändrats på så vis att föru</w:t>
      </w:r>
      <w:r w:rsidRPr="00896D4F">
        <w:t>n</w:t>
      </w:r>
      <w:r w:rsidRPr="00896D4F">
        <w:t>dersökning inletts respektive återupptagits, inskränkes min redovisning av praxis till dessa beslut.</w:t>
      </w:r>
    </w:p>
    <w:p w:rsidR="009C1C5A" w:rsidRPr="00896D4F" w:rsidRDefault="009C1C5A">
      <w:pPr>
        <w:pStyle w:val="Citatindrag"/>
      </w:pPr>
      <w:r w:rsidRPr="00896D4F">
        <w:t>a) När det vid en överprövning finns skäl till ändring av en åklagares b</w:t>
      </w:r>
      <w:r w:rsidRPr="00896D4F">
        <w:t>e</w:t>
      </w:r>
      <w:r w:rsidRPr="00896D4F">
        <w:t>slut, in</w:t>
      </w:r>
      <w:r w:rsidRPr="00896D4F">
        <w:softHyphen/>
        <w:t>hämtas om möjligt alltid synpunkter från vederbörande åklagare. Nå</w:t>
      </w:r>
      <w:r w:rsidRPr="00896D4F">
        <w:t>g</w:t>
      </w:r>
      <w:r w:rsidRPr="00896D4F">
        <w:t>ra fasta prin</w:t>
      </w:r>
      <w:r w:rsidRPr="00896D4F">
        <w:softHyphen/>
        <w:t>ciper för vem som därefter skall handlägga ärendet finns inte. Man kan låta ären</w:t>
      </w:r>
      <w:r w:rsidRPr="00896D4F">
        <w:softHyphen/>
        <w:t>det även fortsättningsvis handläggas av beslutande åklagare eller överlämna ären</w:t>
      </w:r>
      <w:r w:rsidRPr="00896D4F">
        <w:softHyphen/>
        <w:t>det till annan åklagare för handläggning. Vad som är avgörande för bedömningen av vem som skall handha den fortsatta handläg</w:t>
      </w:r>
      <w:r w:rsidRPr="00896D4F">
        <w:t>g</w:t>
      </w:r>
      <w:r w:rsidRPr="00896D4F">
        <w:t>ningen, bestäms från fall till fall med hänsyn till omständigheter som ärendets art, utredningens omfattning, åkla</w:t>
      </w:r>
      <w:r w:rsidRPr="00896D4F">
        <w:softHyphen/>
        <w:t>garens egen inställ</w:t>
      </w:r>
      <w:r w:rsidRPr="00896D4F">
        <w:t>ning till att återta ärendet, utformningen av åklagarens beslut, hur aktiv åklagaren varit under förunde</w:t>
      </w:r>
      <w:r w:rsidRPr="00896D4F">
        <w:t>r</w:t>
      </w:r>
      <w:r w:rsidRPr="00896D4F">
        <w:t>sökningen och hur aktiv åklagaren varit för att för målsäganden eller annan förklara sitt beslut. Om det inte fram</w:t>
      </w:r>
      <w:r w:rsidRPr="00896D4F">
        <w:softHyphen/>
        <w:t>kommit sådana omständigheter som gör att den beslutande åklagarens objektivitet kan ifrågasättas vid den fortsatta handläggningen, brukar ärendet med hänsyn till handläggningstiden och av resursskäl lämnas tillbaka till beslutande åklagare. Detta förfarande förutsätter givetvis att beslutand</w:t>
      </w:r>
      <w:r w:rsidRPr="00896D4F">
        <w:t>e åklagare till fullo delar den bedömning som gjorts överprö</w:t>
      </w:r>
      <w:r w:rsidRPr="00896D4F">
        <w:t>v</w:t>
      </w:r>
      <w:r w:rsidRPr="00896D4F">
        <w:t>ningsvis.</w:t>
      </w:r>
    </w:p>
    <w:p w:rsidR="009C1C5A" w:rsidRPr="00896D4F" w:rsidRDefault="009C1C5A">
      <w:pPr>
        <w:pStyle w:val="Citatindrag"/>
      </w:pPr>
      <w:r w:rsidRPr="00896D4F">
        <w:t>b) Om det som skäl för överprövning enbart åberopas att det finns ny b</w:t>
      </w:r>
      <w:r w:rsidRPr="00896D4F">
        <w:t>e</w:t>
      </w:r>
      <w:r w:rsidRPr="00896D4F">
        <w:t>visning och denna är av betydelse för bedömningen av ärendet, tas som regel inte ärendet upp till överprövning. Enligt uttalande i 1985 års budgetpropos</w:t>
      </w:r>
      <w:r w:rsidRPr="00896D4F">
        <w:t>i</w:t>
      </w:r>
      <w:r w:rsidRPr="00896D4F">
        <w:t>tion skall överprövning i princip endast ske i en instans. Med hänsyn härtill bör inte en prövning av överåklagaren utgöra första b</w:t>
      </w:r>
      <w:r w:rsidRPr="00896D4F">
        <w:t>e</w:t>
      </w:r>
      <w:r w:rsidRPr="00896D4F">
        <w:t>slutsinstans.</w:t>
      </w:r>
    </w:p>
    <w:p w:rsidR="009C1C5A" w:rsidRPr="00896D4F" w:rsidRDefault="009C1C5A">
      <w:pPr>
        <w:pStyle w:val="Citatindrag"/>
      </w:pPr>
      <w:r w:rsidRPr="00896D4F">
        <w:t>c) Jag hänvisar här till vad jag nämnt ovan under a) med följande tillägg. Lämp</w:t>
      </w:r>
      <w:r w:rsidRPr="00896D4F">
        <w:softHyphen/>
        <w:t>ligheten av att den tidigare beslutande åklagaren efter en överprövning återtar handläggningen av ärendet bör noga övervägas. Åklagarens objektiv</w:t>
      </w:r>
      <w:r w:rsidRPr="00896D4F">
        <w:t>i</w:t>
      </w:r>
      <w:r w:rsidRPr="00896D4F">
        <w:t>tet under den fortsatta handläggningen får inte bli ifrågasatt och berörda pa</w:t>
      </w:r>
      <w:r w:rsidRPr="00896D4F">
        <w:t>r</w:t>
      </w:r>
      <w:r w:rsidRPr="00896D4F">
        <w:t>ter får inte heller ges uppfattningen att den fortsatta utredningen präglas av det tidigare ställningsta</w:t>
      </w:r>
      <w:r w:rsidRPr="00896D4F">
        <w:softHyphen/>
        <w:t>gandet.</w:t>
      </w:r>
    </w:p>
    <w:p w:rsidR="009C1C5A" w:rsidRPr="00896D4F" w:rsidRDefault="009C1C5A">
      <w:pPr>
        <w:pStyle w:val="Citatindrag"/>
        <w:spacing w:before="250"/>
        <w:jc w:val="center"/>
      </w:pPr>
      <w:r w:rsidRPr="00896D4F">
        <w:t>–––––––––––</w:t>
      </w:r>
    </w:p>
    <w:p w:rsidR="009C1C5A" w:rsidRPr="00896D4F" w:rsidRDefault="009C1C5A">
      <w:pPr>
        <w:pStyle w:val="Citat"/>
      </w:pPr>
      <w:r w:rsidRPr="00896D4F">
        <w:t>Med hänvisning till det till anmodan bifogade beslutet i överprövningsärende ÖÅAD I 468-99, vill jag göra följande komplettering till yttrandet. Frågan om överprövning gällde ett beslut beträffande eventuellt brottsligt förfarande be</w:t>
      </w:r>
      <w:r w:rsidRPr="00896D4F">
        <w:softHyphen/>
        <w:t>gånget av polis under tjänsteutövning. För handläggning av sådana ärenden krävs enligt 17 § åklagarförordningen (1996:205) särskilt kvalificerad åkl</w:t>
      </w:r>
      <w:r w:rsidRPr="00896D4F">
        <w:t>a</w:t>
      </w:r>
      <w:r w:rsidRPr="00896D4F">
        <w:t>garbehörig</w:t>
      </w:r>
      <w:r w:rsidRPr="00896D4F">
        <w:softHyphen/>
        <w:t>het. Av ansökan om överprövning framgick att man var missnöjd med Tora Holsts beslut, men framförallt att det fanns nya vittnesuppgifter i ärendet. Vid kontakt med Tora Holst framförde hon, att eftersom ny bevi</w:t>
      </w:r>
      <w:r w:rsidRPr="00896D4F">
        <w:t>s</w:t>
      </w:r>
      <w:r w:rsidRPr="00896D4F">
        <w:t>ning åberopades var hennes avsikt att ompröva sitt tidigare beslut. Eftersom förundersökning enligt min be</w:t>
      </w:r>
      <w:r w:rsidRPr="00896D4F">
        <w:softHyphen/>
        <w:t>dömning borde ha inletts på det u</w:t>
      </w:r>
      <w:r w:rsidRPr="00896D4F">
        <w:t>nderlag som fanns vid tidpunkten för Tora Holsts beslut och förundersökningen skulle avse misstanke om framkallande av fara för annan alternativt tjänstefel b</w:t>
      </w:r>
      <w:r w:rsidRPr="00896D4F">
        <w:t>e</w:t>
      </w:r>
      <w:r w:rsidRPr="00896D4F">
        <w:t>slutade jag att ärendet skulle tas upp till överprö</w:t>
      </w:r>
      <w:r w:rsidRPr="00896D4F">
        <w:t>v</w:t>
      </w:r>
      <w:r w:rsidRPr="00896D4F">
        <w:t>ning.</w:t>
      </w:r>
    </w:p>
    <w:p w:rsidR="009C1C5A" w:rsidRPr="00896D4F" w:rsidRDefault="009C1C5A">
      <w:pPr>
        <w:pStyle w:val="Citatindrag"/>
      </w:pPr>
      <w:r w:rsidRPr="00896D4F">
        <w:t>Med hänsyn till att Tora Holst stod i begrepp att ompröva sitt beslut, att hon kunde dela den bedömning som gjorts överprövningsvis och att det, vid tidpunk</w:t>
      </w:r>
      <w:r w:rsidRPr="00896D4F">
        <w:softHyphen/>
        <w:t>ten för beslutet i överprövningsärendet – såvitt föredrogs för mig – inte fanns några omständigheter som talade mot förfarandet, gjorde jag den bedömningen att ären</w:t>
      </w:r>
      <w:r w:rsidRPr="00896D4F">
        <w:softHyphen/>
        <w:t>det skulle återlämnas till Tora Holst för vidare han</w:t>
      </w:r>
      <w:r w:rsidRPr="00896D4F">
        <w:t>d</w:t>
      </w:r>
      <w:r w:rsidRPr="00896D4F">
        <w:t>läggning. Förundersök</w:t>
      </w:r>
      <w:r w:rsidRPr="00896D4F">
        <w:softHyphen/>
        <w:t>ningen har senare övertagits av a</w:t>
      </w:r>
      <w:r w:rsidRPr="00896D4F">
        <w:t>n</w:t>
      </w:r>
      <w:r w:rsidRPr="00896D4F">
        <w:t>nan åklagare.</w:t>
      </w:r>
    </w:p>
    <w:p w:rsidR="009C1C5A" w:rsidRPr="00896D4F" w:rsidRDefault="009C1C5A">
      <w:pPr>
        <w:pStyle w:val="Citatindrag"/>
      </w:pPr>
      <w:r w:rsidRPr="00896D4F">
        <w:t>Med facit i hand borde inte ärendet ha återgått till Tora Holst.</w:t>
      </w:r>
    </w:p>
    <w:p w:rsidR="009C1C5A" w:rsidRPr="00896D4F" w:rsidRDefault="009C1C5A">
      <w:r w:rsidRPr="00896D4F">
        <w:t>Ärendet remitterades därefter till Riksåklagaren som anmodades att i ett yt</w:t>
      </w:r>
      <w:r w:rsidRPr="00896D4F">
        <w:t>t</w:t>
      </w:r>
      <w:r w:rsidRPr="00896D4F">
        <w:t>rande r</w:t>
      </w:r>
      <w:r w:rsidRPr="00896D4F">
        <w:t>e</w:t>
      </w:r>
      <w:r w:rsidRPr="00896D4F">
        <w:t>dovisa sin syn beträffande följande principfrågor.</w:t>
      </w:r>
    </w:p>
    <w:p w:rsidR="009C1C5A" w:rsidRPr="00896D4F" w:rsidRDefault="009C1C5A">
      <w:pPr>
        <w:numPr>
          <w:ilvl w:val="0"/>
          <w:numId w:val="33"/>
        </w:numPr>
      </w:pPr>
      <w:r w:rsidRPr="00896D4F">
        <w:t>Vilka principer bör tillämpas när det gäller utseende av förundersö</w:t>
      </w:r>
      <w:r w:rsidRPr="00896D4F">
        <w:t>k</w:t>
      </w:r>
      <w:r w:rsidRPr="00896D4F">
        <w:t>ningsledare i de fall där en viss åklagares beslut ändras vid överprövning på så sätt att föru</w:t>
      </w:r>
      <w:r w:rsidRPr="00896D4F">
        <w:t>n</w:t>
      </w:r>
      <w:r w:rsidRPr="00896D4F">
        <w:t>dersökningen återupptas eller att åtal skall väckas.</w:t>
      </w:r>
    </w:p>
    <w:p w:rsidR="009C1C5A" w:rsidRPr="00896D4F" w:rsidRDefault="009C1C5A">
      <w:pPr>
        <w:numPr>
          <w:ilvl w:val="0"/>
          <w:numId w:val="33"/>
        </w:numPr>
        <w:spacing w:before="0"/>
      </w:pPr>
      <w:r w:rsidRPr="00896D4F">
        <w:t>Hur bör en begäran om överprövning handläggas när grunden för beg</w:t>
      </w:r>
      <w:r w:rsidRPr="00896D4F">
        <w:t>ä</w:t>
      </w:r>
      <w:r w:rsidRPr="00896D4F">
        <w:t>ran om överprövning utgörs av helt eller delvis nya omständigheter som förundersökningsledaren följaktligen inte tidigare haft att ta ställning till i ärendet.</w:t>
      </w:r>
    </w:p>
    <w:p w:rsidR="009C1C5A" w:rsidRPr="00896D4F" w:rsidRDefault="009C1C5A">
      <w:pPr>
        <w:numPr>
          <w:ilvl w:val="0"/>
          <w:numId w:val="33"/>
        </w:numPr>
        <w:spacing w:before="0"/>
        <w:rPr>
          <w:sz w:val="20"/>
        </w:rPr>
      </w:pPr>
      <w:r w:rsidRPr="00896D4F">
        <w:t>Vilka principer för diarieföring i åklagarmyndighetens diarium bör ti</w:t>
      </w:r>
      <w:r w:rsidRPr="00896D4F">
        <w:t>l</w:t>
      </w:r>
      <w:r w:rsidRPr="00896D4F">
        <w:t>lämpas när en överåklagare ändrar en åklagares beslut på så sätt att en förundersökning åte</w:t>
      </w:r>
      <w:r w:rsidRPr="00896D4F">
        <w:t>r</w:t>
      </w:r>
      <w:r w:rsidRPr="00896D4F">
        <w:t>upptas eller att åtal skall väckas.</w:t>
      </w:r>
    </w:p>
    <w:p w:rsidR="009C1C5A" w:rsidRPr="00896D4F" w:rsidRDefault="009C1C5A">
      <w:r w:rsidRPr="00896D4F">
        <w:t>Riksåklagaren (Klas Bergenstrand) inkom med följande yttrande.</w:t>
      </w:r>
    </w:p>
    <w:p w:rsidR="009C1C5A" w:rsidRPr="00896D4F" w:rsidRDefault="009C1C5A">
      <w:pPr>
        <w:pStyle w:val="Rubrik4"/>
      </w:pPr>
      <w:r w:rsidRPr="00896D4F">
        <w:t>Bakgrund</w:t>
      </w:r>
    </w:p>
    <w:p w:rsidR="009C1C5A" w:rsidRPr="00896D4F" w:rsidRDefault="009C1C5A">
      <w:pPr>
        <w:pStyle w:val="Citat"/>
      </w:pPr>
      <w:r w:rsidRPr="00896D4F">
        <w:t>En högre åklagares rätt att överpröva en lägre åklagares beslut grundar sig på be</w:t>
      </w:r>
      <w:r w:rsidRPr="00896D4F">
        <w:softHyphen/>
        <w:t>stämmelsen i 7 kap. 5 § rättegångsbalken enligt vilken en högre åkla</w:t>
      </w:r>
      <w:r w:rsidRPr="00896D4F">
        <w:softHyphen/>
        <w:t>gare får överta uppgifter som tillkommer en lägre åklagare. Den hierarkiska or</w:t>
      </w:r>
      <w:r w:rsidRPr="00896D4F">
        <w:t>d</w:t>
      </w:r>
      <w:r w:rsidRPr="00896D4F">
        <w:t>ningen mellan åklagare framgår av 7 kap. 2 § rättegångsbalken. Av 4 § i åkl</w:t>
      </w:r>
      <w:r w:rsidRPr="00896D4F">
        <w:t>a</w:t>
      </w:r>
      <w:r w:rsidRPr="00896D4F">
        <w:t>garförord</w:t>
      </w:r>
      <w:r w:rsidRPr="00896D4F">
        <w:softHyphen/>
        <w:t>ningen (1996:205) framgår vilka åklagare som är statsåklagare. Frågor om överprövning har behandlats bl.a. i betänka</w:t>
      </w:r>
      <w:r w:rsidRPr="00896D4F">
        <w:t>n</w:t>
      </w:r>
      <w:r w:rsidRPr="00896D4F">
        <w:t>det Förslag till för</w:t>
      </w:r>
      <w:r w:rsidRPr="00896D4F">
        <w:softHyphen/>
        <w:t>valtningslag (SOU 1968:27 s. 74 f.), departementspr</w:t>
      </w:r>
      <w:r w:rsidRPr="00896D4F">
        <w:t>o</w:t>
      </w:r>
      <w:r w:rsidRPr="00896D4F">
        <w:t>memorian Riksåklaga</w:t>
      </w:r>
      <w:r w:rsidRPr="00896D4F">
        <w:softHyphen/>
        <w:t>ren och hans kansli (DsJu 1983:19 s. 63 f.) och i 1985 års budgetpr</w:t>
      </w:r>
      <w:r w:rsidRPr="00896D4F">
        <w:t>oposition (prop. 1984/85:100 bilaga 4 s. 69 f.). Allmänna råd för handläggningen av överprövningsärenden fanns i det nu</w:t>
      </w:r>
      <w:r w:rsidRPr="00896D4F">
        <w:softHyphen/>
        <w:t>mera upphävda RÅC I:108.</w:t>
      </w:r>
    </w:p>
    <w:p w:rsidR="009C1C5A" w:rsidRPr="00896D4F" w:rsidRDefault="009C1C5A">
      <w:pPr>
        <w:pStyle w:val="Rubrik4"/>
      </w:pPr>
      <w:r w:rsidRPr="00896D4F">
        <w:t>1 Principer för utseende av förundersökningsledare i de fall där en viss åkla</w:t>
      </w:r>
      <w:r w:rsidRPr="00896D4F">
        <w:softHyphen/>
        <w:t>ga</w:t>
      </w:r>
      <w:r w:rsidRPr="00896D4F">
        <w:softHyphen/>
        <w:t>res beslut ändrats vid överprövning på sätt att förundersökningen skall återupptas e</w:t>
      </w:r>
      <w:r w:rsidRPr="00896D4F">
        <w:t>l</w:t>
      </w:r>
      <w:r w:rsidRPr="00896D4F">
        <w:t>ler åtal skall väckas</w:t>
      </w:r>
    </w:p>
    <w:p w:rsidR="009C1C5A" w:rsidRPr="00896D4F" w:rsidRDefault="009C1C5A">
      <w:pPr>
        <w:pStyle w:val="Citat"/>
      </w:pPr>
      <w:r w:rsidRPr="00896D4F">
        <w:t>Under denna rubrik diskuterar jag frågeställningen utifrån situationer där den högre åklagaren på grundval av samma utredningsmaterial gjort en annan bedöm</w:t>
      </w:r>
      <w:r w:rsidRPr="00896D4F">
        <w:softHyphen/>
        <w:t>ning och kommit till ett annat beslut än den åklagare som har fattat det överprö</w:t>
      </w:r>
      <w:r w:rsidRPr="00896D4F">
        <w:softHyphen/>
        <w:t>vade beslutet.</w:t>
      </w:r>
    </w:p>
    <w:p w:rsidR="009C1C5A" w:rsidRPr="00896D4F" w:rsidRDefault="009C1C5A">
      <w:pPr>
        <w:pStyle w:val="Citatindrag"/>
      </w:pPr>
      <w:r w:rsidRPr="00896D4F">
        <w:t>Den åklagare som efter ett överprövningsbeslut skall fortsätta handläg</w:t>
      </w:r>
      <w:r w:rsidRPr="00896D4F">
        <w:t>g</w:t>
      </w:r>
      <w:r w:rsidRPr="00896D4F">
        <w:t>ning</w:t>
      </w:r>
      <w:r w:rsidRPr="00896D4F">
        <w:softHyphen/>
        <w:t>en av ärendet har överprövningsbeslutet som en utgångspunkt för det följan</w:t>
      </w:r>
      <w:r w:rsidRPr="00896D4F">
        <w:softHyphen/>
        <w:t>de åklagararbetet. Ett ställningstagande till vilken åklagare som skall utföra åklagaruppgif</w:t>
      </w:r>
      <w:r w:rsidRPr="00896D4F">
        <w:softHyphen/>
        <w:t>ten efter en överprövning innefattar därför naturligt öve</w:t>
      </w:r>
      <w:r w:rsidRPr="00896D4F">
        <w:t>r</w:t>
      </w:r>
      <w:r w:rsidRPr="00896D4F">
        <w:t>vägan</w:t>
      </w:r>
      <w:r w:rsidRPr="00896D4F">
        <w:softHyphen/>
        <w:t>den som tar hänsyn till den självständiga ställning som åklagare har vid ut</w:t>
      </w:r>
      <w:r w:rsidRPr="00896D4F">
        <w:softHyphen/>
        <w:t>övandet av sin uppgift som allmän åklagare.</w:t>
      </w:r>
    </w:p>
    <w:p w:rsidR="009C1C5A" w:rsidRPr="00896D4F" w:rsidRDefault="009C1C5A">
      <w:pPr>
        <w:pStyle w:val="Citatindrag"/>
      </w:pPr>
      <w:r w:rsidRPr="00896D4F">
        <w:t>En fråga som också bör beröras i sammanhanget är förtroendet för åklagar</w:t>
      </w:r>
      <w:r w:rsidRPr="00896D4F">
        <w:softHyphen/>
        <w:t>funk</w:t>
      </w:r>
      <w:r w:rsidRPr="00896D4F">
        <w:softHyphen/>
        <w:t>tionen.</w:t>
      </w:r>
    </w:p>
    <w:p w:rsidR="009C1C5A" w:rsidRPr="00896D4F" w:rsidRDefault="009C1C5A">
      <w:pPr>
        <w:pStyle w:val="Citatindrag"/>
      </w:pPr>
      <w:r w:rsidRPr="00896D4F">
        <w:t>Enligt 7 kap. 6 § rättegångsbalken skall frågor om jäv för åklagare bed</w:t>
      </w:r>
      <w:r w:rsidRPr="00896D4F">
        <w:t>ö</w:t>
      </w:r>
      <w:r w:rsidRPr="00896D4F">
        <w:t>mas enligt samma grunder som gäller beträffande jäv för domare enligt 4 kap. 13 § rättegångsbalken. Jäv får dock inte grundas på åtgärd som åklagaren har vidtagit på tjänstens vägnar eller på gärning som förövats mot honom i eller för hans tjänst. En åklagare får trots att jäv föreligger vidtaga åtgärd som inte utan fara kan uppskjutas.</w:t>
      </w:r>
    </w:p>
    <w:p w:rsidR="009C1C5A" w:rsidRPr="00896D4F" w:rsidRDefault="009C1C5A">
      <w:pPr>
        <w:pStyle w:val="Citatindrag"/>
      </w:pPr>
      <w:r w:rsidRPr="00896D4F">
        <w:t>I detta sammanhang är främst bestämmelsen i 4 kap. 13 § 10 p rätt</w:t>
      </w:r>
      <w:r w:rsidRPr="00896D4F">
        <w:t>e</w:t>
      </w:r>
      <w:r w:rsidRPr="00896D4F">
        <w:t>gångs</w:t>
      </w:r>
      <w:r w:rsidRPr="00896D4F">
        <w:softHyphen/>
        <w:t>balken av intresse. I den bestämmelsen finns en generalklausul enligt vilken en domare skall anses jävig om det föreligger någon särskild omständighet som är ägnad att rubba förtroendet för hans opartiskhet i målet. Den särskil</w:t>
      </w:r>
      <w:r w:rsidRPr="00896D4F">
        <w:softHyphen/>
        <w:t>da omständighet som avses i bestämmelsen avser i allmänhet domarens förhå</w:t>
      </w:r>
      <w:r w:rsidRPr="00896D4F">
        <w:t>l</w:t>
      </w:r>
      <w:r w:rsidRPr="00896D4F">
        <w:t>lande till någon av par</w:t>
      </w:r>
      <w:r w:rsidRPr="00896D4F">
        <w:softHyphen/>
        <w:t>terna eller till den sak som är föremål för hand</w:t>
      </w:r>
      <w:r w:rsidRPr="00896D4F">
        <w:softHyphen/>
        <w:t>läggning. I linje med Europadom</w:t>
      </w:r>
      <w:r w:rsidRPr="00896D4F">
        <w:softHyphen/>
        <w:t>stolens praxis bör vid beaktande av opar</w:t>
      </w:r>
      <w:r w:rsidRPr="00896D4F">
        <w:softHyphen/>
        <w:t>tiskheten b</w:t>
      </w:r>
      <w:r w:rsidRPr="00896D4F">
        <w:t>e</w:t>
      </w:r>
      <w:r w:rsidRPr="00896D4F">
        <w:t xml:space="preserve">aktas såväl den objektiva som den subjektiva </w:t>
      </w:r>
      <w:r w:rsidRPr="00896D4F">
        <w:t>sidan. I subjektivt hänseende krävs att domaren i fråga har en opartisk inställning till det mål som han skall döma i. I objektivt hänseende krävs att omständigheterna inte är sådana att det finns legitima tvivel om domarens ob</w:t>
      </w:r>
      <w:r w:rsidRPr="00896D4F">
        <w:softHyphen/>
        <w:t>jektiva hållning. Par</w:t>
      </w:r>
      <w:r w:rsidRPr="00896D4F">
        <w:softHyphen/>
        <w:t>terna får inte kunna hysa objektivt berättigat tvivel på dom</w:t>
      </w:r>
      <w:r w:rsidRPr="00896D4F">
        <w:softHyphen/>
        <w:t>stolens opartiskhet (se Fitger, Rätt</w:t>
      </w:r>
      <w:r w:rsidRPr="00896D4F">
        <w:t>e</w:t>
      </w:r>
      <w:r w:rsidRPr="00896D4F">
        <w:t>gångsba</w:t>
      </w:r>
      <w:r w:rsidRPr="00896D4F">
        <w:t>l</w:t>
      </w:r>
      <w:r w:rsidRPr="00896D4F">
        <w:t>ken del I, s. 4:30).</w:t>
      </w:r>
    </w:p>
    <w:p w:rsidR="009C1C5A" w:rsidRPr="00896D4F" w:rsidRDefault="009C1C5A">
      <w:pPr>
        <w:pStyle w:val="Citatindrag"/>
      </w:pPr>
      <w:r w:rsidRPr="00896D4F">
        <w:t>Även om samma jävsregler gäller för åklagare och domare innebär ti</w:t>
      </w:r>
      <w:r w:rsidRPr="00896D4F">
        <w:t>l</w:t>
      </w:r>
      <w:r w:rsidRPr="00896D4F">
        <w:t>lämp</w:t>
      </w:r>
      <w:r w:rsidRPr="00896D4F">
        <w:softHyphen/>
        <w:t>ningen av dem inte med nödvändighet att resultatet av en prövning enligt den nämnda bestämmelsen blir detsamma för åklagare som för domare. Det be</w:t>
      </w:r>
      <w:r w:rsidRPr="00896D4F">
        <w:softHyphen/>
        <w:t>ror på att åkla</w:t>
      </w:r>
      <w:r w:rsidRPr="00896D4F">
        <w:softHyphen/>
        <w:t>garna och domarna har olika roller i rättssystemet. Jävsregler</w:t>
      </w:r>
      <w:r w:rsidRPr="00896D4F">
        <w:softHyphen/>
        <w:t>nas krav på opartisk</w:t>
      </w:r>
      <w:r w:rsidRPr="00896D4F">
        <w:softHyphen/>
        <w:t>het för åklagaren torde fra</w:t>
      </w:r>
      <w:r w:rsidRPr="00896D4F">
        <w:t>m</w:t>
      </w:r>
      <w:r w:rsidRPr="00896D4F">
        <w:t>för allt ta sikte på skyldighe</w:t>
      </w:r>
      <w:r w:rsidRPr="00896D4F">
        <w:softHyphen/>
        <w:t>ten för honom att vara objektiv och inte ensidigt inrikta sitt agerande på att få fram ett underlag för åtal mot en misstänkt eller en fä</w:t>
      </w:r>
      <w:r w:rsidRPr="00896D4F">
        <w:t>l</w:t>
      </w:r>
      <w:r w:rsidRPr="00896D4F">
        <w:t>lande dom.</w:t>
      </w:r>
    </w:p>
    <w:p w:rsidR="009C1C5A" w:rsidRPr="00896D4F" w:rsidRDefault="009C1C5A">
      <w:pPr>
        <w:pStyle w:val="Citatindrag"/>
      </w:pPr>
      <w:r w:rsidRPr="00896D4F">
        <w:t xml:space="preserve">Även om en åklagare med hänsyn till innehållet i 7 </w:t>
      </w:r>
      <w:r w:rsidRPr="00896D4F">
        <w:t>kap. 6 § rättegångsba</w:t>
      </w:r>
      <w:r w:rsidRPr="00896D4F">
        <w:t>l</w:t>
      </w:r>
      <w:r w:rsidRPr="00896D4F">
        <w:t>ken inte är formellt jävig bör bestämmelsen i 4 kap. 13 § 10 p rättegångsba</w:t>
      </w:r>
      <w:r w:rsidRPr="00896D4F">
        <w:t>l</w:t>
      </w:r>
      <w:r w:rsidRPr="00896D4F">
        <w:t>ken utgöra en bakgrund vid bedömningen av frågan om en åklagare bör for</w:t>
      </w:r>
      <w:r w:rsidRPr="00896D4F">
        <w:t>t</w:t>
      </w:r>
      <w:r w:rsidRPr="00896D4F">
        <w:t>sätta handlägg</w:t>
      </w:r>
      <w:r w:rsidRPr="00896D4F">
        <w:softHyphen/>
        <w:t>ningen av ett mål efter det att åklagarens beslut ändrats vid en överprövning.</w:t>
      </w:r>
    </w:p>
    <w:p w:rsidR="009C1C5A" w:rsidRPr="00896D4F" w:rsidRDefault="009C1C5A">
      <w:pPr>
        <w:pStyle w:val="Citatindrag"/>
      </w:pPr>
      <w:r w:rsidRPr="00896D4F">
        <w:t>Med detta som bakgrund övergår jag till att diskutera frågan om åklaga</w:t>
      </w:r>
      <w:r w:rsidRPr="00896D4F">
        <w:t>r</w:t>
      </w:r>
      <w:r w:rsidRPr="00896D4F">
        <w:t>funk</w:t>
      </w:r>
      <w:r w:rsidRPr="00896D4F">
        <w:softHyphen/>
        <w:t>tio</w:t>
      </w:r>
      <w:r w:rsidRPr="00896D4F">
        <w:softHyphen/>
        <w:t>nen efter överprövningsbeslut om att åtal skall väckas och om att fö</w:t>
      </w:r>
      <w:r w:rsidRPr="00896D4F">
        <w:t>r</w:t>
      </w:r>
      <w:r w:rsidRPr="00896D4F">
        <w:t>un</w:t>
      </w:r>
      <w:r w:rsidRPr="00896D4F">
        <w:softHyphen/>
        <w:t>dersökning skall återupptas.</w:t>
      </w:r>
    </w:p>
    <w:p w:rsidR="009C1C5A" w:rsidRPr="00896D4F" w:rsidRDefault="009C1C5A">
      <w:pPr>
        <w:pStyle w:val="Citatindrag"/>
      </w:pPr>
      <w:r w:rsidRPr="00896D4F">
        <w:t>Ett beslut om att inte väcka åtal fattas först efter det att förundersökningen har avslutats och den misstänkte har delgivits utredningen enligt 23 kap. 18 § rätte</w:t>
      </w:r>
      <w:r w:rsidRPr="00896D4F">
        <w:softHyphen/>
        <w:t>gångsbalken. Åklagarens beslut grundar sig alltså på en fullständig ut</w:t>
      </w:r>
      <w:r w:rsidRPr="00896D4F">
        <w:softHyphen/>
        <w:t>redning. Att ett överprövat beslut fattas i ett sent skede av åklagarens hand</w:t>
      </w:r>
      <w:r w:rsidRPr="00896D4F">
        <w:softHyphen/>
        <w:t>läggning av ärendet kan innebära att åklagaren har gjort en så ingående och allsidig bedömning att han inte kan ändra sin uppfattning om att åtal inte bör väckas. Den åklagare som har intagit en annan ståndpunkt i åtalsfrågan än överåklagaren eller Riksåklagaren gjort vid sin överprövning bör därför som huvudregel inte handlägga ärendet efter överprövningen. E</w:t>
      </w:r>
      <w:r w:rsidRPr="00896D4F">
        <w:t>tt annat förfa</w:t>
      </w:r>
      <w:r w:rsidRPr="00896D4F">
        <w:softHyphen/>
        <w:t>ringssätt skulle medföra att åklagaren u</w:t>
      </w:r>
      <w:r w:rsidRPr="00896D4F">
        <w:t>n</w:t>
      </w:r>
      <w:r w:rsidRPr="00896D4F">
        <w:t>der huvudförhandlingen får argu</w:t>
      </w:r>
      <w:r w:rsidRPr="00896D4F">
        <w:softHyphen/>
        <w:t>mentera mot sin tidigare övertygelse, vilket kan framstå som egendomligt. Om situationen i stället är sådan att åklagaren har förbi</w:t>
      </w:r>
      <w:r w:rsidRPr="00896D4F">
        <w:softHyphen/>
        <w:t>sett något vilket för</w:t>
      </w:r>
      <w:r w:rsidRPr="00896D4F">
        <w:softHyphen/>
        <w:t>anleder en annan bedömning vid överprövningen, åklagaren är helt klar över detta och därför ansluter sig till överåklagarens eller Riksåklagarens bedöm</w:t>
      </w:r>
      <w:r w:rsidRPr="00896D4F">
        <w:softHyphen/>
        <w:t>ning, kan jag däremot inte se att åklagaren inte skulle kunna föra målet i rät</w:t>
      </w:r>
      <w:r w:rsidRPr="00896D4F">
        <w:softHyphen/>
        <w:t>ten om han förklarar sig villig till de</w:t>
      </w:r>
      <w:r w:rsidRPr="00896D4F">
        <w:t>t.</w:t>
      </w:r>
    </w:p>
    <w:p w:rsidR="009C1C5A" w:rsidRPr="00896D4F" w:rsidRDefault="009C1C5A">
      <w:pPr>
        <w:pStyle w:val="Citatindrag"/>
      </w:pPr>
      <w:r w:rsidRPr="00896D4F">
        <w:t>Ett beslut om att lägga ned en förundersökning fattas på ett tidigare stad</w:t>
      </w:r>
      <w:r w:rsidRPr="00896D4F">
        <w:t>i</w:t>
      </w:r>
      <w:r w:rsidRPr="00896D4F">
        <w:t>um av förundersökningen än ett beslut i åtalsfrågan. Ett överprövningsbeslut om att för</w:t>
      </w:r>
      <w:r w:rsidRPr="00896D4F">
        <w:softHyphen/>
        <w:t>undersökningen skall återupptas torde därför normalt förutsätta att ytterligare för</w:t>
      </w:r>
      <w:r w:rsidRPr="00896D4F">
        <w:softHyphen/>
        <w:t>undersökningsåtgärder skall vidtas. Den situationen liknar i mycket – till skillnad från åtalssituationen – det förfarande som äger rum vid en omprövning. Likheten med omprövningssituationen blir större ju tidigare under förundersökningen som beslutet om dess nedläggande har fattats.</w:t>
      </w:r>
    </w:p>
    <w:p w:rsidR="009C1C5A" w:rsidRPr="00896D4F" w:rsidRDefault="009C1C5A">
      <w:pPr>
        <w:pStyle w:val="Citatindrag"/>
      </w:pPr>
      <w:r w:rsidRPr="00896D4F">
        <w:t>I frågan om utseende av förundersökningsledare i denna</w:t>
      </w:r>
      <w:r w:rsidRPr="00896D4F">
        <w:t xml:space="preserve"> situation bör, li</w:t>
      </w:r>
      <w:r w:rsidRPr="00896D4F">
        <w:t>k</w:t>
      </w:r>
      <w:r w:rsidRPr="00896D4F">
        <w:t>som jag har anfört beträffande överprövningsbeslut om väckande av åtal, åklaga</w:t>
      </w:r>
      <w:r w:rsidRPr="00896D4F">
        <w:softHyphen/>
        <w:t>rens själv</w:t>
      </w:r>
      <w:r w:rsidRPr="00896D4F">
        <w:softHyphen/>
        <w:t>ständiga ställning och förtroendet för åklagarens objektivitet vara en utgångspunkt för ställningstagandet. Det innebär att den åklagare som har fattat det överprövade beslutet bör kunna utses till förundersökningsledare om denne är beredd att driva förundersökningen i enlighet med överpröv</w:t>
      </w:r>
      <w:r w:rsidRPr="00896D4F">
        <w:softHyphen/>
        <w:t>ningsbeslutet och eventuella riktlinjer från överåklagaren eller Riksåklagaren, om det inte finns något i övrig</w:t>
      </w:r>
      <w:r w:rsidRPr="00896D4F">
        <w:t>t som kan rubba förtroendet för åklagaren. Mot bakgrund av intresset av ett effektivt resurs</w:t>
      </w:r>
      <w:r w:rsidRPr="00896D4F">
        <w:softHyphen/>
        <w:t>utnyttjande måste det också an</w:t>
      </w:r>
      <w:r w:rsidRPr="00896D4F">
        <w:softHyphen/>
        <w:t>ses vara den lämpligaste lö</w:t>
      </w:r>
      <w:r w:rsidRPr="00896D4F">
        <w:t>s</w:t>
      </w:r>
      <w:r w:rsidRPr="00896D4F">
        <w:t>ningen.</w:t>
      </w:r>
    </w:p>
    <w:p w:rsidR="009C1C5A" w:rsidRPr="00896D4F" w:rsidRDefault="009C1C5A">
      <w:pPr>
        <w:pStyle w:val="Citatindrag"/>
      </w:pPr>
      <w:r w:rsidRPr="00896D4F">
        <w:t>Jag vill framhålla att överåklagaren eller Riksåklagaren efter en överprö</w:t>
      </w:r>
      <w:r w:rsidRPr="00896D4F">
        <w:t>v</w:t>
      </w:r>
      <w:r w:rsidRPr="00896D4F">
        <w:t>ning inte bör bestämma vilken åklagare som skall väcka talan och utföra åt</w:t>
      </w:r>
      <w:r w:rsidRPr="00896D4F">
        <w:t>a</w:t>
      </w:r>
      <w:r w:rsidRPr="00896D4F">
        <w:t>let eller vara förundersökningsledare i en återupptagen förundersökning. Det får ankomma på chefsåklagaren att, eventuellt i samråd med överåklagaren eller Riksåklagaren, bestämma vilken åklagare som skall utföra åklagarup</w:t>
      </w:r>
      <w:r w:rsidRPr="00896D4F">
        <w:t>p</w:t>
      </w:r>
      <w:r w:rsidRPr="00896D4F">
        <w:t>giften. Chefsåklagaren bör i linje med det jag har anfört se till att uppgiften att väcka och utföra åtal eller för</w:t>
      </w:r>
      <w:r w:rsidRPr="00896D4F">
        <w:softHyphen/>
        <w:t>undersökningsledarskapet inte lämnas till en åklagare som har en uppfattning som avviker från öve</w:t>
      </w:r>
      <w:r w:rsidRPr="00896D4F">
        <w:t>råklagarens eller Rik</w:t>
      </w:r>
      <w:r w:rsidRPr="00896D4F">
        <w:t>s</w:t>
      </w:r>
      <w:r w:rsidRPr="00896D4F">
        <w:t>åklagarens i den akt</w:t>
      </w:r>
      <w:r w:rsidRPr="00896D4F">
        <w:t>u</w:t>
      </w:r>
      <w:r w:rsidRPr="00896D4F">
        <w:t>ella frågan.</w:t>
      </w:r>
    </w:p>
    <w:p w:rsidR="009C1C5A" w:rsidRPr="00896D4F" w:rsidRDefault="009C1C5A">
      <w:pPr>
        <w:pStyle w:val="Citatindrag"/>
      </w:pPr>
      <w:r w:rsidRPr="00896D4F">
        <w:t>Enligt de riktlinjer som jag har redovisat kommer den åklagare som har fattat det överprövade beslutet att efter överprövningsbeslutet väcka åtal och utföra talan eller vara förundersökningsledare i en återupptagen förundersö</w:t>
      </w:r>
      <w:r w:rsidRPr="00896D4F">
        <w:t>k</w:t>
      </w:r>
      <w:r w:rsidRPr="00896D4F">
        <w:t>ning endast i de situationer där åklagaren delar överåklagarens eller Riksåkl</w:t>
      </w:r>
      <w:r w:rsidRPr="00896D4F">
        <w:t>a</w:t>
      </w:r>
      <w:r w:rsidRPr="00896D4F">
        <w:t>ga</w:t>
      </w:r>
      <w:r w:rsidRPr="00896D4F">
        <w:softHyphen/>
        <w:t>rens uppfattning om att åtal skall väckas eller förundersökningen återup</w:t>
      </w:r>
      <w:r w:rsidRPr="00896D4F">
        <w:t>p</w:t>
      </w:r>
      <w:r w:rsidRPr="00896D4F">
        <w:t>tas, om det inte finns något i övrigt som kan rubba förtroendet för åklagaren.</w:t>
      </w:r>
    </w:p>
    <w:p w:rsidR="009C1C5A" w:rsidRPr="00896D4F" w:rsidRDefault="009C1C5A">
      <w:pPr>
        <w:pStyle w:val="Citatindrag"/>
      </w:pPr>
      <w:r w:rsidRPr="00896D4F">
        <w:t>De nu diskuterade frågeställningarna är komplexa och varje ställningst</w:t>
      </w:r>
      <w:r w:rsidRPr="00896D4F">
        <w:t>a</w:t>
      </w:r>
      <w:r w:rsidRPr="00896D4F">
        <w:t>gan</w:t>
      </w:r>
      <w:r w:rsidRPr="00896D4F">
        <w:softHyphen/>
        <w:t>de i frågan om vilken åklagare som skall väcka åtal och utföra talan eller vara förun</w:t>
      </w:r>
      <w:r w:rsidRPr="00896D4F">
        <w:softHyphen/>
        <w:t>dersökningsledare blir naturligtvis beroende av det särskilda äre</w:t>
      </w:r>
      <w:r w:rsidRPr="00896D4F">
        <w:t>n</w:t>
      </w:r>
      <w:r w:rsidRPr="00896D4F">
        <w:t>dets beskaffen</w:t>
      </w:r>
      <w:r w:rsidRPr="00896D4F">
        <w:softHyphen/>
        <w:t>het. Frågan om den åklagare som har fattat det överprövade be</w:t>
      </w:r>
      <w:r w:rsidRPr="00896D4F">
        <w:softHyphen/>
        <w:t>slutet eller annan åklagare skall utses till förundersökningsledare får därför med utgångspunkt i de av mig redovisade principerna avgöras från fall till fall.</w:t>
      </w:r>
    </w:p>
    <w:p w:rsidR="009C1C5A" w:rsidRPr="00896D4F" w:rsidRDefault="009C1C5A">
      <w:pPr>
        <w:pStyle w:val="Rubrik4"/>
      </w:pPr>
      <w:r w:rsidRPr="00896D4F">
        <w:t>2 Handläggning av en begäran om överprövning när grunden för begäran utgörs av helt eller delvis nya omständigheter so</w:t>
      </w:r>
      <w:r w:rsidRPr="00896D4F">
        <w:t>m förundersökningsledaren inte har tagit ställning till</w:t>
      </w:r>
    </w:p>
    <w:p w:rsidR="009C1C5A" w:rsidRPr="00896D4F" w:rsidRDefault="009C1C5A">
      <w:pPr>
        <w:pStyle w:val="Citat"/>
      </w:pPr>
      <w:r w:rsidRPr="00896D4F">
        <w:t>Förvaltningslagen (1986:223) är endast i begränsad utsträckning tillämplig på åklagares åtgärder under förundersökning i brottmål (se 32 §). Det innebär att det inte finns någon möjlighet att få åklagares beslut under förundersök</w:t>
      </w:r>
      <w:r w:rsidRPr="00896D4F">
        <w:softHyphen/>
        <w:t>ningen prö</w:t>
      </w:r>
      <w:r w:rsidRPr="00896D4F">
        <w:softHyphen/>
        <w:t>vade i domstol i annan utsträckning än vad som följer av allmän domstols pröv</w:t>
      </w:r>
      <w:r w:rsidRPr="00896D4F">
        <w:softHyphen/>
        <w:t>ning enligt rättegång</w:t>
      </w:r>
      <w:r w:rsidRPr="00896D4F">
        <w:t>s</w:t>
      </w:r>
      <w:r w:rsidRPr="00896D4F">
        <w:t>balken.</w:t>
      </w:r>
    </w:p>
    <w:p w:rsidR="009C1C5A" w:rsidRPr="00896D4F" w:rsidRDefault="009C1C5A">
      <w:pPr>
        <w:pStyle w:val="Citatindrag"/>
      </w:pPr>
      <w:r w:rsidRPr="00896D4F">
        <w:t>Däremot kan en åklagares beslut överprövas av en högre åklagare. Över</w:t>
      </w:r>
      <w:r w:rsidRPr="00896D4F">
        <w:softHyphen/>
        <w:t>pröv</w:t>
      </w:r>
      <w:r w:rsidRPr="00896D4F">
        <w:softHyphen/>
        <w:t>ningsrätten följer av åklagarnas indelning i olika nivåer och av att en hög</w:t>
      </w:r>
      <w:r w:rsidRPr="00896D4F">
        <w:softHyphen/>
        <w:t>re åkla</w:t>
      </w:r>
      <w:r w:rsidRPr="00896D4F">
        <w:softHyphen/>
        <w:t>gare har rätt att överta uppgifter som tillkommer en lägre åklagare (se 7 kap. 2 och 5 §§ rättegångsbalken). Förfarandet vid överprövning är inte författningsreglerat.</w:t>
      </w:r>
    </w:p>
    <w:p w:rsidR="009C1C5A" w:rsidRPr="00896D4F" w:rsidRDefault="009C1C5A">
      <w:pPr>
        <w:pStyle w:val="Citatindrag"/>
      </w:pPr>
      <w:r w:rsidRPr="00896D4F">
        <w:t>Avsaknaden av regler om rätt till överklagande av beslut som åklagare fattar i fråga om förundersökning, åtal eller annan åtgärd innebär att besluten inte vinner rättskraft på samma sätt som ett beslut av domstol. Även om en åkla</w:t>
      </w:r>
      <w:r w:rsidRPr="00896D4F">
        <w:softHyphen/>
        <w:t>gares beslut inte vinner rättskraft förutsätter dock hänsynen till inbland</w:t>
      </w:r>
      <w:r w:rsidRPr="00896D4F">
        <w:t>a</w:t>
      </w:r>
      <w:r w:rsidRPr="00896D4F">
        <w:t>de parter och till stabi</w:t>
      </w:r>
      <w:r w:rsidRPr="00896D4F">
        <w:softHyphen/>
        <w:t>liteten i rättslivet att ett beslut inte ändras utan att det finns anledning till det. Om däremot nya omständigheter framkommer som ger anledning att ompröva ett be</w:t>
      </w:r>
      <w:r w:rsidRPr="00896D4F">
        <w:softHyphen/>
        <w:t>slut som åklagaren tidigare har fattat är det möj</w:t>
      </w:r>
      <w:r w:rsidRPr="00896D4F">
        <w:softHyphen/>
        <w:t>ligt för denne eller annan jämställd åklagare att ta förnyad ställning i den frå</w:t>
      </w:r>
      <w:r w:rsidRPr="00896D4F">
        <w:softHyphen/>
        <w:t>ga som avgjordes genom det tidigare b</w:t>
      </w:r>
      <w:r w:rsidRPr="00896D4F">
        <w:t>e</w:t>
      </w:r>
      <w:r w:rsidRPr="00896D4F">
        <w:t>slutet.</w:t>
      </w:r>
    </w:p>
    <w:p w:rsidR="009C1C5A" w:rsidRPr="00896D4F" w:rsidRDefault="009C1C5A">
      <w:pPr>
        <w:pStyle w:val="Citatindrag"/>
      </w:pPr>
      <w:r w:rsidRPr="00896D4F">
        <w:t>Handläggningen av ett överprövningsärende i den situation som anges i</w:t>
      </w:r>
      <w:r w:rsidRPr="00896D4F">
        <w:t xml:space="preserve"> frå</w:t>
      </w:r>
      <w:r w:rsidRPr="00896D4F">
        <w:softHyphen/>
        <w:t>ge</w:t>
      </w:r>
      <w:r w:rsidRPr="00896D4F">
        <w:softHyphen/>
        <w:t>ställningen bör mot den angivna bakgrunden ske enligt följande. Om det av överprövningsbegäran framgår att den åklagare som har fattat beslut i ärendet inte har tagit del av nytt material som har betydelse och materialet är sådant att det kan föranleda en ändring av åklagarens beslut bör överpröv</w:t>
      </w:r>
      <w:r w:rsidRPr="00896D4F">
        <w:softHyphen/>
        <w:t>ningsbegäran som huvud</w:t>
      </w:r>
      <w:r w:rsidRPr="00896D4F">
        <w:softHyphen/>
        <w:t>regel lämnas till denne för o</w:t>
      </w:r>
      <w:r w:rsidRPr="00896D4F">
        <w:t>m</w:t>
      </w:r>
      <w:r w:rsidRPr="00896D4F">
        <w:t>prövning.</w:t>
      </w:r>
    </w:p>
    <w:p w:rsidR="009C1C5A" w:rsidRPr="00896D4F" w:rsidRDefault="009C1C5A">
      <w:pPr>
        <w:pStyle w:val="Citatindrag"/>
      </w:pPr>
      <w:r w:rsidRPr="00896D4F">
        <w:t>Om överprövningsärenden handläggs enligt de principer jag nu har skiss</w:t>
      </w:r>
      <w:r w:rsidRPr="00896D4F">
        <w:t>e</w:t>
      </w:r>
      <w:r w:rsidRPr="00896D4F">
        <w:t>rat torde överåklagarnas och Riksåklagarens överprövning i regel inskränka sig till de fall där omprövning sker på grundval av samma material som den lägre åklagaren har haft. Detta överensstämmer med den uttalade målsät</w:t>
      </w:r>
      <w:r w:rsidRPr="00896D4F">
        <w:t>t</w:t>
      </w:r>
      <w:r w:rsidRPr="00896D4F">
        <w:t>ningen att den brottsbeiv</w:t>
      </w:r>
      <w:r w:rsidRPr="00896D4F">
        <w:softHyphen/>
        <w:t>rande verksamheten bör vara koncentrerad till åkl</w:t>
      </w:r>
      <w:r w:rsidRPr="00896D4F">
        <w:t>a</w:t>
      </w:r>
      <w:r w:rsidRPr="00896D4F">
        <w:t>garkam</w:t>
      </w:r>
      <w:r w:rsidRPr="00896D4F">
        <w:softHyphen/>
        <w:t>rarna (jfr prop. 1995/96:110 s. 14 f.). Det är också av rättssäkerhet</w:t>
      </w:r>
      <w:r w:rsidRPr="00896D4F">
        <w:t>s</w:t>
      </w:r>
      <w:r w:rsidRPr="00896D4F">
        <w:t>skäl önskvärt att beslut i fråga om förundersökningar fattas så långt ned i åklagar</w:t>
      </w:r>
      <w:r w:rsidRPr="00896D4F">
        <w:softHyphen/>
        <w:t>organisationen som möjligt eftersom det medför att be</w:t>
      </w:r>
      <w:r w:rsidRPr="00896D4F">
        <w:t>sluten i första hand kan överprövas av överåklagarna.</w:t>
      </w:r>
    </w:p>
    <w:p w:rsidR="009C1C5A" w:rsidRPr="00896D4F" w:rsidRDefault="009C1C5A">
      <w:pPr>
        <w:pStyle w:val="Rubrik4"/>
      </w:pPr>
      <w:r w:rsidRPr="00896D4F">
        <w:t>3 Principer för diarieföring när en överåklagare ändrat åklagares beslut på så sätt att en förundersökning återupptas eller att åtal skall väckas</w:t>
      </w:r>
    </w:p>
    <w:p w:rsidR="009C1C5A" w:rsidRPr="00896D4F" w:rsidRDefault="009C1C5A">
      <w:pPr>
        <w:pStyle w:val="Citat"/>
      </w:pPr>
      <w:r w:rsidRPr="00896D4F">
        <w:t>Riksåklagaren har meddelat föreskrifter om diarieföring vid åklagarmy</w:t>
      </w:r>
      <w:r w:rsidRPr="00896D4F">
        <w:t>n</w:t>
      </w:r>
      <w:r w:rsidRPr="00896D4F">
        <w:t>dig</w:t>
      </w:r>
      <w:r w:rsidRPr="00896D4F">
        <w:softHyphen/>
        <w:t>he</w:t>
      </w:r>
      <w:r w:rsidRPr="00896D4F">
        <w:softHyphen/>
        <w:t>terna (RÅFS 2000:4).</w:t>
      </w:r>
      <w:r w:rsidRPr="00896D4F">
        <w:rPr>
          <w:b/>
        </w:rPr>
        <w:t xml:space="preserve"> </w:t>
      </w:r>
      <w:r w:rsidRPr="00896D4F">
        <w:t>Åklagarmyndigheterna skall föra bl.a. ett brottmåls</w:t>
      </w:r>
      <w:r w:rsidRPr="00896D4F">
        <w:softHyphen/>
        <w:t>diarium och ett allmänt diarium (1 §). I brottmålsdiariet registreras brottmål och ärenden med anknytning till brottmålen (2 §). I det allmänna diariet regi</w:t>
      </w:r>
      <w:r w:rsidRPr="00896D4F">
        <w:softHyphen/>
        <w:t>streras de ärenden som inte skall registreras i annat diarium eller register (5 §). Registrering skall göras ärendevis och tidpunkten för när ett ärende inleds eller avslutas skall regist</w:t>
      </w:r>
      <w:r w:rsidRPr="00896D4F">
        <w:softHyphen/>
        <w:t>reras. Utöver vad som följer av sekretesslagen (1980:100) och sekretessförord</w:t>
      </w:r>
      <w:r w:rsidRPr="00896D4F">
        <w:softHyphen/>
        <w:t>ningen s</w:t>
      </w:r>
      <w:r w:rsidRPr="00896D4F">
        <w:t>kall de uppgifter registreras som krävs för att handläggningen av ett ärende skall kunna följas (6 §).</w:t>
      </w:r>
    </w:p>
    <w:p w:rsidR="009C1C5A" w:rsidRPr="00896D4F" w:rsidRDefault="009C1C5A">
      <w:pPr>
        <w:pStyle w:val="Citatindrag"/>
      </w:pPr>
      <w:r w:rsidRPr="00896D4F">
        <w:t>Närmare bestämmelser om tillämpningen av föreskrifterna finns i Rik</w:t>
      </w:r>
      <w:r w:rsidRPr="00896D4F">
        <w:t>s</w:t>
      </w:r>
      <w:r w:rsidRPr="00896D4F">
        <w:t>åklaga</w:t>
      </w:r>
      <w:r w:rsidRPr="00896D4F">
        <w:softHyphen/>
        <w:t>rens handbok om diarieföring (7 §). I handboken finns ett avsnitt om diariefö</w:t>
      </w:r>
      <w:r w:rsidRPr="00896D4F">
        <w:softHyphen/>
        <w:t>ring av överprövningsärenden. Där anges att en begäran om öve</w:t>
      </w:r>
      <w:r w:rsidRPr="00896D4F">
        <w:t>r</w:t>
      </w:r>
      <w:r w:rsidRPr="00896D4F">
        <w:t>prövning som kommer in till en åklagarkammare skall registreras i brottmål</w:t>
      </w:r>
      <w:r w:rsidRPr="00896D4F">
        <w:t>s</w:t>
      </w:r>
      <w:r w:rsidRPr="00896D4F">
        <w:t>diariet och sedan lämnas till åklagarmyndigheten för prövning. Åklagarmy</w:t>
      </w:r>
      <w:r w:rsidRPr="00896D4F">
        <w:t>n</w:t>
      </w:r>
      <w:r w:rsidRPr="00896D4F">
        <w:t>digheten skall registrera överpröv</w:t>
      </w:r>
      <w:r w:rsidRPr="00896D4F">
        <w:softHyphen/>
        <w:t>ningsbegäran i det allmänna diariet. Om åklagarmyndig</w:t>
      </w:r>
      <w:r w:rsidRPr="00896D4F">
        <w:softHyphen/>
        <w:t>heten beslutar att förun</w:t>
      </w:r>
      <w:r w:rsidRPr="00896D4F">
        <w:softHyphen/>
        <w:t>dersökning skall återupptas skall öve</w:t>
      </w:r>
      <w:r w:rsidRPr="00896D4F">
        <w:t>r</w:t>
      </w:r>
      <w:r w:rsidRPr="00896D4F">
        <w:t>åklagarens be</w:t>
      </w:r>
      <w:r w:rsidRPr="00896D4F">
        <w:softHyphen/>
        <w:t>slut förutom i det allmänna diariet registreras oc</w:t>
      </w:r>
      <w:r w:rsidRPr="00896D4F">
        <w:t>kså hos åkl</w:t>
      </w:r>
      <w:r w:rsidRPr="00896D4F">
        <w:t>a</w:t>
      </w:r>
      <w:r w:rsidRPr="00896D4F">
        <w:t>garkammaren, dvs. i brottmålsdiariet. Det ären</w:t>
      </w:r>
      <w:r w:rsidRPr="00896D4F">
        <w:softHyphen/>
        <w:t>denummer som beslutet har i brottmålsdiariet skall registreras i det al</w:t>
      </w:r>
      <w:r w:rsidRPr="00896D4F">
        <w:t>l</w:t>
      </w:r>
      <w:r w:rsidRPr="00896D4F">
        <w:t>männa dia</w:t>
      </w:r>
      <w:r w:rsidRPr="00896D4F">
        <w:softHyphen/>
        <w:t>riet.</w:t>
      </w:r>
    </w:p>
    <w:p w:rsidR="009C1C5A" w:rsidRPr="00896D4F" w:rsidRDefault="009C1C5A">
      <w:pPr>
        <w:pStyle w:val="Citatindrag"/>
      </w:pPr>
      <w:r w:rsidRPr="00896D4F">
        <w:t>Handboken behandlar inte diarieföring när överprövningsbeslut innebär att åtal skall väckas. Diarieföring bör i dessa fall ske på samma sätt som anges för överprövningsbeslut om att förundersökning skall åte</w:t>
      </w:r>
      <w:r w:rsidRPr="00896D4F">
        <w:t>r</w:t>
      </w:r>
      <w:r w:rsidRPr="00896D4F">
        <w:t>upptas.</w:t>
      </w:r>
    </w:p>
    <w:p w:rsidR="009C1C5A" w:rsidRPr="00896D4F" w:rsidRDefault="009C1C5A">
      <w:pPr>
        <w:pStyle w:val="Citatindrag"/>
      </w:pPr>
      <w:r w:rsidRPr="00896D4F">
        <w:t>De nu återgivna principerna för diarieföring innebär att allmänheten får vet</w:t>
      </w:r>
      <w:r w:rsidRPr="00896D4F">
        <w:softHyphen/>
        <w:t>skap om vilka handlingar som finns hos åklagarmyndigheten och möjli</w:t>
      </w:r>
      <w:r w:rsidRPr="00896D4F">
        <w:t>g</w:t>
      </w:r>
      <w:r w:rsidRPr="00896D4F">
        <w:t>het att följa ärendets handläggning (jfr Regner m.fl. Sekretesslagen En kom</w:t>
      </w:r>
      <w:r w:rsidRPr="00896D4F">
        <w:softHyphen/>
        <w:t>mentar s. 15:4, 2 kap. 12 § tryckfrihetsförordningen och 15 kap. 1 § sekre</w:t>
      </w:r>
      <w:r w:rsidRPr="00896D4F">
        <w:softHyphen/>
        <w:t>tesslagen).</w:t>
      </w:r>
    </w:p>
    <w:p w:rsidR="009C1C5A" w:rsidRPr="00896D4F" w:rsidRDefault="009C1C5A">
      <w:r w:rsidRPr="00896D4F">
        <w:t xml:space="preserve">I ett beslut den 14 mars 2002 anförde </w:t>
      </w:r>
      <w:r w:rsidRPr="00896D4F">
        <w:rPr>
          <w:i/>
        </w:rPr>
        <w:t>chefsJO Eklundh</w:t>
      </w:r>
      <w:r w:rsidRPr="00896D4F">
        <w:t xml:space="preserve"> bl.a. följande.</w:t>
      </w:r>
    </w:p>
    <w:p w:rsidR="009C1C5A" w:rsidRPr="00896D4F" w:rsidRDefault="009C1C5A">
      <w:pPr>
        <w:pStyle w:val="Rubrik3"/>
      </w:pPr>
      <w:r w:rsidRPr="00896D4F">
        <w:t>Bedömning</w:t>
      </w:r>
    </w:p>
    <w:p w:rsidR="009C1C5A" w:rsidRPr="00896D4F" w:rsidRDefault="009C1C5A">
      <w:pPr>
        <w:pStyle w:val="Rubrik4"/>
        <w:spacing w:before="125"/>
      </w:pPr>
      <w:r w:rsidRPr="00896D4F">
        <w:t>Allmänt om överprövning m.m.</w:t>
      </w:r>
    </w:p>
    <w:p w:rsidR="009C1C5A" w:rsidRPr="00896D4F" w:rsidRDefault="009C1C5A">
      <w:r w:rsidRPr="00896D4F">
        <w:t>I 7 kap. 5 § första stycket rättegångsbalken (RB), i paragrafens lydelse före den 1 januari 2002, föreskrevs att Riksåklagaren och statsåklagare fick överta uppgifter som tillkom lägre åklagare. Samtliga paragrafer i 7 kap. RB fick ny lydelse den 1 januari 2002 (SFS 2001:280). Ändringarna, som bl.a. innebar att begreppet statsåklagare utmönstrades, saknar emellertid i sak betydelse för överprövningsförfarandet. Åklagarväsendet är alltjämt i beslutshänseende organiserat i tre nivåer, en central, en regional</w:t>
      </w:r>
      <w:r w:rsidRPr="00896D4F">
        <w:t xml:space="preserve"> och en lokal nivå. På den ce</w:t>
      </w:r>
      <w:r w:rsidRPr="00896D4F">
        <w:t>n</w:t>
      </w:r>
      <w:r w:rsidRPr="00896D4F">
        <w:t>trala nivån finns Riksåklagaren, på den regionala nivån finns överåklagarna och vice överåklagarna, och på den lokala finns chefsåklagarna, vice chef</w:t>
      </w:r>
      <w:r w:rsidRPr="00896D4F">
        <w:t>s</w:t>
      </w:r>
      <w:r w:rsidRPr="00896D4F">
        <w:t>åklagarna och kammaråklagarna.</w:t>
      </w:r>
    </w:p>
    <w:p w:rsidR="009C1C5A" w:rsidRPr="00896D4F" w:rsidRDefault="009C1C5A">
      <w:pPr>
        <w:pStyle w:val="Normaltindrag"/>
      </w:pPr>
      <w:r w:rsidRPr="00896D4F">
        <w:t>Reglerna om rätt för högre åklagare att överta uppgifter från lägre åklagare gör det möjligt för en högre åklagare att när som helst överta handläggningen av ett enskilt ärende från en lägre åklagare. En överprövning innebär att ett beslut som har fattats av en lägre åklagare blir föremål för en gran</w:t>
      </w:r>
      <w:r w:rsidRPr="00896D4F">
        <w:t>skning i materiellt hänseende av en högre åklagare. Alla åklagarbeslut inom ramen för ett straff</w:t>
      </w:r>
      <w:r w:rsidRPr="00896D4F">
        <w:softHyphen/>
        <w:t>processuellt förfarande kan bli föremål för överprövning. Som exe</w:t>
      </w:r>
      <w:r w:rsidRPr="00896D4F">
        <w:t>m</w:t>
      </w:r>
      <w:r w:rsidRPr="00896D4F">
        <w:t>pel kan nämnas beslut i åtalsfrågor och beslut att inte inleda eller att lägga ned en förundersökning. Också beslut i tvångsmedelsfrågor, t.ex. ett anhållning</w:t>
      </w:r>
      <w:r w:rsidRPr="00896D4F">
        <w:t>s</w:t>
      </w:r>
      <w:r w:rsidRPr="00896D4F">
        <w:t>beslut, kan överpr</w:t>
      </w:r>
      <w:r w:rsidRPr="00896D4F">
        <w:t>ö</w:t>
      </w:r>
      <w:r w:rsidRPr="00896D4F">
        <w:t xml:space="preserve">vas. </w:t>
      </w:r>
    </w:p>
    <w:p w:rsidR="009C1C5A" w:rsidRPr="00896D4F" w:rsidRDefault="009C1C5A">
      <w:pPr>
        <w:pStyle w:val="Normaltindrag"/>
      </w:pPr>
      <w:r w:rsidRPr="00896D4F">
        <w:t>Ett övertagande av ett ärende med stöd av 7 kap. 5 § RB kan avse hela den fortsatta handläggningen eller en viss begränsad åklagaruppgift i ärendet. I det senare fal</w:t>
      </w:r>
      <w:r w:rsidRPr="00896D4F">
        <w:t xml:space="preserve">let återlämnas detta oftast efter den högre åklagarens beslut – t.ex. av innebörd att en nedlagd förundersökning skall återupptas – till den lägre åklagarnivån. </w:t>
      </w:r>
    </w:p>
    <w:p w:rsidR="009C1C5A" w:rsidRPr="00896D4F" w:rsidRDefault="009C1C5A">
      <w:pPr>
        <w:pStyle w:val="Normaltindrag"/>
      </w:pPr>
      <w:r w:rsidRPr="00896D4F">
        <w:t>Överprövningsförfarandet är inte reglerat i lag. Principerna för förfarandet bygger i huvudsak på de uttalanden som gjordes av departementschefen i budgetpropositionen 1984/85 (se prop. 1984/85:100, bil. 4 s. 69 f. och bet. JuU 1984/85:30 s. 3 f.). Dessa riktlinjer innebär i korthet följa</w:t>
      </w:r>
      <w:r w:rsidRPr="00896D4F">
        <w:t>n</w:t>
      </w:r>
      <w:r w:rsidRPr="00896D4F">
        <w:t xml:space="preserve">de. </w:t>
      </w:r>
    </w:p>
    <w:p w:rsidR="009C1C5A" w:rsidRPr="00896D4F" w:rsidRDefault="009C1C5A">
      <w:pPr>
        <w:pStyle w:val="Normaltindrag"/>
      </w:pPr>
      <w:r w:rsidRPr="00896D4F">
        <w:t>Ett beslut som skall prövas av domstol, t.ex. ett åtalsbeslut, tas normalt inte upp till överprövning. Det görs inte heller någon överprövning, om saken efter framställning kan prövas av domstol, t.ex. ett beslut om beslag. Vidare överprövas ett åklagarbeslut i princip bara en gång. En begäran om överprö</w:t>
      </w:r>
      <w:r w:rsidRPr="00896D4F">
        <w:t>v</w:t>
      </w:r>
      <w:r w:rsidRPr="00896D4F">
        <w:t>ning av andra än den misstänkte, den tilltalade eller målsäganden bör normalt inte föranleda överprövning om det inte finns särskilda skäl för att ta upp saken.</w:t>
      </w:r>
    </w:p>
    <w:p w:rsidR="009C1C5A" w:rsidRPr="00896D4F" w:rsidRDefault="009C1C5A">
      <w:pPr>
        <w:pStyle w:val="Normaltindrag"/>
      </w:pPr>
      <w:r w:rsidRPr="00896D4F">
        <w:t>Frågan om en författningsreglering av överprövningsinstitutet har senast behandlats av regeringen i samband med de tidigare nämnda ändringarna i 7 kap. RB. Mot bakgrund av att regeringen i december år 2000 hade beslutat om direktiv för en parlamentariskt sammansatt kommitté med uppgift att se över den ordinära tillsynen av bl.a. åklagarväsendet, fa</w:t>
      </w:r>
      <w:r w:rsidRPr="00896D4F">
        <w:t>nn regeringen att ytte</w:t>
      </w:r>
      <w:r w:rsidRPr="00896D4F">
        <w:t>r</w:t>
      </w:r>
      <w:r w:rsidRPr="00896D4F">
        <w:t>ligare överväganden i frågan då inte borde göras. Det ankommer i stället på Riksåklagaren att bestämma de närmare formerna för överprövningsverksa</w:t>
      </w:r>
      <w:r w:rsidRPr="00896D4F">
        <w:t>m</w:t>
      </w:r>
      <w:r w:rsidRPr="00896D4F">
        <w:t xml:space="preserve">heten (se prop. 2000/01:92 s. 17). </w:t>
      </w:r>
    </w:p>
    <w:p w:rsidR="009C1C5A" w:rsidRPr="00896D4F" w:rsidRDefault="009C1C5A">
      <w:pPr>
        <w:pStyle w:val="Normaltindrag"/>
      </w:pPr>
      <w:r w:rsidRPr="00896D4F">
        <w:t>Reglerna om omprövning i 27 § förvaltningslagen (1986:223) är inte ti</w:t>
      </w:r>
      <w:r w:rsidRPr="00896D4F">
        <w:t>l</w:t>
      </w:r>
      <w:r w:rsidRPr="00896D4F">
        <w:t>lämpliga i åklagarväsendets brottsbekämpande verksamhet (se 32 § nämnda lag). Ett åkla</w:t>
      </w:r>
      <w:r w:rsidRPr="00896D4F">
        <w:softHyphen/>
        <w:t>gar</w:t>
      </w:r>
      <w:r w:rsidRPr="00896D4F">
        <w:softHyphen/>
      </w:r>
      <w:r w:rsidRPr="00896D4F">
        <w:softHyphen/>
      </w:r>
      <w:r w:rsidRPr="00896D4F">
        <w:softHyphen/>
        <w:t>beslut anses emellertid enligt etablerad praxis kunna ompr</w:t>
      </w:r>
      <w:r w:rsidRPr="00896D4F">
        <w:t>ö</w:t>
      </w:r>
      <w:r w:rsidRPr="00896D4F">
        <w:t>vas av den åklagare som har fattat det ursprungliga beslutet eller av någon annan åklagare på samma nivå. Hänsynen till inblandade parter och till stab</w:t>
      </w:r>
      <w:r w:rsidRPr="00896D4F">
        <w:t>i</w:t>
      </w:r>
      <w:r w:rsidRPr="00896D4F">
        <w:t>liteten i rättslivet kräver dock, som Riksåklagaren har berört i sitt yttrande, att ett beslut får omprövas på detta sätt endast om det har tillkommit nya o</w:t>
      </w:r>
      <w:r w:rsidRPr="00896D4F">
        <w:t>m</w:t>
      </w:r>
      <w:r w:rsidRPr="00896D4F">
        <w:t>ständigheter (se Gunnel Lindberg i Förvaltningsrät</w:t>
      </w:r>
      <w:r w:rsidRPr="00896D4F">
        <w:t>tslig Tidskrift 2000 s. 52 f., prop. 1984/85:100 bil. 4 s. 69 f. och Fitger, Rätte</w:t>
      </w:r>
      <w:r w:rsidRPr="00896D4F">
        <w:softHyphen/>
        <w:t>gångs</w:t>
      </w:r>
      <w:r w:rsidRPr="00896D4F">
        <w:softHyphen/>
        <w:t xml:space="preserve">balken del 1 s. 7:16). En sådan omständighet kan vara att nya fakta, t.ex. ny skriftlig bevisning eller uppgifter från ett tidigare okänt vittne, kommer i dagen. </w:t>
      </w:r>
    </w:p>
    <w:p w:rsidR="009C1C5A" w:rsidRPr="00896D4F" w:rsidRDefault="009C1C5A">
      <w:pPr>
        <w:pStyle w:val="Normaltindrag"/>
      </w:pPr>
      <w:r w:rsidRPr="00896D4F">
        <w:t>Att beslutsfattaren själv eller en med denne sidoordnad åklagare, t.ex. efter en förnyad rättslig analys, kommer till en annan ståndpunkt än den som har lagts till grund för det tidigare beslutet anses däremot inte utgöra en sådan ny omständighet att grund för</w:t>
      </w:r>
      <w:r w:rsidRPr="00896D4F">
        <w:t xml:space="preserve"> omprövning av det tidigare beslutet föreligger. Detta kan i ett sådant fall i princip inte ändras annat än inom ramen för ett överprövningsförf</w:t>
      </w:r>
      <w:r w:rsidRPr="00896D4F">
        <w:t>a</w:t>
      </w:r>
      <w:r w:rsidRPr="00896D4F">
        <w:t xml:space="preserve">rande. </w:t>
      </w:r>
    </w:p>
    <w:p w:rsidR="009C1C5A" w:rsidRPr="00896D4F" w:rsidRDefault="009C1C5A">
      <w:pPr>
        <w:pStyle w:val="Rubrik4"/>
        <w:jc w:val="both"/>
      </w:pPr>
      <w:r w:rsidRPr="00896D4F">
        <w:t>Utseende av förundersökningsledare efter överprövning som innebär ändring av en åklagares beslut att inte inleda förundersökning, att lägga ned en förundersö</w:t>
      </w:r>
      <w:r w:rsidRPr="00896D4F">
        <w:t>k</w:t>
      </w:r>
      <w:r w:rsidRPr="00896D4F">
        <w:t>ning eller att inte väcka åtal</w:t>
      </w:r>
    </w:p>
    <w:p w:rsidR="009C1C5A" w:rsidRPr="00896D4F" w:rsidRDefault="009C1C5A">
      <w:r w:rsidRPr="00896D4F">
        <w:t>Av utredningen framgår att det hos åklagarmyndigheten inte finns några fas</w:t>
      </w:r>
      <w:r w:rsidRPr="00896D4F">
        <w:t>t</w:t>
      </w:r>
      <w:r w:rsidRPr="00896D4F">
        <w:t>slagna principer om hur ärenden skall fördelas, när en åklagares beslut ändras efter överprövning på så sätt att en förundersökning inleds eller återupptas. Bedömningen görs i stället, på det sätt som Riksåklagaren också förordar, i varje enskilt fall. Om det inte framkommer någon omständighet som gör att åklagarens objektivitet kan ifrågasättas vid den fortsatta handläggningen, brukar ärendet med hänsyn till handläggningstiden och av resursskäl lämnas tillbaka till den åklagare som först beslutade i ärend</w:t>
      </w:r>
      <w:r w:rsidRPr="00896D4F">
        <w:t>et under förutsättning att denne till fullo delar den bedömning som gjorts överprövningsvis. Riksåkl</w:t>
      </w:r>
      <w:r w:rsidRPr="00896D4F">
        <w:t>a</w:t>
      </w:r>
      <w:r w:rsidRPr="00896D4F">
        <w:t>garen har i sitt yttrande uttalat att den åklagare som har fattat det överprövade beslutet bör kunna utses till förundersökningsledare, om denne är beredd att driva förundersökningen i enlighet med överprövningsbeslutet och eventuella riktlinjer från den överprövande åkl</w:t>
      </w:r>
      <w:r w:rsidRPr="00896D4F">
        <w:t>a</w:t>
      </w:r>
      <w:r w:rsidRPr="00896D4F">
        <w:t>garen.</w:t>
      </w:r>
    </w:p>
    <w:p w:rsidR="009C1C5A" w:rsidRPr="00896D4F" w:rsidRDefault="009C1C5A">
      <w:pPr>
        <w:pStyle w:val="Normaltindrag"/>
      </w:pPr>
      <w:r w:rsidRPr="00896D4F">
        <w:t>Avgörande för hur man i det särskilda fallet skall ta ställning i en fråga av det här aktuella slaget är ytterst hänsynen till förtr</w:t>
      </w:r>
      <w:r w:rsidRPr="00896D4F">
        <w:t>oendet för åklagarfunkti</w:t>
      </w:r>
      <w:r w:rsidRPr="00896D4F">
        <w:t>o</w:t>
      </w:r>
      <w:r w:rsidRPr="00896D4F">
        <w:t>nen. Det är en grundläggande princip i en rättsstat att en offentlig befattning</w:t>
      </w:r>
      <w:r w:rsidRPr="00896D4F">
        <w:t>s</w:t>
      </w:r>
      <w:r w:rsidRPr="00896D4F">
        <w:t>havare inte får delta i handläggningen eller avgörandet av ett mål eller ärende om det finns objektiv grund för att ifrågasätta hans eller he</w:t>
      </w:r>
      <w:r w:rsidRPr="00896D4F">
        <w:t>n</w:t>
      </w:r>
      <w:r w:rsidRPr="00896D4F">
        <w:t xml:space="preserve">nes opartiskhet. </w:t>
      </w:r>
    </w:p>
    <w:p w:rsidR="009C1C5A" w:rsidRPr="00896D4F" w:rsidRDefault="009C1C5A">
      <w:pPr>
        <w:pStyle w:val="Normaltindrag"/>
      </w:pPr>
      <w:r w:rsidRPr="00896D4F">
        <w:t>Riksåklagaren har i sitt remissvar hänvisat till bestämmelserna i 7 kap. 6 § RB om jäv mot åklagare. Han pekar därvid, såvitt gäller de särskilda omstä</w:t>
      </w:r>
      <w:r w:rsidRPr="00896D4F">
        <w:t>n</w:t>
      </w:r>
      <w:r w:rsidRPr="00896D4F">
        <w:t>digheter som enligt 4 kap. 13 § RB grundar jäv för domare, på den s.k. gen</w:t>
      </w:r>
      <w:r w:rsidRPr="00896D4F">
        <w:t>e</w:t>
      </w:r>
      <w:r w:rsidRPr="00896D4F">
        <w:t>ralklausulen i punkt 10. Det finns emellertid enligt min mening anledning att i sammanhanget uppmärksamma också vad som sägs i punkterna 7 och 8 om att domaren i annan rätt har fattat beslut som rör saken respektive att han deltar i en huvudförhandling i brottmål efter att tidigare ha prövat frågan om den tilltalade har begått gärningen.</w:t>
      </w:r>
    </w:p>
    <w:p w:rsidR="009C1C5A" w:rsidRPr="00896D4F" w:rsidRDefault="009C1C5A">
      <w:pPr>
        <w:pStyle w:val="Normaltindrag"/>
      </w:pPr>
      <w:r w:rsidRPr="00896D4F">
        <w:t>Redan den omständigheten att en åklagares beslut att t.ex. lägga ned en förundersökning har ändr</w:t>
      </w:r>
      <w:r w:rsidRPr="00896D4F">
        <w:t>ats efter överprövning kan i många fall vara tillräc</w:t>
      </w:r>
      <w:r w:rsidRPr="00896D4F">
        <w:t>k</w:t>
      </w:r>
      <w:r w:rsidRPr="00896D4F">
        <w:t>lig för att det skall anses föreligga en objektiv grund för att ifrågasätta åklag</w:t>
      </w:r>
      <w:r w:rsidRPr="00896D4F">
        <w:t>a</w:t>
      </w:r>
      <w:r w:rsidRPr="00896D4F">
        <w:t>rens möjligheter att handlägga den återupptagna förundersökningen på ett opartiskt sätt. Vad särskilt gäller det fallet att en överprövning leder till än</w:t>
      </w:r>
      <w:r w:rsidRPr="00896D4F">
        <w:t>d</w:t>
      </w:r>
      <w:r w:rsidRPr="00896D4F">
        <w:t>ring av ett beslut efter avslutad förundersökning att åtal inte skall väckas anser jag, i likhet med Riksåklagaren, att huvudregeln bör vara att den åklag</w:t>
      </w:r>
      <w:r w:rsidRPr="00896D4F">
        <w:t>a</w:t>
      </w:r>
      <w:r w:rsidRPr="00896D4F">
        <w:t>re som har fattat det överprövade beslutet inte skall handlägga ären</w:t>
      </w:r>
      <w:r w:rsidRPr="00896D4F">
        <w:t>det efter överprö</w:t>
      </w:r>
      <w:r w:rsidRPr="00896D4F">
        <w:t>v</w:t>
      </w:r>
      <w:r w:rsidRPr="00896D4F">
        <w:t xml:space="preserve">ningen. </w:t>
      </w:r>
    </w:p>
    <w:p w:rsidR="009C1C5A" w:rsidRPr="00896D4F" w:rsidRDefault="009C1C5A">
      <w:pPr>
        <w:pStyle w:val="Normaltindrag"/>
      </w:pPr>
      <w:r w:rsidRPr="00896D4F">
        <w:t>Det kan emellertid, som framhålls i Riksåklagarens yttrande, ibland fö</w:t>
      </w:r>
      <w:r w:rsidRPr="00896D4F">
        <w:t>r</w:t>
      </w:r>
      <w:r w:rsidRPr="00896D4F">
        <w:t>hålla sig så att åklagaren har förbisett någon omständighet som sedan föranl</w:t>
      </w:r>
      <w:r w:rsidRPr="00896D4F">
        <w:t>e</w:t>
      </w:r>
      <w:r w:rsidRPr="00896D4F">
        <w:t>der den överprövande åklagaren att göra en annan bedömning och att han därför ansluter sig till den uppfattning som utgör grunden för beslutet i öve</w:t>
      </w:r>
      <w:r w:rsidRPr="00896D4F">
        <w:t>r</w:t>
      </w:r>
      <w:r w:rsidRPr="00896D4F">
        <w:t>prövningsfrågan. Man kan vidare tänka sig fall där överprövningen har ko</w:t>
      </w:r>
      <w:r w:rsidRPr="00896D4F">
        <w:t>m</w:t>
      </w:r>
      <w:r w:rsidRPr="00896D4F">
        <w:t>mit till på åklagarens eget initiativ med anledning av att han funnit att hans beslut hade sin grund i en felaktig bedömning av en bevis- eller rättsfråga. I sådana fall bör det inte föreligga något hinder mot at</w:t>
      </w:r>
      <w:r w:rsidRPr="00896D4F">
        <w:t>t den åklagare som har fattat det överprövade beslutet handlägger ärendet även fortsät</w:t>
      </w:r>
      <w:r w:rsidRPr="00896D4F">
        <w:t>t</w:t>
      </w:r>
      <w:r w:rsidRPr="00896D4F">
        <w:t xml:space="preserve">ningsvis. </w:t>
      </w:r>
    </w:p>
    <w:p w:rsidR="009C1C5A" w:rsidRPr="00896D4F" w:rsidRDefault="009C1C5A">
      <w:pPr>
        <w:pStyle w:val="Normaltindrag"/>
      </w:pPr>
      <w:r w:rsidRPr="00896D4F">
        <w:t>Med anledning av vad Riksåklagaren har uttalat om betydelsen av att den åklagare som har fattat det överprövade beslutet har förklarat sig beredd att bedriva den fortsatta förundersökningen i enlighet med riktlinjer från den överprövande åkl</w:t>
      </w:r>
      <w:r w:rsidRPr="00896D4F">
        <w:t>a</w:t>
      </w:r>
      <w:r w:rsidRPr="00896D4F">
        <w:t>gare vill jag framhålla följande.</w:t>
      </w:r>
    </w:p>
    <w:p w:rsidR="009C1C5A" w:rsidRPr="00896D4F" w:rsidRDefault="009C1C5A">
      <w:pPr>
        <w:pStyle w:val="Normaltindrag"/>
      </w:pPr>
      <w:r w:rsidRPr="00896D4F">
        <w:t>I 11 kap. 7 § regeringsformen (RF) föreskrivs att ingen myndighet får b</w:t>
      </w:r>
      <w:r w:rsidRPr="00896D4F">
        <w:t>e</w:t>
      </w:r>
      <w:r w:rsidRPr="00896D4F">
        <w:t>stämma hur en förvaltningsmyndighet i det särskilda fallet skall besluta i ett ärende som rör myndighetsutövning mot enskild eller som rör tillämpning av lag. Som framhålls i promemorian (Ds Ju 1983:19) Riksåklagaren och hans kansli (s. 75 f.) och i Riksåklagarens numera upphävda cirkulär (RÅC I:108) Handläggningen av överprövningsärenden (avsnitt 4.1.1) är det inte förenligt med denna grundlagsregel att den överprövande åklagaren i sitt beslut t.ex. beordrar den underordnade åklagaren att väcka åtal enlig</w:t>
      </w:r>
      <w:r w:rsidRPr="00896D4F">
        <w:t>t en viss gärningsb</w:t>
      </w:r>
      <w:r w:rsidRPr="00896D4F">
        <w:t>e</w:t>
      </w:r>
      <w:r w:rsidRPr="00896D4F">
        <w:t>skrivning och därvid åberopa viss angiven bevisning. I motsats till vad som kommer till uttryck i det nyss nämnda cirkuläret (avsnitt 4.1.2) anser jag vid</w:t>
      </w:r>
      <w:r w:rsidRPr="00896D4F">
        <w:t>a</w:t>
      </w:r>
      <w:r w:rsidRPr="00896D4F">
        <w:t>re att det starkt kan ifrågasättas om det är förenligt med grunderna för b</w:t>
      </w:r>
      <w:r w:rsidRPr="00896D4F">
        <w:t>e</w:t>
      </w:r>
      <w:r w:rsidRPr="00896D4F">
        <w:t>stämmelsen i 11 kap. 7 § RF att den överprövande åklagaren ger direktiv som – även om de inte är formellt bindande –  är avsedda att vara styrande för den fortsatta handläggningen av en förundersökning där han inte själv är föru</w:t>
      </w:r>
      <w:r w:rsidRPr="00896D4F">
        <w:t>n</w:t>
      </w:r>
      <w:r w:rsidRPr="00896D4F">
        <w:t>dersökningsledare. En förundersök</w:t>
      </w:r>
      <w:r w:rsidRPr="00896D4F">
        <w:t>ning måste självfallet genomföras på s</w:t>
      </w:r>
      <w:r w:rsidRPr="00896D4F">
        <w:t>å</w:t>
      </w:r>
      <w:r w:rsidRPr="00896D4F">
        <w:t>dant sätt att det inte finns någon sakligt grundad risk för att den misstänkte, målsäganden eller någon annan får uppfattningen att utredningen inte bedrivs med den självständighet för den handläggande åklagaren och med den obje</w:t>
      </w:r>
      <w:r w:rsidRPr="00896D4F">
        <w:t>k</w:t>
      </w:r>
      <w:r w:rsidRPr="00896D4F">
        <w:t>tivitet som rättegångsba</w:t>
      </w:r>
      <w:r w:rsidRPr="00896D4F">
        <w:t>l</w:t>
      </w:r>
      <w:r w:rsidRPr="00896D4F">
        <w:t xml:space="preserve">ken kräver. </w:t>
      </w:r>
    </w:p>
    <w:p w:rsidR="009C1C5A" w:rsidRPr="00896D4F" w:rsidRDefault="009C1C5A">
      <w:pPr>
        <w:pStyle w:val="Normaltindrag"/>
      </w:pPr>
      <w:r w:rsidRPr="00896D4F">
        <w:t>I den mån den överprövande åklagaren anser att en förundersökning efter överprövningen skall bedrivas enligt vissa närmare angivna riktlinjer eller att vissa specifika utredningsåtgärder skall vidtas, måste</w:t>
      </w:r>
      <w:r w:rsidRPr="00896D4F">
        <w:t xml:space="preserve"> han därför enligt min mening överta förundersökningsledarskapet. En underställd åklagare kan sedan givetvis anlitas som biträde vid undersökningens genomförande. Jag vill till undvikande av missförstånd framhålla att det nu sagda självfallet inte innebär att den överprövande åklagaren skulle vara förhindrad att redovisa skälen för sitt beslut i överprövningsfrågan. Dessa bör emellertid inte vara avfattade på sådant sätt att de i realiteten framstår som direktiv till den åkl</w:t>
      </w:r>
      <w:r w:rsidRPr="00896D4F">
        <w:t>a</w:t>
      </w:r>
      <w:r w:rsidRPr="00896D4F">
        <w:t>gare som därefter har att på ege</w:t>
      </w:r>
      <w:r w:rsidRPr="00896D4F">
        <w:t>t ansvar leda förundersöknin</w:t>
      </w:r>
      <w:r w:rsidRPr="00896D4F">
        <w:t>g</w:t>
      </w:r>
      <w:r w:rsidRPr="00896D4F">
        <w:t xml:space="preserve">en. </w:t>
      </w:r>
    </w:p>
    <w:p w:rsidR="009C1C5A" w:rsidRPr="00896D4F" w:rsidRDefault="009C1C5A">
      <w:pPr>
        <w:pStyle w:val="Rubrik4"/>
      </w:pPr>
      <w:r w:rsidRPr="00896D4F">
        <w:t>Handläggningen av en begäran om överprövning sedan det framkommit nya o</w:t>
      </w:r>
      <w:r w:rsidRPr="00896D4F">
        <w:t>m</w:t>
      </w:r>
      <w:r w:rsidRPr="00896D4F">
        <w:t>ständigheter</w:t>
      </w:r>
    </w:p>
    <w:p w:rsidR="009C1C5A" w:rsidRPr="00896D4F" w:rsidRDefault="009C1C5A">
      <w:r w:rsidRPr="00896D4F">
        <w:t>En överprövning av ett åklagarbeslut görs normalt med utgångspunkt i det material som den åklagare som fattade det överprövade beslutet hade tillgång till. Det kan emellertid i vissa fall ha tillkommit nya fakta som ger underlag för en förnyad bedömning. I de fall där det framgår att den åklagare som har fattat beslut i ärendet inte har tagit del av nytt material av sådant slag att det kan föranleda en ändring av åklagarens beslut får det, som framhålls i Rik</w:t>
      </w:r>
      <w:r w:rsidRPr="00896D4F">
        <w:t>s</w:t>
      </w:r>
      <w:r w:rsidRPr="00896D4F">
        <w:t>åklagarens yttrande, som regel anses lämpligt att en överprövningsbegäran lämnas till denne för ställningstagande i frågan om det nya materialet skall föranleda en omprövning av det tidigare ställningstagandet. Ett sådant förf</w:t>
      </w:r>
      <w:r w:rsidRPr="00896D4F">
        <w:t>a</w:t>
      </w:r>
      <w:r w:rsidRPr="00896D4F">
        <w:t>rande medför att möjligheten till överprövning av åklagarens beslut kvarstår.</w:t>
      </w:r>
    </w:p>
    <w:p w:rsidR="009C1C5A" w:rsidRPr="00896D4F" w:rsidRDefault="009C1C5A">
      <w:pPr>
        <w:pStyle w:val="Normaltindrag"/>
      </w:pPr>
      <w:r w:rsidRPr="00896D4F">
        <w:t>Av Agneta Blidbergs yttrande framgår att överprövningsärenden hos åkl</w:t>
      </w:r>
      <w:r w:rsidRPr="00896D4F">
        <w:t>a</w:t>
      </w:r>
      <w:r w:rsidRPr="00896D4F">
        <w:t>garmyndigheten normalt handläggs i enlighet med denna princip. Det har vidare upplysts att det i det här aktuella fallet hade tillkommit nya omständi</w:t>
      </w:r>
      <w:r w:rsidRPr="00896D4F">
        <w:t>g</w:t>
      </w:r>
      <w:r w:rsidRPr="00896D4F">
        <w:t>heter i form av nya vittnesuppgifter och att Tora Holst därför stod i begrepp att ompröva sitt beslut att inte inleda förundersökning i ärendet. Det hade i detta läge legat nära till hands att Tora Holst med anledning av framställnin</w:t>
      </w:r>
      <w:r w:rsidRPr="00896D4F">
        <w:t>g</w:t>
      </w:r>
      <w:r w:rsidRPr="00896D4F">
        <w:t>en om överprövning hade beretts tillfälle att ompröva sitt beslut. Agneta Bli</w:t>
      </w:r>
      <w:r w:rsidRPr="00896D4F">
        <w:t>d</w:t>
      </w:r>
      <w:r w:rsidRPr="00896D4F">
        <w:t>berg har som skäl för sin åtgärd att i stället di</w:t>
      </w:r>
      <w:r w:rsidRPr="00896D4F">
        <w:t>rekt ta upp ärendet till överprö</w:t>
      </w:r>
      <w:r w:rsidRPr="00896D4F">
        <w:t>v</w:t>
      </w:r>
      <w:r w:rsidRPr="00896D4F">
        <w:t>ning anfört att förundersökning enligt hennes bedömning borde ha inletts redan på det underlag som fanns vid tidpunkten för Tora Holsts beslut. När Agneta Blidberg på de av henne anförda skälen valde att omedelbart ta upp ärendet till överprövning borde emellertid detta, som hon själv framhåller i sitt yttra</w:t>
      </w:r>
      <w:r w:rsidRPr="00896D4F">
        <w:t>n</w:t>
      </w:r>
      <w:r w:rsidRPr="00896D4F">
        <w:t xml:space="preserve">de, inte ha återgått till Tora Holst. </w:t>
      </w:r>
    </w:p>
    <w:p w:rsidR="009C1C5A" w:rsidRPr="00896D4F" w:rsidRDefault="009C1C5A">
      <w:pPr>
        <w:pStyle w:val="Rubrik4"/>
        <w:jc w:val="both"/>
      </w:pPr>
      <w:r w:rsidRPr="00896D4F">
        <w:t>Diarieföring</w:t>
      </w:r>
    </w:p>
    <w:p w:rsidR="009C1C5A" w:rsidRPr="00896D4F" w:rsidRDefault="009C1C5A">
      <w:r w:rsidRPr="00896D4F">
        <w:t>Av Riksåklagarens yttrande framgår vilka diarieföringsrutiner som skall ti</w:t>
      </w:r>
      <w:r w:rsidRPr="00896D4F">
        <w:t>l</w:t>
      </w:r>
      <w:r w:rsidRPr="00896D4F">
        <w:t>lämpas i fall som de nu aktuella. Vad som framkommit i denna del ger inte anledning till något särskilt uttalande från min sida.</w:t>
      </w:r>
    </w:p>
    <w:p w:rsidR="009C1C5A" w:rsidRPr="00896D4F" w:rsidRDefault="009C1C5A">
      <w:pPr>
        <w:pStyle w:val="Rubrik2"/>
      </w:pPr>
      <w:r w:rsidRPr="00896D4F">
        <w:t xml:space="preserve">Riksåklagarens handläggning av det s.k. Osmo Vallo-fallet </w:t>
      </w:r>
    </w:p>
    <w:p w:rsidR="009C1C5A" w:rsidRPr="00896D4F" w:rsidRDefault="009C1C5A">
      <w:pPr>
        <w:spacing w:before="0"/>
      </w:pPr>
      <w:r w:rsidRPr="00896D4F">
        <w:t>(Dnr 1986-2000)</w:t>
      </w:r>
    </w:p>
    <w:p w:rsidR="009C1C5A" w:rsidRPr="00896D4F" w:rsidRDefault="009C1C5A">
      <w:pPr>
        <w:pStyle w:val="Rubrik3"/>
      </w:pPr>
      <w:r w:rsidRPr="00896D4F">
        <w:t>Anmälan</w:t>
      </w:r>
    </w:p>
    <w:p w:rsidR="009C1C5A" w:rsidRPr="00896D4F" w:rsidRDefault="009C1C5A">
      <w:r w:rsidRPr="00896D4F">
        <w:t>I en skrivelse till Justitiekanslern anmälde P.S. Riksåklagaren för tjänstefel. Klagomålen avsåg Riksåklagarens handläggning av ärenden röran</w:t>
      </w:r>
      <w:r w:rsidRPr="00896D4F">
        <w:softHyphen/>
        <w:t>de över</w:t>
      </w:r>
      <w:r w:rsidRPr="00896D4F">
        <w:softHyphen/>
        <w:t>prövning av olika beslut under förundersökningen mot två polismän med anledning av deras handlande vid ett ingripande mot Osmo Vallo i maj 1995. I skrivelsen riktades också kritik mot flera olika beslut som hade fattats av Riksåklagaren i ärendet. P.S. frågade bl.a. om Riksåklagaren hade tagit stäl</w:t>
      </w:r>
      <w:r w:rsidRPr="00896D4F">
        <w:t>l</w:t>
      </w:r>
      <w:r w:rsidRPr="00896D4F">
        <w:t>ning till frå</w:t>
      </w:r>
      <w:r w:rsidRPr="00896D4F">
        <w:softHyphen/>
        <w:t>gan om rättskraft och hur den frågan hade behandlats vid de beslut som fattats om att återuppta förundersökningen efter det att domarna mot poli</w:t>
      </w:r>
      <w:r w:rsidRPr="00896D4F">
        <w:t>s</w:t>
      </w:r>
      <w:r w:rsidRPr="00896D4F">
        <w:t>männen hade vunnit laga kraft.</w:t>
      </w:r>
    </w:p>
    <w:p w:rsidR="009C1C5A" w:rsidRPr="00896D4F" w:rsidRDefault="009C1C5A">
      <w:r w:rsidRPr="00896D4F">
        <w:t>Den 30 maj 20</w:t>
      </w:r>
      <w:r w:rsidRPr="00896D4F">
        <w:t xml:space="preserve">00 överlämnade Justitiekanslern P.S:s klagomål till JO efter överenskommelse med </w:t>
      </w:r>
      <w:r w:rsidRPr="00896D4F">
        <w:rPr>
          <w:i/>
        </w:rPr>
        <w:t>chefsJO E</w:t>
      </w:r>
      <w:r w:rsidRPr="00896D4F">
        <w:rPr>
          <w:i/>
        </w:rPr>
        <w:t>k</w:t>
      </w:r>
      <w:r w:rsidRPr="00896D4F">
        <w:rPr>
          <w:i/>
        </w:rPr>
        <w:t>lundh.</w:t>
      </w:r>
    </w:p>
    <w:p w:rsidR="009C1C5A" w:rsidRPr="00896D4F" w:rsidRDefault="009C1C5A">
      <w:pPr>
        <w:pStyle w:val="Rubrik3"/>
      </w:pPr>
      <w:r w:rsidRPr="00896D4F">
        <w:t>Bakgrund</w:t>
      </w:r>
    </w:p>
    <w:p w:rsidR="009C1C5A" w:rsidRPr="00896D4F" w:rsidRDefault="009C1C5A">
      <w:r w:rsidRPr="00896D4F">
        <w:t>Av infordrade handlingar, bl.a. Riksåklagarens handlingar i ärendena 1996/1404, 1997/1112 och 1999/0884, framgick följande.</w:t>
      </w:r>
    </w:p>
    <w:p w:rsidR="009C1C5A" w:rsidRPr="00896D4F" w:rsidRDefault="009C1C5A">
      <w:pPr>
        <w:pStyle w:val="Normaltindrag"/>
      </w:pPr>
      <w:r w:rsidRPr="00896D4F">
        <w:t>Den 31 maj 1995 avled Osmo Vallo efter ett polisingripande mot honom i Karlstad. Den 28 september 1995 beslutade överåklagaren Folke Ljungwall vid dåvarande Regionåklagarmyndigheten i Karlstad att väcka åtal mot två polismän vid Polismyndigheten i Karlstad för vållande till kroppsskada alte</w:t>
      </w:r>
      <w:r w:rsidRPr="00896D4F">
        <w:t>r</w:t>
      </w:r>
      <w:r w:rsidRPr="00896D4F">
        <w:t>nativt tjänstefel bestående i att de vid ingripandet genom att använda en tjänstehund på ett icke försvarligt sätt hade orsakat Osmo Vallo skador. I Folke Ljungwalls beslut uttalades vidare att det inte fanns grund för att väcka åtal för vållande till annans död, eftersom dödsorsaken inte med full säkerhet hade kunnat fastställas. Det kunde enligt beslutet inte heller styrkas att någon av polismännen hade misshandlat Osmo Vallo med sparkar eller genom att trampa på honom, eftersom varken inre eller med säk</w:t>
      </w:r>
      <w:r w:rsidRPr="00896D4F">
        <w:t>erhet yttre skador på grund av sådan misshandel hade kunnat ko</w:t>
      </w:r>
      <w:r w:rsidRPr="00896D4F">
        <w:t>n</w:t>
      </w:r>
      <w:r w:rsidRPr="00896D4F">
        <w:t xml:space="preserve">stateras. </w:t>
      </w:r>
    </w:p>
    <w:p w:rsidR="009C1C5A" w:rsidRPr="00896D4F" w:rsidRDefault="009C1C5A">
      <w:pPr>
        <w:pStyle w:val="Normaltindrag"/>
      </w:pPr>
      <w:r w:rsidRPr="00896D4F">
        <w:t>Karlstads tingsrätt dömde den 16 april 1996 de två polismännen för vå</w:t>
      </w:r>
      <w:r w:rsidRPr="00896D4F">
        <w:t>l</w:t>
      </w:r>
      <w:r w:rsidRPr="00896D4F">
        <w:t>lande till kroppsskada till dagsböter. Båda överklagade domen. Sedan den ene av dem hade återkallat sitt överklagande, vann domen laga kraft mot honom den 4 oktober 1996. Domen mot den andre polismannen fastställdes av Ho</w:t>
      </w:r>
      <w:r w:rsidRPr="00896D4F">
        <w:t>v</w:t>
      </w:r>
      <w:r w:rsidRPr="00896D4F">
        <w:t>rätten för Västra Sverige i dom den 24 juni 1997. Denna dom vann laga kraft den 3 september 1997 genom att Högsta domstolen avslog en framställning om prövningstil</w:t>
      </w:r>
      <w:r w:rsidRPr="00896D4F">
        <w:t>l</w:t>
      </w:r>
      <w:r w:rsidRPr="00896D4F">
        <w:t>stånd.</w:t>
      </w:r>
    </w:p>
    <w:p w:rsidR="009C1C5A" w:rsidRPr="00896D4F" w:rsidRDefault="009C1C5A">
      <w:pPr>
        <w:pStyle w:val="Normaltindrag"/>
      </w:pPr>
      <w:r w:rsidRPr="00896D4F">
        <w:t>Riksåklagaren beslutade efter uppgifter i TV-programmet Striptease den 11 september 1996 att granska utredningen. I ok</w:t>
      </w:r>
      <w:r w:rsidRPr="00896D4F">
        <w:t>tober 1996 återupptog Folke Ljungwall förundersökningen. Genom ett beslut den 5 november 1996 öve</w:t>
      </w:r>
      <w:r w:rsidRPr="00896D4F">
        <w:t>r</w:t>
      </w:r>
      <w:r w:rsidRPr="00896D4F">
        <w:t xml:space="preserve">lämnade biträdande riksåklagaren Solveig Riberdahl ärendet till Folke Ljungwall för fortsatt handläggning. </w:t>
      </w:r>
    </w:p>
    <w:p w:rsidR="009C1C5A" w:rsidRPr="00896D4F" w:rsidRDefault="009C1C5A">
      <w:pPr>
        <w:pStyle w:val="Normaltindrag"/>
      </w:pPr>
      <w:r w:rsidRPr="00896D4F">
        <w:t>Folke Ljungwall beslutade den 23 maj 1997 att lägga ned förundersö</w:t>
      </w:r>
      <w:r w:rsidRPr="00896D4F">
        <w:t>k</w:t>
      </w:r>
      <w:r w:rsidRPr="00896D4F">
        <w:t>ningen, som avsåg vållande till annans död och misshandel, och han beslutade samtidigt att inte inleda förundersökning om tjänstefel bestående i att poli</w:t>
      </w:r>
      <w:r w:rsidRPr="00896D4F">
        <w:t>s</w:t>
      </w:r>
      <w:r w:rsidRPr="00896D4F">
        <w:t>männen inte skulle ha agerat korrekt när de upptäckte att Osmo Vallo var livlös. Som skäl för nedläggningsbeslutet anfördes att dödsorsaken inte med full säkerhet hade kunnat fastställas och att misshandel inte hade kunnat sty</w:t>
      </w:r>
      <w:r w:rsidRPr="00896D4F">
        <w:t>r</w:t>
      </w:r>
      <w:r w:rsidRPr="00896D4F">
        <w:t>kas i vidare grad än vad som påståtts i det tidigare åtalet för vållande till kroppsskada. Beträffande frågan om ansvar för tjänst</w:t>
      </w:r>
      <w:r w:rsidRPr="00896D4F">
        <w:t>efel anförde han att det inte säkert kunde sägas att Osmo Vallos liv skulle ha räddats genom andra åtgärder av poliserna än de som vidtogs och att han inte heller hade kunnat finna att polismännen åsidosatt någon ut</w:t>
      </w:r>
      <w:r w:rsidRPr="00896D4F">
        <w:softHyphen/>
        <w:t>trycklig föreskrift eller något som i övrigt kunde anses ha gällt för uppgi</w:t>
      </w:r>
      <w:r w:rsidRPr="00896D4F">
        <w:t>f</w:t>
      </w:r>
      <w:r w:rsidRPr="00896D4F">
        <w:t>ten.</w:t>
      </w:r>
    </w:p>
    <w:p w:rsidR="009C1C5A" w:rsidRPr="00896D4F" w:rsidRDefault="009C1C5A">
      <w:pPr>
        <w:pStyle w:val="Normaltindrag"/>
      </w:pPr>
      <w:r w:rsidRPr="00896D4F">
        <w:t>I en skrivelse den 21 augusti 1997 begärde Osmo Vallos mor hos Rik</w:t>
      </w:r>
      <w:r w:rsidRPr="00896D4F">
        <w:t>s</w:t>
      </w:r>
      <w:r w:rsidRPr="00896D4F">
        <w:t>åklagaren överprövning av Folke Ljungwalls beslut såvitt avsåg frågan att inte inleda förundersökning beträffande tjänstefel. Professor Jovan Rajs lä</w:t>
      </w:r>
      <w:r w:rsidRPr="00896D4F">
        <w:t>m</w:t>
      </w:r>
      <w:r w:rsidRPr="00896D4F">
        <w:t xml:space="preserve">nade därefter viss information till Riksåklagaren. </w:t>
      </w:r>
    </w:p>
    <w:p w:rsidR="009C1C5A" w:rsidRPr="00896D4F" w:rsidRDefault="009C1C5A">
      <w:pPr>
        <w:pStyle w:val="Normaltindrag"/>
      </w:pPr>
      <w:r w:rsidRPr="00896D4F">
        <w:t>Riksåklagaren Klas Bergenstrand beslutade den 14 november 1997</w:t>
      </w:r>
      <w:r w:rsidRPr="00896D4F">
        <w:rPr>
          <w:b/>
        </w:rPr>
        <w:t xml:space="preserve"> </w:t>
      </w:r>
      <w:r w:rsidRPr="00896D4F">
        <w:t>att återuppta förundersökningen. Överåklagaren Ingemar Erviken hos Riksåkl</w:t>
      </w:r>
      <w:r w:rsidRPr="00896D4F">
        <w:t>a</w:t>
      </w:r>
      <w:r w:rsidRPr="00896D4F">
        <w:t>garen fick i uppdrag att genomföra utredningen. I beslutet uttalades att Klas Bergenstrand senare skulle ta ställning till frågan huruvida förundersökning skulle inledas i fråga om tjänste</w:t>
      </w:r>
      <w:r w:rsidRPr="00896D4F">
        <w:softHyphen/>
        <w:t>fel. Klas Bergenstrand uppdrog vidare åt Ingemar Erviken att se över rutinerna för kontakter mellan polis, åklagare och rättsläkare i fråga om rättsmedicinska undersökningar mot bakgrund av vad som ko</w:t>
      </w:r>
      <w:r w:rsidRPr="00896D4F">
        <w:t>m</w:t>
      </w:r>
      <w:r w:rsidRPr="00896D4F">
        <w:t>mit fram i ärendet.</w:t>
      </w:r>
    </w:p>
    <w:p w:rsidR="009C1C5A" w:rsidRPr="00896D4F" w:rsidRDefault="009C1C5A">
      <w:pPr>
        <w:pStyle w:val="Normaltindrag"/>
      </w:pPr>
      <w:r w:rsidRPr="00896D4F">
        <w:t xml:space="preserve">Den 21 april 1999 uppdrog </w:t>
      </w:r>
      <w:r w:rsidRPr="00896D4F">
        <w:t>biträdande riksåklagaren Solveig Riberdahl åt Ingemar Erviken att fatta beslut i ärendet. Den 4 maj 1999 beslutade Ingemar Erviken att lägga ned fö</w:t>
      </w:r>
      <w:r w:rsidRPr="00896D4F">
        <w:t>r</w:t>
      </w:r>
      <w:r w:rsidRPr="00896D4F">
        <w:t xml:space="preserve">undersökningen. </w:t>
      </w:r>
    </w:p>
    <w:p w:rsidR="009C1C5A" w:rsidRPr="00896D4F" w:rsidRDefault="009C1C5A">
      <w:pPr>
        <w:pStyle w:val="Normaltindrag"/>
      </w:pPr>
      <w:r w:rsidRPr="00896D4F">
        <w:t>Klas Bergenstrand beslutade den 10 juni 1999 på eget initiativ att överpr</w:t>
      </w:r>
      <w:r w:rsidRPr="00896D4F">
        <w:t>ö</w:t>
      </w:r>
      <w:r w:rsidRPr="00896D4F">
        <w:t>va Ingemar Ervikens beslut. Han beslutade därefter den 30 mars 2000 att inte återuppta förundersöknin</w:t>
      </w:r>
      <w:r w:rsidRPr="00896D4F">
        <w:t>g</w:t>
      </w:r>
      <w:r w:rsidRPr="00896D4F">
        <w:t>en.</w:t>
      </w:r>
    </w:p>
    <w:p w:rsidR="009C1C5A" w:rsidRPr="00896D4F" w:rsidRDefault="009C1C5A">
      <w:pPr>
        <w:pStyle w:val="Rubrik3"/>
      </w:pPr>
      <w:r w:rsidRPr="00896D4F">
        <w:t>Utredning</w:t>
      </w:r>
    </w:p>
    <w:p w:rsidR="009C1C5A" w:rsidRPr="00896D4F" w:rsidRDefault="009C1C5A">
      <w:r w:rsidRPr="00896D4F">
        <w:t>Ärendet remitterades till Riksåklagaren för yttrande avseende grunden för beslutet den 14 november 1997 att återuppta förundersökningen angående vållande till annans död och misshandel av Osmo Vallo, varvid särskilt skulle anges hur man såg på rättskraftsproblematiken, samt avseende grunden för att den 30 mars 2000 överpröva det beslut som Ingemar Erviken hade fattat den 4 maj 1999.</w:t>
      </w:r>
    </w:p>
    <w:p w:rsidR="009C1C5A" w:rsidRPr="00896D4F" w:rsidRDefault="009C1C5A">
      <w:r w:rsidRPr="00896D4F">
        <w:t>Riksåklagaren (Klas Bergenstrand) yttrade sig enligt följande.</w:t>
      </w:r>
    </w:p>
    <w:p w:rsidR="009C1C5A" w:rsidRPr="00896D4F" w:rsidRDefault="009C1C5A">
      <w:pPr>
        <w:pStyle w:val="Rubrik4"/>
      </w:pPr>
      <w:r w:rsidRPr="00896D4F">
        <w:t>Grunden för att den 14 november 1997 återuppta förundersökningen</w:t>
      </w:r>
    </w:p>
    <w:p w:rsidR="009C1C5A" w:rsidRPr="00896D4F" w:rsidRDefault="009C1C5A">
      <w:pPr>
        <w:pStyle w:val="Citat"/>
      </w:pPr>
      <w:r w:rsidRPr="00896D4F">
        <w:t>Vad JO vill ha svar på under detta avsnitt är – som jag uppfattar saken – va</w:t>
      </w:r>
      <w:r w:rsidRPr="00896D4F">
        <w:t>r</w:t>
      </w:r>
      <w:r w:rsidRPr="00896D4F">
        <w:t>för en ny förundersök</w:t>
      </w:r>
      <w:r w:rsidRPr="00896D4F">
        <w:softHyphen/>
        <w:t>ning inleddes och varför man inte redan under de öve</w:t>
      </w:r>
      <w:r w:rsidRPr="00896D4F">
        <w:t>r</w:t>
      </w:r>
      <w:r w:rsidRPr="00896D4F">
        <w:t>väganden som utmynnade i beslutet den 14 november 1997 bedömde att rättskraftsreglerna gjorde det omöjligt att få</w:t>
      </w:r>
      <w:r w:rsidRPr="00896D4F">
        <w:rPr>
          <w:b/>
        </w:rPr>
        <w:t xml:space="preserve"> </w:t>
      </w:r>
      <w:r w:rsidRPr="00896D4F">
        <w:t>en ny rättslig prövning till stånd.</w:t>
      </w:r>
    </w:p>
    <w:p w:rsidR="009C1C5A" w:rsidRPr="00896D4F" w:rsidRDefault="009C1C5A">
      <w:pPr>
        <w:pStyle w:val="Citatindrag"/>
      </w:pPr>
      <w:r w:rsidRPr="00896D4F">
        <w:t>I mitt beslut den 30 mars 2000 har jag redovisat regleringen av frågan om rättskraft och samspelet med bestämmelserna om resning. I det följande utgår jag från att redovisningen där är bekant. Jag vill dock särskilt framhålla att rättskraftsfrågan ofta är svår att avgöra bl.a. av det s</w:t>
      </w:r>
      <w:r w:rsidRPr="00896D4F">
        <w:t>kälet att lagtex</w:t>
      </w:r>
      <w:r w:rsidRPr="00896D4F">
        <w:softHyphen/>
        <w:t>ten ger en mycket begränsad vägledning för bedömningen av identiteten mellan den tidigare prö</w:t>
      </w:r>
      <w:r w:rsidRPr="00896D4F">
        <w:softHyphen/>
        <w:t>vade gärningen och den nya. Det torde också vara så att innebö</w:t>
      </w:r>
      <w:r w:rsidRPr="00896D4F">
        <w:t>r</w:t>
      </w:r>
      <w:r w:rsidRPr="00896D4F">
        <w:t>den av gärningsbegreppet i nu avsedd mening tolkats olika från tid till annan. Sammanfattningsvis kan sägas att rättsutvecklingen gått i riktning mot en ökad omfattning av rättskraften och att den i allt större utsträckning anses vara ett hinder för att väcka nytt åtal. Över huvud är rättskraftsproblematiken en mycket om</w:t>
      </w:r>
      <w:r w:rsidRPr="00896D4F">
        <w:softHyphen/>
        <w:t>diskuterad fråg</w:t>
      </w:r>
      <w:r w:rsidRPr="00896D4F">
        <w:t>a inom straffrätten. Jag kan här nöja mig med att hänvisa till framställningen i kommentaren till rättegångsbalken (Fitger m.fl. Rättegångsbalken, s. 30:20 f.).</w:t>
      </w:r>
    </w:p>
    <w:p w:rsidR="009C1C5A" w:rsidRPr="00896D4F" w:rsidRDefault="009C1C5A">
      <w:pPr>
        <w:pStyle w:val="Citatindrag"/>
      </w:pPr>
      <w:r w:rsidRPr="00896D4F">
        <w:t>Vid tidpunkten för beslutet den 14 november 1997 var läget bl.a. det att polismännen H. och S. genom lagakraftvunna domar dömts för vållande till kroppsskada, H. för att han låtit den medförda polishunden bita Osmo Vallo vid upprepade tillfällen och S. för att han i egenskap av H:s förman låtit bli att avstyra användandet av hunden mot Vallo. På gru</w:t>
      </w:r>
      <w:r w:rsidRPr="00896D4F">
        <w:t>nd av nya uppgifter rörande polisin</w:t>
      </w:r>
      <w:r w:rsidRPr="00896D4F">
        <w:softHyphen/>
        <w:t>gripandet hade dåvarande överåklagaren Folke Ljungwall i oktober 1996 beslutat att återuppta förundersökningen. Centrala frågor både då och tidigare var vad den direkta orsaken var till Osmo Vallos död och om det fanns ett samband mellan dödsorsaken och yttre våld, framför allt den tram</w:t>
      </w:r>
      <w:r w:rsidRPr="00896D4F">
        <w:t>p</w:t>
      </w:r>
      <w:r w:rsidRPr="00896D4F">
        <w:t>ning mot Osmo Vallos rygg som vittnen berättat om. Den återupptagna fö</w:t>
      </w:r>
      <w:r w:rsidRPr="00896D4F">
        <w:t>r</w:t>
      </w:r>
      <w:r w:rsidRPr="00896D4F">
        <w:t>undersökningen lades ned den 23 maj 1997 sedan Ljungwall funnit att brott inte kunde styrkas i vidare omfat</w:t>
      </w:r>
      <w:r w:rsidRPr="00896D4F">
        <w:t>t</w:t>
      </w:r>
      <w:r w:rsidRPr="00896D4F">
        <w:t>ning än s</w:t>
      </w:r>
      <w:r w:rsidRPr="00896D4F">
        <w:t>om framgått av beslutet om åtal.</w:t>
      </w:r>
    </w:p>
    <w:p w:rsidR="009C1C5A" w:rsidRPr="00896D4F" w:rsidRDefault="009C1C5A">
      <w:pPr>
        <w:pStyle w:val="Citatindrag"/>
      </w:pPr>
      <w:r w:rsidRPr="00896D4F">
        <w:t>Professorn i rättsmedicin Jovan Rajs lämnade därefter i TV-programmet Striptease uppgifter som rörde frågan om Osmo Vallo var vid liv när han trampades på ryggen. Han uppgav bl.a. att rev</w:t>
      </w:r>
      <w:r w:rsidRPr="00896D4F">
        <w:softHyphen/>
        <w:t>bensbrotten med hänsyn till blödningarna mellan revbenen syntes vara av vital karaktär, d.v.s. ha up</w:t>
      </w:r>
      <w:r w:rsidRPr="00896D4F">
        <w:t>p</w:t>
      </w:r>
      <w:r w:rsidRPr="00896D4F">
        <w:t>kommit när Osmo Vallo hade pågående cirkulation och var vid liv, och att våldet inte kunde utelämnas som en förklaring till varför Osmo Vallo dött. Vid ett telefonsamtal utvecklade han sina synpunkter och grunden för dessa. Han uppgav också att en rekonstruktion borde göras och att en ny obduktion kunde bli nödvändig. De slutsatser som Jovan Rajs drog av det material som han då hade tagit del av hade inte t</w:t>
      </w:r>
      <w:r w:rsidRPr="00896D4F">
        <w:t>idigare förekommit i utredningen.</w:t>
      </w:r>
    </w:p>
    <w:p w:rsidR="009C1C5A" w:rsidRPr="00896D4F" w:rsidRDefault="009C1C5A">
      <w:pPr>
        <w:pStyle w:val="Citatindrag"/>
      </w:pPr>
      <w:r w:rsidRPr="00896D4F">
        <w:t>Jovan Rajs uppgifter hade betydelse dels för frågan om Osmo Vallo utsatts för våld i tiden innan han avled och dels för om döden orsakats av trampet eller trampet på något avgörande sätt hade bidragit till att Osmo Vallo dog. På grund av de uppgifter som Jovan Rajs lämnat fanns det miss</w:t>
      </w:r>
      <w:r w:rsidRPr="00896D4F">
        <w:softHyphen/>
        <w:t>tankar inte bara om att Osmo Vallo levde när han trampades och orsakats skador av trampet utan också att trampet varit den avgörande orsaken till att Osmo Vallo avlidit. Vid bedömningen vägdes givetvis in att Jovan Rajs är en person med synne</w:t>
      </w:r>
      <w:r w:rsidRPr="00896D4F">
        <w:t>r</w:t>
      </w:r>
      <w:r w:rsidRPr="00896D4F">
        <w:t>ligen stor sakkunskap och erfarenhet i rättsm</w:t>
      </w:r>
      <w:r w:rsidRPr="00896D4F">
        <w:t>e</w:t>
      </w:r>
      <w:r w:rsidRPr="00896D4F">
        <w:t>di</w:t>
      </w:r>
      <w:r w:rsidRPr="00896D4F">
        <w:softHyphen/>
        <w:t>cinska frågor.</w:t>
      </w:r>
    </w:p>
    <w:p w:rsidR="009C1C5A" w:rsidRPr="00896D4F" w:rsidRDefault="009C1C5A">
      <w:pPr>
        <w:pStyle w:val="Citatindrag"/>
      </w:pPr>
      <w:r w:rsidRPr="00896D4F">
        <w:t>Underlaget vid tiden för beslutet att återuppta förundersökningen var enligt min mening sådant att det fanns anledning att anta att en utredning kunde leda fram till att en brottslig handling som inte omf</w:t>
      </w:r>
      <w:r w:rsidRPr="00896D4F">
        <w:t>attades av den tidigare domens rättskraft kunde styrkas. I det sammanhanget var naturligtvis frågan om död</w:t>
      </w:r>
      <w:r w:rsidRPr="00896D4F">
        <w:t>s</w:t>
      </w:r>
      <w:r w:rsidRPr="00896D4F">
        <w:t>orsaken och därmed sammanhängande uppsåtsfrågor av betydelse. Som jag fram</w:t>
      </w:r>
      <w:r w:rsidRPr="00896D4F">
        <w:softHyphen/>
        <w:t>hållit i mitt beslut den 30 mars 2000 torde visserligen inte enbart den omständigheten att åklagaren i ett nytt åtal gör gällande ett annat subjektivt rekvisit innebära att det blir fråga om en ny gärning i den mening som avses i 30 kap. 9 § rättegångsbalken. Däremot är inte jag beredd att utan vidare u</w:t>
      </w:r>
      <w:r w:rsidRPr="00896D4F">
        <w:t>t</w:t>
      </w:r>
      <w:r w:rsidRPr="00896D4F">
        <w:t>sträcka rättskraften så l</w:t>
      </w:r>
      <w:r w:rsidRPr="00896D4F">
        <w:t>ångt att en lagakraftvunnen dom för vållande till kroppsskada genom insättandet av polishunden skulle utesluta ett nytt åtal rörande uppsåtligt dödande genom annat våld. Även denna möjlighet hade jag att beakta.</w:t>
      </w:r>
    </w:p>
    <w:p w:rsidR="009C1C5A" w:rsidRPr="00896D4F" w:rsidRDefault="009C1C5A">
      <w:pPr>
        <w:pStyle w:val="Citatindrag"/>
      </w:pPr>
      <w:r w:rsidRPr="00896D4F">
        <w:t>Som jag redan berört finns det också ett nära samband mellan reglerna om rättskraft och bestäm</w:t>
      </w:r>
      <w:r w:rsidRPr="00896D4F">
        <w:softHyphen/>
        <w:t>melserna i 58 kap. 3 § rättegångsbalken om resning till men för den tilltalade. Enligt min mening fanns det mot bakgrund av de up</w:t>
      </w:r>
      <w:r w:rsidRPr="00896D4F">
        <w:t>p</w:t>
      </w:r>
      <w:r w:rsidRPr="00896D4F">
        <w:t>gifter som Jovan Rajs lämnat skäl som talade för att det under en fortsatt utredning kunde komma fram sådana uppgifter som skulle kunna läggas till grund för en begäran om resning.</w:t>
      </w:r>
    </w:p>
    <w:p w:rsidR="009C1C5A" w:rsidRPr="00896D4F" w:rsidRDefault="009C1C5A">
      <w:pPr>
        <w:pStyle w:val="Citatindrag"/>
      </w:pPr>
      <w:r w:rsidRPr="00896D4F">
        <w:t>Jag vill här infoga den rätt självklara synpunkten att syftet med utrednin</w:t>
      </w:r>
      <w:r w:rsidRPr="00896D4F">
        <w:t>g</w:t>
      </w:r>
      <w:r w:rsidRPr="00896D4F">
        <w:t>en – här liksom i andra fall – var att få fram ett så fullgott beslutsunderlag som möjligt. Som jag berört tidigare är bedöm</w:t>
      </w:r>
      <w:r w:rsidRPr="00896D4F">
        <w:softHyphen/>
        <w:t>ningen av rättskraftsfrågor ofta vansklig. Enligt min mening torde ett slutligt ställningstagande kunna göras först när det samlade utredningsresultatet f</w:t>
      </w:r>
      <w:r w:rsidRPr="00896D4F">
        <w:t>ö</w:t>
      </w:r>
      <w:r w:rsidRPr="00896D4F">
        <w:t>religger.</w:t>
      </w:r>
    </w:p>
    <w:p w:rsidR="009C1C5A" w:rsidRPr="00896D4F" w:rsidRDefault="009C1C5A">
      <w:pPr>
        <w:pStyle w:val="Citatindrag"/>
      </w:pPr>
      <w:r w:rsidRPr="00896D4F">
        <w:t>Rättegångsbalkens allmänna regler om förutsättningarna för att inleda en förundersökning är inte tillämpliga på utredningsåtgärder som vidtas efter en lagakraftvunnen dom. En lagakraftägande dom kan dock inte anses utgöra</w:t>
      </w:r>
      <w:r w:rsidRPr="00896D4F">
        <w:t xml:space="preserve"> hinder mot ett beslut om att återuppta en brottsutredning un</w:t>
      </w:r>
      <w:r w:rsidRPr="00896D4F">
        <w:softHyphen/>
        <w:t>der förutsättning att det finns skäl för detta (jfr JO:s beslut den 22 september 1999 i ärende 4267-1997). Som jag nyss redovisat ansåg jag att det fanns goda grunder för att återuppta utredningen. Att en utredning av den omfattning det här var fråga om måste ske inom ramen för en förunder</w:t>
      </w:r>
      <w:r w:rsidRPr="00896D4F">
        <w:softHyphen/>
        <w:t>sökning torde vara självklart (jfr bl.a. det angivna JO-beslutet).</w:t>
      </w:r>
    </w:p>
    <w:p w:rsidR="009C1C5A" w:rsidRPr="00896D4F" w:rsidRDefault="009C1C5A">
      <w:pPr>
        <w:pStyle w:val="Rubrik4"/>
      </w:pPr>
      <w:r w:rsidRPr="00896D4F">
        <w:t>Grunden för att överpröva Ingemar Ervikens beslut</w:t>
      </w:r>
    </w:p>
    <w:p w:rsidR="009C1C5A" w:rsidRPr="00896D4F" w:rsidRDefault="009C1C5A">
      <w:pPr>
        <w:pStyle w:val="Citat"/>
      </w:pPr>
      <w:r w:rsidRPr="00896D4F">
        <w:t>Rättegångsförfarandet är uppbyggt så att det under förundersökning och rä</w:t>
      </w:r>
      <w:r w:rsidRPr="00896D4F">
        <w:t>t</w:t>
      </w:r>
      <w:r w:rsidRPr="00896D4F">
        <w:t>tegång inför domstol är en åklagare och inte den åklagarmyndighet där han är anställd som företräder det allmänna (jfr Fitger, Rättegångsbalken 1, s. 7:3). Det innebär att den enskilde åklagaren i utövandet av åkla</w:t>
      </w:r>
      <w:r w:rsidRPr="00896D4F">
        <w:softHyphen/>
        <w:t>garuppgiften i pri</w:t>
      </w:r>
      <w:r w:rsidRPr="00896D4F">
        <w:t>n</w:t>
      </w:r>
      <w:r w:rsidRPr="00896D4F">
        <w:t>cip intar en självständig ställning. En åklagare på samma nivå kan inte ändra en annan åklagares beslut. Inte heller en högre åklagare kan ge anvisningar som binder en lägre åkla</w:t>
      </w:r>
      <w:r w:rsidRPr="00896D4F">
        <w:softHyphen/>
        <w:t>gare i ett enskilt mål. Däremot kan enligt 7 kap. 5 § rättegångsbalken riksåklagaren och statsåkla</w:t>
      </w:r>
      <w:r w:rsidRPr="00896D4F">
        <w:t>gare ta över en uppgift som a</w:t>
      </w:r>
      <w:r w:rsidRPr="00896D4F">
        <w:t>n</w:t>
      </w:r>
      <w:r w:rsidRPr="00896D4F">
        <w:t>nars åligger en lägre åklagare. Denna bestämmelse ger riksåklaga</w:t>
      </w:r>
      <w:r w:rsidRPr="00896D4F">
        <w:softHyphen/>
        <w:t>ren möjli</w:t>
      </w:r>
      <w:r w:rsidRPr="00896D4F">
        <w:t>g</w:t>
      </w:r>
      <w:r w:rsidRPr="00896D4F">
        <w:t xml:space="preserve">het att ompröva alla beslut i judiciellt hänseende som fattats av åklagare på distrikts- </w:t>
      </w:r>
      <w:r w:rsidRPr="00896D4F">
        <w:softHyphen/>
        <w:t>eller statsåklagarnivå. Motsvarande befogenheter har statsåklagare i förhållande till dem under</w:t>
      </w:r>
      <w:r w:rsidRPr="00896D4F">
        <w:softHyphen/>
        <w:t>ställda distriktsåklagare. Denna bestämmelse til</w:t>
      </w:r>
      <w:r w:rsidRPr="00896D4F">
        <w:t>l</w:t>
      </w:r>
      <w:r w:rsidRPr="00896D4F">
        <w:t>sammans med 7 kap. 2 § rättegångsbalken, enligt vilken riksåklagaren är högste åklagare och har ansvaret för och ledningen av åklagarväsendet, utgör grunden för överprövnin</w:t>
      </w:r>
      <w:r w:rsidRPr="00896D4F">
        <w:t>gsförf</w:t>
      </w:r>
      <w:r w:rsidRPr="00896D4F">
        <w:t>a</w:t>
      </w:r>
      <w:r w:rsidRPr="00896D4F">
        <w:t>randet.</w:t>
      </w:r>
    </w:p>
    <w:p w:rsidR="009C1C5A" w:rsidRPr="00896D4F" w:rsidRDefault="009C1C5A">
      <w:pPr>
        <w:pStyle w:val="Citatindrag"/>
      </w:pPr>
      <w:r w:rsidRPr="00896D4F">
        <w:t>Jag vill inskjuta att det inte finns några andra författningsbestämmelser än de nu angivna som reglerar överprövningsförfarandet. Tillämpningen bygger i huvudsak på uttalanden som gjordes i samband med budgetpropositionen 1984/85 (se prop. 1984/85:100, bil. 4 s. 69 f. och bet. JuU 1984/85:30 s. 3 f.). Av vad som anförs där framgår att öve</w:t>
      </w:r>
      <w:r w:rsidRPr="00896D4F">
        <w:t>r</w:t>
      </w:r>
      <w:r w:rsidRPr="00896D4F">
        <w:t>prövningsförfarandet är avsett att ut</w:t>
      </w:r>
      <w:r w:rsidRPr="00896D4F">
        <w:softHyphen/>
        <w:t>nyttjas inom tämligen vida ramar. Jag vill också i detta sammanhang fra</w:t>
      </w:r>
      <w:r w:rsidRPr="00896D4F">
        <w:t>m</w:t>
      </w:r>
      <w:r w:rsidRPr="00896D4F">
        <w:t>hålla att det för mig är en främmande tanke att jag som rikets högste åklagare av formella skäl skulle vara förhindrad att granska beslut av åklagare som är underställda mig.</w:t>
      </w:r>
    </w:p>
    <w:p w:rsidR="009C1C5A" w:rsidRPr="00896D4F" w:rsidRDefault="009C1C5A">
      <w:pPr>
        <w:pStyle w:val="Citatindrag"/>
      </w:pPr>
      <w:r w:rsidRPr="00896D4F">
        <w:t>Av principen att den enskilde åklagaren fattar sina beslut i judiciella frågor i egenskap av allmän åklagare och inte som företrädare för en viss myndighet följer att en överprövning kan göras obe</w:t>
      </w:r>
      <w:r w:rsidRPr="00896D4F">
        <w:softHyphen/>
        <w:t>roende av om den beslutsfattande åklagaren och den överprövande åklagaren är anställda vid en och samma åklagarmyndighet. Så har t.ex. överåklagarna vid storstadsmyndigheterna i Stockholm, Göteborg och Malmö alltid kunnat överpröva beslut av åklagare vid samma myndi</w:t>
      </w:r>
      <w:r w:rsidRPr="00896D4F">
        <w:t>g</w:t>
      </w:r>
      <w:r w:rsidRPr="00896D4F">
        <w:t>het.</w:t>
      </w:r>
    </w:p>
    <w:p w:rsidR="009C1C5A" w:rsidRPr="00896D4F" w:rsidRDefault="009C1C5A">
      <w:pPr>
        <w:pStyle w:val="Citatindrag"/>
      </w:pPr>
      <w:r w:rsidRPr="00896D4F">
        <w:t>Ingemar Erviken var överåklagare vid Regionåklagarmyndigheten i Umeå. I samband med åklagarväsendets omorganisation den 1 juli 1996 upphörde denna myndighet. Från och med den 1 juli samma år var Ingemar Erviken anställd hos Riksåklagaren o</w:t>
      </w:r>
      <w:r w:rsidRPr="00896D4F">
        <w:t>ch stod till Riksåklagarens förfo</w:t>
      </w:r>
      <w:r w:rsidRPr="00896D4F">
        <w:softHyphen/>
        <w:t>gande enligt 5 § första stycket åklagarförordningen (l996:205). Regeringen beslutade den 11 de</w:t>
      </w:r>
      <w:r w:rsidRPr="00896D4F">
        <w:softHyphen/>
        <w:t xml:space="preserve">cember 1997 att förflytta Ingemar Erviken till en anställning med fullmakt hos Riksåklagaren. </w:t>
      </w:r>
    </w:p>
    <w:p w:rsidR="009C1C5A" w:rsidRPr="00896D4F" w:rsidRDefault="009C1C5A">
      <w:pPr>
        <w:pStyle w:val="Citatindrag"/>
      </w:pPr>
      <w:r w:rsidRPr="00896D4F">
        <w:t>Under den tid Ingemar Erviken stod till Riksåklagarens förfogande ful</w:t>
      </w:r>
      <w:r w:rsidRPr="00896D4F">
        <w:t>l</w:t>
      </w:r>
      <w:r w:rsidRPr="00896D4F">
        <w:t>gjorde han fram till den 1 juli 1997 arbetsuppgifter vid Rikskriminalpolisen. Hans huvudsakliga arbetsuppgifter därefter bestod i att utföra förundersö</w:t>
      </w:r>
      <w:r w:rsidRPr="00896D4F">
        <w:t>k</w:t>
      </w:r>
      <w:r w:rsidRPr="00896D4F">
        <w:t>ningar som gällde misstanke mot åklagare och domare för brott i utövningen av tjänsten. I sådana fall är det Riksåklagaren som beslutar om förundersö</w:t>
      </w:r>
      <w:r w:rsidRPr="00896D4F">
        <w:t>k</w:t>
      </w:r>
      <w:r w:rsidRPr="00896D4F">
        <w:t>ning skall inledas eller inte (se 7 kap. 4 § rättegångsbalken och Riksåklag</w:t>
      </w:r>
      <w:r w:rsidRPr="00896D4F">
        <w:t>a</w:t>
      </w:r>
      <w:r w:rsidRPr="00896D4F">
        <w:t>rens föreskrifter om handlägg</w:t>
      </w:r>
      <w:r w:rsidRPr="00896D4F">
        <w:softHyphen/>
        <w:t>ningen av anmälningar mot åklagare och dom</w:t>
      </w:r>
      <w:r w:rsidRPr="00896D4F">
        <w:t>a</w:t>
      </w:r>
      <w:r w:rsidRPr="00896D4F">
        <w:t>re m.fl., RÅFS 1996:1). Ingemar Erviken hade också förordnan</w:t>
      </w:r>
      <w:r w:rsidRPr="00896D4F">
        <w:t>de att fullgöra åklagaruppgiften i andra mål, bl.a. i ett mål vid Åklagarmyndighe</w:t>
      </w:r>
      <w:r w:rsidRPr="00896D4F">
        <w:softHyphen/>
        <w:t>ten i Vä</w:t>
      </w:r>
      <w:r w:rsidRPr="00896D4F">
        <w:t>s</w:t>
      </w:r>
      <w:r w:rsidRPr="00896D4F">
        <w:t>terås som gällde misstankar om tagande av muta, och att handlägga överprö</w:t>
      </w:r>
      <w:r w:rsidRPr="00896D4F">
        <w:t>v</w:t>
      </w:r>
      <w:r w:rsidRPr="00896D4F">
        <w:t>ningsären</w:t>
      </w:r>
      <w:r w:rsidRPr="00896D4F">
        <w:softHyphen/>
        <w:t>den från samma myndi</w:t>
      </w:r>
      <w:r w:rsidRPr="00896D4F">
        <w:t>g</w:t>
      </w:r>
      <w:r w:rsidRPr="00896D4F">
        <w:t>het.</w:t>
      </w:r>
    </w:p>
    <w:p w:rsidR="009C1C5A" w:rsidRPr="00896D4F" w:rsidRDefault="009C1C5A">
      <w:pPr>
        <w:pStyle w:val="Citatindrag"/>
      </w:pPr>
      <w:r w:rsidRPr="00896D4F">
        <w:t>Som framgått av det tidigare anförda var överåklagaren Folke Ljungwall den som från början var åklagare i målet mot H. och S. Folke Ljungwall b</w:t>
      </w:r>
      <w:r w:rsidRPr="00896D4F">
        <w:t>e</w:t>
      </w:r>
      <w:r w:rsidRPr="00896D4F">
        <w:t>slutade som redan nämnts i oktober 1996 – efter tingsrättens dom – att åte</w:t>
      </w:r>
      <w:r w:rsidRPr="00896D4F">
        <w:t>r</w:t>
      </w:r>
      <w:r w:rsidRPr="00896D4F">
        <w:t>uppta förundersökningen på grund av nya uppgifter. Förundersökningen lades ned genom Ljungwalls beslut den 23 maj 1997.</w:t>
      </w:r>
    </w:p>
    <w:p w:rsidR="009C1C5A" w:rsidRPr="00896D4F" w:rsidRDefault="009C1C5A">
      <w:pPr>
        <w:pStyle w:val="Citatindrag"/>
      </w:pPr>
      <w:r w:rsidRPr="00896D4F">
        <w:t>Jag har i det föregående redovisat skälen till mitt ställningstagande den 14 november 1997 att återuppta förundersökningen. Som framgått av det där anförda grundades beslutet på att utred</w:t>
      </w:r>
      <w:r w:rsidRPr="00896D4F">
        <w:softHyphen/>
        <w:t>ningsläget genom Jovan Rajs uppgifter var ett a</w:t>
      </w:r>
      <w:r w:rsidRPr="00896D4F">
        <w:t>n</w:t>
      </w:r>
      <w:r w:rsidRPr="00896D4F">
        <w:t>nat än tidigare.</w:t>
      </w:r>
    </w:p>
    <w:p w:rsidR="009C1C5A" w:rsidRPr="00896D4F" w:rsidRDefault="009C1C5A">
      <w:pPr>
        <w:pStyle w:val="Citatindrag"/>
      </w:pPr>
      <w:r w:rsidRPr="00896D4F">
        <w:t>Uppdraget att genomföra den återupptagna utredningen hade i och för sig kunnat lämnas till Folke Ljungwall. Eftersom ärendet var inflammerat och tidigare vid flera tillfällen varit föremål för Fol</w:t>
      </w:r>
      <w:r w:rsidRPr="00896D4F">
        <w:softHyphen/>
        <w:t>ke Ljungwalls bedömning, valdes att lägga uppgiften på en annan åklagare på samma nivå och med samma höga kompetens. Uppdraget till Ingemar Erviken kom att utformas så att han skulle genomföra den nya utredningen. Av formuleringen framgick inte klart att hela åklagaruppgiften överlämnades till honom, d.v.s. att han också skulle fatta beslut i åtalsfrågan. Därför förtydligades uppdraget med ett beslut den 21 april 1999</w:t>
      </w:r>
      <w:r w:rsidRPr="00896D4F">
        <w:rPr>
          <w:b/>
        </w:rPr>
        <w:t xml:space="preserve"> </w:t>
      </w:r>
      <w:r w:rsidRPr="00896D4F">
        <w:t>att han också skulle fatta beslut i ärendet.</w:t>
      </w:r>
    </w:p>
    <w:p w:rsidR="009C1C5A" w:rsidRPr="00896D4F" w:rsidRDefault="009C1C5A">
      <w:pPr>
        <w:pStyle w:val="Citatindrag"/>
      </w:pPr>
      <w:r w:rsidRPr="00896D4F">
        <w:t>Som jag redan varit inne på omfattade den åt</w:t>
      </w:r>
      <w:r w:rsidRPr="00896D4F">
        <w:t>erupptagna utredningen nya uppgifter som kommit fram efter Folke Ljungwalls beslut den 23 maj 1997. Det finns därför inte heller grund för att upp</w:t>
      </w:r>
      <w:r w:rsidRPr="00896D4F">
        <w:softHyphen/>
        <w:t>fatta uppdraget till Ingemar Erv</w:t>
      </w:r>
      <w:r w:rsidRPr="00896D4F">
        <w:t>i</w:t>
      </w:r>
      <w:r w:rsidRPr="00896D4F">
        <w:t>ken som en överprövning av Folke Ljungwalls beslut om nedläg</w:t>
      </w:r>
      <w:r w:rsidRPr="00896D4F">
        <w:softHyphen/>
        <w:t>gande av förundersökningen. Jag vill således betona att uppdraget till Ingemar Erviken inte inne</w:t>
      </w:r>
      <w:r w:rsidRPr="00896D4F">
        <w:softHyphen/>
        <w:t>bar att mina beslutsbefogenheter som riksåklagare delegerades till honom i ärendet. Såvitt gäller H. var visserligen frågan om resning av ho</w:t>
      </w:r>
      <w:r w:rsidRPr="00896D4F">
        <w:t>v</w:t>
      </w:r>
      <w:r w:rsidRPr="00896D4F">
        <w:t xml:space="preserve">rättens dom en fråga för mig som </w:t>
      </w:r>
      <w:r w:rsidRPr="00896D4F">
        <w:t>riksåklagare. Om det framkom skäl för resning även rörande H., hade Ingemar Erviken att överlämna det slutliga ställ</w:t>
      </w:r>
      <w:r w:rsidRPr="00896D4F">
        <w:softHyphen/>
        <w:t>ningstagandet i den delen till mig.</w:t>
      </w:r>
    </w:p>
    <w:p w:rsidR="009C1C5A" w:rsidRPr="00896D4F" w:rsidRDefault="009C1C5A">
      <w:pPr>
        <w:pStyle w:val="Citatindrag"/>
      </w:pPr>
      <w:r w:rsidRPr="00896D4F">
        <w:t>Vad Ingemar Erviken skulle pröva var alltså sammanfattningsvis om den återupptagna förunder</w:t>
      </w:r>
      <w:r w:rsidRPr="00896D4F">
        <w:softHyphen/>
        <w:t>sökningen kunde leda till att sådana uppgifter kom fram som kunde föranleda åtal för nya brott eller utgöra grund för att överväga frågan om resning. Som jag nyss berört hade han att självstän</w:t>
      </w:r>
      <w:r w:rsidRPr="00896D4F">
        <w:softHyphen/>
        <w:t>digt fullgöra denna uppgift inom ramen för sin anställning som al</w:t>
      </w:r>
      <w:r w:rsidRPr="00896D4F">
        <w:t>l</w:t>
      </w:r>
      <w:r w:rsidRPr="00896D4F">
        <w:t>män åklagare.</w:t>
      </w:r>
    </w:p>
    <w:p w:rsidR="009C1C5A" w:rsidRPr="00896D4F" w:rsidRDefault="009C1C5A">
      <w:pPr>
        <w:pStyle w:val="Citatindrag"/>
      </w:pPr>
      <w:r w:rsidRPr="00896D4F">
        <w:t>Av det nu sagda följer att det beslut att lägga ned förundersökningen som Ingemar Erviken fattade den 4 maj 1999 principiellt sett inte skiljer sig i överprövningshänseende från andra beslut som fattas av statsåklagare. I ege</w:t>
      </w:r>
      <w:r w:rsidRPr="00896D4F">
        <w:t>n</w:t>
      </w:r>
      <w:r w:rsidRPr="00896D4F">
        <w:t>skap av riksåklagare har jag – som framgått av redogörelsen för 7 kap. 5 § rättegångsbalken och överprövningsinstitutet – rätt att överpröva sådana b</w:t>
      </w:r>
      <w:r w:rsidRPr="00896D4F">
        <w:t>e</w:t>
      </w:r>
      <w:r w:rsidRPr="00896D4F">
        <w:t>slut. Som jag redan angett har det därvid inte någon betydelse att Ingemar Erviken var anställd hos Riksåklaga</w:t>
      </w:r>
      <w:r w:rsidRPr="00896D4F">
        <w:softHyphen/>
        <w:t>ren.</w:t>
      </w:r>
    </w:p>
    <w:p w:rsidR="009C1C5A" w:rsidRPr="00896D4F" w:rsidRDefault="009C1C5A">
      <w:pPr>
        <w:pStyle w:val="Citatindrag"/>
      </w:pPr>
      <w:r w:rsidRPr="00896D4F">
        <w:t>Så långt den formella sidan av saken. De sakliga skälen för överprövnin</w:t>
      </w:r>
      <w:r w:rsidRPr="00896D4F">
        <w:t>g</w:t>
      </w:r>
      <w:r w:rsidRPr="00896D4F">
        <w:t>en var att Ingemar Ervi</w:t>
      </w:r>
      <w:r w:rsidRPr="00896D4F">
        <w:softHyphen/>
        <w:t>kens beslut att lägga ned förundersökningen blivit föremål för kritik och debatt, varvid det också gjordes gällande att han förb</w:t>
      </w:r>
      <w:r w:rsidRPr="00896D4F">
        <w:t>i</w:t>
      </w:r>
      <w:r w:rsidRPr="00896D4F">
        <w:t>sett vissa frågeställningar. Olika skrivelser kom in hit med begäran om mitt ingripande. I den uppkomna situationen ansåg jag det vara min skyldighet som riksåklaga</w:t>
      </w:r>
      <w:r w:rsidRPr="00896D4F">
        <w:softHyphen/>
        <w:t>re att ta upp b</w:t>
      </w:r>
      <w:r w:rsidRPr="00896D4F">
        <w:t>e</w:t>
      </w:r>
      <w:r w:rsidRPr="00896D4F">
        <w:t>slutet till granskning.</w:t>
      </w:r>
    </w:p>
    <w:p w:rsidR="009C1C5A" w:rsidRPr="00896D4F" w:rsidRDefault="009C1C5A">
      <w:pPr>
        <w:rPr>
          <w:b/>
        </w:rPr>
      </w:pPr>
      <w:r w:rsidRPr="00896D4F">
        <w:t xml:space="preserve">I ett beslut den 29 november 2001 anförde </w:t>
      </w:r>
      <w:r w:rsidRPr="00896D4F">
        <w:rPr>
          <w:i/>
        </w:rPr>
        <w:t>chefsJO Eklundh</w:t>
      </w:r>
      <w:r w:rsidRPr="00896D4F">
        <w:t xml:space="preserve"> följande.</w:t>
      </w:r>
    </w:p>
    <w:p w:rsidR="009C1C5A" w:rsidRPr="00896D4F" w:rsidRDefault="009C1C5A">
      <w:pPr>
        <w:pStyle w:val="Rubrik3"/>
      </w:pPr>
      <w:r w:rsidRPr="00896D4F">
        <w:t>Bedömning</w:t>
      </w:r>
    </w:p>
    <w:p w:rsidR="009C1C5A" w:rsidRPr="00896D4F" w:rsidRDefault="009C1C5A">
      <w:pPr>
        <w:pStyle w:val="Rubrik4"/>
        <w:spacing w:before="125"/>
      </w:pPr>
      <w:r w:rsidRPr="00896D4F">
        <w:t>Inledning</w:t>
      </w:r>
    </w:p>
    <w:p w:rsidR="009C1C5A" w:rsidRPr="00896D4F" w:rsidRDefault="009C1C5A">
      <w:r w:rsidRPr="00896D4F">
        <w:t>Detta ärende avser handläggningen hos Riksåklagaren av Osmo Vallo-ärendet efter det att domarna – en tingsrätts- respektive en hovrättsdom – mot de två polismän som hade dömts för vållande till kroppsskada i samband med ingr</w:t>
      </w:r>
      <w:r w:rsidRPr="00896D4F">
        <w:t>i</w:t>
      </w:r>
      <w:r w:rsidRPr="00896D4F">
        <w:t>pandet mot Osmo Vallo hade vunnit laga kraft den 4 oktober 1996 respektive den 3 september 1997. Handläggningen av ärendet kan i sina huvuddrag b</w:t>
      </w:r>
      <w:r w:rsidRPr="00896D4F">
        <w:t>e</w:t>
      </w:r>
      <w:r w:rsidRPr="00896D4F">
        <w:t>skrivas på fö</w:t>
      </w:r>
      <w:r w:rsidRPr="00896D4F">
        <w:t>l</w:t>
      </w:r>
      <w:r w:rsidRPr="00896D4F">
        <w:t>jande sätt.</w:t>
      </w:r>
    </w:p>
    <w:p w:rsidR="009C1C5A" w:rsidRPr="00896D4F" w:rsidRDefault="009C1C5A">
      <w:pPr>
        <w:pStyle w:val="Normaltindrag"/>
      </w:pPr>
      <w:r w:rsidRPr="00896D4F">
        <w:t>Sedan professor Jovan Rajs den 16 oktober och den 13 november 1997 till Riksåklagaren lämnat viss information för att förbättra beslutsunderlaget avseende frågorna om när och på vilket sätt skadorna på Osmo Vallo up</w:t>
      </w:r>
      <w:r w:rsidRPr="00896D4F">
        <w:t>p</w:t>
      </w:r>
      <w:r w:rsidRPr="00896D4F">
        <w:t>kommit samt om orsaken till dennes död, beslutade riksåklagaren Klas Be</w:t>
      </w:r>
      <w:r w:rsidRPr="00896D4F">
        <w:t>r</w:t>
      </w:r>
      <w:r w:rsidRPr="00896D4F">
        <w:t>genstrand den 14 november 1997 (diarienr 1997/1112) att återuppta en av överåklagaren Folke Ljung</w:t>
      </w:r>
      <w:r w:rsidRPr="00896D4F">
        <w:softHyphen/>
        <w:t>wall den 23 maj 1997 nedlagd förundersökning som hade avsett vållande till annans död och misshandel. Klas Bergenstrand uttalade vidare i beslutet att han senare skulle ta ställning till frågan huruvida förundersökning skulle inledas i fråga om påstått tjänstefel. Han uppdrog åt överåklagaren Ingemar Erviken, som var anställd hos Riksåklag</w:t>
      </w:r>
      <w:r w:rsidRPr="00896D4F">
        <w:t>aren, att genomföra den nya utre</w:t>
      </w:r>
      <w:r w:rsidRPr="00896D4F">
        <w:t>d</w:t>
      </w:r>
      <w:r w:rsidRPr="00896D4F">
        <w:t xml:space="preserve">ningen. </w:t>
      </w:r>
    </w:p>
    <w:p w:rsidR="009C1C5A" w:rsidRPr="00896D4F" w:rsidRDefault="009C1C5A">
      <w:pPr>
        <w:pStyle w:val="Normaltindrag"/>
      </w:pPr>
      <w:r w:rsidRPr="00896D4F">
        <w:t>Med anledning av Klas Bergenstrands beslut genomförde Ingemar Erviken en omfattande utredning. Under denna hölls förnyade förhör med ett antal vittnen samt några förhör med tidigare inte hörda personer. Härutöver förrä</w:t>
      </w:r>
      <w:r w:rsidRPr="00896D4F">
        <w:t>t</w:t>
      </w:r>
      <w:r w:rsidRPr="00896D4F">
        <w:t>tade Jovan Rajs och överläkaren Jan Lindberg den 19 februari 1998 en ny utvidgad rättsmedicinsk obduktion. Resultatet av denna redovisades i ett u</w:t>
      </w:r>
      <w:r w:rsidRPr="00896D4F">
        <w:t>t</w:t>
      </w:r>
      <w:r w:rsidRPr="00896D4F">
        <w:t>låtande den 14 maj 1998 som kom in till Riksåklagaren den 22 maj 1998. Vidare inkom yttranden och utlåtanden från ett antal rättsläkare och andra medicinskt sakkunniga. Också Socialstyrelsens rättsliga råd avgav ett utlåta</w:t>
      </w:r>
      <w:r w:rsidRPr="00896D4F">
        <w:t>n</w:t>
      </w:r>
      <w:r w:rsidRPr="00896D4F">
        <w:t xml:space="preserve">de. Vid sin bedömning av det föreliggande materialet fann Ingemar Erviken att varken brottet vållande till annans död eller misshandelsbrott </w:t>
      </w:r>
      <w:r w:rsidRPr="00896D4F">
        <w:t>kunde sty</w:t>
      </w:r>
      <w:r w:rsidRPr="00896D4F">
        <w:t>r</w:t>
      </w:r>
      <w:r w:rsidRPr="00896D4F">
        <w:t>kas. Sedan han den 21 april 1999 av biträdande riksåklagaren Solveig Ribe</w:t>
      </w:r>
      <w:r w:rsidRPr="00896D4F">
        <w:t>r</w:t>
      </w:r>
      <w:r w:rsidRPr="00896D4F">
        <w:t>dahl hade fått i uppdrag att besluta i ärendet, beslutade han därför den 4 maj 1999 att lägga ned förundersökningen. I beslutet lämnades en utförlig redog</w:t>
      </w:r>
      <w:r w:rsidRPr="00896D4F">
        <w:t>ö</w:t>
      </w:r>
      <w:r w:rsidRPr="00896D4F">
        <w:t>relse för vad som hade kommit fram vid utredningen och för skälen för åtgä</w:t>
      </w:r>
      <w:r w:rsidRPr="00896D4F">
        <w:t>r</w:t>
      </w:r>
      <w:r w:rsidRPr="00896D4F">
        <w:t>den att lägga ned förundersöknin</w:t>
      </w:r>
      <w:r w:rsidRPr="00896D4F">
        <w:t>g</w:t>
      </w:r>
      <w:r w:rsidRPr="00896D4F">
        <w:t>en.</w:t>
      </w:r>
    </w:p>
    <w:p w:rsidR="009C1C5A" w:rsidRPr="00896D4F" w:rsidRDefault="009C1C5A">
      <w:pPr>
        <w:pStyle w:val="Normaltindrag"/>
      </w:pPr>
      <w:r w:rsidRPr="00896D4F">
        <w:t>Den 10 juni 1999 beslutade Klas Bergenstrand på eget initiativ att ta upp Ingemar Ervikens beslut till överprövning (diarienr 1999/0884). Av Justiti</w:t>
      </w:r>
      <w:r w:rsidRPr="00896D4F">
        <w:t>e</w:t>
      </w:r>
      <w:r w:rsidRPr="00896D4F">
        <w:t xml:space="preserve">kanslerns beslut den 21 juni 2000 i ärendet 2491-98-21 m.fl. framgår – utöver vad som upplyses i riksåklagarens beslut i ärendet – att det i samband med denna utredning lämnades ett uppdrag om viss rättsmedicinsk undersökning, vars resultat redovisades i ett utlåtande den 15 januari 2000. </w:t>
      </w:r>
    </w:p>
    <w:p w:rsidR="009C1C5A" w:rsidRPr="00896D4F" w:rsidRDefault="009C1C5A">
      <w:pPr>
        <w:pStyle w:val="Normaltindrag"/>
      </w:pPr>
      <w:r w:rsidRPr="00896D4F">
        <w:t>I sitt beslut den 30 mars 2000 i överprövningsärendet konstaterade Klas Bergenstrand att bestämmelsen i 30 kap. 9 § rättegångsbalken (RB) om brottmålsdomars rätts</w:t>
      </w:r>
      <w:r w:rsidRPr="00896D4F">
        <w:softHyphen/>
        <w:t>kraft utgjorde hinder mot att väcka ett nytt åtal mot polismännen rörande misshandel och att det sagda torde vara tillämpligt även på andra brottsliga gärningar som kunde aktualiseras vid polismännens ingr</w:t>
      </w:r>
      <w:r w:rsidRPr="00896D4F">
        <w:t>i</w:t>
      </w:r>
      <w:r w:rsidRPr="00896D4F">
        <w:t>pande mot Osmo Vallo, t.ex. annan otillåten våldsutövning som skulle kunna utgöra vållande till annans död eller underlåtenhet att vidta tillräckliga åte</w:t>
      </w:r>
      <w:r w:rsidRPr="00896D4F">
        <w:t>r</w:t>
      </w:r>
      <w:r w:rsidRPr="00896D4F">
        <w:t>upplivningsåtgärder. I beslutet uttalades vidare att det inte fanns några föru</w:t>
      </w:r>
      <w:r w:rsidRPr="00896D4F">
        <w:t>t</w:t>
      </w:r>
      <w:r w:rsidRPr="00896D4F">
        <w:t>sättningar för resning. Klas Bergenstrand beslutade därför att inte åter</w:t>
      </w:r>
      <w:r w:rsidRPr="00896D4F">
        <w:t>uppta den av Ingemar Erviken nedlagda förundersökningen. Frågorna om de tidig</w:t>
      </w:r>
      <w:r w:rsidRPr="00896D4F">
        <w:t>a</w:t>
      </w:r>
      <w:r w:rsidRPr="00896D4F">
        <w:t>re domarnas rättskraft och om resning hade dessförinnan inte berörts i något av de beslut som hade fattats under handläggningen hos Riksåkl</w:t>
      </w:r>
      <w:r w:rsidRPr="00896D4F">
        <w:t>a</w:t>
      </w:r>
      <w:r w:rsidRPr="00896D4F">
        <w:t>garen.</w:t>
      </w:r>
    </w:p>
    <w:p w:rsidR="009C1C5A" w:rsidRPr="00896D4F" w:rsidRDefault="009C1C5A">
      <w:pPr>
        <w:pStyle w:val="Normaltindrag"/>
      </w:pPr>
      <w:r w:rsidRPr="00896D4F">
        <w:t>Det kan vidare nämnas att av Osmo Vallos mor gjorda resningsansöknin</w:t>
      </w:r>
      <w:r w:rsidRPr="00896D4F">
        <w:t>g</w:t>
      </w:r>
      <w:r w:rsidRPr="00896D4F">
        <w:t>ar avseende domarna mot de två polismännen avslogs av Högsta domstolen den 12 mars 2001 (Ö 73-01) och av Hovrätten för Västra Sverige den 29 maj 2001 (Ö 1058-01). Till stöd för ansökningarna hade åberopats en grans</w:t>
      </w:r>
      <w:r w:rsidRPr="00896D4F">
        <w:t>k</w:t>
      </w:r>
      <w:r w:rsidRPr="00896D4F">
        <w:t>ningsrapport den 11 januari 2000 av medicine doktorn Gunilla Bring, som hade förekommit också i Riksåklagarens överprövning</w:t>
      </w:r>
      <w:r w:rsidRPr="00896D4F">
        <w:t>s</w:t>
      </w:r>
      <w:r w:rsidRPr="00896D4F">
        <w:t>ärende.</w:t>
      </w:r>
    </w:p>
    <w:p w:rsidR="009C1C5A" w:rsidRPr="00896D4F" w:rsidRDefault="009C1C5A">
      <w:pPr>
        <w:pStyle w:val="Normaltindrag"/>
      </w:pPr>
      <w:r w:rsidRPr="00896D4F">
        <w:t>Den handläggning hos Riksåklagaren som har redovisats i det föregående ger anledning till ett antal frågor. Den viktigaste av dessa är vilken betydelse som tillmätt</w:t>
      </w:r>
      <w:r w:rsidRPr="00896D4F">
        <w:t>es de tidigare domarnas rättskraft vid övervägandena inför besl</w:t>
      </w:r>
      <w:r w:rsidRPr="00896D4F">
        <w:t>u</w:t>
      </w:r>
      <w:r w:rsidRPr="00896D4F">
        <w:t>tet den 14 november 1997 om återupptagande av förundersökningen. En a</w:t>
      </w:r>
      <w:r w:rsidRPr="00896D4F">
        <w:t>n</w:t>
      </w:r>
      <w:r w:rsidRPr="00896D4F">
        <w:t>nan fråga som behandlas i detta ärende gäller de rättsliga möjligheterna för riksåklagaren att med stöd av bestämmelserna i 7 kap. 5 § RB överpröva ett beslut som har fattats av en hos Riksåklagaren anställd befattning</w:t>
      </w:r>
      <w:r w:rsidRPr="00896D4F">
        <w:t>s</w:t>
      </w:r>
      <w:r w:rsidRPr="00896D4F">
        <w:t xml:space="preserve">havare.   </w:t>
      </w:r>
    </w:p>
    <w:p w:rsidR="009C1C5A" w:rsidRPr="00896D4F" w:rsidRDefault="009C1C5A">
      <w:pPr>
        <w:pStyle w:val="Rubrik4"/>
      </w:pPr>
      <w:r w:rsidRPr="00896D4F">
        <w:t>Återupptagandet av förundersökningen</w:t>
      </w:r>
    </w:p>
    <w:p w:rsidR="009C1C5A" w:rsidRPr="00896D4F" w:rsidRDefault="009C1C5A">
      <w:r w:rsidRPr="00896D4F">
        <w:t>Sedan tiden för överklagande av en dom har gått ut utan att det har förts talan mot domen, vinner den laga kraft eller rättskraft. Detta innebär att det i pri</w:t>
      </w:r>
      <w:r w:rsidRPr="00896D4F">
        <w:t>n</w:t>
      </w:r>
      <w:r w:rsidRPr="00896D4F">
        <w:t>cip inte längre är möjligt att få till stånd någon ändring av domen. Principen om domars orubblighet är av grundläggande betydelse för rättsordningens stabilitet. Den är en förutsättning för att myndigheter och enskilda skall kunna lägga ett domstolsavgörande till grund för sitt fortsatta handlande. Reglerna om brottmålsdomars rätts</w:t>
      </w:r>
      <w:r w:rsidRPr="00896D4F">
        <w:softHyphen/>
        <w:t>kraft har motiverats också av hänsynen till medbo</w:t>
      </w:r>
      <w:r w:rsidRPr="00896D4F">
        <w:t>r</w:t>
      </w:r>
      <w:r w:rsidRPr="00896D4F">
        <w:t xml:space="preserve">garnas personliga trygghet. Den som har fått en fråga om ansvar för en viss gärning prövad genom en lagakraftvunnen dom skall </w:t>
      </w:r>
      <w:r w:rsidRPr="00896D4F">
        <w:t xml:space="preserve">inte behöva leva under hotet av att saken när som helst kan tas upp till förnyad prövning (Ekelöf, Rättegång III, 6:e uppl., s. 154 f.). </w:t>
      </w:r>
    </w:p>
    <w:p w:rsidR="009C1C5A" w:rsidRPr="00896D4F" w:rsidRDefault="009C1C5A">
      <w:pPr>
        <w:pStyle w:val="Normaltindrag"/>
      </w:pPr>
      <w:r w:rsidRPr="00896D4F">
        <w:t>När Klas Bergenstrand den 14 november 1997 beslutade att återuppta fö</w:t>
      </w:r>
      <w:r w:rsidRPr="00896D4F">
        <w:t>r</w:t>
      </w:r>
      <w:r w:rsidRPr="00896D4F">
        <w:t>undersökningen mot de två polismännen avseende vållande till annans död och misshandel, hade som tidigare nämnts domarna avseende vållande till kroppsskada vunnit laga kraft. Förutsättningarna för en fortsatt brottsutre</w:t>
      </w:r>
      <w:r w:rsidRPr="00896D4F">
        <w:t>d</w:t>
      </w:r>
      <w:r w:rsidRPr="00896D4F">
        <w:t xml:space="preserve">ning avseende det händelseförlopp som hade behandlats i dessa domar kom därmed att bli beroende av räckvidden av domarnas rättskraft. </w:t>
      </w:r>
    </w:p>
    <w:p w:rsidR="009C1C5A" w:rsidRPr="00896D4F" w:rsidRDefault="009C1C5A">
      <w:pPr>
        <w:pStyle w:val="Normaltindrag"/>
      </w:pPr>
      <w:r w:rsidRPr="00896D4F">
        <w:t>Bestämmelsen om brottmålsdomars rättskraft återfinns i 30 kap. 9 § första stycket RB. Sedan tiden för talan mot en sådan dom har gått ut, får enligt detta l</w:t>
      </w:r>
      <w:r w:rsidRPr="00896D4F">
        <w:t xml:space="preserve">agrum frågan om ansvar för en gärning som prövats genom domen inte tas upp på nytt. Omprövning av ett lagakraftvunnet avgörande kan komma till stånd endast efter resning, återställande av försutten tid eller klagan över domvilla enligt vad som närmare föreskrivs i 58 och 59 kap. RB. </w:t>
      </w:r>
    </w:p>
    <w:p w:rsidR="009C1C5A" w:rsidRPr="00896D4F" w:rsidRDefault="009C1C5A">
      <w:pPr>
        <w:pStyle w:val="Normaltindrag"/>
      </w:pPr>
      <w:r w:rsidRPr="00896D4F">
        <w:t>Med uttrycket gärning i 30 kap. 9 § första stycket RB avses inte bara det eller de brott som uttryckligen anges i domen utan också sådana nya brott som framstår som ett annat sätt att rättsligt kvalificera det handlande från de</w:t>
      </w:r>
      <w:r w:rsidRPr="00896D4F">
        <w:t>n tilltalades sida som får anses ha omfattats av domstolens prövning. Domens rättskraft omfattar således också sådana brott. Ekelöf (a.a., s. 161 f.) nämner som exempel på detta att en dom avseende egenmäktigt förfarande utgör processhinder i fråga om ett nytt åtal avseende stöld av samma egendom. Som ytterligare ett exempel anförs att det, sedan någon har fällts till ansvar för enkel stöld, framkommer att stölden förövats genom inbrott och därför skulle rubriceras som grov. Här kan vidare nämnas rättsfalle</w:t>
      </w:r>
      <w:r w:rsidRPr="00896D4F">
        <w:t>t NJA 1987 s. 61, där en stämningsansökan avseende ansvar för grov misshandel avvisades i ett fall då den tilltalade tidigare hade dömts för misshandel på grund av annat våld mot samme målsägande under de i ansökningen i övrigt angivna förhållandena. Som skäl för sitt beslut anförde Högsta domstolen att det nya åtalet, oaktat det avsåg en betydligt svårare misshandel än som tidigare påståtts, i allt väsentligt avsåg samma händelseförlopp och därmed samma gärning som tidigare hade prövats (jfr Ekelöf a.a. s.</w:t>
      </w:r>
      <w:r w:rsidRPr="00896D4F">
        <w:t xml:space="preserve"> 166 not 279).</w:t>
      </w:r>
    </w:p>
    <w:p w:rsidR="009C1C5A" w:rsidRPr="00896D4F" w:rsidRDefault="009C1C5A">
      <w:pPr>
        <w:pStyle w:val="Normaltindrag"/>
      </w:pPr>
      <w:r w:rsidRPr="00896D4F">
        <w:t>Som tidigare nämnts är principen om lagakraftvunna domars orubblighet inte undantagslös. En omprövning av en sådan dom kan komma till stånd bl.a. efter resning. Bestämmelserna om resning finns i 58 kap. RB. Om det föreli</w:t>
      </w:r>
      <w:r w:rsidRPr="00896D4F">
        <w:t>g</w:t>
      </w:r>
      <w:r w:rsidRPr="00896D4F">
        <w:t>ger någon av de särskilda omständigheter som anges i kapitlet, kan resning beviljas i ett mål vid allmän domstol. Om resning beviljas, skall den domstol som beslutar i resningsfrågan förordna att målet åter skall tas upp vid den domstol som sist dömt i målet eller – i vissa undantagssituationer – omede</w:t>
      </w:r>
      <w:r w:rsidRPr="00896D4F">
        <w:t>l</w:t>
      </w:r>
      <w:r w:rsidRPr="00896D4F">
        <w:t>bart ändra domen (7 § första stycket). Ansökan om resning skall göras hos hovrätten om domen har meddelats av tingsrätt och annars hos Högsta do</w:t>
      </w:r>
      <w:r w:rsidRPr="00896D4F">
        <w:t>m</w:t>
      </w:r>
      <w:r w:rsidRPr="00896D4F">
        <w:t>stolen (4 § första stycket).</w:t>
      </w:r>
    </w:p>
    <w:p w:rsidR="009C1C5A" w:rsidRPr="00896D4F" w:rsidRDefault="009C1C5A">
      <w:pPr>
        <w:pStyle w:val="Normaltindrag"/>
      </w:pPr>
      <w:r w:rsidRPr="00896D4F">
        <w:t>Resning till men för en tilltalad</w:t>
      </w:r>
      <w:r w:rsidRPr="00896D4F">
        <w:t xml:space="preserve"> får beviljas bl.a. om det för brottet är för</w:t>
      </w:r>
      <w:r w:rsidRPr="00896D4F">
        <w:t>e</w:t>
      </w:r>
      <w:r w:rsidRPr="00896D4F">
        <w:t>skrivet fängelse i mer än ett år samt det åberopas någon omständighet eller bevis, som inte tidigare har förebringats, och dess förebringande sannolikt skulle ha lett till att den tilltalade dömts för brottet eller till att detta hänförts under en väsentligt strängare straffbestämmelse än den som tillämpats. En ytterligare förutsättning är att parten gör sannolikt att han inte vid den rätt som meddelat domen eller genom fullföljd från denna kunnat åberopa omstän</w:t>
      </w:r>
      <w:r w:rsidRPr="00896D4F">
        <w:t>digheten eller beviset eller han annars haft giltig ursäkt att inte göra det (3 §). Ansökan om resning i brottmål till men för den tilltalade skall göras inom ett år från det att sökanden fick kännedom om det förhållande som a</w:t>
      </w:r>
      <w:r w:rsidRPr="00896D4F">
        <w:t>n</w:t>
      </w:r>
      <w:r w:rsidRPr="00896D4F">
        <w:t>sökningen grundas på (4 § andra stycket).</w:t>
      </w:r>
    </w:p>
    <w:p w:rsidR="009C1C5A" w:rsidRPr="00896D4F" w:rsidRDefault="009C1C5A">
      <w:pPr>
        <w:pStyle w:val="Normaltindrag"/>
      </w:pPr>
      <w:r w:rsidRPr="00896D4F">
        <w:t>Bestämmelserna om resning i brottmål grundas på uppfattningen att en tilltalad skall behöva bli underkastad ny rättegång om en avgjord sak endast då starka samhälleliga skäl gör sig gällande (se NJA II 1940 s. 159). Av detta skäl har strängare</w:t>
      </w:r>
      <w:r w:rsidRPr="00896D4F">
        <w:t xml:space="preserve"> förutsättningar ställts upp för resning till den tilltalades nackdel än för resning till den tilltalades fördel. Högsta domstolen har i det tidigare nämnda beslutet med anledning av Osmo Vallos mors resningsans</w:t>
      </w:r>
      <w:r w:rsidRPr="00896D4F">
        <w:t>ö</w:t>
      </w:r>
      <w:r w:rsidRPr="00896D4F">
        <w:t>kan framhållit att detta restriktiva synsätt bör återspeglas när bestämmelserna tillämpas. Högsta domstolen har i ett annat sammanhang uttalat att det torde förhålla sig så att det krävs ett mera avgörande nytt material för en ny rätt</w:t>
      </w:r>
      <w:r w:rsidRPr="00896D4F">
        <w:t>e</w:t>
      </w:r>
      <w:r w:rsidRPr="00896D4F">
        <w:t>gång mot den som har frikänts än för att ge möjlighet att i efter</w:t>
      </w:r>
      <w:r w:rsidRPr="00896D4F">
        <w:t>hand fria n</w:t>
      </w:r>
      <w:r w:rsidRPr="00896D4F">
        <w:t>å</w:t>
      </w:r>
      <w:r w:rsidRPr="00896D4F">
        <w:t>gon från en fälla</w:t>
      </w:r>
      <w:r w:rsidRPr="00896D4F">
        <w:t>n</w:t>
      </w:r>
      <w:r w:rsidRPr="00896D4F">
        <w:t>de dom (NJA 1998 s. 321).</w:t>
      </w:r>
    </w:p>
    <w:p w:rsidR="009C1C5A" w:rsidRPr="00896D4F" w:rsidRDefault="009C1C5A">
      <w:pPr>
        <w:pStyle w:val="Normaltindrag"/>
      </w:pPr>
      <w:r w:rsidRPr="00896D4F">
        <w:t>Av principen att en domstols lagakraftvunna avgörande är orubbligt följer att den förundersökning som har föregått lagföringen är definitivt avslutad. De regler som finns i rättegångsbalken om komplettering av förundersö</w:t>
      </w:r>
      <w:r w:rsidRPr="00896D4F">
        <w:t>k</w:t>
      </w:r>
      <w:r w:rsidRPr="00896D4F">
        <w:t>ningen efter åtals väckande eller efter föreläggande av rätten i ett pågående mål är inte tillämpliga i en sådan situation, och några motsvarande regler finns inte i 58 kap. RB.</w:t>
      </w:r>
    </w:p>
    <w:p w:rsidR="009C1C5A" w:rsidRPr="00896D4F" w:rsidRDefault="009C1C5A">
      <w:pPr>
        <w:pStyle w:val="Normaltindrag"/>
      </w:pPr>
      <w:r w:rsidRPr="00896D4F">
        <w:t>Det nu sagda innebär inte att en lagakraftvunnen dom utgör ett absolut hinder mot att åklagaren beslutar att återuppta en förundersökning. Som jag tidigare har framhållit (JO 2000/2001 s. 69, särskilt s. 74) måste det emelle</w:t>
      </w:r>
      <w:r w:rsidRPr="00896D4F">
        <w:t>r</w:t>
      </w:r>
      <w:r w:rsidRPr="00896D4F">
        <w:t>tid krävas mycket starka skäl för att man skall vidta utredningsåtgärder som syftar till att angripa en lagakraftägande dom. Några regler som tar sikte på denna situation finns som nyss nämnts inte. Av rättssäkerhetsskäl måste emellertid utredningsåtgärder av nu nämnt slag i princip vidtas inom ramen för en återupptagen förundersökning.  I de undantagsfall där det kan anses befogat att vidta utredningsåtgärder i syfte att angripa en lagakraftvunnen brottmålsdom gäller, på samma sätt som i fråga om andra fö</w:t>
      </w:r>
      <w:r w:rsidRPr="00896D4F">
        <w:t>rundersökningar, dels att en förundersökning bör bedrivas på sådant sätt att ingen onödigt u</w:t>
      </w:r>
      <w:r w:rsidRPr="00896D4F">
        <w:t>t</w:t>
      </w:r>
      <w:r w:rsidRPr="00896D4F">
        <w:t>sätts för misstanke eller får vidkännas kostnad eller olägenhet, dels att en förundersökning skall bedrivas så skyndsamt som omständigheterna medger och att den skall läggas ned om det inte längre finns anledning att fullfölja den (23 kap. 4 § andra stycket RB).</w:t>
      </w:r>
    </w:p>
    <w:p w:rsidR="009C1C5A" w:rsidRPr="00896D4F" w:rsidRDefault="009C1C5A">
      <w:pPr>
        <w:pStyle w:val="Normaltindrag"/>
      </w:pPr>
      <w:r w:rsidRPr="00896D4F">
        <w:t>Det är således av avgörande betydelse såväl för frågan om förundersö</w:t>
      </w:r>
      <w:r w:rsidRPr="00896D4F">
        <w:t>k</w:t>
      </w:r>
      <w:r w:rsidRPr="00896D4F">
        <w:t>ning över huvud taget skall inledas som för frågan hur förundersökningen i förekommande fall skall inriktas, om de nya brott som är aktuella omfattas av en lagakraftvunnen doms rättskraft eller ej. Den praktiska innebörden av de regler som här har redovisats kan beskrivas på följande sätt.</w:t>
      </w:r>
    </w:p>
    <w:p w:rsidR="009C1C5A" w:rsidRPr="00896D4F" w:rsidRDefault="009C1C5A">
      <w:pPr>
        <w:pStyle w:val="Normaltindrag"/>
      </w:pPr>
      <w:r w:rsidRPr="00896D4F">
        <w:t>Om en åklagare överväger att aktualisera frågan om ansvar för ett brott som visserligen inte uttryckligen avses med en lagakraftvunnen dom men som på något sätt har anknytning till det händelseförlopp som avses med denna</w:t>
      </w:r>
      <w:r w:rsidRPr="00896D4F">
        <w:t>, har han att först och främst ta ställning till om också detta brott omfattas av domens rättskraft. Om han kommer fram till att så inte är fallet, skall han i enlighet med vad som allmänt gäller inleda förundersökning avseende brottet (23 kap. 1 § första stycket RB).</w:t>
      </w:r>
    </w:p>
    <w:p w:rsidR="009C1C5A" w:rsidRPr="00896D4F" w:rsidRDefault="009C1C5A">
      <w:pPr>
        <w:pStyle w:val="Normaltindrag"/>
      </w:pPr>
      <w:r w:rsidRPr="00896D4F">
        <w:t>Om han däremot gör den bedömningen att det nya brottet omfattas av d</w:t>
      </w:r>
      <w:r w:rsidRPr="00896D4F">
        <w:t>o</w:t>
      </w:r>
      <w:r w:rsidRPr="00896D4F">
        <w:t>mens rättskraft, är hans möjligheter att gå vidare i saken synnerligen begrä</w:t>
      </w:r>
      <w:r w:rsidRPr="00896D4F">
        <w:t>n</w:t>
      </w:r>
      <w:r w:rsidRPr="00896D4F">
        <w:t>sade. För att han skall kunna väcka talan för det nya brottet måste resning beviljas. För detta krävs, som nyss har nämnts, först och främst att det för brottet är föreskrivet fängelse i mer än ett år. Åklagaren måste vidare kunna åberopa en ny omständighet eller ny bevisning som, om den hade förebringats i den tidigare rättegången, sannolikt skulle ha lett till att den tilltalade hade dömts för brottet eller att detta hade hänför</w:t>
      </w:r>
      <w:r w:rsidRPr="00896D4F">
        <w:t>ts under en väsentligt strängare straffbestämmelse än den som tillämpats. Detta är emellertid inte tillräckligt. Åklagaren måste också kunna göra sannolikt att han inte kunnat åberopa omständigheten eller beviset vid den rätt som meddelat domen eller genom fullföljd mot den eller att han annars haft giltig ursäkt för sin underlåtenhet. Han får inte heller ha känt till det förhållande som resningsansökningen gru</w:t>
      </w:r>
      <w:r w:rsidRPr="00896D4F">
        <w:t>n</w:t>
      </w:r>
      <w:r w:rsidRPr="00896D4F">
        <w:t>das på mer än ett år.</w:t>
      </w:r>
    </w:p>
    <w:p w:rsidR="009C1C5A" w:rsidRPr="00896D4F" w:rsidRDefault="009C1C5A">
      <w:pPr>
        <w:pStyle w:val="Normaltindrag"/>
      </w:pPr>
      <w:r w:rsidRPr="00896D4F">
        <w:t>Av principen om domars orubblighet följer att åklagaren har befogad a</w:t>
      </w:r>
      <w:r w:rsidRPr="00896D4F">
        <w:t>n</w:t>
      </w:r>
      <w:r w:rsidRPr="00896D4F">
        <w:t>ledning att vidta utredningsåtgärder i syfte att angripa en lagakraftvunnen dom endast om han har fått kännedom om tidigare inte kända förhållanden som har sådan tyngd att det – trots den stora restriktivitet som gäller i fråga om beviljande av resning till men för den tilltalade – finns skäl att aktualisera resningsfrågan. Det är således inte förenligt med denna princip att inleda en utredning avseende ett brott som omfattas av en tidigare doms rättskraft för att undersöka om det går att finna några nya o</w:t>
      </w:r>
      <w:r w:rsidRPr="00896D4F">
        <w:t>mständigheter eller bevis som skulle kunna läggas till grund för en resningsans</w:t>
      </w:r>
      <w:r w:rsidRPr="00896D4F">
        <w:t>ö</w:t>
      </w:r>
      <w:r w:rsidRPr="00896D4F">
        <w:t>kan.</w:t>
      </w:r>
    </w:p>
    <w:p w:rsidR="009C1C5A" w:rsidRPr="00896D4F" w:rsidRDefault="009C1C5A">
      <w:pPr>
        <w:pStyle w:val="Normaltindrag"/>
      </w:pPr>
      <w:r w:rsidRPr="00896D4F">
        <w:t>En annan sak är att polis och åklagare självfallet har full frihet att, efter en dom genom vilken den tilltalade helt frikänts, återuppta förundersökningen i syfte att förutsättningslöst fortsätta sökandet efter gärningsmannen. Det kan inte uteslutas att det vid en sådan utredning framkommer nya omständigheter som är till nackdel för den person som redan fått sin sak prövad genom den lagakraftägande domen. Dessa omständighe</w:t>
      </w:r>
      <w:r w:rsidRPr="00896D4F">
        <w:t>ter måste då bedömas med u</w:t>
      </w:r>
      <w:r w:rsidRPr="00896D4F">
        <w:t>t</w:t>
      </w:r>
      <w:r w:rsidRPr="00896D4F">
        <w:t>gångspunkt i reglerna om resning till men för den tilltalade (jfr NJA 1998 s. 321).</w:t>
      </w:r>
    </w:p>
    <w:p w:rsidR="009C1C5A" w:rsidRPr="00896D4F" w:rsidRDefault="009C1C5A">
      <w:pPr>
        <w:pStyle w:val="Normaltindrag"/>
      </w:pPr>
      <w:r w:rsidRPr="00896D4F">
        <w:t>Av utredningen framgår att Klas Bergenstrand gjorde överväganden i rättskrafts- och resningsfrågorna av det slag som nu har nämnts först i beslutet den 30 mars 2000. En förundersökning avseende det händelseförlopp som avsågs med de lagakraftvunna domarna hade då bedrivits under ett och ett halvt års tid, och därefter hade ansvarsfrågan till följd av Klas Bergenstrands beslut att ta upp Ingemar Ervi</w:t>
      </w:r>
      <w:r w:rsidRPr="00896D4F">
        <w:t>kens beslut till överprövning hållits öppen i ytterligare tio månader.</w:t>
      </w:r>
    </w:p>
    <w:p w:rsidR="009C1C5A" w:rsidRPr="00896D4F" w:rsidRDefault="009C1C5A">
      <w:pPr>
        <w:pStyle w:val="Normaltindrag"/>
      </w:pPr>
      <w:r w:rsidRPr="00896D4F">
        <w:t>I sitt beslut den 30 mars 2000 kom Klas Bergenstrand, som tidigare nämnts, fram till slutsatsen att bestämmelsen i 30 kap. 9 § första stycket RB om brottmålsdomars rättskraft utgjorde hinder mot att väcka ett nytt åtal mot polismännen rörande misshandel och att detsamma torde gälla även andra brottsliga gärningar som kunde aktualiseras vid polismännens ingripande mot Osmo Vallo, t.ex. annan otillåten våldsutövning som skulle kunna utgöra</w:t>
      </w:r>
      <w:r w:rsidRPr="00896D4F">
        <w:t xml:space="preserve"> vållande till annans död eller underlåtenhet att vidta tillräckliga återuppli</w:t>
      </w:r>
      <w:r w:rsidRPr="00896D4F">
        <w:t>v</w:t>
      </w:r>
      <w:r w:rsidRPr="00896D4F">
        <w:t>ningsåtgärder.</w:t>
      </w:r>
    </w:p>
    <w:p w:rsidR="009C1C5A" w:rsidRPr="00896D4F" w:rsidRDefault="009C1C5A">
      <w:pPr>
        <w:pStyle w:val="Normaltindrag"/>
      </w:pPr>
      <w:r w:rsidRPr="00896D4F">
        <w:t>Jag har inte någon annan uppfattning än Klas Bergenstrand i fråga om räckvidden av bestämmelsen i 30 kap. 9 § första stycket RB i det här aktuella fallet. Det kan tilläggas att Högsta domstolen i sitt beslut med anledning av att Osmo Vallos mors ansökan om resning beträffande hovrättens dom ansåg att vad som hade åberopats i ansökningen om att Osmo Vallo vid omhändert</w:t>
      </w:r>
      <w:r w:rsidRPr="00896D4F">
        <w:t>a</w:t>
      </w:r>
      <w:r w:rsidRPr="00896D4F">
        <w:t>gandet blivit föremål för ett våld som orsakat hans död omfattades av domens rättskraft. Hovrätten för Västra Sverige anslöt sig sedan till Högsta domst</w:t>
      </w:r>
      <w:r w:rsidRPr="00896D4F">
        <w:t>o</w:t>
      </w:r>
      <w:r w:rsidRPr="00896D4F">
        <w:t>lens överväganden i sitt beslut i frågan om resning beträffande tingsrättens dom.</w:t>
      </w:r>
    </w:p>
    <w:p w:rsidR="009C1C5A" w:rsidRPr="00896D4F" w:rsidRDefault="009C1C5A">
      <w:pPr>
        <w:pStyle w:val="Normaltindrag"/>
      </w:pPr>
      <w:r w:rsidRPr="00896D4F">
        <w:t>Som ett skäl till att han inte redan i samband med sina överväganden inför beslutet den 14 november 1997 bedömde att rättskraftsreglerna gjorde det omöjligt att få en ny rättslig prövning till stånd, har Klas Bergenstrand i sitt yttrande till JO anfört att rättskraftsfrågan o</w:t>
      </w:r>
      <w:r w:rsidRPr="00896D4F">
        <w:t>fta är svår att avgöra bl.a. av det skälet att lagtexten ger en mycket begränsad vägledning för bedömningen av identiteten mellan den tidigare prövade gärningen och den nya. Han har vid</w:t>
      </w:r>
      <w:r w:rsidRPr="00896D4F">
        <w:t>a</w:t>
      </w:r>
      <w:r w:rsidRPr="00896D4F">
        <w:t>re anfört att rättsutvecklingen gått i riktning mot en ökad omfattning av rätt</w:t>
      </w:r>
      <w:r w:rsidRPr="00896D4F">
        <w:t>s</w:t>
      </w:r>
      <w:r w:rsidRPr="00896D4F">
        <w:t>kraften och att denna i allt större utsträckning ansetts vara ett hinder för att väcka nytt åtal samt att rättskrafts</w:t>
      </w:r>
      <w:r w:rsidRPr="00896D4F">
        <w:softHyphen/>
        <w:t>proble</w:t>
      </w:r>
      <w:r w:rsidRPr="00896D4F">
        <w:softHyphen/>
        <w:t>matiken är en mycket omdiskuterad fråga inom straffproces</w:t>
      </w:r>
      <w:r w:rsidRPr="00896D4F">
        <w:t>s</w:t>
      </w:r>
      <w:r w:rsidRPr="00896D4F">
        <w:t>rätten.</w:t>
      </w:r>
    </w:p>
    <w:p w:rsidR="009C1C5A" w:rsidRPr="00896D4F" w:rsidRDefault="009C1C5A">
      <w:pPr>
        <w:pStyle w:val="Normaltindrag"/>
      </w:pPr>
      <w:r w:rsidRPr="00896D4F">
        <w:t>Det är i och för sig riktigt att lagtexten ensam inte ge</w:t>
      </w:r>
      <w:r w:rsidRPr="00896D4F">
        <w:t>r någon ledning vid bedömningen av om en viss gärning är att anse som identisk med en annan i den bemärkelse som åsyftas i 30 kap. 9 § första stycket RB. Av det förhålla</w:t>
      </w:r>
      <w:r w:rsidRPr="00896D4F">
        <w:t>n</w:t>
      </w:r>
      <w:r w:rsidRPr="00896D4F">
        <w:t>det att rätts</w:t>
      </w:r>
      <w:r w:rsidRPr="00896D4F">
        <w:softHyphen/>
        <w:t>kraftsfrågorna ägnats stor uppmärksamhet inom straffprocess</w:t>
      </w:r>
      <w:r w:rsidRPr="00896D4F">
        <w:softHyphen/>
        <w:t>rätten följer emellertid att den som vill söka ledning på området har tillgång såväl till en förhållandevis omfattande rättsvetenskaplig litteratur som till ett antal rättsfall. Det kan nämnas att det i detta material inte finns något som ger stöd för ett påstående at</w:t>
      </w:r>
      <w:r w:rsidRPr="00896D4F">
        <w:t>t rättsläget i fråga om omfattningen av en brottmålsdoms rättskraft skulle ha varit ett annat i november 1997 än vad det var i mars 2000. Jag kan i detta hänseende hänvisa till det tidigare nämnda rättsfallet NJA 1987 s. 61, som i Klas Bergenstrands beslut den 30 mars 2000 åberopas till stöd för det där förda resonemanget i rät</w:t>
      </w:r>
      <w:r w:rsidRPr="00896D4F">
        <w:t>t</w:t>
      </w:r>
      <w:r w:rsidRPr="00896D4F">
        <w:t>s</w:t>
      </w:r>
      <w:r w:rsidRPr="00896D4F">
        <w:softHyphen/>
        <w:t>kraftsfrågan.</w:t>
      </w:r>
    </w:p>
    <w:p w:rsidR="009C1C5A" w:rsidRPr="00896D4F" w:rsidRDefault="009C1C5A">
      <w:pPr>
        <w:pStyle w:val="Normaltindrag"/>
      </w:pPr>
      <w:r w:rsidRPr="00896D4F">
        <w:t>I yttrandet hävdas vidare att underlaget vid tiden för beslutet den 14 n</w:t>
      </w:r>
      <w:r w:rsidRPr="00896D4F">
        <w:t>o</w:t>
      </w:r>
      <w:r w:rsidRPr="00896D4F">
        <w:t>vember 1997 var sådant att det fanns anledning att anta att en utredning kunde leda fram till att en brottslig handling som inte omfattades av den tidigare domens rätts</w:t>
      </w:r>
      <w:r w:rsidRPr="00896D4F">
        <w:softHyphen/>
        <w:t>kraft kunde styrkas. Det framgår emellertid inte vilka brottsliga handlingar som åsyftas med detta uttalande. Jag kan för egen del endast ko</w:t>
      </w:r>
      <w:r w:rsidRPr="00896D4F">
        <w:t>n</w:t>
      </w:r>
      <w:r w:rsidRPr="00896D4F">
        <w:t>statera att den återupptagna förundersökningen inte avsåg några andra brott än misshandel och vållande till annans död, dvs. brott som enligt den uppfattning som kom till uttryck i beslutet den 30 mars</w:t>
      </w:r>
      <w:r w:rsidRPr="00896D4F">
        <w:t xml:space="preserve"> 2000 omfattades av domarnas rätts</w:t>
      </w:r>
      <w:r w:rsidRPr="00896D4F">
        <w:softHyphen/>
        <w:t>kraft. Vad som sägs i yttrandet om att Klas Bergenstrand också hade att beakta möjligheten av ett nytt åtal rörande uppsåtligt dödande genom våld avspeglas således inte på något sätt i hans beslut att återuppta förundersö</w:t>
      </w:r>
      <w:r w:rsidRPr="00896D4F">
        <w:t>k</w:t>
      </w:r>
      <w:r w:rsidRPr="00896D4F">
        <w:t>ningen och saknar dessutom stöd i den utredning som förelåg vid tiden för beslutet den 14 november 1997.</w:t>
      </w:r>
    </w:p>
    <w:p w:rsidR="009C1C5A" w:rsidRPr="00896D4F" w:rsidRDefault="009C1C5A">
      <w:pPr>
        <w:pStyle w:val="Normaltindrag"/>
      </w:pPr>
      <w:r w:rsidRPr="00896D4F">
        <w:t>I Klas Bergenstrands yttrande sägs också att ett slutligt ställningstagande i en rätts</w:t>
      </w:r>
      <w:r w:rsidRPr="00896D4F">
        <w:softHyphen/>
        <w:t>kraftsfråga kan göras först när det samlade utredningsresultatet för</w:t>
      </w:r>
      <w:r w:rsidRPr="00896D4F">
        <w:t>e</w:t>
      </w:r>
      <w:r w:rsidRPr="00896D4F">
        <w:t xml:space="preserve">ligger. Bedömningen av räckvidden av en doms rättskraft i ett visst fall görs emellertid genom en jämförelse mellan domens innehåll och det eller de nya brott som är aktuella, i detta fall misshandel, vållande till annans död och eventuellt också tjänstefel. Någon omfattande utredning av sakförhållandena krävs självfallet inte för att man skall kunna utföra en intellektuell operation av detta slag. Jag kan i sammanhanget hänvisa till det </w:t>
      </w:r>
      <w:r w:rsidRPr="00896D4F">
        <w:t>beslut av Högsta do</w:t>
      </w:r>
      <w:r w:rsidRPr="00896D4F">
        <w:t>m</w:t>
      </w:r>
      <w:r w:rsidRPr="00896D4F">
        <w:t>stolen med anledning av Osmo Vallos mors resningsansökan som har nämnts i det föregående. Som jag tidigare har framhållit skall åklagaren inte föra</w:t>
      </w:r>
      <w:r w:rsidRPr="00896D4F">
        <w:t>n</w:t>
      </w:r>
      <w:r w:rsidRPr="00896D4F">
        <w:t>stalta om några egentliga brottsutredningsåtgärder förrän han har tagit stäl</w:t>
      </w:r>
      <w:r w:rsidRPr="00896D4F">
        <w:t>l</w:t>
      </w:r>
      <w:r w:rsidRPr="00896D4F">
        <w:t>ning i rättskraftsfrågan. Det står således inte i överensstämmelse med gälla</w:t>
      </w:r>
      <w:r w:rsidRPr="00896D4F">
        <w:t>n</w:t>
      </w:r>
      <w:r w:rsidRPr="00896D4F">
        <w:t>de rätt att vidta åtgärder i brottsutredningssyfte i en situation där man vid en omsorgsfullt gjord bedömning redan från början kan konstatera att utrednin</w:t>
      </w:r>
      <w:r w:rsidRPr="00896D4F">
        <w:t>g</w:t>
      </w:r>
      <w:r w:rsidRPr="00896D4F">
        <w:t>en inte kan förväntas leda till de</w:t>
      </w:r>
      <w:r w:rsidRPr="00896D4F">
        <w:t>t åsyftade resu</w:t>
      </w:r>
      <w:r w:rsidRPr="00896D4F">
        <w:t>l</w:t>
      </w:r>
      <w:r w:rsidRPr="00896D4F">
        <w:t>tatet.</w:t>
      </w:r>
    </w:p>
    <w:p w:rsidR="009C1C5A" w:rsidRPr="00896D4F" w:rsidRDefault="009C1C5A">
      <w:pPr>
        <w:pStyle w:val="Normaltindrag"/>
      </w:pPr>
      <w:r w:rsidRPr="00896D4F">
        <w:t>Av det sagda följer att Klas Bergenstrand redan i samband med sina öve</w:t>
      </w:r>
      <w:r w:rsidRPr="00896D4F">
        <w:t>r</w:t>
      </w:r>
      <w:r w:rsidRPr="00896D4F">
        <w:t>väganden hösten 1997 i överprövningsfrågan borde ha tagit ställning till o</w:t>
      </w:r>
      <w:r w:rsidRPr="00896D4F">
        <w:t>m</w:t>
      </w:r>
      <w:r w:rsidRPr="00896D4F">
        <w:t>fattningen av de lagakraftvunna domarnas rättskraft. Som jag tidigare har nämnt har jag inte någon anledning att ifrågasätta riktigheten av den bedö</w:t>
      </w:r>
      <w:r w:rsidRPr="00896D4F">
        <w:t>m</w:t>
      </w:r>
      <w:r w:rsidRPr="00896D4F">
        <w:t>ning i detta hänseende som sedan gjordes i beslutet den 30 mars 2000, näml</w:t>
      </w:r>
      <w:r w:rsidRPr="00896D4F">
        <w:t>i</w:t>
      </w:r>
      <w:r w:rsidRPr="00896D4F">
        <w:t>gen att de nya brotten – misshandel, vållande till annans död och tjänstefel – omfattades av domarnas rättskraft. Denna bedömning borde emellertid, som nyss sagts, ha gjorts drygt två år och fyra månader tidigare</w:t>
      </w:r>
      <w:r w:rsidRPr="00896D4F">
        <w:t>. De fortsatta öve</w:t>
      </w:r>
      <w:r w:rsidRPr="00896D4F">
        <w:t>r</w:t>
      </w:r>
      <w:r w:rsidRPr="00896D4F">
        <w:t>vägandena i överprövningsfrågan skulle sedan ha inriktats uteslutande på att utröna om det fanns tillräckligt starka skäl att inleda en utredning med inrik</w:t>
      </w:r>
      <w:r w:rsidRPr="00896D4F">
        <w:t>t</w:t>
      </w:r>
      <w:r w:rsidRPr="00896D4F">
        <w:t>ning på en framstäl</w:t>
      </w:r>
      <w:r w:rsidRPr="00896D4F">
        <w:t>l</w:t>
      </w:r>
      <w:r w:rsidRPr="00896D4F">
        <w:t>ning om resning.</w:t>
      </w:r>
    </w:p>
    <w:p w:rsidR="009C1C5A" w:rsidRPr="00896D4F" w:rsidRDefault="009C1C5A">
      <w:pPr>
        <w:pStyle w:val="Normaltindrag"/>
      </w:pPr>
      <w:r w:rsidRPr="00896D4F">
        <w:t>Det ankommer inte på mig att fastslå vad som skulle ha blivit resultatet av sådana överväganden. Det finns emellertid anledning att notera vad som u</w:t>
      </w:r>
      <w:r w:rsidRPr="00896D4F">
        <w:t>t</w:t>
      </w:r>
      <w:r w:rsidRPr="00896D4F">
        <w:t>talas i beslutet den 30 mars 2000 om att det fanns ett betydande utrymme för tvekan i vilken utsträckning det hade kommit fram nya omständigheter eller ny bevisning i den mening som avses i 58 kap. 3 § RB. I beslutet pekas i detta sammanhang på att det redan vid den första obduktionen och genom annan utredning gjordes iakttagelser som kunde tyda på att Osmo Vallo utsatts för misshandel som kunde vara att bedöma som grov samt att några nya avgöra</w:t>
      </w:r>
      <w:r w:rsidRPr="00896D4F">
        <w:t>n</w:t>
      </w:r>
      <w:r w:rsidRPr="00896D4F">
        <w:t>de vittnesuppgifter inte hade tillkommit. Det sägs vidare att</w:t>
      </w:r>
      <w:r w:rsidRPr="00896D4F">
        <w:t xml:space="preserve"> senare tillkomna rättsmedicinska utlåtanden, inklusive Jovan Rajs och Jan Lindbergs slutsatser, i huvudsak utgjorde delvis olika värderingar på grundval av samma material. I beslutet uttalades sedan sammanfattningsvis att det fanns övervägande skäl för bedömningen att det inte kommit fram nya bevis eller nya omständigheter i den mening som avses i 58 kap. 3 § RB.</w:t>
      </w:r>
    </w:p>
    <w:p w:rsidR="009C1C5A" w:rsidRPr="00896D4F" w:rsidRDefault="009C1C5A">
      <w:pPr>
        <w:pStyle w:val="Normaltindrag"/>
      </w:pPr>
      <w:r w:rsidRPr="00896D4F">
        <w:t>Jag har inte anledning att ifrågasätta de här redovisade bedömningarna i resningsfrågan. Det kan i sammanhanget nämnas att ett resonemang av i h</w:t>
      </w:r>
      <w:r w:rsidRPr="00896D4F">
        <w:t>u</w:t>
      </w:r>
      <w:r w:rsidRPr="00896D4F">
        <w:t>vudsak samma slag återfinns i Högsta domstolens beslut med anledning av Osmo Vallos mors resningsansökan. Utredningen ger närmast vid handen att det redan på hösten 1997 förelåg förutsättningar att föra ett liknande reson</w:t>
      </w:r>
      <w:r w:rsidRPr="00896D4F">
        <w:t>e</w:t>
      </w:r>
      <w:r w:rsidRPr="00896D4F">
        <w:t>mang. Jag vill här erinra om vad som har sagts i det föregående om den mycket restriktiva hållning som svensk straffprocessrätt intar i fråga om mö</w:t>
      </w:r>
      <w:r w:rsidRPr="00896D4F">
        <w:t>j</w:t>
      </w:r>
      <w:r w:rsidRPr="00896D4F">
        <w:t>ligheterna till resning till men för den tilltalade. Det skulle enligt min mening knappast från strikt rättsliga utgångs</w:t>
      </w:r>
      <w:r w:rsidRPr="00896D4F">
        <w:softHyphen/>
        <w:t>punkter ha kunnat ri</w:t>
      </w:r>
      <w:r w:rsidRPr="00896D4F">
        <w:t>ktas någon befogad kritik mot ett ställningstagande av inne</w:t>
      </w:r>
      <w:r w:rsidRPr="00896D4F">
        <w:softHyphen/>
        <w:t>börd att de lagakraftvunna domarna utgjorde hinder mot att återuppta förundersökningen med anledning av den information som Jovan Rajs lämnade den 16 oktober och den 13 november 1997.</w:t>
      </w:r>
    </w:p>
    <w:p w:rsidR="009C1C5A" w:rsidRPr="00896D4F" w:rsidRDefault="009C1C5A">
      <w:pPr>
        <w:pStyle w:val="Normaltindrag"/>
      </w:pPr>
      <w:r w:rsidRPr="00896D4F">
        <w:t>Det torde emellertid finnas ett visst utrymme för olika meningar beträffa</w:t>
      </w:r>
      <w:r w:rsidRPr="00896D4F">
        <w:t>n</w:t>
      </w:r>
      <w:r w:rsidRPr="00896D4F">
        <w:t>de vilken betydelse man i det här diskuterade hänseendet borde ha tillmätt Jovan Rajs information. Om denna hade bedömts vara av sådan art att den kunde tänkas tjäna som grund för en resningsansökan, hade detta emellertid inte kunnat leda längre än till ett beslut att återuppta förundersökningen i det enda syftet att närmare undersöka om de förhållanden som hade angetts av Jovan Rajs utgjorde sådana nya omständigheter eller bevis som kunde medf</w:t>
      </w:r>
      <w:r w:rsidRPr="00896D4F">
        <w:t>ö</w:t>
      </w:r>
      <w:r w:rsidRPr="00896D4F">
        <w:t>ra att resning till men för de tilltalade beviljades. Som fram</w:t>
      </w:r>
      <w:r w:rsidRPr="00896D4F">
        <w:t>går av vad som har sagts i det föregående skall en förundersökning som genomförs i sådant syfte, i enlighet med vad som allmänt gäller, läggas ned så snart det inte längre finns skäl att fullfölja den. Jag vill vidare erinra om vad som sägs i Klas Be</w:t>
      </w:r>
      <w:r w:rsidRPr="00896D4F">
        <w:t>r</w:t>
      </w:r>
      <w:r w:rsidRPr="00896D4F">
        <w:t>genstrands beslut den 30 mars 2000 om att möjligheterna att åberopa Jovan Rajs och Jan Lindbergs bedömningar med anledning av obduktionen den 19 februari 1998 under alla omständigheter upphörde ett år efter det att dessa hade redovisats till Riksåklagaren, dvs.</w:t>
      </w:r>
      <w:r w:rsidRPr="00896D4F">
        <w:t xml:space="preserve"> under senare delen av maj 1999. Efter denna tidpunkt saknades således, hur man än betraktade dessa bedömningar, förutsättningar att utverka resning på grundval av den föreliggande utrednin</w:t>
      </w:r>
      <w:r w:rsidRPr="00896D4F">
        <w:t>g</w:t>
      </w:r>
      <w:r w:rsidRPr="00896D4F">
        <w:t xml:space="preserve">en. </w:t>
      </w:r>
    </w:p>
    <w:p w:rsidR="009C1C5A" w:rsidRPr="00896D4F" w:rsidRDefault="009C1C5A">
      <w:pPr>
        <w:pStyle w:val="Normaltindrag"/>
      </w:pPr>
      <w:r w:rsidRPr="00896D4F">
        <w:t>Jag kan sammanfattningsvis konstatera att det inte har framkommit några godtagbara skäl för förfarandet att efter det att de två domarna hade vunnit laga kraft – i strid med lagstiftarens syfte med reglerna om brottmålsdomars rättskraft och resning till men för en tilltalad i brottmål – genomföra en o</w:t>
      </w:r>
      <w:r w:rsidRPr="00896D4F">
        <w:t>m</w:t>
      </w:r>
      <w:r w:rsidRPr="00896D4F">
        <w:t>fattande förundersökning som varit inriktad också på annat än att få fram underlag för ett ställningstagande i resningsfrågan och att därefter under en icke obetydlig tidsperiod hålla frågan om ansvar för de dömda öppen, trots att det då borde ha stått helt klart att det inte fanns några förutsättningar för re</w:t>
      </w:r>
      <w:r w:rsidRPr="00896D4F">
        <w:t>s</w:t>
      </w:r>
      <w:r w:rsidRPr="00896D4F">
        <w:t>ning.</w:t>
      </w:r>
    </w:p>
    <w:p w:rsidR="009C1C5A" w:rsidRPr="00896D4F" w:rsidRDefault="009C1C5A">
      <w:pPr>
        <w:pStyle w:val="Rubrik4"/>
      </w:pPr>
      <w:r w:rsidRPr="00896D4F">
        <w:t>Grunden för att överpr</w:t>
      </w:r>
      <w:r w:rsidRPr="00896D4F">
        <w:t>ö</w:t>
      </w:r>
      <w:r w:rsidRPr="00896D4F">
        <w:t>va Ingemar Ervikens beslut</w:t>
      </w:r>
    </w:p>
    <w:p w:rsidR="009C1C5A" w:rsidRPr="00896D4F" w:rsidRDefault="009C1C5A">
      <w:r w:rsidRPr="00896D4F">
        <w:t>I sitt beslut den 4 maj 1999 kom Ingemar Erviken till samma resultat som Folke Ljungwall hade gjort i det överprövade beslutet, nämligen att det inte gick att styrka misshandel och vållande till annans död, och att förundersö</w:t>
      </w:r>
      <w:r w:rsidRPr="00896D4F">
        <w:t>k</w:t>
      </w:r>
      <w:r w:rsidRPr="00896D4F">
        <w:t>ningen därför skulle läggas ned. Sedan Klas Bergenstrand på eget initiativ hade beslutat att överpröva Ingemar Ervikens beslut, konstaterade han den 30 mars 2000 att det inte fanns någon grund för att återuppta den nedlagda fö</w:t>
      </w:r>
      <w:r w:rsidRPr="00896D4F">
        <w:t>r</w:t>
      </w:r>
      <w:r w:rsidRPr="00896D4F">
        <w:t>undersöknin</w:t>
      </w:r>
      <w:r w:rsidRPr="00896D4F">
        <w:t>g</w:t>
      </w:r>
      <w:r w:rsidRPr="00896D4F">
        <w:t>en.</w:t>
      </w:r>
    </w:p>
    <w:p w:rsidR="009C1C5A" w:rsidRPr="00896D4F" w:rsidRDefault="009C1C5A">
      <w:pPr>
        <w:pStyle w:val="Normaltindrag"/>
      </w:pPr>
      <w:r w:rsidRPr="00896D4F">
        <w:t>Eftersom Ingemar Erviken under den aktuella tidsperioden hade sin a</w:t>
      </w:r>
      <w:r w:rsidRPr="00896D4F">
        <w:t>n</w:t>
      </w:r>
      <w:r w:rsidRPr="00896D4F">
        <w:t>ställning hos Riksåklagaren och inte var förordnad att tjänstgöra vid någon åklagarmyndighet, uppkommer frågan om det fanns rättsligt stöd för Klas Bergenstrands åtgärd att överpröva Ingemar Ervikens nedläggningsbeslut. Ledning i denna fråga står att finna i det regelsystem som gäller för åklaga</w:t>
      </w:r>
      <w:r w:rsidRPr="00896D4F">
        <w:t>r</w:t>
      </w:r>
      <w:r w:rsidRPr="00896D4F">
        <w:t>väsendets organisation och funktionssätt. Dessa regler återfinns i 7 kap. RB, i åklagarförordningen (1996:205) och i förordningen (1989:847) med instru</w:t>
      </w:r>
      <w:r w:rsidRPr="00896D4F">
        <w:t>k</w:t>
      </w:r>
      <w:r w:rsidRPr="00896D4F">
        <w:t>tion för Riksåklagaren (RÅ-instruktionen).</w:t>
      </w:r>
    </w:p>
    <w:p w:rsidR="009C1C5A" w:rsidRPr="00896D4F" w:rsidRDefault="009C1C5A">
      <w:pPr>
        <w:pStyle w:val="Normaltindrag"/>
      </w:pPr>
      <w:r w:rsidRPr="00896D4F">
        <w:t>De i rättegångsbalk</w:t>
      </w:r>
      <w:r w:rsidRPr="00896D4F">
        <w:t>en fastlagda åklagaruppgifterna ankommer inte, på det sätt som annars är vanligt inom svensk statsförvaltning, på de myndigheter som finns inom åklagarväsendet utan på de enskilda åklagarna själva. När det i rättegångsbalken talas om riksåklagaren avses således innehavaren av b</w:t>
      </w:r>
      <w:r w:rsidRPr="00896D4F">
        <w:t>e</w:t>
      </w:r>
      <w:r w:rsidRPr="00896D4F">
        <w:t>fattningen som riksåklagare och inte Riksåklagaren som centralmyndighet i åklagarväsendet (se t.ex. prop. 2000/01:92 s. 13 f. och Fitger, Rättegångsba</w:t>
      </w:r>
      <w:r w:rsidRPr="00896D4F">
        <w:t>l</w:t>
      </w:r>
      <w:r w:rsidRPr="00896D4F">
        <w:t>ken, del 1, s. 7:3).</w:t>
      </w:r>
    </w:p>
    <w:p w:rsidR="009C1C5A" w:rsidRPr="00896D4F" w:rsidRDefault="009C1C5A">
      <w:pPr>
        <w:pStyle w:val="Normaltindrag"/>
      </w:pPr>
      <w:r w:rsidRPr="00896D4F">
        <w:t>Det s.k. överprövningsförfarandet, som inte är närmare regler</w:t>
      </w:r>
      <w:r w:rsidRPr="00896D4F">
        <w:t>at i förfat</w:t>
      </w:r>
      <w:r w:rsidRPr="00896D4F">
        <w:t>t</w:t>
      </w:r>
      <w:r w:rsidRPr="00896D4F">
        <w:t>ning, grundas på regeln i 7 kap. 5 § första stycket första meningen RB, att riksåklagaren och statsåklagare får överta uppgifter som tillkommer lägre åklagare. Denna regel gör det möjligt för en högre åklagare att när som helst överta handläggningen av ett enskilt ärende från en lägre åklagare. En öve</w:t>
      </w:r>
      <w:r w:rsidRPr="00896D4F">
        <w:t>r</w:t>
      </w:r>
      <w:r w:rsidRPr="00896D4F">
        <w:t>prövning innebär att ett beslut som har fattats av en lägre åklagare blir för</w:t>
      </w:r>
      <w:r w:rsidRPr="00896D4F">
        <w:t>e</w:t>
      </w:r>
      <w:r w:rsidRPr="00896D4F">
        <w:t>mål för en granskning i materiellt  hänseende av en högre åklagare. Alla åkl</w:t>
      </w:r>
      <w:r w:rsidRPr="00896D4F">
        <w:t>a</w:t>
      </w:r>
      <w:r w:rsidRPr="00896D4F">
        <w:t>garbeslut inom ramen för ett straff</w:t>
      </w:r>
      <w:r w:rsidRPr="00896D4F">
        <w:softHyphen/>
        <w:t>proces</w:t>
      </w:r>
      <w:r w:rsidRPr="00896D4F">
        <w:t>suellt förfarande kan bli föremål för överprövning. Som exempel kan nämnas beslut i åtalsfrågor och beslut att inte inleda eller att lägga ned en förundersökning. Också beslut i tvångsm</w:t>
      </w:r>
      <w:r w:rsidRPr="00896D4F">
        <w:t>e</w:t>
      </w:r>
      <w:r w:rsidRPr="00896D4F">
        <w:t>delsfrågor, t.ex. ett anhållningsbeslut, kan överpr</w:t>
      </w:r>
      <w:r w:rsidRPr="00896D4F">
        <w:t>ö</w:t>
      </w:r>
      <w:r w:rsidRPr="00896D4F">
        <w:t xml:space="preserve">vas. </w:t>
      </w:r>
    </w:p>
    <w:p w:rsidR="009C1C5A" w:rsidRPr="00896D4F" w:rsidRDefault="009C1C5A">
      <w:pPr>
        <w:pStyle w:val="Normaltindrag"/>
      </w:pPr>
      <w:r w:rsidRPr="00896D4F">
        <w:t>Ett övertagande av ett ärende med stöd av 7 kap. 5 § första stycket första meningen RB kan avse hela den fortsatta handläggningen eller en viss b</w:t>
      </w:r>
      <w:r w:rsidRPr="00896D4F">
        <w:t>e</w:t>
      </w:r>
      <w:r w:rsidRPr="00896D4F">
        <w:t>gränsad åklagaruppgift i ärendet. I det senare fallet återlämnas detta efter den högre åklagarens beslut – t.ex. av innebörd att en nedlagd förundersökning skall återupptas – till den lägre åklagarnivån. För en närmare redogörelse för överprövningsinstitutet kan hänvisas till Gunnel Lindberg i Förvaltningsrätt</w:t>
      </w:r>
      <w:r w:rsidRPr="00896D4F">
        <w:t>s</w:t>
      </w:r>
      <w:r w:rsidRPr="00896D4F">
        <w:t xml:space="preserve">lig tidskrift 2000 s. 49 f. (se även prop. 1984/85:100, bil. 4, s. 69 f. och prop. 2000/01:92 s. 15 f.). </w:t>
      </w:r>
    </w:p>
    <w:p w:rsidR="009C1C5A" w:rsidRPr="00896D4F" w:rsidRDefault="009C1C5A">
      <w:pPr>
        <w:pStyle w:val="Normaltindrag"/>
      </w:pPr>
      <w:r w:rsidRPr="00896D4F">
        <w:t>Regeln i 7 kap. 5 § första stycket första meningen RB avspeglar en fun</w:t>
      </w:r>
      <w:r w:rsidRPr="00896D4F">
        <w:t>k</w:t>
      </w:r>
      <w:r w:rsidRPr="00896D4F">
        <w:t>tionell indelning av åklagaruppgiften i tre beslutsnivåer. Vilka dessa nivåer är framgår av 7 kap. 1 § RB. Det anges där att allmänna åklagare är 1. riksåkl</w:t>
      </w:r>
      <w:r w:rsidRPr="00896D4F">
        <w:t>a</w:t>
      </w:r>
      <w:r w:rsidRPr="00896D4F">
        <w:t>garen, 2. statsåklagare och 3. distriktsåklagare. Riksåklagaren är enligt 7 kap. 2 § första stycket RB under regeringen högste åklagare och har i denna ege</w:t>
      </w:r>
      <w:r w:rsidRPr="00896D4F">
        <w:t>n</w:t>
      </w:r>
      <w:r w:rsidRPr="00896D4F">
        <w:t>skap ansvaret för och ledningen av åklagarväsendet i riket. Under riksåklag</w:t>
      </w:r>
      <w:r w:rsidRPr="00896D4F">
        <w:t>a</w:t>
      </w:r>
      <w:r w:rsidRPr="00896D4F">
        <w:t>ren har enligt andra stycket i samma paragraf statsåklagarna, var och en inom sitt verksamhetsområde, ansvaret för och led</w:t>
      </w:r>
      <w:r w:rsidRPr="00896D4F">
        <w:t>ningen av åklagarväsendet. Av 7 kap. 4 § RB framgår att riksåklagaren ensam är allmän åklagare i Högsta domstolen och vid hovrätt i mål om ansvar på grund av brott som i utövnin</w:t>
      </w:r>
      <w:r w:rsidRPr="00896D4F">
        <w:t>g</w:t>
      </w:r>
      <w:r w:rsidRPr="00896D4F">
        <w:t>en av tjänsten eller uppdraget har begåtts av domare i allmän underrätt och vissa andra befattningshavare. I övrigt fullgörs åklagaruppgiften vid underrätt och hovrätt av statsåklagare eller distriktsåkl</w:t>
      </w:r>
      <w:r w:rsidRPr="00896D4F">
        <w:t>a</w:t>
      </w:r>
      <w:r w:rsidRPr="00896D4F">
        <w:t xml:space="preserve">gare. </w:t>
      </w:r>
    </w:p>
    <w:p w:rsidR="009C1C5A" w:rsidRPr="00896D4F" w:rsidRDefault="009C1C5A">
      <w:pPr>
        <w:pStyle w:val="Normaltindrag"/>
      </w:pPr>
      <w:r w:rsidRPr="00896D4F">
        <w:t xml:space="preserve">Den funktionella tredelning som nu har nämnts motsvarades tidigare av en organisatorisk indelning av åklagarväsendet i tre </w:t>
      </w:r>
      <w:r w:rsidRPr="00896D4F">
        <w:t>nivåer. På den centrala nivån fanns Riksåklagaren, på den regionala nivån – med undantag för de tre största städerna – regionåklagarmyndigheterna, var och en med en överåklagare som chef, och på den lokala nivån de lokala åklagarmyndigheterna, var och en med en chefsåklagare som chef. Genom 1996 års åklagarreform sammanfö</w:t>
      </w:r>
      <w:r w:rsidRPr="00896D4F">
        <w:t>r</w:t>
      </w:r>
      <w:r w:rsidRPr="00896D4F">
        <w:t>des de två lägre nivåerna i sex åklagarmyndigheter, var och en indelad i ett antal åklagarkammare. Den funktionella indelningen i tre beslutsnivåer fö</w:t>
      </w:r>
      <w:r w:rsidRPr="00896D4F">
        <w:t>r</w:t>
      </w:r>
      <w:r w:rsidRPr="00896D4F">
        <w:t>ändrades däremot inte genom reformen.</w:t>
      </w:r>
      <w:r w:rsidRPr="00896D4F">
        <w:t xml:space="preserve"> Till kategorin statsåklagare hör i den nu gällande organisationen åklagarmyndigheternas chefer och biträdande chefer, vilka har tjänstetiteln överåklagare respektive biträdande överåklag</w:t>
      </w:r>
      <w:r w:rsidRPr="00896D4F">
        <w:t>a</w:t>
      </w:r>
      <w:r w:rsidRPr="00896D4F">
        <w:t>re. Övriga allmänna åklagare vid åklagarmyndig</w:t>
      </w:r>
      <w:r w:rsidRPr="00896D4F">
        <w:softHyphen/>
        <w:t>heterna – chefsåklagare, biträdande chefsåklagare och kammaråklagare – tillhör kategorin distrikt</w:t>
      </w:r>
      <w:r w:rsidRPr="00896D4F">
        <w:t>s</w:t>
      </w:r>
      <w:r w:rsidRPr="00896D4F">
        <w:t>åklagare. En överåklagare som är chef för en åklagarmyndighet kan således överta ett ärende från en chefsåklagare eller kammaråklagare vid myndigh</w:t>
      </w:r>
      <w:r w:rsidRPr="00896D4F">
        <w:t>e</w:t>
      </w:r>
      <w:r w:rsidRPr="00896D4F">
        <w:t>ten. En chefsåklagare kan däremo</w:t>
      </w:r>
      <w:r w:rsidRPr="00896D4F">
        <w:t>t inte överpröva ett beslut av en kamma</w:t>
      </w:r>
      <w:r w:rsidRPr="00896D4F">
        <w:t>r</w:t>
      </w:r>
      <w:r w:rsidRPr="00896D4F">
        <w:t>åklagare vid åklaga</w:t>
      </w:r>
      <w:r w:rsidRPr="00896D4F">
        <w:t>r</w:t>
      </w:r>
      <w:r w:rsidRPr="00896D4F">
        <w:t xml:space="preserve">kammaren. </w:t>
      </w:r>
    </w:p>
    <w:p w:rsidR="009C1C5A" w:rsidRPr="00896D4F" w:rsidRDefault="009C1C5A">
      <w:pPr>
        <w:pStyle w:val="Normaltindrag"/>
      </w:pPr>
      <w:r w:rsidRPr="00896D4F">
        <w:t>När en överåklagare övertar en uppgift exempelvis från en chefsåklagare eller en kammaråklagare genom att över</w:t>
      </w:r>
      <w:r w:rsidRPr="00896D4F">
        <w:softHyphen/>
        <w:t>pröva ett av denne fattat beslut, är detta således inte ett utflöde av hans ställning som åklagarmyndighetens chef utan något som följer av de befogenheter som tillkommer honom i hans ege</w:t>
      </w:r>
      <w:r w:rsidRPr="00896D4F">
        <w:t>n</w:t>
      </w:r>
      <w:r w:rsidRPr="00896D4F">
        <w:t>skap av statsåklagare. Motsvarande synsätt gäller i fråga om riksåklagaren.</w:t>
      </w:r>
    </w:p>
    <w:p w:rsidR="009C1C5A" w:rsidRPr="00896D4F" w:rsidRDefault="009C1C5A">
      <w:pPr>
        <w:pStyle w:val="Normaltindrag"/>
      </w:pPr>
      <w:r w:rsidRPr="00896D4F">
        <w:t>Indelningen av åklagaruppgiften i tre beslutsnivåer behålls också i den u</w:t>
      </w:r>
      <w:r w:rsidRPr="00896D4F">
        <w:t>t</w:t>
      </w:r>
      <w:r w:rsidRPr="00896D4F">
        <w:t>formning som 7 kap. RB får den 1 januari 2002. Visserligen försvinner då kategorierna statsåklagare och distriktsåklagare ur regelsystemet. I stället föreskrivs emellertid i det här aktuella hänseendet att överåklagare som är myndighetschefer inom åklagarväsendet och vice överåklagare till dessa över</w:t>
      </w:r>
      <w:r w:rsidRPr="00896D4F">
        <w:softHyphen/>
        <w:t>åklagare får överta uppgifter som skall utföras av lägre åklagare (7 kap. 5 §). Alltjämt gäller således att rätten att överta uppgifter från lägre åklagare inte är något som automatiskt följer av chefsuppgifte</w:t>
      </w:r>
      <w:r w:rsidRPr="00896D4F">
        <w:t>n utan att den är en särskild befogenhet som måste ha stöd i en b</w:t>
      </w:r>
      <w:r w:rsidRPr="00896D4F">
        <w:t>e</w:t>
      </w:r>
      <w:r w:rsidRPr="00896D4F">
        <w:t>stämmelse i lag.</w:t>
      </w:r>
    </w:p>
    <w:p w:rsidR="009C1C5A" w:rsidRPr="00896D4F" w:rsidRDefault="009C1C5A">
      <w:pPr>
        <w:pStyle w:val="Normaltindrag"/>
      </w:pPr>
      <w:r w:rsidRPr="00896D4F">
        <w:t>Ur åklagarförordningen och förordningen (1997:898) med instruktion för Eko</w:t>
      </w:r>
      <w:r w:rsidRPr="00896D4F">
        <w:softHyphen/>
        <w:t>brottsmyndigheten kan utläsas att alla allmänna åklagare utom riksåklag</w:t>
      </w:r>
      <w:r w:rsidRPr="00896D4F">
        <w:t>a</w:t>
      </w:r>
      <w:r w:rsidRPr="00896D4F">
        <w:t>ren är verksamma vid någon av åklagarmyndigheterna. I åklagarväsendet finns ett stort antal allmänna åklagare på stats- och distriktsåklagarnivåerna. Som framgår av 7 kap. 1 § första stycket RB finns det däremot på den högsta nivån inom åklagarväsendet endast en allmän åklagare, nämligen riksåklag</w:t>
      </w:r>
      <w:r w:rsidRPr="00896D4F">
        <w:t>a</w:t>
      </w:r>
      <w:r w:rsidRPr="00896D4F">
        <w:t xml:space="preserve">ren. </w:t>
      </w:r>
    </w:p>
    <w:p w:rsidR="009C1C5A" w:rsidRPr="00896D4F" w:rsidRDefault="009C1C5A">
      <w:pPr>
        <w:pStyle w:val="Normaltindrag"/>
      </w:pPr>
      <w:r w:rsidRPr="00896D4F">
        <w:t>Hos allmänna åklagare får enligt 7 kap. 1 § andra stycket RB finnas bitr</w:t>
      </w:r>
      <w:r w:rsidRPr="00896D4F">
        <w:t>ä</w:t>
      </w:r>
      <w:r w:rsidRPr="00896D4F">
        <w:t>dande åklagare. I 7 kap. 5 § andra stycket RB föreskrivs att biträdande åkl</w:t>
      </w:r>
      <w:r w:rsidRPr="00896D4F">
        <w:t>a</w:t>
      </w:r>
      <w:r w:rsidRPr="00896D4F">
        <w:t>gare, i den omfattning som bestäms i instruktion, får utföra uppgifter som tillkommer de åklagare hos vilka de är anställda. Väckande eller fullföljande av åtal i Högsta domstolen får emellertid inte beslutas av någon annan än riksåklag</w:t>
      </w:r>
      <w:r w:rsidRPr="00896D4F">
        <w:t>a</w:t>
      </w:r>
      <w:r w:rsidRPr="00896D4F">
        <w:t>ren.</w:t>
      </w:r>
    </w:p>
    <w:p w:rsidR="009C1C5A" w:rsidRPr="00896D4F" w:rsidRDefault="009C1C5A">
      <w:pPr>
        <w:pStyle w:val="Normaltindrag"/>
      </w:pPr>
      <w:r w:rsidRPr="00896D4F">
        <w:t>De biträdande åklagarna vid åklagarmyndigheterna är som regel åklagare under utbildning och har vanligtvis tjänstetiteln assistentåklagare (4 § andra stycket åklagarförordningen). Vid åklagarmy</w:t>
      </w:r>
      <w:r w:rsidRPr="00896D4F">
        <w:t>ndigheterna finns det ett behov av att kunna överlämna självständiga beslutsbefogenheter till biträdande åkl</w:t>
      </w:r>
      <w:r w:rsidRPr="00896D4F">
        <w:t>a</w:t>
      </w:r>
      <w:r w:rsidRPr="00896D4F">
        <w:t>gare, som därvid uppträder i eget namn på samma sätt som en allmän åklagare (18 § åklagarföror</w:t>
      </w:r>
      <w:r w:rsidRPr="00896D4F">
        <w:t>d</w:t>
      </w:r>
      <w:r w:rsidRPr="00896D4F">
        <w:t xml:space="preserve">ningen). </w:t>
      </w:r>
    </w:p>
    <w:p w:rsidR="009C1C5A" w:rsidRPr="00896D4F" w:rsidRDefault="009C1C5A">
      <w:pPr>
        <w:pStyle w:val="Normaltindrag"/>
      </w:pPr>
      <w:r w:rsidRPr="00896D4F">
        <w:t>Enligt 10 § första meningen RÅ-instruktionen får riksåklaga</w:t>
      </w:r>
      <w:r w:rsidRPr="00896D4F">
        <w:softHyphen/>
        <w:t>ren förordna biträdande åklagare hos sig. Dessa åklagare får enligt paragrafens andra me</w:t>
      </w:r>
      <w:r w:rsidRPr="00896D4F">
        <w:softHyphen/>
        <w:t>ning i den omfattning som riksåklagaren bestämmer utföra de åklagaruppgi</w:t>
      </w:r>
      <w:r w:rsidRPr="00896D4F">
        <w:t>f</w:t>
      </w:r>
      <w:r w:rsidRPr="00896D4F">
        <w:t>ter som riks</w:t>
      </w:r>
      <w:r w:rsidRPr="00896D4F">
        <w:softHyphen/>
        <w:t>åklagaren får utföra, med den i 7 kap. 5 § andra stycket angivna begränsnin</w:t>
      </w:r>
      <w:r w:rsidRPr="00896D4F">
        <w:t>g</w:t>
      </w:r>
      <w:r w:rsidRPr="00896D4F">
        <w:t xml:space="preserve">en. </w:t>
      </w:r>
    </w:p>
    <w:p w:rsidR="009C1C5A" w:rsidRPr="00896D4F" w:rsidRDefault="009C1C5A">
      <w:pPr>
        <w:pStyle w:val="Normaltindrag"/>
      </w:pPr>
      <w:r w:rsidRPr="00896D4F">
        <w:t>Av det förhållandet att riksåklagaren är ensam allmän åklagare på den högsta åklagarnivån följer först och främst att alla andra befattningshavare hos Riksåklagaren med åklagaruppgifter, oavsett tjänstetitel och organisat</w:t>
      </w:r>
      <w:r w:rsidRPr="00896D4F">
        <w:t>o</w:t>
      </w:r>
      <w:r w:rsidRPr="00896D4F">
        <w:t>risk placering, är biträdande åklagare. Det bör i detta sammanhang framhållas att den enhet för operativ åklagarverksamhet – Riksåklagarens enhet för sp</w:t>
      </w:r>
      <w:r w:rsidRPr="00896D4F">
        <w:t>e</w:t>
      </w:r>
      <w:r w:rsidRPr="00896D4F">
        <w:t>ciella mål (RÅ-SPM) – som enligt arbetsordningen för Riks</w:t>
      </w:r>
      <w:r w:rsidRPr="00896D4F">
        <w:softHyphen/>
        <w:t>åklagaren finns vid Riksåklagarens kansli är en enhet som ingår i Riks</w:t>
      </w:r>
      <w:r w:rsidRPr="00896D4F">
        <w:softHyphen/>
        <w:t>åklagarens organis</w:t>
      </w:r>
      <w:r w:rsidRPr="00896D4F">
        <w:t>a</w:t>
      </w:r>
      <w:r w:rsidRPr="00896D4F">
        <w:t>tion. Det är här således inte fråga om en sådan självständig åklagarmyndighet som den tidigare existerande Statsåklagarmyndigheten för speciella mål, som var en särskild åklagarmyndighet med hela riket som verk</w:t>
      </w:r>
      <w:r w:rsidRPr="00896D4F">
        <w:t>samhetsområde och med en öve</w:t>
      </w:r>
      <w:r w:rsidRPr="00896D4F">
        <w:t>r</w:t>
      </w:r>
      <w:r w:rsidRPr="00896D4F">
        <w:t>åklagare, som hade statsåklagares ställning, som chef.</w:t>
      </w:r>
    </w:p>
    <w:p w:rsidR="009C1C5A" w:rsidRPr="00896D4F" w:rsidRDefault="009C1C5A">
      <w:pPr>
        <w:pStyle w:val="Normaltindrag"/>
      </w:pPr>
      <w:r w:rsidRPr="00896D4F">
        <w:t>Att det på den högsta åklagarnivån inte finns någon annan allmän åklagare än riksåklagaren får vidare till följd att det – i motsats till vad som gäller i fråga om de biträdande åklagarna vid åklagarmyndigheterna – inte är möjligt att överlämna till en biträdande åklagare hos Riksåklagaren att besluta i ett ärende i eget namn. Alla ärenden hos Riksåklagaren avgörs således antingen av riks</w:t>
      </w:r>
      <w:r w:rsidRPr="00896D4F">
        <w:softHyphen/>
      </w:r>
      <w:r w:rsidRPr="00896D4F">
        <w:softHyphen/>
        <w:t>åkla</w:t>
      </w:r>
      <w:r w:rsidRPr="00896D4F">
        <w:softHyphen/>
        <w:t xml:space="preserve">garen personligen eller av en biträdande åklagare på riksåklagarens vägnar och i dennes namn. </w:t>
      </w:r>
    </w:p>
    <w:p w:rsidR="009C1C5A" w:rsidRPr="00896D4F" w:rsidRDefault="009C1C5A">
      <w:pPr>
        <w:pStyle w:val="Normaltindrag"/>
      </w:pPr>
      <w:r w:rsidRPr="00896D4F">
        <w:t>Bland de biträdande åklagarna hos Riksåklagaren intar biträdande rik</w:t>
      </w:r>
      <w:r w:rsidRPr="00896D4F">
        <w:t>s</w:t>
      </w:r>
      <w:r w:rsidRPr="00896D4F">
        <w:t>åklagaren en särställning. Biträdande riksåklagaren är enligt 4 § RÅ-instruktionen riks</w:t>
      </w:r>
      <w:r w:rsidRPr="00896D4F">
        <w:softHyphen/>
        <w:t>åklagarens ställföreträdare och får, i den omfattning som riksåklagaren bestämmer, utföra de åklagaruppgifter som riksåklagaren får utföra. Denna bestämmelse anses – trots den begränsning av möjligheterna att överlåta riksåklagarens åklagar</w:t>
      </w:r>
      <w:r w:rsidRPr="00896D4F">
        <w:softHyphen/>
        <w:t>uppgifter till biträdande åklagare som anges i 7 kap. 5 § andra stycket RB – göra det möjligt för riksåklagaren att ge bitr</w:t>
      </w:r>
      <w:r w:rsidRPr="00896D4F">
        <w:t>ä</w:t>
      </w:r>
      <w:r w:rsidRPr="00896D4F">
        <w:t>dande riksåklagaren samma behörighet att fullgöra åklagaru</w:t>
      </w:r>
      <w:r w:rsidRPr="00896D4F">
        <w:t>ppgifter som riksåklagaren själv har, dvs. bl.a. att väcka och fullfölja åtal i Högsta do</w:t>
      </w:r>
      <w:r w:rsidRPr="00896D4F">
        <w:t>m</w:t>
      </w:r>
      <w:r w:rsidRPr="00896D4F">
        <w:t>stolen (jfr prop. 1964:100 s. 265). De ändringar i 7 kap. RB som träder i kraft den 1 januari 2002 innebär bl.a. att frågan om biträdande (enligt den nya lydelsen vice) riksåklagarens ställning regleras direkt i rättegångsbalken. Någon ändring i sak är härvid inte åsyftad. Den omständigheten att vice rik</w:t>
      </w:r>
      <w:r w:rsidRPr="00896D4F">
        <w:t>s</w:t>
      </w:r>
      <w:r w:rsidRPr="00896D4F">
        <w:t>åklagaren i lagtexten betecknas som allmän åklagare sägs sålunda inte inneb</w:t>
      </w:r>
      <w:r w:rsidRPr="00896D4F">
        <w:t>ä</w:t>
      </w:r>
      <w:r w:rsidRPr="00896D4F">
        <w:t>ra något avsteg från principen att det p</w:t>
      </w:r>
      <w:r w:rsidRPr="00896D4F">
        <w:t>å den högsta åklagarnivån skall finnas endast en allmän åklagare (prop. 2000/01:92 s. 14).</w:t>
      </w:r>
    </w:p>
    <w:p w:rsidR="009C1C5A" w:rsidRPr="00896D4F" w:rsidRDefault="009C1C5A">
      <w:pPr>
        <w:pStyle w:val="Normaltindrag"/>
      </w:pPr>
      <w:r w:rsidRPr="00896D4F">
        <w:t>Som jag närmare har utvecklat i ett tidigare beslut (JO 2001/02 s. 120) har lagstiftarens avsikt inte varit att göra det möjligt för riksåklagaren att delegera sina i 7 kap. 4 § RB fastlagda uppgifter till någon annan biträdande åklagare än biträdande riksåklagaren. Som framgår av de förarbetsuttalanden som återges i beslutet har lagstiftaren, genom att peka ut riksåklagaren som exkl</w:t>
      </w:r>
      <w:r w:rsidRPr="00896D4F">
        <w:t>u</w:t>
      </w:r>
      <w:r w:rsidRPr="00896D4F">
        <w:t>sivt behörig att som allmän åklagare föra talan vid Högsta domstolen och i vissa mål vid hovrätt, velat säkerställa att dessa uppgifter handhas av en sä</w:t>
      </w:r>
      <w:r w:rsidRPr="00896D4F">
        <w:t>r</w:t>
      </w:r>
      <w:r w:rsidRPr="00896D4F">
        <w:t>skilt kvalificerad befattningshavare inom åklagarväsendet. I sin roll som al</w:t>
      </w:r>
      <w:r w:rsidRPr="00896D4F">
        <w:t>l</w:t>
      </w:r>
      <w:r w:rsidRPr="00896D4F">
        <w:t>män åklagare kan riksåklagaren således inte jämföras med en myndighetschef som med stöd av förvaltningsrättsliga regler kan delegera uppgiften att på myndighetens vägnar avgöra huvuddelen av dennas löpande ärenden till u</w:t>
      </w:r>
      <w:r w:rsidRPr="00896D4F">
        <w:t>n</w:t>
      </w:r>
      <w:r w:rsidRPr="00896D4F">
        <w:t>derordnad personal. I stället får anses gälla att ingen bitr</w:t>
      </w:r>
      <w:r w:rsidRPr="00896D4F">
        <w:t>ädande åklagare hos riksåklagaren – med undantag för biträdande riksåklagaren – kan ges beh</w:t>
      </w:r>
      <w:r w:rsidRPr="00896D4F">
        <w:t>ö</w:t>
      </w:r>
      <w:r w:rsidRPr="00896D4F">
        <w:t>righet att avgöra ett ärende i vilket beslutanderätten enligt 7 kap. 4 § rätt</w:t>
      </w:r>
      <w:r w:rsidRPr="00896D4F">
        <w:t>e</w:t>
      </w:r>
      <w:r w:rsidRPr="00896D4F">
        <w:t>gångsbalken skall utövas av riksåklagaren. Hit hör bl.a. ärenden avseende resning i Högsta domst</w:t>
      </w:r>
      <w:r w:rsidRPr="00896D4F">
        <w:t>o</w:t>
      </w:r>
      <w:r w:rsidRPr="00896D4F">
        <w:t xml:space="preserve">len. </w:t>
      </w:r>
    </w:p>
    <w:p w:rsidR="009C1C5A" w:rsidRPr="00896D4F" w:rsidRDefault="009C1C5A">
      <w:pPr>
        <w:pStyle w:val="Normaltindrag"/>
      </w:pPr>
      <w:r w:rsidRPr="00896D4F">
        <w:t>I den mån en biträdande åklagare med stöd av ett bemyndigande i arbet</w:t>
      </w:r>
      <w:r w:rsidRPr="00896D4F">
        <w:t>s</w:t>
      </w:r>
      <w:r w:rsidRPr="00896D4F">
        <w:t>ordning eller särskilt beslut beslutar i något annat ärende hos riksåklagaren gör han, som nyss nämnts, detta i riksåklagarens namn. Eftersom ett sådant beslut har fattats på den högsta nivån inom åklagarväsendet, skiljer det sig i rättsligt hänseende inte från ett beslut som har fattats av riksåklagaren själv. Det är exempelvis inte ovanligt att en biträdande åklagare hos Riksåklagaren fattar beslut med anledning av en framställning om överprövning i en fråga där ett beslut i saken av en distriktsåklagare</w:t>
      </w:r>
      <w:r w:rsidRPr="00896D4F">
        <w:t xml:space="preserve"> – exempelvis en chefsåklagare eller en kammaråklagare – redan har överprövats av vederbörande överåkl</w:t>
      </w:r>
      <w:r w:rsidRPr="00896D4F">
        <w:t>a</w:t>
      </w:r>
      <w:r w:rsidRPr="00896D4F">
        <w:t>gare. Enligt gällande principer för överprövningsförfarandet avslås i dessa fall framställningen normalt på formell grund utan sakprövning (se prop. 1984/85:100 bil. 4 s. 69 f. och Riksåklagarens upphävda cirkulär RÅC I:108 om handläggningen av överprövnings</w:t>
      </w:r>
      <w:r w:rsidRPr="00896D4F">
        <w:softHyphen/>
        <w:t>ärenden avsnitt 3.3). Ett sådant på del</w:t>
      </w:r>
      <w:r w:rsidRPr="00896D4F">
        <w:t>e</w:t>
      </w:r>
      <w:r w:rsidRPr="00896D4F">
        <w:t>gation grundat beslut av en biträdande åklagare hos Riksåklagaren kan inte överprövas av riksåklagaren eller b</w:t>
      </w:r>
      <w:r w:rsidRPr="00896D4F">
        <w:t>iträdande riksåklagaren, eftersom det inte på det sätt som förutsätts i 7 kap. 5 § första stycket RB har fattats på någon av de två lägre nivåerna inom åklagarväsendet, dvs. av en statsåklagare eller en distriktsåkl</w:t>
      </w:r>
      <w:r w:rsidRPr="00896D4F">
        <w:t>a</w:t>
      </w:r>
      <w:r w:rsidRPr="00896D4F">
        <w:t>gare.</w:t>
      </w:r>
    </w:p>
    <w:p w:rsidR="009C1C5A" w:rsidRPr="00896D4F" w:rsidRDefault="009C1C5A">
      <w:pPr>
        <w:pStyle w:val="Normaltindrag"/>
      </w:pPr>
      <w:r w:rsidRPr="00896D4F">
        <w:t>Klas Bergenstrand har i sitt yttrande uttalat att det för honom är en frä</w:t>
      </w:r>
      <w:r w:rsidRPr="00896D4F">
        <w:t>m</w:t>
      </w:r>
      <w:r w:rsidRPr="00896D4F">
        <w:t>mande tanke att han som rikets högste åklagare av formella skäl skulle vara förhindrad att granska beslut av åklagare som är underställda honom. Jag vill med anledning härav framhålla att det självfallet står riks</w:t>
      </w:r>
      <w:r w:rsidRPr="00896D4F">
        <w:softHyphen/>
        <w:t>åklagaren fritt att exempelvis aktualisera ett tillsyns</w:t>
      </w:r>
      <w:r w:rsidRPr="00896D4F">
        <w:softHyphen/>
        <w:t>ärende eller inleda förundersökning mot en hos honom tjänstgörande biträdande åklagare som har handlat på ett olämpligt eller lagstridigt sätt (jfr 3 § Riksåklagarens föreskrifter [RÅFS 1996:1] om handläggningen av anmälningar mot åklagare o</w:t>
      </w:r>
      <w:r w:rsidRPr="00896D4F">
        <w:t>ch domare m.fl.). Som fra</w:t>
      </w:r>
      <w:r w:rsidRPr="00896D4F">
        <w:t>m</w:t>
      </w:r>
      <w:r w:rsidRPr="00896D4F">
        <w:t>går av det nyss sagda medger reglerna i rättegångsbalken däremot inte att riksåklagaren överprövar ett beslut som en sådan åklagare har fattat i sin tjänstgöring hos h</w:t>
      </w:r>
      <w:r w:rsidRPr="00896D4F">
        <w:t>o</w:t>
      </w:r>
      <w:r w:rsidRPr="00896D4F">
        <w:t>nom.</w:t>
      </w:r>
    </w:p>
    <w:p w:rsidR="009C1C5A" w:rsidRPr="00896D4F" w:rsidRDefault="009C1C5A">
      <w:pPr>
        <w:pStyle w:val="Normaltindrag"/>
      </w:pPr>
      <w:r w:rsidRPr="00896D4F">
        <w:t>Av utredningen framgår att Ingemar Erviken, sedan han i samband med 1996 års omorganisation av åklagarväsendet hade lämnat sin befattning som överåklagare vid Regionåklagarmyndigheten i Umeå, fr.o.m. den 1 juli 1996 var anställd hos Riksåklagaren, att hans fullmaktsanställning genom ett r</w:t>
      </w:r>
      <w:r w:rsidRPr="00896D4F">
        <w:t>e</w:t>
      </w:r>
      <w:r w:rsidRPr="00896D4F">
        <w:t>geringsbeslut den 11 december 1997 överflyttades till Riks</w:t>
      </w:r>
      <w:r w:rsidRPr="00896D4F">
        <w:softHyphen/>
        <w:t>åklagaren samt att han genomförde utredningen i Osmo Vallo-ärendet inom ramen för sin a</w:t>
      </w:r>
      <w:r w:rsidRPr="00896D4F">
        <w:t>n</w:t>
      </w:r>
      <w:r w:rsidRPr="00896D4F">
        <w:t>ställning hos Riksåklag</w:t>
      </w:r>
      <w:r w:rsidRPr="00896D4F">
        <w:t>a</w:t>
      </w:r>
      <w:r w:rsidRPr="00896D4F">
        <w:t xml:space="preserve">ren. </w:t>
      </w:r>
    </w:p>
    <w:p w:rsidR="009C1C5A" w:rsidRPr="00896D4F" w:rsidRDefault="009C1C5A">
      <w:pPr>
        <w:pStyle w:val="Normaltindrag"/>
      </w:pPr>
      <w:r w:rsidRPr="00896D4F">
        <w:t>Ingemar Erviken måste mot den här angivna bakgrunden betraktas som en sådan biträdande åklagare hos Riksåklagaren som åsyftas i 7 kap. 1 § andra stycket och 5 § andra stycket RB. Att han till följd av reglerna om fullmakt</w:t>
      </w:r>
      <w:r w:rsidRPr="00896D4F">
        <w:t>s</w:t>
      </w:r>
      <w:r w:rsidRPr="00896D4F">
        <w:t>anställning hade behållit sin tjänstetitel och det särskilda anställningsskydd som ges genom en full</w:t>
      </w:r>
      <w:r w:rsidRPr="00896D4F">
        <w:softHyphen/>
        <w:t>makt saknar betydelse i sammanhanget. Av reglerna i 4 och 5 §§ åklagarförordningen, sammanställda med det förhållandet att det på den högsta åklagarnivån inte finns någon annan allmän åklagare än riksåkl</w:t>
      </w:r>
      <w:r w:rsidRPr="00896D4F">
        <w:t>a</w:t>
      </w:r>
      <w:r w:rsidRPr="00896D4F">
        <w:t>garen, följer nämligen att endast en sådan överåklagare som är chef för en åklagarmyndighet är att betrakta som statsåklagare i rättegångsbalkens b</w:t>
      </w:r>
      <w:r w:rsidRPr="00896D4F">
        <w:t>e</w:t>
      </w:r>
      <w:r w:rsidRPr="00896D4F">
        <w:t>märkelse. Att den särskilda ställning i funktionellt hänse</w:t>
      </w:r>
      <w:r w:rsidRPr="00896D4F">
        <w:t>ende som tillkommer överåklagarna endast gäller i fråga om de över</w:t>
      </w:r>
      <w:r w:rsidRPr="00896D4F">
        <w:softHyphen/>
        <w:t>åklagare som är myndighet</w:t>
      </w:r>
      <w:r w:rsidRPr="00896D4F">
        <w:t>s</w:t>
      </w:r>
      <w:r w:rsidRPr="00896D4F">
        <w:t>chefer framgår än tydligare av 7 kap. 5 § RB i detta lagrums lydelse fr.o.m. den 1 januari 2002 (jfr prop. 2000/01:92 s. 17).</w:t>
      </w:r>
    </w:p>
    <w:p w:rsidR="009C1C5A" w:rsidRPr="00896D4F" w:rsidRDefault="009C1C5A">
      <w:pPr>
        <w:pStyle w:val="Normaltindrag"/>
      </w:pPr>
      <w:r w:rsidRPr="00896D4F">
        <w:t>Klas Bergenstrand uppger i sitt yttrande att avsikten med det uppdrag som gavs Ingemar Erviken genom beslutet den 14 november 1997 var att hela åklagar</w:t>
      </w:r>
      <w:r w:rsidRPr="00896D4F">
        <w:softHyphen/>
        <w:t>uppgiften skulle överlämnas till denne. Eftersom det emellertid inte klart framgick att också uppgiften att besluta i åtalsfrågan omfattades av up</w:t>
      </w:r>
      <w:r w:rsidRPr="00896D4F">
        <w:t>p</w:t>
      </w:r>
      <w:r w:rsidRPr="00896D4F">
        <w:t>draget, förtydligades beslutet sedan genom Solveig Riberdahls beslut den 21 april 1999 att Ingemar Erviken skulle fatta beslut i ärendet. Undantag från Ingemar Ervikens beslutsbefogenheter gjordes enligt Klas Bergenstrand e</w:t>
      </w:r>
      <w:r w:rsidRPr="00896D4F">
        <w:t>n</w:t>
      </w:r>
      <w:r w:rsidRPr="00896D4F">
        <w:t>dast för resningsfrågan. Om det framkom skäl för resning beträffande ho</w:t>
      </w:r>
      <w:r w:rsidRPr="00896D4F">
        <w:t>v</w:t>
      </w:r>
      <w:r w:rsidRPr="00896D4F">
        <w:t>rättens dom skulle det slutliga ställningstagandet i den delen överl</w:t>
      </w:r>
      <w:r w:rsidRPr="00896D4F">
        <w:t>ämnas till riks</w:t>
      </w:r>
      <w:r w:rsidRPr="00896D4F">
        <w:softHyphen/>
        <w:t>åklagaren. Jag finner inte anledning att ifrågasätta riktigheten av detta påstående, även om den nu nämnda begränsningen av Ingemar Ervikens up</w:t>
      </w:r>
      <w:r w:rsidRPr="00896D4F">
        <w:t>p</w:t>
      </w:r>
      <w:r w:rsidRPr="00896D4F">
        <w:t>drag inte på något sätt framgår vare sig av beslutet den 14 november 1997, av Solveig Riberdahls beslut eller av Ingemar Ervikens nedläggningsb</w:t>
      </w:r>
      <w:r w:rsidRPr="00896D4F">
        <w:t>e</w:t>
      </w:r>
      <w:r w:rsidRPr="00896D4F">
        <w:t>slut.</w:t>
      </w:r>
    </w:p>
    <w:p w:rsidR="009C1C5A" w:rsidRPr="00896D4F" w:rsidRDefault="009C1C5A">
      <w:pPr>
        <w:pStyle w:val="Normaltindrag"/>
      </w:pPr>
      <w:r w:rsidRPr="00896D4F">
        <w:t>Som framgår av det nyss sagda innebär den omständigheten att riksåklag</w:t>
      </w:r>
      <w:r w:rsidRPr="00896D4F">
        <w:t>a</w:t>
      </w:r>
      <w:r w:rsidRPr="00896D4F">
        <w:t>ren uppdrar åt en hos honom tjänstgörande biträdande åklagare att handlägga och besluta i ett där anhängigt ärende inte att ärendet flyttas ned till en lägre nivå inom åklagarväsendet på det sätt som blir fallet om ärendet i stället överlämnas till en åklagare vid någon av åklagarmyndigheterna, t.ex. en öve</w:t>
      </w:r>
      <w:r w:rsidRPr="00896D4F">
        <w:t>r</w:t>
      </w:r>
      <w:r w:rsidRPr="00896D4F">
        <w:t>åklagare som är myndighetschef. Riksåklagaren har således hela tiden kvar det yttersta ansvaret för ärendet. Av Riksåklagarens diarium framgår också att Ingemar Ervikens utredning ägde rum inom ramen fö</w:t>
      </w:r>
      <w:r w:rsidRPr="00896D4F">
        <w:t>r Riksåklagarens ärende 1997/1112.</w:t>
      </w:r>
    </w:p>
    <w:p w:rsidR="009C1C5A" w:rsidRPr="00896D4F" w:rsidRDefault="009C1C5A">
      <w:pPr>
        <w:pStyle w:val="Normaltindrag"/>
      </w:pPr>
      <w:r w:rsidRPr="00896D4F">
        <w:t>Saken hade varit en annan om det hade överlämnats till Ingemar Erviken att på eget ansvar och i eget namn handlägga ärendet exempelvis med stöd av ett förordnande att vid åklagarmyndigheten i Västerås fullgöra på överåklag</w:t>
      </w:r>
      <w:r w:rsidRPr="00896D4F">
        <w:t>a</w:t>
      </w:r>
      <w:r w:rsidRPr="00896D4F">
        <w:t>ren ankommande uppgifter. Det hade i så fall med fog kunnat hävdas att han vid handläggningen av ärendet hade haft en sådan ställning som statsåklagare som åsyftas i 7 kap. 1 § RB och att hans beslut därför skulle kunna överpr</w:t>
      </w:r>
      <w:r w:rsidRPr="00896D4F">
        <w:t>ö</w:t>
      </w:r>
      <w:r w:rsidRPr="00896D4F">
        <w:t>vas av riksåklagaren. Det hade emellertid inte heller med en sådan lösning varit möjligt att överlämna till honom att besluta i resningsfrågan avseende hovrättsdomen, eftersom, i enlighet med vad som tidigare sagts, beslut i såd</w:t>
      </w:r>
      <w:r w:rsidRPr="00896D4F">
        <w:t>a</w:t>
      </w:r>
      <w:r w:rsidRPr="00896D4F">
        <w:t>na frågor inte får fattas av någon annan än riksåklagar</w:t>
      </w:r>
      <w:r w:rsidRPr="00896D4F">
        <w:t>en eller biträdande riksåklag</w:t>
      </w:r>
      <w:r w:rsidRPr="00896D4F">
        <w:t>a</w:t>
      </w:r>
      <w:r w:rsidRPr="00896D4F">
        <w:t xml:space="preserve">ren. </w:t>
      </w:r>
    </w:p>
    <w:p w:rsidR="009C1C5A" w:rsidRPr="00896D4F" w:rsidRDefault="009C1C5A">
      <w:pPr>
        <w:pStyle w:val="Normaltindrag"/>
      </w:pPr>
      <w:r w:rsidRPr="00896D4F">
        <w:t>Eftersom Ingemar Ervikens nedläggningsbeslut den 4 maj 1999 således i rättsligt hän</w:t>
      </w:r>
      <w:r w:rsidRPr="00896D4F">
        <w:softHyphen/>
        <w:t>seende var att jämställa med ett beslut fattat av riksåklagaren personligen, saknade Klas Bergenstrands beslut den 10 juni samma år att ta upp Ingemar Ervikens beslut till öve</w:t>
      </w:r>
      <w:r w:rsidRPr="00896D4F">
        <w:t>r</w:t>
      </w:r>
      <w:r w:rsidRPr="00896D4F">
        <w:t>prövning stöd i lag.</w:t>
      </w:r>
    </w:p>
    <w:p w:rsidR="009C1C5A" w:rsidRPr="00896D4F" w:rsidRDefault="009C1C5A">
      <w:pPr>
        <w:pStyle w:val="Normaltindrag"/>
      </w:pPr>
      <w:r w:rsidRPr="00896D4F">
        <w:t>Frågan är då om det hade varit möjligt för Klas Bergenstrand att ompröva Ingemar Ervikens beslut på någon annan rättslig grund än reglerna i 7 kap. 5 § RB om högre åklagares rätt att överta lägre åklagares uppgifter. Det bör då först nämnas att reglerna om omprövning i 27 § förvaltningslagen (1986:223) inte är ti</w:t>
      </w:r>
      <w:r w:rsidRPr="00896D4F">
        <w:t>llämpliga i åklagarväsendets brottsbekämpande verksa</w:t>
      </w:r>
      <w:r w:rsidRPr="00896D4F">
        <w:t>m</w:t>
      </w:r>
      <w:r w:rsidRPr="00896D4F">
        <w:t>het (se 32 § nämnda lag). Ett åkla</w:t>
      </w:r>
      <w:r w:rsidRPr="00896D4F">
        <w:softHyphen/>
        <w:t>gar</w:t>
      </w:r>
      <w:r w:rsidRPr="00896D4F">
        <w:softHyphen/>
      </w:r>
      <w:r w:rsidRPr="00896D4F">
        <w:softHyphen/>
      </w:r>
      <w:r w:rsidRPr="00896D4F">
        <w:softHyphen/>
        <w:t>beslut anses visserligen enligt etablerad praxis kunna omprövas också av den åklagare som har fattat det ursprungliga beslutet eller av någon annan åklagare på samma nivå. Hänsynen till inbla</w:t>
      </w:r>
      <w:r w:rsidRPr="00896D4F">
        <w:t>n</w:t>
      </w:r>
      <w:r w:rsidRPr="00896D4F">
        <w:t>dade parter och till stabiliteten i rättslivet kräver emellertid att ett beslut får omprövas på detta sätt, endast om det har tillkommit nya omständigheter (se Gunnel Lindberg a.a. s. 52 f., prop. 1984/85:100, bil. 4, s. 69 f.</w:t>
      </w:r>
      <w:r w:rsidRPr="00896D4F">
        <w:t xml:space="preserve"> och Fitger, Rätte</w:t>
      </w:r>
      <w:r w:rsidRPr="00896D4F">
        <w:softHyphen/>
        <w:t>gångs</w:t>
      </w:r>
      <w:r w:rsidRPr="00896D4F">
        <w:softHyphen/>
        <w:t xml:space="preserve">balken del. 1 s. 7:15). En sådan omständighet kan vara att nya fakta, t.ex. ny skriftlig bevisning eller uppgifter från ett tidigare okänt vittne, kommer i dagen. </w:t>
      </w:r>
    </w:p>
    <w:p w:rsidR="009C1C5A" w:rsidRPr="00896D4F" w:rsidRDefault="009C1C5A">
      <w:pPr>
        <w:pStyle w:val="Normaltindrag"/>
      </w:pPr>
      <w:r w:rsidRPr="00896D4F">
        <w:t>Att beslutsfattaren själv eller en med denne sidoordnad åklagare efter en förnyad rättslig analys kommer till en annan ståndpunkt än den som har lagts till grund för det tidigare beslutet anses däremot inte utgöra en sådan ny omständighet som kan läggas till grund för omprövning av det tidigare b</w:t>
      </w:r>
      <w:r w:rsidRPr="00896D4F">
        <w:t>e</w:t>
      </w:r>
      <w:r w:rsidRPr="00896D4F">
        <w:t>slutet. Detta kan i ett sådant fall inte ändras annat än inom ramen för ett öve</w:t>
      </w:r>
      <w:r w:rsidRPr="00896D4F">
        <w:t>r</w:t>
      </w:r>
      <w:r w:rsidRPr="00896D4F">
        <w:t>prövningsförfarande. Undantag härifrån görs endast beträffande fall där det är uppenbart att det tidigare beslutet helt saknar lagstöd och att ett vidhållande av detta skulle kunna medföra disciplin- eller straff</w:t>
      </w:r>
      <w:r w:rsidRPr="00896D4F">
        <w:softHyphen/>
        <w:t xml:space="preserve">ansvar för åklagaren i fråga. </w:t>
      </w:r>
    </w:p>
    <w:p w:rsidR="009C1C5A" w:rsidRPr="00896D4F" w:rsidRDefault="009C1C5A">
      <w:pPr>
        <w:pStyle w:val="Normaltindrag"/>
      </w:pPr>
      <w:r w:rsidRPr="00896D4F">
        <w:t>Klas Bergenstrand har i sitt yttrande som enda skäl för sitt beslut att ta upp Ingemar Ervikens nedläggningsbeslut till förnyad prövning anfört att detta hade blivit föremål för kritik oc</w:t>
      </w:r>
      <w:r w:rsidRPr="00896D4F">
        <w:t>h debatt, varvid det också hade gjorts gällande att Ingemar Erviken hade förbisett vissa frågeställningar. Som framgår av det nyss sagda är de av Klas Bergenstrand anförda skälen inte sådana att de enligt gällande praxis kunde motivera en omprövning av nedläggningsbeslutet. Det finns inte heller i övrigt någonting i utredningen som tyder på att det mellan tidpunkten för Ingemar Ervikens nedläggningsbeslut och Klas Bergen</w:t>
      </w:r>
      <w:r w:rsidRPr="00896D4F">
        <w:softHyphen/>
        <w:t>strands beslut att ta upp saken till förnyad prövning hade framkommit några nya sakomst</w:t>
      </w:r>
      <w:r w:rsidRPr="00896D4F">
        <w:t>ändigheter som hade kunnat läggas till grund för en omprövning av det tidigare beslutet. Tvärtom framgår det av beslutet den 30 mars 2000 att några sådana o</w:t>
      </w:r>
      <w:r w:rsidRPr="00896D4F">
        <w:t>m</w:t>
      </w:r>
      <w:r w:rsidRPr="00896D4F">
        <w:t>ständigheter inte förelåg.</w:t>
      </w:r>
    </w:p>
    <w:p w:rsidR="009C1C5A" w:rsidRPr="00896D4F" w:rsidRDefault="009C1C5A">
      <w:pPr>
        <w:pStyle w:val="Normaltindrag"/>
      </w:pPr>
      <w:r w:rsidRPr="00896D4F">
        <w:t>Det kan sammanfattningsvis konstateras att det efter Ingemar Ervikens ned</w:t>
      </w:r>
      <w:r w:rsidRPr="00896D4F">
        <w:softHyphen/>
        <w:t>läggnings</w:t>
      </w:r>
      <w:r w:rsidRPr="00896D4F">
        <w:softHyphen/>
        <w:t>beslut inte fanns något rättsligt stöd för att på grundval av för</w:t>
      </w:r>
      <w:r w:rsidRPr="00896D4F">
        <w:t>e</w:t>
      </w:r>
      <w:r w:rsidRPr="00896D4F">
        <w:t>liggande material få till stånd ett ytterligare beslut i ärendet hos Riksåklag</w:t>
      </w:r>
      <w:r w:rsidRPr="00896D4F">
        <w:t>a</w:t>
      </w:r>
      <w:r w:rsidRPr="00896D4F">
        <w:t>ren.</w:t>
      </w:r>
    </w:p>
    <w:p w:rsidR="009C1C5A" w:rsidRPr="00896D4F" w:rsidRDefault="009C1C5A">
      <w:pPr>
        <w:pStyle w:val="Normaltindrag"/>
      </w:pPr>
      <w:r w:rsidRPr="00896D4F">
        <w:t>Det finns anledning att ägna någon uppmärksamhet också åt en annan aspekt på  beslutet att uppdra åt Ingemar Erviken att besluta i ärendet. Klas Bergenstrand har i sitt yttrande uppgett att det uppdrag som han genom b</w:t>
      </w:r>
      <w:r w:rsidRPr="00896D4F">
        <w:t>e</w:t>
      </w:r>
      <w:r w:rsidRPr="00896D4F">
        <w:t>slutet den 14 november 1997 gav Ingemar Erviken innebar att denne skulle undersöka dels om det fanns grund för att väcka ett nytt åtal med anledning av ingripandet mot Osmo Vallo, dels om det fanns förutsättningar att ansöka om resning avseende de två lagakraftvunna domarna. Som framgår av vad som har sagts i det föregående var Klas Bergenstrands uppdrag till Ingemar Erv</w:t>
      </w:r>
      <w:r w:rsidRPr="00896D4F">
        <w:t>i</w:t>
      </w:r>
      <w:r w:rsidRPr="00896D4F">
        <w:t>ken emellertid avgränsat på sådant sätt att det i själva verket avsåg endast sådana frågor som omfattades av de tidigare domarnas rättskr</w:t>
      </w:r>
      <w:r w:rsidRPr="00896D4F">
        <w:t>aft. I sak fra</w:t>
      </w:r>
      <w:r w:rsidRPr="00896D4F">
        <w:t>m</w:t>
      </w:r>
      <w:r w:rsidRPr="00896D4F">
        <w:t>står således Ingemar Ervikens beslut att lägga ned förundersökningen i sin helhet som ett beslut att inte gå vidare i resningsfr</w:t>
      </w:r>
      <w:r w:rsidRPr="00896D4F">
        <w:t>å</w:t>
      </w:r>
      <w:r w:rsidRPr="00896D4F">
        <w:t>gan.</w:t>
      </w:r>
    </w:p>
    <w:p w:rsidR="009C1C5A" w:rsidRPr="00896D4F" w:rsidRDefault="009C1C5A">
      <w:pPr>
        <w:pStyle w:val="Normaltindrag"/>
      </w:pPr>
      <w:r w:rsidRPr="00896D4F">
        <w:t>Som har nämnts i det föregående tillhör uppgiften att besluta i frågor om resning vid Högsta domstolen de på riksåklagaren ankommande arbetsup</w:t>
      </w:r>
      <w:r w:rsidRPr="00896D4F">
        <w:t>p</w:t>
      </w:r>
      <w:r w:rsidRPr="00896D4F">
        <w:t>gifter som inte kan delegeras till någon annan biträdande åklagare hos honom än biträdande riksåklagaren. Klas Bergenstrand synes vara av den uppfat</w:t>
      </w:r>
      <w:r w:rsidRPr="00896D4F">
        <w:t>t</w:t>
      </w:r>
      <w:r w:rsidRPr="00896D4F">
        <w:t>ningen att denna exklusiva behörighet endast omfattar beslut att göra fra</w:t>
      </w:r>
      <w:r w:rsidRPr="00896D4F">
        <w:t>m</w:t>
      </w:r>
      <w:r w:rsidRPr="00896D4F">
        <w:t>ställningar om resning, medan det däremot skulle vara möjligt att delegera uppgiften att i ett ärende om ifrågasatt resning besluta att en sådan framstäl</w:t>
      </w:r>
      <w:r w:rsidRPr="00896D4F">
        <w:t>l</w:t>
      </w:r>
      <w:r w:rsidRPr="00896D4F">
        <w:t>ning inte skall göras. Jag kan inte dela denna uppfattning. Av det synsätt som präglar rättegångsbalken följer att prövningen av fråga</w:t>
      </w:r>
      <w:r w:rsidRPr="00896D4F">
        <w:t xml:space="preserve">n om det skall göras en framställning om resning hos Högsta domstolen eller inte måste ses som en odelbar helhet (jfr JO 2001/02 s. 120). </w:t>
      </w:r>
    </w:p>
    <w:p w:rsidR="009C1C5A" w:rsidRPr="00896D4F" w:rsidRDefault="009C1C5A">
      <w:pPr>
        <w:pStyle w:val="Normaltindrag"/>
      </w:pPr>
      <w:r w:rsidRPr="00896D4F">
        <w:t>Enligt min mening har således endast en befattningshavare, som är behörig att fatta beslut att göra en  framställning om resning, behörighet att med a</w:t>
      </w:r>
      <w:r w:rsidRPr="00896D4F">
        <w:t>n</w:t>
      </w:r>
      <w:r w:rsidRPr="00896D4F">
        <w:t>ledning av en väckt fråga om resning besluta att en sådan framställning inte skall göras. Det var därför inte rättsligen möjligt för riksåklagaren eller bitr</w:t>
      </w:r>
      <w:r w:rsidRPr="00896D4F">
        <w:t>ä</w:t>
      </w:r>
      <w:r w:rsidRPr="00896D4F">
        <w:t>dande riksåklagaren att uppdra åt Ingemar Erviken att besluta i ärendet i den mån detta innefattade någon form av ställningstagande i resningsfrågan avs</w:t>
      </w:r>
      <w:r w:rsidRPr="00896D4F">
        <w:t>e</w:t>
      </w:r>
      <w:r w:rsidRPr="00896D4F">
        <w:t>ende ho</w:t>
      </w:r>
      <w:r w:rsidRPr="00896D4F">
        <w:t>v</w:t>
      </w:r>
      <w:r w:rsidRPr="00896D4F">
        <w:t xml:space="preserve">rättsdomen. </w:t>
      </w:r>
    </w:p>
    <w:p w:rsidR="009C1C5A" w:rsidRPr="00896D4F" w:rsidRDefault="009C1C5A">
      <w:pPr>
        <w:pStyle w:val="Normaltindrag"/>
      </w:pPr>
      <w:r w:rsidRPr="00896D4F">
        <w:t>Jag vill emellertid inte utesluta möjligheten av att Solveig Riberdahls b</w:t>
      </w:r>
      <w:r w:rsidRPr="00896D4F">
        <w:t>e</w:t>
      </w:r>
      <w:r w:rsidRPr="00896D4F">
        <w:t>slut den 21 april 1999 innefattade ett tyst ställningstagande i resningsfrågan av innebörd att någon framställning om resning inte skulle göras. Som fra</w:t>
      </w:r>
      <w:r w:rsidRPr="00896D4F">
        <w:t>m</w:t>
      </w:r>
      <w:r w:rsidRPr="00896D4F">
        <w:t>går av det föregående förefaller nämligen rättskrafts- och resningsfrågorna på något sätt ha varit aktuella under ärendets hela handläggning hos Riksåklag</w:t>
      </w:r>
      <w:r w:rsidRPr="00896D4F">
        <w:t>a</w:t>
      </w:r>
      <w:r w:rsidRPr="00896D4F">
        <w:t>ren, trots att dessa frågor inte på något sätt berörs i de olika beslut som fattats i ärendet före beslutet den 30 mars 2000. Eftersom jag inte har funnit anle</w:t>
      </w:r>
      <w:r w:rsidRPr="00896D4F">
        <w:t>d</w:t>
      </w:r>
      <w:r w:rsidRPr="00896D4F">
        <w:t>ning att särskilt utreda den nu nämnda fråg</w:t>
      </w:r>
      <w:r w:rsidRPr="00896D4F">
        <w:t>an, avstår jag från att göra några ytte</w:t>
      </w:r>
      <w:r w:rsidRPr="00896D4F">
        <w:t>r</w:t>
      </w:r>
      <w:r w:rsidRPr="00896D4F">
        <w:t xml:space="preserve">ligare uttalanden i den. </w:t>
      </w:r>
    </w:p>
    <w:p w:rsidR="009C1C5A" w:rsidRPr="00896D4F" w:rsidRDefault="009C1C5A">
      <w:pPr>
        <w:pStyle w:val="Rubrik4"/>
      </w:pPr>
      <w:r w:rsidRPr="00896D4F">
        <w:t>Sammanfattning och avslutande anmärkningar</w:t>
      </w:r>
    </w:p>
    <w:p w:rsidR="009C1C5A" w:rsidRPr="00896D4F" w:rsidRDefault="009C1C5A">
      <w:r w:rsidRPr="00896D4F">
        <w:t>Detta ärende avser handläggningen hos Riksåklagaren av Osmo Vallo-ärendet efter det att de domar genom vilka två polismän hade fällts till ansvar för sitt handlande i samband med ingripandet mot Osmo Vallo hade vunnit laga kraft.</w:t>
      </w:r>
    </w:p>
    <w:p w:rsidR="009C1C5A" w:rsidRPr="00896D4F" w:rsidRDefault="009C1C5A">
      <w:pPr>
        <w:pStyle w:val="Normaltindrag"/>
      </w:pPr>
      <w:r w:rsidRPr="00896D4F">
        <w:t>Principen om domars orubblighet, som den kommer till uttryck i svensk straffprocessrätt, innebär att det endast i fall av utpräglad undantagskaraktär är möjligt att få till stånd en ändring av en domstols dom efter det att tid</w:t>
      </w:r>
      <w:r w:rsidRPr="00896D4F">
        <w:t>s</w:t>
      </w:r>
      <w:r w:rsidRPr="00896D4F">
        <w:t>fristen för att överklaga den har löpt ut och domen således har vunnit laga kraft eller rätts</w:t>
      </w:r>
      <w:r w:rsidRPr="00896D4F">
        <w:softHyphen/>
        <w:t>kraft. Denna princip är en förutsättning för att myndigheter och enskilda skall kunna lägga ett domstolsavgörande till grund för sitt fortsatta handlande, och den är därmed av grundläggande betydelse för rättsordningens stabilitet och för allmänhetens tillit till samhällets rättskipande ver</w:t>
      </w:r>
      <w:r w:rsidRPr="00896D4F">
        <w:t>k</w:t>
      </w:r>
      <w:r w:rsidRPr="00896D4F">
        <w:t>samhet.</w:t>
      </w:r>
    </w:p>
    <w:p w:rsidR="009C1C5A" w:rsidRPr="00896D4F" w:rsidRDefault="009C1C5A">
      <w:pPr>
        <w:pStyle w:val="Normaltindrag"/>
      </w:pPr>
      <w:r w:rsidRPr="00896D4F">
        <w:t>Principen om domars orubblighet är av särskilt stor betydelse för den e</w:t>
      </w:r>
      <w:r w:rsidRPr="00896D4F">
        <w:t>n</w:t>
      </w:r>
      <w:r w:rsidRPr="00896D4F">
        <w:t>skildes rättssäkerhet i de fall där det uppkommer en fråga om att utkräva straffansvar med anledning av ett skeende som redan har prövats av domstol genom en lagakraftvunnen dom. Ett typfall är att det har kommit fram ny bevisning mot en person som helt frikänts genom domen. En därmed beslä</w:t>
      </w:r>
      <w:r w:rsidRPr="00896D4F">
        <w:t>k</w:t>
      </w:r>
      <w:r w:rsidRPr="00896D4F">
        <w:t>tad situation är att det görs gällande att den tilltalade har gjort sig skyldig till något annat brott med anknytning till det aktuella händelseförloppet än det eller de brott som uttryckligen b</w:t>
      </w:r>
      <w:r w:rsidRPr="00896D4F">
        <w:t>e</w:t>
      </w:r>
      <w:r w:rsidRPr="00896D4F">
        <w:t xml:space="preserve">handlats i domen. </w:t>
      </w:r>
    </w:p>
    <w:p w:rsidR="009C1C5A" w:rsidRPr="00896D4F" w:rsidRDefault="009C1C5A">
      <w:pPr>
        <w:pStyle w:val="Normaltindrag"/>
      </w:pPr>
      <w:r w:rsidRPr="00896D4F">
        <w:t>Styrk</w:t>
      </w:r>
      <w:r w:rsidRPr="00896D4F">
        <w:t>an av skyddet för den enskilde mot att i ett fall av senast nämnt slag bli föremål för ett nytt åtal bestäms dels av vad som skall anses ha varit o</w:t>
      </w:r>
      <w:r w:rsidRPr="00896D4F">
        <w:t>m</w:t>
      </w:r>
      <w:r w:rsidRPr="00896D4F">
        <w:t>fattat av domstolens prövning, dels av i vilken utsträckning lagstiftaren har gjort det möjligt att angripa en lagakraftvunnen dom med hjälp av ett extrao</w:t>
      </w:r>
      <w:r w:rsidRPr="00896D4F">
        <w:t>r</w:t>
      </w:r>
      <w:r w:rsidRPr="00896D4F">
        <w:t>dinärt förf</w:t>
      </w:r>
      <w:r w:rsidRPr="00896D4F">
        <w:t>a</w:t>
      </w:r>
      <w:r w:rsidRPr="00896D4F">
        <w:t>rande.</w:t>
      </w:r>
    </w:p>
    <w:p w:rsidR="009C1C5A" w:rsidRPr="00896D4F" w:rsidRDefault="009C1C5A">
      <w:pPr>
        <w:pStyle w:val="Normaltindrag"/>
      </w:pPr>
      <w:r w:rsidRPr="00896D4F">
        <w:t>I det första av dessa hänseenden intar svensk rätt den ståndpunkten att den prövning som har gjorts genom den tidigare domen skall anses omfatta inte bara det eller de brott som uttryckligen</w:t>
      </w:r>
      <w:r w:rsidRPr="00896D4F">
        <w:t xml:space="preserve"> anges i den, utan också andra brott, som har en tillräckligt nära anknytning till det händelseförlopp som varit aktuellt i målet för att kunna betraktas som identiska med den gärning som har bedömts i detta. Den lagakraftvunna domen utgör således hinder mot ett nytt åtal för sådana brott. </w:t>
      </w:r>
    </w:p>
    <w:p w:rsidR="009C1C5A" w:rsidRPr="00896D4F" w:rsidRDefault="009C1C5A">
      <w:pPr>
        <w:pStyle w:val="Normaltindrag"/>
      </w:pPr>
      <w:r w:rsidRPr="00896D4F">
        <w:t>Allmänt gäller att gärningsbegreppet av hänsyn till den tilltalades rättss</w:t>
      </w:r>
      <w:r w:rsidRPr="00896D4F">
        <w:t>ä</w:t>
      </w:r>
      <w:r w:rsidRPr="00896D4F">
        <w:t>kerhet har getts en vidsträckt tolkning i doktrin och rätts</w:t>
      </w:r>
      <w:r w:rsidRPr="00896D4F">
        <w:softHyphen/>
        <w:t>praxis. I rättspraxis har exempelvis en misshandelsdom befunnits utgöra hinder mot ett nytt åtal mot den tilltalade avseende annat, betydligt grövre våld, som utövats inom ramen för det händelseförlopp som varit aktuellt i målet.</w:t>
      </w:r>
    </w:p>
    <w:p w:rsidR="009C1C5A" w:rsidRPr="00896D4F" w:rsidRDefault="009C1C5A">
      <w:pPr>
        <w:pStyle w:val="Normaltindrag"/>
      </w:pPr>
      <w:r w:rsidRPr="00896D4F">
        <w:t>Möjligheterna att genom resning till men för den tilltalade angripa en lag</w:t>
      </w:r>
      <w:r w:rsidRPr="00896D4F">
        <w:t>a</w:t>
      </w:r>
      <w:r w:rsidRPr="00896D4F">
        <w:t xml:space="preserve">kraftvunnen dom är synnerligen begränsade. Härav följer att det krävs mycket starka skäl för att en åklagare skall få vidta utredningsåtgärder i sådant syfte. Det kan inte anses stå i överensstämmelse med gällande rätt att återuppta en förundersökning i avsikt att få till stånd ett beslut om resning till men för den tilltalade, om det inte redan från början föreligger ett välgrundat antagande att utredningen kommer att resultera i att resning beviljas. En utredning som företas utan att denna förutsättning </w:t>
      </w:r>
      <w:r w:rsidRPr="00896D4F">
        <w:t>är uppfylld skulle stå i strid inte bara med respekten för den tilltalades rättssäkerhet och hänsynen till  målsägande, vit</w:t>
      </w:r>
      <w:r w:rsidRPr="00896D4F">
        <w:t>t</w:t>
      </w:r>
      <w:r w:rsidRPr="00896D4F">
        <w:t>nen, sakkunniga och andra berörda personer utan också med intresset av att samhällets brottsutredande resurser inte tas i anspråk i on</w:t>
      </w:r>
      <w:r w:rsidRPr="00896D4F">
        <w:t>ö</w:t>
      </w:r>
      <w:r w:rsidRPr="00896D4F">
        <w:t xml:space="preserve">dan.  </w:t>
      </w:r>
    </w:p>
    <w:p w:rsidR="009C1C5A" w:rsidRPr="00896D4F" w:rsidRDefault="009C1C5A">
      <w:pPr>
        <w:pStyle w:val="Normaltindrag"/>
      </w:pPr>
      <w:r w:rsidRPr="00896D4F">
        <w:t>Om en åklagare överväger att väcka åtal mot någon för ett brott, som på något sätt har anknytning till ett händelseförlopp som varit aktuellt i en lag</w:t>
      </w:r>
      <w:r w:rsidRPr="00896D4F">
        <w:t>a</w:t>
      </w:r>
      <w:r w:rsidRPr="00896D4F">
        <w:t>kraftvunnen dom, måste han således först och främst undersöka om det nya brottet omfattas av domens rättskraft. Om han kommer fram till att det fö</w:t>
      </w:r>
      <w:r w:rsidRPr="00896D4F">
        <w:t>r</w:t>
      </w:r>
      <w:r w:rsidRPr="00896D4F">
        <w:t xml:space="preserve">håller sig på detta sätt, blir hans nästa åtgärd att bedöma om det har kommit fram nya omständigheter av sådan art att de skulle kunna läggas till grund för en ansökan om resning. Först sedan han har konstaterat att så är fallet, har han en godtagbar anledning att vidta några utredningsåtgärder i egentlig mening i syfte att angripa den lagakraftvunna domen. </w:t>
      </w:r>
    </w:p>
    <w:p w:rsidR="009C1C5A" w:rsidRPr="00896D4F" w:rsidRDefault="009C1C5A">
      <w:pPr>
        <w:pStyle w:val="Normaltindrag"/>
      </w:pPr>
      <w:r w:rsidRPr="00896D4F">
        <w:t>Det</w:t>
      </w:r>
      <w:r w:rsidRPr="00896D4F">
        <w:t xml:space="preserve"> första beslutet under den handläggning hos Riksåklagaren med anle</w:t>
      </w:r>
      <w:r w:rsidRPr="00896D4F">
        <w:t>d</w:t>
      </w:r>
      <w:r w:rsidRPr="00896D4F">
        <w:t>ning av ingripandet mot Osmo Vallo som är föremål för bedömning i detta ärende fattades den 14 november 1997, då riksåklagaren Klas Bergenstrand med anledning av nytillkommen rättsmedicinsk information lämnad av pr</w:t>
      </w:r>
      <w:r w:rsidRPr="00896D4F">
        <w:t>o</w:t>
      </w:r>
      <w:r w:rsidRPr="00896D4F">
        <w:t>fessor Jovan Rajs beslutade att en nedlagd förundersökning avseende mis</w:t>
      </w:r>
      <w:r w:rsidRPr="00896D4F">
        <w:t>s</w:t>
      </w:r>
      <w:r w:rsidRPr="00896D4F">
        <w:t>handel och vållande till annans död skulle återupptas. Vid denna tidpunkt hade domarna mot de två polismännen – en tingsrättsdom respektive en ho</w:t>
      </w:r>
      <w:r w:rsidRPr="00896D4F">
        <w:t>v</w:t>
      </w:r>
      <w:r w:rsidRPr="00896D4F">
        <w:t>rättsdom – a</w:t>
      </w:r>
      <w:r w:rsidRPr="00896D4F">
        <w:t>vseende vållande till kropps</w:t>
      </w:r>
      <w:r w:rsidRPr="00896D4F">
        <w:softHyphen/>
        <w:t>skada vunnit laga kraft. Klas Berge</w:t>
      </w:r>
      <w:r w:rsidRPr="00896D4F">
        <w:t>n</w:t>
      </w:r>
      <w:r w:rsidRPr="00896D4F">
        <w:t>strand överlämnade samtidigt åt en hos Riks</w:t>
      </w:r>
      <w:r w:rsidRPr="00896D4F">
        <w:softHyphen/>
        <w:t>åklagaren anställd befattningsh</w:t>
      </w:r>
      <w:r w:rsidRPr="00896D4F">
        <w:t>a</w:t>
      </w:r>
      <w:r w:rsidRPr="00896D4F">
        <w:t>vare att genomföra utredningen. Sedan denne efter en omfattande utredning hade beslutat att lägga ned förundersökningen den 4 maj 1999, tog Klas Be</w:t>
      </w:r>
      <w:r w:rsidRPr="00896D4F">
        <w:t>r</w:t>
      </w:r>
      <w:r w:rsidRPr="00896D4F">
        <w:t>genstrand den 10 juni 1999 på nytt upp frågan om ytterligare straff</w:t>
      </w:r>
      <w:r w:rsidRPr="00896D4F">
        <w:softHyphen/>
        <w:t>rättsligt ansvar med anledning av ingripandet mot Osmo Vallo. Denna fråga hölls sedan öppen fram till den 30 mars 2000, då Klas Bergenstrand i ett beslut k</w:t>
      </w:r>
      <w:r w:rsidRPr="00896D4F">
        <w:t>onstaterade dels att de brott som varit föremål för utredning under den åte</w:t>
      </w:r>
      <w:r w:rsidRPr="00896D4F">
        <w:t>r</w:t>
      </w:r>
      <w:r w:rsidRPr="00896D4F">
        <w:t>upptagna förundersökningen omfattades av de tidigare domarnas rätts</w:t>
      </w:r>
      <w:r w:rsidRPr="00896D4F">
        <w:softHyphen/>
        <w:t>kraft, dels att förutsättningar för resning inte förelåg. De omständigheter som anfö</w:t>
      </w:r>
      <w:r w:rsidRPr="00896D4F">
        <w:t>r</w:t>
      </w:r>
      <w:r w:rsidRPr="00896D4F">
        <w:t>des till grund för resonemanget i resningsfrågan var av sådant slag att det synes ha varit möjligt att föra ett liknande resonemang redan på grundval av det material som förelåg den 14 november 1997. Vidare hade möjligheterna att i ett resnings</w:t>
      </w:r>
      <w:r w:rsidRPr="00896D4F">
        <w:softHyphen/>
        <w:t>ärende åberopa de uppgifter som hade t</w:t>
      </w:r>
      <w:r w:rsidRPr="00896D4F">
        <w:t xml:space="preserve">illförts utredningen genom en av bl.a. Jovan Rajs förrättad obduktion under alla förhållanden upphört i slutet av maj 1999. </w:t>
      </w:r>
    </w:p>
    <w:p w:rsidR="009C1C5A" w:rsidRPr="00896D4F" w:rsidRDefault="009C1C5A">
      <w:pPr>
        <w:pStyle w:val="Normaltindrag"/>
      </w:pPr>
      <w:r w:rsidRPr="00896D4F">
        <w:t>Det finns inte någon anledning att ifrågasätta de rättsliga resonemangen i beslutet den 30 mars 2000. Det är emellertid tydligt att den handläggning hos Riksåklagaren som här har redovisats inte följer det nyss beskrivna mönstret för hur en åklagare bör handlägga nya ansvarsfrågor med anknytning till ett skeende som redan har prövats genom en lagakraftvunnen dom. Det har inte under ut</w:t>
      </w:r>
      <w:r w:rsidRPr="00896D4F">
        <w:t>redningen här framkommit någon omständighet som kan anses utgöra en godtagbar förklaring till att frågan om ytterligare straffrättsligt ansvar med anledning av ingripandet mot Osmo Vallo handlades hos Riksåklagaren på det sätt som skett. Jag har därför inte kunnat finna annat än att handläggnin</w:t>
      </w:r>
      <w:r w:rsidRPr="00896D4F">
        <w:t>g</w:t>
      </w:r>
      <w:r w:rsidRPr="00896D4F">
        <w:t>en har stått i strid med lagstiftarens syfte med reglerna om brottmålsdomars rättskraft och om resning till men för den tilltalade. Handläggningen har fått till följd att såväl de dömda som Osmo Vallos anhöriga under</w:t>
      </w:r>
      <w:r w:rsidRPr="00896D4F">
        <w:t xml:space="preserve"> lång tid har hållits i ovisshet om den slutliga utgången i ansvarsfrågorna med det lidande som detta kan antas ha me</w:t>
      </w:r>
      <w:r w:rsidRPr="00896D4F">
        <w:t>d</w:t>
      </w:r>
      <w:r w:rsidRPr="00896D4F">
        <w:t>fört för dem.</w:t>
      </w:r>
    </w:p>
    <w:p w:rsidR="009C1C5A" w:rsidRPr="00896D4F" w:rsidRDefault="009C1C5A">
      <w:pPr>
        <w:pStyle w:val="Normaltindrag"/>
      </w:pPr>
      <w:r w:rsidRPr="00896D4F">
        <w:t>En omständighet som i väsentlig mån bidrog till att handläggningen av ärendet drog ut på tiden var Klas Bergenstrands beslut den 10 juni 1999 att överpröva beslutet den 4 maj 1999 att lägga ned den förundersökning som återupptogs genom beslutet den 14 november 1997. Detta nedläggningsbeslut hade som nyss nämnts fattats av en hos Riksåklagaren anställd befattningsh</w:t>
      </w:r>
      <w:r w:rsidRPr="00896D4F">
        <w:t>a</w:t>
      </w:r>
      <w:r w:rsidRPr="00896D4F">
        <w:t>vare, som av biträdande riksåklagaren Solveig Riberdahl hade fått i uppdrag att besluta i ärendet. Överprövningen resulterade sedan i Klas Bergenstrands beslut den 30 mars 2000.</w:t>
      </w:r>
    </w:p>
    <w:p w:rsidR="009C1C5A" w:rsidRPr="00896D4F" w:rsidRDefault="009C1C5A">
      <w:pPr>
        <w:pStyle w:val="Normaltindrag"/>
      </w:pPr>
      <w:r w:rsidRPr="00896D4F">
        <w:t>Eftersom den befattningshavare som fattade nedläggningsbeslutet var att anse som biträdande åklagare hos Riksåklagaren, var detta beslut i rättsligt hänseende att jämställa med ett beslut av riks</w:t>
      </w:r>
      <w:r w:rsidRPr="00896D4F">
        <w:softHyphen/>
        <w:t>åklagaren personligen. Den regel i rättegångs</w:t>
      </w:r>
      <w:r w:rsidRPr="00896D4F">
        <w:softHyphen/>
        <w:t>balken, som ger en högre åklagare rätt att överta ett ärende från en lägre åklagare och som utgör grunden för över</w:t>
      </w:r>
      <w:r w:rsidRPr="00896D4F">
        <w:softHyphen/>
        <w:t>prövnings</w:t>
      </w:r>
      <w:r w:rsidRPr="00896D4F">
        <w:softHyphen/>
        <w:t>förfarandet, var dä</w:t>
      </w:r>
      <w:r w:rsidRPr="00896D4F">
        <w:t>r</w:t>
      </w:r>
      <w:r w:rsidRPr="00896D4F">
        <w:t>för inte tillämplig. Eftersom det efter nedläggningsbeslutet inte hade fra</w:t>
      </w:r>
      <w:r w:rsidRPr="00896D4F">
        <w:t>m</w:t>
      </w:r>
      <w:r w:rsidRPr="00896D4F">
        <w:t>kommit några nya sakomständig</w:t>
      </w:r>
      <w:r w:rsidRPr="00896D4F">
        <w:softHyphen/>
        <w:t>heter i ärendet, var det, enligt på rättssäke</w:t>
      </w:r>
      <w:r w:rsidRPr="00896D4F">
        <w:t>r</w:t>
      </w:r>
      <w:r w:rsidRPr="00896D4F">
        <w:t>hetsskäl grundad rätts</w:t>
      </w:r>
      <w:r w:rsidRPr="00896D4F">
        <w:softHyphen/>
        <w:t>praxis, inte heller möjligt för riksåklagaren att ompröva nedläggningsbeslutet på annan grund. Klas Bergenstrand hade således inte något rättsligt</w:t>
      </w:r>
      <w:r w:rsidRPr="00896D4F">
        <w:t xml:space="preserve"> stöd för att på det sätt som skedde ta upp ansvarsfrågan till förnyad prö</w:t>
      </w:r>
      <w:r w:rsidRPr="00896D4F">
        <w:t>v</w:t>
      </w:r>
      <w:r w:rsidRPr="00896D4F">
        <w:t>ning.</w:t>
      </w:r>
    </w:p>
    <w:p w:rsidR="009C1C5A" w:rsidRPr="00896D4F" w:rsidRDefault="009C1C5A">
      <w:pPr>
        <w:pStyle w:val="Normaltindrag"/>
      </w:pPr>
      <w:r w:rsidRPr="00896D4F">
        <w:t>Beslutet den 4 maj 1999 att lägga ned förundersökningen måste i sin helhet betraktas som ett ställningstagande i resningsfrågan. Av rättegångsbalkens regler följer emellertid att beslut i en resningsfråga som avser en hovrättsdom får fattas endast av riks</w:t>
      </w:r>
      <w:r w:rsidRPr="00896D4F">
        <w:softHyphen/>
        <w:t>åklagaren – eller biträdande riksåklagaren – personl</w:t>
      </w:r>
      <w:r w:rsidRPr="00896D4F">
        <w:t>i</w:t>
      </w:r>
      <w:r w:rsidRPr="00896D4F">
        <w:t>gen. Det var därför inte rättsligen möjligt att på det sätt som skedde överlä</w:t>
      </w:r>
      <w:r w:rsidRPr="00896D4F">
        <w:t>m</w:t>
      </w:r>
      <w:r w:rsidRPr="00896D4F">
        <w:t>na åt den befattningshavare som hade verkställt utredningen att besluta i ärendet, i den mån beslutet gällde frågan om resning avseende hovrätt</w:t>
      </w:r>
      <w:r w:rsidRPr="00896D4F">
        <w:t>s</w:t>
      </w:r>
      <w:r w:rsidRPr="00896D4F">
        <w:t>domen.</w:t>
      </w:r>
    </w:p>
    <w:p w:rsidR="009C1C5A" w:rsidRPr="00896D4F" w:rsidRDefault="009C1C5A">
      <w:pPr>
        <w:pStyle w:val="Normaltindrag"/>
      </w:pPr>
      <w:r w:rsidRPr="00896D4F">
        <w:t>Handläggningen hos Riksåklagaren av ärendet om ingripandet mot Osmo Vallo uppvisar allvarliga brister i olika hänseenden. Det är tydligt att de b</w:t>
      </w:r>
      <w:r w:rsidRPr="00896D4F">
        <w:t>e</w:t>
      </w:r>
      <w:r w:rsidRPr="00896D4F">
        <w:t>slut och åtgärder i övrigt som förekommit i ärendet, innan detta avslutades genom beslutet den 30 mars 2000, inte föregåtts av den rättsliga analys som omständigheterna hade bort föranleda. Det kan sammanfattningsvis konstat</w:t>
      </w:r>
      <w:r w:rsidRPr="00896D4F">
        <w:t>e</w:t>
      </w:r>
      <w:r w:rsidRPr="00896D4F">
        <w:t>ras att ärendet inte har handlagts med den omsorg och eftertanke som man har rätt att förvänta av landets hö</w:t>
      </w:r>
      <w:r w:rsidRPr="00896D4F">
        <w:t>g</w:t>
      </w:r>
      <w:r w:rsidRPr="00896D4F">
        <w:t>ste åklagare.</w:t>
      </w:r>
    </w:p>
    <w:p w:rsidR="009C1C5A" w:rsidRPr="00896D4F" w:rsidRDefault="009C1C5A">
      <w:pPr>
        <w:pStyle w:val="Rubrik3"/>
      </w:pPr>
      <w:r w:rsidRPr="00896D4F">
        <w:t>Anmärkning</w:t>
      </w:r>
    </w:p>
    <w:p w:rsidR="009C1C5A" w:rsidRPr="00896D4F" w:rsidRDefault="009C1C5A">
      <w:r w:rsidRPr="00896D4F">
        <w:t>I en ändring i 10 § förordningen (1989:847) med instruktion för Riksåklag</w:t>
      </w:r>
      <w:r w:rsidRPr="00896D4F">
        <w:t>a</w:t>
      </w:r>
      <w:r w:rsidRPr="00896D4F">
        <w:t>ren som trädde i kraft den 1 juni 2002  sägs att de allmänna åklagare som Riksåklagaren har bestämt skall vara anställda eller placerade vid Riksåklag</w:t>
      </w:r>
      <w:r w:rsidRPr="00896D4F">
        <w:t>a</w:t>
      </w:r>
      <w:r w:rsidRPr="00896D4F">
        <w:t>ren fullgör de åklagaruppgifter som skall utföras av annan allmän åklagare än riksåklagaren eller vice riksåklagaren (SFS 2002:178).</w:t>
      </w:r>
    </w:p>
    <w:p w:rsidR="009C1C5A" w:rsidRPr="00896D4F" w:rsidRDefault="009C1C5A">
      <w:pPr>
        <w:pStyle w:val="Rubrik2"/>
      </w:pPr>
      <w:r w:rsidRPr="00896D4F">
        <w:t>Kritik mot polismyndighet för att den i ett fall inte hade vidtagit tillräckliga utredningsåtgärder innan den beslutat att lägga ned en förundersökning samt att den i ett annat fall beslutat att inte inleda förundersökning trot</w:t>
      </w:r>
      <w:r w:rsidRPr="00896D4F">
        <w:t xml:space="preserve">s att det fanns anledning att anta att brott hade förövats </w:t>
      </w:r>
    </w:p>
    <w:p w:rsidR="009C1C5A" w:rsidRPr="00896D4F" w:rsidRDefault="009C1C5A">
      <w:pPr>
        <w:spacing w:before="0"/>
      </w:pPr>
      <w:r w:rsidRPr="00896D4F">
        <w:t xml:space="preserve">(Dnr 3208-2000) </w:t>
      </w:r>
    </w:p>
    <w:p w:rsidR="009C1C5A" w:rsidRPr="00896D4F" w:rsidRDefault="009C1C5A">
      <w:pPr>
        <w:pStyle w:val="Rubrik3"/>
      </w:pPr>
      <w:r w:rsidRPr="00896D4F">
        <w:t>Initiativet</w:t>
      </w:r>
    </w:p>
    <w:p w:rsidR="009C1C5A" w:rsidRPr="00896D4F" w:rsidRDefault="009C1C5A">
      <w:r w:rsidRPr="00896D4F">
        <w:t>I samband med en inspektion vid Polismyndigheten i Hallands län den 14–16 juni 2000 granskades bl.a. ärendena K6718-00 och K6735-00. I det proto</w:t>
      </w:r>
      <w:r w:rsidRPr="00896D4F">
        <w:softHyphen/>
        <w:t>koll som fördes vid inspektionen noterades följande om iakttagelserna i dessa ärenden.</w:t>
      </w:r>
    </w:p>
    <w:p w:rsidR="009C1C5A" w:rsidRPr="00896D4F" w:rsidRDefault="009C1C5A">
      <w:pPr>
        <w:pStyle w:val="Normaltindrag"/>
      </w:pPr>
      <w:r w:rsidRPr="00896D4F">
        <w:t>K6718-00: Anmälan om stöld av en skylift gjordes den 27 mars 2000. E</w:t>
      </w:r>
      <w:r w:rsidRPr="00896D4F">
        <w:t>n</w:t>
      </w:r>
      <w:r w:rsidRPr="00896D4F">
        <w:t>ligt upp</w:t>
      </w:r>
      <w:r w:rsidRPr="00896D4F">
        <w:softHyphen/>
        <w:t>gift i anmälan hade ett vittne observerat när en person i en personbil med visst angivet registreringsnummer hakade på skyliften och körde i väg med den. I en tjänsteanteckning undertecknad av en assistent fanns vissa utredningsåtgärder dokumenterade. Den 6 juni 2000 lades förundersökningen ned med motiveringen ”ej spaningsresultat”.</w:t>
      </w:r>
    </w:p>
    <w:p w:rsidR="009C1C5A" w:rsidRPr="00896D4F" w:rsidRDefault="009C1C5A">
      <w:pPr>
        <w:pStyle w:val="Normaltindrag"/>
      </w:pPr>
      <w:r w:rsidRPr="00896D4F">
        <w:t>K6735-00: Anmälan om stöld av en mobiltelefon på ett kontor gjordes den 27 mars 2000. Enligt uppgift i anmälan hade en person varit inne på tjänst</w:t>
      </w:r>
      <w:r w:rsidRPr="00896D4F">
        <w:t>e</w:t>
      </w:r>
      <w:r w:rsidRPr="00896D4F">
        <w:t>rummet där telefonen förvarades. Samma dag fattades beslut om att inte inl</w:t>
      </w:r>
      <w:r w:rsidRPr="00896D4F">
        <w:t>e</w:t>
      </w:r>
      <w:r w:rsidRPr="00896D4F">
        <w:t>da förunder</w:t>
      </w:r>
      <w:r w:rsidRPr="00896D4F">
        <w:softHyphen/>
        <w:t>sökning med motiveringen ”spaningsuppslag saknas”.</w:t>
      </w:r>
    </w:p>
    <w:p w:rsidR="009C1C5A" w:rsidRPr="00896D4F" w:rsidRDefault="009C1C5A">
      <w:pPr>
        <w:pStyle w:val="Normaltindrag"/>
      </w:pPr>
      <w:r w:rsidRPr="00896D4F">
        <w:t>Det kunde ifrågasättas om polisen hade vidtagit tillräckliga utred</w:t>
      </w:r>
      <w:r w:rsidRPr="00896D4F">
        <w:softHyphen/>
        <w:t xml:space="preserve">ningsåtgärder innan beslut att inte inleda förundersökning eller att lägga ned en pågående utredning meddelades. </w:t>
      </w:r>
      <w:r w:rsidRPr="00896D4F">
        <w:rPr>
          <w:i/>
        </w:rPr>
        <w:t>ChefsJO Eklundh</w:t>
      </w:r>
      <w:r w:rsidRPr="00896D4F">
        <w:t xml:space="preserve"> beslutade därför att ta upp polismyndighe</w:t>
      </w:r>
      <w:r w:rsidRPr="00896D4F">
        <w:softHyphen/>
        <w:t>tens handläggning av utredningarna i ett särskilt ärende.</w:t>
      </w:r>
    </w:p>
    <w:p w:rsidR="009C1C5A" w:rsidRPr="00896D4F" w:rsidRDefault="009C1C5A">
      <w:pPr>
        <w:pStyle w:val="Rubrik3"/>
      </w:pPr>
      <w:r w:rsidRPr="00896D4F">
        <w:t>Utredning</w:t>
      </w:r>
    </w:p>
    <w:p w:rsidR="009C1C5A" w:rsidRPr="00896D4F" w:rsidRDefault="009C1C5A">
      <w:r w:rsidRPr="00896D4F">
        <w:t>Ärendet remitterades till Polismyndigheten i Hallands län för upplysningar och yttrande över handläggningen i de aktuella ärendena.</w:t>
      </w:r>
    </w:p>
    <w:p w:rsidR="009C1C5A" w:rsidRPr="00896D4F" w:rsidRDefault="009C1C5A">
      <w:pPr>
        <w:pStyle w:val="Normaltindrag"/>
      </w:pPr>
      <w:r w:rsidRPr="00896D4F">
        <w:t>Polismyndigheten (länspolismästare Krister Jacobsson) kom in med yt</w:t>
      </w:r>
      <w:r w:rsidRPr="00896D4F">
        <w:t>t</w:t>
      </w:r>
      <w:r w:rsidRPr="00896D4F">
        <w:t>randen. Till dessa hade fogats upplysningar från bl.a. kriminalkommissarien Wigo Brusbo och poliskommissarien Leif Andersson.</w:t>
      </w:r>
    </w:p>
    <w:p w:rsidR="009C1C5A" w:rsidRPr="00896D4F" w:rsidRDefault="009C1C5A">
      <w:r w:rsidRPr="00896D4F">
        <w:t xml:space="preserve">I ett beslut den </w:t>
      </w:r>
      <w:r w:rsidRPr="00896D4F">
        <w:rPr>
          <w:rFonts w:ascii="Garamond" w:hAnsi="Garamond"/>
        </w:rPr>
        <w:t xml:space="preserve">5 oktober 2001 </w:t>
      </w:r>
      <w:r w:rsidRPr="00896D4F">
        <w:t xml:space="preserve">anförde </w:t>
      </w:r>
      <w:r w:rsidRPr="00896D4F">
        <w:rPr>
          <w:i/>
        </w:rPr>
        <w:t>chefsJO Eklundh</w:t>
      </w:r>
      <w:r w:rsidRPr="00896D4F">
        <w:t xml:space="preserve"> följande.</w:t>
      </w:r>
    </w:p>
    <w:p w:rsidR="009C1C5A" w:rsidRPr="00896D4F" w:rsidRDefault="009C1C5A">
      <w:pPr>
        <w:pStyle w:val="Rubrik3"/>
      </w:pPr>
      <w:r w:rsidRPr="00896D4F">
        <w:t xml:space="preserve">Bedömning </w:t>
      </w:r>
    </w:p>
    <w:p w:rsidR="009C1C5A" w:rsidRPr="00896D4F" w:rsidRDefault="009C1C5A">
      <w:pPr>
        <w:pStyle w:val="Rubrik4"/>
        <w:spacing w:before="125"/>
      </w:pPr>
      <w:r w:rsidRPr="00896D4F">
        <w:t>K6718-00</w:t>
      </w:r>
    </w:p>
    <w:p w:rsidR="009C1C5A" w:rsidRPr="00896D4F" w:rsidRDefault="009C1C5A">
      <w:r w:rsidRPr="00896D4F">
        <w:t>Anmälan om stöld av en skylift med ett uppgivet värde av 150 000 kr gjordes hos polismyndigheten den 27 mars 2000. Av anmälan framgick att fastighet</w:t>
      </w:r>
      <w:r w:rsidRPr="00896D4F">
        <w:t>s</w:t>
      </w:r>
      <w:r w:rsidRPr="00896D4F">
        <w:t>skötaren i den fastighet utanför vilken skyliften stått parkerad hade uppgett att en hyresgäst sett när två män hakade på skyliften på en personbil med ett visst angivet registre</w:t>
      </w:r>
      <w:r w:rsidRPr="00896D4F">
        <w:softHyphen/>
        <w:t>ringsnummer och körde därifrån någon gång på kvällen den 25 mars 2000.</w:t>
      </w:r>
    </w:p>
    <w:p w:rsidR="009C1C5A" w:rsidRPr="00896D4F" w:rsidRDefault="009C1C5A">
      <w:pPr>
        <w:pStyle w:val="Normaltindrag"/>
      </w:pPr>
      <w:r w:rsidRPr="00896D4F">
        <w:t>Förundersökning inleddes samma dag som anmälan gjordes.</w:t>
      </w:r>
    </w:p>
    <w:p w:rsidR="009C1C5A" w:rsidRPr="00896D4F" w:rsidRDefault="009C1C5A">
      <w:pPr>
        <w:pStyle w:val="Normaltindrag"/>
      </w:pPr>
      <w:r w:rsidRPr="00896D4F">
        <w:t>Den 13</w:t>
      </w:r>
      <w:r w:rsidRPr="00896D4F">
        <w:rPr>
          <w:b/>
        </w:rPr>
        <w:t xml:space="preserve"> </w:t>
      </w:r>
      <w:r w:rsidRPr="00896D4F">
        <w:t>april 2000 hade en assistent vid polismyndigheten telefonkontakt med fastighetsskötaren, och den 5 juni 2000 fick assistenten per telefon ko</w:t>
      </w:r>
      <w:r w:rsidRPr="00896D4F">
        <w:t>n</w:t>
      </w:r>
      <w:r w:rsidRPr="00896D4F">
        <w:t>takt också med den person som hade observerat de två män som hade åkt iväg med skyliften. Denne uppgav att han hade noterat registreringsnumret, efte</w:t>
      </w:r>
      <w:r w:rsidRPr="00896D4F">
        <w:t>r</w:t>
      </w:r>
      <w:r w:rsidRPr="00896D4F">
        <w:t>som han tyckte att det såg ”skumt” ut, och han lämnade också ett signal</w:t>
      </w:r>
      <w:r w:rsidRPr="00896D4F">
        <w:t>e</w:t>
      </w:r>
      <w:r w:rsidRPr="00896D4F">
        <w:t>ment, dock något vagt, på männen. Den 6 juni 2000 lades förundersökningen ned med motiveringen ”ej spa</w:t>
      </w:r>
      <w:r w:rsidRPr="00896D4F">
        <w:softHyphen/>
        <w:t>ningsresultat”.</w:t>
      </w:r>
    </w:p>
    <w:p w:rsidR="009C1C5A" w:rsidRPr="00896D4F" w:rsidRDefault="009C1C5A">
      <w:pPr>
        <w:pStyle w:val="Normaltindrag"/>
      </w:pPr>
      <w:r w:rsidRPr="00896D4F">
        <w:t>Wigo Brusbo, som var förunder</w:t>
      </w:r>
      <w:r w:rsidRPr="00896D4F">
        <w:t>sökningsledare i ärendet, har i sitt yttrande uppgett att han den 6 juni 2000 fick del av de uppgifter som assistenten hade fått. En ”slagning” på fordonet visade att det ägdes av en för polismyndigh</w:t>
      </w:r>
      <w:r w:rsidRPr="00896D4F">
        <w:t>e</w:t>
      </w:r>
      <w:r w:rsidRPr="00896D4F">
        <w:t>ten känd kri</w:t>
      </w:r>
      <w:r w:rsidRPr="00896D4F">
        <w:softHyphen/>
        <w:t>minell person. Wigo Brusbo ansåg att det var lönlöst att vid den tidpunkten, cirka två och en halv månad efter det att brottet begicks, ta ko</w:t>
      </w:r>
      <w:r w:rsidRPr="00896D4F">
        <w:t>n</w:t>
      </w:r>
      <w:r w:rsidRPr="00896D4F">
        <w:t>takt med bilägaren för att försöka utröna vem som hade disponerat fordonet vid det aktuella tillfället.</w:t>
      </w:r>
    </w:p>
    <w:p w:rsidR="009C1C5A" w:rsidRPr="00896D4F" w:rsidRDefault="009C1C5A">
      <w:pPr>
        <w:pStyle w:val="Normaltindrag"/>
      </w:pPr>
      <w:r w:rsidRPr="00896D4F">
        <w:t>Krister Jacobsson har som polismyndighetens uppfattni</w:t>
      </w:r>
      <w:r w:rsidRPr="00896D4F">
        <w:t>ng uttalat att föru</w:t>
      </w:r>
      <w:r w:rsidRPr="00896D4F">
        <w:t>n</w:t>
      </w:r>
      <w:r w:rsidRPr="00896D4F">
        <w:t>dersök</w:t>
      </w:r>
      <w:r w:rsidRPr="00896D4F">
        <w:softHyphen/>
        <w:t>ningsledaren inte haft ett tillräckligt underlag för att lägga ned föru</w:t>
      </w:r>
      <w:r w:rsidRPr="00896D4F">
        <w:t>n</w:t>
      </w:r>
      <w:r w:rsidRPr="00896D4F">
        <w:t>dersökningen den 6 juni 2000. Kontakt borde ha tagits med bilens registrerade ägare för att man därefter skulle ta ställning till om ytterligare åtgärder var erforderliga. I yttrandet anförs emellertid också att det i en pressad arbetssit</w:t>
      </w:r>
      <w:r w:rsidRPr="00896D4F">
        <w:t>u</w:t>
      </w:r>
      <w:r w:rsidRPr="00896D4F">
        <w:t>ation måste finnas förståelse för att man som förundersökningsledare väljer att lägga resurserna på mer priorite</w:t>
      </w:r>
      <w:r w:rsidRPr="00896D4F">
        <w:softHyphen/>
        <w:t>rade ärenden. Det upplyses avslutningsvis att ärendet har åte</w:t>
      </w:r>
      <w:r w:rsidRPr="00896D4F">
        <w:t>rupptagits.</w:t>
      </w:r>
    </w:p>
    <w:p w:rsidR="009C1C5A" w:rsidRPr="00896D4F" w:rsidRDefault="009C1C5A">
      <w:pPr>
        <w:pStyle w:val="Normaltindrag"/>
      </w:pPr>
      <w:r w:rsidRPr="00896D4F">
        <w:t>Jag anser i likhet med polismyndigheten att det fanns uppslag att bearbeta innan ett eventuellt beslut om att lägga ned förundersökningen kunde medd</w:t>
      </w:r>
      <w:r w:rsidRPr="00896D4F">
        <w:t>e</w:t>
      </w:r>
      <w:r w:rsidRPr="00896D4F">
        <w:t>las. Jag delar däremot inte myndighetens uppfattning att handläggningen av ärendet kan försvaras med hänvisning till den pressade arbetssituationen vid myndigheten. Oavsett hur arbetsläget ser ut vid en polismyndighet kan pri</w:t>
      </w:r>
      <w:r w:rsidRPr="00896D4F">
        <w:t>o</w:t>
      </w:r>
      <w:r w:rsidRPr="00896D4F">
        <w:t>riteringar av det här aktuella slaget inte accepteras.</w:t>
      </w:r>
    </w:p>
    <w:p w:rsidR="009C1C5A" w:rsidRPr="00896D4F" w:rsidRDefault="009C1C5A">
      <w:pPr>
        <w:pStyle w:val="Rubrik4"/>
      </w:pPr>
      <w:r w:rsidRPr="00896D4F">
        <w:t xml:space="preserve">K6735-00 </w:t>
      </w:r>
    </w:p>
    <w:p w:rsidR="009C1C5A" w:rsidRPr="00896D4F" w:rsidRDefault="009C1C5A">
      <w:r w:rsidRPr="00896D4F">
        <w:t>I en anmälan om stöld av en mobiltelefon som gjordes den 27 mars 2000 uppgavs att någon hade tillgripit en Kungsbacka kommun tillhörig mobiltel</w:t>
      </w:r>
      <w:r w:rsidRPr="00896D4F">
        <w:t>e</w:t>
      </w:r>
      <w:r w:rsidRPr="00896D4F">
        <w:t>fon på anmäla</w:t>
      </w:r>
      <w:r w:rsidRPr="00896D4F">
        <w:softHyphen/>
        <w:t>rens tjänsterum. Mobiltelefonen låg framme på bordet. Anmäl</w:t>
      </w:r>
      <w:r w:rsidRPr="00896D4F">
        <w:t>a</w:t>
      </w:r>
      <w:r w:rsidRPr="00896D4F">
        <w:t xml:space="preserve">ren hade lämnat rummet vid ett tillfälle då lokalvårdaren var inne och städade. I anmälan angavs vidare: ”Städerskan var ny för dagen, kontroll skall göras på städavdelningen.” </w:t>
      </w:r>
    </w:p>
    <w:p w:rsidR="009C1C5A" w:rsidRPr="00896D4F" w:rsidRDefault="009C1C5A">
      <w:pPr>
        <w:pStyle w:val="Normaltindrag"/>
      </w:pPr>
      <w:r w:rsidRPr="00896D4F">
        <w:t>Samma dag som anmälan gjordes fattades beslut om att inte inleda föru</w:t>
      </w:r>
      <w:r w:rsidRPr="00896D4F">
        <w:t>n</w:t>
      </w:r>
      <w:r w:rsidRPr="00896D4F">
        <w:t>de</w:t>
      </w:r>
      <w:r w:rsidRPr="00896D4F">
        <w:t>r</w:t>
      </w:r>
      <w:r w:rsidRPr="00896D4F">
        <w:t>sök</w:t>
      </w:r>
      <w:r w:rsidRPr="00896D4F">
        <w:softHyphen/>
        <w:t>ning med motiveringen att spaningsuppslag saknades.</w:t>
      </w:r>
    </w:p>
    <w:p w:rsidR="009C1C5A" w:rsidRPr="00896D4F" w:rsidRDefault="009C1C5A">
      <w:pPr>
        <w:pStyle w:val="Normaltindrag"/>
      </w:pPr>
      <w:r w:rsidRPr="00896D4F">
        <w:t>Leif Andersson, som var anmälningsgranskare och förundersökningsledare i ärendet, har uppgett att polisen och anmälaren hade träffat en överensko</w:t>
      </w:r>
      <w:r w:rsidRPr="00896D4F">
        <w:t>m</w:t>
      </w:r>
      <w:r w:rsidRPr="00896D4F">
        <w:t>melse som innebar att anmälaren på eget initiativ skulle göra vissa efterfors</w:t>
      </w:r>
      <w:r w:rsidRPr="00896D4F">
        <w:t>k</w:t>
      </w:r>
      <w:r w:rsidRPr="00896D4F">
        <w:t>ningar. Om det vid dessa framkom något som kunde användas i polisiärt spaningsarbete, skulle anmälaren återkomma till polisen med besked. I a</w:t>
      </w:r>
      <w:r w:rsidRPr="00896D4F">
        <w:t>v</w:t>
      </w:r>
      <w:r w:rsidRPr="00896D4F">
        <w:t>vaktan på ett sådant be</w:t>
      </w:r>
      <w:r w:rsidRPr="00896D4F">
        <w:softHyphen/>
        <w:t>sked beslutade Leif Andersson att inte inleda förunde</w:t>
      </w:r>
      <w:r w:rsidRPr="00896D4F">
        <w:t>r</w:t>
      </w:r>
      <w:r w:rsidRPr="00896D4F">
        <w:t>sökning med motiveringen ”spaningsuppslag saknas”. Om något ytterligare skulle framkomma i ärendet skulle han återuppta handläggningen.</w:t>
      </w:r>
    </w:p>
    <w:p w:rsidR="009C1C5A" w:rsidRPr="00896D4F" w:rsidRDefault="009C1C5A">
      <w:pPr>
        <w:pStyle w:val="Normaltindrag"/>
      </w:pPr>
      <w:r w:rsidRPr="00896D4F">
        <w:t>I polismyndighetens yttrande anförs att det aktuella ärendet inte hanterats f</w:t>
      </w:r>
      <w:r w:rsidRPr="00896D4F">
        <w:t>ullt tillfredsställande. Förundersökning borde ha inletts eftersom det redan i ingångs</w:t>
      </w:r>
      <w:r w:rsidRPr="00896D4F">
        <w:softHyphen/>
        <w:t>skedet fanns material som borde undersökas vidare. Myndighetens syn på de for</w:t>
      </w:r>
      <w:r w:rsidRPr="00896D4F">
        <w:softHyphen/>
        <w:t>mella förutsättningarna för hanteringen förändras enligt vad som sägs i yttrandet inte av det förhållandet att ärendet, med hänsyn till myndi</w:t>
      </w:r>
      <w:r w:rsidRPr="00896D4F">
        <w:t>g</w:t>
      </w:r>
      <w:r w:rsidRPr="00896D4F">
        <w:t>hetens pressade arbets</w:t>
      </w:r>
      <w:r w:rsidRPr="00896D4F">
        <w:softHyphen/>
        <w:t>situation och avsaknad av resurser, inte tillhör den mest prioriterade ärendetypen. Av yttrandet framgår vidare att ärendet har åte</w:t>
      </w:r>
      <w:r w:rsidRPr="00896D4F">
        <w:t>r</w:t>
      </w:r>
      <w:r w:rsidRPr="00896D4F">
        <w:t>upptagits.</w:t>
      </w:r>
    </w:p>
    <w:p w:rsidR="009C1C5A" w:rsidRPr="00896D4F" w:rsidRDefault="009C1C5A">
      <w:pPr>
        <w:pStyle w:val="Normaltindrag"/>
      </w:pPr>
      <w:r w:rsidRPr="00896D4F">
        <w:t xml:space="preserve">Regler om inledande av förundersökning </w:t>
      </w:r>
      <w:r w:rsidRPr="00896D4F">
        <w:t>finns i 23 kap. 1 § första stycket rätte</w:t>
      </w:r>
      <w:r w:rsidRPr="00896D4F">
        <w:softHyphen/>
        <w:t xml:space="preserve">gångsbalken (RB). Enligt vad som där sägs skall förundersökning inledas så snart det på grund av angivelse eller av annat skäl finns anledning att anta att ett brott som hör under allmänt åtal har förövats. För förundersökningar gäller enligt 23 kap. 4 § RB en objektivitetsprincip. Kravet på objektivitet gäller självfallet också för ställningstagandet i frågan om förundersökning skall inledas eller inte. </w:t>
      </w:r>
    </w:p>
    <w:p w:rsidR="009C1C5A" w:rsidRPr="00896D4F" w:rsidRDefault="009C1C5A">
      <w:pPr>
        <w:pStyle w:val="Normaltindrag"/>
      </w:pPr>
      <w:r w:rsidRPr="00896D4F">
        <w:t>Tröskeln för att inleda förundersökning har satts lågt. Det är</w:t>
      </w:r>
      <w:r w:rsidRPr="00896D4F">
        <w:t xml:space="preserve"> tillräckligt att det förekommer anledning till misstanke om brott. En förundersökning kan således inledas på mycket vaga misstankar så snart dessa avser något som kan vara ett brott (JO 1953 s. 107). Misstanken måste visserligen avse en konkret brottslig gärning men det är inte nödvändigt att man känner till brottets alla detaljer och inte heller när och var det har förövats (Ekelöf, SvJT 1982 s. 658). Förundersök</w:t>
      </w:r>
      <w:r w:rsidRPr="00896D4F">
        <w:softHyphen/>
        <w:t xml:space="preserve">ning behöver emellertid enligt 23 kap. 1 § andra stycket RB inte inledas om det är uppenbart </w:t>
      </w:r>
      <w:r w:rsidRPr="00896D4F">
        <w:t>att brottet inte går att utreda.</w:t>
      </w:r>
    </w:p>
    <w:p w:rsidR="009C1C5A" w:rsidRPr="00896D4F" w:rsidRDefault="009C1C5A">
      <w:pPr>
        <w:pStyle w:val="Normaltindrag"/>
      </w:pPr>
      <w:r w:rsidRPr="00896D4F">
        <w:t>Med hänsyn till det lågt ställda krav som således gäller för inledande av förunder</w:t>
      </w:r>
      <w:r w:rsidRPr="00896D4F">
        <w:softHyphen/>
        <w:t>sökning torde behovet av kompletterande uppgifter inför ställning</w:t>
      </w:r>
      <w:r w:rsidRPr="00896D4F">
        <w:t>s</w:t>
      </w:r>
      <w:r w:rsidRPr="00896D4F">
        <w:t>tagandet om förundersökning skall inledas eller inte i allmänhet vara ringa.</w:t>
      </w:r>
    </w:p>
    <w:p w:rsidR="009C1C5A" w:rsidRPr="00896D4F" w:rsidRDefault="009C1C5A">
      <w:pPr>
        <w:pStyle w:val="Normaltindrag"/>
      </w:pPr>
      <w:r w:rsidRPr="00896D4F">
        <w:t>Det kan inte råda något tvivel om att det i det aktuella fallet fanns anle</w:t>
      </w:r>
      <w:r w:rsidRPr="00896D4F">
        <w:t>d</w:t>
      </w:r>
      <w:r w:rsidRPr="00896D4F">
        <w:t>ning att anta att ett brott hade begåtts. Det var inte heller uppenbart att brottet inte gick att utreda. Förundersökning borde därför ha inletts redan på grun</w:t>
      </w:r>
      <w:r w:rsidRPr="00896D4F">
        <w:t>d</w:t>
      </w:r>
      <w:r w:rsidRPr="00896D4F">
        <w:t>val av de uppgifter som hade lämnats i anmälan.</w:t>
      </w:r>
    </w:p>
    <w:p w:rsidR="009C1C5A" w:rsidRPr="00896D4F" w:rsidRDefault="009C1C5A">
      <w:pPr>
        <w:pStyle w:val="Normaltindrag"/>
      </w:pPr>
      <w:r w:rsidRPr="00896D4F">
        <w:t>Leif Andersson har som nyss nämnts som förklaring till handläggningen hänvisat till den överenskommelse som träffats med anmälaren om att denne på eget initia</w:t>
      </w:r>
      <w:r w:rsidRPr="00896D4F">
        <w:softHyphen/>
        <w:t>tiv skulle göra vissa efterforskningar. Jag har i ett tidigare ärende (JO 1999/2000 s. 122) behandlat frågan om möjligheterna för en myndighet att, inför ett beslut i förundersökningsfrågan, avvakta kompletterande uppgi</w:t>
      </w:r>
      <w:r w:rsidRPr="00896D4F">
        <w:t>f</w:t>
      </w:r>
      <w:r w:rsidRPr="00896D4F">
        <w:t>ter från anmälaren. Som nämnts i det beslutet kan det i speciella fall träffas en överenskommelse med målsäganden om att denne skall tillhandahålla visst material. En underlåtelse från målsägandens sida att följa en sådan överen</w:t>
      </w:r>
      <w:r w:rsidRPr="00896D4F">
        <w:t>s</w:t>
      </w:r>
      <w:r w:rsidRPr="00896D4F">
        <w:t>kommelse befriar emellertid inte de brottsutredande organen fr</w:t>
      </w:r>
      <w:r w:rsidRPr="00896D4F">
        <w:t>ån skyldigh</w:t>
      </w:r>
      <w:r w:rsidRPr="00896D4F">
        <w:t>e</w:t>
      </w:r>
      <w:r w:rsidRPr="00896D4F">
        <w:t>ten att sakligt och objektivt vidta de utred</w:t>
      </w:r>
      <w:r w:rsidRPr="00896D4F">
        <w:softHyphen/>
        <w:t>ningsåtgärder som krävs. Leif A</w:t>
      </w:r>
      <w:r w:rsidRPr="00896D4F">
        <w:t>n</w:t>
      </w:r>
      <w:r w:rsidRPr="00896D4F">
        <w:t>dersson har inte närmare specificerat vilken in</w:t>
      </w:r>
      <w:r w:rsidRPr="00896D4F">
        <w:softHyphen/>
        <w:t>formation som han väntade på. Som nyss har nämnts var emellertid redan de upp</w:t>
      </w:r>
      <w:r w:rsidRPr="00896D4F">
        <w:softHyphen/>
        <w:t>gifter som lämnades i a</w:t>
      </w:r>
      <w:r w:rsidRPr="00896D4F">
        <w:t>n</w:t>
      </w:r>
      <w:r w:rsidRPr="00896D4F">
        <w:t>mälan tillräckliga för ett beslut att inleda förundersök</w:t>
      </w:r>
      <w:r w:rsidRPr="00896D4F">
        <w:softHyphen/>
        <w:t>ning.</w:t>
      </w:r>
    </w:p>
    <w:p w:rsidR="009C1C5A" w:rsidRPr="00896D4F" w:rsidRDefault="009C1C5A">
      <w:pPr>
        <w:pStyle w:val="Rubrik4"/>
      </w:pPr>
      <w:r w:rsidRPr="00896D4F">
        <w:t>Sammanfattning</w:t>
      </w:r>
    </w:p>
    <w:p w:rsidR="009C1C5A" w:rsidRPr="00896D4F" w:rsidRDefault="009C1C5A">
      <w:r w:rsidRPr="00896D4F">
        <w:t>Som framgår av vad som har sagts i det föregående finns det anledning att kritise</w:t>
      </w:r>
      <w:r w:rsidRPr="00896D4F">
        <w:softHyphen/>
        <w:t xml:space="preserve">ra polismyndighetens handläggning av ärendena i olika avseenden. </w:t>
      </w:r>
    </w:p>
    <w:p w:rsidR="009C1C5A" w:rsidRPr="00896D4F" w:rsidRDefault="009C1C5A">
      <w:pPr>
        <w:pStyle w:val="Normaltindrag"/>
      </w:pPr>
      <w:r w:rsidRPr="00896D4F">
        <w:t>Polismyndigheten har i yttrandena nämnt polismyndighetens pressade a</w:t>
      </w:r>
      <w:r w:rsidRPr="00896D4F">
        <w:t>r</w:t>
      </w:r>
      <w:r w:rsidRPr="00896D4F">
        <w:t>betssituation och avsaknad av resurser. Jag har i ett tidigare beslut (dnr 3203</w:t>
      </w:r>
      <w:r w:rsidRPr="00896D4F">
        <w:softHyphen/>
        <w:t>-2000) i ett ärende initierat med anledning av den aktuella inspektionen kritis</w:t>
      </w:r>
      <w:r w:rsidRPr="00896D4F">
        <w:t>e</w:t>
      </w:r>
      <w:r w:rsidRPr="00896D4F">
        <w:t>rat utredningsverksamheten vid kriminalavdelningen i Halmstad. De mest anmärk</w:t>
      </w:r>
      <w:r w:rsidRPr="00896D4F">
        <w:softHyphen/>
        <w:t>ningsvärda brister som hade observerats var de mycket långa han</w:t>
      </w:r>
      <w:r w:rsidRPr="00896D4F">
        <w:t>d</w:t>
      </w:r>
      <w:r w:rsidRPr="00896D4F">
        <w:t>läggningstider</w:t>
      </w:r>
      <w:r w:rsidRPr="00896D4F">
        <w:softHyphen/>
        <w:t>na, avsaknaden av väl fungerande bevaknings- och kontrollr</w:t>
      </w:r>
      <w:r w:rsidRPr="00896D4F">
        <w:t>u</w:t>
      </w:r>
      <w:r w:rsidRPr="00896D4F">
        <w:t>tiner och brister i fråga om prioriteringar av de olika ärendetyperna. Jag ko</w:t>
      </w:r>
      <w:r w:rsidRPr="00896D4F">
        <w:t>n</w:t>
      </w:r>
      <w:r w:rsidRPr="00896D4F">
        <w:t>staterade i beslutet att situationen endast till viss del</w:t>
      </w:r>
      <w:r w:rsidRPr="00896D4F">
        <w:t xml:space="preserve"> kunde förklaras med brist på resurser.</w:t>
      </w:r>
    </w:p>
    <w:p w:rsidR="009C1C5A" w:rsidRPr="00896D4F" w:rsidRDefault="009C1C5A">
      <w:pPr>
        <w:pStyle w:val="Normaltindrag"/>
      </w:pPr>
      <w:r w:rsidRPr="00896D4F">
        <w:t>Som framgår av det föregående kan bristande resurser och ett pressat a</w:t>
      </w:r>
      <w:r w:rsidRPr="00896D4F">
        <w:t>r</w:t>
      </w:r>
      <w:r w:rsidRPr="00896D4F">
        <w:t>betsläge över huvud taget inte åberopas som ursäkt för bristerna i handläg</w:t>
      </w:r>
      <w:r w:rsidRPr="00896D4F">
        <w:t>g</w:t>
      </w:r>
      <w:r w:rsidRPr="00896D4F">
        <w:t>ningen av de här aktuella ärendena. Jag förutsätter att polismyndighetens ledning på lämpligt sätt ser till att befattningshavarna har den kunskap som krävs för att liknande fel inte skall förekomma i framtiden. En omdömesgill och korrekt hantering av inkomna brottsanmälningar är av grundläggande betydelse för tilliten till samhällets brottsutredande verksamhet.</w:t>
      </w:r>
    </w:p>
    <w:p w:rsidR="009C1C5A" w:rsidRPr="00896D4F" w:rsidRDefault="009C1C5A">
      <w:pPr>
        <w:pStyle w:val="Rubrik2"/>
      </w:pPr>
      <w:r w:rsidRPr="00896D4F">
        <w:t>Kritik mot en förhörsledare för att denne under ett förhör lät en perso</w:t>
      </w:r>
      <w:r w:rsidRPr="00896D4F">
        <w:t xml:space="preserve">n, som var misstänkt och häktad i det ärende som förhöret avsåg, i alltför stor omfattning ställa frågor till en annan i samma ärende misstänkt person  </w:t>
      </w:r>
    </w:p>
    <w:p w:rsidR="009C1C5A" w:rsidRPr="00896D4F" w:rsidRDefault="009C1C5A">
      <w:pPr>
        <w:spacing w:before="0"/>
      </w:pPr>
      <w:r w:rsidRPr="00896D4F">
        <w:t>(Dnr 1881-2001)</w:t>
      </w:r>
    </w:p>
    <w:p w:rsidR="009C1C5A" w:rsidRPr="00896D4F" w:rsidRDefault="009C1C5A">
      <w:pPr>
        <w:pStyle w:val="Rubrik3"/>
      </w:pPr>
      <w:r w:rsidRPr="00896D4F">
        <w:t>Anmälan</w:t>
      </w:r>
    </w:p>
    <w:p w:rsidR="009C1C5A" w:rsidRPr="00896D4F" w:rsidRDefault="009C1C5A">
      <w:r w:rsidRPr="00896D4F">
        <w:t xml:space="preserve">I en anmälan till JO framförde Björn H. klagomål mot kriminalinspektören Lars Bergman, Polismyndigheten i Örebro län. Han uppgav bl.a. att Lars Bergman i egenskap av förhörsledare vid ett förhör som hölls den 4 oktober 2000 tillät T.H., som var häktad i ärendet, att agera förhörsledare och ställa frågor till R.A. som var misstänkt i samma ärende. </w:t>
      </w:r>
    </w:p>
    <w:p w:rsidR="009C1C5A" w:rsidRPr="00896D4F" w:rsidRDefault="009C1C5A">
      <w:pPr>
        <w:pStyle w:val="Normaltindrag"/>
      </w:pPr>
      <w:r w:rsidRPr="00896D4F">
        <w:t>Protokollet från förhöret hade fogats till anmälan. I detta hade antecknats att förhöret var ett ”konfrontationsförhör där T.H. får möjlighet att ställa fr</w:t>
      </w:r>
      <w:r w:rsidRPr="00896D4F">
        <w:t>å</w:t>
      </w:r>
      <w:r w:rsidRPr="00896D4F">
        <w:t>gor till R.A”.</w:t>
      </w:r>
    </w:p>
    <w:p w:rsidR="009C1C5A" w:rsidRPr="00896D4F" w:rsidRDefault="009C1C5A">
      <w:pPr>
        <w:pStyle w:val="Rubrik3"/>
      </w:pPr>
      <w:r w:rsidRPr="00896D4F">
        <w:t>Utredning</w:t>
      </w:r>
    </w:p>
    <w:p w:rsidR="009C1C5A" w:rsidRPr="00896D4F" w:rsidRDefault="009C1C5A">
      <w:r w:rsidRPr="00896D4F">
        <w:t>Ärendet remitterades till polismyndigheten för upplysningar och yttrande i följa</w:t>
      </w:r>
      <w:r w:rsidRPr="00896D4F">
        <w:t>n</w:t>
      </w:r>
      <w:r w:rsidRPr="00896D4F">
        <w:t>de hänseenden.</w:t>
      </w:r>
    </w:p>
    <w:p w:rsidR="009C1C5A" w:rsidRPr="00896D4F" w:rsidRDefault="009C1C5A">
      <w:pPr>
        <w:spacing w:before="0"/>
      </w:pPr>
      <w:r w:rsidRPr="00896D4F">
        <w:t>a) Föregicks förhöret med T.H. den 4 oktober 2000 av några kon</w:t>
      </w:r>
      <w:r w:rsidRPr="00896D4F">
        <w:softHyphen/>
        <w:t>takter med förundersökningsledaren och, om så var fallet, vad avhandlades med avsee</w:t>
      </w:r>
      <w:r w:rsidRPr="00896D4F">
        <w:t>n</w:t>
      </w:r>
      <w:r w:rsidRPr="00896D4F">
        <w:t>de på det förestående förhöret?</w:t>
      </w:r>
    </w:p>
    <w:p w:rsidR="009C1C5A" w:rsidRPr="00896D4F" w:rsidRDefault="009C1C5A">
      <w:pPr>
        <w:spacing w:before="0"/>
      </w:pPr>
      <w:r w:rsidRPr="00896D4F">
        <w:t>b) Hade förundersökningsledaren gett några direktiv för förhörets genomf</w:t>
      </w:r>
      <w:r w:rsidRPr="00896D4F">
        <w:t>ö</w:t>
      </w:r>
      <w:r w:rsidRPr="00896D4F">
        <w:t>rande och, om så var fallet, vilka?</w:t>
      </w:r>
    </w:p>
    <w:p w:rsidR="009C1C5A" w:rsidRPr="00896D4F" w:rsidRDefault="009C1C5A">
      <w:pPr>
        <w:spacing w:before="0"/>
      </w:pPr>
      <w:r w:rsidRPr="00896D4F">
        <w:t>c) Vem hade beslutat att R.A. skulle få närvara vid förhöret och att T.H. skulle få ställa frågor vid detta?</w:t>
      </w:r>
    </w:p>
    <w:p w:rsidR="009C1C5A" w:rsidRPr="00896D4F" w:rsidRDefault="009C1C5A">
      <w:pPr>
        <w:spacing w:before="0"/>
      </w:pPr>
      <w:r w:rsidRPr="00896D4F">
        <w:t>d) Hur gick förhöret till?</w:t>
      </w:r>
    </w:p>
    <w:p w:rsidR="009C1C5A" w:rsidRPr="00896D4F" w:rsidRDefault="009C1C5A">
      <w:r w:rsidRPr="00896D4F">
        <w:t>Polismyndigheten (länspolismästaren Bengt Svensson) kom in med ett yttra</w:t>
      </w:r>
      <w:r w:rsidRPr="00896D4F">
        <w:t>n</w:t>
      </w:r>
      <w:r w:rsidRPr="00896D4F">
        <w:t>de till vilket hade fogats upplysningar från förhörsledaren Lars Bergman.</w:t>
      </w:r>
    </w:p>
    <w:p w:rsidR="009C1C5A" w:rsidRPr="00896D4F" w:rsidRDefault="009C1C5A">
      <w:pPr>
        <w:pStyle w:val="Rubrik4"/>
      </w:pPr>
      <w:r w:rsidRPr="00896D4F">
        <w:t>Bengt Svensson</w:t>
      </w:r>
    </w:p>
    <w:p w:rsidR="009C1C5A" w:rsidRPr="00896D4F" w:rsidRDefault="009C1C5A">
      <w:pPr>
        <w:pStyle w:val="Rubrik5"/>
        <w:rPr>
          <w:u w:val="single"/>
        </w:rPr>
      </w:pPr>
      <w:r w:rsidRPr="00896D4F">
        <w:rPr>
          <w:u w:val="single"/>
        </w:rPr>
        <w:t>Formerna för förhör</w:t>
      </w:r>
    </w:p>
    <w:p w:rsidR="009C1C5A" w:rsidRPr="00896D4F" w:rsidRDefault="009C1C5A">
      <w:pPr>
        <w:pStyle w:val="Citat"/>
        <w:rPr>
          <w:u w:val="single"/>
        </w:rPr>
      </w:pPr>
      <w:r w:rsidRPr="00896D4F">
        <w:t>I RB 23 kap. 11 § regleras förundersökningsledarens ansvar för förhörets utformning och rätten att ställa frågor eller meddela sig med den hörde när vissa uppräknade kategorier personer tillåts vara närvarande.</w:t>
      </w:r>
    </w:p>
    <w:p w:rsidR="009C1C5A" w:rsidRPr="00896D4F" w:rsidRDefault="009C1C5A">
      <w:pPr>
        <w:pStyle w:val="Citatindrag"/>
      </w:pPr>
      <w:r w:rsidRPr="00896D4F">
        <w:t>Förhörsledaren uppger att han kontaktat T.H:s ombud som varit förhindrad att närvara och inhämtat dennes medgivande att låta T.H. själv ställa frågor till R.A. Förhörsledaren har vidare före förhöret varit i kontakt med förunde</w:t>
      </w:r>
      <w:r w:rsidRPr="00896D4F">
        <w:t>r</w:t>
      </w:r>
      <w:r w:rsidRPr="00896D4F">
        <w:t xml:space="preserve">sökningsledaren som informerats om T.H:s önskemål och inte haft någon erinran. T.H. har sedan tillåtits framställa sina frågor direkt till R.A. Av det utskrivna dialogförhöret framgår vem som ställt frågor, vilka frågor som ställts och de svar som lämnats. </w:t>
      </w:r>
    </w:p>
    <w:p w:rsidR="009C1C5A" w:rsidRPr="00896D4F" w:rsidRDefault="009C1C5A">
      <w:pPr>
        <w:pStyle w:val="Citat"/>
      </w:pPr>
      <w:r w:rsidRPr="00896D4F">
        <w:t>– – –</w:t>
      </w:r>
    </w:p>
    <w:p w:rsidR="009C1C5A" w:rsidRPr="00896D4F" w:rsidRDefault="009C1C5A">
      <w:pPr>
        <w:pStyle w:val="Rubrik5"/>
        <w:rPr>
          <w:sz w:val="20"/>
          <w:u w:val="single"/>
        </w:rPr>
      </w:pPr>
      <w:r w:rsidRPr="00896D4F">
        <w:rPr>
          <w:u w:val="single"/>
        </w:rPr>
        <w:t>Polismyndighetens bedömning</w:t>
      </w:r>
    </w:p>
    <w:p w:rsidR="009C1C5A" w:rsidRPr="00896D4F" w:rsidRDefault="009C1C5A">
      <w:pPr>
        <w:pStyle w:val="Citat"/>
      </w:pPr>
      <w:r w:rsidRPr="00896D4F">
        <w:t>Polismyndigheten bedömer att handläggningen följt såväl rättegångsbalkens som förundersök</w:t>
      </w:r>
      <w:r w:rsidRPr="00896D4F">
        <w:softHyphen/>
        <w:t>ningskungörelsens bestämmelser samt den vägledning som ges i det ovan nämnda referensmateri</w:t>
      </w:r>
      <w:r w:rsidRPr="00896D4F">
        <w:softHyphen/>
        <w:t>alet.</w:t>
      </w:r>
    </w:p>
    <w:p w:rsidR="009C1C5A" w:rsidRPr="00896D4F" w:rsidRDefault="009C1C5A">
      <w:pPr>
        <w:pStyle w:val="Citatindrag"/>
      </w:pPr>
      <w:r w:rsidRPr="00896D4F">
        <w:t>Utifrån generella utgångspunkter skulle den typ av förhör som nu geno</w:t>
      </w:r>
      <w:r w:rsidRPr="00896D4F">
        <w:t>m</w:t>
      </w:r>
      <w:r w:rsidRPr="00896D4F">
        <w:t>förts möjligen kunna sägas påfordra något närmare direktiv från förundersö</w:t>
      </w:r>
      <w:r w:rsidRPr="00896D4F">
        <w:t>k</w:t>
      </w:r>
      <w:r w:rsidRPr="00896D4F">
        <w:t>ningsledaren om tillvägagångssätt och dokument</w:t>
      </w:r>
      <w:r w:rsidRPr="00896D4F">
        <w:t>a</w:t>
      </w:r>
      <w:r w:rsidRPr="00896D4F">
        <w:t>tion.</w:t>
      </w:r>
    </w:p>
    <w:p w:rsidR="009C1C5A" w:rsidRPr="00896D4F" w:rsidRDefault="009C1C5A">
      <w:r w:rsidRPr="00896D4F">
        <w:t>Ärendet remitterades därefter till Åklagarmyndigheten i Västerås för upply</w:t>
      </w:r>
      <w:r w:rsidRPr="00896D4F">
        <w:t>s</w:t>
      </w:r>
      <w:r w:rsidRPr="00896D4F">
        <w:t>ningar och yttrande i följande hänseenden.</w:t>
      </w:r>
    </w:p>
    <w:p w:rsidR="009C1C5A" w:rsidRPr="00896D4F" w:rsidRDefault="009C1C5A">
      <w:pPr>
        <w:spacing w:before="0"/>
      </w:pPr>
      <w:r w:rsidRPr="00896D4F">
        <w:t>a) Föregicks förhöret med T.H. den 4 oktober 2000 av några kon</w:t>
      </w:r>
      <w:r w:rsidRPr="00896D4F">
        <w:softHyphen/>
        <w:t>takter med förhörsledaren och, om så var fallet, vad avhandlades med avseende på det före</w:t>
      </w:r>
      <w:r w:rsidRPr="00896D4F">
        <w:softHyphen/>
        <w:t>stående förhöret?</w:t>
      </w:r>
    </w:p>
    <w:p w:rsidR="009C1C5A" w:rsidRPr="00896D4F" w:rsidRDefault="009C1C5A">
      <w:pPr>
        <w:spacing w:before="0"/>
      </w:pPr>
      <w:r w:rsidRPr="00896D4F">
        <w:t>b) Gav förundersökningsledaren några direktiv för förhörets genomförande och, om så var fallet, vilka?</w:t>
      </w:r>
    </w:p>
    <w:p w:rsidR="009C1C5A" w:rsidRPr="00896D4F" w:rsidRDefault="009C1C5A">
      <w:pPr>
        <w:spacing w:before="0"/>
      </w:pPr>
      <w:r w:rsidRPr="00896D4F">
        <w:t>c) Vem beslutade att R.A. skulle få närvara vid förhöret och att T.H. skulle få ställa frågor vid detta?</w:t>
      </w:r>
    </w:p>
    <w:p w:rsidR="009C1C5A" w:rsidRPr="00896D4F" w:rsidRDefault="009C1C5A">
      <w:r w:rsidRPr="00896D4F">
        <w:t>Åklagarmyndigheten (överåklagaren Guntra Åhlund) kom in med ett yttrande till vilket hade fogats ett yttrande från chefsåklagaren Göran Edlund.</w:t>
      </w:r>
    </w:p>
    <w:p w:rsidR="009C1C5A" w:rsidRPr="00896D4F" w:rsidRDefault="009C1C5A">
      <w:pPr>
        <w:pStyle w:val="Rubrik4"/>
      </w:pPr>
      <w:r w:rsidRPr="00896D4F">
        <w:t>Guntra Åhlund</w:t>
      </w:r>
    </w:p>
    <w:p w:rsidR="009C1C5A" w:rsidRPr="00896D4F" w:rsidRDefault="009C1C5A">
      <w:pPr>
        <w:pStyle w:val="Citat"/>
      </w:pPr>
      <w:r w:rsidRPr="00896D4F">
        <w:t>Upplysningar och yttrande i ärendet har inhämtats från chefsåklagaren Göran Edlund. När det gäller anmodan att lämna upplysningar hänvisar jag till hans yttrande. Utöver vad som framgår av yttrandet har Edlund tillagt att samma ordförande handlade målet vid häktningsförhandlingen som vid huvudför</w:t>
      </w:r>
      <w:r w:rsidRPr="00896D4F">
        <w:softHyphen/>
        <w:t>handlingen samt att den kritik som riktades mot förh</w:t>
      </w:r>
      <w:r w:rsidRPr="00896D4F">
        <w:t>ö</w:t>
      </w:r>
      <w:r w:rsidRPr="00896D4F">
        <w:t>ret vid häktningsför</w:t>
      </w:r>
      <w:r w:rsidRPr="00896D4F">
        <w:softHyphen/>
        <w:t>handlingen inte upprepades vid huvudförhandlingen. Edlund har vidare upp</w:t>
      </w:r>
      <w:r w:rsidRPr="00896D4F">
        <w:softHyphen/>
        <w:t>givit att utredningen inte slutdelgi</w:t>
      </w:r>
      <w:r w:rsidRPr="00896D4F">
        <w:softHyphen/>
        <w:t>vits enligt 23 kap. 18 § första stycket rätte</w:t>
      </w:r>
      <w:r w:rsidRPr="00896D4F">
        <w:softHyphen/>
        <w:t>gångsbalken när T.H:s försvarare begärde dels att få närvara vid förhör med R.A., dels att vissa frågor skulle ställas till R.A.</w:t>
      </w:r>
    </w:p>
    <w:p w:rsidR="009C1C5A" w:rsidRPr="00896D4F" w:rsidRDefault="009C1C5A">
      <w:pPr>
        <w:pStyle w:val="Citatindrag"/>
      </w:pPr>
      <w:r w:rsidRPr="00896D4F">
        <w:t>Enligt 23 kap. 18 § första stycket rättegångsbalken har den misstänkte och hans eller hennes för</w:t>
      </w:r>
      <w:r w:rsidRPr="00896D4F">
        <w:softHyphen/>
        <w:t>svarare rätt att ange den utredning de anser önskvärd. Av 23 kap. 18 § andra stycket rättegångsbal</w:t>
      </w:r>
      <w:r w:rsidRPr="00896D4F">
        <w:softHyphen/>
        <w:t>ken följer att förhör eller annan u</w:t>
      </w:r>
      <w:r w:rsidRPr="00896D4F">
        <w:t>t</w:t>
      </w:r>
      <w:r w:rsidRPr="00896D4F">
        <w:t>redning skall äga rum på begäran av den misstänkte eller dennes försvara</w:t>
      </w:r>
      <w:r w:rsidRPr="00896D4F">
        <w:softHyphen/>
        <w:t>re, om det kan antas vara av betydelse för utredningen. Vanligen finns det anle</w:t>
      </w:r>
      <w:r w:rsidRPr="00896D4F">
        <w:t>d</w:t>
      </w:r>
      <w:r w:rsidRPr="00896D4F">
        <w:t>ning för förundersökningsledaren att bifalla en sådan begäran om att en viss förundersökningsåtgärd skall vidtas (Se Ekelöf m.fl., Rättegång V, 7 ppl., s. 134 och Gullnäs m.fl., Rättegång</w:t>
      </w:r>
      <w:r w:rsidRPr="00896D4F">
        <w:t>s</w:t>
      </w:r>
      <w:r w:rsidRPr="00896D4F">
        <w:t>balken I, Del 2, s. 23:67 f.).</w:t>
      </w:r>
    </w:p>
    <w:p w:rsidR="009C1C5A" w:rsidRPr="00896D4F" w:rsidRDefault="009C1C5A">
      <w:pPr>
        <w:pStyle w:val="Citatindrag"/>
      </w:pPr>
      <w:r w:rsidRPr="00896D4F">
        <w:t xml:space="preserve">Det </w:t>
      </w:r>
      <w:r w:rsidRPr="00896D4F">
        <w:t>har enligt min uppfattning inte framkommit något som ger anledning att ifrågasätta Edlunds beslut om att vidta de av försvararen begärda fö</w:t>
      </w:r>
      <w:r w:rsidRPr="00896D4F">
        <w:t>r</w:t>
      </w:r>
      <w:r w:rsidRPr="00896D4F">
        <w:t>under</w:t>
      </w:r>
      <w:r w:rsidRPr="00896D4F">
        <w:softHyphen/>
        <w:t>sökningsåtgärderna, dvs. att vissa frågor skulle ställas till R.A.</w:t>
      </w:r>
    </w:p>
    <w:p w:rsidR="009C1C5A" w:rsidRPr="00896D4F" w:rsidRDefault="009C1C5A">
      <w:pPr>
        <w:pStyle w:val="Citatindrag"/>
      </w:pPr>
      <w:r w:rsidRPr="00896D4F">
        <w:t>Rätten för olika personer att närvara vid förhör under förundersökningen reg</w:t>
      </w:r>
      <w:r w:rsidRPr="00896D4F">
        <w:softHyphen/>
        <w:t>leras i 23 kap. 10 § rättegångsbalken. Av bestämmelsens andra stycke fram</w:t>
      </w:r>
      <w:r w:rsidRPr="00896D4F">
        <w:softHyphen/>
        <w:t>går att den misstänkte och dennes försva</w:t>
      </w:r>
      <w:r w:rsidRPr="00896D4F">
        <w:softHyphen/>
        <w:t>rare har rätt att närvara vid fö</w:t>
      </w:r>
      <w:r w:rsidRPr="00896D4F">
        <w:t>r</w:t>
      </w:r>
      <w:r w:rsidRPr="00896D4F">
        <w:t>hör som de påkallat enligt 23 kap. 18 § andra stycket rättegångsbal</w:t>
      </w:r>
      <w:r w:rsidRPr="00896D4F">
        <w:softHyphen/>
        <w:t>ken. Denna närvarorätt är ovillkorlig (Se Ekelöf m.fl., Rättegång V, 7 uppl., s. 133 f., Gullnäs m.fl., Rättegångsbalken I, Del 2, s. 23:44 och Gärde, Nya rätte</w:t>
      </w:r>
      <w:r w:rsidRPr="00896D4F">
        <w:softHyphen/>
        <w:t>gångsbalken, s. 301). I detta fall har fram</w:t>
      </w:r>
      <w:r w:rsidRPr="00896D4F">
        <w:softHyphen/>
        <w:t>ställan om utrednings</w:t>
      </w:r>
      <w:r w:rsidRPr="00896D4F">
        <w:softHyphen/>
        <w:t>åtgärderna inte gjorts efter det att utredningen slutdelgivits enlig</w:t>
      </w:r>
      <w:r w:rsidRPr="00896D4F">
        <w:t>t 23 kap. 18 § första stycket rättegångsbalken. Försvararens framställan torde då inte vara att se som en begäran enligt 23 kap. 18 § andra stycket rättegångsbalken, varför en ovil</w:t>
      </w:r>
      <w:r w:rsidRPr="00896D4F">
        <w:t>l</w:t>
      </w:r>
      <w:r w:rsidRPr="00896D4F">
        <w:t>korlig rätt att närvara vid förhö</w:t>
      </w:r>
      <w:r w:rsidRPr="00896D4F">
        <w:softHyphen/>
        <w:t>ret inte synes ha förelegat (Se JO 1965 s. 187–200, särskilt s. 198, Blomkvist, Försvararen, s. 30 och Ekelöf m.fl., Rättegång V, 7 uppl., s. 133 f. Se även TSA 1965 s. 84–94).</w:t>
      </w:r>
    </w:p>
    <w:p w:rsidR="009C1C5A" w:rsidRPr="00896D4F" w:rsidRDefault="009C1C5A">
      <w:pPr>
        <w:pStyle w:val="Citatindrag"/>
      </w:pPr>
      <w:r w:rsidRPr="00896D4F">
        <w:t>Det kan vara lämpligt att den misstänkte eller annan är närvarande vid fö</w:t>
      </w:r>
      <w:r w:rsidRPr="00896D4F">
        <w:t>r</w:t>
      </w:r>
      <w:r w:rsidRPr="00896D4F">
        <w:t>hör även i andra fall än när ett sådant förhör påkallats enligt 23 kap. 18 § andra stycket rättegångsbalken (Se SOU 1938:44 s. 289). Bestämmelsen i 23 kap. 10 § andra stycket rätte</w:t>
      </w:r>
      <w:r w:rsidRPr="00896D4F">
        <w:softHyphen/>
        <w:t>gångsbalken ger således undersökningsle</w:t>
      </w:r>
      <w:r w:rsidRPr="00896D4F">
        <w:softHyphen/>
        <w:t>daren rätt att tillåta annan än för</w:t>
      </w:r>
      <w:r w:rsidRPr="00896D4F">
        <w:softHyphen/>
        <w:t>hörsvittne att närvara vid förhör. Av bestämmelsen följer också att den miss</w:t>
      </w:r>
      <w:r w:rsidRPr="00896D4F">
        <w:softHyphen/>
        <w:t>tänktes försvarare får närvara vid förhör om det kan ske utan men för utred</w:t>
      </w:r>
      <w:r w:rsidRPr="00896D4F">
        <w:softHyphen/>
        <w:t xml:space="preserve">ningen. </w:t>
      </w:r>
    </w:p>
    <w:p w:rsidR="009C1C5A" w:rsidRPr="00896D4F" w:rsidRDefault="009C1C5A">
      <w:pPr>
        <w:pStyle w:val="Citatindrag"/>
      </w:pPr>
      <w:r w:rsidRPr="00896D4F">
        <w:t>I största möjliga utsträckning bör en sådan framställan bifallas (Se JO 1965 s. 187–200, sär</w:t>
      </w:r>
      <w:r w:rsidRPr="00896D4F">
        <w:t>skilt s. 199 och Blomkvist, Försvararen, s. 30). I praxis torde det vara mycket sällsynt att en begäran från försvararen om att närvara vid förhör avslås (Se Ekelöf m.fl., Rättegång V, 7 uppl., s. 134. Se även Blo</w:t>
      </w:r>
      <w:r w:rsidRPr="00896D4F">
        <w:t>m</w:t>
      </w:r>
      <w:r w:rsidRPr="00896D4F">
        <w:t>kvist, Försvararen, s. 31). Undersökningsledaren kan delegera beslutande</w:t>
      </w:r>
      <w:r w:rsidRPr="00896D4F">
        <w:softHyphen/>
        <w:t>rätten enligt 23 kap. 10 § andra stycket rättegångsbalken till förhörsledaren (Se Gullnäs m.fl., Rättegångsbalken I, Del 2, s. 23:43).</w:t>
      </w:r>
    </w:p>
    <w:p w:rsidR="009C1C5A" w:rsidRPr="00896D4F" w:rsidRDefault="009C1C5A">
      <w:pPr>
        <w:pStyle w:val="Citatindrag"/>
      </w:pPr>
      <w:r w:rsidRPr="00896D4F">
        <w:t>I det aktuella fallet står det klart att Edlund beslutat om att T.H. skulle ti</w:t>
      </w:r>
      <w:r w:rsidRPr="00896D4F">
        <w:t>l</w:t>
      </w:r>
      <w:r w:rsidRPr="00896D4F">
        <w:t>låtas närvara vid det aktuella förhöret med R.A. Huruvida detta borde ha tillåtits är en bedömningsfråga där olika uppfattningar kan ha skäl för sig. Rättsläget angående när en framställan kan avslås synes vidare vara något oklart. Begäran om att närvara vid det aktuella förhöret har framställts av en misstänkt i syfte att denne skulle kunna tillvarata sin rätt. En sådan begäran bör i största möjliga utsträckning bifallas (Se JO 1965 s. 187–200, särskilt s. 199). Om det finns skäl att tro att annan misstän</w:t>
      </w:r>
      <w:r w:rsidRPr="00896D4F">
        <w:t>kt i målet (medmisstänkt) skulle bli lidande av att framställan bifalls bör den misstänkte, enligt min mening, inte tillåtas att närvara vid förhöret. Detta gäller under förutsättning att det kan förväntas att den medmisstänktes intresse av att begäran avslås överväger den misstänktes intresse av att när</w:t>
      </w:r>
      <w:r w:rsidRPr="00896D4F">
        <w:softHyphen/>
        <w:t>vara vid förhöret för att kunna tillvarata sin rätt. Det kan också av andra skäl än det nämnda finnas anledning att avslå en begäran från misstänkt om att få närvara vid förhör. Även i dessa fall måste de m</w:t>
      </w:r>
      <w:r w:rsidRPr="00896D4F">
        <w:t>otstående intressena över</w:t>
      </w:r>
      <w:r w:rsidRPr="00896D4F">
        <w:softHyphen/>
        <w:t>väga den misstänktes intresse att närvara för att kunna tillvarata sin rätt. Det kan i detta sammanhang noteras att det inte är möjligt att neka misstänkt att närvara vid förhör som påkallats enligt 23 kap. 18 § andra stycket rättegångs</w:t>
      </w:r>
      <w:r w:rsidRPr="00896D4F">
        <w:softHyphen/>
        <w:t>balken. Detta måste beaktas vid prövningen. I det aktuella fallet har Edlund följt huvudregeln och bifallit den misstänktes begäran. Enligt min mening ger vad som framkommit i ärendet inte belägg för att Edlund inte haft fog för be</w:t>
      </w:r>
      <w:r w:rsidRPr="00896D4F">
        <w:softHyphen/>
        <w:t>slutet att tillåt</w:t>
      </w:r>
      <w:r w:rsidRPr="00896D4F">
        <w:t>a T.H. att närvara vid förhöret.</w:t>
      </w:r>
    </w:p>
    <w:p w:rsidR="009C1C5A" w:rsidRPr="00896D4F" w:rsidRDefault="009C1C5A">
      <w:pPr>
        <w:pStyle w:val="Citatindrag"/>
      </w:pPr>
      <w:r w:rsidRPr="00896D4F">
        <w:t>Är den misstänkte närvarande vid förhör får han eller hon, enligt 23 kap. 11 § rättegångsbalken, framställa frågor till den som hörs i den ordning som undersökningsledaren bestämmer. Förhörsle</w:t>
      </w:r>
      <w:r w:rsidRPr="00896D4F">
        <w:softHyphen/>
        <w:t>daren i det aktuella ärendet synes mena att han klargjort för Edlund att hans tanke var att förhöret skulle geno</w:t>
      </w:r>
      <w:r w:rsidRPr="00896D4F">
        <w:t>m</w:t>
      </w:r>
      <w:r w:rsidRPr="00896D4F">
        <w:t>föras på så sätt att T.H. direkt fick ställa frågor till R.A. För</w:t>
      </w:r>
      <w:r w:rsidRPr="00896D4F">
        <w:softHyphen/>
        <w:t>hörsledaren har uppfattat att Edlund givit sin tillåtelse till att förhöret genom</w:t>
      </w:r>
      <w:r w:rsidRPr="00896D4F">
        <w:softHyphen/>
        <w:t>fördes på detta sätt. Edlund har å sin sida uppgivit att han inte uppfattat att förhörsledaren avsåg att hålla förhöret på detta sätt, utan att tanken var att T.H. skulle ställa sina frågor genom förhörsledaren. Det var också Edlunds upp</w:t>
      </w:r>
      <w:r w:rsidRPr="00896D4F">
        <w:softHyphen/>
        <w:t>fattning att</w:t>
      </w:r>
      <w:r w:rsidRPr="00896D4F">
        <w:t xml:space="preserve"> förhöret skulle ske på detta sätt. Edlund har inte kunnat erinra sig vad som mer i detalj sades vid samtalet med förhörsleda</w:t>
      </w:r>
      <w:r w:rsidRPr="00896D4F">
        <w:softHyphen/>
        <w:t>ren.</w:t>
      </w:r>
    </w:p>
    <w:p w:rsidR="009C1C5A" w:rsidRPr="00896D4F" w:rsidRDefault="009C1C5A">
      <w:pPr>
        <w:pStyle w:val="Citatindrag"/>
      </w:pPr>
      <w:r w:rsidRPr="00896D4F">
        <w:t>De uppgifter som lämnats av Edlund och förhörsledaren är enligt min m</w:t>
      </w:r>
      <w:r w:rsidRPr="00896D4F">
        <w:t>e</w:t>
      </w:r>
      <w:r w:rsidRPr="00896D4F">
        <w:t>ning sådana att det inte blivit klarlagt att Edlund med full insikt beslutat att T.H. skulle tillåtas att ställa sina frågor direkt till R.A. vid förhöret. Att förh</w:t>
      </w:r>
      <w:r w:rsidRPr="00896D4F">
        <w:t>ö</w:t>
      </w:r>
      <w:r w:rsidRPr="00896D4F">
        <w:t>ret kommit att ske på det sättet att T.H. direkt ställde frågor till R. A., och att förhöret således inte hållits i enlighet med förundersöknings</w:t>
      </w:r>
      <w:r w:rsidRPr="00896D4F">
        <w:softHyphen/>
        <w:t>ledarens intenti</w:t>
      </w:r>
      <w:r w:rsidRPr="00896D4F">
        <w:t>o</w:t>
      </w:r>
      <w:r w:rsidRPr="00896D4F">
        <w:t>ner, synes ha berott på ett missförstånd mellan Edlund och förhörsledaren. Jag anser att det ålegat de inblandade, och i synnerhet Edlund, att tillse att korrekt information lämnas, a</w:t>
      </w:r>
      <w:r w:rsidRPr="00896D4F">
        <w:t>tt denna uppfattas på ett riktigt sätt och att direktiv up</w:t>
      </w:r>
      <w:r w:rsidRPr="00896D4F">
        <w:t>p</w:t>
      </w:r>
      <w:r w:rsidRPr="00896D4F">
        <w:t>fattas på ett riktigt sätt av förhörsledaren. Det har emellertid, som jag ser det, inte framkommit sådana uppgifter som ger anledning att klandra vare sig Edlund eller förhörsled</w:t>
      </w:r>
      <w:r w:rsidRPr="00896D4F">
        <w:t>a</w:t>
      </w:r>
      <w:r w:rsidRPr="00896D4F">
        <w:t>ren för det missför</w:t>
      </w:r>
      <w:r w:rsidRPr="00896D4F">
        <w:softHyphen/>
        <w:t>stånd som synes ha uppkommit.</w:t>
      </w:r>
    </w:p>
    <w:p w:rsidR="009C1C5A" w:rsidRPr="00896D4F" w:rsidRDefault="009C1C5A">
      <w:pPr>
        <w:pStyle w:val="Citatindrag"/>
      </w:pPr>
      <w:r w:rsidRPr="00896D4F">
        <w:t>När det rent allmänt gäller i vilka situationer en misstänkt bör ges möjli</w:t>
      </w:r>
      <w:r w:rsidRPr="00896D4F">
        <w:t>g</w:t>
      </w:r>
      <w:r w:rsidRPr="00896D4F">
        <w:t>het att direkt ställa frågor till den hörde så förefaller detta spörsmål endast spar</w:t>
      </w:r>
      <w:r w:rsidRPr="00896D4F">
        <w:softHyphen/>
        <w:t>samt ha behandlats i doktrinen. Huvudregel är självfallet att det är fö</w:t>
      </w:r>
      <w:r w:rsidRPr="00896D4F">
        <w:t>r</w:t>
      </w:r>
      <w:r w:rsidRPr="00896D4F">
        <w:t>hörs</w:t>
      </w:r>
      <w:r w:rsidRPr="00896D4F">
        <w:softHyphen/>
        <w:t>ledaren som bör ställa frågorna. I vilka situationer det finns anledning till av</w:t>
      </w:r>
      <w:r w:rsidRPr="00896D4F">
        <w:softHyphen/>
        <w:t>steg från denna huvudregel får betecknas som oklart (Se Blomkvist, Fö</w:t>
      </w:r>
      <w:r w:rsidRPr="00896D4F">
        <w:t>r</w:t>
      </w:r>
      <w:r w:rsidRPr="00896D4F">
        <w:t>svararen, s. 31, Bring m.fl., Förhör, s. 74 f., Ekelöf m.fl., Rättegång V, 7 uppl., s. 132 f., Gullnäs m.fl., Rättegångsbalken I, Del 2, s. 23:46a–23:47 och Gärde, Nya rättegångsbalken, s. 302). Enl</w:t>
      </w:r>
      <w:r w:rsidRPr="00896D4F">
        <w:t>igt min mening finns det gen</w:t>
      </w:r>
      <w:r w:rsidRPr="00896D4F">
        <w:t>e</w:t>
      </w:r>
      <w:r w:rsidRPr="00896D4F">
        <w:t>rellt anledning till försiktighet med att tillåta en misstänkt att ställa frågor direkt till den hörde.</w:t>
      </w:r>
    </w:p>
    <w:p w:rsidR="009C1C5A" w:rsidRPr="00896D4F" w:rsidRDefault="009C1C5A">
      <w:pPr>
        <w:pStyle w:val="Citatindrag"/>
      </w:pPr>
      <w:r w:rsidRPr="00896D4F">
        <w:t>Av ordalydelsen i 23 kap. 11 § rättegångsbalken framgår att det är unde</w:t>
      </w:r>
      <w:r w:rsidRPr="00896D4F">
        <w:t>r</w:t>
      </w:r>
      <w:r w:rsidRPr="00896D4F">
        <w:t>sök</w:t>
      </w:r>
      <w:r w:rsidRPr="00896D4F">
        <w:softHyphen/>
        <w:t>ningsledaren som skall besluta om formerna för förhöret. Med hänsyn till de uttalanden som gjorts i litteraturen förefaller det dock vara förhörsledaren som normalt beslutar i frågan (Se Blomkvist, Försvararen, s. 31, Bring m.fl., Förhör, s. 74, Gullnäs m.fl., Rättegångs</w:t>
      </w:r>
      <w:r w:rsidRPr="00896D4F">
        <w:softHyphen/>
        <w:t>balken I, Del 2, s. 23:46a-23:47 och Gärde, Nya rättegångsbalken, s. 302). Den rättsliga grunden för en sådan ordning är inte helt klar. Ord</w:t>
      </w:r>
      <w:r w:rsidRPr="00896D4F">
        <w:softHyphen/>
        <w:t>ningen torde emellertid kunna motiveras med att under</w:t>
      </w:r>
      <w:r w:rsidRPr="00896D4F">
        <w:softHyphen/>
        <w:t>sökningsledaren normalt får anses ha del</w:t>
      </w:r>
      <w:r w:rsidRPr="00896D4F">
        <w:t>e</w:t>
      </w:r>
      <w:r w:rsidRPr="00896D4F">
        <w:softHyphen/>
        <w:t>gerat sin beslutanderätt till förhörs</w:t>
      </w:r>
      <w:r w:rsidRPr="00896D4F">
        <w:softHyphen/>
        <w:t>ledaren om frågan inte berörts särskilt eller på annat sätt av</w:t>
      </w:r>
      <w:r w:rsidRPr="00896D4F">
        <w:softHyphen/>
        <w:t>gjorts. Om Edlund i detta fall hade överlåtit bestämmanderätten rörande de närmare fo</w:t>
      </w:r>
      <w:r w:rsidRPr="00896D4F">
        <w:t>r</w:t>
      </w:r>
      <w:r w:rsidRPr="00896D4F">
        <w:t>merna för förhöret till förhörsledaren kan jag, mot nämnda bakgrund, inte se att ett sådant beslut kan kritise</w:t>
      </w:r>
      <w:r w:rsidRPr="00896D4F">
        <w:softHyphen/>
        <w:t>ras. Detta förutsatt att frågan inte konkret hade avhandlats vid kontakten mellan Edlund och för</w:t>
      </w:r>
      <w:r w:rsidRPr="00896D4F">
        <w:softHyphen/>
        <w:t>hörsledaren.</w:t>
      </w:r>
    </w:p>
    <w:p w:rsidR="009C1C5A" w:rsidRPr="00896D4F" w:rsidRDefault="009C1C5A">
      <w:pPr>
        <w:pStyle w:val="Citatindrag"/>
      </w:pPr>
      <w:r w:rsidRPr="00896D4F">
        <w:t>Jag gör således sammanfattningsvis den bedömningen att det inte finns an</w:t>
      </w:r>
      <w:r w:rsidRPr="00896D4F">
        <w:softHyphen/>
        <w:t>ledning att rikta någon kritik mot Edlunds handläggning av äre</w:t>
      </w:r>
      <w:r w:rsidRPr="00896D4F">
        <w:t>n</w:t>
      </w:r>
      <w:r w:rsidRPr="00896D4F">
        <w:t>det.</w:t>
      </w:r>
    </w:p>
    <w:p w:rsidR="009C1C5A" w:rsidRPr="00896D4F" w:rsidRDefault="009C1C5A">
      <w:r w:rsidRPr="00896D4F">
        <w:t xml:space="preserve">I ett beslut den 25 januari 2002 anförde </w:t>
      </w:r>
      <w:r w:rsidRPr="00896D4F">
        <w:rPr>
          <w:i/>
        </w:rPr>
        <w:t>chefsJO Eklundh</w:t>
      </w:r>
      <w:r w:rsidRPr="00896D4F">
        <w:t xml:space="preserve"> bl.a. följande.</w:t>
      </w:r>
    </w:p>
    <w:p w:rsidR="009C1C5A" w:rsidRPr="00896D4F" w:rsidRDefault="009C1C5A">
      <w:pPr>
        <w:pStyle w:val="Rubrik3"/>
      </w:pPr>
      <w:r w:rsidRPr="00896D4F">
        <w:t>Bedömning</w:t>
      </w:r>
    </w:p>
    <w:p w:rsidR="009C1C5A" w:rsidRPr="00896D4F" w:rsidRDefault="009C1C5A">
      <w:r w:rsidRPr="00896D4F">
        <w:t>Bestämmelser om rätten att närvara vid förhör finns i 23 kap. 10 § rättegång</w:t>
      </w:r>
      <w:r w:rsidRPr="00896D4F">
        <w:t>s</w:t>
      </w:r>
      <w:r w:rsidRPr="00896D4F">
        <w:t>balken (RB). Enligt första stycket skall om möjligt ett av undersökningsled</w:t>
      </w:r>
      <w:r w:rsidRPr="00896D4F">
        <w:t>a</w:t>
      </w:r>
      <w:r w:rsidRPr="00896D4F">
        <w:t>ren anmodat trovärdigt vittne närvara. Enligt paragrafens andra stycke har undersökningsledaren vidare en generell rätt att bestämma att också någon annan än ett vittne får vara närvarande vid ett förhör. Den misstänkte och hans försvarare har en ovillkorlig rätt att närvara vid sådana förhör som p</w:t>
      </w:r>
      <w:r w:rsidRPr="00896D4F">
        <w:t>å</w:t>
      </w:r>
      <w:r w:rsidRPr="00896D4F">
        <w:t xml:space="preserve">kallats med stöd av 23 kap. 18 § andra stycket RB. Enligt detta lagrum skall på begäran av den misstänkte eller hans försvarare förhör </w:t>
      </w:r>
      <w:r w:rsidRPr="00896D4F">
        <w:t>eller annan utre</w:t>
      </w:r>
      <w:r w:rsidRPr="00896D4F">
        <w:t>d</w:t>
      </w:r>
      <w:r w:rsidRPr="00896D4F">
        <w:t>ning äga rum, om detta kan antas vara av betydelse för undersökningen. Vid</w:t>
      </w:r>
      <w:r w:rsidRPr="00896D4F">
        <w:t>a</w:t>
      </w:r>
      <w:r w:rsidRPr="00896D4F">
        <w:t>re får försvararen också i andra fall närvara vid förhör om det kan ske utan men för utre</w:t>
      </w:r>
      <w:r w:rsidRPr="00896D4F">
        <w:t>d</w:t>
      </w:r>
      <w:r w:rsidRPr="00896D4F">
        <w:t>ningen.</w:t>
      </w:r>
    </w:p>
    <w:p w:rsidR="009C1C5A" w:rsidRPr="00896D4F" w:rsidRDefault="009C1C5A">
      <w:pPr>
        <w:pStyle w:val="Normaltindrag"/>
      </w:pPr>
      <w:r w:rsidRPr="00896D4F">
        <w:t>Om den misstänkte eller hans försvarare är närvarande vid ett förhör, får han enligt 23 kap. 11 § RB i den ordning undersökningsledaren bestämmer fra</w:t>
      </w:r>
      <w:r w:rsidRPr="00896D4F">
        <w:t>m</w:t>
      </w:r>
      <w:r w:rsidRPr="00896D4F">
        <w:t xml:space="preserve">ställa frågor till den som hörs. </w:t>
      </w:r>
    </w:p>
    <w:p w:rsidR="009C1C5A" w:rsidRPr="00896D4F" w:rsidRDefault="009C1C5A">
      <w:pPr>
        <w:pStyle w:val="Normaltindrag"/>
      </w:pPr>
      <w:r w:rsidRPr="00896D4F">
        <w:t>Av utredningen framgår att den misstänkte vid tidpunkten för framstäl</w:t>
      </w:r>
      <w:r w:rsidRPr="00896D4F">
        <w:t>l</w:t>
      </w:r>
      <w:r w:rsidRPr="00896D4F">
        <w:t>ningen om förhöret med R.A. inte på det sätt som anges i 23 kap. 18 § första stycket RB hade underrättats om sin rätt att ta del av vad som hade föreko</w:t>
      </w:r>
      <w:r w:rsidRPr="00896D4F">
        <w:t>m</w:t>
      </w:r>
      <w:r w:rsidRPr="00896D4F">
        <w:t xml:space="preserve">mit vid utredningen och att framföra önskemål och synpunkter med anledning av denna (s.k. slutdelgivning). JO har i ett tidigare ärende gett uttryck för uppfattningen att rätten för den misstänkte och hans försvarare att påkalla utredningsåtgärder med stöd av 23 kap. 18 § andra stycket inträder först i och med slutdelgivningen (JO 1965 s. 198). Också andra </w:t>
      </w:r>
      <w:r w:rsidRPr="00896D4F">
        <w:t>uppfattningar har eme</w:t>
      </w:r>
      <w:r w:rsidRPr="00896D4F">
        <w:t>l</w:t>
      </w:r>
      <w:r w:rsidRPr="00896D4F">
        <w:t xml:space="preserve">lertid framförts i denna fråga (se Fitger, Rättegångsbalken del 2, s. 23:44 med där gjorda hänvisningar).  </w:t>
      </w:r>
    </w:p>
    <w:p w:rsidR="009C1C5A" w:rsidRPr="00896D4F" w:rsidRDefault="009C1C5A">
      <w:pPr>
        <w:pStyle w:val="Normaltindrag"/>
      </w:pPr>
      <w:r w:rsidRPr="00896D4F">
        <w:t>Mot bakgrund av vad som kommit fram i ärendet finner jag inte anledning att göra något uttalande med anledning av Göran Edlunds beslut att T.H. skulle tillåtas närvara vid förhöret med R.A. och framställa frågor till denne.</w:t>
      </w:r>
    </w:p>
    <w:p w:rsidR="009C1C5A" w:rsidRPr="00896D4F" w:rsidRDefault="009C1C5A">
      <w:pPr>
        <w:pStyle w:val="Normaltindrag"/>
      </w:pPr>
      <w:r w:rsidRPr="00896D4F">
        <w:t>Det finns däremot skäl att behandla frågan om det sätt på vilket förhöret kom att genomföras. I protokollet anges T.H. som förhörsperson. Av förhör</w:t>
      </w:r>
      <w:r w:rsidRPr="00896D4F">
        <w:t>s</w:t>
      </w:r>
      <w:r w:rsidRPr="00896D4F">
        <w:t>utskriften fram</w:t>
      </w:r>
      <w:r w:rsidRPr="00896D4F">
        <w:softHyphen/>
        <w:t>går emellertid att förhöret till stor del genomfördes på så sätt att T.H. ställde frågor direkt till R.A. Sammanlagt framställde T.H. ett tre</w:t>
      </w:r>
      <w:r w:rsidRPr="00896D4F">
        <w:t>t</w:t>
      </w:r>
      <w:r w:rsidRPr="00896D4F">
        <w:t xml:space="preserve">tiotal frågor till R.A. under den del av förhöret som redovisas i dialogform i förhörsutskriften. Också förhörsledaren Lars Bergman ställde ett antal frågor till R.A. Han riktade däremot endast någon enstaka fråga till T.H. </w:t>
      </w:r>
    </w:p>
    <w:p w:rsidR="009C1C5A" w:rsidRPr="00896D4F" w:rsidRDefault="009C1C5A">
      <w:pPr>
        <w:pStyle w:val="Normaltindrag"/>
      </w:pPr>
      <w:r w:rsidRPr="00896D4F">
        <w:t>Förhörsledaren har det fulla ansvaret för genomförandet av förhöret. Han skall därvid bl.a. se till att det inte förekommer någr</w:t>
      </w:r>
      <w:r w:rsidRPr="00896D4F">
        <w:t>a sådana otillbörliga å</w:t>
      </w:r>
      <w:r w:rsidRPr="00896D4F">
        <w:t>t</w:t>
      </w:r>
      <w:r w:rsidRPr="00896D4F">
        <w:t>gärder som anges i 23 kap. 12 § RB. Ett förhör måste självfallet genomföras på ett sådant sätt att förhörsledaren inte förlorar kontrollen över vad som förekommer vid detta. Jag delar åklagarmyndighetens uppfattning att det generellt finns anledning till försiktighet med att tillåta en misstänkt att ställa frågor direkt till den hörde. Frågor från den misstänkte bör i stället som h</w:t>
      </w:r>
      <w:r w:rsidRPr="00896D4F">
        <w:t>u</w:t>
      </w:r>
      <w:r w:rsidRPr="00896D4F">
        <w:t xml:space="preserve">vudregel framställas genom förhörsledaren. Det får självfallet under inga omständigheter förekomma att </w:t>
      </w:r>
      <w:r w:rsidRPr="00896D4F">
        <w:t>förhörsledarskapet i praktiken helt eller delvis utövas av den misstänkte. Enligt min mening tilläts T.H. vid förhöret fra</w:t>
      </w:r>
      <w:r w:rsidRPr="00896D4F">
        <w:t>m</w:t>
      </w:r>
      <w:r w:rsidRPr="00896D4F">
        <w:t>ställa frågor till R.A. i en omfattning som inte står i överensstämmelse med vad som får anses ha varit lagstiftarens avsikt med bestämmelsen i 23 kap. 11 § RB. Eftersom syftet med förhöret inte var att inhämta uppgifter från T.H. och det därför ställdes endast någon enstaka fråga till denne, var det vidare missvisande att i protokollet ange T.H. som förhörspe</w:t>
      </w:r>
      <w:r w:rsidRPr="00896D4F">
        <w:t>r</w:t>
      </w:r>
      <w:r w:rsidRPr="00896D4F">
        <w:t xml:space="preserve">son. </w:t>
      </w:r>
    </w:p>
    <w:p w:rsidR="009C1C5A" w:rsidRPr="00896D4F" w:rsidRDefault="009C1C5A">
      <w:pPr>
        <w:pStyle w:val="Normaltindrag"/>
      </w:pPr>
      <w:r w:rsidRPr="00896D4F">
        <w:t>Göran Edlund har und</w:t>
      </w:r>
      <w:r w:rsidRPr="00896D4F">
        <w:t>er utredningen uppgett att han var av den uppfat</w:t>
      </w:r>
      <w:r w:rsidRPr="00896D4F">
        <w:t>t</w:t>
      </w:r>
      <w:r w:rsidRPr="00896D4F">
        <w:t>ningen att T.H. skulle ställa sina frågor genom förhörsledaren. Lars Bergman har i sin tur uppgett att han fått den uppfattningen att han hade fått Göran Edlunds tillåtelse att genomföra förhöret på det sätt som skedde. Meningarna om vad som avhandlades mellan förundersökningsledaren och förhörsledaren före förhöret går således isär. Det finns inte någon anledning att anta att ytte</w:t>
      </w:r>
      <w:r w:rsidRPr="00896D4F">
        <w:t>r</w:t>
      </w:r>
      <w:r w:rsidRPr="00896D4F">
        <w:t>ligare utredningsåtgärder skulle kunna bringa klarhet i saken. Jag lämnar därf</w:t>
      </w:r>
      <w:r w:rsidRPr="00896D4F">
        <w:t xml:space="preserve">ör denna fråga. </w:t>
      </w:r>
    </w:p>
    <w:p w:rsidR="009C1C5A" w:rsidRPr="00896D4F" w:rsidRDefault="009C1C5A">
      <w:pPr>
        <w:pStyle w:val="Rubrik2"/>
      </w:pPr>
      <w:r w:rsidRPr="00896D4F">
        <w:t xml:space="preserve">Kritik mot en polismyndighet för dröjsmål med diarieföring och besvarande av ett till myndigheten inkommet e-postmeddelande </w:t>
      </w:r>
    </w:p>
    <w:p w:rsidR="009C1C5A" w:rsidRPr="00896D4F" w:rsidRDefault="009C1C5A">
      <w:pPr>
        <w:spacing w:before="0"/>
      </w:pPr>
      <w:r w:rsidRPr="00896D4F">
        <w:t>(Dnr 4060-2001)</w:t>
      </w:r>
    </w:p>
    <w:p w:rsidR="009C1C5A" w:rsidRPr="00896D4F" w:rsidRDefault="009C1C5A">
      <w:pPr>
        <w:pStyle w:val="Rubrik3"/>
      </w:pPr>
      <w:r w:rsidRPr="00896D4F">
        <w:t>Anmälan</w:t>
      </w:r>
    </w:p>
    <w:p w:rsidR="009C1C5A" w:rsidRPr="00896D4F" w:rsidRDefault="009C1C5A">
      <w:pPr>
        <w:rPr>
          <w:b/>
        </w:rPr>
      </w:pPr>
      <w:r w:rsidRPr="00896D4F">
        <w:t>I en anmälan till JO som kom in den 6 november 2001, framförde T.H. kritik mot Polismyndigheten i Skåne. Han uppgav att någon okänd person hade uppgivit hans företags webbadress som avsändare till erbjudanden att köpa självlysande kondomer. Den 5 oktober 2001 skickade han ett elektroniskt brev till Polismyndigheten i Skåne vari han ställde frågor om möjligheterna att göra polisanmälan mot den som missbrukat hans webbadress och nå fra</w:t>
      </w:r>
      <w:r w:rsidRPr="00896D4F">
        <w:t>m</w:t>
      </w:r>
      <w:r w:rsidRPr="00896D4F">
        <w:t>gång med en sådan anmälan. Då han inte fick något svar på sin fråga skickade han ett nytt e-postmeddelande till polismyndigheten den 6 november 2001 där han bl.a. ifrågasatte varför myndigheten hade en e-postadress när ”ingen ve</w:t>
      </w:r>
      <w:r w:rsidRPr="00896D4F">
        <w:t>r</w:t>
      </w:r>
      <w:r w:rsidRPr="00896D4F">
        <w:t>kar bry sig”. Samma dag ingav han en anmälan till JO.</w:t>
      </w:r>
    </w:p>
    <w:p w:rsidR="009C1C5A" w:rsidRPr="00896D4F" w:rsidRDefault="009C1C5A">
      <w:pPr>
        <w:pStyle w:val="Rubrik3"/>
      </w:pPr>
      <w:r w:rsidRPr="00896D4F">
        <w:t>Utredning</w:t>
      </w:r>
    </w:p>
    <w:p w:rsidR="009C1C5A" w:rsidRPr="00896D4F" w:rsidRDefault="009C1C5A">
      <w:r w:rsidRPr="00896D4F">
        <w:t xml:space="preserve">Muntliga upplysningar inhämtades från polismyndigheten. </w:t>
      </w:r>
    </w:p>
    <w:p w:rsidR="009C1C5A" w:rsidRPr="00896D4F" w:rsidRDefault="009C1C5A">
      <w:pPr>
        <w:pStyle w:val="Normaltindrag"/>
      </w:pPr>
      <w:r w:rsidRPr="00896D4F">
        <w:t>Ärendet remitterades därefter till Polismyndigheten i Skåne för upply</w:t>
      </w:r>
      <w:r w:rsidRPr="00896D4F">
        <w:t>s</w:t>
      </w:r>
      <w:r w:rsidRPr="00896D4F">
        <w:t>ningar om och yttrande över hur T.H:s elektroniska brev till myndigheten den 5 oktober 2001 handlagts, och vilka rutiner polismyndigheten har för öppna</w:t>
      </w:r>
      <w:r w:rsidRPr="00896D4F">
        <w:t>n</w:t>
      </w:r>
      <w:r w:rsidRPr="00896D4F">
        <w:t>de, registrering och besvarande av inkommande elektronisk post. Polismy</w:t>
      </w:r>
      <w:r w:rsidRPr="00896D4F">
        <w:t>n</w:t>
      </w:r>
      <w:r w:rsidRPr="00896D4F">
        <w:t>digheten (biträdande länspolismästare Kjell Arne Eliasson) kom in med ett yttrande till vilket hade fogats länspolismästarens tjänsteföreskrift om extern e-post (saknr 181-2) den 1 december 2000.</w:t>
      </w:r>
    </w:p>
    <w:p w:rsidR="009C1C5A" w:rsidRPr="00896D4F" w:rsidRDefault="009C1C5A">
      <w:pPr>
        <w:pStyle w:val="Rubrik4"/>
      </w:pPr>
      <w:r w:rsidRPr="00896D4F">
        <w:t>Kjell Arne Eliasson</w:t>
      </w:r>
    </w:p>
    <w:p w:rsidR="009C1C5A" w:rsidRPr="00896D4F" w:rsidRDefault="009C1C5A">
      <w:pPr>
        <w:rPr>
          <w:i/>
        </w:rPr>
      </w:pPr>
      <w:r w:rsidRPr="00896D4F">
        <w:rPr>
          <w:i/>
        </w:rPr>
        <w:t>Upplysningar om ärendets handläggning</w:t>
      </w:r>
    </w:p>
    <w:p w:rsidR="009C1C5A" w:rsidRPr="00896D4F" w:rsidRDefault="009C1C5A">
      <w:pPr>
        <w:pStyle w:val="Citat"/>
      </w:pPr>
      <w:r w:rsidRPr="00896D4F">
        <w:t>Fredagen den 5 oktober 2001 klockan 22.57 avsändes till Polismyndighetens i Skåne e-postbrevlåda ett meddelande avsänt av anmälaren, T.H. Meddelandet registrerades i myndighetens e-postdiarium strax efter midnatt den 6 oktober och öppnades av registrator på morgonen måndagen den 8 oktober, skrevs ut på papper och översändes samma dag till Centraljouren inom Polisområde Malmö (POMA) för bedömning om ärendet skulle föras in i diariet för krim</w:t>
      </w:r>
      <w:r w:rsidRPr="00896D4F">
        <w:t>i</w:t>
      </w:r>
      <w:r w:rsidRPr="00896D4F">
        <w:t>nalärenden (K-diariet).</w:t>
      </w:r>
    </w:p>
    <w:p w:rsidR="009C1C5A" w:rsidRPr="00896D4F" w:rsidRDefault="009C1C5A">
      <w:pPr>
        <w:pStyle w:val="Citatindrag"/>
      </w:pPr>
      <w:r w:rsidRPr="00896D4F">
        <w:t>Av de upplysningar som inhämtats från POMA framgår att ärendet sann</w:t>
      </w:r>
      <w:r w:rsidRPr="00896D4F">
        <w:t>o</w:t>
      </w:r>
      <w:r w:rsidRPr="00896D4F">
        <w:t>likt inkom dit på eftermiddagen den 8 oktober men eftersom mottagaren där inte uppfattade handlingen som en brottsanmälan skickades ärendet vidare för komplettering och vidare handläggning till den polisman som är utsedd att hantera frågor och svar via Internet. Det framgår vidare att denne tog sig an ärendet, som inte bedömdes prioriterat, antingen tisdagen den 9 eller onsd</w:t>
      </w:r>
      <w:r w:rsidRPr="00896D4F">
        <w:t>a</w:t>
      </w:r>
      <w:r w:rsidRPr="00896D4F">
        <w:t>gen den 10 oktober. Eftersom ärendet saknade anknytning till POMA skick</w:t>
      </w:r>
      <w:r w:rsidRPr="00896D4F">
        <w:t>a</w:t>
      </w:r>
      <w:r w:rsidRPr="00896D4F">
        <w:t>des det med internpost vidare för handläggning till Polisområ</w:t>
      </w:r>
      <w:r w:rsidRPr="00896D4F">
        <w:t>de Mellersta Skåne (POMS), där det geografiskt hör hemma. Kopia av handlingen med påteckning att det vidaresänts till POMS översändes till registrator och för att sättas in i den pärm som används för ärenden, som inte diarieförts i myndi</w:t>
      </w:r>
      <w:r w:rsidRPr="00896D4F">
        <w:t>g</w:t>
      </w:r>
      <w:r w:rsidRPr="00896D4F">
        <w:t>hetens ALM-diarium. Olyckligtvis kom meddelandet att sättas in i fel pärm.</w:t>
      </w:r>
    </w:p>
    <w:p w:rsidR="009C1C5A" w:rsidRPr="00896D4F" w:rsidRDefault="009C1C5A">
      <w:pPr>
        <w:pStyle w:val="Citatindrag"/>
      </w:pPr>
      <w:r w:rsidRPr="00896D4F">
        <w:t>För POMA:s del hämtas internposten av vaktmästeri varje vardagsmorgon första gången klockan 07.00 och läggs i aktuell utkorg. POMS avhämtar sin post ca klockan 13.30.</w:t>
      </w:r>
    </w:p>
    <w:p w:rsidR="009C1C5A" w:rsidRPr="00896D4F" w:rsidRDefault="009C1C5A">
      <w:pPr>
        <w:pStyle w:val="Citatindrag"/>
      </w:pPr>
      <w:r w:rsidRPr="00896D4F">
        <w:t>POMS har upplyst att handlingen i enlighet med gängse rutiner sannolikt hämtades i Malmö tisdagen den 16 oktober och diariefördes den 17 oktober. Inom POMS registrerades ärendet på chefen för spanings- och narkotikaroteln den 23 oktober. Denne lade ut ärendet på en av de få utredningsmän som besitter kompetens på området. Eftersom ärendet inte prioriterades högre än andra liknande ärenden lades det i balans och p</w:t>
      </w:r>
      <w:r w:rsidRPr="00896D4F">
        <w:t>å</w:t>
      </w:r>
      <w:r w:rsidRPr="00896D4F">
        <w:t>börjades den 9 november.</w:t>
      </w:r>
    </w:p>
    <w:p w:rsidR="009C1C5A" w:rsidRPr="00896D4F" w:rsidRDefault="009C1C5A">
      <w:pPr>
        <w:pStyle w:val="Citatindrag"/>
      </w:pPr>
      <w:r w:rsidRPr="00896D4F">
        <w:t>Då registrator den 8 november kontaktades först av informationsdirektören och därefter av Riksdagens ombudsmän blev hon konsternerad av att ärendet inte kunde återfinnas i den pärm som används för sådana ärenden. När hon försökte finna en anledning till dröjsmålet kunde hon i hastigheten inte finna någon annan förklaring än att meddelandet misstänkts vara virussmittat och därför inte hanterats enligt gängse rutiner.</w:t>
      </w:r>
    </w:p>
    <w:p w:rsidR="009C1C5A" w:rsidRPr="00896D4F" w:rsidRDefault="009C1C5A">
      <w:pPr>
        <w:pStyle w:val="Citatindrag"/>
      </w:pPr>
      <w:r w:rsidRPr="00896D4F">
        <w:t>Efter samtalet och ytterligare sökande återfanns dock ärendet senare sa</w:t>
      </w:r>
      <w:r w:rsidRPr="00896D4F">
        <w:t>m</w:t>
      </w:r>
      <w:r w:rsidRPr="00896D4F">
        <w:t>ma dag. För att inte handläggningen skulle försenas ytterligare vidarebefor</w:t>
      </w:r>
      <w:r w:rsidRPr="00896D4F">
        <w:t>d</w:t>
      </w:r>
      <w:r w:rsidRPr="00896D4F">
        <w:t>rade hon genast meddelandet till myndighetens upplysningscentral som sa</w:t>
      </w:r>
      <w:r w:rsidRPr="00896D4F">
        <w:t>m</w:t>
      </w:r>
      <w:r w:rsidRPr="00896D4F">
        <w:t>ma dag besvarade den av Hansson framställda frågan. – Vid upplysningsce</w:t>
      </w:r>
      <w:r w:rsidRPr="00896D4F">
        <w:t>n</w:t>
      </w:r>
      <w:r w:rsidRPr="00896D4F">
        <w:t>tralen handläggs mer allmänt hållna frågor från allmänheten rörande t ex trafikbestämmelser och olika slags polismyndighet</w:t>
      </w:r>
      <w:r w:rsidRPr="00896D4F">
        <w:t>s</w:t>
      </w:r>
      <w:r w:rsidRPr="00896D4F">
        <w:t>ärenden.</w:t>
      </w:r>
    </w:p>
    <w:p w:rsidR="009C1C5A" w:rsidRPr="00896D4F" w:rsidRDefault="009C1C5A">
      <w:pPr>
        <w:pStyle w:val="Rubrik4"/>
        <w:rPr>
          <w:sz w:val="19"/>
        </w:rPr>
      </w:pPr>
      <w:r w:rsidRPr="00896D4F">
        <w:rPr>
          <w:sz w:val="19"/>
        </w:rPr>
        <w:t>Rättslig reglering</w:t>
      </w:r>
    </w:p>
    <w:p w:rsidR="009C1C5A" w:rsidRPr="00896D4F" w:rsidRDefault="009C1C5A">
      <w:pPr>
        <w:pStyle w:val="Citat"/>
      </w:pPr>
      <w:r w:rsidRPr="00896D4F">
        <w:t>Polismyndighetens rutiner för öppnande och registrering av extern e-post regleras i myndighetens bilagda tjänsteföreskrift (</w:t>
      </w:r>
      <w:r w:rsidRPr="00896D4F">
        <w:rPr>
          <w:i/>
        </w:rPr>
        <w:t>här utesluten, JO:s anm</w:t>
      </w:r>
      <w:r w:rsidRPr="00896D4F">
        <w:t>.) den 1 december 2000 med saknummer 181-2. Av tjänsteföreskriften framgår de grundläggande bestämmelserna.</w:t>
      </w:r>
    </w:p>
    <w:p w:rsidR="009C1C5A" w:rsidRPr="00896D4F" w:rsidRDefault="009C1C5A">
      <w:pPr>
        <w:pStyle w:val="Citatindrag"/>
        <w:outlineLvl w:val="0"/>
      </w:pPr>
      <w:r w:rsidRPr="00896D4F">
        <w:t xml:space="preserve">Registrator skall bl a enligt föreskriften </w:t>
      </w:r>
    </w:p>
    <w:p w:rsidR="009C1C5A" w:rsidRPr="00896D4F" w:rsidRDefault="009C1C5A">
      <w:pPr>
        <w:pStyle w:val="Citatindrag"/>
        <w:ind w:left="227" w:firstLine="0"/>
        <w:outlineLvl w:val="0"/>
      </w:pPr>
      <w:r w:rsidRPr="00896D4F">
        <w:t xml:space="preserve">varje dag kontrollera om meddelande kommit in samt diarieföra enligt gängse rutiner </w:t>
      </w:r>
    </w:p>
    <w:p w:rsidR="009C1C5A" w:rsidRPr="00896D4F" w:rsidRDefault="009C1C5A">
      <w:pPr>
        <w:pStyle w:val="Citatindrag"/>
        <w:outlineLvl w:val="0"/>
      </w:pPr>
      <w:r w:rsidRPr="00896D4F">
        <w:t>skriva ut alla meddelanden som är allmä</w:t>
      </w:r>
      <w:r w:rsidRPr="00896D4F">
        <w:t>n</w:t>
      </w:r>
      <w:r w:rsidRPr="00896D4F">
        <w:t>na handlingar.</w:t>
      </w:r>
    </w:p>
    <w:p w:rsidR="009C1C5A" w:rsidRPr="00896D4F" w:rsidRDefault="009C1C5A">
      <w:pPr>
        <w:pStyle w:val="Citat"/>
      </w:pPr>
      <w:r w:rsidRPr="00896D4F">
        <w:t>Föreskriften innehåller härutöver bestämmelser om att all e-post automatiskt skall registreras i ett e-postdiarium. Detta sker i en därför särskilt upprättad server.</w:t>
      </w:r>
    </w:p>
    <w:p w:rsidR="009C1C5A" w:rsidRPr="00896D4F" w:rsidRDefault="009C1C5A">
      <w:pPr>
        <w:pStyle w:val="Citatindrag"/>
      </w:pPr>
      <w:r w:rsidRPr="00896D4F">
        <w:t>När ett meddelande från allmänheten nått polismyndighetens e-postbrev</w:t>
      </w:r>
      <w:r w:rsidRPr="00896D4F">
        <w:softHyphen/>
        <w:t>låda lämnas numera automatiskt följande besked:</w:t>
      </w:r>
    </w:p>
    <w:p w:rsidR="009C1C5A" w:rsidRPr="00896D4F" w:rsidRDefault="009C1C5A">
      <w:pPr>
        <w:pStyle w:val="Citat"/>
      </w:pPr>
      <w:r w:rsidRPr="00896D4F">
        <w:t>”DETTA ÄR ETT AUTOMATISKT SÄNT E-MAIL</w:t>
      </w:r>
    </w:p>
    <w:p w:rsidR="009C1C5A" w:rsidRPr="00896D4F" w:rsidRDefault="009C1C5A">
      <w:pPr>
        <w:pStyle w:val="Citat"/>
      </w:pPr>
      <w:r w:rsidRPr="00896D4F">
        <w:t xml:space="preserve">Ert e-mail har nått polismyndighetens e-post brevlåda med adressen </w:t>
      </w:r>
      <w:r w:rsidRPr="00896D4F">
        <w:rPr>
          <w:u w:val="single"/>
        </w:rPr>
        <w:t>poli</w:t>
      </w:r>
      <w:r w:rsidRPr="00896D4F">
        <w:rPr>
          <w:u w:val="single"/>
        </w:rPr>
        <w:t>s</w:t>
      </w:r>
      <w:r w:rsidRPr="00896D4F">
        <w:rPr>
          <w:u w:val="single"/>
        </w:rPr>
        <w:t>myndigheten @skane.police.se</w:t>
      </w:r>
      <w:r w:rsidRPr="00896D4F">
        <w:t xml:space="preserve">                                                                         </w:t>
      </w:r>
    </w:p>
    <w:p w:rsidR="009C1C5A" w:rsidRPr="00896D4F" w:rsidRDefault="009C1C5A">
      <w:pPr>
        <w:pStyle w:val="Citatindrag"/>
      </w:pPr>
      <w:r w:rsidRPr="00896D4F">
        <w:t>Brevlådan töms i normalfallet endast en gång per helgfri arbetsdag.</w:t>
      </w:r>
    </w:p>
    <w:p w:rsidR="009C1C5A" w:rsidRPr="00896D4F" w:rsidRDefault="009C1C5A">
      <w:pPr>
        <w:pStyle w:val="Citat"/>
      </w:pPr>
      <w:r w:rsidRPr="00896D4F">
        <w:t>I NÖDSITUATION ELLER I ÖVRIGT VID BRÅDSKANDE FALL, RING 112.”</w:t>
      </w:r>
    </w:p>
    <w:p w:rsidR="009C1C5A" w:rsidRPr="00896D4F" w:rsidRDefault="009C1C5A">
      <w:pPr>
        <w:pStyle w:val="Citat"/>
      </w:pPr>
      <w:r w:rsidRPr="00896D4F">
        <w:t>Inkommande elektronisk post besvaras elektroniskt om ärendet är av enkel be</w:t>
      </w:r>
      <w:r w:rsidRPr="00896D4F">
        <w:softHyphen/>
        <w:t>skaffenhet eller om myndigheten endast har skrivelseavsändarens e-mailadress. I övriga fall besvaras e-posten på traditionellt sätt.</w:t>
      </w:r>
    </w:p>
    <w:p w:rsidR="009C1C5A" w:rsidRPr="00896D4F" w:rsidRDefault="009C1C5A">
      <w:pPr>
        <w:pStyle w:val="Rubrik4"/>
        <w:rPr>
          <w:sz w:val="19"/>
        </w:rPr>
      </w:pPr>
      <w:r w:rsidRPr="00896D4F">
        <w:rPr>
          <w:sz w:val="19"/>
        </w:rPr>
        <w:t>Bedömning</w:t>
      </w:r>
    </w:p>
    <w:p w:rsidR="009C1C5A" w:rsidRPr="00896D4F" w:rsidRDefault="009C1C5A">
      <w:pPr>
        <w:pStyle w:val="Citat"/>
      </w:pPr>
      <w:r w:rsidRPr="00896D4F">
        <w:t>Den förfrågan som inkom från T.H. ansågs svår att klassificera och det stod därför inte klart för registrator om ärendet borde hanteras som ett K-ärende eller om det var fråga om ett sådant ärende som ankom på upplysningsce</w:t>
      </w:r>
      <w:r w:rsidRPr="00896D4F">
        <w:t>n</w:t>
      </w:r>
      <w:r w:rsidRPr="00896D4F">
        <w:t>tralen att handlägga. I enlighet med de rutiner som tillämpas överlämnades därför ärendet till Centraljouren för bedömning varifrån ärendet sedan – också i enlighet med de rutiner som tillämpas – översändes till POMS för vidare handläggning.</w:t>
      </w:r>
    </w:p>
    <w:p w:rsidR="009C1C5A" w:rsidRPr="00896D4F" w:rsidRDefault="009C1C5A">
      <w:pPr>
        <w:pStyle w:val="Citatindrag"/>
      </w:pPr>
      <w:r w:rsidRPr="00896D4F">
        <w:t>Orsaken till den fördröjning av diarieföringen som sedan uppstod då äre</w:t>
      </w:r>
      <w:r w:rsidRPr="00896D4F">
        <w:t>n</w:t>
      </w:r>
      <w:r w:rsidRPr="00896D4F">
        <w:t>det översändes från POMA till POMS kan numera inte klarläggas. Klart är emellertid att ärendet – om det avhämtades i Malmö den 10 oktober – borde ha kunnat diarieföras i POMS senast den 12 oktober och inte som skedde den 17 oktober.</w:t>
      </w:r>
    </w:p>
    <w:p w:rsidR="009C1C5A" w:rsidRPr="00896D4F" w:rsidRDefault="009C1C5A">
      <w:pPr>
        <w:pStyle w:val="Citatindrag"/>
      </w:pPr>
      <w:r w:rsidRPr="00896D4F">
        <w:t>En förklaring till att handlingarna sattes in i fel pärm torde vara att reg</w:t>
      </w:r>
      <w:r w:rsidRPr="00896D4F">
        <w:t>i</w:t>
      </w:r>
      <w:r w:rsidRPr="00896D4F">
        <w:t>strator under lång tid haft en mycket hög arbetsbelastning, bl a beroende på att antalet e-postmeddelanden ökat kraftigt. Polismyndigheten, som ser al</w:t>
      </w:r>
      <w:r w:rsidRPr="00896D4F">
        <w:t>l</w:t>
      </w:r>
      <w:r w:rsidRPr="00896D4F">
        <w:t>varligt på det inträffade, kommer därför fr o m den 1 januari 2002 att förstä</w:t>
      </w:r>
      <w:r w:rsidRPr="00896D4F">
        <w:t>r</w:t>
      </w:r>
      <w:r w:rsidRPr="00896D4F">
        <w:t>ka registratorsfunktionen med en halv årsarbetskraft.</w:t>
      </w:r>
    </w:p>
    <w:p w:rsidR="009C1C5A" w:rsidRPr="00896D4F" w:rsidRDefault="009C1C5A">
      <w:pPr>
        <w:pStyle w:val="Citatindrag"/>
      </w:pPr>
      <w:r w:rsidRPr="00896D4F">
        <w:t>I syfte att förbättra sin service gentemot den rättssökande allmänheten och undvika rena hanteringsfel avser myndigheten dessutom att införa en sådan rutin – genom markering i e-postlistan – att en avsändare av e-post på förfr</w:t>
      </w:r>
      <w:r w:rsidRPr="00896D4F">
        <w:t>å</w:t>
      </w:r>
      <w:r w:rsidRPr="00896D4F">
        <w:t>gan omedelbart kan få besked om hur ärendet handlagts och var inom organ</w:t>
      </w:r>
      <w:r w:rsidRPr="00896D4F">
        <w:t>i</w:t>
      </w:r>
      <w:r w:rsidRPr="00896D4F">
        <w:t>sationen det kan återfinnas.</w:t>
      </w:r>
    </w:p>
    <w:p w:rsidR="009C1C5A" w:rsidRPr="00896D4F" w:rsidRDefault="009C1C5A">
      <w:r w:rsidRPr="00896D4F">
        <w:t>T.H. yttrade sig över remissvaret.</w:t>
      </w:r>
    </w:p>
    <w:p w:rsidR="009C1C5A" w:rsidRPr="00896D4F" w:rsidRDefault="009C1C5A">
      <w:r w:rsidRPr="00896D4F">
        <w:t xml:space="preserve">I ett beslut den 14 mars 2002 anförde </w:t>
      </w:r>
      <w:r w:rsidRPr="00896D4F">
        <w:rPr>
          <w:i/>
        </w:rPr>
        <w:t>chefsJO Eklundh</w:t>
      </w:r>
      <w:r w:rsidRPr="00896D4F">
        <w:t xml:space="preserve"> följande.</w:t>
      </w:r>
    </w:p>
    <w:p w:rsidR="009C1C5A" w:rsidRPr="00896D4F" w:rsidRDefault="009C1C5A">
      <w:pPr>
        <w:pStyle w:val="Rubrik3"/>
      </w:pPr>
      <w:r w:rsidRPr="00896D4F">
        <w:t xml:space="preserve">Bedömning </w:t>
      </w:r>
    </w:p>
    <w:p w:rsidR="009C1C5A" w:rsidRPr="00896D4F" w:rsidRDefault="009C1C5A">
      <w:r w:rsidRPr="00896D4F">
        <w:t>Landets polismyndigheter är skyldiga att inneha en eller flera officiella ele</w:t>
      </w:r>
      <w:r w:rsidRPr="00896D4F">
        <w:t>k</w:t>
      </w:r>
      <w:r w:rsidRPr="00896D4F">
        <w:t>troniska brevlådor i syfte att bereda möjlighet för enskilda att kommunicera med myndigheten via e-post om så önskas (jfr 2 kap. 3 § Rikspolisstyrelsens föreskrifter och allmänna råd om postbehandling och diarieföring vid poli</w:t>
      </w:r>
      <w:r w:rsidRPr="00896D4F">
        <w:t>s</w:t>
      </w:r>
      <w:r w:rsidRPr="00896D4F">
        <w:t>myndigheterna, RPSFS 2001:15 [FAP 181-1]).</w:t>
      </w:r>
    </w:p>
    <w:p w:rsidR="009C1C5A" w:rsidRPr="00896D4F" w:rsidRDefault="009C1C5A">
      <w:pPr>
        <w:pStyle w:val="Normaltindrag"/>
      </w:pPr>
      <w:r w:rsidRPr="00896D4F">
        <w:t>Myndigheternas serviceskyldighet innebär bl.a. att frågor från enskilda skall besvaras så snart som möjligt (4 § andra stycket förvaltningslagen [1986:223]). Detta gäller oberoende av på vilket sätt frågan framställs.</w:t>
      </w:r>
    </w:p>
    <w:p w:rsidR="009C1C5A" w:rsidRPr="00896D4F" w:rsidRDefault="009C1C5A">
      <w:pPr>
        <w:pStyle w:val="Normaltindrag"/>
      </w:pPr>
      <w:r w:rsidRPr="00896D4F">
        <w:t>Polismyndigheten har i sitt yttrande bl.a. anfört att T.H:s e-postförfrågan var svår att klassificera. Bestämmelsen om myndigheternas serviceskyldighet får emellertid förstås så att även om besvarandet i materiellt hänseende kan vara komplicerat och därför bedömas ta längre tid än normalt, kan det inte godtas att förfrågningar, som i det här fallet, blir liggande obesvarade. Det får således anses åligga myndigheten att i så fall underrätta frågeställaren om att svaret kan ta tid, att frågan inte kan besvar</w:t>
      </w:r>
      <w:r w:rsidRPr="00896D4F">
        <w:t>as eller att ge det besked i övrigt som förfrågan kan föranleda.</w:t>
      </w:r>
    </w:p>
    <w:p w:rsidR="009C1C5A" w:rsidRPr="00896D4F" w:rsidRDefault="009C1C5A">
      <w:pPr>
        <w:pStyle w:val="Normaltindrag"/>
      </w:pPr>
      <w:r w:rsidRPr="00896D4F">
        <w:t>I 15 kap. 1 § sekretesslagen (1980:100) föreskrivs bl.a. att en allmän han</w:t>
      </w:r>
      <w:r w:rsidRPr="00896D4F">
        <w:t>d</w:t>
      </w:r>
      <w:r w:rsidRPr="00896D4F">
        <w:t>ling som har kommit in till en myndighet skall registreras utan dröjsmål. I likhet med polismyndigheten anser jag att T.H:s e-postärende diarieförts för sent. Skyndsamhetskravet i 15 kap 1 § sekretesslagen innebär enligt min m</w:t>
      </w:r>
      <w:r w:rsidRPr="00896D4F">
        <w:t>e</w:t>
      </w:r>
      <w:r w:rsidRPr="00896D4F">
        <w:t>ning att T. H:s e-postförfrågan, som kom in till polismyndigheten den 6 okt</w:t>
      </w:r>
      <w:r w:rsidRPr="00896D4F">
        <w:t>o</w:t>
      </w:r>
      <w:r w:rsidRPr="00896D4F">
        <w:t>ber, borde ha diarieförts redan måndagen den 8 oktober 2001.</w:t>
      </w:r>
    </w:p>
    <w:p w:rsidR="009C1C5A" w:rsidRPr="00896D4F" w:rsidRDefault="009C1C5A">
      <w:pPr>
        <w:pStyle w:val="Normaltindrag"/>
      </w:pPr>
      <w:r w:rsidRPr="00896D4F">
        <w:t>Jag delar polismyndighetens uppfattning att det finns anledning att se al</w:t>
      </w:r>
      <w:r w:rsidRPr="00896D4F">
        <w:t>l</w:t>
      </w:r>
      <w:r w:rsidRPr="00896D4F">
        <w:t>varligt på det inträffade. Jag noterar emellertid att myndigheten har vidtagit åtgärder för att undvika att något liknande inträffar i framtiden.</w:t>
      </w:r>
    </w:p>
    <w:p w:rsidR="009C1C5A" w:rsidRPr="00896D4F" w:rsidRDefault="009C1C5A">
      <w:pPr>
        <w:pStyle w:val="Normaltindrag"/>
      </w:pPr>
      <w:r w:rsidRPr="00896D4F">
        <w:t>Ärendet avslutas med den kritik som ligger i det sagda.</w:t>
      </w:r>
    </w:p>
    <w:p w:rsidR="009C1C5A" w:rsidRPr="00896D4F" w:rsidRDefault="009C1C5A"/>
    <w:p w:rsidR="009C1C5A" w:rsidRPr="00896D4F" w:rsidRDefault="009C1C5A"/>
    <w:p w:rsidR="009C1C5A" w:rsidRPr="00896D4F" w:rsidRDefault="009C1C5A"/>
    <w:p w:rsidR="009C1C5A" w:rsidRPr="00896D4F" w:rsidRDefault="009C1C5A"/>
    <w:p w:rsidR="009C1C5A" w:rsidRPr="00896D4F" w:rsidRDefault="009C1C5A">
      <w:pPr>
        <w:pStyle w:val="Rubrik1"/>
      </w:pPr>
      <w:r w:rsidRPr="00896D4F">
        <w:br w:type="page"/>
        <w:t>Kriminalvård</w:t>
      </w:r>
    </w:p>
    <w:p w:rsidR="009C1C5A" w:rsidRPr="00896D4F" w:rsidRDefault="009C1C5A">
      <w:pPr>
        <w:pStyle w:val="Rubrik2"/>
        <w:spacing w:before="120"/>
      </w:pPr>
      <w:r w:rsidRPr="00896D4F">
        <w:t>Kritik mot en  kriminalvårdsmyndighet för att ha granskat ett brev från JO till en intagen</w:t>
      </w:r>
    </w:p>
    <w:p w:rsidR="009C1C5A" w:rsidRPr="00896D4F" w:rsidRDefault="009C1C5A">
      <w:pPr>
        <w:spacing w:before="0"/>
      </w:pPr>
      <w:r w:rsidRPr="00896D4F">
        <w:t>(Dnr 3772-2000)</w:t>
      </w:r>
    </w:p>
    <w:p w:rsidR="009C1C5A" w:rsidRPr="00896D4F" w:rsidRDefault="009C1C5A">
      <w:r w:rsidRPr="00896D4F">
        <w:t xml:space="preserve">I ett beslut den 30 oktober 2001 anförde </w:t>
      </w:r>
      <w:r w:rsidRPr="00896D4F">
        <w:rPr>
          <w:i/>
        </w:rPr>
        <w:t>JO Pennlöv</w:t>
      </w:r>
      <w:r w:rsidRPr="00896D4F">
        <w:t xml:space="preserve"> bl.a. följande.</w:t>
      </w:r>
    </w:p>
    <w:p w:rsidR="009C1C5A" w:rsidRPr="00896D4F" w:rsidRDefault="009C1C5A">
      <w:pPr>
        <w:pStyle w:val="Rubrik3"/>
      </w:pPr>
      <w:r w:rsidRPr="00896D4F">
        <w:t>Anmälan</w:t>
      </w:r>
    </w:p>
    <w:p w:rsidR="009C1C5A" w:rsidRPr="00896D4F" w:rsidRDefault="009C1C5A">
      <w:r w:rsidRPr="00896D4F">
        <w:t>I en anmälan anförde förtroenderådet Tidaholm – – – följande.  Den 26 okt</w:t>
      </w:r>
      <w:r w:rsidRPr="00896D4F">
        <w:t>o</w:t>
      </w:r>
      <w:r w:rsidRPr="00896D4F">
        <w:t>ber 2000 tog vi emot ett brev från JO innehållande en handling i ett ärende. Brevet var poststämplat den 23 oktober 2000 och med gällande rutiner vid anstalten borde vi ha fått detta brev den  25 oktober, eftersom intagna får sina brev dagen efter att de anlänt till anstalten. Eftersom vi fick brevet ytterligare en dag försenat, tilldrog det sig vår uppmärksamhet och vi misstänkte att det hade passerat via säkerhetschefen Katharina Larsson. I en anhållan till henne den 26 oktober begärde vi därför att få v</w:t>
      </w:r>
      <w:r w:rsidRPr="00896D4F">
        <w:t>eta vilken form av granskning som brevet hade utsatts för. Hon svarade att brevet hade genomlysts av henne för att konstatera att det kom från JO. I och med detta svar kan två avvikelser från reglerna om brevgranskning konstateras.  Således har Katharina Larsson dels granskat ett brev från en svensk myndighet, dels har hon inte underrättat oss om det, eftersom något meddelande om granskningen inte följde med br</w:t>
      </w:r>
      <w:r w:rsidRPr="00896D4F">
        <w:t>e</w:t>
      </w:r>
      <w:r w:rsidRPr="00896D4F">
        <w:t>vet.</w:t>
      </w:r>
    </w:p>
    <w:p w:rsidR="009C1C5A" w:rsidRPr="00896D4F" w:rsidRDefault="009C1C5A">
      <w:pPr>
        <w:pStyle w:val="Rubrik3"/>
      </w:pPr>
      <w:r w:rsidRPr="00896D4F">
        <w:t>Utredning</w:t>
      </w:r>
    </w:p>
    <w:p w:rsidR="009C1C5A" w:rsidRPr="00896D4F" w:rsidRDefault="009C1C5A">
      <w:r w:rsidRPr="00896D4F">
        <w:t>Efter remiss anförde Kriminalvårdsmyndigheten Jönköping genom krimina</w:t>
      </w:r>
      <w:r w:rsidRPr="00896D4F">
        <w:t>l</w:t>
      </w:r>
      <w:r w:rsidRPr="00896D4F">
        <w:t>vårds</w:t>
      </w:r>
      <w:r w:rsidRPr="00896D4F">
        <w:softHyphen/>
        <w:t>chefen Lisbeth Malmqvist fö</w:t>
      </w:r>
      <w:r w:rsidRPr="00896D4F">
        <w:t>l</w:t>
      </w:r>
      <w:r w:rsidRPr="00896D4F">
        <w:t>jande.</w:t>
      </w:r>
    </w:p>
    <w:p w:rsidR="009C1C5A" w:rsidRPr="00896D4F" w:rsidRDefault="009C1C5A">
      <w:pPr>
        <w:pStyle w:val="Citat"/>
      </w:pPr>
      <w:r w:rsidRPr="00896D4F">
        <w:t>Granskning av myndighetspost skall ske i enlighet med 25 § lagen (1974:203) om kriminalvård i anstalt (KvaL). Enligt denna bestämmelse får sådan granskning endast ske om brevet anges vara avsänt från svensk myndighet och det skäligen kan misstänkas att uppgiften är oriktig och förhållandena inte kan klargöras på annat sätt. Det framgår av anstaltens rutin rörande brev</w:t>
      </w:r>
      <w:r w:rsidRPr="00896D4F">
        <w:softHyphen/>
        <w:t>granskning – – – att nattpersonalen vid misstanke e</w:t>
      </w:r>
      <w:r w:rsidRPr="00896D4F">
        <w:t>n</w:t>
      </w:r>
      <w:r w:rsidRPr="00896D4F">
        <w:t>ligt ovan skall vida</w:t>
      </w:r>
      <w:r w:rsidRPr="00896D4F">
        <w:softHyphen/>
        <w:t>rebefordra försändelsen till säkerhetsinspektören för granskning. Vidare framgår att kontakt skall tas med säkerhets- eller rättsvårdsinspektör om osä</w:t>
      </w:r>
      <w:r w:rsidRPr="00896D4F">
        <w:softHyphen/>
        <w:t>kerhet uppstår över hur hanteringen skall gå till. Detta för att säkerställa att myndighetspost ej granskas utan lagligt stöd. Enligt 73 § Kriminalvårdssty</w:t>
      </w:r>
      <w:r w:rsidRPr="00896D4F">
        <w:softHyphen/>
        <w:t xml:space="preserve">relsens anstaltsföreskrifter, KVVFS 1998:8, skall den intagne underrättas om att granskning av försändelsen skett. Detta står även </w:t>
      </w:r>
      <w:r w:rsidRPr="00896D4F">
        <w:t>inskrivet i anstaltens rutin angående brevgrans</w:t>
      </w:r>
      <w:r w:rsidRPr="00896D4F">
        <w:t>k</w:t>
      </w:r>
      <w:r w:rsidRPr="00896D4F">
        <w:t>ning.</w:t>
      </w:r>
    </w:p>
    <w:p w:rsidR="009C1C5A" w:rsidRPr="00896D4F" w:rsidRDefault="009C1C5A">
      <w:pPr>
        <w:pStyle w:val="Citatindrag"/>
      </w:pPr>
      <w:r w:rsidRPr="00896D4F">
        <w:t>I aktuellt ärende har säkerhetsinspektör Katharina Larsson granskat brev från JO till förtroenderådet vid anstalten medelst genomlysning. Det fram</w:t>
      </w:r>
      <w:r w:rsidRPr="00896D4F">
        <w:softHyphen/>
        <w:t>gick ej av brevet att någon granskning skett. Hanteringen av brevet är fel</w:t>
      </w:r>
      <w:r w:rsidRPr="00896D4F">
        <w:softHyphen/>
        <w:t>aktig såtill</w:t>
      </w:r>
      <w:r w:rsidRPr="00896D4F">
        <w:softHyphen/>
        <w:t>vida att någon information om att granskning skett ej fanns på brevet. Det faktum att säkerhetsinspektören granskat brevet medelst ge</w:t>
      </w:r>
      <w:r w:rsidRPr="00896D4F">
        <w:softHyphen/>
        <w:t>nomlysning be</w:t>
      </w:r>
      <w:r w:rsidRPr="00896D4F">
        <w:softHyphen/>
        <w:t>rodde på att det framkommit uppgifter som gjorde att brevet misstänktes komma från annan än JO. Säkerhetsinspektören deltog den 24 augusti 2000 vid ett konstellationsmöte med Rikskrim, Länskrim, SÄPO, säkerhetschefen på KVS samt övriga säkerhetsinspektörer i Göteborgsre</w:t>
      </w:r>
      <w:r w:rsidRPr="00896D4F">
        <w:softHyphen/>
        <w:t>gion</w:t>
      </w:r>
      <w:r w:rsidRPr="00896D4F">
        <w:t>en. Vid detta möte informerades deltagarna om att brev från JO samt Länsrätten i Stock</w:t>
      </w:r>
      <w:r w:rsidRPr="00896D4F">
        <w:softHyphen/>
        <w:t>holm förekommit på andra anstalter, dock avsända från annan än någon av dessa myndigheter. Anstalten anser sig därför ha haft till</w:t>
      </w:r>
      <w:r w:rsidRPr="00896D4F">
        <w:softHyphen/>
        <w:t>räcklig misstanke för att granska brevet medelst geno</w:t>
      </w:r>
      <w:r w:rsidRPr="00896D4F">
        <w:t>m</w:t>
      </w:r>
      <w:r w:rsidRPr="00896D4F">
        <w:t>lysning.</w:t>
      </w:r>
    </w:p>
    <w:p w:rsidR="009C1C5A" w:rsidRPr="00896D4F" w:rsidRDefault="009C1C5A">
      <w:r w:rsidRPr="00896D4F">
        <w:t>Jag inspekterade anstalten Tidaholm den 23 november 2000. Vid den geno</w:t>
      </w:r>
      <w:r w:rsidRPr="00896D4F">
        <w:t>m</w:t>
      </w:r>
      <w:r w:rsidRPr="00896D4F">
        <w:t>gång som hölls avslutningsvis uppgav säkerhetsinspektören Katharina Lar</w:t>
      </w:r>
      <w:r w:rsidRPr="00896D4F">
        <w:t>s</w:t>
      </w:r>
      <w:r w:rsidRPr="00896D4F">
        <w:t>son bl.a. att hon granskat det aktuella brevet från JO, eftersom det fanns misstanke om att det skulle kunna komma från en annan avsändare. Inform</w:t>
      </w:r>
      <w:r w:rsidRPr="00896D4F">
        <w:t>a</w:t>
      </w:r>
      <w:r w:rsidRPr="00896D4F">
        <w:t>tion härom skulle hon ha fått vid ett konstellationsmöte som kriminalvården haft med polisen.</w:t>
      </w:r>
    </w:p>
    <w:p w:rsidR="009C1C5A" w:rsidRPr="00896D4F" w:rsidRDefault="009C1C5A">
      <w:pPr>
        <w:pStyle w:val="Normaltindrag"/>
      </w:pPr>
      <w:r w:rsidRPr="00896D4F">
        <w:t>Med anledning av de uppgifter som Katharina Larsson lämnat företog kanslichefen hos JO, Kjell Swanström, en utredning. Resultatet av denna redovisas i en PM den 27 november 2000 avseende tjänsteante</w:t>
      </w:r>
      <w:r w:rsidRPr="00896D4F">
        <w:t>ckningar under tiden den 24–27 november. Sammanfattningsvis framkom under den utre</w:t>
      </w:r>
      <w:r w:rsidRPr="00896D4F">
        <w:t>d</w:t>
      </w:r>
      <w:r w:rsidRPr="00896D4F">
        <w:t>ningen följande. Medlemmar vid konstellationsmötena är bl.a. Ulf Högström, Rikspolisstyrelsen, Bo Klame och Thomas Johansson vid anstalten Kumla. Varken Högström, Klame eller Johansson kan erinra sig att man vid något möte diskuterat att det skulle finnas misstankar vad gäller försändelser i k</w:t>
      </w:r>
      <w:r w:rsidRPr="00896D4F">
        <w:t>u</w:t>
      </w:r>
      <w:r w:rsidRPr="00896D4F">
        <w:t>vert från JO, dock har frågan om advokat</w:t>
      </w:r>
      <w:r w:rsidRPr="00896D4F">
        <w:softHyphen/>
        <w:t>post di</w:t>
      </w:r>
      <w:r w:rsidRPr="00896D4F">
        <w:t>s</w:t>
      </w:r>
      <w:r w:rsidRPr="00896D4F">
        <w:t>kuterats.</w:t>
      </w:r>
    </w:p>
    <w:p w:rsidR="009C1C5A" w:rsidRPr="00896D4F" w:rsidRDefault="009C1C5A">
      <w:pPr>
        <w:pStyle w:val="Normaltindrag"/>
      </w:pPr>
      <w:r w:rsidRPr="00896D4F">
        <w:t>Med anledning av uppgifterna i promemorian anmodades kriminalvård</w:t>
      </w:r>
      <w:r w:rsidRPr="00896D4F">
        <w:t>s</w:t>
      </w:r>
      <w:r w:rsidRPr="00896D4F">
        <w:t>myndig</w:t>
      </w:r>
      <w:r w:rsidRPr="00896D4F">
        <w:softHyphen/>
        <w:t>heten att yttra sig på nytt. I remissvaret anförde Lisbeth Malmqvist följa</w:t>
      </w:r>
      <w:r w:rsidRPr="00896D4F">
        <w:t>n</w:t>
      </w:r>
      <w:r w:rsidRPr="00896D4F">
        <w:t>de.</w:t>
      </w:r>
    </w:p>
    <w:p w:rsidR="009C1C5A" w:rsidRPr="00896D4F" w:rsidRDefault="009C1C5A">
      <w:r w:rsidRPr="00896D4F">
        <w:t>– – –</w:t>
      </w:r>
    </w:p>
    <w:p w:rsidR="009C1C5A" w:rsidRPr="00896D4F" w:rsidRDefault="009C1C5A">
      <w:pPr>
        <w:pStyle w:val="Citat"/>
      </w:pPr>
      <w:r w:rsidRPr="00896D4F">
        <w:t>Tjänsteanteckningen från JO Jan Pennlöv har delgivits anstaltens säke</w:t>
      </w:r>
      <w:r w:rsidRPr="00896D4F">
        <w:t>r</w:t>
      </w:r>
      <w:r w:rsidRPr="00896D4F">
        <w:softHyphen/>
        <w:t>hetsin</w:t>
      </w:r>
      <w:r w:rsidRPr="00896D4F">
        <w:softHyphen/>
        <w:t>spektör som medger att hennes uppfattning om vad som sagts vid aktuellt möte väsentligt skiljer sig från de övriga medlemmarnas uppfatt</w:t>
      </w:r>
      <w:r w:rsidRPr="00896D4F">
        <w:softHyphen/>
        <w:t>ning. Krimi</w:t>
      </w:r>
      <w:r w:rsidRPr="00896D4F">
        <w:softHyphen/>
        <w:t>nalvårdschefen Lisbeth Malmqvist har, med anledning av det inträffade, fört diskussioner med säkerhetsinspektören för att inskärpa vikten av att hon en</w:t>
      </w:r>
      <w:r w:rsidRPr="00896D4F">
        <w:softHyphen/>
        <w:t>dast fattar beslut om granskning av brev på väldok</w:t>
      </w:r>
      <w:r w:rsidRPr="00896D4F">
        <w:t>u</w:t>
      </w:r>
      <w:r w:rsidRPr="00896D4F">
        <w:softHyphen/>
        <w:t>menterade misstankar.</w:t>
      </w:r>
    </w:p>
    <w:p w:rsidR="009C1C5A" w:rsidRPr="00896D4F" w:rsidRDefault="009C1C5A">
      <w:r w:rsidRPr="00896D4F">
        <w:t>Förtroenderådet har beretts tillfälle att yttra sig över remissvaren men inte hörts av.</w:t>
      </w:r>
    </w:p>
    <w:p w:rsidR="009C1C5A" w:rsidRPr="00896D4F" w:rsidRDefault="009C1C5A">
      <w:pPr>
        <w:pStyle w:val="Rubrik3"/>
      </w:pPr>
      <w:r w:rsidRPr="00896D4F">
        <w:t>Bedömning</w:t>
      </w:r>
    </w:p>
    <w:p w:rsidR="009C1C5A" w:rsidRPr="00896D4F" w:rsidRDefault="009C1C5A">
      <w:r w:rsidRPr="00896D4F">
        <w:t>Av utredningen i ärendet framgår att det aktuella brevet från JO till förtroe</w:t>
      </w:r>
      <w:r w:rsidRPr="00896D4F">
        <w:t>n</w:t>
      </w:r>
      <w:r w:rsidRPr="00896D4F">
        <w:t>derå</w:t>
      </w:r>
      <w:r w:rsidRPr="00896D4F">
        <w:softHyphen/>
        <w:t>det blivit utsatt för granskning i form av genomlysning. Vidare framgår att det inte på brevet fanns någon uppgift om att granskning skett. Underl</w:t>
      </w:r>
      <w:r w:rsidRPr="00896D4F">
        <w:t>å</w:t>
      </w:r>
      <w:r w:rsidRPr="00896D4F">
        <w:t>tenheten att på det sättet informera om granskningen strider mot Krimina</w:t>
      </w:r>
      <w:r w:rsidRPr="00896D4F">
        <w:t>l</w:t>
      </w:r>
      <w:r w:rsidRPr="00896D4F">
        <w:t>vårdsstyrelsens anstaltsf</w:t>
      </w:r>
      <w:r w:rsidRPr="00896D4F">
        <w:t>ö</w:t>
      </w:r>
      <w:r w:rsidRPr="00896D4F">
        <w:softHyphen/>
        <w:t>reskrifter och kan inte undgå kritik.</w:t>
      </w:r>
    </w:p>
    <w:p w:rsidR="009C1C5A" w:rsidRPr="00896D4F" w:rsidRDefault="009C1C5A">
      <w:pPr>
        <w:pStyle w:val="Normaltindrag"/>
      </w:pPr>
      <w:r w:rsidRPr="00896D4F">
        <w:t>Det skydd för förtrolig kommunikation som regleras i 25 § lagen (1974:203) om kriminalvård i anstalt kan ses som en för intagna i krimina</w:t>
      </w:r>
      <w:r w:rsidRPr="00896D4F">
        <w:t>l</w:t>
      </w:r>
      <w:r w:rsidRPr="00896D4F">
        <w:t>vårdsanstalt anpassad form av det skydd som gäller  varje medborgare enligt 2 kap. 6 § regerings</w:t>
      </w:r>
      <w:r w:rsidRPr="00896D4F">
        <w:softHyphen/>
        <w:t>formen. Det är därför av synnerlig vikt att den som har att bedöma huruvida ett brev från t.ex. en myndighet skall granskas, vinnlägger sig om att göra en seriös bedömning av möjligheterna att klarlägga vem som är avsändare av brevet. I den mån det bedöms nödvändigt att granska ett brev från en myndighet måste dess</w:t>
      </w:r>
      <w:r w:rsidRPr="00896D4F">
        <w:softHyphen/>
        <w:t>utom misstankarna beträffande avsändare vara väldokument</w:t>
      </w:r>
      <w:r w:rsidRPr="00896D4F">
        <w:t>e</w:t>
      </w:r>
      <w:r w:rsidRPr="00896D4F">
        <w:t>rade.</w:t>
      </w:r>
    </w:p>
    <w:p w:rsidR="009C1C5A" w:rsidRPr="00896D4F" w:rsidRDefault="009C1C5A">
      <w:pPr>
        <w:pStyle w:val="Normaltindrag"/>
      </w:pPr>
      <w:r w:rsidRPr="00896D4F">
        <w:t>Huruvida det i praktiken kan klarl</w:t>
      </w:r>
      <w:r w:rsidRPr="00896D4F">
        <w:t>äggas vem som är ett brevs avsändare på annat sätt än genom att granska brevet t.ex. med hjälp av genomlysning beror självfallet på omständigheterna i det särskilda fallet. I det nu aktuella fallet hade ett telefon</w:t>
      </w:r>
      <w:r w:rsidRPr="00896D4F">
        <w:softHyphen/>
        <w:t>samtal till  JO:s kansli med all sannolikhet kunnat klarlägga avsändarens riktighet utan att brevet hade behövt genomlysas eller bli föremål för någon annan form av granskning. Genomlysningen av brevet kan därför inte undgå kritik.</w:t>
      </w:r>
    </w:p>
    <w:p w:rsidR="009C1C5A" w:rsidRPr="00896D4F" w:rsidRDefault="009C1C5A">
      <w:r w:rsidRPr="00896D4F">
        <w:t>Vad som i övrigt framkommit motiverar inte något uttalande från m</w:t>
      </w:r>
      <w:r w:rsidRPr="00896D4F">
        <w:t>in sida.</w:t>
      </w:r>
    </w:p>
    <w:p w:rsidR="009C1C5A" w:rsidRPr="00896D4F" w:rsidRDefault="009C1C5A">
      <w:pPr>
        <w:pStyle w:val="Rubrik2"/>
      </w:pPr>
      <w:r w:rsidRPr="00896D4F">
        <w:t>Ett på JO:s initiativ upptaget ärende angående möjlighe</w:t>
      </w:r>
      <w:r w:rsidRPr="00896D4F">
        <w:softHyphen/>
        <w:t>terna för intagna i kriminalvårdsanstalt att studera</w:t>
      </w:r>
    </w:p>
    <w:p w:rsidR="009C1C5A" w:rsidRPr="00896D4F" w:rsidRDefault="009C1C5A">
      <w:pPr>
        <w:spacing w:before="0"/>
      </w:pPr>
      <w:r w:rsidRPr="00896D4F">
        <w:t>(Dnr 3843-2000)</w:t>
      </w:r>
    </w:p>
    <w:p w:rsidR="009C1C5A" w:rsidRPr="00896D4F" w:rsidRDefault="009C1C5A">
      <w:r w:rsidRPr="00896D4F">
        <w:t xml:space="preserve">I ett beslut den 31 augusti 2001 anförde </w:t>
      </w:r>
      <w:r w:rsidRPr="00896D4F">
        <w:rPr>
          <w:i/>
        </w:rPr>
        <w:t>JO Pennlöv</w:t>
      </w:r>
      <w:r w:rsidRPr="00896D4F">
        <w:t xml:space="preserve"> följande.</w:t>
      </w:r>
    </w:p>
    <w:p w:rsidR="009C1C5A" w:rsidRPr="00896D4F" w:rsidRDefault="009C1C5A">
      <w:pPr>
        <w:pStyle w:val="Rubrik3"/>
      </w:pPr>
      <w:r w:rsidRPr="00896D4F">
        <w:t>Initiativet</w:t>
      </w:r>
    </w:p>
    <w:p w:rsidR="009C1C5A" w:rsidRPr="00896D4F" w:rsidRDefault="009C1C5A">
      <w:r w:rsidRPr="00896D4F">
        <w:t>I en artikel i Dagens Nyheter den 6 november 2000 med rubriken Fångar nekas utbildning stod bl.a. följande att läsa.</w:t>
      </w:r>
    </w:p>
    <w:p w:rsidR="009C1C5A" w:rsidRPr="00896D4F" w:rsidRDefault="009C1C5A">
      <w:pPr>
        <w:pStyle w:val="Normaltindrag"/>
      </w:pPr>
      <w:r w:rsidRPr="00896D4F">
        <w:t>Under 90-talet skars antalet utbildningstimmar på landets fängelser ned med en tredjedel. Möjligheterna att studera varierar mycket från anstalt till anstalt. Visio</w:t>
      </w:r>
      <w:r w:rsidRPr="00896D4F">
        <w:softHyphen/>
        <w:t>nen är att alla intagna skall få möjlighet att läsa in gymnasi</w:t>
      </w:r>
      <w:r w:rsidRPr="00896D4F">
        <w:t>e</w:t>
      </w:r>
      <w:r w:rsidRPr="00896D4F">
        <w:t>kompetens men man är mycket långt därifrån idag. En studieledare för a</w:t>
      </w:r>
      <w:r w:rsidRPr="00896D4F">
        <w:t>n</w:t>
      </w:r>
      <w:r w:rsidRPr="00896D4F">
        <w:t>stalterna i Malmöregionerna uppger att fångarna inte kan erbjudas den utbil</w:t>
      </w:r>
      <w:r w:rsidRPr="00896D4F">
        <w:t>d</w:t>
      </w:r>
      <w:r w:rsidRPr="00896D4F">
        <w:t>ning de behöver och vill ha. Till följd av hårda sparkrav har komvux-undervisningen på anstalterna ersatts av kor</w:t>
      </w:r>
      <w:r w:rsidRPr="00896D4F">
        <w:softHyphen/>
        <w:t>respondenskurser. Systemet med kurser på di</w:t>
      </w:r>
      <w:r w:rsidRPr="00896D4F">
        <w:softHyphen/>
        <w:t>stans innebär att examen hänger på en enda stor tenta efter ett års undervis</w:t>
      </w:r>
      <w:r w:rsidRPr="00896D4F">
        <w:softHyphen/>
        <w:t xml:space="preserve">ning. På Kriminalvårdsverket arbetar man just nu fram en plan för </w:t>
      </w:r>
      <w:r w:rsidRPr="00896D4F">
        <w:t>att säkra utbil</w:t>
      </w:r>
      <w:r w:rsidRPr="00896D4F">
        <w:t>d</w:t>
      </w:r>
      <w:r w:rsidRPr="00896D4F">
        <w:t>ningens kvalitet.</w:t>
      </w:r>
    </w:p>
    <w:p w:rsidR="009C1C5A" w:rsidRPr="00896D4F" w:rsidRDefault="009C1C5A">
      <w:pPr>
        <w:pStyle w:val="Rubrik3"/>
      </w:pPr>
      <w:r w:rsidRPr="00896D4F">
        <w:t>Utredningen</w:t>
      </w:r>
    </w:p>
    <w:p w:rsidR="009C1C5A" w:rsidRPr="00896D4F" w:rsidRDefault="009C1C5A">
      <w:r w:rsidRPr="00896D4F">
        <w:t>Med anledning av artikeln infordrades ett yttrande från Kriminalvårdsstyrel</w:t>
      </w:r>
      <w:r w:rsidRPr="00896D4F">
        <w:softHyphen/>
        <w:t>sen. I sitt svar den 22 december 2000 anförde t.f. generaldirektören Stig Fjä</w:t>
      </w:r>
      <w:r w:rsidRPr="00896D4F">
        <w:t>r</w:t>
      </w:r>
      <w:r w:rsidRPr="00896D4F">
        <w:t>stedt föl</w:t>
      </w:r>
      <w:r w:rsidRPr="00896D4F">
        <w:softHyphen/>
        <w:t>jande.</w:t>
      </w:r>
    </w:p>
    <w:p w:rsidR="009C1C5A" w:rsidRPr="00896D4F" w:rsidRDefault="009C1C5A">
      <w:pPr>
        <w:pStyle w:val="Citat"/>
      </w:pPr>
      <w:r w:rsidRPr="00896D4F">
        <w:t>Under den senaste femårsperioden (1995–1999) har deltagandet i kli</w:t>
      </w:r>
      <w:r w:rsidRPr="00896D4F">
        <w:softHyphen/>
        <w:t>entut</w:t>
      </w:r>
      <w:r w:rsidRPr="00896D4F">
        <w:softHyphen/>
        <w:t>bildning varit ganska konstant, ca 15 procent, av den totala tiden som de in</w:t>
      </w:r>
      <w:r w:rsidRPr="00896D4F">
        <w:softHyphen/>
        <w:t>tagna i anstalt är sysselsatta. Klientutbildning utgör tillsam</w:t>
      </w:r>
      <w:r w:rsidRPr="00896D4F">
        <w:softHyphen/>
        <w:t>mans med ar</w:t>
      </w:r>
      <w:r w:rsidRPr="00896D4F">
        <w:softHyphen/>
        <w:t>betsdrift, intern service, brotts- och missbruksrelaterade program samt an</w:t>
      </w:r>
      <w:r w:rsidRPr="00896D4F">
        <w:softHyphen/>
        <w:t>nan strukturerad verksamhet kriminalvårdens pro</w:t>
      </w:r>
      <w:r w:rsidRPr="00896D4F">
        <w:softHyphen/>
        <w:t>gramverksamhet. De in</w:t>
      </w:r>
      <w:r w:rsidRPr="00896D4F">
        <w:softHyphen/>
        <w:t>tagnas deltagande i arbetsdrift och internservice uppgår till cirka 60 procent av sys</w:t>
      </w:r>
      <w:r w:rsidRPr="00896D4F">
        <w:softHyphen/>
        <w:t>selsättningstiden.</w:t>
      </w:r>
    </w:p>
    <w:p w:rsidR="009C1C5A" w:rsidRPr="00896D4F" w:rsidRDefault="009C1C5A">
      <w:pPr>
        <w:pStyle w:val="Citatindrag"/>
      </w:pPr>
      <w:r w:rsidRPr="00896D4F">
        <w:t>Antalet timmar för klientutbildning under ovannämnda tidsperiod har suc</w:t>
      </w:r>
      <w:r w:rsidRPr="00896D4F">
        <w:softHyphen/>
        <w:t>cessivt minskat från 1 017 timmar per år 1995 till 845 timmar per år 1999. Under denna tid har även den totala syssel</w:t>
      </w:r>
      <w:r w:rsidRPr="00896D4F">
        <w:softHyphen/>
        <w:t>sättningstiden minskat från 6 779 timmar per år 1995 till 5 720 timmar per år 1999. En av för</w:t>
      </w:r>
      <w:r w:rsidRPr="00896D4F">
        <w:softHyphen/>
        <w:t>klaringarna till minskningen är att den totala fångpopulationen också har minskat på grund av att merparten dömda till högst tre månaders fängelse avtjänar sina straff g</w:t>
      </w:r>
      <w:r w:rsidRPr="00896D4F">
        <w:t>e</w:t>
      </w:r>
      <w:r w:rsidRPr="00896D4F">
        <w:t>nom intensivövervakning med elektro</w:t>
      </w:r>
      <w:r w:rsidRPr="00896D4F">
        <w:softHyphen/>
        <w:t>nisk kontroll. År 1995 var antalet nyi</w:t>
      </w:r>
      <w:r w:rsidRPr="00896D4F">
        <w:t>n</w:t>
      </w:r>
      <w:r w:rsidRPr="00896D4F">
        <w:t xml:space="preserve">tagna i anstalt 13 644 och år 1999 var antalet 9 300. </w:t>
      </w:r>
      <w:r w:rsidRPr="00896D4F">
        <w:t>Intensivöver</w:t>
      </w:r>
      <w:r w:rsidRPr="00896D4F">
        <w:softHyphen/>
        <w:t>vak</w:t>
      </w:r>
      <w:r w:rsidRPr="00896D4F">
        <w:softHyphen/>
        <w:t>ning infördes i hela landet den 1 januari 1997. En annan förklaring är att krimina</w:t>
      </w:r>
      <w:r w:rsidRPr="00896D4F">
        <w:t>l</w:t>
      </w:r>
      <w:r w:rsidRPr="00896D4F">
        <w:t>vården under nämnda tid haft stora besparingskrav, vilket påverkat omfat</w:t>
      </w:r>
      <w:r w:rsidRPr="00896D4F">
        <w:t>t</w:t>
      </w:r>
      <w:r w:rsidRPr="00896D4F">
        <w:t>ningen av den totala programverksa</w:t>
      </w:r>
      <w:r w:rsidRPr="00896D4F">
        <w:t>m</w:t>
      </w:r>
      <w:r w:rsidRPr="00896D4F">
        <w:t>heten.</w:t>
      </w:r>
    </w:p>
    <w:p w:rsidR="009C1C5A" w:rsidRPr="00896D4F" w:rsidRDefault="009C1C5A">
      <w:pPr>
        <w:pStyle w:val="Citatindrag"/>
      </w:pPr>
      <w:r w:rsidRPr="00896D4F">
        <w:t>Enligt en undersökning utförd av Kriminologiska Institutionen, Stock</w:t>
      </w:r>
      <w:r w:rsidRPr="00896D4F">
        <w:softHyphen/>
        <w:t>holms universitet (Fångars levnadsförhållanden, 1999) är fångars ut</w:t>
      </w:r>
      <w:r w:rsidRPr="00896D4F">
        <w:softHyphen/>
        <w:t>bildningsnivå generellt mycket låg. Av den framgår att 15 procent sak</w:t>
      </w:r>
      <w:r w:rsidRPr="00896D4F">
        <w:softHyphen/>
        <w:t>nar fullbordad ut</w:t>
      </w:r>
      <w:r w:rsidRPr="00896D4F">
        <w:softHyphen/>
        <w:t>bildning jämfört med 0,3 procent i befolkningen och att mindre än hälften (46 %) av fångarna har utbildning över lägsta ob</w:t>
      </w:r>
      <w:r w:rsidRPr="00896D4F">
        <w:softHyphen/>
        <w:t>ligatoriska nivå jämfört med befolk</w:t>
      </w:r>
      <w:r w:rsidRPr="00896D4F">
        <w:softHyphen/>
        <w:t>ningens 84 procent. Dessa siffror bekräftar kriminalvå</w:t>
      </w:r>
      <w:r w:rsidRPr="00896D4F">
        <w:t>r</w:t>
      </w:r>
      <w:r w:rsidRPr="00896D4F">
        <w:t>dens upp</w:t>
      </w:r>
      <w:r w:rsidRPr="00896D4F">
        <w:softHyphen/>
        <w:t>fattning att utbildningsbehovet är stort. Målsättningen är att erbjuda alla in</w:t>
      </w:r>
      <w:r w:rsidRPr="00896D4F">
        <w:softHyphen/>
        <w:t>tagna som har behov av det möjlig</w:t>
      </w:r>
      <w:r w:rsidRPr="00896D4F">
        <w:softHyphen/>
        <w:t xml:space="preserve">het att studera på </w:t>
      </w:r>
      <w:r w:rsidRPr="00896D4F">
        <w:t>grundskole- och gym</w:t>
      </w:r>
      <w:r w:rsidRPr="00896D4F">
        <w:softHyphen/>
        <w:t>nasienivå.</w:t>
      </w:r>
    </w:p>
    <w:p w:rsidR="009C1C5A" w:rsidRPr="00896D4F" w:rsidRDefault="009C1C5A">
      <w:pPr>
        <w:pStyle w:val="Citatindrag"/>
      </w:pPr>
      <w:r w:rsidRPr="00896D4F">
        <w:t>Kriminalvården upphandlar all klientutbildning enligt lagen om offent</w:t>
      </w:r>
      <w:r w:rsidRPr="00896D4F">
        <w:softHyphen/>
        <w:t>lig upphandling. Upphand</w:t>
      </w:r>
      <w:r w:rsidRPr="00896D4F">
        <w:softHyphen/>
        <w:t>lingen baseras på fångpopulationens behov på en ge</w:t>
      </w:r>
      <w:r w:rsidRPr="00896D4F">
        <w:softHyphen/>
        <w:t>nerell nivå, vilket gör att grundläggande ut</w:t>
      </w:r>
      <w:r w:rsidRPr="00896D4F">
        <w:softHyphen/>
        <w:t>bildning upphandlas mest fre</w:t>
      </w:r>
      <w:r w:rsidRPr="00896D4F">
        <w:softHyphen/>
        <w:t>kvent (ca 56 procent av utbildningen). Upphandlingen sker i regel för två år vilket gör att det kan vara svårt att tillgodose enskilda behov av utbildning eftersom intag</w:t>
      </w:r>
      <w:r w:rsidRPr="00896D4F">
        <w:softHyphen/>
        <w:t>ningen i anstalt sker kontinuerligt. Härutöver tillkommer andra försv</w:t>
      </w:r>
      <w:r w:rsidRPr="00896D4F">
        <w:t>å</w:t>
      </w:r>
      <w:r w:rsidRPr="00896D4F">
        <w:t>rande faktorer när det gäller att till</w:t>
      </w:r>
      <w:r w:rsidRPr="00896D4F">
        <w:softHyphen/>
        <w:t>godose de behov intagna har.</w:t>
      </w:r>
    </w:p>
    <w:p w:rsidR="009C1C5A" w:rsidRPr="00896D4F" w:rsidRDefault="009C1C5A">
      <w:pPr>
        <w:pStyle w:val="Citatindrag"/>
      </w:pPr>
      <w:r w:rsidRPr="00896D4F">
        <w:t>Ungefär två tredjedelar av de intagna har strafftider</w:t>
      </w:r>
      <w:r w:rsidRPr="00896D4F">
        <w:t xml:space="preserve"> som understiger sex månader, vilket betyder en verkställighetstid på fyra månader eller mindre. Under denna tid skall utredning av de individu</w:t>
      </w:r>
      <w:r w:rsidRPr="00896D4F">
        <w:softHyphen/>
        <w:t>ella behoven gö</w:t>
      </w:r>
      <w:r w:rsidRPr="00896D4F">
        <w:softHyphen/>
        <w:t>ras så att ver</w:t>
      </w:r>
      <w:r w:rsidRPr="00896D4F">
        <w:t>k</w:t>
      </w:r>
      <w:r w:rsidRPr="00896D4F">
        <w:t>ställigheten kan utnyttjas på bästa sätt och frigivningen förberedas. Ti</w:t>
      </w:r>
      <w:r w:rsidRPr="00896D4F">
        <w:softHyphen/>
        <w:t>den i anstalt begränsar möjligheten att studera, och cirka 20 procent av dömda med nämnda strafftider deltar i någon form av ut</w:t>
      </w:r>
      <w:r w:rsidRPr="00896D4F">
        <w:softHyphen/>
        <w:t xml:space="preserve">bildning, vilket kan jämföras med cirka 45 procent av dem som är dömda till ett år och däröver. </w:t>
      </w:r>
    </w:p>
    <w:p w:rsidR="009C1C5A" w:rsidRPr="00896D4F" w:rsidRDefault="009C1C5A">
      <w:pPr>
        <w:pStyle w:val="Citatindrag"/>
      </w:pPr>
      <w:r w:rsidRPr="00896D4F">
        <w:t>En fjärdedel av de intagna i anstalt är</w:t>
      </w:r>
      <w:r w:rsidRPr="00896D4F">
        <w:t xml:space="preserve"> utländska medborgare och r</w:t>
      </w:r>
      <w:r w:rsidRPr="00896D4F">
        <w:t>e</w:t>
      </w:r>
      <w:r w:rsidRPr="00896D4F">
        <w:t>pre</w:t>
      </w:r>
      <w:r w:rsidRPr="00896D4F">
        <w:softHyphen/>
        <w:t>sente</w:t>
      </w:r>
      <w:r w:rsidRPr="00896D4F">
        <w:softHyphen/>
        <w:t>rar tillsammans ungefär 100 nationaliteter. Möjligheterna för dem att delta i studier är därför begränsade. De vanligaste studierna omfattar svenska och engelska språken och datautbildning.</w:t>
      </w:r>
    </w:p>
    <w:p w:rsidR="009C1C5A" w:rsidRPr="00896D4F" w:rsidRDefault="009C1C5A">
      <w:pPr>
        <w:pStyle w:val="Citatindrag"/>
      </w:pPr>
      <w:r w:rsidRPr="00896D4F">
        <w:t>Nästan 60 procent av de nyintagna i anstalt är narkotikamissbrukare. Ska</w:t>
      </w:r>
      <w:r w:rsidRPr="00896D4F">
        <w:softHyphen/>
        <w:t>dorna av missbruket medför koncentrationssvårigheter, vilket kan utgöra ett hinder för att delta i lärarledda studier. Olika insatser som syftar till be</w:t>
      </w:r>
      <w:r w:rsidRPr="00896D4F">
        <w:softHyphen/>
        <w:t>handling har hög prioritet, såsom deltagande i missbruks</w:t>
      </w:r>
      <w:r w:rsidRPr="00896D4F">
        <w:softHyphen/>
        <w:t>relaterade program, vistelse på motivationsavdelning och i vissa fall vistelse under de sista må</w:t>
      </w:r>
      <w:r w:rsidRPr="00896D4F">
        <w:softHyphen/>
        <w:t>naderna av verkställigheten på behandlings</w:t>
      </w:r>
      <w:r w:rsidRPr="00896D4F">
        <w:softHyphen/>
        <w:t>hem.</w:t>
      </w:r>
    </w:p>
    <w:p w:rsidR="009C1C5A" w:rsidRPr="00896D4F" w:rsidRDefault="009C1C5A">
      <w:pPr>
        <w:pStyle w:val="Citatindrag"/>
        <w:spacing w:line="240" w:lineRule="auto"/>
      </w:pPr>
      <w:r w:rsidRPr="00896D4F">
        <w:t>Förflyttningar till andra anstalter gör att påbörjad utbildning inte alltid kan fortsätta på nästa anstalt.</w:t>
      </w:r>
    </w:p>
    <w:p w:rsidR="009C1C5A" w:rsidRPr="00896D4F" w:rsidRDefault="009C1C5A">
      <w:pPr>
        <w:pStyle w:val="Citatindrag"/>
      </w:pPr>
      <w:r w:rsidRPr="00896D4F">
        <w:t>För att på ett bättre sätt svara upp mot de intagnas behov och för att kunna ge ökad tillgänglighet till utbildning kommer kriminalvården under 2001 att utreda förutsättningarna för att införa inter</w:t>
      </w:r>
      <w:r w:rsidRPr="00896D4F">
        <w:softHyphen/>
        <w:t>netbaserad ut</w:t>
      </w:r>
      <w:r w:rsidRPr="00896D4F">
        <w:softHyphen/>
        <w:t>bildning. Fördelarna är att oavsett förflyttning till annan anstalt kan st</w:t>
      </w:r>
      <w:r w:rsidRPr="00896D4F">
        <w:t>u</w:t>
      </w:r>
      <w:r w:rsidRPr="00896D4F">
        <w:t>dierna fort</w:t>
      </w:r>
      <w:r w:rsidRPr="00896D4F">
        <w:softHyphen/>
        <w:t>sätta. Möjlig</w:t>
      </w:r>
      <w:r w:rsidRPr="00896D4F">
        <w:softHyphen/>
        <w:t>heterna att även efter frigivning studera ökar oc</w:t>
      </w:r>
      <w:r w:rsidRPr="00896D4F">
        <w:t>k</w:t>
      </w:r>
      <w:r w:rsidRPr="00896D4F">
        <w:t>så.</w:t>
      </w:r>
    </w:p>
    <w:p w:rsidR="009C1C5A" w:rsidRPr="00896D4F" w:rsidRDefault="009C1C5A">
      <w:pPr>
        <w:pStyle w:val="Citatindrag"/>
      </w:pPr>
      <w:r w:rsidRPr="00896D4F">
        <w:t>Under innevarande år har Kriminalvårdsstyrelsen utarbetat ett system för kvalitetsledning. Utbild</w:t>
      </w:r>
      <w:r w:rsidRPr="00896D4F">
        <w:softHyphen/>
        <w:t>ning i detta kommer att genomföras för per</w:t>
      </w:r>
      <w:r w:rsidRPr="00896D4F">
        <w:softHyphen/>
        <w:t>sonal vid kriminalvårdens samtliga 36 myndigheter under år 2001. S</w:t>
      </w:r>
      <w:r w:rsidRPr="00896D4F">
        <w:t>y</w:t>
      </w:r>
      <w:r w:rsidRPr="00896D4F">
        <w:t>stemet ger väg</w:t>
      </w:r>
      <w:r w:rsidRPr="00896D4F">
        <w:softHyphen/>
        <w:t>ledning för hur en god inlärningsprocess skall planeras, genomfö</w:t>
      </w:r>
      <w:r w:rsidRPr="00896D4F">
        <w:softHyphen/>
        <w:t>ras, följas upp, utvärderas och förbättras.</w:t>
      </w:r>
    </w:p>
    <w:p w:rsidR="009C1C5A" w:rsidRPr="00896D4F" w:rsidRDefault="009C1C5A">
      <w:pPr>
        <w:pStyle w:val="Citatindrag"/>
      </w:pPr>
      <w:r w:rsidRPr="00896D4F">
        <w:t>Kriminalvårdsstyrelsen har den 19 december 2000 beslutat att avsätta m</w:t>
      </w:r>
      <w:r w:rsidRPr="00896D4F">
        <w:t>e</w:t>
      </w:r>
      <w:r w:rsidRPr="00896D4F">
        <w:t>del för forskning med syfte att utvärdera klientutbildningen inom kr</w:t>
      </w:r>
      <w:r w:rsidRPr="00896D4F">
        <w:t>i</w:t>
      </w:r>
      <w:r w:rsidRPr="00896D4F">
        <w:t>minalvår</w:t>
      </w:r>
      <w:r w:rsidRPr="00896D4F">
        <w:softHyphen/>
        <w:t>den med fokus på klienter och utbildning</w:t>
      </w:r>
      <w:r w:rsidRPr="00896D4F">
        <w:softHyphen/>
        <w:t>ens organisation. Vid</w:t>
      </w:r>
      <w:r w:rsidRPr="00896D4F">
        <w:t>a</w:t>
      </w:r>
      <w:r w:rsidRPr="00896D4F">
        <w:t>re har be</w:t>
      </w:r>
      <w:r w:rsidRPr="00896D4F">
        <w:softHyphen/>
        <w:t>slutats att uppdraget skall utföras av Göteborgs universi</w:t>
      </w:r>
      <w:r w:rsidRPr="00896D4F">
        <w:softHyphen/>
        <w:t>tet. Upp</w:t>
      </w:r>
      <w:r w:rsidRPr="00896D4F">
        <w:softHyphen/>
        <w:t>draget be</w:t>
      </w:r>
      <w:r w:rsidRPr="00896D4F">
        <w:softHyphen/>
        <w:t>räknas pågå till december månad 2001.</w:t>
      </w:r>
    </w:p>
    <w:p w:rsidR="009C1C5A" w:rsidRPr="00896D4F" w:rsidRDefault="009C1C5A">
      <w:pPr>
        <w:pStyle w:val="Rubrik3"/>
      </w:pPr>
      <w:r w:rsidRPr="00896D4F">
        <w:t>Bedömning</w:t>
      </w:r>
    </w:p>
    <w:p w:rsidR="009C1C5A" w:rsidRPr="00896D4F" w:rsidRDefault="009C1C5A">
      <w:r w:rsidRPr="00896D4F">
        <w:t>Enligt 4 § lagen (1974:203) om kriminalvård i anstalt (KvaL) skall kriminal</w:t>
      </w:r>
      <w:r w:rsidRPr="00896D4F">
        <w:softHyphen/>
        <w:t>vår</w:t>
      </w:r>
      <w:r w:rsidRPr="00896D4F">
        <w:softHyphen/>
        <w:t>den i anstalt utformas så att den intagnes anpassning i samhället främjas och skadliga följder av frihetsberövandet motverkas. I den utsträckning det kan ske utan att kravet på samhällsskydd eftersätts bör verksamheten från början inriktas på åtgärder som förbereder den intagne för tillvaron utanför anstalten. Enligt 10 § samma lag skall en intagen under arbetstid ges möjlig</w:t>
      </w:r>
      <w:r w:rsidRPr="00896D4F">
        <w:softHyphen/>
        <w:t>het till arbete, un</w:t>
      </w:r>
      <w:r w:rsidRPr="00896D4F">
        <w:softHyphen/>
        <w:t>dervisning, utbildning, arbetsträning, viss särskilt anordnad programverksamhet eller annan lämplig sysselsät</w:t>
      </w:r>
      <w:r w:rsidRPr="00896D4F">
        <w:t>tning som såvitt möjligt främjar utsikterna för honom att efter frigivningen inordna sig i samhället.</w:t>
      </w:r>
    </w:p>
    <w:p w:rsidR="009C1C5A" w:rsidRPr="00896D4F" w:rsidRDefault="009C1C5A">
      <w:pPr>
        <w:pStyle w:val="Normaltindrag"/>
      </w:pPr>
      <w:r w:rsidRPr="00896D4F">
        <w:t>Av Kriminalvårdsstyrelsens remissvar framgår att utbildningsnivån bland de in</w:t>
      </w:r>
      <w:r w:rsidRPr="00896D4F">
        <w:softHyphen/>
        <w:t>tagna i anstalt generellt sett är väsentligt lägre än hos resten av befolk</w:t>
      </w:r>
      <w:r w:rsidRPr="00896D4F">
        <w:softHyphen/>
        <w:t>ningen i landet. Samtidigt är utbildning och kunskaper idag i än högre grad än tidigare en förutsättning för möjligheterna att kunna få arbete och ett ord</w:t>
      </w:r>
      <w:r w:rsidRPr="00896D4F">
        <w:softHyphen/>
        <w:t>nat socialt liv. Av kriminal</w:t>
      </w:r>
      <w:r w:rsidRPr="00896D4F">
        <w:softHyphen/>
        <w:t>vårdsmyndighetens remissvar framgår att kriminal-vården under se</w:t>
      </w:r>
      <w:r w:rsidRPr="00896D4F">
        <w:softHyphen/>
        <w:t>nare år i vart fall delvis till följd av besparingar har drab</w:t>
      </w:r>
      <w:r w:rsidRPr="00896D4F">
        <w:softHyphen/>
        <w:t>bats av försämringar när det gäl</w:t>
      </w:r>
      <w:r w:rsidRPr="00896D4F">
        <w:softHyphen/>
        <w:t>ler de intagnas möjligheter att studera. Enligt min mening är denna utveck</w:t>
      </w:r>
      <w:r w:rsidRPr="00896D4F">
        <w:softHyphen/>
        <w:t>ling både beklagl</w:t>
      </w:r>
      <w:r w:rsidRPr="00896D4F">
        <w:t>ig och oroande. Den på detta sätt försämrade kvaliteten på krimi</w:t>
      </w:r>
      <w:r w:rsidRPr="00896D4F">
        <w:softHyphen/>
        <w:t>nal</w:t>
      </w:r>
      <w:r w:rsidRPr="00896D4F">
        <w:softHyphen/>
        <w:t>vården minskar i hög grad de intagnas fö</w:t>
      </w:r>
      <w:r w:rsidRPr="00896D4F">
        <w:t>r</w:t>
      </w:r>
      <w:r w:rsidRPr="00896D4F">
        <w:t>utsättningar för återanpassning i sam</w:t>
      </w:r>
      <w:r w:rsidRPr="00896D4F">
        <w:softHyphen/>
        <w:t>hället, vilket självfallet också är olyckligt från samhällsekonomisk synpunkt på längre sikt.</w:t>
      </w:r>
    </w:p>
    <w:p w:rsidR="009C1C5A" w:rsidRPr="00896D4F" w:rsidRDefault="009C1C5A">
      <w:pPr>
        <w:pStyle w:val="Normaltindrag"/>
      </w:pPr>
      <w:r w:rsidRPr="00896D4F">
        <w:t>Kriminalvårdsstyrelsen har redogjort för vissa åtgärder som har vidtagits och som kommer att genomföras i syfte att bättre kunna tillgodose de intagnas behov av ut</w:t>
      </w:r>
      <w:r w:rsidRPr="00896D4F">
        <w:softHyphen/>
        <w:t>bildning. Det rör sig till stora delar om att utreda vad som i fram</w:t>
      </w:r>
      <w:r w:rsidRPr="00896D4F">
        <w:softHyphen/>
        <w:t>tiden bör göras för att förbättra situationen. Jag kommer med intresse att följa vad de planerade åtgärderna resulterar i.</w:t>
      </w:r>
    </w:p>
    <w:p w:rsidR="009C1C5A" w:rsidRPr="00896D4F" w:rsidRDefault="009C1C5A">
      <w:pPr>
        <w:pStyle w:val="Rubrik2"/>
      </w:pPr>
      <w:r w:rsidRPr="00896D4F">
        <w:t>Uttalanden om en kriminalvårdsmyndighets rutiner för granskning av inkommande och utgående post</w:t>
      </w:r>
    </w:p>
    <w:p w:rsidR="009C1C5A" w:rsidRPr="00896D4F" w:rsidRDefault="009C1C5A">
      <w:pPr>
        <w:spacing w:before="0"/>
      </w:pPr>
      <w:r w:rsidRPr="00896D4F">
        <w:t>(Dnr 1894-2001)</w:t>
      </w:r>
    </w:p>
    <w:p w:rsidR="009C1C5A" w:rsidRPr="00896D4F" w:rsidRDefault="009C1C5A">
      <w:r w:rsidRPr="00896D4F">
        <w:t xml:space="preserve">I ett beslut den 6 maj 2002 anförde </w:t>
      </w:r>
      <w:r w:rsidRPr="00896D4F">
        <w:rPr>
          <w:i/>
        </w:rPr>
        <w:t>JO Pennlöv</w:t>
      </w:r>
      <w:r w:rsidRPr="00896D4F">
        <w:t xml:space="preserve"> följande.</w:t>
      </w:r>
    </w:p>
    <w:p w:rsidR="009C1C5A" w:rsidRPr="00896D4F" w:rsidRDefault="009C1C5A">
      <w:pPr>
        <w:pStyle w:val="Rubrik3"/>
      </w:pPr>
      <w:r w:rsidRPr="00896D4F">
        <w:t>Anmälan</w:t>
      </w:r>
    </w:p>
    <w:p w:rsidR="009C1C5A" w:rsidRPr="00896D4F" w:rsidRDefault="009C1C5A">
      <w:r w:rsidRPr="00896D4F">
        <w:t>J.L. har kritiserat anstalten Kalmars granskning av de intagnas in</w:t>
      </w:r>
      <w:r w:rsidRPr="00896D4F">
        <w:softHyphen/>
        <w:t>kom</w:t>
      </w:r>
      <w:r w:rsidRPr="00896D4F">
        <w:softHyphen/>
        <w:t xml:space="preserve">mande och utgående post. Han har anfört bl.a. följande. </w:t>
      </w:r>
    </w:p>
    <w:p w:rsidR="009C1C5A" w:rsidRPr="00896D4F" w:rsidRDefault="009C1C5A">
      <w:pPr>
        <w:pStyle w:val="Normaltindrag"/>
      </w:pPr>
      <w:r w:rsidRPr="00896D4F">
        <w:t>Istället för att utföra granskning stickprovsvis har anstalten satt i system att granska nästan all post. Vid flera tillfällen har personalen öppnat utgående post utan att meddela den intagne att så skett. Det har också vid ett antal til</w:t>
      </w:r>
      <w:r w:rsidRPr="00896D4F">
        <w:t>l</w:t>
      </w:r>
      <w:r w:rsidRPr="00896D4F">
        <w:t>fällen hänt att såväl utgående som inkommande post har ”försvunnit” och dykt upp flera da</w:t>
      </w:r>
      <w:r w:rsidRPr="00896D4F">
        <w:softHyphen/>
        <w:t>gar senare utan att någon förklaring till fördröjningen har läm</w:t>
      </w:r>
      <w:r w:rsidRPr="00896D4F">
        <w:softHyphen/>
        <w:t>nats. Vid ett tillfälle tog anstalten ett brev till honom i beslag utan att han fick något beslagsprotokoll eller liknande. Brevet innehöll över tjugo lotter (TRISS). Först sedan han hotat med att kontakta advokat fick han lotterna vid in</w:t>
      </w:r>
      <w:r w:rsidRPr="00896D4F">
        <w:softHyphen/>
        <w:t xml:space="preserve">låsningen, tio timmar efter att de andra intagna fått dagens post.  </w:t>
      </w:r>
    </w:p>
    <w:p w:rsidR="009C1C5A" w:rsidRPr="00896D4F" w:rsidRDefault="009C1C5A">
      <w:pPr>
        <w:pStyle w:val="Rubrik3"/>
      </w:pPr>
      <w:r w:rsidRPr="00896D4F">
        <w:t>Utredningen</w:t>
      </w:r>
    </w:p>
    <w:p w:rsidR="009C1C5A" w:rsidRPr="00896D4F" w:rsidRDefault="009C1C5A">
      <w:r w:rsidRPr="00896D4F">
        <w:t>Ärendet har remitterats till Kriminalvårdsmyndigheten Kalmar. Av kriminal</w:t>
      </w:r>
      <w:r w:rsidRPr="00896D4F">
        <w:softHyphen/>
        <w:t>vårdschefen Lars Berggrens remissvar framgår, i de delar som är intressanta att referera för min bedömning, bl.a. följande.</w:t>
      </w:r>
    </w:p>
    <w:p w:rsidR="009C1C5A" w:rsidRPr="00896D4F" w:rsidRDefault="009C1C5A">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pPr>
        <w:pStyle w:val="Citat"/>
      </w:pPr>
      <w:r w:rsidRPr="00896D4F">
        <w:t xml:space="preserve">Brev eller andra försändelser till eller från den som är intagen i sluten anstalt får, enligt 26 § första stycket lagen (1974:203) om kriminalvård i anstalt </w:t>
      </w:r>
      <w:r w:rsidRPr="00896D4F">
        <w:rPr>
          <w:rFonts w:ascii="Garamond" w:hAnsi="Garamond"/>
        </w:rPr>
        <w:t>–</w:t>
      </w:r>
      <w:r w:rsidRPr="00896D4F">
        <w:t xml:space="preserve"> KvaL, granskas för undersökning av om de innehåller något otillåtet fö</w:t>
      </w:r>
      <w:r w:rsidRPr="00896D4F">
        <w:softHyphen/>
        <w:t>remål. Be</w:t>
      </w:r>
      <w:r w:rsidRPr="00896D4F">
        <w:softHyphen/>
        <w:t>träffande den som är intagen på specialavdelning skall en så</w:t>
      </w:r>
      <w:r w:rsidRPr="00896D4F">
        <w:softHyphen/>
        <w:t>dan granskning alltid göras. Finns det anledning att anta att en försän</w:t>
      </w:r>
      <w:r w:rsidRPr="00896D4F">
        <w:softHyphen/>
        <w:t>delse innehåller ett så</w:t>
      </w:r>
      <w:r w:rsidRPr="00896D4F">
        <w:softHyphen/>
        <w:t>dant föremål eller sker det stickprovsvis, får granskning i detta syfte göras även av en försändelse till eller från den som är intagen i en öppen anstalt.</w:t>
      </w:r>
    </w:p>
    <w:p w:rsidR="009C1C5A" w:rsidRPr="00896D4F" w:rsidRDefault="009C1C5A">
      <w:pPr>
        <w:pStyle w:val="Citatindrag"/>
      </w:pPr>
      <w:r w:rsidRPr="00896D4F">
        <w:t>Av 26 § andra stycket KvaL framgår att beträffande den som är intagen på en special</w:t>
      </w:r>
      <w:r w:rsidRPr="00896D4F">
        <w:softHyphen/>
        <w:t>avdelning skall granskningen av brev eller andra försändelser även syfta till att undersöka om de innehåller något meddelande om planläggning av brottslig verksamhet, avvikande eller något annat lik</w:t>
      </w:r>
      <w:r w:rsidRPr="00896D4F">
        <w:softHyphen/>
        <w:t>nande förfarande. Granskning i detta syfte får också göras beträffande andra intagna, när det finns anledning att anta att en försändelse inne</w:t>
      </w:r>
      <w:r w:rsidRPr="00896D4F">
        <w:softHyphen/>
        <w:t xml:space="preserve">håller ett sådant meddelande. Beträffande den som är intagen i en sluten anstalt får sådan granskning även göras stickprovsvis samt om det är nödvändigt med hänsyn till </w:t>
      </w:r>
      <w:r w:rsidRPr="00896D4F">
        <w:t>den intagnes särskilda förhå</w:t>
      </w:r>
      <w:r w:rsidRPr="00896D4F">
        <w:t>l</w:t>
      </w:r>
      <w:r w:rsidRPr="00896D4F">
        <w:t>landen.</w:t>
      </w:r>
    </w:p>
    <w:p w:rsidR="009C1C5A" w:rsidRPr="00896D4F" w:rsidRDefault="009C1C5A">
      <w:pPr>
        <w:pStyle w:val="Citatindrag"/>
        <w:spacing w:line="240" w:lineRule="auto"/>
      </w:pPr>
      <w:r w:rsidRPr="00896D4F">
        <w:t>Granskning av brev eller andra försändelser får, enligt 27 § första stycket KvaL, ej vara mer ingående än som är nödvändigt med hänsyn till grans</w:t>
      </w:r>
      <w:r w:rsidRPr="00896D4F">
        <w:t>k</w:t>
      </w:r>
      <w:r w:rsidRPr="00896D4F">
        <w:t>ning</w:t>
      </w:r>
      <w:r w:rsidRPr="00896D4F">
        <w:softHyphen/>
        <w:t>ens syfte.</w:t>
      </w:r>
    </w:p>
    <w:p w:rsidR="009C1C5A" w:rsidRPr="00896D4F" w:rsidRDefault="009C1C5A">
      <w:pPr>
        <w:pStyle w:val="Citatindrag"/>
      </w:pPr>
      <w:r w:rsidRPr="00896D4F">
        <w:t>Av 27 § andra stycket och tredje stycket KvaL framgår att vid öppning av brev eller andra för</w:t>
      </w:r>
      <w:r w:rsidRPr="00896D4F">
        <w:softHyphen/>
        <w:t>sändelser bör den intagne vara närvarande, om det lämpl</w:t>
      </w:r>
      <w:r w:rsidRPr="00896D4F">
        <w:t>i</w:t>
      </w:r>
      <w:r w:rsidRPr="00896D4F">
        <w:t>gen kan ske samt att brev eller andra försändelser som granskats får kvarhå</w:t>
      </w:r>
      <w:r w:rsidRPr="00896D4F">
        <w:t>l</w:t>
      </w:r>
      <w:r w:rsidRPr="00896D4F">
        <w:t>las, om det är på</w:t>
      </w:r>
      <w:r w:rsidRPr="00896D4F">
        <w:softHyphen/>
        <w:t>kallat av säkerhetsskäl. Den intagne skall i så fall genast under</w:t>
      </w:r>
      <w:r w:rsidRPr="00896D4F">
        <w:softHyphen/>
        <w:t>rättas därom. Är det fråga om ankommande försändelser, skall den in</w:t>
      </w:r>
      <w:r w:rsidRPr="00896D4F">
        <w:softHyphen/>
        <w:t>tagne i den utsträck</w:t>
      </w:r>
      <w:r w:rsidRPr="00896D4F">
        <w:softHyphen/>
        <w:t>ning det lämpligen kan ske få kännedom om inne</w:t>
      </w:r>
      <w:r w:rsidRPr="00896D4F">
        <w:softHyphen/>
        <w:t>hållet. En kvarhållen för</w:t>
      </w:r>
      <w:r w:rsidRPr="00896D4F">
        <w:softHyphen/>
        <w:t>sändelse skall utlämnas till den intagne så snart det kan ske och senast när anstaltsvården upphör, om ej särskilda skäl talar däremo</w:t>
      </w:r>
      <w:r w:rsidRPr="00896D4F">
        <w:t>t.</w:t>
      </w:r>
    </w:p>
    <w:p w:rsidR="009C1C5A" w:rsidRPr="00896D4F" w:rsidRDefault="009C1C5A">
      <w:pPr>
        <w:pStyle w:val="Citatindrag"/>
      </w:pPr>
      <w:r w:rsidRPr="00896D4F">
        <w:t>Ovanstående bestämmelser innehåller begränsningar avseende skyddet mot undersökning av brev m.m. i 2 kap 6 § regeringsformen. Detta skydd kan således under vissa förutsättningar begränsas genom lag.</w:t>
      </w:r>
    </w:p>
    <w:p w:rsidR="009C1C5A" w:rsidRPr="00896D4F" w:rsidRDefault="009C1C5A">
      <w:pPr>
        <w:pStyle w:val="Citatindrag"/>
      </w:pPr>
      <w:r w:rsidRPr="00896D4F">
        <w:t>Kriminalvårdsstyrelsen har genom anstaltsföreskrifterna (KVVFS 1998:8) meddelat kompletterande bestämmelser om granskning av för</w:t>
      </w:r>
      <w:r w:rsidRPr="00896D4F">
        <w:softHyphen/>
        <w:t>sändelser. Av 73 § nämnda föreskrifter framgår att granskning får ske medelst genomlys</w:t>
      </w:r>
      <w:r w:rsidRPr="00896D4F">
        <w:softHyphen/>
        <w:t>ning av försändelsen i oöppnat skick, öppnande utan genomläsning och öp</w:t>
      </w:r>
      <w:r w:rsidRPr="00896D4F">
        <w:t>p</w:t>
      </w:r>
      <w:r w:rsidRPr="00896D4F">
        <w:t>nande och genomläsning av innehållet. Har för</w:t>
      </w:r>
      <w:r w:rsidRPr="00896D4F">
        <w:softHyphen/>
        <w:t>sändelsen öppnats enbart för att söka efter otillåtet föremål, får inne</w:t>
      </w:r>
      <w:r w:rsidRPr="00896D4F">
        <w:softHyphen/>
        <w:t>hållet inte läsas. Efter gransk</w:t>
      </w:r>
      <w:r w:rsidRPr="00896D4F">
        <w:softHyphen/>
        <w:t>ningen skall försändelsen förseglas och den inta</w:t>
      </w:r>
      <w:r w:rsidRPr="00896D4F">
        <w:t>g</w:t>
      </w:r>
      <w:r w:rsidRPr="00896D4F">
        <w:t>ne underrättas om åtgär</w:t>
      </w:r>
      <w:r w:rsidRPr="00896D4F">
        <w:softHyphen/>
        <w:t>den.</w:t>
      </w:r>
    </w:p>
    <w:p w:rsidR="009C1C5A" w:rsidRPr="00896D4F" w:rsidRDefault="009C1C5A">
      <w:pPr>
        <w:pStyle w:val="Citatindrag"/>
      </w:pPr>
      <w:r w:rsidRPr="00896D4F">
        <w:t>Av 75 § anstaltsföreskrifterna framgår att om innehållet i en försändelse be</w:t>
      </w:r>
      <w:r w:rsidRPr="00896D4F">
        <w:softHyphen/>
        <w:t>döms vara straffbart eller lämna upplysningar om brott skall polis snarast underrättas. Vidare framgår av 76 och 77 §§ anstaltsföre</w:t>
      </w:r>
      <w:r w:rsidRPr="00896D4F">
        <w:softHyphen/>
        <w:t>skrifterna att brev som kvarhålls skall läggas i den intagnes akt eller förvaras så att det inte kan läsas av obehöriga och att sådant brev skall återlämnas så snart det är möj</w:t>
      </w:r>
      <w:r w:rsidRPr="00896D4F">
        <w:softHyphen/>
        <w:t>ligt eller senast då den intagne friges så</w:t>
      </w:r>
      <w:r w:rsidRPr="00896D4F">
        <w:softHyphen/>
        <w:t>vida det inte för</w:t>
      </w:r>
      <w:r w:rsidRPr="00896D4F">
        <w:t>e</w:t>
      </w:r>
      <w:r w:rsidRPr="00896D4F">
        <w:t>ligger sär</w:t>
      </w:r>
      <w:r w:rsidRPr="00896D4F">
        <w:softHyphen/>
        <w:t>skilda skäl.</w:t>
      </w:r>
    </w:p>
    <w:p w:rsidR="009C1C5A" w:rsidRPr="00896D4F" w:rsidRDefault="009C1C5A">
      <w:r w:rsidRPr="00896D4F">
        <w:t>– – –</w:t>
      </w:r>
    </w:p>
    <w:p w:rsidR="009C1C5A" w:rsidRPr="00896D4F" w:rsidRDefault="009C1C5A">
      <w:pPr>
        <w:pStyle w:val="Citat"/>
      </w:pPr>
      <w:r w:rsidRPr="00896D4F">
        <w:t>Som nämnts tidigare ankom periodvis en mängd brev till J.L. Det är upplyst av Curt Brathen att ett flertal av dessa brev visade sig vid gransk</w:t>
      </w:r>
      <w:r w:rsidRPr="00896D4F">
        <w:softHyphen/>
        <w:t>ning inn</w:t>
      </w:r>
      <w:r w:rsidRPr="00896D4F">
        <w:t>e</w:t>
      </w:r>
      <w:r w:rsidRPr="00896D4F">
        <w:t>hålla trisslotter, penninglotter, frimärken och/eller kontanter. Det som sändes till honom uppgick till betydande värde. Breven saknade huvud</w:t>
      </w:r>
      <w:r w:rsidRPr="00896D4F">
        <w:softHyphen/>
        <w:t>sakligen skriftligt meddelande och avsändaren var okänd. Omständigheterna medförde att man i samband med granskningen av den nu aktuella försän</w:t>
      </w:r>
      <w:r w:rsidRPr="00896D4F">
        <w:softHyphen/>
        <w:t>delsen försökte kontrollera (via lotternas nummerserier) med polismyndig</w:t>
      </w:r>
      <w:r w:rsidRPr="00896D4F">
        <w:softHyphen/>
        <w:t>heten om lotterna avhänts annan genom brott. Något besked som tydde på att så var fallet lä</w:t>
      </w:r>
      <w:r w:rsidRPr="00896D4F">
        <w:t>m</w:t>
      </w:r>
      <w:r w:rsidRPr="00896D4F">
        <w:t>nades inte, varpå lotterna överlämnades till J.L. H</w:t>
      </w:r>
      <w:r w:rsidRPr="00896D4F">
        <w:t>an hade dessförinnan up</w:t>
      </w:r>
      <w:r w:rsidRPr="00896D4F">
        <w:t>p</w:t>
      </w:r>
      <w:r w:rsidRPr="00896D4F">
        <w:t>lysts muntligen att lotterna tagits om hand. Vad han anfört om när lotterna överlämnades till honom kan äga sin riktighet.</w:t>
      </w:r>
    </w:p>
    <w:p w:rsidR="009C1C5A" w:rsidRPr="00896D4F" w:rsidRDefault="009C1C5A">
      <w:pPr>
        <w:pStyle w:val="Citatindrag"/>
      </w:pPr>
      <w:r w:rsidRPr="00896D4F">
        <w:t>Såsom J.L:s klagomål får förstås i denna del riktar han inte an</w:t>
      </w:r>
      <w:r w:rsidRPr="00896D4F">
        <w:softHyphen/>
        <w:t>märkning mot beslutet att granska den aktuella försändelsen, utan mot åt</w:t>
      </w:r>
      <w:r w:rsidRPr="00896D4F">
        <w:softHyphen/>
        <w:t>gärderna som företogs vid granskningen och omedelbart därefter.</w:t>
      </w:r>
    </w:p>
    <w:p w:rsidR="009C1C5A" w:rsidRPr="00896D4F" w:rsidRDefault="009C1C5A">
      <w:pPr>
        <w:pStyle w:val="Citatindrag"/>
      </w:pPr>
      <w:r w:rsidRPr="00896D4F">
        <w:t>Allmänt kan nämnas att det inte åligger kriminalvården att uppdaga och be</w:t>
      </w:r>
      <w:r w:rsidRPr="00896D4F">
        <w:softHyphen/>
        <w:t>ivra brott. Detta är istället en uppgift som är av polisiär karaktär. Emellertid får det anses ankomma på kriminalvården att försöka förhindra att en inta</w:t>
      </w:r>
      <w:r w:rsidRPr="00896D4F">
        <w:softHyphen/>
        <w:t>gen börjar eller fortsätter en brottslig verksamhet under tiden i anstalt. Det är mot bakgrund av bl a detta som bestämmelserna om granskning av med</w:t>
      </w:r>
      <w:r w:rsidRPr="00896D4F">
        <w:softHyphen/>
        <w:t>delande syftande till att upptäcka planläggning av brottslig verksamhet får ses.</w:t>
      </w:r>
    </w:p>
    <w:p w:rsidR="009C1C5A" w:rsidRPr="00896D4F" w:rsidRDefault="009C1C5A">
      <w:pPr>
        <w:pStyle w:val="Citatindrag"/>
      </w:pPr>
      <w:r w:rsidRPr="00896D4F">
        <w:t>Vid granskningen har misstankar riktats mot att lotterna kan ha åtkommits genom brott. Av bestämmelserna 75 § anstaltsföreskri</w:t>
      </w:r>
      <w:r w:rsidRPr="00896D4F">
        <w:t>fterna framgår att po</w:t>
      </w:r>
      <w:r w:rsidRPr="00896D4F">
        <w:softHyphen/>
        <w:t>lis snarast skall underrättas om innehållet i en försändelse bedöms lämna upply</w:t>
      </w:r>
      <w:r w:rsidRPr="00896D4F">
        <w:t>s</w:t>
      </w:r>
      <w:r w:rsidRPr="00896D4F">
        <w:t>ningar om brott. Hur man skall förfara med en sådan försändelse i avvaktan på besked om innehållet är inte närmare ang</w:t>
      </w:r>
      <w:r w:rsidRPr="00896D4F">
        <w:t>i</w:t>
      </w:r>
      <w:r w:rsidRPr="00896D4F">
        <w:t>vet.</w:t>
      </w:r>
    </w:p>
    <w:p w:rsidR="009C1C5A" w:rsidRPr="00896D4F" w:rsidRDefault="009C1C5A">
      <w:pPr>
        <w:pStyle w:val="Citatindrag"/>
      </w:pPr>
      <w:r w:rsidRPr="00896D4F">
        <w:t>Som nämnts tidigare utgör bestämmelserna i KvaL om granskning och kvarhållande av försändelser inskränkningar i enskilda personers grun</w:t>
      </w:r>
      <w:r w:rsidRPr="00896D4F">
        <w:t>d</w:t>
      </w:r>
      <w:r w:rsidRPr="00896D4F">
        <w:t>lags</w:t>
      </w:r>
      <w:r w:rsidRPr="00896D4F">
        <w:softHyphen/>
        <w:t>skyddade fri- och rättigheter. Utgångspunkten bör därvid vara att myndig</w:t>
      </w:r>
      <w:r w:rsidRPr="00896D4F">
        <w:softHyphen/>
        <w:t>heten är skyldig att vidarebefordra post till intagen och att bestämmelserna om kvarhållande utgör undantag på när myndigheten kan underlåta detta.</w:t>
      </w:r>
    </w:p>
    <w:p w:rsidR="009C1C5A" w:rsidRPr="00896D4F" w:rsidRDefault="009C1C5A">
      <w:pPr>
        <w:pStyle w:val="Citatindrag"/>
      </w:pPr>
      <w:r w:rsidRPr="00896D4F">
        <w:t>Med stöd av bestämmelserna i 27 § KvaL får kriminalvårdsmyndigheten kvarhålla brev till intagna om det är påkallat av säkerhetsskäl. För det fall ett brev kvarhålls skall den intagne omedelbart underrättas om detta. Med sä</w:t>
      </w:r>
      <w:r w:rsidRPr="00896D4F">
        <w:softHyphen/>
        <w:t>kerhetsskäl synes snarast avses förhållanden som medför problem att upp</w:t>
      </w:r>
      <w:r w:rsidRPr="00896D4F">
        <w:softHyphen/>
        <w:t>rätthålla ordning och säkerhet i anstalten. Att lotterna, utöver misstankarna om sättet på vilket dessa åtkommits, även skulle kunna ha den inverkan fö</w:t>
      </w:r>
      <w:r w:rsidRPr="00896D4F">
        <w:softHyphen/>
        <w:t>refaller inte sannolikt, vilket också visas genom att lotterna sedermera öve</w:t>
      </w:r>
      <w:r w:rsidRPr="00896D4F">
        <w:t>r</w:t>
      </w:r>
      <w:r w:rsidRPr="00896D4F">
        <w:t>lämnats till J.L. Möjlighet förefaller saknas att, enligt sist</w:t>
      </w:r>
      <w:r w:rsidRPr="00896D4F">
        <w:softHyphen/>
        <w:t>nämnda lagrum, kvarhålla försändelser som innehåller sådant som frånhänts annan genom brott utan att också negativt påverka säke</w:t>
      </w:r>
      <w:r w:rsidRPr="00896D4F">
        <w:t>r</w:t>
      </w:r>
      <w:r w:rsidRPr="00896D4F">
        <w:t>heten i anstalten.</w:t>
      </w:r>
    </w:p>
    <w:p w:rsidR="009C1C5A" w:rsidRPr="00896D4F" w:rsidRDefault="009C1C5A">
      <w:pPr>
        <w:pStyle w:val="Citatindrag"/>
      </w:pPr>
      <w:r w:rsidRPr="00896D4F">
        <w:t>Anträffas i vissa fall egendom som kan antas bli tagen i beslag, får den lo</w:t>
      </w:r>
      <w:r w:rsidRPr="00896D4F">
        <w:softHyphen/>
        <w:t>kala kriminalvårdsmyndigheten omhänderta egendomen i avvaktan på be</w:t>
      </w:r>
      <w:r w:rsidRPr="00896D4F">
        <w:softHyphen/>
        <w:t>slut i frågan. Detta framgår av 64 § KvaL. Bestämmelsen synes ha till</w:t>
      </w:r>
      <w:r w:rsidRPr="00896D4F">
        <w:softHyphen/>
        <w:t>kom</w:t>
      </w:r>
      <w:r w:rsidRPr="00896D4F">
        <w:softHyphen/>
        <w:t>mit bl a för att förhindra att knivar och inbrottsverktyg behöver över</w:t>
      </w:r>
      <w:r w:rsidRPr="00896D4F">
        <w:softHyphen/>
        <w:t>lämnas till den intagne då denne friges (prop 1994/95:124). Bestämmelsen har dock till sin lydelse även kommit att omfatta föremål som kan antas ha av</w:t>
      </w:r>
      <w:r w:rsidRPr="00896D4F">
        <w:softHyphen/>
        <w:t>hänts någon genom brott. Med anträffas synes dock närmast avses att fö</w:t>
      </w:r>
      <w:r w:rsidRPr="00896D4F">
        <w:softHyphen/>
        <w:t>re</w:t>
      </w:r>
      <w:r w:rsidRPr="00896D4F">
        <w:softHyphen/>
        <w:t>målet påträffas då det redan finns i anstalten, t ex vid en v</w:t>
      </w:r>
      <w:r w:rsidRPr="00896D4F">
        <w:t>i</w:t>
      </w:r>
      <w:r w:rsidRPr="00896D4F">
        <w:t>sitation av</w:t>
      </w:r>
      <w:r w:rsidRPr="00896D4F">
        <w:t xml:space="preserve"> den intagnes bostads</w:t>
      </w:r>
      <w:r w:rsidRPr="00896D4F">
        <w:softHyphen/>
        <w:t>rum. Att bestämmelsen även skulle kunna tillämpas avse</w:t>
      </w:r>
      <w:r w:rsidRPr="00896D4F">
        <w:softHyphen/>
        <w:t>ende inne</w:t>
      </w:r>
      <w:r w:rsidRPr="00896D4F">
        <w:softHyphen/>
        <w:t>håll i för</w:t>
      </w:r>
      <w:r w:rsidRPr="00896D4F">
        <w:softHyphen/>
        <w:t>sändelser, vilka således under postb</w:t>
      </w:r>
      <w:r w:rsidRPr="00896D4F">
        <w:t>e</w:t>
      </w:r>
      <w:r w:rsidRPr="00896D4F">
        <w:t>fordran inkommer till anstal</w:t>
      </w:r>
      <w:r w:rsidRPr="00896D4F">
        <w:softHyphen/>
        <w:t>ten, före</w:t>
      </w:r>
      <w:r w:rsidRPr="00896D4F">
        <w:softHyphen/>
        <w:t xml:space="preserve">faller tveksamt </w:t>
      </w:r>
      <w:r w:rsidRPr="00896D4F">
        <w:rPr>
          <w:rFonts w:ascii="Garamond" w:hAnsi="Garamond"/>
        </w:rPr>
        <w:t>–</w:t>
      </w:r>
      <w:r w:rsidRPr="00896D4F">
        <w:t xml:space="preserve">  särskilt med beaktande av att det rör in</w:t>
      </w:r>
      <w:r w:rsidRPr="00896D4F">
        <w:softHyphen/>
        <w:t>skränk</w:t>
      </w:r>
      <w:r w:rsidRPr="00896D4F">
        <w:softHyphen/>
        <w:t xml:space="preserve">ningar i grundläggande fri- </w:t>
      </w:r>
      <w:r w:rsidRPr="00896D4F">
        <w:softHyphen/>
        <w:t>och rättigheter och att myndigheten med anled</w:t>
      </w:r>
      <w:r w:rsidRPr="00896D4F">
        <w:softHyphen/>
        <w:t>ning därav bör ha klart författningsstöd för de åtgärder som den vidtar.</w:t>
      </w:r>
    </w:p>
    <w:p w:rsidR="009C1C5A" w:rsidRPr="00896D4F" w:rsidRDefault="009C1C5A">
      <w:pPr>
        <w:pStyle w:val="Citatindrag"/>
      </w:pPr>
      <w:r w:rsidRPr="00896D4F">
        <w:t>Av ovanstående framgår att det måste anses tveksamt om myndigheten haft lagliga möjligheter att underlåta att omedelbart vi</w:t>
      </w:r>
      <w:r w:rsidRPr="00896D4F">
        <w:t>darebefordra en försän-delse endast på den grunden att innehållet kunde antas frånhänt annan ge</w:t>
      </w:r>
      <w:r w:rsidRPr="00896D4F">
        <w:softHyphen/>
        <w:t>nom brott. Om Justitieombudsmannen finner att myndighetens uppfatt</w:t>
      </w:r>
      <w:r w:rsidRPr="00896D4F">
        <w:softHyphen/>
        <w:t>ning är b</w:t>
      </w:r>
      <w:r w:rsidRPr="00896D4F">
        <w:t>e</w:t>
      </w:r>
      <w:r w:rsidRPr="00896D4F">
        <w:t>fogad, så får tidigare nämnda förhållande snarast ses som en brist, vil</w:t>
      </w:r>
      <w:r w:rsidRPr="00896D4F">
        <w:softHyphen/>
        <w:t>ket bör föranleda en diskussion om behovet av förändr</w:t>
      </w:r>
      <w:r w:rsidRPr="00896D4F">
        <w:t>a</w:t>
      </w:r>
      <w:r w:rsidRPr="00896D4F">
        <w:t>de bestämmelser.</w:t>
      </w:r>
    </w:p>
    <w:p w:rsidR="009C1C5A" w:rsidRPr="00896D4F" w:rsidRDefault="009C1C5A">
      <w:pPr>
        <w:pStyle w:val="Citatindrag"/>
        <w:rPr>
          <w:b/>
          <w:i/>
        </w:rPr>
      </w:pPr>
      <w:r w:rsidRPr="00896D4F">
        <w:t>När myndigheten väl beslutat att inte omedelbart vidarebefordra den aktu</w:t>
      </w:r>
      <w:r w:rsidRPr="00896D4F">
        <w:softHyphen/>
        <w:t>ella försändelsen efter själva granskningen, så skulle ett formligt beslut att omhänderta alternativt kvarhålla försändelsen ha meddelats. Detta har ut</w:t>
      </w:r>
      <w:r w:rsidRPr="00896D4F">
        <w:softHyphen/>
        <w:t xml:space="preserve">gjort en brist i sig. </w:t>
      </w:r>
    </w:p>
    <w:p w:rsidR="009C1C5A" w:rsidRPr="00896D4F" w:rsidRDefault="009C1C5A">
      <w:r w:rsidRPr="00896D4F">
        <w:t xml:space="preserve">J.L. har yttrat sig över remissvaret. </w:t>
      </w:r>
    </w:p>
    <w:p w:rsidR="009C1C5A" w:rsidRPr="00896D4F" w:rsidRDefault="009C1C5A">
      <w:r w:rsidRPr="00896D4F">
        <w:t>Med anledning av vad kriminalvårdsmyndigheten anfört i remissvaret om  laglig</w:t>
      </w:r>
      <w:r w:rsidRPr="00896D4F">
        <w:softHyphen/>
        <w:t>heten i att kvarhålla lotterna för att utreda eventuell bakomliggande brottslig</w:t>
      </w:r>
      <w:r w:rsidRPr="00896D4F">
        <w:softHyphen/>
        <w:t>het har ärendet remitterats till Kriminalvårdsstyrelsen. Nämnda my</w:t>
      </w:r>
      <w:r w:rsidRPr="00896D4F">
        <w:t>n</w:t>
      </w:r>
      <w:r w:rsidRPr="00896D4F">
        <w:t>dighet har genom överdirektören Doris Högne anfört följande.</w:t>
      </w:r>
    </w:p>
    <w:p w:rsidR="009C1C5A" w:rsidRPr="00896D4F" w:rsidRDefault="009C1C5A">
      <w:pPr>
        <w:pStyle w:val="Citat"/>
      </w:pPr>
      <w:r w:rsidRPr="00896D4F">
        <w:t>Det finns inga uttryckliga regler om när brev till en intagen skall vidar</w:t>
      </w:r>
      <w:r w:rsidRPr="00896D4F">
        <w:t>e</w:t>
      </w:r>
      <w:r w:rsidRPr="00896D4F">
        <w:t>be</w:t>
      </w:r>
      <w:r w:rsidRPr="00896D4F">
        <w:softHyphen/>
        <w:t>fordras till honom av anstalten. En annan sak är att det givetvis skall ske så snart som möjligt. Vad som kan påverka tiden för utdelandet av intagnas post är bl.a. omfattningen av de granskningsåtgärder som enligt 25–28 §§ lagen (1974:203) om kriminalvård i anstalt (KvaL) skall vidtas med försän</w:t>
      </w:r>
      <w:r w:rsidRPr="00896D4F">
        <w:softHyphen/>
        <w:t>delser till de intagna. Sådana granskningsåtgärder brukar karaktäriseras som faktiskt handlande och inte handläggning av ärenden.</w:t>
      </w:r>
    </w:p>
    <w:p w:rsidR="009C1C5A" w:rsidRPr="00896D4F" w:rsidRDefault="009C1C5A">
      <w:pPr>
        <w:pStyle w:val="Citatindrag"/>
      </w:pPr>
      <w:r w:rsidRPr="00896D4F">
        <w:t>Hanteringen av det nu aktuella brevet är enligt Kriminalvårdsstyrelsens me</w:t>
      </w:r>
      <w:r w:rsidRPr="00896D4F">
        <w:softHyphen/>
        <w:t>ning ett typexempel på faktiskt handlade. Det var inte fråga om beslut om beslag enligt 64 § KvaL eller kvarhållande enligt 27 § samma lag. Det var istället en sådan granskningsåtgärd som avser att utröna om det senare skall meddelas ett formellt beslut i något avseende beträffande brevet. Sådant fa</w:t>
      </w:r>
      <w:r w:rsidRPr="00896D4F">
        <w:t>k</w:t>
      </w:r>
      <w:r w:rsidRPr="00896D4F">
        <w:t>tiskt handlade är inte underkastat de formkrav som gäller vid handlägg</w:t>
      </w:r>
      <w:r w:rsidRPr="00896D4F">
        <w:softHyphen/>
        <w:t>ningen av ärenden med dokumentation i form av formella beslut etc. Givet</w:t>
      </w:r>
      <w:r w:rsidRPr="00896D4F">
        <w:softHyphen/>
        <w:t xml:space="preserve">vis bör den intagne underrättas om att granskning har skett eller </w:t>
      </w:r>
      <w:r w:rsidRPr="00896D4F">
        <w:t>kommer att ske vi</w:t>
      </w:r>
      <w:r w:rsidRPr="00896D4F">
        <w:t>l</w:t>
      </w:r>
      <w:r w:rsidRPr="00896D4F">
        <w:t>ket också har skett i detta fall.</w:t>
      </w:r>
    </w:p>
    <w:p w:rsidR="009C1C5A" w:rsidRPr="00896D4F" w:rsidRDefault="009C1C5A">
      <w:pPr>
        <w:pStyle w:val="Citatindrag"/>
      </w:pPr>
      <w:r w:rsidRPr="00896D4F">
        <w:t>Kriminalvårdsstyrelsen kan inte se att det av innehållet i de remitterade handlingarna framgår något som i det nu aktuella hänseendet kan utgöra skäl för kritik mot anstalten Kalmar för hanteringen av brevet med trisslot</w:t>
      </w:r>
      <w:r w:rsidRPr="00896D4F">
        <w:softHyphen/>
        <w:t>ter. Kriminalvårdsstyrelsen delar därför inte de bedömningar som Kriminal</w:t>
      </w:r>
      <w:r w:rsidRPr="00896D4F">
        <w:softHyphen/>
        <w:t>vårdsstyrelsen Kalmar gjort därom.</w:t>
      </w:r>
    </w:p>
    <w:p w:rsidR="009C1C5A" w:rsidRPr="00896D4F" w:rsidRDefault="009C1C5A">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r w:rsidRPr="00896D4F">
        <w:t>J.L. har beretts tillfälle att yttra sig även över Kriminalvårdsstyrel</w:t>
      </w:r>
      <w:r w:rsidRPr="00896D4F">
        <w:softHyphen/>
        <w:t>sens remi</w:t>
      </w:r>
      <w:r w:rsidRPr="00896D4F">
        <w:t>s</w:t>
      </w:r>
      <w:r w:rsidRPr="00896D4F">
        <w:t xml:space="preserve">svar men inte hörts av. </w:t>
      </w:r>
    </w:p>
    <w:p w:rsidR="009C1C5A" w:rsidRPr="00896D4F" w:rsidRDefault="009C1C5A">
      <w:pPr>
        <w:pStyle w:val="Rubrik3"/>
      </w:pPr>
      <w:r w:rsidRPr="00896D4F">
        <w:t>Bedömning</w:t>
      </w:r>
    </w:p>
    <w:p w:rsidR="009C1C5A" w:rsidRPr="00896D4F" w:rsidRDefault="009C1C5A">
      <w:r w:rsidRPr="00896D4F">
        <w:t>Kriminalvårdsmyndigheten Kalmar har till stora delar tillbakavisat J.L:s kritik och i vissa delar anfört att den är så allmänt hållen att det inte har varit möj</w:t>
      </w:r>
      <w:r w:rsidRPr="00896D4F">
        <w:softHyphen/>
        <w:t>ligt att utreda påståendena. I dessa delar har utredningen inte givit något stöd för J.L:s kritik. Jag saknar därför anledning att kritisera Kriminalvårdsmyn</w:t>
      </w:r>
      <w:r w:rsidRPr="00896D4F">
        <w:softHyphen/>
        <w:t>digheten Kalmar för att granskningen av J.L:s post skulle ha skett i så</w:t>
      </w:r>
      <w:r w:rsidRPr="00896D4F">
        <w:softHyphen/>
        <w:t>dan omfatt</w:t>
      </w:r>
      <w:r w:rsidRPr="00896D4F">
        <w:softHyphen/>
        <w:t>ning att den inte kan anses ha varit stickprovsmässig, att in</w:t>
      </w:r>
      <w:r w:rsidRPr="00896D4F">
        <w:softHyphen/>
        <w:t>kommande och utgå</w:t>
      </w:r>
      <w:r w:rsidRPr="00896D4F">
        <w:softHyphen/>
        <w:t xml:space="preserve">ende post försvunnit samt att han i vissa fall inte har meddelats då granskning skett. </w:t>
      </w:r>
    </w:p>
    <w:p w:rsidR="009C1C5A" w:rsidRPr="00896D4F" w:rsidRDefault="009C1C5A">
      <w:pPr>
        <w:pStyle w:val="Normaltindrag"/>
      </w:pPr>
      <w:r w:rsidRPr="00896D4F">
        <w:t>När det gäller anstalten Kalmars förfarande med de aktuella lotterna vill jag an</w:t>
      </w:r>
      <w:r w:rsidRPr="00896D4F">
        <w:softHyphen/>
        <w:t>föra följande.</w:t>
      </w:r>
    </w:p>
    <w:p w:rsidR="009C1C5A" w:rsidRPr="00896D4F" w:rsidRDefault="009C1C5A">
      <w:pPr>
        <w:pStyle w:val="Normaltindrag"/>
      </w:pPr>
      <w:r w:rsidRPr="00896D4F">
        <w:t>Kriminalvårdsmyndigheten har anfört att de lotter som anträffats vid gransk</w:t>
      </w:r>
      <w:r w:rsidRPr="00896D4F">
        <w:softHyphen/>
        <w:t>ningen av J.L:s post inte omedelbart lämnades ut till denne, därför att myndig</w:t>
      </w:r>
      <w:r w:rsidRPr="00896D4F">
        <w:softHyphen/>
        <w:t>heten ville utreda om de var stulna. Jag delar Kriminal</w:t>
      </w:r>
      <w:r w:rsidRPr="00896D4F">
        <w:softHyphen/>
        <w:t>vårdsstyrelsens me</w:t>
      </w:r>
      <w:r w:rsidRPr="00896D4F">
        <w:softHyphen/>
        <w:t>ning att sistnämnda förfarande med lotterna är att betrakta som faktiskt hand</w:t>
      </w:r>
      <w:r w:rsidRPr="00896D4F">
        <w:softHyphen/>
        <w:t>lande och att det på det stadiet inte har förelegat någon skyldighet för myndig</w:t>
      </w:r>
      <w:r w:rsidRPr="00896D4F">
        <w:softHyphen/>
        <w:t>heten att meddela ett formellt beslut om kvarhållande eller omhä</w:t>
      </w:r>
      <w:r w:rsidRPr="00896D4F">
        <w:t>n</w:t>
      </w:r>
      <w:r w:rsidRPr="00896D4F">
        <w:t xml:space="preserve">dertagande. </w:t>
      </w:r>
    </w:p>
    <w:p w:rsidR="009C1C5A" w:rsidRPr="00896D4F" w:rsidRDefault="009C1C5A">
      <w:pPr>
        <w:pStyle w:val="Normaltindrag"/>
      </w:pPr>
      <w:r w:rsidRPr="00896D4F">
        <w:t>Att faktiskt handlande med en försändelse inte är underkastat formkrav i den be</w:t>
      </w:r>
      <w:r w:rsidRPr="00896D4F">
        <w:softHyphen/>
        <w:t>märkelse som Kriminalvårdsstyrelsen har anfört innebär dock inte att det inte styrs av några som helst lagregler. Självfallet måste beaktas bl.a. att sådana åtgärder – eftersom de medför att försändelsen inte utan dröjsmål vidarebefordras till den intagne – bara får utföras inom ramen för en han</w:t>
      </w:r>
      <w:r w:rsidRPr="00896D4F">
        <w:t>d</w:t>
      </w:r>
      <w:r w:rsidRPr="00896D4F">
        <w:t>läggning som i sig är laglig. Det faktiska handlandet måste med andra ord alltid företas i ett lagligt syfte. Detta gäller oavsett om det rör sig om bre</w:t>
      </w:r>
      <w:r w:rsidRPr="00896D4F">
        <w:t>v</w:t>
      </w:r>
      <w:r w:rsidRPr="00896D4F">
        <w:t>granskning eller någon annan typ av faktiskt handlande. Man m</w:t>
      </w:r>
      <w:r w:rsidRPr="00896D4F">
        <w:t>åste alltså ställa sig frågan om kriminal</w:t>
      </w:r>
      <w:r w:rsidRPr="00896D4F">
        <w:softHyphen/>
        <w:t>vårdsmyndigheten har haft rätt att vidta åtgärder som inneburit att utlämnandet av lot</w:t>
      </w:r>
      <w:r w:rsidRPr="00896D4F">
        <w:softHyphen/>
        <w:t>terna fördröjts just i syfte att utröna om de var stulna. Kriminalvårdsmyndighe</w:t>
      </w:r>
      <w:r w:rsidRPr="00896D4F">
        <w:softHyphen/>
        <w:t>ten har också ställt den frågan i sitt remissvar.</w:t>
      </w:r>
    </w:p>
    <w:p w:rsidR="009C1C5A" w:rsidRPr="00896D4F" w:rsidRDefault="009C1C5A">
      <w:pPr>
        <w:pStyle w:val="Normaltindrag"/>
      </w:pPr>
      <w:r w:rsidRPr="00896D4F">
        <w:t>Beträffande brevgranskning gäller att sådan endast – bortsett från en situ</w:t>
      </w:r>
      <w:r w:rsidRPr="00896D4F">
        <w:t>a</w:t>
      </w:r>
      <w:r w:rsidRPr="00896D4F">
        <w:t>tion som inte är aktuell här – får företas i syfte att undersöka om en försän</w:t>
      </w:r>
      <w:r w:rsidRPr="00896D4F">
        <w:softHyphen/>
        <w:t>delse innehåller något otillåtet fö</w:t>
      </w:r>
      <w:r w:rsidRPr="00896D4F">
        <w:softHyphen/>
        <w:t>remål (26 § första stycket KvaL). Jag saknar skäl att här närmare gå in på vad som kan utgöra ett otillåtet föremål. Det kan däremot konstateras att det på grund av nämnda bestämmelse torde vara ut</w:t>
      </w:r>
      <w:r w:rsidRPr="00896D4F">
        <w:t>e</w:t>
      </w:r>
      <w:r w:rsidRPr="00896D4F">
        <w:t>slutet att utföra brevgranskning en</w:t>
      </w:r>
      <w:r w:rsidRPr="00896D4F">
        <w:softHyphen/>
        <w:t>bart för att utreda om en försändelse inn</w:t>
      </w:r>
      <w:r w:rsidRPr="00896D4F">
        <w:t>e</w:t>
      </w:r>
      <w:r w:rsidRPr="00896D4F">
        <w:t>håller stöldgods, om inte det man efter</w:t>
      </w:r>
      <w:r w:rsidRPr="00896D4F">
        <w:softHyphen/>
        <w:t>söker samtidigt skulle utgöra ett otill</w:t>
      </w:r>
      <w:r w:rsidRPr="00896D4F">
        <w:t>å</w:t>
      </w:r>
      <w:r w:rsidRPr="00896D4F">
        <w:t xml:space="preserve">tet föremål.     </w:t>
      </w:r>
    </w:p>
    <w:p w:rsidR="009C1C5A" w:rsidRPr="00896D4F" w:rsidRDefault="009C1C5A">
      <w:pPr>
        <w:pStyle w:val="Normaltindrag"/>
      </w:pPr>
      <w:r w:rsidRPr="00896D4F">
        <w:t>Enligt min mening måste</w:t>
      </w:r>
      <w:r w:rsidRPr="00896D4F">
        <w:t xml:space="preserve"> själva brevgranskningen i det här aktuella fallet emel</w:t>
      </w:r>
      <w:r w:rsidRPr="00896D4F">
        <w:softHyphen/>
        <w:t>lertid anses ha varit avslutad i och med att försändelsen hade öppnats och grans</w:t>
      </w:r>
      <w:r w:rsidRPr="00896D4F">
        <w:softHyphen/>
        <w:t>kats, varvid lotterna hade anträffats. De åtgärder som därefter vidtogs med lot</w:t>
      </w:r>
      <w:r w:rsidRPr="00896D4F">
        <w:softHyphen/>
        <w:t>terna, dvs. utredningen rörande misstanken om att de utgjorde stöl</w:t>
      </w:r>
      <w:r w:rsidRPr="00896D4F">
        <w:t>d</w:t>
      </w:r>
      <w:r w:rsidRPr="00896D4F">
        <w:t>gods, har en</w:t>
      </w:r>
      <w:r w:rsidRPr="00896D4F">
        <w:softHyphen/>
        <w:t>ligt min mening alltså inte utgjort ett led i själva brevgransknin</w:t>
      </w:r>
      <w:r w:rsidRPr="00896D4F">
        <w:t>g</w:t>
      </w:r>
      <w:r w:rsidRPr="00896D4F">
        <w:t>en. De åtgärderna är istäl</w:t>
      </w:r>
      <w:r w:rsidRPr="00896D4F">
        <w:softHyphen/>
        <w:t>let att betrakta som ett faktiskt handlande som syft</w:t>
      </w:r>
      <w:r w:rsidRPr="00896D4F">
        <w:t>a</w:t>
      </w:r>
      <w:r w:rsidRPr="00896D4F">
        <w:t>de till att ta reda på om lot</w:t>
      </w:r>
      <w:r w:rsidRPr="00896D4F">
        <w:softHyphen/>
        <w:t>terna var stulna och huruvida det förh</w:t>
      </w:r>
      <w:r w:rsidRPr="00896D4F">
        <w:t>ållandet i sin tur borde föranleda några åt</w:t>
      </w:r>
      <w:r w:rsidRPr="00896D4F">
        <w:softHyphen/>
        <w:t xml:space="preserve">gärder från kriminalvårdsmyndighetens sida. Huruvida det förfarandet är lagligt beror på om kriminalvårdsmyndigheten hade kunnat vidta några åtgärder som innebar att lotterna inte lämnades ut till J.L. för det fall de hade visat sig utgöra stöldgods. </w:t>
      </w:r>
    </w:p>
    <w:p w:rsidR="009C1C5A" w:rsidRPr="00896D4F" w:rsidRDefault="009C1C5A">
      <w:pPr>
        <w:pStyle w:val="Normaltindrag"/>
      </w:pPr>
      <w:r w:rsidRPr="00896D4F">
        <w:t>I förevarande fall har kriminalvårdsmyndigheten vid brevgranskning a</w:t>
      </w:r>
      <w:r w:rsidRPr="00896D4F">
        <w:t>n</w:t>
      </w:r>
      <w:r w:rsidRPr="00896D4F">
        <w:t>träffat egendom som myndigheten misstänkte kunde utgöra stöldgods. Om detta hade visat sig vara riktigt, hade kriminalvårdsmyndigheten enligt min mening haft att bedöma huruvida lotterna i enlighet med 64 § KvaL skulle omhändertas där</w:t>
      </w:r>
      <w:r w:rsidRPr="00896D4F">
        <w:softHyphen/>
        <w:t>för att de kunde antas bli ta</w:t>
      </w:r>
      <w:r w:rsidRPr="00896D4F">
        <w:softHyphen/>
        <w:t>gna i beslag. Beslut om beslag fattas normalt av polis eller åklagare. Vidare torde kriminalvårdsmyndighe</w:t>
      </w:r>
      <w:r w:rsidRPr="00896D4F">
        <w:softHyphen/>
        <w:t>ten i enlig</w:t>
      </w:r>
      <w:r w:rsidRPr="00896D4F">
        <w:softHyphen/>
        <w:t>het med 75 § anstaltsfö</w:t>
      </w:r>
      <w:r w:rsidRPr="00896D4F">
        <w:softHyphen/>
        <w:t>reskrifterna ha varit skyldig att underrätta polis om fyndet.</w:t>
      </w:r>
    </w:p>
    <w:p w:rsidR="009C1C5A" w:rsidRPr="00896D4F" w:rsidRDefault="009C1C5A">
      <w:pPr>
        <w:pStyle w:val="Normaltindrag"/>
      </w:pPr>
      <w:r w:rsidRPr="00896D4F">
        <w:t>Med det synsätt jag har anlagt har krimina</w:t>
      </w:r>
      <w:r w:rsidRPr="00896D4F">
        <w:t>lvårdsmyndigheten haft rätt att vidta de åtgärder den gjorde med lotterna efter avslutad brevgranskning. Även om myndighetens kontroll av lotterna, såvitt framgår av utredningen, möjl</w:t>
      </w:r>
      <w:r w:rsidRPr="00896D4F">
        <w:t>i</w:t>
      </w:r>
      <w:r w:rsidRPr="00896D4F">
        <w:t>gen kan före</w:t>
      </w:r>
      <w:r w:rsidRPr="00896D4F">
        <w:softHyphen/>
        <w:t xml:space="preserve">falla ha tagit förhållandevis lång tid, tyder ingenting på att den har pågått under längre tid än nödvändigt. </w:t>
      </w:r>
    </w:p>
    <w:p w:rsidR="009C1C5A" w:rsidRPr="00896D4F" w:rsidRDefault="009C1C5A">
      <w:pPr>
        <w:pStyle w:val="Normaltindrag"/>
      </w:pPr>
      <w:r w:rsidRPr="00896D4F">
        <w:t>Mot bakgrund av det anförda finner jag inte skäl att kriti</w:t>
      </w:r>
      <w:r w:rsidRPr="00896D4F">
        <w:softHyphen/>
        <w:t>sera krimina</w:t>
      </w:r>
      <w:r w:rsidRPr="00896D4F">
        <w:t>l</w:t>
      </w:r>
      <w:r w:rsidRPr="00896D4F">
        <w:t>vårdsmyn</w:t>
      </w:r>
      <w:r w:rsidRPr="00896D4F">
        <w:softHyphen/>
        <w:t>digheten för dess hantering av försändelsen med lotterna heller.</w:t>
      </w:r>
    </w:p>
    <w:p w:rsidR="009C1C5A" w:rsidRPr="00896D4F" w:rsidRDefault="009C1C5A">
      <w:pPr>
        <w:pStyle w:val="Rubrik2"/>
      </w:pPr>
      <w:r w:rsidRPr="00896D4F">
        <w:t>Fråga om en kriminalvårdsmyndighet borde ha fattat ett formellt beslut att omhänderta intagens egendom m.m.</w:t>
      </w:r>
    </w:p>
    <w:p w:rsidR="009C1C5A" w:rsidRPr="00896D4F" w:rsidRDefault="009C1C5A">
      <w:pPr>
        <w:spacing w:before="0"/>
      </w:pPr>
      <w:r w:rsidRPr="00896D4F">
        <w:t>(Dnr 2455-2001)</w:t>
      </w:r>
    </w:p>
    <w:p w:rsidR="009C1C5A" w:rsidRPr="00896D4F" w:rsidRDefault="009C1C5A">
      <w:pPr>
        <w:rPr>
          <w:i/>
        </w:rPr>
      </w:pPr>
      <w:r w:rsidRPr="00896D4F">
        <w:t xml:space="preserve">I ett beslut den 18 februari 2002 anförde </w:t>
      </w:r>
      <w:r w:rsidRPr="00896D4F">
        <w:rPr>
          <w:i/>
        </w:rPr>
        <w:t xml:space="preserve">JO Pennlöv </w:t>
      </w:r>
      <w:r w:rsidRPr="00896D4F">
        <w:t>följande.</w:t>
      </w:r>
      <w:r w:rsidRPr="00896D4F">
        <w:rPr>
          <w:i/>
        </w:rPr>
        <w:t xml:space="preserve"> </w:t>
      </w:r>
    </w:p>
    <w:p w:rsidR="009C1C5A" w:rsidRPr="00896D4F" w:rsidRDefault="009C1C5A">
      <w:pPr>
        <w:pStyle w:val="Rubrik3"/>
      </w:pPr>
      <w:r w:rsidRPr="00896D4F">
        <w:t xml:space="preserve">Anmälan </w:t>
      </w:r>
    </w:p>
    <w:p w:rsidR="009C1C5A" w:rsidRPr="00896D4F" w:rsidRDefault="009C1C5A">
      <w:r w:rsidRPr="00896D4F">
        <w:t>I en anmälan, som kom in till JO den 27 juni 2001, har M.H. klagat på att han inte fått svar på en anhållan som han hade gjort i april samma år om att få inneha viss boxningsutrustning i sitt bostadsrum. Han har anfört bl.a. följa</w:t>
      </w:r>
      <w:r w:rsidRPr="00896D4F">
        <w:t>n</w:t>
      </w:r>
      <w:r w:rsidRPr="00896D4F">
        <w:t>de. I augusti 2000 beviljades en begäran från honom om att få ha ett par säc</w:t>
      </w:r>
      <w:r w:rsidRPr="00896D4F">
        <w:t>k</w:t>
      </w:r>
      <w:r w:rsidRPr="00896D4F">
        <w:t>handskar och ett par s.k. pads för boxning i bostadsrummet. I beslutet angavs att detsamma skulle kunna komma att omprövas om han omplacerades till en annan avdelning i anstalten. Sedan han i mars 2001 flyttats till E-huset i a</w:t>
      </w:r>
      <w:r w:rsidRPr="00896D4F">
        <w:t>n</w:t>
      </w:r>
      <w:r w:rsidRPr="00896D4F">
        <w:t>stalten lämnade han in en ny skrift</w:t>
      </w:r>
      <w:r w:rsidRPr="00896D4F">
        <w:softHyphen/>
        <w:t>lig anhållan om att få in boxningsutrus</w:t>
      </w:r>
      <w:r w:rsidRPr="00896D4F">
        <w:t>t</w:t>
      </w:r>
      <w:r w:rsidRPr="00896D4F">
        <w:t>ningen till bostadsrummet. Det enda svar han vid tiden för sin anmälan till JO hade fått var en muntlig hänvisning till att boxnin</w:t>
      </w:r>
      <w:r w:rsidRPr="00896D4F">
        <w:t xml:space="preserve">gsutrustning inte är lämplig i E-huset. </w:t>
      </w:r>
    </w:p>
    <w:p w:rsidR="009C1C5A" w:rsidRPr="00896D4F" w:rsidRDefault="009C1C5A">
      <w:pPr>
        <w:pStyle w:val="Normaltindrag"/>
      </w:pPr>
      <w:r w:rsidRPr="00896D4F">
        <w:t>Till sin anmälan har M.H. fogat bl.a. beslutet meddelat av Kriminalvårds</w:t>
      </w:r>
      <w:r w:rsidRPr="00896D4F">
        <w:softHyphen/>
        <w:t>myndigheten Kumla den 31 augusti 2000, enligt vilket han beviljades ”att inneha säckhandskar och boxningspads på isoleringsavdelningen”. I beslutet anfördes också att ”vid en eventuell omplacering till annan avdelning kan kriminalvårds</w:t>
      </w:r>
      <w:r w:rsidRPr="00896D4F">
        <w:softHyphen/>
        <w:t xml:space="preserve">myndigheten Kumla på nytt pröva frågan”.  </w:t>
      </w:r>
    </w:p>
    <w:p w:rsidR="009C1C5A" w:rsidRPr="00896D4F" w:rsidRDefault="009C1C5A">
      <w:pPr>
        <w:pStyle w:val="Normaltindrag"/>
      </w:pPr>
      <w:r w:rsidRPr="00896D4F">
        <w:t>M.H. har ifrågasatt lagligheten i att frånta honom de tillhörigheter han be</w:t>
      </w:r>
      <w:r w:rsidRPr="00896D4F">
        <w:softHyphen/>
        <w:t xml:space="preserve">viljats att ha i bostadsrummet utan att meddela ett beslut i frågan. Han har vidare klagat på att anstalten inte besvarat hans anhållan.  </w:t>
      </w:r>
    </w:p>
    <w:p w:rsidR="009C1C5A" w:rsidRPr="00896D4F" w:rsidRDefault="009C1C5A">
      <w:pPr>
        <w:pStyle w:val="Rubrik3"/>
      </w:pPr>
      <w:r w:rsidRPr="00896D4F">
        <w:t>Utredningen</w:t>
      </w:r>
    </w:p>
    <w:p w:rsidR="009C1C5A" w:rsidRPr="00896D4F" w:rsidRDefault="009C1C5A">
      <w:r w:rsidRPr="00896D4F">
        <w:t>M.H:s behandlingsjournal har lånats in och granskats. Av denna framgår att kriminalvårdsmyndigheten den 17 april 2001 registrerat en anhållan från M.H. om att få in ett par säckhandskar och ett par pads, men inte huruvida något beslut meddelats i saken.</w:t>
      </w:r>
    </w:p>
    <w:p w:rsidR="009C1C5A" w:rsidRPr="00896D4F" w:rsidRDefault="009C1C5A">
      <w:pPr>
        <w:pStyle w:val="Normaltindrag"/>
      </w:pPr>
      <w:r w:rsidRPr="00896D4F">
        <w:t>Kriminalvårdsmyndigheten Kumla har anmodats att yttra sig över vad M.H. anfört i sin anmälan. Av t.f. kriminal</w:t>
      </w:r>
      <w:r w:rsidRPr="00896D4F">
        <w:softHyphen/>
        <w:t>vårds</w:t>
      </w:r>
      <w:r w:rsidRPr="00896D4F">
        <w:softHyphen/>
        <w:t>chefen Kenneth Gustafssons r</w:t>
      </w:r>
      <w:r w:rsidRPr="00896D4F">
        <w:t>e</w:t>
      </w:r>
      <w:r w:rsidRPr="00896D4F">
        <w:t>missvar, som är daterat den 19 september 2001, framgår bl.a. föl</w:t>
      </w:r>
      <w:r w:rsidRPr="00896D4F">
        <w:softHyphen/>
        <w:t>jande.</w:t>
      </w:r>
    </w:p>
    <w:p w:rsidR="009C1C5A" w:rsidRPr="00896D4F" w:rsidRDefault="009C1C5A">
      <w:r w:rsidRPr="00896D4F">
        <w:t>– – –</w:t>
      </w:r>
    </w:p>
    <w:p w:rsidR="009C1C5A" w:rsidRPr="00896D4F" w:rsidRDefault="009C1C5A">
      <w:pPr>
        <w:pStyle w:val="Citat"/>
      </w:pPr>
      <w:r w:rsidRPr="00896D4F">
        <w:t>Kriminalvårdsmyndigheten kan konstatera att M.H. i augusti föregå</w:t>
      </w:r>
      <w:r w:rsidRPr="00896D4F">
        <w:softHyphen/>
        <w:t>ende år erhållit ett för honom gynnande beslut, och att förvägra honom fort</w:t>
      </w:r>
      <w:r w:rsidRPr="00896D4F">
        <w:softHyphen/>
        <w:t>satt inn</w:t>
      </w:r>
      <w:r w:rsidRPr="00896D4F">
        <w:t>e</w:t>
      </w:r>
      <w:r w:rsidRPr="00896D4F">
        <w:t>hav av säckhandskar och boxningspads, skall med stöd av bl.a. 24 § lagen om kriminalvård i anstalt (KvaL) meddelas i beslutsform med be</w:t>
      </w:r>
      <w:r w:rsidRPr="00896D4F">
        <w:softHyphen/>
        <w:t>svärshänvisning.</w:t>
      </w:r>
    </w:p>
    <w:p w:rsidR="009C1C5A" w:rsidRPr="00896D4F" w:rsidRDefault="009C1C5A">
      <w:pPr>
        <w:pStyle w:val="Citatindrag"/>
      </w:pPr>
      <w:r w:rsidRPr="00896D4F">
        <w:t>Utredningen i ärendet har inte kunnat bringa fullständig klarhet i ha</w:t>
      </w:r>
      <w:r w:rsidRPr="00896D4F">
        <w:t>n</w:t>
      </w:r>
      <w:r w:rsidRPr="00896D4F">
        <w:t>te</w:t>
      </w:r>
      <w:r w:rsidRPr="00896D4F">
        <w:softHyphen/>
        <w:t>r</w:t>
      </w:r>
      <w:r w:rsidRPr="00896D4F">
        <w:softHyphen/>
        <w:t>ingen av ifrågavarande ärende. Det förefaller vara mest sannolikt att bris</w:t>
      </w:r>
      <w:r w:rsidRPr="00896D4F">
        <w:softHyphen/>
        <w:t>tande noggrannhet och viss oförståelse för kravet på formell handlägg</w:t>
      </w:r>
      <w:r w:rsidRPr="00896D4F">
        <w:softHyphen/>
        <w:t>ning har varit den bakomliggande orsaken till myndighetens agera</w:t>
      </w:r>
      <w:r w:rsidRPr="00896D4F">
        <w:t>n</w:t>
      </w:r>
      <w:r w:rsidRPr="00896D4F">
        <w:t xml:space="preserve">de. </w:t>
      </w:r>
    </w:p>
    <w:p w:rsidR="009C1C5A" w:rsidRPr="00896D4F" w:rsidRDefault="009C1C5A">
      <w:pPr>
        <w:pStyle w:val="Citatindrag"/>
      </w:pPr>
      <w:r w:rsidRPr="00896D4F">
        <w:t>Alltsedan kriminalvårdens stora omorganisation och vid bildandet av kr</w:t>
      </w:r>
      <w:r w:rsidRPr="00896D4F">
        <w:t>i</w:t>
      </w:r>
      <w:r w:rsidRPr="00896D4F">
        <w:t>mi</w:t>
      </w:r>
      <w:r w:rsidRPr="00896D4F">
        <w:softHyphen/>
        <w:t>nalvårdsmyndigheten har kompetensutvecklingsinsatser genomförts vid myndigheten och upprepade utbildningar i bl.a. förvaltningsrätt ägt rum. In</w:t>
      </w:r>
      <w:r w:rsidRPr="00896D4F">
        <w:softHyphen/>
        <w:t>spektören för rättsvård och förvaltning, som leder myndighetens rättsvårds</w:t>
      </w:r>
      <w:r w:rsidRPr="00896D4F">
        <w:softHyphen/>
        <w:t>forum, kommer att närmare redogöra för det korrekta förfarandet i en sådan situation som nu uppstått, och i samråd med bl.a. kriminalvårdsinspektö</w:t>
      </w:r>
      <w:r w:rsidRPr="00896D4F">
        <w:softHyphen/>
        <w:t xml:space="preserve">rerna bedöma behovet av eventuella åtgärder härutöver för att undvika att det nu inträffade upprepas. </w:t>
      </w:r>
    </w:p>
    <w:p w:rsidR="009C1C5A" w:rsidRPr="00896D4F" w:rsidRDefault="009C1C5A">
      <w:pPr>
        <w:pStyle w:val="Citatindrag"/>
        <w:rPr>
          <w:sz w:val="24"/>
        </w:rPr>
      </w:pPr>
      <w:r w:rsidRPr="00896D4F">
        <w:t>Sedan tidigare är en rättsvårdsutbildni</w:t>
      </w:r>
      <w:r w:rsidRPr="00896D4F">
        <w:t>ng, avsedd för avdelningspersonal med visst funktionsansvar för säkerhet som omfattar bl.a. innehavsfrågor, inplanerad och uppmärksamhet kommer bl.a. ägnas omhändertagandebeslut, prövningar med utgångspunkt i lagstiftningens krav, förvaltningsrättsliga regler m.m</w:t>
      </w:r>
      <w:r w:rsidRPr="00896D4F">
        <w:rPr>
          <w:sz w:val="24"/>
        </w:rPr>
        <w:t xml:space="preserve">.   </w:t>
      </w:r>
    </w:p>
    <w:p w:rsidR="009C1C5A" w:rsidRPr="00896D4F" w:rsidRDefault="009C1C5A">
      <w:r w:rsidRPr="00896D4F">
        <w:t xml:space="preserve">M.H. har yttrat sig över remissvaret. </w:t>
      </w:r>
    </w:p>
    <w:p w:rsidR="009C1C5A" w:rsidRPr="00896D4F" w:rsidRDefault="009C1C5A">
      <w:pPr>
        <w:pStyle w:val="Rubrik3"/>
      </w:pPr>
      <w:r w:rsidRPr="00896D4F">
        <w:t>Bedömning</w:t>
      </w:r>
    </w:p>
    <w:p w:rsidR="009C1C5A" w:rsidRPr="00896D4F" w:rsidRDefault="009C1C5A">
      <w:r w:rsidRPr="00896D4F">
        <w:t>M.H. har av Kriminalvårdsmyndigheten Kumla genom beslut den 31 augu</w:t>
      </w:r>
      <w:r w:rsidRPr="00896D4F">
        <w:softHyphen/>
        <w:t xml:space="preserve">sti 2000 beviljats att inneha viss boxningsutrustning </w:t>
      </w:r>
      <w:r w:rsidRPr="00896D4F">
        <w:rPr>
          <w:i/>
        </w:rPr>
        <w:t>på isoleringsavdelningen</w:t>
      </w:r>
      <w:r w:rsidRPr="00896D4F">
        <w:t>. Nyssnämnda begränsning i tillståndet kan inte innebära annat än att beslutet upp</w:t>
      </w:r>
      <w:r w:rsidRPr="00896D4F">
        <w:softHyphen/>
        <w:t>hörde att gälla när M.H. förflyttades till en annan avdelning. Det har alltså – även om boxningsutrustningen rent faktiskt omhändertogs för placering i anstal</w:t>
      </w:r>
      <w:r w:rsidRPr="00896D4F">
        <w:softHyphen/>
        <w:t>tens förråd – inte varit fråga om att ändra ett gällande gynnande be</w:t>
      </w:r>
      <w:r w:rsidRPr="00896D4F">
        <w:softHyphen/>
        <w:t xml:space="preserve">slut på det sätt som kriminalvårdsmyndigheten har anfört. </w:t>
      </w:r>
    </w:p>
    <w:p w:rsidR="009C1C5A" w:rsidRPr="00896D4F" w:rsidRDefault="009C1C5A">
      <w:pPr>
        <w:pStyle w:val="Normaltindrag"/>
      </w:pPr>
      <w:r w:rsidRPr="00896D4F">
        <w:t>En</w:t>
      </w:r>
      <w:r w:rsidRPr="00896D4F">
        <w:softHyphen/>
        <w:t>ligt min mening ligger det närmast tillhands att jämföra den uppkomna situa</w:t>
      </w:r>
      <w:r w:rsidRPr="00896D4F">
        <w:softHyphen/>
        <w:t>tionen med den att en intagen skrivs in i anstalten och därvid medför personliga tillhörigheter. I ett sådant läge gäller enligt 10 § Kriminalvårdsve</w:t>
      </w:r>
      <w:r w:rsidRPr="00896D4F">
        <w:t>r</w:t>
      </w:r>
      <w:r w:rsidRPr="00896D4F">
        <w:t>kets författningssamling (KVVFS) 1998:8 att till</w:t>
      </w:r>
      <w:r w:rsidRPr="00896D4F">
        <w:softHyphen/>
        <w:t>hö</w:t>
      </w:r>
      <w:r w:rsidRPr="00896D4F">
        <w:softHyphen/>
        <w:t>righeterna skall förtecknas och be</w:t>
      </w:r>
      <w:r w:rsidRPr="00896D4F">
        <w:softHyphen/>
        <w:t>skri</w:t>
      </w:r>
      <w:r w:rsidRPr="00896D4F">
        <w:softHyphen/>
        <w:t>vas på ett mottagningskort samt förvaras under tillförlitliga förhå</w:t>
      </w:r>
      <w:r w:rsidRPr="00896D4F">
        <w:t>l</w:t>
      </w:r>
      <w:r w:rsidRPr="00896D4F">
        <w:t>landen. En intagen som i den situationen inte tillåts att ta med sig vissa tillh</w:t>
      </w:r>
      <w:r w:rsidRPr="00896D4F">
        <w:t>ö</w:t>
      </w:r>
      <w:r w:rsidRPr="00896D4F">
        <w:t>righeter till bostads</w:t>
      </w:r>
      <w:r w:rsidRPr="00896D4F">
        <w:softHyphen/>
        <w:t xml:space="preserve">rummet torde rimligen </w:t>
      </w:r>
      <w:r w:rsidRPr="00896D4F">
        <w:t>inte kunna kräva att krimina</w:t>
      </w:r>
      <w:r w:rsidRPr="00896D4F">
        <w:t>l</w:t>
      </w:r>
      <w:r w:rsidRPr="00896D4F">
        <w:t>vårdsmyndigheten före eller senast i samband med omhändertagandet av egendomen meddelar ett formellt skriftligt avslagsbeslut i frågan. Han får i stället hänvisas till att anhålla om att få in tillhörigheterna i  bostadsrummet, varefter en prövning enligt 24 § KvaL görs och ett formellt beslut meddelas i frågan.</w:t>
      </w:r>
    </w:p>
    <w:p w:rsidR="009C1C5A" w:rsidRPr="00896D4F" w:rsidRDefault="009C1C5A">
      <w:pPr>
        <w:pStyle w:val="Normaltindrag"/>
      </w:pPr>
      <w:r w:rsidRPr="00896D4F">
        <w:t>Med hänsyn till det anförda kan jag inte finna skäl att kritisera  kriminal</w:t>
      </w:r>
      <w:r w:rsidRPr="00896D4F">
        <w:softHyphen/>
        <w:t>vårdsmyndigheten för att den inte meddelade ett formellt beslut när den o</w:t>
      </w:r>
      <w:r w:rsidRPr="00896D4F">
        <w:t>m</w:t>
      </w:r>
      <w:r w:rsidRPr="00896D4F">
        <w:t>hän</w:t>
      </w:r>
      <w:r w:rsidRPr="00896D4F">
        <w:softHyphen/>
        <w:t>dertog boxningsutrust</w:t>
      </w:r>
      <w:r w:rsidRPr="00896D4F">
        <w:softHyphen/>
        <w:t>ningen i samband med M.H:s förflyttning till en an</w:t>
      </w:r>
      <w:r w:rsidRPr="00896D4F">
        <w:softHyphen/>
        <w:t>nan avdelning. Däremot borde myndigheten självfallet ha besvarat hans a</w:t>
      </w:r>
      <w:r w:rsidRPr="00896D4F">
        <w:t>n</w:t>
      </w:r>
      <w:r w:rsidRPr="00896D4F">
        <w:t>hållan med tillbörlig skyndsamhet. För den långa handläggningstiden i detta avseende kan kriminal</w:t>
      </w:r>
      <w:r w:rsidRPr="00896D4F">
        <w:softHyphen/>
        <w:t>vårdsmyndigheten inte undgå kritik.</w:t>
      </w:r>
    </w:p>
    <w:p w:rsidR="009C1C5A" w:rsidRPr="00896D4F" w:rsidRDefault="009C1C5A">
      <w:pPr>
        <w:spacing w:line="240" w:lineRule="auto"/>
      </w:pPr>
    </w:p>
    <w:p w:rsidR="009C1C5A" w:rsidRPr="00896D4F" w:rsidRDefault="009C1C5A">
      <w:pPr>
        <w:spacing w:line="240" w:lineRule="auto"/>
        <w:rPr>
          <w:b/>
        </w:rPr>
      </w:pPr>
    </w:p>
    <w:p w:rsidR="009C1C5A" w:rsidRPr="00896D4F" w:rsidRDefault="009C1C5A"/>
    <w:p w:rsidR="009C1C5A" w:rsidRPr="00896D4F" w:rsidRDefault="009C1C5A">
      <w:pPr>
        <w:pStyle w:val="Rubrik1"/>
      </w:pPr>
      <w:r w:rsidRPr="00896D4F">
        <w:br w:type="page"/>
        <w:t>Exekutiva ärenden</w:t>
      </w:r>
    </w:p>
    <w:p w:rsidR="009C1C5A" w:rsidRPr="00896D4F" w:rsidRDefault="009C1C5A">
      <w:pPr>
        <w:pStyle w:val="Rubrik2"/>
        <w:spacing w:before="120"/>
      </w:pPr>
      <w:r w:rsidRPr="00896D4F">
        <w:t>Kronofogdemyndighet har i mål om betalningsföreläggande delgivit ett föreläggande med fel person</w:t>
      </w:r>
    </w:p>
    <w:p w:rsidR="009C1C5A" w:rsidRPr="00896D4F" w:rsidRDefault="009C1C5A">
      <w:pPr>
        <w:spacing w:before="0"/>
      </w:pPr>
      <w:r w:rsidRPr="00896D4F">
        <w:t>(Dnr 698-2001)</w:t>
      </w:r>
    </w:p>
    <w:p w:rsidR="009C1C5A" w:rsidRPr="00896D4F" w:rsidRDefault="009C1C5A">
      <w:r w:rsidRPr="00896D4F">
        <w:t xml:space="preserve">Den 15 oktober 2001 meddelade </w:t>
      </w:r>
      <w:r w:rsidRPr="00896D4F">
        <w:rPr>
          <w:i/>
        </w:rPr>
        <w:t xml:space="preserve">JO Pennlöv </w:t>
      </w:r>
      <w:r w:rsidRPr="00896D4F">
        <w:t>ett beslut med följande innehåll.</w:t>
      </w:r>
    </w:p>
    <w:p w:rsidR="009C1C5A" w:rsidRPr="00896D4F" w:rsidRDefault="009C1C5A">
      <w:pPr>
        <w:pStyle w:val="Rubrik3"/>
      </w:pPr>
      <w:r w:rsidRPr="00896D4F">
        <w:t>Anmälan</w:t>
      </w:r>
    </w:p>
    <w:p w:rsidR="009C1C5A" w:rsidRPr="00896D4F" w:rsidRDefault="009C1C5A">
      <w:r w:rsidRPr="00896D4F">
        <w:t>S.J, född 1968, klagade på kronofogdemyndighetens handläggning av ett mål om betalningsföreläggande. Han anförde följande. I november 2000 fick han ett föreläggande från kronofogdemyndigheten i brevlådan som var ställt till en annan person med samma namn, född 1966, men med angivande av hans adress. Han kontaktade då omedelbart kronofogdemyndigheten, som uppm</w:t>
      </w:r>
      <w:r w:rsidRPr="00896D4F">
        <w:t>a</w:t>
      </w:r>
      <w:r w:rsidRPr="00896D4F">
        <w:t>nade honom att skriva på delgivningskvittot och på detta ange att förelägga</w:t>
      </w:r>
      <w:r w:rsidRPr="00896D4F">
        <w:t>n</w:t>
      </w:r>
      <w:r w:rsidRPr="00896D4F">
        <w:t>det hade kommit till fel person. Trots detta erhöll han ett utslag i målet den 27 november 2000, i vilket – som han uppfattade det – han förpliktigades att utge yrkat belopp. När han på nytt kontaktade kronofogdemyndigheten upplystes han om att det enda sättet att rätta till misstaget var att han ansökte hos ting</w:t>
      </w:r>
      <w:r w:rsidRPr="00896D4F">
        <w:t>s</w:t>
      </w:r>
      <w:r w:rsidRPr="00896D4F">
        <w:t>rätten om återvinning. Sedan sökanden i målet medgivit hans ansökan om återvinning undanröjde Falu tingsrätt utslaget. D</w:t>
      </w:r>
      <w:r w:rsidRPr="00896D4F">
        <w:t>en 19 februari 2001 fick han återigen ett föreläggande till den andre S.J. från kronofogdemyndigheten. Myndighetens agerande tyder på att den alltjämt är av den uppfattningen att den andre S.J. bor på hans adress. Myndigheten borde ha kontrollerat adres</w:t>
      </w:r>
      <w:r w:rsidRPr="00896D4F">
        <w:t>s</w:t>
      </w:r>
      <w:r w:rsidRPr="00896D4F">
        <w:t>uppgiften. Det felaktiga utslaget hade dessutom kunnat undvikas om kron</w:t>
      </w:r>
      <w:r w:rsidRPr="00896D4F">
        <w:t>o</w:t>
      </w:r>
      <w:r w:rsidRPr="00896D4F">
        <w:t>fogdemyndigheten hade gjort en tjänsteanteckning om hans första telefo</w:t>
      </w:r>
      <w:r w:rsidRPr="00896D4F">
        <w:t>n</w:t>
      </w:r>
      <w:r w:rsidRPr="00896D4F">
        <w:t>samtal till myndigheten.</w:t>
      </w:r>
    </w:p>
    <w:p w:rsidR="009C1C5A" w:rsidRPr="00896D4F" w:rsidRDefault="009C1C5A">
      <w:pPr>
        <w:pStyle w:val="Rubrik3"/>
      </w:pPr>
      <w:r w:rsidRPr="00896D4F">
        <w:t>Utredningen</w:t>
      </w:r>
    </w:p>
    <w:p w:rsidR="009C1C5A" w:rsidRPr="00896D4F" w:rsidRDefault="009C1C5A">
      <w:r w:rsidRPr="00896D4F">
        <w:t>Med anledning av vad S.J. anförde i sin anmälan tog chefsjustitieombud</w:t>
      </w:r>
      <w:r w:rsidRPr="00896D4F">
        <w:t>s</w:t>
      </w:r>
      <w:r w:rsidRPr="00896D4F">
        <w:t xml:space="preserve">mannen Claes Eklundh </w:t>
      </w:r>
      <w:r w:rsidRPr="00896D4F">
        <w:rPr>
          <w:rFonts w:ascii="Garamond" w:hAnsi="Garamond"/>
        </w:rPr>
        <w:t>–</w:t>
      </w:r>
      <w:r w:rsidRPr="00896D4F">
        <w:t xml:space="preserve"> som har tillsyn över bl.a. allmänna domstolar </w:t>
      </w:r>
      <w:r w:rsidRPr="00896D4F">
        <w:rPr>
          <w:rFonts w:ascii="Garamond" w:hAnsi="Garamond"/>
        </w:rPr>
        <w:t>–</w:t>
      </w:r>
      <w:r w:rsidRPr="00896D4F">
        <w:t xml:space="preserve"> på eget initiativ upp ett särskilt ärende mot Falu tingsrätt (dnr 800-2001).</w:t>
      </w:r>
    </w:p>
    <w:p w:rsidR="009C1C5A" w:rsidRPr="00896D4F" w:rsidRDefault="009C1C5A">
      <w:pPr>
        <w:pStyle w:val="Normaltindrag"/>
        <w:rPr>
          <w:rFonts w:ascii="Garamond" w:hAnsi="Garamond"/>
        </w:rPr>
      </w:pPr>
      <w:r w:rsidRPr="00896D4F">
        <w:t>Kronofogdemyndighetens akt avseende mål om betalningsföreläggande mot S.J, född 1966, lånades in och granskades. Ärendet remitterades därefter till Kronofogdemyndigheten i Gävle. I sitt svar anförde regionkronodirekt</w:t>
      </w:r>
      <w:r w:rsidRPr="00896D4F">
        <w:t>ö</w:t>
      </w:r>
      <w:r w:rsidRPr="00896D4F">
        <w:t>ren Pia Liljeblad Ryberg bl.a. följande.</w:t>
      </w:r>
    </w:p>
    <w:p w:rsidR="009C1C5A" w:rsidRPr="00896D4F" w:rsidRDefault="009C1C5A">
      <w:pPr>
        <w:pStyle w:val="Citatindrag"/>
        <w:ind w:firstLine="0"/>
      </w:pPr>
      <w:r w:rsidRPr="00896D4F">
        <w:t>– – –</w:t>
      </w:r>
    </w:p>
    <w:p w:rsidR="009C1C5A" w:rsidRPr="00896D4F" w:rsidRDefault="009C1C5A">
      <w:pPr>
        <w:pStyle w:val="Rubrik5"/>
      </w:pPr>
      <w:r w:rsidRPr="00896D4F">
        <w:t>Kronofogdemyndighetens bedömning m.m.</w:t>
      </w:r>
    </w:p>
    <w:p w:rsidR="009C1C5A" w:rsidRPr="00896D4F" w:rsidRDefault="009C1C5A">
      <w:pPr>
        <w:pStyle w:val="Citat"/>
      </w:pPr>
      <w:r w:rsidRPr="00896D4F">
        <w:t>Vid handläggningen av S.J:s ärende har flera fel begåtts vid kronofogdemy</w:t>
      </w:r>
      <w:r w:rsidRPr="00896D4F">
        <w:t>n</w:t>
      </w:r>
      <w:r w:rsidRPr="00896D4F">
        <w:t>digheten.</w:t>
      </w:r>
    </w:p>
    <w:p w:rsidR="009C1C5A" w:rsidRPr="00896D4F" w:rsidRDefault="009C1C5A">
      <w:pPr>
        <w:pStyle w:val="Citatindrag"/>
      </w:pPr>
      <w:r w:rsidRPr="00896D4F">
        <w:t>Det första felet begicks när kronofogdemyndigheten på grund av bristande noggrannhet förväxlade och sökte fel S.J.</w:t>
      </w:r>
    </w:p>
    <w:p w:rsidR="009C1C5A" w:rsidRPr="00896D4F" w:rsidRDefault="009C1C5A">
      <w:pPr>
        <w:pStyle w:val="Citatindrag"/>
      </w:pPr>
      <w:r w:rsidRPr="00896D4F">
        <w:t>Det var inte heller lämpligt att uppmana S.J. att skicka in delgivningskvi</w:t>
      </w:r>
      <w:r w:rsidRPr="00896D4F">
        <w:t>t</w:t>
      </w:r>
      <w:r w:rsidRPr="00896D4F">
        <w:t>tot med uppgivande av att det rör fel person. Kronofogdemyndigheten borde omgående ha rättat till felet.</w:t>
      </w:r>
    </w:p>
    <w:p w:rsidR="009C1C5A" w:rsidRPr="00896D4F" w:rsidRDefault="009C1C5A">
      <w:pPr>
        <w:pStyle w:val="Citatindrag"/>
      </w:pPr>
      <w:r w:rsidRPr="00896D4F">
        <w:t>Då delgivningen registrerades trots att S.J. på kortet uppgivit att det rör sig om fel person, gjorde kronofogdemyndigheten ånyo fel.</w:t>
      </w:r>
    </w:p>
    <w:p w:rsidR="009C1C5A" w:rsidRPr="00896D4F" w:rsidRDefault="009C1C5A">
      <w:pPr>
        <w:pStyle w:val="Citatindrag"/>
      </w:pPr>
      <w:r w:rsidRPr="00896D4F">
        <w:t>När utslag meddelas görs ingen särskild kontroll av att delgivningen är riktig utan kronofogdemyndigheten utgår från uppgiften att delgivning skett. Oftast görs utslagen maskinellt automatiskt. Detta innebär att när ”systemet” konstaterar att de åtgärder som ska företas med betalningsföreläggandet gjorts och stadgade tidsfrister löpt ut skrivs utslag ut automatiskt och skickas likal</w:t>
      </w:r>
      <w:r w:rsidRPr="00896D4F">
        <w:t>e</w:t>
      </w:r>
      <w:r w:rsidRPr="00896D4F">
        <w:t>des automatiskt ut till svaranden.</w:t>
      </w:r>
    </w:p>
    <w:p w:rsidR="009C1C5A" w:rsidRPr="00896D4F" w:rsidRDefault="009C1C5A">
      <w:pPr>
        <w:pStyle w:val="Citatindrag"/>
      </w:pPr>
      <w:r w:rsidRPr="00896D4F">
        <w:t>I samband med att S.J. åter kontaktade kronofogdemyndigheten på grund av det felaktiga utslaget skulle vi ha gått igenom ärendet och sett till att rätta till de fel som vi hade möjlighet till och vidare säkrat upp att ytterligare fel inte skulle kunna uppstå.</w:t>
      </w:r>
    </w:p>
    <w:p w:rsidR="009C1C5A" w:rsidRPr="00896D4F" w:rsidRDefault="009C1C5A">
      <w:pPr>
        <w:pStyle w:val="Citatindrag"/>
      </w:pPr>
      <w:r w:rsidRPr="00896D4F">
        <w:t>I samband med erfarenhetsutbyte med alla handläggare av betalningsför</w:t>
      </w:r>
      <w:r w:rsidRPr="00896D4F">
        <w:t>e</w:t>
      </w:r>
      <w:r w:rsidRPr="00896D4F">
        <w:t>läggande den 13 mars har en genomgång skett av vad som hänt i detta ärende som ett led i att förhindra ett upprepande.</w:t>
      </w:r>
    </w:p>
    <w:p w:rsidR="009C1C5A" w:rsidRPr="00896D4F" w:rsidRDefault="009C1C5A">
      <w:pPr>
        <w:pStyle w:val="Citatindrag"/>
      </w:pPr>
      <w:r w:rsidRPr="00896D4F">
        <w:t>Vi driver också under detta år ett kvalitetsprojekt i betalningsförelägga</w:t>
      </w:r>
      <w:r w:rsidRPr="00896D4F">
        <w:t>n</w:t>
      </w:r>
      <w:r w:rsidRPr="00896D4F">
        <w:t>degruppen, som syftar till att höja kvaliteten i handläggningen.</w:t>
      </w:r>
    </w:p>
    <w:p w:rsidR="009C1C5A" w:rsidRPr="00896D4F" w:rsidRDefault="009C1C5A">
      <w:pPr>
        <w:pStyle w:val="Citatindrag"/>
      </w:pPr>
      <w:r w:rsidRPr="00896D4F">
        <w:t>Vi beklagar de olägenheter som S.J. fått utstå på grund av våra bristande handläggningsrutiner. Ursäkter har framförts tidigare dels i brev och dels i tidningen Dala-Demokraten i samband med intervju.</w:t>
      </w:r>
    </w:p>
    <w:p w:rsidR="009C1C5A" w:rsidRPr="00896D4F" w:rsidRDefault="009C1C5A">
      <w:r w:rsidRPr="00896D4F">
        <w:t>S.J. har beretts tillfälle att yttra sig över remissvaret.</w:t>
      </w:r>
    </w:p>
    <w:p w:rsidR="009C1C5A" w:rsidRPr="00896D4F" w:rsidRDefault="009C1C5A">
      <w:pPr>
        <w:pStyle w:val="Rubrik3"/>
      </w:pPr>
      <w:r w:rsidRPr="00896D4F">
        <w:t>Bedömning</w:t>
      </w:r>
    </w:p>
    <w:p w:rsidR="009C1C5A" w:rsidRPr="00896D4F" w:rsidRDefault="009C1C5A">
      <w:r w:rsidRPr="00896D4F">
        <w:t>Som kronofogdemyndigheten har konstaterat har ett flertal fel begåtts vid handläggningen av målet om betalningsföreläggande. Det första förelägga</w:t>
      </w:r>
      <w:r w:rsidRPr="00896D4F">
        <w:t>n</w:t>
      </w:r>
      <w:r w:rsidRPr="00896D4F">
        <w:t>det har skickats ut till fel S.J. Därefter har kronofogdemyndigheten, såvitt framgår av utredningen, uppmanat S.J. att underteckna delgivningskvittot, trots att han uppgivit att föreläggandet avsåg en annan person. Det sistnämnda ökade risken för det som senare även inträffade, nämligen att ett felaktigt utslag kom att meddelas. Kronofogdemyndigheten borde ha gjort en tjänst</w:t>
      </w:r>
      <w:r w:rsidRPr="00896D4F">
        <w:t>e</w:t>
      </w:r>
      <w:r w:rsidRPr="00896D4F">
        <w:t>anteckning om det första samtalet med S.J. Därigenom hade riskerna minskats för att den felaktiga adressuppgiften användes på nytt, v</w:t>
      </w:r>
      <w:r w:rsidRPr="00896D4F">
        <w:t>ilket också det har skett, och för att S.J:s påteckning på delgivningskvittot godtogs. Kronofo</w:t>
      </w:r>
      <w:r w:rsidRPr="00896D4F">
        <w:t>g</w:t>
      </w:r>
      <w:r w:rsidRPr="00896D4F">
        <w:t>demyndigheten borde heller inte ha registrerat föreläggandet som delgivet. Förutom av den uppgift som kronofogdemyndigheten redan fått per telefon av S.J. om att det var fel person som hade nåtts av föreläggandet, borde dennes anteckning om detta på delgivningskvittot ha fått kronofogdemyndigheten att reagera. Att kronofogdemyndigheten på nytt försökte delge honom ett för</w:t>
      </w:r>
      <w:r w:rsidRPr="00896D4F">
        <w:t>e</w:t>
      </w:r>
      <w:r w:rsidRPr="00896D4F">
        <w:t>läggande ställt till den andre S.J, illust</w:t>
      </w:r>
      <w:r w:rsidRPr="00896D4F">
        <w:t>rerar följderna av myndighetens slarv</w:t>
      </w:r>
      <w:r w:rsidRPr="00896D4F">
        <w:t>i</w:t>
      </w:r>
      <w:r w:rsidRPr="00896D4F">
        <w:t>ga handläggning.</w:t>
      </w:r>
    </w:p>
    <w:p w:rsidR="009C1C5A" w:rsidRPr="00896D4F" w:rsidRDefault="009C1C5A">
      <w:pPr>
        <w:pStyle w:val="Normaltindrag"/>
      </w:pPr>
      <w:r w:rsidRPr="00896D4F">
        <w:t>Kronofogdemyndighetens felaktiga handläggning har vållat S.J. betydande obehag och besvär.</w:t>
      </w:r>
    </w:p>
    <w:p w:rsidR="009C1C5A" w:rsidRPr="00896D4F" w:rsidRDefault="009C1C5A">
      <w:pPr>
        <w:pStyle w:val="Normaltindrag"/>
      </w:pPr>
      <w:r w:rsidRPr="00896D4F">
        <w:t>För det inträffade kan Kronofogdemyndigheten i Gävle inte undgå allva</w:t>
      </w:r>
      <w:r w:rsidRPr="00896D4F">
        <w:t>r</w:t>
      </w:r>
      <w:r w:rsidRPr="00896D4F">
        <w:t>lig kritik. Orsakerna står enligt vad som har framkommit genom utredningen att finna i okunskap och slarv. Med hänsyn till bl.a. att vissa åtgärder har vidtagits för att förhindra att liknande misstag begås i framtiden finner jag inte skäl att ytterligare kommentera saken.</w:t>
      </w:r>
    </w:p>
    <w:p w:rsidR="009C1C5A" w:rsidRPr="00896D4F" w:rsidRDefault="009C1C5A">
      <w:r w:rsidRPr="00896D4F">
        <w:t>Ärendet avslutas.</w:t>
      </w:r>
    </w:p>
    <w:p w:rsidR="009C1C5A" w:rsidRPr="00896D4F" w:rsidRDefault="009C1C5A">
      <w:pPr>
        <w:pStyle w:val="Rubrik2"/>
      </w:pPr>
      <w:r w:rsidRPr="00896D4F">
        <w:br w:type="page"/>
        <w:t>Ett ärende angående rätten till ränta på utmätta medel som en kronofogdemyndighet placerat på räntebärande konto i avvaktan på redovisning</w:t>
      </w:r>
    </w:p>
    <w:p w:rsidR="009C1C5A" w:rsidRPr="00896D4F" w:rsidRDefault="009C1C5A">
      <w:pPr>
        <w:spacing w:before="0"/>
      </w:pPr>
      <w:r w:rsidRPr="00896D4F">
        <w:t>(Dnr 3828-2001)</w:t>
      </w:r>
    </w:p>
    <w:p w:rsidR="009C1C5A" w:rsidRPr="00896D4F" w:rsidRDefault="009C1C5A">
      <w:r w:rsidRPr="00896D4F">
        <w:t>I en anmälan till JO  klagade N.B. på att kronofogdemyndigheten inte till henne hade betalat ut den ränta som upplupit på ett belopp som utmätts för hennes räkning. Hon anförde bl.a. följande.</w:t>
      </w:r>
    </w:p>
    <w:p w:rsidR="009C1C5A" w:rsidRPr="00896D4F" w:rsidRDefault="009C1C5A">
      <w:pPr>
        <w:pStyle w:val="Normaltindrag"/>
      </w:pPr>
      <w:r w:rsidRPr="00896D4F">
        <w:t>Hon begärde verkställighet av en dom enligt vilken H.L. förpliktigats att till henne betala 51 000 kr. Eftersom H.L. överklagade utmätningen betalades pengarna dock inte omedelbart ut till henne. På hennes fråga till kronofogd</w:t>
      </w:r>
      <w:r w:rsidRPr="00896D4F">
        <w:t>e</w:t>
      </w:r>
      <w:r w:rsidRPr="00896D4F">
        <w:t>myndigheten hur hon skulle kunna tillförsäkra sig ränta på beloppet under den tid överklagandet prövades fick hon av kronofogde Filippa Drakenmark till svar att hon inte skulle förlora några pengar eftersom pengarna hade satts in på ett räntebärande konto. När det åtta månader senare stod klart att gälden</w:t>
      </w:r>
      <w:r w:rsidRPr="00896D4F">
        <w:t>ä</w:t>
      </w:r>
      <w:r w:rsidRPr="00896D4F">
        <w:t>ren inte vunnit framgång med sitt överklagande redovisades emellertid endast kapitalbeloppet till henne. När hon skrev och frågade varför, fick hon ett skriftligt svar av kronofogde Patrik Berglund, i vil</w:t>
      </w:r>
      <w:r w:rsidRPr="00896D4F">
        <w:t>ket han anförde att hon inte hade rätt till någon ränta eftersom någon sådan inte skulle utgå enligt domen. Hon tyckte att det var märkligt och skrev därför på nytt och bad om ett fö</w:t>
      </w:r>
      <w:r w:rsidRPr="00896D4F">
        <w:t>r</w:t>
      </w:r>
      <w:r w:rsidRPr="00896D4F">
        <w:t>tydligande. Då hon inte fått något svar på närmare två veckor ringde hon upp Patrik Berglund. Det blev en diskussion i vilken han, enligt hennes uppfat</w:t>
      </w:r>
      <w:r w:rsidRPr="00896D4F">
        <w:t>t</w:t>
      </w:r>
      <w:r w:rsidRPr="00896D4F">
        <w:t>ning, uttalade sig nedlåtande om henne och bl.a. undrade om en sådan liten summa verkligen var så mycket att bråka om. På begäran fick hon därefter ett till brev i saken. Det in</w:t>
      </w:r>
      <w:r w:rsidRPr="00896D4F">
        <w:t>nehöll emellertid inte några nya argument. Som hon har uppfattat det anser kronofogdemyndigheten, helt utan lagstöd, att det är staten som har rätt till räntan på hennes pengar.</w:t>
      </w:r>
    </w:p>
    <w:p w:rsidR="009C1C5A" w:rsidRPr="00896D4F" w:rsidRDefault="009C1C5A">
      <w:r w:rsidRPr="00896D4F">
        <w:t>Ärendet remitterades till Kronofogdemyndigheten i Stockholm och därefter till Riksskatteverket.</w:t>
      </w:r>
    </w:p>
    <w:p w:rsidR="009C1C5A" w:rsidRPr="00896D4F" w:rsidRDefault="009C1C5A">
      <w:r w:rsidRPr="00896D4F">
        <w:t>Kronofogdemyndigheten – regionkronodirektören Sten Johansson – anförde i sitt svar följande.</w:t>
      </w:r>
    </w:p>
    <w:p w:rsidR="009C1C5A" w:rsidRPr="00896D4F" w:rsidRDefault="009C1C5A">
      <w:pPr>
        <w:pStyle w:val="Citat"/>
      </w:pPr>
      <w:r w:rsidRPr="00896D4F">
        <w:t>Av bifogade redogörelse från kronofogde Berglund framgår vilka ställning</w:t>
      </w:r>
      <w:r w:rsidRPr="00896D4F">
        <w:t>s</w:t>
      </w:r>
      <w:r w:rsidRPr="00896D4F">
        <w:t>taganden som gjorts under handläggningen av det ärende som anmälts av N.B. till justitieombudsmannen.</w:t>
      </w:r>
    </w:p>
    <w:p w:rsidR="009C1C5A" w:rsidRPr="00896D4F" w:rsidRDefault="009C1C5A">
      <w:pPr>
        <w:pStyle w:val="Citatindrag"/>
      </w:pPr>
      <w:r w:rsidRPr="00896D4F">
        <w:t>Till denna redogörelse kan tillfogas att kronofogde Drakenmark upplyst om att hon lämnat generella besked till N.B. om hur kronofogdemyndigheten hanterar utmätta medel. Det finns inga handläggningsnoteringar som kan styrka eller bekräfta detta.</w:t>
      </w:r>
    </w:p>
    <w:p w:rsidR="009C1C5A" w:rsidRPr="00896D4F" w:rsidRDefault="009C1C5A">
      <w:pPr>
        <w:pStyle w:val="Citatindrag"/>
      </w:pPr>
      <w:r w:rsidRPr="00896D4F">
        <w:t>För det fall justitieombudsmannen finner att de utbetalda medlen skulle u</w:t>
      </w:r>
      <w:r w:rsidRPr="00896D4F">
        <w:t>t</w:t>
      </w:r>
      <w:r w:rsidRPr="00896D4F">
        <w:t>betalats så snart som möjligt efter utmätningen är ett belopp om 951 kr på grund av dröjsmålet, befogat.</w:t>
      </w:r>
    </w:p>
    <w:p w:rsidR="009C1C5A" w:rsidRPr="00896D4F" w:rsidRDefault="009C1C5A">
      <w:r w:rsidRPr="00896D4F">
        <w:t>Av kronofogde Patrik Berglunds yttrande framgår följande.</w:t>
      </w:r>
    </w:p>
    <w:p w:rsidR="009C1C5A" w:rsidRPr="00896D4F" w:rsidRDefault="009C1C5A">
      <w:pPr>
        <w:pStyle w:val="Rubrik4"/>
      </w:pPr>
      <w:r w:rsidRPr="00896D4F">
        <w:t>Redogörelse för ärendet</w:t>
      </w:r>
    </w:p>
    <w:p w:rsidR="009C1C5A" w:rsidRPr="00896D4F" w:rsidRDefault="009C1C5A">
      <w:pPr>
        <w:pStyle w:val="Citat"/>
      </w:pPr>
      <w:r w:rsidRPr="00896D4F">
        <w:t>N.B. (sökanden) har i ansökan som inkom till kronofogdemyndigheten den 19 december 2000 begärt fullständig verkställighet av Handens tingsrätts dom avseende stadfäst förlikning den 1 mars 2000 (Mål nr T 1776-99). Enligt förlikningens första punkt skall H.L. (gäldenären) den 2 mars 2000 till N.B. betala i kontanter femtioentusen (51 000) kronor. Kronofogdemyndigheten beslutade den 15 februari 2001 att utmäta gäldenärens innestående medel på postgirokonto intill ett belopp om 52 000 kronor, varav 1 000 kr av</w:t>
      </w:r>
      <w:r w:rsidRPr="00896D4F">
        <w:t>såg kron</w:t>
      </w:r>
      <w:r w:rsidRPr="00896D4F">
        <w:t>o</w:t>
      </w:r>
      <w:r w:rsidRPr="00896D4F">
        <w:t>fogdemyndighetens grundavgift. Efter invändning från gäldenären om att hinder för verkställighet var för handen, fann kronofogdemyndigheten i beslut den 21 februari 2001 att något sådant hinder inte förelåg. Kronofogdemy</w:t>
      </w:r>
      <w:r w:rsidRPr="00896D4F">
        <w:t>n</w:t>
      </w:r>
      <w:r w:rsidRPr="00896D4F">
        <w:t>dighetens beslut överklagades till Stockholms tingsrätt som lämnade överkl</w:t>
      </w:r>
      <w:r w:rsidRPr="00896D4F">
        <w:t>a</w:t>
      </w:r>
      <w:r w:rsidRPr="00896D4F">
        <w:t>gandet utan bifall. Tingsrättens beslut överklagades. Svea hovrätt meddelade inte prövningstillstånd. Med anledning av att H.L. den 13 mars 2001 överkl</w:t>
      </w:r>
      <w:r w:rsidRPr="00896D4F">
        <w:t>a</w:t>
      </w:r>
      <w:r w:rsidRPr="00896D4F">
        <w:t>gade beslutet den 21 februari 2001 om att hinder mot ve</w:t>
      </w:r>
      <w:r w:rsidRPr="00896D4F">
        <w:t>rkställighet inte för</w:t>
      </w:r>
      <w:r w:rsidRPr="00896D4F">
        <w:t>e</w:t>
      </w:r>
      <w:r w:rsidRPr="00896D4F">
        <w:t>låg, insattes de utmätta postgiromedlen på kronofogdemyndighetens ränteb</w:t>
      </w:r>
      <w:r w:rsidRPr="00896D4F">
        <w:t>ä</w:t>
      </w:r>
      <w:r w:rsidRPr="00896D4F">
        <w:t>rande konto. Efter det att Svea Hovrätts beslut vunnit laga kraft gjordes den 24 augusti 2001 en utbetalning till sökanden. Endast ett belopp om 39 200 kronor utbetalades på grund av att kronofogdemyndigheten samma dag u</w:t>
      </w:r>
      <w:r w:rsidRPr="00896D4F">
        <w:t>t</w:t>
      </w:r>
      <w:r w:rsidRPr="00896D4F">
        <w:t>mätte 11 800 kronor för N.B:s restförda skulder i enskilt mål.</w:t>
      </w:r>
    </w:p>
    <w:p w:rsidR="009C1C5A" w:rsidRPr="00896D4F" w:rsidRDefault="009C1C5A">
      <w:pPr>
        <w:pStyle w:val="Rubrik4"/>
      </w:pPr>
      <w:r w:rsidRPr="00896D4F">
        <w:t>Sakfrågan</w:t>
      </w:r>
    </w:p>
    <w:p w:rsidR="009C1C5A" w:rsidRPr="00896D4F" w:rsidRDefault="009C1C5A">
      <w:pPr>
        <w:pStyle w:val="Citat"/>
      </w:pPr>
      <w:r w:rsidRPr="00896D4F">
        <w:t>N.B. har gjort gällande att räntan som uppkommit under den tid när det u</w:t>
      </w:r>
      <w:r w:rsidRPr="00896D4F">
        <w:t>t</w:t>
      </w:r>
      <w:r w:rsidRPr="00896D4F">
        <w:t>mätta beloppet innestått på kronofogdemyndighetens konto skall tillfalla henne. Hon anför att pengarna har utmätts för hennes räkning, varför de til</w:t>
      </w:r>
      <w:r w:rsidRPr="00896D4F">
        <w:t>l</w:t>
      </w:r>
      <w:r w:rsidRPr="00896D4F">
        <w:t>hör henne och att hon på grund härav är berättigad till upplupen ränta på k</w:t>
      </w:r>
      <w:r w:rsidRPr="00896D4F">
        <w:t>a</w:t>
      </w:r>
      <w:r w:rsidRPr="00896D4F">
        <w:t>pitalbeloppet. I detta fall aktualiseras frågan till vem det utmätta penningb</w:t>
      </w:r>
      <w:r w:rsidRPr="00896D4F">
        <w:t>e</w:t>
      </w:r>
      <w:r w:rsidRPr="00896D4F">
        <w:t>loppet kan anses ha tillhört under den tid det varit insatt på kronofogdemy</w:t>
      </w:r>
      <w:r w:rsidRPr="00896D4F">
        <w:t>n</w:t>
      </w:r>
      <w:r w:rsidRPr="00896D4F">
        <w:t>dighetens räntebärande konto.</w:t>
      </w:r>
    </w:p>
    <w:p w:rsidR="009C1C5A" w:rsidRPr="00896D4F" w:rsidRDefault="009C1C5A">
      <w:pPr>
        <w:pStyle w:val="Citatindrag"/>
      </w:pPr>
      <w:r w:rsidRPr="00896D4F">
        <w:t>På grund av att gäldenärens invändning mot verkställighet var föremål för domstolsprövning, har kronof</w:t>
      </w:r>
      <w:r w:rsidRPr="00896D4F">
        <w:t>ogdemyndigheten inte ansett att utmätta medel har kunnat utbetalas till sökanden. Under tid utmätt belopp varit insatt på kronofogdemyndighetens räntebärande konto kan varken förfogande- eller äganderätten till dessa medel anses ha övergått till N.B. Hon har därför inte varit berättigad till den ränta som uppkommit under tiden medlen varit ränt</w:t>
      </w:r>
      <w:r w:rsidRPr="00896D4F">
        <w:t>e</w:t>
      </w:r>
      <w:r w:rsidRPr="00896D4F">
        <w:t>bärande.</w:t>
      </w:r>
    </w:p>
    <w:p w:rsidR="009C1C5A" w:rsidRPr="00896D4F" w:rsidRDefault="009C1C5A">
      <w:pPr>
        <w:pStyle w:val="Citatindrag"/>
      </w:pPr>
      <w:r w:rsidRPr="00896D4F">
        <w:t>Gäldenären har enligt exekutionstiteln förpliktats att utge 51 000 kronor till sökanden. Någon ränta skall enligt den stadfästa förlikningen ej utgå på kapi</w:t>
      </w:r>
      <w:r w:rsidRPr="00896D4F">
        <w:t>talbeloppet. Kronofogdemyndigheten verkställer i enlighet med exek</w:t>
      </w:r>
      <w:r w:rsidRPr="00896D4F">
        <w:t>u</w:t>
      </w:r>
      <w:r w:rsidRPr="00896D4F">
        <w:t>tionstiteln och sökanden har erhållit betalning i enlighet med denna. Även på denna grund kan kronofogdemyndigheten inte finna att N.B. skulle vara b</w:t>
      </w:r>
      <w:r w:rsidRPr="00896D4F">
        <w:t>e</w:t>
      </w:r>
      <w:r w:rsidRPr="00896D4F">
        <w:t>rättigad till aktuellt räntebelopp.</w:t>
      </w:r>
    </w:p>
    <w:p w:rsidR="009C1C5A" w:rsidRPr="00896D4F" w:rsidRDefault="009C1C5A">
      <w:pPr>
        <w:pStyle w:val="Citatindrag"/>
      </w:pPr>
      <w:r w:rsidRPr="00896D4F">
        <w:t>Enligt 13 kap. 14 § tredje punkten utsökningsbalken (UB) får medel ej b</w:t>
      </w:r>
      <w:r w:rsidRPr="00896D4F">
        <w:t>e</w:t>
      </w:r>
      <w:r w:rsidRPr="00896D4F">
        <w:t>talas ut utan att säkerhet ställts, om rätten till medlen är beroende av ett öve</w:t>
      </w:r>
      <w:r w:rsidRPr="00896D4F">
        <w:t>r</w:t>
      </w:r>
      <w:r w:rsidRPr="00896D4F">
        <w:t>klagande av utmätningen. En analog tillämpning av denna bestämmelse bör kunna göras när ett beslut enligt 3 kap. 21 § UB har överklagats. På grund av gäldenärens överklagande av kronofogdemyndighetens beslut i frågan om hinder mot verkställighet, har myndigheten bedömt att utmätta medel inte skall betalas ut till sökanden. Av ovannämnda lagstadgande framgår dock att N.B. omgående hade kunnat tillgodogöra sig det utmätta belopp</w:t>
      </w:r>
      <w:r w:rsidRPr="00896D4F">
        <w:t>et om hon i enlighet med 13 kap. 14 § UB ställt säkerhet. I detta läge hade således pen</w:t>
      </w:r>
      <w:r w:rsidRPr="00896D4F">
        <w:t>g</w:t>
      </w:r>
      <w:r w:rsidRPr="00896D4F">
        <w:t>arna kunnat utbetalas och hon hade därmed haft möjlighet att själv göra pen</w:t>
      </w:r>
      <w:r w:rsidRPr="00896D4F">
        <w:t>g</w:t>
      </w:r>
      <w:r w:rsidRPr="00896D4F">
        <w:t>arna räntebärande.</w:t>
      </w:r>
    </w:p>
    <w:p w:rsidR="009C1C5A" w:rsidRPr="00896D4F" w:rsidRDefault="009C1C5A">
      <w:pPr>
        <w:pStyle w:val="Citatindrag"/>
      </w:pPr>
      <w:r w:rsidRPr="00896D4F">
        <w:t>Kronofogdemyndigheten återbetalade den 29 augusti 2001 den upplupna räntan om 951 kronor till gäldenären.</w:t>
      </w:r>
    </w:p>
    <w:p w:rsidR="009C1C5A" w:rsidRPr="00896D4F" w:rsidRDefault="009C1C5A">
      <w:r w:rsidRPr="00896D4F">
        <w:t>Riksskatteverket avgav remissvar genom kronodirektören Magnus Weste</w:t>
      </w:r>
      <w:r w:rsidRPr="00896D4F">
        <w:t>r</w:t>
      </w:r>
      <w:r w:rsidRPr="00896D4F">
        <w:t>ström. Av verkets yttrande framgår följande.</w:t>
      </w:r>
    </w:p>
    <w:p w:rsidR="009C1C5A" w:rsidRPr="00896D4F" w:rsidRDefault="009C1C5A">
      <w:pPr>
        <w:pStyle w:val="Citat"/>
      </w:pPr>
      <w:r w:rsidRPr="00896D4F">
        <w:t>Av 13 kap. 1 § 1 st. UB framgår att medel som flyter in till KFM i mål om utmätning ska redovisas så snart som möjligt. Bestämmelsen är tillämplig oavsett av vilken anledning medel flyter in till KFM (utmätning av kontanter, försäljning av lös eller fast egendom, frivillig betalning av gäldenären m.m.).</w:t>
      </w:r>
    </w:p>
    <w:p w:rsidR="009C1C5A" w:rsidRPr="00896D4F" w:rsidRDefault="009C1C5A">
      <w:pPr>
        <w:pStyle w:val="Citatindrag"/>
      </w:pPr>
      <w:r w:rsidRPr="00896D4F">
        <w:t>Enligt kompletterande föreskrift i 13 kap. 3 § 1 p UF ska influtna medel redovisas inom två veckor om inte hinder möter eller särskilda skäl föreligger. I vilka fall KFM inte får utbetala medel utan att säkerhet ställs framgår av 13 kap. 14 § UB. Utbetalningsförbud föreligger t.ex. när rätten till medlen är beroende av ett överklagande av utmätningsbeslutet (13 kap. 14 §  3 p UB). Det bör här anmärkas att hinder mot utbetalning inte innebär hinder mot att KFM fördelar och därmed reserverar medel för viss b</w:t>
      </w:r>
      <w:r w:rsidRPr="00896D4F">
        <w:t>orgenär. Om däremot beslut om inhibition meddelats innan fördelning ägt rum ska givetvis ingen förde</w:t>
      </w:r>
      <w:r w:rsidRPr="00896D4F">
        <w:t>l</w:t>
      </w:r>
      <w:r w:rsidRPr="00896D4F">
        <w:t>ning äga rum.</w:t>
      </w:r>
    </w:p>
    <w:p w:rsidR="009C1C5A" w:rsidRPr="00896D4F" w:rsidRDefault="009C1C5A">
      <w:pPr>
        <w:pStyle w:val="Citatindrag"/>
      </w:pPr>
      <w:r w:rsidRPr="00896D4F">
        <w:t>KFM:s beslut med anledning av invändning mot verkställighet gäller om</w:t>
      </w:r>
      <w:r w:rsidRPr="00896D4F">
        <w:t>e</w:t>
      </w:r>
      <w:r w:rsidRPr="00896D4F">
        <w:t>delbart. Även om beslutet överklagas ska verkställigheten fortgå om inte annat förordnas av domstol (2 kap. 19 § UB). Enligt RSV:s uppfattning inn</w:t>
      </w:r>
      <w:r w:rsidRPr="00896D4F">
        <w:t>e</w:t>
      </w:r>
      <w:r w:rsidRPr="00896D4F">
        <w:t>bär ett överklagande av nämnda beslut inte hinder mot utbetalning. Om dä</w:t>
      </w:r>
      <w:r w:rsidRPr="00896D4F">
        <w:t>r</w:t>
      </w:r>
      <w:r w:rsidRPr="00896D4F">
        <w:t>emot överklagandet till sitt innehåll bedöms utgöra ett överklagande av t.ex. själva utmätningsbeslutet är förhållandet givetvis ett annat.</w:t>
      </w:r>
    </w:p>
    <w:p w:rsidR="009C1C5A" w:rsidRPr="00896D4F" w:rsidRDefault="009C1C5A">
      <w:pPr>
        <w:pStyle w:val="Citatindrag"/>
      </w:pPr>
      <w:r w:rsidRPr="00896D4F">
        <w:t>KFM har i förevarande fall ansett att utmätta medel inte skulle utbetalas till sökanden. Medlen har därför gjorts räntebärande enligt 13 kap. 1 § UF. F</w:t>
      </w:r>
      <w:r w:rsidRPr="00896D4F">
        <w:t>råga har nu uppkommit avseende vem som har rätt till den upplupna räntan på influtna medel.</w:t>
      </w:r>
    </w:p>
    <w:p w:rsidR="009C1C5A" w:rsidRPr="00896D4F" w:rsidRDefault="009C1C5A">
      <w:pPr>
        <w:pStyle w:val="Citatindrag"/>
      </w:pPr>
      <w:r w:rsidRPr="00896D4F">
        <w:t>I 13 kap. 2 § UB stadgas att vad som sägs om influtna medel gäller även den ränta som utgår på medlen t.o.m. den i 6 § angivna fördelningsdagen. Ränta på belopp som innestår därefter tillkommer den som är berättigad till beloppet. Bestämmelsen om ränta överensstämmer med sättet för beräkning av anmälda fordringar enligt 13 kap. 6 § UB. Av förarbetena och komment</w:t>
      </w:r>
      <w:r w:rsidRPr="00896D4F">
        <w:t>a</w:t>
      </w:r>
      <w:r w:rsidRPr="00896D4F">
        <w:t>rerna till UB framgår att principerna om ränta ska tillämpas även om någon formlig fördelning inte ska ske, dvs. när endast en borgenär finns.</w:t>
      </w:r>
    </w:p>
    <w:p w:rsidR="009C1C5A" w:rsidRPr="00896D4F" w:rsidRDefault="009C1C5A">
      <w:pPr>
        <w:pStyle w:val="Citatindrag"/>
      </w:pPr>
      <w:r w:rsidRPr="00896D4F">
        <w:t xml:space="preserve">Enligt 13 kap. 6 § 1 st. UB ska anmäld fordran räknas fram och upptas med det belopp till vilket den uppgår på fördelningsdagen. När det som i detta fall endast finns en borgenär anses utbetalningsdagen som fördelningsdag och fordran beräknas och tas upp med det belopp den uppgår till den dag då KFM beslutar om utbetalning. Om influtet belopp avsätts t.ex. på grund </w:t>
      </w:r>
      <w:r w:rsidRPr="00896D4F">
        <w:t>av tvist om bättre rätt till medlen, bör beslutet om avsättning räknas lika som betalning. Vid tidpunkten för KFM:s beslut om att avsätta medlen uppgick fordringsa</w:t>
      </w:r>
      <w:r w:rsidRPr="00896D4F">
        <w:t>n</w:t>
      </w:r>
      <w:r w:rsidRPr="00896D4F">
        <w:t>språket till 51 000 kronor.</w:t>
      </w:r>
    </w:p>
    <w:p w:rsidR="009C1C5A" w:rsidRPr="00896D4F" w:rsidRDefault="009C1C5A">
      <w:pPr>
        <w:pStyle w:val="Citatindrag"/>
      </w:pPr>
      <w:r w:rsidRPr="00896D4F">
        <w:t>Av 13 kap. 2 § 2 p UB följer att ränta som utgår efter dagen för beslut om avsättning fram till utbetalningsdagen tillkommer den borgenär som är berä</w:t>
      </w:r>
      <w:r w:rsidRPr="00896D4F">
        <w:t>t</w:t>
      </w:r>
      <w:r w:rsidRPr="00896D4F">
        <w:t>tigad till det avsatta beloppet. Enligt RSV:s uppfattning är kommentaren till UB mycket tydlig i detta avseende. ”Borgenär som får vänta på betalning har rätt till den ränta som faktiskt upplupit på hans fordran från fördelningsdagen t.o.m. utbetalningsdagen”. Således är det fråga om en form av kompensation</w:t>
      </w:r>
      <w:r w:rsidRPr="00896D4F">
        <w:t>s</w:t>
      </w:r>
      <w:r w:rsidRPr="00896D4F">
        <w:t>ränta för att borgenären får vänta på utbetalningen. Endast om dröjsmålet beror på borgenären, t.ex. om han inte företer löpande skuldebrev, upphör borgenärens rätt till ytterligare ränta. Vilket det in</w:t>
      </w:r>
      <w:r w:rsidRPr="00896D4F">
        <w:t>te är fråga om i detta fall.</w:t>
      </w:r>
    </w:p>
    <w:p w:rsidR="009C1C5A" w:rsidRPr="00896D4F" w:rsidRDefault="009C1C5A">
      <w:pPr>
        <w:pStyle w:val="Citatindrag"/>
        <w:rPr>
          <w:b/>
          <w:i/>
        </w:rPr>
      </w:pPr>
      <w:r w:rsidRPr="00896D4F">
        <w:t>Enligt RSV:s mening är det ovidkommande att Bjurström inte har rätt till ränta enligt den stadsfästa förlikningen då det gäller rätten till den s.k. ko</w:t>
      </w:r>
      <w:r w:rsidRPr="00896D4F">
        <w:t>m</w:t>
      </w:r>
      <w:r w:rsidRPr="00896D4F">
        <w:t>pensationsräntan. Den ränta om 951 kronor som upplupit på det avsatta b</w:t>
      </w:r>
      <w:r w:rsidRPr="00896D4F">
        <w:t>e</w:t>
      </w:r>
      <w:r w:rsidRPr="00896D4F">
        <w:t>loppet från dagen för KFM:s beslut fram till själva utbetalningen borde därför ha tilldelats Bjurström.</w:t>
      </w:r>
    </w:p>
    <w:p w:rsidR="009C1C5A" w:rsidRPr="00896D4F" w:rsidRDefault="009C1C5A">
      <w:r w:rsidRPr="00896D4F">
        <w:t>N.B. har yttrat sig över remissvaren.</w:t>
      </w:r>
    </w:p>
    <w:p w:rsidR="009C1C5A" w:rsidRPr="00896D4F" w:rsidRDefault="009C1C5A">
      <w:r w:rsidRPr="00896D4F">
        <w:t xml:space="preserve">I sitt den 15 april 2002 meddelade beslut anförde </w:t>
      </w:r>
      <w:r w:rsidRPr="00896D4F">
        <w:rPr>
          <w:i/>
        </w:rPr>
        <w:t xml:space="preserve">JO Pennlöv </w:t>
      </w:r>
      <w:r w:rsidRPr="00896D4F">
        <w:t>i bedömning</w:t>
      </w:r>
      <w:r w:rsidRPr="00896D4F">
        <w:t>s</w:t>
      </w:r>
      <w:r w:rsidRPr="00896D4F">
        <w:t>delen följande.</w:t>
      </w:r>
    </w:p>
    <w:p w:rsidR="009C1C5A" w:rsidRPr="00896D4F" w:rsidRDefault="009C1C5A">
      <w:r w:rsidRPr="00896D4F">
        <w:t>Riksskatteverket har i sitt remissvar redogjort för de bestämmelser som regl</w:t>
      </w:r>
      <w:r w:rsidRPr="00896D4F">
        <w:t>e</w:t>
      </w:r>
      <w:r w:rsidRPr="00896D4F">
        <w:t>rar kronofogdemyndighetens förfarande med medel som influtit till myndi</w:t>
      </w:r>
      <w:r w:rsidRPr="00896D4F">
        <w:t>g</w:t>
      </w:r>
      <w:r w:rsidRPr="00896D4F">
        <w:t>heten i utmätningsmål.</w:t>
      </w:r>
    </w:p>
    <w:p w:rsidR="009C1C5A" w:rsidRPr="00896D4F" w:rsidRDefault="009C1C5A">
      <w:pPr>
        <w:pStyle w:val="Normaltindrag"/>
      </w:pPr>
      <w:r w:rsidRPr="00896D4F">
        <w:t>I förevarande fall har kronofogdemyndigheten – på grund av att gälden</w:t>
      </w:r>
      <w:r w:rsidRPr="00896D4F">
        <w:t>ä</w:t>
      </w:r>
      <w:r w:rsidRPr="00896D4F">
        <w:t>ren överklagat ett beslut av myndigheten att inte finna att hinder mot ver</w:t>
      </w:r>
      <w:r w:rsidRPr="00896D4F">
        <w:t>k</w:t>
      </w:r>
      <w:r w:rsidRPr="00896D4F">
        <w:t>ställighet förelåg – ansett att de utmätta medlen i enlighet med 13 kap. 14 § utsökningsbalken inte skulle betalas ut utan säkerhet. Jag vill här framhålla att jag inte delar kronofogdemyndighetens åsikt att man kan jämställa ett öve</w:t>
      </w:r>
      <w:r w:rsidRPr="00896D4F">
        <w:t>r</w:t>
      </w:r>
      <w:r w:rsidRPr="00896D4F">
        <w:t>klagande av ett beslut att inte finna hinder mot verkställighet föreligga med ett överklagande av ett utmätningsbeslut, när det gäller bedömningen av om hinder mot utbetalning av utmätta medel föreligge</w:t>
      </w:r>
      <w:r w:rsidRPr="00896D4F">
        <w:t>r enligt nämnda bestä</w:t>
      </w:r>
      <w:r w:rsidRPr="00896D4F">
        <w:t>m</w:t>
      </w:r>
      <w:r w:rsidRPr="00896D4F">
        <w:t>melse. Jag har dock inte funnit skäl att uttala mig om riktigheten i kronofo</w:t>
      </w:r>
      <w:r w:rsidRPr="00896D4F">
        <w:t>g</w:t>
      </w:r>
      <w:r w:rsidRPr="00896D4F">
        <w:t>demyndighetens bedömning i det här aktuella fallet.</w:t>
      </w:r>
    </w:p>
    <w:p w:rsidR="009C1C5A" w:rsidRPr="00896D4F" w:rsidRDefault="009C1C5A">
      <w:pPr>
        <w:pStyle w:val="Normaltindrag"/>
      </w:pPr>
      <w:r w:rsidRPr="00896D4F">
        <w:t xml:space="preserve">Enligt 13 kap. 2 § 2 p utsökningsbalken tillfaller ränta på influtna medel som innestår efter den i 6 § angivna fördelningsdagen </w:t>
      </w:r>
      <w:r w:rsidRPr="00896D4F">
        <w:rPr>
          <w:i/>
        </w:rPr>
        <w:t>den som är berättigad till beloppet</w:t>
      </w:r>
      <w:r w:rsidRPr="00896D4F">
        <w:t>. Det förhållandet att en borgenär genom att ställa säkerhet kan framtvinga utbetalning av utmätta medel i den aktuella situationen saknar betydelse för frågan om vem som slutligen skall anses ha rätt till räntan på beloppet.</w:t>
      </w:r>
    </w:p>
    <w:p w:rsidR="009C1C5A" w:rsidRPr="00896D4F" w:rsidRDefault="009C1C5A">
      <w:pPr>
        <w:pStyle w:val="Normaltindrag"/>
      </w:pPr>
      <w:r w:rsidRPr="00896D4F">
        <w:t>Jag delar Riksskatteverkets uppfattning att nyss nämnda bestämmelse i f</w:t>
      </w:r>
      <w:r w:rsidRPr="00896D4F">
        <w:t>ö</w:t>
      </w:r>
      <w:r w:rsidRPr="00896D4F">
        <w:t>revarande fall innebär att N.B. är den som har rätt till den ränta som har up</w:t>
      </w:r>
      <w:r w:rsidRPr="00896D4F">
        <w:t>p</w:t>
      </w:r>
      <w:r w:rsidRPr="00896D4F">
        <w:t>lupit på det belopp som utmätts för hennes räkning från det att kronofogd</w:t>
      </w:r>
      <w:r w:rsidRPr="00896D4F">
        <w:t>e</w:t>
      </w:r>
      <w:r w:rsidRPr="00896D4F">
        <w:t>myndigheten beslutade att avsätta medlen till dess att de betalades ut till he</w:t>
      </w:r>
      <w:r w:rsidRPr="00896D4F">
        <w:t>n</w:t>
      </w:r>
      <w:r w:rsidRPr="00896D4F">
        <w:t>ne. Genom kronofogdemyndighetens förfarande har räntan kommit att tillfalla en person som – enligt vad utredningen har visat – under den tid som räntan löpte inte hade rätt till det kapitalbelopp som generade den, vilket måste anses vara direkt lagstridigt.</w:t>
      </w:r>
    </w:p>
    <w:p w:rsidR="009C1C5A" w:rsidRPr="00896D4F" w:rsidRDefault="009C1C5A">
      <w:pPr>
        <w:pStyle w:val="Rubrik1"/>
      </w:pPr>
      <w:r w:rsidRPr="00896D4F">
        <w:br w:type="page"/>
        <w:t>Förvaltningsdomstolar</w:t>
      </w:r>
    </w:p>
    <w:p w:rsidR="009C1C5A" w:rsidRPr="00896D4F" w:rsidRDefault="009C1C5A">
      <w:pPr>
        <w:pStyle w:val="Rubrik2"/>
        <w:spacing w:before="120"/>
      </w:pPr>
      <w:r w:rsidRPr="00896D4F">
        <w:t>En länsrätt har vid en muntlig förhandling som var offentlig tillfrågat åhörare om namn och antecknat uppgifterna i protokollet</w:t>
      </w:r>
    </w:p>
    <w:p w:rsidR="009C1C5A" w:rsidRPr="00896D4F" w:rsidRDefault="009C1C5A">
      <w:pPr>
        <w:spacing w:before="0"/>
      </w:pPr>
      <w:r w:rsidRPr="00896D4F">
        <w:t>(Dnr 1310-2001)</w:t>
      </w:r>
    </w:p>
    <w:p w:rsidR="009C1C5A" w:rsidRPr="00896D4F" w:rsidRDefault="009C1C5A">
      <w:pPr>
        <w:pStyle w:val="Rubrik3"/>
      </w:pPr>
      <w:r w:rsidRPr="00896D4F">
        <w:t>Anmälan</w:t>
      </w:r>
    </w:p>
    <w:p w:rsidR="009C1C5A" w:rsidRPr="00896D4F" w:rsidRDefault="009C1C5A">
      <w:r w:rsidRPr="00896D4F">
        <w:t>I en anmälan mot Länsrätten i Västmanlands län framförde Sten Malm, Le</w:t>
      </w:r>
      <w:r w:rsidRPr="00896D4F">
        <w:t>n</w:t>
      </w:r>
      <w:r w:rsidRPr="00896D4F">
        <w:t>nart Andersson och Göran Johnson följande. De hade varit åhörare när län</w:t>
      </w:r>
      <w:r w:rsidRPr="00896D4F">
        <w:t>s</w:t>
      </w:r>
      <w:r w:rsidRPr="00896D4F">
        <w:t>rätten den 22 februari 2001 höll muntlig förhandling i fyra mål. Ordföranden, råd</w:t>
      </w:r>
      <w:r w:rsidRPr="00896D4F">
        <w:softHyphen/>
        <w:t xml:space="preserve">mannen Bernt Åkerblom, begärde vid förhandlingen att få uppgift om deras namn och registrerade uppgifterna. </w:t>
      </w:r>
    </w:p>
    <w:p w:rsidR="009C1C5A" w:rsidRPr="00896D4F" w:rsidRDefault="009C1C5A">
      <w:pPr>
        <w:pStyle w:val="Rubrik3"/>
      </w:pPr>
      <w:r w:rsidRPr="00896D4F">
        <w:t>Utredning</w:t>
      </w:r>
    </w:p>
    <w:p w:rsidR="009C1C5A" w:rsidRPr="00896D4F" w:rsidRDefault="009C1C5A">
      <w:r w:rsidRPr="00896D4F">
        <w:t>Föredraganden i ärendet inhämtade vid telefonsamtal med rådmannen Bernt Åkerblom följande. De mål som avses i anmälan gällde bl.a. livränta enligt lagen om arbetsskadeförsäkring och frågor enligt lagen om allmän försäkring. Den muntliga för</w:t>
      </w:r>
      <w:r w:rsidRPr="00896D4F">
        <w:softHyphen/>
        <w:t>handlingen hölls inte inom stängda dörrar. Bernt Åkerblom har i protokollet från förhand</w:t>
      </w:r>
      <w:r w:rsidRPr="00896D4F">
        <w:softHyphen/>
        <w:t>lingen antecknat Sten Malm, Lennart Andersson och Göran Johnson under rubri</w:t>
      </w:r>
      <w:r w:rsidRPr="00896D4F">
        <w:softHyphen/>
        <w:t xml:space="preserve">ken ”övriga närvarande”. </w:t>
      </w:r>
    </w:p>
    <w:p w:rsidR="009C1C5A" w:rsidRPr="00896D4F" w:rsidRDefault="009C1C5A">
      <w:r w:rsidRPr="00896D4F">
        <w:t xml:space="preserve">Anmälan remitterades till länsrätten. </w:t>
      </w:r>
    </w:p>
    <w:p w:rsidR="009C1C5A" w:rsidRPr="00896D4F" w:rsidRDefault="009C1C5A">
      <w:r w:rsidRPr="00896D4F">
        <w:t xml:space="preserve">I yttrande anförde Bernt Åkerblom bl.a. följande. </w:t>
      </w:r>
    </w:p>
    <w:p w:rsidR="009C1C5A" w:rsidRPr="00896D4F" w:rsidRDefault="009C1C5A">
      <w:pPr>
        <w:pStyle w:val="Citat"/>
      </w:pPr>
      <w:r w:rsidRPr="00896D4F">
        <w:t>Den rättsliga regleringen angående vem som skall identifieras (eller uppge sitt namn) vid en förhandling är mycket kortfattad, se förordningen (1979:575) om protokollföring m.m. vid de allmänna förvaltningsdomstolarna. Sålunda skall i ett protokoll, upptecknas parter och deras ombud/</w:t>
      </w:r>
      <w:r w:rsidRPr="00896D4F">
        <w:softHyphen/>
        <w:t>biträden (9 §) samt vittnen och sakkunniga (14 §). Även om ett vittne egentligen inte behöver upp</w:t>
      </w:r>
      <w:r w:rsidRPr="00896D4F">
        <w:softHyphen/>
        <w:t>ge sitt namn förrän förhöret skall hållas, är det av praktiska skäl nödvä</w:t>
      </w:r>
      <w:r w:rsidRPr="00896D4F">
        <w:t>n</w:t>
      </w:r>
      <w:r w:rsidRPr="00896D4F">
        <w:t>digt att kontrollera närva</w:t>
      </w:r>
      <w:r w:rsidRPr="00896D4F">
        <w:softHyphen/>
        <w:t>ron av vittnen i det fall dessa kallats till förhandlin</w:t>
      </w:r>
      <w:r w:rsidRPr="00896D4F">
        <w:t>g</w:t>
      </w:r>
      <w:r w:rsidRPr="00896D4F">
        <w:t>en i samband med att målet påropas. Slutsatsen är således att samtliga pers</w:t>
      </w:r>
      <w:r w:rsidRPr="00896D4F">
        <w:t>o</w:t>
      </w:r>
      <w:r w:rsidRPr="00896D4F">
        <w:t>ner som medverkar under en fö</w:t>
      </w:r>
      <w:r w:rsidRPr="00896D4F">
        <w:t>r</w:t>
      </w:r>
      <w:r w:rsidRPr="00896D4F">
        <w:t>handling även skall uppge sina namn.</w:t>
      </w:r>
    </w:p>
    <w:p w:rsidR="009C1C5A" w:rsidRPr="00896D4F" w:rsidRDefault="009C1C5A">
      <w:pPr>
        <w:pStyle w:val="Citatindrag"/>
      </w:pPr>
      <w:r w:rsidRPr="00896D4F">
        <w:t>För övriga personer (åhörare) saknas helt en rättslig procedurreglering. Av detta måste följa att om en förhandli</w:t>
      </w:r>
      <w:r w:rsidRPr="00896D4F">
        <w:t>ng skall vara offentlig, enligt den i 2 kap. 11 § regeringsformen angivna huvudregeln, skall en åhörare inte heller beh</w:t>
      </w:r>
      <w:r w:rsidRPr="00896D4F">
        <w:t>ö</w:t>
      </w:r>
      <w:r w:rsidRPr="00896D4F">
        <w:t xml:space="preserve">va uppge sitt namn. </w:t>
      </w:r>
    </w:p>
    <w:p w:rsidR="009C1C5A" w:rsidRPr="00896D4F" w:rsidRDefault="009C1C5A">
      <w:pPr>
        <w:pStyle w:val="Citatindrag"/>
      </w:pPr>
      <w:r w:rsidRPr="00896D4F">
        <w:t>Om däremot en förhandling hålles inom stängda dörrar (se 16 och 39 §§ förvaltningsprocesslagen jämfört med 5 kap. 4 § och 9 kap. 6 § rättegångsba</w:t>
      </w:r>
      <w:r w:rsidRPr="00896D4F">
        <w:t>l</w:t>
      </w:r>
      <w:r w:rsidRPr="00896D4F">
        <w:t>ken) skall en sekretessbelagd uppgift i princip ej få röjas. På grund härav bör samtliga närvarande personer vid en sådan förhandling uppge sina namn. Detta gäller således även en åhörare som medges närvara med stöd av 5 kap. 3 § rättegångsbalken.</w:t>
      </w:r>
    </w:p>
    <w:p w:rsidR="009C1C5A" w:rsidRPr="00896D4F" w:rsidRDefault="009C1C5A">
      <w:pPr>
        <w:pStyle w:val="Citatindrag"/>
      </w:pPr>
      <w:r w:rsidRPr="00896D4F">
        <w:t>Eftersom den aktuella förhandlingen inte hölls inom stängda dörrar har jag begått ett formellt fel.</w:t>
      </w:r>
    </w:p>
    <w:p w:rsidR="009C1C5A" w:rsidRPr="00896D4F" w:rsidRDefault="009C1C5A">
      <w:r w:rsidRPr="00896D4F">
        <w:t>– – –</w:t>
      </w:r>
    </w:p>
    <w:p w:rsidR="009C1C5A" w:rsidRPr="00896D4F" w:rsidRDefault="009C1C5A">
      <w:r w:rsidRPr="00896D4F">
        <w:t>Länsrättens lagman Bo Elmin hänvisade till Bernt Åkerbloms yttrande.</w:t>
      </w:r>
    </w:p>
    <w:p w:rsidR="009C1C5A" w:rsidRPr="00896D4F" w:rsidRDefault="009C1C5A">
      <w:r w:rsidRPr="00896D4F">
        <w:t xml:space="preserve">Sten Malm och Lennart Andersson kommenterade remissyttrandet.  </w:t>
      </w:r>
    </w:p>
    <w:p w:rsidR="009C1C5A" w:rsidRPr="00896D4F" w:rsidRDefault="009C1C5A">
      <w:r w:rsidRPr="00896D4F">
        <w:t>Kopia av protokollet från den muntliga förhandlingen hämtades in.</w:t>
      </w:r>
    </w:p>
    <w:p w:rsidR="009C1C5A" w:rsidRPr="00896D4F" w:rsidRDefault="009C1C5A">
      <w:r w:rsidRPr="00896D4F">
        <w:t xml:space="preserve">I beslut den 21 november 2001 anförde </w:t>
      </w:r>
      <w:r w:rsidRPr="00896D4F">
        <w:rPr>
          <w:i/>
        </w:rPr>
        <w:t>JO Berggren</w:t>
      </w:r>
      <w:r w:rsidRPr="00896D4F">
        <w:t xml:space="preserve"> följande.</w:t>
      </w:r>
    </w:p>
    <w:p w:rsidR="009C1C5A" w:rsidRPr="00896D4F" w:rsidRDefault="009C1C5A">
      <w:pPr>
        <w:pStyle w:val="Rubrik3"/>
      </w:pPr>
      <w:r w:rsidRPr="00896D4F">
        <w:t>Bedömning</w:t>
      </w:r>
    </w:p>
    <w:p w:rsidR="009C1C5A" w:rsidRPr="00896D4F" w:rsidRDefault="009C1C5A">
      <w:r w:rsidRPr="00896D4F">
        <w:t>Bernt Åkerblom har i sitt remissyttrande förklarat att om den enskilde parten yrkat att förhandlingen skulle hållas inom stängda dörrar hade rätten bifallit denna begäran. Härtill vill jag inledningsvis anmärka att rätten självmant haft att pröva om någon sekretessregel utgjort hinder mot att förhandlingen var offentlig (jfr JO 1986/87 s. 28).</w:t>
      </w:r>
    </w:p>
    <w:p w:rsidR="009C1C5A" w:rsidRPr="00896D4F" w:rsidRDefault="009C1C5A">
      <w:pPr>
        <w:pStyle w:val="Normaltindrag"/>
      </w:pPr>
      <w:r w:rsidRPr="00896D4F">
        <w:t>När förhandlingen, som nu blev fallet, var offentlig har var och en haft rätt att vara närvarande såsom åhörare utan att behöva uppge namn (se Fitger, Rättegångsbalken, s. 5:3 f.). Sten Malm, Lennart Andersson och Göran Joh</w:t>
      </w:r>
      <w:r w:rsidRPr="00896D4F">
        <w:t>n</w:t>
      </w:r>
      <w:r w:rsidRPr="00896D4F">
        <w:t>son skulle där</w:t>
      </w:r>
      <w:r w:rsidRPr="00896D4F">
        <w:softHyphen/>
        <w:t>för inte ha tillfrågats om namn och uppgifterna därom skulle inte heller ha anteck</w:t>
      </w:r>
      <w:r w:rsidRPr="00896D4F">
        <w:softHyphen/>
        <w:t>nats i protokollet. Handläggningen var således felaktig.</w:t>
      </w:r>
    </w:p>
    <w:p w:rsidR="009C1C5A" w:rsidRPr="00896D4F" w:rsidRDefault="009C1C5A">
      <w:pPr>
        <w:pStyle w:val="Normaltindrag"/>
      </w:pPr>
      <w:r w:rsidRPr="00896D4F">
        <w:t>Med hänsyn till att felaktigheten rört den grundlagsskyddade principen om offentlig</w:t>
      </w:r>
      <w:r w:rsidRPr="00896D4F">
        <w:softHyphen/>
        <w:t>het vid domstolsförhandlingar ser jag allvarligt på det skedda. Läns</w:t>
      </w:r>
      <w:r w:rsidRPr="00896D4F">
        <w:softHyphen/>
        <w:t>rätten är dock införstådd med felet och jag utgår från att det varit ett enstaka miss</w:t>
      </w:r>
      <w:r w:rsidRPr="00896D4F">
        <w:softHyphen/>
        <w:t xml:space="preserve">tag. </w:t>
      </w:r>
    </w:p>
    <w:p w:rsidR="009C1C5A" w:rsidRPr="00896D4F" w:rsidRDefault="009C1C5A">
      <w:pPr>
        <w:pStyle w:val="Normaltindrag"/>
      </w:pPr>
      <w:r w:rsidRPr="00896D4F">
        <w:t>Jag avslutar därför ärendet med den kritik som ligger i det sagda.</w:t>
      </w:r>
    </w:p>
    <w:p w:rsidR="009C1C5A" w:rsidRPr="00896D4F" w:rsidRDefault="009C1C5A">
      <w:pPr>
        <w:pStyle w:val="Rubrik1"/>
      </w:pPr>
      <w:r w:rsidRPr="00896D4F">
        <w:br w:type="page"/>
        <w:t>Central statsförvaltning, arbetsmarknadsmyndigheter m.m.</w:t>
      </w:r>
    </w:p>
    <w:p w:rsidR="009C1C5A" w:rsidRPr="00896D4F" w:rsidRDefault="009C1C5A">
      <w:pPr>
        <w:pStyle w:val="Rubrik2"/>
        <w:spacing w:before="120"/>
      </w:pPr>
      <w:r w:rsidRPr="00896D4F">
        <w:t xml:space="preserve">Fråga om skyldighet för Barnombudsmannen att göra anmälan till socialnämnd på grund av anonyma skrivelser enligt vilka det kunde misstänkas att några flickor hade blivit könsstympade; även fråga om det på grund av sekretess förelåg hinder för Barnombudsmannen att göra en polisanmälan i anledning av de i skrivelserna lämnade uppgifterna </w:t>
      </w:r>
    </w:p>
    <w:p w:rsidR="009C1C5A" w:rsidRPr="00896D4F" w:rsidRDefault="009C1C5A">
      <w:pPr>
        <w:spacing w:before="0"/>
      </w:pPr>
      <w:r w:rsidRPr="00896D4F">
        <w:t>(Dnr 3235-2001)</w:t>
      </w:r>
    </w:p>
    <w:p w:rsidR="009C1C5A" w:rsidRPr="00896D4F" w:rsidRDefault="009C1C5A">
      <w:r w:rsidRPr="00896D4F">
        <w:t>Den 17 oktober 2000 inkom till Barnombudsmannen (BO) ett handskrivet ano</w:t>
      </w:r>
      <w:r w:rsidRPr="00896D4F">
        <w:softHyphen/>
        <w:t>nymt brev. Till brevet hade fogats en sammanställning av uppgifter ang</w:t>
      </w:r>
      <w:r w:rsidRPr="00896D4F">
        <w:t>å</w:t>
      </w:r>
      <w:r w:rsidRPr="00896D4F">
        <w:t>ende några flickor som eventuellt skulle ha blivit könsstympade under en vistelse i Somalia sommaren år 2000. Den anonyme brevskrivaren bad BO att föra saken vidare.</w:t>
      </w:r>
    </w:p>
    <w:p w:rsidR="009C1C5A" w:rsidRPr="00896D4F" w:rsidRDefault="009C1C5A">
      <w:r w:rsidRPr="00896D4F">
        <w:t xml:space="preserve">Brevet föranledde ett ärende hos BO (dnr 7.1:471/00). Den 25 oktober 2000 antecknade BO:s handläggare följande i akten. </w:t>
      </w:r>
    </w:p>
    <w:p w:rsidR="009C1C5A" w:rsidRPr="00896D4F" w:rsidRDefault="009C1C5A">
      <w:pPr>
        <w:pStyle w:val="Citat"/>
      </w:pPr>
      <w:r w:rsidRPr="00896D4F">
        <w:t>Har bedömt att BO inte har kunskap om att barnen far illa i nuläget. Socia</w:t>
      </w:r>
      <w:r w:rsidRPr="00896D4F">
        <w:t>l</w:t>
      </w:r>
      <w:r w:rsidRPr="00896D4F">
        <w:t>tjänsten behöver sålunda inte informeras på grund av aktens innehåll. Ku</w:t>
      </w:r>
      <w:r w:rsidRPr="00896D4F">
        <w:t>n</w:t>
      </w:r>
      <w:r w:rsidRPr="00896D4F">
        <w:t xml:space="preserve">skap om brott kan heller inte anses föreligga. Utan avsändare kan ärendet inte besvaras. A.a. 25/10-00. </w:t>
      </w:r>
    </w:p>
    <w:p w:rsidR="009C1C5A" w:rsidRPr="00896D4F" w:rsidRDefault="009C1C5A">
      <w:r w:rsidRPr="00896D4F">
        <w:t>Den 14 november 2000 kom ett nytt anonymt brev in till BO. I brevet lämn</w:t>
      </w:r>
      <w:r w:rsidRPr="00896D4F">
        <w:t>a</w:t>
      </w:r>
      <w:r w:rsidRPr="00896D4F">
        <w:t xml:space="preserve">des ett antal personuppgifter som synes ha syftat till att upplysa om några fall då könsstympning skulle ha ägt rum. </w:t>
      </w:r>
    </w:p>
    <w:p w:rsidR="009C1C5A" w:rsidRPr="00896D4F" w:rsidRDefault="009C1C5A">
      <w:pPr>
        <w:pStyle w:val="Normaltindrag"/>
      </w:pPr>
      <w:r w:rsidRPr="00896D4F">
        <w:t>Det nya brevet lades den 15 november 2000 till handlingarna i BO:s äre</w:t>
      </w:r>
      <w:r w:rsidRPr="00896D4F">
        <w:t>n</w:t>
      </w:r>
      <w:r w:rsidRPr="00896D4F">
        <w:t xml:space="preserve">de. </w:t>
      </w:r>
    </w:p>
    <w:p w:rsidR="009C1C5A" w:rsidRPr="00896D4F" w:rsidRDefault="009C1C5A">
      <w:pPr>
        <w:pStyle w:val="Normaltindrag"/>
      </w:pPr>
      <w:r w:rsidRPr="00896D4F">
        <w:t>Under sensommaren 2001 uppmärksammades i massmedia BO:s han</w:t>
      </w:r>
      <w:r w:rsidRPr="00896D4F">
        <w:t>d</w:t>
      </w:r>
      <w:r w:rsidRPr="00896D4F">
        <w:t>läggning av de anonyma breven.</w:t>
      </w:r>
    </w:p>
    <w:p w:rsidR="009C1C5A" w:rsidRPr="00896D4F" w:rsidRDefault="009C1C5A">
      <w:pPr>
        <w:pStyle w:val="Normaltindrag"/>
      </w:pPr>
      <w:r w:rsidRPr="00896D4F">
        <w:t>Med hänvisning till vad som förekommit i massmedia begärde N. i en a</w:t>
      </w:r>
      <w:r w:rsidRPr="00896D4F">
        <w:t>n</w:t>
      </w:r>
      <w:r w:rsidRPr="00896D4F">
        <w:t>mälan till JO att JO skulle utreda BO:s agerande med anledning av de up</w:t>
      </w:r>
      <w:r w:rsidRPr="00896D4F">
        <w:t>p</w:t>
      </w:r>
      <w:r w:rsidRPr="00896D4F">
        <w:t xml:space="preserve">gifter om misstänkta fall av könsstympning som hade lämnats till BO.  </w:t>
      </w:r>
    </w:p>
    <w:p w:rsidR="009C1C5A" w:rsidRPr="00896D4F" w:rsidRDefault="009C1C5A">
      <w:pPr>
        <w:pStyle w:val="Normaltindrag"/>
      </w:pPr>
      <w:r w:rsidRPr="00896D4F">
        <w:t>Anmälan remitterades till BO för utredning och yttrande över handläg</w:t>
      </w:r>
      <w:r w:rsidRPr="00896D4F">
        <w:t>g</w:t>
      </w:r>
      <w:r w:rsidRPr="00896D4F">
        <w:t>ningen av de anonyma skrivelserna som kom in till BO under hösten 2000. I ett r</w:t>
      </w:r>
      <w:r w:rsidRPr="00896D4F">
        <w:t>e</w:t>
      </w:r>
      <w:r w:rsidRPr="00896D4F">
        <w:t xml:space="preserve">missvar anförde barnombudsmannen Lena Nyberg följande. </w:t>
      </w:r>
    </w:p>
    <w:p w:rsidR="009C1C5A" w:rsidRPr="00896D4F" w:rsidRDefault="009C1C5A">
      <w:pPr>
        <w:pStyle w:val="Citat"/>
      </w:pPr>
      <w:r w:rsidRPr="00896D4F">
        <w:t>Ärendet inkom och diariefördes den 17 oktober 2000. Diarienummer 7.1:471/00. Ärendet lämnades till ansvarig handläggare, som bedömde att ärendet inte kunde besvaras då det var anonymt. Brevet innehöll obekräftade uppgifter om att ett antal flickor bosatta i Sverige skulle ha könsstympats i Somalia under sommaren 2000. Fyra av de utpekade flickorna skulle möjl</w:t>
      </w:r>
      <w:r w:rsidRPr="00896D4F">
        <w:t>i</w:t>
      </w:r>
      <w:r w:rsidRPr="00896D4F">
        <w:t>gen ha kunnat identifieras av polisen.</w:t>
      </w:r>
    </w:p>
    <w:p w:rsidR="009C1C5A" w:rsidRPr="00896D4F" w:rsidRDefault="009C1C5A">
      <w:pPr>
        <w:pStyle w:val="Citatindrag"/>
      </w:pPr>
      <w:r w:rsidRPr="00896D4F">
        <w:t>Den 14 november 2000 inkom ännu en anonym skrivelse med ytterligare fyra svårtolkade adresser till vuxna personer som enligt uppgift skulle kunna knytas till flickor som könsstympats.</w:t>
      </w:r>
    </w:p>
    <w:p w:rsidR="009C1C5A" w:rsidRPr="00896D4F" w:rsidRDefault="009C1C5A">
      <w:pPr>
        <w:pStyle w:val="Citatindrag"/>
      </w:pPr>
      <w:r w:rsidRPr="00896D4F">
        <w:t>I samband med handläggningen av ärendet bedömdes att barnen akut i n</w:t>
      </w:r>
      <w:r w:rsidRPr="00896D4F">
        <w:t>u</w:t>
      </w:r>
      <w:r w:rsidRPr="00896D4F">
        <w:t>läget inte kunde anses fara så illa, enbart på grund av att de tidigare skulle ha könsstympats, att socialtjänsten borde ingripa till deras skydd i efterhand. Däremot ansågs att det kunde föreligga risk för att barnen skulle fara illa om de och deras föräldrar eftersöktes och förhördes av polis eller socialtjänst, oavsett om de blivit könsstympade eller ej.</w:t>
      </w:r>
    </w:p>
    <w:p w:rsidR="009C1C5A" w:rsidRPr="00896D4F" w:rsidRDefault="009C1C5A">
      <w:pPr>
        <w:pStyle w:val="Citatindrag"/>
      </w:pPr>
      <w:r w:rsidRPr="00896D4F">
        <w:t>BO:s anmälningsskyldighet till socialnämnden regleras i Lagen om Bar</w:t>
      </w:r>
      <w:r w:rsidRPr="00896D4F">
        <w:t>n</w:t>
      </w:r>
      <w:r w:rsidRPr="00896D4F">
        <w:t>ombudsman 3 §: "Barnombudsmannen skall genast till socialnämnden anmäla om ombudsmannen i sin verksamhet får kännedom om att någon som är u</w:t>
      </w:r>
      <w:r w:rsidRPr="00896D4F">
        <w:t>n</w:t>
      </w:r>
      <w:r w:rsidRPr="00896D4F">
        <w:t>der 18 år misshandlas i hemmet eller om det i annat fall måste antas att soc</w:t>
      </w:r>
      <w:r w:rsidRPr="00896D4F">
        <w:t>i</w:t>
      </w:r>
      <w:r w:rsidRPr="00896D4F">
        <w:t>alnämnden behöver ingripa till en underårigs skydd. Om det finns särskilda skäl får anmälan till socialnämnden göras även i andra fall. Barnombudsma</w:t>
      </w:r>
      <w:r w:rsidRPr="00896D4F">
        <w:t>n</w:t>
      </w:r>
      <w:r w:rsidRPr="00896D4F">
        <w:t>nen får lämna socialnämnden alla uppgifter som kan vara av betydelse för utredning av en underårigs behov av skydd. Lag (1994:87)."</w:t>
      </w:r>
    </w:p>
    <w:p w:rsidR="009C1C5A" w:rsidRPr="00896D4F" w:rsidRDefault="009C1C5A">
      <w:pPr>
        <w:pStyle w:val="Citatindrag"/>
      </w:pPr>
      <w:r w:rsidRPr="00896D4F">
        <w:t>Av prop. 1993</w:t>
      </w:r>
      <w:r w:rsidRPr="00896D4F">
        <w:t>/94:107 Sekretess m.m. hos Barnombudsmannen framgår att BO:s anmälningsskyldighet skiljer sig från 71 § socialtjänstlagen främst dä</w:t>
      </w:r>
      <w:r w:rsidRPr="00896D4F">
        <w:t>r</w:t>
      </w:r>
      <w:r w:rsidRPr="00896D4F">
        <w:t>igenom att det krävs att det av den information som BO har "måste antas" att socialnämnden behöver ingripa till en underårigs skydd. För att BO ska vara skyldig att göra anmälan krävs alltså en ganska hög grad av sannolikhet för att det behövs åtgärder från socialnämndens sida. BO bedömde hösten 2000 att dessa rekvisit inte kunde gälla i ärende 7.1:471/00.</w:t>
      </w:r>
    </w:p>
    <w:p w:rsidR="009C1C5A" w:rsidRPr="00896D4F" w:rsidRDefault="009C1C5A">
      <w:pPr>
        <w:pStyle w:val="Citatindrag"/>
      </w:pPr>
      <w:r w:rsidRPr="00896D4F">
        <w:t>Av prop.1993/94:107 f</w:t>
      </w:r>
      <w:r w:rsidRPr="00896D4F">
        <w:t>ramgår också att BO i vissa fall kan göra polisa</w:t>
      </w:r>
      <w:r w:rsidRPr="00896D4F">
        <w:t>n</w:t>
      </w:r>
      <w:r w:rsidRPr="00896D4F">
        <w:t>mälan. Någon plikt att göra en sådan anmälan bör dock inte föreskrivas. N</w:t>
      </w:r>
      <w:r w:rsidRPr="00896D4F">
        <w:t>å</w:t>
      </w:r>
      <w:r w:rsidRPr="00896D4F">
        <w:t>gon sådan plikt finns inte heller för socialnämnden.</w:t>
      </w:r>
    </w:p>
    <w:p w:rsidR="009C1C5A" w:rsidRPr="00896D4F" w:rsidRDefault="009C1C5A">
      <w:pPr>
        <w:pStyle w:val="Citatindrag"/>
      </w:pPr>
      <w:r w:rsidRPr="00896D4F">
        <w:t xml:space="preserve">BO ska enligt sin lag och instruktion särskilt uppmärksamma att lagar och andra författningar samt deras tillämpning stämmer överens med Sveriges åtaganden enligt Förenta nationernas konvention om barnets rättigheter (barnkonventionen). I artikel 3 punkt 1 i barnkonventionen stadgas "Vid alla åtgärder som rör barn, vare sig de vidtas </w:t>
      </w:r>
      <w:r w:rsidRPr="00896D4F">
        <w:t>av offentliga eller privata sociala välfärdsinstitutioner, domstolar, administrativa myndigheter eller lagstiftande organ, skall barnets bästa komma i främsta rummet."</w:t>
      </w:r>
    </w:p>
    <w:p w:rsidR="009C1C5A" w:rsidRPr="00896D4F" w:rsidRDefault="009C1C5A">
      <w:pPr>
        <w:pStyle w:val="Citatindrag"/>
      </w:pPr>
      <w:r w:rsidRPr="00896D4F">
        <w:t>Under hösten 2000 gjordes, med anledning av det ovanstående, bedö</w:t>
      </w:r>
      <w:r w:rsidRPr="00896D4F">
        <w:t>m</w:t>
      </w:r>
      <w:r w:rsidRPr="00896D4F">
        <w:t>ningen att en polisiär eftersökning, eventuell identifiering med efterföljande förhör, läkarundersökning etc. inte kunde bedömas vara det bästa för dessa flickor. Ärendet avslutades utan någon ytterligare åtgärd.</w:t>
      </w:r>
    </w:p>
    <w:p w:rsidR="009C1C5A" w:rsidRPr="00896D4F" w:rsidRDefault="009C1C5A">
      <w:pPr>
        <w:pStyle w:val="Citatindrag"/>
      </w:pPr>
      <w:r w:rsidRPr="00896D4F">
        <w:t>Med anledning av att en journalist under våren 2001 gjorde vissa efte</w:t>
      </w:r>
      <w:r w:rsidRPr="00896D4F">
        <w:t>r</w:t>
      </w:r>
      <w:r w:rsidRPr="00896D4F">
        <w:t>forskningar i BO:s diarium, och fann ärende 7.1:471/00 som nu är i fråga, kom BO att se över myndighetens interna rutiner avseende hur myndigheten tillämpar sina bestämmelser kring anmälningsskyldigheten. Vidare diskuter</w:t>
      </w:r>
      <w:r w:rsidRPr="00896D4F">
        <w:t>a</w:t>
      </w:r>
      <w:r w:rsidRPr="00896D4F">
        <w:t>de ombudsmannen internt frågan om könsstympning och kom då till slutsa</w:t>
      </w:r>
      <w:r w:rsidRPr="00896D4F">
        <w:t>t</w:t>
      </w:r>
      <w:r w:rsidRPr="00896D4F">
        <w:t>sen att lagen om dubbel straffbarhet när det gäller könsstympning borde pr</w:t>
      </w:r>
      <w:r w:rsidRPr="00896D4F">
        <w:t>ö</w:t>
      </w:r>
      <w:r w:rsidRPr="00896D4F">
        <w:t xml:space="preserve">vas rättsligt. BO beslutade sig för att göra en polisanmälan p.g.a. misstanke om brott samt att informera socialtjänsten. BO ansåg även att det </w:t>
      </w:r>
      <w:r w:rsidRPr="00896D4F">
        <w:t>ur ett al</w:t>
      </w:r>
      <w:r w:rsidRPr="00896D4F">
        <w:t>l</w:t>
      </w:r>
      <w:r w:rsidRPr="00896D4F">
        <w:t>mänt preventivt perspektiv skulle vara angeläget att polisanmäla och inform</w:t>
      </w:r>
      <w:r w:rsidRPr="00896D4F">
        <w:t>e</w:t>
      </w:r>
      <w:r w:rsidRPr="00896D4F">
        <w:t>ra socialtjänsten om de uppgifter som fanns i ärendet. Detta skedde den 29 maj 2001.</w:t>
      </w:r>
    </w:p>
    <w:p w:rsidR="009C1C5A" w:rsidRPr="00896D4F" w:rsidRDefault="009C1C5A">
      <w:pPr>
        <w:pStyle w:val="Citatindrag"/>
      </w:pPr>
      <w:r w:rsidRPr="00896D4F">
        <w:t>BO har också infört tydligare rutiner om hur ärenden som eventuellt ska anmälas till socialnämnd respektive polis bör hanteras. Inga ärenden avslutas vid myndigheten med mindre än att barnombudsmannen själv eller ansvarig jurist har granskat dem.</w:t>
      </w:r>
    </w:p>
    <w:p w:rsidR="009C1C5A" w:rsidRPr="00896D4F" w:rsidRDefault="009C1C5A">
      <w:r w:rsidRPr="00896D4F">
        <w:t>N. fick tillfälle att yttra sig över remissvaret.</w:t>
      </w:r>
    </w:p>
    <w:p w:rsidR="009C1C5A" w:rsidRPr="00896D4F" w:rsidRDefault="009C1C5A">
      <w:r w:rsidRPr="00896D4F">
        <w:t>BO:s remissvar gav inte ett klart besked i frågan om beslutet att inte göra anmälan till socialnämnd var handläggarens eget eller om hon hade samrått med barnombudsmannen eller annan befattningshavare inför ställningstaga</w:t>
      </w:r>
      <w:r w:rsidRPr="00896D4F">
        <w:t>n</w:t>
      </w:r>
      <w:r w:rsidRPr="00896D4F">
        <w:t>det. JO anmodade därför BO att inkomma med uppgift härom. I ett komple</w:t>
      </w:r>
      <w:r w:rsidRPr="00896D4F">
        <w:t>t</w:t>
      </w:r>
      <w:r w:rsidRPr="00896D4F">
        <w:t>terande remissvar anförde barnombudsmannen Lena Nyberg i huvudsak fö</w:t>
      </w:r>
      <w:r w:rsidRPr="00896D4F">
        <w:t>l</w:t>
      </w:r>
      <w:r w:rsidRPr="00896D4F">
        <w:t>jande.</w:t>
      </w:r>
    </w:p>
    <w:p w:rsidR="009C1C5A" w:rsidRPr="00896D4F" w:rsidRDefault="009C1C5A">
      <w:pPr>
        <w:pStyle w:val="Citat"/>
      </w:pPr>
      <w:r w:rsidRPr="00896D4F">
        <w:t>Efter utredning och samtal med dåvarande barnombudsmannen, Louise Sy</w:t>
      </w:r>
      <w:r w:rsidRPr="00896D4F">
        <w:t>l</w:t>
      </w:r>
      <w:r w:rsidRPr="00896D4F">
        <w:t>wander, och med ifrågavarande handläggare har BO funnit att ifrågavarande handläggare var den som ensam gjorde bedömningen att en anmälan till soc</w:t>
      </w:r>
      <w:r w:rsidRPr="00896D4F">
        <w:t>i</w:t>
      </w:r>
      <w:r w:rsidRPr="00896D4F">
        <w:t>alnämnd inte skulle göras. Såvitt framkommit av utredningen har handlägg</w:t>
      </w:r>
      <w:r w:rsidRPr="00896D4F">
        <w:t>a</w:t>
      </w:r>
      <w:r w:rsidRPr="00896D4F">
        <w:t xml:space="preserve">ren inte samrått med någon i det aktuella ärendet. </w:t>
      </w:r>
    </w:p>
    <w:p w:rsidR="009C1C5A" w:rsidRPr="00896D4F" w:rsidRDefault="009C1C5A">
      <w:pPr>
        <w:pStyle w:val="Citatindrag"/>
      </w:pPr>
      <w:r w:rsidRPr="00896D4F">
        <w:t>Som BO anfört i sitt första yttrande till JO har BO numera infört tydligare rutiner om hur ärenden som eventuellt skall anmälas till socialnämnd respe</w:t>
      </w:r>
      <w:r w:rsidRPr="00896D4F">
        <w:t>k</w:t>
      </w:r>
      <w:r w:rsidRPr="00896D4F">
        <w:t xml:space="preserve">tive polis bör hanteras. Inga ärenden avslutas vid myndigheten med mindre än att barnombudsmannen själv eller ansvarig jurist har granskat dem. </w:t>
      </w:r>
    </w:p>
    <w:p w:rsidR="009C1C5A" w:rsidRPr="00896D4F" w:rsidRDefault="009C1C5A">
      <w:pPr>
        <w:pStyle w:val="Normaltindrag"/>
      </w:pPr>
      <w:r w:rsidRPr="00896D4F">
        <w:t xml:space="preserve">En kopia av det kompletterande yttrandet sändes till N. för kännedom. </w:t>
      </w:r>
    </w:p>
    <w:p w:rsidR="009C1C5A" w:rsidRPr="00896D4F" w:rsidRDefault="009C1C5A">
      <w:pPr>
        <w:pStyle w:val="Normaltindrag"/>
      </w:pPr>
      <w:r w:rsidRPr="00896D4F">
        <w:t xml:space="preserve">JO hade tillgång till handlingarna i BO:s ärende med dnr 7.1:471/00. </w:t>
      </w:r>
    </w:p>
    <w:p w:rsidR="009C1C5A" w:rsidRPr="00896D4F" w:rsidRDefault="009C1C5A">
      <w:pPr>
        <w:pStyle w:val="Normaltindrag"/>
      </w:pPr>
      <w:r w:rsidRPr="00896D4F">
        <w:t>Föredraganden inhämtade per telefon vissa kompletterande upplysningar från BO.</w:t>
      </w:r>
    </w:p>
    <w:p w:rsidR="009C1C5A" w:rsidRPr="00896D4F" w:rsidRDefault="009C1C5A">
      <w:r w:rsidRPr="00896D4F">
        <w:t xml:space="preserve">I ett beslut den 15 februari 2002 anförde </w:t>
      </w:r>
      <w:r w:rsidRPr="00896D4F">
        <w:rPr>
          <w:i/>
        </w:rPr>
        <w:t>JO André</w:t>
      </w:r>
      <w:r w:rsidRPr="00896D4F">
        <w:t xml:space="preserve"> följande. </w:t>
      </w:r>
    </w:p>
    <w:p w:rsidR="009C1C5A" w:rsidRPr="00896D4F" w:rsidRDefault="009C1C5A">
      <w:pPr>
        <w:pStyle w:val="Rubrik4"/>
      </w:pPr>
      <w:r w:rsidRPr="00896D4F">
        <w:t>Inledning</w:t>
      </w:r>
    </w:p>
    <w:p w:rsidR="009C1C5A" w:rsidRPr="00896D4F" w:rsidRDefault="009C1C5A">
      <w:r w:rsidRPr="00896D4F">
        <w:t>I det följande kommer jag först att redovisa de rättsregler som är av intresse i detta sammanhang samt uppehålla mig vid vissa allmänna frågor som rör socialnämndens uppgifter vid misstanke om att barn far illa och skyldigheten att till socialnämnd göra anmälan vid misstanke om att socialnämnden beh</w:t>
      </w:r>
      <w:r w:rsidRPr="00896D4F">
        <w:t>ö</w:t>
      </w:r>
      <w:r w:rsidRPr="00896D4F">
        <w:t xml:space="preserve">ver ingripa till en underårigs skydd. </w:t>
      </w:r>
    </w:p>
    <w:p w:rsidR="009C1C5A" w:rsidRPr="00896D4F" w:rsidRDefault="009C1C5A">
      <w:pPr>
        <w:pStyle w:val="Normaltindrag"/>
      </w:pPr>
      <w:r w:rsidRPr="00896D4F">
        <w:t xml:space="preserve">Härefter kommer jag att behandla frågan om BO redan under hösten år 2000 borde ha gjort en anmälan till socialnämnd och polismyndighet på grund av de uppgifter som hade lämnats i de anonyma breven till BO. </w:t>
      </w:r>
    </w:p>
    <w:p w:rsidR="009C1C5A" w:rsidRPr="00896D4F" w:rsidRDefault="009C1C5A">
      <w:pPr>
        <w:pStyle w:val="Normaltindrag"/>
      </w:pPr>
      <w:r w:rsidRPr="00896D4F">
        <w:t xml:space="preserve">Den 1 januari 2002 trädde en ny socialtjänstlag (2001:453), SoL, i kraft. Innehållet i lagen motsvarar i många väsentliga delar bestämmelserna i 1980 års socialtjänstlag (1980:620). I det följande kommer jag att hänföra mig till bestämmelserna i den nya lagen.  </w:t>
      </w:r>
    </w:p>
    <w:p w:rsidR="009C1C5A" w:rsidRPr="00896D4F" w:rsidRDefault="009C1C5A">
      <w:pPr>
        <w:pStyle w:val="Rubrik4"/>
      </w:pPr>
      <w:r w:rsidRPr="00896D4F">
        <w:t>Rättslig reglering m.m.</w:t>
      </w:r>
    </w:p>
    <w:p w:rsidR="009C1C5A" w:rsidRPr="00896D4F" w:rsidRDefault="009C1C5A">
      <w:r w:rsidRPr="00896D4F">
        <w:t>En grundläggande regel i vårt rättssystem är att alla människor skall vara skyddade mot kränkningar av sin kroppsliga integritet. Denna princip ko</w:t>
      </w:r>
      <w:r w:rsidRPr="00896D4F">
        <w:t>m</w:t>
      </w:r>
      <w:r w:rsidRPr="00896D4F">
        <w:t>mer till uttryck i bl.a. Förenta Nationernas deklaration om mänskliga rätti</w:t>
      </w:r>
      <w:r w:rsidRPr="00896D4F">
        <w:t>g</w:t>
      </w:r>
      <w:r w:rsidRPr="00896D4F">
        <w:t xml:space="preserve">heter.  </w:t>
      </w:r>
    </w:p>
    <w:p w:rsidR="009C1C5A" w:rsidRPr="00896D4F" w:rsidRDefault="009C1C5A">
      <w:pPr>
        <w:pStyle w:val="Normaltindrag"/>
      </w:pPr>
      <w:r w:rsidRPr="00896D4F">
        <w:t>I Förenta Nationernas konvention om barnets rättigheter, Barnkonventi</w:t>
      </w:r>
      <w:r w:rsidRPr="00896D4F">
        <w:t>o</w:t>
      </w:r>
      <w:r w:rsidRPr="00896D4F">
        <w:t xml:space="preserve">nen, som antogs av FN:s generalförsamling den 20 november 1989, föreskrivs i artikel 24 punkt 3 att konventionsstaterna skall vidta alla effektiva och lämpliga åtgärder i syfte att avskaffa traditionella sedvänjor som är skadliga för barns hälsa. Till sådana sedvänjor hör könsstympning av barn (se bl.a. prop. 1989/90:107 s. 62 f.). Sverige har ratificerat Barnkonventionen efter ett beslut av riksdagen den 21 juni 1990. </w:t>
      </w:r>
    </w:p>
    <w:p w:rsidR="009C1C5A" w:rsidRPr="00896D4F" w:rsidRDefault="009C1C5A">
      <w:pPr>
        <w:pStyle w:val="Normaltindrag"/>
      </w:pPr>
      <w:r w:rsidRPr="00896D4F">
        <w:t>Könsstympning, eller kvinnlig omskärelse som det tidigare kallades i Sv</w:t>
      </w:r>
      <w:r w:rsidRPr="00896D4F">
        <w:t>e</w:t>
      </w:r>
      <w:r w:rsidRPr="00896D4F">
        <w:t>rige, är förbjuden enligt svensk lag sedan 1982. Enligt 1 § lagen (1982:316) med förbud mot könsstympning av kvinnor får ingrepp i de kvinnliga yttre könsorganen i syfte att stympa dessa eller åstadkomma andra bestående fö</w:t>
      </w:r>
      <w:r w:rsidRPr="00896D4F">
        <w:t>r</w:t>
      </w:r>
      <w:r w:rsidRPr="00896D4F">
        <w:t xml:space="preserve">ändringar av dem (könsstympning) inte utföras, oavsett om samtycke har lämnats till ingreppet eller inte. Den som bryter mot 1 § döms till fängelse i högst fyra år. Om brottet har medfört livsfara, allvarlig sjukdom eller i annat fall inneburit ett synnerligen hänsynslöst beteende skall </w:t>
      </w:r>
      <w:r w:rsidRPr="00896D4F">
        <w:t xml:space="preserve">det bedömas som grovt. För grovt brott döms till fängelse, lägst två och högst tio år. </w:t>
      </w:r>
    </w:p>
    <w:p w:rsidR="009C1C5A" w:rsidRPr="00896D4F" w:rsidRDefault="009C1C5A">
      <w:pPr>
        <w:pStyle w:val="Normaltindrag"/>
      </w:pPr>
      <w:r w:rsidRPr="00896D4F">
        <w:t xml:space="preserve">För försök, förberedelse och stämpling samt underlåtenhet att avslöja brott döms till ansvar enligt 23 kap. brottsbalken. </w:t>
      </w:r>
    </w:p>
    <w:p w:rsidR="009C1C5A" w:rsidRPr="00896D4F" w:rsidRDefault="009C1C5A">
      <w:pPr>
        <w:pStyle w:val="Normaltindrag"/>
      </w:pPr>
      <w:r w:rsidRPr="00896D4F">
        <w:t>Ansvar för ett brott som har begåtts utom riket kan i Sverige bli aktuellt endast under vissa förutsättningar. De centrala bestämmelserna härom finns i 2 kap. brottsbalken. I 2 kap. 2 § första stycket anges att för brott som har begåtts utom riket döms efter svensk lag och vid svensk domstol bl.a. om brottet begåtts av svensk medborgare eller utlänning med hemvist i Sverige. Undantag härifrån görs enligt andra stycket i paragrafen om gärningen är fri från ansvar enligt lagen på gärningsorten eller om den h</w:t>
      </w:r>
      <w:r w:rsidRPr="00896D4F">
        <w:t>ar begåtts inom omr</w:t>
      </w:r>
      <w:r w:rsidRPr="00896D4F">
        <w:t>å</w:t>
      </w:r>
      <w:r w:rsidRPr="00896D4F">
        <w:t>de som ej tillhör någon stat och enligt svensk lag svårare straff än böter icke kan följa på gärningen. I fall som avses i paragrafen får inte ådömas påföljd som är att anse som strängare än det svåraste straff som är stadgat för brottet enligt lagen på gärningsorten (tredje stycket). Bestämmelsen är ett uttryck för principen om kravet på s.k. dubbel straffbarhet. I 2 kap. 3 § och 3 a § brott</w:t>
      </w:r>
      <w:r w:rsidRPr="00896D4F">
        <w:t>s</w:t>
      </w:r>
      <w:r w:rsidRPr="00896D4F">
        <w:t>balken finns vissa ytterligare bestämmelser om möjlighet att i Sverige väcka åtal och döma för b</w:t>
      </w:r>
      <w:r w:rsidRPr="00896D4F">
        <w:t>rott som har begåtts utomlands. De saknar dock intresse i förevarande sammanhang. Enligt 3 § lagen (1982:316) med förbud mot kön</w:t>
      </w:r>
      <w:r w:rsidRPr="00896D4F">
        <w:t>s</w:t>
      </w:r>
      <w:r w:rsidRPr="00896D4F">
        <w:t xml:space="preserve">stympning av kvinnor döms den som gjort sig skyldig till brott mot lagen vid svensk domstol även om 2 kap. 2 eller 3 § brottsbalken inte är tillämplig. Detta undantag från kravet på s.k. dubbel straffbarhet tillkom år 1999. </w:t>
      </w:r>
    </w:p>
    <w:p w:rsidR="009C1C5A" w:rsidRPr="00896D4F" w:rsidRDefault="009C1C5A">
      <w:pPr>
        <w:pStyle w:val="Normaltindrag"/>
      </w:pPr>
      <w:r w:rsidRPr="00896D4F">
        <w:t>I samband med att kravet på dubbel straffbarhet togs bort när det gäller kön</w:t>
      </w:r>
      <w:r w:rsidRPr="00896D4F">
        <w:t>s</w:t>
      </w:r>
      <w:r w:rsidRPr="00896D4F">
        <w:t>stympning anförde regeringen bl.a. följande (prop. 1998/99:70 s. 9).</w:t>
      </w:r>
    </w:p>
    <w:p w:rsidR="009C1C5A" w:rsidRPr="00896D4F" w:rsidRDefault="009C1C5A">
      <w:pPr>
        <w:pStyle w:val="Citat"/>
        <w:rPr>
          <w:u w:val="single"/>
        </w:rPr>
      </w:pPr>
      <w:r w:rsidRPr="00896D4F">
        <w:t>Trots att könsstympning av kvinnor är förbjuden i Sverige, förekommer det att flickor som bor i Sverige könsstympas. I vilken utsträckning det sker i Sverige eller utomlands vet vi inte, bara att det förekommer. Det bor drygt 5 000 flickor, varav cirka 2 000 är under 7 år, i Sverige som ursprungligen kommer från länder där könsstympning praktiseras. Fler</w:t>
      </w:r>
      <w:r w:rsidRPr="00896D4F">
        <w:softHyphen/>
        <w:t>talet kommer dessu</w:t>
      </w:r>
      <w:r w:rsidRPr="00896D4F">
        <w:t>t</w:t>
      </w:r>
      <w:r w:rsidRPr="00896D4F">
        <w:t>om från länder där bruket är så utbrett att mellan 80 och 100 procent av kvi</w:t>
      </w:r>
      <w:r w:rsidRPr="00896D4F">
        <w:t>n</w:t>
      </w:r>
      <w:r w:rsidRPr="00896D4F">
        <w:t>norna i dessa länder är könsstympade. Dessa flickor är barn i riskzonen.</w:t>
      </w:r>
    </w:p>
    <w:p w:rsidR="009C1C5A" w:rsidRPr="00896D4F" w:rsidRDefault="009C1C5A">
      <w:pPr>
        <w:pStyle w:val="Citatindrag"/>
      </w:pPr>
      <w:r w:rsidRPr="00896D4F">
        <w:t>Många människor som har invandrat till och bosatt sig i ett annat land har en önskan om att någon gång återvända till hemlandet och då är det ofta hemlandets normer som återigen gäller. Det är en viktig förklaring till att man vill hålla traditionen vid liv. Mycket tyder också på att tradi</w:t>
      </w:r>
      <w:r w:rsidRPr="00896D4F">
        <w:softHyphen/>
        <w:t>tionens starka kraft medför att föräldrar som kommer från länder där könsstympning prakt</w:t>
      </w:r>
      <w:r w:rsidRPr="00896D4F">
        <w:t>i</w:t>
      </w:r>
      <w:r w:rsidRPr="00896D4F">
        <w:t>seras och som får barn i Sverige kommer att fort</w:t>
      </w:r>
      <w:r w:rsidRPr="00896D4F">
        <w:softHyphen/>
        <w:t>sätta föra sedvänjan vidare. Risken finns att man försöker utföra ingrep</w:t>
      </w:r>
      <w:r w:rsidRPr="00896D4F">
        <w:softHyphen/>
        <w:t xml:space="preserve">pet under semestrar eller skollov på besök i hemlandet. </w:t>
      </w:r>
    </w:p>
    <w:p w:rsidR="009C1C5A" w:rsidRPr="00896D4F" w:rsidRDefault="009C1C5A">
      <w:r w:rsidRPr="00896D4F">
        <w:t>I propositionen (s. 11) anfördes rörande syftet med lagändringen bl.a. följa</w:t>
      </w:r>
      <w:r w:rsidRPr="00896D4F">
        <w:t>n</w:t>
      </w:r>
      <w:r w:rsidRPr="00896D4F">
        <w:t xml:space="preserve">de. </w:t>
      </w:r>
    </w:p>
    <w:p w:rsidR="009C1C5A" w:rsidRPr="00896D4F" w:rsidRDefault="009C1C5A">
      <w:pPr>
        <w:pStyle w:val="Citat"/>
      </w:pPr>
      <w:r w:rsidRPr="00896D4F">
        <w:t>” ... syftet med lagen med förbud mot könsstympning av kvinnor liksom den nu föreslagna lagändringen är att ge flickor och unga kvinnor i Sverige ett skydd mot att utsättas för könsstympning. Den utvidgade domsrätten är sål</w:t>
      </w:r>
      <w:r w:rsidRPr="00896D4F">
        <w:t>e</w:t>
      </w:r>
      <w:r w:rsidRPr="00896D4F">
        <w:t xml:space="preserve">des avsedd att hindra att flickor och unga kvinnor som finns i Sverige förs utomlands för att där få ingrepp som är förbjudna i Sverige utförda. </w:t>
      </w:r>
    </w:p>
    <w:p w:rsidR="009C1C5A" w:rsidRPr="00896D4F" w:rsidRDefault="009C1C5A">
      <w:r w:rsidRPr="00896D4F">
        <w:t>Det är i första hand den som har vårdnaden om ett barn som har ett ansvar för barnets personliga förhållanden och som skall se till att barnets behov av omvårdnad, trygghet och god fostran tillgodoses. Vid sidan av barnets vår</w:t>
      </w:r>
      <w:r w:rsidRPr="00896D4F">
        <w:t>d</w:t>
      </w:r>
      <w:r w:rsidRPr="00896D4F">
        <w:t>nadshavare har socialnämnden enligt 5 kap. 1 § SoL ett ansvar för att barn och ungdom växer upp under trygga och goda förhållanden. Socialnämndens insatser för barn och ungdomar bygger på frivillighet från de berörda enski</w:t>
      </w:r>
      <w:r w:rsidRPr="00896D4F">
        <w:t>l</w:t>
      </w:r>
      <w:r w:rsidRPr="00896D4F">
        <w:t>das sida. Under vissa förutsättningar kan det bli aktuellt att bereda barn vård utan samtycke. Regler härom finns i lagen (1990:52) med särskilda bestä</w:t>
      </w:r>
      <w:r w:rsidRPr="00896D4F">
        <w:t>m</w:t>
      </w:r>
      <w:r w:rsidRPr="00896D4F">
        <w:t>melser om vård av unga (LVU). Vård enligt LVU skall beslutas bl.a. om det på grund av misshandel, otillbörligt utnyttjande, brister i om</w:t>
      </w:r>
      <w:r w:rsidRPr="00896D4F">
        <w:t xml:space="preserve">sorgen eller något annat förhållande i hemmet finns en påtaglig risk för att den unges hälsa eller utveckling skadas. </w:t>
      </w:r>
    </w:p>
    <w:p w:rsidR="009C1C5A" w:rsidRPr="00896D4F" w:rsidRDefault="009C1C5A">
      <w:pPr>
        <w:pStyle w:val="Normaltindrag"/>
      </w:pPr>
      <w:r w:rsidRPr="00896D4F">
        <w:t>För att en socialnämnd skall kunna fullgöra de uppgifter som nämnden har beträffande barn och ungdomar är nämnden ofta beroende av att få inform</w:t>
      </w:r>
      <w:r w:rsidRPr="00896D4F">
        <w:t>a</w:t>
      </w:r>
      <w:r w:rsidRPr="00896D4F">
        <w:t>tion från allmänheten och myndigheter. I 14 kap. 1 § första stycket SoL för</w:t>
      </w:r>
      <w:r w:rsidRPr="00896D4F">
        <w:t>e</w:t>
      </w:r>
      <w:r w:rsidRPr="00896D4F">
        <w:t>skrivs därför att var och en som får kännedom om något som kan innebära att socialnämnden behöver ingripa till ett barns skydd bör anmäla detta till nämnden. Enligt bestämmelsens andra stycke är myndigheter vars verksamhet berör barn och ungdom samt andra myndigheter inom hälso- och sjukvården och socialtjänsten skyldiga att genast till socialnämnden anmäla om de i sin verksamhet får kännedom om något som kan innebära att socialnäm</w:t>
      </w:r>
      <w:r w:rsidRPr="00896D4F">
        <w:t>nden behöver ingripa till ett barns skydd. Detta gäller även anställda hos sådana myndigheter och vissa yrkeskategorier inom enskild verksamhet, t.ex. priva</w:t>
      </w:r>
      <w:r w:rsidRPr="00896D4F">
        <w:t>t</w:t>
      </w:r>
      <w:r w:rsidRPr="00896D4F">
        <w:t>praktiserande läkare. Bestämmelsen om skyldighet att göra en anmälan till socialnämnd är en s.k. sekretessbrytande regel (se bl.a. 14 kap. 1 § sekr</w:t>
      </w:r>
      <w:r w:rsidRPr="00896D4F">
        <w:t>e</w:t>
      </w:r>
      <w:r w:rsidRPr="00896D4F">
        <w:t>tesslagen [1980:100], SekrL). Den som har ålagts en skyldighet att göra a</w:t>
      </w:r>
      <w:r w:rsidRPr="00896D4F">
        <w:t>n</w:t>
      </w:r>
      <w:r w:rsidRPr="00896D4F">
        <w:t>mälan skall därför göra detta även om anmälan innebär att en uppgift som omfattas av sekretess skulle röjas.</w:t>
      </w:r>
    </w:p>
    <w:p w:rsidR="009C1C5A" w:rsidRPr="00896D4F" w:rsidRDefault="009C1C5A">
      <w:pPr>
        <w:pStyle w:val="Normaltindrag"/>
      </w:pPr>
      <w:r w:rsidRPr="00896D4F">
        <w:t>Skyldigheten att göra an</w:t>
      </w:r>
      <w:r w:rsidRPr="00896D4F">
        <w:t>mälan till socialnämnden förutsätter inte att det är klarlagt att socialnämnden behöver ingripa. Även uppgifter som är svårb</w:t>
      </w:r>
      <w:r w:rsidRPr="00896D4F">
        <w:t>e</w:t>
      </w:r>
      <w:r w:rsidRPr="00896D4F">
        <w:t>dömda eller obestyrkta skall anmälas, om de tyder på att ett barn kan vara i behov av stöd eller hjälp från socialnämndens sida. Det är viktigt att en a</w:t>
      </w:r>
      <w:r w:rsidRPr="00896D4F">
        <w:t>n</w:t>
      </w:r>
      <w:r w:rsidRPr="00896D4F">
        <w:t>mälan görs även om den som skall göra anmälan för egen del känner osäke</w:t>
      </w:r>
      <w:r w:rsidRPr="00896D4F">
        <w:t>r</w:t>
      </w:r>
      <w:r w:rsidRPr="00896D4F">
        <w:t>het om uppgiften kommer att leda till någon åtgärd från socialtjänstens sida. Socialnämnden har ofta en samlad bild av ett barns förhållanden, och en up</w:t>
      </w:r>
      <w:r w:rsidRPr="00896D4F">
        <w:t>p</w:t>
      </w:r>
      <w:r w:rsidRPr="00896D4F">
        <w:t xml:space="preserve">gift som </w:t>
      </w:r>
      <w:r w:rsidRPr="00896D4F">
        <w:t xml:space="preserve">inte är helt styrkt eller en delvis oklar uppgift kan utgöra en viktig pusselbit för socialnämndens bedömning av behovet av olika åtgärder. </w:t>
      </w:r>
    </w:p>
    <w:p w:rsidR="009C1C5A" w:rsidRPr="00896D4F" w:rsidRDefault="009C1C5A">
      <w:pPr>
        <w:pStyle w:val="Normaltindrag"/>
      </w:pPr>
      <w:r w:rsidRPr="00896D4F">
        <w:t>En inte helt okomplicerad fråga är om en myndighet skall vidarebefordra uppgifter som lämnats till myndigheten anonymt. Det är rent allmänt sett inte tillfredsställande om en myndighet medverkar till att lämna vidare felaktiga uppgifter som från början kanske har spridits i syfte att trakassera en enskild person. Något allmängiltigt svar på frågan kan inte ges. Ofta ka</w:t>
      </w:r>
      <w:r w:rsidRPr="00896D4F">
        <w:t>n det vara lämpligt att myndigheten diskuterar frågan med socialförvaltningen. Om den diskussionen förs under upprätthållande av sekretess för den enskildes ide</w:t>
      </w:r>
      <w:r w:rsidRPr="00896D4F">
        <w:t>n</w:t>
      </w:r>
      <w:r w:rsidRPr="00896D4F">
        <w:t xml:space="preserve">titet föreligger inte något hinder för myndigheten att rådfråga socialtjänsten. I tveksamma fall ankommer det ytterst på myndigheten att själv avgöra om en anmälan till socialnämnden skall göras. </w:t>
      </w:r>
    </w:p>
    <w:p w:rsidR="009C1C5A" w:rsidRPr="00896D4F" w:rsidRDefault="009C1C5A">
      <w:pPr>
        <w:pStyle w:val="Normaltindrag"/>
      </w:pPr>
      <w:r w:rsidRPr="00896D4F">
        <w:t>BO har enligt 1 § lagen (1993:335) om Barnombudsman att bevaka frågor som angår barns och ungdomars rättigheter och intressen. BO skall särskilt uppmärksa</w:t>
      </w:r>
      <w:r w:rsidRPr="00896D4F">
        <w:t>mma att lagar och andra författningar samt deras tillämpning stämmer överens med Barnkonventionen. BO skall enligt 2 § förordningen (1993:710) med instruktion för barnombudsmannen inom sitt verksamhet</w:t>
      </w:r>
      <w:r w:rsidRPr="00896D4F">
        <w:t>s</w:t>
      </w:r>
      <w:r w:rsidRPr="00896D4F">
        <w:t>område bl.a. företräda och stödja barn och ungdomar i den allmänna debatten och ta initiativ till samordning och utveckling av samhällets förebyggande insatser inom området barn och ungas säkerhet. BO skall ägna särskild up</w:t>
      </w:r>
      <w:r w:rsidRPr="00896D4F">
        <w:t>p</w:t>
      </w:r>
      <w:r w:rsidRPr="00896D4F">
        <w:t>märksamhet åt frågor som rör utsatta barn och ungdomar. Inriktningen på BO:s verksamhet</w:t>
      </w:r>
      <w:r w:rsidRPr="00896D4F">
        <w:t xml:space="preserve"> ligger således på det generella planet. Detta innebär bl.a. att BO inte skall ägna sig åt enskilda fall, dvs. hur exempelvis en konflikt skall lösas mellan en enskild och en myndighet. Inget hindrar dock att BO uttalar sig om de principer som lagstiftningen ger uttryck för. Denna inriktning inn</w:t>
      </w:r>
      <w:r w:rsidRPr="00896D4F">
        <w:t>e</w:t>
      </w:r>
      <w:r w:rsidRPr="00896D4F">
        <w:t>bär att BO inte skall fullgöra någon tillsyn eller granskning av andra myndi</w:t>
      </w:r>
      <w:r w:rsidRPr="00896D4F">
        <w:t>g</w:t>
      </w:r>
      <w:r w:rsidRPr="00896D4F">
        <w:t xml:space="preserve">heters arbete (prop. 1992/93:173 s. 11).  </w:t>
      </w:r>
    </w:p>
    <w:p w:rsidR="009C1C5A" w:rsidRPr="00896D4F" w:rsidRDefault="009C1C5A">
      <w:pPr>
        <w:pStyle w:val="Normaltindrag"/>
      </w:pPr>
      <w:r w:rsidRPr="00896D4F">
        <w:t>BO, som visserligen ägnar sig åt ”barn- och ungdomsfrågor”, handlägger således inte enskilda är</w:t>
      </w:r>
      <w:r w:rsidRPr="00896D4F">
        <w:t>enden angående barn och ungdomar. Det har därför ansetts att anmälningsplikten enligt 14 kap. 1 § andra stycket SoL (tidigare 71 § andra stycket) inte gäller för BO (se prop. 1993/94:107 s. 13 f.). Det har i stället införts en särskild bestämmelse i 3 § lagen (1993:335) om Barno</w:t>
      </w:r>
      <w:r w:rsidRPr="00896D4F">
        <w:t>m</w:t>
      </w:r>
      <w:r w:rsidRPr="00896D4F">
        <w:t>budsman där det stadgas att BO skall genast till socialnämnden anmäla om ombudsmannen i sin verksamhet får kännedom om att någon som är under 18 år misshandlas i hemmet eller om det i annat fall måste antas att socia</w:t>
      </w:r>
      <w:r w:rsidRPr="00896D4F">
        <w:t>l</w:t>
      </w:r>
      <w:r w:rsidRPr="00896D4F">
        <w:t>nämnden behöver</w:t>
      </w:r>
      <w:r w:rsidRPr="00896D4F">
        <w:t xml:space="preserve"> ingripa till en underårigs skydd. Vidare sägs att om det finns särskilda skäl får anmälan göras även i andra fall.  </w:t>
      </w:r>
    </w:p>
    <w:p w:rsidR="009C1C5A" w:rsidRPr="00896D4F" w:rsidRDefault="009C1C5A">
      <w:r w:rsidRPr="00896D4F">
        <w:t xml:space="preserve">I förarbetena till bestämmelsen anfördes bl.a. följande (prop. 1993/94:107 s. 14). </w:t>
      </w:r>
    </w:p>
    <w:p w:rsidR="009C1C5A" w:rsidRPr="00896D4F" w:rsidRDefault="009C1C5A">
      <w:pPr>
        <w:pStyle w:val="Citat"/>
      </w:pPr>
      <w:r w:rsidRPr="00896D4F">
        <w:t>Den här föreslagna anmälningsplikten skiljer sig från 71 § socialtjänstlagen främst därigenom att det krävs att det av den information som barnombud</w:t>
      </w:r>
      <w:r w:rsidRPr="00896D4F">
        <w:t>s</w:t>
      </w:r>
      <w:r w:rsidRPr="00896D4F">
        <w:t>mannen har ”måste antas” att socialnämnden behöver ingripa till en unde</w:t>
      </w:r>
      <w:r w:rsidRPr="00896D4F">
        <w:t>r</w:t>
      </w:r>
      <w:r w:rsidRPr="00896D4F">
        <w:t>årigs skydd. För att Barnombudsmannen skall vara skyldig att göra en anm</w:t>
      </w:r>
      <w:r w:rsidRPr="00896D4F">
        <w:t>ä</w:t>
      </w:r>
      <w:r w:rsidRPr="00896D4F">
        <w:t>lan krävs alltså en ganska hög grad av sannolikhet för att det behövs åtgärder från social</w:t>
      </w:r>
      <w:r w:rsidRPr="00896D4F">
        <w:softHyphen/>
        <w:t>nämndens sida. Enligt 71 § socialtjänstlagen ställs inte lika höga krav på att behov av åtgärder skall föreligga (..kännedom om något som kan innebära att..). Avsikten med socialtjänstlagens bestämmelse är att uppgiften skall utredas och bedömas av socialnämnden. Barnombudsm</w:t>
      </w:r>
      <w:r w:rsidRPr="00896D4F">
        <w:t xml:space="preserve">annen har getts ett större utrymme för en egen bedömning. </w:t>
      </w:r>
    </w:p>
    <w:p w:rsidR="009C1C5A" w:rsidRPr="00896D4F" w:rsidRDefault="009C1C5A">
      <w:pPr>
        <w:pStyle w:val="Citatindrag"/>
      </w:pPr>
      <w:r w:rsidRPr="00896D4F">
        <w:t>Barnombudsmannen bör också ha möjlighet att göra anmälan till socia</w:t>
      </w:r>
      <w:r w:rsidRPr="00896D4F">
        <w:t>l</w:t>
      </w:r>
      <w:r w:rsidRPr="00896D4F">
        <w:t>nämnden om i andra fall särskilda skäl talar för det. Det kan gälla t.ex. vissa situationer som avses i 71 § socialtjänstlagen som inte omfattas av Barno</w:t>
      </w:r>
      <w:r w:rsidRPr="00896D4F">
        <w:t>m</w:t>
      </w:r>
      <w:r w:rsidRPr="00896D4F">
        <w:t>budsmannens anmälningsskyldighet. Någon skyldighet för Bar</w:t>
      </w:r>
      <w:r w:rsidRPr="00896D4F">
        <w:t>n</w:t>
      </w:r>
      <w:r w:rsidRPr="00896D4F">
        <w:t>om</w:t>
      </w:r>
      <w:r w:rsidRPr="00896D4F">
        <w:softHyphen/>
        <w:t>buds</w:t>
      </w:r>
      <w:r w:rsidRPr="00896D4F">
        <w:softHyphen/>
        <w:t xml:space="preserve">mannen att göra anmälan i dessa fall föreligger inte. </w:t>
      </w:r>
    </w:p>
    <w:p w:rsidR="009C1C5A" w:rsidRPr="00896D4F" w:rsidRDefault="009C1C5A">
      <w:r w:rsidRPr="00896D4F">
        <w:t>Även om det inte är BO:s uppgift att utreda enskilda ärenden ligger det i s</w:t>
      </w:r>
      <w:r w:rsidRPr="00896D4F">
        <w:t>a</w:t>
      </w:r>
      <w:r w:rsidRPr="00896D4F">
        <w:t>kens natur att BO i sin verksamhet erhåller känsliga uppgifter om enskilda personer. I  7 kap. 34 § SekrL föreskrivs därför att sekretess gäller i verksa</w:t>
      </w:r>
      <w:r w:rsidRPr="00896D4F">
        <w:t>m</w:t>
      </w:r>
      <w:r w:rsidRPr="00896D4F">
        <w:t>het enligt lagen (1993:335) om Barnombudsman för uppgift om enskilds personliga förhållanden, om det inte står klart att uppgiften kan röjas utan att den enskilde eller någon honom närstående lider men. Sekretessen motsvarar den som gäller för myndig</w:t>
      </w:r>
      <w:r w:rsidRPr="00896D4F">
        <w:softHyphen/>
        <w:t>heter inom hälso- och sjukvårdens samt socia</w:t>
      </w:r>
      <w:r w:rsidRPr="00896D4F">
        <w:t>l</w:t>
      </w:r>
      <w:r w:rsidRPr="00896D4F">
        <w:t>tjänstens område (7 kap. 1 § och 4 § SekrL). Det råder sålede</w:t>
      </w:r>
      <w:r w:rsidRPr="00896D4F">
        <w:t>s en presumtion för att en uppgift om en enskilds förhållanden omfattas av sekretess. Enligt 7 kap. 34 § andra stycket SekrL hindrar emellertid sekretessen inte att Bar</w:t>
      </w:r>
      <w:r w:rsidRPr="00896D4F">
        <w:t>n</w:t>
      </w:r>
      <w:r w:rsidRPr="00896D4F">
        <w:t>ombudsmannen gör anmälan och lämnar uppgifter till socialnämnden enligt vad som föreskrivs i lagen om Barnombuds</w:t>
      </w:r>
      <w:r w:rsidRPr="00896D4F">
        <w:softHyphen/>
        <w:t xml:space="preserve">man. </w:t>
      </w:r>
    </w:p>
    <w:p w:rsidR="009C1C5A" w:rsidRPr="00896D4F" w:rsidRDefault="009C1C5A">
      <w:pPr>
        <w:pStyle w:val="Rubrik4"/>
      </w:pPr>
      <w:r w:rsidRPr="00896D4F">
        <w:t>Borde BO har gjort en anmälan till socialnämnd hösten år 2000?</w:t>
      </w:r>
    </w:p>
    <w:p w:rsidR="009C1C5A" w:rsidRPr="00896D4F" w:rsidRDefault="009C1C5A">
      <w:r w:rsidRPr="00896D4F">
        <w:t>I det första brevet som kom in till BO anfördes bl.a. följande.</w:t>
      </w:r>
    </w:p>
    <w:p w:rsidR="009C1C5A" w:rsidRPr="00896D4F" w:rsidRDefault="009C1C5A">
      <w:pPr>
        <w:pStyle w:val="Citat"/>
      </w:pPr>
      <w:r w:rsidRPr="00896D4F">
        <w:t xml:space="preserve">Vill anonymt överlämna en lista över flickor som enligt uppgiftslämnaren har könsstympats under sommaren i Somalia. </w:t>
      </w:r>
    </w:p>
    <w:p w:rsidR="009C1C5A" w:rsidRPr="00896D4F" w:rsidRDefault="009C1C5A">
      <w:pPr>
        <w:pStyle w:val="Citatindrag"/>
      </w:pPr>
      <w:r w:rsidRPr="00896D4F">
        <w:t>Jag kan inte bekräfta sanningshalten. Jag och en grupp andra personer har diskuterat hur man skall gå tillväga vid en eventuell polisanmälan. Uppgift</w:t>
      </w:r>
      <w:r w:rsidRPr="00896D4F">
        <w:t>s</w:t>
      </w:r>
      <w:r w:rsidRPr="00896D4F">
        <w:t>lämnaren är rädd för sin egen säkerhet och kan inte medverka vid en polisa</w:t>
      </w:r>
      <w:r w:rsidRPr="00896D4F">
        <w:t>n</w:t>
      </w:r>
      <w:r w:rsidRPr="00896D4F">
        <w:t xml:space="preserve">mälan. </w:t>
      </w:r>
    </w:p>
    <w:p w:rsidR="009C1C5A" w:rsidRPr="00896D4F" w:rsidRDefault="009C1C5A">
      <w:pPr>
        <w:pStyle w:val="Citat"/>
      </w:pPr>
      <w:r w:rsidRPr="00896D4F">
        <w:t>– – –</w:t>
      </w:r>
    </w:p>
    <w:p w:rsidR="009C1C5A" w:rsidRPr="00896D4F" w:rsidRDefault="009C1C5A">
      <w:pPr>
        <w:pStyle w:val="Citat"/>
      </w:pPr>
      <w:r w:rsidRPr="00896D4F">
        <w:t>Listan är en renskrivning grundad på muntlig berättelse och skriftliga uppgi</w:t>
      </w:r>
      <w:r w:rsidRPr="00896D4F">
        <w:t>f</w:t>
      </w:r>
      <w:r w:rsidRPr="00896D4F">
        <w:t>ter. Jag avser att anstränga mig för att få fram originalhandlingarna och ko</w:t>
      </w:r>
      <w:r w:rsidRPr="00896D4F">
        <w:t>m</w:t>
      </w:r>
      <w:r w:rsidRPr="00896D4F">
        <w:t xml:space="preserve">mer i så fall att skicka dem till Dig.   </w:t>
      </w:r>
    </w:p>
    <w:p w:rsidR="009C1C5A" w:rsidRPr="00896D4F" w:rsidRDefault="009C1C5A">
      <w:r w:rsidRPr="00896D4F">
        <w:t>De uppgifter som lämnades i det första brevet uppgavs i några fall vara osäkra på grund av risk för att angivna orter kunde ha missförståtts eller förväxlats. I några fall var dock uppgifterna mer preciserade. I handlingen förekom bl.a. följande (uppgifter rörande bl.a. namn på enskilda personer har här utelä</w:t>
      </w:r>
      <w:r w:rsidRPr="00896D4F">
        <w:t>m</w:t>
      </w:r>
      <w:r w:rsidRPr="00896D4F">
        <w:t xml:space="preserve">nats).  </w:t>
      </w:r>
    </w:p>
    <w:p w:rsidR="009C1C5A" w:rsidRPr="00896D4F" w:rsidRDefault="009C1C5A">
      <w:pPr>
        <w:pStyle w:val="Citat"/>
      </w:pPr>
      <w:r w:rsidRPr="00896D4F">
        <w:t>1 flicka från [X. kommun] , namn på flickan liksom namn på och adress på mamman. C:a 14 år gammal dotter till [namn, adress och telefo</w:t>
      </w:r>
      <w:r w:rsidRPr="00896D4F">
        <w:t>n</w:t>
      </w:r>
      <w:r w:rsidRPr="00896D4F">
        <w:t>nummer]</w:t>
      </w:r>
    </w:p>
    <w:p w:rsidR="009C1C5A" w:rsidRPr="00896D4F" w:rsidRDefault="009C1C5A">
      <w:pPr>
        <w:pStyle w:val="Citat"/>
      </w:pPr>
      <w:r w:rsidRPr="00896D4F">
        <w:t>1 flicka från [Y. kommun] där vi känner till mammans namn och adress och telefonnummer. Familjen är känd hos socialförvaltningen, en mångbarnsf</w:t>
      </w:r>
      <w:r w:rsidRPr="00896D4F">
        <w:t>a</w:t>
      </w:r>
      <w:r w:rsidRPr="00896D4F">
        <w:t>milj.</w:t>
      </w:r>
    </w:p>
    <w:p w:rsidR="009C1C5A" w:rsidRPr="00896D4F" w:rsidRDefault="009C1C5A">
      <w:pPr>
        <w:pStyle w:val="Citat"/>
      </w:pPr>
      <w:r w:rsidRPr="00896D4F">
        <w:t>1. 14-15årig flicka, dotter till [namn, adress och telefonnummer]</w:t>
      </w:r>
    </w:p>
    <w:p w:rsidR="009C1C5A" w:rsidRPr="00896D4F" w:rsidRDefault="009C1C5A">
      <w:pPr>
        <w:pStyle w:val="Citat"/>
      </w:pPr>
      <w:r w:rsidRPr="00896D4F">
        <w:t xml:space="preserve">2 flickor från [Z. kommun] från en och samma familj. Flickorna är äldre – – – Omskärelsen skall vara av sunna-typ. </w:t>
      </w:r>
    </w:p>
    <w:p w:rsidR="009C1C5A" w:rsidRPr="00896D4F" w:rsidRDefault="009C1C5A">
      <w:pPr>
        <w:pStyle w:val="Citat"/>
      </w:pPr>
      <w:r w:rsidRPr="00896D4F">
        <w:t xml:space="preserve">2 flickor från [W. kommun] från två familjer – – – En av familjerna är idag identifierad – – – Ett av dessa fall: 13 år gammal dotter till [namn, adress]. </w:t>
      </w:r>
    </w:p>
    <w:p w:rsidR="009C1C5A" w:rsidRPr="00896D4F" w:rsidRDefault="009C1C5A">
      <w:r w:rsidRPr="00896D4F">
        <w:t>I handlingen fanns också förslag på hur några icke identifierade familjer ka</w:t>
      </w:r>
      <w:r w:rsidRPr="00896D4F">
        <w:t>n</w:t>
      </w:r>
      <w:r w:rsidRPr="00896D4F">
        <w:t xml:space="preserve">ske skulle kunna spåras. </w:t>
      </w:r>
    </w:p>
    <w:p w:rsidR="009C1C5A" w:rsidRPr="00896D4F" w:rsidRDefault="009C1C5A">
      <w:pPr>
        <w:pStyle w:val="Normaltindrag"/>
      </w:pPr>
      <w:r w:rsidRPr="00896D4F">
        <w:t>Fråga är nu närmast om BO var skyldig att göra en anmälan till socia</w:t>
      </w:r>
      <w:r w:rsidRPr="00896D4F">
        <w:t>l</w:t>
      </w:r>
      <w:r w:rsidRPr="00896D4F">
        <w:t>nämnden på grund av innehållet i breven.</w:t>
      </w:r>
    </w:p>
    <w:p w:rsidR="009C1C5A" w:rsidRPr="00896D4F" w:rsidRDefault="009C1C5A">
      <w:pPr>
        <w:pStyle w:val="Normaltindrag"/>
      </w:pPr>
      <w:r w:rsidRPr="00896D4F">
        <w:t>Enligt den anteckning som gjordes i BO:s akt fanns det inte skäl att göra en an</w:t>
      </w:r>
      <w:r w:rsidRPr="00896D4F">
        <w:softHyphen/>
        <w:t>mälan därför att ”  BO inte har kunskap om att barnen far illa i nuläget”. I sitt remissyttrande har BO anfört att det bedömdes att barnen vid tidpunkten för anmälan till BO inte, enbart på grund av att de tidigare skulle ha kön</w:t>
      </w:r>
      <w:r w:rsidRPr="00896D4F">
        <w:t>s</w:t>
      </w:r>
      <w:r w:rsidRPr="00896D4F">
        <w:t xml:space="preserve">stympats, kunde anses fara så illa att det fanns skäl för socialtjänsten att i efterhand ingripa till deras skydd.  </w:t>
      </w:r>
    </w:p>
    <w:p w:rsidR="009C1C5A" w:rsidRPr="00896D4F" w:rsidRDefault="009C1C5A">
      <w:pPr>
        <w:pStyle w:val="Normaltindrag"/>
      </w:pPr>
      <w:r w:rsidRPr="00896D4F">
        <w:t>Om en socialnämnd får kännedom om att ett barn som vistas i Sverige skall könsstympas har socialnämnden att ingripa till den underåriges skydd. Ytterst torde det bli</w:t>
      </w:r>
      <w:r w:rsidRPr="00896D4F">
        <w:t xml:space="preserve"> aktuellt att bereda barnet vård enligt LVU. Nämnden kan i avvaktan på ett beslut om vård enligt LVU omhänderta barnet med stöd av 6 § LVU. Vid misstanke om en förestående könsstympning föreligger anmä</w:t>
      </w:r>
      <w:r w:rsidRPr="00896D4F">
        <w:t>l</w:t>
      </w:r>
      <w:r w:rsidRPr="00896D4F">
        <w:t>ningsplikt till socialnämnden enligt 14 kap. 1 § SoL. I ett sådant fall får som regel – om misstanken inte är helt försumbar – anses föreligga anmälning</w:t>
      </w:r>
      <w:r w:rsidRPr="00896D4F">
        <w:t>s</w:t>
      </w:r>
      <w:r w:rsidRPr="00896D4F">
        <w:t xml:space="preserve">plikt också för Barnombudsmannen. </w:t>
      </w:r>
    </w:p>
    <w:p w:rsidR="009C1C5A" w:rsidRPr="00896D4F" w:rsidRDefault="009C1C5A">
      <w:pPr>
        <w:pStyle w:val="Normaltindrag"/>
      </w:pPr>
      <w:r w:rsidRPr="00896D4F">
        <w:t xml:space="preserve">I förevarande fall rör det sig om den situationen att misstanke förelåg om att barn redan hade utsatts för könsstympning. </w:t>
      </w:r>
      <w:r w:rsidRPr="00896D4F">
        <w:t>Att en förälder har låtit stympa sitt barn innebär att risken för ett nytt sådant övergrepp inte föreligger för det barnet. Könsstympningen i sig leder emellertid inte sällan till svåra medicin</w:t>
      </w:r>
      <w:r w:rsidRPr="00896D4F">
        <w:t>s</w:t>
      </w:r>
      <w:r w:rsidRPr="00896D4F">
        <w:t>ka komplika</w:t>
      </w:r>
      <w:r w:rsidRPr="00896D4F">
        <w:softHyphen/>
        <w:t>tioner omedelbart efter ingreppet. Även på länge sikt kan ko</w:t>
      </w:r>
      <w:r w:rsidRPr="00896D4F">
        <w:t>m</w:t>
      </w:r>
      <w:r w:rsidRPr="00896D4F">
        <w:t>plikationer före</w:t>
      </w:r>
      <w:r w:rsidRPr="00896D4F">
        <w:softHyphen/>
        <w:t>komma. Övergreppet mot barnet kan föranleda samma behov av stödinsatser som när ett barn har utsatts för allvarlig misshandel. Om fö</w:t>
      </w:r>
      <w:r w:rsidRPr="00896D4F">
        <w:t>r</w:t>
      </w:r>
      <w:r w:rsidRPr="00896D4F">
        <w:t>äldrarna medverkat till ingreppet på barnet kan man fråga sig vilken benäge</w:t>
      </w:r>
      <w:r w:rsidRPr="00896D4F">
        <w:t>n</w:t>
      </w:r>
      <w:r w:rsidRPr="00896D4F">
        <w:t>het de har att söka</w:t>
      </w:r>
      <w:r w:rsidRPr="00896D4F">
        <w:t xml:space="preserve"> hjälp för barnet. Att en förälder har låtit genomföra en könsstympning av sitt barn kan även föranleda frågetecken när det gäller vårdnadshavarens omvårdnad om barnet i allmänhet. Mot bakgrund av det allvarliga övergrepp mot barnet som könsstymp</w:t>
      </w:r>
      <w:r w:rsidRPr="00896D4F">
        <w:softHyphen/>
        <w:t>ning innebär måste därför anses föreligga en skyldighet enligt 14 kap. 1 § andra stycket SoL att göra en anmälan till socialnämnden vid misstanke om att ett barn har könsstympats. Anmälningsplikt kan föreligga även därför att ett barn som könsstympats har syskon oc</w:t>
      </w:r>
      <w:r w:rsidRPr="00896D4F">
        <w:t>h det då finns anledning befara att syskonen kan bli utsatta för li</w:t>
      </w:r>
      <w:r w:rsidRPr="00896D4F">
        <w:t>k</w:t>
      </w:r>
      <w:r w:rsidRPr="00896D4F">
        <w:t>nande ingrepp. Dessa allmänna utgångspunkter gör sig gällande även när det gäller BO:s skyldighet att göra en anmälan. Som framgår av det tidigare a</w:t>
      </w:r>
      <w:r w:rsidRPr="00896D4F">
        <w:t>n</w:t>
      </w:r>
      <w:r w:rsidRPr="00896D4F">
        <w:t>förda skiljer sig anmälningsplikten för BO från den skyldighet, som enligt 14 kap. 1 § SoL gäller för andra myndigheter, endast på det sättet att det för att skyldighet skall inträda krävs en högre grad av sannolikhet för att det b</w:t>
      </w:r>
      <w:r w:rsidRPr="00896D4F">
        <w:t>e</w:t>
      </w:r>
      <w:r w:rsidRPr="00896D4F">
        <w:t>hövs åtgärder från socialnämnd</w:t>
      </w:r>
      <w:r w:rsidRPr="00896D4F">
        <w:softHyphen/>
        <w:t xml:space="preserve">ens sida. </w:t>
      </w:r>
    </w:p>
    <w:p w:rsidR="009C1C5A" w:rsidRPr="00896D4F" w:rsidRDefault="009C1C5A">
      <w:pPr>
        <w:pStyle w:val="Normaltindrag"/>
      </w:pPr>
      <w:r w:rsidRPr="00896D4F">
        <w:t>Jag kan konstatera at</w:t>
      </w:r>
      <w:r w:rsidRPr="00896D4F">
        <w:t>t det i och för sig måste ha varit möjligt att utifrån uppgifterna i den lista som gavs in till BO klarlägga flera av flickornas ide</w:t>
      </w:r>
      <w:r w:rsidRPr="00896D4F">
        <w:t>n</w:t>
      </w:r>
      <w:r w:rsidRPr="00896D4F">
        <w:t>titet. I ett par fall lämnades uppgifter om personer som skulle kunna kontaktas om man ville ”spåra” ytterligare några barn. Även om brevskrivaren var an</w:t>
      </w:r>
      <w:r w:rsidRPr="00896D4F">
        <w:t>o</w:t>
      </w:r>
      <w:r w:rsidRPr="00896D4F">
        <w:t xml:space="preserve">nym var de uppgifter som lämnades enligt min mening sådana att man inte utan vidare kunde lämna dem utan avseende. Å andra sidan var uppgifterna om de påstådda brotten mycket vaga. Den anonyme brevskrivaren kunde inte heller </w:t>
      </w:r>
      <w:r w:rsidRPr="00896D4F">
        <w:t>för egen del uttala sig om uppgifternas riktighet. Vid en samlad b</w:t>
      </w:r>
      <w:r w:rsidRPr="00896D4F">
        <w:t>e</w:t>
      </w:r>
      <w:r w:rsidRPr="00896D4F">
        <w:t xml:space="preserve">dömning kan jag inte finna att de uppgifter som hade lämnats till BO var sådana att BO var skyldig att göra en anmälan till socialnämnd. </w:t>
      </w:r>
    </w:p>
    <w:p w:rsidR="009C1C5A" w:rsidRPr="00896D4F" w:rsidRDefault="009C1C5A">
      <w:pPr>
        <w:pStyle w:val="Normaltindrag"/>
      </w:pPr>
      <w:r w:rsidRPr="00896D4F">
        <w:t xml:space="preserve">Som framgått tidigare </w:t>
      </w:r>
      <w:r w:rsidRPr="00896D4F">
        <w:rPr>
          <w:i/>
        </w:rPr>
        <w:t>skall</w:t>
      </w:r>
      <w:r w:rsidRPr="00896D4F">
        <w:t xml:space="preserve"> BO genast till socialnämnden anmäla om o</w:t>
      </w:r>
      <w:r w:rsidRPr="00896D4F">
        <w:t>m</w:t>
      </w:r>
      <w:r w:rsidRPr="00896D4F">
        <w:t>buds</w:t>
      </w:r>
      <w:r w:rsidRPr="00896D4F">
        <w:softHyphen/>
        <w:t>mannen i sin verksamhet får kännedom om att någon som är under 18 år miss</w:t>
      </w:r>
      <w:r w:rsidRPr="00896D4F">
        <w:softHyphen/>
        <w:t xml:space="preserve">handlas i hemmet eller om det i annat fall måste antas att socialnämnden behöver ingripa till en underårigs skydd. Härutöver </w:t>
      </w:r>
      <w:r w:rsidRPr="00896D4F">
        <w:rPr>
          <w:i/>
        </w:rPr>
        <w:t>får</w:t>
      </w:r>
      <w:r w:rsidRPr="00896D4F">
        <w:t xml:space="preserve"> BO göra en anmälan även i andra fall om det finns särskilda skäl. Bestämmelsen om möjligheten för BO att göra en anmälan om det finns särskilda skäl har kommit till för att BO skall ha möjlighet att lämna upplysningar till socialtjänsten även om det inte fö</w:t>
      </w:r>
      <w:r w:rsidRPr="00896D4F">
        <w:t>religger en anmäl</w:t>
      </w:r>
      <w:r w:rsidRPr="00896D4F">
        <w:softHyphen/>
        <w:t>ningsplikt. Lagen har utformats så att BO skall ha möjlighet att själv avgöra om en anmälan skall göras i de fall det inte föreli</w:t>
      </w:r>
      <w:r w:rsidRPr="00896D4F">
        <w:t>g</w:t>
      </w:r>
      <w:r w:rsidRPr="00896D4F">
        <w:t>ger en anmälningsplikt.</w:t>
      </w:r>
    </w:p>
    <w:p w:rsidR="009C1C5A" w:rsidRPr="00896D4F" w:rsidRDefault="009C1C5A">
      <w:pPr>
        <w:pStyle w:val="Normaltindrag"/>
      </w:pPr>
      <w:r w:rsidRPr="00896D4F">
        <w:t>Enligt det nyss anförda anser jag inte att BO hade skyldighet att göra en anmälan till socialnämnd. Det har dock inte funnits något hinder för BO att ändå göra en anmälan om BO ansett att det funnits särskilda skäl för att göra en sådan. Såvitt jag har förstått grundades också BO:s beslut att våren 2001 göra en anmälan till socialnämnd på</w:t>
      </w:r>
      <w:r w:rsidRPr="00896D4F">
        <w:t xml:space="preserve"> att det då ansågs föreligga särskilda skäl. Det kan naturligtvis ifrågasättas varför det ställningstagandet inte gjordes redan hösten år 2000; några ändrade förhållanden i sak synes inte ha tillko</w:t>
      </w:r>
      <w:r w:rsidRPr="00896D4F">
        <w:t>m</w:t>
      </w:r>
      <w:r w:rsidRPr="00896D4F">
        <w:t>mit i tiden därefter. Emellertid  grundas BO:s överväganden i denna del y</w:t>
      </w:r>
      <w:r w:rsidRPr="00896D4F">
        <w:t>t</w:t>
      </w:r>
      <w:r w:rsidRPr="00896D4F">
        <w:t>terst på sådana bedömningar som JO är återhållsam med att uttala sig om. Jag nöjer mig därför med att uttrycka en viss förvåning över att BO kommit till så olika slutsatser i anmälningsfrågan.</w:t>
      </w:r>
    </w:p>
    <w:p w:rsidR="009C1C5A" w:rsidRPr="00896D4F" w:rsidRDefault="009C1C5A">
      <w:pPr>
        <w:pStyle w:val="Normaltindrag"/>
      </w:pPr>
      <w:r w:rsidRPr="00896D4F">
        <w:t>Jag vill i sammanhanget framhålla att BO:s skyl</w:t>
      </w:r>
      <w:r w:rsidRPr="00896D4F">
        <w:t>dighet/möjlighet att göra en anmälan inte gäller anställda vid myndigheten utan själva myndigheten. Som regel får det ankomma på barnombudsmannen själv att avgöra huruvida BO skall göra en anmälan. Om en tjänsteman hos BO i sin verksamhet där erhåller en uppgift om barn som far illa får det därför anses ankomma på denne att uppmärksamma barnombudsmannen på frågan. Barnombudsma</w:t>
      </w:r>
      <w:r w:rsidRPr="00896D4F">
        <w:t>n</w:t>
      </w:r>
      <w:r w:rsidRPr="00896D4F">
        <w:t>nen har därefter att själv ta ställning till saken för myndighetens räkning (se prop. 1993/94:107 s. 15). Såvitt framgår av utrednin</w:t>
      </w:r>
      <w:r w:rsidRPr="00896D4F">
        <w:t>gen i ärendet här har det i detta hänseende funnits delvis oklara rutiner hos BO. Enligt vad som har anförts i yttrandet till JO har rutinerna efter det inträffade ändrats. Att det tidigare rått viss osäkerhet om hur anmälningar som innefattar påstående om att barn far illa skall hanteras är självfallet inte tillfredsställande. De nya rut</w:t>
      </w:r>
      <w:r w:rsidRPr="00896D4F">
        <w:t>i</w:t>
      </w:r>
      <w:r w:rsidRPr="00896D4F">
        <w:t>ner som utarbetats torde uppfylla de krav som måste ställas vad gäller han</w:t>
      </w:r>
      <w:r w:rsidRPr="00896D4F">
        <w:t>d</w:t>
      </w:r>
      <w:r w:rsidRPr="00896D4F">
        <w:t xml:space="preserve">läggningen i detta avseende. </w:t>
      </w:r>
    </w:p>
    <w:p w:rsidR="009C1C5A" w:rsidRPr="00896D4F" w:rsidRDefault="009C1C5A">
      <w:pPr>
        <w:pStyle w:val="Normaltindrag"/>
      </w:pPr>
      <w:r w:rsidRPr="00896D4F">
        <w:t>Innan jag lämnar frågan rörande BO:s anmälan till socialnämnd vill</w:t>
      </w:r>
      <w:r w:rsidRPr="00896D4F">
        <w:t xml:space="preserve"> jag  avslutningsvis beröra en uppgift som BO har lämnat i sitt remissyttrande.  </w:t>
      </w:r>
    </w:p>
    <w:p w:rsidR="009C1C5A" w:rsidRPr="00896D4F" w:rsidRDefault="009C1C5A">
      <w:pPr>
        <w:pStyle w:val="Normaltindrag"/>
      </w:pPr>
      <w:r w:rsidRPr="00896D4F">
        <w:t>Enligt den anteckning som gjordes i BO:s akt fanns det inte skäl att göra en anmälan till socialnämnd därför att ” ... BO inte har kunskap om att barnen far illa i nuläget”. BO har i sitt yttrande till JO utvecklat den bedömning som gjordes beträffande anmälningsskyldigheten. BO har då anfört att barnen vid tiden för anmälan till BO inte kunde anses fara så illa, enbart därför att de könsstympats, att socialtjänsten borde ingr</w:t>
      </w:r>
      <w:r w:rsidRPr="00896D4F">
        <w:t>ipa till deras skydd i efterhand. I remissyttrandet har vidare anförts att det ansågs att det kunde föreligga risk för att barnen skulle fara illa om de och deras föräldrar eftersöktes och fö</w:t>
      </w:r>
      <w:r w:rsidRPr="00896D4F">
        <w:t>r</w:t>
      </w:r>
      <w:r w:rsidRPr="00896D4F">
        <w:t>hördes av polis eller socialtjänst, oavsett om de blivit könsstympade eller ej.</w:t>
      </w:r>
    </w:p>
    <w:p w:rsidR="009C1C5A" w:rsidRPr="00896D4F" w:rsidRDefault="009C1C5A">
      <w:pPr>
        <w:pStyle w:val="Normaltindrag"/>
      </w:pPr>
      <w:r w:rsidRPr="00896D4F">
        <w:t xml:space="preserve">Syftet med reglerna om skyldighet att göra anmälan till socialnämnden är att värna om barns och ungdomars behov av skydd. Vilka åtgärder som skall vidtas med anledning av en anmälan ankommer det på socialnämnden att avgöra. Detta är frågor </w:t>
      </w:r>
      <w:r w:rsidRPr="00896D4F">
        <w:t>som inte skall vägas in när en myndighet bedömer om det föreligger en anmälningsplikt enligt 14 kap. 1 § andra stycket SoL. Som jag redan anfört är anmälningsskyldigheten för BO utformad på ett annat sätt än när det gäller skyldigheten att göra anmälan enligt bestämmelsen i socia</w:t>
      </w:r>
      <w:r w:rsidRPr="00896D4F">
        <w:t>l</w:t>
      </w:r>
      <w:r w:rsidRPr="00896D4F">
        <w:t xml:space="preserve">tjänstlagen. De nu redovisade allmänna principerna gäller dock även för BO. </w:t>
      </w:r>
    </w:p>
    <w:p w:rsidR="009C1C5A" w:rsidRPr="00896D4F" w:rsidRDefault="009C1C5A">
      <w:pPr>
        <w:pStyle w:val="Rubrik4"/>
      </w:pPr>
      <w:r w:rsidRPr="00896D4F">
        <w:t>Borde BO ha gjort en polisanmälan hösten år 2000?</w:t>
      </w:r>
    </w:p>
    <w:p w:rsidR="009C1C5A" w:rsidRPr="00896D4F" w:rsidRDefault="009C1C5A">
      <w:r w:rsidRPr="00896D4F">
        <w:t>Det finns inte någon skyldighet för en myndighet att underrätta polis- eller åklagarmyndighet angående en misstanke om brott utom i vissa fall som här saknar intresse. Att en myndighet inte är skyldig att göra en polisanmälan vid misstanke om brott innebär inte att en myndighet skall förhålla sig passiv i ett sådant fall. Förenklat uttryckt kan man säga att när en myndighet överväger om en polisanmälan skall göras har myndigheten att särskilt beakta brottets svårighetsgrad och hur starka misstankarna är (s</w:t>
      </w:r>
      <w:r w:rsidRPr="00896D4F">
        <w:t xml:space="preserve">e bl.a. prop. 1983/84:142 s. 28 f.). </w:t>
      </w:r>
    </w:p>
    <w:p w:rsidR="009C1C5A" w:rsidRPr="00896D4F" w:rsidRDefault="009C1C5A">
      <w:pPr>
        <w:pStyle w:val="Normaltindrag"/>
      </w:pPr>
      <w:r w:rsidRPr="00896D4F">
        <w:t>För många myndigheter gäller sekretess för uppgifter om enskilda pers</w:t>
      </w:r>
      <w:r w:rsidRPr="00896D4F">
        <w:t>o</w:t>
      </w:r>
      <w:r w:rsidRPr="00896D4F">
        <w:t>ner. Som framgått tidigare finns bestämmelsen om sekretess hos Barno</w:t>
      </w:r>
      <w:r w:rsidRPr="00896D4F">
        <w:t>m</w:t>
      </w:r>
      <w:r w:rsidRPr="00896D4F">
        <w:t>budsmannen för uppgifter som rör en enskilds personliga förhållanden i 7 kap. 34 § SekrL. På grund av sekretess kan en myndighet vara förhindrad att utan vidare lämna ut uppgifter till polisen.</w:t>
      </w:r>
    </w:p>
    <w:p w:rsidR="009C1C5A" w:rsidRPr="00896D4F" w:rsidRDefault="009C1C5A">
      <w:pPr>
        <w:pStyle w:val="Normaltindrag"/>
      </w:pPr>
      <w:r w:rsidRPr="00896D4F">
        <w:t>I sekretesslagen finns i 14 kap. 2 § fjärde och femte stycket särskilda s.k. sekretessbrytande regler vad gäller uppgifter som lämnas t.ex. till polismy</w:t>
      </w:r>
      <w:r w:rsidRPr="00896D4F">
        <w:t>n</w:t>
      </w:r>
      <w:r w:rsidRPr="00896D4F">
        <w:t xml:space="preserve">dighet. </w:t>
      </w:r>
    </w:p>
    <w:p w:rsidR="009C1C5A" w:rsidRPr="00896D4F" w:rsidRDefault="009C1C5A">
      <w:pPr>
        <w:pStyle w:val="Citat"/>
      </w:pPr>
      <w:r w:rsidRPr="00896D4F">
        <w:t>Sekretess hindrar inte att uppgift som angår misstanke om brott lämnas till åklagarmyndighet, polismyndighet eller annan myndighet som har att ingripa mot brottet, om fängelse är föreskrivet för brottet och detta kan antas föranl</w:t>
      </w:r>
      <w:r w:rsidRPr="00896D4F">
        <w:t>e</w:t>
      </w:r>
      <w:r w:rsidRPr="00896D4F">
        <w:t xml:space="preserve">da annan påföljd än böter. </w:t>
      </w:r>
    </w:p>
    <w:p w:rsidR="009C1C5A" w:rsidRPr="00896D4F" w:rsidRDefault="009C1C5A">
      <w:pPr>
        <w:pStyle w:val="Citatindrag"/>
      </w:pPr>
      <w:r w:rsidRPr="00896D4F">
        <w:t xml:space="preserve">För uppgift som omfattas av sekretess enligt 7 kap. 1–6 och </w:t>
      </w:r>
      <w:r w:rsidRPr="00896D4F">
        <w:rPr>
          <w:u w:val="single"/>
        </w:rPr>
        <w:t xml:space="preserve">34 </w:t>
      </w:r>
      <w:r w:rsidRPr="00896D4F">
        <w:t>§§ (</w:t>
      </w:r>
      <w:r w:rsidRPr="00896D4F">
        <w:rPr>
          <w:i/>
        </w:rPr>
        <w:t>JO:s markering</w:t>
      </w:r>
      <w:r w:rsidRPr="00896D4F">
        <w:t>), – – –, gäller vad som föreskrivs i fjärde stycket endast såvitt angår misstanke om brott för vilket är inte är föreskrivet lindrigare straff än fängelse i två år. Dock hindrar sekretess enligt 7 kap. 1, 4 eller 34 § inte att uppgift som angår misstanke om brott enligt 3, 4 eller 6 kap. brottsbalken mot någon som inte har fyllt arton år lämnas till åklagarmyndighet eller polismy</w:t>
      </w:r>
      <w:r w:rsidRPr="00896D4F">
        <w:t>n</w:t>
      </w:r>
      <w:r w:rsidRPr="00896D4F">
        <w:t>dighet.</w:t>
      </w:r>
    </w:p>
    <w:p w:rsidR="009C1C5A" w:rsidRPr="00896D4F" w:rsidRDefault="009C1C5A">
      <w:r w:rsidRPr="00896D4F">
        <w:t>När det gäller möjligheten att i samband med en polisanmälan röja uppgifter för vilka sekretess nor</w:t>
      </w:r>
      <w:r w:rsidRPr="00896D4F">
        <w:t xml:space="preserve">malt gäller kan jag hänvisa även till 1 kap. 5 § SekrL, 14 kap. 3 § SekrL och reglerna i brottsbalken om nöd. Det finns inte skäl att här gå in på dessa bestämmelser. </w:t>
      </w:r>
    </w:p>
    <w:p w:rsidR="009C1C5A" w:rsidRPr="00896D4F" w:rsidRDefault="009C1C5A">
      <w:pPr>
        <w:pStyle w:val="Normaltindrag"/>
      </w:pPr>
      <w:r w:rsidRPr="00896D4F">
        <w:t>BO hade fått uppgifterna om de misstänkta fallen av könsstympning i sin verksamhet. Uppgifterna rörande de berörda enskilda personerna har därför hos BO omfattats av sekretess enligt 7 kap. 34 § första stycket SekrL. Enligt bestämmelsens andra stycke hindrar sekretessen inte att BO gör en anmälan eller lämnar uppgift till socialnämnden enligt</w:t>
      </w:r>
      <w:r w:rsidRPr="00896D4F">
        <w:t xml:space="preserve"> vad som föreskrivs i lagen om Barnombudsman. Någon motsvarande bestämmelse finns inte när det gäller en s.k. brottsanmälan. För att BO i samband med en polisanmälan skall kunna röja uppgifter för vilka sekretess gäller fordras därför att det är fråga om misstanke om brott för vilket inte är föreskrivet lindrigare straff än fängelse i två år eller om brott enligt 3, 4 eller 6 kap. brottsbalken mot barn.  </w:t>
      </w:r>
    </w:p>
    <w:p w:rsidR="009C1C5A" w:rsidRPr="00896D4F" w:rsidRDefault="009C1C5A">
      <w:pPr>
        <w:pStyle w:val="Normaltindrag"/>
      </w:pPr>
      <w:r w:rsidRPr="00896D4F">
        <w:t>Den som gör sig skyldig till brott mot lagen med förbud mot könsstym</w:t>
      </w:r>
      <w:r w:rsidRPr="00896D4F">
        <w:t>p</w:t>
      </w:r>
      <w:r w:rsidRPr="00896D4F">
        <w:t>ning av kvinnor kan dömas till fängelse i högst fyra år. Om brottet är grovt är föreskrivet fängelse i minst två och högst tio år. Brottet är grovt om det har medfört livsfara, allvarlig sjukdom eller i annat fall inneburit ett synnerligen hänsynslöst beteende. Faktorer som bör påverka bedömningen av om brottet är grovt är skadans omfattning – både fysiskt och känslomässigt – kvinnans ålder vid ingreppet, hennes inställning till det, om det begåtts som ett led i en verksamhet som bedrivits i stor omfattnin</w:t>
      </w:r>
      <w:r w:rsidRPr="00896D4F">
        <w:t>g m.m. (se prop. 1981/82:172 s. 10, jfr prop. 1997/98:55 s. 136).</w:t>
      </w:r>
    </w:p>
    <w:p w:rsidR="009C1C5A" w:rsidRPr="00896D4F" w:rsidRDefault="009C1C5A">
      <w:pPr>
        <w:pStyle w:val="Normaltindrag"/>
      </w:pPr>
      <w:r w:rsidRPr="00896D4F">
        <w:t>Om brottet inte är grovt kan, enligt det ovan anförda, sekretessbelagda uppgifter lämnas ut till polismyndighet om det är fråga om misstanke om brott enligt 3, 4 eller 6 kap. brottsbalken mot barn. Brott mot lagen med fö</w:t>
      </w:r>
      <w:r w:rsidRPr="00896D4F">
        <w:t>r</w:t>
      </w:r>
      <w:r w:rsidRPr="00896D4F">
        <w:t>bud mot könsstymp</w:t>
      </w:r>
      <w:r w:rsidRPr="00896D4F">
        <w:softHyphen/>
        <w:t>ning av kvinnor finns inte med i uppräkningen i 14 kap. 2 § femte stycket andra meningen SekrL. I samband med remissbehandlingen av en inom regerings</w:t>
      </w:r>
      <w:r w:rsidRPr="00896D4F">
        <w:softHyphen/>
        <w:t>kansliet utarbetad promemoria, Könsstympning - Bortt</w:t>
      </w:r>
      <w:r w:rsidRPr="00896D4F">
        <w:t>a</w:t>
      </w:r>
      <w:r w:rsidRPr="00896D4F">
        <w:t>gande av kravet på dubbel straffbarhet (Ds 1993:3), anförde Socialstyrelsen att förbudet mot könsstympning av kvinnor regleras i en särskild lag och omfattas, med undantag för gärnings</w:t>
      </w:r>
      <w:r w:rsidRPr="00896D4F">
        <w:softHyphen/>
        <w:t xml:space="preserve">mannaskap vid misstanke om grovt brott, inte av den sekretessbrytande regeln i 14 kap. 2 § femte stycket </w:t>
      </w:r>
      <w:r w:rsidRPr="00896D4F">
        <w:t>sekre</w:t>
      </w:r>
      <w:r w:rsidRPr="00896D4F">
        <w:softHyphen/>
        <w:t>tess</w:t>
      </w:r>
      <w:r w:rsidRPr="00896D4F">
        <w:softHyphen/>
        <w:t>lagen. Socialstyrelsen ansåg därför att ett tillägg borde göras i paragrafen med innebörd att även misstanke om brott enligt lagen med förbud mot kön</w:t>
      </w:r>
      <w:r w:rsidRPr="00896D4F">
        <w:t>s</w:t>
      </w:r>
      <w:r w:rsidRPr="00896D4F">
        <w:t>stympning av kvinnor begånget mot en underårig skulle omfattas av den se</w:t>
      </w:r>
      <w:r w:rsidRPr="00896D4F">
        <w:t>k</w:t>
      </w:r>
      <w:r w:rsidRPr="00896D4F">
        <w:t>retessbrytande bestämmelsen (se prop. 1998/99:70 s. 20). Regeringen anförde med anledning härav att det i vissa fall kan föreligga sekretesshinder för pe</w:t>
      </w:r>
      <w:r w:rsidRPr="00896D4F">
        <w:t>r</w:t>
      </w:r>
      <w:r w:rsidRPr="00896D4F">
        <w:t xml:space="preserve">sonal inom hälso- och sjukvården eller socialtjänsten att anmäla misstänkt könsstympning till polis- eller åklagarmyndighet </w:t>
      </w:r>
      <w:r w:rsidRPr="00896D4F">
        <w:t>(prop. s. 12). I propositionen framhölls att regeringen har beslutat om direktiv till en utredning som skall under</w:t>
      </w:r>
      <w:r w:rsidRPr="00896D4F">
        <w:softHyphen/>
        <w:t>söka om bl.a. den s.k. tvåårsregeln i 14 kap. 2 § SekrL i några situati</w:t>
      </w:r>
      <w:r w:rsidRPr="00896D4F">
        <w:t>o</w:t>
      </w:r>
      <w:r w:rsidRPr="00896D4F">
        <w:t>ner kan leda till otillfredsställande resultat. Regeringen ansåg att det var a</w:t>
      </w:r>
      <w:r w:rsidRPr="00896D4F">
        <w:t>n</w:t>
      </w:r>
      <w:r w:rsidRPr="00896D4F">
        <w:t>geläget att frågan om sekretesshinder i de fall det inte är fråga om misstanke om grovt brott får en snabb lösning och avsåg därför att skyndsamt bereda frågan om undantag från sekretess för uppgift om misstanke vid brott mot lagen med förbud mot</w:t>
      </w:r>
      <w:r w:rsidRPr="00896D4F">
        <w:t xml:space="preserve"> köns</w:t>
      </w:r>
      <w:r w:rsidRPr="00896D4F">
        <w:softHyphen/>
        <w:t xml:space="preserve">stympning av kvinnor. </w:t>
      </w:r>
    </w:p>
    <w:p w:rsidR="009C1C5A" w:rsidRPr="00896D4F" w:rsidRDefault="009C1C5A">
      <w:pPr>
        <w:pStyle w:val="Normaltindrag"/>
      </w:pPr>
      <w:r w:rsidRPr="00896D4F">
        <w:t>Det är svårt att utifrån de uppgifter som lämnades i breven till BO avgöra om det kunde röra sig om brott av ”normalgraden” eller om det i något eller några av fallen kunde vara fråga om grovt brott. Det saknades nämligen nä</w:t>
      </w:r>
      <w:r w:rsidRPr="00896D4F">
        <w:t>r</w:t>
      </w:r>
      <w:r w:rsidRPr="00896D4F">
        <w:t>mare uppgifter om flickornas inställning till könsstympningen, huruvida i</w:t>
      </w:r>
      <w:r w:rsidRPr="00896D4F">
        <w:t>n</w:t>
      </w:r>
      <w:r w:rsidRPr="00896D4F">
        <w:t>greppen utgjorde ett led i en omfattande verksamhet eller medfört livsfara. I ett av de misstänkta fallen uppgavs dessutom att ingreppet hade varit av b</w:t>
      </w:r>
      <w:r w:rsidRPr="00896D4F">
        <w:t>e</w:t>
      </w:r>
      <w:r w:rsidRPr="00896D4F">
        <w:t>gränsad omfattning. Det kan diskuteras om enbart den omständigheten att brott riktats mot en underårig utgjorde anledning anta att brottet skulle anses som grovt. Som framgår av det förgående stycket torde uppgifter som hos BO omfattas av sekretess inte heller ha kunnat lämnas med st</w:t>
      </w:r>
      <w:r w:rsidRPr="00896D4F">
        <w:t>öd av 14 kap. 2 § femte stycket SekrL eftersom misstank</w:t>
      </w:r>
      <w:r w:rsidRPr="00896D4F">
        <w:softHyphen/>
        <w:t>arna inte rört brott enligt 3, 4 eller 6 kap. brottsbalken. Å andra sidan bör beaktas att det inte finns någon rätt</w:t>
      </w:r>
      <w:r w:rsidRPr="00896D4F">
        <w:t>s</w:t>
      </w:r>
      <w:r w:rsidRPr="00896D4F">
        <w:t>praxis som klart belyser när ett brott mot lagen med förbud mot könsstym</w:t>
      </w:r>
      <w:r w:rsidRPr="00896D4F">
        <w:t>p</w:t>
      </w:r>
      <w:r w:rsidRPr="00896D4F">
        <w:t>ning av kvinnor är grovt. Det är för övrigt alltid en grannlaga uppgift för en anmälande myndighet att avgöra vilket straff som ett brott kan föranleda. Alltför stora krav kan inte ställas på en myndighet i detta hänseende. Vidare skulle man måhända kunna hävda att e</w:t>
      </w:r>
      <w:r w:rsidRPr="00896D4F">
        <w:t>n gärning som utgör ett brott mot lagen med förbud mot könsstympning även utgör misshandel eller annat brott i 3 kap. brottsbalken. Sekretessbelagda uppgifter skulle då kunna lämnas ut till poli</w:t>
      </w:r>
      <w:r w:rsidRPr="00896D4F">
        <w:t>s</w:t>
      </w:r>
      <w:r w:rsidRPr="00896D4F">
        <w:t xml:space="preserve">myndighet om brottet har riktats mot ett barn.  </w:t>
      </w:r>
    </w:p>
    <w:p w:rsidR="009C1C5A" w:rsidRPr="00896D4F" w:rsidRDefault="009C1C5A">
      <w:pPr>
        <w:pStyle w:val="Normaltindrag"/>
      </w:pPr>
      <w:r w:rsidRPr="00896D4F">
        <w:t>Jag är för egen del tveksam till om det var möjligt för BO att vid polisa</w:t>
      </w:r>
      <w:r w:rsidRPr="00896D4F">
        <w:t>n</w:t>
      </w:r>
      <w:r w:rsidRPr="00896D4F">
        <w:t>mälan rörande de aktuella misstänkta brotten lämna ut uppgifter som hos BO omfattades av sekretess. Det finns dock utrymme för att hävda en annan ståndpunkt och BO:s uppfattning i denna del kan inte anses som uppenbart felaktig. Jag anser mig därför inte ha anledning att kritisera BO för att up</w:t>
      </w:r>
      <w:r w:rsidRPr="00896D4F">
        <w:t>p</w:t>
      </w:r>
      <w:r w:rsidRPr="00896D4F">
        <w:t>gifterna lämnades ut i samband med att en polisanmälan gjordes våren år 2001. Samtidigt kan jag på grund av min ståndpunkt i sekretessfrågan inte hävda att BO borde ha gjort en polisanmälan redan hösten år 2000. Mot</w:t>
      </w:r>
      <w:r w:rsidRPr="00896D4F">
        <w:t xml:space="preserve"> ba</w:t>
      </w:r>
      <w:r w:rsidRPr="00896D4F">
        <w:t>k</w:t>
      </w:r>
      <w:r w:rsidRPr="00896D4F">
        <w:t>grund av den bedömning som BO har gjort i sekretessfrågan framstår det likväl som förvånande att en anmälan inte gjordes i samband med att BO erhöll uppgifterna. Det ligger dock i sakens natur att det finns ett stort utry</w:t>
      </w:r>
      <w:r w:rsidRPr="00896D4F">
        <w:t>m</w:t>
      </w:r>
      <w:r w:rsidRPr="00896D4F">
        <w:t xml:space="preserve">me för olika bedömningar av huruvida en polisanmälan skall göras eller inte. Det finns inte skäl för mig att i detta fall anlägga några synpunkter på saken. </w:t>
      </w:r>
    </w:p>
    <w:p w:rsidR="009C1C5A" w:rsidRPr="00896D4F" w:rsidRDefault="009C1C5A">
      <w:pPr>
        <w:pStyle w:val="Normaltindrag"/>
      </w:pPr>
      <w:r w:rsidRPr="00896D4F">
        <w:t>Sammanfattningsvis finner jag inte anledning att rikta någon kritik mot BO när det gäller handläggningen av frågan om polisanmäl</w:t>
      </w:r>
      <w:r w:rsidRPr="00896D4F">
        <w:t xml:space="preserve">an.    </w:t>
      </w:r>
    </w:p>
    <w:p w:rsidR="009C1C5A" w:rsidRPr="00896D4F" w:rsidRDefault="009C1C5A">
      <w:pPr>
        <w:pStyle w:val="Normaltindrag"/>
      </w:pPr>
      <w:r w:rsidRPr="00896D4F">
        <w:t>Det finns starka skäl som talar för att BO inte på grund av sekretess skall vara förhindrad att polisanmäla en misstanke om att ett barn har könsstympats när brottet inte är att bedöma som grovt. I praktiken torde dessa skäl göra sig än mer gällande när det gäller myndigheter inom socialtjänstens samt hälso- och sjukvårdens område. Den osäkerhet som får anses råda rörande möjli</w:t>
      </w:r>
      <w:r w:rsidRPr="00896D4F">
        <w:t>g</w:t>
      </w:r>
      <w:r w:rsidRPr="00896D4F">
        <w:t xml:space="preserve">heten att anmäla misstanke om sådana brott är därför inte tillfredsställande. Jag tillställer Offentlighets- och sekretesskommittén en kopia av detta beslut. </w:t>
      </w:r>
    </w:p>
    <w:p w:rsidR="009C1C5A" w:rsidRPr="00896D4F" w:rsidRDefault="009C1C5A">
      <w:pPr>
        <w:pStyle w:val="Rubrik4"/>
      </w:pPr>
      <w:r w:rsidRPr="00896D4F">
        <w:t>Sammanfattning</w:t>
      </w:r>
    </w:p>
    <w:p w:rsidR="009C1C5A" w:rsidRPr="00896D4F" w:rsidRDefault="009C1C5A">
      <w:r w:rsidRPr="00896D4F">
        <w:t>BO erhöll under hösten 2000 anonyma uppgifter om att barn som var bosatta i Sverige eller hade anknytning hit eventuellt hade blivit könsstympade i S</w:t>
      </w:r>
      <w:r w:rsidRPr="00896D4F">
        <w:t>o</w:t>
      </w:r>
      <w:r w:rsidRPr="00896D4F">
        <w:t>malia sommaren år 2000. I ärendet här har aktualiserats frågor som rör om BO var skyldig att göra en anmälan till socialnämnd och polismyndighet med anledning av de anonyma uppgifterna.</w:t>
      </w:r>
    </w:p>
    <w:p w:rsidR="009C1C5A" w:rsidRPr="00896D4F" w:rsidRDefault="009C1C5A">
      <w:pPr>
        <w:pStyle w:val="Normaltindrag"/>
      </w:pPr>
      <w:r w:rsidRPr="00896D4F">
        <w:t>Enligt 3 § lagen (1993:335) om Barnombudsman skall BO genast till soc</w:t>
      </w:r>
      <w:r w:rsidRPr="00896D4F">
        <w:t>i</w:t>
      </w:r>
      <w:r w:rsidRPr="00896D4F">
        <w:t>al</w:t>
      </w:r>
      <w:r w:rsidRPr="00896D4F">
        <w:softHyphen/>
        <w:t>nämnden anmäla om ombudsmannen i sin verksamhet får kännedom om att någon som är under 18 år misshandlas i hemmet eller om det i annat fall måste antas att socialnämnden behöver ingripa till en underårigs skydd. Vid</w:t>
      </w:r>
      <w:r w:rsidRPr="00896D4F">
        <w:t>a</w:t>
      </w:r>
      <w:r w:rsidRPr="00896D4F">
        <w:t xml:space="preserve">re sägs att om det finns särskilda skäl får anmälan göras även i andra fall. </w:t>
      </w:r>
    </w:p>
    <w:p w:rsidR="009C1C5A" w:rsidRPr="00896D4F" w:rsidRDefault="009C1C5A">
      <w:pPr>
        <w:pStyle w:val="Normaltindrag"/>
      </w:pPr>
      <w:r w:rsidRPr="00896D4F">
        <w:t xml:space="preserve">Vad som kommit fram vid min granskning har inte gett vid handen att de aktuella uppgifterna var sådana att BO hade </w:t>
      </w:r>
      <w:r w:rsidRPr="00896D4F">
        <w:rPr>
          <w:i/>
        </w:rPr>
        <w:t>skyldighet</w:t>
      </w:r>
      <w:r w:rsidRPr="00896D4F">
        <w:t xml:space="preserve"> att göra en anmälan till social</w:t>
      </w:r>
      <w:r w:rsidRPr="00896D4F">
        <w:softHyphen/>
        <w:t xml:space="preserve">nämnd. Det har emellertid inte funnits något hinder för BO att ändå göra en anmälan om det fanns särskilda skäl för det. En anmälan gjordes också under våren år 2001. Såvitt jag har förstått grundades detta beslut på att BO då ansåg att det fanns särskilda skäl för att göra en anmälan. Det kan naturligtvis ifrågasättas varför det ställningstagandet inte gjordes redan hösten år 2000. Huruvida en anmälan skall göras därför att det föreligger ”särskilda skäl” grundas </w:t>
      </w:r>
      <w:r w:rsidRPr="00896D4F">
        <w:t xml:space="preserve">dock ytterst på sådana bedömningar som JO är återhållsam med att uttala sig om. Jag har inte funnit anledning att göra något undantag från den principen i detta fall.   </w:t>
      </w:r>
    </w:p>
    <w:p w:rsidR="009C1C5A" w:rsidRPr="00896D4F" w:rsidRDefault="009C1C5A">
      <w:pPr>
        <w:pStyle w:val="Normaltindrag"/>
      </w:pPr>
      <w:r w:rsidRPr="00896D4F">
        <w:t>Däremot har det vid utredningen kommit fram att det vid BO synes ha f</w:t>
      </w:r>
      <w:r w:rsidRPr="00896D4F">
        <w:t>ö</w:t>
      </w:r>
      <w:r w:rsidRPr="00896D4F">
        <w:t>re</w:t>
      </w:r>
      <w:r w:rsidRPr="00896D4F">
        <w:softHyphen/>
        <w:t>kommit oklara rutiner om vem som hos BO skall avgöra om BO skall göra en anmälan till socialnämnd. Skyldigheten/möjligheten att göra en anmälan gäller inte anställda hos BO utan själva myndigheten. Som regel får det därför ankomma på barnombudsmannen själv att ta ställning i frågan. Enligt vad som har anförts i yttrandet till JO har rutinerna efter det inträffade ändrats. Att det tidigare rått viss osäkerhet om hur anmälningar, som innefattar påstående om att barn far illa, skall hanteras är självfallet</w:t>
      </w:r>
      <w:r w:rsidRPr="00896D4F">
        <w:t xml:space="preserve"> inte tillfredsställande. De nya rutiner som utarbetats torde uppfylla de krav som bör ställas på handläg</w:t>
      </w:r>
      <w:r w:rsidRPr="00896D4F">
        <w:t>g</w:t>
      </w:r>
      <w:r w:rsidRPr="00896D4F">
        <w:t xml:space="preserve">ningen i detta avseende. </w:t>
      </w:r>
    </w:p>
    <w:p w:rsidR="009C1C5A" w:rsidRPr="00896D4F" w:rsidRDefault="009C1C5A">
      <w:pPr>
        <w:pStyle w:val="Normaltindrag"/>
      </w:pPr>
      <w:r w:rsidRPr="00896D4F">
        <w:t>Jag har inte funnit anledning att rikta någon kritik mot BO när det gäller hand</w:t>
      </w:r>
      <w:r w:rsidRPr="00896D4F">
        <w:softHyphen/>
        <w:t>läggningen av frågan om polisanmälan. Vid bedömningen i denna del har jag emellertid funnit skäl att något beröra den osäkerhet som synes råda vad gäller tillämpningen av en av de s.k. sekretessbrytande bestämmelserna i sekretess</w:t>
      </w:r>
      <w:r w:rsidRPr="00896D4F">
        <w:softHyphen/>
        <w:t>lagen. Det finns anledning att tillställa Offentlighets- och sekretess</w:t>
      </w:r>
      <w:r w:rsidRPr="00896D4F">
        <w:softHyphen/>
        <w:t>kommittén (Ju 1999:06) en kopia av detta beslut.</w:t>
      </w:r>
    </w:p>
    <w:p w:rsidR="009C1C5A" w:rsidRPr="00896D4F" w:rsidRDefault="009C1C5A">
      <w:pPr>
        <w:pStyle w:val="Rubrik2"/>
      </w:pPr>
      <w:r w:rsidRPr="00896D4F">
        <w:t>Initiativärende mot Statens ansvarsnämnd beträffande grunderna för ett beslut om avstängning av en kammaråklagare från arbetet</w:t>
      </w:r>
    </w:p>
    <w:p w:rsidR="009C1C5A" w:rsidRPr="00896D4F" w:rsidRDefault="009C1C5A">
      <w:pPr>
        <w:spacing w:before="0"/>
      </w:pPr>
      <w:r w:rsidRPr="00896D4F">
        <w:t>(Dnr 2540-2001)</w:t>
      </w:r>
    </w:p>
    <w:p w:rsidR="009C1C5A" w:rsidRPr="00896D4F" w:rsidRDefault="009C1C5A">
      <w:pPr>
        <w:pStyle w:val="Rubrik3"/>
      </w:pPr>
      <w:r w:rsidRPr="00896D4F">
        <w:t>Initiativet</w:t>
      </w:r>
    </w:p>
    <w:p w:rsidR="009C1C5A" w:rsidRPr="00896D4F" w:rsidRDefault="009C1C5A">
      <w:r w:rsidRPr="00896D4F">
        <w:t>I en promemoria som den 6 juli 2001 upprättats hos ombudsmannaexpediti</w:t>
      </w:r>
      <w:r w:rsidRPr="00896D4F">
        <w:t>o</w:t>
      </w:r>
      <w:r w:rsidRPr="00896D4F">
        <w:t>nen anfördes följande.</w:t>
      </w:r>
    </w:p>
    <w:p w:rsidR="009C1C5A" w:rsidRPr="00896D4F" w:rsidRDefault="009C1C5A">
      <w:pPr>
        <w:pStyle w:val="Citat"/>
      </w:pPr>
      <w:r w:rsidRPr="00896D4F">
        <w:t>Statens ansvarsnämnd beslutade den 6 juni 2001 (protokoll 2001:6) att L.B. med omedelbar verkan skulle vara avstängd från arbetet som kammaråklag</w:t>
      </w:r>
      <w:r w:rsidRPr="00896D4F">
        <w:t>a</w:t>
      </w:r>
      <w:r w:rsidRPr="00896D4F">
        <w:t>re. Beslutet skulle gälla till dess att nämnden prövat frågan om avskedande eller beslutat något annat. Av skälen för beslutet framgår att L.B. är misstänkt för allvarlig brottslighet.</w:t>
      </w:r>
    </w:p>
    <w:p w:rsidR="009C1C5A" w:rsidRPr="00896D4F" w:rsidRDefault="009C1C5A">
      <w:pPr>
        <w:pStyle w:val="Citatindrag"/>
      </w:pPr>
      <w:r w:rsidRPr="00896D4F">
        <w:t>I 1 § förordningen (1988:1102) med instruktion för Statens ansvarsnämnd föreskrivs att nämnden har de uppgifter som framgår av 34 § lagen (1994:260) om offentlig anställning, LOA, och 15 § lagen (1994:261) om fullmaktsanställning.</w:t>
      </w:r>
    </w:p>
    <w:p w:rsidR="009C1C5A" w:rsidRPr="00896D4F" w:rsidRDefault="009C1C5A">
      <w:pPr>
        <w:pStyle w:val="Citatindrag"/>
      </w:pPr>
      <w:r w:rsidRPr="00896D4F">
        <w:t>Enligt 34 § första stycket LOA beslutar Statens ansvarsnämnd i frågor om disciplinansvar, åtalsanmälan och avskedande, när det gäller arbetstagare som anställs av regeringen. Regeringen får enligt andra stycket föreskriva att nämnden skall besluta i sådana frågor också när det gäller andra arbetstagare.</w:t>
      </w:r>
    </w:p>
    <w:p w:rsidR="009C1C5A" w:rsidRPr="00896D4F" w:rsidRDefault="009C1C5A">
      <w:pPr>
        <w:pStyle w:val="Citatindrag"/>
      </w:pPr>
      <w:r w:rsidRPr="00896D4F">
        <w:t>Enligt 15 § första stycket lagen om fullmaktsanställning beslutar Statens ansvarsnämnd i frågor om avskedande, avstängning och läkarundersökning när det gäller ordinarie domare samt andra arbetstagare som regeringen b</w:t>
      </w:r>
      <w:r w:rsidRPr="00896D4F">
        <w:t>e</w:t>
      </w:r>
      <w:r w:rsidRPr="00896D4F">
        <w:t>stämmer. Enligt andra stycket nämnda lag gäller första stycket inte justiti</w:t>
      </w:r>
      <w:r w:rsidRPr="00896D4F">
        <w:t>e</w:t>
      </w:r>
      <w:r w:rsidRPr="00896D4F">
        <w:t>kanslern, justitieråd och regeringsråd.</w:t>
      </w:r>
    </w:p>
    <w:p w:rsidR="009C1C5A" w:rsidRPr="00896D4F" w:rsidRDefault="009C1C5A">
      <w:pPr>
        <w:pStyle w:val="Citatindrag"/>
      </w:pPr>
      <w:r w:rsidRPr="00896D4F">
        <w:t>Av 28 § åklagarförordningen (1996:205) framgår att frågor som avses i 34 § LOA prövas av Statens ansvarsnämnd beträffande åklagare samt att anm</w:t>
      </w:r>
      <w:r w:rsidRPr="00896D4F">
        <w:t>ä</w:t>
      </w:r>
      <w:r w:rsidRPr="00896D4F">
        <w:t>lan till nämnden görs av Riksåklagaren.</w:t>
      </w:r>
    </w:p>
    <w:p w:rsidR="009C1C5A" w:rsidRPr="00896D4F" w:rsidRDefault="009C1C5A">
      <w:pPr>
        <w:pStyle w:val="Citatindrag"/>
      </w:pPr>
      <w:r w:rsidRPr="00896D4F">
        <w:t>I 15 § första stycket anställningsförordningen (1994:373) föreskrivs fö</w:t>
      </w:r>
      <w:r w:rsidRPr="00896D4F">
        <w:t>l</w:t>
      </w:r>
      <w:r w:rsidRPr="00896D4F">
        <w:t>jande. Om det uppkommer en fråga om disciplinansvar, åtalsanmälan eller avskedande som skall prövas av Statens ansvarsnämnd, skall detta genast anmälas till nämnden. Detsamma gäller i fråga om avstängning och läkaru</w:t>
      </w:r>
      <w:r w:rsidRPr="00896D4F">
        <w:t>n</w:t>
      </w:r>
      <w:r w:rsidRPr="00896D4F">
        <w:t>dersökning enligt lagen om fullmaktsanställning.</w:t>
      </w:r>
    </w:p>
    <w:p w:rsidR="009C1C5A" w:rsidRPr="00896D4F" w:rsidRDefault="009C1C5A">
      <w:pPr>
        <w:pStyle w:val="Citatindrag"/>
      </w:pPr>
      <w:r w:rsidRPr="00896D4F">
        <w:t xml:space="preserve">Enligt 18 § första stycket lagen (1982:80) om anställningsskydd, LAS, får avskedande ske, om arbetstagaren grovt har åsidosatt sina åligganden mot arbetsgivaren. Genom avskedandet kan arbetsgivaren enligt 4 § fjärde stycket avbryta anställningen </w:t>
      </w:r>
      <w:r w:rsidRPr="00896D4F">
        <w:t>med omedelbar verkan. Arbetsgivaren är i sådant fall oförhindrad att stänga av arbetstagaren från arbetet under den tid som fordras för att överläggning skall ske (se Lunning, Anställning</w:t>
      </w:r>
      <w:r w:rsidRPr="00896D4F">
        <w:t>s</w:t>
      </w:r>
      <w:r w:rsidRPr="00896D4F">
        <w:t>skydd, 1984 s. 326).</w:t>
      </w:r>
    </w:p>
    <w:p w:rsidR="009C1C5A" w:rsidRPr="00896D4F" w:rsidRDefault="009C1C5A">
      <w:pPr>
        <w:pStyle w:val="Citatindrag"/>
      </w:pPr>
      <w:r w:rsidRPr="00896D4F">
        <w:t>Bestämmelser rörande tvister om giltigheten av uppsägningar eller avsk</w:t>
      </w:r>
      <w:r w:rsidRPr="00896D4F">
        <w:t>e</w:t>
      </w:r>
      <w:r w:rsidRPr="00896D4F">
        <w:t>danden m.m. finns i 34–37 §§ LAS. Enligt 34 § andra stycket, andra menin</w:t>
      </w:r>
      <w:r w:rsidRPr="00896D4F">
        <w:t>g</w:t>
      </w:r>
      <w:r w:rsidRPr="00896D4F">
        <w:t>en får en arbetstagare inte avstängas från arbete på grund av de omständigh</w:t>
      </w:r>
      <w:r w:rsidRPr="00896D4F">
        <w:t>e</w:t>
      </w:r>
      <w:r w:rsidRPr="00896D4F">
        <w:t>ter som har föranlett en uppsägning annat än om det finns särskilda skäl. E</w:t>
      </w:r>
      <w:r w:rsidRPr="00896D4F">
        <w:t>n</w:t>
      </w:r>
      <w:r w:rsidRPr="00896D4F">
        <w:t>ligt sista stycket samma paragraf kan en domstol för tiden intill det slutliga avgörandet besluta bl.a. att en pågående avstän</w:t>
      </w:r>
      <w:r w:rsidRPr="00896D4F">
        <w:t>g</w:t>
      </w:r>
      <w:r w:rsidRPr="00896D4F">
        <w:t>ning skall upphöra.</w:t>
      </w:r>
    </w:p>
    <w:p w:rsidR="009C1C5A" w:rsidRPr="00896D4F" w:rsidRDefault="009C1C5A">
      <w:pPr>
        <w:pStyle w:val="Citatindrag"/>
      </w:pPr>
      <w:r w:rsidRPr="00896D4F">
        <w:t>1994 års LOA ersatte den 1 juli 1994 den tidigare lagen från år 1976 (SFS 1994:260, prop. 1993/94:65, bet. 1993/94:AU16).</w:t>
      </w:r>
    </w:p>
    <w:p w:rsidR="009C1C5A" w:rsidRPr="00896D4F" w:rsidRDefault="009C1C5A">
      <w:pPr>
        <w:pStyle w:val="Citatindrag"/>
      </w:pPr>
      <w:r w:rsidRPr="00896D4F">
        <w:t>I 13 kap. 1976 års LOA fanns bestämmelser om bl.a. avstängning vid up</w:t>
      </w:r>
      <w:r w:rsidRPr="00896D4F">
        <w:t>p</w:t>
      </w:r>
      <w:r w:rsidRPr="00896D4F">
        <w:t>sägning och avsked</w:t>
      </w:r>
      <w:r w:rsidRPr="00896D4F">
        <w:softHyphen/>
        <w:t>ande. Reglerna om avstängning i LOA skiljde sig från reglerna i LAS på det sättet att medan det i LOA angavs när avstängning fick ske det i LAS sades när avstängning inte får ske. Se LOA-utredningens b</w:t>
      </w:r>
      <w:r w:rsidRPr="00896D4F">
        <w:t>e</w:t>
      </w:r>
      <w:r w:rsidRPr="00896D4F">
        <w:t>tänkande (SOU 1992:60) Enklare regler för statsanställda s. 229 f.</w:t>
      </w:r>
    </w:p>
    <w:p w:rsidR="009C1C5A" w:rsidRPr="00896D4F" w:rsidRDefault="009C1C5A">
      <w:pPr>
        <w:pStyle w:val="Citatindrag"/>
      </w:pPr>
      <w:r w:rsidRPr="00896D4F">
        <w:t>Enligt 1976 års LOA (13 kap. 1 §) fick en arbetstagare avstängas från a</w:t>
      </w:r>
      <w:r w:rsidRPr="00896D4F">
        <w:t>r</w:t>
      </w:r>
      <w:r w:rsidRPr="00896D4F">
        <w:t>betet i två fall. Det ena fallet var om det inleddes ett förfarande som syftade till att avskeda arbetstagaren. Det andra fallet var om arbetstagaren hade b</w:t>
      </w:r>
      <w:r w:rsidRPr="00896D4F">
        <w:t>e</w:t>
      </w:r>
      <w:r w:rsidRPr="00896D4F">
        <w:t>gått brott. – Om det i det sistnämnda fallet vidtogs en åtgärd för att anställa åtal mot arbetstagaren fick han avstängas från arbetet, om gärningen i fråga kunde antas medföra uppsägning eller avskedande.</w:t>
      </w:r>
    </w:p>
    <w:p w:rsidR="009C1C5A" w:rsidRPr="00896D4F" w:rsidRDefault="009C1C5A">
      <w:pPr>
        <w:pStyle w:val="Citatindrag"/>
      </w:pPr>
      <w:r w:rsidRPr="00896D4F">
        <w:t>Reglerna i 1976 års LOA om avstängning vid uppsägning eller upphörande av anställning fördes inte över till den nya lagen. Motivet härför angavs var</w:t>
      </w:r>
      <w:r w:rsidRPr="00896D4F">
        <w:t>a intresset av att samma regler i fråga om avstängning skulle gälla över hela arbetsmarknaden.</w:t>
      </w:r>
    </w:p>
    <w:p w:rsidR="009C1C5A" w:rsidRPr="00896D4F" w:rsidRDefault="009C1C5A">
      <w:pPr>
        <w:pStyle w:val="Citatindrag"/>
      </w:pPr>
      <w:r w:rsidRPr="00896D4F">
        <w:t>I förarbetena till den nya lagen (prop. s. 99) uttalade departementschefen bl.a. följande.</w:t>
      </w:r>
    </w:p>
    <w:p w:rsidR="009C1C5A" w:rsidRPr="00896D4F" w:rsidRDefault="009C1C5A">
      <w:pPr>
        <w:pStyle w:val="Citatindrag"/>
        <w:spacing w:before="125"/>
        <w:ind w:left="425" w:firstLine="1"/>
      </w:pPr>
      <w:r w:rsidRPr="00896D4F">
        <w:t>I likhet med vad som gäller i andra anställningsförhållanden behövs det inom det statliga området en möjlighet att snabbt ställa en arbetstagare åt sidan. Är det fråga om en akut nödsituation, anses det enligt praxis att arbetsgivaren kan försätta arbetstagaren ur tjänstgöring (jfr avsnitt 9.9). Denna rätt grundar sig på arbetsgivarens arbetsledningsrätt samt all</w:t>
      </w:r>
      <w:r w:rsidRPr="00896D4F">
        <w:softHyphen/>
        <w:t>männa rättsgrundsatser om nöd. Är det i stället ett led i en uppsägnings- eller avskedande</w:t>
      </w:r>
      <w:r w:rsidRPr="00896D4F">
        <w:softHyphen/>
        <w:t>situation, kan arbetsgivaren på grund av det system som jag i övrigt förordar använda sig av reglerna om avstän</w:t>
      </w:r>
      <w:r w:rsidRPr="00896D4F">
        <w:t>g</w:t>
      </w:r>
      <w:r w:rsidRPr="00896D4F">
        <w:t>ning i LAS.</w:t>
      </w:r>
    </w:p>
    <w:p w:rsidR="009C1C5A" w:rsidRPr="00896D4F" w:rsidRDefault="009C1C5A">
      <w:pPr>
        <w:pStyle w:val="Citatindrag"/>
        <w:ind w:left="425"/>
      </w:pPr>
      <w:r w:rsidRPr="00896D4F">
        <w:t>Lika litet som LOA-utredningen kan jag finna att institutet försätta</w:t>
      </w:r>
      <w:r w:rsidRPr="00896D4F">
        <w:t>n</w:t>
      </w:r>
      <w:r w:rsidRPr="00896D4F">
        <w:t>de ur tjänstgöring behöver ändras eller författningsregleras (huvudb</w:t>
      </w:r>
      <w:r w:rsidRPr="00896D4F">
        <w:t>e</w:t>
      </w:r>
      <w:r w:rsidRPr="00896D4F">
        <w:t>tänka</w:t>
      </w:r>
      <w:r w:rsidRPr="00896D4F">
        <w:t>n</w:t>
      </w:r>
      <w:r w:rsidRPr="00896D4F">
        <w:t>det s. 175, 180 och 181).</w:t>
      </w:r>
    </w:p>
    <w:p w:rsidR="009C1C5A" w:rsidRPr="00896D4F" w:rsidRDefault="009C1C5A">
      <w:pPr>
        <w:pStyle w:val="Citat"/>
      </w:pPr>
      <w:r w:rsidRPr="00896D4F">
        <w:t>Samtidigt med 1994 års LOA antogs lagen (1994:261) om fullmaktsanstäl</w:t>
      </w:r>
      <w:r w:rsidRPr="00896D4F">
        <w:t>l</w:t>
      </w:r>
      <w:r w:rsidRPr="00896D4F">
        <w:t>ning. Sådana arbetstagare som är anställda med fullmakt får enligt 10 § den lagen avstängas från arbetet bl.a. om ett förfarande inleds som syftar till att arbetstagaren skall avskedas samt om en åtgärd vidtas för att åtal skall väckas mot honom för en gärning som kan antas medföra a</w:t>
      </w:r>
      <w:r w:rsidRPr="00896D4F">
        <w:t>v</w:t>
      </w:r>
      <w:r w:rsidRPr="00896D4F">
        <w:t>skedande.</w:t>
      </w:r>
    </w:p>
    <w:p w:rsidR="009C1C5A" w:rsidRPr="00896D4F" w:rsidRDefault="009C1C5A">
      <w:pPr>
        <w:pStyle w:val="Citatindrag"/>
      </w:pPr>
      <w:r w:rsidRPr="00896D4F">
        <w:t>Anledningen till att det när det gäller ordinarie domare och andra ful</w:t>
      </w:r>
      <w:r w:rsidRPr="00896D4F">
        <w:t>l</w:t>
      </w:r>
      <w:r w:rsidRPr="00896D4F">
        <w:t>maktsanställda har införts en uttrycklig regel om möjlighet till avstängning är främst att det i 11 kap. 5 § andra stycket regeringsformen föreskrivs att en ordinarie domare skall kunna påkalla domstols prövning av ett beslut om avstängning (prop. 1993/94:65 s. 142).</w:t>
      </w:r>
    </w:p>
    <w:p w:rsidR="009C1C5A" w:rsidRPr="00896D4F" w:rsidRDefault="009C1C5A">
      <w:pPr>
        <w:pStyle w:val="Citatindrag"/>
      </w:pPr>
      <w:r w:rsidRPr="00896D4F">
        <w:t>I förarbetena till 1994 års LOA påpekas i författningskommentaren till 34 § (prop. s. 132) att det i nya LOA inte finns några särskilda regler om avstängning, vilket innebär att reglerna i LAS skall tillämpas. Den som har att besluta om avsked</w:t>
      </w:r>
      <w:r w:rsidRPr="00896D4F">
        <w:t>ande med stöd av LAS har därför enligt kommentaren också att pröva frågan om avstängning. Om det är Statens ansvarsnämnd som har rätt att i sådana fall besluta om avskedande, är nämnden också behörig att besluta om avstängning.</w:t>
      </w:r>
    </w:p>
    <w:p w:rsidR="009C1C5A" w:rsidRPr="00896D4F" w:rsidRDefault="009C1C5A">
      <w:pPr>
        <w:pStyle w:val="Citatindrag"/>
      </w:pPr>
      <w:r w:rsidRPr="00896D4F">
        <w:t>Av förarbetsuttalandena till LOA framgår som nämnts att avsikten varit att samma regler i fråga om avstängning skall gälla över hela arbetsmarknaden. För den statliga delen av arbetsmarknaden har man inte ansett sig behöva några regler utöver reglerna i LAS och i fullmaktslagen.</w:t>
      </w:r>
    </w:p>
    <w:p w:rsidR="009C1C5A" w:rsidRPr="00896D4F" w:rsidRDefault="009C1C5A">
      <w:pPr>
        <w:pStyle w:val="Citatindrag"/>
      </w:pPr>
      <w:r w:rsidRPr="00896D4F">
        <w:t>Vad som sägs i 34 § LAS om avstängning gäller förhållandena vid rege</w:t>
      </w:r>
      <w:r w:rsidRPr="00896D4F">
        <w:t>l</w:t>
      </w:r>
      <w:r w:rsidRPr="00896D4F">
        <w:t>rätt uppsägning och synes ej omedelbart tillämpligt i en sådan situation som Statens ansvarsnämnd hade att pröva i beslutet den 6 juni 2001.</w:t>
      </w:r>
    </w:p>
    <w:p w:rsidR="009C1C5A" w:rsidRPr="00896D4F" w:rsidRDefault="009C1C5A">
      <w:pPr>
        <w:pStyle w:val="Citatindrag"/>
      </w:pPr>
      <w:r w:rsidRPr="00896D4F">
        <w:t>Beslutet om avstängning av L.B. synes inte ha stöd av någon uttrycklig b</w:t>
      </w:r>
      <w:r w:rsidRPr="00896D4F">
        <w:t>e</w:t>
      </w:r>
      <w:r w:rsidRPr="00896D4F">
        <w:t>stämmelse i lag.</w:t>
      </w:r>
    </w:p>
    <w:p w:rsidR="009C1C5A" w:rsidRPr="00896D4F" w:rsidRDefault="009C1C5A">
      <w:pPr>
        <w:pStyle w:val="Citatindrag"/>
      </w:pPr>
      <w:r w:rsidRPr="00896D4F">
        <w:t>Mot bakgrunden av det sagda bör yttrande inhämtas från Statens ansvar</w:t>
      </w:r>
      <w:r w:rsidRPr="00896D4F">
        <w:t>s</w:t>
      </w:r>
      <w:r w:rsidRPr="00896D4F">
        <w:t>nämnd rörande grunderna för nämndens beslut.</w:t>
      </w:r>
    </w:p>
    <w:p w:rsidR="009C1C5A" w:rsidRPr="00896D4F" w:rsidRDefault="009C1C5A">
      <w:pPr>
        <w:pStyle w:val="Rubrik3"/>
      </w:pPr>
      <w:r w:rsidRPr="00896D4F">
        <w:t>Utredning</w:t>
      </w:r>
    </w:p>
    <w:p w:rsidR="009C1C5A" w:rsidRPr="00896D4F" w:rsidRDefault="009C1C5A">
      <w:r w:rsidRPr="00896D4F">
        <w:t>Statens ansvarsnämnd uttalade i sitt remissyttrande följande.</w:t>
      </w:r>
    </w:p>
    <w:p w:rsidR="009C1C5A" w:rsidRPr="00896D4F" w:rsidRDefault="009C1C5A">
      <w:pPr>
        <w:pStyle w:val="Rubrik3"/>
      </w:pPr>
      <w:r w:rsidRPr="00896D4F">
        <w:t>Tidigare lagstiftning om avstängning av en offentligt anställd vid tilltänkt avskedande</w:t>
      </w:r>
    </w:p>
    <w:p w:rsidR="009C1C5A" w:rsidRPr="00896D4F" w:rsidRDefault="009C1C5A">
      <w:pPr>
        <w:pStyle w:val="Citat"/>
      </w:pPr>
      <w:r w:rsidRPr="00896D4F">
        <w:t xml:space="preserve">Lagen (1976:600) om offentlig anställning (äldre LOA) upphävdes i samband med att lagen (1994:260) om offentlig anställning (nya LOA) och lagen (1994:261) om fullmaktsanställning trädde i kraft den 1 juli 1994. Äldre LOA omfattade i allt väsentligt samma kategorier av anställda som nu omfattas av nya LOA och lagen om fullmaktsanställning. </w:t>
      </w:r>
    </w:p>
    <w:p w:rsidR="009C1C5A" w:rsidRPr="00896D4F" w:rsidRDefault="009C1C5A">
      <w:pPr>
        <w:pStyle w:val="Citatindrag"/>
      </w:pPr>
      <w:r w:rsidRPr="00896D4F">
        <w:t>Enligt 13 kap. 1 § äldre LOA, i paragrafens lydelse närmast före lagens upphävande (SFS 1986:50), gällde att – om det enligt denna lag inleddes ett förfarande, som syftade till att avskeda en arbetstagare, eller om det vidtogs en åtgärd för att anställa åtal mot honom och gärningen i fråga kunde antas medföra uppsägning eller avskedande – arbetstagaren fick avstängas från arbetet. Enligt paragrafen gällde sådan avstängning längst till dess att anstäl</w:t>
      </w:r>
      <w:r w:rsidRPr="00896D4F">
        <w:t>l</w:t>
      </w:r>
      <w:r w:rsidRPr="00896D4F">
        <w:t xml:space="preserve">ningen upphörde. </w:t>
      </w:r>
    </w:p>
    <w:p w:rsidR="009C1C5A" w:rsidRPr="00896D4F" w:rsidRDefault="009C1C5A">
      <w:pPr>
        <w:pStyle w:val="Citatindrag"/>
      </w:pPr>
      <w:r w:rsidRPr="00896D4F">
        <w:t>Den nämnda regleringen vilade på tanken att det skulle finnas möjlighet att, på grund av brott eller fel i tjänsten, i administrativ ordning avstänga en tjänsteman från arbetet redan innan den slutliga påföljden för brottet eller felet kunde bestämmas. Syftet med denna ordning var att skydda tjänsten från befattningshavare som, genom vad de låtit komma sig till last, var olämpliga för den tjänst som de innehade eller utövade. Avstängning i avskedandefallet ansågs emellertid vara en så ing</w:t>
      </w:r>
      <w:r w:rsidRPr="00896D4F">
        <w:t>ripande åtgärd att den borde kunna användas endast i mycket allvarliga fall då vederbörande inte kunde behållas i tjänst i avvaktan på beslut om hans avskedande. En annan sak var att det måste stå en myndighet fritt att tillfälligt förhindra en tjänsteman att fullgöra sina åligga</w:t>
      </w:r>
      <w:r w:rsidRPr="00896D4F">
        <w:t>n</w:t>
      </w:r>
      <w:r w:rsidRPr="00896D4F">
        <w:t>den, om detta kräv</w:t>
      </w:r>
      <w:r w:rsidRPr="00896D4F">
        <w:softHyphen/>
        <w:t>des för att undvika fara eller för att upprätthålla ordning i tjänsten. Ett sådant ingripande ansågs kunna och böra ske i annan ordning än genom beslut om avstängning från arbetet. (Se prop. 1965:60 s. 190, 1975:</w:t>
      </w:r>
      <w:r w:rsidRPr="00896D4F">
        <w:t>78 s. 199, 1975/76:105 bil. 2 s. 260, 1984/85:117 s. 24. Angående skillnaden mellan avstängning och s.k. försättande ur tjänstgöring, se särskilt Arbet</w:t>
      </w:r>
      <w:r w:rsidRPr="00896D4F">
        <w:t>s</w:t>
      </w:r>
      <w:r w:rsidRPr="00896D4F">
        <w:t>domstolens resone</w:t>
      </w:r>
      <w:r w:rsidRPr="00896D4F">
        <w:softHyphen/>
        <w:t>mang i rättsfallet AD 75/1985.)</w:t>
      </w:r>
    </w:p>
    <w:p w:rsidR="009C1C5A" w:rsidRPr="00896D4F" w:rsidRDefault="009C1C5A">
      <w:pPr>
        <w:pStyle w:val="Citatindrag"/>
      </w:pPr>
      <w:r w:rsidRPr="00896D4F">
        <w:t>Den nämnda regleringen, som var gemensam för de kategorier av anställda som numera omfattas enbart av nya LOA eller även lagen om fullmaktsa</w:t>
      </w:r>
      <w:r w:rsidRPr="00896D4F">
        <w:t>n</w:t>
      </w:r>
      <w:r w:rsidRPr="00896D4F">
        <w:t>ställda, gällde således omedelbart före ikraftträdandet av dessa lagar. Vidare gällde enligt 14 kap. 6 § äldre LOA att, om en åtgärd hade vidta</w:t>
      </w:r>
      <w:r w:rsidRPr="00896D4F">
        <w:softHyphen/>
        <w:t>gits för att anställa åtal mot en arbetstagare, ett ärende om uppsägning eller avskedande på grund av gärningen i fråga inte fick avgöras förrän ansvarsfrågan hade prövats slutligt.</w:t>
      </w:r>
    </w:p>
    <w:p w:rsidR="009C1C5A" w:rsidRPr="00896D4F" w:rsidRDefault="009C1C5A">
      <w:pPr>
        <w:pStyle w:val="Rubrik3"/>
      </w:pPr>
      <w:r w:rsidRPr="00896D4F">
        <w:t>Nuvarande lagstiftning om avstängning av en offentligt anställd vid til</w:t>
      </w:r>
      <w:r w:rsidRPr="00896D4F">
        <w:t>l</w:t>
      </w:r>
      <w:r w:rsidRPr="00896D4F">
        <w:t xml:space="preserve">tänkt avskedande </w:t>
      </w:r>
    </w:p>
    <w:p w:rsidR="009C1C5A" w:rsidRPr="00896D4F" w:rsidRDefault="009C1C5A">
      <w:pPr>
        <w:pStyle w:val="Rubrik4"/>
        <w:spacing w:before="125"/>
      </w:pPr>
      <w:r w:rsidRPr="00896D4F">
        <w:t>Nya LOA och lagen om fullmaktsanställning</w:t>
      </w:r>
    </w:p>
    <w:p w:rsidR="009C1C5A" w:rsidRPr="00896D4F" w:rsidRDefault="009C1C5A">
      <w:pPr>
        <w:pStyle w:val="Citat"/>
      </w:pPr>
      <w:r w:rsidRPr="00896D4F">
        <w:t>Regleringen i 13 kap. 1 § äldre LOA har inte förts över till nya LOA. Dä</w:t>
      </w:r>
      <w:r w:rsidRPr="00896D4F">
        <w:t>r</w:t>
      </w:r>
      <w:r w:rsidRPr="00896D4F">
        <w:t>emot innehåller lagen om fullmaktsanställning, som omfattar sådana arbetst</w:t>
      </w:r>
      <w:r w:rsidRPr="00896D4F">
        <w:t>a</w:t>
      </w:r>
      <w:r w:rsidRPr="00896D4F">
        <w:t>gare hos myndigheter under regeringen som är anställda med fullmakt, i 10 § en reglering om avstängning som är avsedd att i sak motsvara nämnda r</w:t>
      </w:r>
      <w:r w:rsidRPr="00896D4F">
        <w:t>e</w:t>
      </w:r>
      <w:r w:rsidRPr="00896D4F">
        <w:t>glering i äldre LOA (se prop. 1993/94:65 s. 142). Enligt nyssnämnda paragraf får sålunda en arbetstagare av den aktuella kategorin avstängas från arbetet bl.a. om ett förfarande inleds som syftar till att han skall avskedas (1 p.) eller om en åtgärd vidtas för att åtal skall väckas mot hon</w:t>
      </w:r>
      <w:r w:rsidRPr="00896D4F">
        <w:t>om för en gärning som kan antas medföra avskedande (2 p.). Någon bestämmelse motsvarande 14 kap. 6 § äldre LOA har inte tagits in i nya LOA eller lagen om fullmakt</w:t>
      </w:r>
      <w:r w:rsidRPr="00896D4F">
        <w:t>s</w:t>
      </w:r>
      <w:r w:rsidRPr="00896D4F">
        <w:t>anställning.</w:t>
      </w:r>
    </w:p>
    <w:p w:rsidR="009C1C5A" w:rsidRPr="00896D4F" w:rsidRDefault="009C1C5A">
      <w:pPr>
        <w:pStyle w:val="Citatindrag"/>
      </w:pPr>
      <w:r w:rsidRPr="00896D4F">
        <w:t>Regleringen i nya LOA och lagen om fullmaktsanställning bör ses i ljuset av bestämmelsen i 11 kap. 10 § regeringsformen (RF) om att grundläggande bestämmelser om statstjänstemännens rättsställning i andra hänseenden än som berörs i regeringsformen meddelas i lag. (Jfr chefsjustitieombudsmannen Claes Eklundhs yttrande över betänkandet</w:t>
      </w:r>
      <w:r w:rsidRPr="00896D4F">
        <w:t xml:space="preserve"> I medborgarens tjänst – En samlad förvaltningspolitik för staten, SOU 1997:57. I yttrandet, s. 4, föreslår chefsj</w:t>
      </w:r>
      <w:r w:rsidRPr="00896D4F">
        <w:t>u</w:t>
      </w:r>
      <w:r w:rsidRPr="00896D4F">
        <w:t>stitieombudsmannen att det i sådan lag som avses i den nämnda bestämme</w:t>
      </w:r>
      <w:r w:rsidRPr="00896D4F">
        <w:t>l</w:t>
      </w:r>
      <w:r w:rsidRPr="00896D4F">
        <w:t>sen i RF – vid sidan av vad som föreskrivs i nya LOA – tas in särskilda regler också om de statliga anställningar utöver de nuva</w:t>
      </w:r>
      <w:r w:rsidRPr="00896D4F">
        <w:softHyphen/>
        <w:t>rande fullmakts</w:t>
      </w:r>
      <w:r w:rsidRPr="00896D4F">
        <w:softHyphen/>
        <w:t>tjänsterna som innefattar myndighetsutövning; en reglering av detta slag bör – i öve</w:t>
      </w:r>
      <w:r w:rsidRPr="00896D4F">
        <w:t>r</w:t>
      </w:r>
      <w:r w:rsidRPr="00896D4F">
        <w:t>ens</w:t>
      </w:r>
      <w:r w:rsidRPr="00896D4F">
        <w:softHyphen/>
        <w:t>stämmelse med vad som tidigare har gällt generellt på det statliga området – avse sådana frå</w:t>
      </w:r>
      <w:r w:rsidRPr="00896D4F">
        <w:t xml:space="preserve">gor som bl.a. formerna för beslut om avstängning.) </w:t>
      </w:r>
    </w:p>
    <w:p w:rsidR="009C1C5A" w:rsidRPr="00896D4F" w:rsidRDefault="009C1C5A">
      <w:pPr>
        <w:pStyle w:val="Citatindrag"/>
      </w:pPr>
      <w:r w:rsidRPr="00896D4F">
        <w:t>Av motiven till nya LOA och lagen om fullmaktsanställning framgår att det har ansetts vara av vikt att samma regler i fråga om avstängning gäller för hela arbetsmarknaden och att det utöver reglerna i lagen (1982:80) om a</w:t>
      </w:r>
      <w:r w:rsidRPr="00896D4F">
        <w:t>n</w:t>
      </w:r>
      <w:r w:rsidRPr="00896D4F">
        <w:t>ställningsskydd (LAS) därför ansetts inte behövas några särskilda regler om avstängning för den statliga delen av arbetsmarknaden. Anledningen till att reglerna i äldre LOA om avstängning på grund av att avskedande kan bli aktuellt förts över till lagen om fullmaktsanställning utan ändring i sak har i lagmotiven angetts vara främst att det i 11 kap. 5 § andra stycket RF för</w:t>
      </w:r>
      <w:r w:rsidRPr="00896D4F">
        <w:t>e</w:t>
      </w:r>
      <w:r w:rsidRPr="00896D4F">
        <w:t>skrivs att en ordinarie domare skall kunna påkalla domstols prövning av ett beslut om avstängning. Det har därför ansetts behövas en u</w:t>
      </w:r>
      <w:r w:rsidRPr="00896D4F">
        <w:t>ttrycklig reglering av möjligheterna till avstängning när det gäller ordinarie domare och andra fullmaktsanställda. (Se prop. 1993/94:65 s. 97 ff. 142.)</w:t>
      </w:r>
    </w:p>
    <w:p w:rsidR="009C1C5A" w:rsidRPr="00896D4F" w:rsidRDefault="009C1C5A">
      <w:pPr>
        <w:pStyle w:val="Citatindrag"/>
      </w:pPr>
      <w:r w:rsidRPr="00896D4F">
        <w:t>I det utredningsförslag som låg till grund för den nya lagstiftningen uttal</w:t>
      </w:r>
      <w:r w:rsidRPr="00896D4F">
        <w:t>a</w:t>
      </w:r>
      <w:r w:rsidRPr="00896D4F">
        <w:t>des bl.a. följande i fråga om avstängning av fullmaktsanställda (SOU 1992:60 s. 305). Att det i RF föreskrivs att en ordinarie domare skall kunna påkalla domstols prövning av ett beslut om avstängning talade starkt för en uttrycklig reglering av möjligheten till avstängning när det gällde ordinarie domare och andra fullmaktsanställda. Ambitionen hade också varit att samla reglerna om fullmaktshavarnas anställ</w:t>
      </w:r>
      <w:r w:rsidRPr="00896D4F">
        <w:softHyphen/>
        <w:t>ningsskydd i förslaget till lag om fullmaktsanstäl</w:t>
      </w:r>
      <w:r w:rsidRPr="00896D4F">
        <w:t>l</w:t>
      </w:r>
      <w:r w:rsidRPr="00896D4F">
        <w:t>ning. Till detta kom att det för de ordinarie d</w:t>
      </w:r>
      <w:r w:rsidRPr="00896D4F">
        <w:t>o</w:t>
      </w:r>
      <w:r w:rsidRPr="00896D4F">
        <w:softHyphen/>
        <w:t>marnas del, men även för andra fullmaktsanställdas, typiskt sett var svårt att genomföra omplace</w:t>
      </w:r>
      <w:r w:rsidRPr="00896D4F">
        <w:softHyphen/>
        <w:t>ringar inom anställnin</w:t>
      </w:r>
      <w:r w:rsidRPr="00896D4F">
        <w:t>g</w:t>
      </w:r>
      <w:r w:rsidRPr="00896D4F">
        <w:t xml:space="preserve">ens ram. </w:t>
      </w:r>
    </w:p>
    <w:p w:rsidR="009C1C5A" w:rsidRPr="00896D4F" w:rsidRDefault="009C1C5A">
      <w:pPr>
        <w:pStyle w:val="Citatindrag"/>
      </w:pPr>
      <w:r w:rsidRPr="00896D4F">
        <w:t>I de nyssnämnda lagmotiven berörde föredragande statsrådet även frågan om försättande ur tjänstgöring och anförde i denna fråga bl.a. följande (prop. 1993/94:65 s. 99). I likhet med vad som gällde i andra anställningsförhålla</w:t>
      </w:r>
      <w:r w:rsidRPr="00896D4F">
        <w:t>n</w:t>
      </w:r>
      <w:r w:rsidRPr="00896D4F">
        <w:t>den behövdes det inom det statliga området en möjlighet att snabbt ställa en arbetstagare åt sidan. Var det fråga om en akut nödsituation ansågs det enligt praxis att arbetsgivaren kunde försätta arbetstagaren ur tjänstgöring. Denna rätt grundade sig på arbetsgivarens arbetsledningsrätt samt allmänna rätt</w:t>
      </w:r>
      <w:r w:rsidRPr="00896D4F">
        <w:t>s</w:t>
      </w:r>
      <w:r w:rsidRPr="00896D4F">
        <w:t>grundsatser om nöd. Var det i stället ett led i en uppsägnings- eller avskeda</w:t>
      </w:r>
      <w:r w:rsidRPr="00896D4F">
        <w:t>n</w:t>
      </w:r>
      <w:r w:rsidRPr="00896D4F">
        <w:t>desituation, kunde arbetsgivaren på grund av det nya systemet i övrigt anvä</w:t>
      </w:r>
      <w:r w:rsidRPr="00896D4F">
        <w:t>n</w:t>
      </w:r>
      <w:r w:rsidRPr="00896D4F">
        <w:t>da sig av reglerna om avstän</w:t>
      </w:r>
      <w:r w:rsidRPr="00896D4F">
        <w:t>g</w:t>
      </w:r>
      <w:r w:rsidRPr="00896D4F">
        <w:t>ning i LAS.</w:t>
      </w:r>
    </w:p>
    <w:p w:rsidR="009C1C5A" w:rsidRPr="00896D4F" w:rsidRDefault="009C1C5A">
      <w:pPr>
        <w:pStyle w:val="Citatindrag"/>
      </w:pPr>
      <w:r w:rsidRPr="00896D4F">
        <w:t>I det utr</w:t>
      </w:r>
      <w:r w:rsidRPr="00896D4F">
        <w:t>edningsförslag som låg till grund för den nu gällande lagstiftningen behandlades frågan om försättande ur tjänstgöring (SOU 1992:60 s. 178 f.). Utredningen anförde bl.a. att enighet rådde om att utrymmet för försättande ur tjänstgöring var snävt begränsat, att det var svårt att tänka sig att ett försätta</w:t>
      </w:r>
      <w:r w:rsidRPr="00896D4F">
        <w:t>n</w:t>
      </w:r>
      <w:r w:rsidRPr="00896D4F">
        <w:t>de ur tjänstgöring kunde vara mer än några dagar och att man inte fick ko</w:t>
      </w:r>
      <w:r w:rsidRPr="00896D4F">
        <w:t>m</w:t>
      </w:r>
      <w:r w:rsidRPr="00896D4F">
        <w:t>ma in på det område som uttömmande reglerades av avstängningsregle</w:t>
      </w:r>
      <w:r w:rsidRPr="00896D4F">
        <w:t>r</w:t>
      </w:r>
      <w:r w:rsidRPr="00896D4F">
        <w:t>na.</w:t>
      </w:r>
    </w:p>
    <w:p w:rsidR="009C1C5A" w:rsidRPr="00896D4F" w:rsidRDefault="009C1C5A">
      <w:pPr>
        <w:pStyle w:val="Citatindrag"/>
      </w:pPr>
      <w:r w:rsidRPr="00896D4F">
        <w:t>Det kan påpekas att den nämnda utredningens förslag att slopa</w:t>
      </w:r>
      <w:r w:rsidRPr="00896D4F">
        <w:t xml:space="preserve"> de särskilda reglerna i äldre LOA om avstängning vid tilltänkt avskedande beträffande personer utan fullmaktsanställning kritiserades av en del remissinstanser. Bl.a. ifrågasatte Kammarrätten i Stockholm om det inte beträffande sådana anställda – om de har arbetsuppgifter med starka inslag av myndighetsutö</w:t>
      </w:r>
      <w:r w:rsidRPr="00896D4F">
        <w:t>v</w:t>
      </w:r>
      <w:r w:rsidRPr="00896D4F">
        <w:t>ning, t.ex. icke ordinarie domare – borde finnas mera vidsträckta möjligheter att hindra en brottsmisstänkt från att utföra de ordinarie arbetsuppgifterna än vad utredningsförslaget innebar, nämligen att</w:t>
      </w:r>
      <w:r w:rsidRPr="00896D4F">
        <w:t xml:space="preserve"> möjligheten till försättande ur tjänstgöring eller till avstängning enligt LAS fick utnyttjas. Riksåklagaren, som anförde liknande synpunkter med avseende på åklagare, ansåg att den föreslagna regleringen i la</w:t>
      </w:r>
      <w:r w:rsidRPr="00896D4F">
        <w:softHyphen/>
        <w:t>gen om fullmaktsanställning om avstängning skulle tas in även i föreslagna nya LOA. Vidare pe</w:t>
      </w:r>
      <w:r w:rsidRPr="00896D4F">
        <w:softHyphen/>
        <w:t>kade flera remissinstanser på att reglerna i äldre LOA om avstängning var klara och att det fanns svårigheter med tolkningen av regleringen i LAS om avstängning. Riksskatteverket ansåg att en avtalsreglering</w:t>
      </w:r>
      <w:r w:rsidRPr="00896D4F">
        <w:t xml:space="preserve"> måste genomföras, om reglerna i äldre LOA om a</w:t>
      </w:r>
      <w:r w:rsidRPr="00896D4F">
        <w:t>v</w:t>
      </w:r>
      <w:r w:rsidRPr="00896D4F">
        <w:t>stängning togs bort.</w:t>
      </w:r>
    </w:p>
    <w:p w:rsidR="009C1C5A" w:rsidRPr="00896D4F" w:rsidRDefault="009C1C5A">
      <w:pPr>
        <w:pStyle w:val="Citatindrag"/>
      </w:pPr>
      <w:r w:rsidRPr="00896D4F">
        <w:t>När det gäller skälen för att den tidigare nämnda föreskriften i 14 kap. 6 § äldre LOA – om uppskov med beslut när brott utgör grunden för uppsägning eller avskedande – slopats uttalade före</w:t>
      </w:r>
      <w:r w:rsidRPr="00896D4F">
        <w:softHyphen/>
        <w:t>dragande statsrådet i motiven till den nya lagstiftningen bl.a. följande (prop. 1993/94:65 s. 99 f.). Enligt hennes mening var den kritik som hade framförts mot den tidsutdräkt som var i</w:t>
      </w:r>
      <w:r w:rsidRPr="00896D4F">
        <w:t>n</w:t>
      </w:r>
      <w:r w:rsidRPr="00896D4F">
        <w:t>byggd i systemet på den statliga sidan befogad. Ibland kunde det dröja flera år tills frågan var avgjord. Brottmålet kunde komma att behandlas i flera insta</w:t>
      </w:r>
      <w:r w:rsidRPr="00896D4F">
        <w:t>n</w:t>
      </w:r>
      <w:r w:rsidRPr="00896D4F">
        <w:t>ser innan arbetsgivaren kunde fatta sitt beslut, som också kunde prövas i flera instanser. Avsevärd tid kunde således förflyta till dess att frågan var slutligt prövad</w:t>
      </w:r>
      <w:r w:rsidRPr="00896D4F">
        <w:t xml:space="preserve">. Detta måste givetvis vara pressande för arbetstagaren, som dessutom kunde vara avstängd från sitt arbete under hela tiden. För arbetsgivaren måste det också upplevas som påfrestande att beslut inte kunde fattas ens i klara fall. </w:t>
      </w:r>
    </w:p>
    <w:p w:rsidR="009C1C5A" w:rsidRPr="00896D4F" w:rsidRDefault="009C1C5A">
      <w:pPr>
        <w:pStyle w:val="Rubrik4"/>
      </w:pPr>
      <w:r w:rsidRPr="00896D4F">
        <w:t>Lagen om anställningsskydd (LAS)</w:t>
      </w:r>
    </w:p>
    <w:p w:rsidR="009C1C5A" w:rsidRPr="00896D4F" w:rsidRDefault="009C1C5A">
      <w:pPr>
        <w:pStyle w:val="Citat"/>
      </w:pPr>
      <w:r w:rsidRPr="00896D4F">
        <w:t>Enligt LAS gäller förbud i vissa fall mot avstängning vid avskedande.</w:t>
      </w:r>
    </w:p>
    <w:p w:rsidR="009C1C5A" w:rsidRPr="00896D4F" w:rsidRDefault="009C1C5A">
      <w:pPr>
        <w:pStyle w:val="Citatindrag"/>
      </w:pPr>
      <w:r w:rsidRPr="00896D4F">
        <w:t>I 35 § LAS föreskrivs bl.a. följande. Har en arbetstagare blivit avskedad under omständigheter som inte ens skulle ha räckt till för en giltig uppsä</w:t>
      </w:r>
      <w:r w:rsidRPr="00896D4F">
        <w:t>g</w:t>
      </w:r>
      <w:r w:rsidRPr="00896D4F">
        <w:t>ning, skall avskedandet förklaras ogiltigt på yrkande av arbetstagaren. Om ett sådant yrkande framställs, kan en domstol besluta att anställningen trots a</w:t>
      </w:r>
      <w:r w:rsidRPr="00896D4F">
        <w:t>v</w:t>
      </w:r>
      <w:r w:rsidRPr="00896D4F">
        <w:t>skedande skall bestå tills tvisten har slutligt prövats. Har en domstol meddelat ett sådant beslut, får arbetsgivaren inte avstänga arbetstagaren från arbete på grund av de omständigheter som har föra</w:t>
      </w:r>
      <w:r w:rsidRPr="00896D4F">
        <w:t>n</w:t>
      </w:r>
      <w:r w:rsidRPr="00896D4F">
        <w:t>lett avskedandet.</w:t>
      </w:r>
    </w:p>
    <w:p w:rsidR="009C1C5A" w:rsidRPr="00896D4F" w:rsidRDefault="009C1C5A">
      <w:pPr>
        <w:pStyle w:val="Citatindrag"/>
      </w:pPr>
      <w:r w:rsidRPr="00896D4F">
        <w:t>Enligt 37 § LAS får, om en domstol genom lagakraftvunnen dom har ogi</w:t>
      </w:r>
      <w:r w:rsidRPr="00896D4F">
        <w:t>l</w:t>
      </w:r>
      <w:r w:rsidRPr="00896D4F">
        <w:t>tigförklarat ett avskedande, arbetsgivaren inte avstänga arbetstagaren från arbete på grund av de omständigheter som har föranlett avskedandet.</w:t>
      </w:r>
    </w:p>
    <w:p w:rsidR="009C1C5A" w:rsidRPr="00896D4F" w:rsidRDefault="009C1C5A">
      <w:pPr>
        <w:pStyle w:val="Citatindrag"/>
      </w:pPr>
      <w:r w:rsidRPr="00896D4F">
        <w:t>Av 2 § LAS följer bl.a. följande. Om det i en annan lag eller i en föror</w:t>
      </w:r>
      <w:r w:rsidRPr="00896D4F">
        <w:t>d</w:t>
      </w:r>
      <w:r w:rsidRPr="00896D4F">
        <w:t>ning som har meddelats med stöd av en lag finns särskilda föreskrifter som avviker från LAS, skall dessa föreskrifter gälla. Ett avtal är ogiltigt i den mån det upphäver eller inskränker arbetstagarens rättigheter enligt LAS. Avsteg från LAS kan emellertid ske genom kollektivavtal i vissa fall. De frågor om avstängning som regleras i 35 och 37 §§ utgör inte s</w:t>
      </w:r>
      <w:r w:rsidRPr="00896D4F">
        <w:t>å</w:t>
      </w:r>
      <w:r w:rsidRPr="00896D4F">
        <w:t>dana fall.</w:t>
      </w:r>
    </w:p>
    <w:p w:rsidR="009C1C5A" w:rsidRPr="00896D4F" w:rsidRDefault="009C1C5A">
      <w:pPr>
        <w:pStyle w:val="Citatindrag"/>
      </w:pPr>
      <w:r w:rsidRPr="00896D4F">
        <w:t>Regleringen i 2 § LAS innebär bl.a. att föreskrifterna i 10 § lagen om ful</w:t>
      </w:r>
      <w:r w:rsidRPr="00896D4F">
        <w:t>l</w:t>
      </w:r>
      <w:r w:rsidRPr="00896D4F">
        <w:t>maktsanställning om av</w:t>
      </w:r>
      <w:r w:rsidRPr="00896D4F">
        <w:softHyphen/>
        <w:t>stängning vid tilltänkt avskedande gäller i stället för vad som följer av LAS i denna fråga.</w:t>
      </w:r>
    </w:p>
    <w:p w:rsidR="009C1C5A" w:rsidRPr="00896D4F" w:rsidRDefault="009C1C5A">
      <w:pPr>
        <w:pStyle w:val="Citatindrag"/>
      </w:pPr>
      <w:r w:rsidRPr="00896D4F">
        <w:t>Frågan om avstängning i samband med avskedande har berörts i en la</w:t>
      </w:r>
      <w:r w:rsidRPr="00896D4F">
        <w:t>g</w:t>
      </w:r>
      <w:r w:rsidRPr="00896D4F">
        <w:t>kommentar (Lars Lunning, Anställningsskydd, 7:e omarbetade uppl., 1989, s. 338 f.). I kommentaren uttalas följande i anslutning till 18 § LAS:</w:t>
      </w:r>
    </w:p>
    <w:p w:rsidR="009C1C5A" w:rsidRPr="00896D4F" w:rsidRDefault="009C1C5A">
      <w:pPr>
        <w:pStyle w:val="Citatindrag"/>
        <w:spacing w:before="125"/>
        <w:ind w:left="425" w:firstLine="1"/>
      </w:pPr>
      <w:r w:rsidRPr="00896D4F">
        <w:t>Även om det i 4 § tredje stycket anges att anställningen genom avsk</w:t>
      </w:r>
      <w:r w:rsidRPr="00896D4F">
        <w:t>e</w:t>
      </w:r>
      <w:r w:rsidRPr="00896D4F">
        <w:t xml:space="preserve">dande avbryts </w:t>
      </w:r>
      <w:r w:rsidRPr="00896D4F">
        <w:rPr>
          <w:i/>
        </w:rPr>
        <w:t>med omedelbar verkan</w:t>
      </w:r>
      <w:r w:rsidRPr="00896D4F">
        <w:t>, är detta inte liktydigt med att a</w:t>
      </w:r>
      <w:r w:rsidRPr="00896D4F">
        <w:t>n</w:t>
      </w:r>
      <w:r w:rsidRPr="00896D4F">
        <w:t>ställningsförhållandet upphör i samma stund som arbetsgi</w:t>
      </w:r>
      <w:r w:rsidRPr="00896D4F">
        <w:softHyphen/>
        <w:t>varen b</w:t>
      </w:r>
      <w:r w:rsidRPr="00896D4F">
        <w:t>e</w:t>
      </w:r>
      <w:r w:rsidRPr="00896D4F">
        <w:t>stämmer sig för att vidta avskedandet. Som framgår av 30 § skall näml</w:t>
      </w:r>
      <w:r w:rsidRPr="00896D4F">
        <w:t>i</w:t>
      </w:r>
      <w:r w:rsidRPr="00896D4F">
        <w:t>gen även ett av</w:t>
      </w:r>
      <w:r w:rsidRPr="00896D4F">
        <w:softHyphen/>
        <w:t xml:space="preserve">skedande </w:t>
      </w:r>
      <w:r w:rsidRPr="00896D4F">
        <w:rPr>
          <w:i/>
        </w:rPr>
        <w:t>föregås av underrättelse och varsel</w:t>
      </w:r>
      <w:r w:rsidRPr="00896D4F">
        <w:t>. Och med hänsyn till arbetstagarpartens rätt att be</w:t>
      </w:r>
      <w:r w:rsidRPr="00896D4F">
        <w:softHyphen/>
        <w:t xml:space="preserve">gära överläggning kan det gå minst en vecka innan avskedandet får verkställas. Arbetsgivaren är dock i ett sådant fall oförhindrad att </w:t>
      </w:r>
      <w:r w:rsidRPr="00896D4F">
        <w:rPr>
          <w:i/>
        </w:rPr>
        <w:t>avstänga</w:t>
      </w:r>
      <w:r w:rsidRPr="00896D4F">
        <w:t xml:space="preserve"> ar</w:t>
      </w:r>
      <w:r w:rsidRPr="00896D4F">
        <w:softHyphen/>
        <w:t>betstagaren från arbetet t.ex. när det är påka</w:t>
      </w:r>
      <w:r w:rsidRPr="00896D4F">
        <w:t>llat av utrednings- eller säkerhetsskäl under den tid som fordras för att överläggning skall ske. Något för</w:t>
      </w:r>
      <w:r w:rsidRPr="00896D4F">
        <w:softHyphen/>
        <w:t>bud mot avstängning vid avskedande finns inte i anställningsskyddslagen utom i det fall som a</w:t>
      </w:r>
      <w:r w:rsidRPr="00896D4F">
        <w:t>n</w:t>
      </w:r>
      <w:r w:rsidRPr="00896D4F">
        <w:t>ges i 35 § tredje stycket.</w:t>
      </w:r>
    </w:p>
    <w:p w:rsidR="009C1C5A" w:rsidRPr="00896D4F" w:rsidRDefault="009C1C5A">
      <w:pPr>
        <w:pStyle w:val="Citat"/>
      </w:pPr>
      <w:r w:rsidRPr="00896D4F">
        <w:t>I motiven till nya LOA och lagen om fullmaktsanställning uttalade för</w:t>
      </w:r>
      <w:r w:rsidRPr="00896D4F">
        <w:t>e</w:t>
      </w:r>
      <w:r w:rsidRPr="00896D4F">
        <w:t xml:space="preserve">dragande statsrådet (prop. 1993/94:65 s. 97) att skillnaden mellan reglerna i äldre LOA och i LAS om avstängning var att det i äldre LOA angavs när avstängning fick ske medan det i LAS anges när avstängning inte får ske. </w:t>
      </w:r>
    </w:p>
    <w:p w:rsidR="009C1C5A" w:rsidRPr="00896D4F" w:rsidRDefault="009C1C5A">
      <w:pPr>
        <w:pStyle w:val="Rubrik3"/>
      </w:pPr>
      <w:r w:rsidRPr="00896D4F">
        <w:t>Upplysningar om nuvarande rättstillämpning i fråga om avstängning av en offentligt anställd vid tilltänkt avskedande</w:t>
      </w:r>
    </w:p>
    <w:p w:rsidR="009C1C5A" w:rsidRPr="00896D4F" w:rsidRDefault="009C1C5A">
      <w:pPr>
        <w:pStyle w:val="Citat"/>
        <w:rPr>
          <w:u w:val="single"/>
        </w:rPr>
      </w:pPr>
      <w:r w:rsidRPr="00896D4F">
        <w:t>Ansvarsnämnden har uppmärksammat att AD åtminstone i ett fall har prövat frågan om avstängning i en situation som den nu aktuella, nämligen i ett b</w:t>
      </w:r>
      <w:r w:rsidRPr="00896D4F">
        <w:t>e</w:t>
      </w:r>
      <w:r w:rsidRPr="00896D4F">
        <w:t xml:space="preserve">slut den 23 oktober 1998 i mål nr B 121/98. AD:s beslut och underinstansens beslut bifogas, </w:t>
      </w:r>
      <w:r w:rsidRPr="00896D4F">
        <w:rPr>
          <w:i/>
        </w:rPr>
        <w:t xml:space="preserve">bil. A:1 och A:2. </w:t>
      </w:r>
      <w:r w:rsidRPr="00896D4F">
        <w:t>Vidare kan nämnas att frågan – med utgång</w:t>
      </w:r>
      <w:r w:rsidRPr="00896D4F">
        <w:t>s</w:t>
      </w:r>
      <w:r w:rsidRPr="00896D4F">
        <w:t xml:space="preserve">punkt från AD:s beslut – har behandlats i en promemoria av den 25 november 1998 av Arbetsgivarverkets chefsjurist, se </w:t>
      </w:r>
      <w:r w:rsidRPr="00896D4F">
        <w:rPr>
          <w:i/>
        </w:rPr>
        <w:t>bil. A:3</w:t>
      </w:r>
      <w:r w:rsidRPr="00896D4F">
        <w:t>.</w:t>
      </w:r>
    </w:p>
    <w:p w:rsidR="009C1C5A" w:rsidRPr="00896D4F" w:rsidRDefault="009C1C5A">
      <w:pPr>
        <w:pStyle w:val="Citatindrag"/>
      </w:pPr>
      <w:r w:rsidRPr="00896D4F">
        <w:t>Ansvarsnämnden har  – förutom i det av JO nu uppmärksammade fallet – i två fall tidigare efter nya LOA:s ikraftträdande beslutat om avstängning vid tilltänkt avskedande på grund av brott av en offentligt anställd som inte o</w:t>
      </w:r>
      <w:r w:rsidRPr="00896D4F">
        <w:t>m</w:t>
      </w:r>
      <w:r w:rsidRPr="00896D4F">
        <w:t>fattas av lagen om fullmaktsanställning. I även dessa fall har det varit fråga om avstängning av åklagare. Det ena fallet gällde en kammaråklagare som var häktad på sannolika skäl misstänkt för våldtäkt m.m. (ärende nr Ä 10/1998, beslut 1998-10-22; avstängningen hävdes 1999-05-25 sedan tingsrätten ogi</w:t>
      </w:r>
      <w:r w:rsidRPr="00896D4F">
        <w:t>l</w:t>
      </w:r>
      <w:r w:rsidRPr="00896D4F">
        <w:t>lat åtalet mot åklagaren). Det andra fallet gäller en kammaråklagare som har åtalats för sexuellt ofredande m.m. (ärende nr Ä 8/2000, beslut 2000-09-15; beslutet om a</w:t>
      </w:r>
      <w:r w:rsidRPr="00896D4F">
        <w:t>v</w:t>
      </w:r>
      <w:r w:rsidRPr="00896D4F">
        <w:t>stängning gäller fortfarande).</w:t>
      </w:r>
    </w:p>
    <w:p w:rsidR="009C1C5A" w:rsidRPr="00896D4F" w:rsidRDefault="009C1C5A">
      <w:pPr>
        <w:pStyle w:val="Citatindrag"/>
      </w:pPr>
      <w:r w:rsidRPr="00896D4F">
        <w:t>Ansvarsnäm</w:t>
      </w:r>
      <w:r w:rsidRPr="00896D4F">
        <w:t>nden har i övrigt inte överblick över hur den aktuella frågan tillämpas bland olika myndigheter.</w:t>
      </w:r>
    </w:p>
    <w:p w:rsidR="009C1C5A" w:rsidRPr="00896D4F" w:rsidRDefault="009C1C5A">
      <w:pPr>
        <w:pStyle w:val="Rubrik3"/>
      </w:pPr>
      <w:r w:rsidRPr="00896D4F">
        <w:t xml:space="preserve">Ansvarsnämndens synpunkter </w:t>
      </w:r>
    </w:p>
    <w:p w:rsidR="009C1C5A" w:rsidRPr="00896D4F" w:rsidRDefault="009C1C5A">
      <w:pPr>
        <w:pStyle w:val="Citat"/>
      </w:pPr>
      <w:r w:rsidRPr="00896D4F">
        <w:t>Som har framgått av det tidigare anförda betonades i lagmotiven, då nya LOA och lagen om fullmaktsanställning infördes, vikten av att samma regler i fråga om avstängning gäller över hela ar</w:t>
      </w:r>
      <w:r w:rsidRPr="00896D4F">
        <w:softHyphen/>
        <w:t>betsmarknaden. Frågan är emellertid om denna utgångspunkt har fått genomslag i den nuvarande lagstiftningen. Det står nämligen enligt ansvarsnämndens mening klart att lagstiftarens avsikt i det aktuella lagstiftningsärendet var att det i fortsättningen skulle finnas sa</w:t>
      </w:r>
      <w:r w:rsidRPr="00896D4F">
        <w:t>m</w:t>
      </w:r>
      <w:r w:rsidRPr="00896D4F">
        <w:t>ma möjligheter att avstänga en offentligt anställd vid tilltänkt avskedande oavsett om denne omfattades enbart av nya LOA eller även av lagen om ful</w:t>
      </w:r>
      <w:r w:rsidRPr="00896D4F">
        <w:t>l</w:t>
      </w:r>
      <w:r w:rsidRPr="00896D4F">
        <w:t>maktsanställning. Genom att den tidigare regleringen i äldre LOA i frågan i sak oförändrat t</w:t>
      </w:r>
      <w:r w:rsidRPr="00896D4F">
        <w:t>ogs in i lagen om fullmaktsanställning måste lagstiftaren oc</w:t>
      </w:r>
      <w:r w:rsidRPr="00896D4F">
        <w:t>k</w:t>
      </w:r>
      <w:r w:rsidRPr="00896D4F">
        <w:t>så ha tänkt sig att möjligheterna till avstängning i dessa fall skulle vara d</w:t>
      </w:r>
      <w:r w:rsidRPr="00896D4F">
        <w:t>e</w:t>
      </w:r>
      <w:r w:rsidRPr="00896D4F">
        <w:t>samma som tidigare. Eftersom regleringen i LAS har blivit tillämplig i denna fråga i de fall då den offentligt anställde inte omfattas av lagen om fullmakt</w:t>
      </w:r>
      <w:r w:rsidRPr="00896D4F">
        <w:t>s</w:t>
      </w:r>
      <w:r w:rsidRPr="00896D4F">
        <w:t>anställning, har emellertid – med hänsyn till tolkningen av möjligheterna till avstängning med stöd av LAS i de aktuella fallen – en oklar situation uppstått om lag</w:t>
      </w:r>
      <w:r w:rsidRPr="00896D4F">
        <w:softHyphen/>
        <w:t xml:space="preserve">stiftningens innebörd på området. </w:t>
      </w:r>
    </w:p>
    <w:p w:rsidR="009C1C5A" w:rsidRPr="00896D4F" w:rsidRDefault="009C1C5A">
      <w:pPr>
        <w:pStyle w:val="Citatindrag"/>
      </w:pPr>
      <w:r w:rsidRPr="00896D4F">
        <w:t>Till bilden hör a</w:t>
      </w:r>
      <w:r w:rsidRPr="00896D4F">
        <w:t>tt den offentlige arbetsgivaren numera, sedan regleringen 14 kap. 6 § i äldre LOA har slopats, inte – vid tilltänkt avskedande på grund av brott – regelmässigt kan avvakta lagakraftvunnen dom i brottmålet innan frågan om avskedande prövas utan, enligt vad som gäller enligt LAS (18 § andra stycket),  måste ta ställning i denna så snart de närmare omständigh</w:t>
      </w:r>
      <w:r w:rsidRPr="00896D4F">
        <w:t>e</w:t>
      </w:r>
      <w:r w:rsidRPr="00896D4F">
        <w:t>terna har blivit utredda. Det har möjligen föresvävat lagstiftaren att behovet av avstängning under någon längre tid därmed bortfallit. Ansvarsnämnden ha</w:t>
      </w:r>
      <w:r w:rsidRPr="00896D4F">
        <w:t>r emellertid erfarenheten, inte minst genom de tre tidigare nämnda fallen där beslut om avstängning har fattats, att det även i fortsättningen kommer att inträffa fall där frågan om avskedande på grund av brott kan prövas först när en lagakraftvun</w:t>
      </w:r>
      <w:r w:rsidRPr="00896D4F">
        <w:softHyphen/>
        <w:t>nen brottmålsdom föreligger, kanske flera år efter det att sk</w:t>
      </w:r>
      <w:r w:rsidRPr="00896D4F">
        <w:t>ä</w:t>
      </w:r>
      <w:r w:rsidRPr="00896D4F">
        <w:t xml:space="preserve">lig brottsmisstanke först uppkom och behovet av avstängning av den anställde uppstod. Institutet försättande ur tjänstgöring kan inte användas i dessa fall. </w:t>
      </w:r>
    </w:p>
    <w:p w:rsidR="009C1C5A" w:rsidRPr="00896D4F" w:rsidRDefault="009C1C5A">
      <w:pPr>
        <w:pStyle w:val="Citatindrag"/>
      </w:pPr>
      <w:r w:rsidRPr="00896D4F">
        <w:t>Enligt ansvarsnämndens mening är det tydligt</w:t>
      </w:r>
      <w:r w:rsidRPr="00896D4F">
        <w:t xml:space="preserve"> att det måste finnas möjli</w:t>
      </w:r>
      <w:r w:rsidRPr="00896D4F">
        <w:t>g</w:t>
      </w:r>
      <w:r w:rsidRPr="00896D4F">
        <w:t>het att avstänga en offentligt anställd, som inte omfattas av lagen om ful</w:t>
      </w:r>
      <w:r w:rsidRPr="00896D4F">
        <w:t>l</w:t>
      </w:r>
      <w:r w:rsidRPr="00896D4F">
        <w:t>maktsanställning, vid ett tilltänkt avskedande i motsvarande situationer som avses i 10 § 1 och 2 nämnda lag. Den oklarhet som har hävdats i fråga om lagstöd för en sådan åtgärd är otillfredsställande både med hänsyn till den anställdes rättssäkerhet och den offentlige arbetsgivarens tungt vägande i</w:t>
      </w:r>
      <w:r w:rsidRPr="00896D4F">
        <w:t>n</w:t>
      </w:r>
      <w:r w:rsidRPr="00896D4F">
        <w:t xml:space="preserve">tressen. Det senare intresset framträder särskilt tydligt på åklagarområdet. </w:t>
      </w:r>
    </w:p>
    <w:p w:rsidR="009C1C5A" w:rsidRPr="00896D4F" w:rsidRDefault="009C1C5A">
      <w:pPr>
        <w:pStyle w:val="Citatindrag"/>
      </w:pPr>
      <w:r w:rsidRPr="00896D4F">
        <w:t>Ansvarsnämnden har i samband m</w:t>
      </w:r>
      <w:r w:rsidRPr="00896D4F">
        <w:t>ed den pågående remissbehandlingen av promemorian Statens ansvarsnämnds funktion och kompetensområde, m.m. (Ju 1999/205/PP) tagit upp frågan om behovet av klarläggande lagstiftning</w:t>
      </w:r>
      <w:r w:rsidRPr="00896D4F">
        <w:t>s</w:t>
      </w:r>
      <w:r w:rsidRPr="00896D4F">
        <w:t xml:space="preserve">åtgärder. </w:t>
      </w:r>
    </w:p>
    <w:p w:rsidR="009C1C5A" w:rsidRPr="00896D4F" w:rsidRDefault="009C1C5A">
      <w:r w:rsidRPr="00896D4F">
        <w:t>I ett beslut den 4 december 2001 uttalade</w:t>
      </w:r>
      <w:r w:rsidRPr="00896D4F">
        <w:rPr>
          <w:i/>
        </w:rPr>
        <w:t xml:space="preserve"> JO Berggren</w:t>
      </w:r>
      <w:r w:rsidRPr="00896D4F">
        <w:t xml:space="preserve"> följande.</w:t>
      </w:r>
    </w:p>
    <w:p w:rsidR="009C1C5A" w:rsidRPr="00896D4F" w:rsidRDefault="009C1C5A">
      <w:pPr>
        <w:pStyle w:val="Rubrik3"/>
      </w:pPr>
      <w:r w:rsidRPr="00896D4F">
        <w:t>Bedömning</w:t>
      </w:r>
    </w:p>
    <w:p w:rsidR="009C1C5A" w:rsidRPr="00896D4F" w:rsidRDefault="009C1C5A">
      <w:r w:rsidRPr="00896D4F">
        <w:t>Jag instämmer i Statens ansvarsnämnds bedömningar rörande lagstiftarens intentioner när det gäller möjligheten till avstängning av offentliga arbetstag</w:t>
      </w:r>
      <w:r w:rsidRPr="00896D4F">
        <w:t>a</w:t>
      </w:r>
      <w:r w:rsidRPr="00896D4F">
        <w:t>re utan samband med andra åtgärder för uppsägning eller avskedande. Oavsett dessa in</w:t>
      </w:r>
      <w:r w:rsidRPr="00896D4F">
        <w:softHyphen/>
        <w:t>tentioner står det enligt min mening klart att det saknas uttryckligt lagstöd för beslut om avstängning i dessa fall.</w:t>
      </w:r>
    </w:p>
    <w:p w:rsidR="009C1C5A" w:rsidRPr="00896D4F" w:rsidRDefault="009C1C5A">
      <w:pPr>
        <w:pStyle w:val="Normaltindrag"/>
      </w:pPr>
      <w:r w:rsidRPr="00896D4F">
        <w:t>Lagstiftningens innebörd är emellertid oklar, och jag finner inte skäl till kritik mot nämnden i de hänseenden som föranlett remissen.</w:t>
      </w:r>
    </w:p>
    <w:p w:rsidR="009C1C5A" w:rsidRPr="00896D4F" w:rsidRDefault="009C1C5A">
      <w:pPr>
        <w:pStyle w:val="Normaltindrag"/>
      </w:pPr>
      <w:r w:rsidRPr="00896D4F">
        <w:t>Jag delar den av ansvarsnämnden uttalade uppfattningen att det finns ett klart behov i vissa fall att kunna stänga av en offentligt anställd som inte omfattas av la</w:t>
      </w:r>
      <w:r w:rsidRPr="00896D4F">
        <w:softHyphen/>
        <w:t>gen om fullmaktsanställning. En sådan möjlighet bör självfallet lagfästas i tydlig lag.</w:t>
      </w:r>
    </w:p>
    <w:p w:rsidR="009C1C5A" w:rsidRPr="00896D4F" w:rsidRDefault="009C1C5A">
      <w:pPr>
        <w:pStyle w:val="Normaltindrag"/>
      </w:pPr>
      <w:r w:rsidRPr="00896D4F">
        <w:t>Jag bifogar ett exemplar av detta beslut till mitt remissytt</w:t>
      </w:r>
      <w:r w:rsidRPr="00896D4F">
        <w:softHyphen/>
        <w:t>rande över pr</w:t>
      </w:r>
      <w:r w:rsidRPr="00896D4F">
        <w:t>o</w:t>
      </w:r>
      <w:r w:rsidRPr="00896D4F">
        <w:t xml:space="preserve">memorian Statens ansvarsnämnds funktion och kompetensområde, m.m. (Ju 1999/205/PP). </w:t>
      </w:r>
    </w:p>
    <w:p w:rsidR="009C1C5A" w:rsidRPr="00896D4F" w:rsidRDefault="009C1C5A">
      <w:r w:rsidRPr="00896D4F">
        <w:t>Ärendet avslutas.</w:t>
      </w:r>
    </w:p>
    <w:p w:rsidR="009C1C5A" w:rsidRPr="00896D4F" w:rsidRDefault="009C1C5A">
      <w:pPr>
        <w:pStyle w:val="Rubrik1"/>
      </w:pPr>
      <w:r w:rsidRPr="00896D4F">
        <w:t>Taxering och uppbörd samt folkbokföring</w:t>
      </w:r>
    </w:p>
    <w:p w:rsidR="009C1C5A" w:rsidRPr="00896D4F" w:rsidRDefault="009C1C5A">
      <w:pPr>
        <w:pStyle w:val="Rubrik2"/>
        <w:spacing w:before="120"/>
      </w:pPr>
      <w:r w:rsidRPr="00896D4F">
        <w:t>Fråga om lämpligheten av bandupptagning som efterforskningsmetod vid skatterevision</w:t>
      </w:r>
    </w:p>
    <w:p w:rsidR="009C1C5A" w:rsidRPr="00896D4F" w:rsidRDefault="009C1C5A">
      <w:pPr>
        <w:spacing w:before="0"/>
      </w:pPr>
      <w:r w:rsidRPr="00896D4F">
        <w:t>(Dnr 274-2001)</w:t>
      </w:r>
    </w:p>
    <w:p w:rsidR="009C1C5A" w:rsidRPr="00896D4F" w:rsidRDefault="009C1C5A">
      <w:r w:rsidRPr="00896D4F">
        <w:t>I en anmälan till JO mot Skattemyndigheten i Linköping anförde S.D. bl.a. följande.</w:t>
      </w:r>
    </w:p>
    <w:p w:rsidR="009C1C5A" w:rsidRPr="00896D4F" w:rsidRDefault="009C1C5A">
      <w:r w:rsidRPr="00896D4F">
        <w:t>Han är ägare av H. AB, som sedan 1993 bedrivit verksamhet med försäljning av snabbmat i Linköping. Under våren 1999 inleddes en skatterevision av bolaget. Den 7 juni 1999 företog revisorn B.A. bandupptagning i bolagets lokal. Upptagningen ägde rum under restaurangens öppethållande. Kunderna kände inte till att de blev föremål för bandupptagning. Han hade heller inte lämnat sitt medgivande till denna. Föredraganden i ärendet hos JO tog reda på att det hos Åklagarmyndigheten i Linköping pågick en förundersök</w:t>
      </w:r>
      <w:r w:rsidRPr="00896D4F">
        <w:t>ning rörande bandupptagningen.</w:t>
      </w:r>
    </w:p>
    <w:p w:rsidR="009C1C5A" w:rsidRPr="00896D4F" w:rsidRDefault="009C1C5A">
      <w:pPr>
        <w:pStyle w:val="Normaltindrag"/>
      </w:pPr>
      <w:r w:rsidRPr="00896D4F">
        <w:t>Härefter inhämtades yttrande från skattemyndigheten, som genom regio</w:t>
      </w:r>
      <w:r w:rsidRPr="00896D4F">
        <w:t>n</w:t>
      </w:r>
      <w:r w:rsidRPr="00896D4F">
        <w:t>skattechefen Bertil Olofson anförde följande.</w:t>
      </w:r>
    </w:p>
    <w:p w:rsidR="009C1C5A" w:rsidRPr="00896D4F" w:rsidRDefault="009C1C5A">
      <w:pPr>
        <w:pStyle w:val="Citat"/>
      </w:pPr>
      <w:r w:rsidRPr="00896D4F">
        <w:t>Skattemyndigheten i Linköping beslutar att för 1999 års taxering inrätta ett restaurangprojekt för taxering av restauranger. Till projektledare förordnar myndigheten I.S. Enligt projektdirektiven från den 15 april 1999 ingår bl.a. revisorerna B.A. och B.K. i projektet.</w:t>
      </w:r>
    </w:p>
    <w:p w:rsidR="009C1C5A" w:rsidRPr="00896D4F" w:rsidRDefault="009C1C5A">
      <w:pPr>
        <w:pStyle w:val="Citatindrag"/>
      </w:pPr>
      <w:r w:rsidRPr="00896D4F">
        <w:t>Skattemyndigheten beslutar den 12 maj 1999 att revision skall göras hos H. AB (bolaget). Revisionen skall utföras av B.A. och B.K.</w:t>
      </w:r>
    </w:p>
    <w:p w:rsidR="009C1C5A" w:rsidRPr="00896D4F" w:rsidRDefault="009C1C5A">
      <w:pPr>
        <w:pStyle w:val="Citatindrag"/>
      </w:pPr>
      <w:r w:rsidRPr="00896D4F">
        <w:t>B.A. tar telefonkontakt med bolaget den 21 maj 1999 och det första bes</w:t>
      </w:r>
      <w:r w:rsidRPr="00896D4F">
        <w:t>ö</w:t>
      </w:r>
      <w:r w:rsidRPr="00896D4F">
        <w:t>ket hos bolaget sker tillsammans med B.K. den 27 maj 1999.</w:t>
      </w:r>
    </w:p>
    <w:p w:rsidR="009C1C5A" w:rsidRPr="00896D4F" w:rsidRDefault="009C1C5A">
      <w:pPr>
        <w:pStyle w:val="Rubrik5"/>
        <w:spacing w:before="250"/>
        <w:rPr>
          <w:i/>
        </w:rPr>
      </w:pPr>
      <w:r w:rsidRPr="00896D4F">
        <w:rPr>
          <w:i/>
        </w:rPr>
        <w:t>Bandinspelningen</w:t>
      </w:r>
    </w:p>
    <w:p w:rsidR="009C1C5A" w:rsidRPr="00896D4F" w:rsidRDefault="009C1C5A">
      <w:pPr>
        <w:pStyle w:val="Citat"/>
      </w:pPr>
      <w:r w:rsidRPr="00896D4F">
        <w:t>Inledningsvis kan sägas att skattemyndigheten tog brevet från bolagets ombud angående bandinspelning etc. med stort allvar. I brevet nämndes arbetsmet</w:t>
      </w:r>
      <w:r w:rsidRPr="00896D4F">
        <w:t>o</w:t>
      </w:r>
      <w:r w:rsidRPr="00896D4F">
        <w:t>der som är fjärran från myndighetens sätt att arbeta.</w:t>
      </w:r>
    </w:p>
    <w:p w:rsidR="009C1C5A" w:rsidRPr="00896D4F" w:rsidRDefault="009C1C5A">
      <w:pPr>
        <w:pStyle w:val="Citatindrag"/>
      </w:pPr>
      <w:r w:rsidRPr="00896D4F">
        <w:t>Skattemyndigheten igångsatte samma dag en intern utredning. Efter ko</w:t>
      </w:r>
      <w:r w:rsidRPr="00896D4F">
        <w:t>n</w:t>
      </w:r>
      <w:r w:rsidRPr="00896D4F">
        <w:t>takter med Rikskatteverket anlitade skattemyndigheten några dagar senare en person från annan skattemyndighet att utreda händelseförloppet. B.A. fick omgående ändrade arbetsuppgifter. Intervjuer hölls bl.a. med de två förordn</w:t>
      </w:r>
      <w:r w:rsidRPr="00896D4F">
        <w:t>a</w:t>
      </w:r>
      <w:r w:rsidRPr="00896D4F">
        <w:t>de revisorerna och projektledaren.</w:t>
      </w:r>
    </w:p>
    <w:p w:rsidR="009C1C5A" w:rsidRPr="00896D4F" w:rsidRDefault="009C1C5A">
      <w:pPr>
        <w:pStyle w:val="Citatindrag"/>
      </w:pPr>
      <w:r w:rsidRPr="00896D4F">
        <w:t>Revision skall ske i samverkan med den reviderade. Vid revisioner gör r</w:t>
      </w:r>
      <w:r w:rsidRPr="00896D4F">
        <w:t>e</w:t>
      </w:r>
      <w:r w:rsidRPr="00896D4F">
        <w:t>visorerna ett stort antal olika kontroller. Vid den typ av revision som nu är aktuell kan ingå kundräkning, dvs. att revisorn personligen efter överen</w:t>
      </w:r>
      <w:r w:rsidRPr="00896D4F">
        <w:t>s</w:t>
      </w:r>
      <w:r w:rsidRPr="00896D4F">
        <w:t>kommelse med den reviderade sitter i den reviderades affärslokal och räknar kunder och inköp. B.A. uppger vid samtal den 21 september 1999 med för</w:t>
      </w:r>
      <w:r w:rsidRPr="00896D4F">
        <w:t>e</w:t>
      </w:r>
      <w:r w:rsidRPr="00896D4F">
        <w:t>trädare för skattemyndigheten, med anledning av brevet den 7 september 1999 från bolagets advokat till regionskattechefen, att kundräkning skett g</w:t>
      </w:r>
      <w:r w:rsidRPr="00896D4F">
        <w:t>e</w:t>
      </w:r>
      <w:r w:rsidRPr="00896D4F">
        <w:t>nom bandinspelning. Anledningen till att kundräkningen gjordes gen</w:t>
      </w:r>
      <w:r w:rsidRPr="00896D4F">
        <w:t>om bandinspelning och inte genom att en av revisorerna satt ”ute” i affärslokalen var ”att både han och bolaget var överens om att det var smidigare och mindre störande att dokumentera med inspelning än att en ’kundräknare’ satt i lok</w:t>
      </w:r>
      <w:r w:rsidRPr="00896D4F">
        <w:t>a</w:t>
      </w:r>
      <w:r w:rsidRPr="00896D4F">
        <w:t>len”. B.A, som genomförde bandinspelningen, var under inspelning närvara</w:t>
      </w:r>
      <w:r w:rsidRPr="00896D4F">
        <w:t>n</w:t>
      </w:r>
      <w:r w:rsidRPr="00896D4F">
        <w:t>de och satt del av tiden i bolagets kök och en del i affärslokalen. Bandinspe</w:t>
      </w:r>
      <w:r w:rsidRPr="00896D4F">
        <w:t>l</w:t>
      </w:r>
      <w:r w:rsidRPr="00896D4F">
        <w:t>ningen ägde rum vid två tillfällen den 7 juni 1999. Vid ovannämnda samtal uppger B.A. ”att han uppfattat att det inte var någo</w:t>
      </w:r>
      <w:r w:rsidRPr="00896D4F">
        <w:t>n tvekan om att bolagets företrädare förstod att bandinspelningen skulle göras”. Någon skriftlig öve</w:t>
      </w:r>
      <w:r w:rsidRPr="00896D4F">
        <w:t>r</w:t>
      </w:r>
      <w:r w:rsidRPr="00896D4F">
        <w:t>enskommelse gjordes inte.</w:t>
      </w:r>
    </w:p>
    <w:p w:rsidR="009C1C5A" w:rsidRPr="00896D4F" w:rsidRDefault="009C1C5A">
      <w:pPr>
        <w:pStyle w:val="Citatindrag"/>
      </w:pPr>
      <w:r w:rsidRPr="00896D4F">
        <w:t xml:space="preserve">S.D. uppger att bandinspelning ägt rum ”helt utan mitt medgivande” </w:t>
      </w:r>
      <w:r w:rsidRPr="00896D4F">
        <w:br/>
      </w:r>
      <w:r w:rsidRPr="00896D4F">
        <w:rPr>
          <w:rFonts w:ascii="Garamond" w:hAnsi="Garamond"/>
        </w:rPr>
        <w:t>–</w:t>
      </w:r>
      <w:r w:rsidRPr="00896D4F">
        <w:t> </w:t>
      </w:r>
      <w:r w:rsidRPr="00896D4F">
        <w:rPr>
          <w:rFonts w:ascii="Garamond" w:hAnsi="Garamond"/>
        </w:rPr>
        <w:t>–</w:t>
      </w:r>
      <w:r w:rsidRPr="00896D4F">
        <w:t> </w:t>
      </w:r>
      <w:r w:rsidRPr="00896D4F">
        <w:rPr>
          <w:rFonts w:ascii="Garamond" w:hAnsi="Garamond"/>
        </w:rPr>
        <w:t>–</w:t>
      </w:r>
      <w:r w:rsidRPr="00896D4F">
        <w:t>. Som framgår ovan var B.A. av uppfattningen att de var överens om bandinspelningen. I.S. uppger att inköp av bandspelare aldrig skett om inte överen</w:t>
      </w:r>
      <w:r w:rsidRPr="00896D4F">
        <w:t>s</w:t>
      </w:r>
      <w:r w:rsidRPr="00896D4F">
        <w:t>kommelse förelegat.</w:t>
      </w:r>
    </w:p>
    <w:p w:rsidR="009C1C5A" w:rsidRPr="00896D4F" w:rsidRDefault="009C1C5A">
      <w:pPr>
        <w:pStyle w:val="Citatindrag"/>
      </w:pPr>
      <w:r w:rsidRPr="00896D4F">
        <w:t>Skattemyndigheten känner inte till att denna form av kundräkning skett t</w:t>
      </w:r>
      <w:r w:rsidRPr="00896D4F">
        <w:t>i</w:t>
      </w:r>
      <w:r w:rsidRPr="00896D4F">
        <w:t xml:space="preserve">digare vid myndigheten och har i brev den 16 oktober 1999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till bolagets advokat ansett metoden olämplig.</w:t>
      </w:r>
    </w:p>
    <w:p w:rsidR="009C1C5A" w:rsidRPr="00896D4F" w:rsidRDefault="009C1C5A">
      <w:pPr>
        <w:pStyle w:val="Citatindrag"/>
      </w:pPr>
      <w:r w:rsidRPr="00896D4F">
        <w:t>I brev den 7 september 1999 från bolagets advokat får jag som myndigh</w:t>
      </w:r>
      <w:r w:rsidRPr="00896D4F">
        <w:t>e</w:t>
      </w:r>
      <w:r w:rsidRPr="00896D4F">
        <w:t>tens chef kännedom om ovannämnda bandinspelning. B.A. kopplas omgåe</w:t>
      </w:r>
      <w:r w:rsidRPr="00896D4F">
        <w:t>n</w:t>
      </w:r>
      <w:r w:rsidRPr="00896D4F">
        <w:t>de bort från revisionen och omplaceras tillfälligt till nya arbetsuppgifter. Ny revisor utses senare och revisionen fullföljs.</w:t>
      </w:r>
    </w:p>
    <w:p w:rsidR="009C1C5A" w:rsidRPr="00896D4F" w:rsidRDefault="009C1C5A">
      <w:pPr>
        <w:pStyle w:val="Citatindrag"/>
      </w:pPr>
      <w:r w:rsidRPr="00896D4F">
        <w:t>Åklagarmyndigheten prövar för närvarande om bandinspelningen var olaglig.</w:t>
      </w:r>
    </w:p>
    <w:p w:rsidR="009C1C5A" w:rsidRPr="00896D4F" w:rsidRDefault="009C1C5A">
      <w:r w:rsidRPr="00896D4F">
        <w:t>Advokaten Christer Sackemark inkom, som befullmäktigat ombud för S.D. och bolaget, med ett yttrande. Av detta framgår bl.a. följande. I revisionsakten finns inte någon anteckning om att B.A. eller någon annan begärt samtycke eller tillstånd till bandupptagningen. Allmänt skall det ställas höga krav på dokumentationen hos skattemyndigheten för det fall myndigheten väljer att frångå sina gängse normer.</w:t>
      </w:r>
    </w:p>
    <w:p w:rsidR="009C1C5A" w:rsidRPr="00896D4F" w:rsidRDefault="009C1C5A">
      <w:pPr>
        <w:pStyle w:val="Normaltindrag"/>
      </w:pPr>
      <w:r w:rsidRPr="00896D4F">
        <w:t>Härefter inkom Christer Sackemark med intyg från fyra personer, som alla arbetade i restaurangen den 7 juni 1999, dvs. dagen för bandupptagningen. Samtliga intyg innehåller följande stycke.</w:t>
      </w:r>
    </w:p>
    <w:p w:rsidR="009C1C5A" w:rsidRPr="00896D4F" w:rsidRDefault="009C1C5A">
      <w:pPr>
        <w:pStyle w:val="Citat"/>
      </w:pPr>
      <w:r w:rsidRPr="00896D4F">
        <w:t>Jag får härmed intyga och bekräfta att B.A. inte begärde S.D:s samtycke att montera mikrofon eller göra bandupptagning i lokalen avseende honom eller H. AB:s kunder eller vi anställda. Ej heller har jag vid de samtal jag har a</w:t>
      </w:r>
      <w:r w:rsidRPr="00896D4F">
        <w:t>v</w:t>
      </w:r>
      <w:r w:rsidRPr="00896D4F">
        <w:t>hört hört S.D. lämna något samtycke till detta.</w:t>
      </w:r>
    </w:p>
    <w:p w:rsidR="009C1C5A" w:rsidRPr="00896D4F" w:rsidRDefault="009C1C5A">
      <w:r w:rsidRPr="00896D4F">
        <w:t>Den 21 juni 2001 inkom Christer Sackemark med ytterligare en skrift. Till denna var fogad kopior av handlingar rörande åklagarmyndighetens förunde</w:t>
      </w:r>
      <w:r w:rsidRPr="00896D4F">
        <w:t>r</w:t>
      </w:r>
      <w:r w:rsidRPr="00896D4F">
        <w:t>sökning. Av dessa framgår bl.a. att chefsåklagaren Anders Öjert, Åklaga</w:t>
      </w:r>
      <w:r w:rsidRPr="00896D4F">
        <w:t>r</w:t>
      </w:r>
      <w:r w:rsidRPr="00896D4F">
        <w:t>kammaren i Nyköping, den 20 mars 2001 beslutade att lägga ned förunde</w:t>
      </w:r>
      <w:r w:rsidRPr="00896D4F">
        <w:t>r</w:t>
      </w:r>
      <w:r w:rsidRPr="00896D4F">
        <w:t>sökningen därför att brott inte kan styrkas.</w:t>
      </w:r>
    </w:p>
    <w:p w:rsidR="009C1C5A" w:rsidRPr="00896D4F" w:rsidRDefault="009C1C5A">
      <w:pPr>
        <w:pStyle w:val="Normaltindrag"/>
      </w:pPr>
      <w:r w:rsidRPr="00896D4F">
        <w:t>Härefter anmodades Riksskatteverket (RSV) att yttra sig över vad som i ärendet framkommit om den av skattemyndigheten genomförda banduppta</w:t>
      </w:r>
      <w:r w:rsidRPr="00896D4F">
        <w:t>g</w:t>
      </w:r>
      <w:r w:rsidRPr="00896D4F">
        <w:t>ningen. Verket gjorde genom skattedirektören Monika Linder följande b</w:t>
      </w:r>
      <w:r w:rsidRPr="00896D4F">
        <w:t>e</w:t>
      </w:r>
      <w:r w:rsidRPr="00896D4F">
        <w:t>dömning.</w:t>
      </w:r>
    </w:p>
    <w:p w:rsidR="009C1C5A" w:rsidRPr="00896D4F" w:rsidRDefault="009C1C5A">
      <w:pPr>
        <w:pStyle w:val="Citat"/>
      </w:pPr>
      <w:r w:rsidRPr="00896D4F">
        <w:t>Grundläggande bestämmelser om taxeringsrevision finns bl.a. i 3 kap. tax</w:t>
      </w:r>
      <w:r w:rsidRPr="00896D4F">
        <w:t>e</w:t>
      </w:r>
      <w:r w:rsidRPr="00896D4F">
        <w:t>ringslagen (1990:324).</w:t>
      </w:r>
    </w:p>
    <w:p w:rsidR="009C1C5A" w:rsidRPr="00896D4F" w:rsidRDefault="009C1C5A">
      <w:pPr>
        <w:pStyle w:val="Citatindrag"/>
      </w:pPr>
      <w:r w:rsidRPr="00896D4F">
        <w:t>I 14 kap. skattebetalningslagen (1997:483), SBL, finns bestämmelser som gäller vid revision för kontroll av skatter och avgifter enligt nämnda lag. Hur en revision skall genomföras, vilka skyldigheter och befogenheter revisorn har m.m. regleras i taxeringslagen (jfr 14 kap. 7 § SBL).</w:t>
      </w:r>
    </w:p>
    <w:p w:rsidR="009C1C5A" w:rsidRPr="00896D4F" w:rsidRDefault="009C1C5A">
      <w:pPr>
        <w:pStyle w:val="Citatindrag"/>
      </w:pPr>
      <w:r w:rsidRPr="00896D4F">
        <w:t>RSV har med stöd av bl.a. 25 § taxeringsförordningen (1990:1236) utfä</w:t>
      </w:r>
      <w:r w:rsidRPr="00896D4F">
        <w:t>r</w:t>
      </w:r>
      <w:r w:rsidRPr="00896D4F">
        <w:t>dat föreskrifter om revision. De i ärendet aktuella föreskrifterna är RSFS 1998:19.</w:t>
      </w:r>
    </w:p>
    <w:p w:rsidR="009C1C5A" w:rsidRPr="00896D4F" w:rsidRDefault="009C1C5A">
      <w:pPr>
        <w:pStyle w:val="Citatindrag"/>
      </w:pPr>
      <w:r w:rsidRPr="00896D4F">
        <w:t>Det finns dock varken några bestämmelser eller några av RSV utfärdade föreskrifter om bandinspelningar såsom efterforskningsmetod.</w:t>
      </w:r>
    </w:p>
    <w:p w:rsidR="009C1C5A" w:rsidRPr="00896D4F" w:rsidRDefault="009C1C5A">
      <w:pPr>
        <w:pStyle w:val="Citatindrag"/>
      </w:pPr>
      <w:r w:rsidRPr="00896D4F">
        <w:t>Frågan om laglighet och lämplighet i olika efterforskningssituationer inom beskattningsverksamheten har varit föremål för JO:s bedömning i beslutet ”1984:1 JO om moderna efterforskningsmetoder i skatte- och kronofogd</w:t>
      </w:r>
      <w:r w:rsidRPr="00896D4F">
        <w:t>e</w:t>
      </w:r>
      <w:r w:rsidRPr="00896D4F">
        <w:t>myndigheternas verksamhet – en undersökning av laglighet och lämplighet”.</w:t>
      </w:r>
    </w:p>
    <w:p w:rsidR="009C1C5A" w:rsidRPr="00896D4F" w:rsidRDefault="009C1C5A">
      <w:pPr>
        <w:pStyle w:val="Citatindrag"/>
      </w:pPr>
      <w:r w:rsidRPr="00896D4F">
        <w:t>Såsom en allmän principdeklaration har JO i ovannämnda beslut utt</w:t>
      </w:r>
      <w:r w:rsidRPr="00896D4F">
        <w:t>a</w:t>
      </w:r>
      <w:r w:rsidRPr="00896D4F">
        <w:t>lat:</w:t>
      </w:r>
    </w:p>
    <w:p w:rsidR="009C1C5A" w:rsidRPr="00896D4F" w:rsidRDefault="009C1C5A">
      <w:pPr>
        <w:pStyle w:val="Citatindrag"/>
        <w:ind w:left="227" w:firstLine="0"/>
      </w:pPr>
      <w:r w:rsidRPr="00896D4F">
        <w:t>Så länge efterforskningsåtgärderna äger rum på allmänna eller enskilda platser dit allmänheten äger tillträde och i sig inte innefattar något brott (olovlig avlyssning, ofredande, förargelseväckande beteende, egenmäktigt förfarande etc.) finns inga närmare lagliga hinder mot dem. Så länge såd</w:t>
      </w:r>
      <w:r w:rsidRPr="00896D4F">
        <w:t>a</w:t>
      </w:r>
      <w:r w:rsidRPr="00896D4F">
        <w:t>na hinder generellt eller för speciella situationer (av typ lagen om TV-övervakning) inte uppställs av lagstiftaren får de i stället diskuteras i te</w:t>
      </w:r>
      <w:r w:rsidRPr="00896D4F">
        <w:t>r</w:t>
      </w:r>
      <w:r w:rsidRPr="00896D4F">
        <w:t>mer av lämplighet.</w:t>
      </w:r>
    </w:p>
    <w:p w:rsidR="009C1C5A" w:rsidRPr="00896D4F" w:rsidRDefault="009C1C5A">
      <w:pPr>
        <w:pStyle w:val="Citat"/>
      </w:pPr>
      <w:r w:rsidRPr="00896D4F">
        <w:t>Ärendet bör, mot bakgrund av det ovan anförda, avse om bandupptagningen var lämplig.</w:t>
      </w:r>
    </w:p>
    <w:p w:rsidR="009C1C5A" w:rsidRPr="00896D4F" w:rsidRDefault="009C1C5A">
      <w:pPr>
        <w:pStyle w:val="Citatindrag"/>
      </w:pPr>
      <w:r w:rsidRPr="00896D4F">
        <w:t>RSV delar här skattemyndighetens, i dess remissvar, redovisade inställning att åtgärden inte varit lämplig. RSV anser emellertid att kränkningen av den personliga integriteten, och då avses kränkningen av tredje man dvs. de ku</w:t>
      </w:r>
      <w:r w:rsidRPr="00896D4F">
        <w:t>n</w:t>
      </w:r>
      <w:r w:rsidRPr="00896D4F">
        <w:t>der som gjort beställningar eller inköp, här måste varit högst begränsad på grund av de närmast harmlösa uppgifter som, enligt vad RSV förstår, tagits upp på band.</w:t>
      </w:r>
    </w:p>
    <w:p w:rsidR="009C1C5A" w:rsidRPr="00896D4F" w:rsidRDefault="009C1C5A">
      <w:pPr>
        <w:pStyle w:val="Citatindrag"/>
      </w:pPr>
      <w:r w:rsidRPr="00896D4F">
        <w:t>Avslutningsvis vill RSV tillägga, att RSV i början av 2001 har tillsatt en arbetsgrupp att utarbeta ett underlag för riktlinjer beträffande efterforskning</w:t>
      </w:r>
      <w:r w:rsidRPr="00896D4F">
        <w:t>s</w:t>
      </w:r>
      <w:r w:rsidRPr="00896D4F">
        <w:t>åtgärder inom skattemyndigheternas beskattnings- och brottsutredande ver</w:t>
      </w:r>
      <w:r w:rsidRPr="00896D4F">
        <w:t>k</w:t>
      </w:r>
      <w:r w:rsidRPr="00896D4F">
        <w:t>samhet. Syftet har varit att ge skattemyndigheternas personal förbättrade och tydligare förutsättningar att bedriva kontrollverksamhet och brottsutredning med god kvalitet och hög rättssäkerhet. Arbetsgruppen kommer att redovisa sitt uppdrag i RSV-Rapporten 2002:4.</w:t>
      </w:r>
    </w:p>
    <w:p w:rsidR="009C1C5A" w:rsidRPr="00896D4F" w:rsidRDefault="009C1C5A">
      <w:r w:rsidRPr="00896D4F">
        <w:t>Christer Sackemark kommenterade yttrandet.</w:t>
      </w:r>
    </w:p>
    <w:p w:rsidR="009C1C5A" w:rsidRPr="00896D4F" w:rsidRDefault="009C1C5A">
      <w:r w:rsidRPr="00896D4F">
        <w:t xml:space="preserve">I sitt beslut den 27 mars 2002 gjorde </w:t>
      </w:r>
      <w:r w:rsidRPr="00896D4F">
        <w:rPr>
          <w:i/>
        </w:rPr>
        <w:t xml:space="preserve">JO Pennlöv </w:t>
      </w:r>
      <w:r w:rsidRPr="00896D4F">
        <w:t>följande uttalanden om den aktuella bandupptagningen.</w:t>
      </w:r>
    </w:p>
    <w:p w:rsidR="009C1C5A" w:rsidRPr="00896D4F" w:rsidRDefault="009C1C5A">
      <w:pPr>
        <w:pStyle w:val="Normaltindrag"/>
      </w:pPr>
      <w:r w:rsidRPr="00896D4F">
        <w:t xml:space="preserve">Skattemyndigheten skall se till att ärendena blir tillräckligt utredda, 3 kap. 1 § taxeringslagen (1990:324) </w:t>
      </w:r>
      <w:r w:rsidRPr="00896D4F">
        <w:rPr>
          <w:rFonts w:ascii="Garamond" w:hAnsi="Garamond"/>
        </w:rPr>
        <w:t>–</w:t>
      </w:r>
      <w:r w:rsidRPr="00896D4F">
        <w:t xml:space="preserve"> TL. I nämnda kapitel finns vissa bestämme</w:t>
      </w:r>
      <w:r w:rsidRPr="00896D4F">
        <w:t>l</w:t>
      </w:r>
      <w:r w:rsidRPr="00896D4F">
        <w:t>ser som behandlar utredning i revisionsärenden. Någon detaljreglering av en revisors befogenhet att vidta utredningsåtgärder finns dock inte. Det är i sammanhanget viktigt att notera att en revision enligt 3 kap. 10 § första styc</w:t>
      </w:r>
      <w:r w:rsidRPr="00896D4F">
        <w:t>k</w:t>
      </w:r>
      <w:r w:rsidRPr="00896D4F">
        <w:t>et TL skall bedrivas i samverkan med den reviderade och på ett sådant sätt att den inte onödigt hindrar verksamheten. Skulle dock den reviderade inte sa</w:t>
      </w:r>
      <w:r w:rsidRPr="00896D4F">
        <w:t>m</w:t>
      </w:r>
      <w:r w:rsidRPr="00896D4F">
        <w:t>verka finns bestämmelser om vite i 12 § fjärde stycket samma kapitel och om andra två</w:t>
      </w:r>
      <w:r w:rsidRPr="00896D4F">
        <w:t>ngsåtgärder i lagen (1994:466) om särskilda tvångsåtgärder i b</w:t>
      </w:r>
      <w:r w:rsidRPr="00896D4F">
        <w:t>e</w:t>
      </w:r>
      <w:r w:rsidRPr="00896D4F">
        <w:t>skattningsförfarandet.</w:t>
      </w:r>
    </w:p>
    <w:p w:rsidR="009C1C5A" w:rsidRPr="00896D4F" w:rsidRDefault="009C1C5A">
      <w:pPr>
        <w:pStyle w:val="Normaltindrag"/>
      </w:pPr>
      <w:r w:rsidRPr="00896D4F">
        <w:t>Frågan i denna del av ärendet är bl.a. om skattemyndigheten i sin utre</w:t>
      </w:r>
      <w:r w:rsidRPr="00896D4F">
        <w:t>d</w:t>
      </w:r>
      <w:r w:rsidRPr="00896D4F">
        <w:t>ningsverksamhet har befogenhet att använda sig av bandupptagning som efterforskningsmetod.</w:t>
      </w:r>
    </w:p>
    <w:p w:rsidR="009C1C5A" w:rsidRPr="00896D4F" w:rsidRDefault="009C1C5A">
      <w:pPr>
        <w:pStyle w:val="Normaltindrag"/>
      </w:pPr>
      <w:r w:rsidRPr="00896D4F">
        <w:t>Det går inte att generellt besvara frågan hur långt en skattemyndighets e</w:t>
      </w:r>
      <w:r w:rsidRPr="00896D4F">
        <w:t>f</w:t>
      </w:r>
      <w:r w:rsidRPr="00896D4F">
        <w:t>terforskningsbefogenheter sträcker sig. Som RSV anfört är det, under föru</w:t>
      </w:r>
      <w:r w:rsidRPr="00896D4F">
        <w:t>t</w:t>
      </w:r>
      <w:r w:rsidRPr="00896D4F">
        <w:t>sättning att åtgärden är laglig, en lämplighetsfråga. I utredningsverksamheten skall givetvis kraven på opartiskhet och saklighet i 1 kap. 9 § regeringsformen iakttas. Det ankommer även på revisorn att beakta behovs- och proportion</w:t>
      </w:r>
      <w:r w:rsidRPr="00896D4F">
        <w:t>a</w:t>
      </w:r>
      <w:r w:rsidRPr="00896D4F">
        <w:t>litetsprinciperna.</w:t>
      </w:r>
    </w:p>
    <w:p w:rsidR="009C1C5A" w:rsidRPr="00896D4F" w:rsidRDefault="009C1C5A">
      <w:pPr>
        <w:pStyle w:val="Normaltindrag"/>
      </w:pPr>
      <w:r w:rsidRPr="00896D4F">
        <w:t>Rent principiellt anser jag att bandupptagning som efterforskningsmetod bara skall användas i rena undantagsfall då mycket tungt vägande skäl kan anföras för det och andra metoder bedöms</w:t>
      </w:r>
      <w:r w:rsidRPr="00896D4F">
        <w:t xml:space="preserve"> som helt olämpliga. Givetvis skall metoden användas endast när den reviderade samtycker till det. Ett sådant samtycke skall på lämpligt sätt dokumenteras så att det i efterhand inte kan ifrågasättas. Jag anser vidare att ett beslut om en sådan åtgärd skall fattas på chefsnivå och i erforderlig mån dokumenteras. Slutligen vill jag understryka att metoden, enligt min mening, endast bör användas när det kan ske utan risk för skador för den personliga integriteten.</w:t>
      </w:r>
    </w:p>
    <w:p w:rsidR="009C1C5A" w:rsidRPr="00896D4F" w:rsidRDefault="009C1C5A">
      <w:pPr>
        <w:pStyle w:val="Normaltindrag"/>
      </w:pPr>
      <w:r w:rsidRPr="00896D4F">
        <w:t xml:space="preserve">Jag kan inte uttala mig om skattemyndigheten </w:t>
      </w:r>
      <w:r w:rsidRPr="00896D4F">
        <w:t>hade fog för sitt ställning</w:t>
      </w:r>
      <w:r w:rsidRPr="00896D4F">
        <w:t>s</w:t>
      </w:r>
      <w:r w:rsidRPr="00896D4F">
        <w:t>tagande att använda bandupptagning som efterforskningsmetod. Såvitt fra</w:t>
      </w:r>
      <w:r w:rsidRPr="00896D4F">
        <w:t>m</w:t>
      </w:r>
      <w:r w:rsidRPr="00896D4F">
        <w:t>kommit har åtgärden varit förankrad hos projektledaren, men något dok</w:t>
      </w:r>
      <w:r w:rsidRPr="00896D4F">
        <w:t>u</w:t>
      </w:r>
      <w:r w:rsidRPr="00896D4F">
        <w:t>menterat beslut om åtgärden förefaller inte finnas. Vad gäller frågan om samtycke funnits föreligger motstridiga uppfattningar. Ett samtycke från den reviderade skulle dock ha dokumenterats. Jag är självfallet kritisk till briste</w:t>
      </w:r>
      <w:r w:rsidRPr="00896D4F">
        <w:t>r</w:t>
      </w:r>
      <w:r w:rsidRPr="00896D4F">
        <w:t>na i handläggningen i aktuellt hänseende.</w:t>
      </w:r>
    </w:p>
    <w:p w:rsidR="009C1C5A" w:rsidRPr="00896D4F" w:rsidRDefault="009C1C5A">
      <w:pPr>
        <w:pStyle w:val="Rubrik2"/>
      </w:pPr>
      <w:r w:rsidRPr="00896D4F">
        <w:t>En skattemyndighets handläggning av ett överklagande, bl.a. fråga om d</w:t>
      </w:r>
      <w:r w:rsidRPr="00896D4F">
        <w:t>en skattskyldiges återkallelse av överklagandet och återtagande av återkallelsen</w:t>
      </w:r>
    </w:p>
    <w:p w:rsidR="009C1C5A" w:rsidRPr="00896D4F" w:rsidRDefault="009C1C5A">
      <w:pPr>
        <w:spacing w:before="0"/>
      </w:pPr>
      <w:r w:rsidRPr="00896D4F">
        <w:t>(Dnr 1183-2001)</w:t>
      </w:r>
    </w:p>
    <w:p w:rsidR="009C1C5A" w:rsidRPr="00896D4F" w:rsidRDefault="009C1C5A">
      <w:r w:rsidRPr="00896D4F">
        <w:rPr>
          <w:i/>
        </w:rPr>
        <w:t xml:space="preserve">JO Pennlöv </w:t>
      </w:r>
      <w:r w:rsidRPr="00896D4F">
        <w:t>meddelade den 12 oktober 2001 följande beslut.</w:t>
      </w:r>
    </w:p>
    <w:p w:rsidR="009C1C5A" w:rsidRPr="00896D4F" w:rsidRDefault="009C1C5A">
      <w:pPr>
        <w:pStyle w:val="Rubrik3"/>
      </w:pPr>
      <w:r w:rsidRPr="00896D4F">
        <w:t>Anmälan</w:t>
      </w:r>
    </w:p>
    <w:p w:rsidR="009C1C5A" w:rsidRPr="00896D4F" w:rsidRDefault="009C1C5A">
      <w:r w:rsidRPr="00896D4F">
        <w:t>H.S. klagade på skattemyndighetens handläggning av ett ärende rörande me</w:t>
      </w:r>
      <w:r w:rsidRPr="00896D4F">
        <w:t>r</w:t>
      </w:r>
      <w:r w:rsidRPr="00896D4F">
        <w:t>värdesskatt.</w:t>
      </w:r>
    </w:p>
    <w:p w:rsidR="009C1C5A" w:rsidRPr="00896D4F" w:rsidRDefault="009C1C5A">
      <w:pPr>
        <w:pStyle w:val="Rubrik3"/>
      </w:pPr>
      <w:r w:rsidRPr="00896D4F">
        <w:t>Utredning</w:t>
      </w:r>
    </w:p>
    <w:p w:rsidR="009C1C5A" w:rsidRPr="00896D4F" w:rsidRDefault="009C1C5A">
      <w:r w:rsidRPr="00896D4F">
        <w:t>Den aktuella akten hämtades in och granskades. Härefter upprättade för</w:t>
      </w:r>
      <w:r w:rsidRPr="00896D4F">
        <w:t>e</w:t>
      </w:r>
      <w:r w:rsidRPr="00896D4F">
        <w:t>draganden i ärendet en promemoria med följande innehåll.</w:t>
      </w:r>
    </w:p>
    <w:p w:rsidR="009C1C5A" w:rsidRPr="00896D4F" w:rsidRDefault="009C1C5A">
      <w:pPr>
        <w:pStyle w:val="Citat"/>
      </w:pPr>
      <w:r w:rsidRPr="00896D4F">
        <w:t>H.S. har i en anmälan, som kom in till JO den 26 mars 2001, klagat på ska</w:t>
      </w:r>
      <w:r w:rsidRPr="00896D4F">
        <w:t>t</w:t>
      </w:r>
      <w:r w:rsidRPr="00896D4F">
        <w:t>temyndighetens handläggning av ett mervärdesskatteärende. Av anmälan och de handlingar som H.S. har fogat till denna framgår att han bl.a. är missnöjd med myndighetens dröjsmål med att överlämna ett överklagande till länsrätt.</w:t>
      </w:r>
    </w:p>
    <w:p w:rsidR="009C1C5A" w:rsidRPr="00896D4F" w:rsidRDefault="009C1C5A">
      <w:pPr>
        <w:pStyle w:val="Citatindrag"/>
      </w:pPr>
      <w:r w:rsidRPr="00896D4F">
        <w:t>Skattemyndighetens akt har hämtats in och granskats. Av akten framgår i huvudsak följande.</w:t>
      </w:r>
    </w:p>
    <w:p w:rsidR="009C1C5A" w:rsidRPr="00896D4F" w:rsidRDefault="009C1C5A">
      <w:pPr>
        <w:pStyle w:val="Citatindrag"/>
      </w:pPr>
      <w:r w:rsidRPr="00896D4F">
        <w:t>H.S. har den 8 mars 1996 inkommit till skattemyndigheten med ett öve</w:t>
      </w:r>
      <w:r w:rsidRPr="00896D4F">
        <w:t>r</w:t>
      </w:r>
      <w:r w:rsidRPr="00896D4F">
        <w:t>klagande av ett omprövningsbeslut daterat den 1 februari 1996. Den 13 mars 1996 har han kommit in med ett överklagande av ett omprövningsbeslut dat</w:t>
      </w:r>
      <w:r w:rsidRPr="00896D4F">
        <w:t>e</w:t>
      </w:r>
      <w:r w:rsidRPr="00896D4F">
        <w:t>rat den 3 maj 1994. I en skrift daterad den 15 juli 1996 har han återkallat överklagandena. Härefter har han den 3 april 1998 kommit in med en skrift i vilken han återtagit återkallelsen. Ingen av de nämnda handlingarna har, såvitt framgår, föranlett någon handläggning</w:t>
      </w:r>
      <w:r w:rsidRPr="00896D4F">
        <w:t>s</w:t>
      </w:r>
      <w:r w:rsidRPr="00896D4F">
        <w:t>åtgärd från skattemyndighetens sida.</w:t>
      </w:r>
    </w:p>
    <w:p w:rsidR="009C1C5A" w:rsidRPr="00896D4F" w:rsidRDefault="009C1C5A">
      <w:pPr>
        <w:pStyle w:val="Citatindrag"/>
      </w:pPr>
      <w:r w:rsidRPr="00896D4F">
        <w:t>Skattemyndigheten bör yttra sig över handläggningen av ä</w:t>
      </w:r>
      <w:r w:rsidRPr="00896D4F">
        <w:t>rendet i nämnt avseende.</w:t>
      </w:r>
    </w:p>
    <w:p w:rsidR="009C1C5A" w:rsidRPr="00896D4F" w:rsidRDefault="009C1C5A">
      <w:r w:rsidRPr="00896D4F">
        <w:t>Ärendet remitterades till skattemyndigheten, som genom regionskattechefen Henrik Konkel anförde i huvudsak följande.</w:t>
      </w:r>
    </w:p>
    <w:p w:rsidR="009C1C5A" w:rsidRPr="00896D4F" w:rsidRDefault="009C1C5A">
      <w:pPr>
        <w:pStyle w:val="Citat"/>
      </w:pPr>
      <w:r w:rsidRPr="00896D4F">
        <w:t>– – –</w:t>
      </w:r>
    </w:p>
    <w:p w:rsidR="009C1C5A" w:rsidRPr="00896D4F" w:rsidRDefault="009C1C5A">
      <w:pPr>
        <w:pStyle w:val="Citat"/>
      </w:pPr>
      <w:r w:rsidRPr="00896D4F">
        <w:t>Överklagandena av de aktuella omprövningsbesluten har ingivits till skatt</w:t>
      </w:r>
      <w:r w:rsidRPr="00896D4F">
        <w:t>e</w:t>
      </w:r>
      <w:r w:rsidRPr="00896D4F">
        <w:t>myndigheten den 8 och 13 mars 1996. Den ingivna återkallelsen av överkl</w:t>
      </w:r>
      <w:r w:rsidRPr="00896D4F">
        <w:t>a</w:t>
      </w:r>
      <w:r w:rsidRPr="00896D4F">
        <w:t>gandena av den 15 juli 1996 har såvitt framgår av utredningen inte föranlett någon annan åtgärd än att handlingen tillförts H.S:s skatteakt. Såväl diarief</w:t>
      </w:r>
      <w:r w:rsidRPr="00896D4F">
        <w:t>ö</w:t>
      </w:r>
      <w:r w:rsidRPr="00896D4F">
        <w:t>ring som bekräftelse till H.S. att handlingen inkommit till skattemyndigheten saknas.</w:t>
      </w:r>
    </w:p>
    <w:p w:rsidR="009C1C5A" w:rsidRPr="00896D4F" w:rsidRDefault="009C1C5A">
      <w:pPr>
        <w:pStyle w:val="Citatindrag"/>
      </w:pPr>
      <w:r w:rsidRPr="00896D4F">
        <w:t>Skrivelsen av den 28 mars 1998 har inkommit till skattemyndigheten den 3 april 1998. I den återtar H.S. den tidigare ingivna återkallelsen av överkl</w:t>
      </w:r>
      <w:r w:rsidRPr="00896D4F">
        <w:t>a</w:t>
      </w:r>
      <w:r w:rsidRPr="00896D4F">
        <w:t>gandena. Skattehandläggaren H.Ö. har, enligt sitt yttrande, tagit telefonko</w:t>
      </w:r>
      <w:r w:rsidRPr="00896D4F">
        <w:t>n</w:t>
      </w:r>
      <w:r w:rsidRPr="00896D4F">
        <w:t>takt med H.S. med anledning av den ingivna skrivelsen. Vid telefonsamtalet har H.Ö. bibringats uppfattningen att H.S. inte längre stod kvar vid sitt öve</w:t>
      </w:r>
      <w:r w:rsidRPr="00896D4F">
        <w:t>r</w:t>
      </w:r>
      <w:r w:rsidRPr="00896D4F">
        <w:t>klagande av omprövningsbesluten. Denna omständighet har såvitt framgår av utredningen medfört att någon ytterligare handläggning av ärendet inte för</w:t>
      </w:r>
      <w:r w:rsidRPr="00896D4F">
        <w:t>e</w:t>
      </w:r>
      <w:r w:rsidRPr="00896D4F">
        <w:t>kommit. Såväl skriftlig bekräftelse som tjänsteanteckningar om telefonsa</w:t>
      </w:r>
      <w:r w:rsidRPr="00896D4F">
        <w:t>m</w:t>
      </w:r>
      <w:r w:rsidRPr="00896D4F">
        <w:t>talet saknas.</w:t>
      </w:r>
    </w:p>
    <w:p w:rsidR="009C1C5A" w:rsidRPr="00896D4F" w:rsidRDefault="009C1C5A">
      <w:pPr>
        <w:pStyle w:val="Citat"/>
      </w:pPr>
      <w:r w:rsidRPr="00896D4F">
        <w:t>– – –</w:t>
      </w:r>
    </w:p>
    <w:p w:rsidR="009C1C5A" w:rsidRPr="00896D4F" w:rsidRDefault="009C1C5A">
      <w:pPr>
        <w:pStyle w:val="Citat"/>
      </w:pPr>
      <w:r w:rsidRPr="00896D4F">
        <w:t>Skattemyndigheten i Västerås konstaterar att det uppenbarligen uppstått mis</w:t>
      </w:r>
      <w:r w:rsidRPr="00896D4F">
        <w:t>s</w:t>
      </w:r>
      <w:r w:rsidRPr="00896D4F">
        <w:t>förstånd mellan H.S. och H.Ö. om den vidare handläggningen av överklaga</w:t>
      </w:r>
      <w:r w:rsidRPr="00896D4F">
        <w:t>n</w:t>
      </w:r>
      <w:r w:rsidRPr="00896D4F">
        <w:t>deärendena vid det aktuella telefonsamtalet. De anmärkningar som kan riktas mot handläggningen är avsaknaden av vederbörliga tjänsteanteckningar och handläggningsåtgärder med anledning av de i</w:t>
      </w:r>
      <w:r w:rsidRPr="00896D4F">
        <w:t>n</w:t>
      </w:r>
      <w:r w:rsidRPr="00896D4F">
        <w:t>givna skrivelserna.</w:t>
      </w:r>
    </w:p>
    <w:p w:rsidR="009C1C5A" w:rsidRPr="00896D4F" w:rsidRDefault="009C1C5A">
      <w:r w:rsidRPr="00896D4F">
        <w:t>H.S. har beretts tillfälle att yttra sig över remissvaret, men har inte hörts av.</w:t>
      </w:r>
    </w:p>
    <w:p w:rsidR="009C1C5A" w:rsidRPr="00896D4F" w:rsidRDefault="009C1C5A">
      <w:pPr>
        <w:pStyle w:val="Rubrik3"/>
      </w:pPr>
      <w:r w:rsidRPr="00896D4F">
        <w:t>Bedömning</w:t>
      </w:r>
    </w:p>
    <w:p w:rsidR="009C1C5A" w:rsidRPr="00896D4F" w:rsidRDefault="009C1C5A">
      <w:r w:rsidRPr="00896D4F">
        <w:t xml:space="preserve">Jag vill inledningsvis redogöra för förvaltningslagens (1986:223) – FL </w:t>
      </w:r>
      <w:r w:rsidRPr="00896D4F">
        <w:rPr>
          <w:rFonts w:ascii="Garamond" w:hAnsi="Garamond"/>
        </w:rPr>
        <w:t>–</w:t>
      </w:r>
      <w:r w:rsidRPr="00896D4F">
        <w:t xml:space="preserve"> al</w:t>
      </w:r>
      <w:r w:rsidRPr="00896D4F">
        <w:t>l</w:t>
      </w:r>
      <w:r w:rsidRPr="00896D4F">
        <w:t>männa krav på handläggning i aktuellt avseende.</w:t>
      </w:r>
    </w:p>
    <w:p w:rsidR="009C1C5A" w:rsidRPr="00896D4F" w:rsidRDefault="009C1C5A">
      <w:pPr>
        <w:pStyle w:val="Normaltindrag"/>
      </w:pPr>
      <w:r w:rsidRPr="00896D4F">
        <w:t>När en överklagandeskrift kommer in till den myndighet som har meddelat det överklagade beslutet, skall myndigheten pröva om skrivelsen kommit in i rätt tid. Har skrivelsen kommit in för sent, skall den som regel avvisas (24 § FL). Om överklagandet inte avvisas, skall överklagandeskriften och övriga handlingar i ärendet överlämnas till den myndighet som skall pröva överkl</w:t>
      </w:r>
      <w:r w:rsidRPr="00896D4F">
        <w:t>a</w:t>
      </w:r>
      <w:r w:rsidRPr="00896D4F">
        <w:t>gandet (25 § FL).</w:t>
      </w:r>
    </w:p>
    <w:p w:rsidR="009C1C5A" w:rsidRPr="00896D4F" w:rsidRDefault="009C1C5A">
      <w:pPr>
        <w:pStyle w:val="Normaltindrag"/>
      </w:pPr>
      <w:r w:rsidRPr="00896D4F">
        <w:t>I 27 § FL finns bestämmelser om omprövning av beslut. I paragrafen för</w:t>
      </w:r>
      <w:r w:rsidRPr="00896D4F">
        <w:t>e</w:t>
      </w:r>
      <w:r w:rsidRPr="00896D4F">
        <w:t>skrivs att en myndighet skall ändra ett beslut, som den har meddelat som första instans, om den finner att beslutet är uppenbart oriktigt på grund av nya omständigheter eller av någon annan anledning och om ändring kan ske snabbt och enkelt och utan att det blir till nackdel för någon enskild part. Skyldigheten gäller även om beslutet överklagas, såvida inte klaganden begär att beslutet tills vidare inte skall gälla (inhibition). Av 28 § första stycket samma lag framgår att ett överklagande av en myndighet</w:t>
      </w:r>
      <w:r w:rsidRPr="00896D4F">
        <w:t>s beslut förfaller, om myndigheten själv ändrar beslutet såsom klaganden begär. I så fall tillämpas inte 24 och 25 §§. Ändrar myndigheten beslutet på annat sätt än klaganden begär, skall överklagandet enligt andra stycket i samma paragraf anses o</w:t>
      </w:r>
      <w:r w:rsidRPr="00896D4F">
        <w:t>m</w:t>
      </w:r>
      <w:r w:rsidRPr="00896D4F">
        <w:t>fatta det nya beslutet, om inte avvisning skall ske enligt 24 §.</w:t>
      </w:r>
    </w:p>
    <w:p w:rsidR="009C1C5A" w:rsidRPr="00896D4F" w:rsidRDefault="009C1C5A">
      <w:pPr>
        <w:pStyle w:val="Normaltindrag"/>
      </w:pPr>
      <w:r w:rsidRPr="00896D4F">
        <w:t>Förvaltningslagen anger således två specifika situationer när ett överkl</w:t>
      </w:r>
      <w:r w:rsidRPr="00896D4F">
        <w:t>a</w:t>
      </w:r>
      <w:r w:rsidRPr="00896D4F">
        <w:t>gandeärende skall avslutas hos den myndighet som fattat det överklagade beslutet. Detta sker dels när rättidsprövningen utfaller negativt (24 §), dels när omprövning medför att beslutet ändras såsom klaganden begärt (28 §). Jag har tidigare uttalat att dessa stadganden inte bör tolkas extensivt och att frågan om ett ärende skall avslutas till följd av att ett överklagande återkallas hos beslutsmyndigheten därför bör avgöras av besvärsinstansen (se JO:s ämbet</w:t>
      </w:r>
      <w:r w:rsidRPr="00896D4F">
        <w:t>s</w:t>
      </w:r>
      <w:r w:rsidRPr="00896D4F">
        <w:t>berättelse 1992/93 s. 463 och 1997/98 s. 411).</w:t>
      </w:r>
    </w:p>
    <w:p w:rsidR="009C1C5A" w:rsidRPr="00896D4F" w:rsidRDefault="009C1C5A">
      <w:pPr>
        <w:pStyle w:val="Normaltindrag"/>
      </w:pPr>
      <w:r w:rsidRPr="00896D4F">
        <w:t>F</w:t>
      </w:r>
      <w:r w:rsidRPr="00896D4F">
        <w:t>ör taxeringsärenden har skattemyndigheterna enligt 3 § FL att tillämpa de specialregler som finns i taxeringslagen (1990:324) – TL. Enligt 6 kap. 5 § TL skall skattemyndigheten pröva om ett överklagande av ett taxeringsbeslut kommit in i rätt tid. Har överklagandet kommit in för sent, skall det som regel avvisas. Denna bestämmelse motsvarar i princip 24 § FL. Reglerna i TL om omprövning efter överklagande av ett taxeringsbeslut skiljer sig däremot i allt väsentligt från reglerna i FL. Enligt 6 kap. 6 § förs</w:t>
      </w:r>
      <w:r w:rsidRPr="00896D4F">
        <w:t>ta stycket TL skall skatt</w:t>
      </w:r>
      <w:r w:rsidRPr="00896D4F">
        <w:t>e</w:t>
      </w:r>
      <w:r w:rsidRPr="00896D4F">
        <w:t>myndigheten som huvudregel snarast ompröva det överklagade beslutet. E</w:t>
      </w:r>
      <w:r w:rsidRPr="00896D4F">
        <w:t>n</w:t>
      </w:r>
      <w:r w:rsidRPr="00896D4F">
        <w:t>ligt andra stycket i samma paragraf förfaller ett överklagande, om skattemy</w:t>
      </w:r>
      <w:r w:rsidRPr="00896D4F">
        <w:t>n</w:t>
      </w:r>
      <w:r w:rsidRPr="00896D4F">
        <w:t>digheten ändrar beslutet såsom den skattskyldige begär. Om myndigheten ändrar beslutet på annat sätt än den skattskyldige begär, skall överklagandet enligt tredje stycket anses omfatta det nya beslutet. Finns skäl för det, får myndigheten lämna den skattskyldige tillfälle att återkalla överklagandet. Av 6 kap. 7 § samma lag framgår att o</w:t>
      </w:r>
      <w:r w:rsidRPr="00896D4F">
        <w:t>m överklagandet inte avvisas enligt 5 § eller förfaller enligt 6 §, skall skattemyndigheten överlämna överklagandet, sitt omprövningsbeslut och övriga handlingar i ärendet till länsrätten.</w:t>
      </w:r>
    </w:p>
    <w:p w:rsidR="009C1C5A" w:rsidRPr="00896D4F" w:rsidRDefault="009C1C5A">
      <w:pPr>
        <w:pStyle w:val="Normaltindrag"/>
      </w:pPr>
      <w:r w:rsidRPr="00896D4F">
        <w:t>Vid den nya taxeringslagens tillkomst framhölls tydligt att alla otvistiga frågor skulle avgöras på skattemyndighetsnivå. Av denna anledning infördes bestämmelsen i 6 kap. 6 § tredje stycket att skattemyndigheten kan bereda den skattskyldige tillfälle att återkalla sin talan. Bestämmelsen avser t.ex. situationer där den s</w:t>
      </w:r>
      <w:r w:rsidRPr="00896D4F">
        <w:t>kattskyldiges yrkanden i allt väsentligt har bifallits eller en utförlig beslutsmotivering kan ha rett ut en tidigare oklarhet. Återkallar den skattskyldige överklagandet skall skattemyndigheten avskriva ärendet (se prop. 1989/90:74 s. 320 och 414).</w:t>
      </w:r>
    </w:p>
    <w:p w:rsidR="009C1C5A" w:rsidRPr="00896D4F" w:rsidRDefault="009C1C5A">
      <w:pPr>
        <w:pStyle w:val="Normaltindrag"/>
      </w:pPr>
      <w:r w:rsidRPr="00896D4F">
        <w:t>I detta fall kom H.S:s överklaganden in till skattemyndigheten den 8 och 13 mars 1996. Skattemyndigheten hade då att pröva om överklagandena kommit in i rätt tid och, vid sådant förhållande, snarast ompröva de överkl</w:t>
      </w:r>
      <w:r w:rsidRPr="00896D4F">
        <w:t>a</w:t>
      </w:r>
      <w:r w:rsidRPr="00896D4F">
        <w:t>gade besluten. Myndigheten hade, såvitt framkommit, inte vidtagit några åtgärder med anledning av överklagandena när H.S. inkom med en återkalle</w:t>
      </w:r>
      <w:r w:rsidRPr="00896D4F">
        <w:t>l</w:t>
      </w:r>
      <w:r w:rsidRPr="00896D4F">
        <w:t xml:space="preserve">se av dessa, daterad den 15 juli 1996. Inte heller den skriften föranledde </w:t>
      </w:r>
      <w:r w:rsidRPr="00896D4F">
        <w:rPr>
          <w:rFonts w:ascii="Garamond" w:hAnsi="Garamond"/>
        </w:rPr>
        <w:t>–</w:t>
      </w:r>
      <w:r w:rsidRPr="00896D4F">
        <w:t xml:space="preserve"> anmär</w:t>
      </w:r>
      <w:r w:rsidRPr="00896D4F">
        <w:t>k</w:t>
      </w:r>
      <w:r w:rsidRPr="00896D4F">
        <w:t xml:space="preserve">ningsvärt nog </w:t>
      </w:r>
      <w:r w:rsidRPr="00896D4F">
        <w:rPr>
          <w:rFonts w:ascii="Garamond" w:hAnsi="Garamond"/>
        </w:rPr>
        <w:t>–</w:t>
      </w:r>
      <w:r w:rsidRPr="00896D4F">
        <w:t xml:space="preserve"> någon handlingsåtgärd från myndighetens sida.</w:t>
      </w:r>
    </w:p>
    <w:p w:rsidR="009C1C5A" w:rsidRPr="00896D4F" w:rsidRDefault="009C1C5A">
      <w:pPr>
        <w:pStyle w:val="Normaltindrag"/>
      </w:pPr>
      <w:r w:rsidRPr="00896D4F">
        <w:t>Här uppkommer då frågan vad myndigheten, efter att återkallelsen i</w:t>
      </w:r>
      <w:r w:rsidRPr="00896D4F">
        <w:t>n</w:t>
      </w:r>
      <w:r w:rsidRPr="00896D4F">
        <w:t>kommit, bort vidta för åtgärd. Situationen är ju här en annan än den som avses i 6 kap. 6 § tredje stycket TL, eftersom återkallelsen kom in till skattemy</w:t>
      </w:r>
      <w:r w:rsidRPr="00896D4F">
        <w:t>n</w:t>
      </w:r>
      <w:r w:rsidRPr="00896D4F">
        <w:t>digheten innan myndigheten hunnit fatta sitt omprövningsbeslut. Jag finner dock härvid inte något bärande skäl för varför handläggningsordningen i den nu aktuella situationen skulle vara annorlunda än den när skattemyndigheten hunnit göra sin omprövning. Skattemyndigheten bör således enligt min m</w:t>
      </w:r>
      <w:r w:rsidRPr="00896D4F">
        <w:t>e</w:t>
      </w:r>
      <w:r w:rsidRPr="00896D4F">
        <w:t>ning i en situation som den förevarande, dvs. när en återk</w:t>
      </w:r>
      <w:r w:rsidRPr="00896D4F">
        <w:t>allelse kommer in till myndigheten innan den gjort sin omprövning, vara behörig att skriva av ärendet. En sådan ordning överensstämmer rimligen också med lagstiftarens intentioner med TL.</w:t>
      </w:r>
    </w:p>
    <w:p w:rsidR="009C1C5A" w:rsidRPr="00896D4F" w:rsidRDefault="009C1C5A">
      <w:pPr>
        <w:pStyle w:val="Normaltindrag"/>
      </w:pPr>
      <w:r w:rsidRPr="00896D4F">
        <w:t>Den 3 april 1998 gav H.S. in ett återtagande av den tidigare återkallelsen. Att ett återtagande av en återkallelse medför att överklagandet skall handlä</w:t>
      </w:r>
      <w:r w:rsidRPr="00896D4F">
        <w:t>g</w:t>
      </w:r>
      <w:r w:rsidRPr="00896D4F">
        <w:t>gas som om det inte återkallats framgår av rättsfallet RÅ 1994 ref. 77. Ska</w:t>
      </w:r>
      <w:r w:rsidRPr="00896D4F">
        <w:t>t</w:t>
      </w:r>
      <w:r w:rsidRPr="00896D4F">
        <w:t>temyndigheten skulle således efter nämnda tidpunkt ha handlagt överklaga</w:t>
      </w:r>
      <w:r w:rsidRPr="00896D4F">
        <w:t>n</w:t>
      </w:r>
      <w:r w:rsidRPr="00896D4F">
        <w:t>dena i vanlig ordning. Myndigheten har i remissvaret i detta avseende anfört att handläggaren i ärendet i samband med ett telefonsamtal med H.S. fått uppfattningen att denne inte kvarstod vid sina överklaganden. Jag vill här påpeka att ett muntligt återkallande av ett överklagande inte utgör grund för avskri</w:t>
      </w:r>
      <w:r w:rsidRPr="00896D4F">
        <w:t>v</w:t>
      </w:r>
      <w:r w:rsidRPr="00896D4F">
        <w:t>ning (se RÅ 79 2:36).</w:t>
      </w:r>
    </w:p>
    <w:p w:rsidR="009C1C5A" w:rsidRPr="00896D4F" w:rsidRDefault="009C1C5A">
      <w:pPr>
        <w:pStyle w:val="Normaltindrag"/>
      </w:pPr>
      <w:r w:rsidRPr="00896D4F">
        <w:t>Avslutningsvis vill jag framhå</w:t>
      </w:r>
      <w:r w:rsidRPr="00896D4F">
        <w:t>lla att jag givetvis är mycket kritisk till frå</w:t>
      </w:r>
      <w:r w:rsidRPr="00896D4F">
        <w:t>n</w:t>
      </w:r>
      <w:r w:rsidRPr="00896D4F">
        <w:t>varon av handläggning i H.S:s ärende. Att myndigheten inte förefaller ha haft alla de rättsliga spörsmålen helt klart för sig har jag, med tanke på dessas komplexitet, större förståelse för.</w:t>
      </w:r>
    </w:p>
    <w:p w:rsidR="009C1C5A" w:rsidRPr="00896D4F" w:rsidRDefault="009C1C5A">
      <w:r w:rsidRPr="00896D4F">
        <w:t>Med den kritik som uttalats ovan avslutar jag ärendet.</w:t>
      </w:r>
    </w:p>
    <w:p w:rsidR="009C1C5A" w:rsidRPr="00896D4F" w:rsidRDefault="009C1C5A"/>
    <w:p w:rsidR="009C1C5A" w:rsidRPr="00896D4F" w:rsidRDefault="009C1C5A">
      <w:pPr>
        <w:pStyle w:val="Rubrik1"/>
      </w:pPr>
      <w:r w:rsidRPr="00896D4F">
        <w:br w:type="page"/>
        <w:t>Socialtjänst</w:t>
      </w:r>
    </w:p>
    <w:p w:rsidR="009C1C5A" w:rsidRPr="00896D4F" w:rsidRDefault="009C1C5A">
      <w:pPr>
        <w:spacing w:before="0"/>
        <w:rPr>
          <w:i/>
          <w:sz w:val="23"/>
        </w:rPr>
      </w:pPr>
      <w:r w:rsidRPr="00896D4F">
        <w:rPr>
          <w:i/>
          <w:sz w:val="23"/>
        </w:rPr>
        <w:t>Socialtjänstlagen (SoL)</w:t>
      </w:r>
    </w:p>
    <w:p w:rsidR="009C1C5A" w:rsidRPr="00896D4F" w:rsidRDefault="009C1C5A">
      <w:pPr>
        <w:pStyle w:val="Rubrik2"/>
        <w:spacing w:before="250"/>
      </w:pPr>
      <w:r w:rsidRPr="00896D4F">
        <w:t xml:space="preserve">Fråga om det förelåg förutsättningar för att avsluta en s.k. </w:t>
      </w:r>
      <w:r w:rsidRPr="00896D4F">
        <w:br/>
        <w:t>ba</w:t>
      </w:r>
      <w:r w:rsidRPr="00896D4F">
        <w:t>r</w:t>
      </w:r>
      <w:r w:rsidRPr="00896D4F">
        <w:t>navårdsutredning</w:t>
      </w:r>
    </w:p>
    <w:p w:rsidR="009C1C5A" w:rsidRPr="00896D4F" w:rsidRDefault="009C1C5A">
      <w:pPr>
        <w:spacing w:before="0"/>
      </w:pPr>
      <w:r w:rsidRPr="00896D4F">
        <w:t>(Dnr 1295-2000)</w:t>
      </w:r>
    </w:p>
    <w:p w:rsidR="009C1C5A" w:rsidRPr="00896D4F" w:rsidRDefault="009C1C5A">
      <w:r w:rsidRPr="00896D4F">
        <w:t>Lena Eriksson och Henrik Torsson har fyra gemensamma barn, Helena, född 1985, Emma, född 1987, Daniel, född 1990, och Erik, född 1992 (samtliga namn på familjemedlemmarna är fingerade). Familjen var fr.o.m. mitten av 1980-talet aktuell hos socialtjänsten i Västerås kommun under olika tidsper</w:t>
      </w:r>
      <w:r w:rsidRPr="00896D4F">
        <w:t>i</w:t>
      </w:r>
      <w:r w:rsidRPr="00896D4F">
        <w:t>oder. Kontakten gällde främst ekonomiskt bistånd. Under 1990-talet blev det även aktuellt med en hemterapeut som bl.a. hjälpte familjen att planera ek</w:t>
      </w:r>
      <w:r w:rsidRPr="00896D4F">
        <w:t>o</w:t>
      </w:r>
      <w:r w:rsidRPr="00896D4F">
        <w:t>nomin. Vidare före</w:t>
      </w:r>
      <w:r w:rsidRPr="00896D4F">
        <w:softHyphen/>
        <w:t>kom det anmälningar från polis, fastighetskontor och grannar om brister i hemmiljön. Vid ett hembesök tillsammans med polisen år 1995, fann socialjouren att bostaden var i ett bedrövligt skick. Misären i huset och i familjen var, enligt socialjourens rapport, bland det grövsta som social</w:t>
      </w:r>
      <w:r w:rsidRPr="00896D4F">
        <w:softHyphen/>
        <w:t>tjänstemännen och polismännen hade upp</w:t>
      </w:r>
      <w:r w:rsidRPr="00896D4F">
        <w:softHyphen/>
        <w:t>levt.</w:t>
      </w:r>
    </w:p>
    <w:p w:rsidR="009C1C5A" w:rsidRPr="00896D4F" w:rsidRDefault="009C1C5A">
      <w:pPr>
        <w:pStyle w:val="Normaltindrag"/>
      </w:pPr>
      <w:r w:rsidRPr="00896D4F">
        <w:t>Familje</w:t>
      </w:r>
      <w:r w:rsidRPr="00896D4F">
        <w:t>n flyttade från Västerås kommun till Surahammars kommun so</w:t>
      </w:r>
      <w:r w:rsidRPr="00896D4F">
        <w:t>m</w:t>
      </w:r>
      <w:r w:rsidRPr="00896D4F">
        <w:t>maren 1997. I november 1997 kontaktade familjen Socialnämnden i Sur</w:t>
      </w:r>
      <w:r w:rsidRPr="00896D4F">
        <w:t>a</w:t>
      </w:r>
      <w:r w:rsidRPr="00896D4F">
        <w:t>hammars kommun och familjen beviljades ekonomisk hjälp. Den 1 maj 1998 totalförstördes den lägenhet som familjen bebodde på grund av brand. I sa</w:t>
      </w:r>
      <w:r w:rsidRPr="00896D4F">
        <w:t>m</w:t>
      </w:r>
      <w:r w:rsidRPr="00896D4F">
        <w:t>band därmed erhöll familjen akut hjälp av Socialnämnden i Surahammars kommun. Därefter var det från socialnämndens sida aktuellt med ekonomiskt bistånd samt råd- och stöd</w:t>
      </w:r>
      <w:r w:rsidRPr="00896D4F">
        <w:softHyphen/>
        <w:t>kontak</w:t>
      </w:r>
      <w:r w:rsidRPr="00896D4F">
        <w:softHyphen/>
        <w:t>ter. Efter en anmälan genomfördes även s.k. barnavårdsutrednin</w:t>
      </w:r>
      <w:r w:rsidRPr="00896D4F">
        <w:t>gar an</w:t>
      </w:r>
      <w:r w:rsidRPr="00896D4F">
        <w:softHyphen/>
        <w:t>gående Emmas och Eriks för</w:t>
      </w:r>
      <w:r w:rsidRPr="00896D4F">
        <w:softHyphen/>
        <w:t>hållanden. Familjen flyttade till Västerås kommun i december 1999. Efter anmälningar inledde Individ- och familje</w:t>
      </w:r>
      <w:r w:rsidRPr="00896D4F">
        <w:softHyphen/>
        <w:t>nämnden i Västerås kommun barnavårds</w:t>
      </w:r>
      <w:r w:rsidRPr="00896D4F">
        <w:softHyphen/>
        <w:t>utredningar b</w:t>
      </w:r>
      <w:r w:rsidRPr="00896D4F">
        <w:t>e</w:t>
      </w:r>
      <w:r w:rsidRPr="00896D4F">
        <w:t xml:space="preserve">träffande samtliga barn.       </w:t>
      </w:r>
    </w:p>
    <w:p w:rsidR="009C1C5A" w:rsidRPr="00896D4F" w:rsidRDefault="009C1C5A">
      <w:pPr>
        <w:pStyle w:val="Normaltindrag"/>
      </w:pPr>
      <w:r w:rsidRPr="00896D4F">
        <w:t>I en anmälan framförde polisinspektören S.N. och polisassistenten H.G. klagomål mot Individ- och familjenämnden i Västerås kommun och Socia</w:t>
      </w:r>
      <w:r w:rsidRPr="00896D4F">
        <w:t>l</w:t>
      </w:r>
      <w:r w:rsidRPr="00896D4F">
        <w:t>nämnden i Surahammars kommun. Klagomålen avsåg sammanfattningsvis underlåtenhet att vidta åtgärder till skydd för familjens barn. Enligt anmäla</w:t>
      </w:r>
      <w:r w:rsidRPr="00896D4F">
        <w:t>r</w:t>
      </w:r>
      <w:r w:rsidRPr="00896D4F">
        <w:t>nas mening stred de sociala myndigheternas agerande mot gällande lagstif</w:t>
      </w:r>
      <w:r w:rsidRPr="00896D4F">
        <w:t>t</w:t>
      </w:r>
      <w:r w:rsidRPr="00896D4F">
        <w:t>ning. Till anmälan hade fogats en promemoria där händelser och andra o</w:t>
      </w:r>
      <w:r w:rsidRPr="00896D4F">
        <w:t>m</w:t>
      </w:r>
      <w:r w:rsidRPr="00896D4F">
        <w:t>ständigheter kring familjen hade nedtecknats jämte kopior av hand</w:t>
      </w:r>
      <w:r w:rsidRPr="00896D4F">
        <w:softHyphen/>
        <w:t>lingar som promemorian hänvisade till, bl.a. anteckningar förda av fastig</w:t>
      </w:r>
      <w:r w:rsidRPr="00896D4F">
        <w:softHyphen/>
        <w:t>hets</w:t>
      </w:r>
      <w:r w:rsidRPr="00896D4F">
        <w:softHyphen/>
      </w:r>
      <w:r w:rsidRPr="00896D4F">
        <w:softHyphen/>
        <w:t>ägare, pr</w:t>
      </w:r>
      <w:r w:rsidRPr="00896D4F">
        <w:t>o</w:t>
      </w:r>
      <w:r w:rsidRPr="00896D4F">
        <w:t>memorior upprättade av Polismyndigheten i Västmanlands län, Näpo Vä</w:t>
      </w:r>
      <w:r w:rsidRPr="00896D4F">
        <w:t>st, och två protokoll från lägenhetsinspektion genomförd av miljö- och hälso</w:t>
      </w:r>
      <w:r w:rsidRPr="00896D4F">
        <w:softHyphen/>
        <w:t>skydds</w:t>
      </w:r>
      <w:r w:rsidRPr="00896D4F">
        <w:softHyphen/>
      </w:r>
      <w:r w:rsidRPr="00896D4F">
        <w:softHyphen/>
        <w:t>förvaltningen i Västerås kommun på grund av klagomål mot dålig lukt i lägenhet.</w:t>
      </w:r>
    </w:p>
    <w:p w:rsidR="009C1C5A" w:rsidRPr="00896D4F" w:rsidRDefault="009C1C5A">
      <w:pPr>
        <w:pStyle w:val="Normaltindrag"/>
      </w:pPr>
      <w:r w:rsidRPr="00896D4F">
        <w:t xml:space="preserve">Utredningen inriktades på vad som hade förekommit under de senaste två åren från den dag anmälan inkom till JO.   </w:t>
      </w:r>
    </w:p>
    <w:p w:rsidR="009C1C5A" w:rsidRPr="00896D4F" w:rsidRDefault="009C1C5A">
      <w:pPr>
        <w:pStyle w:val="Normaltindrag"/>
      </w:pPr>
      <w:r w:rsidRPr="00896D4F">
        <w:t>Inledningsvis infordrades de aktuella personakterna från Individ- och f</w:t>
      </w:r>
      <w:r w:rsidRPr="00896D4F">
        <w:t>a</w:t>
      </w:r>
      <w:r w:rsidRPr="00896D4F">
        <w:t>milje</w:t>
      </w:r>
      <w:r w:rsidRPr="00896D4F">
        <w:softHyphen/>
        <w:t>nämnden i Västerås kommun och Socialnämnden i Surahammars ko</w:t>
      </w:r>
      <w:r w:rsidRPr="00896D4F">
        <w:t>m</w:t>
      </w:r>
      <w:r w:rsidRPr="00896D4F">
        <w:t>mun. Där</w:t>
      </w:r>
      <w:r w:rsidRPr="00896D4F">
        <w:softHyphen/>
        <w:t>efter anmodades respektive nämnd att inkomma med utredning och yt</w:t>
      </w:r>
      <w:r w:rsidRPr="00896D4F">
        <w:t>t</w:t>
      </w:r>
      <w:r w:rsidRPr="00896D4F">
        <w:t>rande.</w:t>
      </w:r>
    </w:p>
    <w:p w:rsidR="009C1C5A" w:rsidRPr="00896D4F" w:rsidRDefault="009C1C5A">
      <w:pPr>
        <w:pStyle w:val="Normaltindrag"/>
      </w:pPr>
      <w:r w:rsidRPr="00896D4F">
        <w:rPr>
          <w:i/>
        </w:rPr>
        <w:t>Socialnämnden i Surahammars kommun</w:t>
      </w:r>
      <w:r w:rsidRPr="00896D4F">
        <w:t xml:space="preserve"> hänvisade till ett tjänstemannau</w:t>
      </w:r>
      <w:r w:rsidRPr="00896D4F">
        <w:t>t</w:t>
      </w:r>
      <w:r w:rsidRPr="00896D4F">
        <w:t>låtande, upprättat av områdeschefen Hans Gelin och socialsekreteraren Lars-Göran Bärling. För egen del anförde socialnämnden följande.</w:t>
      </w:r>
    </w:p>
    <w:p w:rsidR="009C1C5A" w:rsidRPr="00896D4F" w:rsidRDefault="009C1C5A">
      <w:pPr>
        <w:pStyle w:val="Citat"/>
      </w:pPr>
      <w:r w:rsidRPr="00896D4F">
        <w:t>I utredningen framgår att Individ- och familjeomsorgen har med alla möj</w:t>
      </w:r>
      <w:r w:rsidRPr="00896D4F">
        <w:softHyphen/>
        <w:t>liga frivilliga insatser försökt att stötta och hjälpa familjen i sin situa</w:t>
      </w:r>
      <w:r w:rsidRPr="00896D4F">
        <w:softHyphen/>
        <w:t>tion. Olika insatser och bistånd har också beviljats genom åren under tiden de varit akt</w:t>
      </w:r>
      <w:r w:rsidRPr="00896D4F">
        <w:t>u</w:t>
      </w:r>
      <w:r w:rsidRPr="00896D4F">
        <w:t>ella i Surahammar.</w:t>
      </w:r>
    </w:p>
    <w:p w:rsidR="009C1C5A" w:rsidRPr="00896D4F" w:rsidRDefault="009C1C5A">
      <w:pPr>
        <w:pStyle w:val="Citatindrag"/>
      </w:pPr>
      <w:r w:rsidRPr="00896D4F">
        <w:t>Under tiden familjen vistades i Surahammar har det ej inkommit några anmälningar jml 71 § SoL trots att de fyra barnen varit inskrivna i skola och barnomsorg och inom skilda rektorsområden.</w:t>
      </w:r>
    </w:p>
    <w:p w:rsidR="009C1C5A" w:rsidRPr="00896D4F" w:rsidRDefault="009C1C5A">
      <w:r w:rsidRPr="00896D4F">
        <w:t>I tjänstemannautlåtandet anfördes följande.</w:t>
      </w:r>
    </w:p>
    <w:p w:rsidR="009C1C5A" w:rsidRPr="00896D4F" w:rsidRDefault="009C1C5A">
      <w:pPr>
        <w:pStyle w:val="Rubrik4"/>
      </w:pPr>
      <w:r w:rsidRPr="00896D4F">
        <w:t xml:space="preserve">Bakgrund </w:t>
      </w:r>
    </w:p>
    <w:p w:rsidR="009C1C5A" w:rsidRPr="00896D4F" w:rsidRDefault="009C1C5A">
      <w:pPr>
        <w:pStyle w:val="Citat"/>
      </w:pPr>
      <w:r w:rsidRPr="00896D4F">
        <w:t>Familjens första kontakt med Individ- och familjeomsorgen i Surahammars kommun var när de ansökte om ekonomiskt bistånd. Famil</w:t>
      </w:r>
      <w:r w:rsidRPr="00896D4F">
        <w:softHyphen/>
        <w:t>jen har uppburit försörjningsstöd i form av utfyllnad upp till gällande so</w:t>
      </w:r>
      <w:r w:rsidRPr="00896D4F">
        <w:softHyphen/>
        <w:t>cialbidragsnorm fram till den tidpunkt då de avflyttade till Västerås 991201.</w:t>
      </w:r>
    </w:p>
    <w:p w:rsidR="009C1C5A" w:rsidRPr="00896D4F" w:rsidRDefault="009C1C5A">
      <w:pPr>
        <w:pStyle w:val="Citatindrag"/>
      </w:pPr>
      <w:r w:rsidRPr="00896D4F">
        <w:t>Under perioden har familjen erhållit 7 418:- enl SoL 6g §, 33 §, 1 81l:- är ej återbetalat. Familjen har även erhållit 46 156:- jm1 SoL 6g § under ovan</w:t>
      </w:r>
      <w:r w:rsidRPr="00896D4F">
        <w:softHyphen/>
        <w:t xml:space="preserve">stående period. Paret separerade 990209 och akten delades. </w:t>
      </w:r>
    </w:p>
    <w:p w:rsidR="009C1C5A" w:rsidRPr="00896D4F" w:rsidRDefault="009C1C5A">
      <w:pPr>
        <w:pStyle w:val="Citatindrag"/>
      </w:pPr>
      <w:r w:rsidRPr="00896D4F">
        <w:t>Familjen Torsson o Eriksson hyrde en bostad i ett gammalt trähus i /…/, Surahammars kommun. 980501 brann vissa delar av fastig</w:t>
      </w:r>
      <w:r w:rsidRPr="00896D4F">
        <w:softHyphen/>
        <w:t>heten ner och den lägenhet som paret hyrde totalförstördes. Samma dag kontaktades familjen av socialtjänsten i Surahammar som såg till att paret och deras barn erhöll akut hjälp i sin situation.</w:t>
      </w:r>
    </w:p>
    <w:p w:rsidR="009C1C5A" w:rsidRPr="00896D4F" w:rsidRDefault="009C1C5A">
      <w:pPr>
        <w:pStyle w:val="Citatindrag"/>
      </w:pPr>
      <w:r w:rsidRPr="00896D4F">
        <w:t>980505 gjordes på nytt hembesök hos familjen som tillfälligt fått låna bo</w:t>
      </w:r>
      <w:r w:rsidRPr="00896D4F">
        <w:softHyphen/>
        <w:t>stad av en bekant. Vid besöket framkom att paret ej hade någon som helst försäkring varför det samma dag beslutades om ekonomiskt bistånd till f</w:t>
      </w:r>
      <w:r w:rsidRPr="00896D4F">
        <w:t>a</w:t>
      </w:r>
      <w:r w:rsidRPr="00896D4F">
        <w:t>miljens akuta behov av kläder, möbler och hemutrustning.</w:t>
      </w:r>
    </w:p>
    <w:p w:rsidR="009C1C5A" w:rsidRPr="00896D4F" w:rsidRDefault="009C1C5A">
      <w:pPr>
        <w:pStyle w:val="Citatindrag"/>
      </w:pPr>
      <w:r w:rsidRPr="00896D4F">
        <w:t>990127 meddelar Lena Eriksson att Henrik Torsson har lämnat henne och barnen och att hon inte kände till var han befann sig.</w:t>
      </w:r>
    </w:p>
    <w:p w:rsidR="009C1C5A" w:rsidRPr="00896D4F" w:rsidRDefault="009C1C5A">
      <w:pPr>
        <w:pStyle w:val="Citatindrag"/>
      </w:pPr>
      <w:r w:rsidRPr="00896D4F">
        <w:t>990209 beviljas Lena Eriksson bistånd jml 6g § SoL i form av stödsamtal p g a psykisk ohälsa och en kontakt etableras med Centralens a</w:t>
      </w:r>
      <w:r w:rsidRPr="00896D4F">
        <w:t>r</w:t>
      </w:r>
      <w:r w:rsidRPr="00896D4F">
        <w:t>betsrehabilite</w:t>
      </w:r>
      <w:r w:rsidRPr="00896D4F">
        <w:softHyphen/>
        <w:t>ring i Surahammar för att Lena Eriksson ska få möjlighet att påbörja någon form av sysselsättning.</w:t>
      </w:r>
    </w:p>
    <w:p w:rsidR="009C1C5A" w:rsidRPr="00896D4F" w:rsidRDefault="009C1C5A">
      <w:pPr>
        <w:pStyle w:val="Citatindrag"/>
      </w:pPr>
      <w:r w:rsidRPr="00896D4F">
        <w:t>990323 beviljas Henrik Torsson bistånd jm1 SoL 6g § i form av råd och stödsamtal.</w:t>
      </w:r>
    </w:p>
    <w:p w:rsidR="009C1C5A" w:rsidRPr="00896D4F" w:rsidRDefault="009C1C5A">
      <w:pPr>
        <w:pStyle w:val="Citatindrag"/>
      </w:pPr>
      <w:r w:rsidRPr="00896D4F">
        <w:t>990401 erhåller Henrik Torsson lägenhet i samma trapphus som Lena Eriksson och bar</w:t>
      </w:r>
      <w:r w:rsidRPr="00896D4F">
        <w:softHyphen/>
        <w:t>nen bor i.</w:t>
      </w:r>
    </w:p>
    <w:p w:rsidR="009C1C5A" w:rsidRPr="00896D4F" w:rsidRDefault="009C1C5A">
      <w:pPr>
        <w:pStyle w:val="Citatindrag"/>
      </w:pPr>
      <w:r w:rsidRPr="00896D4F">
        <w:t>990415 inkommer anmälan om att det luktar från Lena Erikssons lägenhet. Miljökontoret har då redan gjort bedömningen att det inte är en sanitär ol</w:t>
      </w:r>
      <w:r w:rsidRPr="00896D4F">
        <w:t>ä</w:t>
      </w:r>
      <w:r w:rsidRPr="00896D4F">
        <w:t>genhet.</w:t>
      </w:r>
    </w:p>
    <w:p w:rsidR="009C1C5A" w:rsidRPr="00896D4F" w:rsidRDefault="009C1C5A">
      <w:pPr>
        <w:pStyle w:val="Citatindrag"/>
      </w:pPr>
      <w:r w:rsidRPr="00896D4F">
        <w:t>990419 åker socialsekreterare Lars-Göran Bärling hem till Lena Eriksson på ett spontant besök. Lars-Göran tillkallar tf områdeschef Gerd Söderman p g a att lägenheten ej är beboelig. Det fanns ej möbler och det var mycket smutsigt i hela lägenheten. Familjen beviljas omgående bistånd i form av att en personal från Individ- och familjeomsorgen ska hjälpa familjen att städa och få ordning i hemmet så att det blir ett hem som barn kan vistas i.</w:t>
      </w:r>
    </w:p>
    <w:p w:rsidR="009C1C5A" w:rsidRPr="00896D4F" w:rsidRDefault="009C1C5A">
      <w:pPr>
        <w:pStyle w:val="Citatindrag"/>
      </w:pPr>
      <w:r w:rsidRPr="00896D4F">
        <w:t>990512, 990521 samt 990526 söker socialsekreterare Lars-Göran Bärling kontakt med Henrik Torsson och Lena Eriksson vid bostaden i Ramnäs men utan resul</w:t>
      </w:r>
      <w:r w:rsidRPr="00896D4F">
        <w:softHyphen/>
        <w:t>tat. Under kvällen 990526 åker Lars-</w:t>
      </w:r>
      <w:r w:rsidRPr="00896D4F">
        <w:softHyphen/>
        <w:t>Göran till den bondgård där Henrik Torsson ti</w:t>
      </w:r>
      <w:r w:rsidRPr="00896D4F">
        <w:softHyphen/>
        <w:t>digare berättat att han arbetar och finner där familjen boe</w:t>
      </w:r>
      <w:r w:rsidRPr="00896D4F">
        <w:t>n</w:t>
      </w:r>
      <w:r w:rsidRPr="00896D4F">
        <w:t>de i husvagn. Ut kommer överens med familjen om ett hembesök i Ramnäs två dagar se</w:t>
      </w:r>
      <w:r w:rsidRPr="00896D4F">
        <w:softHyphen/>
        <w:t>nare. Vid hembesöket är bostaden i god ordning. Ett nytt hemb</w:t>
      </w:r>
      <w:r w:rsidRPr="00896D4F">
        <w:t>e</w:t>
      </w:r>
      <w:r w:rsidRPr="00896D4F">
        <w:t>sök görs 990608 och även då är bostaden välordnad.</w:t>
      </w:r>
    </w:p>
    <w:p w:rsidR="009C1C5A" w:rsidRPr="00896D4F" w:rsidRDefault="009C1C5A">
      <w:pPr>
        <w:pStyle w:val="Citatindrag"/>
      </w:pPr>
      <w:r w:rsidRPr="00896D4F">
        <w:t>Inför sommarlovet meddelade Lena Eriksson att hon och barnen inte skulle vistas i Ramnäs under sommaren och därför inte behövde hjälp i hemmet. Efter sommaruppehållet återu</w:t>
      </w:r>
      <w:r w:rsidRPr="00896D4F">
        <w:t>pprättades aldrig någon kontinuerlig kontakt mellan personalen och Lena Eriksson. Lena Eriksson var inte hemma på a</w:t>
      </w:r>
      <w:r w:rsidRPr="00896D4F">
        <w:t>v</w:t>
      </w:r>
      <w:r w:rsidRPr="00896D4F">
        <w:t>talade ti</w:t>
      </w:r>
      <w:r w:rsidRPr="00896D4F">
        <w:softHyphen/>
        <w:t>der eller så öppnade hon inte dörren vid bes</w:t>
      </w:r>
      <w:r w:rsidRPr="00896D4F">
        <w:t>ö</w:t>
      </w:r>
      <w:r w:rsidRPr="00896D4F">
        <w:t>ken.</w:t>
      </w:r>
    </w:p>
    <w:p w:rsidR="009C1C5A" w:rsidRPr="00896D4F" w:rsidRDefault="009C1C5A">
      <w:pPr>
        <w:pStyle w:val="Citatindrag"/>
      </w:pPr>
      <w:r w:rsidRPr="00896D4F">
        <w:t>Under augusti–september har handläggare vid Individ- och familj</w:t>
      </w:r>
      <w:r w:rsidRPr="00896D4F">
        <w:t>e</w:t>
      </w:r>
      <w:r w:rsidRPr="00896D4F">
        <w:t>omsor</w:t>
      </w:r>
      <w:r w:rsidRPr="00896D4F">
        <w:softHyphen/>
        <w:t>gen kontakt med Henrik Torsson och Lena Eriksson med anledning av att Lena Eriksson fun</w:t>
      </w:r>
      <w:r w:rsidRPr="00896D4F">
        <w:softHyphen/>
        <w:t xml:space="preserve">derar på en flytt från Ramnäs. </w:t>
      </w:r>
    </w:p>
    <w:p w:rsidR="009C1C5A" w:rsidRPr="00896D4F" w:rsidRDefault="009C1C5A">
      <w:pPr>
        <w:pStyle w:val="Citatindrag"/>
      </w:pPr>
      <w:r w:rsidRPr="00896D4F">
        <w:t>990920 kontaktas Individ- och familjeomsorgen av Lena Erikssons hyre</w:t>
      </w:r>
      <w:r w:rsidRPr="00896D4F">
        <w:t>s</w:t>
      </w:r>
      <w:r w:rsidRPr="00896D4F">
        <w:t>värd med anledning av klagomål om lukt i trapphuset.</w:t>
      </w:r>
    </w:p>
    <w:p w:rsidR="009C1C5A" w:rsidRPr="00896D4F" w:rsidRDefault="009C1C5A">
      <w:pPr>
        <w:pStyle w:val="Citatindrag"/>
      </w:pPr>
      <w:r w:rsidRPr="00896D4F">
        <w:t>991014 söker socialsekreterare Lars-Göran Bärling familjen i Ramnäs utan resultat. Vid ett besök vid bondgården i /.../ framkommer att Henrik Torsson ej kommit till sitt arbete de senaste dagarna och att hans anställning kommer att upphöra.</w:t>
      </w:r>
    </w:p>
    <w:p w:rsidR="009C1C5A" w:rsidRPr="00896D4F" w:rsidRDefault="009C1C5A">
      <w:pPr>
        <w:pStyle w:val="Citatindrag"/>
      </w:pPr>
      <w:r w:rsidRPr="00896D4F">
        <w:t>991025 inkommer från socialjouren i Västerås en barnavårdsanmälan av</w:t>
      </w:r>
      <w:r w:rsidRPr="00896D4F">
        <w:softHyphen/>
        <w:t>seende Emma och Erik.  Utredning påbörjades omgående. I utred</w:t>
      </w:r>
      <w:r w:rsidRPr="00896D4F">
        <w:softHyphen/>
        <w:t>ningarna framkommer det att socialtjänsten har vidtagit åtskilliga åtgärder för att stärka föräldrarnas förmåga att ta hand om barnen.</w:t>
      </w:r>
    </w:p>
    <w:p w:rsidR="009C1C5A" w:rsidRPr="00896D4F" w:rsidRDefault="009C1C5A">
      <w:pPr>
        <w:pStyle w:val="Citatindrag"/>
      </w:pPr>
      <w:r w:rsidRPr="00896D4F">
        <w:t>När socialsekreterare Lars-Göran Bärling får telefonkontakt med Henrik Torsson 991025 uppger denne att han har flyttat till Västerås och även erhållit ett arbete där. Henrik Torsson uppger även att Lena Eriksson har lägen</w:t>
      </w:r>
      <w:r w:rsidRPr="00896D4F">
        <w:softHyphen/>
        <w:t>heten kvar i Ramnäs men att hon kommer att flytta till Västerås. Henrik Torsson säger att Lena Eriksson och barnen kommer att vistas i Västerås i en lånad lägenhet i avvaktan på en egen lägenhet.</w:t>
      </w:r>
    </w:p>
    <w:p w:rsidR="009C1C5A" w:rsidRPr="00896D4F" w:rsidRDefault="009C1C5A">
      <w:pPr>
        <w:pStyle w:val="Citatindrag"/>
      </w:pPr>
      <w:r w:rsidRPr="00896D4F">
        <w:t>991028 gör socialsekreterare Lars-Göran Bärling tillsammans med områ</w:t>
      </w:r>
      <w:r w:rsidRPr="00896D4F">
        <w:softHyphen/>
        <w:t>deschef Hans Gelin ett oanmält besök hos familjen vid Erikslundsområdet i Västerås. Henrik Torsson och Lena Eriksson uppger att de båda bor i Västerås nu och att socialtjänsten i Surahammar inte har med dem att göra mer.</w:t>
      </w:r>
    </w:p>
    <w:p w:rsidR="009C1C5A" w:rsidRPr="00896D4F" w:rsidRDefault="009C1C5A">
      <w:pPr>
        <w:pStyle w:val="Citatindrag"/>
      </w:pPr>
      <w:r w:rsidRPr="00896D4F">
        <w:t>991029 kontaktar socialsekreterare Lars-Göran Bärling Individ- och famil</w:t>
      </w:r>
      <w:r w:rsidRPr="00896D4F">
        <w:softHyphen/>
        <w:t>jeomsorgen i Västerås, område Hammarby-Råby att familjen befinner sig i husvagn på Erikslund och att de kommer att flytta till Västerås permanent.</w:t>
      </w:r>
    </w:p>
    <w:p w:rsidR="009C1C5A" w:rsidRPr="00896D4F" w:rsidRDefault="009C1C5A">
      <w:pPr>
        <w:pStyle w:val="Citatindrag"/>
      </w:pPr>
      <w:r w:rsidRPr="00896D4F">
        <w:t>991116 gör Lars-Göran Bärling ett nytt oanmält besök hos familjen i Vä</w:t>
      </w:r>
      <w:r w:rsidRPr="00896D4F">
        <w:t>s</w:t>
      </w:r>
      <w:r w:rsidRPr="00896D4F">
        <w:t>terås. Varken Lena Eriksson eller barnen befinner sig på området. Henrik uppger att Lena Eriksson fått kontrakt på en lägenhet.</w:t>
      </w:r>
    </w:p>
    <w:p w:rsidR="009C1C5A" w:rsidRPr="00896D4F" w:rsidRDefault="009C1C5A">
      <w:pPr>
        <w:pStyle w:val="Citatindrag"/>
      </w:pPr>
      <w:r w:rsidRPr="00896D4F">
        <w:t>991124 träffar Individ- och familjeomsorgens handläggare Lena Eriksson på socialkontoret i Surahammar. Lena Eriksson uppvisar ett hyreskontrakt och be</w:t>
      </w:r>
      <w:r w:rsidRPr="00896D4F">
        <w:softHyphen/>
        <w:t>rättar hur hon ordnat med barnens skolgång. Lena Eriksson får ett e</w:t>
      </w:r>
      <w:r w:rsidRPr="00896D4F">
        <w:t>r</w:t>
      </w:r>
      <w:r w:rsidRPr="00896D4F">
        <w:t>bjudande om hjälp med att etablera kontakt med socialtjänsten i Västerås men av</w:t>
      </w:r>
      <w:r w:rsidRPr="00896D4F">
        <w:softHyphen/>
        <w:t>böjer detta.</w:t>
      </w:r>
    </w:p>
    <w:p w:rsidR="009C1C5A" w:rsidRPr="00896D4F" w:rsidRDefault="009C1C5A">
      <w:pPr>
        <w:pStyle w:val="Rubrik4"/>
      </w:pPr>
      <w:r w:rsidRPr="00896D4F">
        <w:t xml:space="preserve">Sammanfattning: </w:t>
      </w:r>
    </w:p>
    <w:p w:rsidR="009C1C5A" w:rsidRPr="00896D4F" w:rsidRDefault="009C1C5A">
      <w:pPr>
        <w:pStyle w:val="Citat"/>
      </w:pPr>
      <w:r w:rsidRPr="00896D4F">
        <w:t>Individ- och familjeomsorgen i Surahammars kommun har med alla möj</w:t>
      </w:r>
      <w:r w:rsidRPr="00896D4F">
        <w:softHyphen/>
        <w:t>liga frivilliga insatser försökt att stötta och hjälpa familjen i sin situation. Olika insatser och bistånd har beviljats genom åren som de varit aktuella i Sur</w:t>
      </w:r>
      <w:r w:rsidRPr="00896D4F">
        <w:t>a</w:t>
      </w:r>
      <w:r w:rsidRPr="00896D4F">
        <w:t>hammar.</w:t>
      </w:r>
    </w:p>
    <w:p w:rsidR="009C1C5A" w:rsidRPr="00896D4F" w:rsidRDefault="009C1C5A">
      <w:pPr>
        <w:pStyle w:val="Citatindrag"/>
      </w:pPr>
      <w:r w:rsidRPr="00896D4F">
        <w:t>Handläggare har haft kontinuerlig kontakt med båda föräldrarna och sökt dem då de ej infunnit sig på avtalade tider. Många försök har gjorts för att hitta familjen då de vid upprepade tillfällen bara försvunnit utan att med</w:t>
      </w:r>
      <w:r w:rsidRPr="00896D4F">
        <w:softHyphen/>
        <w:t>dela sig, handläggaren har inte gett sig i sitt sökande utan har alltid funnit familjen på de olika platser de bott förutom sitt hem.</w:t>
      </w:r>
    </w:p>
    <w:p w:rsidR="009C1C5A" w:rsidRPr="00896D4F" w:rsidRDefault="009C1C5A">
      <w:pPr>
        <w:pStyle w:val="Citatindrag"/>
      </w:pPr>
      <w:r w:rsidRPr="00896D4F">
        <w:t>När handläggaren fick kännedom om att familjen befann sig i en husvagn på Erikslundsområdet i Västerås togs en kontakt med Individ- och familje</w:t>
      </w:r>
      <w:r w:rsidRPr="00896D4F">
        <w:softHyphen/>
        <w:t>omsorgen i Västerås vilket framgår av journal</w:t>
      </w:r>
      <w:r w:rsidRPr="00896D4F">
        <w:softHyphen/>
        <w:t>anteckning 991029. Hand</w:t>
      </w:r>
      <w:r w:rsidRPr="00896D4F">
        <w:softHyphen/>
        <w:t>läggaren förmedlade var familjen befann sig och att denna inte ville ha vi</w:t>
      </w:r>
      <w:r w:rsidRPr="00896D4F">
        <w:softHyphen/>
        <w:t>dare kontakt med Individ- och familjeomsorgen i Surahammar.</w:t>
      </w:r>
    </w:p>
    <w:p w:rsidR="009C1C5A" w:rsidRPr="00896D4F" w:rsidRDefault="009C1C5A">
      <w:pPr>
        <w:pStyle w:val="Citatindrag"/>
      </w:pPr>
      <w:r w:rsidRPr="00896D4F">
        <w:t>Handläggaren har även erbjudit familjen att hjälpa till med att etablera en kontakt med Individ- och familjeomsorgen i Västerås.</w:t>
      </w:r>
    </w:p>
    <w:p w:rsidR="009C1C5A" w:rsidRPr="00896D4F" w:rsidRDefault="009C1C5A">
      <w:pPr>
        <w:pStyle w:val="Citatindrag"/>
      </w:pPr>
      <w:r w:rsidRPr="00896D4F">
        <w:t>Vid sista kontakten med familjen då de flyttat till Västerås bedömde om</w:t>
      </w:r>
      <w:r w:rsidRPr="00896D4F">
        <w:softHyphen/>
        <w:t>rådeschef och handläggare att när familjen inte ville ha kontakt eller hjälp från Individ- och familjeomsorgen i Surahammar samt att de uppvisat ett hyreskontrakt på lägenhet i Västerås och varit i kontakt med skolor i Västerås fanns det inte någon möjlighet att fortsätta att arbeta med famil</w:t>
      </w:r>
      <w:r w:rsidRPr="00896D4F">
        <w:softHyphen/>
        <w:t>jen utifrån att de vistades i annan kommun.</w:t>
      </w:r>
    </w:p>
    <w:p w:rsidR="009C1C5A" w:rsidRPr="00896D4F" w:rsidRDefault="009C1C5A">
      <w:pPr>
        <w:pStyle w:val="Citatindrag"/>
      </w:pPr>
      <w:r w:rsidRPr="00896D4F">
        <w:t>Utredningen daterad 991129 upprättades utifrån den anmälan som inkom till Individ- och familje</w:t>
      </w:r>
      <w:r w:rsidRPr="00896D4F">
        <w:softHyphen/>
        <w:t>omsorgen 991026. Som framgår av utredningen gör handläggaren bedömningen att Lena Eriksson och Henrik Torsson har först</w:t>
      </w:r>
      <w:r w:rsidRPr="00896D4F">
        <w:t>å</w:t>
      </w:r>
      <w:r w:rsidRPr="00896D4F">
        <w:t>else för att de måste ordna boendesituationen för sig och sina barn. Lena Eriksson uppvisar även ett hyreskontrakt på en lägenhet i Västerås. Lena Eriksson och Henrik Torsson vi</w:t>
      </w:r>
      <w:r w:rsidRPr="00896D4F">
        <w:softHyphen/>
        <w:t>sade april -99 att de har förmåga att reda upp sin situation. Vid hembesök 990421, 990528, 990608 är familjens bostad välstädad och även i övrigt utan anmärkning.</w:t>
      </w:r>
    </w:p>
    <w:p w:rsidR="009C1C5A" w:rsidRPr="00896D4F" w:rsidRDefault="009C1C5A">
      <w:pPr>
        <w:pStyle w:val="Citatindrag"/>
      </w:pPr>
      <w:r w:rsidRPr="00896D4F">
        <w:t xml:space="preserve">Under familjens vistelse i Surahammars kommun har </w:t>
      </w:r>
      <w:r w:rsidRPr="00896D4F">
        <w:t>det ej inkommit nå</w:t>
      </w:r>
      <w:r w:rsidRPr="00896D4F">
        <w:t>g</w:t>
      </w:r>
      <w:r w:rsidRPr="00896D4F">
        <w:t>ra anmälningar jml 71 § SoL trots att de fyra barnen varit inskrivna i skola och barnomsorg i skilda rektorsområden.</w:t>
      </w:r>
    </w:p>
    <w:p w:rsidR="009C1C5A" w:rsidRPr="00896D4F" w:rsidRDefault="009C1C5A">
      <w:pPr>
        <w:pStyle w:val="Citatindrag"/>
      </w:pPr>
      <w:r w:rsidRPr="00896D4F">
        <w:t>Socialnämndens samlade bedömning är att ett tillräckligt underlag fanns för att avsluta den öppnade utredningen.</w:t>
      </w:r>
    </w:p>
    <w:p w:rsidR="009C1C5A" w:rsidRPr="00896D4F" w:rsidRDefault="009C1C5A">
      <w:r w:rsidRPr="00896D4F">
        <w:rPr>
          <w:i/>
        </w:rPr>
        <w:t>Individ- och familjenämnden i Västerås kommun</w:t>
      </w:r>
      <w:r w:rsidRPr="00896D4F">
        <w:t xml:space="preserve"> antog ett tjänstemannautl</w:t>
      </w:r>
      <w:r w:rsidRPr="00896D4F">
        <w:t>å</w:t>
      </w:r>
      <w:r w:rsidRPr="00896D4F">
        <w:t>tande, upprättat av enhetschefen Britta Wallin, som sitt remissvar till JO. I remissvaret anfördes följande.</w:t>
      </w:r>
    </w:p>
    <w:p w:rsidR="009C1C5A" w:rsidRPr="00896D4F" w:rsidRDefault="009C1C5A">
      <w:pPr>
        <w:pStyle w:val="Citat"/>
      </w:pPr>
      <w:r w:rsidRPr="00896D4F">
        <w:t>Individ- och familjenämnden har i en remiss från Riksdagens ombudsmän anmodats att inkomma med utredning och yttrande över vad som framförs i S.N:s och H.G:s anmälan till JO, gällande tiden från början av januari (2000, JO:s anm.) till inledningsskedet av pågående utrednin</w:t>
      </w:r>
      <w:r w:rsidRPr="00896D4F">
        <w:t>g</w:t>
      </w:r>
      <w:r w:rsidRPr="00896D4F">
        <w:t>ar.</w:t>
      </w:r>
    </w:p>
    <w:p w:rsidR="009C1C5A" w:rsidRPr="00896D4F" w:rsidRDefault="009C1C5A">
      <w:pPr>
        <w:pStyle w:val="Rubrik4"/>
      </w:pPr>
      <w:r w:rsidRPr="00896D4F">
        <w:t xml:space="preserve">Utredning </w:t>
      </w:r>
    </w:p>
    <w:p w:rsidR="009C1C5A" w:rsidRPr="00896D4F" w:rsidRDefault="009C1C5A">
      <w:pPr>
        <w:pStyle w:val="Citat"/>
      </w:pPr>
      <w:r w:rsidRPr="00896D4F">
        <w:t>Familjen består av föräldrarna Lena Eriksson och Henrik Torsson, deras ge</w:t>
      </w:r>
      <w:r w:rsidRPr="00896D4F">
        <w:softHyphen/>
        <w:t>mensamma barn Helena, 15 år, Emma, 13 år, Daniel, 10 år och Emma, 8 år. Fa</w:t>
      </w:r>
      <w:r w:rsidRPr="00896D4F">
        <w:softHyphen/>
        <w:t>miljen återkom till Västerås från Surahammar i december 1999. Första hy</w:t>
      </w:r>
      <w:r w:rsidRPr="00896D4F">
        <w:softHyphen/>
        <w:t>ran bekostades av Surahammars kommun, någon information i ärendet lä</w:t>
      </w:r>
      <w:r w:rsidRPr="00896D4F">
        <w:t>m</w:t>
      </w:r>
      <w:r w:rsidRPr="00896D4F">
        <w:t>nades inte trots att familjen varit aktuella inom socialtjänsten. Tidigare kä</w:t>
      </w:r>
      <w:r w:rsidRPr="00896D4F">
        <w:t>n</w:t>
      </w:r>
      <w:r w:rsidRPr="00896D4F">
        <w:t>nedom i Västerås gällde oro för barnen p g a miserabla förhållanden i bost</w:t>
      </w:r>
      <w:r w:rsidRPr="00896D4F">
        <w:t>ä</w:t>
      </w:r>
      <w:r w:rsidRPr="00896D4F">
        <w:t>derna och bristande hygien.</w:t>
      </w:r>
    </w:p>
    <w:p w:rsidR="009C1C5A" w:rsidRPr="00896D4F" w:rsidRDefault="009C1C5A">
      <w:pPr>
        <w:pStyle w:val="Citatindrag"/>
      </w:pPr>
      <w:r w:rsidRPr="00896D4F">
        <w:t>Ärendet aktualiserades formellt 2000-02-02 genom anmälan om mis</w:t>
      </w:r>
      <w:r w:rsidRPr="00896D4F">
        <w:t>s</w:t>
      </w:r>
      <w:r w:rsidRPr="00896D4F">
        <w:t>för</w:t>
      </w:r>
      <w:r w:rsidRPr="00896D4F">
        <w:softHyphen/>
        <w:t>hållanden från hyres</w:t>
      </w:r>
      <w:r w:rsidRPr="00896D4F">
        <w:softHyphen/>
        <w:t>värden. Det var mycket smutsigt i lägenheten, s g s inga möbler eller sängkläder, ren misär. Enligt hyresvärden kontaktades konsulent Margareta Källberg i början av januari, vilket måste vara en missuppfattning då Margareta Källberg inte var i tjänst. Anmälan kan ha gjorts tidigast 17 januari. Rutinen är den att anmälningar aktualiseras omedelbart, även om utredning inleds efter bedömning i varje enskilt fall.</w:t>
      </w:r>
    </w:p>
    <w:p w:rsidR="009C1C5A" w:rsidRPr="00896D4F" w:rsidRDefault="009C1C5A">
      <w:pPr>
        <w:pStyle w:val="Citatindrag"/>
      </w:pPr>
      <w:r w:rsidRPr="00896D4F">
        <w:t>På Vallby-Västra förstaden finns sedan länge regelbunden samverkan mella</w:t>
      </w:r>
      <w:r w:rsidRPr="00896D4F">
        <w:t>n konsulent inom Individ och familj och skolsköterskan på området. Skolpsykolog och skolsköterska besökte familjen i hemmet 25 januari och diskuterade då remiss till Barn- och ungdomspsykiatrin, och att familjen skulle söka hjälp vid Individ och familj. Familjen erbjöds tid hos konsulent 4 februari. Återbud p g a sjukdom, varför ny tid bokades 9 februari. Fa</w:t>
      </w:r>
      <w:r w:rsidRPr="00896D4F">
        <w:softHyphen/>
        <w:t>miljen uteblev, skolsköterskan gjorde då en formell anmälan till Individ och familj. Enligt skolsköterskan var det spartanskt i lägenheten, luktade ill</w:t>
      </w:r>
      <w:r w:rsidRPr="00896D4F">
        <w:t>a och många djur. Barnen var smutsiga och illa klädda men ingen oro fö</w:t>
      </w:r>
      <w:r w:rsidRPr="00896D4F">
        <w:softHyphen/>
        <w:t>relåg för mat</w:t>
      </w:r>
      <w:r w:rsidRPr="00896D4F">
        <w:softHyphen/>
        <w:t>hållningen då de följde sina viktkurvor. Skolsköterskan hade inte hört något om att barnen utsatts för våld eller hot om våld. Hon upp</w:t>
      </w:r>
      <w:r w:rsidRPr="00896D4F">
        <w:softHyphen/>
        <w:t>gav vidare att det finns en värme och vilja hos föräldrarna att göra det bra för sina barn. Ärendet fördelades till handläggare 20 februari, som hade första mötet med föräldra</w:t>
      </w:r>
      <w:r w:rsidRPr="00896D4F">
        <w:t>r</w:t>
      </w:r>
      <w:r w:rsidRPr="00896D4F">
        <w:t>na 23 februari. De informerades då om vår ut</w:t>
      </w:r>
      <w:r w:rsidRPr="00896D4F">
        <w:softHyphen/>
        <w:t>redningsskyldighet enligt soc</w:t>
      </w:r>
      <w:r w:rsidRPr="00896D4F">
        <w:t>i</w:t>
      </w:r>
      <w:r w:rsidRPr="00896D4F">
        <w:t>altjänstlagen. Därefter har mycket tät ko</w:t>
      </w:r>
      <w:r w:rsidRPr="00896D4F">
        <w:t>n</w:t>
      </w:r>
      <w:r w:rsidRPr="00896D4F">
        <w:softHyphen/>
        <w:t>takt hållits med familjen.</w:t>
      </w:r>
    </w:p>
    <w:p w:rsidR="009C1C5A" w:rsidRPr="00896D4F" w:rsidRDefault="009C1C5A">
      <w:pPr>
        <w:pStyle w:val="Citatindrag"/>
      </w:pPr>
      <w:r w:rsidRPr="00896D4F">
        <w:t>Familjen avhystes från bostaden 22 mars och erbjöds då jourlägenhet. Fa</w:t>
      </w:r>
      <w:r w:rsidRPr="00896D4F">
        <w:softHyphen/>
        <w:t>miljen avböjde och ordnade själva tillfälligt boende hos bekanta i en villa ca 500 meter från socialkontoret. Ytterligare åtgärder från Individ och fa</w:t>
      </w:r>
      <w:r w:rsidRPr="00896D4F">
        <w:softHyphen/>
        <w:t>miljs sida diskuterades, men jag gjorde bedömningen att något skäl för ett omede</w:t>
      </w:r>
      <w:r w:rsidRPr="00896D4F">
        <w:t>l</w:t>
      </w:r>
      <w:r w:rsidRPr="00896D4F">
        <w:t>bart omhändertagande inte förelåg. Barnen hade tak över huvudet, inga si</w:t>
      </w:r>
      <w:r w:rsidRPr="00896D4F">
        <w:t>g</w:t>
      </w:r>
      <w:r w:rsidRPr="00896D4F">
        <w:t>naler om misshandel eller missbruk förelåg. Individ och familj hade kontin</w:t>
      </w:r>
      <w:r w:rsidRPr="00896D4F">
        <w:t>u</w:t>
      </w:r>
      <w:r w:rsidRPr="00896D4F">
        <w:t>erlig kontakt med familjen och möjlighet till kontroll. 20 april flyttade fami</w:t>
      </w:r>
      <w:r w:rsidRPr="00896D4F">
        <w:t>l</w:t>
      </w:r>
      <w:r w:rsidRPr="00896D4F">
        <w:t>jen till en lägenhet kontrakterad av Individ och fam</w:t>
      </w:r>
      <w:r w:rsidRPr="00896D4F">
        <w:t>ilj. Fa</w:t>
      </w:r>
      <w:r w:rsidRPr="00896D4F">
        <w:softHyphen/>
        <w:t>miljen har stöd 3 dagar per vecka, 6 timmar av en särskilt rekryterad per</w:t>
      </w:r>
      <w:r w:rsidRPr="00896D4F">
        <w:softHyphen/>
        <w:t>sonal som har stor erfarenhet av att arbeta i familjer. Under veckosluten gör socialjouren hemb</w:t>
      </w:r>
      <w:r w:rsidRPr="00896D4F">
        <w:t>e</w:t>
      </w:r>
      <w:r w:rsidRPr="00896D4F">
        <w:t>sök hos familjen. Insatserna skall i första hand pågå tills utredningarna är avslutade.</w:t>
      </w:r>
    </w:p>
    <w:p w:rsidR="009C1C5A" w:rsidRPr="00896D4F" w:rsidRDefault="009C1C5A">
      <w:pPr>
        <w:pStyle w:val="Rubrik4"/>
      </w:pPr>
      <w:r w:rsidRPr="00896D4F">
        <w:t>Bedömning</w:t>
      </w:r>
    </w:p>
    <w:p w:rsidR="009C1C5A" w:rsidRPr="00896D4F" w:rsidRDefault="009C1C5A">
      <w:pPr>
        <w:pStyle w:val="Citat"/>
      </w:pPr>
      <w:r w:rsidRPr="00896D4F">
        <w:t>Då en anmälan gällande barn och ungdom tas emot är rutinen att ärendet aktualiseras omedelbart, vilket sannolikt skedde 2 februari. Har hyresvär</w:t>
      </w:r>
      <w:r w:rsidRPr="00896D4F">
        <w:softHyphen/>
        <w:t>den haft någon kontakt med konsulent var det tidigast 17 januari och då på ett sådant sätt att det inte uppfattades som en anmälan om att barn for illa. Utre</w:t>
      </w:r>
      <w:r w:rsidRPr="00896D4F">
        <w:t>d</w:t>
      </w:r>
      <w:r w:rsidRPr="00896D4F">
        <w:t>ningen inleddes 23 februari, vilket möjligen kan bedömas vara något sent men det skall då tas i beaktande att försök hade gjorts att etablera kontakt med familjen redan 4 februari. Detta finns inte dokumenterat i journalanteckningar men det framgår av referenssamtalen med sko</w:t>
      </w:r>
      <w:r w:rsidRPr="00896D4F">
        <w:t>l</w:t>
      </w:r>
      <w:r w:rsidRPr="00896D4F">
        <w:t>skö</w:t>
      </w:r>
      <w:r w:rsidRPr="00896D4F">
        <w:softHyphen/>
        <w:t>terskan.</w:t>
      </w:r>
    </w:p>
    <w:p w:rsidR="009C1C5A" w:rsidRPr="00896D4F" w:rsidRDefault="009C1C5A">
      <w:pPr>
        <w:pStyle w:val="Citatindrag"/>
      </w:pPr>
      <w:r w:rsidRPr="00896D4F">
        <w:t>Det har övervägts om barnen skulle omhändertas akut mot föräldr</w:t>
      </w:r>
      <w:r w:rsidRPr="00896D4F">
        <w:t>arnas vilja. Bedömningen är att det finns värme och omtanke om barnen hos för</w:t>
      </w:r>
      <w:r w:rsidRPr="00896D4F">
        <w:softHyphen/>
        <w:t>äldrarna, inget missbruk eller misstanke om fysisk eller psykisk misshan</w:t>
      </w:r>
      <w:r w:rsidRPr="00896D4F">
        <w:softHyphen/>
        <w:t xml:space="preserve">del. Anledning till oro handlar om misär, dålig hygien, mathållning m.m. Inget barn skall behöva leva under sådana omständigheter, men det är brister hos föräldrarna som går att åtgärda med mycket stöd. Jag bedömde att barnen åsamkades minst skada om hygien, klädhållning, ordning och reda kunde tillförsäkras dem under utredningstiden utan att de skildes från </w:t>
      </w:r>
      <w:r w:rsidRPr="00896D4F">
        <w:t>föräldrarna.</w:t>
      </w:r>
    </w:p>
    <w:p w:rsidR="009C1C5A" w:rsidRPr="00896D4F" w:rsidRDefault="009C1C5A">
      <w:pPr>
        <w:pStyle w:val="Citatindrag"/>
      </w:pPr>
      <w:r w:rsidRPr="00896D4F">
        <w:t xml:space="preserve">Enligt min bedömning har inga felaktigheter begåtts vid handläggningen av ärendet. </w:t>
      </w:r>
    </w:p>
    <w:p w:rsidR="009C1C5A" w:rsidRPr="00896D4F" w:rsidRDefault="009C1C5A">
      <w:r w:rsidRPr="00896D4F">
        <w:t>S.N. och H.G. yttrade sig över remissvaren. Till yttrandet fogades ett vide</w:t>
      </w:r>
      <w:r w:rsidRPr="00896D4F">
        <w:t>o</w:t>
      </w:r>
      <w:r w:rsidRPr="00896D4F">
        <w:t xml:space="preserve">band och fotografier. </w:t>
      </w:r>
    </w:p>
    <w:p w:rsidR="009C1C5A" w:rsidRPr="00896D4F" w:rsidRDefault="009C1C5A">
      <w:r w:rsidRPr="00896D4F">
        <w:t xml:space="preserve">I ett beslut den 27 mars 2002 anförde </w:t>
      </w:r>
      <w:r w:rsidRPr="00896D4F">
        <w:rPr>
          <w:i/>
        </w:rPr>
        <w:t>JO André</w:t>
      </w:r>
      <w:r w:rsidRPr="00896D4F">
        <w:t xml:space="preserve"> följande. </w:t>
      </w:r>
    </w:p>
    <w:p w:rsidR="009C1C5A" w:rsidRPr="00896D4F" w:rsidRDefault="009C1C5A">
      <w:pPr>
        <w:pStyle w:val="Rubrik4"/>
      </w:pPr>
      <w:r w:rsidRPr="00896D4F">
        <w:t>Inledning</w:t>
      </w:r>
    </w:p>
    <w:p w:rsidR="009C1C5A" w:rsidRPr="00896D4F" w:rsidRDefault="009C1C5A">
      <w:r w:rsidRPr="00896D4F">
        <w:t>Den 1 januari 2002 trädde en ny socialtjänstlag i kraft (2001:453). I förev</w:t>
      </w:r>
      <w:r w:rsidRPr="00896D4F">
        <w:t>a</w:t>
      </w:r>
      <w:r w:rsidRPr="00896D4F">
        <w:t>rande ärende behandlas händelser och omständigheter som ägde rum under den tid socialtjänstlagen (1980:620) var gällande och i remissvaret från Soc</w:t>
      </w:r>
      <w:r w:rsidRPr="00896D4F">
        <w:t>i</w:t>
      </w:r>
      <w:r w:rsidRPr="00896D4F">
        <w:t>alnämnden i Surahammars kommun har hänvisats till den lagen. Jag har emellertid valt att här hänvisa till den nya socialtjänstlagen, som – i de avs</w:t>
      </w:r>
      <w:r w:rsidRPr="00896D4F">
        <w:t>e</w:t>
      </w:r>
      <w:r w:rsidRPr="00896D4F">
        <w:t xml:space="preserve">enden som behandlas i det följande – inte har inneburit någon förändring i sakligt hänseende. </w:t>
      </w:r>
    </w:p>
    <w:p w:rsidR="009C1C5A" w:rsidRPr="00896D4F" w:rsidRDefault="009C1C5A">
      <w:pPr>
        <w:pStyle w:val="Normaltindrag"/>
      </w:pPr>
      <w:r w:rsidRPr="00896D4F">
        <w:t>Innan jag behandlar sakfrågorna i ärendet vill jag upplysa om att JO, enligt de regler som gäller för JO:s verksamhet, n</w:t>
      </w:r>
      <w:r w:rsidRPr="00896D4F">
        <w:t>ormalt inte skall utreda hän</w:t>
      </w:r>
      <w:r w:rsidRPr="00896D4F">
        <w:softHyphen/>
        <w:t>delser eller förhållanden som ligger mer än två år tillbaka i tiden om det inte finns särskilda skäl för det. Något sådant skäl föreligger inte varför jag endast upplysnings</w:t>
      </w:r>
      <w:r w:rsidRPr="00896D4F">
        <w:softHyphen/>
        <w:t>vis kommer att beröra en del av det som in</w:t>
      </w:r>
      <w:r w:rsidRPr="00896D4F">
        <w:softHyphen/>
        <w:t>träffade före den 4 april 1998, dvs. mer än två år innan anmälan inkom till JO. Någon bedö</w:t>
      </w:r>
      <w:r w:rsidRPr="00896D4F">
        <w:t>m</w:t>
      </w:r>
      <w:r w:rsidRPr="00896D4F">
        <w:t>ning av handlägg</w:t>
      </w:r>
      <w:r w:rsidRPr="00896D4F">
        <w:softHyphen/>
        <w:t xml:space="preserve">ningen under den tiden kommer jag däremot inte att göra. </w:t>
      </w:r>
    </w:p>
    <w:p w:rsidR="009C1C5A" w:rsidRPr="00896D4F" w:rsidRDefault="009C1C5A">
      <w:pPr>
        <w:pStyle w:val="Normaltindrag"/>
      </w:pPr>
      <w:r w:rsidRPr="00896D4F">
        <w:t>Några upplysningar om vad som har inträffat i tiden efter det att remissv</w:t>
      </w:r>
      <w:r w:rsidRPr="00896D4F">
        <w:t>a</w:t>
      </w:r>
      <w:r w:rsidRPr="00896D4F">
        <w:t>ren upp</w:t>
      </w:r>
      <w:r w:rsidRPr="00896D4F">
        <w:softHyphen/>
        <w:t xml:space="preserve">rättades har inte inhämtats. Mina uttalanden omfattar därför endast tiden fram till den dag anmälan inkom till JO. </w:t>
      </w:r>
    </w:p>
    <w:p w:rsidR="009C1C5A" w:rsidRPr="00896D4F" w:rsidRDefault="009C1C5A">
      <w:pPr>
        <w:pStyle w:val="Rubrik4"/>
      </w:pPr>
      <w:r w:rsidRPr="00896D4F">
        <w:t>Rättsliga utgångspunkter</w:t>
      </w:r>
    </w:p>
    <w:p w:rsidR="009C1C5A" w:rsidRPr="00896D4F" w:rsidRDefault="009C1C5A">
      <w:r w:rsidRPr="00896D4F">
        <w:t>Socialnämnden skall enligt 5 kap. 1 § socialtjänstlagen verka bl.a. för att barn och ungdomar växer upp under trygga förhållanden. Nämnden skall i nära samarbete med hemmen sörja för att barn och ungdomar som riskerar att utveck</w:t>
      </w:r>
      <w:r w:rsidRPr="00896D4F">
        <w:softHyphen/>
        <w:t>las ogynn</w:t>
      </w:r>
      <w:r w:rsidRPr="00896D4F">
        <w:softHyphen/>
        <w:t>samt får det skydd och stöd som de behöver och, om häns</w:t>
      </w:r>
      <w:r w:rsidRPr="00896D4F">
        <w:t>y</w:t>
      </w:r>
      <w:r w:rsidRPr="00896D4F">
        <w:t xml:space="preserve">nen till den unges bästa motiverar det, vård och fostran utanför det egna hemmet. </w:t>
      </w:r>
    </w:p>
    <w:p w:rsidR="009C1C5A" w:rsidRPr="00896D4F" w:rsidRDefault="009C1C5A">
      <w:pPr>
        <w:pStyle w:val="Normaltindrag"/>
      </w:pPr>
      <w:r w:rsidRPr="00896D4F">
        <w:t>Av 11 kap. 1 § socialtjänstlagen följer att socialnämnden utan dröjsmål skall in</w:t>
      </w:r>
      <w:r w:rsidRPr="00896D4F">
        <w:softHyphen/>
        <w:t>leda en utredning av vad som genom ansökan eller på annat sätt ko</w:t>
      </w:r>
      <w:r w:rsidRPr="00896D4F">
        <w:t>m</w:t>
      </w:r>
      <w:r w:rsidRPr="00896D4F">
        <w:t>mit till nämndens kännedom och som kan föranleda någon åtgärd av näm</w:t>
      </w:r>
      <w:r w:rsidRPr="00896D4F">
        <w:t>n</w:t>
      </w:r>
      <w:r w:rsidRPr="00896D4F">
        <w:t>den. Vid en utredning om socialnämnden behöver ingripa till en underårigs skydd eller stöd får nämnden – enligt 11 kap. 2 § socialtjänstlagen – för b</w:t>
      </w:r>
      <w:r w:rsidRPr="00896D4F">
        <w:t>e</w:t>
      </w:r>
      <w:r w:rsidRPr="00896D4F">
        <w:t>dömningen av behovet av insatser, konsultera sakkunniga samt i övrigt ta de kontakter som behövs. En barna</w:t>
      </w:r>
      <w:r w:rsidRPr="00896D4F">
        <w:softHyphen/>
        <w:t>vårdsutredning kan följaktligen bedrivas utan vårdnads</w:t>
      </w:r>
      <w:r w:rsidRPr="00896D4F">
        <w:softHyphen/>
        <w:t>havarens sam</w:t>
      </w:r>
      <w:r w:rsidRPr="00896D4F">
        <w:softHyphen/>
        <w:t>tycke men utgångspunkten bör alltid vara att utre</w:t>
      </w:r>
      <w:r w:rsidRPr="00896D4F">
        <w:t>d</w:t>
      </w:r>
      <w:r w:rsidRPr="00896D4F">
        <w:t>n</w:t>
      </w:r>
      <w:r w:rsidRPr="00896D4F">
        <w:t>ingen skall genomföras i sam</w:t>
      </w:r>
      <w:r w:rsidRPr="00896D4F">
        <w:softHyphen/>
        <w:t xml:space="preserve">förstånd med vårdnadshavaren. </w:t>
      </w:r>
    </w:p>
    <w:p w:rsidR="009C1C5A" w:rsidRPr="00896D4F" w:rsidRDefault="009C1C5A">
      <w:pPr>
        <w:pStyle w:val="Normaltindrag"/>
      </w:pPr>
      <w:r w:rsidRPr="00896D4F">
        <w:t>Som regel kan socialnämnden i samverkan med vårdnadshavaren ge barnet det stöd och den hjälp som barnet behöver. Kan samförstånd inte nås har social</w:t>
      </w:r>
      <w:r w:rsidRPr="00896D4F">
        <w:softHyphen/>
        <w:t>nämnden i vissa fall möjlighet att gå in vid sidan av vårdnadshavaren eller i dennes ställe och med sådana befogenheter att barnets behov av skydd kan tillgodoses. Regler om detta finns i lagen (1990:52) med särskilda b</w:t>
      </w:r>
      <w:r w:rsidRPr="00896D4F">
        <w:t>e</w:t>
      </w:r>
      <w:r w:rsidRPr="00896D4F">
        <w:t xml:space="preserve">stämmelser om vård av unga (LVU). Tvångsvård enligt den lagen meddelas i första hand av länsrätten efter ansökan av socialnämnden. Socialnämnden har också, enligt 6 § LVU, under vissa förutsättningar möjlighet att omhänderta den unge i avvaktan på länsrättens beslut om vård. </w:t>
      </w:r>
    </w:p>
    <w:p w:rsidR="009C1C5A" w:rsidRPr="00896D4F" w:rsidRDefault="009C1C5A">
      <w:pPr>
        <w:pStyle w:val="Rubrik4"/>
      </w:pPr>
      <w:r w:rsidRPr="00896D4F">
        <w:t xml:space="preserve">Socialnämnden </w:t>
      </w:r>
      <w:r w:rsidRPr="00896D4F">
        <w:t xml:space="preserve">i Surahammars kommun </w:t>
      </w:r>
    </w:p>
    <w:p w:rsidR="009C1C5A" w:rsidRPr="00896D4F" w:rsidRDefault="009C1C5A">
      <w:r w:rsidRPr="00896D4F">
        <w:t>Vid en genomgång av handlingarna i personakten och remissvaret kan jag konstatera att det fanns flera klara indikationer på att familjen behövde hjälp och stöd från socialnämndens sida under den tid de bodde i Surahammars kommun. Av journal</w:t>
      </w:r>
      <w:r w:rsidRPr="00896D4F">
        <w:softHyphen/>
        <w:t>anteckningarna framgår det att såväl Lena Eriksson som Henrik Torsson erhöll bistånd i form av råd- och stödkontakt och att handlä</w:t>
      </w:r>
      <w:r w:rsidRPr="00896D4F">
        <w:t>g</w:t>
      </w:r>
      <w:r w:rsidRPr="00896D4F">
        <w:t>garen lade ned mycket arbete för att upprätthålla denna kontakt. Därutöver beviljades bl.a. bistånd i form av stöd</w:t>
      </w:r>
      <w:r w:rsidRPr="00896D4F">
        <w:softHyphen/>
        <w:t>insatser i hemmet vid två tillfällen per vecka, efter att nämnden – på grund av en anmälan från fastighetsägaren – vid ett hembesök den 19 april 1999 uppmärksammat att familjen levde under sociala förhållanden som betecknades som misär. I anslutning därtill upprä</w:t>
      </w:r>
      <w:r w:rsidRPr="00896D4F">
        <w:t>t</w:t>
      </w:r>
      <w:r w:rsidRPr="00896D4F">
        <w:t>t</w:t>
      </w:r>
      <w:r w:rsidRPr="00896D4F">
        <w:t>ades också en individuell plan för råd- och stödkontakten med Lena Erik</w:t>
      </w:r>
      <w:r w:rsidRPr="00896D4F">
        <w:t>s</w:t>
      </w:r>
      <w:r w:rsidRPr="00896D4F">
        <w:t xml:space="preserve">son. </w:t>
      </w:r>
    </w:p>
    <w:p w:rsidR="009C1C5A" w:rsidRPr="00896D4F" w:rsidRDefault="009C1C5A">
      <w:pPr>
        <w:pStyle w:val="Normaltindrag"/>
      </w:pPr>
      <w:r w:rsidRPr="00896D4F">
        <w:t>Av utredningen framgår emellertid att det under vissa tids</w:t>
      </w:r>
      <w:r w:rsidRPr="00896D4F">
        <w:softHyphen/>
        <w:t>perioder inte var möjligt att få kontakt med familjen och man får, vid en genom</w:t>
      </w:r>
      <w:r w:rsidRPr="00896D4F">
        <w:softHyphen/>
        <w:t>gång av han</w:t>
      </w:r>
      <w:r w:rsidRPr="00896D4F">
        <w:t>d</w:t>
      </w:r>
      <w:r w:rsidRPr="00896D4F">
        <w:t>lingarna, ett tydligt intryck av att familjen vid vissa tillfällen var klart avv</w:t>
      </w:r>
      <w:r w:rsidRPr="00896D4F">
        <w:t>i</w:t>
      </w:r>
      <w:r w:rsidRPr="00896D4F">
        <w:t>sande till kontakt med socialnämnden, trots att det fanns behov av stöd och hjälp från den. Att det fanns ett sådant behov framgår bl.a. av den bedömning som gjordes i sam</w:t>
      </w:r>
      <w:r w:rsidRPr="00896D4F">
        <w:softHyphen/>
        <w:t>band med det ovan nämnda hem</w:t>
      </w:r>
      <w:r w:rsidRPr="00896D4F">
        <w:softHyphen/>
        <w:t>besöket den 19 april 1999, fortsatta klagomål avseende lukt i lägenheten, oro för barnens situation, oklar</w:t>
      </w:r>
      <w:r w:rsidRPr="00896D4F">
        <w:softHyphen/>
        <w:t>heter kring familjens boende u</w:t>
      </w:r>
      <w:r w:rsidRPr="00896D4F">
        <w:t>nder vissa tids</w:t>
      </w:r>
      <w:r w:rsidRPr="00896D4F">
        <w:softHyphen/>
        <w:t>perioder och rapport från skolan om brister i Emmas hygien och om smutsiga kläder.</w:t>
      </w:r>
    </w:p>
    <w:p w:rsidR="009C1C5A" w:rsidRPr="00896D4F" w:rsidRDefault="009C1C5A">
      <w:pPr>
        <w:pStyle w:val="Normaltindrag"/>
      </w:pPr>
      <w:r w:rsidRPr="00896D4F">
        <w:t>Jag övergår till att främst behandla socialnämndens agerande i samband med vad som framkom vid hembesöket den 19 april 1999 och i anledning av den anmälan som inkom den 26 oktober 1999.</w:t>
      </w:r>
    </w:p>
    <w:p w:rsidR="009C1C5A" w:rsidRPr="00896D4F" w:rsidRDefault="009C1C5A">
      <w:pPr>
        <w:pStyle w:val="Normaltindrag"/>
      </w:pPr>
      <w:r w:rsidRPr="00896D4F">
        <w:t>Av utredningen fram</w:t>
      </w:r>
      <w:r w:rsidRPr="00896D4F">
        <w:softHyphen/>
        <w:t>går det med all önskvärd tydlighet att förhållandena i hemmet den 19 april 1999 var sådana att det rent allmänt framstår som otän</w:t>
      </w:r>
      <w:r w:rsidRPr="00896D4F">
        <w:t>k</w:t>
      </w:r>
      <w:r w:rsidRPr="00896D4F">
        <w:t>bart att låta barn bo i en sådan miljö. Av journalanteckningarna framgår det att Lena Eriksson uppgav att hon och barnen bodde i lägenheten. Med anle</w:t>
      </w:r>
      <w:r w:rsidRPr="00896D4F">
        <w:t>d</w:t>
      </w:r>
      <w:r w:rsidRPr="00896D4F">
        <w:t>ning av vad som framkom hade socialnämnden att ta ställning till flera olika frågor rörande behovet av insatser för barnen. Enligt min mening låg det nära till hands att överväga ett omedelbart omhändertagande enligt 6 § lagen (199</w:t>
      </w:r>
      <w:r w:rsidRPr="00896D4F">
        <w:t>0:52) med sär</w:t>
      </w:r>
      <w:r w:rsidRPr="00896D4F">
        <w:softHyphen/>
        <w:t>skilda bestäm</w:t>
      </w:r>
      <w:r w:rsidRPr="00896D4F">
        <w:softHyphen/>
        <w:t xml:space="preserve">melser om vård av unga (LVU). I den delen framgår emellertid av utredningen att vissa åtgärder sattes in på frivillig väg. JO brukar vara återhållsam med att uttala sig i frågor som ytterst grundar sig på överväganden i det enskilda fallet. Vad som har framkommit föranleder mig inte att göra något undantag från denna princip när det gäller frågan om socialnämnden borde ha ingripit med tvång. </w:t>
      </w:r>
    </w:p>
    <w:p w:rsidR="009C1C5A" w:rsidRPr="00896D4F" w:rsidRDefault="009C1C5A">
      <w:pPr>
        <w:pStyle w:val="Normaltindrag"/>
      </w:pPr>
      <w:r w:rsidRPr="00896D4F">
        <w:t>Även om nämnden fann att det inte förelåg skäl att ingripa med tvångså</w:t>
      </w:r>
      <w:r w:rsidRPr="00896D4F">
        <w:t>t</w:t>
      </w:r>
      <w:r w:rsidRPr="00896D4F">
        <w:t>gärder enligt LVU, måste förhållandena i hemmet ha föranlett flera frågor rörande Lena Erikssons och Henrik Torssons möjligheter att ta hand om ba</w:t>
      </w:r>
      <w:r w:rsidRPr="00896D4F">
        <w:t>r</w:t>
      </w:r>
      <w:r w:rsidRPr="00896D4F">
        <w:t>nen på ett godtag</w:t>
      </w:r>
      <w:r w:rsidRPr="00896D4F">
        <w:softHyphen/>
        <w:t>bart sätt. Det fanns anledning att försöka klarlägga vad som var orsaken till miss</w:t>
      </w:r>
      <w:r w:rsidRPr="00896D4F">
        <w:softHyphen/>
        <w:t>förhållandena i lägenheten. Vidare hade nämnden skäl att fråga sig hur barnen hade påverkats av missförhållandena och om de hade något behov av stöd i olika hänseenden. Det var följaktligen uppenbart att det förelåg en skyldighet för social</w:t>
      </w:r>
      <w:r w:rsidRPr="00896D4F">
        <w:softHyphen/>
        <w:t xml:space="preserve">nämnden att inleda en </w:t>
      </w:r>
      <w:r w:rsidRPr="00896D4F">
        <w:t>utredning enligt 11 kap. 1 § socialtjänstlagen för att be</w:t>
      </w:r>
      <w:r w:rsidRPr="00896D4F">
        <w:softHyphen/>
        <w:t>döma såväl barnens behov som föräldrarnas omsorgsförmåga och möjlighet att tillgodose barnens behov. I en sådan u</w:t>
      </w:r>
      <w:r w:rsidRPr="00896D4F">
        <w:t>t</w:t>
      </w:r>
      <w:r w:rsidRPr="00896D4F">
        <w:t>redning hade det ålegat socialnämnden att höra föräldrarna och ta ställning till om något eller några av barnen skulle höras. Vidare hade det varit naturligt att kontakta barnens skolor och Individ- och familje</w:t>
      </w:r>
      <w:r w:rsidRPr="00896D4F">
        <w:softHyphen/>
      </w:r>
      <w:r w:rsidRPr="00896D4F">
        <w:softHyphen/>
        <w:t>nämnden i Västerås kommun jämte eventuella andra myndigheter och referenspersoner som hade uppgifter av värde för utredningen. I</w:t>
      </w:r>
      <w:r w:rsidRPr="00896D4F">
        <w:t xml:space="preserve"> en sådan utred</w:t>
      </w:r>
      <w:r w:rsidRPr="00896D4F">
        <w:softHyphen/>
        <w:t>ning hade framkommit bl.a. att den misär som rådde i lägenheten den 19 april 1999 inte var en engångshändelse utan en upprepning av vad som tidigare hade inträffat. Denna uppgift hade givetvis varit central för nämndens fortsatta hand</w:t>
      </w:r>
      <w:r w:rsidRPr="00896D4F">
        <w:softHyphen/>
        <w:t xml:space="preserve">lande.  </w:t>
      </w:r>
    </w:p>
    <w:p w:rsidR="009C1C5A" w:rsidRPr="00896D4F" w:rsidRDefault="009C1C5A">
      <w:pPr>
        <w:pStyle w:val="Normaltindrag"/>
      </w:pPr>
      <w:r w:rsidRPr="00896D4F">
        <w:t>Av handlingarna framgår det att socialnämnden hade fortsatt kontakt med famil</w:t>
      </w:r>
      <w:r w:rsidRPr="00896D4F">
        <w:softHyphen/>
        <w:t>jen i tiden efter hembesöket den 19 april 1999. Denna kontakt kunde emellertid inte ersätta en utredning enligt 11 kap. 1 § socialtjänstlagen och de särskilda bestämmelserna i 11 kap. 2 § social</w:t>
      </w:r>
      <w:r w:rsidRPr="00896D4F">
        <w:softHyphen/>
        <w:t xml:space="preserve">tjänstlagen. </w:t>
      </w:r>
    </w:p>
    <w:p w:rsidR="009C1C5A" w:rsidRPr="00896D4F" w:rsidRDefault="009C1C5A">
      <w:pPr>
        <w:pStyle w:val="Normaltindrag"/>
      </w:pPr>
      <w:r w:rsidRPr="00896D4F">
        <w:t>Den 26 oktober 1999 inkom en anmälan från socialjouren i Västerås ko</w:t>
      </w:r>
      <w:r w:rsidRPr="00896D4F">
        <w:t>m</w:t>
      </w:r>
      <w:r w:rsidRPr="00896D4F">
        <w:t>mun. Enligt denna hade personal från affären Barnens Hus kontaktat socia</w:t>
      </w:r>
      <w:r w:rsidRPr="00896D4F">
        <w:t>l</w:t>
      </w:r>
      <w:r w:rsidRPr="00896D4F">
        <w:t>jouren. Socialjouren hade den 22 oktober 1999 nedtecknat följande.</w:t>
      </w:r>
    </w:p>
    <w:p w:rsidR="009C1C5A" w:rsidRPr="00896D4F" w:rsidRDefault="009C1C5A">
      <w:pPr>
        <w:pStyle w:val="Citat"/>
      </w:pPr>
      <w:r w:rsidRPr="00896D4F">
        <w:t>En kvinna, N.N., anställd vid leksaksaffären Barnens Hus på Erikslund ringer och omtalar att hon uppmärksammat två barn som befunnit sig i och utan affären sedan kl. 11.30 idag. Barnen är smutsiga och hungriga och vill inte tala om var de bor. Flickan är 7 år och heter Emma och Erik är 4 år. De har fått varsin smörgås av personalen på leksaksaffären vilket de med tveka</w:t>
      </w:r>
      <w:r w:rsidRPr="00896D4F">
        <w:t>n tog emot. Men Emma sa sedan att det nog är bäst att ta smörgåsen för mamma kommer inte förrän senare ikväll och hämtar dem. Barnen var för ett par d</w:t>
      </w:r>
      <w:r w:rsidRPr="00896D4F">
        <w:t>a</w:t>
      </w:r>
      <w:r w:rsidRPr="00896D4F">
        <w:t>gar sedan i och utanför affären. Flickan slår och sparkar och skriker åt sin lillebror när hon vill att han ska gå ut ur aff</w:t>
      </w:r>
      <w:r w:rsidRPr="00896D4F">
        <w:t>ä</w:t>
      </w:r>
      <w:r w:rsidRPr="00896D4F">
        <w:t>ren.</w:t>
      </w:r>
    </w:p>
    <w:p w:rsidR="009C1C5A" w:rsidRPr="00896D4F" w:rsidRDefault="009C1C5A">
      <w:pPr>
        <w:pStyle w:val="Citatindrag"/>
      </w:pPr>
      <w:r w:rsidRPr="00896D4F">
        <w:t>Vi åker ut till Erikslund och träffar barnen utanför affären. De är smutsiga och inte särskilt varmt klädda. De vet inte var mamma och pappa har åkt och heller inte när de tänker komma och hämta dem. Barnen uppger att de brukar var</w:t>
      </w:r>
      <w:r w:rsidRPr="00896D4F">
        <w:t>a vid affären ibland. De berättar att de bor i Ramnäs nu. Vi erbjuder ba</w:t>
      </w:r>
      <w:r w:rsidRPr="00896D4F">
        <w:t>r</w:t>
      </w:r>
      <w:r w:rsidRPr="00896D4F">
        <w:t>nen att komma och sitta i vår bil men de vill inte och går iväg för att se om mamma har kommit. Vi frågar barnen om de är hungriga och lovar att åka till Mc Donalds och köpa något åt dem. När vi återvänder är barnen inte kvar. Vi får veta av personal på leksaksaffären att mamman varit in och frågat efter barnen. Då personalen påpekat att barnen varit där hela dagen säger mamman ”Be dem gå hem nästa gång de kommer”.</w:t>
      </w:r>
    </w:p>
    <w:p w:rsidR="009C1C5A" w:rsidRPr="00896D4F" w:rsidRDefault="009C1C5A">
      <w:pPr>
        <w:pStyle w:val="Citatindrag"/>
      </w:pPr>
      <w:r w:rsidRPr="00896D4F">
        <w:t>Lördagen den 23/10 k</w:t>
      </w:r>
      <w:r w:rsidRPr="00896D4F">
        <w:t>l. 15.00 ringer återigen personal från Barnens Hus och omtalar att barnen varit där sedan kl. 11.00. Pojken har ingen jacka på sig. För övrigt är barnen klädda som igår och de är mycket smutsiga. Flickan har berättat att mamma arbetar och sagt att hon är 12 år och lillebror 7 år. Vi åker ut och tittar efter barnen när kl. är ca 15.30. Då finns barnen inte kvar i området. Via polisen får vi fram familjens adress samt personnummer.</w:t>
      </w:r>
    </w:p>
    <w:p w:rsidR="009C1C5A" w:rsidRPr="00896D4F" w:rsidRDefault="009C1C5A">
      <w:r w:rsidRPr="00896D4F">
        <w:t xml:space="preserve">I en jourrapport från socialjouren i Västerås kommun den 24 oktober 1999 hade </w:t>
      </w:r>
      <w:r w:rsidRPr="00896D4F">
        <w:t>nedtecknats följande.</w:t>
      </w:r>
    </w:p>
    <w:p w:rsidR="009C1C5A" w:rsidRPr="00896D4F" w:rsidRDefault="009C1C5A">
      <w:pPr>
        <w:pStyle w:val="Citat"/>
      </w:pPr>
      <w:r w:rsidRPr="00896D4F">
        <w:t>N.N., Barnens Hus har ringt och sökt oss. Ringer upp och pratar med en a</w:t>
      </w:r>
      <w:r w:rsidRPr="00896D4F">
        <w:t>n</w:t>
      </w:r>
      <w:r w:rsidRPr="00896D4F">
        <w:t>nan av personalen. Barnen E finns på nytt i varuhuset och dess närhet. Enligt uppgift från ngn annan skall barnen bo tillsammans med pappan i en husvagn på ett ”skrotområde” mitt emot möbelaffären Mio. Personen hade sett barnen gå därifrån idag.</w:t>
      </w:r>
    </w:p>
    <w:p w:rsidR="009C1C5A" w:rsidRPr="00896D4F" w:rsidRDefault="009C1C5A">
      <w:pPr>
        <w:pStyle w:val="Citatindrag"/>
      </w:pPr>
      <w:r w:rsidRPr="00896D4F">
        <w:t>Vi åker ut till området där husvagnen står ca kl. 18.15. En man synbart b</w:t>
      </w:r>
      <w:r w:rsidRPr="00896D4F">
        <w:t>e</w:t>
      </w:r>
      <w:r w:rsidRPr="00896D4F">
        <w:t>rusad kommer ur husvagnen och vi ser en kvinna och en stor schäfer inne i vagnen. Vi bedömer att mannen inte är Henrik Torsson varför vi lämnar o</w:t>
      </w:r>
      <w:r w:rsidRPr="00896D4F">
        <w:t>m</w:t>
      </w:r>
      <w:r w:rsidRPr="00896D4F">
        <w:t>rådet. Vi antecknar reg.nr på den bil som står parkerad vid husvagnen [reg</w:t>
      </w:r>
      <w:r w:rsidRPr="00896D4F">
        <w:t>i</w:t>
      </w:r>
      <w:r w:rsidRPr="00896D4F">
        <w:t>streringsnummer]. Vi åker ca 19.30 ut till Ramnäs för att besöka familjen och prata om uppgifterna vi har fått under helgen. Ingen öppnar när vi ringer på och det är mörkt i lägenheten. Via polisen får vi sedan reda på att bilen tillhör Henrik Torsson.</w:t>
      </w:r>
    </w:p>
    <w:p w:rsidR="009C1C5A" w:rsidRPr="00896D4F" w:rsidRDefault="009C1C5A">
      <w:r w:rsidRPr="00896D4F">
        <w:t>Uppgifterna från socialjouren föranle</w:t>
      </w:r>
      <w:r w:rsidRPr="00896D4F">
        <w:t>dde nämnden att inleda utredningar enligt 11 kap. 1 § socialtjänstlagen beträffande Emma och Erik. I utrednin</w:t>
      </w:r>
      <w:r w:rsidRPr="00896D4F">
        <w:t>g</w:t>
      </w:r>
      <w:r w:rsidRPr="00896D4F">
        <w:t>arna kontaktade socialnämnden barnens skolor och erhöll därvid uppgift om att alla fyra barnen var från</w:t>
      </w:r>
      <w:r w:rsidRPr="00896D4F">
        <w:softHyphen/>
        <w:t>varande och hade anmälts sjuka av fadern. Däre</w:t>
      </w:r>
      <w:r w:rsidRPr="00896D4F">
        <w:t>f</w:t>
      </w:r>
      <w:r w:rsidRPr="00896D4F">
        <w:t>ter genom</w:t>
      </w:r>
      <w:r w:rsidRPr="00896D4F">
        <w:softHyphen/>
        <w:t>fördes ett oanmält hembesök vid familjens husvagn på Eriks</w:t>
      </w:r>
      <w:r w:rsidRPr="00896D4F">
        <w:softHyphen/>
        <w:t>lundsområdet. Henrik Torsson uppgav då att Lena Eriksson och barnen lån</w:t>
      </w:r>
      <w:r w:rsidRPr="00896D4F">
        <w:t>a</w:t>
      </w:r>
      <w:r w:rsidRPr="00896D4F">
        <w:t>de en lägenhet i Västerås och att han själv bodde i husvagnen. Han uppgav även att familjen hade tillgång till</w:t>
      </w:r>
      <w:r w:rsidRPr="00896D4F">
        <w:t xml:space="preserve"> både dusch och telefon och att det fanns värme i hus</w:t>
      </w:r>
      <w:r w:rsidRPr="00896D4F">
        <w:softHyphen/>
        <w:t>vagnen. Enligt Henrik Torsson gick det ingen nöd på barnen. Vid ett nytt hem</w:t>
      </w:r>
      <w:r w:rsidRPr="00896D4F">
        <w:softHyphen/>
        <w:t>besök uppgav Henrik Torsson att Lena Eriksson hade erhållit ett hyres</w:t>
      </w:r>
      <w:r w:rsidRPr="00896D4F">
        <w:softHyphen/>
        <w:t>kontrakt på en lägenhet i Västerås. Utredningarna avslutades den 15 december 1999 utan ytterligare åtgärd. I bedömningen anfördes bl.a. fö</w:t>
      </w:r>
      <w:r w:rsidRPr="00896D4F">
        <w:t>l</w:t>
      </w:r>
      <w:r w:rsidRPr="00896D4F">
        <w:t>jande.</w:t>
      </w:r>
    </w:p>
    <w:p w:rsidR="009C1C5A" w:rsidRPr="00896D4F" w:rsidRDefault="009C1C5A">
      <w:pPr>
        <w:pStyle w:val="Citat"/>
      </w:pPr>
      <w:r w:rsidRPr="00896D4F">
        <w:t xml:space="preserve">Undertecknad bedömer efter de samtal som förts med Lena och Henrik att de nu har förståelse för att husvagnsboende inte är en acceptabel boendesituation för barnen. </w:t>
      </w:r>
      <w:r w:rsidRPr="00896D4F">
        <w:t>Lena har nu erhållit kontrakt på en lägenhet i Västerås och har därför möjlighet att åter ge barnen ett ordnat boende. Undertecknad bedömer att även om Henrik, Lena och barnen under vissa perioder kan ha behov av ett visst stöd så kan det ske genom frivilliga insatser. Undertecknads bedömning är att den aktuella anmälan ej skall föranleda vidare åtgärder från individ- och familjeomsorgen Surahammar.</w:t>
      </w:r>
    </w:p>
    <w:p w:rsidR="009C1C5A" w:rsidRPr="00896D4F" w:rsidRDefault="009C1C5A">
      <w:r w:rsidRPr="00896D4F">
        <w:t>Det förelåg vid tidpunkten för anmälan även andra färska uppgifter hos soc</w:t>
      </w:r>
      <w:r w:rsidRPr="00896D4F">
        <w:t>i</w:t>
      </w:r>
      <w:r w:rsidRPr="00896D4F">
        <w:t>al</w:t>
      </w:r>
      <w:r w:rsidRPr="00896D4F">
        <w:softHyphen/>
        <w:t>nämnden angående bl.a. brister i Emmas hygien under skoltid, oro för Hel</w:t>
      </w:r>
      <w:r w:rsidRPr="00896D4F">
        <w:t>e</w:t>
      </w:r>
      <w:r w:rsidRPr="00896D4F">
        <w:t>nas skolsituation och klagomål om lukt från familjens lägenhet. Mot ba</w:t>
      </w:r>
      <w:r w:rsidRPr="00896D4F">
        <w:t>k</w:t>
      </w:r>
      <w:r w:rsidRPr="00896D4F">
        <w:t>grund av dessa uppgifter, sammantagna med den kännedom om familjen som social</w:t>
      </w:r>
      <w:r w:rsidRPr="00896D4F">
        <w:softHyphen/>
        <w:t>nämnden då hade, var nämnden skyldig att inleda utredningar även beträffande Helenas och Daniels förhållanden. Utredningarna beträffande samtliga barn borde ha utförts med sådan omsorg att de, i enlighet med vad jag har anfört ovan, belyste såväl barnens behov som föräldrarnas omsorg</w:t>
      </w:r>
      <w:r w:rsidRPr="00896D4F">
        <w:t>s</w:t>
      </w:r>
      <w:r w:rsidRPr="00896D4F">
        <w:t>f</w:t>
      </w:r>
      <w:r w:rsidRPr="00896D4F">
        <w:t>örmåga och möjlighet att till</w:t>
      </w:r>
      <w:r w:rsidRPr="00896D4F">
        <w:softHyphen/>
        <w:t>godose barnens behov. Efter</w:t>
      </w:r>
      <w:r w:rsidRPr="00896D4F">
        <w:softHyphen/>
      </w:r>
      <w:r w:rsidRPr="00896D4F">
        <w:softHyphen/>
        <w:t>som utredningarna beträffande Emma och Erik inte kan anses belysa famil</w:t>
      </w:r>
      <w:r w:rsidRPr="00896D4F">
        <w:softHyphen/>
        <w:t xml:space="preserve">jens förhållanden på ett tillfredsställande sätt, är det svårt att bilda sig en klar uppfattning om vilka åtgärder som kunde ha blivit aktuella från nämndens sida.  </w:t>
      </w:r>
    </w:p>
    <w:p w:rsidR="009C1C5A" w:rsidRPr="00896D4F" w:rsidRDefault="009C1C5A">
      <w:pPr>
        <w:pStyle w:val="Normaltindrag"/>
      </w:pPr>
      <w:r w:rsidRPr="00896D4F">
        <w:t>Med utgångspunkt i vad Socialnämnden i Surahammars kommun kände till vid den tidpunkten måste det ha stått klart att familjen var i behov av for</w:t>
      </w:r>
      <w:r w:rsidRPr="00896D4F">
        <w:t>t</w:t>
      </w:r>
      <w:r w:rsidRPr="00896D4F">
        <w:t>satt stöd och hjälp. Näm</w:t>
      </w:r>
      <w:r w:rsidRPr="00896D4F">
        <w:softHyphen/>
        <w:t>nden borde därför inte ha avslutat utredningarna b</w:t>
      </w:r>
      <w:r w:rsidRPr="00896D4F">
        <w:t>e</w:t>
      </w:r>
      <w:r w:rsidRPr="00896D4F">
        <w:t>träffande Emma och Erik med ett konstaterande att familjen hade fått en b</w:t>
      </w:r>
      <w:r w:rsidRPr="00896D4F">
        <w:t>o</w:t>
      </w:r>
      <w:r w:rsidRPr="00896D4F">
        <w:t>stad i Västerås kom</w:t>
      </w:r>
      <w:r w:rsidRPr="00896D4F">
        <w:softHyphen/>
        <w:t>mun. Under alla förhållanden borde socialnämnden, i första hand efter samråd med föräldrarna, ha tagit kontakt med Individ- och familjenämnden i Västerås kommun för att förvissa sig om att nämnden i Västerås kommun hade kännedom om att familjen hade flyttat till Västerås och uppmärksammat den nämnden på familjens påtagliga behov av stöd oc</w:t>
      </w:r>
      <w:r w:rsidRPr="00896D4F">
        <w:t>h hjälp. Ett sådant samarbete hade ytterst kunnat ske även mot vårdnadshav</w:t>
      </w:r>
      <w:r w:rsidRPr="00896D4F">
        <w:t>a</w:t>
      </w:r>
      <w:r w:rsidRPr="00896D4F">
        <w:t>rens vilja i enlighet med bestämmelserna i 11 kap. 1 § social</w:t>
      </w:r>
      <w:r w:rsidRPr="00896D4F">
        <w:softHyphen/>
      </w:r>
      <w:r w:rsidRPr="00896D4F">
        <w:softHyphen/>
        <w:t xml:space="preserve">tjänstlagen. </w:t>
      </w:r>
    </w:p>
    <w:p w:rsidR="009C1C5A" w:rsidRPr="00896D4F" w:rsidRDefault="009C1C5A">
      <w:pPr>
        <w:pStyle w:val="Normaltindrag"/>
      </w:pPr>
      <w:r w:rsidRPr="00896D4F">
        <w:t>Det är med stor förvåning jag kan konstatera att Socialnämnden i Sur</w:t>
      </w:r>
      <w:r w:rsidRPr="00896D4F">
        <w:t>a</w:t>
      </w:r>
      <w:r w:rsidRPr="00896D4F">
        <w:t xml:space="preserve">hammars kommun inte vid något tillfälle ansåg att det förelåg skäl att inleda utredningar angående samtliga barns förhållanden. Jag ser med visst allvar på bristerna i nämndens handläggning. </w:t>
      </w:r>
    </w:p>
    <w:p w:rsidR="009C1C5A" w:rsidRPr="00896D4F" w:rsidRDefault="009C1C5A">
      <w:pPr>
        <w:pStyle w:val="Rubrik4"/>
      </w:pPr>
      <w:r w:rsidRPr="00896D4F">
        <w:t>Individ- och familjenämnden i Västerås kommun</w:t>
      </w:r>
    </w:p>
    <w:p w:rsidR="009C1C5A" w:rsidRPr="00896D4F" w:rsidRDefault="009C1C5A">
      <w:r w:rsidRPr="00896D4F">
        <w:t>När det gäller Individ- och familjenämnden i Västerås kommun kan jag ko</w:t>
      </w:r>
      <w:r w:rsidRPr="00896D4F">
        <w:t>n</w:t>
      </w:r>
      <w:r w:rsidRPr="00896D4F">
        <w:t>statera att en utredning beträffande samtliga barn inleddes efter att tre anmä</w:t>
      </w:r>
      <w:r w:rsidRPr="00896D4F">
        <w:t>l</w:t>
      </w:r>
      <w:r w:rsidRPr="00896D4F">
        <w:t>ningar hade inkommit. Nämnden hade kännedom om vad som hade för</w:t>
      </w:r>
      <w:r w:rsidRPr="00896D4F">
        <w:t>e</w:t>
      </w:r>
      <w:r w:rsidRPr="00896D4F">
        <w:t>kommit i familjens tidigare kontakter med socialtjänsten i Västerås. Utredarna inhämtade även infor</w:t>
      </w:r>
      <w:r w:rsidRPr="00896D4F">
        <w:softHyphen/>
        <w:t>mation från socialnämnden i Surahammars kommun. Familjens tidigare mönster upprepades efter återflyttningen till Västerås. Som exempel kan nämnas att kom</w:t>
      </w:r>
      <w:r w:rsidRPr="00896D4F">
        <w:softHyphen/>
        <w:t>munens miljö- och hälsoskydds</w:t>
      </w:r>
      <w:r w:rsidRPr="00896D4F">
        <w:softHyphen/>
        <w:t>förvaltning vid en inspektion den 18 februari 2000 fann att familjens lägenhet var f</w:t>
      </w:r>
      <w:r w:rsidRPr="00896D4F">
        <w:t>örorenad och i omedelbart behov av sanering. Vidare kan nämnas en promemoria från Näpo Väst, Polismyndigheten i Väst</w:t>
      </w:r>
      <w:r w:rsidRPr="00896D4F">
        <w:softHyphen/>
        <w:t>manlands län, den 28 februari 2000, av vilken framgick att Emma och Erik hade snattat och att de i samband därmed berättade att föräldrarna hade åkt till ett stall med de andra barnen. Barnen var dåligt klädda för års</w:t>
      </w:r>
      <w:r w:rsidRPr="00896D4F">
        <w:softHyphen/>
        <w:t xml:space="preserve">tiden och kläderna var trasiga och smutsiga. De hade, enligt promemorian, ingen nyckel till lägenheten och hade blivit uppmanade att gå till någon kamrat för att äta om de blev </w:t>
      </w:r>
      <w:r w:rsidRPr="00896D4F">
        <w:t xml:space="preserve">hungriga. </w:t>
      </w:r>
    </w:p>
    <w:p w:rsidR="009C1C5A" w:rsidRPr="00896D4F" w:rsidRDefault="009C1C5A">
      <w:pPr>
        <w:pStyle w:val="Normaltindrag"/>
      </w:pPr>
      <w:r w:rsidRPr="00896D4F">
        <w:t>Av remissvaret framgår det att ett akut omhändertagande enligt 6 § LVU under utredningstiden övervägdes. Som jag har nämnt tidigare brukar JO vara åter</w:t>
      </w:r>
      <w:r w:rsidRPr="00896D4F">
        <w:softHyphen/>
        <w:t>hållsam med att uttala sig i frågor som ytterst grundar sig på överväga</w:t>
      </w:r>
      <w:r w:rsidRPr="00896D4F">
        <w:t>n</w:t>
      </w:r>
      <w:r w:rsidRPr="00896D4F">
        <w:t>den i det enskilda fallet. Vad som har framkommit föranleder mig inte att göra något undantag från denna princip i förevarande fall.</w:t>
      </w:r>
    </w:p>
    <w:p w:rsidR="009C1C5A" w:rsidRPr="00896D4F" w:rsidRDefault="009C1C5A">
      <w:pPr>
        <w:pStyle w:val="Normaltindrag"/>
      </w:pPr>
      <w:r w:rsidRPr="00896D4F">
        <w:t>Jag finner inte skäl att kritisera handläggningen vid Individ- och familj</w:t>
      </w:r>
      <w:r w:rsidRPr="00896D4F">
        <w:t>e</w:t>
      </w:r>
      <w:r w:rsidRPr="00896D4F">
        <w:t xml:space="preserve">nämnden i Västerås kommun under den granskade tidsperioden. </w:t>
      </w:r>
    </w:p>
    <w:p w:rsidR="009C1C5A" w:rsidRPr="00896D4F" w:rsidRDefault="009C1C5A">
      <w:pPr>
        <w:pStyle w:val="Rubrik2"/>
      </w:pPr>
      <w:r w:rsidRPr="00896D4F">
        <w:t>En kvinna som hade psykiska problem och som missbrukade narkotika avled, sannolikt på grund av en överdos av narkotika; fråga om socialnämnden hade åsidosatt sina åligganden när det gällde att i olika hänseenden bistå kvi</w:t>
      </w:r>
      <w:r w:rsidRPr="00896D4F">
        <w:t>n</w:t>
      </w:r>
      <w:r w:rsidRPr="00896D4F">
        <w:t>nan</w:t>
      </w:r>
    </w:p>
    <w:p w:rsidR="009C1C5A" w:rsidRPr="00896D4F" w:rsidRDefault="009C1C5A">
      <w:pPr>
        <w:spacing w:before="0"/>
      </w:pPr>
      <w:r w:rsidRPr="00896D4F">
        <w:t>(Dnr 4199-1999 och 1432-2000)</w:t>
      </w:r>
    </w:p>
    <w:p w:rsidR="009C1C5A" w:rsidRPr="00896D4F" w:rsidRDefault="009C1C5A">
      <w:r w:rsidRPr="00896D4F">
        <w:t xml:space="preserve">Efter en ansökan av Socialnämnden i Lunds kommun beslutade Länsrätten i Skåne län i en dom den 18 juni 1999 att Carina A, född 1954 (namnet är fin-gerat), skulle beredas vård enligt lagen (1988:870) om vård av missbrukare i vissa fall (LVM). Länsrätten förordnade att domen i den delen skulle gälla omedelbart. </w:t>
      </w:r>
    </w:p>
    <w:p w:rsidR="009C1C5A" w:rsidRPr="00896D4F" w:rsidRDefault="009C1C5A">
      <w:r w:rsidRPr="00896D4F">
        <w:t xml:space="preserve">I domen anförde länsrätten bl.a. följande. </w:t>
      </w:r>
    </w:p>
    <w:p w:rsidR="009C1C5A" w:rsidRPr="00896D4F" w:rsidRDefault="009C1C5A">
      <w:pPr>
        <w:pStyle w:val="Citat"/>
      </w:pPr>
      <w:r w:rsidRPr="00896D4F">
        <w:t xml:space="preserve">Av utredningen i målet framgår att Carina A. till följd av ett långvarigt och allvarligt missbruk av olika droger är i behov av vård för att komma ifrån sitt missbruk. Till följd av missbruket utsätter hon både sin fysiska och psykiska hälsa för allvarlig fara. Det som framkommit ger också vid handen att hon kan befaras komma att allvarligt skada sig själv, sannolikt till följd av en kombination av sitt missbruk och sin psykiska sjukdom. </w:t>
      </w:r>
    </w:p>
    <w:p w:rsidR="009C1C5A" w:rsidRPr="00896D4F" w:rsidRDefault="009C1C5A">
      <w:r w:rsidRPr="00896D4F">
        <w:t xml:space="preserve">Carina A. togs efter domen in på LVM-hemmet Lunden. </w:t>
      </w:r>
    </w:p>
    <w:p w:rsidR="009C1C5A" w:rsidRPr="00896D4F" w:rsidRDefault="009C1C5A">
      <w:pPr>
        <w:pStyle w:val="Normaltindrag"/>
      </w:pPr>
      <w:r w:rsidRPr="00896D4F">
        <w:t>Den 21 juni 1999 utfärdade en läkare vid LVM-hemmet ett vårdintyg e</w:t>
      </w:r>
      <w:r w:rsidRPr="00896D4F">
        <w:t>n</w:t>
      </w:r>
      <w:r w:rsidRPr="00896D4F">
        <w:t xml:space="preserve">ligt 4 § lagen (1991:1128) om psykiatrisk tvångsvård (LPT) beträffande </w:t>
      </w:r>
      <w:r w:rsidRPr="00896D4F">
        <w:br/>
        <w:t xml:space="preserve">Carina A. Senare samma dag beslutades enligt 6 § LPT att Carina A. skulle tas in för vård enligt LPT vid S:t Lars sjukhus i Lund. Carina A. överflyttades den 24 juni 1999 till Rättspsykiatriska regionvårdsenheten i Sundsvall (nedan kallat Sidsjöns sjukhus). </w:t>
      </w:r>
    </w:p>
    <w:p w:rsidR="009C1C5A" w:rsidRPr="00896D4F" w:rsidRDefault="009C1C5A">
      <w:pPr>
        <w:pStyle w:val="Normaltindrag"/>
      </w:pPr>
      <w:r w:rsidRPr="00896D4F">
        <w:t xml:space="preserve">Vården enligt LVM upphörde den 22 juli 1999 då Carina A. skrevs ut från LVM-hemmet. Det beslutet föranleddes av att Carina A. var föremål för vård enligt LPT. </w:t>
      </w:r>
    </w:p>
    <w:p w:rsidR="009C1C5A" w:rsidRPr="00896D4F" w:rsidRDefault="009C1C5A">
      <w:pPr>
        <w:pStyle w:val="Normaltindrag"/>
      </w:pPr>
      <w:r w:rsidRPr="00896D4F">
        <w:t xml:space="preserve">Carina A. skrevs ut från Sidsjöns sjukhus i Sundsvall den 11 oktober 1999 varvid hon återvände till Lund. </w:t>
      </w:r>
    </w:p>
    <w:p w:rsidR="009C1C5A" w:rsidRPr="00896D4F" w:rsidRDefault="009C1C5A">
      <w:pPr>
        <w:pStyle w:val="Normaltindrag"/>
      </w:pPr>
      <w:r w:rsidRPr="00896D4F">
        <w:t xml:space="preserve">Den 12 oktober 1999 påträffades Carina A. död i ett buskage i centrala Lund. Hon hade avlidit sannolikt på grund av en s.k. överdos av narkotika. </w:t>
      </w:r>
    </w:p>
    <w:p w:rsidR="009C1C5A" w:rsidRPr="00896D4F" w:rsidRDefault="009C1C5A">
      <w:pPr>
        <w:pStyle w:val="Normaltindrag"/>
      </w:pPr>
      <w:r w:rsidRPr="00896D4F">
        <w:t xml:space="preserve">En kurator vid en kyrklig samfällighet ifrågasatte i en anmälan till JO om Socialnämnden i Lunds kommun fullgjort sina skyldigheter när det gällde att ge Carina A. det stöd och den hjälp hon behövde efter utskrivningen från sjukhuset. </w:t>
      </w:r>
    </w:p>
    <w:p w:rsidR="009C1C5A" w:rsidRPr="00896D4F" w:rsidRDefault="009C1C5A">
      <w:pPr>
        <w:pStyle w:val="Normaltindrag"/>
      </w:pPr>
      <w:r w:rsidRPr="00896D4F">
        <w:t>Efter remiss kom Länsstyrelsen i Skåne län in med utredning och yttrande beträffande Socialnämndens i Lunds kommun handläggning av ärendet ang</w:t>
      </w:r>
      <w:r w:rsidRPr="00896D4F">
        <w:t>å</w:t>
      </w:r>
      <w:r w:rsidRPr="00896D4F">
        <w:t xml:space="preserve">ende Carina A. </w:t>
      </w:r>
    </w:p>
    <w:p w:rsidR="009C1C5A" w:rsidRPr="00896D4F" w:rsidRDefault="009C1C5A">
      <w:pPr>
        <w:pStyle w:val="Normaltindrag"/>
      </w:pPr>
      <w:r w:rsidRPr="00896D4F">
        <w:t xml:space="preserve">Socialnämnden i Lunds kommun yttrade sig över länsstyrelsens remissvar. </w:t>
      </w:r>
    </w:p>
    <w:p w:rsidR="009C1C5A" w:rsidRPr="00896D4F" w:rsidRDefault="009C1C5A">
      <w:pPr>
        <w:pStyle w:val="Normaltindrag"/>
      </w:pPr>
      <w:r w:rsidRPr="00896D4F">
        <w:t xml:space="preserve">Anmälaren bereddes tillfälle att yttra sig över länsstyrelsens remissvar och socialnämndens yttrande. </w:t>
      </w:r>
    </w:p>
    <w:p w:rsidR="009C1C5A" w:rsidRPr="00896D4F" w:rsidRDefault="009C1C5A">
      <w:pPr>
        <w:pStyle w:val="Normaltindrag"/>
      </w:pPr>
      <w:r w:rsidRPr="00896D4F">
        <w:t>En sjuksköterska vid Sidsjöns sjukhus hade till Länsstyrelsen i Skåne län klagat på socialnämndens handläggning av ärendet rörande Carina A. Län</w:t>
      </w:r>
      <w:r w:rsidRPr="00896D4F">
        <w:t>s</w:t>
      </w:r>
      <w:r w:rsidRPr="00896D4F">
        <w:t xml:space="preserve">styrelsen fattade beslut i ärendet samma dag som länsstyrelsen avgav sitt remissvar till JO. Länsstyrelsens uttalanden i tillsynsbeslutet och yttrandet till JO överensstämmer i allt väsentligt. </w:t>
      </w:r>
    </w:p>
    <w:p w:rsidR="009C1C5A" w:rsidRPr="00896D4F" w:rsidRDefault="009C1C5A">
      <w:pPr>
        <w:pStyle w:val="Normaltindrag"/>
      </w:pPr>
      <w:r w:rsidRPr="00896D4F">
        <w:t>I samband med att Socialnämndens i Lunds kommun arbetsutskott besl</w:t>
      </w:r>
      <w:r w:rsidRPr="00896D4F">
        <w:t>u</w:t>
      </w:r>
      <w:r w:rsidRPr="00896D4F">
        <w:t xml:space="preserve">tade om sitt yttrande till JO över länsstyrelsens remissvar fann utskottet skäl att påkalla JO:s prövning av huruvida länsstyrelsen gjort sig skyldig till vårdslös myndighetsutövning genom att i sitt remissvar underlåta att nämna, än mindre bemöta, nämndens tillrättalägganden av uppgifter som lämnats av anmälaren. Nämndens framställning lades hos JO upp som ett särskilt ärende (JO:s dnr 1432-2000). </w:t>
      </w:r>
    </w:p>
    <w:p w:rsidR="009C1C5A" w:rsidRPr="00896D4F" w:rsidRDefault="009C1C5A">
      <w:pPr>
        <w:pStyle w:val="Normaltindrag"/>
      </w:pPr>
      <w:r w:rsidRPr="00896D4F">
        <w:t>JO hade tillgång till socialförvaltningens i Lunds kommun personakt ang</w:t>
      </w:r>
      <w:r w:rsidRPr="00896D4F">
        <w:t>å</w:t>
      </w:r>
      <w:r w:rsidRPr="00896D4F">
        <w:t>e</w:t>
      </w:r>
      <w:r w:rsidRPr="00896D4F">
        <w:t>n</w:t>
      </w:r>
      <w:r w:rsidRPr="00896D4F">
        <w:t>de Carina A. för den tid som JO:s tillsynsärende omfattade.</w:t>
      </w:r>
    </w:p>
    <w:p w:rsidR="009C1C5A" w:rsidRPr="00896D4F" w:rsidRDefault="009C1C5A">
      <w:r w:rsidRPr="00896D4F">
        <w:t xml:space="preserve">I ett beslut den 27 september 2001 anförde </w:t>
      </w:r>
      <w:r w:rsidRPr="00896D4F">
        <w:rPr>
          <w:i/>
        </w:rPr>
        <w:t>JO André</w:t>
      </w:r>
      <w:r w:rsidRPr="00896D4F">
        <w:t xml:space="preserve"> följande. </w:t>
      </w:r>
    </w:p>
    <w:p w:rsidR="009C1C5A" w:rsidRPr="00896D4F" w:rsidRDefault="009C1C5A">
      <w:r w:rsidRPr="00896D4F">
        <w:t>När Carina A. sedan hon skrivits ut från Sidsjöns sjukhus i Sundsvall, åte</w:t>
      </w:r>
      <w:r w:rsidRPr="00896D4F">
        <w:t>r</w:t>
      </w:r>
      <w:r w:rsidRPr="00896D4F">
        <w:t xml:space="preserve">vände till Lund den 11 oktober 1999 var hon ”avgiftad” och synes ha varit vid gott mod. Carina A. återföll dock mer eller mindre omgående i missbruk och avled dagen efter ankomsten till Lund. Utredningen här ger inte annat vid handen än att dödsorsaken var en s.k. överdos av narkotika. </w:t>
      </w:r>
    </w:p>
    <w:p w:rsidR="009C1C5A" w:rsidRPr="00896D4F" w:rsidRDefault="009C1C5A">
      <w:pPr>
        <w:pStyle w:val="Normaltindrag"/>
      </w:pPr>
      <w:r w:rsidRPr="00896D4F">
        <w:t>Enligt länsstyrelsens remissvar till JO har Socialnämnden i Lunds kommun handlagt Carina A:s ärende på ett oacceptabelt och nonchalant sätt. Länsst</w:t>
      </w:r>
      <w:r w:rsidRPr="00896D4F">
        <w:t>y</w:t>
      </w:r>
      <w:r w:rsidRPr="00896D4F">
        <w:t>relsen har därvid framhållit bl.a. att med beaktande av Carina A:s destruktiva missbruk och allvarliga personlighetsstörning borde socialnämnden ha haft en färdig vårdplan för Carina A. när hon kom tillbaka till Lund. Nämnden har å sin sida  hävdat att det fanns en planering för Carina A:s fortsatta vård och att nämnden även tillfredsställande verkat för att hon skulle få det stöd och den hjälp hon behövde i avvaktan på att den tänkta vården skulle kunna påbörjas.</w:t>
      </w:r>
    </w:p>
    <w:p w:rsidR="009C1C5A" w:rsidRPr="00896D4F" w:rsidRDefault="009C1C5A">
      <w:r w:rsidRPr="00896D4F">
        <w:t>Av socialförvaltningens journalanteckninga</w:t>
      </w:r>
      <w:r w:rsidRPr="00896D4F">
        <w:t xml:space="preserve">r och utredningen i övrigt framgår bl.a. följande. </w:t>
      </w:r>
    </w:p>
    <w:p w:rsidR="009C1C5A" w:rsidRPr="00896D4F" w:rsidRDefault="009C1C5A">
      <w:r w:rsidRPr="00896D4F">
        <w:t>Företrädare för socialförvaltningen hade många och täta kontakter med Car</w:t>
      </w:r>
      <w:r w:rsidRPr="00896D4F">
        <w:t>i</w:t>
      </w:r>
      <w:r w:rsidRPr="00896D4F">
        <w:t xml:space="preserve">na A. under hennes vistelse på Sidsjöns sjukhus. Kontakterna gällde i stor utsträckning omhändertagandet av Carina A:s tillhörigheter i Lund. Olika frågor rörande vilken vård Carina A. behövde när hon kom tillbaka till Lund diskuterades också. </w:t>
      </w:r>
    </w:p>
    <w:p w:rsidR="009C1C5A" w:rsidRPr="00896D4F" w:rsidRDefault="009C1C5A">
      <w:pPr>
        <w:pStyle w:val="Normaltindrag"/>
      </w:pPr>
      <w:r w:rsidRPr="00896D4F">
        <w:t>Carina A. hade uttryckt önskemål om boende i ett familjehem efter u</w:t>
      </w:r>
      <w:r w:rsidRPr="00896D4F">
        <w:t>t</w:t>
      </w:r>
      <w:r w:rsidRPr="00896D4F">
        <w:t>skrivningen från Sidsjöns sjukhus. Det förelåg dock påtagliga problem att finna ett lämpligt familjehem. I augusti hade socialförvaltningen kontakt med Österlenfamiljer, som är en organisation som arbetar bl.a. med att finna f</w:t>
      </w:r>
      <w:r w:rsidRPr="00896D4F">
        <w:t>a</w:t>
      </w:r>
      <w:r w:rsidRPr="00896D4F">
        <w:t>miljehem för vuxna. Enligt ett besked till socialförvaltningen i slutet av a</w:t>
      </w:r>
      <w:r w:rsidRPr="00896D4F">
        <w:t>u</w:t>
      </w:r>
      <w:r w:rsidRPr="00896D4F">
        <w:t>gusti 1999 skulle det sannolikt ta lång tid för Österlenfamiljer att hitta ett familjehem. I september 1999 stod klart att Österlenfamiljer inte kunde för</w:t>
      </w:r>
      <w:r w:rsidRPr="00896D4F">
        <w:t>e</w:t>
      </w:r>
      <w:r w:rsidRPr="00896D4F">
        <w:t>slå något lämpligt hem. Carina A. gav då sitt medgiv</w:t>
      </w:r>
      <w:r w:rsidRPr="00896D4F">
        <w:t>ande till att socialfö</w:t>
      </w:r>
      <w:r w:rsidRPr="00896D4F">
        <w:t>r</w:t>
      </w:r>
      <w:r w:rsidRPr="00896D4F">
        <w:t>valtningen fick söka familjehem genom någon annan organisation. Socialfö</w:t>
      </w:r>
      <w:r w:rsidRPr="00896D4F">
        <w:t>r</w:t>
      </w:r>
      <w:r w:rsidRPr="00896D4F">
        <w:t>valtningens handläggare tog kontakt med organisationen Credo i Stockholm som var beredd att hjälpa till. Carina A. fick telefonnummer till Credo efte</w:t>
      </w:r>
      <w:r w:rsidRPr="00896D4F">
        <w:t>r</w:t>
      </w:r>
      <w:r w:rsidRPr="00896D4F">
        <w:t xml:space="preserve">som hon själv ville ta kontakt med organisationen. Carina A. ville emellertid inte träffa Credo i Sidsjön utan önskade att mötet skulle äga rum i Lund. </w:t>
      </w:r>
    </w:p>
    <w:p w:rsidR="009C1C5A" w:rsidRPr="00896D4F" w:rsidRDefault="009C1C5A">
      <w:pPr>
        <w:pStyle w:val="Normaltindrag"/>
      </w:pPr>
      <w:r w:rsidRPr="00896D4F">
        <w:t>Efter diskussion mellan Credo och Carina A. bokade socialförvaltningen ett möte med Credo, socialförvaltningen oc</w:t>
      </w:r>
      <w:r w:rsidRPr="00896D4F">
        <w:t xml:space="preserve">h Carina A. i Lund den 12 oktober 1999, dvs. dagen efter Carina A:s tänkta utskrivning från Sidsjöns sjukhus. </w:t>
      </w:r>
    </w:p>
    <w:p w:rsidR="009C1C5A" w:rsidRPr="00896D4F" w:rsidRDefault="009C1C5A">
      <w:pPr>
        <w:pStyle w:val="Normaltindrag"/>
      </w:pPr>
      <w:r w:rsidRPr="00896D4F">
        <w:t>När Carina A. kom till Lund den 11 oktober uppstod vissa problem när det gällde hennes boende. Från början hade avsikten varit att Carina A. skulle få en plats på ett härbärge. Där fanns dock endast en plats avsedd för kvinnor och den platsen hade blivit upptagen. Eventuellt kunde dock Carina A. få bo i ett hus i Södra Sandby som hade renoverats invändigt och som stod tomt. Carina A. synes ha ställ</w:t>
      </w:r>
      <w:r w:rsidRPr="00896D4F">
        <w:t xml:space="preserve">t sig positiv till det förslaget och det överenskoms att hon skulle se på huset följande dag kl. 09.00. Hon skulle kunna flytta in där omgående. För natten erbjöd socialförvaltningen en plats för Carina A. på hotell som hon dock skulle få betala själv eftersom hon hade medel till detta. Enligt journalanteckningarna förklarade Carina A. då att hon skulle ordna ett annat, billigare boende. </w:t>
      </w:r>
    </w:p>
    <w:p w:rsidR="009C1C5A" w:rsidRPr="00896D4F" w:rsidRDefault="009C1C5A">
      <w:pPr>
        <w:pStyle w:val="Normaltindrag"/>
      </w:pPr>
      <w:r w:rsidRPr="00896D4F">
        <w:t>Den 12 oktober försov sig Carina A. och kom inte till socialförvaltningen på den överenskomna tiden. Huset i Södra Sandb</w:t>
      </w:r>
      <w:r w:rsidRPr="00896D4F">
        <w:t xml:space="preserve">y kunde därför inte visas för henne men hon erbjöds en ny tid för visning av huset följande dag. Carina A. synes då ha blivit förtvivlad och lämnat socialförvaltningen. Hon hade en kontakt med handläggaren per telefon som hon lånade på Diakonicentralen. Vid samtalet påmindes Carina A. om mötet med Credo som var bokat under förmiddagen. Carina A. lämnade Diakonicentralen och påträffades död en kort stund senare. </w:t>
      </w:r>
    </w:p>
    <w:p w:rsidR="009C1C5A" w:rsidRPr="00896D4F" w:rsidRDefault="009C1C5A">
      <w:r w:rsidRPr="00896D4F">
        <w:t>_____________</w:t>
      </w:r>
    </w:p>
    <w:p w:rsidR="009C1C5A" w:rsidRPr="00896D4F" w:rsidRDefault="009C1C5A">
      <w:r w:rsidRPr="00896D4F">
        <w:t xml:space="preserve">En huvudregel skall givetvis vara att frågor rörande vårdplaneringen och boendet i ett fall som det förevarande skall vara lösta innan den enskilde skrivs ut från en institution. </w:t>
      </w:r>
    </w:p>
    <w:p w:rsidR="009C1C5A" w:rsidRPr="00896D4F" w:rsidRDefault="009C1C5A">
      <w:pPr>
        <w:pStyle w:val="Normaltindrag"/>
      </w:pPr>
      <w:r w:rsidRPr="00896D4F">
        <w:t>Under den tid som Carina A. vistades på Sidsjöns sjukhus hade från fö</w:t>
      </w:r>
      <w:r w:rsidRPr="00896D4F">
        <w:t>r</w:t>
      </w:r>
      <w:r w:rsidRPr="00896D4F">
        <w:t>valtningens sida förts en diskussion med henne rörande lämplig vård efter utskrivningen från sjukhuset. Carina A. uttryckte då önskemål om boende i ett familjehem. Nämnden var inställd på att bistå med en sådan insats. Tanken synes ha varit att Carina A:s boende i familjehemmet skulle förenas med deltagande i metadonbehandling. Jag kan för min del inte se att den tänkta vården inte skulle ha varit meningsfull för Carina A. Det hade självfallet varit önskvärt att Carina A. direkt efter utskrivningen från sj</w:t>
      </w:r>
      <w:r w:rsidRPr="00896D4F">
        <w:t xml:space="preserve">ukhuset hade kunnat få en plats i ett familjehem. Det kan i och för sig diskuteras om förvaltningen varit tillräckligt aktiv i sina ansträngningar att finna ett sådant hem. Jag har dock förståelse för de svårigheter som förevarit i detta hänseende och finner därför inte grund för att kritisera förvaltningen för att familjehemsfrågan inte var slutligt löst när Carina A. skrevs ut från Sidsjöns sjukhus. </w:t>
      </w:r>
    </w:p>
    <w:p w:rsidR="009C1C5A" w:rsidRPr="00896D4F" w:rsidRDefault="009C1C5A">
      <w:pPr>
        <w:pStyle w:val="Normaltindrag"/>
      </w:pPr>
      <w:r w:rsidRPr="00896D4F">
        <w:t xml:space="preserve">När det gäller Carina A:s boende under tiden fram till dess att det skulle vara möjligt att placera henne </w:t>
      </w:r>
      <w:r w:rsidRPr="00896D4F">
        <w:t>i ett familjehem föreligger däremot vissa fr</w:t>
      </w:r>
      <w:r w:rsidRPr="00896D4F">
        <w:t>å</w:t>
      </w:r>
      <w:r w:rsidRPr="00896D4F">
        <w:t>getecken. Inte minst mot bakgrund av att familjehemsfrågan inte hade hunnit lösas har det givetvis ålegat förvaltningen att med kraft verka för att situati</w:t>
      </w:r>
      <w:r w:rsidRPr="00896D4F">
        <w:t>o</w:t>
      </w:r>
      <w:r w:rsidRPr="00896D4F">
        <w:t xml:space="preserve">nen för Carina A. under väntetiden skulle bli så bra som möjligt.   </w:t>
      </w:r>
    </w:p>
    <w:p w:rsidR="009C1C5A" w:rsidRPr="00896D4F" w:rsidRDefault="009C1C5A">
      <w:r w:rsidRPr="00896D4F">
        <w:t>Från början synes avsikten ha varit att Carina A. skulle få en plats på ett hä</w:t>
      </w:r>
      <w:r w:rsidRPr="00896D4F">
        <w:t>r</w:t>
      </w:r>
      <w:r w:rsidRPr="00896D4F">
        <w:t>bärge. Den lösningen framstår som mycket tveksam och den hade även ifr</w:t>
      </w:r>
      <w:r w:rsidRPr="00896D4F">
        <w:t>å</w:t>
      </w:r>
      <w:r w:rsidRPr="00896D4F">
        <w:t>gasatts från sjukhusets sida.</w:t>
      </w:r>
    </w:p>
    <w:p w:rsidR="009C1C5A" w:rsidRPr="00896D4F" w:rsidRDefault="009C1C5A">
      <w:pPr>
        <w:pStyle w:val="Normaltindrag"/>
      </w:pPr>
      <w:r w:rsidRPr="00896D4F">
        <w:t>Handläggaren hade ett förslag om boende i ett hus i Södra Sandby. Man kan naturligtvis ifrågasätta om Carina A. hade förmåga att bo i ett eget boe</w:t>
      </w:r>
      <w:r w:rsidRPr="00896D4F">
        <w:t>n</w:t>
      </w:r>
      <w:r w:rsidRPr="00896D4F">
        <w:t xml:space="preserve">de utan att  återfalla i missbruk. Nämndens yttrande ger inte något svar på hur nämnden såg på den saken. Det får emellertid förutsättas att boendet i Södra Sandby skulle ha förenats med särskilda stödinsatser från socialtjänstens sida med tanke på det ansvar som nämnden har för både missbrukare och personer med psykiska problem. </w:t>
      </w:r>
    </w:p>
    <w:p w:rsidR="009C1C5A" w:rsidRPr="00896D4F" w:rsidRDefault="009C1C5A">
      <w:pPr>
        <w:pStyle w:val="Normaltindrag"/>
      </w:pPr>
      <w:r w:rsidRPr="00896D4F">
        <w:t xml:space="preserve">Det kan konstateras att det inte fanns någon enkel lösning på frågan om Carina A:s boende i avvaktan på familjehemsplaceringen, och förvaltningen hade få alternativ att erbjuda. </w:t>
      </w:r>
      <w:r w:rsidRPr="00896D4F">
        <w:t xml:space="preserve">Ett bättre alternativ hade kanske varit att bereda Carina A. plats på ett behandlingshem eller liknande till dess hon kunde flytta till ett familjehem. Jag kan se flera fördelar med ett sådant boende framför en plats i ett härbärge eller ett eget boende. Enligt nämndens yttrande till JO hade Carina A. förklarat att hon inte ville ”skrivas ut till ett behandlingshem”. Om detta innebar att hon även skulle ha avvisat ett förslag om ett tillfälligt sådant boende framgår inte av utredningen. Det är därför svårt </w:t>
      </w:r>
      <w:r w:rsidRPr="00896D4F">
        <w:t>att ha en b</w:t>
      </w:r>
      <w:r w:rsidRPr="00896D4F">
        <w:t>e</w:t>
      </w:r>
      <w:r w:rsidRPr="00896D4F">
        <w:t>stämd uppfattning om hur förvaltningen borde ha handlat. Som nämnden har anfört fanns det vid denna tid knappast utrymme för vård enligt LVM, och förvaltningen har därför haft att i samförstånd med Carina A. hitta en lösning. Det finns emellertid en del som talar för att förvaltningen, särskilt med den kännedom som den hade om Carina A:s problematik, borde ha varit mera aktiv i sin planering för hennes boende i avvaktan på familjehemsplaceringen.</w:t>
      </w:r>
    </w:p>
    <w:p w:rsidR="009C1C5A" w:rsidRPr="00896D4F" w:rsidRDefault="009C1C5A">
      <w:pPr>
        <w:pStyle w:val="Normaltindrag"/>
      </w:pPr>
      <w:r w:rsidRPr="00896D4F">
        <w:t>Det finns enskildheter i socialförvaltningens han</w:t>
      </w:r>
      <w:r w:rsidRPr="00896D4F">
        <w:t>dlande även i övrigt där man kan diskutera om förvaltningen borde ha agerat annorlunda. Jag avser bl.a. det förhållandet att Carina A. inte synes ha haft någon tid bokad hos socialförvaltningen när hon kom till Lund. Det ligger i sakens natur att Carina A. mot bakgrund av sitt missbruk och sina personliga förhållanden behövde stöd av socialtjänsten redan vid ankomsten till Lund. En tid borde rimligen ha bokats för henne i samband med att hon skrevs ut från sjukhuset. Jag vill även peka på bemötandet av Cari</w:t>
      </w:r>
      <w:r w:rsidRPr="00896D4F">
        <w:t>na A. när hon försov sig på morgonen den 12 oktober. I en normal situation hade det sannolikt varit helt tillfredsställa</w:t>
      </w:r>
      <w:r w:rsidRPr="00896D4F">
        <w:t>n</w:t>
      </w:r>
      <w:r w:rsidRPr="00896D4F">
        <w:t>de att hänvisa Carina A. till mötet senare under förmiddagen. I efterhand kan man hävda att det hade varit lämpligt att hon hade tagits om hand på förval</w:t>
      </w:r>
      <w:r w:rsidRPr="00896D4F">
        <w:t>t</w:t>
      </w:r>
      <w:r w:rsidRPr="00896D4F">
        <w:t>ningen i avvaktan på det förestående mötet. Carina A. synes ha reagerat mycket negativt på att inte ha blivit mottagen och det visade sig svårt att di</w:t>
      </w:r>
      <w:r w:rsidRPr="00896D4F">
        <w:t>s</w:t>
      </w:r>
      <w:r w:rsidRPr="00896D4F">
        <w:t>kutera saken med henne på telefon. Det finns även några andra punkter där man i och fö</w:t>
      </w:r>
      <w:r w:rsidRPr="00896D4F">
        <w:t xml:space="preserve">r sig kan ifrågasätta om inte förvaltningen hade kunnat handla på ett annat sätt. De är dock i sammanhanget av mindre betydelse och jag går därför inte närmare in på dem här. </w:t>
      </w:r>
    </w:p>
    <w:p w:rsidR="009C1C5A" w:rsidRPr="00896D4F" w:rsidRDefault="009C1C5A">
      <w:pPr>
        <w:pStyle w:val="Normaltindrag"/>
      </w:pPr>
      <w:r w:rsidRPr="00896D4F">
        <w:t>Sett var för sig är de punkter som jag nu har berört inte sådana att de no</w:t>
      </w:r>
      <w:r w:rsidRPr="00896D4F">
        <w:t>r</w:t>
      </w:r>
      <w:r w:rsidRPr="00896D4F">
        <w:t>malt skulle motivera kritik mot socialförvaltningen. Sammantaget ger de emellertid ett intryck av att förvaltningen vid handläggningen av ärendet inte i tillräcklig grad beaktade Carina A:s särskilda behov. Det är viktigt att fra</w:t>
      </w:r>
      <w:r w:rsidRPr="00896D4F">
        <w:t>m</w:t>
      </w:r>
      <w:r w:rsidRPr="00896D4F">
        <w:t>hålla att ett ärende inte kan handläggas enligt en ”mall” utan socialtjänstens insatser måste grundas på omständigheterna i det enskilda fallet. I efterhand kan man måhända hävda att Carina A. gavs ett sådant ansvar för sin egen situation som hon inte hade förmåga att ta. Förhålla</w:t>
      </w:r>
      <w:r w:rsidRPr="00896D4F">
        <w:t>ndet kan ha bidragit till hennes för tidiga bortgång. Det går dock inte att bortse från att det finns en gräns för vilka krav på förutseende som kan ställas på en socialförvaltnings tjänstemän i olika sammanhang. Även om det i detta fall finns delar av han</w:t>
      </w:r>
      <w:r w:rsidRPr="00896D4F">
        <w:t>d</w:t>
      </w:r>
      <w:r w:rsidRPr="00896D4F">
        <w:t>läggningen som kan diskuteras, ger enligt min mening utredningen här inte underlag för att hävda att tjänstemännen på ett sådant påtagligt sätt åsidosatt sina åligganden gentemot Carina A. att det finns skäl för mig att rikta någon egentlig kritik mot der</w:t>
      </w:r>
      <w:r w:rsidRPr="00896D4F">
        <w:t>as handlande utan jag nöjer mig med de påpekanden som fra</w:t>
      </w:r>
      <w:r w:rsidRPr="00896D4F">
        <w:t>m</w:t>
      </w:r>
      <w:r w:rsidRPr="00896D4F">
        <w:t xml:space="preserve">går av det tidigare anförda.  </w:t>
      </w:r>
    </w:p>
    <w:p w:rsidR="009C1C5A" w:rsidRPr="00896D4F" w:rsidRDefault="009C1C5A">
      <w:pPr>
        <w:pStyle w:val="Normaltindrag"/>
      </w:pPr>
      <w:r w:rsidRPr="00896D4F">
        <w:t>Länsstyrelsen har i sitt yttrande till JO anfört att nämnden bör erhålla al</w:t>
      </w:r>
      <w:r w:rsidRPr="00896D4F">
        <w:t>l</w:t>
      </w:r>
      <w:r w:rsidRPr="00896D4F">
        <w:t>varlig kritik för handläggningen av Carina A:s ärende. Som nyss framgått delar jag inte länsstyrelsens uppfattning. Länsstyrelsens ståndpunkt bygger delvis på en annan värdering av olika uppgifter i ärendet. Även om jag i det föregående har tagit upp några punkter där handläggningen kan ifrågasättas eller diskuteras, måste jag konstatera att ärendet angående Carina A. har varit komplicerat. Det finns utrymme för olika uppfattningar om huruvida han</w:t>
      </w:r>
      <w:r w:rsidRPr="00896D4F">
        <w:t>d</w:t>
      </w:r>
      <w:r w:rsidRPr="00896D4F">
        <w:t xml:space="preserve">läggningen varit i alla delar tillfredsställande och i vad </w:t>
      </w:r>
      <w:r w:rsidRPr="00896D4F">
        <w:t>mån den förtjänar kritik eller ej. Olikheterna mellan min och länsstyrelsens bedömning belyser väl detta förhålla</w:t>
      </w:r>
      <w:r w:rsidRPr="00896D4F">
        <w:t>n</w:t>
      </w:r>
      <w:r w:rsidRPr="00896D4F">
        <w:t xml:space="preserve">de. </w:t>
      </w:r>
    </w:p>
    <w:p w:rsidR="009C1C5A" w:rsidRPr="00896D4F" w:rsidRDefault="009C1C5A">
      <w:pPr>
        <w:pStyle w:val="Normaltindrag"/>
      </w:pPr>
      <w:r w:rsidRPr="00896D4F">
        <w:t>I ärendet har aktualiserats en fråga om kostnadsansvaret för Carina A:s resa från Sundsvall till Lund i samband med att hon skrevs ut från sjukhuset. Något ärende angående bistånd till hemresan synes dock inte ha väckts hos Socialnämnden. Det finns därför inte skäl för mig att i detta ärende närmare upp</w:t>
      </w:r>
      <w:r w:rsidRPr="00896D4F">
        <w:t>e</w:t>
      </w:r>
      <w:r w:rsidRPr="00896D4F">
        <w:t>hålla mig vid saken.</w:t>
      </w:r>
    </w:p>
    <w:p w:rsidR="009C1C5A" w:rsidRPr="00896D4F" w:rsidRDefault="009C1C5A">
      <w:pPr>
        <w:pStyle w:val="Normaltindrag"/>
      </w:pPr>
      <w:r w:rsidRPr="00896D4F">
        <w:t xml:space="preserve">Vad Socialnämnden i Lunds kommun anfört beträffande länsstyrelsens remissyttrande föranleder inte något särskilt uttalande från min sida. </w:t>
      </w:r>
    </w:p>
    <w:p w:rsidR="009C1C5A" w:rsidRPr="00896D4F" w:rsidRDefault="009C1C5A">
      <w:pPr>
        <w:pStyle w:val="Rubrik2"/>
      </w:pPr>
      <w:r w:rsidRPr="00896D4F">
        <w:t xml:space="preserve">Fråga om en socialnämnds utförande av en utredning rörande ett familjehems lämplighet </w:t>
      </w:r>
    </w:p>
    <w:p w:rsidR="009C1C5A" w:rsidRPr="00896D4F" w:rsidRDefault="009C1C5A">
      <w:pPr>
        <w:spacing w:before="0"/>
      </w:pPr>
      <w:r w:rsidRPr="00896D4F">
        <w:t>(Dnr 2948-2000)</w:t>
      </w:r>
    </w:p>
    <w:p w:rsidR="009C1C5A" w:rsidRPr="00896D4F" w:rsidRDefault="009C1C5A">
      <w:r w:rsidRPr="00896D4F">
        <w:t>I en anmälan till JO framförde A.O. klagomål mot Fosie stadsdelsfullmäktige i Malmö kommun angående bl.a. utred</w:t>
      </w:r>
      <w:r w:rsidRPr="00896D4F">
        <w:softHyphen/>
        <w:t>ningen av ett familjehem. A.O. ifråg</w:t>
      </w:r>
      <w:r w:rsidRPr="00896D4F">
        <w:t>a</w:t>
      </w:r>
      <w:r w:rsidRPr="00896D4F">
        <w:t>satte familje</w:t>
      </w:r>
      <w:r w:rsidRPr="00896D4F">
        <w:softHyphen/>
        <w:t>hemmets lämplighet och anförde därvid sammanfattningsvis följande. Hon fick, när hennes dotter, N., född 1985, skulle placeras i familj</w:t>
      </w:r>
      <w:r w:rsidRPr="00896D4F">
        <w:t>e</w:t>
      </w:r>
      <w:r w:rsidRPr="00896D4F">
        <w:t>hemmet H., muntliga garantier för att ”familjehemsföräldrarna var noggrant kontrollerade och ut</w:t>
      </w:r>
      <w:r w:rsidRPr="00896D4F">
        <w:softHyphen/>
        <w:t>valda”. Det visade sig emellertid att familjehemsfadern hade begått brott som han var dömd för och att familjen hade stora skulder hos kron</w:t>
      </w:r>
      <w:r w:rsidRPr="00896D4F">
        <w:t>o</w:t>
      </w:r>
      <w:r w:rsidRPr="00896D4F">
        <w:t xml:space="preserve">fogdemyndigheten. </w:t>
      </w:r>
    </w:p>
    <w:p w:rsidR="009C1C5A" w:rsidRPr="00896D4F" w:rsidRDefault="009C1C5A">
      <w:pPr>
        <w:pStyle w:val="Normaltindrag"/>
      </w:pPr>
      <w:r w:rsidRPr="00896D4F">
        <w:t>A.O. anförde även att dotterns behov av kläder, sjukvård och annat nö</w:t>
      </w:r>
      <w:r w:rsidRPr="00896D4F">
        <w:t>d</w:t>
      </w:r>
      <w:r w:rsidRPr="00896D4F">
        <w:t>vändigt inte hade tillgodo</w:t>
      </w:r>
      <w:r w:rsidRPr="00896D4F">
        <w:softHyphen/>
        <w:t>setts av familjehemmet.</w:t>
      </w:r>
    </w:p>
    <w:p w:rsidR="009C1C5A" w:rsidRPr="00896D4F" w:rsidRDefault="009C1C5A">
      <w:pPr>
        <w:pStyle w:val="Normaltindrag"/>
      </w:pPr>
      <w:r w:rsidRPr="00896D4F">
        <w:t>Fosie stadsdelsfullmäktige i Malmö kommun anmodades inkomma med utredning och yttrande över vad som framfördes i A.O:s anmälan till JO. Stadsdelsfullmäktiges socialutskott avgav ett remissvar med huvudsakligen följande innehåll (hänvisning till bilagor har utelämnats).</w:t>
      </w:r>
    </w:p>
    <w:p w:rsidR="009C1C5A" w:rsidRPr="00896D4F" w:rsidRDefault="009C1C5A">
      <w:pPr>
        <w:pStyle w:val="Citat"/>
      </w:pPr>
      <w:r w:rsidRPr="00896D4F">
        <w:t>A.O. framför i sin anmälan till JO, 000824, att hon ifrå</w:t>
      </w:r>
      <w:r w:rsidRPr="00896D4F">
        <w:softHyphen/>
        <w:t>gasätter ssk Helena Peterssons uttalande om att, familjehemmet där N. placerades, 000201, är noggrant kontrollerat.</w:t>
      </w:r>
    </w:p>
    <w:p w:rsidR="009C1C5A" w:rsidRPr="00896D4F" w:rsidRDefault="009C1C5A">
      <w:pPr>
        <w:pStyle w:val="Citatindrag"/>
      </w:pPr>
      <w:r w:rsidRPr="00896D4F">
        <w:t>N. har varit familjehemsplacerad 000201-000826, hos ma</w:t>
      </w:r>
      <w:r w:rsidRPr="00896D4F">
        <w:softHyphen/>
        <w:t>karna H. i Malmö. Familjehemmet är utrett av familjevården på Fosie SDF 1999. Utre</w:t>
      </w:r>
      <w:r w:rsidRPr="00896D4F">
        <w:t>d</w:t>
      </w:r>
      <w:r w:rsidRPr="00896D4F">
        <w:t>ningen är gjord med hjälp av Kälvesten/Meldahls inter</w:t>
      </w:r>
      <w:r w:rsidRPr="00896D4F">
        <w:softHyphen/>
        <w:t>vju</w:t>
      </w:r>
      <w:r w:rsidRPr="00896D4F">
        <w:softHyphen/>
      </w:r>
      <w:r w:rsidRPr="00896D4F">
        <w:softHyphen/>
        <w:t>metod. Det har inte fram</w:t>
      </w:r>
      <w:r w:rsidRPr="00896D4F">
        <w:softHyphen/>
        <w:t>kommit något som föranlett att ssk Helena Petersson borde ifrågasatt familjevårdens bedöm</w:t>
      </w:r>
      <w:r w:rsidRPr="00896D4F">
        <w:softHyphen/>
        <w:t xml:space="preserve">ning av familjen. </w:t>
      </w:r>
    </w:p>
    <w:p w:rsidR="009C1C5A" w:rsidRPr="00896D4F" w:rsidRDefault="009C1C5A">
      <w:pPr>
        <w:pStyle w:val="Citatindrag"/>
      </w:pPr>
      <w:r w:rsidRPr="00896D4F">
        <w:t>A.O. har vidare i anmälan till JO, 000824, ifrågasatt fa</w:t>
      </w:r>
      <w:r w:rsidRPr="00896D4F">
        <w:softHyphen/>
        <w:t>miljehemmets ag</w:t>
      </w:r>
      <w:r w:rsidRPr="00896D4F">
        <w:t>e</w:t>
      </w:r>
      <w:r w:rsidRPr="00896D4F">
        <w:t>rande under N:s tid i familje</w:t>
      </w:r>
      <w:r w:rsidRPr="00896D4F">
        <w:softHyphen/>
      </w:r>
      <w:r w:rsidRPr="00896D4F">
        <w:softHyphen/>
        <w:t>hemmet. A.O. tar upp följande punkter:</w:t>
      </w:r>
    </w:p>
    <w:p w:rsidR="009C1C5A" w:rsidRPr="00896D4F" w:rsidRDefault="009C1C5A">
      <w:pPr>
        <w:pStyle w:val="PunktlistaBomb"/>
        <w:numPr>
          <w:ilvl w:val="0"/>
          <w:numId w:val="1"/>
        </w:numPr>
        <w:tabs>
          <w:tab w:val="clear" w:pos="360"/>
        </w:tabs>
        <w:spacing w:before="0" w:line="200" w:lineRule="exact"/>
      </w:pPr>
      <w:r w:rsidRPr="00896D4F">
        <w:t xml:space="preserve">Att familjehemmet är skyggt och ej vill ha kontakt med A.O. </w:t>
      </w:r>
    </w:p>
    <w:p w:rsidR="009C1C5A" w:rsidRPr="00896D4F" w:rsidRDefault="009C1C5A">
      <w:pPr>
        <w:pStyle w:val="PunktlistaBomb"/>
        <w:numPr>
          <w:ilvl w:val="0"/>
          <w:numId w:val="1"/>
        </w:numPr>
        <w:tabs>
          <w:tab w:val="clear" w:pos="360"/>
        </w:tabs>
        <w:spacing w:before="0" w:line="200" w:lineRule="exact"/>
      </w:pPr>
      <w:r w:rsidRPr="00896D4F">
        <w:t xml:space="preserve">Att räkningar som familjen skulle betala gick till inkasso i A.O:s namn. </w:t>
      </w:r>
    </w:p>
    <w:p w:rsidR="009C1C5A" w:rsidRPr="00896D4F" w:rsidRDefault="009C1C5A">
      <w:pPr>
        <w:pStyle w:val="PunktlistaBomb"/>
        <w:numPr>
          <w:ilvl w:val="0"/>
          <w:numId w:val="1"/>
        </w:numPr>
        <w:tabs>
          <w:tab w:val="clear" w:pos="360"/>
        </w:tabs>
        <w:spacing w:before="0" w:line="200" w:lineRule="exact"/>
      </w:pPr>
      <w:r w:rsidRPr="00896D4F">
        <w:t>Att familjehemmet har skulder hos kronofogdemyndigheten.</w:t>
      </w:r>
    </w:p>
    <w:p w:rsidR="009C1C5A" w:rsidRPr="00896D4F" w:rsidRDefault="009C1C5A">
      <w:pPr>
        <w:pStyle w:val="PunktlistaBomb"/>
        <w:numPr>
          <w:ilvl w:val="0"/>
          <w:numId w:val="1"/>
        </w:numPr>
        <w:tabs>
          <w:tab w:val="clear" w:pos="360"/>
        </w:tabs>
        <w:spacing w:before="0" w:line="200" w:lineRule="exact"/>
      </w:pPr>
      <w:r w:rsidRPr="00896D4F">
        <w:t>Att familjehemsfadern har en brottmålsdom 000419, gällande häleri, brott mot knivlagen och vapenbrott.</w:t>
      </w:r>
    </w:p>
    <w:p w:rsidR="009C1C5A" w:rsidRPr="00896D4F" w:rsidRDefault="009C1C5A">
      <w:pPr>
        <w:pStyle w:val="PunktlistaBomb"/>
        <w:numPr>
          <w:ilvl w:val="0"/>
          <w:numId w:val="1"/>
        </w:numPr>
        <w:tabs>
          <w:tab w:val="clear" w:pos="360"/>
        </w:tabs>
        <w:spacing w:before="0" w:line="200" w:lineRule="exact"/>
      </w:pPr>
      <w:r w:rsidRPr="00896D4F">
        <w:t>Att dottern N:s behov av kläder, sjukvård och andra nödvändiga saker ej tillgodosetts.</w:t>
      </w:r>
    </w:p>
    <w:p w:rsidR="009C1C5A" w:rsidRPr="00896D4F" w:rsidRDefault="009C1C5A">
      <w:pPr>
        <w:pStyle w:val="PunktlistaBomb"/>
        <w:numPr>
          <w:ilvl w:val="0"/>
          <w:numId w:val="1"/>
        </w:numPr>
        <w:tabs>
          <w:tab w:val="clear" w:pos="360"/>
        </w:tabs>
        <w:spacing w:before="0" w:line="200" w:lineRule="exact"/>
      </w:pPr>
      <w:r w:rsidRPr="00896D4F">
        <w:t>Att A.O. ifrågasätter om en familj med stora skulder kan anses som läm</w:t>
      </w:r>
      <w:r w:rsidRPr="00896D4F">
        <w:t>p</w:t>
      </w:r>
      <w:r w:rsidRPr="00896D4F">
        <w:t>lig som fosterfamilj.</w:t>
      </w:r>
    </w:p>
    <w:p w:rsidR="009C1C5A" w:rsidRPr="00896D4F" w:rsidRDefault="009C1C5A">
      <w:pPr>
        <w:pStyle w:val="Citat"/>
      </w:pPr>
      <w:r w:rsidRPr="00896D4F">
        <w:t>Familjevårdssekreterare Dithelm Kolbus sammanfattning från 000908 (se nedan, JO:s anm.) bemöter ovanstående punkter.</w:t>
      </w:r>
    </w:p>
    <w:p w:rsidR="009C1C5A" w:rsidRPr="00896D4F" w:rsidRDefault="009C1C5A">
      <w:r w:rsidRPr="00896D4F">
        <w:t xml:space="preserve">I den nämnda sammanfattningen anförde familjevårdssekreteraren Diethelm Kolbus följande. </w:t>
      </w:r>
    </w:p>
    <w:p w:rsidR="009C1C5A" w:rsidRPr="00896D4F" w:rsidRDefault="009C1C5A">
      <w:pPr>
        <w:pStyle w:val="Rubrik4"/>
      </w:pPr>
      <w:r w:rsidRPr="00896D4F">
        <w:t>000908 Sammanfattning av journalanteckningar.</w:t>
      </w:r>
    </w:p>
    <w:p w:rsidR="009C1C5A" w:rsidRPr="00896D4F" w:rsidRDefault="009C1C5A">
      <w:pPr>
        <w:pStyle w:val="Citat"/>
      </w:pPr>
      <w:r w:rsidRPr="00896D4F">
        <w:t>Sammanfattningen skrivs dels med anledning av ett brev från N:s bio</w:t>
      </w:r>
      <w:r w:rsidRPr="00896D4F">
        <w:softHyphen/>
        <w:t>logiska moder A.O. daterat den 16 augusti 2000 i vilket hon kritiserar N:s familj</w:t>
      </w:r>
      <w:r w:rsidRPr="00896D4F">
        <w:t>e</w:t>
      </w:r>
      <w:r w:rsidRPr="00896D4F">
        <w:t>hem, dels på grund av den från henne fram</w:t>
      </w:r>
      <w:r w:rsidRPr="00896D4F">
        <w:softHyphen/>
        <w:t>förda muntliga kritiken mot fami</w:t>
      </w:r>
      <w:r w:rsidRPr="00896D4F">
        <w:t>l</w:t>
      </w:r>
      <w:r w:rsidRPr="00896D4F">
        <w:t>jehemmet och slutligen på grund av hennes JO-anmälan.</w:t>
      </w:r>
    </w:p>
    <w:p w:rsidR="009C1C5A" w:rsidRPr="00896D4F" w:rsidRDefault="009C1C5A">
      <w:pPr>
        <w:pStyle w:val="Rubrik4"/>
      </w:pPr>
      <w:r w:rsidRPr="00896D4F">
        <w:t>Bakgrund</w:t>
      </w:r>
    </w:p>
    <w:p w:rsidR="009C1C5A" w:rsidRPr="00896D4F" w:rsidRDefault="009C1C5A">
      <w:pPr>
        <w:pStyle w:val="Citat"/>
      </w:pPr>
      <w:r w:rsidRPr="00896D4F">
        <w:t>N. är dotter till A.O. och A.K. Biologiska mo</w:t>
      </w:r>
      <w:r w:rsidRPr="00896D4F">
        <w:softHyphen/>
        <w:t>dern är bosatt på /.../ och biol</w:t>
      </w:r>
      <w:r w:rsidRPr="00896D4F">
        <w:t>o</w:t>
      </w:r>
      <w:r w:rsidRPr="00896D4F">
        <w:t>giske fa</w:t>
      </w:r>
      <w:r w:rsidRPr="00896D4F">
        <w:softHyphen/>
        <w:t xml:space="preserve">dern på /.../. </w:t>
      </w:r>
    </w:p>
    <w:p w:rsidR="009C1C5A" w:rsidRPr="00896D4F" w:rsidRDefault="009C1C5A">
      <w:pPr>
        <w:pStyle w:val="Citatindrag"/>
      </w:pPr>
      <w:r w:rsidRPr="00896D4F">
        <w:t>Modern är ensam vårdnadshavare för flickan. N. har en yngre syster som bor hemma hos modern.</w:t>
      </w:r>
    </w:p>
    <w:p w:rsidR="009C1C5A" w:rsidRPr="00896D4F" w:rsidRDefault="009C1C5A">
      <w:pPr>
        <w:pStyle w:val="Citatindrag"/>
      </w:pPr>
      <w:r w:rsidRPr="00896D4F">
        <w:t>N. familjehemsplacerades 000201 jm1 SoL hos makarna H., /.../. Familjen H. har ytterligare två ungdomar placerade hos sig varav en är från Fosie SDF och den andre från Hyllie SDF.</w:t>
      </w:r>
    </w:p>
    <w:p w:rsidR="009C1C5A" w:rsidRPr="00896D4F" w:rsidRDefault="009C1C5A">
      <w:pPr>
        <w:pStyle w:val="Citatindrag"/>
      </w:pPr>
      <w:r w:rsidRPr="00896D4F">
        <w:t>Makarna H. är utredda med hjälp av Kälvesten/Meldahls inter</w:t>
      </w:r>
      <w:r w:rsidRPr="00896D4F">
        <w:softHyphen/>
        <w:t>vjumetod. N:s placering föranleddes på grund av en konfliktfylld och komplicerad rel</w:t>
      </w:r>
      <w:r w:rsidRPr="00896D4F">
        <w:t>a</w:t>
      </w:r>
      <w:r w:rsidRPr="00896D4F">
        <w:t>tion till modern.</w:t>
      </w:r>
    </w:p>
    <w:p w:rsidR="009C1C5A" w:rsidRPr="00896D4F" w:rsidRDefault="009C1C5A">
      <w:pPr>
        <w:pStyle w:val="Rubrik4"/>
      </w:pPr>
      <w:r w:rsidRPr="00896D4F">
        <w:t>Aktuell situation</w:t>
      </w:r>
    </w:p>
    <w:p w:rsidR="009C1C5A" w:rsidRPr="00896D4F" w:rsidRDefault="009C1C5A">
      <w:pPr>
        <w:pStyle w:val="Citat"/>
      </w:pPr>
      <w:r w:rsidRPr="00896D4F">
        <w:t>Fram till 000604 förekom inget anmärkningsvärt under N:s placering hos familjen H. Under</w:t>
      </w:r>
      <w:r w:rsidRPr="00896D4F">
        <w:softHyphen/>
        <w:t>tecknad höll sig telefonledes informerad om situationen i familjehemmet. Av N:s stödkontakt socialrådgivare Lena Johannesson, soc</w:t>
      </w:r>
      <w:r w:rsidRPr="00896D4F">
        <w:t>i</w:t>
      </w:r>
      <w:r w:rsidRPr="00896D4F">
        <w:t>alrådgivningen Fosie, vilken träffade N. regel</w:t>
      </w:r>
      <w:r w:rsidRPr="00896D4F">
        <w:softHyphen/>
        <w:t>bundet, fick under</w:t>
      </w:r>
      <w:r w:rsidRPr="00896D4F">
        <w:softHyphen/>
        <w:t>tecknad veta att N. trivdes i sitt familjehem och att familjen H. i sin tur tyckte om N. Det framkom också att N:s skolsituation förbättrats bety</w:t>
      </w:r>
      <w:r w:rsidRPr="00896D4F">
        <w:t>d</w:t>
      </w:r>
      <w:r w:rsidRPr="00896D4F">
        <w:t>ligt.</w:t>
      </w:r>
    </w:p>
    <w:p w:rsidR="009C1C5A" w:rsidRPr="00896D4F" w:rsidRDefault="009C1C5A">
      <w:pPr>
        <w:pStyle w:val="Citatindrag"/>
      </w:pPr>
      <w:r w:rsidRPr="00896D4F">
        <w:t>000605 fick undertecknad kännedom om att biologiska modern A.O. skickat efter en stämnings</w:t>
      </w:r>
      <w:r w:rsidRPr="00896D4F">
        <w:softHyphen/>
        <w:t>ansökan från tingsrätten i Malmö där foster</w:t>
      </w:r>
      <w:r w:rsidRPr="00896D4F">
        <w:softHyphen/>
        <w:t>fadern stäms för häleri, olovligt innehav av kniv och brott mot va</w:t>
      </w:r>
      <w:r w:rsidRPr="00896D4F">
        <w:softHyphen/>
        <w:t>penlagen. Biologi</w:t>
      </w:r>
      <w:r w:rsidRPr="00896D4F">
        <w:t>s</w:t>
      </w:r>
      <w:r w:rsidRPr="00896D4F">
        <w:t>ka modern ifrågasätter hans lämplighet som fosterfader, men vill inte att vi berättar för familjehemmet vad hon vet om dem.</w:t>
      </w:r>
    </w:p>
    <w:p w:rsidR="009C1C5A" w:rsidRPr="00896D4F" w:rsidRDefault="009C1C5A">
      <w:pPr>
        <w:pStyle w:val="Citatindrag"/>
      </w:pPr>
      <w:r w:rsidRPr="00896D4F">
        <w:t>Kommentar: Händelserna ägde rum under sommaren 1999. Familjevår</w:t>
      </w:r>
      <w:r w:rsidRPr="00896D4F">
        <w:softHyphen/>
        <w:t>den kände till häleriför</w:t>
      </w:r>
      <w:r w:rsidRPr="00896D4F">
        <w:softHyphen/>
        <w:t>seelsen som familjevården fick vetskap om i sam</w:t>
      </w:r>
      <w:r w:rsidRPr="00896D4F">
        <w:softHyphen/>
        <w:t>band med utredningen av familjen H. i september 1999 för ett an</w:t>
      </w:r>
      <w:r w:rsidRPr="00896D4F">
        <w:softHyphen/>
        <w:t>nat barn, men inte att han var misstänkt för olovligt innehav av kniv och brott mot vapen</w:t>
      </w:r>
      <w:r w:rsidRPr="00896D4F">
        <w:softHyphen/>
      </w:r>
      <w:r w:rsidRPr="00896D4F">
        <w:softHyphen/>
        <w:t>lagen. Familjevården diskuterade då häleriförseelsen med familje</w:t>
      </w:r>
      <w:r w:rsidRPr="00896D4F">
        <w:softHyphen/>
        <w:t>hemmet. Vår b</w:t>
      </w:r>
      <w:r w:rsidRPr="00896D4F">
        <w:t>e</w:t>
      </w:r>
      <w:r w:rsidRPr="00896D4F">
        <w:t>dömning var att den inte skulle påverka deras lämplighet som familjehem. För familjevårdens del var brottet genomdis</w:t>
      </w:r>
      <w:r w:rsidRPr="00896D4F">
        <w:softHyphen/>
        <w:t>kuterat och avslutat i och med detta vilket gjorde att det inte fanns anled</w:t>
      </w:r>
      <w:r w:rsidRPr="00896D4F">
        <w:softHyphen/>
        <w:t>ning att ta</w:t>
      </w:r>
      <w:r w:rsidRPr="00896D4F">
        <w:t xml:space="preserve"> upp det igen i samband med N:s placering.</w:t>
      </w:r>
    </w:p>
    <w:p w:rsidR="009C1C5A" w:rsidRPr="00896D4F" w:rsidRDefault="009C1C5A">
      <w:pPr>
        <w:pStyle w:val="Citatindrag"/>
      </w:pPr>
      <w:r w:rsidRPr="00896D4F">
        <w:t>000609 ringer undertecknad biologiska modern och vi diskuterar det in</w:t>
      </w:r>
      <w:r w:rsidRPr="00896D4F">
        <w:softHyphen/>
        <w:t>träffade. Modern vill inte göra något åt saken men poängterar att hon fort</w:t>
      </w:r>
      <w:r w:rsidRPr="00896D4F">
        <w:softHyphen/>
        <w:t>farande vill vara anonym. Undertecknad får veta att modern inte har några som helst tankar på att ta hem N. på grund av det inträffade. Vi kom</w:t>
      </w:r>
      <w:r w:rsidRPr="00896D4F">
        <w:softHyphen/>
        <w:t>mer öve</w:t>
      </w:r>
      <w:r w:rsidRPr="00896D4F">
        <w:t>r</w:t>
      </w:r>
      <w:r w:rsidRPr="00896D4F">
        <w:t>ens om att undertecknad besöker henne i hennes bostad 000626 på /.../ för vidare diskussion.</w:t>
      </w:r>
    </w:p>
    <w:p w:rsidR="009C1C5A" w:rsidRPr="00896D4F" w:rsidRDefault="009C1C5A">
      <w:pPr>
        <w:pStyle w:val="Citatindrag"/>
      </w:pPr>
      <w:r w:rsidRPr="00896D4F">
        <w:t>000626 besöker undertecknad N:s moder. Hon är irriterad över foster</w:t>
      </w:r>
      <w:r w:rsidRPr="00896D4F">
        <w:softHyphen/>
        <w:t>faderns beteende. Tycker att hans uppträdande är omoget. Hon är emeller</w:t>
      </w:r>
      <w:r w:rsidRPr="00896D4F">
        <w:softHyphen/>
        <w:t>tid övertygad om att N. har det bra hos familjen H. och det an</w:t>
      </w:r>
      <w:r w:rsidRPr="00896D4F">
        <w:softHyphen/>
        <w:t>ser hon är det vikt</w:t>
      </w:r>
      <w:r w:rsidRPr="00896D4F">
        <w:t>i</w:t>
      </w:r>
      <w:r w:rsidRPr="00896D4F">
        <w:t>gaste. Hon berättar också för mig att N. i dessa da</w:t>
      </w:r>
      <w:r w:rsidRPr="00896D4F">
        <w:softHyphen/>
        <w:t>gar åkt till sina mor</w:t>
      </w:r>
      <w:r w:rsidRPr="00896D4F">
        <w:softHyphen/>
        <w:t>föräldrar i /.../ för att vara där under några veckor. Orsaken till att hon börjat ta reda på familje</w:t>
      </w:r>
      <w:r w:rsidRPr="00896D4F">
        <w:softHyphen/>
        <w:t>hemmets förhållanden förklarar hon med att hon blivit misstänksam i samband med ett spontant besök i familjehemmet då hon blev illa bemött av fosterfadern och på grund av en sjukhu</w:t>
      </w:r>
      <w:r w:rsidRPr="00896D4F">
        <w:t>sräkning hon fått och betalat, som egentligen skulle betalats av fami</w:t>
      </w:r>
      <w:r w:rsidRPr="00896D4F">
        <w:t>l</w:t>
      </w:r>
      <w:r w:rsidRPr="00896D4F">
        <w:t>jehemmet tidigare.</w:t>
      </w:r>
    </w:p>
    <w:p w:rsidR="009C1C5A" w:rsidRPr="00896D4F" w:rsidRDefault="009C1C5A">
      <w:pPr>
        <w:pStyle w:val="Citatindrag"/>
      </w:pPr>
      <w:r w:rsidRPr="00896D4F">
        <w:t>000627 påminner undertecknad familjehemmet om att de skall ersätta b</w:t>
      </w:r>
      <w:r w:rsidRPr="00896D4F">
        <w:t>i</w:t>
      </w:r>
      <w:r w:rsidRPr="00896D4F">
        <w:t>ologiska modern för hennes kostnader för läkarvård för N:s räkning.</w:t>
      </w:r>
    </w:p>
    <w:p w:rsidR="009C1C5A" w:rsidRPr="00896D4F" w:rsidRDefault="009C1C5A">
      <w:pPr>
        <w:pStyle w:val="Citatindrag"/>
      </w:pPr>
      <w:r w:rsidRPr="00896D4F">
        <w:t>000811 besöker undertecknad familjehemmet. N. uppger att hon mår bra och trivs i familje</w:t>
      </w:r>
      <w:r w:rsidRPr="00896D4F">
        <w:softHyphen/>
        <w:t>hemmet. Undertecknad tar också upp vad vi fått reda på om fosterfadern, men lämnar inte ut uppgiftskällan.</w:t>
      </w:r>
    </w:p>
    <w:p w:rsidR="009C1C5A" w:rsidRPr="00896D4F" w:rsidRDefault="009C1C5A">
      <w:pPr>
        <w:pStyle w:val="Citatindrag"/>
      </w:pPr>
      <w:r w:rsidRPr="00896D4F">
        <w:t>000816 socialrådgivare Helen Stenkula från socialrådgivningen i Fosie, som är biologiska moderns stödkontakt, informerar mig om att hon träffat biologiska modern som kritiserat familje</w:t>
      </w:r>
      <w:r w:rsidRPr="00896D4F">
        <w:softHyphen/>
        <w:t>hemmet på nytt. Bland annat hade N. berättat att hon vid något tillfälle inte fått mat, inte fått några kläder och inga fickpengar med sig när hon åkte till sina morföräldrar /.../ Under</w:t>
      </w:r>
      <w:r w:rsidRPr="00896D4F">
        <w:softHyphen/>
        <w:t>tecknad för</w:t>
      </w:r>
      <w:r w:rsidRPr="00896D4F">
        <w:t>e</w:t>
      </w:r>
      <w:r w:rsidRPr="00896D4F">
        <w:t>slår ett möte med biologiska modern den 28/8 för att diskutera det inträ</w:t>
      </w:r>
      <w:r w:rsidRPr="00896D4F">
        <w:t>f</w:t>
      </w:r>
      <w:r w:rsidRPr="00896D4F">
        <w:t>fade.</w:t>
      </w:r>
    </w:p>
    <w:p w:rsidR="009C1C5A" w:rsidRPr="00896D4F" w:rsidRDefault="009C1C5A">
      <w:pPr>
        <w:pStyle w:val="Citatindrag"/>
      </w:pPr>
      <w:r w:rsidRPr="00896D4F">
        <w:t>000821 erhåller undertecknad ett brev från biologiska modern. Hon med</w:t>
      </w:r>
      <w:r w:rsidRPr="00896D4F">
        <w:softHyphen/>
        <w:t>delar kort att hon och N. kommit överens om att N. skall flytta hem i slutet av augusti. Hon skriver vidare att hon anser att familjehemmet varit vänliga mot N., men att de tagit fosterbarn bara för pengarnas skull och inte alls skött sig vad gäller N:s behov av fickpengar, kläder och inte heller betalat utgifter för läkar</w:t>
      </w:r>
      <w:r w:rsidRPr="00896D4F">
        <w:softHyphen/>
        <w:t>vård. I brevet står också att biologiska mo</w:t>
      </w:r>
      <w:r w:rsidRPr="00896D4F">
        <w:softHyphen/>
        <w:t>dern kommer att polisanmäla familjehemmet.</w:t>
      </w:r>
    </w:p>
    <w:p w:rsidR="009C1C5A" w:rsidRPr="00896D4F" w:rsidRDefault="009C1C5A">
      <w:pPr>
        <w:pStyle w:val="Citatindrag"/>
      </w:pPr>
      <w:r w:rsidRPr="00896D4F">
        <w:t>000822 besöker undertecknad familjehemmet. Berättar för N. om mo</w:t>
      </w:r>
      <w:r w:rsidRPr="00896D4F">
        <w:softHyphen/>
        <w:t>derns brev och undrar om hon och modern kommit överens om att N. skall flytta hem. Undertecknad uppfattar att N. både vill och inte vill flytta hem till sin moder. Hon antyder att hon förmodligen flyttar hem re</w:t>
      </w:r>
      <w:r w:rsidRPr="00896D4F">
        <w:softHyphen/>
        <w:t>dan på lördag, dvs. 000826. Upplyser henne om att det inte föreligger några hinder eftersom hon placerats frivilligt. Diskuterar också med fa</w:t>
      </w:r>
      <w:r w:rsidRPr="00896D4F">
        <w:softHyphen/>
        <w:t>miljehemmet om de brister som modern anklagat dem för. Familje</w:t>
      </w:r>
      <w:r w:rsidRPr="00896D4F">
        <w:softHyphen/>
        <w:t>hemmet uppger att de visst hade velat ge N. fickpengar och kläder när hon reste till sina morfö</w:t>
      </w:r>
      <w:r w:rsidRPr="00896D4F">
        <w:t>räldrar, men att N. avböjt och sagt att det inte behövdes eftersom hon fick av sina mor</w:t>
      </w:r>
      <w:r w:rsidRPr="00896D4F">
        <w:softHyphen/>
        <w:t>föräldrar när hon kom dit. Vad beträffar på</w:t>
      </w:r>
      <w:r w:rsidRPr="00896D4F">
        <w:softHyphen/>
        <w:t>ståendet att N. inte får mat menar familje</w:t>
      </w:r>
      <w:r w:rsidRPr="00896D4F">
        <w:softHyphen/>
        <w:t>hemmet att det förekommit en gång att den mat som serverades inte föll N. i smaken, men att hon er</w:t>
      </w:r>
      <w:r w:rsidRPr="00896D4F">
        <w:softHyphen/>
        <w:t>bjöds en alternativ maträtt.</w:t>
      </w:r>
    </w:p>
    <w:p w:rsidR="009C1C5A" w:rsidRPr="00896D4F" w:rsidRDefault="009C1C5A">
      <w:pPr>
        <w:pStyle w:val="Citatindrag"/>
      </w:pPr>
      <w:r w:rsidRPr="00896D4F">
        <w:t>000825 ringer undertecknad till familjehemmet. Får besked om att N. flyttar hem till sin moder 000826. Samma dag inkommer en kopia på en JO-anmälan som biologiska modern gjort. I sin anmälan anser A.O. att fam</w:t>
      </w:r>
      <w:r w:rsidRPr="00896D4F">
        <w:t>ilj</w:t>
      </w:r>
      <w:r w:rsidRPr="00896D4F">
        <w:t>e</w:t>
      </w:r>
      <w:r w:rsidRPr="00896D4F">
        <w:t>hemmet inte vill ha kontakt med henne, att de har skulder hos krono</w:t>
      </w:r>
      <w:r w:rsidRPr="00896D4F">
        <w:softHyphen/>
      </w:r>
      <w:r w:rsidRPr="00896D4F">
        <w:softHyphen/>
        <w:t>fogden, att fosterfadern begått brott, att de inte försett N. med kläder, att de inte til</w:t>
      </w:r>
      <w:r w:rsidRPr="00896D4F">
        <w:t>l</w:t>
      </w:r>
      <w:r w:rsidRPr="00896D4F">
        <w:t>godosett hennes behov av sjukvård och att barnbidraget och underhålls</w:t>
      </w:r>
      <w:r w:rsidRPr="00896D4F">
        <w:softHyphen/>
        <w:t>stödet använts till att betala familje</w:t>
      </w:r>
      <w:r w:rsidRPr="00896D4F">
        <w:softHyphen/>
        <w:t>hemmets skulder.</w:t>
      </w:r>
    </w:p>
    <w:p w:rsidR="009C1C5A" w:rsidRPr="00896D4F" w:rsidRDefault="009C1C5A">
      <w:pPr>
        <w:pStyle w:val="Citatindrag"/>
      </w:pPr>
      <w:r w:rsidRPr="00896D4F">
        <w:t>Kommentar: N. har under hela placeringstiden haft en ganska regel</w:t>
      </w:r>
      <w:r w:rsidRPr="00896D4F">
        <w:softHyphen/>
        <w:t>bunden kontakt med sin biologiska moder. Mor och dotter har själv kom</w:t>
      </w:r>
      <w:r w:rsidRPr="00896D4F">
        <w:softHyphen/>
        <w:t>mit överens om när, var och hur de skulle träffas. Det fanns ingen anled</w:t>
      </w:r>
      <w:r w:rsidRPr="00896D4F">
        <w:softHyphen/>
        <w:t>ning varken från familjehemmets eller vår sida att styra deras umgänge efter</w:t>
      </w:r>
      <w:r w:rsidRPr="00896D4F">
        <w:softHyphen/>
        <w:t>som det fungerade. Att familjehemmet inte gärna ville ringa till N:s moder förklarar de med att modern vid sitt spontana besök en tidig morgon hos dem upp</w:t>
      </w:r>
      <w:r w:rsidRPr="00896D4F">
        <w:softHyphen/>
        <w:t>trädde mycket obalanserad och att de sedan dess haft svårt för att möta henne.</w:t>
      </w:r>
    </w:p>
    <w:p w:rsidR="009C1C5A" w:rsidRPr="00896D4F" w:rsidRDefault="009C1C5A">
      <w:pPr>
        <w:pStyle w:val="Citatindrag"/>
      </w:pPr>
      <w:r w:rsidRPr="00896D4F">
        <w:t>När familjevården utredde familjen H. togs också upp fråg</w:t>
      </w:r>
      <w:r w:rsidRPr="00896D4F">
        <w:t>an om deras ekonomi. Vid utrednings</w:t>
      </w:r>
      <w:r w:rsidRPr="00896D4F">
        <w:softHyphen/>
        <w:t>tillfället framkom inte att deras ekonomi var dålig. Det är inte brukligt att vi tar kontakt med kronofogden. Beträffande fosterf</w:t>
      </w:r>
      <w:r w:rsidRPr="00896D4F">
        <w:t>a</w:t>
      </w:r>
      <w:r w:rsidRPr="00896D4F">
        <w:t>derns brott hänvisas till undertecknads kommentar ovan /.../. Enligt familj</w:t>
      </w:r>
      <w:r w:rsidRPr="00896D4F">
        <w:t>e</w:t>
      </w:r>
      <w:r w:rsidRPr="00896D4F">
        <w:t>hemmet har N. försetts med kläder efter behov. N. själv har varken för u</w:t>
      </w:r>
      <w:r w:rsidRPr="00896D4F">
        <w:t>n</w:t>
      </w:r>
      <w:r w:rsidRPr="00896D4F">
        <w:t>dertecknad eller sin kontaktperson, socialrådgivare Lena Johannesson, Fosie SDF antytt att hon inte fick kläder.</w:t>
      </w:r>
    </w:p>
    <w:p w:rsidR="009C1C5A" w:rsidRPr="00896D4F" w:rsidRDefault="009C1C5A">
      <w:pPr>
        <w:pStyle w:val="Citatindrag"/>
      </w:pPr>
      <w:r w:rsidRPr="00896D4F">
        <w:t>Familjehemmet har också sett till att N. fick den läkarvård som behöv</w:t>
      </w:r>
      <w:r w:rsidRPr="00896D4F">
        <w:softHyphen/>
        <w:t>des. Vid ett tillfälle klagade N. över att hon hade problem med sina mandlar. Fo</w:t>
      </w:r>
      <w:r w:rsidRPr="00896D4F">
        <w:t>s</w:t>
      </w:r>
      <w:r w:rsidRPr="00896D4F">
        <w:t>termodern besökte då tillsammans med N. vårdcentralen i deras bostadsomr</w:t>
      </w:r>
      <w:r w:rsidRPr="00896D4F">
        <w:t>å</w:t>
      </w:r>
      <w:r w:rsidRPr="00896D4F">
        <w:t>de. Läkaren där konstaterade att N. inte hade några mandlar och att allt var bra med henne förutom att hon var förkyld. För öv</w:t>
      </w:r>
      <w:r w:rsidRPr="00896D4F">
        <w:softHyphen/>
        <w:t>rigt har N. inte varit sjuk så att hon behövt läkarvård. Räkningen för ovan be</w:t>
      </w:r>
      <w:r w:rsidRPr="00896D4F">
        <w:softHyphen/>
        <w:t>skrivna läkarbesök skickades av misstag till biologiska modern och inte till familje</w:t>
      </w:r>
      <w:r w:rsidRPr="00896D4F">
        <w:softHyphen/>
        <w:t>hemmet som egentligen skulle fått den. Familjehe</w:t>
      </w:r>
      <w:r w:rsidRPr="00896D4F">
        <w:t>m</w:t>
      </w:r>
      <w:r w:rsidRPr="00896D4F">
        <w:t>met har gott</w:t>
      </w:r>
      <w:r w:rsidRPr="00896D4F">
        <w:softHyphen/>
        <w:t>gjor</w:t>
      </w:r>
      <w:r w:rsidRPr="00896D4F">
        <w:t>t N:s moder för sina utlägg.</w:t>
      </w:r>
    </w:p>
    <w:p w:rsidR="009C1C5A" w:rsidRPr="00896D4F" w:rsidRDefault="009C1C5A">
      <w:pPr>
        <w:pStyle w:val="Citatindrag"/>
      </w:pPr>
      <w:r w:rsidRPr="00896D4F">
        <w:t>Modern påstår att familjehemmet använt underhållsbidraget till sig själv. Underhållsbidraget utgår endast till vårdnadshavaren. När N. placera</w:t>
      </w:r>
      <w:r w:rsidRPr="00896D4F">
        <w:softHyphen/>
        <w:t>des i sitt familjehem stoppades utbetalningen eftersom modern inte längre hade hand om henne. Barnbidraget utbetalades däremot till familjehem</w:t>
      </w:r>
      <w:r w:rsidRPr="00896D4F">
        <w:softHyphen/>
        <w:t>met. Familj</w:t>
      </w:r>
      <w:r w:rsidRPr="00896D4F">
        <w:t>e</w:t>
      </w:r>
      <w:r w:rsidRPr="00896D4F">
        <w:t>hemmets egna barn får inte förfoga över sina barnbidrag. Fa</w:t>
      </w:r>
      <w:r w:rsidRPr="00896D4F">
        <w:softHyphen/>
        <w:t>miljen använder beloppet för barnen när det finns behov och så har också N:s barn</w:t>
      </w:r>
      <w:r w:rsidRPr="00896D4F">
        <w:softHyphen/>
        <w:t>bidrag ha</w:t>
      </w:r>
      <w:r w:rsidRPr="00896D4F">
        <w:t>n</w:t>
      </w:r>
      <w:r w:rsidRPr="00896D4F">
        <w:t>terats.</w:t>
      </w:r>
    </w:p>
    <w:p w:rsidR="009C1C5A" w:rsidRPr="00896D4F" w:rsidRDefault="009C1C5A">
      <w:pPr>
        <w:pStyle w:val="Citatindrag"/>
      </w:pPr>
      <w:r w:rsidRPr="00896D4F">
        <w:t>000828 ringer åter till familjehemmet och får bekräftat att N. flyttat hem till sin moder 000826.</w:t>
      </w:r>
    </w:p>
    <w:p w:rsidR="009C1C5A" w:rsidRPr="00896D4F" w:rsidRDefault="009C1C5A">
      <w:pPr>
        <w:pStyle w:val="Citatindrag"/>
      </w:pPr>
      <w:r w:rsidRPr="00896D4F">
        <w:t>000904 ringer biologiska modern och meddelar att familjehemmet är sky</w:t>
      </w:r>
      <w:r w:rsidRPr="00896D4F">
        <w:t>l</w:t>
      </w:r>
      <w:r w:rsidRPr="00896D4F">
        <w:t>dig N. barnbidraget de fått den 20 aug. Ringer senare under dagen till fami</w:t>
      </w:r>
      <w:r w:rsidRPr="00896D4F">
        <w:t>l</w:t>
      </w:r>
      <w:r w:rsidRPr="00896D4F">
        <w:t>jehemmet och talar med fosterfadern. Upp</w:t>
      </w:r>
      <w:r w:rsidRPr="00896D4F">
        <w:softHyphen/>
        <w:t>manar honom att skicka barnbidr</w:t>
      </w:r>
      <w:r w:rsidRPr="00896D4F">
        <w:t>a</w:t>
      </w:r>
      <w:r w:rsidRPr="00896D4F">
        <w:t>get till biologiska modern. Fosterfadern säger att de kommer att göra det. Uppmanar honom också att skicka en rimlig summa av omkost</w:t>
      </w:r>
      <w:r w:rsidRPr="00896D4F">
        <w:softHyphen/>
        <w:t>nads</w:t>
      </w:r>
      <w:r w:rsidRPr="00896D4F">
        <w:softHyphen/>
        <w:t>ersättningen till N. med tanke på att hon inte fått fickpengar under de sex veckor hon vistades hos sina morföräldrar. Fosterfadern accepterar.</w:t>
      </w:r>
    </w:p>
    <w:p w:rsidR="009C1C5A" w:rsidRPr="00896D4F" w:rsidRDefault="009C1C5A">
      <w:pPr>
        <w:pStyle w:val="Citatindrag"/>
      </w:pPr>
      <w:r w:rsidRPr="00896D4F">
        <w:t>000907 ringer biologiska modern och berättar att N. fortfarande inte fått barnbi</w:t>
      </w:r>
      <w:r w:rsidRPr="00896D4F">
        <w:t>draget. Lovar henne höra med familjehemmet.</w:t>
      </w:r>
    </w:p>
    <w:p w:rsidR="009C1C5A" w:rsidRPr="00896D4F" w:rsidRDefault="009C1C5A">
      <w:pPr>
        <w:pStyle w:val="Citatindrag"/>
      </w:pPr>
      <w:r w:rsidRPr="00896D4F">
        <w:t>Samma dag ringer undertecknad till familjehemmet och talar med foster</w:t>
      </w:r>
      <w:r w:rsidRPr="00896D4F">
        <w:softHyphen/>
        <w:t>modern. Får veta att de just nu inte har möjlighet att skicka pengar till N:s moder men att de kommer att göra det nästa vecka.</w:t>
      </w:r>
    </w:p>
    <w:p w:rsidR="009C1C5A" w:rsidRPr="00896D4F" w:rsidRDefault="009C1C5A">
      <w:pPr>
        <w:pStyle w:val="Citatindrag"/>
      </w:pPr>
      <w:r w:rsidRPr="00896D4F">
        <w:t>Samma dag ringer undertecknad även till biologiska modern. Hon acce</w:t>
      </w:r>
      <w:r w:rsidRPr="00896D4F">
        <w:t>p</w:t>
      </w:r>
      <w:r w:rsidRPr="00896D4F">
        <w:t>te</w:t>
      </w:r>
      <w:r w:rsidRPr="00896D4F">
        <w:softHyphen/>
        <w:t>rar att pengarna kommer nästa vecka.</w:t>
      </w:r>
    </w:p>
    <w:p w:rsidR="009C1C5A" w:rsidRPr="00896D4F" w:rsidRDefault="009C1C5A">
      <w:r w:rsidRPr="00896D4F">
        <w:t>Till remissvaret hade fogats den familjehemsutredning som genomfördes inför N:s placering hos makarna H.</w:t>
      </w:r>
    </w:p>
    <w:p w:rsidR="009C1C5A" w:rsidRPr="00896D4F" w:rsidRDefault="009C1C5A">
      <w:r w:rsidRPr="00896D4F">
        <w:t>A.O. yttrade sig över remissvaret.</w:t>
      </w:r>
    </w:p>
    <w:p w:rsidR="009C1C5A" w:rsidRPr="00896D4F" w:rsidRDefault="009C1C5A">
      <w:pPr>
        <w:pStyle w:val="Normaltindrag"/>
      </w:pPr>
      <w:r w:rsidRPr="00896D4F">
        <w:t>Av den dittills genomförda utredningen hos JO framgick att familjehem</w:t>
      </w:r>
      <w:r w:rsidRPr="00896D4F">
        <w:t>s</w:t>
      </w:r>
      <w:r w:rsidRPr="00896D4F">
        <w:t>utredningen inför placeringen av N. byggde på en intervju med familjehe</w:t>
      </w:r>
      <w:r w:rsidRPr="00896D4F">
        <w:t>m</w:t>
      </w:r>
      <w:r w:rsidRPr="00896D4F">
        <w:t>met och den bedömning som hade gjorts inför en tidigare placering av A. i familjehemmet. Stads</w:t>
      </w:r>
      <w:r w:rsidRPr="00896D4F">
        <w:softHyphen/>
        <w:t>dels</w:t>
      </w:r>
      <w:r w:rsidRPr="00896D4F">
        <w:softHyphen/>
        <w:t>fullmäktige anmodades därför att inkomma med komplet</w:t>
      </w:r>
      <w:r w:rsidRPr="00896D4F">
        <w:softHyphen/>
        <w:t>terande yttrande i frågan om vilka utredningsåtgärder som familje</w:t>
      </w:r>
      <w:r w:rsidRPr="00896D4F">
        <w:softHyphen/>
        <w:t>vården vidtog inför godkännande av familjen H. som familjehem för A. r</w:t>
      </w:r>
      <w:r w:rsidRPr="00896D4F">
        <w:t>e</w:t>
      </w:r>
      <w:r w:rsidRPr="00896D4F">
        <w:t>spektive för N. I remissen angavs att yttrandet även skulle innehålla besked om, och i så fall hur, utrednings</w:t>
      </w:r>
      <w:r w:rsidRPr="00896D4F">
        <w:softHyphen/>
        <w:t>åtgärderna hade dokumenterats.</w:t>
      </w:r>
    </w:p>
    <w:p w:rsidR="009C1C5A" w:rsidRPr="00896D4F" w:rsidRDefault="009C1C5A">
      <w:r w:rsidRPr="00896D4F">
        <w:t>Socialu</w:t>
      </w:r>
      <w:r w:rsidRPr="00896D4F">
        <w:t>tskottet avgav ett remissvar som bestod av två delar. Den ena delen rörde placeringen av N. och den andra A. När det gällde A. anförde utskottet följande.</w:t>
      </w:r>
    </w:p>
    <w:p w:rsidR="009C1C5A" w:rsidRPr="00896D4F" w:rsidRDefault="009C1C5A">
      <w:pPr>
        <w:pStyle w:val="Citat"/>
      </w:pPr>
      <w:r w:rsidRPr="00896D4F">
        <w:t>Makarna H. tog i juli 1999 kontakt med Fosie SDF:s IOF och omtalade att A. framfört önskemål om att stadigvarande få bo hos dem. Den 23 juli 1999 besökte två familjehemssekreterare makarna H. Det framkom då att Hyllie SDF 1991 bedömt och godkänt makarna H. som lämpligt familje</w:t>
      </w:r>
      <w:r w:rsidRPr="00896D4F">
        <w:softHyphen/>
        <w:t>hem åt en flicka född 1982. Ut</w:t>
      </w:r>
      <w:r w:rsidRPr="00896D4F">
        <w:softHyphen/>
        <w:t>redande familjehemssekreterare ansåg dock att makarna H. skulle utredas på nytt då det gått många år sedan utred</w:t>
      </w:r>
      <w:r w:rsidRPr="00896D4F">
        <w:softHyphen/>
        <w:t>ningen gjordes. Makarna H. intervjuades den 22 september 1999 med hjälp av Kälve</w:t>
      </w:r>
      <w:r w:rsidRPr="00896D4F">
        <w:softHyphen/>
        <w:t>sten/Meldahls intervjumetodik. Denna metod avser att få en bild av de saml</w:t>
      </w:r>
      <w:r w:rsidRPr="00896D4F">
        <w:t>a</w:t>
      </w:r>
      <w:r w:rsidRPr="00896D4F">
        <w:t>de resurser som finns i familjen. Metoden används vid utred</w:t>
      </w:r>
      <w:r w:rsidRPr="00896D4F">
        <w:softHyphen/>
        <w:t>ningar av nya familje</w:t>
      </w:r>
      <w:r w:rsidRPr="00896D4F">
        <w:softHyphen/>
        <w:t>hem. Intervjun analyseras sedan av psykolog Gerry Tapper tillsa</w:t>
      </w:r>
      <w:r w:rsidRPr="00896D4F">
        <w:t>m</w:t>
      </w:r>
      <w:r w:rsidRPr="00896D4F">
        <w:t>mans med två familjevårds</w:t>
      </w:r>
      <w:r w:rsidRPr="00896D4F">
        <w:softHyphen/>
        <w:t>sekreterare. I intervjun ingår även eko</w:t>
      </w:r>
      <w:r w:rsidRPr="00896D4F">
        <w:t>nomisk r</w:t>
      </w:r>
      <w:r w:rsidRPr="00896D4F">
        <w:t>e</w:t>
      </w:r>
      <w:r w:rsidRPr="00896D4F">
        <w:t>dogörelse. Denna intervju gav ett positivt intryck vilket även det tidigare förberedande mötet den 23 juli 1999 med maka</w:t>
      </w:r>
      <w:r w:rsidRPr="00896D4F">
        <w:t>r</w:t>
      </w:r>
      <w:r w:rsidRPr="00896D4F">
        <w:t>na gjort.</w:t>
      </w:r>
    </w:p>
    <w:p w:rsidR="009C1C5A" w:rsidRPr="00896D4F" w:rsidRDefault="009C1C5A">
      <w:pPr>
        <w:pStyle w:val="Citatindrag"/>
      </w:pPr>
      <w:r w:rsidRPr="00896D4F">
        <w:t>Vid utdrag ur kriminalregistret framkom att R.H. var miss</w:t>
      </w:r>
      <w:r w:rsidRPr="00896D4F">
        <w:softHyphen/>
        <w:t>tänkt för häleri. R.H. hade i början av juni 1999 köpt en cy</w:t>
      </w:r>
      <w:r w:rsidRPr="00896D4F">
        <w:softHyphen/>
        <w:t>kel i en cykelaffär trots att han borde insett att den frånhänts annan genom brott. Detta brott diskuterades med psykolog Gerry Tapper i samband med analysen av intervjun och även med makarna H. Kontakt togs med Hyllie SDF som enbart gav makarna goda vitsord. Det bedömdes att R.H:s ovannämnda brott inte skulle påverka pl</w:t>
      </w:r>
      <w:r w:rsidRPr="00896D4F">
        <w:t>a</w:t>
      </w:r>
      <w:r w:rsidRPr="00896D4F">
        <w:t>ceringen negativt. En journal</w:t>
      </w:r>
      <w:r w:rsidRPr="00896D4F">
        <w:softHyphen/>
        <w:t>anteckning om denna brotts</w:t>
      </w:r>
      <w:r w:rsidRPr="00896D4F">
        <w:softHyphen/>
        <w:t>misstanke fördes in i famil</w:t>
      </w:r>
      <w:r w:rsidRPr="00896D4F">
        <w:softHyphen/>
        <w:t>jehemsakten.</w:t>
      </w:r>
    </w:p>
    <w:p w:rsidR="009C1C5A" w:rsidRPr="00896D4F" w:rsidRDefault="009C1C5A">
      <w:pPr>
        <w:pStyle w:val="Citatindrag"/>
      </w:pPr>
      <w:r w:rsidRPr="00896D4F">
        <w:t>I den familjehemsutredning so</w:t>
      </w:r>
      <w:r w:rsidRPr="00896D4F">
        <w:t>m ligger till grund för A:s familjehems</w:t>
      </w:r>
      <w:r w:rsidRPr="00896D4F">
        <w:softHyphen/>
        <w:t>placering och som Fosie SDF:s sociala utskott godkände den 7 december 1999, nämndes ej att R.H. förekom i kriminal</w:t>
      </w:r>
      <w:r w:rsidRPr="00896D4F">
        <w:softHyphen/>
        <w:t>registret. Att så ej gjordes i detta ärende grundar sig på den positiva bild som analysen gav, goda vits</w:t>
      </w:r>
      <w:r w:rsidRPr="00896D4F">
        <w:softHyphen/>
        <w:t>ord från Hyllie SDF samt det goda intryck familjen gav vid vårt möte. Utredande familjevårds</w:t>
      </w:r>
      <w:r w:rsidRPr="00896D4F">
        <w:softHyphen/>
        <w:t>sekreterare tog även fasta på att A. redan fanns i hemmet och funnit sig väl tillrätta hos makarna H. Det material som används vid intervjun, får efter analyse</w:t>
      </w:r>
      <w:r w:rsidRPr="00896D4F">
        <w:t>n av intervjun ej bevaras. Journal</w:t>
      </w:r>
      <w:r w:rsidRPr="00896D4F">
        <w:softHyphen/>
        <w:t>anteck</w:t>
      </w:r>
      <w:r w:rsidRPr="00896D4F">
        <w:softHyphen/>
        <w:t>ningarna rörande barnet förs i barnets akt. Journalanteckningar rörande familjehemmet förs i familjehemsakten.</w:t>
      </w:r>
    </w:p>
    <w:p w:rsidR="009C1C5A" w:rsidRPr="00896D4F" w:rsidRDefault="009C1C5A">
      <w:pPr>
        <w:pStyle w:val="Citatindrag"/>
      </w:pPr>
      <w:r w:rsidRPr="00896D4F">
        <w:t>Den 25 augusti erhöll familjevården en kopia på en dom över fler brott som R.H. begått. Uppgiften hade skickats till Fosie SDF:s IOF av en kvinna vars dotter vid ovannämnda tidpunkt också var placerad hos makarna H. Av de journalanteckningar som förts i familje</w:t>
      </w:r>
      <w:r w:rsidRPr="00896D4F">
        <w:softHyphen/>
        <w:t>hemsakten framgår att R.H. dömts för brott mot knivlagen och vapenbrott. Avseende R.H:s olovliga innehav av kniv uppger han att han under sommaren 1999 extraarbetade som vakt vid en restaurang i Malmö och vid något tillfälle bar en morakniv på sig. Han på</w:t>
      </w:r>
      <w:r w:rsidRPr="00896D4F">
        <w:softHyphen/>
        <w:t>står att han haft kniven för att försvara sig ifall det skulle bli bråk. Rätten ansåg honom skyldig att på allmän plats, uppsåtligen eller av oaktsamhet innehaft kniv trots att detta inte varit befogat. Avseende vapenbrottet – po</w:t>
      </w:r>
      <w:r w:rsidRPr="00896D4F">
        <w:softHyphen/>
        <w:t>lisen b</w:t>
      </w:r>
      <w:r w:rsidRPr="00896D4F">
        <w:t>e</w:t>
      </w:r>
      <w:r w:rsidRPr="00896D4F">
        <w:t>slagtog i juni 19</w:t>
      </w:r>
      <w:r w:rsidRPr="00896D4F">
        <w:t>99 en tår</w:t>
      </w:r>
      <w:r w:rsidRPr="00896D4F">
        <w:softHyphen/>
        <w:t>gaspistol som R.H. bar på sig – uppger R.H. att han vid ett annat tillfälle under sin tjänstgöring som vakt hittat en tårgasanor</w:t>
      </w:r>
      <w:r w:rsidRPr="00896D4F">
        <w:t>d</w:t>
      </w:r>
      <w:r w:rsidRPr="00896D4F">
        <w:t>ning. Han visste inte exakt vad det rörde sig om, men han anade att det kunde röra sig om ett slags vapen. Hans avsikt var att lämna det upphittade till r</w:t>
      </w:r>
      <w:r w:rsidRPr="00896D4F">
        <w:t>e</w:t>
      </w:r>
      <w:r w:rsidRPr="00896D4F">
        <w:t>staurangägaren, men av nå</w:t>
      </w:r>
      <w:r w:rsidRPr="00896D4F">
        <w:softHyphen/>
        <w:t>gon anledning hann han aldrig göra det. Rätten ansåg honom skyldig upp</w:t>
      </w:r>
      <w:r w:rsidRPr="00896D4F">
        <w:softHyphen/>
        <w:t>såtligen eller av oaktsamhet innehaft en tårgasa</w:t>
      </w:r>
      <w:r w:rsidRPr="00896D4F">
        <w:t>n</w:t>
      </w:r>
      <w:r w:rsidRPr="00896D4F">
        <w:t>ordning med två tillhö</w:t>
      </w:r>
      <w:r w:rsidRPr="00896D4F">
        <w:softHyphen/>
        <w:t>rande patroner utan att ha rätt till det. R.H. fi</w:t>
      </w:r>
      <w:r w:rsidRPr="00896D4F">
        <w:t>ck villko</w:t>
      </w:r>
      <w:r w:rsidRPr="00896D4F">
        <w:t>r</w:t>
      </w:r>
      <w:r w:rsidRPr="00896D4F">
        <w:t>lig dom för sina brott. Rätten ansåg att det saknades anledning att anta att han skulle göra sig skyldig till fortsatt brottslighet. En ny bedömning angående familjen H:s lämplighet som familjehem gjordes i augusti 2000. Någon än</w:t>
      </w:r>
      <w:r w:rsidRPr="00896D4F">
        <w:t>d</w:t>
      </w:r>
      <w:r w:rsidRPr="00896D4F">
        <w:t>ring av tidigare bedömning har därvid inte gjorts.</w:t>
      </w:r>
    </w:p>
    <w:p w:rsidR="009C1C5A" w:rsidRPr="00896D4F" w:rsidRDefault="009C1C5A">
      <w:pPr>
        <w:pStyle w:val="Citatindrag"/>
      </w:pPr>
      <w:r w:rsidRPr="00896D4F">
        <w:t>Med anledning av det inträffade kommer Fosie SDF:s IOF fortsättningsvis att införa följande rutiner. Aktuella uppgifter skall alltid inhämtas från Rik</w:t>
      </w:r>
      <w:r w:rsidRPr="00896D4F">
        <w:t>s</w:t>
      </w:r>
      <w:r w:rsidRPr="00896D4F">
        <w:t>polisstyrelsens kriminalregister inför varje ny placering. Kontroll skall göras hos Kronofogdemyndigheten i samband med familjehems</w:t>
      </w:r>
      <w:r w:rsidRPr="00896D4F">
        <w:softHyphen/>
        <w:t>utred</w:t>
      </w:r>
      <w:r w:rsidRPr="00896D4F">
        <w:softHyphen/>
        <w:t>ningar. Vidare kommer relevanta uppgifter ur journalanteckningar regelmässigt att föras in i utredningar så att underlag finns för en samlad be</w:t>
      </w:r>
      <w:r w:rsidRPr="00896D4F">
        <w:softHyphen/>
        <w:t>dömning i denna.</w:t>
      </w:r>
    </w:p>
    <w:p w:rsidR="009C1C5A" w:rsidRPr="00896D4F" w:rsidRDefault="009C1C5A">
      <w:pPr>
        <w:pStyle w:val="Citatindrag"/>
      </w:pPr>
      <w:r w:rsidRPr="00896D4F">
        <w:t>Sammanfattningsvis kan konstateras att familjehemmet bedöms tillgodose A:s vårdbehov och att ovanstående brott inte påverkar vårdens innehåll.</w:t>
      </w:r>
    </w:p>
    <w:p w:rsidR="009C1C5A" w:rsidRPr="00896D4F" w:rsidRDefault="009C1C5A">
      <w:r w:rsidRPr="00896D4F">
        <w:t>I den del av remissvaret som avsåg N. anförde utskottet följande.</w:t>
      </w:r>
    </w:p>
    <w:p w:rsidR="009C1C5A" w:rsidRPr="00896D4F" w:rsidRDefault="009C1C5A">
      <w:pPr>
        <w:pStyle w:val="Citat"/>
      </w:pPr>
      <w:r w:rsidRPr="00896D4F">
        <w:t>N. placerades hos makarna H. den 1 februari 2000. Placeringen varade till den 25 augusti 2000. Familjen utreddes den 22 september 1999 med Kälve</w:t>
      </w:r>
      <w:r w:rsidRPr="00896D4F">
        <w:softHyphen/>
        <w:t>sten/Meldahls intervjumetodik i samband med en familjehemsplacering av en pojke i tonåren. Makarna H. bedömdes som lämpliga att ta hand om tonårin</w:t>
      </w:r>
      <w:r w:rsidRPr="00896D4F">
        <w:t>g</w:t>
      </w:r>
      <w:r w:rsidRPr="00896D4F">
        <w:t>ar. Denna intervju gav ett positivt intryck vilket även ett tidigare förberedande möte den 23 juli 1999 med makarna H. gjort. Metoden används vid utre</w:t>
      </w:r>
      <w:r w:rsidRPr="00896D4F">
        <w:t>d</w:t>
      </w:r>
      <w:r w:rsidRPr="00896D4F">
        <w:t>ningar av nya familjehem och kartlägger familjens samlade resurser. Det material som använts vid intervjun förstörs efter intervjugenomgången med familjehemmet.</w:t>
      </w:r>
    </w:p>
    <w:p w:rsidR="009C1C5A" w:rsidRPr="00896D4F" w:rsidRDefault="009C1C5A">
      <w:pPr>
        <w:pStyle w:val="Citatindrag"/>
      </w:pPr>
      <w:r w:rsidRPr="00896D4F">
        <w:t>Några nya utdrag ur Rikspolisstyrelsens kriminalregi</w:t>
      </w:r>
      <w:r w:rsidRPr="00896D4F">
        <w:t>ster begärdes ej då N:s placering hos makarna H. låg så nära i tid med den utredning som låg till grund för en placering av en tonårig pojke som ägde rum i december 1999. Eftersom en annan stadsdel, nämligen Hyllie SDF, hade en pågående familj</w:t>
      </w:r>
      <w:r w:rsidRPr="00896D4F">
        <w:t>e</w:t>
      </w:r>
      <w:r w:rsidRPr="00896D4F">
        <w:t>hemsplacering av en tonårig flicka hos makarna H., diskuterades Fosie SDF:s kommande placering med dem. Hyllie SDF gav makarna goda vitsord och hade inga invändningar emot att N. placerades hos m</w:t>
      </w:r>
      <w:r w:rsidRPr="00896D4F">
        <w:t>a</w:t>
      </w:r>
      <w:r w:rsidRPr="00896D4F">
        <w:t>karna H.</w:t>
      </w:r>
    </w:p>
    <w:p w:rsidR="009C1C5A" w:rsidRPr="00896D4F" w:rsidRDefault="009C1C5A">
      <w:pPr>
        <w:pStyle w:val="Citatindrag"/>
      </w:pPr>
      <w:r w:rsidRPr="00896D4F">
        <w:t>Den 25 augusti 2000 erhöll familjevården en kopia på en dom öve</w:t>
      </w:r>
      <w:r w:rsidRPr="00896D4F">
        <w:t>r brott som fosterfadern R.H. begått. Uppgiften hade skickats till Fosie SDF:s IOF av N:s biologiska moder A.O. Av journal</w:t>
      </w:r>
      <w:r w:rsidRPr="00896D4F">
        <w:softHyphen/>
        <w:t>anteckningar i familjehemsakten fra</w:t>
      </w:r>
      <w:r w:rsidRPr="00896D4F">
        <w:t>m</w:t>
      </w:r>
      <w:r w:rsidRPr="00896D4F">
        <w:t>går att R.H. dömts för häleri, brott mot knivlagen och vapen</w:t>
      </w:r>
      <w:r w:rsidRPr="00896D4F">
        <w:softHyphen/>
        <w:t>brott. Beträffande häleriet kan sägas att R.H. köpt en cykel i en cykelaffär i början av juni 1999 trots att han borde insett att den frånhänts annan genom brott. Brottet diskut</w:t>
      </w:r>
      <w:r w:rsidRPr="00896D4F">
        <w:t>e</w:t>
      </w:r>
      <w:r w:rsidRPr="00896D4F">
        <w:t>rades med psykolog Gerry Tapper i samband med intervju</w:t>
      </w:r>
      <w:r w:rsidRPr="00896D4F">
        <w:softHyphen/>
        <w:t>analysen som gjo</w:t>
      </w:r>
      <w:r w:rsidRPr="00896D4F">
        <w:t>r</w:t>
      </w:r>
      <w:r w:rsidRPr="00896D4F">
        <w:t>des när makarna H. var aktuella för att ta</w:t>
      </w:r>
      <w:r w:rsidRPr="00896D4F">
        <w:t xml:space="preserve"> emot en pojke som placerats hos dem i december 1999. Enligt vår uppfattning påverkade brottet inte vår tidig</w:t>
      </w:r>
      <w:r w:rsidRPr="00896D4F">
        <w:t>a</w:t>
      </w:r>
      <w:r w:rsidRPr="00896D4F">
        <w:t>re bedömning. Det pos</w:t>
      </w:r>
      <w:r w:rsidRPr="00896D4F">
        <w:t>i</w:t>
      </w:r>
      <w:r w:rsidRPr="00896D4F">
        <w:t>tiva intryck familje</w:t>
      </w:r>
      <w:r w:rsidRPr="00896D4F">
        <w:softHyphen/>
        <w:t>vården fick i samband med inter</w:t>
      </w:r>
      <w:r w:rsidRPr="00896D4F">
        <w:softHyphen/>
        <w:t>vjun kvarstod. Att brottet inte redovisades för Fosie SDF:s sociala utskott grundar sig på den posit</w:t>
      </w:r>
      <w:r w:rsidRPr="00896D4F">
        <w:t>i</w:t>
      </w:r>
      <w:r w:rsidRPr="00896D4F">
        <w:t>va bild familjevården tidigare fått av makarna H.</w:t>
      </w:r>
    </w:p>
    <w:p w:rsidR="009C1C5A" w:rsidRPr="00896D4F" w:rsidRDefault="009C1C5A">
      <w:pPr>
        <w:pStyle w:val="Citatindrag"/>
      </w:pPr>
      <w:r w:rsidRPr="00896D4F">
        <w:t>Avseende R.H:s olovliga innehav av kniv uppger han att han under so</w:t>
      </w:r>
      <w:r w:rsidRPr="00896D4F">
        <w:t>m</w:t>
      </w:r>
      <w:r w:rsidRPr="00896D4F">
        <w:t>maren 1999 extraarbetade som vakt vid en restaurang i Malmö och vid något tillfälle bar en morakniv på sig. Han påstår att han haft kniven för att försvara sig ifall det skulle bli bråk. Rätten ansåg honom skyldig att på allmän plats, uppsåtligen eller av oaktsamhet innehaft kniv trots att detta inte varit befogat.</w:t>
      </w:r>
    </w:p>
    <w:p w:rsidR="009C1C5A" w:rsidRPr="00896D4F" w:rsidRDefault="009C1C5A">
      <w:pPr>
        <w:pStyle w:val="Citatindrag"/>
      </w:pPr>
      <w:r w:rsidRPr="00896D4F">
        <w:t>Avseende vapenbrottet – polisen beslagtog i juni 1999 en tårgaspistol som R.H. bar på sig – uppger R.H. att han vid ett annat tillfälle under sin tjänstg</w:t>
      </w:r>
      <w:r w:rsidRPr="00896D4F">
        <w:t>ö</w:t>
      </w:r>
      <w:r w:rsidRPr="00896D4F">
        <w:t>ring som vakt hittat en tårgasanordning. Han visste inte exakt vad det rörde sig om, men han anade att det kunde röra sig om ett slags vapen. Hans avsikt var att lämna det upphittade till restaurangägaren, men av någon anledning hann han aldrig göra det. Rätten ansåg honom skyldig uppsåtligen eller av oaktsamhet innehaft en tårgasanordning med två tillhörande patroner utan att ha rätt till det. R.H. fick villkorlig dom för sina brott. Rätten ansåg att det saknades anledning att anta att han skulle göra sig</w:t>
      </w:r>
      <w:r w:rsidRPr="00896D4F">
        <w:t xml:space="preserve"> skyldig till fortsatt brott</w:t>
      </w:r>
      <w:r w:rsidRPr="00896D4F">
        <w:t>s</w:t>
      </w:r>
      <w:r w:rsidRPr="00896D4F">
        <w:t>lighet. En ny bedömning angående familjen H:s lämplighet som familjehem gjordes i augusti 2000. Någon ändring av tidigare bedömning har därvid inte gjorts.</w:t>
      </w:r>
    </w:p>
    <w:p w:rsidR="009C1C5A" w:rsidRPr="00896D4F" w:rsidRDefault="009C1C5A">
      <w:pPr>
        <w:pStyle w:val="Citatindrag"/>
      </w:pPr>
      <w:r w:rsidRPr="00896D4F">
        <w:t>Uppgifterna om brott mot vapenlagen respektive knivlagen framkom först den 25 augusti 2000. Fosie SDF:s IOF har gjort en förnyad bedömning ang</w:t>
      </w:r>
      <w:r w:rsidRPr="00896D4F">
        <w:t>å</w:t>
      </w:r>
      <w:r w:rsidRPr="00896D4F">
        <w:t>ende makarnas lämplighet som familjehem. Någon ändring av tidigare b</w:t>
      </w:r>
      <w:r w:rsidRPr="00896D4F">
        <w:t>e</w:t>
      </w:r>
      <w:r w:rsidRPr="00896D4F">
        <w:t>dömning har därvid inte gjorts.</w:t>
      </w:r>
    </w:p>
    <w:p w:rsidR="009C1C5A" w:rsidRPr="00896D4F" w:rsidRDefault="009C1C5A">
      <w:pPr>
        <w:pStyle w:val="Citatindrag"/>
      </w:pPr>
      <w:r w:rsidRPr="00896D4F">
        <w:t>Med anledning av A.O:s kritik mot familjehemsutredningen i fråga ko</w:t>
      </w:r>
      <w:r w:rsidRPr="00896D4F">
        <w:t>m</w:t>
      </w:r>
      <w:r w:rsidRPr="00896D4F">
        <w:t>mer Fosie SDF:s IOF fortsättningsvis att införa följande rutiner. Aktuella uppgifter skall inhämtas från Rikspolis</w:t>
      </w:r>
      <w:r w:rsidRPr="00896D4F">
        <w:softHyphen/>
        <w:t>styrelsens kriminalregister inför varje ny placering. Kontroll skall göras hos Kronofogde</w:t>
      </w:r>
      <w:r w:rsidRPr="00896D4F">
        <w:softHyphen/>
        <w:t>myndigheten i samband med familjehemsutredningar. Vidare kommer relevanta uppgifter ur journa</w:t>
      </w:r>
      <w:r w:rsidRPr="00896D4F">
        <w:t>l</w:t>
      </w:r>
      <w:r w:rsidRPr="00896D4F">
        <w:t>anteckningar regelmässigt föras in i utredningar så att underlag finns för en samlad bedömning i dessa.</w:t>
      </w:r>
    </w:p>
    <w:p w:rsidR="009C1C5A" w:rsidRPr="00896D4F" w:rsidRDefault="009C1C5A">
      <w:r w:rsidRPr="00896D4F">
        <w:t>Till remissvaret fogades bl.a. handlingar rörande A:s familjehemsplacering från den 7 december 1999 respekti</w:t>
      </w:r>
      <w:r w:rsidRPr="00896D4F">
        <w:t>ve omprövning av A:s familjehems</w:t>
      </w:r>
      <w:r w:rsidRPr="00896D4F">
        <w:softHyphen/>
        <w:t>place</w:t>
      </w:r>
      <w:r w:rsidRPr="00896D4F">
        <w:softHyphen/>
        <w:t>ring från den 5 december 2000.</w:t>
      </w:r>
    </w:p>
    <w:p w:rsidR="009C1C5A" w:rsidRPr="00896D4F" w:rsidRDefault="009C1C5A">
      <w:pPr>
        <w:pStyle w:val="Normaltindrag"/>
      </w:pPr>
      <w:r w:rsidRPr="00896D4F">
        <w:t>Det kompletterande remissvaret avseende N. översändes till A.O. för kä</w:t>
      </w:r>
      <w:r w:rsidRPr="00896D4F">
        <w:t>n</w:t>
      </w:r>
      <w:r w:rsidRPr="00896D4F">
        <w:t>nedom.</w:t>
      </w:r>
    </w:p>
    <w:p w:rsidR="009C1C5A" w:rsidRPr="00896D4F" w:rsidRDefault="009C1C5A">
      <w:pPr>
        <w:pStyle w:val="Brdtext2"/>
      </w:pPr>
      <w:r w:rsidRPr="00896D4F">
        <w:t xml:space="preserve">I ett beslut den 4 december 2001 anförde </w:t>
      </w:r>
      <w:r w:rsidRPr="00896D4F">
        <w:rPr>
          <w:i/>
        </w:rPr>
        <w:t>JO André</w:t>
      </w:r>
      <w:r w:rsidRPr="00896D4F">
        <w:t xml:space="preserve"> följande. </w:t>
      </w:r>
    </w:p>
    <w:p w:rsidR="009C1C5A" w:rsidRPr="00896D4F" w:rsidRDefault="009C1C5A">
      <w:r w:rsidRPr="00896D4F">
        <w:t>Enligt 25 § första stycket socialtjänstlagen (1980:620) får en underårig inte utan social</w:t>
      </w:r>
      <w:r w:rsidRPr="00896D4F">
        <w:softHyphen/>
        <w:t>nämndens med</w:t>
      </w:r>
      <w:r w:rsidRPr="00896D4F">
        <w:softHyphen/>
        <w:t>givande tas emot för stadigvarande vård eller fos</w:t>
      </w:r>
      <w:r w:rsidRPr="00896D4F">
        <w:t>t</w:t>
      </w:r>
      <w:r w:rsidRPr="00896D4F">
        <w:t>ran i ett enskilt hem som inte tillhör någon av hans föräldrar eller någon a</w:t>
      </w:r>
      <w:r w:rsidRPr="00896D4F">
        <w:t>n</w:t>
      </w:r>
      <w:r w:rsidRPr="00896D4F">
        <w:t>nan som har vårdnaden om honom. Ett sådant medgivande får, enligt 25 § andra stycket social</w:t>
      </w:r>
      <w:r w:rsidRPr="00896D4F">
        <w:softHyphen/>
        <w:t>tjänstlagen, inte lämnas utan att förhållandena i det e</w:t>
      </w:r>
      <w:r w:rsidRPr="00896D4F">
        <w:t>n</w:t>
      </w:r>
      <w:r w:rsidRPr="00896D4F">
        <w:t>skilda hemmet och förutsätt</w:t>
      </w:r>
      <w:r w:rsidRPr="00896D4F">
        <w:softHyphen/>
        <w:t>ningarna för att bereda barnet vård där är utredda. En s.k. familjehems</w:t>
      </w:r>
      <w:r w:rsidRPr="00896D4F">
        <w:softHyphen/>
        <w:t>utredning skall ha sin utgångs</w:t>
      </w:r>
      <w:r w:rsidRPr="00896D4F">
        <w:softHyphen/>
        <w:t xml:space="preserve">punkt i barnets behov och klarlägga familjehemsföräldrarnas vilja och förmåga att ge barnet </w:t>
      </w:r>
      <w:r w:rsidRPr="00896D4F">
        <w:t>den omsorg som barnet behöver. Förutom familje</w:t>
      </w:r>
      <w:r w:rsidRPr="00896D4F">
        <w:softHyphen/>
        <w:t>hems</w:t>
      </w:r>
      <w:r w:rsidRPr="00896D4F">
        <w:softHyphen/>
        <w:t>föräldrarnas personliga förutsät</w:t>
      </w:r>
      <w:r w:rsidRPr="00896D4F">
        <w:t>t</w:t>
      </w:r>
      <w:r w:rsidRPr="00896D4F">
        <w:t>ningar att ge barnet behövlig vård, måste utredningen belysa de yttre om</w:t>
      </w:r>
      <w:r w:rsidRPr="00896D4F">
        <w:softHyphen/>
        <w:t>ständig</w:t>
      </w:r>
      <w:r w:rsidRPr="00896D4F">
        <w:softHyphen/>
        <w:t>heter under vilka familjehemsföräldrarna lever, t.ex. uppgifter om bostad, arbete, ekonomi och hälsotillstånd.</w:t>
      </w:r>
    </w:p>
    <w:p w:rsidR="009C1C5A" w:rsidRPr="00896D4F" w:rsidRDefault="009C1C5A">
      <w:pPr>
        <w:pStyle w:val="Normaltindrag"/>
      </w:pPr>
      <w:r w:rsidRPr="00896D4F">
        <w:t>Som framgår av 51 § första stycket socialtjänstlagen skall vad som ko</w:t>
      </w:r>
      <w:r w:rsidRPr="00896D4F">
        <w:t>m</w:t>
      </w:r>
      <w:r w:rsidRPr="00896D4F">
        <w:t>mer fram under utred</w:t>
      </w:r>
      <w:r w:rsidRPr="00896D4F">
        <w:softHyphen/>
        <w:t>ningen dokumenteras. Vid dokumentationen måste f</w:t>
      </w:r>
      <w:r w:rsidRPr="00896D4F">
        <w:t>a</w:t>
      </w:r>
      <w:r w:rsidRPr="00896D4F">
        <w:t>miljehemsföräld</w:t>
      </w:r>
      <w:r w:rsidRPr="00896D4F">
        <w:softHyphen/>
        <w:t>rarnas integritet beaktas. Hänsynen till familjehemsföräldra</w:t>
      </w:r>
      <w:r w:rsidRPr="00896D4F">
        <w:t>r</w:t>
      </w:r>
      <w:r w:rsidRPr="00896D4F">
        <w:t>na får emellertid inte leda till att sådana uppgifter som har kommit fram och som har betydelse för ärendets avgörande utelämnas i familjehemsutrednin</w:t>
      </w:r>
      <w:r w:rsidRPr="00896D4F">
        <w:t>g</w:t>
      </w:r>
      <w:r w:rsidRPr="00896D4F">
        <w:t>en. Att dessa uppgifter redo</w:t>
      </w:r>
      <w:r w:rsidRPr="00896D4F">
        <w:softHyphen/>
        <w:t>visas är av vikt för såväl socialnämndens bedö</w:t>
      </w:r>
      <w:r w:rsidRPr="00896D4F">
        <w:t>m</w:t>
      </w:r>
      <w:r w:rsidRPr="00896D4F">
        <w:t>ning som vårdnads</w:t>
      </w:r>
      <w:r w:rsidRPr="00896D4F">
        <w:softHyphen/>
        <w:t>havarens ställ</w:t>
      </w:r>
      <w:r w:rsidRPr="00896D4F">
        <w:softHyphen/>
        <w:t>ningstagande till den planerade vården. Jag vill i sammanhanget erinra om att barnets vårdnadshavare som</w:t>
      </w:r>
      <w:r w:rsidRPr="00896D4F">
        <w:t xml:space="preserve"> regel skall få ta del av de uppgifter som har tillförts familjehemsutredningen.</w:t>
      </w:r>
    </w:p>
    <w:p w:rsidR="009C1C5A" w:rsidRPr="00896D4F" w:rsidRDefault="009C1C5A">
      <w:pPr>
        <w:pStyle w:val="Normaltindrag"/>
      </w:pPr>
      <w:r w:rsidRPr="00896D4F">
        <w:t>Under utredningen beträffande A:s placering fram</w:t>
      </w:r>
      <w:r w:rsidRPr="00896D4F">
        <w:softHyphen/>
        <w:t>kom, enligt utskottets komplet</w:t>
      </w:r>
      <w:r w:rsidRPr="00896D4F">
        <w:softHyphen/>
        <w:t>terande remissvar, att familjehemsfadern var misstänkt för häleri. Brottsmisstanken diskuterades med familjehemsföräld</w:t>
      </w:r>
      <w:r w:rsidRPr="00896D4F">
        <w:softHyphen/>
        <w:t>rarna och i sam</w:t>
      </w:r>
      <w:r w:rsidRPr="00896D4F">
        <w:softHyphen/>
        <w:t>band med den analys av inter</w:t>
      </w:r>
      <w:r w:rsidRPr="00896D4F">
        <w:softHyphen/>
        <w:t>vjun som genomfördes av en psykolog och två fami</w:t>
      </w:r>
      <w:r w:rsidRPr="00896D4F">
        <w:t>l</w:t>
      </w:r>
      <w:r w:rsidRPr="00896D4F">
        <w:t>jevårdssekreterare. Utredande familjevårdssekreterare synes ha varit av den uppfattningen att brottsmiss</w:t>
      </w:r>
      <w:r w:rsidRPr="00896D4F">
        <w:softHyphen/>
        <w:t>tanken inte utgjorde något avgörande hinder för nämnden att lämna medgivande till placeringen av A. En journal</w:t>
      </w:r>
      <w:r w:rsidRPr="00896D4F">
        <w:softHyphen/>
      </w:r>
      <w:r w:rsidRPr="00896D4F">
        <w:softHyphen/>
        <w:t>anteckning om brotts</w:t>
      </w:r>
      <w:r w:rsidRPr="00896D4F">
        <w:softHyphen/>
        <w:t>misstanken fördes in i familj</w:t>
      </w:r>
      <w:r w:rsidRPr="00896D4F">
        <w:t>e</w:t>
      </w:r>
      <w:r w:rsidRPr="00896D4F">
        <w:softHyphen/>
        <w:t>hems</w:t>
      </w:r>
      <w:r w:rsidRPr="00896D4F">
        <w:softHyphen/>
        <w:t>akten men redovisades aldrig i den familjehemsutredning som låg till grund för sociala utskottets medgiva</w:t>
      </w:r>
      <w:r w:rsidRPr="00896D4F">
        <w:t>n</w:t>
      </w:r>
      <w:r w:rsidRPr="00896D4F">
        <w:t>de till placeringen. Anled</w:t>
      </w:r>
      <w:r w:rsidRPr="00896D4F">
        <w:softHyphen/>
      </w:r>
      <w:r w:rsidRPr="00896D4F">
        <w:softHyphen/>
        <w:t>ningen därtill var, enligt remiss</w:t>
      </w:r>
      <w:r w:rsidRPr="00896D4F">
        <w:softHyphen/>
        <w:t>varen, den positiva bild som analysen gav sammantaget med goda vits</w:t>
      </w:r>
      <w:r w:rsidRPr="00896D4F">
        <w:softHyphen/>
        <w:t>ord från Hyllie stadsdels</w:t>
      </w:r>
      <w:r w:rsidRPr="00896D4F">
        <w:softHyphen/>
        <w:t>fullmäktige i Malmö kommun och det goda intryck familjen gav vid familje</w:t>
      </w:r>
      <w:r w:rsidRPr="00896D4F">
        <w:softHyphen/>
        <w:t>vårdens möte med dem. Utredande familje</w:t>
      </w:r>
      <w:r w:rsidRPr="00896D4F">
        <w:softHyphen/>
        <w:t>vårds</w:t>
      </w:r>
      <w:r w:rsidRPr="00896D4F">
        <w:softHyphen/>
        <w:t>sekreterare tog även fasta på att A. redan fanns i familjehem</w:t>
      </w:r>
      <w:r w:rsidRPr="00896D4F">
        <w:softHyphen/>
        <w:t xml:space="preserve">met och att han hade funnit sig väl till rätta där.  </w:t>
      </w:r>
    </w:p>
    <w:p w:rsidR="009C1C5A" w:rsidRPr="00896D4F" w:rsidRDefault="009C1C5A">
      <w:pPr>
        <w:pStyle w:val="Normaltindrag"/>
      </w:pPr>
      <w:r w:rsidRPr="00896D4F">
        <w:t>Utrednin</w:t>
      </w:r>
      <w:r w:rsidRPr="00896D4F">
        <w:t>gen inför N:s placering i familjehemmet baserades till stor del på den familjehems</w:t>
      </w:r>
      <w:r w:rsidRPr="00896D4F">
        <w:softHyphen/>
        <w:t>utredning som hade genomförts i samband med A:s place</w:t>
      </w:r>
      <w:r w:rsidRPr="00896D4F">
        <w:t>r</w:t>
      </w:r>
      <w:r w:rsidRPr="00896D4F">
        <w:t>ing. Därutöver tillkom huvudsakligen de kunskaper om familjehemmet som familje</w:t>
      </w:r>
      <w:r w:rsidRPr="00896D4F">
        <w:softHyphen/>
        <w:t>vården hade fått vid uppföljningsträffar efter A:s placering i familj</w:t>
      </w:r>
      <w:r w:rsidRPr="00896D4F">
        <w:t>e</w:t>
      </w:r>
      <w:r w:rsidRPr="00896D4F">
        <w:t>hemmet. Även familje</w:t>
      </w:r>
      <w:r w:rsidRPr="00896D4F">
        <w:softHyphen/>
        <w:t>hemsutred</w:t>
      </w:r>
      <w:r w:rsidRPr="00896D4F">
        <w:softHyphen/>
        <w:t>ningen inför N:s placering saknade uppgift om den av familje</w:t>
      </w:r>
      <w:r w:rsidRPr="00896D4F">
        <w:softHyphen/>
        <w:t>vården kända brottsmisstanken. Uppgiften redovisades inte heller för utskottet. Anledningen därtill var, enligt remissvaren, den posit</w:t>
      </w:r>
      <w:r w:rsidRPr="00896D4F">
        <w:t xml:space="preserve">iva bild som familjevården hade fått av hemmet. </w:t>
      </w:r>
    </w:p>
    <w:p w:rsidR="009C1C5A" w:rsidRPr="00896D4F" w:rsidRDefault="009C1C5A">
      <w:pPr>
        <w:pStyle w:val="Normaltindrag"/>
      </w:pPr>
      <w:r w:rsidRPr="00896D4F">
        <w:t>En uppgift om att en familjehemsförälder har begått ett brott eller att det hos polisen finns en sådan misstanke, är typiskt sett en uppgift som har bet</w:t>
      </w:r>
      <w:r w:rsidRPr="00896D4F">
        <w:t>y</w:t>
      </w:r>
      <w:r w:rsidRPr="00896D4F">
        <w:t>delse för be</w:t>
      </w:r>
      <w:r w:rsidRPr="00896D4F">
        <w:softHyphen/>
        <w:t>döm</w:t>
      </w:r>
      <w:r w:rsidRPr="00896D4F">
        <w:softHyphen/>
        <w:t>ningen av om ett familjehem är lämpligt eller inte. Att frågan om brotts</w:t>
      </w:r>
      <w:r w:rsidRPr="00896D4F">
        <w:softHyphen/>
        <w:t>lighet är viktig i sammanhanget framgår inte minst av att det finns särskilda bestämmelser angående utlämnande av uppgifter ur Riks</w:t>
      </w:r>
      <w:r w:rsidRPr="00896D4F">
        <w:softHyphen/>
        <w:t>polis</w:t>
      </w:r>
      <w:r w:rsidRPr="00896D4F">
        <w:softHyphen/>
        <w:t>styrel</w:t>
      </w:r>
      <w:r w:rsidRPr="00896D4F">
        <w:softHyphen/>
        <w:t>sens belast</w:t>
      </w:r>
      <w:r w:rsidRPr="00896D4F">
        <w:softHyphen/>
        <w:t>nings</w:t>
      </w:r>
      <w:r w:rsidRPr="00896D4F">
        <w:softHyphen/>
        <w:t>register och misstanke</w:t>
      </w:r>
      <w:r w:rsidRPr="00896D4F">
        <w:softHyphen/>
        <w:t>register till en social</w:t>
      </w:r>
      <w:r w:rsidRPr="00896D4F">
        <w:softHyphen/>
        <w:t>nämnd. Rikspoli</w:t>
      </w:r>
      <w:r w:rsidRPr="00896D4F">
        <w:t>s</w:t>
      </w:r>
      <w:r w:rsidRPr="00896D4F">
        <w:t>styrelsen skall sålunda, på begäran av social</w:t>
      </w:r>
      <w:r w:rsidRPr="00896D4F">
        <w:softHyphen/>
        <w:t>nämnden i ärenden om bl.a. me</w:t>
      </w:r>
      <w:r w:rsidRPr="00896D4F">
        <w:t>d</w:t>
      </w:r>
      <w:r w:rsidRPr="00896D4F">
        <w:t>givanden att ta emot barn enligt 25 § social</w:t>
      </w:r>
      <w:r w:rsidRPr="00896D4F">
        <w:softHyphen/>
        <w:t>tjänst</w:t>
      </w:r>
      <w:r w:rsidRPr="00896D4F">
        <w:softHyphen/>
        <w:t>lagen, lämna ut uppgifter om brott som har föranlett någon annan på</w:t>
      </w:r>
      <w:r w:rsidRPr="00896D4F">
        <w:t>följd än penningböter och om brott för vilket åtal väckts (11 § för</w:t>
      </w:r>
      <w:r w:rsidRPr="00896D4F">
        <w:softHyphen/>
        <w:t xml:space="preserve">ordningen [1999:1134] om belastningsregister och 4 § förordningen [1999:1135] om misstankeregister). </w:t>
      </w:r>
    </w:p>
    <w:p w:rsidR="009C1C5A" w:rsidRPr="00896D4F" w:rsidRDefault="009C1C5A">
      <w:pPr>
        <w:pStyle w:val="Normaltindrag"/>
      </w:pPr>
      <w:r w:rsidRPr="00896D4F">
        <w:t>I förevarande fall framgår det av remissvaren att brottsmiss</w:t>
      </w:r>
      <w:r w:rsidRPr="00896D4F">
        <w:softHyphen/>
        <w:t>tanken togs på allvar av utredaren och att frågan diskuterades och övervägdes under utre</w:t>
      </w:r>
      <w:r w:rsidRPr="00896D4F">
        <w:t>d</w:t>
      </w:r>
      <w:r w:rsidRPr="00896D4F">
        <w:t>ningen. Även om utredaren för egen del kom fram till att brottsmisstanken inte utgjorde något hinder mot en placering i familjehemmet, borde uppgiften ha tagits med i familje</w:t>
      </w:r>
      <w:r w:rsidRPr="00896D4F">
        <w:softHyphen/>
        <w:t>hemsutredningen. Eftersom familje</w:t>
      </w:r>
      <w:r w:rsidRPr="00896D4F">
        <w:softHyphen/>
        <w:t>vården kände till brottsmisstanken när N. placerades i februari 2000 borde familjevården inför placeringen ha följt upp saken. Det kan diskuteras om familjevården därvid inte skulle ha gjort en för</w:t>
      </w:r>
      <w:r w:rsidRPr="00896D4F">
        <w:softHyphen/>
        <w:t>nyad kontroll m</w:t>
      </w:r>
      <w:r w:rsidRPr="00896D4F">
        <w:t>ed Rikspolisstyrelsen. Vad som har framkommit om avsaknaden av uppgifter om brottsmisstanken i familjehem</w:t>
      </w:r>
      <w:r w:rsidRPr="00896D4F">
        <w:t>s</w:t>
      </w:r>
      <w:r w:rsidRPr="00896D4F">
        <w:t>utredningen och den bristande upp</w:t>
      </w:r>
      <w:r w:rsidRPr="00896D4F">
        <w:softHyphen/>
        <w:t>följningen i samband med placeringen av N. föranleder kritik från min sida.</w:t>
      </w:r>
    </w:p>
    <w:p w:rsidR="009C1C5A" w:rsidRPr="00896D4F" w:rsidRDefault="009C1C5A">
      <w:pPr>
        <w:pStyle w:val="Normaltindrag"/>
      </w:pPr>
      <w:r w:rsidRPr="00896D4F">
        <w:t>En annan fråga som bör klarläggas vid en familjehemsutredning är den ekonomiska situationen. Hur ingående utredningen om ett familje</w:t>
      </w:r>
      <w:r w:rsidRPr="00896D4F">
        <w:softHyphen/>
        <w:t>hems ek</w:t>
      </w:r>
      <w:r w:rsidRPr="00896D4F">
        <w:t>o</w:t>
      </w:r>
      <w:r w:rsidRPr="00896D4F">
        <w:t>nomiska förhållanden skall vara kan inte anges generellt. Den frågan måste avgöras i varje enskilt fall. Nämnden har att be</w:t>
      </w:r>
      <w:r w:rsidRPr="00896D4F">
        <w:softHyphen/>
        <w:t>döma vad som är bäst för ba</w:t>
      </w:r>
      <w:r w:rsidRPr="00896D4F">
        <w:t>r</w:t>
      </w:r>
      <w:r w:rsidRPr="00896D4F">
        <w:t>net. Om de ekon</w:t>
      </w:r>
      <w:r w:rsidRPr="00896D4F">
        <w:t>o</w:t>
      </w:r>
      <w:r w:rsidRPr="00896D4F">
        <w:t>miska uppgifterna leder till en miss</w:t>
      </w:r>
      <w:r w:rsidRPr="00896D4F">
        <w:softHyphen/>
        <w:t>tanke om att familje</w:t>
      </w:r>
      <w:r w:rsidRPr="00896D4F">
        <w:softHyphen/>
        <w:t>hems</w:t>
      </w:r>
      <w:r w:rsidRPr="00896D4F">
        <w:softHyphen/>
        <w:t>föräldrarnas ekonomi är så dålig att det kan ha betydelse för möjlig</w:t>
      </w:r>
      <w:r w:rsidRPr="00896D4F">
        <w:softHyphen/>
        <w:t>heten att till</w:t>
      </w:r>
      <w:r w:rsidRPr="00896D4F">
        <w:softHyphen/>
        <w:t>godose barnets behov, finns det självklart skäl för nämnden att geno</w:t>
      </w:r>
      <w:r w:rsidRPr="00896D4F">
        <w:t>m</w:t>
      </w:r>
      <w:r w:rsidRPr="00896D4F">
        <w:t>föra en fördjupad utredning i den delen. I före</w:t>
      </w:r>
      <w:r w:rsidRPr="00896D4F">
        <w:softHyphen/>
        <w:t>varande fall ingick en ekono</w:t>
      </w:r>
      <w:r w:rsidRPr="00896D4F">
        <w:softHyphen/>
        <w:t>misk redogörelse som ett led i inter</w:t>
      </w:r>
      <w:r w:rsidRPr="00896D4F">
        <w:softHyphen/>
        <w:t xml:space="preserve">vjun </w:t>
      </w:r>
      <w:r w:rsidRPr="00896D4F">
        <w:t>med familjehems</w:t>
      </w:r>
      <w:r w:rsidRPr="00896D4F">
        <w:softHyphen/>
        <w:t>föräldrarna i sam</w:t>
      </w:r>
      <w:r w:rsidRPr="00896D4F">
        <w:softHyphen/>
        <w:t>band med placeringen av A. Denna redogörelse ledde inte till någon missta</w:t>
      </w:r>
      <w:r w:rsidRPr="00896D4F">
        <w:t>n</w:t>
      </w:r>
      <w:r w:rsidRPr="00896D4F">
        <w:t>ke om att makarnas ekonomiska situation var sådan att det fanns anledning att följa upp saken i samband med placeringen av N. Vad som har framkommit i den delen för</w:t>
      </w:r>
      <w:r w:rsidRPr="00896D4F">
        <w:softHyphen/>
        <w:t>anleder inte någon kritik från min sida.</w:t>
      </w:r>
    </w:p>
    <w:p w:rsidR="009C1C5A" w:rsidRPr="00896D4F" w:rsidRDefault="009C1C5A">
      <w:pPr>
        <w:pStyle w:val="Normaltindrag"/>
      </w:pPr>
      <w:r w:rsidRPr="00896D4F">
        <w:t>Avslutningsvis vill jag påpeka att social</w:t>
      </w:r>
      <w:r w:rsidRPr="00896D4F">
        <w:softHyphen/>
        <w:t>nämnden skall göra en helhetsb</w:t>
      </w:r>
      <w:r w:rsidRPr="00896D4F">
        <w:t>e</w:t>
      </w:r>
      <w:r w:rsidRPr="00896D4F">
        <w:t>dömning av för</w:t>
      </w:r>
      <w:r w:rsidRPr="00896D4F">
        <w:softHyphen/>
        <w:t>hållandena i det aktuella hemmet och för</w:t>
      </w:r>
      <w:r w:rsidRPr="00896D4F">
        <w:softHyphen/>
        <w:t>utsättningarna för att bereda barnet vård där. Det är inte uteslutet att en sådan bedömning kan u</w:t>
      </w:r>
      <w:r w:rsidRPr="00896D4F">
        <w:t>t</w:t>
      </w:r>
      <w:r w:rsidRPr="00896D4F">
        <w:t>mynna i ett med</w:t>
      </w:r>
      <w:r w:rsidRPr="00896D4F">
        <w:softHyphen/>
        <w:t>givande enligt 25 § första stycket socialtjänst</w:t>
      </w:r>
      <w:r w:rsidRPr="00896D4F">
        <w:softHyphen/>
        <w:t>lagen, även om den ekonomiska situationen är ansträngd eller om det finns anteckningar i Rikspolisstyrelsens misstanke- eller belastningsregister. Däremot är det, s</w:t>
      </w:r>
      <w:r w:rsidRPr="00896D4F">
        <w:t>å</w:t>
      </w:r>
      <w:r w:rsidRPr="00896D4F">
        <w:t>som jag har påpekat, viktiga omständigheter för nämnden att ta ställning till i samband med place</w:t>
      </w:r>
      <w:r w:rsidRPr="00896D4F">
        <w:t>ringen av ett barn och över</w:t>
      </w:r>
      <w:r w:rsidRPr="00896D4F">
        <w:softHyphen/>
        <w:t>väganden i fråga om fortsatt vård. Jag vill även betona att vårdnadshavaren givetvis har ett starkt intresse i frågan om hemmet är lämpligt för att ta emot barnet. Det är därför viktigt att familjehems</w:t>
      </w:r>
      <w:r w:rsidRPr="00896D4F">
        <w:softHyphen/>
        <w:t>utredningen genom</w:t>
      </w:r>
      <w:r w:rsidRPr="00896D4F">
        <w:softHyphen/>
        <w:t xml:space="preserve">förs på sådant sätt att vårdnadshavaren har förtroende för den. </w:t>
      </w:r>
    </w:p>
    <w:p w:rsidR="009C1C5A" w:rsidRPr="00896D4F" w:rsidRDefault="009C1C5A">
      <w:pPr>
        <w:pStyle w:val="Rubrik4"/>
      </w:pPr>
      <w:r w:rsidRPr="00896D4F">
        <w:t>Övrigt</w:t>
      </w:r>
    </w:p>
    <w:p w:rsidR="009C1C5A" w:rsidRPr="00896D4F" w:rsidRDefault="009C1C5A">
      <w:r w:rsidRPr="00896D4F">
        <w:t>Klagomålen i övrigt föranleder inte någon åt</w:t>
      </w:r>
      <w:r w:rsidRPr="00896D4F">
        <w:softHyphen/>
        <w:t xml:space="preserve">gärd eller något uttalande från min sida. </w:t>
      </w:r>
    </w:p>
    <w:p w:rsidR="009C1C5A" w:rsidRPr="00896D4F" w:rsidRDefault="009C1C5A">
      <w:pPr>
        <w:pStyle w:val="Rubrik2"/>
      </w:pPr>
      <w:r w:rsidRPr="00896D4F">
        <w:br w:type="page"/>
        <w:t xml:space="preserve">Fråga bl.a. om handläggningen av en ansökan om bistånd när socialnämnden nyligen hade prövat frågan </w:t>
      </w:r>
    </w:p>
    <w:p w:rsidR="009C1C5A" w:rsidRPr="00896D4F" w:rsidRDefault="009C1C5A">
      <w:pPr>
        <w:spacing w:before="0"/>
      </w:pPr>
      <w:r w:rsidRPr="00896D4F">
        <w:t>(Dnr 1759-2000)</w:t>
      </w:r>
    </w:p>
    <w:p w:rsidR="009C1C5A" w:rsidRPr="00896D4F" w:rsidRDefault="009C1C5A">
      <w:r w:rsidRPr="00896D4F">
        <w:t xml:space="preserve">H.S. framförde i en anmälan till JO klagomål mot stadsdelsförvaltningen Tynnered i Göteborgs kommun angående handläggningen av hans ansökan om bistånd till säng, körlektioner samt kostnader för behandling hos naprapat. Han gjorde gällande att han vid tiden för anmälan till JO ännu inte fått något beslut i biståndsärendet, trots att det gått sex veckor sedan han lämnade in  ansökan. </w:t>
      </w:r>
    </w:p>
    <w:p w:rsidR="009C1C5A" w:rsidRPr="00896D4F" w:rsidRDefault="009C1C5A">
      <w:pPr>
        <w:pStyle w:val="Normaltindrag"/>
      </w:pPr>
      <w:r w:rsidRPr="00896D4F">
        <w:t>Inledningsvis inhämtades upplysningar per telefon från enhetschefen Catharina Berndtsson. Därefter remitterades anmälan till Stadsdelsnämnden Tynnered i Göteborgs kommun för utredning och yttrande. Nämndens sociala utskott över</w:t>
      </w:r>
      <w:r w:rsidRPr="00896D4F">
        <w:softHyphen/>
        <w:t>lämnade som sitt remissvar ett yttrande upprättat av verksamhet</w:t>
      </w:r>
      <w:r w:rsidRPr="00896D4F">
        <w:t>s</w:t>
      </w:r>
      <w:r w:rsidRPr="00896D4F">
        <w:t>chefen Sven Tholander. I remissvaret anfördes i huvudsak följande.</w:t>
      </w:r>
    </w:p>
    <w:p w:rsidR="009C1C5A" w:rsidRPr="00896D4F" w:rsidRDefault="009C1C5A">
      <w:pPr>
        <w:pStyle w:val="Citat"/>
      </w:pPr>
      <w:r w:rsidRPr="00896D4F">
        <w:t>H.S. ansökte 2000-03-29 om ekonomiskt bistånd till säng, körkort samt kos</w:t>
      </w:r>
      <w:r w:rsidRPr="00896D4F">
        <w:t>t</w:t>
      </w:r>
      <w:r w:rsidRPr="00896D4F">
        <w:t>nader för behandling hos naprapat.</w:t>
      </w:r>
    </w:p>
    <w:p w:rsidR="009C1C5A" w:rsidRPr="00896D4F" w:rsidRDefault="009C1C5A">
      <w:pPr>
        <w:pStyle w:val="Citatindrag"/>
      </w:pPr>
      <w:r w:rsidRPr="00896D4F">
        <w:t>Vad gäller ekonomiskt bistånd till inköp av ny säng, ansökte H.S. redan 2000-02-10 om medel till detta ändamål. Ansökan avslogs med motiveringen att kompletter</w:t>
      </w:r>
      <w:r w:rsidRPr="00896D4F">
        <w:softHyphen/>
        <w:t>ande hemutrustning beviljats med 6 500 kronor hösten 1999.</w:t>
      </w:r>
      <w:r w:rsidRPr="00896D4F">
        <w:rPr>
          <w:b/>
        </w:rPr>
        <w:t xml:space="preserve"> </w:t>
      </w:r>
      <w:r w:rsidRPr="00896D4F">
        <w:t>H.S:s behov av säng ansågs tillgodosett eftersom en säng fanns i hans befin</w:t>
      </w:r>
      <w:r w:rsidRPr="00896D4F">
        <w:t>t</w:t>
      </w:r>
      <w:r w:rsidRPr="00896D4F">
        <w:t>liga boende och det hade inte fram</w:t>
      </w:r>
      <w:r w:rsidRPr="00896D4F">
        <w:softHyphen/>
        <w:t>kommit några synnerliga skäl till varför socialtjänsten skulle bevilja medel till en ny sängbotten. Beslutet delgavs H.S. 2000-02-11. Eftersom inget förnyat beslutsunderlag inkommit till förval</w:t>
      </w:r>
      <w:r w:rsidRPr="00896D4F">
        <w:t>t</w:t>
      </w:r>
      <w:r w:rsidRPr="00896D4F">
        <w:t>ningen tillsammans med an</w:t>
      </w:r>
      <w:r w:rsidRPr="00896D4F">
        <w:softHyphen/>
        <w:t>sökan 2000-03-29, meddelades H.S. per telefon 2000-04-07 att beslutet från 2000-02-11 kvarstår så länge intyg, som styrke</w:t>
      </w:r>
      <w:r w:rsidRPr="00896D4F">
        <w:t>r hans be</w:t>
      </w:r>
      <w:r w:rsidRPr="00896D4F">
        <w:softHyphen/>
        <w:t>hov av en ny säng, ej kan uppvisas från hans behandlande läkare. Lä</w:t>
      </w:r>
      <w:r w:rsidRPr="00896D4F">
        <w:softHyphen/>
        <w:t>karutlåtande från dr Lööf, Lillhagens sjukhus, inkom till förvaltningen 2000-06-05. H.S:s ansökan om ny säng utreds för närva</w:t>
      </w:r>
      <w:r w:rsidRPr="00896D4F">
        <w:softHyphen/>
        <w:t>rande. Enligt H.S. skulle läkarutlåtandet ha faxats till förvaltningen re</w:t>
      </w:r>
      <w:r w:rsidRPr="00896D4F">
        <w:softHyphen/>
        <w:t>dan 2000-03-29 men det har aldrig kommit socia</w:t>
      </w:r>
      <w:r w:rsidRPr="00896D4F">
        <w:t>l</w:t>
      </w:r>
      <w:r w:rsidRPr="00896D4F">
        <w:t>tjänsten tillhanda.</w:t>
      </w:r>
    </w:p>
    <w:p w:rsidR="009C1C5A" w:rsidRPr="00896D4F" w:rsidRDefault="009C1C5A">
      <w:pPr>
        <w:pStyle w:val="Citatindrag"/>
      </w:pPr>
      <w:r w:rsidRPr="00896D4F">
        <w:t>Angående framställan om medel till körlektioner och körkort ansökte H.S. redan 2000-0l-07 om ekonomiskt bistånd till dessa kost</w:t>
      </w:r>
      <w:r w:rsidRPr="00896D4F">
        <w:softHyphen/>
        <w:t>nader eftersom han erbjudits arbetsträning och eventuellt arbete på Skogaberg om han hade kö</w:t>
      </w:r>
      <w:r w:rsidRPr="00896D4F">
        <w:t>r</w:t>
      </w:r>
      <w:r w:rsidRPr="00896D4F">
        <w:t>kort. Som ett led i hans rehabilitering ställde sig socialtjänsten positiv till att bevilja H.S. dessa kostnader och han uppmanades ta kontakt med en trafi</w:t>
      </w:r>
      <w:r w:rsidRPr="00896D4F">
        <w:t>k</w:t>
      </w:r>
      <w:r w:rsidRPr="00896D4F">
        <w:t>skola för att få ett kostnadsförslag. H.S. avbröt emellertid arbetsträningen eftersom han inte fick någon ekonomisk e</w:t>
      </w:r>
      <w:r w:rsidRPr="00896D4F">
        <w:t>r</w:t>
      </w:r>
      <w:r w:rsidRPr="00896D4F">
        <w:t>sättning från Skogaberg. Social</w:t>
      </w:r>
      <w:r w:rsidRPr="00896D4F">
        <w:softHyphen/>
        <w:t>tjänsten meddelade H.S. per telefon 2000-01-14 att hans ansökan om körkort är direkt av</w:t>
      </w:r>
      <w:r w:rsidRPr="00896D4F">
        <w:softHyphen/>
        <w:t>hängigt hans arbetsträni</w:t>
      </w:r>
      <w:r w:rsidRPr="00896D4F">
        <w:t>ng och löfte om arbete på Skogaberg. Då H.S. ej återupptog sin arbetsträning meddelades han 2000-02-11 av</w:t>
      </w:r>
      <w:r w:rsidRPr="00896D4F">
        <w:softHyphen/>
        <w:t>slag på ansökan om körlektioner och körkort.</w:t>
      </w:r>
    </w:p>
    <w:p w:rsidR="009C1C5A" w:rsidRPr="00896D4F" w:rsidRDefault="009C1C5A">
      <w:pPr>
        <w:pStyle w:val="Citatindrag"/>
      </w:pPr>
      <w:r w:rsidRPr="00896D4F">
        <w:t>Vid tidpunkten för den förnyade ansökan 2000-03-29 hade H.S:s situation ej förändrats och arbetsträning på Skogaberg var ej aktuell. H.S. informerades per telefon 2000-04-07 om att ekonomiskt bi</w:t>
      </w:r>
      <w:r w:rsidRPr="00896D4F">
        <w:softHyphen/>
        <w:t>stånd till körkort kan utgå först när det kan ses som ett led i hans rehabili</w:t>
      </w:r>
      <w:r w:rsidRPr="00896D4F">
        <w:softHyphen/>
        <w:t>tering och att b</w:t>
      </w:r>
      <w:r w:rsidRPr="00896D4F">
        <w:t>e</w:t>
      </w:r>
      <w:r w:rsidRPr="00896D4F">
        <w:t xml:space="preserve">slutet från </w:t>
      </w:r>
      <w:r w:rsidRPr="00896D4F">
        <w:br/>
        <w:t>2000-02-11 om avslag kvarstår. För att social</w:t>
      </w:r>
      <w:r w:rsidRPr="00896D4F">
        <w:softHyphen/>
        <w:t>tjänsten skall ompröva sitt b</w:t>
      </w:r>
      <w:r w:rsidRPr="00896D4F">
        <w:t>e</w:t>
      </w:r>
      <w:r w:rsidRPr="00896D4F">
        <w:t>slut måste H.S. medverka till en förändring av sin situation.</w:t>
      </w:r>
    </w:p>
    <w:p w:rsidR="009C1C5A" w:rsidRPr="00896D4F" w:rsidRDefault="009C1C5A">
      <w:pPr>
        <w:pStyle w:val="Citatindrag"/>
      </w:pPr>
      <w:r w:rsidRPr="00896D4F">
        <w:t>H.S. ansökte 2000-03-29 även om ekonomiskt bistånd till kostnader för naprapat</w:t>
      </w:r>
      <w:r w:rsidRPr="00896D4F">
        <w:softHyphen/>
        <w:t>behandling. Vid telefonsamtal med H.S. 2000-04-07 meddelades han muntligen att han kan uppsöka sin naprapatläkare och påbörja behandlingen. Mot uppvisande av kvitto kommer han sedan att erhålla ersättning motsv</w:t>
      </w:r>
      <w:r w:rsidRPr="00896D4F">
        <w:t>a</w:t>
      </w:r>
      <w:r w:rsidRPr="00896D4F">
        <w:t>rande vad socialtjänsten beviljar för läkarbe</w:t>
      </w:r>
      <w:r w:rsidRPr="00896D4F">
        <w:softHyphen/>
        <w:t>sök hos läkare anslutna till försä</w:t>
      </w:r>
      <w:r w:rsidRPr="00896D4F">
        <w:t>k</w:t>
      </w:r>
      <w:r w:rsidRPr="00896D4F">
        <w:t>ringskassan. H.S. förmodade att kostnaderna därmed skulle täckas och skulle påbörja sin behandling.</w:t>
      </w:r>
    </w:p>
    <w:p w:rsidR="009C1C5A" w:rsidRPr="00896D4F" w:rsidRDefault="009C1C5A">
      <w:pPr>
        <w:pStyle w:val="Citatindrag"/>
      </w:pPr>
      <w:r w:rsidRPr="00896D4F">
        <w:t>I sin skrivelse, daterad 2000-05-08, till JO, framför H.S. att han efter sex veckor ej fått beslut på sin ansökan om ek</w:t>
      </w:r>
      <w:r w:rsidRPr="00896D4F">
        <w:t>onomiskt bistånd. Med hänvisning till ovanstående, bestrider förvaltningen detta påstående. Ett intyg från H.S:s läkare skulle ha faxats till förvaltningen 2000-03-29 men detta har ej kommit socialtjänsten tillhanda. Läkarutlåtan</w:t>
      </w:r>
      <w:r w:rsidRPr="00896D4F">
        <w:softHyphen/>
        <w:t>det, som styrker H.S:s behov av ny säng och körkort, inkom till förvaltningen först 2000-06-05 och med detta nya underlag för handen utreds nu H.S:s ansökan om b</w:t>
      </w:r>
      <w:r w:rsidRPr="00896D4F">
        <w:t>i</w:t>
      </w:r>
      <w:r w:rsidRPr="00896D4F">
        <w:t>stånd.</w:t>
      </w:r>
    </w:p>
    <w:p w:rsidR="009C1C5A" w:rsidRPr="00896D4F" w:rsidRDefault="009C1C5A">
      <w:r w:rsidRPr="00896D4F">
        <w:t>Kompletterande upplysningar inhämtades per telefon från enhetschefen Catharina Berndtsson. Journalanteckningar oc</w:t>
      </w:r>
      <w:r w:rsidRPr="00896D4F">
        <w:t>h beslut m.m. i biståndsärendet under tiden februari 2000 t.o.m. april 2000 infordrades från stadsdelsförval</w:t>
      </w:r>
      <w:r w:rsidRPr="00896D4F">
        <w:t>t</w:t>
      </w:r>
      <w:r w:rsidRPr="00896D4F">
        <w:t>ningen.</w:t>
      </w:r>
    </w:p>
    <w:p w:rsidR="009C1C5A" w:rsidRPr="00896D4F" w:rsidRDefault="009C1C5A">
      <w:r w:rsidRPr="00896D4F">
        <w:t xml:space="preserve">I ett beslut den 26 februari 2002 anförde </w:t>
      </w:r>
      <w:r w:rsidRPr="00896D4F">
        <w:rPr>
          <w:i/>
        </w:rPr>
        <w:t>JO André</w:t>
      </w:r>
      <w:r w:rsidRPr="00896D4F">
        <w:t xml:space="preserve"> följande. </w:t>
      </w:r>
    </w:p>
    <w:p w:rsidR="009C1C5A" w:rsidRPr="00896D4F" w:rsidRDefault="009C1C5A">
      <w:r w:rsidRPr="00896D4F">
        <w:t xml:space="preserve">H.S. ansökte den 7 januari 2000 om bistånd till kostnaden för att ta körkort. En tid därefter, den 10 februari, ansökte han även om bistånd för att kunna anskaffa en ny sängbotten. </w:t>
      </w:r>
    </w:p>
    <w:p w:rsidR="009C1C5A" w:rsidRPr="00896D4F" w:rsidRDefault="009C1C5A">
      <w:pPr>
        <w:pStyle w:val="Normaltindrag"/>
      </w:pPr>
      <w:r w:rsidRPr="00896D4F">
        <w:t>Handläggaren av ansökningarna synes inledningsvis ha ställt sig positiv till framställningen om bistånd till kostnaden för körkort. Bakgrunden var att H.S. hade erbjudits s.k. arbetsträning och att han eventuellt även skulle få ett arbete om han hade körkort. Under den tid som H.S:s ansökan ut</w:t>
      </w:r>
      <w:r w:rsidRPr="00896D4F">
        <w:softHyphen/>
        <w:t>reddes avbröt han emellertid arbetsträningen. Eftersom nämndens benägen</w:t>
      </w:r>
      <w:r w:rsidRPr="00896D4F">
        <w:softHyphen/>
        <w:t>het att bistå till kostnaden var knuten till H.S:s rehabili</w:t>
      </w:r>
      <w:r w:rsidRPr="00896D4F">
        <w:softHyphen/>
        <w:t>tering avslogs ansökan såvitt gällde kostnaden för körkort i ett beslut den 11 februari 2000. Hans ansökan om bistånd till en sängbotten avslogs samma dag med motiveringen att han redan beviljats medel till hemutrustning.</w:t>
      </w:r>
    </w:p>
    <w:p w:rsidR="009C1C5A" w:rsidRPr="00896D4F" w:rsidRDefault="009C1C5A">
      <w:pPr>
        <w:pStyle w:val="Normaltindrag"/>
      </w:pPr>
      <w:r w:rsidRPr="00896D4F">
        <w:t>H.S. ansökte på nytt den 29 mars 2000 om bistånd till körkorts</w:t>
      </w:r>
      <w:r w:rsidRPr="00896D4F">
        <w:softHyphen/>
        <w:t>kostnaden och medel för att köpa en ny sängbotten. Enligt remissvaret upplystes H.S. den 7 april 2000 per telefon om att det tidigare beslutet den 11 feb</w:t>
      </w:r>
      <w:r w:rsidRPr="00896D4F">
        <w:softHyphen/>
        <w:t>ruari 2000 om avslag på ansökan kvarstod.</w:t>
      </w:r>
    </w:p>
    <w:p w:rsidR="009C1C5A" w:rsidRPr="00896D4F" w:rsidRDefault="009C1C5A">
      <w:pPr>
        <w:pStyle w:val="Normaltindrag"/>
      </w:pPr>
      <w:r w:rsidRPr="00896D4F">
        <w:t>I 27 § förvaltningslagen (1986:223) regleras förutsättningarna för att en myndig</w:t>
      </w:r>
      <w:r w:rsidRPr="00896D4F">
        <w:softHyphen/>
        <w:t>het skall vara skyldig att ompröva ett tidigare fattat beslut. Myndi</w:t>
      </w:r>
      <w:r w:rsidRPr="00896D4F">
        <w:t>g</w:t>
      </w:r>
      <w:r w:rsidRPr="00896D4F">
        <w:t>heterna har dessutom en självrättelse</w:t>
      </w:r>
      <w:r w:rsidRPr="00896D4F">
        <w:softHyphen/>
        <w:t>befogenhet i vidsträckt mening som tillkommit genom praxis och som utgör ett komplement till bestämmelsen i förvaltningslagen. När en part som har fått avslag på en ansökan återkommer med en begäran om att myndig</w:t>
      </w:r>
      <w:r w:rsidRPr="00896D4F">
        <w:softHyphen/>
        <w:t xml:space="preserve">heten åter skall pröva saken, är myndigheten skyldig att ta ställning till ansökan genom ett nytt beslut. Detta gäller oavsett om myndigheten anser att det tidigare beslutet bör ändras eller </w:t>
      </w:r>
      <w:r w:rsidRPr="00896D4F">
        <w:t>inte (se Hel</w:t>
      </w:r>
      <w:r w:rsidRPr="00896D4F">
        <w:t>l</w:t>
      </w:r>
      <w:r w:rsidRPr="00896D4F">
        <w:t>ners/Malmqvist, Nya förvaltnings</w:t>
      </w:r>
      <w:r w:rsidRPr="00896D4F">
        <w:softHyphen/>
        <w:t>lagen med kommentarer, femte upplagan s. 299). Beslutet skall utformas så att det klart framgår vad det avser och h</w:t>
      </w:r>
      <w:r w:rsidRPr="00896D4F">
        <w:t>u</w:t>
      </w:r>
      <w:r w:rsidRPr="00896D4F">
        <w:t>ruvida den enskildes framställning har avslagits eller inte. När det gäller u</w:t>
      </w:r>
      <w:r w:rsidRPr="00896D4F">
        <w:t>t</w:t>
      </w:r>
      <w:r w:rsidRPr="00896D4F">
        <w:t>formningen av omprövningsbeslut kan jämföras med vad som gäller för u</w:t>
      </w:r>
      <w:r w:rsidRPr="00896D4F">
        <w:t>t</w:t>
      </w:r>
      <w:r w:rsidRPr="00896D4F">
        <w:t>formningen av beslut angående bistånd i allmänhet (se t.ex. JO:s ämbetsb</w:t>
      </w:r>
      <w:r w:rsidRPr="00896D4F">
        <w:t>e</w:t>
      </w:r>
      <w:r w:rsidRPr="00896D4F">
        <w:t>rättelse 1996/97 s. 253). Beslutet skall självfallet dokumenteras i akten. Detta framgår av 11 kap. 5 § soc</w:t>
      </w:r>
      <w:r w:rsidRPr="00896D4F">
        <w:softHyphen/>
        <w:t>ialtjänstlagen (2001:</w:t>
      </w:r>
      <w:r w:rsidRPr="00896D4F">
        <w:t>453), SoL (51 § SoL i den äldre socialtjänstlagen).</w:t>
      </w:r>
    </w:p>
    <w:p w:rsidR="009C1C5A" w:rsidRPr="00896D4F" w:rsidRDefault="009C1C5A">
      <w:pPr>
        <w:pStyle w:val="Normaltindrag"/>
      </w:pPr>
      <w:r w:rsidRPr="00896D4F">
        <w:t>Av remissvaret framgår att handläggaren gjorde bedömningen att H.S:s nya framställning om bistånd till körkortskostnaden inte skulle bifallas. Enligt vad nämnden anfört underrättades H.S. härom per telefon den 7 april 2000. Vid min granskning av akten saknas dock dokumentation om detta. I enlighet med det nyss sagda skulle handläggarens ställnings</w:t>
      </w:r>
      <w:r w:rsidRPr="00896D4F">
        <w:softHyphen/>
        <w:t>tagande ha kommit till uttryck i ett klart och tydligt beslut som skulle ha dokumenterats i akten.</w:t>
      </w:r>
    </w:p>
    <w:p w:rsidR="009C1C5A" w:rsidRPr="00896D4F" w:rsidRDefault="009C1C5A">
      <w:pPr>
        <w:pStyle w:val="Normaltindrag"/>
      </w:pPr>
      <w:r w:rsidRPr="00896D4F">
        <w:t>Jag kan ha viss förståelse för att en handläggare kan bli tveksam till hur en an</w:t>
      </w:r>
      <w:r w:rsidRPr="00896D4F">
        <w:softHyphen/>
        <w:t>sökan om bistånd skall handläggas när saken nyligen har prövats. Att en enskild kommer in med en ny ansökan kort tid efter att nämnden har behan</w:t>
      </w:r>
      <w:r w:rsidRPr="00896D4F">
        <w:t>d</w:t>
      </w:r>
      <w:r w:rsidRPr="00896D4F">
        <w:t>lat samma sak är inte en helt ovanlig situation. Nämnden synes inte inför sitt yttrande hit närmare ha reflekterat över den formlösa hanteringen av H.S:s förnyade an</w:t>
      </w:r>
      <w:r w:rsidRPr="00896D4F">
        <w:softHyphen/>
        <w:t>sökan om bistånd till körkortskostnaden. Jag förutsätter dock att nämnden upp</w:t>
      </w:r>
      <w:r w:rsidRPr="00896D4F">
        <w:softHyphen/>
        <w:t>märksammar handläggarna vid förvaltningen på hur en ansökan skall hand</w:t>
      </w:r>
      <w:r w:rsidRPr="00896D4F">
        <w:softHyphen/>
        <w:t>läggas i en situation som den jag nu behandlat.</w:t>
      </w:r>
    </w:p>
    <w:p w:rsidR="009C1C5A" w:rsidRPr="00896D4F" w:rsidRDefault="009C1C5A">
      <w:pPr>
        <w:pStyle w:val="Normaltindrag"/>
      </w:pPr>
      <w:r w:rsidRPr="00896D4F">
        <w:t>När</w:t>
      </w:r>
      <w:r w:rsidRPr="00896D4F">
        <w:t xml:space="preserve"> det gäller den förnyade ansökan den 29 mars 2000 om bistånd till en säng</w:t>
      </w:r>
      <w:r w:rsidRPr="00896D4F">
        <w:softHyphen/>
        <w:t>botten har nämnden haft att handlägga framställningen på samma sätt som när det gälle H.S:s begäran om bistånd till körkortskostnaden. Nämnden har i sitt yttrande anfört att H.S. den 7 april 2000 per telefon upplystes om att beslutet inte kunde omprövas om inte H.S. kom in med ett läkar</w:t>
      </w:r>
      <w:r w:rsidRPr="00896D4F">
        <w:softHyphen/>
        <w:t>intyg som visade att han hade behov av en ny sängbotten. Huruvida beskedet inne</w:t>
      </w:r>
      <w:r w:rsidRPr="00896D4F">
        <w:softHyphen/>
        <w:t>fattade ett avslag på ansökan eller inte framgår inte klart av utredni</w:t>
      </w:r>
      <w:r w:rsidRPr="00896D4F">
        <w:t>ngen här. En vä</w:t>
      </w:r>
      <w:r w:rsidRPr="00896D4F">
        <w:t>l</w:t>
      </w:r>
      <w:r w:rsidRPr="00896D4F">
        <w:t>villig tolkning av handläggningen skulle kunna ge vid handen att beskedet inte innefattade ett avslag på framställningen utan att H.S. anmodades att komma in med en komplettering av sin ansökan. Handläggaren borde natu</w:t>
      </w:r>
      <w:r w:rsidRPr="00896D4F">
        <w:t>r</w:t>
      </w:r>
      <w:r w:rsidRPr="00896D4F">
        <w:t>ligt</w:t>
      </w:r>
      <w:r w:rsidRPr="00896D4F">
        <w:softHyphen/>
        <w:t>vis tydligt ha dokumenterat vad som avhandlades vid samtalet med H.S.</w:t>
      </w:r>
    </w:p>
    <w:p w:rsidR="009C1C5A" w:rsidRPr="00896D4F" w:rsidRDefault="009C1C5A">
      <w:pPr>
        <w:pStyle w:val="Normaltindrag"/>
      </w:pPr>
      <w:r w:rsidRPr="00896D4F">
        <w:t>Enligt remissvaret dröjde det ungefär två månader från det att handlägg</w:t>
      </w:r>
      <w:r w:rsidRPr="00896D4F">
        <w:t>a</w:t>
      </w:r>
      <w:r w:rsidRPr="00896D4F">
        <w:t>ren gett H.S. besked om att han måste uppvisa ett läkarintyg fram till dess att intyget kom in till förvaltningen. Om intyget inte hade kommit in, har näm</w:t>
      </w:r>
      <w:r w:rsidRPr="00896D4F">
        <w:t>n</w:t>
      </w:r>
      <w:r w:rsidRPr="00896D4F">
        <w:t>den haft att fatta beslut på föreliggande utredning. Mot bakgrund av vad som anförts i remissvaret ligger det nära till hands att anta att ansökan då hade avslagits. Att ärendet hållits öppet kan därför möjligen ha varit till fördel för H.S. Om ett ärende hålls öppet under lång tid i avvaktan på en kompletter</w:t>
      </w:r>
      <w:r w:rsidRPr="00896D4F">
        <w:softHyphen/>
        <w:t>ing, finns det emellertid alltid risk för att</w:t>
      </w:r>
      <w:r w:rsidRPr="00896D4F">
        <w:t xml:space="preserve"> ärendet blir bortglömt hos förvalt</w:t>
      </w:r>
      <w:r w:rsidRPr="00896D4F">
        <w:softHyphen/>
        <w:t>ningen. Som regel bör därför uppställas en tidsfrist inom vilken kompletterande hand</w:t>
      </w:r>
      <w:r w:rsidRPr="00896D4F">
        <w:softHyphen/>
        <w:t>lingar skall ha inkommit till förvaltningen. Eftersom någon sådan frist inte synes ha bestämts i detta fall, kan det i och för sig diskuteras om inte han</w:t>
      </w:r>
      <w:r w:rsidRPr="00896D4F">
        <w:t>d</w:t>
      </w:r>
      <w:r w:rsidRPr="00896D4F">
        <w:t>läggaren borde ha efter</w:t>
      </w:r>
      <w:r w:rsidRPr="00896D4F">
        <w:softHyphen/>
        <w:t>frågat intyget när det inte kom in. Sannolikt hade detta kunnat bidra till att hand</w:t>
      </w:r>
      <w:r w:rsidRPr="00896D4F">
        <w:softHyphen/>
        <w:t>läggningstiden förkortats.</w:t>
      </w:r>
    </w:p>
    <w:p w:rsidR="009C1C5A" w:rsidRPr="00896D4F" w:rsidRDefault="009C1C5A">
      <w:pPr>
        <w:pStyle w:val="Normaltindrag"/>
      </w:pPr>
      <w:r w:rsidRPr="00896D4F">
        <w:t>I samband med framställningarna om bistånd till kostnader för sängbotten och körkort begärde H.S. även</w:t>
      </w:r>
      <w:r w:rsidRPr="00896D4F">
        <w:t xml:space="preserve"> bistånd till kostnaden avseende behandling av naprapat. Enligt remissvaret meddelades H.S. den 7 april 2000 per telefon att han kunde uppsöka sin naprapat och påbörja behandlingen och att han sedan mot uppvisande av kvitto skulle komma att få ersättning motsvarande vad nämnden beviljade för läkarbesök hos läkare anslutna till försäkringskassan. Enhetschefen Catharina Berndtsson har upplyst att det muntliga beskedet var ett förhandsbesked om nämndens kommande ställningstagande. Om H.S. hade kommit in med et</w:t>
      </w:r>
      <w:r w:rsidRPr="00896D4F">
        <w:t>t kvitto på de kostnader han haft för naprapatbehan</w:t>
      </w:r>
      <w:r w:rsidRPr="00896D4F">
        <w:t>d</w:t>
      </w:r>
      <w:r w:rsidRPr="00896D4F">
        <w:t>lingen hade kvittot setts som en faktisk ansökan. Han hade då fått ett beslut som delvis innebar avslag i den del kostnaden översteg ”norm”.</w:t>
      </w:r>
    </w:p>
    <w:p w:rsidR="009C1C5A" w:rsidRPr="00896D4F" w:rsidRDefault="009C1C5A">
      <w:pPr>
        <w:pStyle w:val="Normaltindrag"/>
      </w:pPr>
      <w:r w:rsidRPr="00896D4F">
        <w:t>Vid förvaltningen uppstår givetvis situationer då en enskild i stället för ett formellt beslut får ett besked under hand. Sådana upplysningar kan t.ex. avse efter vilka normer nämnden fattar beslut om bistånd för olika typer av kostn</w:t>
      </w:r>
      <w:r w:rsidRPr="00896D4F">
        <w:t>a</w:t>
      </w:r>
      <w:r w:rsidRPr="00896D4F">
        <w:t>der. Om det inte står helt klart att den enskilde önskar endast upplysning om sin rätt till bistånd skall hans begäran uppfattas som en framställan om bistånd och således avgöras i ett beslut (se bl.a. JO:s ämbetsberättelse 1987/88 s. 151). I förevarande fall står det klart att H.S. ansökte om bistånd till kos</w:t>
      </w:r>
      <w:r w:rsidRPr="00896D4F">
        <w:t>t</w:t>
      </w:r>
      <w:r w:rsidRPr="00896D4F">
        <w:t xml:space="preserve">naden för behandling hos en naprapat. Det har därför ankommit på nämnden att fatta ett beslut med anledning av hans framställan. I och för sig har det självfallet inte förelegat något hinder mot att </w:t>
      </w:r>
      <w:r w:rsidRPr="00896D4F">
        <w:t>handläggaren bett H.S. att komplettera sin ansökan med upp</w:t>
      </w:r>
      <w:r w:rsidRPr="00896D4F">
        <w:softHyphen/>
        <w:t>gift om kostnaden för behandlingen. Såvitt framgår av utredningen synes dock handläggaren ha ansett att något ärende inte uppkommit hos nämnden innan H.S. lämnat in ett kvitto avseende b</w:t>
      </w:r>
      <w:r w:rsidRPr="00896D4F">
        <w:t>e</w:t>
      </w:r>
      <w:r w:rsidRPr="00896D4F">
        <w:t>handlingen. Som framgår av det tidigare anförda har det synsättet inte varit riktigt. Genom H.S:s begäran om bistånd har ett ärende inletts som har bort föranleda ett formellt beslut oavsett om han företett kvitto eller ej, låt vara att beslutets materiella innehåll</w:t>
      </w:r>
      <w:r w:rsidRPr="00896D4F">
        <w:t xml:space="preserve"> givetvis kan ha varit beroende av om ansökan kompletterats i detta hänseende. Jag kan i denna del även konstatera att det i akten saknas dokumentation av vad som förevarit vid samtalet mellan han</w:t>
      </w:r>
      <w:r w:rsidRPr="00896D4F">
        <w:t>d</w:t>
      </w:r>
      <w:r w:rsidRPr="00896D4F">
        <w:t>läggaren och H.S. rörande framställningen om bistånd till kostnaden för b</w:t>
      </w:r>
      <w:r w:rsidRPr="00896D4F">
        <w:t>e</w:t>
      </w:r>
      <w:r w:rsidRPr="00896D4F">
        <w:t>handling av naprapat.</w:t>
      </w:r>
    </w:p>
    <w:p w:rsidR="009C1C5A" w:rsidRPr="00896D4F" w:rsidRDefault="009C1C5A">
      <w:pPr>
        <w:pStyle w:val="Normaltindrag"/>
      </w:pPr>
      <w:r w:rsidRPr="00896D4F">
        <w:t>Sammanfattningsvis måste jag konstatera att det har brustit i handläg</w:t>
      </w:r>
      <w:r w:rsidRPr="00896D4F">
        <w:t>g</w:t>
      </w:r>
      <w:r w:rsidRPr="00896D4F">
        <w:t>ningen av H.S:s biståndsansökningar såvitt här är i fråga och att det finns på</w:t>
      </w:r>
      <w:r w:rsidRPr="00896D4F">
        <w:softHyphen/>
        <w:t>tagliga brister i dokumentationen i biståndsärendet. Enligt vad som fra</w:t>
      </w:r>
      <w:r w:rsidRPr="00896D4F">
        <w:t>m</w:t>
      </w:r>
      <w:r w:rsidRPr="00896D4F">
        <w:t>kommit vid min granskning finns det skäl för nämnden att se över förval</w:t>
      </w:r>
      <w:r w:rsidRPr="00896D4F">
        <w:t>t</w:t>
      </w:r>
      <w:r w:rsidRPr="00896D4F">
        <w:t>ningens rutiner i dessa hänseenden.</w:t>
      </w:r>
    </w:p>
    <w:p w:rsidR="009C1C5A" w:rsidRPr="00896D4F" w:rsidRDefault="009C1C5A">
      <w:pPr>
        <w:pStyle w:val="Rubrik4"/>
      </w:pPr>
      <w:r w:rsidRPr="00896D4F">
        <w:br w:type="page"/>
        <w:t>Lagen med särskilda bestämmelser om vård av unga (LVU)</w:t>
      </w:r>
    </w:p>
    <w:p w:rsidR="009C1C5A" w:rsidRPr="00896D4F" w:rsidRDefault="009C1C5A">
      <w:pPr>
        <w:pStyle w:val="Rubrik2"/>
        <w:spacing w:before="250"/>
      </w:pPr>
      <w:r w:rsidRPr="00896D4F">
        <w:t>Fråga om det utan stöd i lag förekommit avskiljning av intagna vid ett särskilt ungdomshem</w:t>
      </w:r>
    </w:p>
    <w:p w:rsidR="009C1C5A" w:rsidRPr="00896D4F" w:rsidRDefault="009C1C5A">
      <w:pPr>
        <w:spacing w:before="0"/>
      </w:pPr>
      <w:r w:rsidRPr="00896D4F">
        <w:t>(Dnr 1036-2000)</w:t>
      </w:r>
    </w:p>
    <w:p w:rsidR="009C1C5A" w:rsidRPr="00896D4F" w:rsidRDefault="009C1C5A">
      <w:r w:rsidRPr="00896D4F">
        <w:t xml:space="preserve">I en skrivelse till Statens institutionsstyrelse (SiS), tillsynsenheten, anförde M.H., som arbetade som jourtillsyningsman vid Råby ungdomshem, att det vid återkommande diskussioner vid hemmet förekommit olika uppfattningar om vad som är att betrakta som avskiljning och huruvida lagen ger utrymme för ”vistelse i rum för särskild tillsyn”. Hon begärde därför svar på följande frågor. </w:t>
      </w:r>
    </w:p>
    <w:p w:rsidR="009C1C5A" w:rsidRPr="00896D4F" w:rsidRDefault="009C1C5A">
      <w:pPr>
        <w:pStyle w:val="PunktlistaNummer"/>
        <w:spacing w:line="200" w:lineRule="exact"/>
      </w:pPr>
      <w:r w:rsidRPr="00896D4F">
        <w:t xml:space="preserve">Finns det i lagen något som stödjer den här formen av avskiljande från de övriga vid hemmet utan tidsbegränsning? </w:t>
      </w:r>
    </w:p>
    <w:p w:rsidR="009C1C5A" w:rsidRPr="00896D4F" w:rsidRDefault="009C1C5A">
      <w:pPr>
        <w:pStyle w:val="PunktlistaNummer"/>
        <w:spacing w:before="0" w:line="200" w:lineRule="exact"/>
      </w:pPr>
      <w:r w:rsidRPr="00896D4F">
        <w:t>På vem faller ansvaret om detta är ett felaktigt förfarande?</w:t>
      </w:r>
    </w:p>
    <w:p w:rsidR="009C1C5A" w:rsidRPr="00896D4F" w:rsidRDefault="009C1C5A">
      <w:pPr>
        <w:pStyle w:val="PunktlistaNummer"/>
        <w:spacing w:before="0" w:line="200" w:lineRule="exact"/>
      </w:pPr>
      <w:r w:rsidRPr="00896D4F">
        <w:t>Får a</w:t>
      </w:r>
      <w:r w:rsidRPr="00896D4F">
        <w:t>v</w:t>
      </w:r>
      <w:r w:rsidRPr="00896D4F">
        <w:t>skiljningsmöjligheten användas i korrektionssyfte?</w:t>
      </w:r>
    </w:p>
    <w:p w:rsidR="009C1C5A" w:rsidRPr="00896D4F" w:rsidRDefault="009C1C5A">
      <w:r w:rsidRPr="00896D4F">
        <w:t>I sin skrivelse till SiS redogjorde M.H. för handläggningen vid Råby un</w:t>
      </w:r>
      <w:r w:rsidRPr="00896D4F">
        <w:t>g</w:t>
      </w:r>
      <w:r w:rsidRPr="00896D4F">
        <w:t xml:space="preserve">domshem av frågor beträffande två intagna, Y.N., född 1981, och S.Å., född 1982. </w:t>
      </w:r>
    </w:p>
    <w:p w:rsidR="009C1C5A" w:rsidRPr="00896D4F" w:rsidRDefault="009C1C5A">
      <w:pPr>
        <w:pStyle w:val="Normaltindrag"/>
      </w:pPr>
      <w:r w:rsidRPr="00896D4F">
        <w:t>I ett svar på M.H:s skrivelse anförde dåvarande chefsjuristen vid SiS, S</w:t>
      </w:r>
      <w:r w:rsidRPr="00896D4F">
        <w:t>ö</w:t>
      </w:r>
      <w:r w:rsidRPr="00896D4F">
        <w:t xml:space="preserve">ren Öman, bl.a. följande. </w:t>
      </w:r>
    </w:p>
    <w:p w:rsidR="009C1C5A" w:rsidRPr="00896D4F" w:rsidRDefault="009C1C5A">
      <w:pPr>
        <w:pStyle w:val="Citat"/>
      </w:pPr>
      <w:r w:rsidRPr="00896D4F">
        <w:t>Svaret på Din första fråga (1) är följande. För att det skall vara fråga om en avskiljning enligt 27 § SoF krävs det bl.a. att en klient hålls ”avskild från de övriga vid hemmet”. Enligt SiS mening ingår bland ”de övriga vid hemmet” såväl institutionens personal som intagna klienter. Om en klient är inlåst til</w:t>
      </w:r>
      <w:r w:rsidRPr="00896D4F">
        <w:t>l</w:t>
      </w:r>
      <w:r w:rsidRPr="00896D4F">
        <w:t>sammans med institutionens personal, är det alltså enligt SiS mening inte fråga om en avskiljning enligt 27 § SoF. När det gäller andra inskränkningar i klientens rörelsefrihet än en avskiljning enligt 27 § SoF, finns stöd för åtgä</w:t>
      </w:r>
      <w:r w:rsidRPr="00896D4F">
        <w:t>r</w:t>
      </w:r>
      <w:r w:rsidRPr="00896D4F">
        <w:t>derna bl.a. i 15 § lagen (1990:52) med särskilda bestämmelser om vård av unga (LVU), som medger att klienten hindras att lämna hemmet och i övrigt underkastas den begränsning av rörelsefriheten som är nödvändig för att vå</w:t>
      </w:r>
      <w:r w:rsidRPr="00896D4F">
        <w:t>r</w:t>
      </w:r>
      <w:r w:rsidRPr="00896D4F">
        <w:t>den skall kunna genomföras eller som behövs av hänsyn til</w:t>
      </w:r>
      <w:r w:rsidRPr="00896D4F">
        <w:t>l andra intagnas eller personalens säkerhet.</w:t>
      </w:r>
    </w:p>
    <w:p w:rsidR="009C1C5A" w:rsidRPr="00896D4F" w:rsidRDefault="009C1C5A">
      <w:pPr>
        <w:pStyle w:val="Citatindrag"/>
      </w:pPr>
      <w:r w:rsidRPr="00896D4F">
        <w:t>När det gäller Din andra fråga (2), är svaret beroende på vilket slags ansvar Du menar. Institutionschefen har i förhållande till huvudkontoret ansvar bl.a. för att verksamheten på institutionen följer gällande förfat</w:t>
      </w:r>
      <w:r w:rsidRPr="00896D4F">
        <w:t>t</w:t>
      </w:r>
      <w:r w:rsidRPr="00896D4F">
        <w:t>ningar.</w:t>
      </w:r>
    </w:p>
    <w:p w:rsidR="009C1C5A" w:rsidRPr="00896D4F" w:rsidRDefault="009C1C5A">
      <w:pPr>
        <w:pStyle w:val="Citatindrag"/>
      </w:pPr>
      <w:r w:rsidRPr="00896D4F">
        <w:t>Svaret på Din tredje fråga (3) är att avskiljning enligt 27 § SoF – eller för den delen andra tvångsbefogenheter – inte får användas i syfte att bestraffa klienter; en annan sak är att klienten oavsett det verkliga syftet kan uppfatta åtgärden som en bestraffning. Författningstexten i 27 § SoF antyder att syftet med avskiljningen skall vara att upprätt</w:t>
      </w:r>
      <w:r w:rsidRPr="00896D4F">
        <w:softHyphen/>
        <w:t>hålla säkerheten och ordningen vid institutionen.</w:t>
      </w:r>
    </w:p>
    <w:p w:rsidR="009C1C5A" w:rsidRPr="00896D4F" w:rsidRDefault="009C1C5A">
      <w:r w:rsidRPr="00896D4F">
        <w:t>I en anmälan till JO begärde M.H. att JO skulle utreda hur Y.N. och S.Å. behandlats vid Råby ungdomshem, särskilt när det gällde frågan om avskil</w:t>
      </w:r>
      <w:r w:rsidRPr="00896D4F">
        <w:t>j</w:t>
      </w:r>
      <w:r w:rsidRPr="00896D4F">
        <w:t xml:space="preserve">ning. Hon anförde därvid synpunkter på det svar hon fått från SiS och pekade på vissa följdfrågor som svaret enligt hennes mening medförde.  </w:t>
      </w:r>
    </w:p>
    <w:p w:rsidR="009C1C5A" w:rsidRPr="00896D4F" w:rsidRDefault="009C1C5A">
      <w:pPr>
        <w:pStyle w:val="Normaltindrag"/>
      </w:pPr>
      <w:r w:rsidRPr="00896D4F">
        <w:t>Till sin anmälan fogade M.H. bl.a. utdrag ur Råby ungdomshems journaler beträffande Y.N. och S.Å.</w:t>
      </w:r>
    </w:p>
    <w:p w:rsidR="009C1C5A" w:rsidRPr="00896D4F" w:rsidRDefault="009C1C5A">
      <w:pPr>
        <w:pStyle w:val="Normaltindrag"/>
      </w:pPr>
      <w:r w:rsidRPr="00896D4F">
        <w:t>Efter remiss anförde institutionschefen Lars Wetter, Råby ungdomshem, följande.</w:t>
      </w:r>
    </w:p>
    <w:p w:rsidR="009C1C5A" w:rsidRPr="00896D4F" w:rsidRDefault="009C1C5A">
      <w:pPr>
        <w:pStyle w:val="Citat"/>
      </w:pPr>
      <w:r w:rsidRPr="00896D4F">
        <w:t>Akutavdelningen Onsjö har sju platser. En av platserna vid avdelningen finns på den s k ”Vingen” (se bil ritning) (</w:t>
      </w:r>
      <w:r w:rsidRPr="00896D4F">
        <w:rPr>
          <w:i/>
        </w:rPr>
        <w:t>här utelämnad; JO:s anmärkning</w:t>
      </w:r>
      <w:r w:rsidRPr="00896D4F">
        <w:t>). Där bor man vanligtvis ensam. Denna boendeenhet ligger i anslutning till det mera traditionella avskiljningsrummet samt vägg i vägg med avdelningens jourrum. I denna sjunde placeringsmöjlighet finns ytterligare ett vistelserum med sit</w:t>
      </w:r>
      <w:r w:rsidRPr="00896D4F">
        <w:t>t</w:t>
      </w:r>
      <w:r w:rsidRPr="00896D4F">
        <w:t>grupp, tillgång till TV samt en liten hall i anslutning till dusch och toalett. Enheten har två utgångar, som hålls låsta när det inte finns någon personal tillsammans med eleven eller när personalexpeditionen är obemannad. En utgång leder till</w:t>
      </w:r>
      <w:r w:rsidRPr="00896D4F">
        <w:t xml:space="preserve"> avdelningens motionsrum och den andra till en inhägnad utemiljö. Denna del av byggnaden bildar en egen enhet, som möjliggör pl</w:t>
      </w:r>
      <w:r w:rsidRPr="00896D4F">
        <w:t>a</w:t>
      </w:r>
      <w:r w:rsidRPr="00896D4F">
        <w:t>cering och boende för en elev samt en avskiljningsplats i särskilt avskiljning</w:t>
      </w:r>
      <w:r w:rsidRPr="00896D4F">
        <w:t>s</w:t>
      </w:r>
      <w:r w:rsidRPr="00896D4F">
        <w:t>rum med cel</w:t>
      </w:r>
      <w:r w:rsidRPr="00896D4F">
        <w:t>l</w:t>
      </w:r>
      <w:r w:rsidRPr="00896D4F">
        <w:t xml:space="preserve">dörr. </w:t>
      </w:r>
    </w:p>
    <w:p w:rsidR="009C1C5A" w:rsidRPr="00896D4F" w:rsidRDefault="009C1C5A">
      <w:pPr>
        <w:pStyle w:val="Citat"/>
      </w:pPr>
      <w:r w:rsidRPr="00896D4F">
        <w:t xml:space="preserve">– – – </w:t>
      </w:r>
    </w:p>
    <w:p w:rsidR="009C1C5A" w:rsidRPr="00896D4F" w:rsidRDefault="009C1C5A">
      <w:pPr>
        <w:pStyle w:val="Citat"/>
      </w:pPr>
      <w:r w:rsidRPr="00896D4F">
        <w:t>Numera betonas behandlingsuppdraget i större omfattning och bevakning och tillsyn har blivit en mera kompletterande del i vårdarbetet. Genom en hög personaltäthet och få elevplatser på varje enhet (sju platser på Onsjögården) har vården ändrat karaktär under senare år. Från en tämligen traditionell i</w:t>
      </w:r>
      <w:r w:rsidRPr="00896D4F">
        <w:t>n</w:t>
      </w:r>
      <w:r w:rsidRPr="00896D4F">
        <w:t>stitutionsvård med vård och behandling i grupp, har utvecklingen numera gått mot en mera individuellt och personligt inriktad pr</w:t>
      </w:r>
      <w:r w:rsidRPr="00896D4F">
        <w:t>o</w:t>
      </w:r>
      <w:r w:rsidRPr="00896D4F">
        <w:t>filering.</w:t>
      </w:r>
    </w:p>
    <w:p w:rsidR="009C1C5A" w:rsidRPr="00896D4F" w:rsidRDefault="009C1C5A">
      <w:pPr>
        <w:pStyle w:val="Citatindrag"/>
      </w:pPr>
      <w:r w:rsidRPr="00896D4F">
        <w:t>Denna breddning och fördjupning av vården har möjliggjort mera indiv</w:t>
      </w:r>
      <w:r w:rsidRPr="00896D4F">
        <w:t>i</w:t>
      </w:r>
      <w:r w:rsidRPr="00896D4F">
        <w:t>duellt inriktade insatser och boende i små enheter. Den traditionella instit</w:t>
      </w:r>
      <w:r w:rsidRPr="00896D4F">
        <w:t>u</w:t>
      </w:r>
      <w:r w:rsidRPr="00896D4F">
        <w:t>tionsmiljön har visat sig ha vissa destruktiva inslag, varför det har betytt en kvalitetshöjning med en högre grad av individanpassning. Genom ungdoma</w:t>
      </w:r>
      <w:r w:rsidRPr="00896D4F">
        <w:t>r</w:t>
      </w:r>
      <w:r w:rsidRPr="00896D4F">
        <w:t>nas ofta olika mogenhetsnivå, intressen och behov blir vissa aktiviteter och behandlingsinsatser olämpliga att bedriva i grupp. I exempelvis situationer med konfrontationer och låsta lägen, som leder till aggressivitet och utag</w:t>
      </w:r>
      <w:r w:rsidRPr="00896D4F">
        <w:t>e</w:t>
      </w:r>
      <w:r w:rsidRPr="00896D4F">
        <w:t>rande, är det ofta lämpligare med individuella lösninga</w:t>
      </w:r>
      <w:r w:rsidRPr="00896D4F">
        <w:t>r med en prägel av varsamhet och mjukhet. Inte minst har detta möjliggjort ett undvikande av avskiljning enl 27 § SoF. Med hög stress- och frustrationskänslighet hos un</w:t>
      </w:r>
      <w:r w:rsidRPr="00896D4F">
        <w:t>g</w:t>
      </w:r>
      <w:r w:rsidRPr="00896D4F">
        <w:t>domarna och svårigheter att anpassa sig till gruppen och ett acceptabelt gruppbeteende krävs stor smidighet och följsamhet hos personalen för undv</w:t>
      </w:r>
      <w:r w:rsidRPr="00896D4F">
        <w:t>i</w:t>
      </w:r>
      <w:r w:rsidRPr="00896D4F">
        <w:t>kande av våldsincidenter.</w:t>
      </w:r>
    </w:p>
    <w:p w:rsidR="009C1C5A" w:rsidRPr="00896D4F" w:rsidRDefault="009C1C5A">
      <w:pPr>
        <w:pStyle w:val="Citatindrag"/>
      </w:pPr>
      <w:r w:rsidRPr="00896D4F">
        <w:t>Av ovanstående skäl avstår vi ofta från placering i den traditionella a</w:t>
      </w:r>
      <w:r w:rsidRPr="00896D4F">
        <w:t>v</w:t>
      </w:r>
      <w:r w:rsidRPr="00896D4F">
        <w:t>skiljningsmodellen och väljer istället en lugnare mera varm och värdig boe</w:t>
      </w:r>
      <w:r w:rsidRPr="00896D4F">
        <w:t>n</w:t>
      </w:r>
      <w:r w:rsidRPr="00896D4F">
        <w:t>demiljö inom de nödvändiga slutna ramarna. Vi ser det som en bra utveckling att kunna ”sektionera” vistelsen i den här formen av kollektivt boende.</w:t>
      </w:r>
    </w:p>
    <w:p w:rsidR="009C1C5A" w:rsidRPr="00896D4F" w:rsidRDefault="009C1C5A">
      <w:pPr>
        <w:pStyle w:val="Citatindrag"/>
      </w:pPr>
      <w:r w:rsidRPr="00896D4F">
        <w:t>På en låsbar enhet på</w:t>
      </w:r>
      <w:r w:rsidRPr="00896D4F">
        <w:rPr>
          <w:b/>
        </w:rPr>
        <w:t xml:space="preserve"> </w:t>
      </w:r>
      <w:r w:rsidRPr="00896D4F">
        <w:t>ett särskilt ungdomshem förekommer ofta hot och hotfullhet, som leder till periodvis tämligen frekventa våldsincidenter (slag, sparkar, hotfullt språk, vägran etc).</w:t>
      </w:r>
    </w:p>
    <w:p w:rsidR="009C1C5A" w:rsidRPr="00896D4F" w:rsidRDefault="009C1C5A">
      <w:pPr>
        <w:pStyle w:val="Citatindrag"/>
      </w:pPr>
      <w:r w:rsidRPr="00896D4F">
        <w:t>Att spela ut personal mot varandra är inte ovanligt. Eleverna försöker på olika sätt driva sina intressen om förmåner och fördelar. Viss personal kan då ofta bli dom man konfronterar mot medan andra blir de som får ”förstå”, trösta, uppmuntra etc.</w:t>
      </w:r>
    </w:p>
    <w:p w:rsidR="009C1C5A" w:rsidRPr="00896D4F" w:rsidRDefault="009C1C5A">
      <w:pPr>
        <w:pStyle w:val="Citat"/>
      </w:pPr>
      <w:r w:rsidRPr="00896D4F">
        <w:t>– – –</w:t>
      </w:r>
    </w:p>
    <w:p w:rsidR="009C1C5A" w:rsidRPr="00896D4F" w:rsidRDefault="009C1C5A">
      <w:pPr>
        <w:pStyle w:val="Citat"/>
      </w:pPr>
      <w:r w:rsidRPr="00896D4F">
        <w:t>Skäl och motivering till individuella placeringar i aktuella ärenden:</w:t>
      </w:r>
    </w:p>
    <w:p w:rsidR="009C1C5A" w:rsidRPr="00896D4F" w:rsidRDefault="009C1C5A">
      <w:pPr>
        <w:pStyle w:val="Citat"/>
        <w:spacing w:before="250"/>
      </w:pPr>
      <w:r w:rsidRPr="00896D4F">
        <w:t>1.   Y.N.</w:t>
      </w:r>
    </w:p>
    <w:p w:rsidR="009C1C5A" w:rsidRPr="00896D4F" w:rsidRDefault="009C1C5A">
      <w:pPr>
        <w:pStyle w:val="Citat"/>
      </w:pPr>
      <w:r w:rsidRPr="00896D4F">
        <w:t>Med ett aktivt missbruk och stora svårigheter att fungera på</w:t>
      </w:r>
      <w:r w:rsidRPr="00896D4F">
        <w:rPr>
          <w:b/>
        </w:rPr>
        <w:t xml:space="preserve"> </w:t>
      </w:r>
      <w:r w:rsidRPr="00896D4F">
        <w:t>ett socialt acce</w:t>
      </w:r>
      <w:r w:rsidRPr="00896D4F">
        <w:t>p</w:t>
      </w:r>
      <w:r w:rsidRPr="00896D4F">
        <w:t>tabelt sätt, med bl a ett oprovocerat överfall mot personal, befann sig Y.N. i en svår situation. Lättirriterad och med en instabilitet i uppträdande och h</w:t>
      </w:r>
      <w:r w:rsidRPr="00896D4F">
        <w:t>u</w:t>
      </w:r>
      <w:r w:rsidRPr="00896D4F">
        <w:t>mör var vistelsen i gruppen och på</w:t>
      </w:r>
      <w:r w:rsidRPr="00896D4F">
        <w:rPr>
          <w:b/>
        </w:rPr>
        <w:t xml:space="preserve"> </w:t>
      </w:r>
      <w:r w:rsidRPr="00896D4F">
        <w:t>avdelningen tillsammans med de övriga eleverna svår att hantera. Vistelsemiljön var både olämplig och påfrestande för Y.N. och övriga gruppen. Det bedömdes som lämpligt att Y.N. placerades på ”Vingen” med personalkontakter och regelbunden tillsyn samt i detta sk</w:t>
      </w:r>
      <w:r w:rsidRPr="00896D4F">
        <w:t>e</w:t>
      </w:r>
      <w:r w:rsidRPr="00896D4F">
        <w:t>de begränsade kontakter med övriga ele</w:t>
      </w:r>
      <w:r w:rsidRPr="00896D4F">
        <w:t>v</w:t>
      </w:r>
      <w:r w:rsidRPr="00896D4F">
        <w:t>g</w:t>
      </w:r>
      <w:r w:rsidRPr="00896D4F">
        <w:t>ruppen.</w:t>
      </w:r>
    </w:p>
    <w:p w:rsidR="009C1C5A" w:rsidRPr="00896D4F" w:rsidRDefault="009C1C5A">
      <w:pPr>
        <w:pStyle w:val="Citat"/>
      </w:pPr>
      <w:r w:rsidRPr="00896D4F">
        <w:t>”Vingen” möjliggör en uppdelning av avdelningen och elevgruppen i två delar. Båda formerna sker enligt samma villkor. Genom avsaknaden av den övriga elevguppen blir den ensamplacerade eleven i höge grad hänvisad till personalkontakter. Regelbundet varje timma har alltså Y.N. erbjudits möjli</w:t>
      </w:r>
      <w:r w:rsidRPr="00896D4F">
        <w:t>g</w:t>
      </w:r>
      <w:r w:rsidRPr="00896D4F">
        <w:t>het till utevistelse. Även andra aktiviteter i form av samtal, bordtennis, andra fysiska aktiviteter, tillgång till dator etc på eller utanför avdelningen har ägt rum i den omfattning önskemål funnits eller på</w:t>
      </w:r>
      <w:r w:rsidRPr="00896D4F">
        <w:rPr>
          <w:b/>
        </w:rPr>
        <w:t xml:space="preserve"> </w:t>
      </w:r>
      <w:r w:rsidRPr="00896D4F">
        <w:t>annat sätt varit lämpliga</w:t>
      </w:r>
      <w:r w:rsidRPr="00896D4F">
        <w:softHyphen/>
        <w:t>.</w:t>
      </w:r>
    </w:p>
    <w:p w:rsidR="009C1C5A" w:rsidRPr="00896D4F" w:rsidRDefault="009C1C5A">
      <w:pPr>
        <w:pStyle w:val="Citat"/>
        <w:spacing w:before="250"/>
      </w:pPr>
      <w:r w:rsidRPr="00896D4F">
        <w:t xml:space="preserve">2.   S.Å.   </w:t>
      </w:r>
    </w:p>
    <w:p w:rsidR="009C1C5A" w:rsidRPr="00896D4F" w:rsidRDefault="009C1C5A">
      <w:pPr>
        <w:pStyle w:val="Citat"/>
      </w:pPr>
      <w:r w:rsidRPr="00896D4F">
        <w:t>Onsjögården är en akutavdelning och tar emot både flickor och pojkar. Det är inte tillåtet för ungdomarna att utveckla sexuella relationer. Personaltätheten betraktas som tillräcklig för att ha kontroll över situationen och en god tillsyn.</w:t>
      </w:r>
    </w:p>
    <w:p w:rsidR="009C1C5A" w:rsidRPr="00896D4F" w:rsidRDefault="009C1C5A">
      <w:pPr>
        <w:pStyle w:val="Citatindrag"/>
      </w:pPr>
      <w:r w:rsidRPr="00896D4F">
        <w:t>I en situation där S.Å. utövade olämpliga påtryckningar på avdelningens kvinnliga elever och utsatte dem för sexuella närmanden på olika sätt och med verbala hot, placerades han på ”Vingen”. Kontakten med gruppen och deltagande i gruppaktviteter, skedde därefter i begränsad omfattning och mera kontrollerat. S.Å. har deltagit i aktiviteter tillsammans med övriga pojkar på avdelningen och därför inte enbart varit hänvisad till ”Vingen”. Även i hans fall har tillämpats möjligheten till utevistelse varje timma</w:t>
      </w:r>
      <w:r w:rsidRPr="00896D4F">
        <w:t xml:space="preserve"> eller annan möjlig eller lämplig aktivitet, vårdinsats eller liknande på samma sätt som ovan.</w:t>
      </w:r>
    </w:p>
    <w:p w:rsidR="009C1C5A" w:rsidRPr="00896D4F" w:rsidRDefault="009C1C5A">
      <w:pPr>
        <w:pStyle w:val="Citatindrag"/>
      </w:pPr>
      <w:r w:rsidRPr="00896D4F">
        <w:t>I anmälan framställda placeringstider är korrekta.</w:t>
      </w:r>
    </w:p>
    <w:p w:rsidR="009C1C5A" w:rsidRPr="00896D4F" w:rsidRDefault="009C1C5A">
      <w:pPr>
        <w:pStyle w:val="Citatindrag"/>
      </w:pPr>
      <w:r w:rsidRPr="00896D4F">
        <w:t>Eftersom vi anser att den del av avdelningen som kallas ”Vingen” är en del av avdelningen, betraktar vi inte en placering där som en avskiljning även om dörrarna dit tidvis är låsta. Under nattetid exempelvis med endast en vakande personal är dörrarna till elevboendet låsta. Det betyder att en av avdelningens sju elever bor i en egen enhet, som är avskild från övriga elevgruppen.</w:t>
      </w:r>
    </w:p>
    <w:p w:rsidR="009C1C5A" w:rsidRPr="00896D4F" w:rsidRDefault="009C1C5A">
      <w:pPr>
        <w:pStyle w:val="Citat"/>
      </w:pPr>
      <w:r w:rsidRPr="00896D4F">
        <w:t>– – –</w:t>
      </w:r>
    </w:p>
    <w:p w:rsidR="009C1C5A" w:rsidRPr="00896D4F" w:rsidRDefault="009C1C5A">
      <w:pPr>
        <w:pStyle w:val="Citat"/>
      </w:pPr>
      <w:r w:rsidRPr="00896D4F">
        <w:t>Ovanstående elever har inte hållits avskilda på ett sådant sätt som avses i 27 § SoF utöver de tillfällen när sådana beslut har fattats. Begränsningen av ko</w:t>
      </w:r>
      <w:r w:rsidRPr="00896D4F">
        <w:t>n</w:t>
      </w:r>
      <w:r w:rsidRPr="00896D4F">
        <w:t>takten med övriga elever har skett av behandlingsskäl och placeringen på den del av avdelningen som utgör ”Vingen” har inneburit utökade och mera fr</w:t>
      </w:r>
      <w:r w:rsidRPr="00896D4F">
        <w:t>e</w:t>
      </w:r>
      <w:r w:rsidRPr="00896D4F">
        <w:t>kventa personalkontakter och aktiviteter tillsammans med personal. Även om de individuella placeringarna inte alltid har varit i överensstämmelse med elevernas önskemål, så har de av behandlingsskäl varit nödvändiga och läm</w:t>
      </w:r>
      <w:r w:rsidRPr="00896D4F">
        <w:t>p</w:t>
      </w:r>
      <w:r w:rsidRPr="00896D4F">
        <w:t>liga utifrån de aktuella akuta situationerna och i avvaktan på de senare genomförda omplaceringarna. Det kan därför inte sägas ha förekomm</w:t>
      </w:r>
      <w:r w:rsidRPr="00896D4F">
        <w:t>it viste</w:t>
      </w:r>
      <w:r w:rsidRPr="00896D4F">
        <w:t>l</w:t>
      </w:r>
      <w:r w:rsidRPr="00896D4F">
        <w:t>ser på felaktiga eller ogiltiga gru</w:t>
      </w:r>
      <w:r w:rsidRPr="00896D4F">
        <w:t>n</w:t>
      </w:r>
      <w:r w:rsidRPr="00896D4F">
        <w:t>der.</w:t>
      </w:r>
    </w:p>
    <w:p w:rsidR="009C1C5A" w:rsidRPr="00896D4F" w:rsidRDefault="009C1C5A">
      <w:r w:rsidRPr="00896D4F">
        <w:t>Yttrande inhämtades från SiS. I ett yttrande, som beslutades av generaldire</w:t>
      </w:r>
      <w:r w:rsidRPr="00896D4F">
        <w:t>k</w:t>
      </w:r>
      <w:r w:rsidRPr="00896D4F">
        <w:t xml:space="preserve">tören Sture Korpi, anfördes följande. </w:t>
      </w:r>
    </w:p>
    <w:p w:rsidR="009C1C5A" w:rsidRPr="00896D4F" w:rsidRDefault="009C1C5A">
      <w:pPr>
        <w:pStyle w:val="Citat"/>
      </w:pPr>
      <w:r w:rsidRPr="00896D4F">
        <w:t>Efter det att SiS tog över de särskilda ungdomshemmen och LVM-hemmen i april 1994 uppmärksammades det ganska tidigt att man på vissa särskilda ungdomshem hade för vana att på nätterna låsa dörrarna till rummen så att klienterna var inlåsta en och en om nätterna. Från huvudkontorets sida påtal</w:t>
      </w:r>
      <w:r w:rsidRPr="00896D4F">
        <w:t>a</w:t>
      </w:r>
      <w:r w:rsidRPr="00896D4F">
        <w:t>des bestämt att detta var att anse som en av</w:t>
      </w:r>
      <w:r w:rsidRPr="00896D4F">
        <w:softHyphen/>
        <w:t>skiljning utan grund och att förf</w:t>
      </w:r>
      <w:r w:rsidRPr="00896D4F">
        <w:t>a</w:t>
      </w:r>
      <w:r w:rsidRPr="00896D4F">
        <w:t>randet måste upphöra. Detta skedde också på de aktu</w:t>
      </w:r>
      <w:r w:rsidRPr="00896D4F">
        <w:softHyphen/>
        <w:t>ella institutionerna. H</w:t>
      </w:r>
      <w:r w:rsidRPr="00896D4F">
        <w:t>u</w:t>
      </w:r>
      <w:r w:rsidRPr="00896D4F">
        <w:t>vudkontorets agerande uppmärksammades av institutionschefer</w:t>
      </w:r>
      <w:r w:rsidRPr="00896D4F">
        <w:softHyphen/>
        <w:t>na och blev föremål för diskussioner mellan dem.</w:t>
      </w:r>
    </w:p>
    <w:p w:rsidR="009C1C5A" w:rsidRPr="00896D4F" w:rsidRDefault="009C1C5A">
      <w:pPr>
        <w:pStyle w:val="Citatindrag"/>
      </w:pPr>
      <w:r w:rsidRPr="00896D4F">
        <w:t>På senare tid har huvudkontoret genom egen tillsyn och påtalande från bl.a. M.H. uppmärksammat att det bland institutionerna kan finnas viss os</w:t>
      </w:r>
      <w:r w:rsidRPr="00896D4F">
        <w:t>ä</w:t>
      </w:r>
      <w:r w:rsidRPr="00896D4F">
        <w:t>kerhet kring tolk</w:t>
      </w:r>
      <w:r w:rsidRPr="00896D4F">
        <w:softHyphen/>
        <w:t>ningen och tillämpningen av bestämmelsen om s.k. avskil</w:t>
      </w:r>
      <w:r w:rsidRPr="00896D4F">
        <w:t>j</w:t>
      </w:r>
      <w:r w:rsidRPr="00896D4F">
        <w:t>ning i 27 § socialtjänstför</w:t>
      </w:r>
      <w:r w:rsidRPr="00896D4F">
        <w:softHyphen/>
        <w:t>ordningen. Det gäller bl.a. frågan om när en klient kan anses ”hållas avskild från de öv</w:t>
      </w:r>
      <w:r w:rsidRPr="00896D4F">
        <w:softHyphen/>
        <w:t>riga vid hemmet” enligt bestämmelsen. Huvudkontoret började därför genast ett arbete med att ta fram råd och rik</w:t>
      </w:r>
      <w:r w:rsidRPr="00896D4F">
        <w:t>t</w:t>
      </w:r>
      <w:r w:rsidRPr="00896D4F">
        <w:t>linjer rörande avskiljning och att planera för en fördjupad uppföljning av avskiljningarna. Innan arbetet med råden och riktlinjerna hunnit slutföras blev det känt att JO skulle ta upp nu aktuellt ärende til</w:t>
      </w:r>
      <w:r w:rsidRPr="00896D4F">
        <w:t>l behandling och troligen komma med ett vägledande yttrande. SiS avvaktar därför tills vidare med utfärdandet av råden och riktlinjerna.</w:t>
      </w:r>
    </w:p>
    <w:p w:rsidR="009C1C5A" w:rsidRPr="00896D4F" w:rsidRDefault="009C1C5A">
      <w:pPr>
        <w:pStyle w:val="Citatindrag"/>
      </w:pPr>
      <w:r w:rsidRPr="00896D4F">
        <w:t>Ett utkast till råd och riktlinjer om avskiljningar bifogas och åberopas som myndighe</w:t>
      </w:r>
      <w:r w:rsidRPr="00896D4F">
        <w:softHyphen/>
        <w:t>tens ståndpunkt i ärendet hos JO. SiS anser således att det i de akt</w:t>
      </w:r>
      <w:r w:rsidRPr="00896D4F">
        <w:t>u</w:t>
      </w:r>
      <w:r w:rsidRPr="00896D4F">
        <w:t>ella fallen av placer</w:t>
      </w:r>
      <w:r w:rsidRPr="00896D4F">
        <w:softHyphen/>
        <w:t>ing på Vingen varit fråga om avskiljning enligt 27 § soc</w:t>
      </w:r>
      <w:r w:rsidRPr="00896D4F">
        <w:t>i</w:t>
      </w:r>
      <w:r w:rsidRPr="00896D4F">
        <w:t>altjänstförordningen i den ut</w:t>
      </w:r>
      <w:r w:rsidRPr="00896D4F">
        <w:softHyphen/>
        <w:t>sträckning respektive klient utan eget önskemål varit inlåst ensam för annat än korta perioder av praktiska skäl.</w:t>
      </w:r>
    </w:p>
    <w:p w:rsidR="009C1C5A" w:rsidRPr="00896D4F" w:rsidRDefault="009C1C5A">
      <w:r w:rsidRPr="00896D4F">
        <w:t>I det utkast till råd och riktlinjer beträffande avskiljning, som fogades till remissvaret, anfördes bl.a. följande.</w:t>
      </w:r>
    </w:p>
    <w:p w:rsidR="009C1C5A" w:rsidRPr="00896D4F" w:rsidRDefault="009C1C5A">
      <w:pPr>
        <w:pStyle w:val="Citat"/>
      </w:pPr>
      <w:r w:rsidRPr="00896D4F">
        <w:t xml:space="preserve">Enligt författningstexten innebär en avskiljning att klienten hålls </w:t>
      </w:r>
      <w:r w:rsidRPr="00896D4F">
        <w:rPr>
          <w:i/>
        </w:rPr>
        <w:t xml:space="preserve">”avskild från de övriga vid hemmet”. </w:t>
      </w:r>
      <w:r w:rsidRPr="00896D4F">
        <w:t>Flera klienter som vistas inlåsta tillsammans i samma utrymmen är således inte utsatta för avskiljning, även om det inte finns någon personal inlåst tillsammans med dem. Enligt SiS mening är den klient som vistas inlåst tillsammans med bara per</w:t>
      </w:r>
      <w:r w:rsidRPr="00896D4F">
        <w:softHyphen/>
        <w:t xml:space="preserve">sonal vid institutionen inte heller utsatt för en avskiljning. I begreppet ”de övriga vid hemmet” ingår alltså enligt SiS mening institutionens personal </w:t>
      </w:r>
      <w:r w:rsidRPr="00896D4F">
        <w:rPr>
          <w:i/>
        </w:rPr>
        <w:t>och</w:t>
      </w:r>
      <w:r w:rsidRPr="00896D4F">
        <w:t xml:space="preserve"> kl</w:t>
      </w:r>
      <w:r w:rsidRPr="00896D4F">
        <w:t>i</w:t>
      </w:r>
      <w:r w:rsidRPr="00896D4F">
        <w:t>enter.</w:t>
      </w:r>
    </w:p>
    <w:p w:rsidR="009C1C5A" w:rsidRPr="00896D4F" w:rsidRDefault="009C1C5A">
      <w:pPr>
        <w:pStyle w:val="Citatindrag"/>
      </w:pPr>
      <w:r w:rsidRPr="00896D4F">
        <w:t xml:space="preserve">Det har sedan mycket lång tid tillbaka förekommit inom framför </w:t>
      </w:r>
      <w:r w:rsidRPr="00896D4F">
        <w:t>allt un</w:t>
      </w:r>
      <w:r w:rsidRPr="00896D4F">
        <w:t>g</w:t>
      </w:r>
      <w:r w:rsidRPr="00896D4F">
        <w:t>domsvården att en klient med alldeles speciella behov – t.ex. en klient som är extremt våldsam eller benägen att döda eller skada sig själv – får under en period vistas med enbart personal i t.ex. en avskild och låst del av instituti</w:t>
      </w:r>
      <w:r w:rsidRPr="00896D4F">
        <w:t>o</w:t>
      </w:r>
      <w:r w:rsidRPr="00896D4F">
        <w:t>nen. Enligt SiS mening innebär det förfarings</w:t>
      </w:r>
      <w:r w:rsidRPr="00896D4F">
        <w:softHyphen/>
        <w:t>sättet inte avskiljning så länge klienten inte är inlåst ensam i utrymmena. Det bör beto</w:t>
      </w:r>
      <w:r w:rsidRPr="00896D4F">
        <w:softHyphen/>
        <w:t>nas att personal måste vara inlåst tillsammans med klienten under i princip hela tiden, t.ex. även nattetid. Att den medföljande person</w:t>
      </w:r>
      <w:r w:rsidRPr="00896D4F">
        <w:t>alen l</w:t>
      </w:r>
      <w:r w:rsidRPr="00896D4F">
        <w:t>å</w:t>
      </w:r>
      <w:r w:rsidRPr="00896D4F">
        <w:t>ser om sig vid t.ex. kortare toalett</w:t>
      </w:r>
      <w:r w:rsidRPr="00896D4F">
        <w:softHyphen/>
        <w:t>besök får av praktiska skäl anses tillåtet, även om klienten då i någon mening blir läm</w:t>
      </w:r>
      <w:r w:rsidRPr="00896D4F">
        <w:softHyphen/>
        <w:t>nad inlåst ensam utanför toalettdörren.</w:t>
      </w:r>
    </w:p>
    <w:p w:rsidR="009C1C5A" w:rsidRPr="00896D4F" w:rsidRDefault="009C1C5A">
      <w:pPr>
        <w:pStyle w:val="Citatindrag"/>
      </w:pPr>
      <w:r w:rsidRPr="00896D4F">
        <w:t>Att en klient är inlåst med en lärare för specialundervisning utgör enligt SiS mening inte avskiljning.</w:t>
      </w:r>
    </w:p>
    <w:p w:rsidR="009C1C5A" w:rsidRPr="00896D4F" w:rsidRDefault="009C1C5A">
      <w:pPr>
        <w:pStyle w:val="Citatindrag"/>
      </w:pPr>
      <w:r w:rsidRPr="00896D4F">
        <w:t>Att varje klient har sitt eget bostadsrum och skall vistas ensam där under nattetid inne</w:t>
      </w:r>
      <w:r w:rsidRPr="00896D4F">
        <w:softHyphen/>
        <w:t>bär enligt SiS mening inte avskiljning så länge klienten inte är (av personalen) inlåst ensam.</w:t>
      </w:r>
    </w:p>
    <w:p w:rsidR="009C1C5A" w:rsidRPr="00896D4F" w:rsidRDefault="009C1C5A">
      <w:r w:rsidRPr="00896D4F">
        <w:t>M.H. yttrade sig över remissvaren från Råby ungdomshem och SiS.</w:t>
      </w:r>
    </w:p>
    <w:p w:rsidR="009C1C5A" w:rsidRPr="00896D4F" w:rsidRDefault="009C1C5A">
      <w:r w:rsidRPr="00896D4F">
        <w:t xml:space="preserve">I ett beslut den 31 maj 2002 anförde </w:t>
      </w:r>
      <w:r w:rsidRPr="00896D4F">
        <w:rPr>
          <w:i/>
        </w:rPr>
        <w:t>JO André</w:t>
      </w:r>
      <w:r w:rsidRPr="00896D4F">
        <w:t xml:space="preserve"> följande. </w:t>
      </w:r>
    </w:p>
    <w:p w:rsidR="009C1C5A" w:rsidRPr="00896D4F" w:rsidRDefault="009C1C5A">
      <w:pPr>
        <w:pStyle w:val="Rubrik4"/>
      </w:pPr>
      <w:r w:rsidRPr="00896D4F">
        <w:t>Rättslig reglering</w:t>
      </w:r>
    </w:p>
    <w:p w:rsidR="009C1C5A" w:rsidRPr="00896D4F" w:rsidRDefault="009C1C5A">
      <w:r w:rsidRPr="00896D4F">
        <w:t>Insatser inom socialtjänsten för barn och ungdom skall göras i samförstånd med den unge och hans vårdnadshavare enligt bestämmelserna i socialtjäns</w:t>
      </w:r>
      <w:r w:rsidRPr="00896D4F">
        <w:t>t</w:t>
      </w:r>
      <w:r w:rsidRPr="00896D4F">
        <w:t>lagen (2001:453). Under vissa förutsättningar kan det dock bli fråga om att bereda en ung person vård utan samtycke. Regler härom finns i första hand i lagen (1990:52) med särskilda bestämmelser om vård av unga (LVU). Sådan vård kan enligt 3 § LVU bli aktuell bl.a. om den unge utsätter sin hälsa eller utveckling för en påtaglig risk att skadas genom missbruk av beroendefra</w:t>
      </w:r>
      <w:r w:rsidRPr="00896D4F">
        <w:t>m</w:t>
      </w:r>
      <w:r w:rsidRPr="00896D4F">
        <w:t xml:space="preserve">kallande medel, brottslig verksamhet eller något annat socialt nedbrytande beteende. </w:t>
      </w:r>
    </w:p>
    <w:p w:rsidR="009C1C5A" w:rsidRPr="00896D4F" w:rsidRDefault="009C1C5A">
      <w:pPr>
        <w:pStyle w:val="Normaltindrag"/>
      </w:pPr>
      <w:r w:rsidRPr="00896D4F">
        <w:t>För vård av unga som på någon grund som anges i 3</w:t>
      </w:r>
      <w:r w:rsidRPr="00896D4F">
        <w:t xml:space="preserve"> § LVU behöver stå under särskilt noggrann tillsyn skall det enligt 12 § LVU finnas särskilda ungdomshem. Behovet av sådana hem skall tillgodoses av staten. Statens institutionsstyrelse är central förvaltningsmyndighet för dessa hem. Styrelsen leder och har tillsyn över verksamheten vid hemmen. </w:t>
      </w:r>
    </w:p>
    <w:p w:rsidR="009C1C5A" w:rsidRPr="00896D4F" w:rsidRDefault="009C1C5A">
      <w:pPr>
        <w:pStyle w:val="Normaltindrag"/>
      </w:pPr>
      <w:r w:rsidRPr="00896D4F">
        <w:t>Om någon vårdas på en grund som anges i 3 § LVU och vistas i ett särskilt ungdomshem, får han, enligt 15 § LVU, hindras att lämna hemmet och i ö</w:t>
      </w:r>
      <w:r w:rsidRPr="00896D4F">
        <w:t>v</w:t>
      </w:r>
      <w:r w:rsidRPr="00896D4F">
        <w:t xml:space="preserve">rigt underkastas den begränsning av rörelsefriheten som är nödvändig för att vården skall kunna genomföras. Den unges rörelsefrihet får också inskränkas när det behövs av hänsyn till andra intagnas och personalens säkerhet. I </w:t>
      </w:r>
      <w:r w:rsidRPr="00896D4F">
        <w:br/>
        <w:t>15 a–15 c §§ LVU finns preciserade bestämmelser rörande bl.a. den intagnes rätt att ringa och ta emot telefonsamtal och ta emot besök (15 a §), förutsät</w:t>
      </w:r>
      <w:r w:rsidRPr="00896D4F">
        <w:t>t</w:t>
      </w:r>
      <w:r w:rsidRPr="00896D4F">
        <w:t xml:space="preserve">ningarna för att bereda den intagne vård vid en enhet inom hemmet som är låsbar eller på annat sätt inrättad för särskilt noggrann </w:t>
      </w:r>
      <w:r w:rsidRPr="00896D4F">
        <w:t xml:space="preserve">tillsyn (15 b §) och i vilka fall en intagen får hållas avskild från de övriga vid hemmet (15 c §).  </w:t>
      </w:r>
    </w:p>
    <w:p w:rsidR="009C1C5A" w:rsidRPr="00896D4F" w:rsidRDefault="009C1C5A">
      <w:pPr>
        <w:pStyle w:val="Normaltindrag"/>
      </w:pPr>
      <w:r w:rsidRPr="00896D4F">
        <w:t xml:space="preserve">Bestämmelsen i 15 § LVU motsvarar vad som föreskrevs i 13 § i 1980 års LVU-lagstiftning. Vid tillkomsten av den bestämmelsen anförde föredragande statsrådet bl.a. följande när det gällde isolering/vård i avskildhet (prop. 1979/80:1 Del A s. 598). </w:t>
      </w:r>
    </w:p>
    <w:p w:rsidR="009C1C5A" w:rsidRPr="00896D4F" w:rsidRDefault="009C1C5A">
      <w:pPr>
        <w:pStyle w:val="Citat"/>
      </w:pPr>
      <w:r w:rsidRPr="00896D4F">
        <w:t>Lagen innehåller inga närmare bestämmelser om hur vården i dessa fall skall genomföras. Vården får utformas utifrån den unges behov i varje särskilt fall. Det är emellertid nödvändigt att i ett par hänseenden begränsa den kompetens som skall tillkomma nämnden. Sålunda bör i princip isolering inte få för</w:t>
      </w:r>
      <w:r w:rsidRPr="00896D4F">
        <w:t>e</w:t>
      </w:r>
      <w:r w:rsidRPr="00896D4F">
        <w:t>komma under vården. Att en isolering kan få skadliga verkningar för den unge är numera allmänt erkänt. En annan sak är att det kan vara nödvändigt att i vissa extrema situationer – t.ex. när den unge under akut påverkan av alkohol eller narkotika eller av annan orsak är starkt ”utagerande” – under kortare tid hålla den unge avskild från övriga vårdbehövande. Han bör eme</w:t>
      </w:r>
      <w:r w:rsidRPr="00896D4F">
        <w:t>l</w:t>
      </w:r>
      <w:r w:rsidRPr="00896D4F">
        <w:t>lertid i sådant fall stå under ständig uppsikt av vårdpersonalen. Dessa b</w:t>
      </w:r>
      <w:r w:rsidRPr="00896D4F">
        <w:t>e</w:t>
      </w:r>
      <w:r w:rsidRPr="00896D4F">
        <w:t>gränsningar i de befogenheter som ges nämnden i denna paragraf b</w:t>
      </w:r>
      <w:r w:rsidRPr="00896D4F">
        <w:t>ör tas in i verkställighetsför</w:t>
      </w:r>
      <w:r w:rsidRPr="00896D4F">
        <w:t>e</w:t>
      </w:r>
      <w:r w:rsidRPr="00896D4F">
        <w:t xml:space="preserve">skrifter. </w:t>
      </w:r>
    </w:p>
    <w:p w:rsidR="009C1C5A" w:rsidRPr="00896D4F" w:rsidRDefault="009C1C5A">
      <w:r w:rsidRPr="00896D4F">
        <w:t>En bestämmelse om vård i avskildhet infördes i 27 § i den tidigare socia</w:t>
      </w:r>
      <w:r w:rsidRPr="00896D4F">
        <w:t>l</w:t>
      </w:r>
      <w:r w:rsidRPr="00896D4F">
        <w:t>tjänstför</w:t>
      </w:r>
      <w:r w:rsidRPr="00896D4F">
        <w:softHyphen/>
        <w:t xml:space="preserve">ordningen (1981:750). Där föreskrevs följande. </w:t>
      </w:r>
    </w:p>
    <w:p w:rsidR="009C1C5A" w:rsidRPr="00896D4F" w:rsidRDefault="009C1C5A">
      <w:pPr>
        <w:pStyle w:val="Citat"/>
      </w:pPr>
      <w:r w:rsidRPr="00896D4F">
        <w:t>Om det är särskilt påkallat på grund av att den intagne uppträder våldsamt eller är så påverkad av berusningsmedel att han inte kan hållas till ordningen, får han hållas avskild från de övriga vid hemmet under förutsättning att han står under fortlöpande uppsikt av personalen. Han får dock inte hållas i sådan avskildhet längre tid än vad som är oundgängligen nödvändigt och inte i n</w:t>
      </w:r>
      <w:r w:rsidRPr="00896D4F">
        <w:t>å</w:t>
      </w:r>
      <w:r w:rsidRPr="00896D4F">
        <w:t>got fall under längre tid än 24 timmar i följd.</w:t>
      </w:r>
    </w:p>
    <w:p w:rsidR="009C1C5A" w:rsidRPr="00896D4F" w:rsidRDefault="009C1C5A">
      <w:pPr>
        <w:pStyle w:val="Citatindrag"/>
      </w:pPr>
      <w:r w:rsidRPr="00896D4F">
        <w:t>Är den intagne under 15 år skall läkare skyndsamt yttra sig om varje åtgärd som vidtas enligt första stycket. Om läkaren begär det skall åtgärden genast avbrytas.</w:t>
      </w:r>
    </w:p>
    <w:p w:rsidR="009C1C5A" w:rsidRPr="00896D4F" w:rsidRDefault="009C1C5A">
      <w:r w:rsidRPr="00896D4F">
        <w:t>Genom en ändring i LVU, som trädde i kraft den 1 januari 2002, överfördes bestämmelsen i 27 § socialtjänstförordningen med vissa redaktionella juste</w:t>
      </w:r>
      <w:r w:rsidRPr="00896D4F">
        <w:t>r</w:t>
      </w:r>
      <w:r w:rsidRPr="00896D4F">
        <w:t xml:space="preserve">ingar av författningstexten till 15 c § LVU. Någon ändring av bestämmelsen i sak var inte avsedd. Skälet till att bestämmelsen om vård i avskildhet fördes in i LVU var att ett avskiljande ansågs utgöra en sådan inskränkning i den enskildes frihet att den borde regleras i lag (prop. 2000/01:80 s. 121 f.). </w:t>
      </w:r>
    </w:p>
    <w:p w:rsidR="009C1C5A" w:rsidRPr="00896D4F" w:rsidRDefault="009C1C5A">
      <w:pPr>
        <w:pStyle w:val="Rubrik4"/>
      </w:pPr>
      <w:r w:rsidRPr="00896D4F">
        <w:t>Bedömning</w:t>
      </w:r>
    </w:p>
    <w:p w:rsidR="009C1C5A" w:rsidRPr="00896D4F" w:rsidRDefault="009C1C5A">
      <w:r w:rsidRPr="00896D4F">
        <w:t>I LVU eller den tidigare socialtjänstförordningen ges inte någon närmare vägledning när det gäller att avgöra vad som vid vård enligt LVU avses med begreppet ”hållas avskild från de övriga vid hemmet”. SiS har i sitt yttrande anfört att det inte torde vara fråga om en avskiljning om den intagne är plac</w:t>
      </w:r>
      <w:r w:rsidRPr="00896D4F">
        <w:t>e</w:t>
      </w:r>
      <w:r w:rsidRPr="00896D4F">
        <w:t>rad tillsammans med personal. SiS har härvid åberopat vad som har anförts i ett utkast till nya riktlinjer för avskiljning (ett utdrag ur utkastet återges ovan i anslutning till redovisningen av SiS:s remissvar). SiS ståndpunkt synes inte vara invändnings</w:t>
      </w:r>
      <w:r w:rsidRPr="00896D4F">
        <w:softHyphen/>
        <w:t>fri. Enligt min uppfattning ligger det närmare till hands att tolka uttrycket ”de övriga vid hemmet” i den aktuella bestämmelsen på så sätt att det avser de övriga intagna. Att bestämmelsen skall tolkas på det sättet torde för övrigt ha varit lagstiftaren</w:t>
      </w:r>
      <w:r w:rsidRPr="00896D4F">
        <w:t>s avsikt. I denna del kan jag, utöver det tidigare citerade uttalandet ur proposition 1979/80:1 Del A, hänvisa till vad som anfördes i propositionen vid tillkomsten av 15 c § LVU (prop. 2000/01:80 s. 122). Där redogjordes för ”... möjligheten till inlåsning samt isolering från de övriga intagna ...”. Beträffande tillämpningen av äldre b</w:t>
      </w:r>
      <w:r w:rsidRPr="00896D4F">
        <w:t>e</w:t>
      </w:r>
      <w:r w:rsidRPr="00896D4F">
        <w:t>stämmelser kan jag hänvisa till Socialstyrelsens numera upphävda allmänna råd, LVU, 1981:2 s. 129. En jämförelse kan göras med vad som gäller a</w:t>
      </w:r>
      <w:r w:rsidRPr="00896D4F">
        <w:t>v</w:t>
      </w:r>
      <w:r w:rsidRPr="00896D4F">
        <w:t>skiljning vid ett s.k. LVM-he</w:t>
      </w:r>
      <w:r w:rsidRPr="00896D4F">
        <w:t>m. Bestämmelsen om vård i avskildhet vid ett sådant hem är utformad på samma sätt som bestämmelsen om avskiljning i LVU. Vid tillkomsten av 1981 års lagstiftning om vård av missbrukare i vissa fall diskuterades möjligheten till isolering av en missbrukare. Föredragande statsrådet anförde i propositionen till lagstiftningen bl.a. att om en intagen uppträdde våldsamt fanns det möjlighet att ”... hålla honom avskild från de andra intagna ...” (prop. 1981/82:8 s. 96). Att bestämmelsen skall tolkas på det sätt j</w:t>
      </w:r>
      <w:r w:rsidRPr="00896D4F">
        <w:t>ag nu har angett synes också ha förutsatts i litteraturen (se Bra</w:t>
      </w:r>
      <w:r w:rsidRPr="00896D4F">
        <w:t>m</w:t>
      </w:r>
      <w:r w:rsidRPr="00896D4F">
        <w:t>stång, Sociallagstiftningen s. 445 och Norström/Thunved, Nya sociallagarna, 15 uppl. s. 275).</w:t>
      </w:r>
    </w:p>
    <w:p w:rsidR="009C1C5A" w:rsidRPr="00896D4F" w:rsidRDefault="009C1C5A">
      <w:pPr>
        <w:pStyle w:val="Normaltindrag"/>
      </w:pPr>
      <w:r w:rsidRPr="00896D4F">
        <w:t>Vad härefter gäller innebörden i detta sammanhang av begreppet ”avskild” får anses stå klart att om den enskilde väljer att själv låsa dörren till sitt rum är det inte fråga om att han eller hon är avskild i den mening som här är i fråga; för att en intagen skall anses avskild måste förutsättas att det sker genom en åtgärd från hemmets sida. Att en i</w:t>
      </w:r>
      <w:r w:rsidRPr="00896D4F">
        <w:t>ntagen hålls instängd ensam i ett särskilt rum eller dörren till hans eget rum låses av personal utgör typiska fall av avskiljning. Man torde dock kunna bortse från de fall då en dörr av rent pra</w:t>
      </w:r>
      <w:r w:rsidRPr="00896D4F">
        <w:t>k</w:t>
      </w:r>
      <w:r w:rsidRPr="00896D4F">
        <w:t>tiska skäl hålls låst en kortare tid. Enbart det förhållandet att en intagen plac</w:t>
      </w:r>
      <w:r w:rsidRPr="00896D4F">
        <w:t>e</w:t>
      </w:r>
      <w:r w:rsidRPr="00896D4F">
        <w:t>ras i ett rum som är beläget i en annan del av en byggnad än de övriga inta</w:t>
      </w:r>
      <w:r w:rsidRPr="00896D4F">
        <w:t>g</w:t>
      </w:r>
      <w:r w:rsidRPr="00896D4F">
        <w:t xml:space="preserve">nas rum behöver givetvis inte innebära att det är fråga om en avskiljning. Om den enskilde genom en sådan placering hindras från att ha kontakt med de övriga </w:t>
      </w:r>
      <w:r w:rsidRPr="00896D4F">
        <w:t>intagna är det dock enligt min mening fråga om vård i avskildhet. Inte heller den situationen att den intagne under kortare tid vistas tillsammans med enbart personal behöver utgöra av</w:t>
      </w:r>
      <w:r w:rsidRPr="00896D4F">
        <w:softHyphen/>
        <w:t xml:space="preserve">skiljning, t.ex. när den intagne får enskild undervisning av en lärare i en särskild lokal.  </w:t>
      </w:r>
    </w:p>
    <w:p w:rsidR="009C1C5A" w:rsidRPr="00896D4F" w:rsidRDefault="009C1C5A">
      <w:pPr>
        <w:pStyle w:val="Normaltindrag"/>
      </w:pPr>
      <w:r w:rsidRPr="00896D4F">
        <w:t>Det kan inte uteslutas att det finns fall när en intagen måste kunna ”avskiljas” från de övriga intagna utan att omständigheterna är sådana som anges i 15 c § LVU. Jag avser då närmast situationer när brottsbalkens b</w:t>
      </w:r>
      <w:r w:rsidRPr="00896D4F">
        <w:t>e</w:t>
      </w:r>
      <w:r w:rsidRPr="00896D4F">
        <w:t>stämmelser om nöd kan bli tillämpliga, som t.ex. när en intagen, utan att i egentlig mening uppträda våldsamt och störa ordningen, likväl ger uttryck för ett allvarligt destruktivt beteende i form av ett akut självmordshot. Till undv</w:t>
      </w:r>
      <w:r w:rsidRPr="00896D4F">
        <w:t>i</w:t>
      </w:r>
      <w:r w:rsidRPr="00896D4F">
        <w:t>kande av missförstånd vill jag påpeka att dessa fall ligger utanför vad som nu är för</w:t>
      </w:r>
      <w:r w:rsidRPr="00896D4F">
        <w:t>e</w:t>
      </w:r>
      <w:r w:rsidRPr="00896D4F">
        <w:t>mål för prövning.</w:t>
      </w:r>
    </w:p>
    <w:p w:rsidR="009C1C5A" w:rsidRPr="00896D4F" w:rsidRDefault="009C1C5A">
      <w:pPr>
        <w:pStyle w:val="Normaltindrag"/>
      </w:pPr>
      <w:r w:rsidRPr="00896D4F">
        <w:t>När det gäller de två fall som aktualiserats i det förevarande ärendet fra</w:t>
      </w:r>
      <w:r w:rsidRPr="00896D4F">
        <w:t>m</w:t>
      </w:r>
      <w:r w:rsidRPr="00896D4F">
        <w:t>går av utredningen att de båda ynglingarna har placerats på den s.k. Vingen. Enligt remissvaret från Råby ungdomshem har eleverna inte hållits avskilda där av orsaker som avses i bestämmelsen om avskiljning utan begränsningen av kontakterna med andra intagna har styrts av behandlingsskäl. Enligt he</w:t>
      </w:r>
      <w:r w:rsidRPr="00896D4F">
        <w:t>m</w:t>
      </w:r>
      <w:r w:rsidRPr="00896D4F">
        <w:t>mets uppfattning har det således inte varit fråga om en tillämpning av 15 c § LVU. I praktiken har emellertid Y.N. och S.Å. hindrats från att fritt umgås med de andra intagna. Det har i Y.N:s och S.Å:s fall inte</w:t>
      </w:r>
      <w:r w:rsidRPr="00896D4F">
        <w:t xml:space="preserve"> varit fråga om en tillfällig åtgärd som föranletts uteslutande av rent praktiska omständigheter. Enligt min mening måste därför Y.N. och S.Å. anses ha varit föremål för vård i avskildhet och detta är fallet oavsett om och i vilken utsträckning personal har funnits hos den intagne. Som framgår av det nyss sagda har Y.N. och S.Å. inte varit avskilda med stöd av 15 c § LVU (förutvarande 27 § socialtjäns</w:t>
      </w:r>
      <w:r w:rsidRPr="00896D4F">
        <w:t>t</w:t>
      </w:r>
      <w:r w:rsidRPr="00896D4F">
        <w:t>förordningen). Det har inte heller funnits stöd i någon annan bestämmelse i LVU eller annan författning för</w:t>
      </w:r>
      <w:r w:rsidRPr="00896D4F">
        <w:t xml:space="preserve"> åtgärden. Att Y.N. och S.Å. likväl har hållits a</w:t>
      </w:r>
      <w:r w:rsidRPr="00896D4F">
        <w:t>v</w:t>
      </w:r>
      <w:r w:rsidRPr="00896D4F">
        <w:t xml:space="preserve">skilda är självfallet inte godtagbart. </w:t>
      </w:r>
    </w:p>
    <w:p w:rsidR="009C1C5A" w:rsidRPr="00896D4F" w:rsidRDefault="009C1C5A">
      <w:pPr>
        <w:pStyle w:val="Normaltindrag"/>
      </w:pPr>
      <w:r w:rsidRPr="00896D4F">
        <w:t>SiS yttrande ger vid handen att det vid de särskilda ungdomshemmen har förelegat en delvis felaktig uppfattning om vad som avses med avskiljning. Även SiS:s ståndpunkt, såsom den har kommit till uttryck i remissvaret, visar på den osäkerhet som finns inom organisationen när det gäller vård i avskil</w:t>
      </w:r>
      <w:r w:rsidRPr="00896D4F">
        <w:t>d</w:t>
      </w:r>
      <w:r w:rsidRPr="00896D4F">
        <w:t>het. Mot bakgrund härav har jag inte funnit skäl att gå vidare i saken utan låter det bero med den kritik som innefattas i det anförda. Jag utgår dock från att Råby ungdomshem ser över rutinerna för placering av ungdomar på Vingen och att SiS fortsätter sitt arbete för att rätta till eventuella brister i de olika hemmens rutiner när det gäller avskiljning. Det är ett grundläggande krav att alla inskränkningar av de intagnas fri- och rättigheter i olika hänsee</w:t>
      </w:r>
      <w:r w:rsidRPr="00896D4F">
        <w:t>n</w:t>
      </w:r>
      <w:r w:rsidRPr="00896D4F">
        <w:t>den har stöd i lag. Det ligger i sakens natur a</w:t>
      </w:r>
      <w:r w:rsidRPr="00896D4F">
        <w:t>tt det i lagstiftningen inte går att i detalj reglera alla de olika situationer som kan uppstå och hur LVU-hemmet får agera i dessa. Det är rent allmänt angeläget att hemmen inte tillämpar reglerna på sådant sätt att vården bedrivs i en ”gråzon” där det råder osäkerhet om huruvida åtgärderna står i överensstämmelse med lagstiftningen.</w:t>
      </w:r>
    </w:p>
    <w:p w:rsidR="009C1C5A" w:rsidRPr="00896D4F" w:rsidRDefault="009C1C5A">
      <w:pPr>
        <w:pStyle w:val="Normaltindrag"/>
      </w:pPr>
      <w:r w:rsidRPr="00896D4F">
        <w:t>Råby ungdomshem har i sitt remissvar påtalat vikten av att det vid he</w:t>
      </w:r>
      <w:r w:rsidRPr="00896D4F">
        <w:t>m</w:t>
      </w:r>
      <w:r w:rsidRPr="00896D4F">
        <w:t>men finns möjlighet till differentierade vårdformer. Jag har förståelse för den synpunkten. Huruvida det finns behov av nya eller ändrade regler för att öka möjligheterna till olika individuella anpassningar av vården vid de särskilda ungdomshemmen får det närmast ankomma på SiS att avgöra och jag tar för egen del inte något initiativ i saken.</w:t>
      </w:r>
    </w:p>
    <w:p w:rsidR="009C1C5A" w:rsidRPr="00896D4F" w:rsidRDefault="009C1C5A">
      <w:pPr>
        <w:pStyle w:val="Citat"/>
      </w:pPr>
      <w:r w:rsidRPr="00896D4F">
        <w:t xml:space="preserve">– – – </w:t>
      </w:r>
    </w:p>
    <w:p w:rsidR="009C1C5A" w:rsidRPr="00896D4F" w:rsidRDefault="009C1C5A">
      <w:r w:rsidRPr="00896D4F">
        <w:t xml:space="preserve">Jag har funnit skäl att tillställa Socialdepartementet en kopia av detta beslut. </w:t>
      </w:r>
    </w:p>
    <w:p w:rsidR="009C1C5A" w:rsidRPr="00896D4F" w:rsidRDefault="009C1C5A">
      <w:pPr>
        <w:pStyle w:val="Rubrik2"/>
      </w:pPr>
      <w:r w:rsidRPr="00896D4F">
        <w:t xml:space="preserve">En anonym anmälan om att ett barn eventuellt utsatts för ett sexuellt övergrepp inkom till en socialnämnd; fråga bl.a. om det förelåg skäl för att omedelbart omhänderta barnet enligt 6 § LVU  </w:t>
      </w:r>
    </w:p>
    <w:p w:rsidR="009C1C5A" w:rsidRPr="00896D4F" w:rsidRDefault="009C1C5A">
      <w:pPr>
        <w:spacing w:before="0"/>
      </w:pPr>
      <w:r w:rsidRPr="00896D4F">
        <w:t>(Dnr 1333-2000)</w:t>
      </w:r>
    </w:p>
    <w:p w:rsidR="009C1C5A" w:rsidRPr="00896D4F" w:rsidRDefault="009C1C5A">
      <w:r w:rsidRPr="00896D4F">
        <w:t>M.N. var under sommaren 1999 på semester i Turkiet tillsammans med sina barn L. och A. samt en manlig bekant. Den 3 augusti 1999 inkom en anonym anmälan till Socialnämnden i Hörby kommun. Anmälaren uppgav att hon hört L. (född 1988) bli utsatt för sexuella övergrepp på ett hotellrum i Turkiet.</w:t>
      </w:r>
    </w:p>
    <w:p w:rsidR="009C1C5A" w:rsidRPr="00896D4F" w:rsidRDefault="009C1C5A">
      <w:pPr>
        <w:pStyle w:val="Normaltindrag"/>
      </w:pPr>
      <w:r w:rsidRPr="00896D4F">
        <w:t>Den 6 augusti 1999 gjorde socialnämnden en polisanmälan om saken. S</w:t>
      </w:r>
      <w:r w:rsidRPr="00896D4F">
        <w:t>o</w:t>
      </w:r>
      <w:r w:rsidRPr="00896D4F">
        <w:t>cialnämndens ordförande beslöt den 6 september 1999 att omedelbart omhä</w:t>
      </w:r>
      <w:r w:rsidRPr="00896D4F">
        <w:t>n</w:t>
      </w:r>
      <w:r w:rsidRPr="00896D4F">
        <w:t>derta L. och hennes bror jämlikt 6 § lagen (1990:52) med särskilda bestä</w:t>
      </w:r>
      <w:r w:rsidRPr="00896D4F">
        <w:t>m</w:t>
      </w:r>
      <w:r w:rsidRPr="00896D4F">
        <w:t xml:space="preserve">melser om vård av unga (LVU). Barnen placerades samma dag tillsammans med modern på HVB-hemmet Luzerngården i Lund för utredning. </w:t>
      </w:r>
    </w:p>
    <w:p w:rsidR="009C1C5A" w:rsidRPr="00896D4F" w:rsidRDefault="009C1C5A">
      <w:pPr>
        <w:pStyle w:val="Normaltindrag"/>
      </w:pPr>
      <w:r w:rsidRPr="00896D4F">
        <w:t>Beslutet underställdes länsrätten som den 15 september 1999 anmodade socialnämnden att komplettera utredningen med läkarutlåtande avseende L. En rätts</w:t>
      </w:r>
      <w:r w:rsidRPr="00896D4F">
        <w:softHyphen/>
        <w:t>medicinsk undersökning kom till stånd den 21 september 1999. Av ett utlåtande från undersökningen framgick bl.a att undersökningsfynden inte gav stöd för att L. varit utsatt för sexuellt övergrepp, men inte heller uteslöt att övergrepp hade skett. Omhändertagandebeslutet upphävdes samma dag som läkarutlåtandet avgavs, dvs. den 23 september 1999.</w:t>
      </w:r>
    </w:p>
    <w:p w:rsidR="009C1C5A" w:rsidRPr="00896D4F" w:rsidRDefault="009C1C5A">
      <w:pPr>
        <w:pStyle w:val="Normaltindrag"/>
      </w:pPr>
      <w:r w:rsidRPr="00896D4F">
        <w:t>I en anmälan till JO begärde M.N. att socialnämndens handläggning av ärendet rörande barnen skulle granskas. I anmälan anfördes bl.a. att ett an</w:t>
      </w:r>
      <w:r w:rsidRPr="00896D4F">
        <w:t>o</w:t>
      </w:r>
      <w:r w:rsidRPr="00896D4F">
        <w:t>nymt telefonsamtal knappast kan anses vara en tillräcklig grund för ett ingr</w:t>
      </w:r>
      <w:r w:rsidRPr="00896D4F">
        <w:t>i</w:t>
      </w:r>
      <w:r w:rsidRPr="00896D4F">
        <w:t>pande och att någon kontakt inte togs med henne före omhändertagandet. Vidare gjordes gällande att nämnden dröjt med att läkarundersöka L. M.N. önskade även upprättelse, ”känslomässigt och ekonomiskt”.</w:t>
      </w:r>
    </w:p>
    <w:p w:rsidR="009C1C5A" w:rsidRPr="00896D4F" w:rsidRDefault="009C1C5A">
      <w:pPr>
        <w:pStyle w:val="Normaltindrag"/>
      </w:pPr>
      <w:r w:rsidRPr="00896D4F">
        <w:t>De aktuella personakterna infordrades och granskades. Därefter anmod</w:t>
      </w:r>
      <w:r w:rsidRPr="00896D4F">
        <w:t>a</w:t>
      </w:r>
      <w:r w:rsidRPr="00896D4F">
        <w:t>des Socialnämnden i Hörby kommun att inkomma med utredning och yttra</w:t>
      </w:r>
      <w:r w:rsidRPr="00896D4F">
        <w:t>n</w:t>
      </w:r>
      <w:r w:rsidRPr="00896D4F">
        <w:t>de, sär</w:t>
      </w:r>
      <w:r w:rsidRPr="00896D4F">
        <w:softHyphen/>
        <w:t>skilt rörande vad som framfördes i anmälan om underlåtenheten att låta utföra en läkarundersökning före beslutet om omhändertagande. Socialnäm</w:t>
      </w:r>
      <w:r w:rsidRPr="00896D4F">
        <w:t>n</w:t>
      </w:r>
      <w:r w:rsidRPr="00896D4F">
        <w:t>den skulle även yttra sig över vilken bedömning som gjordes rörande L:s behov av skydd under tiden från det att anmälan kom in till nämnden fram till omhändertagandet samt när beslutet att omhän</w:t>
      </w:r>
      <w:r w:rsidRPr="00896D4F">
        <w:softHyphen/>
        <w:t>der</w:t>
      </w:r>
      <w:r w:rsidRPr="00896D4F">
        <w:softHyphen/>
        <w:t>ta barnen fattades.</w:t>
      </w:r>
    </w:p>
    <w:p w:rsidR="009C1C5A" w:rsidRPr="00896D4F" w:rsidRDefault="009C1C5A">
      <w:pPr>
        <w:pStyle w:val="Normaltindrag"/>
      </w:pPr>
      <w:r w:rsidRPr="00896D4F">
        <w:t>Socialnämndens arbetsutskott antog ett tjänstemannayttrande, upprättat a</w:t>
      </w:r>
      <w:r w:rsidRPr="00896D4F">
        <w:t>v förste socialsekreteraren Inger Hörnfeldt och socialsekreteraren Rita Mikke</w:t>
      </w:r>
      <w:r w:rsidRPr="00896D4F">
        <w:t>l</w:t>
      </w:r>
      <w:r w:rsidRPr="00896D4F">
        <w:t>sen, som sitt eget remissvar. I remissvaret anfördes i huvudsak följande.</w:t>
      </w:r>
    </w:p>
    <w:p w:rsidR="009C1C5A" w:rsidRPr="00896D4F" w:rsidRDefault="009C1C5A">
      <w:pPr>
        <w:pStyle w:val="Citat"/>
      </w:pPr>
      <w:r w:rsidRPr="00896D4F">
        <w:t>1. Vad i anmälan från modern, M.N., daterad 000330, anförs om underlåte</w:t>
      </w:r>
      <w:r w:rsidRPr="00896D4F">
        <w:t>n</w:t>
      </w:r>
      <w:r w:rsidRPr="00896D4F">
        <w:t>heten att utföra en läkarundersökning före beslutet om omhändert</w:t>
      </w:r>
      <w:r w:rsidRPr="00896D4F">
        <w:t>a</w:t>
      </w:r>
      <w:r w:rsidRPr="00896D4F">
        <w:t>gandet?</w:t>
      </w:r>
    </w:p>
    <w:p w:rsidR="009C1C5A" w:rsidRPr="00896D4F" w:rsidRDefault="009C1C5A">
      <w:pPr>
        <w:pStyle w:val="Citat"/>
      </w:pPr>
      <w:r w:rsidRPr="00896D4F">
        <w:rPr>
          <w:i/>
        </w:rPr>
        <w:t>Svar:</w:t>
      </w:r>
      <w:r w:rsidRPr="00896D4F">
        <w:t xml:space="preserve"> I samband med det omedelbara omhändertagandet begärde socialse</w:t>
      </w:r>
      <w:r w:rsidRPr="00896D4F">
        <w:t>k</w:t>
      </w:r>
      <w:r w:rsidRPr="00896D4F">
        <w:t>reterarna att en läkarundersökning av L. skulle göras. L. förhördes av polisen i Lund, 990906. Hon medgav då inte att något sexuellt övergrepp skulle ha skett. Polisen bedömde i det läget att det fanns otillräckligt underlag för att begära en läkarundersökning av flickan. Eftersom Rättsmedicinska kliniken vid Universitetssjukhuset i Lund krävde att remissen skulle komma från pol</w:t>
      </w:r>
      <w:r w:rsidRPr="00896D4F">
        <w:t>i</w:t>
      </w:r>
      <w:r w:rsidRPr="00896D4F">
        <w:t>sen kunde vi inte få till stånd en läkarundersökning förrän modern</w:t>
      </w:r>
      <w:r w:rsidRPr="00896D4F">
        <w:t xml:space="preserve"> via sina advokater till Länsrätten framförde krav på en sådan. Under de samtal som fördes med modern var hon till en början tveksam till en läkarundersökning. Vi pratade bland annat med henne om vad en läkarundersökning innebar för L. och vad den eventuellt kunde visa. Vi framförde att läkarundersökning inte kunde bevisa att ett övergrepp inte hade skett utan bara visa att mödomshi</w:t>
      </w:r>
      <w:r w:rsidRPr="00896D4F">
        <w:t>n</w:t>
      </w:r>
      <w:r w:rsidRPr="00896D4F">
        <w:t>nan var oskadad. M</w:t>
      </w:r>
      <w:r w:rsidRPr="00896D4F">
        <w:t>o</w:t>
      </w:r>
      <w:r w:rsidRPr="00896D4F">
        <w:t>dern samtyckte till en läkarundersökning, 990914.</w:t>
      </w:r>
    </w:p>
    <w:p w:rsidR="009C1C5A" w:rsidRPr="00896D4F" w:rsidRDefault="009C1C5A">
      <w:pPr>
        <w:pStyle w:val="Citatindrag"/>
      </w:pPr>
      <w:r w:rsidRPr="00896D4F">
        <w:t>I utlåtande som läkaren, Karl Dahlberg gör 990923 framkom</w:t>
      </w:r>
      <w:r w:rsidRPr="00896D4F">
        <w:t>mer inget som tyder på att ett övergrepp har skett. Detta kan dock, enligt läkaren inte heller helt uteslutas. Utlåtandet föranleder att det omedelbara omhändertagandet upphör genom beslut av Socialnämndens ordförande, Lars-Göran Ritmer samma dag.</w:t>
      </w:r>
    </w:p>
    <w:p w:rsidR="009C1C5A" w:rsidRPr="00896D4F" w:rsidRDefault="009C1C5A">
      <w:pPr>
        <w:pStyle w:val="Citat"/>
      </w:pPr>
      <w:r w:rsidRPr="00896D4F">
        <w:t xml:space="preserve">2. Vilken bedömning gjordes rörande flickans behov av skydd under tiden från anmälan till omhändertagandet?  </w:t>
      </w:r>
    </w:p>
    <w:p w:rsidR="009C1C5A" w:rsidRPr="00896D4F" w:rsidRDefault="009C1C5A">
      <w:pPr>
        <w:pStyle w:val="Citat"/>
      </w:pPr>
      <w:r w:rsidRPr="00896D4F">
        <w:rPr>
          <w:i/>
        </w:rPr>
        <w:t xml:space="preserve">Svar: </w:t>
      </w:r>
      <w:r w:rsidRPr="00896D4F">
        <w:t>Den anonyma anmälan kom till oss, 990803. Den handlade om en hä</w:t>
      </w:r>
      <w:r w:rsidRPr="00896D4F">
        <w:t>n</w:t>
      </w:r>
      <w:r w:rsidRPr="00896D4F">
        <w:t>delse som skulle ha inträffat, 990702. I det läget bedömde vi att det var bättre att försöka göra ett omhändertagande som var synkroniserat med polis och andra myndigheter och som skulle kunna leda till ett ev. erkännande istället för att rusa ut för snabbt. Anledningen till dröjsmålet var främst att polisen hade svårighet att hitta tid och personal tidigare. Det var även viktigt för pol</w:t>
      </w:r>
      <w:r w:rsidRPr="00896D4F">
        <w:t>i</w:t>
      </w:r>
      <w:r w:rsidRPr="00896D4F">
        <w:t>sen att kartlägga den misstänktes vardag, så att de skull</w:t>
      </w:r>
      <w:r w:rsidRPr="00896D4F">
        <w:t>e kunna hämta in h</w:t>
      </w:r>
      <w:r w:rsidRPr="00896D4F">
        <w:t>o</w:t>
      </w:r>
      <w:r w:rsidRPr="00896D4F">
        <w:t>nom för polisförhör i samband med förhöret av L., om det framkom uppgifter som kunde tyda på att ett brott b</w:t>
      </w:r>
      <w:r w:rsidRPr="00896D4F">
        <w:t>e</w:t>
      </w:r>
      <w:r w:rsidRPr="00896D4F">
        <w:t>gåtts.</w:t>
      </w:r>
    </w:p>
    <w:p w:rsidR="009C1C5A" w:rsidRPr="00896D4F" w:rsidRDefault="009C1C5A">
      <w:pPr>
        <w:pStyle w:val="Citat"/>
      </w:pPr>
      <w:r w:rsidRPr="00896D4F">
        <w:t>3. När fattades beslut om att omhänderta barnen?</w:t>
      </w:r>
    </w:p>
    <w:p w:rsidR="009C1C5A" w:rsidRPr="00896D4F" w:rsidRDefault="009C1C5A">
      <w:pPr>
        <w:pStyle w:val="Citat"/>
        <w:rPr>
          <w:i/>
          <w:sz w:val="24"/>
        </w:rPr>
      </w:pPr>
      <w:r w:rsidRPr="00896D4F">
        <w:rPr>
          <w:i/>
        </w:rPr>
        <w:t>Svar</w:t>
      </w:r>
      <w:r w:rsidRPr="00896D4F">
        <w:t>: Socialnämndens ordförande informerades 990831, beslutet fattades 990906. Anteckningen i journalen 990831 har tyvärr blivit felaktigt formul</w:t>
      </w:r>
      <w:r w:rsidRPr="00896D4F">
        <w:t>e</w:t>
      </w:r>
      <w:r w:rsidRPr="00896D4F">
        <w:t>rad.</w:t>
      </w:r>
    </w:p>
    <w:p w:rsidR="009C1C5A" w:rsidRPr="00896D4F" w:rsidRDefault="009C1C5A">
      <w:r w:rsidRPr="00896D4F">
        <w:t>M.N. gavs tillfälle att kommentera remissvaret.</w:t>
      </w:r>
    </w:p>
    <w:p w:rsidR="009C1C5A" w:rsidRPr="00896D4F" w:rsidRDefault="009C1C5A">
      <w:r w:rsidRPr="00896D4F">
        <w:t xml:space="preserve">I ett beslut den 14 maj 2002 anförde </w:t>
      </w:r>
      <w:r w:rsidRPr="00896D4F">
        <w:rPr>
          <w:i/>
        </w:rPr>
        <w:t xml:space="preserve">JO André </w:t>
      </w:r>
      <w:r w:rsidRPr="00896D4F">
        <w:t xml:space="preserve">följande. </w:t>
      </w:r>
    </w:p>
    <w:p w:rsidR="009C1C5A" w:rsidRPr="00896D4F" w:rsidRDefault="009C1C5A">
      <w:pPr>
        <w:pStyle w:val="Rubrik4"/>
      </w:pPr>
      <w:r w:rsidRPr="00896D4F">
        <w:t>Rättslig reglering</w:t>
      </w:r>
    </w:p>
    <w:p w:rsidR="009C1C5A" w:rsidRPr="00896D4F" w:rsidRDefault="009C1C5A">
      <w:r w:rsidRPr="00896D4F">
        <w:t>Vid tidpunkten för de i ärendet aktuella händelserna gällde socialtjänstlagen (1980:620). Jag kommer dock nedan att hänvisa till socialtjänstlagen i dess nuvarande lydelse (2001:453), eftersom tillämpliga bestämmelser är i sak oförändrade.</w:t>
      </w:r>
    </w:p>
    <w:p w:rsidR="009C1C5A" w:rsidRPr="00896D4F" w:rsidRDefault="009C1C5A">
      <w:pPr>
        <w:pStyle w:val="Normaltindrag"/>
      </w:pPr>
      <w:r w:rsidRPr="00896D4F">
        <w:t>Enligt 5 kap. 1 § socialtjänstlagen, SoL, skall en socialnämnd verka för att barn och ungdomar växer upp under trygga och goda förhållanden. Nämnden skall i nära samarbete med hemmen sörja för att barn och ungdomar som riskerar att utvecklas ogynnsamt får det skydd och det stöd de behöver och, om hänsynen till den unges bästa motiverar det, vård och fostran utanför det egna hemmet.</w:t>
      </w:r>
    </w:p>
    <w:p w:rsidR="009C1C5A" w:rsidRPr="00896D4F" w:rsidRDefault="009C1C5A">
      <w:pPr>
        <w:pStyle w:val="Normaltindrag"/>
      </w:pPr>
      <w:r w:rsidRPr="00896D4F">
        <w:t>Enligt 14 kap. 1 § SoL bör var och en som får kännedom om något som kan innebära att socialnämnden behöver ingripa till en underårigs skydd a</w:t>
      </w:r>
      <w:r w:rsidRPr="00896D4F">
        <w:t>n</w:t>
      </w:r>
      <w:r w:rsidRPr="00896D4F">
        <w:t>mäla detta till nämnden. Enligt 11 kap. 1 § SoL skall nämnden utan dröjsmål inleda utred</w:t>
      </w:r>
      <w:r w:rsidRPr="00896D4F">
        <w:softHyphen/>
        <w:t xml:space="preserve">ning av vad som genom ansökan eller på annat sätt, t.ex. genom en anmälan enligt 14 kap. 1 § SoL, kommit till nämndens kännedom och som kan föranleda någon åtgärd av nämnden. </w:t>
      </w:r>
    </w:p>
    <w:p w:rsidR="009C1C5A" w:rsidRPr="00896D4F" w:rsidRDefault="009C1C5A">
      <w:pPr>
        <w:pStyle w:val="Normaltindrag"/>
      </w:pPr>
      <w:r w:rsidRPr="00896D4F">
        <w:t>Socialnämndens insatser för barn och ungdomar bygger på frivillighet från de berörda enskildas sida. Under vissa förutsättningar kan det dock bli fråga om vård utan samtycke. Regler härom finns i lagen (1990:52) med särskilda b</w:t>
      </w:r>
      <w:r w:rsidRPr="00896D4F">
        <w:t>e</w:t>
      </w:r>
      <w:r w:rsidRPr="00896D4F">
        <w:t>stämmelser om vård av unga (LVU).</w:t>
      </w:r>
    </w:p>
    <w:p w:rsidR="009C1C5A" w:rsidRPr="00896D4F" w:rsidRDefault="009C1C5A">
      <w:pPr>
        <w:pStyle w:val="Normaltindrag"/>
      </w:pPr>
      <w:r w:rsidRPr="00896D4F">
        <w:t>Vård enligt LVU skall bl.a. beslutas om det på grund av misshandel, otil</w:t>
      </w:r>
      <w:r w:rsidRPr="00896D4F">
        <w:t>l</w:t>
      </w:r>
      <w:r w:rsidRPr="00896D4F">
        <w:t xml:space="preserve">börligt utnyttjande, brister i omsorgen eller något annat förhållande i hemmet finns en påtaglig risk för att den unges hälsa eller utveckling skadas </w:t>
      </w:r>
      <w:r w:rsidRPr="00896D4F">
        <w:br/>
        <w:t>(2 § LVU). Beslut om vård med stöd av LVU meddelas av länsrätten efter ans</w:t>
      </w:r>
      <w:r w:rsidRPr="00896D4F">
        <w:t>ö</w:t>
      </w:r>
      <w:r w:rsidRPr="00896D4F">
        <w:t>kan av socialnämnden.</w:t>
      </w:r>
    </w:p>
    <w:p w:rsidR="009C1C5A" w:rsidRPr="00896D4F" w:rsidRDefault="009C1C5A">
      <w:pPr>
        <w:pStyle w:val="Normaltindrag"/>
      </w:pPr>
      <w:r w:rsidRPr="00896D4F">
        <w:t>Enligt 6 § LVU får socialnämnden besluta att den som är under 20 år om</w:t>
      </w:r>
      <w:r w:rsidRPr="00896D4F">
        <w:t>e</w:t>
      </w:r>
      <w:r w:rsidRPr="00896D4F">
        <w:t>delbart skall omhändertas, om det är sannolikt att den unge behöver beredas vård med stöd av LVU och rättens beslut om vård inte kan avvaktas med hänsyn till risken för den unges hälsa eller utveckling eller till att den fortsatta utredningen allvarligt kan försvåras eller vidare åtgärder hindras. Om inte nämndens beslut kan avvaktas får enligt paragrafen omhändertagandebeslut fattas av nämndens ordförande eller någon annan ledamot som nämnden har föror</w:t>
      </w:r>
      <w:r w:rsidRPr="00896D4F">
        <w:t>d</w:t>
      </w:r>
      <w:r w:rsidRPr="00896D4F">
        <w:t>nat.</w:t>
      </w:r>
    </w:p>
    <w:p w:rsidR="009C1C5A" w:rsidRPr="00896D4F" w:rsidRDefault="009C1C5A">
      <w:pPr>
        <w:pStyle w:val="Rubrik4"/>
      </w:pPr>
      <w:r w:rsidRPr="00896D4F">
        <w:t>Nämndens beslut att på grund av en anonym anmäla</w:t>
      </w:r>
      <w:r w:rsidRPr="00896D4F">
        <w:t>n inleda en utredning och göra en polisanmälan</w:t>
      </w:r>
    </w:p>
    <w:p w:rsidR="009C1C5A" w:rsidRPr="00896D4F" w:rsidRDefault="009C1C5A">
      <w:r w:rsidRPr="00896D4F">
        <w:t>Socialnämnden beslöt den 3 augusti 1999 att inleda en utredning enligt 11 kap. 1 § SoL angående barnens förhållanden. Beslutet grundades på en anonym anmälan. Det ligger i sakens natur att en sådan anmälan måste b</w:t>
      </w:r>
      <w:r w:rsidRPr="00896D4F">
        <w:t>e</w:t>
      </w:r>
      <w:r w:rsidRPr="00896D4F">
        <w:t>handlas med särskild försiktighet. Någon grund för att avfärda en anmälan bara därför att den är anonym finns inte, utan det är själva innehållet i anm</w:t>
      </w:r>
      <w:r w:rsidRPr="00896D4F">
        <w:t>ä</w:t>
      </w:r>
      <w:r w:rsidRPr="00896D4F">
        <w:t xml:space="preserve">lan som måste vara avgörande för hur nämnden skall hantera den. Även en anonym anmälan kan således ligga till grund för en utredning.   </w:t>
      </w:r>
    </w:p>
    <w:p w:rsidR="009C1C5A" w:rsidRPr="00896D4F" w:rsidRDefault="009C1C5A">
      <w:pPr>
        <w:pStyle w:val="Normaltindrag"/>
      </w:pPr>
      <w:r w:rsidRPr="00896D4F">
        <w:t>Uppgifterna i den anonyma anmälan var förhållandevis detaljerade. Up</w:t>
      </w:r>
      <w:r w:rsidRPr="00896D4F">
        <w:t>p</w:t>
      </w:r>
      <w:r w:rsidRPr="00896D4F">
        <w:t>gifterna var ägnade att inge stor oro för L:s förhållanden. Socialförvaltningen tog anmälan på allvar. Jag finner inte anledning att kritisera socialnämnden för att den fann skäl att inleda en utredning för att klarlägga behovet av åtgä</w:t>
      </w:r>
      <w:r w:rsidRPr="00896D4F">
        <w:t>r</w:t>
      </w:r>
      <w:r w:rsidRPr="00896D4F">
        <w:t>der från nämndens sida när det gällde L. Jag finner inte heller anledning att kritisera nämnden för att den ville utreda L:s yngre brors förhållanden.</w:t>
      </w:r>
    </w:p>
    <w:p w:rsidR="009C1C5A" w:rsidRPr="00896D4F" w:rsidRDefault="009C1C5A">
      <w:pPr>
        <w:pStyle w:val="Normaltindrag"/>
      </w:pPr>
      <w:r w:rsidRPr="00896D4F">
        <w:t>Med utgångspunkt i socialtjänstens skyldighet att värna om barns säkerhet och trygghet får det i allmänhet anses åligga soc</w:t>
      </w:r>
      <w:r w:rsidRPr="00896D4F">
        <w:t>ialnämnden att snarast poli</w:t>
      </w:r>
      <w:r w:rsidRPr="00896D4F">
        <w:t>s</w:t>
      </w:r>
      <w:r w:rsidRPr="00896D4F">
        <w:t>anmäla misstänkta övergrepp mot barn. Vad som i detta fall kommit fram angående nämndens beslut att göra en polisanmälan föranleder inte något särskilt uttalande från min sida.</w:t>
      </w:r>
    </w:p>
    <w:p w:rsidR="009C1C5A" w:rsidRPr="00896D4F" w:rsidRDefault="009C1C5A">
      <w:pPr>
        <w:pStyle w:val="Rubrik4"/>
      </w:pPr>
      <w:r w:rsidRPr="00896D4F">
        <w:t>Utredningen och beslutet om omedelbart omhändertagande</w:t>
      </w:r>
    </w:p>
    <w:p w:rsidR="009C1C5A" w:rsidRPr="00896D4F" w:rsidRDefault="009C1C5A">
      <w:r w:rsidRPr="00896D4F">
        <w:t xml:space="preserve">Den 6 september 1999 omhändertogs barnen omedelbart i enlighet med </w:t>
      </w:r>
      <w:r w:rsidRPr="00896D4F">
        <w:br/>
        <w:t>6 § LVU efter ett beslut av nämndens ordförande. Som skäl för ingripandet angavs att det var sannolikt att barnen behövde vård enligt LVU och att rä</w:t>
      </w:r>
      <w:r w:rsidRPr="00896D4F">
        <w:t>t</w:t>
      </w:r>
      <w:r w:rsidRPr="00896D4F">
        <w:t>tens beslut om sådan vård inte kunde avvaktas med hänsyn till risken för den un</w:t>
      </w:r>
      <w:r w:rsidRPr="00896D4F">
        <w:t>g</w:t>
      </w:r>
      <w:r w:rsidRPr="00896D4F">
        <w:t>es hälsa/utveckling och för att utredningen kunde försvåras.</w:t>
      </w:r>
    </w:p>
    <w:p w:rsidR="009C1C5A" w:rsidRPr="00896D4F" w:rsidRDefault="009C1C5A">
      <w:pPr>
        <w:pStyle w:val="Normaltindrag"/>
      </w:pPr>
      <w:r w:rsidRPr="00896D4F">
        <w:t>Tillämpningen av 6 § LVU bygger på en sannolikhetsbedömning rörande den unges behov av vård med stöd av lagen. Det måste på goda grunder ku</w:t>
      </w:r>
      <w:r w:rsidRPr="00896D4F">
        <w:t>n</w:t>
      </w:r>
      <w:r w:rsidRPr="00896D4F">
        <w:t>na antas att sådan vård är nödvändig för att ett omhändertagande skall kunna ske. Vidare måste man göra en prövning av om rättens beslut kan avvaktas. Om det är fråga om misstanke om sexuella övergrepp gör sig därvid barnets behov av skydd naturligen starkt gällande. Endast om barnets säkerhet på annat sätt kan garanteras kan nämnden, om förutsättningarna för omhändert</w:t>
      </w:r>
      <w:r w:rsidRPr="00896D4F">
        <w:t>a</w:t>
      </w:r>
      <w:r w:rsidRPr="00896D4F">
        <w:t xml:space="preserve">gande i övrigt är uppfyllda, underlåta att fatta beslut härom. </w:t>
      </w:r>
    </w:p>
    <w:p w:rsidR="009C1C5A" w:rsidRPr="00896D4F" w:rsidRDefault="009C1C5A">
      <w:pPr>
        <w:pStyle w:val="Normaltindrag"/>
      </w:pPr>
      <w:r w:rsidRPr="00896D4F">
        <w:t>Skyldigheten att se till att barnet får erforderligt skydd får inte stå til</w:t>
      </w:r>
      <w:r w:rsidRPr="00896D4F">
        <w:t>lbaka för andra hänsynstaganden. Den omständigheten att en polisanmälan har gjorts och att en polisutredning skall påbörjas fritar inte nämnden från dess skyldighet att på egen hand bilda sig en uppfattning om barnets behov av skydd. En annan sak är att nämnden under sin utredning självfallet måste ta viss hänsyn till att en polis</w:t>
      </w:r>
      <w:r w:rsidRPr="00896D4F">
        <w:softHyphen/>
        <w:t xml:space="preserve">utredning pågår. I detta ärende hade polisen inte resurser att omedelbart höra de inblandade personerna. Detta var sannolikt anledningen till att det kom att dröja drygt en månad </w:t>
      </w:r>
      <w:r w:rsidRPr="00896D4F">
        <w:t>från det att anmälan kom in till förvaltningen till dess omhänder</w:t>
      </w:r>
      <w:r w:rsidRPr="00896D4F">
        <w:softHyphen/>
        <w:t>tagandet av barnen ägde rum. Några faktiska utredningsåtgärder tycks inte ha vidtagits förrän i samband med b</w:t>
      </w:r>
      <w:r w:rsidRPr="00896D4F">
        <w:t>e</w:t>
      </w:r>
      <w:r w:rsidRPr="00896D4F">
        <w:t>slutet om tvångsomhändertagande. Under denna tid togs inte heller någon kontakt med M.N. Nämndens passivitet vad gäller frågan om barnens event</w:t>
      </w:r>
      <w:r w:rsidRPr="00896D4F">
        <w:t>u</w:t>
      </w:r>
      <w:r w:rsidRPr="00896D4F">
        <w:t>ella skydd</w:t>
      </w:r>
      <w:r w:rsidRPr="00896D4F">
        <w:t>s</w:t>
      </w:r>
      <w:r w:rsidRPr="00896D4F">
        <w:t>behov i detta skede måste enligt min mening starkt ifråga</w:t>
      </w:r>
      <w:r w:rsidRPr="00896D4F">
        <w:softHyphen/>
        <w:t>sättas.</w:t>
      </w:r>
    </w:p>
    <w:p w:rsidR="009C1C5A" w:rsidRPr="00896D4F" w:rsidRDefault="009C1C5A">
      <w:pPr>
        <w:pStyle w:val="Normaltindrag"/>
      </w:pPr>
      <w:r w:rsidRPr="00896D4F">
        <w:t>Samma dag som barnen omhändertogs enligt 6 § LVU hördes modern och L. av polis. Modern tillbakavisade uppgifterna o</w:t>
      </w:r>
      <w:r w:rsidRPr="00896D4F">
        <w:t>m att den manlige bekanten skulle ha förgripit sig sexuellt mot L. Inte heller förhöret med L. gav något belägg för att övergrepp hade förekommit. Vid bedömningen av frågan om det fanns skäl för ett omedelbart omhändertagande enligt LVU, är det givetvis varken lämpligt eller möjligt att dra några egentliga slutsatser av vad som kommit fram vid ett första polisförhör. Så gjordes uppenbarligen inte heller i förevarande fall. Rent faktiskt innebar detta att det vid tidpunkten för det omedelbara omhändertagande</w:t>
      </w:r>
      <w:r w:rsidRPr="00896D4F">
        <w:t>t inte hade tillförts besluts</w:t>
      </w:r>
      <w:r w:rsidRPr="00896D4F">
        <w:softHyphen/>
        <w:t>underlaget något utöver den anonyma anmälan. Härav torde man kunna sluta sig till att anm</w:t>
      </w:r>
      <w:r w:rsidRPr="00896D4F">
        <w:t>ä</w:t>
      </w:r>
      <w:r w:rsidRPr="00896D4F">
        <w:t>lan tillmätts en avgörande betydelse för beslutet att omedel</w:t>
      </w:r>
      <w:r w:rsidRPr="00896D4F">
        <w:softHyphen/>
        <w:t>bart omhänderta barnen. Eftersom anmälan inte bedömdes kunna leda till ett omhän</w:t>
      </w:r>
      <w:r w:rsidRPr="00896D4F">
        <w:softHyphen/>
        <w:t>der</w:t>
      </w:r>
      <w:r w:rsidRPr="00896D4F">
        <w:softHyphen/>
        <w:t>tagande redan när den kom in till nämnden, upp</w:t>
      </w:r>
      <w:r w:rsidRPr="00896D4F">
        <w:softHyphen/>
        <w:t>kommer givetvis frågan varför up</w:t>
      </w:r>
      <w:r w:rsidRPr="00896D4F">
        <w:t>p</w:t>
      </w:r>
      <w:r w:rsidRPr="00896D4F">
        <w:t>gifterna i anmälan ansågs tillräckliga för ett omhändertagande en månad sen</w:t>
      </w:r>
      <w:r w:rsidRPr="00896D4F">
        <w:t>a</w:t>
      </w:r>
      <w:r w:rsidRPr="00896D4F">
        <w:t xml:space="preserve">re trots att det inte framkommit något ytterligare som gav stöd åt dem. </w:t>
      </w:r>
    </w:p>
    <w:p w:rsidR="009C1C5A" w:rsidRPr="00896D4F" w:rsidRDefault="009C1C5A">
      <w:pPr>
        <w:pStyle w:val="Normaltindrag"/>
      </w:pPr>
      <w:r w:rsidRPr="00896D4F">
        <w:t>Enligt min bedömn</w:t>
      </w:r>
      <w:r w:rsidRPr="00896D4F">
        <w:t>ing borde nämnden ha vidtagit ytterligare utrednings</w:t>
      </w:r>
      <w:r w:rsidRPr="00896D4F">
        <w:softHyphen/>
        <w:t>åtgärder i ärendet tidigare än vad som blev fallet, och nämnden borde således ha sett till att den hade ett bättre underlag för beslutet att omedelbart omhä</w:t>
      </w:r>
      <w:r w:rsidRPr="00896D4F">
        <w:t>n</w:t>
      </w:r>
      <w:r w:rsidRPr="00896D4F">
        <w:t xml:space="preserve">derta barnen. </w:t>
      </w:r>
    </w:p>
    <w:p w:rsidR="009C1C5A" w:rsidRPr="00896D4F" w:rsidRDefault="009C1C5A">
      <w:pPr>
        <w:pStyle w:val="Rubrik4"/>
      </w:pPr>
      <w:r w:rsidRPr="00896D4F">
        <w:t>Frågan om läkarundersökning</w:t>
      </w:r>
    </w:p>
    <w:p w:rsidR="009C1C5A" w:rsidRPr="00896D4F" w:rsidRDefault="009C1C5A">
      <w:r w:rsidRPr="00896D4F">
        <w:t>När ett omhändertagande enligt 6 § LVU aktualiseras måste utredningen bedrivas med särskild skyndsamhet. I ett sådant fall finns det begränsade möjligheter att inhämta ett fullständigt underlag för beslutet. Hänsynen till en polisutredning kan också påverka nämndens handlingsutrymme. När ett äre</w:t>
      </w:r>
      <w:r w:rsidRPr="00896D4F">
        <w:t>n</w:t>
      </w:r>
      <w:r w:rsidRPr="00896D4F">
        <w:t>de hos socialnämnden gäller misstanke om misshandel av eller sexuellt öve</w:t>
      </w:r>
      <w:r w:rsidRPr="00896D4F">
        <w:t>r</w:t>
      </w:r>
      <w:r w:rsidRPr="00896D4F">
        <w:t>grepp mot barn är en läkarundersökning ofta nödvändig för att socialnämnden skall kunna bedöma den unges behov av vård. En läkarundersökning av en underårig bör i första hand ske i samråd med den unge och hans eller hennes vårdnadshavare. Om detta inte är möjligt och nämnden finner det nödvändigt med en sådan undersökning, kan nämnden med stöd av 32 § LVU besluta om läkarundersökning och utse läkare för undersökningen.</w:t>
      </w:r>
    </w:p>
    <w:p w:rsidR="009C1C5A" w:rsidRPr="00896D4F" w:rsidRDefault="009C1C5A">
      <w:pPr>
        <w:pStyle w:val="Normaltindrag"/>
      </w:pPr>
      <w:r w:rsidRPr="00896D4F">
        <w:t xml:space="preserve">Såvitt kommit </w:t>
      </w:r>
      <w:r w:rsidRPr="00896D4F">
        <w:t>fram avsåg inte polis eller åklagare att ta initiativ till en l</w:t>
      </w:r>
      <w:r w:rsidRPr="00896D4F">
        <w:t>ä</w:t>
      </w:r>
      <w:r w:rsidRPr="00896D4F">
        <w:t>kar</w:t>
      </w:r>
      <w:r w:rsidRPr="00896D4F">
        <w:softHyphen/>
        <w:t>undersökning. Den 21 september 1999 genomfördes dock en rättsmed</w:t>
      </w:r>
      <w:r w:rsidRPr="00896D4F">
        <w:t>i</w:t>
      </w:r>
      <w:r w:rsidRPr="00896D4F">
        <w:t>cinsk undersökning av L. Enligt läkar</w:t>
      </w:r>
      <w:r w:rsidRPr="00896D4F">
        <w:softHyphen/>
        <w:t>utlåtandet skedde den på uppdrag av polis</w:t>
      </w:r>
      <w:r w:rsidRPr="00896D4F">
        <w:softHyphen/>
        <w:t>myndigheten. Undersökningen kom till stånd efter att modern den 14 sep</w:t>
      </w:r>
      <w:r w:rsidRPr="00896D4F">
        <w:softHyphen/>
        <w:t>tember 1999 hade lämnat sitt medgivande till en läkar</w:t>
      </w:r>
      <w:r w:rsidRPr="00896D4F">
        <w:softHyphen/>
        <w:t>undersökning. U</w:t>
      </w:r>
      <w:r w:rsidRPr="00896D4F">
        <w:t>n</w:t>
      </w:r>
      <w:r w:rsidRPr="00896D4F">
        <w:t>der</w:t>
      </w:r>
      <w:r w:rsidRPr="00896D4F">
        <w:softHyphen/>
        <w:t>sökningen gav inte stöd för att L. hade utsatts för något sexuellt övergrepp. På grund av vad som kom fram beslutades att omhänder</w:t>
      </w:r>
      <w:r w:rsidRPr="00896D4F">
        <w:softHyphen/>
        <w:t>tagandet skulle up</w:t>
      </w:r>
      <w:r w:rsidRPr="00896D4F">
        <w:t>p</w:t>
      </w:r>
      <w:r w:rsidRPr="00896D4F">
        <w:t>höra</w:t>
      </w:r>
      <w:r w:rsidRPr="00896D4F">
        <w:t>.</w:t>
      </w:r>
    </w:p>
    <w:p w:rsidR="009C1C5A" w:rsidRPr="00896D4F" w:rsidRDefault="009C1C5A">
      <w:pPr>
        <w:pStyle w:val="Normaltindrag"/>
      </w:pPr>
      <w:r w:rsidRPr="00896D4F">
        <w:t>Resultatet av den rättsmedicinska undersökningen tillmättes stor betydelse. Den utfördes dock först drygt två veckor efter beslutet om omhändertagande. Om den hade utförts i anslutning till omhändertagandet ger utredningen här vid handen att omhändertagandet hade upphört långt tidigare än som blev fallet. Som nämnden anfört ansåg polisen att den inte kunde föranstalta om en läkarundersökning. Socialnämnden har dock haft ett självständigt ansvar för att klarlägga förutsätt</w:t>
      </w:r>
      <w:r w:rsidRPr="00896D4F">
        <w:softHyphen/>
        <w:t>ningarna för behovet av vård enligt LVU och därvid själv kunnat fatta ett beslut om läkarundersökning av flickan. Jag konstaterar att länsrätten tycks ha ansett att en sådan undersökning var nödvändig för att kunna ta ställning till det omedelbara omhändertagandet. Enligt vad som kommit fram synes nämnden dock inte ens ha övervägt att för egen del fatta ett beslut om undersökning av L. Detta är enligt min mening anmärkning</w:t>
      </w:r>
      <w:r w:rsidRPr="00896D4F">
        <w:t>s</w:t>
      </w:r>
      <w:r w:rsidRPr="00896D4F">
        <w:t>värt.</w:t>
      </w:r>
    </w:p>
    <w:p w:rsidR="009C1C5A" w:rsidRPr="00896D4F" w:rsidRDefault="009C1C5A">
      <w:pPr>
        <w:pStyle w:val="Rubrik4"/>
      </w:pPr>
      <w:r w:rsidRPr="00896D4F">
        <w:t>Samtycke till placering</w:t>
      </w:r>
    </w:p>
    <w:p w:rsidR="009C1C5A" w:rsidRPr="00896D4F" w:rsidRDefault="009C1C5A">
      <w:r w:rsidRPr="00896D4F">
        <w:t>I sammanhanget bör påpekas att socialnämnden bör överväga om barnets behov av skydd kan tillgodoses på något annat sätt än genom ett omhändert</w:t>
      </w:r>
      <w:r w:rsidRPr="00896D4F">
        <w:t>a</w:t>
      </w:r>
      <w:r w:rsidRPr="00896D4F">
        <w:t>gande enligt LVU. Huvudregeln är att socialtjänstens insatser beträffande barn skall ske i samråd med föräldrarna. Detta gäller även om ett ingripande enligt LVU aktualiseras. Anser nämnden att ett barn behöver skiljas från föräldrarna för vidare utredning eller för att bereda barnet skydd skall näm</w:t>
      </w:r>
      <w:r w:rsidRPr="00896D4F">
        <w:t>n</w:t>
      </w:r>
      <w:r w:rsidRPr="00896D4F">
        <w:t>den undersöka om föräldrarna frivilligt går med på att barnet placeras utanför hemmet (se bl.a. JO:s ämbetsberättelse 1986/87 s. 145). Den omständigheten att vårdnadshavarna samtycker till att barnet bereds såd</w:t>
      </w:r>
      <w:r w:rsidRPr="00896D4F">
        <w:t>an vård utesluter inte alltid en tillämpning av LVU. Om vårdnadshavarna inte kan antas godkänna den planerade vården i dess helhet eller kan antas ingripa i denna, kan vård enligt LVU beslutas trots att vårdnadshavarna har samtyckt till en placering. Om tillräckliga säkerhetsåtgärder således inte kan vidtas inom ramen för en frivillig placering, måste tvångsåtgärder enligt LVU övervägas.</w:t>
      </w:r>
    </w:p>
    <w:p w:rsidR="009C1C5A" w:rsidRPr="00896D4F" w:rsidRDefault="009C1C5A">
      <w:pPr>
        <w:pStyle w:val="Normaltindrag"/>
      </w:pPr>
      <w:r w:rsidRPr="00896D4F">
        <w:t>Huruvida nämnden, efter det att anmälan inkommit i början av augusti 1999, övervägt möjligheten att få M.N:s samtycke til</w:t>
      </w:r>
      <w:r w:rsidRPr="00896D4F">
        <w:t>l att placera barnen i ett utred</w:t>
      </w:r>
      <w:r w:rsidRPr="00896D4F">
        <w:softHyphen/>
        <w:t>ningshem eller att läkarundersöka L. är oklart. Möjligheten att diskutera sådana frågor med vårdnadshavaren är naturligtvis mer begränsad när gru</w:t>
      </w:r>
      <w:r w:rsidRPr="00896D4F">
        <w:t>n</w:t>
      </w:r>
      <w:r w:rsidRPr="00896D4F">
        <w:t>den för omhändertagandet är att den fortsatta utredningen rörande barnets behov av vård inte allvarligt skall försvåras. Den omständigheten att barnen senare kom att placeras på ett utredningshem tillsammans med M.N. medför enligt min mening att utredningsintresset knappast motiverade att ingripandet skedde utan före</w:t>
      </w:r>
      <w:r w:rsidRPr="00896D4F">
        <w:softHyphen/>
        <w:t>gående kontakt</w:t>
      </w:r>
      <w:r w:rsidRPr="00896D4F">
        <w:t xml:space="preserve"> med M.N.</w:t>
      </w:r>
    </w:p>
    <w:p w:rsidR="009C1C5A" w:rsidRPr="00896D4F" w:rsidRDefault="009C1C5A">
      <w:pPr>
        <w:pStyle w:val="Rubrik4"/>
      </w:pPr>
      <w:r w:rsidRPr="00896D4F">
        <w:t>Övriga frågor</w:t>
      </w:r>
    </w:p>
    <w:p w:rsidR="009C1C5A" w:rsidRPr="00896D4F" w:rsidRDefault="009C1C5A">
      <w:r w:rsidRPr="00896D4F">
        <w:t>Avslutningsvis vill jag påpeka att det i L:s personakt finns en handräcknings-begäran från den 14 september 1999 om att L. skulle hämtas till läkarunder-sökning. Begäran var undertecknad av en socialsekreterare. Huruvida L. fö</w:t>
      </w:r>
      <w:r w:rsidRPr="00896D4F">
        <w:t>r</w:t>
      </w:r>
      <w:r w:rsidRPr="00896D4F">
        <w:t>des till undersökningen genom polisens försorg är oklart. Eftersom M.N. samtyckt till läkarundersökningen har jag inte funnit skäl att granska frågan. Jag vill dock erinra om att en begäran om polishandräckning för att genomf</w:t>
      </w:r>
      <w:r w:rsidRPr="00896D4F">
        <w:t>ö</w:t>
      </w:r>
      <w:r w:rsidRPr="00896D4F">
        <w:t xml:space="preserve">ra en läkarundersökning utgör en sådan fråga som inte får delegeras till en anställd vid nämndens förvaltning (jfr 43 § LVU och 10 kap. 4 § SoL). </w:t>
      </w:r>
    </w:p>
    <w:p w:rsidR="009C1C5A" w:rsidRPr="00896D4F" w:rsidRDefault="009C1C5A">
      <w:pPr>
        <w:pStyle w:val="Normaltindrag"/>
      </w:pPr>
      <w:r w:rsidRPr="00896D4F">
        <w:t>M.N. har begärt ekonomisk upprättelse. Det ankommer inte på JO att pr</w:t>
      </w:r>
      <w:r w:rsidRPr="00896D4F">
        <w:t>ö</w:t>
      </w:r>
      <w:r w:rsidRPr="00896D4F">
        <w:t>va frågor om skadestånd.</w:t>
      </w:r>
    </w:p>
    <w:p w:rsidR="009C1C5A" w:rsidRPr="00896D4F" w:rsidRDefault="009C1C5A">
      <w:r w:rsidRPr="00896D4F">
        <w:t>_______</w:t>
      </w:r>
    </w:p>
    <w:p w:rsidR="009C1C5A" w:rsidRPr="00896D4F" w:rsidRDefault="009C1C5A">
      <w:r w:rsidRPr="00896D4F">
        <w:t xml:space="preserve">Sammanfattningsvis måste jag konstatera att socialnämndens handläggning i förevarande fall inte kan anses uppfylla de höga krav som måste ställas när det gäller ärenden enligt LVU vilka ytterst rör frihetsberövande av enskild person. </w:t>
      </w:r>
    </w:p>
    <w:p w:rsidR="009C1C5A" w:rsidRPr="00896D4F" w:rsidRDefault="009C1C5A">
      <w:pPr>
        <w:pStyle w:val="Normaltindrag"/>
      </w:pPr>
      <w:r w:rsidRPr="00896D4F">
        <w:t>Jag finner dock inte anledning att nu gå vidare i saken utan nöjer mig med den kritik som framgår av det anförda.</w:t>
      </w:r>
    </w:p>
    <w:p w:rsidR="009C1C5A" w:rsidRPr="00896D4F" w:rsidRDefault="009C1C5A">
      <w:pPr>
        <w:pStyle w:val="Rubrik2"/>
      </w:pPr>
      <w:r w:rsidRPr="00896D4F">
        <w:t>Fråga om socialnämndens skyldighet att samråda med vårdnads-havaren i frågor som rör ett barn som vårdas enligt LVU</w:t>
      </w:r>
    </w:p>
    <w:p w:rsidR="009C1C5A" w:rsidRPr="00896D4F" w:rsidRDefault="009C1C5A">
      <w:pPr>
        <w:spacing w:before="0"/>
      </w:pPr>
      <w:r w:rsidRPr="00896D4F">
        <w:t>(Dnr 809-2000)</w:t>
      </w:r>
    </w:p>
    <w:p w:rsidR="009C1C5A" w:rsidRPr="00896D4F" w:rsidRDefault="009C1C5A">
      <w:r w:rsidRPr="00896D4F">
        <w:t xml:space="preserve">I en anmälan till JO klagade M.N. och T.P. på Socialnämnden i Västerviks kommun angående handläggningen av ett LVU-ärende rörande sonen M., född 1983. De framförde bl.a. följande klagomål. </w:t>
      </w:r>
    </w:p>
    <w:p w:rsidR="009C1C5A" w:rsidRPr="00896D4F" w:rsidRDefault="009C1C5A">
      <w:r w:rsidRPr="00896D4F">
        <w:t>1. Socialnämnden hade inte informerat dem om vad som skett och vad som planerades avseende M:s placering i familjehemmet.</w:t>
      </w:r>
    </w:p>
    <w:p w:rsidR="009C1C5A" w:rsidRPr="00896D4F" w:rsidRDefault="009C1C5A">
      <w:r w:rsidRPr="00896D4F">
        <w:t>2. Socialnämnden hade inte informerat dem om möten som hölls rörande M. De fick inte veta när ärendet skulle tas upp i IFO-gruppen eller i sociala u</w:t>
      </w:r>
      <w:r w:rsidRPr="00896D4F">
        <w:t>t</w:t>
      </w:r>
      <w:r w:rsidRPr="00896D4F">
        <w:t>skottet.</w:t>
      </w:r>
    </w:p>
    <w:p w:rsidR="009C1C5A" w:rsidRPr="00896D4F" w:rsidRDefault="009C1C5A">
      <w:r w:rsidRPr="00896D4F">
        <w:t xml:space="preserve">3. Socialnämnden hade underlåtit att informera dem om att M. undersökts av  psykolog vid BUP. De hade själva fått ta reda på varför undersökningar gjorts och resultatet av undersökningarna. </w:t>
      </w:r>
    </w:p>
    <w:p w:rsidR="009C1C5A" w:rsidRPr="00896D4F" w:rsidRDefault="009C1C5A">
      <w:r w:rsidRPr="00896D4F">
        <w:t>4. Familjehemmet hade uppgett att det inte, trots upprepade påstötningar under två års tid, fått någon handledning från nämnden.</w:t>
      </w:r>
    </w:p>
    <w:p w:rsidR="009C1C5A" w:rsidRPr="00896D4F" w:rsidRDefault="009C1C5A">
      <w:r w:rsidRPr="00896D4F">
        <w:t>5. De fick inte veta vad nämnden planerade avseende M. och inte heller hur nämnden tänkt sig kontakten mellan dem och M.</w:t>
      </w:r>
    </w:p>
    <w:p w:rsidR="009C1C5A" w:rsidRPr="00896D4F" w:rsidRDefault="009C1C5A">
      <w:r w:rsidRPr="00896D4F">
        <w:t>6. M. fick inget stöd från nämnden i förhållande till M.N. och T.P. Själva fick de  inte från skolan någon som helst information avseende M.</w:t>
      </w:r>
    </w:p>
    <w:p w:rsidR="009C1C5A" w:rsidRPr="00896D4F" w:rsidRDefault="009C1C5A">
      <w:r w:rsidRPr="00896D4F">
        <w:t>7. Nämndens omprövningar av LVU-vården ägde rum utan deras vetskap.</w:t>
      </w:r>
    </w:p>
    <w:p w:rsidR="009C1C5A" w:rsidRPr="00896D4F" w:rsidRDefault="009C1C5A">
      <w:r w:rsidRPr="00896D4F">
        <w:t>I en kompletterande skrivelse gjorde T.P. och M.N. gällande att socialnäm</w:t>
      </w:r>
      <w:r w:rsidRPr="00896D4F">
        <w:t>n</w:t>
      </w:r>
      <w:r w:rsidRPr="00896D4F">
        <w:t xml:space="preserve">den hade gjort sig skyldig till sekretessbrott genom att överlämna material i LVU-ärendet till BUP i Nybro. De uppgav att BUP hade fått tillgång till nämndens papper angående M. och dem och att detta hade skett utan att </w:t>
      </w:r>
      <w:r w:rsidRPr="00896D4F">
        <w:br/>
        <w:t xml:space="preserve">socialnämnden hade informerat dem om att nämnden avsåg att översända myndighetens handlingar till BUP.   </w:t>
      </w:r>
    </w:p>
    <w:p w:rsidR="009C1C5A" w:rsidRPr="00896D4F" w:rsidRDefault="009C1C5A">
      <w:r w:rsidRPr="00896D4F">
        <w:t>Socialnämnden i Västerviks kommun anmodades att inkomma med utredning och yttrande över vad som framförts i anmälan till JO. Nämnden lämnade ett av förvaltningsjuristen Jenny Johansson</w:t>
      </w:r>
      <w:r w:rsidRPr="00896D4F">
        <w:t xml:space="preserve"> upprättat yttrande som sitt remissvar. I yttrandet anfördes bl.a. följande.</w:t>
      </w:r>
    </w:p>
    <w:p w:rsidR="009C1C5A" w:rsidRPr="00896D4F" w:rsidRDefault="009C1C5A">
      <w:pPr>
        <w:pStyle w:val="Citat"/>
        <w:rPr>
          <w:u w:val="single"/>
        </w:rPr>
      </w:pPr>
      <w:r w:rsidRPr="00896D4F">
        <w:rPr>
          <w:u w:val="single"/>
        </w:rPr>
        <w:t xml:space="preserve">Bakgrund </w:t>
      </w:r>
    </w:p>
    <w:p w:rsidR="009C1C5A" w:rsidRPr="00896D4F" w:rsidRDefault="009C1C5A">
      <w:pPr>
        <w:pStyle w:val="Citat"/>
      </w:pPr>
      <w:r w:rsidRPr="00896D4F">
        <w:t>M. (83-) är son till T.P. och M.N. Socialnämnden i Västerviks kommun b</w:t>
      </w:r>
      <w:r w:rsidRPr="00896D4F">
        <w:t>e</w:t>
      </w:r>
      <w:r w:rsidRPr="00896D4F">
        <w:t>slutade, genom sociala utskottet (SOU), den 11 oktober 1995 att ansöka om att M. skulle beredas vård med stöd av 2 § LVU. Länsrätten i Kalmar län biföll socialnämndens ansökan den 9 november 1995.</w:t>
      </w:r>
    </w:p>
    <w:p w:rsidR="009C1C5A" w:rsidRPr="00896D4F" w:rsidRDefault="009C1C5A">
      <w:pPr>
        <w:pStyle w:val="Citatindrag"/>
      </w:pPr>
      <w:r w:rsidRPr="00896D4F">
        <w:t>M. har sedan den 20 november 1995 varit placerad hos makarna K.P. och B.P. i B.</w:t>
      </w:r>
    </w:p>
    <w:p w:rsidR="009C1C5A" w:rsidRPr="00896D4F" w:rsidRDefault="009C1C5A">
      <w:pPr>
        <w:pStyle w:val="Citat"/>
        <w:rPr>
          <w:u w:val="single"/>
        </w:rPr>
      </w:pPr>
      <w:r w:rsidRPr="00896D4F">
        <w:rPr>
          <w:u w:val="single"/>
        </w:rPr>
        <w:t>Bemötande av T.P:s och M.N:s framförda synpunkter i anmälan till JO</w:t>
      </w:r>
    </w:p>
    <w:p w:rsidR="009C1C5A" w:rsidRPr="00896D4F" w:rsidRDefault="009C1C5A">
      <w:pPr>
        <w:pStyle w:val="Citat"/>
      </w:pPr>
      <w:r w:rsidRPr="00896D4F">
        <w:t>Bemötande sker i enlighet med de av T.P. och M.N. gjorda punktema.</w:t>
      </w:r>
    </w:p>
    <w:p w:rsidR="009C1C5A" w:rsidRPr="00896D4F" w:rsidRDefault="009C1C5A">
      <w:pPr>
        <w:pStyle w:val="Citatindrag"/>
      </w:pPr>
      <w:r w:rsidRPr="00896D4F">
        <w:t>1. Vid ansökan om LVU av M. redovisades en vårdplan. Däri angavs syftet med valet av placering samt vad placeringen skulle leda till. Föräldrarna har tagit del av denna vårdplan. Vidare har representant från socialnämnden til</w:t>
      </w:r>
      <w:r w:rsidRPr="00896D4F">
        <w:t>l</w:t>
      </w:r>
      <w:r w:rsidRPr="00896D4F">
        <w:t>sam</w:t>
      </w:r>
      <w:r w:rsidRPr="00896D4F">
        <w:softHyphen/>
        <w:t>mans med föräldrarna besökt familjehemmet. Telefonkontakt med föräl</w:t>
      </w:r>
      <w:r w:rsidRPr="00896D4F">
        <w:t>d</w:t>
      </w:r>
      <w:r w:rsidRPr="00896D4F">
        <w:t>rarna har också hållits. Nämndens uppfattning är således att föräldrarna for</w:t>
      </w:r>
      <w:r w:rsidRPr="00896D4F">
        <w:t>t</w:t>
      </w:r>
      <w:r w:rsidRPr="00896D4F">
        <w:t>löpande hållits informerade om frågor i anledning av placeringen men bekl</w:t>
      </w:r>
      <w:r w:rsidRPr="00896D4F">
        <w:t>a</w:t>
      </w:r>
      <w:r w:rsidRPr="00896D4F">
        <w:t>gar naturligtvis att föräldrarna inte up</w:t>
      </w:r>
      <w:r w:rsidRPr="00896D4F">
        <w:t>p</w:t>
      </w:r>
      <w:r w:rsidRPr="00896D4F">
        <w:t>fattat situationen så.</w:t>
      </w:r>
    </w:p>
    <w:p w:rsidR="009C1C5A" w:rsidRPr="00896D4F" w:rsidRDefault="009C1C5A">
      <w:pPr>
        <w:pStyle w:val="Citatindrag"/>
      </w:pPr>
      <w:r w:rsidRPr="00896D4F">
        <w:t>2. Någon information lämnas inte till vårdnadshavare i de fall där enskilda ärenden diskuteras i handledning eller liknande träffar. Syftet med diskussi</w:t>
      </w:r>
      <w:r w:rsidRPr="00896D4F">
        <w:t>o</w:t>
      </w:r>
      <w:r w:rsidRPr="00896D4F">
        <w:t>nerna är i des</w:t>
      </w:r>
      <w:r w:rsidRPr="00896D4F">
        <w:softHyphen/>
        <w:t>sa fall endast att lämna råd eller stöd till ärendets handläggare. Några beslut fat</w:t>
      </w:r>
      <w:r w:rsidRPr="00896D4F">
        <w:softHyphen/>
        <w:t>tas aldrig.</w:t>
      </w:r>
    </w:p>
    <w:p w:rsidR="009C1C5A" w:rsidRPr="00896D4F" w:rsidRDefault="009C1C5A">
      <w:pPr>
        <w:pStyle w:val="Citatindrag"/>
      </w:pPr>
      <w:r w:rsidRPr="00896D4F">
        <w:t>Västerviks socialnämnd har genom sitt utskott var sjätte månad övervägt om vår</w:t>
      </w:r>
      <w:r w:rsidRPr="00896D4F">
        <w:softHyphen/>
        <w:t>den av M. skall fortgå. Ansvarig tjänsteman har då anmält dit hur vår</w:t>
      </w:r>
      <w:r w:rsidRPr="00896D4F">
        <w:softHyphen/>
        <w:t>den bedrivits samt hur förhållandena hos vårdnadshavarna ser ut. Med anle</w:t>
      </w:r>
      <w:r w:rsidRPr="00896D4F">
        <w:t>d</w:t>
      </w:r>
      <w:r w:rsidRPr="00896D4F">
        <w:t>ning av att dessa överväganden inte föranlett någon åtgärd från nämndens sida har anmälan lagts till handlingarna. Inför ett sådant övervägande info</w:t>
      </w:r>
      <w:r w:rsidRPr="00896D4F">
        <w:t>r</w:t>
      </w:r>
      <w:r w:rsidRPr="00896D4F">
        <w:t>meras inte vårdnadshavarna. Detta i enlighet med Socialstyrelsens allmänna råd 1997:15.</w:t>
      </w:r>
    </w:p>
    <w:p w:rsidR="009C1C5A" w:rsidRPr="00896D4F" w:rsidRDefault="009C1C5A">
      <w:pPr>
        <w:pStyle w:val="Citatindrag"/>
      </w:pPr>
      <w:r w:rsidRPr="00896D4F">
        <w:t>I de fall vårdnadshavarna begärt att vården skall upphöra och ärendet till följd här</w:t>
      </w:r>
      <w:r w:rsidRPr="00896D4F">
        <w:softHyphen/>
        <w:t>av tagits upp i utskottet har förvaltningslagens regler om partsinsyn, kommunika</w:t>
      </w:r>
      <w:r w:rsidRPr="00896D4F">
        <w:softHyphen/>
        <w:t>tion etc. tillämpats fullt ut.</w:t>
      </w:r>
    </w:p>
    <w:p w:rsidR="009C1C5A" w:rsidRPr="00896D4F" w:rsidRDefault="009C1C5A">
      <w:pPr>
        <w:pStyle w:val="Citatindrag"/>
      </w:pPr>
      <w:r w:rsidRPr="00896D4F">
        <w:t>3. Under sommaren 1999 kontaktades BUP i syfte att få ett utlåtande ang</w:t>
      </w:r>
      <w:r w:rsidRPr="00896D4F">
        <w:t>å</w:t>
      </w:r>
      <w:r w:rsidRPr="00896D4F">
        <w:t>ende M. och hans hjälp och stödbehov. Remissvar lämnades den 17 augusti 1999. Någon kontakt togs inte med föräldrarna innan begäran om ett utlåtande skedde. Någon skyldighet att meddela föräldrarna om detta innan kan enligt nämndens mening inte anses föreligga, även om det varit lämpligt. Den ko</w:t>
      </w:r>
      <w:r w:rsidRPr="00896D4F">
        <w:t>n</w:t>
      </w:r>
      <w:r w:rsidRPr="00896D4F">
        <w:t>takt som togs med BUP var ett nödvändigt led i nämndens vårdansvar för M. Syftet var att kunna ge M. den adekvata vården och stödet. Föräldrarna tog del av remis</w:t>
      </w:r>
      <w:r w:rsidRPr="00896D4F">
        <w:softHyphen/>
        <w:t>svaret inför sociala utskottets sammanträde den 25 a</w:t>
      </w:r>
      <w:r w:rsidRPr="00896D4F">
        <w:t>ugusti 1999.</w:t>
      </w:r>
    </w:p>
    <w:p w:rsidR="009C1C5A" w:rsidRPr="00896D4F" w:rsidRDefault="009C1C5A">
      <w:pPr>
        <w:pStyle w:val="Citatindrag"/>
      </w:pPr>
      <w:r w:rsidRPr="00896D4F">
        <w:t>4. Familjehemmet har efterfrågat vägledning i sin roll av familjehem för M. Någon regelrätt begäran om handledning i traditionell mening har inte framförts från familjehemmets sida och något behov därav har heller inte på annat sätt framkommit. Familjehemmet har erhållit vägledning genom ko</w:t>
      </w:r>
      <w:r w:rsidRPr="00896D4F">
        <w:t>n</w:t>
      </w:r>
      <w:r w:rsidRPr="00896D4F">
        <w:t>takter med BUP i Nybro kommun. Kontakter har förekommit i tre omgångar om ca 3–5 besök per omgång.</w:t>
      </w:r>
    </w:p>
    <w:p w:rsidR="009C1C5A" w:rsidRPr="00896D4F" w:rsidRDefault="009C1C5A">
      <w:pPr>
        <w:pStyle w:val="Citatindrag"/>
      </w:pPr>
      <w:r w:rsidRPr="00896D4F">
        <w:t>5. Vid ansökan om beredande av vård av M. enligt LVU fanns en uppgjord vårdplan. Därefter har ärendet prövats av såväl socialnämnden som domstol vid ett flertal tillfällen. Härvid torde det ha framgått vilken planering som förelegat för M. Den omständigheten att föräldrarna trots detta inte uppfattat den informa</w:t>
      </w:r>
      <w:r w:rsidRPr="00896D4F">
        <w:softHyphen/>
        <w:t>tionen är naturligtvis beklagligt.</w:t>
      </w:r>
    </w:p>
    <w:p w:rsidR="009C1C5A" w:rsidRPr="00896D4F" w:rsidRDefault="009C1C5A">
      <w:pPr>
        <w:pStyle w:val="Citatindrag"/>
      </w:pPr>
      <w:r w:rsidRPr="00896D4F">
        <w:t>Något beslut gällande umgängesrestriktioner har inte fattats. Umgänge</w:t>
      </w:r>
      <w:r w:rsidRPr="00896D4F">
        <w:t>s</w:t>
      </w:r>
      <w:r w:rsidRPr="00896D4F">
        <w:t>plan har upprättats innebärande umgänge växelvis i familjehemmet och i föräldrarnas hem. Föräldrarna har också tät telefonkontakt med M. Frågor angående umgänget diskuteras löpande och umgänget har, enligt nämndens mening, fungerat väl. Utvidgning av tiden för umgänge har också skett.</w:t>
      </w:r>
    </w:p>
    <w:p w:rsidR="009C1C5A" w:rsidRPr="00896D4F" w:rsidRDefault="009C1C5A">
      <w:pPr>
        <w:pStyle w:val="Citatindrag"/>
      </w:pPr>
      <w:r w:rsidRPr="00896D4F">
        <w:t>6. Socialnämnden har ett vårdansvar för M. och skall medverka till att han får god vård och fostran och i övrigt gynnsamma uppväxtförhållanden. Pl</w:t>
      </w:r>
      <w:r w:rsidRPr="00896D4F">
        <w:t>a</w:t>
      </w:r>
      <w:r w:rsidRPr="00896D4F">
        <w:t>ceringen av M. i familjehemmet skall garantera M. den för honom behövliga vården vari ingår umgänge med föräldrarna. Nämndens mening är att M. får det stöd av socialnämnden han är i behov av i ifr</w:t>
      </w:r>
      <w:r w:rsidRPr="00896D4F">
        <w:t>å</w:t>
      </w:r>
      <w:r w:rsidRPr="00896D4F">
        <w:t>gavarande hänseende.</w:t>
      </w:r>
    </w:p>
    <w:p w:rsidR="009C1C5A" w:rsidRPr="00896D4F" w:rsidRDefault="009C1C5A">
      <w:pPr>
        <w:pStyle w:val="Citatindrag"/>
      </w:pPr>
      <w:r w:rsidRPr="00896D4F">
        <w:t xml:space="preserve">Vad gäller information från skolan har föräldrarna alltid möjlighet att kontakta skolan för att förhöra sig om M:s situation. Förekomsten av brister vad gäller information från skolans sida till föräldrarna saknar socialnämnden närmare kännedom om. </w:t>
      </w:r>
    </w:p>
    <w:p w:rsidR="009C1C5A" w:rsidRPr="00896D4F" w:rsidRDefault="009C1C5A">
      <w:pPr>
        <w:pStyle w:val="Citatindrag"/>
      </w:pPr>
      <w:r w:rsidRPr="00896D4F">
        <w:t>7. Vad gäller anmärkningen under denna punkt hänvisas till vad som a</w:t>
      </w:r>
      <w:r w:rsidRPr="00896D4F">
        <w:t>n</w:t>
      </w:r>
      <w:r w:rsidRPr="00896D4F">
        <w:t>förts un</w:t>
      </w:r>
      <w:r w:rsidRPr="00896D4F">
        <w:softHyphen/>
        <w:t>der punkt 2 ovan.</w:t>
      </w:r>
    </w:p>
    <w:p w:rsidR="009C1C5A" w:rsidRPr="00896D4F" w:rsidRDefault="009C1C5A">
      <w:pPr>
        <w:pStyle w:val="Citat"/>
      </w:pPr>
      <w:r w:rsidRPr="00896D4F">
        <w:t>– – –</w:t>
      </w:r>
    </w:p>
    <w:p w:rsidR="009C1C5A" w:rsidRPr="00896D4F" w:rsidRDefault="009C1C5A">
      <w:pPr>
        <w:pStyle w:val="Citat"/>
      </w:pPr>
      <w:r w:rsidRPr="00896D4F">
        <w:t>Det är riktigt att material överlämnats från socialtjänsten till BUP. Nämndens upp</w:t>
      </w:r>
      <w:r w:rsidRPr="00896D4F">
        <w:softHyphen/>
        <w:t>fattning är att ett sådant överlämnande överensstämmer med möjligheten att överlämna information mellan myndigheter inom hälso- och sjukvården och social</w:t>
      </w:r>
      <w:r w:rsidRPr="00896D4F">
        <w:softHyphen/>
        <w:t>tjänsten i syfte att enskild som inte fyllt arton år skall få nödvändig vård, behand</w:t>
      </w:r>
      <w:r w:rsidRPr="00896D4F">
        <w:softHyphen/>
        <w:t>ling eller annat stöd.</w:t>
      </w:r>
    </w:p>
    <w:p w:rsidR="009C1C5A" w:rsidRPr="00896D4F" w:rsidRDefault="009C1C5A">
      <w:pPr>
        <w:pStyle w:val="Citatindrag"/>
      </w:pPr>
      <w:r w:rsidRPr="00896D4F">
        <w:t>För mer detaljerad information om handläggningen i ärendet samt ba</w:t>
      </w:r>
      <w:r w:rsidRPr="00896D4F">
        <w:t>k</w:t>
      </w:r>
      <w:r w:rsidRPr="00896D4F">
        <w:t>grunden till LVU-placeringen hänvisas till socialnämndens journalantec</w:t>
      </w:r>
      <w:r w:rsidRPr="00896D4F">
        <w:t>k</w:t>
      </w:r>
      <w:r w:rsidRPr="00896D4F">
        <w:t>ningar och beslut i ärendet.</w:t>
      </w:r>
    </w:p>
    <w:p w:rsidR="009C1C5A" w:rsidRPr="00896D4F" w:rsidRDefault="009C1C5A">
      <w:r w:rsidRPr="00896D4F">
        <w:t xml:space="preserve">M.N. och T.P. kommenterade remissvaret. </w:t>
      </w:r>
    </w:p>
    <w:p w:rsidR="009C1C5A" w:rsidRPr="00896D4F" w:rsidRDefault="009C1C5A">
      <w:r w:rsidRPr="00896D4F">
        <w:t xml:space="preserve">I ett beslut den 24 maj 2002 anförde </w:t>
      </w:r>
      <w:r w:rsidRPr="00896D4F">
        <w:rPr>
          <w:i/>
        </w:rPr>
        <w:t>JO André</w:t>
      </w:r>
      <w:r w:rsidRPr="00896D4F">
        <w:t xml:space="preserve"> följande. </w:t>
      </w:r>
    </w:p>
    <w:p w:rsidR="009C1C5A" w:rsidRPr="00896D4F" w:rsidRDefault="009C1C5A">
      <w:pPr>
        <w:pStyle w:val="Rubrik4"/>
      </w:pPr>
      <w:r w:rsidRPr="00896D4F">
        <w:t>Underlåtenhet att informera vårdnadshavarna om avsikten att inhämta utlåtande från BUP m.m. (punkten 3 samt den komplet</w:t>
      </w:r>
      <w:r w:rsidRPr="00896D4F">
        <w:softHyphen/>
        <w:t>terande anmälan)</w:t>
      </w:r>
    </w:p>
    <w:p w:rsidR="009C1C5A" w:rsidRPr="00896D4F" w:rsidRDefault="009C1C5A">
      <w:r w:rsidRPr="00896D4F">
        <w:t>Enligt 11 § första stycket LVU bestämmer socialnämnden hur vården av den unge skall ordnas och var han skall vistas under vårdtiden. Av samma b</w:t>
      </w:r>
      <w:r w:rsidRPr="00896D4F">
        <w:t>e</w:t>
      </w:r>
      <w:r w:rsidRPr="00896D4F">
        <w:t>stämmelses fjärde stycke framgår att nämnden – eller den som nämnden har uppdragit vården åt – skall ha uppsikt över den unge och, i den utsträckning det behövs för att genomföra vården, bestämma om hans personliga förhå</w:t>
      </w:r>
      <w:r w:rsidRPr="00896D4F">
        <w:t>l</w:t>
      </w:r>
      <w:r w:rsidRPr="00896D4F">
        <w:t>landen. Det kan t.ex. gälla frågor om medicinsk vård eller behandling. Av den sistnämnda bestämmelsen följer att nämnden efter ett beslut om vård enligt LVU inträder vid sidan av vårdnadshavarna eller i deras ställe och har samma sky</w:t>
      </w:r>
      <w:r w:rsidRPr="00896D4F">
        <w:t>l</w:t>
      </w:r>
      <w:r w:rsidRPr="00896D4F">
        <w:t>digheter och befogenheter som tillkommer vårdnadshavarna</w:t>
      </w:r>
      <w:r w:rsidRPr="00896D4F">
        <w:t>.</w:t>
      </w:r>
    </w:p>
    <w:p w:rsidR="009C1C5A" w:rsidRPr="00896D4F" w:rsidRDefault="009C1C5A">
      <w:pPr>
        <w:pStyle w:val="Normaltindrag"/>
      </w:pPr>
      <w:r w:rsidRPr="00896D4F">
        <w:t>När nämnden tar ställning till frågor avseende den unges personliga fö</w:t>
      </w:r>
      <w:r w:rsidRPr="00896D4F">
        <w:t>r</w:t>
      </w:r>
      <w:r w:rsidRPr="00896D4F">
        <w:t>hållanden bör nämnden, i enlighet med de principer som skall gälla i vårda</w:t>
      </w:r>
      <w:r w:rsidRPr="00896D4F">
        <w:t>r</w:t>
      </w:r>
      <w:r w:rsidRPr="00896D4F">
        <w:t>betet, samråda med föräldrarna i de fall förhållandena medger det. Den omständigheten att nämnden tagit över ansvaret för vården av den unge får således inte innebära att föräldrarna fråntas allt inflytande. Föräldrarna, li</w:t>
      </w:r>
      <w:r w:rsidRPr="00896D4F">
        <w:t>k</w:t>
      </w:r>
      <w:r w:rsidRPr="00896D4F">
        <w:t>som den unge själv, bör så långt det är möjligt medverka vid vårdens utfor</w:t>
      </w:r>
      <w:r w:rsidRPr="00896D4F">
        <w:t>m</w:t>
      </w:r>
      <w:r w:rsidRPr="00896D4F">
        <w:t>ning. Enligt min mening bör nämndens handläggare aldrig underlåta att i</w:t>
      </w:r>
      <w:r w:rsidRPr="00896D4F">
        <w:t>n</w:t>
      </w:r>
      <w:r w:rsidRPr="00896D4F">
        <w:t>formera vårdnadshavarna om uppkomna frågor kring vården. Vårdnads</w:t>
      </w:r>
      <w:r w:rsidRPr="00896D4F">
        <w:t>hava</w:t>
      </w:r>
      <w:r w:rsidRPr="00896D4F">
        <w:t>r</w:t>
      </w:r>
      <w:r w:rsidRPr="00896D4F">
        <w:t>na skall även beredas möjlighet att framföra sina synpunkter till nämnden (se JO:s ämbetsberätte</w:t>
      </w:r>
      <w:r w:rsidRPr="00896D4F">
        <w:t>l</w:t>
      </w:r>
      <w:r w:rsidRPr="00896D4F">
        <w:t>se 1998/99 s. 279).</w:t>
      </w:r>
    </w:p>
    <w:p w:rsidR="009C1C5A" w:rsidRPr="00896D4F" w:rsidRDefault="009C1C5A">
      <w:pPr>
        <w:pStyle w:val="Normaltindrag"/>
      </w:pPr>
      <w:r w:rsidRPr="00896D4F">
        <w:t>I förevarande fall har socialnämnden funnit att det, som ett nödvändigt led i nämndens vårdansvar, förelegat behov av att inhämta ett utlåtande från BUP avseende M. och hans hjälp- och stödbehov. Jag har inte anledning att ifråg</w:t>
      </w:r>
      <w:r w:rsidRPr="00896D4F">
        <w:t>a</w:t>
      </w:r>
      <w:r w:rsidRPr="00896D4F">
        <w:t>sätta den bedömningen. Av remissvaret framgår att nämnden underlåtit att informera M.N. och T.P. om att nämnden avsåg att begära aktuellt utlåtande. Jag anser att nämnden, i enlighet med vad som anförts ovan, borde ha info</w:t>
      </w:r>
      <w:r w:rsidRPr="00896D4F">
        <w:t>r</w:t>
      </w:r>
      <w:r w:rsidRPr="00896D4F">
        <w:t>merat M.N. och T.P. om att pojken eventuellt hade behov av ytterligare stö</w:t>
      </w:r>
      <w:r w:rsidRPr="00896D4F">
        <w:t>d</w:t>
      </w:r>
      <w:r w:rsidRPr="00896D4F">
        <w:t xml:space="preserve">insatser och att nämnden därför avsåg att inhämta ett utlåtande från BUP i saken. </w:t>
      </w:r>
    </w:p>
    <w:p w:rsidR="009C1C5A" w:rsidRPr="00896D4F" w:rsidRDefault="009C1C5A">
      <w:pPr>
        <w:pStyle w:val="Normaltindrag"/>
      </w:pPr>
      <w:r w:rsidRPr="00896D4F">
        <w:t>M.N. och T.P. har även klagat på att nämnden har överlämnat handlingar i LVU-ärendet till BUP. I denna del kan konstateras att näm</w:t>
      </w:r>
      <w:r w:rsidRPr="00896D4F">
        <w:t xml:space="preserve">nden haft möjlighet att med stöd av 1 kap. 5 § sekretesslagen (1980:100), eller den i remissvaret beskrivna bestämmelsen i 14 kap. 2 § sjunde stycket samma lag, lämna ut material som underlag för remissen till BUP. Vad som kommit fram i denna del ger inte grund för att uttala någon kritik mot nämnden. </w:t>
      </w:r>
    </w:p>
    <w:p w:rsidR="009C1C5A" w:rsidRPr="00896D4F" w:rsidRDefault="009C1C5A">
      <w:pPr>
        <w:pStyle w:val="Rubrik4"/>
      </w:pPr>
      <w:r w:rsidRPr="00896D4F">
        <w:t>Påstådd underlåtenhet att informera vårdnadshavarna angående nämndens omprövning av vården m.m. (punkterna 2 och 7)</w:t>
      </w:r>
    </w:p>
    <w:p w:rsidR="009C1C5A" w:rsidRPr="00896D4F" w:rsidRDefault="009C1C5A">
      <w:r w:rsidRPr="00896D4F">
        <w:t xml:space="preserve">En socialnämnd skall noga följa den vård som ges barn och ungdomar utanför det egna hemmet. När den unge har omhändertagits enligt 2 § LVU, dvs. på grund av brister i hemmiljön, skall socialnämnden minst en gång var sjätte månad </w:t>
      </w:r>
      <w:r w:rsidRPr="00896D4F">
        <w:rPr>
          <w:i/>
        </w:rPr>
        <w:t>överväga</w:t>
      </w:r>
      <w:r w:rsidRPr="00896D4F">
        <w:t xml:space="preserve"> om vården fortfarande behövs (13 § andra stycket LVU). I sådana fall ankommer det på handläggande tjänsteman att till nämnden a</w:t>
      </w:r>
      <w:r w:rsidRPr="00896D4F">
        <w:t>n</w:t>
      </w:r>
      <w:r w:rsidRPr="00896D4F">
        <w:t xml:space="preserve">mäla hur vården bedrivits och hur den unges och föräldrarnas förhållanden utvecklar sig. </w:t>
      </w:r>
    </w:p>
    <w:p w:rsidR="009C1C5A" w:rsidRPr="00896D4F" w:rsidRDefault="009C1C5A">
      <w:pPr>
        <w:pStyle w:val="Normaltindrag"/>
      </w:pPr>
      <w:r w:rsidRPr="00896D4F">
        <w:t xml:space="preserve">Det är först när socialnämnden finner anledning att ifrågasätta behovet av fortsatt vård som en </w:t>
      </w:r>
      <w:r w:rsidRPr="00896D4F">
        <w:rPr>
          <w:i/>
        </w:rPr>
        <w:t>prövning</w:t>
      </w:r>
      <w:r w:rsidRPr="00896D4F">
        <w:t xml:space="preserve"> i nämnd skall ske och det är först då som ett ärende uppkommer. Finner socialnämnden vid sina överväganden att frågan bör prövas i nämnden skall den ta initiativ till att behövliga kompletteringar av utredningen görs. Härvid skall förvaltningslagens (1986:223) bestämme</w:t>
      </w:r>
      <w:r w:rsidRPr="00896D4F">
        <w:t>l</w:t>
      </w:r>
      <w:r w:rsidRPr="00896D4F">
        <w:t>ser om parts rätt till insyn, kommunikation m.m. iakttas. Det beslut som nämnden därefter fattar kan öve</w:t>
      </w:r>
      <w:r w:rsidRPr="00896D4F">
        <w:t>r</w:t>
      </w:r>
      <w:r w:rsidRPr="00896D4F">
        <w:t xml:space="preserve">klagas. </w:t>
      </w:r>
    </w:p>
    <w:p w:rsidR="009C1C5A" w:rsidRPr="00896D4F" w:rsidRDefault="009C1C5A">
      <w:pPr>
        <w:pStyle w:val="Normaltindrag"/>
      </w:pPr>
      <w:r w:rsidRPr="00896D4F">
        <w:t>Om nämnden vid sina överväganden däremot finner att anmälan om vå</w:t>
      </w:r>
      <w:r w:rsidRPr="00896D4F">
        <w:t>r</w:t>
      </w:r>
      <w:r w:rsidRPr="00896D4F">
        <w:t xml:space="preserve">den inte ger anledning till någon åtgärd av nämnden, kan nämnden lägga anmälan till handlingarna utan beslut i saken (se bl.a. JO:s ämbetsberättelse 1993/94 s. 466). </w:t>
      </w:r>
    </w:p>
    <w:p w:rsidR="009C1C5A" w:rsidRPr="00896D4F" w:rsidRDefault="009C1C5A">
      <w:pPr>
        <w:pStyle w:val="Normaltindrag"/>
      </w:pPr>
      <w:r w:rsidRPr="00896D4F">
        <w:t xml:space="preserve">När vårdnadshavaren eller den unge, om denne fyllt 15 år, begär det skall vården vidare alltid </w:t>
      </w:r>
      <w:r w:rsidRPr="00896D4F">
        <w:rPr>
          <w:i/>
        </w:rPr>
        <w:t>omprövas</w:t>
      </w:r>
      <w:r w:rsidRPr="00896D4F">
        <w:t>.</w:t>
      </w:r>
    </w:p>
    <w:p w:rsidR="009C1C5A" w:rsidRPr="00896D4F" w:rsidRDefault="009C1C5A">
      <w:pPr>
        <w:pStyle w:val="Normaltindrag"/>
      </w:pPr>
      <w:r w:rsidRPr="00896D4F">
        <w:t>Nämnden har i sitt remissvar uppgett att överväganden avseende LVU-vården gjorts var sjätte månad. Vidare har nämnden uppgett att omprövning har skett när föräldrarna har begärt att vården skall upphöra och att förval</w:t>
      </w:r>
      <w:r w:rsidRPr="00896D4F">
        <w:t>t</w:t>
      </w:r>
      <w:r w:rsidRPr="00896D4F">
        <w:t xml:space="preserve">ningslagens regler om kommunikation m.m. då har tillämpats. </w:t>
      </w:r>
    </w:p>
    <w:p w:rsidR="009C1C5A" w:rsidRPr="00896D4F" w:rsidRDefault="009C1C5A">
      <w:pPr>
        <w:pStyle w:val="Normaltindrag"/>
      </w:pPr>
      <w:r w:rsidRPr="00896D4F">
        <w:t>Vad som kommit fram i denna del ger mig inte underlag för att rikta kritik mot nämndens handläggning.</w:t>
      </w:r>
    </w:p>
    <w:p w:rsidR="009C1C5A" w:rsidRPr="00896D4F" w:rsidRDefault="009C1C5A">
      <w:pPr>
        <w:pStyle w:val="Normaltindrag"/>
      </w:pPr>
      <w:r w:rsidRPr="00896D4F">
        <w:t xml:space="preserve">De klagomål som M.N. och T.P. i övrigt framfört gällande punkterna 2 och 7 ger inte anledning till något uttalande eller någon ytterligare åtgärd från min sida. </w:t>
      </w:r>
    </w:p>
    <w:p w:rsidR="009C1C5A" w:rsidRPr="00896D4F" w:rsidRDefault="009C1C5A">
      <w:pPr>
        <w:pStyle w:val="Rubrik4"/>
      </w:pPr>
      <w:r w:rsidRPr="00896D4F">
        <w:t>Övrigt</w:t>
      </w:r>
    </w:p>
    <w:p w:rsidR="009C1C5A" w:rsidRPr="00896D4F" w:rsidRDefault="009C1C5A">
      <w:r w:rsidRPr="00896D4F">
        <w:t>Vad som i övrigt har framförts av M.N. och T.P. föranleder inte något utt</w:t>
      </w:r>
      <w:r w:rsidRPr="00896D4F">
        <w:t>a</w:t>
      </w:r>
      <w:r w:rsidRPr="00896D4F">
        <w:t>lande eller någon ytterligare åtgärd från min sida.</w:t>
      </w:r>
    </w:p>
    <w:p w:rsidR="009C1C5A" w:rsidRPr="00896D4F" w:rsidRDefault="009C1C5A">
      <w:pPr>
        <w:pStyle w:val="Rubrik2"/>
      </w:pPr>
      <w:r w:rsidRPr="00896D4F">
        <w:br w:type="page"/>
        <w:t>Fråga om socialnämndens skyldighet att underrätta vårdnadshavaren om att ett barn som vårdas enligt LVU eventuellt blivit utsatt för sexuellt övergrepp i familjehemmet</w:t>
      </w:r>
    </w:p>
    <w:p w:rsidR="009C1C5A" w:rsidRPr="00896D4F" w:rsidRDefault="009C1C5A">
      <w:pPr>
        <w:spacing w:before="0"/>
      </w:pPr>
      <w:r w:rsidRPr="00896D4F">
        <w:t xml:space="preserve">(Dnr 3342-2001) </w:t>
      </w:r>
    </w:p>
    <w:p w:rsidR="009C1C5A" w:rsidRPr="00896D4F" w:rsidRDefault="009C1C5A">
      <w:r w:rsidRPr="00896D4F">
        <w:t>I en anmälan till JO anförde R.P. klagomål mot Lundby stads</w:t>
      </w:r>
      <w:r w:rsidRPr="00896D4F">
        <w:softHyphen/>
        <w:t>delsnämnd i Göteborgs kommun. Klagomålen avsåg bl.a. underlåtenhet att om</w:t>
      </w:r>
      <w:r w:rsidRPr="00896D4F">
        <w:softHyphen/>
        <w:t>gående informera henne, såsom vårdnadshavare, angående sexuella övergrepp mot hennes dotter N, född 1988, i det familjehem där N. var placerad med stöd av lagen (1990:52) med särskilda bestämmelser om vård av unga (LVU). Enligt R.P. dröjde det tre månader innan stadsdelsnämnden informerade henne om över</w:t>
      </w:r>
      <w:r w:rsidRPr="00896D4F">
        <w:softHyphen/>
        <w:t xml:space="preserve">greppen.  </w:t>
      </w:r>
    </w:p>
    <w:p w:rsidR="009C1C5A" w:rsidRPr="00896D4F" w:rsidRDefault="009C1C5A">
      <w:pPr>
        <w:pStyle w:val="Normaltindrag"/>
      </w:pPr>
      <w:r w:rsidRPr="00896D4F">
        <w:t>Inledningsvis inhämtades per telefon upplysningar från bl.a. Lundby stadsdels</w:t>
      </w:r>
      <w:r w:rsidRPr="00896D4F">
        <w:softHyphen/>
        <w:t>förvalt</w:t>
      </w:r>
      <w:r w:rsidRPr="00896D4F">
        <w:softHyphen/>
        <w:t>ning i Göteborgs kommun. Därefter anmodades Lundby stadsdelsnämnd i Göteborgs kommun att inkomma med utredning och yttra</w:t>
      </w:r>
      <w:r w:rsidRPr="00896D4F">
        <w:t>n</w:t>
      </w:r>
      <w:r w:rsidRPr="00896D4F">
        <w:t>de över vad R.P. hade anfört om underlåtenhet att informera henne om N:s förhål</w:t>
      </w:r>
      <w:r w:rsidRPr="00896D4F">
        <w:softHyphen/>
        <w:t>landen i familjehemmet.</w:t>
      </w:r>
    </w:p>
    <w:p w:rsidR="009C1C5A" w:rsidRPr="00896D4F" w:rsidRDefault="009C1C5A">
      <w:pPr>
        <w:pStyle w:val="Normaltindrag"/>
      </w:pPr>
      <w:r w:rsidRPr="00896D4F">
        <w:t>Stadsdelsnämndens sociala utskott antog ett tjänsteutlåtande som sitt eget remissvar. I remissvaret anfördes följande.</w:t>
      </w:r>
    </w:p>
    <w:p w:rsidR="009C1C5A" w:rsidRPr="00896D4F" w:rsidRDefault="009C1C5A">
      <w:pPr>
        <w:pStyle w:val="Rubrik4"/>
      </w:pPr>
      <w:r w:rsidRPr="00896D4F">
        <w:t>Redogörelse</w:t>
      </w:r>
    </w:p>
    <w:p w:rsidR="009C1C5A" w:rsidRPr="00896D4F" w:rsidRDefault="009C1C5A">
      <w:pPr>
        <w:pStyle w:val="Citat"/>
      </w:pPr>
      <w:r w:rsidRPr="00896D4F">
        <w:t>Den 27 november 2001 omplacerades N. efter beslut av ordföranden i sociala utskottet Berndt Rhodin från sitt tidigare familjehem till B:s barnhem i Göt</w:t>
      </w:r>
      <w:r w:rsidRPr="00896D4F">
        <w:t>e</w:t>
      </w:r>
      <w:r w:rsidRPr="00896D4F">
        <w:t>borg. Anledning till omplaceringen var att N. berättat om handlingar av sex</w:t>
      </w:r>
      <w:r w:rsidRPr="00896D4F">
        <w:t>u</w:t>
      </w:r>
      <w:r w:rsidRPr="00896D4F">
        <w:t>ellt slag från fosterfaderns sida.</w:t>
      </w:r>
    </w:p>
    <w:p w:rsidR="009C1C5A" w:rsidRPr="00896D4F" w:rsidRDefault="009C1C5A">
      <w:pPr>
        <w:pStyle w:val="Citatindrag"/>
      </w:pPr>
      <w:r w:rsidRPr="00896D4F">
        <w:t>N. uttryckte personligen och mycket bestämt till familjehemssekreterare Leine Ednersson att hon inte ville att mamman skulle underrättas. Socialse</w:t>
      </w:r>
      <w:r w:rsidRPr="00896D4F">
        <w:t>k</w:t>
      </w:r>
      <w:r w:rsidRPr="00896D4F">
        <w:t>reteraren och familjehemssekreteraren bedömde tillsammans med arbetsle</w:t>
      </w:r>
      <w:r w:rsidRPr="00896D4F">
        <w:t>d</w:t>
      </w:r>
      <w:r w:rsidRPr="00896D4F">
        <w:t>ningen inom Lundby Barn- och ungdomsenhet respektive Familjehemsenh</w:t>
      </w:r>
      <w:r w:rsidRPr="00896D4F">
        <w:t>e</w:t>
      </w:r>
      <w:r w:rsidRPr="00896D4F">
        <w:t>ten att N:s önskemål skulle respekteras i inledningsskedet, eftersom N. var fyllda 12 år och att det var viktigt för det fortsatta förtroendet mellan N. och socialtjänsten för att kunna hjälpa N. på bästa sätt i den uppkomna situati</w:t>
      </w:r>
      <w:r w:rsidRPr="00896D4F">
        <w:t>o</w:t>
      </w:r>
      <w:r w:rsidRPr="00896D4F">
        <w:t>nen. Inledningsvis fanns det dessutom en osäkerhet vad det hela handlade om. Det var först strax före jul som det stod klart att N. inte ku</w:t>
      </w:r>
      <w:r w:rsidRPr="00896D4F">
        <w:t>nde återvända till sitt ”gamla” familjehem. Dock har det hela tiden varit klart att R.P. skulle informeras om vad som hänt.</w:t>
      </w:r>
    </w:p>
    <w:p w:rsidR="009C1C5A" w:rsidRPr="00896D4F" w:rsidRDefault="009C1C5A">
      <w:pPr>
        <w:pStyle w:val="Citatindrag"/>
      </w:pPr>
      <w:r w:rsidRPr="00896D4F">
        <w:t>Vid våra kontakter med socialtjänsten i Tidaholm i samband med att do</w:t>
      </w:r>
      <w:r w:rsidRPr="00896D4F">
        <w:t>t</w:t>
      </w:r>
      <w:r w:rsidRPr="00896D4F">
        <w:t>tern omplacerades till B:s barnhem framkom det att R.P:s psykiska hälsa var dålig och att en information av denna karaktär kunde försämra hennes hälsa. Socialtjänsten i Lundby bedömde därför att denna information måste ske personligen med R.P. Informationen var ju också av sådan karaktär att det skulle vara synnerligen olämpligt att lämna denna per telefon eller brev.</w:t>
      </w:r>
    </w:p>
    <w:p w:rsidR="009C1C5A" w:rsidRPr="00896D4F" w:rsidRDefault="009C1C5A">
      <w:pPr>
        <w:pStyle w:val="Citatindrag"/>
      </w:pPr>
      <w:r w:rsidRPr="00896D4F">
        <w:t>Den 4 januari 2001 skickade familjehemssekreterare Leine Ednersson ett brev till R.P. med förslag på en tid för ett möte för att prata om N.</w:t>
      </w:r>
      <w:r w:rsidRPr="00896D4F">
        <w:t xml:space="preserve"> Den 10 januari 2001 fick R.P. information om vad som hänt vid ett personligt möte med familjehems</w:t>
      </w:r>
      <w:r w:rsidRPr="00896D4F">
        <w:softHyphen/>
        <w:t>sekreterare Leine Ednersson och socialsekreterare Ann Yttring på socialkontoret i Tidaholm, där även R.P:s socialsekreterare i Tid</w:t>
      </w:r>
      <w:r w:rsidRPr="00896D4F">
        <w:t>a</w:t>
      </w:r>
      <w:r w:rsidRPr="00896D4F">
        <w:t>holm var med.</w:t>
      </w:r>
    </w:p>
    <w:p w:rsidR="009C1C5A" w:rsidRPr="00896D4F" w:rsidRDefault="009C1C5A">
      <w:pPr>
        <w:pStyle w:val="Citatindrag"/>
      </w:pPr>
      <w:r w:rsidRPr="00896D4F">
        <w:t>I slutet av januari 2001 meddelade åklagaren att polisutredningen lagts ned p. g. a. brist på bevis. Denna information har R.P. fått omgående.</w:t>
      </w:r>
    </w:p>
    <w:p w:rsidR="009C1C5A" w:rsidRPr="00896D4F" w:rsidRDefault="009C1C5A">
      <w:pPr>
        <w:pStyle w:val="Citatindrag"/>
      </w:pPr>
      <w:r w:rsidRPr="00896D4F">
        <w:t>Den 29 januari 2001 omplacerades N. till sitt nuvarande familjehem. R.P. underrättades om denna utredning, har blivit delgiven beslutet och har inte överklagat.</w:t>
      </w:r>
    </w:p>
    <w:p w:rsidR="009C1C5A" w:rsidRPr="00896D4F" w:rsidRDefault="009C1C5A">
      <w:pPr>
        <w:pStyle w:val="Citatindrag"/>
      </w:pPr>
      <w:r w:rsidRPr="00896D4F">
        <w:t>Den 5 september 2001 hade socialtjänsten bokat ett möte med R.P. för att planera för umgänge mellan R.P. och N. R.P. ställde själv in detta möte.</w:t>
      </w:r>
    </w:p>
    <w:p w:rsidR="009C1C5A" w:rsidRPr="00896D4F" w:rsidRDefault="009C1C5A">
      <w:pPr>
        <w:pStyle w:val="Rubrik4"/>
      </w:pPr>
      <w:r w:rsidRPr="00896D4F">
        <w:t>Bedömning</w:t>
      </w:r>
    </w:p>
    <w:p w:rsidR="009C1C5A" w:rsidRPr="00896D4F" w:rsidRDefault="009C1C5A">
      <w:pPr>
        <w:pStyle w:val="Citat"/>
      </w:pPr>
      <w:r w:rsidRPr="00896D4F">
        <w:t>Vår bedömning är att vi handlagt ärendet /.../ med barnets bästa för ögonen. R.P. har inte undanhållits uppgifter om det inträffade under tre månaders tid, som påstås i anmälan. Från det att händelsen inträffade tills hon blev inform</w:t>
      </w:r>
      <w:r w:rsidRPr="00896D4F">
        <w:t>e</w:t>
      </w:r>
      <w:r w:rsidRPr="00896D4F">
        <w:t>rad om det har en dryg månad förflutit. Denna tid har påverkats av vetskapen om att det var särskilt viktigt att kunna informera henne vid ett personligt sammanträffande.</w:t>
      </w:r>
    </w:p>
    <w:p w:rsidR="009C1C5A" w:rsidRPr="00896D4F" w:rsidRDefault="009C1C5A">
      <w:pPr>
        <w:pStyle w:val="Citatindrag"/>
      </w:pPr>
      <w:r w:rsidRPr="00896D4F">
        <w:t>R.P. har också underrättats och delgivits beslut som rör dottern N., enligt de bestämmelser som finns i förvaltningslagen och socialtjänstl</w:t>
      </w:r>
      <w:r w:rsidRPr="00896D4F">
        <w:t>a</w:t>
      </w:r>
      <w:r w:rsidRPr="00896D4F">
        <w:t>gen.</w:t>
      </w:r>
    </w:p>
    <w:p w:rsidR="009C1C5A" w:rsidRPr="00896D4F" w:rsidRDefault="009C1C5A">
      <w:r w:rsidRPr="00896D4F">
        <w:t>R.P. yttrade sig över remissvaret. Därvid tillbakavisade hon bl.a. att socia</w:t>
      </w:r>
      <w:r w:rsidRPr="00896D4F">
        <w:t>l</w:t>
      </w:r>
      <w:r w:rsidRPr="00896D4F">
        <w:t xml:space="preserve">nämnden skulle ha lämnat informationen om övergreppen tidigare än efter tre månader. </w:t>
      </w:r>
    </w:p>
    <w:p w:rsidR="009C1C5A" w:rsidRPr="00896D4F" w:rsidRDefault="009C1C5A">
      <w:pPr>
        <w:rPr>
          <w:b/>
        </w:rPr>
      </w:pPr>
      <w:r w:rsidRPr="00896D4F">
        <w:t xml:space="preserve">I ett beslut den 15 maj 2002 anförde </w:t>
      </w:r>
      <w:r w:rsidRPr="00896D4F">
        <w:rPr>
          <w:i/>
        </w:rPr>
        <w:t>JO André</w:t>
      </w:r>
      <w:r w:rsidRPr="00896D4F">
        <w:t xml:space="preserve"> följande.</w:t>
      </w:r>
      <w:r w:rsidRPr="00896D4F">
        <w:rPr>
          <w:b/>
        </w:rPr>
        <w:t xml:space="preserve"> </w:t>
      </w:r>
    </w:p>
    <w:p w:rsidR="009C1C5A" w:rsidRPr="00896D4F" w:rsidRDefault="009C1C5A">
      <w:r w:rsidRPr="00896D4F">
        <w:t>Den 1 januari 2002 trädde en ny socialtjänstlag (2001:453) och en ny social</w:t>
      </w:r>
      <w:r w:rsidRPr="00896D4F">
        <w:softHyphen/>
        <w:t>tjänstförordning (2001:937) i kraft. I förevarande ärende behandlas händelser och omständigheter som ägde rum under den tid socialtjänstlagen (1980:620) och socialtjänstförordningen (1981:750) var gällande. Jag har emellertid valt att här hänvisa till de nya författningarna som, i aktuella delar, inte har inn</w:t>
      </w:r>
      <w:r w:rsidRPr="00896D4F">
        <w:t>e</w:t>
      </w:r>
      <w:r w:rsidRPr="00896D4F">
        <w:t xml:space="preserve">burit några sakliga ändringar i förhållande till vad som gällde tidigare. </w:t>
      </w:r>
    </w:p>
    <w:p w:rsidR="009C1C5A" w:rsidRPr="00896D4F" w:rsidRDefault="009C1C5A">
      <w:pPr>
        <w:pStyle w:val="Normaltindrag"/>
      </w:pPr>
      <w:r w:rsidRPr="00896D4F">
        <w:t>En socialnämnd har ett särskilt ansvar för barn och ungdomar som har pl</w:t>
      </w:r>
      <w:r w:rsidRPr="00896D4F">
        <w:t>a</w:t>
      </w:r>
      <w:r w:rsidRPr="00896D4F">
        <w:t>c</w:t>
      </w:r>
      <w:r w:rsidRPr="00896D4F">
        <w:t>e</w:t>
      </w:r>
      <w:r w:rsidRPr="00896D4F">
        <w:t>rats i ett familjehem. Av 6 kap. 7 § socialtjänstlagen följer t.ex. att social</w:t>
      </w:r>
      <w:r w:rsidRPr="00896D4F">
        <w:softHyphen/>
        <w:t>nämnden skall medverka till att de barn som är placerade i familjehem får god vård och fostran och att uppväxt</w:t>
      </w:r>
      <w:r w:rsidRPr="00896D4F">
        <w:softHyphen/>
        <w:t>förhållandena i övrigt är gynnsamma. För att upp</w:t>
      </w:r>
      <w:r w:rsidRPr="00896D4F">
        <w:softHyphen/>
        <w:t>fylla dessa skyl</w:t>
      </w:r>
      <w:r w:rsidRPr="00896D4F">
        <w:softHyphen/>
        <w:t>dig</w:t>
      </w:r>
      <w:r w:rsidRPr="00896D4F">
        <w:softHyphen/>
        <w:t>heter bör nämnden, enligt 5 kap. 1 § socialtjänstförord</w:t>
      </w:r>
      <w:r w:rsidRPr="00896D4F">
        <w:softHyphen/>
        <w:t>ningen, genom person</w:t>
      </w:r>
      <w:r w:rsidRPr="00896D4F">
        <w:softHyphen/>
        <w:t>liga besök av särskilt utsedda representanter för näm</w:t>
      </w:r>
      <w:r w:rsidRPr="00896D4F">
        <w:t>n</w:t>
      </w:r>
      <w:r w:rsidRPr="00896D4F">
        <w:t>den och på annat lämp</w:t>
      </w:r>
      <w:r w:rsidRPr="00896D4F">
        <w:softHyphen/>
        <w:t>ligt sätt fortlöpande hålla sig väl förtrogen med förhå</w:t>
      </w:r>
      <w:r w:rsidRPr="00896D4F">
        <w:t>l</w:t>
      </w:r>
      <w:r w:rsidRPr="00896D4F">
        <w:t>landena i hemmet och ge det erforderligt</w:t>
      </w:r>
      <w:r w:rsidRPr="00896D4F">
        <w:t xml:space="preserve"> stöd. Dessa övergripande bestä</w:t>
      </w:r>
      <w:r w:rsidRPr="00896D4F">
        <w:t>m</w:t>
      </w:r>
      <w:r w:rsidRPr="00896D4F">
        <w:t>melser om social</w:t>
      </w:r>
      <w:r w:rsidRPr="00896D4F">
        <w:softHyphen/>
        <w:t xml:space="preserve">nämndens ansvar gäller även när barn och ungdomar har omhändertagits för vård enligt LVU. </w:t>
      </w:r>
    </w:p>
    <w:p w:rsidR="009C1C5A" w:rsidRPr="00896D4F" w:rsidRDefault="009C1C5A">
      <w:pPr>
        <w:pStyle w:val="Normaltindrag"/>
      </w:pPr>
      <w:r w:rsidRPr="00896D4F">
        <w:t>Enligt 11 § första stycket LVU bestämmer socialnämnden hur vården av den unge skall ordnas och var han skall vistas under vårdtiden. Av fjärde stycket i samma lagrum framgår att nämnden eller den som nämnden har uppdragit vården åt, skall ha uppsikt över den unge och, i den utsträckning som behövs för att genom</w:t>
      </w:r>
      <w:r w:rsidRPr="00896D4F">
        <w:softHyphen/>
      </w:r>
      <w:r w:rsidRPr="00896D4F">
        <w:softHyphen/>
      </w:r>
      <w:r w:rsidRPr="00896D4F">
        <w:softHyphen/>
      </w:r>
      <w:r w:rsidRPr="00896D4F">
        <w:softHyphen/>
        <w:t>föra vården, bestämma om hans personliga förhå</w:t>
      </w:r>
      <w:r w:rsidRPr="00896D4F">
        <w:t>l</w:t>
      </w:r>
      <w:r w:rsidRPr="00896D4F">
        <w:t>landen. Av den sist nämnda bestäm</w:t>
      </w:r>
      <w:r w:rsidRPr="00896D4F">
        <w:softHyphen/>
        <w:t>melsen följer även att nämnden efter ett beslut om vård enligt LVU inträder vid sidan av vårdnadshavarna eller i deras ställe och har samma skyldig</w:t>
      </w:r>
      <w:r w:rsidRPr="00896D4F">
        <w:softHyphen/>
        <w:t>heter och be</w:t>
      </w:r>
      <w:r w:rsidRPr="00896D4F">
        <w:softHyphen/>
        <w:t>fogenheter som tillkommer vår</w:t>
      </w:r>
      <w:r w:rsidRPr="00896D4F">
        <w:t>d</w:t>
      </w:r>
      <w:r w:rsidRPr="00896D4F">
        <w:t xml:space="preserve">nadshavarna. </w:t>
      </w:r>
    </w:p>
    <w:p w:rsidR="009C1C5A" w:rsidRPr="00896D4F" w:rsidRDefault="009C1C5A">
      <w:pPr>
        <w:pStyle w:val="Normaltindrag"/>
      </w:pPr>
      <w:r w:rsidRPr="00896D4F">
        <w:t>Nämndens vårdansvar får emellertid inte medföra att föräldrarna fråntas allt in</w:t>
      </w:r>
      <w:r w:rsidRPr="00896D4F">
        <w:softHyphen/>
        <w:t>flytande över den unge. Föräld</w:t>
      </w:r>
      <w:r w:rsidRPr="00896D4F">
        <w:softHyphen/>
        <w:t>rarna, liksom – i före</w:t>
      </w:r>
      <w:r w:rsidRPr="00896D4F">
        <w:softHyphen/>
        <w:t>kommande fall – den unge själv, bör så långt det är möjligt medverka vid vårdens utformning. Om det av någon orsak är svårt att kommunicera med vårdnads</w:t>
      </w:r>
      <w:r w:rsidRPr="00896D4F">
        <w:softHyphen/>
        <w:t>havarna i frågan är natur</w:t>
      </w:r>
      <w:r w:rsidRPr="00896D4F">
        <w:softHyphen/>
        <w:t>ligtvis möjlig</w:t>
      </w:r>
      <w:r w:rsidRPr="00896D4F">
        <w:softHyphen/>
        <w:t>heterna till samråd begränsade. Det åligger ändå nämndens hand</w:t>
      </w:r>
      <w:r w:rsidRPr="00896D4F">
        <w:softHyphen/>
        <w:t>läggare att informera vårdnadshavarna om uppkomna frågor kring vården. Vårdnads</w:t>
      </w:r>
      <w:r w:rsidRPr="00896D4F">
        <w:softHyphen/>
        <w:t>havarna skall även beredas möjlighet att framföra sina sy</w:t>
      </w:r>
      <w:r w:rsidRPr="00896D4F">
        <w:t>n</w:t>
      </w:r>
      <w:r w:rsidRPr="00896D4F">
        <w:t xml:space="preserve">punkter till nämnden.   </w:t>
      </w:r>
    </w:p>
    <w:p w:rsidR="009C1C5A" w:rsidRPr="00896D4F" w:rsidRDefault="009C1C5A">
      <w:pPr>
        <w:pStyle w:val="Normaltindrag"/>
      </w:pPr>
      <w:r w:rsidRPr="00896D4F">
        <w:t>Om det hos nämnden uppkommer fråga an</w:t>
      </w:r>
      <w:r w:rsidRPr="00896D4F">
        <w:t>gående omplacering av ett f</w:t>
      </w:r>
      <w:r w:rsidRPr="00896D4F">
        <w:t>a</w:t>
      </w:r>
      <w:r w:rsidRPr="00896D4F">
        <w:t>milje</w:t>
      </w:r>
      <w:r w:rsidRPr="00896D4F">
        <w:softHyphen/>
        <w:t>hems</w:t>
      </w:r>
      <w:r w:rsidRPr="00896D4F">
        <w:softHyphen/>
        <w:t>placerat barn skall nämnden inleda en utredning. I ärendet om o</w:t>
      </w:r>
      <w:r w:rsidRPr="00896D4F">
        <w:t>m</w:t>
      </w:r>
      <w:r w:rsidRPr="00896D4F">
        <w:t>placering är vårdnadshavaren part, oavsett om det är fråga om en placering som har skett med stöd av socialtjänstlagen eller med stöd av LVU. Av 11 kap. 8 § första stycket socialtjänstlagen och 17 § förvaltningslagen (1986:223) följer att en part som regel skall under</w:t>
      </w:r>
      <w:r w:rsidRPr="00896D4F">
        <w:softHyphen/>
        <w:t>rättas om utredningsmater</w:t>
      </w:r>
      <w:r w:rsidRPr="00896D4F">
        <w:t>i</w:t>
      </w:r>
      <w:r w:rsidRPr="00896D4F">
        <w:t>alet och sin rätt att yttra sig över det innan ett ärende avgörs. Vidare följer av 11 kap. 6 § socialtjänstlagen a</w:t>
      </w:r>
      <w:r w:rsidRPr="00896D4F">
        <w:t xml:space="preserve">tt den enskilde bör hållas underrättad om de journalanteckningar och andra anteckningar som förs om honom.  </w:t>
      </w:r>
    </w:p>
    <w:p w:rsidR="009C1C5A" w:rsidRPr="00896D4F" w:rsidRDefault="009C1C5A">
      <w:pPr>
        <w:pStyle w:val="Normaltindrag"/>
      </w:pPr>
      <w:r w:rsidRPr="00896D4F">
        <w:t>I sammanhanget bör även nämnas att det i sekretesslagen finns vissa b</w:t>
      </w:r>
      <w:r w:rsidRPr="00896D4F">
        <w:t>e</w:t>
      </w:r>
      <w:r w:rsidRPr="00896D4F">
        <w:t>stäm</w:t>
      </w:r>
      <w:r w:rsidRPr="00896D4F">
        <w:softHyphen/>
        <w:t xml:space="preserve">melser som inskränker såväl partsinsynen (14 kap. 5 § första stycket andra meningen) som en vårdnadshavares möjlighet att ta del av uppgifter om sitt barn (14 kap. 4 § andra stycket).  </w:t>
      </w:r>
    </w:p>
    <w:p w:rsidR="009C1C5A" w:rsidRPr="00896D4F" w:rsidRDefault="009C1C5A">
      <w:pPr>
        <w:pStyle w:val="Normaltindrag"/>
      </w:pPr>
      <w:r w:rsidRPr="00896D4F">
        <w:t>I vissa speciella fall måste det vara möjligt att för en tid underlåta att upp</w:t>
      </w:r>
      <w:r w:rsidRPr="00896D4F">
        <w:softHyphen/>
        <w:t>lysa en vårdnadshavare om uppkomna frågor kring dennes barn, om det b</w:t>
      </w:r>
      <w:r w:rsidRPr="00896D4F">
        <w:t>e</w:t>
      </w:r>
      <w:r w:rsidRPr="00896D4F">
        <w:t>döms nöd</w:t>
      </w:r>
      <w:r w:rsidRPr="00896D4F">
        <w:softHyphen/>
        <w:t>vändigt med hänsyn till barnet, t.ex. barnets behov av skydd. Jag utesluter inte att det i undantagsfall även kan före</w:t>
      </w:r>
      <w:r w:rsidRPr="00896D4F">
        <w:softHyphen/>
        <w:t>komma omständig</w:t>
      </w:r>
      <w:r w:rsidRPr="00896D4F">
        <w:softHyphen/>
        <w:t>heter hänförliga till vårdnads</w:t>
      </w:r>
      <w:r w:rsidRPr="00896D4F">
        <w:softHyphen/>
        <w:t>havarens hälsa som skulle kunna motivera ett åsid</w:t>
      </w:r>
      <w:r w:rsidRPr="00896D4F">
        <w:t>o</w:t>
      </w:r>
      <w:r w:rsidRPr="00896D4F">
        <w:t>sättande av bestämmelserna om upplysningsplikt gentemot honom eller he</w:t>
      </w:r>
      <w:r w:rsidRPr="00896D4F">
        <w:t>n</w:t>
      </w:r>
      <w:r w:rsidRPr="00896D4F">
        <w:t>ne. Det får emellertid aldrig bli fråga om att hålla vårdnadshavaren utanför under någon längre tid.</w:t>
      </w:r>
    </w:p>
    <w:p w:rsidR="009C1C5A" w:rsidRPr="00896D4F" w:rsidRDefault="009C1C5A">
      <w:pPr>
        <w:pStyle w:val="Normaltindrag"/>
      </w:pPr>
      <w:r w:rsidRPr="00896D4F">
        <w:t>Enligt remissvaret ledde uppgifterna i förev</w:t>
      </w:r>
      <w:r w:rsidRPr="00896D4F">
        <w:t>arande fall till att N. den 27 november 2000 flyttades från familjehemmet till ett barnhem. Därefter o</w:t>
      </w:r>
      <w:r w:rsidRPr="00896D4F">
        <w:t>m</w:t>
      </w:r>
      <w:r w:rsidRPr="00896D4F">
        <w:t>placerades N. till sitt nu</w:t>
      </w:r>
      <w:r w:rsidRPr="00896D4F">
        <w:softHyphen/>
        <w:t>varande familjehem den 29 januari 2001. Sociala utskottet har vidare anfört att R.P. vid besök den 10 januari 2001 informer</w:t>
      </w:r>
      <w:r w:rsidRPr="00896D4F">
        <w:t>a</w:t>
      </w:r>
      <w:r w:rsidRPr="00896D4F">
        <w:t>des om vad som hade inträffat och om flytten från familjehemmet till barn</w:t>
      </w:r>
      <w:r w:rsidRPr="00896D4F">
        <w:softHyphen/>
        <w:t>hemmet. Att R.P. underrättades vid den tidpunkten styrks av en handling som hon själv har gett in. Enligt utskottet underrättades R.P. senare även om utred</w:t>
      </w:r>
      <w:r w:rsidRPr="00896D4F">
        <w:softHyphen/>
        <w:t>ningen och beslutet an</w:t>
      </w:r>
      <w:r w:rsidRPr="00896D4F">
        <w:softHyphen/>
        <w:t>gåend</w:t>
      </w:r>
      <w:r w:rsidRPr="00896D4F">
        <w:t>e om</w:t>
      </w:r>
      <w:r w:rsidRPr="00896D4F">
        <w:softHyphen/>
        <w:t xml:space="preserve">placeringen till det nya familjehemmet. </w:t>
      </w:r>
    </w:p>
    <w:p w:rsidR="009C1C5A" w:rsidRPr="00896D4F" w:rsidRDefault="009C1C5A">
      <w:pPr>
        <w:pStyle w:val="Normaltindrag"/>
      </w:pPr>
      <w:r w:rsidRPr="00896D4F">
        <w:t>Av utredningen framgår att det dröjde drygt en månad innan nämnden i</w:t>
      </w:r>
      <w:r w:rsidRPr="00896D4F">
        <w:t>n</w:t>
      </w:r>
      <w:r w:rsidRPr="00896D4F">
        <w:t>for</w:t>
      </w:r>
      <w:r w:rsidRPr="00896D4F">
        <w:softHyphen/>
        <w:t>merade R.P. om vad som hade inträffat och, såvitt jag uppfattar remissv</w:t>
      </w:r>
      <w:r w:rsidRPr="00896D4F">
        <w:t>a</w:t>
      </w:r>
      <w:r w:rsidRPr="00896D4F">
        <w:t>ret, om beslutet att flytta N. från familjehemmet till barnhemmet. Som skäl härför har utskottet åberopat dels N:s bestämda uppfattning om att modern inte skulle underrättas, dels R.P:s psykiska hälsa som enligt nämndens b</w:t>
      </w:r>
      <w:r w:rsidRPr="00896D4F">
        <w:t>e</w:t>
      </w:r>
      <w:r w:rsidRPr="00896D4F">
        <w:t>dömning var sådan att informationen måste lämnas vid ett personligt sa</w:t>
      </w:r>
      <w:r w:rsidRPr="00896D4F">
        <w:t>m</w:t>
      </w:r>
      <w:r w:rsidRPr="00896D4F">
        <w:t xml:space="preserve">manträffande med henne. </w:t>
      </w:r>
    </w:p>
    <w:p w:rsidR="009C1C5A" w:rsidRPr="00896D4F" w:rsidRDefault="009C1C5A">
      <w:pPr>
        <w:pStyle w:val="Normaltindrag"/>
      </w:pPr>
      <w:r w:rsidRPr="00896D4F">
        <w:t>Det har inte fram</w:t>
      </w:r>
      <w:r w:rsidRPr="00896D4F">
        <w:softHyphen/>
        <w:t>kommit annat än att nämnden agerade med hänsyn till N:s bästa. Givetvis var det även viktigt att uppgifterna lämnades på ett sådant sätt att R.P:s hälsa inte äventyrades. Jag har inte något att erinra mot näm</w:t>
      </w:r>
      <w:r w:rsidRPr="00896D4F">
        <w:t>n</w:t>
      </w:r>
      <w:r w:rsidRPr="00896D4F">
        <w:t>dens bedömning att det var nödvändigt med ett personligt sammanträffande. De om</w:t>
      </w:r>
      <w:r w:rsidRPr="00896D4F">
        <w:softHyphen/>
        <w:t>ständigheter som utskottet har åberopat i remissvaret motiverar ändå inte att R.P. hölls utanför under så lång tid som blev fallet. Ett personligt sammanträffande, vid vilket R.P. underrättades om flytten från familje</w:t>
      </w:r>
      <w:r w:rsidRPr="00896D4F">
        <w:softHyphen/>
        <w:t>hemm</w:t>
      </w:r>
      <w:r w:rsidRPr="00896D4F">
        <w:t xml:space="preserve">et till barnhemmet och skälen för denna jämte planeringen inför den fortsatta LVU-vården, borde ha ägt rum tidigare. </w:t>
      </w:r>
    </w:p>
    <w:p w:rsidR="009C1C5A" w:rsidRPr="00896D4F" w:rsidRDefault="009C1C5A">
      <w:pPr>
        <w:pStyle w:val="Rubrik4"/>
        <w:spacing w:before="0"/>
      </w:pPr>
      <w:r w:rsidRPr="00896D4F">
        <w:br w:type="page"/>
        <w:t>Lagen om vård av missbrukare i vissa fall (LVM)</w:t>
      </w:r>
    </w:p>
    <w:p w:rsidR="009C1C5A" w:rsidRPr="00896D4F" w:rsidRDefault="009C1C5A">
      <w:pPr>
        <w:pStyle w:val="Rubrik2"/>
        <w:spacing w:before="250"/>
      </w:pPr>
      <w:r w:rsidRPr="00896D4F">
        <w:t xml:space="preserve">Föreståndaren för ett LVM-hem bedömde att en man som vårdades vid hemmet behövde beredas psykiatrisk vård vid sjukhus. Fråga bl.a. om det förelåg förutsättningar för att skriva ut mannen från LVM-hemmet i samband med att han fördes till sjukhus </w:t>
      </w:r>
    </w:p>
    <w:p w:rsidR="009C1C5A" w:rsidRPr="00896D4F" w:rsidRDefault="009C1C5A">
      <w:pPr>
        <w:spacing w:before="0"/>
      </w:pPr>
      <w:r w:rsidRPr="00896D4F">
        <w:t>(Dnr 4423-1999 och 4466-1999)</w:t>
      </w:r>
    </w:p>
    <w:p w:rsidR="009C1C5A" w:rsidRPr="00896D4F" w:rsidRDefault="009C1C5A">
      <w:r w:rsidRPr="00896D4F">
        <w:t>Den 3 maj 1999 beslutade Stadsdelsnämnden Bergsjön i Göteborgs kommun att med stöd av 13 § lagen (1988:870) om vård av missbrukare i vissa fall (LVM) omedelbart omhänderta N.N. Länsrätten i Göteborg fastställde besl</w:t>
      </w:r>
      <w:r w:rsidRPr="00896D4F">
        <w:t>u</w:t>
      </w:r>
      <w:r w:rsidRPr="00896D4F">
        <w:t>tet den 10 maj 1999. Efter ansökan av stadsdelsnämnden beslutade länsrätten i en dom den 1 juni 1999 att N.N. skulle beredas vård enligt 4 § första stycket 1 och 2 LVM.</w:t>
      </w:r>
    </w:p>
    <w:p w:rsidR="009C1C5A" w:rsidRPr="00896D4F" w:rsidRDefault="009C1C5A">
      <w:pPr>
        <w:pStyle w:val="Normaltindrag"/>
      </w:pPr>
      <w:r w:rsidRPr="00896D4F">
        <w:t>Efter omhändertagandet var N.N. under olika perioder placerad vid LVM-hemmen Håkanstorp, Gudhemsgården och Hornö. Flera gånger under vårdt</w:t>
      </w:r>
      <w:r w:rsidRPr="00896D4F">
        <w:t>i</w:t>
      </w:r>
      <w:r w:rsidRPr="00896D4F">
        <w:t xml:space="preserve">den försökte N.N. att beröva sig livet. Han vårdades därför vid flera tillfällen på sjukhus. </w:t>
      </w:r>
    </w:p>
    <w:p w:rsidR="009C1C5A" w:rsidRPr="00896D4F" w:rsidRDefault="009C1C5A">
      <w:pPr>
        <w:pStyle w:val="Normaltindrag"/>
      </w:pPr>
      <w:r w:rsidRPr="00896D4F">
        <w:t>N.N. ”skar sig” den 27 september 1999 på Hornö LVM-hem. Följande dag, den 28 september, försökte N.N. att hänga sig på hemmet. N.N. fördes från LVM-hemmet till Sahlgrenska universitetssjukhuset i Göteborg, enheten ”psykiatri/östra” (nedan även benämnt Lillhagens sjukhus) där han togs in för vård den 29 september. Samma dag beslutade föreståndaren vid Hornö b</w:t>
      </w:r>
      <w:r w:rsidRPr="00896D4F">
        <w:t>e</w:t>
      </w:r>
      <w:r w:rsidRPr="00896D4F">
        <w:t>hand</w:t>
      </w:r>
      <w:r w:rsidRPr="00896D4F">
        <w:softHyphen/>
        <w:t>lingshem, Owe Lundmark, att skriva ut N.N. från hemmet med motive</w:t>
      </w:r>
      <w:r w:rsidRPr="00896D4F">
        <w:t>r</w:t>
      </w:r>
      <w:r w:rsidRPr="00896D4F">
        <w:t>ingen ”Ändamålet med vården uppnådd”. I beslutet angavs att N.N. var int</w:t>
      </w:r>
      <w:r w:rsidRPr="00896D4F">
        <w:t>a</w:t>
      </w:r>
      <w:r w:rsidRPr="00896D4F">
        <w:t xml:space="preserve">gen på psykiatrisk klinik och under rubriken Övriga upplysningar angav Owe Lundmark följande.  </w:t>
      </w:r>
    </w:p>
    <w:p w:rsidR="009C1C5A" w:rsidRPr="00896D4F" w:rsidRDefault="009C1C5A">
      <w:pPr>
        <w:pStyle w:val="Citat"/>
      </w:pPr>
      <w:r w:rsidRPr="00896D4F">
        <w:t>Beslutet fattat efter utlåtande av konsultläkare Gunnel Ersson vid Hornö LVM-hem och överläkaren vid tox.klin UAS.</w:t>
      </w:r>
    </w:p>
    <w:p w:rsidR="009C1C5A" w:rsidRPr="00896D4F" w:rsidRDefault="009C1C5A">
      <w:pPr>
        <w:pStyle w:val="Citatindrag"/>
      </w:pPr>
      <w:r w:rsidRPr="00896D4F">
        <w:t xml:space="preserve">Socialtjänsten informerad.  </w:t>
      </w:r>
    </w:p>
    <w:p w:rsidR="009C1C5A" w:rsidRPr="00896D4F" w:rsidRDefault="009C1C5A">
      <w:r w:rsidRPr="00896D4F">
        <w:t xml:space="preserve">N.N. skrevs ut från sjukhuset den 1 oktober 1999. På kvällen samma dag påträffades han död. </w:t>
      </w:r>
    </w:p>
    <w:p w:rsidR="009C1C5A" w:rsidRPr="00896D4F" w:rsidRDefault="009C1C5A">
      <w:pPr>
        <w:pStyle w:val="Normaltindrag"/>
      </w:pPr>
      <w:r w:rsidRPr="00896D4F">
        <w:t xml:space="preserve">I en anmälan till JO anförde N.N:s mor att N.N. varit i behov av vård. Hon ifrågasatte därför dels beslutet att skriva ut N.N. från LVM-hemmet, dels att N.N. tilläts lämna sjukhuset (JO:s dnr 4423-1999). </w:t>
      </w:r>
    </w:p>
    <w:p w:rsidR="009C1C5A" w:rsidRPr="00896D4F" w:rsidRDefault="009C1C5A">
      <w:pPr>
        <w:pStyle w:val="Normaltindrag"/>
      </w:pPr>
      <w:r w:rsidRPr="00896D4F">
        <w:t>Tf. enhetschefen Anette Månsson och 1:e socialsekreteraren Carin Swe</w:t>
      </w:r>
      <w:r w:rsidRPr="00896D4F">
        <w:t>d</w:t>
      </w:r>
      <w:r w:rsidRPr="00896D4F">
        <w:t>berg Wennerlund, båda vid Bergsjöns stadsdelsförvaltning i Göteborgs ko</w:t>
      </w:r>
      <w:r w:rsidRPr="00896D4F">
        <w:t>m</w:t>
      </w:r>
      <w:r w:rsidRPr="00896D4F">
        <w:t>mun, begärde i en skrivelse till JO att JO skulle granska hur Owe Lundmark han</w:t>
      </w:r>
      <w:r w:rsidRPr="00896D4F">
        <w:t>d</w:t>
      </w:r>
      <w:r w:rsidRPr="00896D4F">
        <w:t xml:space="preserve">lagt ärendet angående N.N. (JO:s dnr 4466-1999). </w:t>
      </w:r>
    </w:p>
    <w:p w:rsidR="009C1C5A" w:rsidRPr="00896D4F" w:rsidRDefault="009C1C5A">
      <w:pPr>
        <w:pStyle w:val="Normaltindrag"/>
      </w:pPr>
      <w:r w:rsidRPr="00896D4F">
        <w:t>När det gäller handläggningen av ärendet rörande N.N. vid Hornö LVM-hem imhämtades utredning och yttrande från Statens institutionsstyrelse (SiS). Yttrande inhämtades från Socialstyrelsen vad gällde sjukhusets han</w:t>
      </w:r>
      <w:r w:rsidRPr="00896D4F">
        <w:t>d</w:t>
      </w:r>
      <w:r w:rsidRPr="00896D4F">
        <w:t xml:space="preserve">lande.  </w:t>
      </w:r>
    </w:p>
    <w:p w:rsidR="009C1C5A" w:rsidRPr="00896D4F" w:rsidRDefault="009C1C5A">
      <w:pPr>
        <w:pStyle w:val="Normaltindrag"/>
      </w:pPr>
      <w:r w:rsidRPr="00896D4F">
        <w:t>SiS anförde i sitt yttrande, efter att ha redovisat relevanta lagbestämmelser, i huvudsak följande (åberopad bilaga har här utelämnats).</w:t>
      </w:r>
    </w:p>
    <w:p w:rsidR="009C1C5A" w:rsidRPr="00896D4F" w:rsidRDefault="009C1C5A">
      <w:pPr>
        <w:pStyle w:val="Citat"/>
      </w:pPr>
      <w:r w:rsidRPr="00896D4F">
        <w:t>I</w:t>
      </w:r>
      <w:r w:rsidRPr="00896D4F">
        <w:rPr>
          <w:b/>
        </w:rPr>
        <w:t xml:space="preserve"> </w:t>
      </w:r>
      <w:r w:rsidRPr="00896D4F">
        <w:t>SiS interna allmänna råd 1997:1</w:t>
      </w:r>
      <w:r w:rsidRPr="00896D4F">
        <w:rPr>
          <w:b/>
        </w:rPr>
        <w:t xml:space="preserve"> </w:t>
      </w:r>
      <w:r w:rsidRPr="00896D4F">
        <w:t>för verksamheten vid LVM-hemmen anges under ru</w:t>
      </w:r>
      <w:r w:rsidRPr="00896D4F">
        <w:softHyphen/>
        <w:t>briken</w:t>
      </w:r>
      <w:r w:rsidRPr="00896D4F">
        <w:rPr>
          <w:i/>
        </w:rPr>
        <w:t xml:space="preserve"> Psykiatrisk och annan medicinsk vård i samband med LVM-vård </w:t>
      </w:r>
      <w:r w:rsidRPr="00896D4F">
        <w:t>följande.</w:t>
      </w:r>
    </w:p>
    <w:p w:rsidR="009C1C5A" w:rsidRPr="00896D4F" w:rsidRDefault="009C1C5A">
      <w:pPr>
        <w:pStyle w:val="Citatindrag"/>
        <w:ind w:left="227" w:firstLine="0"/>
      </w:pPr>
      <w:r w:rsidRPr="00896D4F">
        <w:t>Om det under vårdtiden uppkommer behov av sjukhusvård skall persona</w:t>
      </w:r>
      <w:r w:rsidRPr="00896D4F">
        <w:softHyphen/>
        <w:t>len vid LVM</w:t>
      </w:r>
      <w:r w:rsidRPr="00896D4F">
        <w:softHyphen/>
        <w:t>-hemmet föra klienten till sjukhus. Beslut om intagning på</w:t>
      </w:r>
      <w:r w:rsidRPr="00896D4F">
        <w:rPr>
          <w:b/>
        </w:rPr>
        <w:t xml:space="preserve"> </w:t>
      </w:r>
      <w:r w:rsidRPr="00896D4F">
        <w:t>sjukh</w:t>
      </w:r>
      <w:r w:rsidRPr="00896D4F">
        <w:t>u</w:t>
      </w:r>
      <w:r w:rsidRPr="00896D4F">
        <w:t>set fattas av där ansvari</w:t>
      </w:r>
      <w:r w:rsidRPr="00896D4F">
        <w:softHyphen/>
        <w:t>ga läkare. Verksamhetschefen vid den sjuk</w:t>
      </w:r>
      <w:r w:rsidRPr="00896D4F">
        <w:softHyphen/>
        <w:t>vårdsenhet där klienten vårdas är skyldig</w:t>
      </w:r>
      <w:r w:rsidRPr="00896D4F">
        <w:rPr>
          <w:b/>
        </w:rPr>
        <w:t xml:space="preserve"> </w:t>
      </w:r>
      <w:r w:rsidRPr="00896D4F">
        <w:t>att meddela socialnämnden eller den som förestår vården vid LVM-hemmet om klienten vill lämna eller re</w:t>
      </w:r>
      <w:r w:rsidRPr="00896D4F">
        <w:softHyphen/>
        <w:t>dan har lämnat sjukhuset. Om klienten inte tas in på</w:t>
      </w:r>
      <w:r w:rsidRPr="00896D4F">
        <w:rPr>
          <w:b/>
        </w:rPr>
        <w:t xml:space="preserve"> </w:t>
      </w:r>
      <w:r w:rsidRPr="00896D4F">
        <w:t>sjukhuset, därför att medicinska behov av vård inte bedöms föreligga, får den som ansvarar för LVM-vården anses ha fullgjort sitt ansvar att bereda sjukhusvård, genom a</w:t>
      </w:r>
      <w:r w:rsidRPr="00896D4F">
        <w:t>tt personen har förts till sjukhuset. Självfallet innebär en utebliven intag</w:t>
      </w:r>
      <w:r w:rsidRPr="00896D4F">
        <w:softHyphen/>
        <w:t>ning inte någon inskränkning i ansvaret i övrigt för nödvändiga stöd- och hjälpinsatser.</w:t>
      </w:r>
    </w:p>
    <w:p w:rsidR="009C1C5A" w:rsidRPr="00896D4F" w:rsidRDefault="009C1C5A">
      <w:pPr>
        <w:pStyle w:val="Citatindrag"/>
        <w:ind w:left="227"/>
      </w:pPr>
      <w:r w:rsidRPr="00896D4F">
        <w:t>Respekten för klientens självbestämmande och integritet är en utgångs</w:t>
      </w:r>
      <w:r w:rsidRPr="00896D4F">
        <w:softHyphen/>
        <w:t>punkt för hälso- och sjukvårdens insatser. Också den sjukvård som bedrivs på</w:t>
      </w:r>
      <w:r w:rsidRPr="00896D4F">
        <w:rPr>
          <w:b/>
        </w:rPr>
        <w:t xml:space="preserve"> </w:t>
      </w:r>
      <w:r w:rsidRPr="00896D4F">
        <w:t>ett LVM-hem måste bygga på</w:t>
      </w:r>
      <w:r w:rsidRPr="00896D4F">
        <w:rPr>
          <w:b/>
        </w:rPr>
        <w:t xml:space="preserve"> </w:t>
      </w:r>
      <w:r w:rsidRPr="00896D4F">
        <w:t>frivillighet. Vård- och behandlingsinsat</w:t>
      </w:r>
      <w:r w:rsidRPr="00896D4F">
        <w:softHyphen/>
        <w:t>ser kräver medverkan av klienten för att kunna genomföras. Tvånget kan användas för att hålla kvar klienten på</w:t>
      </w:r>
      <w:r w:rsidRPr="00896D4F">
        <w:rPr>
          <w:b/>
        </w:rPr>
        <w:t xml:space="preserve"> </w:t>
      </w:r>
      <w:r w:rsidRPr="00896D4F">
        <w:t>institutionen, men det är inte möj</w:t>
      </w:r>
      <w:r w:rsidRPr="00896D4F">
        <w:softHyphen/>
        <w:t>ligt att vårda någon mot hans vilja. Vård enligt LPT kan ges under LVM-perioden. Om klienten tas in för LPT-vård under längre tid bör vården en</w:t>
      </w:r>
      <w:r w:rsidRPr="00896D4F">
        <w:softHyphen/>
        <w:t>ligt LVM upphö</w:t>
      </w:r>
      <w:r w:rsidRPr="00896D4F">
        <w:softHyphen/>
        <w:t xml:space="preserve">ra. Utskrivning från LVM-vård bör dock inte göras förrän det </w:t>
      </w:r>
      <w:r w:rsidRPr="00896D4F">
        <w:t>är</w:t>
      </w:r>
      <w:r w:rsidRPr="00896D4F">
        <w:rPr>
          <w:b/>
        </w:rPr>
        <w:t xml:space="preserve"> </w:t>
      </w:r>
      <w:r w:rsidRPr="00896D4F">
        <w:t>klart att LPT-vården kommer att fortgå under en längre tid. Läns</w:t>
      </w:r>
      <w:r w:rsidRPr="00896D4F">
        <w:softHyphen/>
        <w:t>rättens medgiva</w:t>
      </w:r>
      <w:r w:rsidRPr="00896D4F">
        <w:t>n</w:t>
      </w:r>
      <w:r w:rsidRPr="00896D4F">
        <w:t>de till sådan vård bör därför avvaktas. Länsrättens pröv</w:t>
      </w:r>
      <w:r w:rsidRPr="00896D4F">
        <w:softHyphen/>
        <w:t>ning sker, efter ans</w:t>
      </w:r>
      <w:r w:rsidRPr="00896D4F">
        <w:t>ö</w:t>
      </w:r>
      <w:r w:rsidRPr="00896D4F">
        <w:t>kan av chefsöverläkaren, inom fem veckor från intag</w:t>
      </w:r>
      <w:r w:rsidRPr="00896D4F">
        <w:softHyphen/>
        <w:t>ning för tvångsvård.</w:t>
      </w:r>
    </w:p>
    <w:p w:rsidR="009C1C5A" w:rsidRPr="00896D4F" w:rsidRDefault="009C1C5A">
      <w:pPr>
        <w:pStyle w:val="Citat"/>
      </w:pPr>
      <w:r w:rsidRPr="00896D4F">
        <w:t xml:space="preserve">I de allmänna råden anges vidare under rubriken </w:t>
      </w:r>
      <w:r w:rsidRPr="00896D4F">
        <w:rPr>
          <w:i/>
        </w:rPr>
        <w:t xml:space="preserve">Utskrivning och fortsatt vård </w:t>
      </w:r>
      <w:r w:rsidRPr="00896D4F">
        <w:t>bl. a. föl</w:t>
      </w:r>
      <w:r w:rsidRPr="00896D4F">
        <w:rPr>
          <w:b/>
        </w:rPr>
        <w:softHyphen/>
      </w:r>
      <w:r w:rsidRPr="00896D4F">
        <w:t>jande.</w:t>
      </w:r>
    </w:p>
    <w:p w:rsidR="009C1C5A" w:rsidRPr="00896D4F" w:rsidRDefault="009C1C5A">
      <w:pPr>
        <w:pStyle w:val="Citatindrag"/>
        <w:ind w:left="227" w:firstLine="0"/>
      </w:pPr>
      <w:r w:rsidRPr="00896D4F">
        <w:t>Utskrivningsbeslutet skall föregås av samråd med socialnämnden. Om ett LVM-hem inte anser sig kunna ge en enskild klient fortsatt vård pga den</w:t>
      </w:r>
      <w:r w:rsidRPr="00896D4F">
        <w:softHyphen/>
        <w:t>nes uppträdande får inte enbart detta faktum ligga till grund för utskriv</w:t>
      </w:r>
      <w:r w:rsidRPr="00896D4F">
        <w:softHyphen/>
        <w:t>ning. I</w:t>
      </w:r>
      <w:r w:rsidRPr="00896D4F">
        <w:rPr>
          <w:b/>
        </w:rPr>
        <w:t xml:space="preserve"> </w:t>
      </w:r>
      <w:r w:rsidRPr="00896D4F">
        <w:t>stället bör frågan om att flytta klienten till ett annat LVM-hem tas upp med placeringsgruppen vid SiS huvudkontor. Inte heller får en klient skrivas ut enbart med hänvisning till att institutionen inte når framgång i arbetet med att motivera klienten till fortsatt vård i frivillig form. [</w:t>
      </w:r>
      <w:r w:rsidRPr="00896D4F">
        <w:rPr>
          <w:b/>
        </w:rPr>
        <w:t xml:space="preserve"> – – – </w:t>
      </w:r>
      <w:r w:rsidRPr="00896D4F">
        <w:t>]</w:t>
      </w:r>
    </w:p>
    <w:p w:rsidR="009C1C5A" w:rsidRPr="00896D4F" w:rsidRDefault="009C1C5A">
      <w:pPr>
        <w:pStyle w:val="Citatindrag"/>
        <w:ind w:left="227"/>
      </w:pPr>
      <w:r w:rsidRPr="00896D4F">
        <w:t>[ – – – ]</w:t>
      </w:r>
      <w:r w:rsidRPr="00896D4F">
        <w:rPr>
          <w:b/>
        </w:rPr>
        <w:t xml:space="preserve"> </w:t>
      </w:r>
      <w:r w:rsidRPr="00896D4F">
        <w:t>Inför utskrivningen skall det finnas en plan för eftervården. Om kli</w:t>
      </w:r>
      <w:r w:rsidRPr="00896D4F">
        <w:softHyphen/>
        <w:t>enten inte har kunnat motiveras för fortsatt vård under LVM-tiden bör det finnas en plan för vilka fort</w:t>
      </w:r>
      <w:r w:rsidRPr="00896D4F">
        <w:softHyphen/>
        <w:t>satta stöd- och hjälpinsatser socialtjänsten pla</w:t>
      </w:r>
      <w:r w:rsidRPr="00896D4F">
        <w:softHyphen/>
        <w:t>nerar. Detta skall dokumenteras i journalen.</w:t>
      </w:r>
    </w:p>
    <w:p w:rsidR="009C1C5A" w:rsidRPr="00896D4F" w:rsidRDefault="009C1C5A">
      <w:pPr>
        <w:pStyle w:val="Citat"/>
      </w:pPr>
      <w:r w:rsidRPr="00896D4F">
        <w:t>Enligt SiS mening står det klart att N.N. inte borde ha skrivits ut den 29</w:t>
      </w:r>
      <w:r w:rsidRPr="00896D4F">
        <w:rPr>
          <w:b/>
        </w:rPr>
        <w:t xml:space="preserve"> </w:t>
      </w:r>
      <w:r w:rsidRPr="00896D4F">
        <w:t>se</w:t>
      </w:r>
      <w:r w:rsidRPr="00896D4F">
        <w:t>p</w:t>
      </w:r>
      <w:r w:rsidRPr="00896D4F">
        <w:t>tem</w:t>
      </w:r>
      <w:r w:rsidRPr="00896D4F">
        <w:softHyphen/>
        <w:t>ber 1999.</w:t>
      </w:r>
      <w:r w:rsidRPr="00896D4F">
        <w:rPr>
          <w:b/>
        </w:rPr>
        <w:t xml:space="preserve"> </w:t>
      </w:r>
      <w:r w:rsidRPr="00896D4F">
        <w:t>Syftet med tvångsvården var då</w:t>
      </w:r>
      <w:r w:rsidRPr="00896D4F">
        <w:rPr>
          <w:b/>
        </w:rPr>
        <w:t xml:space="preserve"> </w:t>
      </w:r>
      <w:r w:rsidRPr="00896D4F">
        <w:t>uppenbarligen inte upp</w:t>
      </w:r>
      <w:r w:rsidRPr="00896D4F">
        <w:softHyphen/>
        <w:t>nått och N.N. var då inte omhändertagen av sjukvården eller annan på</w:t>
      </w:r>
      <w:r w:rsidRPr="00896D4F">
        <w:rPr>
          <w:b/>
        </w:rPr>
        <w:t xml:space="preserve"> </w:t>
      </w:r>
      <w:r w:rsidRPr="00896D4F">
        <w:t xml:space="preserve">ett sådant sätt att utskrivning borde komma i fråga. N.N. borde i stället </w:t>
      </w:r>
      <w:r w:rsidRPr="00896D4F">
        <w:rPr>
          <w:b/>
        </w:rPr>
        <w:t xml:space="preserve">– </w:t>
      </w:r>
      <w:r w:rsidRPr="00896D4F">
        <w:t>lik</w:t>
      </w:r>
      <w:r w:rsidRPr="00896D4F">
        <w:softHyphen/>
        <w:t>som skett vid flera tillfällen tidiga</w:t>
      </w:r>
      <w:r w:rsidRPr="00896D4F">
        <w:softHyphen/>
        <w:t xml:space="preserve">re under vårdtiden enligt LVM </w:t>
      </w:r>
      <w:r w:rsidRPr="00896D4F">
        <w:rPr>
          <w:b/>
        </w:rPr>
        <w:t xml:space="preserve">– </w:t>
      </w:r>
      <w:r w:rsidRPr="00896D4F">
        <w:t>genom LVM-hemmets försorg och under pågående vårdtid enligt LVM ha beretts tillfälle till den hälso- och sjukvård som han kunde ha be</w:t>
      </w:r>
      <w:r w:rsidRPr="00896D4F">
        <w:softHyphen/>
        <w:t>hövt.</w:t>
      </w:r>
    </w:p>
    <w:p w:rsidR="009C1C5A" w:rsidRPr="00896D4F" w:rsidRDefault="009C1C5A">
      <w:pPr>
        <w:pStyle w:val="Citatindrag"/>
      </w:pPr>
      <w:r w:rsidRPr="00896D4F">
        <w:t xml:space="preserve">Det har vidare ålegat institutionschefen att </w:t>
      </w:r>
      <w:r w:rsidRPr="00896D4F">
        <w:rPr>
          <w:i/>
        </w:rPr>
        <w:t>före</w:t>
      </w:r>
      <w:r w:rsidRPr="00896D4F">
        <w:t xml:space="preserve"> beslutet om utskrivning samråda med socialnämnden (26 §</w:t>
      </w:r>
      <w:r w:rsidRPr="00896D4F">
        <w:rPr>
          <w:b/>
        </w:rPr>
        <w:t xml:space="preserve"> </w:t>
      </w:r>
      <w:r w:rsidRPr="00896D4F">
        <w:t>LVM). Såvitt framgår av instit</w:t>
      </w:r>
      <w:r w:rsidRPr="00896D4F">
        <w:t>u</w:t>
      </w:r>
      <w:r w:rsidRPr="00896D4F">
        <w:t>tions</w:t>
      </w:r>
      <w:r w:rsidRPr="00896D4F">
        <w:softHyphen/>
        <w:t>chefens yttrande har så inte skett. Om socialtjänsten inte ens informerats i förväg om att utskrivning övervägdes, borde institutionschefen inte i be</w:t>
      </w:r>
      <w:r w:rsidRPr="00896D4F">
        <w:softHyphen/>
        <w:t>slutet ha angett ”Socialtjänsten informerad”.</w:t>
      </w:r>
    </w:p>
    <w:p w:rsidR="009C1C5A" w:rsidRPr="00896D4F" w:rsidRDefault="009C1C5A">
      <w:pPr>
        <w:pStyle w:val="Citatindrag"/>
      </w:pPr>
      <w:r w:rsidRPr="00896D4F">
        <w:t xml:space="preserve">SiS har utgått från att de regler som gäller i fråga om utskrivning från LVM-hem varit väl kända inom organisationen och att de tillämpats på ett korrekt sätt. Mot bakgrund av vad som framkommit i detta ärende har SiS </w:t>
      </w:r>
      <w:r w:rsidRPr="00896D4F">
        <w:t>dock funnit anledning att påminna institu</w:t>
      </w:r>
      <w:r w:rsidRPr="00896D4F">
        <w:softHyphen/>
        <w:t>tionscheferna vid samtliga LVM-hem om vad som gäller.</w:t>
      </w:r>
    </w:p>
    <w:p w:rsidR="009C1C5A" w:rsidRPr="00896D4F" w:rsidRDefault="009C1C5A">
      <w:pPr>
        <w:pStyle w:val="Citatindrag"/>
        <w:rPr>
          <w:b/>
        </w:rPr>
      </w:pPr>
      <w:r w:rsidRPr="00896D4F">
        <w:t>Avslutningsvis vill SiS anföra att frågan om ansvarsfördelningen mellan SiS och lands</w:t>
      </w:r>
      <w:r w:rsidRPr="00896D4F">
        <w:softHyphen/>
        <w:t>tingen när det gäller hälso- och sjukvårdsinsatser, särskilt psyk</w:t>
      </w:r>
      <w:r w:rsidRPr="00896D4F">
        <w:t>i</w:t>
      </w:r>
      <w:r w:rsidRPr="00896D4F">
        <w:t>atri, sedan länge ansetts som ett problem. SiS har under 1999</w:t>
      </w:r>
      <w:r w:rsidRPr="00896D4F">
        <w:rPr>
          <w:b/>
        </w:rPr>
        <w:t xml:space="preserve"> </w:t>
      </w:r>
      <w:r w:rsidRPr="00896D4F">
        <w:t>haft i uppdrag av regeringen att i samarbete med Landstingsförbundet undersöka möjligh</w:t>
      </w:r>
      <w:r w:rsidRPr="00896D4F">
        <w:t>e</w:t>
      </w:r>
      <w:r w:rsidRPr="00896D4F">
        <w:t>terna att tydliggöra ansvarsfördelningen. SiS redovisning av det regering</w:t>
      </w:r>
      <w:r w:rsidRPr="00896D4F">
        <w:t>s</w:t>
      </w:r>
      <w:r w:rsidRPr="00896D4F">
        <w:t>uppdraget bifogas för kännedom (SiS dnr 120-697-99).</w:t>
      </w:r>
    </w:p>
    <w:p w:rsidR="009C1C5A" w:rsidRPr="00896D4F" w:rsidRDefault="009C1C5A">
      <w:r w:rsidRPr="00896D4F">
        <w:t>Till SiS:s yttrande hade fogats en redogörelse av institutionschefen Owe Lundmark vid Hornö LVM-hem. Han anförde följande (åberopade bilagor har här ute</w:t>
      </w:r>
      <w:r w:rsidRPr="00896D4F">
        <w:softHyphen/>
        <w:t>läm</w:t>
      </w:r>
      <w:r w:rsidRPr="00896D4F">
        <w:softHyphen/>
        <w:t xml:space="preserve">nats). </w:t>
      </w:r>
    </w:p>
    <w:p w:rsidR="009C1C5A" w:rsidRPr="00896D4F" w:rsidRDefault="009C1C5A">
      <w:pPr>
        <w:pStyle w:val="Citat"/>
      </w:pPr>
      <w:r w:rsidRPr="00896D4F">
        <w:t>Som framgår av handlingarna kring berörd klient finns mycket dokumen</w:t>
      </w:r>
      <w:r w:rsidRPr="00896D4F">
        <w:softHyphen/>
        <w:t>terat både när det rör missbruk, kriminalitet och psykisk problematik.</w:t>
      </w:r>
    </w:p>
    <w:p w:rsidR="009C1C5A" w:rsidRPr="00896D4F" w:rsidRDefault="009C1C5A">
      <w:pPr>
        <w:pStyle w:val="Citatindrag"/>
      </w:pPr>
      <w:r w:rsidRPr="00896D4F">
        <w:t>Vistelsen på Hornö var en konsekvens efter misslyckande på Gudhem och Håkanstorp. Av bilaga 1, 2 och 3 framgår det tolkningsunderlag av pro</w:t>
      </w:r>
      <w:r w:rsidRPr="00896D4F">
        <w:softHyphen/>
        <w:t>blematiken rö</w:t>
      </w:r>
      <w:r w:rsidRPr="00896D4F">
        <w:softHyphen/>
        <w:t xml:space="preserve">rande N.N. som ligger till grund för beslutet. </w:t>
      </w:r>
    </w:p>
    <w:p w:rsidR="009C1C5A" w:rsidRPr="00896D4F" w:rsidRDefault="009C1C5A">
      <w:pPr>
        <w:pStyle w:val="Citatindrag"/>
      </w:pPr>
      <w:r w:rsidRPr="00896D4F">
        <w:t>Mitt beslut om att avsluta LVM-vården grundar sig på att det inte kan vara LVM-lagstiftningens in</w:t>
      </w:r>
      <w:r w:rsidRPr="00896D4F">
        <w:softHyphen/>
        <w:t>tentioner att en klient under sin vistelse på ett LVM-hem upprepade gånger försöker ta sitt liv. En verksamhet kan inte drivas varken ur personal- eller klientsynpunkt om en institution skulle trots en kl</w:t>
      </w:r>
      <w:r w:rsidRPr="00896D4F">
        <w:t>i</w:t>
      </w:r>
      <w:r w:rsidRPr="00896D4F">
        <w:t>ents många allvarliga suicidförsök ej vidtaga åtgärder. I detta fall har läkare remitterat en klient till hempsykiatrin som väl känner till problemets art. Tid</w:t>
      </w:r>
      <w:r w:rsidRPr="00896D4F">
        <w:t>i</w:t>
      </w:r>
      <w:r w:rsidRPr="00896D4F">
        <w:t>gare medicine</w:t>
      </w:r>
      <w:r w:rsidRPr="00896D4F">
        <w:softHyphen/>
        <w:t>ringsförsök och ECT-behandling talar ett klart och tydligt språk över nivån på den psykiska problematiken.</w:t>
      </w:r>
    </w:p>
    <w:p w:rsidR="009C1C5A" w:rsidRPr="00896D4F" w:rsidRDefault="009C1C5A">
      <w:pPr>
        <w:pStyle w:val="Citatindrag"/>
      </w:pPr>
      <w:r w:rsidRPr="00896D4F">
        <w:t>Mitt beslut att efter läk</w:t>
      </w:r>
      <w:r w:rsidRPr="00896D4F">
        <w:t>arremiss till den psykiatriska kliniken vid Lillh</w:t>
      </w:r>
      <w:r w:rsidRPr="00896D4F">
        <w:t>a</w:t>
      </w:r>
      <w:r w:rsidRPr="00896D4F">
        <w:t>gens sjukhus avsluta LVM är en följd av den info som kommer fram från läkaruttalanden i bilaga 1–3.</w:t>
      </w:r>
    </w:p>
    <w:p w:rsidR="009C1C5A" w:rsidRPr="00896D4F" w:rsidRDefault="009C1C5A">
      <w:pPr>
        <w:pStyle w:val="Citatindrag"/>
      </w:pPr>
      <w:r w:rsidRPr="00896D4F">
        <w:t>Socialtjänsten informerades när jag tagit mitt beslut, att det i utskri</w:t>
      </w:r>
      <w:r w:rsidRPr="00896D4F">
        <w:t>v</w:t>
      </w:r>
      <w:r w:rsidRPr="00896D4F">
        <w:t>nings</w:t>
      </w:r>
      <w:r w:rsidRPr="00896D4F">
        <w:softHyphen/>
        <w:t>beslutet står ”ändamålet med vården är uppnådd” är en mening tagen ur sitt sammanhang. Det står faktiskt att klienten är utskriven till psykiatrisk klinik efter remiss från konsultläkare vid institutionen. Jag är lika bestört över ko</w:t>
      </w:r>
      <w:r w:rsidRPr="00896D4F">
        <w:t>n</w:t>
      </w:r>
      <w:r w:rsidRPr="00896D4F">
        <w:t>sekvensen att Lillhagens sjukhus har skrivit ut klienten utan att göra en b</w:t>
      </w:r>
      <w:r w:rsidRPr="00896D4F">
        <w:t>e</w:t>
      </w:r>
      <w:r w:rsidRPr="00896D4F">
        <w:t>dömning och riktig observation. Vilken lag</w:t>
      </w:r>
      <w:r w:rsidRPr="00896D4F">
        <w:softHyphen/>
        <w:t>stiftning skall kunna hantera pe</w:t>
      </w:r>
      <w:r w:rsidRPr="00896D4F">
        <w:t>r</w:t>
      </w:r>
      <w:r w:rsidRPr="00896D4F">
        <w:t>soner som upprepade gånger försöker ta sitt liv om inte psykiat</w:t>
      </w:r>
      <w:r w:rsidRPr="00896D4F">
        <w:softHyphen/>
        <w:t>rin inom r</w:t>
      </w:r>
      <w:r w:rsidRPr="00896D4F">
        <w:t>a</w:t>
      </w:r>
      <w:r w:rsidRPr="00896D4F">
        <w:t>men för LPT.</w:t>
      </w:r>
    </w:p>
    <w:p w:rsidR="009C1C5A" w:rsidRPr="00896D4F" w:rsidRDefault="009C1C5A">
      <w:r w:rsidRPr="00896D4F">
        <w:t xml:space="preserve">Socialstyrelsen anförde i sitt </w:t>
      </w:r>
      <w:r w:rsidRPr="00896D4F">
        <w:t xml:space="preserve">yttrande följande. </w:t>
      </w:r>
    </w:p>
    <w:p w:rsidR="009C1C5A" w:rsidRPr="00896D4F" w:rsidRDefault="009C1C5A">
      <w:pPr>
        <w:pStyle w:val="Citat"/>
      </w:pPr>
      <w:r w:rsidRPr="00896D4F">
        <w:t>Socialstyrelsen har genom Regionala tillsynsenheten i Göteborg införskaf</w:t>
      </w:r>
      <w:r w:rsidRPr="00896D4F">
        <w:softHyphen/>
        <w:t>fat yttrande från vårdenhetsöverläkaren Lennart Brimstedt, avdelning 37,</w:t>
      </w:r>
      <w:r w:rsidRPr="00896D4F">
        <w:rPr>
          <w:b/>
        </w:rPr>
        <w:t xml:space="preserve"> </w:t>
      </w:r>
      <w:r w:rsidRPr="00896D4F">
        <w:t>Psyk</w:t>
      </w:r>
      <w:r w:rsidRPr="00896D4F">
        <w:t>i</w:t>
      </w:r>
      <w:r w:rsidRPr="00896D4F">
        <w:t>atri/Östra, Sahlgrenska universitetssjukhuset, samt aktuella journal</w:t>
      </w:r>
      <w:r w:rsidRPr="00896D4F">
        <w:softHyphen/>
        <w:t>handlingar. Ärendet har därefter granskats av Göte</w:t>
      </w:r>
      <w:r w:rsidRPr="00896D4F">
        <w:softHyphen/>
        <w:t>borgsenhetens före</w:t>
      </w:r>
      <w:r w:rsidRPr="00896D4F">
        <w:softHyphen/>
        <w:t>dragande läkare inom psykiatri, Björn Spångberg.</w:t>
      </w:r>
    </w:p>
    <w:p w:rsidR="009C1C5A" w:rsidRPr="00896D4F" w:rsidRDefault="009C1C5A">
      <w:pPr>
        <w:pStyle w:val="Citatindrag"/>
      </w:pPr>
      <w:r w:rsidRPr="00896D4F">
        <w:t>Enligt Socialstyrelsens bedömning har patienten under den aktuella perio</w:t>
      </w:r>
      <w:r w:rsidRPr="00896D4F">
        <w:softHyphen/>
        <w:t>den våren, sommaren och hösten 1999</w:t>
      </w:r>
      <w:r w:rsidRPr="00896D4F">
        <w:rPr>
          <w:b/>
        </w:rPr>
        <w:t xml:space="preserve"> </w:t>
      </w:r>
      <w:r w:rsidRPr="00896D4F">
        <w:t>lidit av en komplex och allvarlig så kallad dubbeldiagnosproblematik, bestående i en bakgrund med ett de</w:t>
      </w:r>
      <w:r w:rsidRPr="00896D4F">
        <w:softHyphen/>
        <w:t>struktivt drogmissbruk som allvarligt försämrat hans psykiska hälsa. Efter två själ</w:t>
      </w:r>
      <w:r w:rsidRPr="00896D4F">
        <w:t>v</w:t>
      </w:r>
      <w:r w:rsidRPr="00896D4F">
        <w:t>mordsförsök lades patienten in på</w:t>
      </w:r>
      <w:r w:rsidRPr="00896D4F">
        <w:rPr>
          <w:b/>
        </w:rPr>
        <w:t xml:space="preserve"> </w:t>
      </w:r>
      <w:r w:rsidRPr="00896D4F">
        <w:t>Psykiatri/Östra för bedömning och obse</w:t>
      </w:r>
      <w:r w:rsidRPr="00896D4F">
        <w:t>r</w:t>
      </w:r>
      <w:r w:rsidRPr="00896D4F">
        <w:t>vation. Efter tre dygn vill patienten bli utskriven och ansvarig lä</w:t>
      </w:r>
      <w:r w:rsidRPr="00896D4F">
        <w:softHyphen/>
        <w:t>kare gör b</w:t>
      </w:r>
      <w:r w:rsidRPr="00896D4F">
        <w:t>e</w:t>
      </w:r>
      <w:r w:rsidRPr="00896D4F">
        <w:t>dömningen att självmordsrisken vid dåvarande tidpunkt är li</w:t>
      </w:r>
      <w:r w:rsidRPr="00896D4F">
        <w:softHyphen/>
        <w:t>ten. Patienten bedöms av utskrivande läkare som ”balanserad” och icke depr</w:t>
      </w:r>
      <w:r w:rsidRPr="00896D4F">
        <w:t>imerad. Plan för uppföljning inför planerad litiumbehandling görs upp med patienten va</w:t>
      </w:r>
      <w:r w:rsidRPr="00896D4F">
        <w:t>r</w:t>
      </w:r>
      <w:r w:rsidRPr="00896D4F">
        <w:t>efter han skrivs ut. Dokumentationen i journalen i sam</w:t>
      </w:r>
      <w:r w:rsidRPr="00896D4F">
        <w:softHyphen/>
        <w:t>band med utskrivning</w:t>
      </w:r>
      <w:r w:rsidRPr="00896D4F">
        <w:t>s</w:t>
      </w:r>
      <w:r w:rsidRPr="00896D4F">
        <w:t>samtalet den 1</w:t>
      </w:r>
      <w:r w:rsidRPr="00896D4F">
        <w:rPr>
          <w:b/>
        </w:rPr>
        <w:t xml:space="preserve"> </w:t>
      </w:r>
      <w:r w:rsidRPr="00896D4F">
        <w:t>oktober 1999</w:t>
      </w:r>
      <w:r w:rsidRPr="00896D4F">
        <w:rPr>
          <w:b/>
        </w:rPr>
        <w:t xml:space="preserve"> </w:t>
      </w:r>
      <w:r w:rsidRPr="00896D4F">
        <w:t>är sparsam. Enligt Socialstyrelsens uppfattning borde en mer strukturerad bedömning av självmordsrisken ha gjorts och d</w:t>
      </w:r>
      <w:r w:rsidRPr="00896D4F">
        <w:t>o</w:t>
      </w:r>
      <w:r w:rsidRPr="00896D4F">
        <w:t>kumenterats med hänsyn till patientens aktuella problematik med hög</w:t>
      </w:r>
      <w:r w:rsidRPr="00896D4F">
        <w:rPr>
          <w:b/>
        </w:rPr>
        <w:t xml:space="preserve"> </w:t>
      </w:r>
      <w:r w:rsidRPr="00896D4F">
        <w:t>grad av självdestruktivitet inklusive själv</w:t>
      </w:r>
      <w:r w:rsidRPr="00896D4F">
        <w:softHyphen/>
        <w:t>mordshandlingar. Med hänsyn till att ansv</w:t>
      </w:r>
      <w:r w:rsidRPr="00896D4F">
        <w:t>a</w:t>
      </w:r>
      <w:r w:rsidRPr="00896D4F">
        <w:t>rig läkare funnit att patienten vid utskrivning</w:t>
      </w:r>
      <w:r w:rsidRPr="00896D4F">
        <w:t>en inte visat tecken på depre</w:t>
      </w:r>
      <w:r w:rsidRPr="00896D4F">
        <w:t>s</w:t>
      </w:r>
      <w:r w:rsidRPr="00896D4F">
        <w:t>sion och bedömt att ”Pat ser balanserad ut” anser styrelsen dock att någon kritik inte kan riktas mot an</w:t>
      </w:r>
      <w:r w:rsidRPr="00896D4F">
        <w:softHyphen/>
        <w:t>svarig läkare för att patienten skrevs ut. Ansvarig läkare fann vidare att förutsättningarna för konvertering (övergång från frivi</w:t>
      </w:r>
      <w:r w:rsidRPr="00896D4F">
        <w:t>l</w:t>
      </w:r>
      <w:r w:rsidRPr="00896D4F">
        <w:t>lig vård till tvångs</w:t>
      </w:r>
      <w:r w:rsidRPr="00896D4F">
        <w:softHyphen/>
        <w:t>vård enligt 11</w:t>
      </w:r>
      <w:r w:rsidRPr="00896D4F">
        <w:rPr>
          <w:b/>
        </w:rPr>
        <w:t xml:space="preserve"> </w:t>
      </w:r>
      <w:r w:rsidRPr="00896D4F">
        <w:t>§</w:t>
      </w:r>
      <w:r w:rsidRPr="00896D4F">
        <w:rPr>
          <w:b/>
        </w:rPr>
        <w:t xml:space="preserve"> </w:t>
      </w:r>
      <w:r w:rsidRPr="00896D4F">
        <w:t>LPT) inte förelåg och patienten samtyckte också till upp</w:t>
      </w:r>
      <w:r w:rsidRPr="00896D4F">
        <w:softHyphen/>
        <w:t>följning i öppen vård. Mot bakgrund härav anser Socialstyrelsen att man trots den mycket korta</w:t>
      </w:r>
      <w:r w:rsidRPr="00896D4F">
        <w:rPr>
          <w:b/>
          <w:i/>
        </w:rPr>
        <w:t xml:space="preserve"> </w:t>
      </w:r>
      <w:r w:rsidRPr="00896D4F">
        <w:t>vårdtiden efter de allvarliga självmordsförs</w:t>
      </w:r>
      <w:r w:rsidRPr="00896D4F">
        <w:t>ö</w:t>
      </w:r>
      <w:r w:rsidRPr="00896D4F">
        <w:t>ken inte ha</w:t>
      </w:r>
      <w:r w:rsidRPr="00896D4F">
        <w:t>de möjlighet att mot patientens vilja fortsätta vå</w:t>
      </w:r>
      <w:r w:rsidRPr="00896D4F">
        <w:t>r</w:t>
      </w:r>
      <w:r w:rsidRPr="00896D4F">
        <w:t>den på</w:t>
      </w:r>
      <w:r w:rsidRPr="00896D4F">
        <w:rPr>
          <w:b/>
        </w:rPr>
        <w:t xml:space="preserve"> </w:t>
      </w:r>
      <w:r w:rsidRPr="00896D4F">
        <w:t>sjukhuset.</w:t>
      </w:r>
    </w:p>
    <w:p w:rsidR="009C1C5A" w:rsidRPr="00896D4F" w:rsidRDefault="009C1C5A">
      <w:r w:rsidRPr="00896D4F">
        <w:t>Till Socialstyrelsens yttrande hade fogats en redogörelse som upprättats av vårdenhetsöverläkaren Lennart Brimstedt vid Sahlgrenska universitetssjukh</w:t>
      </w:r>
      <w:r w:rsidRPr="00896D4F">
        <w:t>u</w:t>
      </w:r>
      <w:r w:rsidRPr="00896D4F">
        <w:t xml:space="preserve">set i Göteborg. I redogörelsen anfördes följande. </w:t>
      </w:r>
    </w:p>
    <w:p w:rsidR="009C1C5A" w:rsidRPr="00896D4F" w:rsidRDefault="009C1C5A">
      <w:pPr>
        <w:pStyle w:val="Citat"/>
      </w:pPr>
      <w:r w:rsidRPr="00896D4F">
        <w:t>På begäran av chefläkaren utfärdas detta utlåtande, som är avsett att be</w:t>
      </w:r>
      <w:r w:rsidRPr="00896D4F">
        <w:softHyphen/>
        <w:t xml:space="preserve">svara de frågor som blivit ställda till mig i en begäran från chefläkaren daterad 2000-03-20. </w:t>
      </w:r>
    </w:p>
    <w:p w:rsidR="009C1C5A" w:rsidRPr="00896D4F" w:rsidRDefault="009C1C5A">
      <w:pPr>
        <w:pStyle w:val="Citatindrag"/>
      </w:pPr>
      <w:r w:rsidRPr="00896D4F">
        <w:t>N.N, som även fortsättningsvis kommer att kallas patient, har varit känd för mig sedan 27 juli 1987 då han första gången blev inlagd på Lillhags</w:t>
      </w:r>
      <w:r w:rsidRPr="00896D4F">
        <w:softHyphen/>
        <w:t>parken 1. Sammanlagt har han varit föremål för fyra slutenvårdsperioder. De två första gångerna under diagnoserna F 19.1 Blandmissbruk och F 11.2 Heroi</w:t>
      </w:r>
      <w:r w:rsidRPr="00896D4F">
        <w:t>n</w:t>
      </w:r>
      <w:r w:rsidRPr="00896D4F">
        <w:t>missbruk. De två sista vårdtillfällena samma diagnoser med tillägg av Antis</w:t>
      </w:r>
      <w:r w:rsidRPr="00896D4F">
        <w:t>o</w:t>
      </w:r>
      <w:r w:rsidRPr="00896D4F">
        <w:t>cial personlighetsstörning F 60.2.</w:t>
      </w:r>
    </w:p>
    <w:p w:rsidR="009C1C5A" w:rsidRPr="00896D4F" w:rsidRDefault="009C1C5A">
      <w:pPr>
        <w:pStyle w:val="Citatindrag"/>
      </w:pPr>
      <w:r w:rsidRPr="00896D4F">
        <w:t>När en person blir inlagd på avdelning 37, som är en avdelning avsedd för missbrukare med samtidig allvarligare psykisk störning, sker en sedvanlig psykiatrisk undersökning som består i ett växlande antal läkarundersök</w:t>
      </w:r>
      <w:r w:rsidRPr="00896D4F">
        <w:softHyphen/>
        <w:t>ningar med i regel semistrukturerad samtalsundersökning. Vid sidan om detta sker en ständig övervakning av vårdpersonal, som rapporterar lö</w:t>
      </w:r>
      <w:r w:rsidRPr="00896D4F">
        <w:softHyphen/>
        <w:t>pande och i större sammanhang i ett team en gång i veckan samt medi</w:t>
      </w:r>
      <w:r w:rsidRPr="00896D4F">
        <w:softHyphen/>
        <w:t>cinsk genomgång en gång varje vardag. Till detta kommer vid behov varie</w:t>
      </w:r>
      <w:r w:rsidRPr="00896D4F">
        <w:softHyphen/>
        <w:t>rande kroppsliga undersö</w:t>
      </w:r>
      <w:r w:rsidRPr="00896D4F">
        <w:t>k</w:t>
      </w:r>
      <w:r w:rsidRPr="00896D4F">
        <w:t>ningar såsom blodprover och röntgenun</w:t>
      </w:r>
      <w:r w:rsidRPr="00896D4F">
        <w:softHyphen/>
        <w:t xml:space="preserve">dersökning. Dessa prover sker inte rutinmässigt utan endast när det finns kliniska skäl. Pga brist på testkunnig psykolog kan psykologisk testning som stöd för en viss </w:t>
      </w:r>
      <w:r w:rsidRPr="00896D4F">
        <w:t>diagnostisk misstanke tyvärr endast ske i sällsynta fall.</w:t>
      </w:r>
    </w:p>
    <w:p w:rsidR="009C1C5A" w:rsidRPr="00896D4F" w:rsidRDefault="009C1C5A">
      <w:pPr>
        <w:pStyle w:val="Citatindrag"/>
      </w:pPr>
      <w:r w:rsidRPr="00896D4F">
        <w:t>Vid det senaste vårdtillället, 1999-09-29 till 1999-10-01, undersöktes pat</w:t>
      </w:r>
      <w:r w:rsidRPr="00896D4F">
        <w:t>i</w:t>
      </w:r>
      <w:r w:rsidRPr="00896D4F">
        <w:t>en</w:t>
      </w:r>
      <w:r w:rsidRPr="00896D4F">
        <w:softHyphen/>
        <w:t>ten, som framgår av journalhandlingarna, av sammanlagt tre läkare. Den första läkaren som handlade den aktuella inläggningen, Finn Lar</w:t>
      </w:r>
      <w:r w:rsidRPr="00896D4F">
        <w:t>s</w:t>
      </w:r>
      <w:r w:rsidRPr="00896D4F">
        <w:t>son, dis</w:t>
      </w:r>
      <w:r w:rsidRPr="00896D4F">
        <w:softHyphen/>
        <w:t>kuterar i journalen om det föreligger en eventuell depression eller psykisk sjukdom, dock utan att personligen träffa patienten. Dr Rose Marie Wessun</w:t>
      </w:r>
      <w:r w:rsidRPr="00896D4F">
        <w:t>g</w:t>
      </w:r>
      <w:r w:rsidRPr="00896D4F">
        <w:t>er negerar i sin intagningsanteckning att patienten skulle ha självmordstankar. Samma gör nästa läkare, Margareta Gausse, som skriver i en anteckning 1999-09-30 att patienten ”förnekar aktuella suici</w:t>
      </w:r>
      <w:r w:rsidRPr="00896D4F">
        <w:t>d</w:t>
      </w:r>
      <w:r w:rsidRPr="00896D4F">
        <w:t>tankar”.</w:t>
      </w:r>
    </w:p>
    <w:p w:rsidR="009C1C5A" w:rsidRPr="00896D4F" w:rsidRDefault="009C1C5A">
      <w:pPr>
        <w:pStyle w:val="Citatindrag"/>
      </w:pPr>
      <w:r w:rsidRPr="00896D4F">
        <w:t>Det f</w:t>
      </w:r>
      <w:r w:rsidRPr="00896D4F">
        <w:t>inns journalfört att patienten erhållit 3 ECT-behandlingar i Falköping samma år med gott resultat. Denna anteckning (1999-09-30) stämmer inte. ECT-behandlingarna i Falköping avbröts då patienten misstänktes för att ha stulit recept och han blev då utskriven och någon effektutvärdering gjordes inte.</w:t>
      </w:r>
    </w:p>
    <w:p w:rsidR="009C1C5A" w:rsidRPr="00896D4F" w:rsidRDefault="009C1C5A">
      <w:pPr>
        <w:pStyle w:val="Citatindrag"/>
      </w:pPr>
      <w:r w:rsidRPr="00896D4F">
        <w:t>Undertecknad själv undersökte patienten i samband med att han önskade sig utskriven. Jag fann då att patienten inte hade någon depressiv förstäm</w:t>
      </w:r>
      <w:r w:rsidRPr="00896D4F">
        <w:softHyphen/>
        <w:t>ning och mot bakgrund av redan gjorda iakttagelser blev min bedömning av suici</w:t>
      </w:r>
      <w:r w:rsidRPr="00896D4F">
        <w:t>d</w:t>
      </w:r>
      <w:r w:rsidRPr="00896D4F">
        <w:t>risken i det läget var mycket liten. Någon konvertering (omvand</w:t>
      </w:r>
      <w:r w:rsidRPr="00896D4F">
        <w:softHyphen/>
        <w:t>ling av frivi</w:t>
      </w:r>
      <w:r w:rsidRPr="00896D4F">
        <w:t>l</w:t>
      </w:r>
      <w:r w:rsidRPr="00896D4F">
        <w:t>lig vård till tvångsvård enligt Lagen om Psykiatrisk Tvångs</w:t>
      </w:r>
      <w:r w:rsidRPr="00896D4F">
        <w:softHyphen/>
        <w:t>vård) kunde inte göras och den planering som gjordes för den fortsatta öp</w:t>
      </w:r>
      <w:r w:rsidRPr="00896D4F">
        <w:softHyphen/>
        <w:t>penvården verkade tillfredsställande och patienten skrevs ut.</w:t>
      </w:r>
    </w:p>
    <w:p w:rsidR="009C1C5A" w:rsidRPr="00896D4F" w:rsidRDefault="009C1C5A">
      <w:pPr>
        <w:pStyle w:val="Citatindrag"/>
      </w:pPr>
      <w:r w:rsidRPr="00896D4F">
        <w:t>Som framgår av handlingarna hittades patienten senare samma dags kväll död på en toalett på en central restaurang. Eftersom det i detta läget var oklart om de</w:t>
      </w:r>
      <w:r w:rsidRPr="00896D4F">
        <w:t>t rörde sig om ett suicid meddelades dödsfallet till ver</w:t>
      </w:r>
      <w:r w:rsidRPr="00896D4F">
        <w:t>k</w:t>
      </w:r>
      <w:r w:rsidRPr="00896D4F">
        <w:t>sam</w:t>
      </w:r>
      <w:r w:rsidRPr="00896D4F">
        <w:softHyphen/>
        <w:t>hetschef/chefsöverläkare Erik Brenner 1999-10-06.</w:t>
      </w:r>
    </w:p>
    <w:p w:rsidR="009C1C5A" w:rsidRPr="00896D4F" w:rsidRDefault="009C1C5A">
      <w:pPr>
        <w:pStyle w:val="Citatindrag"/>
      </w:pPr>
      <w:r w:rsidRPr="00896D4F">
        <w:t>Av den rättsmedicinska rapporten framgår att det sannolikt har rört sig om en överdos.</w:t>
      </w:r>
    </w:p>
    <w:p w:rsidR="009C1C5A" w:rsidRPr="00896D4F" w:rsidRDefault="009C1C5A">
      <w:pPr>
        <w:pStyle w:val="Citatindrag"/>
      </w:pPr>
      <w:r w:rsidRPr="00896D4F">
        <w:t>Antisocial personlighetsstörning är en både viktig och svår diagnos. Egentligen önskar man sig en föregående barnpsykiatrisk diagnos på Be</w:t>
      </w:r>
      <w:r w:rsidRPr="00896D4F">
        <w:softHyphen/>
        <w:t>teendestörning. Av den förklarande texten till ICD-10 framgår att personen skall uppvisa ”bristande hänsynstagande till sociala förpliktelser och andra mänskors känslor”, att det finns ”en stor diskrepans mellan beteende och rådande sociala normer”, att beteendet ”knappast modifieras av obehagliga erfarenheter, inklusive straff” samt att ”frustrationströskeln är låg och det</w:t>
      </w:r>
      <w:r w:rsidRPr="00896D4F">
        <w:softHyphen/>
        <w:t>samma gäller för aggression, inklusive våldshandlingar” vidare att ”det finns en tendens att skylla på andra eller att bortförklara be</w:t>
      </w:r>
      <w:r w:rsidRPr="00896D4F">
        <w:t>teenden som le</w:t>
      </w:r>
      <w:r w:rsidRPr="00896D4F">
        <w:softHyphen/>
        <w:t>der till konflikt med samhället genom trovärdiga rational</w:t>
      </w:r>
      <w:r w:rsidRPr="00896D4F">
        <w:t>i</w:t>
      </w:r>
      <w:r w:rsidRPr="00896D4F">
        <w:t>seringar”.</w:t>
      </w:r>
    </w:p>
    <w:p w:rsidR="009C1C5A" w:rsidRPr="00896D4F" w:rsidRDefault="009C1C5A">
      <w:pPr>
        <w:pStyle w:val="Citatindrag"/>
      </w:pPr>
      <w:r w:rsidRPr="00896D4F">
        <w:t>Min uppfattning är att N.N. uppfyllde alla dessa kriterier, journalförda, och att diagnosen därför med en tillfredsställande sannolikhet kunde sättas. Di</w:t>
      </w:r>
      <w:r w:rsidRPr="00896D4F">
        <w:t>a</w:t>
      </w:r>
      <w:r w:rsidRPr="00896D4F">
        <w:t>gnosen finner vidare stöd i den rapportering som patientens moder själv lä</w:t>
      </w:r>
      <w:r w:rsidRPr="00896D4F">
        <w:t>m</w:t>
      </w:r>
      <w:r w:rsidRPr="00896D4F">
        <w:t>nade om hans barndomsförhållanden.</w:t>
      </w:r>
    </w:p>
    <w:p w:rsidR="009C1C5A" w:rsidRPr="00896D4F" w:rsidRDefault="009C1C5A">
      <w:r w:rsidRPr="00896D4F">
        <w:t xml:space="preserve">Till Socialstyrelsens remissvar hade fogats handlingar ur N.N:s journal vid Sahlgrenska universitetssjukhuset. </w:t>
      </w:r>
    </w:p>
    <w:p w:rsidR="009C1C5A" w:rsidRPr="00896D4F" w:rsidRDefault="009C1C5A">
      <w:pPr>
        <w:pStyle w:val="Normaltindrag"/>
      </w:pPr>
      <w:r w:rsidRPr="00896D4F">
        <w:t xml:space="preserve">N.N:s mor och Bergsjöns stadsdelsförvaltning kommenterade remissvaren. </w:t>
      </w:r>
    </w:p>
    <w:p w:rsidR="009C1C5A" w:rsidRPr="00896D4F" w:rsidRDefault="009C1C5A">
      <w:pPr>
        <w:pStyle w:val="Normaltindrag"/>
      </w:pPr>
      <w:r w:rsidRPr="00896D4F">
        <w:t>Owe Lundmark fick tillfälle att yttra sig över remissvaren från SiS och S</w:t>
      </w:r>
      <w:r w:rsidRPr="00896D4F">
        <w:t>o</w:t>
      </w:r>
      <w:r w:rsidRPr="00896D4F">
        <w:t>c</w:t>
      </w:r>
      <w:r w:rsidRPr="00896D4F">
        <w:t>i</w:t>
      </w:r>
      <w:r w:rsidRPr="00896D4F">
        <w:t xml:space="preserve">alstyrelsen. </w:t>
      </w:r>
    </w:p>
    <w:p w:rsidR="009C1C5A" w:rsidRPr="00896D4F" w:rsidRDefault="009C1C5A">
      <w:pPr>
        <w:pStyle w:val="Normaltindrag"/>
      </w:pPr>
      <w:r w:rsidRPr="00896D4F">
        <w:t xml:space="preserve">JO hade tillgång till bl.a. Länsrättens i Göteborg dom i målet angående vård enligt LVM och LVM-hemmets beslut att skriva ut N.N. från hemmet. </w:t>
      </w:r>
    </w:p>
    <w:p w:rsidR="009C1C5A" w:rsidRPr="00896D4F" w:rsidRDefault="009C1C5A">
      <w:pPr>
        <w:pStyle w:val="Normaltindrag"/>
      </w:pPr>
      <w:r w:rsidRPr="00896D4F">
        <w:t xml:space="preserve">I ett beslut den 9 juli 2001 anförde </w:t>
      </w:r>
      <w:r w:rsidRPr="00896D4F">
        <w:rPr>
          <w:i/>
        </w:rPr>
        <w:t>JO André</w:t>
      </w:r>
      <w:r w:rsidRPr="00896D4F">
        <w:t xml:space="preserve"> följande. </w:t>
      </w:r>
    </w:p>
    <w:p w:rsidR="009C1C5A" w:rsidRPr="00896D4F" w:rsidRDefault="009C1C5A">
      <w:r w:rsidRPr="00896D4F">
        <w:t>Som framgår av vad som antecknats ovan under rubriken Bakgrund avled N.N. den 1 oktober 1999. Det kan inte uteslutas att N.N. själv berövade sig livet genom en överdos av narkotika. Utredningen i ärendet här ger emellertid inte något säkert belägg för att N.N. hade den avsikten. Jag vill därför fra</w:t>
      </w:r>
      <w:r w:rsidRPr="00896D4F">
        <w:t>m</w:t>
      </w:r>
      <w:r w:rsidRPr="00896D4F">
        <w:t xml:space="preserve">hålla att min bedömning av ärendet grundas på det antagandet att N.N. inte begick självmord. </w:t>
      </w:r>
    </w:p>
    <w:p w:rsidR="009C1C5A" w:rsidRPr="00896D4F" w:rsidRDefault="009C1C5A">
      <w:pPr>
        <w:pStyle w:val="Normaltindrag"/>
        <w:rPr>
          <w:snapToGrid w:val="0"/>
          <w:lang w:eastAsia="sv-SE"/>
        </w:rPr>
      </w:pPr>
      <w:r w:rsidRPr="00896D4F">
        <w:rPr>
          <w:snapToGrid w:val="0"/>
          <w:lang w:eastAsia="sv-SE"/>
        </w:rPr>
        <w:t>Socialnämnden har ett särskilt ansvar för att förebygga och motverka missbruk av alkohol och andra beroendeframkallande medel. Nämnden skall aktivt sörja för att en enskild missbrukare får den hjälp och vård som han behöver för att komma ifrån missbruket. Socialtjänstens insatser för en mis</w:t>
      </w:r>
      <w:r w:rsidRPr="00896D4F">
        <w:rPr>
          <w:snapToGrid w:val="0"/>
          <w:lang w:eastAsia="sv-SE"/>
        </w:rPr>
        <w:t>s</w:t>
      </w:r>
      <w:r w:rsidRPr="00896D4F">
        <w:rPr>
          <w:snapToGrid w:val="0"/>
          <w:lang w:eastAsia="sv-SE"/>
        </w:rPr>
        <w:t>brukare bygger på frivillighet från den enskildes sida. En missbrukare skall dock beredas vård oberoende av eget samtycke under de förutsättningar som anges i lagen (1988:870) om vård av missbrukare i vissa fall (LVM). Vård enligt LVM skall enligt 4 § första stycket LVM beslutas, om någon till följd av ett fortgående missbruk av bl.a. narkotika är i behov av vård för att komma ifrån sitt missbruk och vårdbehovet inte kan tillgodoses enligt socialtjänstl</w:t>
      </w:r>
      <w:r w:rsidRPr="00896D4F">
        <w:rPr>
          <w:snapToGrid w:val="0"/>
          <w:lang w:eastAsia="sv-SE"/>
        </w:rPr>
        <w:t>a</w:t>
      </w:r>
      <w:r w:rsidRPr="00896D4F">
        <w:rPr>
          <w:snapToGrid w:val="0"/>
          <w:lang w:eastAsia="sv-SE"/>
        </w:rPr>
        <w:t>gen (1980:620), SoL, eller på något annat sätt och ha</w:t>
      </w:r>
      <w:r w:rsidRPr="00896D4F">
        <w:rPr>
          <w:snapToGrid w:val="0"/>
          <w:lang w:eastAsia="sv-SE"/>
        </w:rPr>
        <w:t xml:space="preserve">n till följd av missbruket </w:t>
      </w:r>
    </w:p>
    <w:p w:rsidR="009C1C5A" w:rsidRPr="00896D4F" w:rsidRDefault="009C1C5A">
      <w:pPr>
        <w:spacing w:before="0"/>
        <w:ind w:left="511" w:hanging="284"/>
        <w:rPr>
          <w:snapToGrid w:val="0"/>
          <w:color w:val="000000"/>
          <w:lang w:eastAsia="sv-SE"/>
        </w:rPr>
      </w:pPr>
      <w:r w:rsidRPr="00896D4F">
        <w:rPr>
          <w:snapToGrid w:val="0"/>
          <w:color w:val="000000"/>
          <w:lang w:eastAsia="sv-SE"/>
        </w:rPr>
        <w:t>1. utsätter sin fysiska eller psykiska hälsa för allvarlig fara,</w:t>
      </w:r>
    </w:p>
    <w:p w:rsidR="009C1C5A" w:rsidRPr="00896D4F" w:rsidRDefault="009C1C5A">
      <w:pPr>
        <w:spacing w:before="0"/>
        <w:ind w:left="511" w:hanging="284"/>
        <w:rPr>
          <w:snapToGrid w:val="0"/>
          <w:color w:val="000000"/>
          <w:lang w:eastAsia="sv-SE"/>
        </w:rPr>
      </w:pPr>
      <w:r w:rsidRPr="00896D4F">
        <w:rPr>
          <w:snapToGrid w:val="0"/>
          <w:color w:val="000000"/>
          <w:lang w:eastAsia="sv-SE"/>
        </w:rPr>
        <w:t>2. löper en uppenbar risk att förstöra sitt liv, eller</w:t>
      </w:r>
    </w:p>
    <w:p w:rsidR="009C1C5A" w:rsidRPr="00896D4F" w:rsidRDefault="009C1C5A">
      <w:pPr>
        <w:spacing w:before="0"/>
        <w:ind w:left="511" w:hanging="284"/>
        <w:rPr>
          <w:snapToGrid w:val="0"/>
          <w:color w:val="000000"/>
          <w:lang w:eastAsia="sv-SE"/>
        </w:rPr>
      </w:pPr>
      <w:r w:rsidRPr="00896D4F">
        <w:rPr>
          <w:snapToGrid w:val="0"/>
          <w:color w:val="000000"/>
          <w:lang w:eastAsia="sv-SE"/>
        </w:rPr>
        <w:t xml:space="preserve">3. kan befaras komma att allvarligt skada sig själv eller någon närstående. </w:t>
      </w:r>
    </w:p>
    <w:p w:rsidR="009C1C5A" w:rsidRPr="00896D4F" w:rsidRDefault="009C1C5A">
      <w:pPr>
        <w:pStyle w:val="Normaltindrag"/>
        <w:rPr>
          <w:snapToGrid w:val="0"/>
          <w:lang w:eastAsia="sv-SE"/>
        </w:rPr>
      </w:pPr>
      <w:r w:rsidRPr="00896D4F">
        <w:rPr>
          <w:snapToGrid w:val="0"/>
          <w:lang w:eastAsia="sv-SE"/>
        </w:rPr>
        <w:t>Vården enligt LVM skall syfta till att motivera missbrukaren så att han kan antas vara i stånd att frivilligt medverka till fortsatt behandling och ta emot stöd för att komma ifrån sitt missbruk. Tvångsvården lämnas genom hem som är särskilt avsedda för att lämna vård enligt LVM (se 22 § LVM). För mis</w:t>
      </w:r>
      <w:r w:rsidRPr="00896D4F">
        <w:rPr>
          <w:snapToGrid w:val="0"/>
          <w:lang w:eastAsia="sv-SE"/>
        </w:rPr>
        <w:t>s</w:t>
      </w:r>
      <w:r w:rsidRPr="00896D4F">
        <w:rPr>
          <w:snapToGrid w:val="0"/>
          <w:lang w:eastAsia="sv-SE"/>
        </w:rPr>
        <w:t xml:space="preserve">brukare som behöver stå under särskilt noggrann tillsyn skall det enligt 23 § LVM finnas LVM-hem som är anpassade för sådan tillsyn. </w:t>
      </w:r>
    </w:p>
    <w:p w:rsidR="009C1C5A" w:rsidRPr="00896D4F" w:rsidRDefault="009C1C5A">
      <w:pPr>
        <w:pStyle w:val="Normaltindrag"/>
        <w:rPr>
          <w:snapToGrid w:val="0"/>
          <w:lang w:eastAsia="sv-SE"/>
        </w:rPr>
      </w:pPr>
      <w:r w:rsidRPr="00896D4F">
        <w:rPr>
          <w:snapToGrid w:val="0"/>
          <w:lang w:eastAsia="sv-SE"/>
        </w:rPr>
        <w:t>Ett LVM-hem har en styrelse som utses av Statens institutionsstyrelse (SiS). Hemmets styrelse förestår vården i den mån uppgiften inte har överl</w:t>
      </w:r>
      <w:r w:rsidRPr="00896D4F">
        <w:rPr>
          <w:snapToGrid w:val="0"/>
          <w:lang w:eastAsia="sv-SE"/>
        </w:rPr>
        <w:t>å</w:t>
      </w:r>
      <w:r w:rsidRPr="00896D4F">
        <w:rPr>
          <w:snapToGrid w:val="0"/>
          <w:lang w:eastAsia="sv-SE"/>
        </w:rPr>
        <w:t>tits på en särskild föreståndare (22 § LVM). Om intagning i och om utskri</w:t>
      </w:r>
      <w:r w:rsidRPr="00896D4F">
        <w:rPr>
          <w:snapToGrid w:val="0"/>
          <w:lang w:eastAsia="sv-SE"/>
        </w:rPr>
        <w:t>v</w:t>
      </w:r>
      <w:r w:rsidRPr="00896D4F">
        <w:rPr>
          <w:snapToGrid w:val="0"/>
          <w:lang w:eastAsia="sv-SE"/>
        </w:rPr>
        <w:t xml:space="preserve">ning från ett LVM-hem beslutar den som förestår vården (25 § andra stycket LVM). </w:t>
      </w:r>
    </w:p>
    <w:p w:rsidR="009C1C5A" w:rsidRPr="00896D4F" w:rsidRDefault="009C1C5A">
      <w:pPr>
        <w:pStyle w:val="Normaltindrag"/>
        <w:rPr>
          <w:snapToGrid w:val="0"/>
          <w:lang w:eastAsia="sv-SE"/>
        </w:rPr>
      </w:pPr>
      <w:r w:rsidRPr="00896D4F">
        <w:rPr>
          <w:snapToGrid w:val="0"/>
          <w:lang w:eastAsia="sv-SE"/>
        </w:rPr>
        <w:t>N.N. vårdades enligt LVM under tiden maj till september 1999. Enligt en PM som bifogats stadsdelsnämndens JO-anmälan hade N.N. under den tiden tagit en s.k. överdos narkotika och utövat olika former av våld mot sig själv vid fem tillfällen. N.N. kom till Hornö behandlingshem den 30 juli 1999. Efter placeringen där vårdades han vid sjukhus enligt följand</w:t>
      </w:r>
      <w:r w:rsidRPr="00896D4F">
        <w:rPr>
          <w:snapToGrid w:val="0"/>
          <w:lang w:eastAsia="sv-SE"/>
        </w:rPr>
        <w:t xml:space="preserve">e. </w:t>
      </w:r>
    </w:p>
    <w:p w:rsidR="009C1C5A" w:rsidRPr="00896D4F" w:rsidRDefault="009C1C5A">
      <w:pPr>
        <w:spacing w:before="0"/>
        <w:rPr>
          <w:snapToGrid w:val="0"/>
          <w:color w:val="000000"/>
          <w:lang w:eastAsia="sv-SE"/>
        </w:rPr>
      </w:pPr>
      <w:r w:rsidRPr="00896D4F">
        <w:rPr>
          <w:snapToGrid w:val="0"/>
          <w:color w:val="000000"/>
          <w:lang w:eastAsia="sv-SE"/>
        </w:rPr>
        <w:t>30.7 –31.7    Ulleråkers sjukhus (avvek 31.7)</w:t>
      </w:r>
    </w:p>
    <w:p w:rsidR="009C1C5A" w:rsidRPr="00896D4F" w:rsidRDefault="009C1C5A">
      <w:pPr>
        <w:spacing w:before="0"/>
        <w:rPr>
          <w:snapToGrid w:val="0"/>
          <w:color w:val="000000"/>
          <w:lang w:eastAsia="sv-SE"/>
        </w:rPr>
      </w:pPr>
      <w:r w:rsidRPr="00896D4F">
        <w:rPr>
          <w:snapToGrid w:val="0"/>
          <w:color w:val="000000"/>
          <w:lang w:eastAsia="sv-SE"/>
        </w:rPr>
        <w:t xml:space="preserve">   4.8–6.8      Södersjukhuset/Ulleråkers sjukhus</w:t>
      </w:r>
    </w:p>
    <w:p w:rsidR="009C1C5A" w:rsidRPr="00896D4F" w:rsidRDefault="009C1C5A">
      <w:pPr>
        <w:spacing w:before="0"/>
        <w:rPr>
          <w:snapToGrid w:val="0"/>
          <w:color w:val="000000"/>
          <w:lang w:eastAsia="sv-SE"/>
        </w:rPr>
      </w:pPr>
      <w:r w:rsidRPr="00896D4F">
        <w:rPr>
          <w:snapToGrid w:val="0"/>
          <w:color w:val="000000"/>
          <w:lang w:eastAsia="sv-SE"/>
        </w:rPr>
        <w:t xml:space="preserve">   7.8–10.8    Lillhagens sjukhus </w:t>
      </w:r>
    </w:p>
    <w:p w:rsidR="009C1C5A" w:rsidRPr="00896D4F" w:rsidRDefault="009C1C5A">
      <w:pPr>
        <w:spacing w:before="0"/>
        <w:rPr>
          <w:snapToGrid w:val="0"/>
          <w:color w:val="000000"/>
          <w:lang w:eastAsia="sv-SE"/>
        </w:rPr>
      </w:pPr>
      <w:r w:rsidRPr="00896D4F">
        <w:rPr>
          <w:snapToGrid w:val="0"/>
          <w:color w:val="000000"/>
          <w:lang w:eastAsia="sv-SE"/>
        </w:rPr>
        <w:t xml:space="preserve"> 15.9–20.9   Ulleråkers sjukhus</w:t>
      </w:r>
    </w:p>
    <w:p w:rsidR="009C1C5A" w:rsidRPr="00896D4F" w:rsidRDefault="009C1C5A">
      <w:pPr>
        <w:rPr>
          <w:snapToGrid w:val="0"/>
          <w:lang w:eastAsia="sv-SE"/>
        </w:rPr>
      </w:pPr>
      <w:r w:rsidRPr="00896D4F">
        <w:rPr>
          <w:snapToGrid w:val="0"/>
          <w:lang w:eastAsia="sv-SE"/>
        </w:rPr>
        <w:t>När N.N. kom tillbaka till Hornö efter den sista vistelsen på Ulleråkers sju</w:t>
      </w:r>
      <w:r w:rsidRPr="00896D4F">
        <w:rPr>
          <w:snapToGrid w:val="0"/>
          <w:lang w:eastAsia="sv-SE"/>
        </w:rPr>
        <w:t>k</w:t>
      </w:r>
      <w:r w:rsidRPr="00896D4F">
        <w:rPr>
          <w:snapToGrid w:val="0"/>
          <w:lang w:eastAsia="sv-SE"/>
        </w:rPr>
        <w:t xml:space="preserve">hus ”skar” han sig den 27 september 1999 och följande dag försökte han att hänga sig. </w:t>
      </w:r>
    </w:p>
    <w:p w:rsidR="009C1C5A" w:rsidRPr="00896D4F" w:rsidRDefault="009C1C5A">
      <w:pPr>
        <w:pStyle w:val="Normaltindrag"/>
        <w:rPr>
          <w:snapToGrid w:val="0"/>
          <w:lang w:eastAsia="sv-SE"/>
        </w:rPr>
      </w:pPr>
      <w:r w:rsidRPr="00896D4F">
        <w:rPr>
          <w:snapToGrid w:val="0"/>
          <w:lang w:eastAsia="sv-SE"/>
        </w:rPr>
        <w:t>Fråga om att på nytt bereda N.N. vård vid sjukhus väcktes. I en remiss d</w:t>
      </w:r>
      <w:r w:rsidRPr="00896D4F">
        <w:rPr>
          <w:snapToGrid w:val="0"/>
          <w:lang w:eastAsia="sv-SE"/>
        </w:rPr>
        <w:t>a</w:t>
      </w:r>
      <w:r w:rsidRPr="00896D4F">
        <w:rPr>
          <w:snapToGrid w:val="0"/>
          <w:lang w:eastAsia="sv-SE"/>
        </w:rPr>
        <w:t>terad den 28 september 1999 till Lillhagens sjukhus anförde Gunnel Ersson, Hornös konsultläkare, bl.a. följande.</w:t>
      </w:r>
    </w:p>
    <w:p w:rsidR="009C1C5A" w:rsidRPr="00896D4F" w:rsidRDefault="009C1C5A">
      <w:pPr>
        <w:pStyle w:val="Citat"/>
      </w:pPr>
      <w:r w:rsidRPr="00896D4F">
        <w:t>Tiden på Hornö har vårdmässigt till större delen fokuserats på att förhindra självdestruktivitet och självmordshandlingar. Senast idag lyckades personal i sista stund avbryta ett hängningsförsök i lakan. – – – I går slet han en kniv av personal och skar sig. Han har nyligen vårdats på avd 11 UAS och skar sig även på avd. M.a.o. Patientens problematik har till större delen handlagts ur psykiatris</w:t>
      </w:r>
      <w:r w:rsidRPr="00896D4F">
        <w:t>k synvinkel än att hålla honom drogfri. Situationen är nu helt ohål</w:t>
      </w:r>
      <w:r w:rsidRPr="00896D4F">
        <w:t>l</w:t>
      </w:r>
      <w:r w:rsidRPr="00896D4F">
        <w:t>bar!! Pat. är bedömd av mig och öl Aina Brandell tox.klin. Uppsala. Han bedöms lida av Borderline personlig</w:t>
      </w:r>
      <w:r w:rsidRPr="00896D4F">
        <w:softHyphen/>
        <w:t>hets</w:t>
      </w:r>
      <w:r w:rsidRPr="00896D4F">
        <w:softHyphen/>
        <w:t>störning med ”tomhetsdepression”. Han har prövat flera antidepr. utan effekt. Den förvärras av hans levnadssätt med kriminalitet och drogmissbruk samt utanförskap. Vår bedömning är att vistelse på Hornö är bra på ett sätt: Han blir drogfri men måste använda Ikt</w:t>
      </w:r>
      <w:r w:rsidRPr="00896D4F">
        <w:t>o</w:t>
      </w:r>
      <w:r w:rsidRPr="00896D4F">
        <w:t>rivil. Däremot är vistelsen på Hornö sämre på många sätt: Han mår säm</w:t>
      </w:r>
      <w:r w:rsidRPr="00896D4F">
        <w:t>re och tidvis mycket dåligt ur psykiatrisk synpunkt, vilket hans många s-handlingar pekar på. Det finns inga förutsättningar att kunna fullfölja vårdprogrammet eftersom det innebär utslussning till öppnare former genom flera vårdavd. och miljöer med byte av personal och ständig omsättning av vårdtagare. Detta ökar hans ångest och leder till självdestruktivitet. Han bedöms vara i behov av en miljö som är så lugn och strukturerad som möjligt och här tror vi liksom pat. att ett familjehem i trygg miljö och til</w:t>
      </w:r>
      <w:r w:rsidRPr="00896D4F">
        <w:t xml:space="preserve">lgång till kognitiv terapi för att lära sig att hantera sin ångest kan vara ett bra alternativ.  </w:t>
      </w:r>
    </w:p>
    <w:p w:rsidR="009C1C5A" w:rsidRPr="00896D4F" w:rsidRDefault="009C1C5A">
      <w:pPr>
        <w:pStyle w:val="Citatindrag"/>
        <w:ind w:firstLine="0"/>
        <w:rPr>
          <w:snapToGrid w:val="0"/>
          <w:lang w:eastAsia="sv-SE"/>
        </w:rPr>
      </w:pPr>
      <w:r w:rsidRPr="00896D4F">
        <w:rPr>
          <w:snapToGrid w:val="0"/>
          <w:lang w:eastAsia="sv-SE"/>
        </w:rPr>
        <w:t>1. Min bedömning är att LVM avbryts och soc kommer att kontaktas för detta</w:t>
      </w:r>
    </w:p>
    <w:p w:rsidR="009C1C5A" w:rsidRPr="00896D4F" w:rsidRDefault="009C1C5A">
      <w:pPr>
        <w:pStyle w:val="Citatindrag"/>
        <w:ind w:firstLine="0"/>
      </w:pPr>
      <w:r w:rsidRPr="00896D4F">
        <w:t>2. Att han behöver omgående psykiatrisk vård för sina självmordsta</w:t>
      </w:r>
      <w:r w:rsidRPr="00896D4F">
        <w:t>n</w:t>
      </w:r>
      <w:r w:rsidRPr="00896D4F">
        <w:t xml:space="preserve">kar,  </w:t>
      </w:r>
    </w:p>
    <w:p w:rsidR="009C1C5A" w:rsidRPr="00896D4F" w:rsidRDefault="009C1C5A">
      <w:pPr>
        <w:pStyle w:val="Citatindrag"/>
        <w:ind w:firstLine="0"/>
      </w:pPr>
      <w:r w:rsidRPr="00896D4F">
        <w:t xml:space="preserve">    självdestruktivitet och ångest</w:t>
      </w:r>
    </w:p>
    <w:p w:rsidR="009C1C5A" w:rsidRPr="00896D4F" w:rsidRDefault="009C1C5A">
      <w:pPr>
        <w:pStyle w:val="Citatindrag"/>
        <w:ind w:firstLine="0"/>
        <w:rPr>
          <w:snapToGrid w:val="0"/>
          <w:lang w:eastAsia="sv-SE"/>
        </w:rPr>
      </w:pPr>
      <w:r w:rsidRPr="00896D4F">
        <w:rPr>
          <w:snapToGrid w:val="0"/>
          <w:lang w:eastAsia="sv-SE"/>
        </w:rPr>
        <w:t>3. Att soc kopplas in under vårdtiden för samverkan till annan vår</w:t>
      </w:r>
      <w:r w:rsidRPr="00896D4F">
        <w:rPr>
          <w:snapToGrid w:val="0"/>
          <w:lang w:eastAsia="sv-SE"/>
        </w:rPr>
        <w:t>d</w:t>
      </w:r>
      <w:r w:rsidRPr="00896D4F">
        <w:rPr>
          <w:snapToGrid w:val="0"/>
          <w:lang w:eastAsia="sv-SE"/>
        </w:rPr>
        <w:t xml:space="preserve">form </w:t>
      </w:r>
    </w:p>
    <w:p w:rsidR="009C1C5A" w:rsidRPr="00896D4F" w:rsidRDefault="009C1C5A">
      <w:pPr>
        <w:pStyle w:val="Citatindrag"/>
        <w:ind w:firstLine="0"/>
        <w:rPr>
          <w:snapToGrid w:val="0"/>
          <w:lang w:eastAsia="sv-SE"/>
        </w:rPr>
      </w:pPr>
      <w:r w:rsidRPr="00896D4F">
        <w:rPr>
          <w:snapToGrid w:val="0"/>
          <w:lang w:eastAsia="sv-SE"/>
        </w:rPr>
        <w:t xml:space="preserve">    efter utskrivning ex familjehem se ovan. </w:t>
      </w:r>
    </w:p>
    <w:p w:rsidR="009C1C5A" w:rsidRPr="00896D4F" w:rsidRDefault="009C1C5A">
      <w:pPr>
        <w:pStyle w:val="Citatindrag"/>
        <w:ind w:firstLine="0"/>
        <w:rPr>
          <w:snapToGrid w:val="0"/>
          <w:lang w:eastAsia="sv-SE"/>
        </w:rPr>
      </w:pPr>
      <w:r w:rsidRPr="00896D4F">
        <w:rPr>
          <w:snapToGrid w:val="0"/>
          <w:lang w:eastAsia="sv-SE"/>
        </w:rPr>
        <w:t xml:space="preserve">Pat. kommer till er med transport 990929. </w:t>
      </w:r>
    </w:p>
    <w:p w:rsidR="009C1C5A" w:rsidRPr="00896D4F" w:rsidRDefault="009C1C5A">
      <w:pPr>
        <w:pStyle w:val="Normaltindrag"/>
      </w:pPr>
      <w:r w:rsidRPr="00896D4F">
        <w:t>Owe Lundmark beslutade den 29 september 1999 att N.N. skulle skrivas ut från hemmet och föras till Lillhagens sjukhus för vård. N.N. bedömdes eme</w:t>
      </w:r>
      <w:r w:rsidRPr="00896D4F">
        <w:t>l</w:t>
      </w:r>
      <w:r w:rsidRPr="00896D4F">
        <w:t xml:space="preserve">lertid vid sjukhuset inte kunna bli föremål för tvångsvård där och när N.N. den 1 oktober 1999 uttryckte önskemål om att få lämna sjukhuset skrevs han därför ut. </w:t>
      </w:r>
    </w:p>
    <w:p w:rsidR="009C1C5A" w:rsidRPr="00896D4F" w:rsidRDefault="009C1C5A">
      <w:pPr>
        <w:rPr>
          <w:snapToGrid w:val="0"/>
          <w:color w:val="000000"/>
          <w:lang w:eastAsia="sv-SE"/>
        </w:rPr>
      </w:pPr>
      <w:r w:rsidRPr="00896D4F">
        <w:rPr>
          <w:snapToGrid w:val="0"/>
          <w:color w:val="000000"/>
          <w:lang w:eastAsia="sv-SE"/>
        </w:rPr>
        <w:t>Owe Lundmark har i sitt yttrande till JO ifrågasatt sjukhusets bedömning och synes göra gällande att det var mer eller mindre uppenbart att N.N. hade b</w:t>
      </w:r>
      <w:r w:rsidRPr="00896D4F">
        <w:rPr>
          <w:snapToGrid w:val="0"/>
          <w:color w:val="000000"/>
          <w:lang w:eastAsia="sv-SE"/>
        </w:rPr>
        <w:t>e</w:t>
      </w:r>
      <w:r w:rsidRPr="00896D4F">
        <w:rPr>
          <w:snapToGrid w:val="0"/>
          <w:color w:val="000000"/>
          <w:lang w:eastAsia="sv-SE"/>
        </w:rPr>
        <w:t xml:space="preserve">hov av psykiatrisk vård vid sjukhuset.  </w:t>
      </w:r>
    </w:p>
    <w:p w:rsidR="009C1C5A" w:rsidRPr="00896D4F" w:rsidRDefault="009C1C5A">
      <w:pPr>
        <w:pStyle w:val="Normaltindrag"/>
        <w:rPr>
          <w:snapToGrid w:val="0"/>
          <w:lang w:eastAsia="sv-SE"/>
        </w:rPr>
      </w:pPr>
      <w:r w:rsidRPr="00896D4F">
        <w:rPr>
          <w:snapToGrid w:val="0"/>
          <w:lang w:eastAsia="sv-SE"/>
        </w:rPr>
        <w:t>Om den som är intagen i ett LVM-hem behöver sjukhusvård, skall han b</w:t>
      </w:r>
      <w:r w:rsidRPr="00896D4F">
        <w:rPr>
          <w:snapToGrid w:val="0"/>
          <w:lang w:eastAsia="sv-SE"/>
        </w:rPr>
        <w:t>e</w:t>
      </w:r>
      <w:r w:rsidRPr="00896D4F">
        <w:rPr>
          <w:snapToGrid w:val="0"/>
          <w:lang w:eastAsia="sv-SE"/>
        </w:rPr>
        <w:t>redas tillfälle till sådan vård (24 § andra stycket LVM). Vård vid sjukhus förutsätter i princip den enskildes samtycke. Den enskildes hälsotillstånd kan dock ibland vara sådant att vård enligt lagen (1991:1128) om psykiatrisk tvångsvård (LPT) aktualiseras. I denna del kan jag hänvisa särskilt till vad som anfördes i förarbetena till 1981 års LVM-lagstiftning (prop. 1981/82:8 s. 85 f. och socialutskottets betänkande SoU 1981/82:22 s. 22).</w:t>
      </w:r>
    </w:p>
    <w:p w:rsidR="009C1C5A" w:rsidRPr="00896D4F" w:rsidRDefault="009C1C5A">
      <w:pPr>
        <w:pStyle w:val="Normaltindrag"/>
        <w:rPr>
          <w:snapToGrid w:val="0"/>
          <w:lang w:eastAsia="sv-SE"/>
        </w:rPr>
      </w:pPr>
      <w:r w:rsidRPr="00896D4F">
        <w:rPr>
          <w:snapToGrid w:val="0"/>
          <w:lang w:eastAsia="sv-SE"/>
        </w:rPr>
        <w:t>Vård enligt LPT skall syfta till att den som är i oundgängligt behov</w:t>
      </w:r>
      <w:r w:rsidRPr="00896D4F">
        <w:rPr>
          <w:snapToGrid w:val="0"/>
          <w:lang w:eastAsia="sv-SE"/>
        </w:rPr>
        <w:t xml:space="preserve"> av psykiatrisk vård som ges efter intagning på en sjukvårdsinrättning blir i stånd att frivilligt medverka till erforderlig vård och ta emot det stöd han behöver. Förutsättningarna för vård enligt LPT anges i 3 §. Enligt den lydelse som stadgandet hade vid den tid som avses i detta ärende, gällde att vård enligt LPT fick ges endast om</w:t>
      </w:r>
    </w:p>
    <w:p w:rsidR="009C1C5A" w:rsidRPr="00896D4F" w:rsidRDefault="009C1C5A">
      <w:pPr>
        <w:numPr>
          <w:ilvl w:val="0"/>
          <w:numId w:val="40"/>
        </w:numPr>
        <w:tabs>
          <w:tab w:val="left" w:pos="567"/>
        </w:tabs>
        <w:spacing w:before="0"/>
        <w:ind w:hanging="76"/>
        <w:rPr>
          <w:snapToGrid w:val="0"/>
          <w:color w:val="000000"/>
          <w:lang w:eastAsia="sv-SE"/>
        </w:rPr>
      </w:pPr>
      <w:r w:rsidRPr="00896D4F">
        <w:rPr>
          <w:snapToGrid w:val="0"/>
          <w:color w:val="000000"/>
          <w:lang w:eastAsia="sv-SE"/>
        </w:rPr>
        <w:t>patienten lider av allvarlig psykisk störning,</w:t>
      </w:r>
    </w:p>
    <w:p w:rsidR="009C1C5A" w:rsidRPr="00896D4F" w:rsidRDefault="009C1C5A">
      <w:pPr>
        <w:numPr>
          <w:ilvl w:val="0"/>
          <w:numId w:val="40"/>
        </w:numPr>
        <w:tabs>
          <w:tab w:val="left" w:pos="567"/>
        </w:tabs>
        <w:spacing w:before="0"/>
        <w:ind w:left="567" w:hanging="283"/>
        <w:rPr>
          <w:snapToGrid w:val="0"/>
          <w:color w:val="000000"/>
          <w:lang w:eastAsia="sv-SE"/>
        </w:rPr>
      </w:pPr>
      <w:r w:rsidRPr="00896D4F">
        <w:rPr>
          <w:snapToGrid w:val="0"/>
          <w:color w:val="000000"/>
          <w:lang w:eastAsia="sv-SE"/>
        </w:rPr>
        <w:t>patienten på grund av sitt psykiska tillstånd och sina personliga fö</w:t>
      </w:r>
      <w:r w:rsidRPr="00896D4F">
        <w:rPr>
          <w:snapToGrid w:val="0"/>
          <w:color w:val="000000"/>
          <w:lang w:eastAsia="sv-SE"/>
        </w:rPr>
        <w:t>r</w:t>
      </w:r>
      <w:r w:rsidRPr="00896D4F">
        <w:rPr>
          <w:snapToGrid w:val="0"/>
          <w:color w:val="000000"/>
          <w:lang w:eastAsia="sv-SE"/>
        </w:rPr>
        <w:t>hållanden i övrigt har ett oundgängligt behov av psykiatrisk vård, som inte kan tillgodoses på annat sätt än genom att patienten är intagen på en sjukvårdsinrättning för kvalificerad psykiatrisk dygnetruntvård, och</w:t>
      </w:r>
    </w:p>
    <w:p w:rsidR="009C1C5A" w:rsidRPr="00896D4F" w:rsidRDefault="009C1C5A">
      <w:pPr>
        <w:numPr>
          <w:ilvl w:val="0"/>
          <w:numId w:val="40"/>
        </w:numPr>
        <w:tabs>
          <w:tab w:val="left" w:pos="567"/>
        </w:tabs>
        <w:spacing w:before="0"/>
        <w:ind w:left="567" w:hanging="283"/>
        <w:rPr>
          <w:snapToGrid w:val="0"/>
          <w:color w:val="000000"/>
          <w:lang w:eastAsia="sv-SE"/>
        </w:rPr>
      </w:pPr>
      <w:r w:rsidRPr="00896D4F">
        <w:rPr>
          <w:snapToGrid w:val="0"/>
          <w:color w:val="000000"/>
          <w:lang w:eastAsia="sv-SE"/>
        </w:rPr>
        <w:t xml:space="preserve">patienten motsätter sig sådan vård som sägs i 2 eller till följd av sitt psykiska tillstånd uppenbart saknar förmåga att ge uttryck för ett grundat ställningstagande i frågan. </w:t>
      </w:r>
    </w:p>
    <w:p w:rsidR="009C1C5A" w:rsidRPr="00896D4F" w:rsidRDefault="009C1C5A">
      <w:pPr>
        <w:rPr>
          <w:snapToGrid w:val="0"/>
          <w:lang w:eastAsia="sv-SE"/>
        </w:rPr>
      </w:pPr>
      <w:r w:rsidRPr="00896D4F">
        <w:rPr>
          <w:snapToGrid w:val="0"/>
          <w:lang w:eastAsia="sv-SE"/>
        </w:rPr>
        <w:t>Vid bedömning av vårdbehovet enligt punkt 2 skall även beaktas om patie</w:t>
      </w:r>
      <w:r w:rsidRPr="00896D4F">
        <w:rPr>
          <w:snapToGrid w:val="0"/>
          <w:lang w:eastAsia="sv-SE"/>
        </w:rPr>
        <w:t>n</w:t>
      </w:r>
      <w:r w:rsidRPr="00896D4F">
        <w:rPr>
          <w:snapToGrid w:val="0"/>
          <w:lang w:eastAsia="sv-SE"/>
        </w:rPr>
        <w:t xml:space="preserve">ten till följd av sin psykiska störning är farlig för annans personliga säkerhet eller fysiska eller psykiska hälsa (3 § tredje stycket LPT). </w:t>
      </w:r>
    </w:p>
    <w:p w:rsidR="009C1C5A" w:rsidRPr="00896D4F" w:rsidRDefault="009C1C5A">
      <w:pPr>
        <w:pStyle w:val="Normaltindrag"/>
        <w:rPr>
          <w:snapToGrid w:val="0"/>
          <w:lang w:eastAsia="sv-SE"/>
        </w:rPr>
      </w:pPr>
      <w:r w:rsidRPr="00896D4F">
        <w:rPr>
          <w:snapToGrid w:val="0"/>
          <w:lang w:eastAsia="sv-SE"/>
        </w:rPr>
        <w:t>Om en patient var intagen på en sjukvårdsinrättning för frivillig psykiatrisk vård, fick chefsöverläkaren vid den enhet där patienten vårdades, enligt 11 § LPT i dess lydelse före den 1 juli 2000, utan hinder av att vårdintyg inte hade utfärdats, be</w:t>
      </w:r>
      <w:r w:rsidRPr="00896D4F">
        <w:rPr>
          <w:snapToGrid w:val="0"/>
          <w:lang w:eastAsia="sv-SE"/>
        </w:rPr>
        <w:softHyphen/>
        <w:t>sluta om tvångsvård när förutsättningarna enligt 3 § LPT förelåg och patienten till följd av sin psykiska störning kunde befaras komma att allvarligt skada sig själv eller någon annan.</w:t>
      </w:r>
    </w:p>
    <w:p w:rsidR="009C1C5A" w:rsidRPr="00896D4F" w:rsidRDefault="009C1C5A">
      <w:pPr>
        <w:pStyle w:val="Normaltindrag"/>
      </w:pPr>
      <w:r w:rsidRPr="00896D4F">
        <w:t>Frågan om ansvarsfördelningen mellan socialtjänst och sjukvård när det gäller vården av missbrukare med psykiska störningar är inte helt enkel och saken har behandlats i flera sammanhang. Några detaljerade riktlinjer för hur ansvaret skall fördelas mellan landstingen som ansvariga för den psykiatriska vården och primärkommun</w:t>
      </w:r>
      <w:r w:rsidRPr="00896D4F">
        <w:t>erna som svarar för socialtjänsten har inte lämnats i förarbetena till socialtjänstlagen eller hälso- och sjukvårdslagen (1982:763). Det torde stå klart att landstingets hälso- och sjukvård är ansvarig för avgif</w:t>
      </w:r>
      <w:r w:rsidRPr="00896D4F">
        <w:t>t</w:t>
      </w:r>
      <w:r w:rsidRPr="00896D4F">
        <w:t>ningen av en missbrukare och behandlingen av akuta psykiska komplikationer till missbruket. Åtminstone tidigare rådde dock större oklarhet när det gällde ansvarsfördelningen i fråga om de långsiktiga rehabiliteringsinsatserna när den enskildes missbruk kan ses som en komplikation till en psykisk stö</w:t>
      </w:r>
      <w:r w:rsidRPr="00896D4F">
        <w:t xml:space="preserve">rning (se bl.a. prop. 1987/88:147 s. 27). </w:t>
      </w:r>
    </w:p>
    <w:p w:rsidR="009C1C5A" w:rsidRPr="00896D4F" w:rsidRDefault="009C1C5A">
      <w:pPr>
        <w:pStyle w:val="Normaltindrag"/>
        <w:rPr>
          <w:snapToGrid w:val="0"/>
          <w:spacing w:val="-8"/>
          <w:lang w:eastAsia="sv-SE"/>
        </w:rPr>
      </w:pPr>
      <w:r w:rsidRPr="00896D4F">
        <w:rPr>
          <w:snapToGrid w:val="0"/>
          <w:lang w:eastAsia="sv-SE"/>
        </w:rPr>
        <w:t>Vid tillkomsten av LPT anförde föredragande statsrådet att kombinationen primär psykisk störning och ett till denna störning sekundärt missbruk är förhållandevis vanlig. Om den psykiska störningen i de s.k. kombinationsfa</w:t>
      </w:r>
      <w:r w:rsidRPr="00896D4F">
        <w:rPr>
          <w:snapToGrid w:val="0"/>
          <w:lang w:eastAsia="sv-SE"/>
        </w:rPr>
        <w:t>l</w:t>
      </w:r>
      <w:r w:rsidRPr="00896D4F">
        <w:rPr>
          <w:snapToGrid w:val="0"/>
          <w:lang w:eastAsia="sv-SE"/>
        </w:rPr>
        <w:t>len var svår skulle enligt propositionen behandlingsuppgiften falla inom ps</w:t>
      </w:r>
      <w:r w:rsidRPr="00896D4F">
        <w:rPr>
          <w:snapToGrid w:val="0"/>
          <w:lang w:eastAsia="sv-SE"/>
        </w:rPr>
        <w:t>y</w:t>
      </w:r>
      <w:r w:rsidRPr="00896D4F">
        <w:rPr>
          <w:snapToGrid w:val="0"/>
          <w:lang w:eastAsia="sv-SE"/>
        </w:rPr>
        <w:t>kiatrins ansvarsområde också om problematiken tar sig uttryck i t.ex. ett i</w:t>
      </w:r>
      <w:r w:rsidRPr="00896D4F">
        <w:rPr>
          <w:snapToGrid w:val="0"/>
          <w:lang w:eastAsia="sv-SE"/>
        </w:rPr>
        <w:t>n</w:t>
      </w:r>
      <w:r w:rsidRPr="00896D4F">
        <w:rPr>
          <w:snapToGrid w:val="0"/>
          <w:lang w:eastAsia="sv-SE"/>
        </w:rPr>
        <w:t>tensivt drogmissbruk. Först om missbruket kan ses som det grundläggande i kombinationssituationen bör den psykiatriska tvångsvården i förhållande till tvångsvård inom socialtjänsten ses som en sistahandsutväg för att klara de all</w:t>
      </w:r>
      <w:r w:rsidRPr="00896D4F">
        <w:rPr>
          <w:snapToGrid w:val="0"/>
          <w:lang w:eastAsia="sv-SE"/>
        </w:rPr>
        <w:softHyphen/>
        <w:t xml:space="preserve">varliga psykiska komplikationerna till </w:t>
      </w:r>
      <w:r w:rsidRPr="00896D4F">
        <w:rPr>
          <w:snapToGrid w:val="0"/>
          <w:spacing w:val="-8"/>
          <w:lang w:eastAsia="sv-SE"/>
        </w:rPr>
        <w:t>missbruket (prop. 1990/91:58 bil. 1 s. 93).</w:t>
      </w:r>
    </w:p>
    <w:p w:rsidR="009C1C5A" w:rsidRPr="00896D4F" w:rsidRDefault="009C1C5A">
      <w:pPr>
        <w:pStyle w:val="Normaltindrag"/>
      </w:pPr>
      <w:r w:rsidRPr="00896D4F">
        <w:t>På grund av händelserna den 27 och 28 septembe</w:t>
      </w:r>
      <w:r w:rsidRPr="00896D4F">
        <w:t>r 1999 fann Owe Lun</w:t>
      </w:r>
      <w:r w:rsidRPr="00896D4F">
        <w:t>d</w:t>
      </w:r>
      <w:r w:rsidRPr="00896D4F">
        <w:t>mark skäl att aktualisera frågan om huruvida N.N. behövde kvalificerad ps</w:t>
      </w:r>
      <w:r w:rsidRPr="00896D4F">
        <w:t>y</w:t>
      </w:r>
      <w:r w:rsidRPr="00896D4F">
        <w:t>kiatrisk vård. Sådan vård kunde knappast beredas N.N. vid LVM-hemmet, och N.N. fördes därför till Sahlgrenska universitetssjukhuset i Göteborg där han vist</w:t>
      </w:r>
      <w:r w:rsidRPr="00896D4F">
        <w:t>a</w:t>
      </w:r>
      <w:r w:rsidRPr="00896D4F">
        <w:t xml:space="preserve">des fram till den 1 oktober då han skrevs ut från sjukhuset. </w:t>
      </w:r>
    </w:p>
    <w:p w:rsidR="009C1C5A" w:rsidRPr="00896D4F" w:rsidRDefault="009C1C5A">
      <w:pPr>
        <w:pStyle w:val="Normaltindrag"/>
      </w:pPr>
      <w:r w:rsidRPr="00896D4F">
        <w:t>Enligt de daganteckningar som fördes vid sjukhuset inträffade inte några incidenter under vårdtiden. I en sammanfattande journalanteckning (epikris) den 1 oktober 1999 ställde vårdenhetsöverläkaren Le</w:t>
      </w:r>
      <w:r w:rsidRPr="00896D4F">
        <w:t>nnart Brimstedt diagn</w:t>
      </w:r>
      <w:r w:rsidRPr="00896D4F">
        <w:t>o</w:t>
      </w:r>
      <w:r w:rsidRPr="00896D4F">
        <w:t>sen antisocial personlighetsstörning, heroinmissbruk och missbruk av ben</w:t>
      </w:r>
      <w:r w:rsidRPr="00896D4F">
        <w:softHyphen/>
        <w:t>so</w:t>
      </w:r>
      <w:r w:rsidRPr="00896D4F">
        <w:softHyphen/>
        <w:t xml:space="preserve">diazepiner. Vid samtal med N.N. den 1 oktober 1999 fann Lennart Brimstedt inte att patienten hade någon depressiv förstämning, och mot bakgrund av redan gjorda iakttagelser bedömde Lennart Brimstedt att risken för att N.N. skulle begå självmord var liten. Enligt Lennart Brimstedts mening fanns inte någon grund för att bereda N.N. vård enligt LPT. </w:t>
      </w:r>
    </w:p>
    <w:p w:rsidR="009C1C5A" w:rsidRPr="00896D4F" w:rsidRDefault="009C1C5A">
      <w:pPr>
        <w:pStyle w:val="Normaltindrag"/>
        <w:rPr>
          <w:snapToGrid w:val="0"/>
          <w:spacing w:val="-6"/>
          <w:lang w:eastAsia="sv-SE"/>
        </w:rPr>
      </w:pPr>
      <w:r w:rsidRPr="00896D4F">
        <w:rPr>
          <w:snapToGrid w:val="0"/>
          <w:lang w:eastAsia="sv-SE"/>
        </w:rPr>
        <w:t>När det gäller sjukvårdens bedömning om N.N:s psykiska tillstånd</w:t>
      </w:r>
      <w:r w:rsidRPr="00896D4F">
        <w:rPr>
          <w:snapToGrid w:val="0"/>
          <w:lang w:eastAsia="sv-SE"/>
        </w:rPr>
        <w:t xml:space="preserve"> i sa</w:t>
      </w:r>
      <w:r w:rsidRPr="00896D4F">
        <w:rPr>
          <w:snapToGrid w:val="0"/>
          <w:lang w:eastAsia="sv-SE"/>
        </w:rPr>
        <w:t>m</w:t>
      </w:r>
      <w:r w:rsidRPr="00896D4F">
        <w:rPr>
          <w:snapToGrid w:val="0"/>
          <w:lang w:eastAsia="sv-SE"/>
        </w:rPr>
        <w:t>band med att han skrevs ut från sjukhuset har jag inhämtat yttrande från Soc</w:t>
      </w:r>
      <w:r w:rsidRPr="00896D4F">
        <w:rPr>
          <w:snapToGrid w:val="0"/>
          <w:lang w:eastAsia="sv-SE"/>
        </w:rPr>
        <w:t>i</w:t>
      </w:r>
      <w:r w:rsidRPr="00896D4F">
        <w:rPr>
          <w:snapToGrid w:val="0"/>
          <w:lang w:eastAsia="sv-SE"/>
        </w:rPr>
        <w:t>alstyrelsen. Socialstyrelsen har i sitt remissvar framhållit att en mer struktur</w:t>
      </w:r>
      <w:r w:rsidRPr="00896D4F">
        <w:rPr>
          <w:snapToGrid w:val="0"/>
          <w:lang w:eastAsia="sv-SE"/>
        </w:rPr>
        <w:t>e</w:t>
      </w:r>
      <w:r w:rsidRPr="00896D4F">
        <w:rPr>
          <w:snapToGrid w:val="0"/>
          <w:lang w:eastAsia="sv-SE"/>
        </w:rPr>
        <w:t>rad bedömning av självmordsrisken borde ha gjorts och dokumenterats med hänsyn till patientens aktuella problematik med hög grad av självdestruktiv</w:t>
      </w:r>
      <w:r w:rsidRPr="00896D4F">
        <w:rPr>
          <w:snapToGrid w:val="0"/>
          <w:lang w:eastAsia="sv-SE"/>
        </w:rPr>
        <w:t>i</w:t>
      </w:r>
      <w:r w:rsidRPr="00896D4F">
        <w:rPr>
          <w:snapToGrid w:val="0"/>
          <w:lang w:eastAsia="sv-SE"/>
        </w:rPr>
        <w:t>tet inklusive självmords</w:t>
      </w:r>
      <w:r w:rsidRPr="00896D4F">
        <w:rPr>
          <w:snapToGrid w:val="0"/>
          <w:lang w:eastAsia="sv-SE"/>
        </w:rPr>
        <w:softHyphen/>
        <w:t>handlingar. Med hänsyn till att N.N. vid utskrivningen inte ansågs ha visat några tecken på depression och enligt läkarens uppfat</w:t>
      </w:r>
      <w:r w:rsidRPr="00896D4F">
        <w:rPr>
          <w:snapToGrid w:val="0"/>
          <w:lang w:eastAsia="sv-SE"/>
        </w:rPr>
        <w:t>t</w:t>
      </w:r>
      <w:r w:rsidRPr="00896D4F">
        <w:rPr>
          <w:snapToGrid w:val="0"/>
          <w:lang w:eastAsia="sv-SE"/>
        </w:rPr>
        <w:t>ning föreföll vara balanserad, fann Socialsty</w:t>
      </w:r>
      <w:r w:rsidRPr="00896D4F">
        <w:rPr>
          <w:snapToGrid w:val="0"/>
          <w:lang w:eastAsia="sv-SE"/>
        </w:rPr>
        <w:t xml:space="preserve">relsen dock inte anledning att rikta någon kritik mot den </w:t>
      </w:r>
      <w:r w:rsidRPr="00896D4F">
        <w:rPr>
          <w:snapToGrid w:val="0"/>
          <w:spacing w:val="-6"/>
          <w:lang w:eastAsia="sv-SE"/>
        </w:rPr>
        <w:t>ansvarige läka</w:t>
      </w:r>
      <w:r w:rsidRPr="00896D4F">
        <w:rPr>
          <w:snapToGrid w:val="0"/>
          <w:spacing w:val="-6"/>
          <w:lang w:eastAsia="sv-SE"/>
        </w:rPr>
        <w:softHyphen/>
        <w:t>ren för att N.N. skrevs ut från sju</w:t>
      </w:r>
      <w:r w:rsidRPr="00896D4F">
        <w:rPr>
          <w:snapToGrid w:val="0"/>
          <w:spacing w:val="-6"/>
          <w:lang w:eastAsia="sv-SE"/>
        </w:rPr>
        <w:t>k</w:t>
      </w:r>
      <w:r w:rsidRPr="00896D4F">
        <w:rPr>
          <w:snapToGrid w:val="0"/>
          <w:spacing w:val="-6"/>
          <w:lang w:eastAsia="sv-SE"/>
        </w:rPr>
        <w:t xml:space="preserve">huset.  </w:t>
      </w:r>
    </w:p>
    <w:p w:rsidR="009C1C5A" w:rsidRPr="00896D4F" w:rsidRDefault="009C1C5A">
      <w:pPr>
        <w:pStyle w:val="Normaltindrag"/>
        <w:rPr>
          <w:snapToGrid w:val="0"/>
          <w:lang w:eastAsia="sv-SE"/>
        </w:rPr>
      </w:pPr>
      <w:r w:rsidRPr="00896D4F">
        <w:rPr>
          <w:snapToGrid w:val="0"/>
          <w:lang w:eastAsia="sv-SE"/>
        </w:rPr>
        <w:t>Vad som kommit fram i ärendet utgör inte skäl för mig att ha någon annan upp</w:t>
      </w:r>
      <w:r w:rsidRPr="00896D4F">
        <w:rPr>
          <w:snapToGrid w:val="0"/>
          <w:lang w:eastAsia="sv-SE"/>
        </w:rPr>
        <w:softHyphen/>
        <w:t>fattning än den som Socialstyrelsen har redovisat när det gäller sjukhusets age</w:t>
      </w:r>
      <w:r w:rsidRPr="00896D4F">
        <w:rPr>
          <w:snapToGrid w:val="0"/>
          <w:lang w:eastAsia="sv-SE"/>
        </w:rPr>
        <w:softHyphen/>
        <w:t>rande. Jag vill här erinra om att jag inled</w:t>
      </w:r>
      <w:r w:rsidRPr="00896D4F">
        <w:rPr>
          <w:snapToGrid w:val="0"/>
          <w:lang w:eastAsia="sv-SE"/>
        </w:rPr>
        <w:softHyphen/>
        <w:t>ningsvis framhållit att utgång</w:t>
      </w:r>
      <w:r w:rsidRPr="00896D4F">
        <w:rPr>
          <w:snapToGrid w:val="0"/>
          <w:lang w:eastAsia="sv-SE"/>
        </w:rPr>
        <w:t>s</w:t>
      </w:r>
      <w:r w:rsidRPr="00896D4F">
        <w:rPr>
          <w:snapToGrid w:val="0"/>
          <w:lang w:eastAsia="sv-SE"/>
        </w:rPr>
        <w:t xml:space="preserve">punkten för min bedömning är att det inte med säkerhet kan slås fast att N.N. själv berövade sig livet efter utskrivningen från sjukhuset. </w:t>
      </w:r>
    </w:p>
    <w:p w:rsidR="009C1C5A" w:rsidRPr="00896D4F" w:rsidRDefault="009C1C5A">
      <w:pPr>
        <w:pStyle w:val="Normaltindrag"/>
        <w:rPr>
          <w:snapToGrid w:val="0"/>
          <w:lang w:eastAsia="sv-SE"/>
        </w:rPr>
      </w:pPr>
      <w:r w:rsidRPr="00896D4F">
        <w:rPr>
          <w:snapToGrid w:val="0"/>
          <w:lang w:eastAsia="sv-SE"/>
        </w:rPr>
        <w:t>Även om det visade sig att det inte förelåg förutsättningar för att bereda N.N. vård enligt LPT delar jag till fullo Owe Lundmarks ståndpunkt att det fanns skäl att på nytt väcka frågan om N.N. borde beredas psykiatr</w:t>
      </w:r>
      <w:r w:rsidRPr="00896D4F">
        <w:rPr>
          <w:snapToGrid w:val="0"/>
          <w:lang w:eastAsia="sv-SE"/>
        </w:rPr>
        <w:t xml:space="preserve">isk vård vid sjukhus. Jag har därför inte någon erinran mot att LVM-hemmet förde N.N. till Sahlgrenska universitetssjukhuset. Däremot vill jag ifrågasätta Owe Lundmarks beslut att i samband därmed skriva ut N.N. från LVM-hemmet. Det beslutet innebar att vården enligt LVM avslutades. I denna del får jag anföra följande. </w:t>
      </w:r>
    </w:p>
    <w:p w:rsidR="009C1C5A" w:rsidRPr="00896D4F" w:rsidRDefault="009C1C5A">
      <w:pPr>
        <w:pStyle w:val="Normaltindrag"/>
        <w:rPr>
          <w:snapToGrid w:val="0"/>
          <w:lang w:eastAsia="sv-SE"/>
        </w:rPr>
      </w:pPr>
      <w:r w:rsidRPr="00896D4F">
        <w:rPr>
          <w:snapToGrid w:val="0"/>
          <w:lang w:eastAsia="sv-SE"/>
        </w:rPr>
        <w:t>N.N. hade under försommaren 1999 ansetts vara i behov av vård enligt LVM. N.N:s förhållanden hade inte ändrats på sådant sätt att han inte längre behövde vård på grund av sitt missbruk. Ända</w:t>
      </w:r>
      <w:r w:rsidRPr="00896D4F">
        <w:rPr>
          <w:snapToGrid w:val="0"/>
          <w:lang w:eastAsia="sv-SE"/>
        </w:rPr>
        <w:t>målet eller syftet med vården enligt LVM hade således inte upphört. Under LVM-vården hade kommit fram att N.N. hade påtagliga psykiska problem. Självfallet är det inte meningen att psykiskt sjuka personer skall vårdas inom ramen för LVM. Det är dock, som framgått ovan, inte ovanligt att det finns en kombination av psykiska problem och problem med miss</w:t>
      </w:r>
      <w:r w:rsidRPr="00896D4F">
        <w:rPr>
          <w:snapToGrid w:val="0"/>
          <w:lang w:eastAsia="sv-SE"/>
        </w:rPr>
        <w:softHyphen/>
        <w:t>bruk. Jag vill härvid peka på att det i 4 § andra stycket LVM stadgas att om någon för kortare tid ges vård med stöd av lagen (1991:1128) om psykiatrisk tvång</w:t>
      </w:r>
      <w:r w:rsidRPr="00896D4F">
        <w:rPr>
          <w:snapToGrid w:val="0"/>
          <w:lang w:eastAsia="sv-SE"/>
        </w:rPr>
        <w:t>svård (LPT), hindrar detta inte ett beslut om tvångsvård enligt LVM. Om vården inom psykiatrin skulle komma att pågå under längre tid, torde vården enligt LVM kunna upphöra genom att missbr</w:t>
      </w:r>
      <w:r w:rsidRPr="00896D4F">
        <w:rPr>
          <w:snapToGrid w:val="0"/>
          <w:lang w:eastAsia="sv-SE"/>
        </w:rPr>
        <w:t>u</w:t>
      </w:r>
      <w:r w:rsidRPr="00896D4F">
        <w:rPr>
          <w:snapToGrid w:val="0"/>
          <w:lang w:eastAsia="sv-SE"/>
        </w:rPr>
        <w:t>karen skrivs ut från LVM-hemmet (se härom prop. 1983/84:174 s. 29, prop. 1990/91:58 bil. 1 s. 93 och Socialstyrelsens, numera upphävda, allmänna råd 1989:3, LVM Tillämp</w:t>
      </w:r>
      <w:r w:rsidRPr="00896D4F">
        <w:rPr>
          <w:snapToGrid w:val="0"/>
          <w:lang w:eastAsia="sv-SE"/>
        </w:rPr>
        <w:softHyphen/>
        <w:t xml:space="preserve">ningen av lagen). </w:t>
      </w:r>
    </w:p>
    <w:p w:rsidR="009C1C5A" w:rsidRPr="00896D4F" w:rsidRDefault="009C1C5A">
      <w:pPr>
        <w:pStyle w:val="Normaltindrag"/>
        <w:rPr>
          <w:snapToGrid w:val="0"/>
          <w:lang w:eastAsia="sv-SE"/>
        </w:rPr>
      </w:pPr>
      <w:r w:rsidRPr="00896D4F">
        <w:rPr>
          <w:snapToGrid w:val="0"/>
          <w:lang w:eastAsia="sv-SE"/>
        </w:rPr>
        <w:t>Inför beslutet om utskrivning av N.N. från LVM-hemmet samrådde Owe Lundmark med läkare och därvid diskuterades N.N:s behov av psykiatr</w:t>
      </w:r>
      <w:r w:rsidRPr="00896D4F">
        <w:rPr>
          <w:snapToGrid w:val="0"/>
          <w:lang w:eastAsia="sv-SE"/>
        </w:rPr>
        <w:t>isk vård. Även för en läkare kan det vara en vansklig uppgift att avgöra huruvida en enskild kommer att bli föremål för psykiatrisk vård. Särskilda svårigheter före</w:t>
      </w:r>
      <w:r w:rsidRPr="00896D4F">
        <w:rPr>
          <w:snapToGrid w:val="0"/>
          <w:lang w:eastAsia="sv-SE"/>
        </w:rPr>
        <w:softHyphen/>
        <w:t>ligger när det gäller att bedöma om tvångsvård kan bli aktuell. Även om omstän</w:t>
      </w:r>
      <w:r w:rsidRPr="00896D4F">
        <w:rPr>
          <w:snapToGrid w:val="0"/>
          <w:lang w:eastAsia="sv-SE"/>
        </w:rPr>
        <w:softHyphen/>
        <w:t xml:space="preserve">digheterna talade för att N.N. behövde vård var det inte uppenbart att han skulle beredas vård vid sjukhuset under någon längre tid. Owe Lundmark borde därför ha väntat med att besluta om eventuell utskrivning av N.N. från LVM-hemmet till dess det förelåg besked från </w:t>
      </w:r>
      <w:r w:rsidRPr="00896D4F">
        <w:rPr>
          <w:snapToGrid w:val="0"/>
          <w:lang w:eastAsia="sv-SE"/>
        </w:rPr>
        <w:t>sjukhuset om planeringen för N.N. Om LVM-vården hade bestått när N.N. skrevs ut från sjukhuset, skulle N.N. ha förts tillbaka till LVM-hemmet och sjukhuset skulle ha haft möjlighet att hålla kvar honom i avvaktan på transporten (se 24 § tredje stycket LVM). Eftersom LVM-vården hade upphört när N.N. skrevs ut från sjukhuset lämn</w:t>
      </w:r>
      <w:r w:rsidRPr="00896D4F">
        <w:rPr>
          <w:snapToGrid w:val="0"/>
          <w:lang w:eastAsia="sv-SE"/>
        </w:rPr>
        <w:t>a</w:t>
      </w:r>
      <w:r w:rsidRPr="00896D4F">
        <w:rPr>
          <w:snapToGrid w:val="0"/>
          <w:lang w:eastAsia="sv-SE"/>
        </w:rPr>
        <w:t>des således N.N. utan det stöd han var i behov av. Även med beaktande av att Owe Lundmark hade konsulterat läkare före beslutet att skriva ut N.N. från hemmet, finns det anled</w:t>
      </w:r>
      <w:r w:rsidRPr="00896D4F">
        <w:rPr>
          <w:snapToGrid w:val="0"/>
          <w:lang w:eastAsia="sv-SE"/>
        </w:rPr>
        <w:softHyphen/>
        <w:t>ning a</w:t>
      </w:r>
      <w:r w:rsidRPr="00896D4F">
        <w:rPr>
          <w:snapToGrid w:val="0"/>
          <w:lang w:eastAsia="sv-SE"/>
        </w:rPr>
        <w:t xml:space="preserve">tt ställa sig starkt kritisk till Owe Lundmarks handlande.  </w:t>
      </w:r>
    </w:p>
    <w:p w:rsidR="009C1C5A" w:rsidRPr="00896D4F" w:rsidRDefault="009C1C5A">
      <w:pPr>
        <w:pStyle w:val="Normaltindrag"/>
        <w:rPr>
          <w:snapToGrid w:val="0"/>
          <w:lang w:eastAsia="sv-SE"/>
        </w:rPr>
      </w:pPr>
      <w:r w:rsidRPr="00896D4F">
        <w:rPr>
          <w:snapToGrid w:val="0"/>
          <w:lang w:eastAsia="sv-SE"/>
        </w:rPr>
        <w:t>Jag vill avslutningsvis framhålla att föreståndaren för ett LVM-hem skall samråda med socialtjänsten när det gäller vården av en missbrukare. Enligt 26 § LVM skall samråd alltid ske före överflyttning till ett annat hem och före utskrivning. I före</w:t>
      </w:r>
      <w:r w:rsidRPr="00896D4F">
        <w:rPr>
          <w:snapToGrid w:val="0"/>
          <w:lang w:eastAsia="sv-SE"/>
        </w:rPr>
        <w:softHyphen/>
        <w:t>varande fall underrättade Owe Lundmark först i efterhand den ansvariga nämnden om att N.N. hade skrivits ut från hemmet. Owe Lundmark har därmed åsidosatt sina förpliktelser enligt den nämnda bestä</w:t>
      </w:r>
      <w:r w:rsidRPr="00896D4F">
        <w:rPr>
          <w:snapToGrid w:val="0"/>
          <w:lang w:eastAsia="sv-SE"/>
        </w:rPr>
        <w:t>m</w:t>
      </w:r>
      <w:r w:rsidRPr="00896D4F">
        <w:rPr>
          <w:snapToGrid w:val="0"/>
          <w:lang w:eastAsia="sv-SE"/>
        </w:rPr>
        <w:t xml:space="preserve">melsen.  </w:t>
      </w:r>
    </w:p>
    <w:p w:rsidR="009C1C5A" w:rsidRPr="00896D4F" w:rsidRDefault="009C1C5A">
      <w:pPr>
        <w:pStyle w:val="Normaltindrag"/>
        <w:rPr>
          <w:snapToGrid w:val="0"/>
          <w:lang w:eastAsia="sv-SE"/>
        </w:rPr>
      </w:pPr>
      <w:r w:rsidRPr="00896D4F">
        <w:rPr>
          <w:snapToGrid w:val="0"/>
          <w:lang w:eastAsia="sv-SE"/>
        </w:rPr>
        <w:t xml:space="preserve">Som SiS har anfört i sitt yttrande hit finns det flera problem när det gäller vården av psykiskt störda missbrukare som vårdas enligt LVM. SiS har till sitt yttrande fogat en rapport den 29 november 1999: Ansvarsfördelningen mellan Statens institutionsstyrelse och landstingen. Några enkla lösningar på </w:t>
      </w:r>
      <w:r w:rsidRPr="00896D4F">
        <w:rPr>
          <w:snapToGrid w:val="0"/>
          <w:lang w:eastAsia="sv-SE"/>
        </w:rPr>
        <w:t xml:space="preserve">problemen finns inte. Jag vill för egen del understryka vikten av fortlöpande diskussioner mellan LVM-hem, sjukvård och socialtjänst i syfte att uppnå en god samordning när det gäller att tillhandahålla adekvata insatser för den enskilda missbrukaren. </w:t>
      </w:r>
    </w:p>
    <w:p w:rsidR="009C1C5A" w:rsidRPr="00896D4F" w:rsidRDefault="009C1C5A">
      <w:pPr>
        <w:pStyle w:val="Normaltindrag"/>
      </w:pPr>
      <w:r w:rsidRPr="00896D4F">
        <w:rPr>
          <w:snapToGrid w:val="0"/>
          <w:lang w:eastAsia="sv-SE"/>
        </w:rPr>
        <w:t>Med den allvarliga kritik mot LVM-hemmet som innefattas i det ovan a</w:t>
      </w:r>
      <w:r w:rsidRPr="00896D4F">
        <w:rPr>
          <w:snapToGrid w:val="0"/>
          <w:lang w:eastAsia="sv-SE"/>
        </w:rPr>
        <w:t>n</w:t>
      </w:r>
      <w:r w:rsidRPr="00896D4F">
        <w:rPr>
          <w:snapToGrid w:val="0"/>
          <w:lang w:eastAsia="sv-SE"/>
        </w:rPr>
        <w:t>fö</w:t>
      </w:r>
      <w:r w:rsidRPr="00896D4F">
        <w:rPr>
          <w:snapToGrid w:val="0"/>
          <w:lang w:eastAsia="sv-SE"/>
        </w:rPr>
        <w:t>r</w:t>
      </w:r>
      <w:r w:rsidRPr="00896D4F">
        <w:rPr>
          <w:snapToGrid w:val="0"/>
          <w:lang w:eastAsia="sv-SE"/>
        </w:rPr>
        <w:t>da avslutas ärendet här.</w:t>
      </w:r>
    </w:p>
    <w:p w:rsidR="009C1C5A" w:rsidRPr="00896D4F" w:rsidRDefault="009C1C5A">
      <w:pPr>
        <w:pStyle w:val="Rubrik4"/>
        <w:spacing w:before="0"/>
        <w:rPr>
          <w:sz w:val="23"/>
        </w:rPr>
      </w:pPr>
      <w:r w:rsidRPr="00896D4F">
        <w:rPr>
          <w:sz w:val="23"/>
        </w:rPr>
        <w:t>Handläggning</w:t>
      </w:r>
    </w:p>
    <w:p w:rsidR="009C1C5A" w:rsidRPr="00896D4F" w:rsidRDefault="009C1C5A">
      <w:pPr>
        <w:pStyle w:val="Rubrik2"/>
        <w:spacing w:before="250"/>
      </w:pPr>
      <w:r w:rsidRPr="00896D4F">
        <w:t>Fråga om en socialnämnds handläggning när domstol förordnat att en förälders umgänge med barn skall utövas i närvaro av en kontaktperson som utses av socialnämnden; även fråga bl.a. om det på grund av jäv förelåg hinder för en tjänsteman att fatta beslut angående entledigande av en kontaktperson när en berörd förälder var anställd vid samma förvaltning som tjänstemannen</w:t>
      </w:r>
    </w:p>
    <w:p w:rsidR="009C1C5A" w:rsidRPr="00896D4F" w:rsidRDefault="009C1C5A">
      <w:pPr>
        <w:spacing w:before="0"/>
      </w:pPr>
      <w:r w:rsidRPr="00896D4F">
        <w:t>(Dnr 3159-1999)</w:t>
      </w:r>
    </w:p>
    <w:p w:rsidR="009C1C5A" w:rsidRPr="00896D4F" w:rsidRDefault="009C1C5A">
      <w:r w:rsidRPr="00896D4F">
        <w:t>I en skrivelse till Länsstyrelsen i Skåne län hemställde T.F., genom sitt o</w:t>
      </w:r>
      <w:r w:rsidRPr="00896D4F">
        <w:t>m</w:t>
      </w:r>
      <w:r w:rsidRPr="00896D4F">
        <w:t>bud M.J., att länsstyrelsen skulle granska Socialnämndens i Simrishamns kommun agerande och handläggning i samband med entledigande av en ko</w:t>
      </w:r>
      <w:r w:rsidRPr="00896D4F">
        <w:t>n</w:t>
      </w:r>
      <w:r w:rsidRPr="00896D4F">
        <w:t>taktperson som hade förordnats i enlighet med beslut av Simrishamns ting</w:t>
      </w:r>
      <w:r w:rsidRPr="00896D4F">
        <w:t>s</w:t>
      </w:r>
      <w:r w:rsidRPr="00896D4F">
        <w:t xml:space="preserve">rätt. </w:t>
      </w:r>
    </w:p>
    <w:p w:rsidR="009C1C5A" w:rsidRPr="00896D4F" w:rsidRDefault="009C1C5A">
      <w:pPr>
        <w:pStyle w:val="Normaltindrag"/>
      </w:pPr>
      <w:r w:rsidRPr="00896D4F">
        <w:t xml:space="preserve">Efter företagen utredning anförde länsstyrelsen i ett beslut den 23 april 1999 avslutningsvis följande.  </w:t>
      </w:r>
    </w:p>
    <w:p w:rsidR="009C1C5A" w:rsidRPr="00896D4F" w:rsidRDefault="009C1C5A">
      <w:pPr>
        <w:pStyle w:val="Citat"/>
        <w:rPr>
          <w:sz w:val="20"/>
        </w:rPr>
      </w:pPr>
      <w:r w:rsidRPr="00896D4F">
        <w:rPr>
          <w:sz w:val="20"/>
        </w:rPr>
        <w:t>Länsstyrelsen finner skäl att rikta kritik mot handläggningen av ärendet rörande barnets behov av kontaktperson, av arbetsledarens jävsförhålla</w:t>
      </w:r>
      <w:r w:rsidRPr="00896D4F">
        <w:rPr>
          <w:sz w:val="20"/>
        </w:rPr>
        <w:t>n</w:t>
      </w:r>
      <w:r w:rsidRPr="00896D4F">
        <w:rPr>
          <w:sz w:val="20"/>
        </w:rPr>
        <w:t>den och för brister i kontakten med fadern. Det har inte angetts konkreta och godtagbara skäl för entledigandet av kontaktperson. Beslutet har i</w:t>
      </w:r>
      <w:r w:rsidRPr="00896D4F">
        <w:rPr>
          <w:sz w:val="20"/>
        </w:rPr>
        <w:t>n</w:t>
      </w:r>
      <w:r w:rsidRPr="00896D4F">
        <w:rPr>
          <w:sz w:val="20"/>
        </w:rPr>
        <w:t>ne</w:t>
      </w:r>
      <w:r w:rsidRPr="00896D4F">
        <w:rPr>
          <w:sz w:val="20"/>
        </w:rPr>
        <w:softHyphen/>
        <w:t>burit att barnet mist en kontakt</w:t>
      </w:r>
      <w:r w:rsidRPr="00896D4F">
        <w:rPr>
          <w:sz w:val="20"/>
        </w:rPr>
        <w:softHyphen/>
        <w:t>person som det haft förtroendefull rel</w:t>
      </w:r>
      <w:r w:rsidRPr="00896D4F">
        <w:rPr>
          <w:sz w:val="20"/>
        </w:rPr>
        <w:t>a</w:t>
      </w:r>
      <w:r w:rsidRPr="00896D4F">
        <w:rPr>
          <w:sz w:val="20"/>
        </w:rPr>
        <w:t>tion till och som varit en förutsättning för att umgänge fullt ut enligt dom skulle kunna ske.</w:t>
      </w:r>
    </w:p>
    <w:p w:rsidR="009C1C5A" w:rsidRPr="00896D4F" w:rsidRDefault="009C1C5A">
      <w:r w:rsidRPr="00896D4F">
        <w:t>I en anmälan till JO hemställde T.F., genom sitt ombud M.J., att JO skulle pröva om avdelningschefen Ingrid Bosson vid social</w:t>
      </w:r>
      <w:r w:rsidRPr="00896D4F">
        <w:softHyphen/>
        <w:t>förvaltningen i Simri</w:t>
      </w:r>
      <w:r w:rsidRPr="00896D4F">
        <w:t>s</w:t>
      </w:r>
      <w:r w:rsidRPr="00896D4F">
        <w:t>hamns kommun hade gjort sig skyldig till tjänstefel eller om det från JO:s sida fanns skäl till ytterligare kritik utöver den kritik som läns</w:t>
      </w:r>
      <w:r w:rsidRPr="00896D4F">
        <w:softHyphen/>
        <w:t>styrelsen redan hade riktat mot handläggningen. M.J. anförde vidare bl.a. följande (hän</w:t>
      </w:r>
      <w:r w:rsidRPr="00896D4F">
        <w:softHyphen/>
        <w:t>visning till bilagor har här utelämnats).</w:t>
      </w:r>
    </w:p>
    <w:p w:rsidR="009C1C5A" w:rsidRPr="00896D4F" w:rsidRDefault="009C1C5A">
      <w:pPr>
        <w:pStyle w:val="Citat"/>
      </w:pPr>
      <w:r w:rsidRPr="00896D4F">
        <w:t>Jag har (i tiden efter länsstyrelsens beslut, JO:s anm.) anhållit om Simri</w:t>
      </w:r>
      <w:r w:rsidRPr="00896D4F">
        <w:t>s</w:t>
      </w:r>
      <w:r w:rsidRPr="00896D4F">
        <w:t>hamns kommuns besked om vilka åtgärder som kommer att vidtagas i ärendet i anledning av länsstyrelsens kritik. Jag har därvid erhållit besked att socia</w:t>
      </w:r>
      <w:r w:rsidRPr="00896D4F">
        <w:t>l</w:t>
      </w:r>
      <w:r w:rsidRPr="00896D4F">
        <w:t>nämnden inte avser att vidtaga några åtgärder i anledning härav.</w:t>
      </w:r>
    </w:p>
    <w:p w:rsidR="009C1C5A" w:rsidRPr="00896D4F" w:rsidRDefault="009C1C5A">
      <w:pPr>
        <w:pStyle w:val="Citatindrag"/>
      </w:pPr>
      <w:r w:rsidRPr="00896D4F">
        <w:t>Den kritik som framförts av T.F. genom min inlaga 5/3 1999 till läns</w:t>
      </w:r>
      <w:r w:rsidRPr="00896D4F">
        <w:softHyphen/>
        <w:t>styrelsen och länsstyrelsens beslut härefter aktualiserar frågan om tjänstefel begåtts vid handläggningen av ärendet. Förfarandet att entlediga en kontak</w:t>
      </w:r>
      <w:r w:rsidRPr="00896D4F">
        <w:t>t</w:t>
      </w:r>
      <w:r w:rsidRPr="00896D4F">
        <w:t>person är uppen</w:t>
      </w:r>
      <w:r w:rsidRPr="00896D4F">
        <w:softHyphen/>
        <w:t>barligen en myndighetsutövning. Ingrid Bossons agerande att fatta beslut om entledigande [av] en kontaktperson utan att höra T.F. är ett åsido</w:t>
      </w:r>
      <w:r w:rsidRPr="00896D4F">
        <w:softHyphen/>
        <w:t>sättande av för</w:t>
      </w:r>
      <w:r w:rsidRPr="00896D4F">
        <w:softHyphen/>
        <w:t>valt</w:t>
      </w:r>
      <w:r w:rsidRPr="00896D4F">
        <w:softHyphen/>
        <w:t>ningslagens regler om kommunicering inför beslut samt förvaltningslagens jävsbestämmelser, eftersom sådant jävsförhål</w:t>
      </w:r>
      <w:r w:rsidRPr="00896D4F">
        <w:softHyphen/>
        <w:t>lande före</w:t>
      </w:r>
      <w:r w:rsidRPr="00896D4F">
        <w:softHyphen/>
        <w:t>låg på så sätt närmare anges i skriften till län</w:t>
      </w:r>
      <w:r w:rsidRPr="00896D4F">
        <w:t>sstyre</w:t>
      </w:r>
      <w:r w:rsidRPr="00896D4F">
        <w:t>l</w:t>
      </w:r>
      <w:r w:rsidRPr="00896D4F">
        <w:t>sen och i läns</w:t>
      </w:r>
      <w:r w:rsidRPr="00896D4F">
        <w:softHyphen/>
        <w:t>styrelsens beslut.</w:t>
      </w:r>
    </w:p>
    <w:p w:rsidR="009C1C5A" w:rsidRPr="00896D4F" w:rsidRDefault="009C1C5A">
      <w:pPr>
        <w:pStyle w:val="Citatindrag"/>
      </w:pPr>
      <w:r w:rsidRPr="00896D4F">
        <w:t>Inger Bosson har en så självständig position och beslutsfunktion att den felaktiga handläggningen och det felaktiga beslutet inte kan betraktas som ringa. Såsom länsstyrelsen vidare funnit har ent</w:t>
      </w:r>
      <w:r w:rsidRPr="00896D4F">
        <w:softHyphen/>
        <w:t>ledigandet även inneburit att barnet mist sin kontaktperson, som barnet hade förtroende för, och för T.F. har det inneburit att sammanhängande helgumgänge med dottern med över</w:t>
      </w:r>
      <w:r w:rsidRPr="00896D4F">
        <w:softHyphen/>
        <w:t>nattning har upphört. Sådant umgänge har ännu inte kommit igång. Beslutet har således haft en synnerligen ingripande karaktär för T.F. och H. och ej heller med hänsyn härtill kan således felet betraktas som ringa.</w:t>
      </w:r>
    </w:p>
    <w:p w:rsidR="009C1C5A" w:rsidRPr="00896D4F" w:rsidRDefault="009C1C5A">
      <w:r w:rsidRPr="00896D4F">
        <w:t>I en kompletterande skrivelse anförde T.F. att barnets mor hade åberopat vittnesförhör med bl.a. socialchefen Seth Petter</w:t>
      </w:r>
      <w:r w:rsidRPr="00896D4F">
        <w:t>sson i vårdnadsmålet och att detta underströk vad T.F. tidigare hade anfört angående jävsförhål</w:t>
      </w:r>
      <w:r w:rsidRPr="00896D4F">
        <w:softHyphen/>
        <w:t xml:space="preserve">landena. </w:t>
      </w:r>
    </w:p>
    <w:p w:rsidR="009C1C5A" w:rsidRPr="00896D4F" w:rsidRDefault="009C1C5A">
      <w:r w:rsidRPr="00896D4F">
        <w:t>Inledningsvis infordrades och granskades dels Länsstyrelsens i Skåne län akt i länsstyrelsens ärende med dnr 502-24790-98, dels Socialnämndens i Simri</w:t>
      </w:r>
      <w:r w:rsidRPr="00896D4F">
        <w:t>s</w:t>
      </w:r>
      <w:r w:rsidRPr="00896D4F">
        <w:t xml:space="preserve">hamns kommun handlingar rörande saken. Kompletterande upplysningar inhämtades per telefon från Simrishamns tingsrätt. </w:t>
      </w:r>
    </w:p>
    <w:p w:rsidR="009C1C5A" w:rsidRPr="00896D4F" w:rsidRDefault="009C1C5A">
      <w:r w:rsidRPr="00896D4F">
        <w:t xml:space="preserve">I länsstyrelsens beslut anfördes följande. </w:t>
      </w:r>
    </w:p>
    <w:p w:rsidR="009C1C5A" w:rsidRPr="00896D4F" w:rsidRDefault="009C1C5A">
      <w:pPr>
        <w:pStyle w:val="Citat"/>
      </w:pPr>
      <w:r w:rsidRPr="00896D4F">
        <w:t>I skrivelse från advokat M.J., faderns ombud, begärs granskning av för</w:t>
      </w:r>
      <w:r w:rsidRPr="00896D4F">
        <w:softHyphen/>
        <w:t>hållandet att socialtjänsten i Simrishamn utan samråd med fadern entledigat A.B. som kontaktperson efter moderns begäran härom. Modern är kollega med den tjänsteman, Inger Bosson, som fattat beslutet. Samrådsförfarande skedde med fadern inför förordnandet och även övernattningar har med ko</w:t>
      </w:r>
      <w:r w:rsidRPr="00896D4F">
        <w:t>n</w:t>
      </w:r>
      <w:r w:rsidRPr="00896D4F">
        <w:t>takt</w:t>
      </w:r>
      <w:r w:rsidRPr="00896D4F">
        <w:softHyphen/>
        <w:t>personens medverkan fungerat i umgänget fram till slutet av augusti 1998. Då inträf</w:t>
      </w:r>
      <w:r w:rsidRPr="00896D4F">
        <w:softHyphen/>
        <w:t>fade en händelse som gjorde att modern vände sig gentemot kontak</w:t>
      </w:r>
      <w:r w:rsidRPr="00896D4F">
        <w:t>t</w:t>
      </w:r>
      <w:r w:rsidRPr="00896D4F">
        <w:t>personen och gav klart uttryck för att kontaktpersonen, som hon så</w:t>
      </w:r>
      <w:r w:rsidRPr="00896D4F">
        <w:t>ledes i tingsrätten önskade få förordnad, inte längre var önsk</w:t>
      </w:r>
      <w:r w:rsidRPr="00896D4F">
        <w:softHyphen/>
        <w:t>värd.</w:t>
      </w:r>
    </w:p>
    <w:p w:rsidR="009C1C5A" w:rsidRPr="00896D4F" w:rsidRDefault="009C1C5A">
      <w:pPr>
        <w:pStyle w:val="Citatindrag"/>
      </w:pPr>
      <w:r w:rsidRPr="00896D4F">
        <w:t>Socialnämnden har genom individ- och familjeutskottet avgett yttrande. Härav fram</w:t>
      </w:r>
      <w:r w:rsidRPr="00896D4F">
        <w:softHyphen/>
        <w:t>går bl. a. att kontaktpersonen hade uppdraget att närvara vid a</w:t>
      </w:r>
      <w:r w:rsidRPr="00896D4F">
        <w:t>v</w:t>
      </w:r>
      <w:r w:rsidRPr="00896D4F">
        <w:t>lämnande och hämt</w:t>
      </w:r>
      <w:r w:rsidRPr="00896D4F">
        <w:softHyphen/>
        <w:t>ning i enlighet med tings</w:t>
      </w:r>
      <w:r w:rsidRPr="00896D4F">
        <w:softHyphen/>
        <w:t>rättens dom. I uppdraget ingick inte att medla eller utreda eller behandla. Tidsåtgången i uppdraget var även angiven. Kontakt</w:t>
      </w:r>
      <w:r w:rsidRPr="00896D4F">
        <w:softHyphen/>
        <w:t>personen vidgade sitt uppdrag och fortsatte därmed efter samtal om saken den 2.9.1998. Hon ent</w:t>
      </w:r>
      <w:r w:rsidRPr="00896D4F">
        <w:softHyphen/>
        <w:t>ledigades den 17 september 1998 av detta skäl. Någon skyldighet att enligt för</w:t>
      </w:r>
      <w:r w:rsidRPr="00896D4F">
        <w:softHyphen/>
        <w:t>valt</w:t>
      </w:r>
      <w:r w:rsidRPr="00896D4F">
        <w:softHyphen/>
        <w:t>nings</w:t>
      </w:r>
      <w:r w:rsidRPr="00896D4F">
        <w:softHyphen/>
        <w:t>lagen kommunicera före beslut föreligger ej. Inger Bosson har fort</w:t>
      </w:r>
      <w:r w:rsidRPr="00896D4F">
        <w:softHyphen/>
        <w:t>löpande diskuterat med s</w:t>
      </w:r>
      <w:r w:rsidRPr="00896D4F">
        <w:t>ocial</w:t>
      </w:r>
      <w:r w:rsidRPr="00896D4F">
        <w:softHyphen/>
        <w:t>chefen innan beslut har fattats eftersom en av parterna är an</w:t>
      </w:r>
      <w:r w:rsidRPr="00896D4F">
        <w:softHyphen/>
        <w:t>ställd på hennes avde</w:t>
      </w:r>
      <w:r w:rsidRPr="00896D4F">
        <w:t>l</w:t>
      </w:r>
      <w:r w:rsidRPr="00896D4F">
        <w:t>ning. Nämnden delar faderns uppfattning att det är olyckligt att kontaktpers</w:t>
      </w:r>
      <w:r w:rsidRPr="00896D4F">
        <w:t>o</w:t>
      </w:r>
      <w:r w:rsidRPr="00896D4F">
        <w:t>nen inte kunde vara kvar. Helg</w:t>
      </w:r>
      <w:r w:rsidRPr="00896D4F">
        <w:softHyphen/>
        <w:t>umgänge med över</w:t>
      </w:r>
      <w:r w:rsidRPr="00896D4F">
        <w:softHyphen/>
        <w:t>nattning har upp</w:t>
      </w:r>
      <w:r w:rsidRPr="00896D4F">
        <w:softHyphen/>
        <w:t>hört sedan slutet av augusti medan dag</w:t>
      </w:r>
      <w:r w:rsidRPr="00896D4F">
        <w:softHyphen/>
        <w:t>umgänget har fortsatt. Social</w:t>
      </w:r>
      <w:r w:rsidRPr="00896D4F">
        <w:softHyphen/>
        <w:t>nämnden har genom protokollsu</w:t>
      </w:r>
      <w:r w:rsidRPr="00896D4F">
        <w:t>t</w:t>
      </w:r>
      <w:r w:rsidRPr="00896D4F">
        <w:t>drag av den 3 mars 1999 även meddelat att skrivelse från kontakt</w:t>
      </w:r>
      <w:r w:rsidRPr="00896D4F">
        <w:softHyphen/>
        <w:t>personen angående handläggningen inte föranleder ytterligare granskning. Läns</w:t>
      </w:r>
      <w:r w:rsidRPr="00896D4F">
        <w:softHyphen/>
        <w:t>styrelsens beslut avvaktas.</w:t>
      </w:r>
    </w:p>
    <w:p w:rsidR="009C1C5A" w:rsidRPr="00896D4F" w:rsidRDefault="009C1C5A">
      <w:pPr>
        <w:pStyle w:val="Citatindrag"/>
      </w:pPr>
      <w:r w:rsidRPr="00896D4F">
        <w:t>Kontaktper</w:t>
      </w:r>
      <w:r w:rsidRPr="00896D4F">
        <w:t>sonen har lämnat redogörelse för sitt uppdrag och omständi</w:t>
      </w:r>
      <w:r w:rsidRPr="00896D4F">
        <w:t>g</w:t>
      </w:r>
      <w:r w:rsidRPr="00896D4F">
        <w:t>heterna kring ent</w:t>
      </w:r>
      <w:r w:rsidRPr="00896D4F">
        <w:softHyphen/>
        <w:t>ledigandet.</w:t>
      </w:r>
    </w:p>
    <w:p w:rsidR="009C1C5A" w:rsidRPr="00896D4F" w:rsidRDefault="009C1C5A">
      <w:pPr>
        <w:pStyle w:val="Citatindrag"/>
      </w:pPr>
      <w:r w:rsidRPr="00896D4F">
        <w:t>Fadern och hans ombud, advokat M.J., har beretts tillfälle att yttra sig. Yt</w:t>
      </w:r>
      <w:r w:rsidRPr="00896D4F">
        <w:t>t</w:t>
      </w:r>
      <w:r w:rsidRPr="00896D4F">
        <w:t>rande har inkommit. Härav framgår bl. a. följande. Medlingsfunktion får anses ligga i uppdragets natur, medan utredning och behandling ej kan anses göra det. Av kontaktpersonens redogörelse för uppdraget framgår att hon inte gått utanför sitt uppdrag. Nämnden har inte heller preciserat sin kritik. I up</w:t>
      </w:r>
      <w:r w:rsidRPr="00896D4F">
        <w:t>p</w:t>
      </w:r>
      <w:r w:rsidRPr="00896D4F">
        <w:t>draget ingick att det kunde bli aktuellt att lämna information till utredarna och vittna i domstol. Med hänvisning till kontaktpersonens rapport hävdas att det föreligger jävsförhål</w:t>
      </w:r>
      <w:r w:rsidRPr="00896D4F">
        <w:softHyphen/>
        <w:t>lande för Inger Bosson på</w:t>
      </w:r>
      <w:r w:rsidRPr="00896D4F">
        <w:t xml:space="preserve"> grund av umgänge privat med modern. Denna har så</w:t>
      </w:r>
      <w:r w:rsidRPr="00896D4F">
        <w:softHyphen/>
        <w:t>ledes åsidosatt jävs</w:t>
      </w:r>
      <w:r w:rsidRPr="00896D4F">
        <w:softHyphen/>
        <w:t>bestäm</w:t>
      </w:r>
      <w:r w:rsidRPr="00896D4F">
        <w:softHyphen/>
        <w:t>melserna i förvaltnings</w:t>
      </w:r>
      <w:r w:rsidRPr="00896D4F">
        <w:softHyphen/>
        <w:t>lagen uppsåtligen eller av oakt</w:t>
      </w:r>
      <w:r w:rsidRPr="00896D4F">
        <w:softHyphen/>
        <w:t>samhet och gjort sig skyldig till tjänstefel. Det ifråg</w:t>
      </w:r>
      <w:r w:rsidRPr="00896D4F">
        <w:t>a</w:t>
      </w:r>
      <w:r w:rsidRPr="00896D4F">
        <w:t>sätts även om entledigandet av kontaktperson enligt föräldrabalken kan del</w:t>
      </w:r>
      <w:r w:rsidRPr="00896D4F">
        <w:t>e</w:t>
      </w:r>
      <w:r w:rsidRPr="00896D4F">
        <w:t>geras.</w:t>
      </w:r>
    </w:p>
    <w:p w:rsidR="009C1C5A" w:rsidRPr="00896D4F" w:rsidRDefault="009C1C5A">
      <w:pPr>
        <w:pStyle w:val="Rubrik4"/>
      </w:pPr>
      <w:r w:rsidRPr="00896D4F">
        <w:t xml:space="preserve">Länsstyrelsens bedömning </w:t>
      </w:r>
    </w:p>
    <w:p w:rsidR="009C1C5A" w:rsidRPr="00896D4F" w:rsidRDefault="009C1C5A">
      <w:pPr>
        <w:pStyle w:val="Rubrik5"/>
      </w:pPr>
      <w:r w:rsidRPr="00896D4F">
        <w:t>Förordnandet av kontaktperson</w:t>
      </w:r>
    </w:p>
    <w:p w:rsidR="009C1C5A" w:rsidRPr="00896D4F" w:rsidRDefault="009C1C5A">
      <w:pPr>
        <w:pStyle w:val="Citat"/>
      </w:pPr>
      <w:r w:rsidRPr="00896D4F">
        <w:t>Enligt 3 och 12 §§ socialtjänstlagen har socialnämnden skyldighet att me</w:t>
      </w:r>
      <w:r w:rsidRPr="00896D4F">
        <w:t>d</w:t>
      </w:r>
      <w:r w:rsidRPr="00896D4F">
        <w:t>verka till att ett barns behov av umgänge blir tillgodosett dels genom att utse kontakt</w:t>
      </w:r>
      <w:r w:rsidRPr="00896D4F">
        <w:softHyphen/>
        <w:t>person och dels att enligt samma paragrafer tillvarata barnets behov av trygghet i samband med umgänget. Domstols förordnande om kontakt</w:t>
      </w:r>
      <w:r w:rsidRPr="00896D4F">
        <w:softHyphen/>
        <w:t>person vid umgänge ska föregås av samråd med socialnämnden före beslut så att förordnandet kan utformas med hän</w:t>
      </w:r>
      <w:r w:rsidRPr="00896D4F">
        <w:softHyphen/>
        <w:t>syn taget till socialnämndens resurser. Lagutskottet har i yttrande 1997/98:LU12 i anslutning till proposition om vårdnad, boende och umgänge 1997/98:7 ytterligare kommentera</w:t>
      </w:r>
      <w:r w:rsidRPr="00896D4F">
        <w:t>t detta på följande sätt:</w:t>
      </w:r>
    </w:p>
    <w:p w:rsidR="009C1C5A" w:rsidRPr="00896D4F" w:rsidRDefault="009C1C5A">
      <w:pPr>
        <w:pStyle w:val="Citatindrag"/>
        <w:spacing w:before="125"/>
        <w:ind w:left="567" w:firstLine="0"/>
      </w:pPr>
      <w:r w:rsidRPr="00896D4F">
        <w:t>När en domstol beslutar om umgänge kan domstolen föreskriva att um</w:t>
      </w:r>
      <w:r w:rsidRPr="00896D4F">
        <w:softHyphen/>
        <w:t>gänget ska ske i närvaro av t. ex. en av socialnämnden utsedd pe</w:t>
      </w:r>
      <w:r w:rsidRPr="00896D4F">
        <w:t>r</w:t>
      </w:r>
      <w:r w:rsidRPr="00896D4F">
        <w:t>son. Domstolen kan dock inte ålägga kommunen att utse en sådan pe</w:t>
      </w:r>
      <w:r w:rsidRPr="00896D4F">
        <w:t>r</w:t>
      </w:r>
      <w:r w:rsidRPr="00896D4F">
        <w:t>son. Om umgänge inte kan komma till stånd i enlighet med domst</w:t>
      </w:r>
      <w:r w:rsidRPr="00896D4F">
        <w:t>o</w:t>
      </w:r>
      <w:r w:rsidRPr="00896D4F">
        <w:t>lens förordnande beroende på att nämnden inte utser kontaktperson kan detta få till följd att umgängesfrågan måste omprövas med u</w:t>
      </w:r>
      <w:r w:rsidRPr="00896D4F">
        <w:t>t</w:t>
      </w:r>
      <w:r w:rsidRPr="00896D4F">
        <w:t>gångspunkt i den ändrade för</w:t>
      </w:r>
      <w:r w:rsidRPr="00896D4F">
        <w:softHyphen/>
        <w:t>utsättningen att nämndens medverkan inte kan påräknas.</w:t>
      </w:r>
    </w:p>
    <w:p w:rsidR="009C1C5A" w:rsidRPr="00896D4F" w:rsidRDefault="009C1C5A">
      <w:pPr>
        <w:pStyle w:val="Citatindrag"/>
        <w:ind w:left="567"/>
      </w:pPr>
      <w:r w:rsidRPr="00896D4F">
        <w:t>Enligt regeringens mening bör det inte införas någon möjlighet för dom</w:t>
      </w:r>
      <w:r w:rsidRPr="00896D4F">
        <w:softHyphen/>
        <w:t>stolen att ålägga en kommun att utse en kontaktperson vid u</w:t>
      </w:r>
      <w:r w:rsidRPr="00896D4F">
        <w:t>m</w:t>
      </w:r>
      <w:r w:rsidRPr="00896D4F">
        <w:t>gänge. Det i praktiken största problemet torde enligt regeringen vara, att det kan vara svårt för socialnämnden att hitta lämpliga personer som är beredda att åta sig uppdraget som kontaktperson vid umgänge.</w:t>
      </w:r>
    </w:p>
    <w:p w:rsidR="009C1C5A" w:rsidRPr="00896D4F" w:rsidRDefault="009C1C5A">
      <w:pPr>
        <w:pStyle w:val="Citat"/>
      </w:pPr>
      <w:r w:rsidRPr="00896D4F">
        <w:t>Socialnämnden har som ovan sagts även en skyldighet att tillvarata barnets behov av trygghet i samband med umgänget. Valet av kontaktperson är därför viktigt. Beroende på vilken problematik som ska bevakas avgörs kompete</w:t>
      </w:r>
      <w:r w:rsidRPr="00896D4F">
        <w:t>n</w:t>
      </w:r>
      <w:r w:rsidRPr="00896D4F">
        <w:t>sen hos kontakt</w:t>
      </w:r>
      <w:r w:rsidRPr="00896D4F">
        <w:softHyphen/>
        <w:t>personen. Lämpligheten ska bedömas utifrån barnets synvi</w:t>
      </w:r>
      <w:r w:rsidRPr="00896D4F">
        <w:t>n</w:t>
      </w:r>
      <w:r w:rsidRPr="00896D4F">
        <w:t>kel, barnet måste känna förtroende för kontaktpersonen, vilket i sin tur inn</w:t>
      </w:r>
      <w:r w:rsidRPr="00896D4F">
        <w:t>e</w:t>
      </w:r>
      <w:r w:rsidRPr="00896D4F">
        <w:t>bär att barnet lär känna personen och litar på denna. Detta innebär också att en viktig förutsättning är kontinuitet och därmed att uppdraget fullgöres av samma person. Uppdraget är personligt och kan inte ges till ett bolag.</w:t>
      </w:r>
    </w:p>
    <w:p w:rsidR="009C1C5A" w:rsidRPr="00896D4F" w:rsidRDefault="009C1C5A">
      <w:pPr>
        <w:pStyle w:val="Citatindrag"/>
      </w:pPr>
      <w:r w:rsidRPr="00896D4F">
        <w:t>För att kontaktpersonen ska kunna fullgöra sitt uppdrag anser Länsstyre</w:t>
      </w:r>
      <w:r w:rsidRPr="00896D4F">
        <w:t>l</w:t>
      </w:r>
      <w:r w:rsidRPr="00896D4F">
        <w:t>sen att det är viktigt att i handläggningen få acceptans av båda föräldrarna att en viss person förordnas även om det formellt inte ställs krav på att vårdnad</w:t>
      </w:r>
      <w:r w:rsidRPr="00896D4F">
        <w:t>s</w:t>
      </w:r>
      <w:r w:rsidRPr="00896D4F">
        <w:t>havaren ska god</w:t>
      </w:r>
      <w:r w:rsidRPr="00896D4F">
        <w:softHyphen/>
        <w:t>känna personen. Kontaktpersonen torde ha små möjligheter att förbättra relationerna i um</w:t>
      </w:r>
      <w:r w:rsidRPr="00896D4F">
        <w:softHyphen/>
        <w:t>gängessituationen om inte båda accepterar v</w:t>
      </w:r>
      <w:r w:rsidRPr="00896D4F">
        <w:t>e</w:t>
      </w:r>
      <w:r w:rsidRPr="00896D4F">
        <w:t>derbörande.</w:t>
      </w:r>
    </w:p>
    <w:p w:rsidR="009C1C5A" w:rsidRPr="00896D4F" w:rsidRDefault="009C1C5A">
      <w:pPr>
        <w:pStyle w:val="Citatindrag"/>
      </w:pPr>
      <w:r w:rsidRPr="00896D4F">
        <w:t>Inför eventuellt entledigande från uppdraget ska i första hand barnets b</w:t>
      </w:r>
      <w:r w:rsidRPr="00896D4F">
        <w:t>e</w:t>
      </w:r>
      <w:r w:rsidRPr="00896D4F">
        <w:t>hov av kontakt</w:t>
      </w:r>
      <w:r w:rsidRPr="00896D4F">
        <w:softHyphen/>
        <w:t>personen och barnets behov av kontinuitet vägas in i bedö</w:t>
      </w:r>
      <w:r w:rsidRPr="00896D4F">
        <w:t>m</w:t>
      </w:r>
      <w:r w:rsidRPr="00896D4F">
        <w:t>ningen av de anmärkningar som kan riktas mot uppdragets utövande. En pe</w:t>
      </w:r>
      <w:r w:rsidRPr="00896D4F">
        <w:t>r</w:t>
      </w:r>
      <w:r w:rsidRPr="00896D4F">
        <w:t>son, såväl kontakt</w:t>
      </w:r>
      <w:r w:rsidRPr="00896D4F">
        <w:softHyphen/>
        <w:t>person som familjehem, som har ett uppdrag av socia</w:t>
      </w:r>
      <w:r w:rsidRPr="00896D4F">
        <w:t>l</w:t>
      </w:r>
      <w:r w:rsidRPr="00896D4F">
        <w:t>tjänsten har rätt att få veta vad som kritiseras i uppdragets utövande och vilka konsekvenser detta kan få om det som kritiseras inte rättas till. Ett entlediga</w:t>
      </w:r>
      <w:r w:rsidRPr="00896D4F">
        <w:t>n</w:t>
      </w:r>
      <w:r w:rsidRPr="00896D4F">
        <w:t>de innebär en ingripande åtgärd gentemot uppdragstagaren. Ärendet borde därför kommunicerats före avgörandet. Uppdrags</w:t>
      </w:r>
      <w:r w:rsidRPr="00896D4F">
        <w:softHyphen/>
        <w:t>tagaren har äve</w:t>
      </w:r>
      <w:r w:rsidRPr="00896D4F">
        <w:t>n rätt att få företräde inför beslutande före beslut fattas angående eventuellt entledigande i syfte att få bemöta kritiken. Det säger sig självt att kritiken måste preciseras och konkretiseras (JO 1981/82 s 164 och 165, JO dnr 1280/1980).</w:t>
      </w:r>
    </w:p>
    <w:p w:rsidR="009C1C5A" w:rsidRPr="00896D4F" w:rsidRDefault="009C1C5A">
      <w:pPr>
        <w:pStyle w:val="Citatindrag"/>
      </w:pPr>
      <w:r w:rsidRPr="00896D4F">
        <w:t>Med hänsyn till främst barnets behov av kontinuitet krävs konkreta brister i upp</w:t>
      </w:r>
      <w:r w:rsidRPr="00896D4F">
        <w:softHyphen/>
        <w:t>dragets utövande för ett entledigande av kontaktperson. Eftersom det i detta fall gäller barnets umgänge med fadern och det då i första hand är han som bör till</w:t>
      </w:r>
      <w:r w:rsidRPr="00896D4F">
        <w:softHyphen/>
        <w:t>frågas angående nämndens entledigande är det anmärkningsvärt att inte kontakt har skett med honom beträffande de tveksamheter nämnden haft inför fullgörandet av uppdraget.</w:t>
      </w:r>
    </w:p>
    <w:p w:rsidR="009C1C5A" w:rsidRPr="00896D4F" w:rsidRDefault="009C1C5A">
      <w:pPr>
        <w:pStyle w:val="Citat"/>
        <w:rPr>
          <w:i/>
        </w:rPr>
      </w:pPr>
      <w:r w:rsidRPr="00896D4F">
        <w:rPr>
          <w:i/>
        </w:rPr>
        <w:t>Länsstyrelsen finner skäl till kritik av handläggningen av entledigandet av kontakt</w:t>
      </w:r>
      <w:r w:rsidRPr="00896D4F">
        <w:rPr>
          <w:i/>
        </w:rPr>
        <w:softHyphen/>
      </w:r>
      <w:r w:rsidRPr="00896D4F">
        <w:rPr>
          <w:i/>
        </w:rPr>
        <w:softHyphen/>
        <w:t>personen. Beslutet har inneburit att barnet mist en kontaktperson som barnet haft förtroende för och som varit en förutsättning för umgänge enligt dom. Nämnden har inte visat att det finns underlag för b</w:t>
      </w:r>
      <w:r w:rsidRPr="00896D4F">
        <w:rPr>
          <w:i/>
        </w:rPr>
        <w:t>e</w:t>
      </w:r>
      <w:r w:rsidRPr="00896D4F">
        <w:rPr>
          <w:i/>
        </w:rPr>
        <w:t>slutet.</w:t>
      </w:r>
    </w:p>
    <w:p w:rsidR="009C1C5A" w:rsidRPr="00896D4F" w:rsidRDefault="009C1C5A">
      <w:pPr>
        <w:pStyle w:val="Rubrik5"/>
      </w:pPr>
      <w:r w:rsidRPr="00896D4F">
        <w:t>Kontaktpersonens uppdrag</w:t>
      </w:r>
    </w:p>
    <w:p w:rsidR="009C1C5A" w:rsidRPr="00896D4F" w:rsidRDefault="009C1C5A">
      <w:pPr>
        <w:pStyle w:val="Citat"/>
      </w:pPr>
      <w:r w:rsidRPr="00896D4F">
        <w:t>I detta ingår att bevaka barnets behov av fysisk och känslomässig trygghet. Detta inne</w:t>
      </w:r>
      <w:r w:rsidRPr="00896D4F">
        <w:softHyphen/>
        <w:t>bär olika försök att förhindra att konflikter mellan föräldrarna får utrymme under överlämnandet, samt därmed försök att förebygga detta i kontakten med föräld</w:t>
      </w:r>
      <w:r w:rsidRPr="00896D4F">
        <w:softHyphen/>
        <w:t>rarna inför umgänge.</w:t>
      </w:r>
    </w:p>
    <w:p w:rsidR="009C1C5A" w:rsidRPr="00896D4F" w:rsidRDefault="009C1C5A">
      <w:pPr>
        <w:pStyle w:val="Citatindrag"/>
      </w:pPr>
      <w:r w:rsidRPr="00896D4F">
        <w:t>I yttrandet från socialnämnden sägs att kontaktpersonen endast skulle nä</w:t>
      </w:r>
      <w:r w:rsidRPr="00896D4F">
        <w:t>r</w:t>
      </w:r>
      <w:r w:rsidRPr="00896D4F">
        <w:t>vara inte medla, utreda och behandla.</w:t>
      </w:r>
    </w:p>
    <w:p w:rsidR="009C1C5A" w:rsidRPr="00896D4F" w:rsidRDefault="009C1C5A">
      <w:pPr>
        <w:pStyle w:val="Citatindrag"/>
      </w:pPr>
      <w:r w:rsidRPr="00896D4F">
        <w:t>I skrivelse från kontaktpersonen framhålles att största delen av uppdraget gått ut på att hjälpa barnet att hålla de överenskommelser som gjorts om u</w:t>
      </w:r>
      <w:r w:rsidRPr="00896D4F">
        <w:t>m</w:t>
      </w:r>
      <w:r w:rsidRPr="00896D4F">
        <w:t>gänge och att hjälpa barnet att förstå eventuella meningsskiljaktigheter mellan föräldrarna. Av den handskrivna redogörelsen eller i övrigt kan inte läsas ut hur uppdraget konkret har hanterats.</w:t>
      </w:r>
    </w:p>
    <w:p w:rsidR="009C1C5A" w:rsidRPr="00896D4F" w:rsidRDefault="009C1C5A">
      <w:pPr>
        <w:pStyle w:val="Citat"/>
        <w:rPr>
          <w:i/>
        </w:rPr>
      </w:pPr>
      <w:r w:rsidRPr="00896D4F">
        <w:rPr>
          <w:i/>
        </w:rPr>
        <w:t>Länsstyrelsen anser att nämndens uppfattning om uppdragets innehåll inte är fören</w:t>
      </w:r>
      <w:r w:rsidRPr="00896D4F">
        <w:rPr>
          <w:i/>
        </w:rPr>
        <w:softHyphen/>
        <w:t>lig med barnets perspektiv och finner därmed anledning till kritik.</w:t>
      </w:r>
    </w:p>
    <w:p w:rsidR="009C1C5A" w:rsidRPr="00896D4F" w:rsidRDefault="009C1C5A">
      <w:pPr>
        <w:pStyle w:val="Rubrik5"/>
      </w:pPr>
      <w:r w:rsidRPr="00896D4F">
        <w:t>Jävsbestämmelser</w:t>
      </w:r>
    </w:p>
    <w:p w:rsidR="009C1C5A" w:rsidRPr="00896D4F" w:rsidRDefault="009C1C5A">
      <w:pPr>
        <w:pStyle w:val="Citat"/>
      </w:pPr>
      <w:r w:rsidRPr="00896D4F">
        <w:t>I kommunallagens 6 kap. 24–27 §§ finns bestämmelser om jäv för såväl fö</w:t>
      </w:r>
      <w:r w:rsidRPr="00896D4F">
        <w:t>r</w:t>
      </w:r>
      <w:r w:rsidRPr="00896D4F">
        <w:t>troende</w:t>
      </w:r>
      <w:r w:rsidRPr="00896D4F">
        <w:softHyphen/>
        <w:t>vald som an</w:t>
      </w:r>
      <w:r w:rsidRPr="00896D4F">
        <w:softHyphen/>
        <w:t>ställd. Jävsgrunderna är desamma, med ett undantag, som i förvaltnings</w:t>
      </w:r>
      <w:r w:rsidRPr="00896D4F">
        <w:softHyphen/>
        <w:t>lagens 11 och 12 §§. I 11 § förvaltningslagen finns en bestä</w:t>
      </w:r>
      <w:r w:rsidRPr="00896D4F">
        <w:t>m</w:t>
      </w:r>
      <w:r w:rsidRPr="00896D4F">
        <w:t>melse om tvåinstansjäv, vilken saknas i kommunallagen. I 11 § punkt 5 FVL finns an</w:t>
      </w:r>
      <w:r w:rsidRPr="00896D4F">
        <w:softHyphen/>
        <w:t>givet följande: ”Om det i övrigt finns någon särskild omständighet som är ägnad att rubba förtroendet till hans opartiskhet i ärendet.” En sådan omständighet kan enligt kommentarerna vara att handläggaren är uppenbar vän eller ovän med part eller annan intressent i ett ärende</w:t>
      </w:r>
      <w:r w:rsidRPr="00896D4F">
        <w:t>.</w:t>
      </w:r>
    </w:p>
    <w:p w:rsidR="009C1C5A" w:rsidRPr="00896D4F" w:rsidRDefault="009C1C5A">
      <w:pPr>
        <w:pStyle w:val="Citatindrag"/>
      </w:pPr>
      <w:r w:rsidRPr="00896D4F">
        <w:t>Faderns ombud och kontaktpersonen har anfört att en sådan vänrelation f</w:t>
      </w:r>
      <w:r w:rsidRPr="00896D4F">
        <w:t>ö</w:t>
      </w:r>
      <w:r w:rsidRPr="00896D4F">
        <w:t>religger mellan beslutande och modern i ärendet, samt att det i vart fall för</w:t>
      </w:r>
      <w:r w:rsidRPr="00896D4F">
        <w:t>e</w:t>
      </w:r>
      <w:r w:rsidRPr="00896D4F">
        <w:t>ligger en arbetstagar–arbetsledarrelation. Socialnämnden har anfört att a</w:t>
      </w:r>
      <w:r w:rsidRPr="00896D4F">
        <w:t>r</w:t>
      </w:r>
      <w:r w:rsidRPr="00896D4F">
        <w:t>betsledaren fort</w:t>
      </w:r>
      <w:r w:rsidRPr="00896D4F">
        <w:softHyphen/>
        <w:t>löpande diskuterat med socialchefen innan beslut har fattats utifrån att en av parterna är anställd på hennes avdelning och att vårdnads</w:t>
      </w:r>
      <w:r w:rsidRPr="00896D4F">
        <w:softHyphen/>
        <w:t>utredningen lagts ut på annan med hänsyn härtill. Nämnden har inte ko</w:t>
      </w:r>
      <w:r w:rsidRPr="00896D4F">
        <w:t>m</w:t>
      </w:r>
      <w:r w:rsidRPr="00896D4F">
        <w:t>menterat vänrelationen.</w:t>
      </w:r>
    </w:p>
    <w:p w:rsidR="009C1C5A" w:rsidRPr="00896D4F" w:rsidRDefault="009C1C5A">
      <w:pPr>
        <w:pStyle w:val="Citatindrag"/>
      </w:pPr>
      <w:r w:rsidRPr="00896D4F">
        <w:t>Den tjänsteman som innehar delegation att besluta kan ha anledning att föra ett ärende till nämnden. Skälet här</w:t>
      </w:r>
      <w:r w:rsidRPr="00896D4F">
        <w:t>till kan vara att ärendet är särskilt svårbedömt, principiellt viktigt, eller att det finns en hög grad av känslighet i ärendet. Tvek</w:t>
      </w:r>
      <w:r w:rsidRPr="00896D4F">
        <w:softHyphen/>
        <w:t>samheter kring jävsförhållanden är ett annat skäl. Vid jävsfö</w:t>
      </w:r>
      <w:r w:rsidRPr="00896D4F">
        <w:t>r</w:t>
      </w:r>
      <w:r w:rsidRPr="00896D4F">
        <w:t>hållanden ska hand</w:t>
      </w:r>
      <w:r w:rsidRPr="00896D4F">
        <w:softHyphen/>
        <w:t>läggare eller beslutsfattare självmant anmäla detta och därefter bytas ut.</w:t>
      </w:r>
    </w:p>
    <w:p w:rsidR="009C1C5A" w:rsidRPr="00896D4F" w:rsidRDefault="009C1C5A">
      <w:pPr>
        <w:pStyle w:val="Citatindrag"/>
      </w:pPr>
      <w:r w:rsidRPr="00896D4F">
        <w:t>Länsstyrelsen anser att arbetsledar–arbetstagarförhållandet är en sådan om</w:t>
      </w:r>
      <w:r w:rsidRPr="00896D4F">
        <w:softHyphen/>
        <w:t>ständig</w:t>
      </w:r>
      <w:r w:rsidRPr="00896D4F">
        <w:softHyphen/>
        <w:t>het som är ägnad att påverka och rubba förtroendet för handlägg</w:t>
      </w:r>
      <w:r w:rsidRPr="00896D4F">
        <w:t>a</w:t>
      </w:r>
      <w:r w:rsidRPr="00896D4F">
        <w:t>ren/beslutsfattaren i sakfrågans behandling. Då ärendet har karaktären av myndighets</w:t>
      </w:r>
      <w:r w:rsidRPr="00896D4F">
        <w:softHyphen/>
        <w:t>utövning kan inte anses att frågan om opartiskhet uppenbart sa</w:t>
      </w:r>
      <w:r w:rsidRPr="00896D4F">
        <w:t>k</w:t>
      </w:r>
      <w:r w:rsidRPr="00896D4F">
        <w:t>nar betydelse.</w:t>
      </w:r>
    </w:p>
    <w:p w:rsidR="009C1C5A" w:rsidRPr="00896D4F" w:rsidRDefault="009C1C5A">
      <w:pPr>
        <w:pStyle w:val="Citat"/>
        <w:rPr>
          <w:i/>
        </w:rPr>
      </w:pPr>
      <w:r w:rsidRPr="00896D4F">
        <w:rPr>
          <w:i/>
        </w:rPr>
        <w:t>Länsstyrelsen finner skäl till kritik mot socialnämndens beslutsordning i ärendet. Arbets</w:t>
      </w:r>
      <w:r w:rsidRPr="00896D4F">
        <w:rPr>
          <w:i/>
        </w:rPr>
        <w:softHyphen/>
        <w:t>ledaren borde ha aktualiserat jävsfrågan och inte ha handlagt ärendet.</w:t>
      </w:r>
    </w:p>
    <w:p w:rsidR="009C1C5A" w:rsidRPr="00896D4F" w:rsidRDefault="009C1C5A">
      <w:r w:rsidRPr="00896D4F">
        <w:t>Socialnämnden i Simrishamns kommun anmodades att inkomma med utre</w:t>
      </w:r>
      <w:r w:rsidRPr="00896D4F">
        <w:t>d</w:t>
      </w:r>
      <w:r w:rsidRPr="00896D4F">
        <w:t xml:space="preserve">ning och yttrande i anledning av vad M.J. hade anfört i anmälan till JO. </w:t>
      </w:r>
      <w:r w:rsidRPr="00896D4F">
        <w:br/>
        <w:t>I remissen angavs att remissvaret även skulle innehålla en redogörelse för de åtgärder som hade vidtagits i tiden dels efter att den aktuella kontaktpersonen hade ent</w:t>
      </w:r>
      <w:r w:rsidRPr="00896D4F">
        <w:softHyphen/>
        <w:t xml:space="preserve">ledigats, dels efter länsstyrelsens tillsynsbeslut. Om det inte hade vidtagits några åtgärder emotsågs skälen för detta ställningstagande. </w:t>
      </w:r>
    </w:p>
    <w:p w:rsidR="009C1C5A" w:rsidRPr="00896D4F" w:rsidRDefault="009C1C5A">
      <w:pPr>
        <w:pStyle w:val="Normaltindrag"/>
      </w:pPr>
      <w:r w:rsidRPr="00896D4F">
        <w:t>Socialnämnden beslutade att till JO översända en utredning som på up</w:t>
      </w:r>
      <w:r w:rsidRPr="00896D4F">
        <w:t>p</w:t>
      </w:r>
      <w:r w:rsidRPr="00896D4F">
        <w:t>drag av nämnden hade genomförts av Svenska Kommunförbundet samt att i yt</w:t>
      </w:r>
      <w:r w:rsidRPr="00896D4F">
        <w:t>t</w:t>
      </w:r>
      <w:r w:rsidRPr="00896D4F">
        <w:t>rande till JO uttala följande.</w:t>
      </w:r>
    </w:p>
    <w:p w:rsidR="009C1C5A" w:rsidRPr="00896D4F" w:rsidRDefault="009C1C5A">
      <w:pPr>
        <w:pStyle w:val="Citat"/>
      </w:pPr>
      <w:r w:rsidRPr="00896D4F">
        <w:t>Enligt nämndens mening har entledigandet av kontaktperson inte utgjort myndig</w:t>
      </w:r>
      <w:r w:rsidRPr="00896D4F">
        <w:softHyphen/>
        <w:t>hetsutövning, någon skyldighet att iaktta 17 § förvaltningslagen gen</w:t>
      </w:r>
      <w:r w:rsidRPr="00896D4F">
        <w:t>t</w:t>
      </w:r>
      <w:r w:rsidRPr="00896D4F">
        <w:t>emot T.F. har inte förelegat och inte heller har jäv förelegat för vare sig Inger Bosson eller socialchefen. Entledigandet av kontaktperson har även i övrigt handlagts på ett korrekt sätt.</w:t>
      </w:r>
    </w:p>
    <w:p w:rsidR="009C1C5A" w:rsidRPr="00896D4F" w:rsidRDefault="009C1C5A">
      <w:pPr>
        <w:pStyle w:val="Citatindrag"/>
      </w:pPr>
      <w:r w:rsidRPr="00896D4F">
        <w:t>Efter entledigandet och länsstyrelsens beslut har allt som rimligen kan g</w:t>
      </w:r>
      <w:r w:rsidRPr="00896D4F">
        <w:t>ö</w:t>
      </w:r>
      <w:r w:rsidRPr="00896D4F">
        <w:t>ras gjorts för att försöka hitta en person som är lämplig att gå in som kontak</w:t>
      </w:r>
      <w:r w:rsidRPr="00896D4F">
        <w:t>t</w:t>
      </w:r>
      <w:r w:rsidRPr="00896D4F">
        <w:t>person i ärendet.</w:t>
      </w:r>
    </w:p>
    <w:p w:rsidR="009C1C5A" w:rsidRPr="00896D4F" w:rsidRDefault="009C1C5A">
      <w:pPr>
        <w:pStyle w:val="Citatindrag"/>
      </w:pPr>
      <w:r w:rsidRPr="00896D4F">
        <w:t>Inger Bosson har inte gjort sig skyldig till tjänstefel.</w:t>
      </w:r>
    </w:p>
    <w:p w:rsidR="009C1C5A" w:rsidRPr="00896D4F" w:rsidRDefault="009C1C5A">
      <w:pPr>
        <w:pStyle w:val="Citatindrag"/>
      </w:pPr>
      <w:r w:rsidRPr="00896D4F">
        <w:t>Socialnämnden hemställer att anmälan inte måtte föranleda någon ytterl</w:t>
      </w:r>
      <w:r w:rsidRPr="00896D4F">
        <w:t>i</w:t>
      </w:r>
      <w:r w:rsidRPr="00896D4F">
        <w:t>gare åt</w:t>
      </w:r>
      <w:r w:rsidRPr="00896D4F">
        <w:softHyphen/>
        <w:t>gärd av justitie</w:t>
      </w:r>
      <w:r w:rsidRPr="00896D4F">
        <w:softHyphen/>
        <w:t>ombudsmannen.</w:t>
      </w:r>
    </w:p>
    <w:p w:rsidR="009C1C5A" w:rsidRPr="00896D4F" w:rsidRDefault="009C1C5A">
      <w:r w:rsidRPr="00896D4F">
        <w:t>I den utredning som socialnämnden hänvisade till anförde förbundsjuristen Lena Sandström vid Svenska Kommunförbundet huvudsakligen följande (hänvisningar till bilagor har här utelämnats).</w:t>
      </w:r>
    </w:p>
    <w:p w:rsidR="009C1C5A" w:rsidRPr="00896D4F" w:rsidRDefault="009C1C5A">
      <w:pPr>
        <w:pStyle w:val="Citat"/>
      </w:pPr>
      <w:r w:rsidRPr="00896D4F">
        <w:t>Tingsrätten i Simrishamn förordnade den 20 maj 1998 att av socialnämnden i Simrishamns kommun utsedd och av parterna T.F. och A.H. godkänd ko</w:t>
      </w:r>
      <w:r w:rsidRPr="00896D4F">
        <w:t>n</w:t>
      </w:r>
      <w:r w:rsidRPr="00896D4F">
        <w:t>taktperson skulle vara närvarande vid hämtning och avlämnande av H. vid umgänges</w:t>
      </w:r>
      <w:r w:rsidRPr="00896D4F">
        <w:softHyphen/>
        <w:t>tillfällena med T.F.</w:t>
      </w:r>
    </w:p>
    <w:p w:rsidR="009C1C5A" w:rsidRPr="00896D4F" w:rsidRDefault="009C1C5A">
      <w:pPr>
        <w:pStyle w:val="Rubrik4"/>
      </w:pPr>
      <w:r w:rsidRPr="00896D4F">
        <w:t>Myndighetsutövning och kommunicering</w:t>
      </w:r>
    </w:p>
    <w:p w:rsidR="009C1C5A" w:rsidRPr="00896D4F" w:rsidRDefault="009C1C5A">
      <w:pPr>
        <w:pStyle w:val="Citat"/>
      </w:pPr>
      <w:r w:rsidRPr="00896D4F">
        <w:t>Myndighetsutövning mot enskild beskrivs i prop. 1971:30 så att det rör sig om beslut eller andra åtgärder som ytterst är uttryck för samhällets makt</w:t>
      </w:r>
      <w:r w:rsidRPr="00896D4F">
        <w:softHyphen/>
        <w:t>befogenheter i förhållande till medborgarna. Karakteristiskt är att den enski</w:t>
      </w:r>
      <w:r w:rsidRPr="00896D4F">
        <w:t>l</w:t>
      </w:r>
      <w:r w:rsidRPr="00896D4F">
        <w:t>de befinner sig i ett beroendeförhållande. Rör det sig om ett gynnande beslut, kommer beroende</w:t>
      </w:r>
      <w:r w:rsidRPr="00896D4F">
        <w:softHyphen/>
        <w:t>förhållandet till uttryck på så sätt att den enskilde måste vända sig till myndig</w:t>
      </w:r>
      <w:r w:rsidRPr="00896D4F">
        <w:softHyphen/>
        <w:t>heten för att få t.ex. en viss förmån och att myn</w:t>
      </w:r>
      <w:r w:rsidRPr="00896D4F">
        <w:softHyphen/>
        <w:t>dighetens tillämpning av de före</w:t>
      </w:r>
      <w:r w:rsidRPr="00896D4F">
        <w:softHyphen/>
        <w:t>skrifter som gäller på området får en av</w:t>
      </w:r>
      <w:r w:rsidRPr="00896D4F">
        <w:softHyphen/>
        <w:t>görande bet</w:t>
      </w:r>
      <w:r w:rsidRPr="00896D4F">
        <w:t>y</w:t>
      </w:r>
      <w:r w:rsidRPr="00896D4F">
        <w:t>delse för honom. Utanför myndighetsutöv</w:t>
      </w:r>
      <w:r w:rsidRPr="00896D4F">
        <w:softHyphen/>
        <w:t>ningen faller t.ex. avtal eller öve</w:t>
      </w:r>
      <w:r w:rsidRPr="00896D4F">
        <w:t>r</w:t>
      </w:r>
      <w:r w:rsidRPr="00896D4F">
        <w:t>enskommelser om saken med någon enskild. Myn</w:t>
      </w:r>
      <w:r w:rsidRPr="00896D4F">
        <w:t>dighets</w:t>
      </w:r>
      <w:r w:rsidRPr="00896D4F">
        <w:softHyphen/>
        <w:t>utövningen i detta fall omfattar alltså beslutet i sak, dvs. att kontaktperson beviljas T.F. och A.H. i enlighet med domstolens b</w:t>
      </w:r>
      <w:r w:rsidRPr="00896D4F">
        <w:t>e</w:t>
      </w:r>
      <w:r w:rsidRPr="00896D4F">
        <w:t>slut.</w:t>
      </w:r>
    </w:p>
    <w:p w:rsidR="009C1C5A" w:rsidRPr="00896D4F" w:rsidRDefault="009C1C5A">
      <w:pPr>
        <w:pStyle w:val="Citatindrag"/>
      </w:pPr>
      <w:r w:rsidRPr="00896D4F">
        <w:t>Att vara kontaktperson i ett ärende av nu aktuellt slag är ett arvoderat up</w:t>
      </w:r>
      <w:r w:rsidRPr="00896D4F">
        <w:t>p</w:t>
      </w:r>
      <w:r w:rsidRPr="00896D4F">
        <w:t>drag från kommunens sida där uppdragets innehåll och omfattning bestäms dels utifrån tingsrättens förordnande och dels utifrån vad socia</w:t>
      </w:r>
      <w:r w:rsidRPr="00896D4F">
        <w:t>l</w:t>
      </w:r>
      <w:r w:rsidRPr="00896D4F">
        <w:t>nämnden be</w:t>
      </w:r>
      <w:r w:rsidRPr="00896D4F">
        <w:softHyphen/>
        <w:t>dömer är en adekvat insats. Ett förordnande att vara kontaktperson liksom ett entledigande från uppdraget utgör enligt socialnämndens uppfattning inte myndighets</w:t>
      </w:r>
      <w:r w:rsidRPr="00896D4F">
        <w:softHyphen/>
        <w:t>utövning och är inte heller en åtgärd riktad mot T.F. eller A.H. utan mot kontaktpersonen.</w:t>
      </w:r>
    </w:p>
    <w:p w:rsidR="009C1C5A" w:rsidRPr="00896D4F" w:rsidRDefault="009C1C5A">
      <w:pPr>
        <w:pStyle w:val="Citatindrag"/>
      </w:pPr>
      <w:r w:rsidRPr="00896D4F">
        <w:t>Ovanstående innebär att någon kommuniceringsskyldighet enligt 17 § fö</w:t>
      </w:r>
      <w:r w:rsidRPr="00896D4F">
        <w:t>r</w:t>
      </w:r>
      <w:r w:rsidRPr="00896D4F">
        <w:t>valt</w:t>
      </w:r>
      <w:r w:rsidRPr="00896D4F">
        <w:softHyphen/>
        <w:t>nings</w:t>
      </w:r>
      <w:r w:rsidRPr="00896D4F">
        <w:softHyphen/>
        <w:t>lagen inte heller föreligger. T.F. är i fråga om engagerandet av pe</w:t>
      </w:r>
      <w:r w:rsidRPr="00896D4F">
        <w:t>r</w:t>
      </w:r>
      <w:r w:rsidRPr="00896D4F">
        <w:t>son för uppdraget som kontaktperson eller ent</w:t>
      </w:r>
      <w:r w:rsidRPr="00896D4F">
        <w:softHyphen/>
        <w:t>ledigande av kontakt</w:t>
      </w:r>
      <w:r w:rsidRPr="00896D4F">
        <w:softHyphen/>
        <w:t>personen inte vare sig sökande, klagande eller annan part i förvaltnings</w:t>
      </w:r>
      <w:r w:rsidRPr="00896D4F">
        <w:softHyphen/>
        <w:t>lagens mening. Även om en person anser sig ha intressen i saken kan han inte göra anspråk på att kom</w:t>
      </w:r>
      <w:r w:rsidRPr="00896D4F">
        <w:softHyphen/>
        <w:t>municeras aktmaterial eller underlag för ett beslut.</w:t>
      </w:r>
    </w:p>
    <w:p w:rsidR="009C1C5A" w:rsidRPr="00896D4F" w:rsidRDefault="009C1C5A">
      <w:pPr>
        <w:pStyle w:val="Citatindrag"/>
      </w:pPr>
      <w:r w:rsidRPr="00896D4F">
        <w:t>”Det krävs att beslutet i ärendet antingen påverkar personens offent</w:t>
      </w:r>
      <w:r w:rsidRPr="00896D4F">
        <w:softHyphen/>
        <w:t>lig</w:t>
      </w:r>
      <w:r w:rsidRPr="00896D4F">
        <w:softHyphen/>
        <w:t>rättsliga ställning eller rör ett intresse som på något sätt erkänts av rättsor</w:t>
      </w:r>
      <w:r w:rsidRPr="00896D4F">
        <w:t>d</w:t>
      </w:r>
      <w:r w:rsidRPr="00896D4F">
        <w:t>ningen, t.ex. genom en föreskrift i en författning på området”. (Hellners-Malmqvist: Nya förvaltningslagen med kommentarer, fjärde upplagan, s. 173 f.).</w:t>
      </w:r>
    </w:p>
    <w:p w:rsidR="009C1C5A" w:rsidRPr="00896D4F" w:rsidRDefault="009C1C5A">
      <w:pPr>
        <w:pStyle w:val="Rubrik5"/>
        <w:spacing w:before="250"/>
        <w:rPr>
          <w:i/>
        </w:rPr>
      </w:pPr>
      <w:r w:rsidRPr="00896D4F">
        <w:rPr>
          <w:i/>
        </w:rPr>
        <w:t>Entledigande av kontaktpersonen</w:t>
      </w:r>
    </w:p>
    <w:p w:rsidR="009C1C5A" w:rsidRPr="00896D4F" w:rsidRDefault="009C1C5A">
      <w:pPr>
        <w:pStyle w:val="Citat"/>
      </w:pPr>
      <w:r w:rsidRPr="00896D4F">
        <w:t>Inför vårdnadsutredningen och förordnandet av kontaktperson lade soc</w:t>
      </w:r>
      <w:r w:rsidRPr="00896D4F">
        <w:t>i</w:t>
      </w:r>
      <w:r w:rsidRPr="00896D4F">
        <w:t>al</w:t>
      </w:r>
      <w:r w:rsidRPr="00896D4F">
        <w:softHyphen/>
        <w:t>nämnden ner åtskilligt arbete för att hitta lämplig person. Man stannade för Jan Hultman som vårdnadsutredare eftersom han tidigare utfört uppdrag för nämndens räkning och man var nöjd med hans insats. Fadern motsatte sig emellertid detta och man fortsatte då att leta lämplig person genom att ko</w:t>
      </w:r>
      <w:r w:rsidRPr="00896D4F">
        <w:t>n</w:t>
      </w:r>
      <w:r w:rsidRPr="00896D4F">
        <w:t>takta andra socialnämnder i Skåne. Att någon person anställd i Simrishamns eller Ystads kommuner skulle utföra vårdnadsutredningen var uteslutet efte</w:t>
      </w:r>
      <w:r w:rsidRPr="00896D4F">
        <w:t>r</w:t>
      </w:r>
      <w:r w:rsidRPr="00896D4F">
        <w:t>som A.H. är anställd i socialförvalt</w:t>
      </w:r>
      <w:r w:rsidRPr="00896D4F">
        <w:softHyphen/>
        <w:t xml:space="preserve">ningen i Simrishamn och </w:t>
      </w:r>
      <w:r w:rsidRPr="00896D4F">
        <w:t>T.F. är anställd i socialförvaltningen i Ystad. Social</w:t>
      </w:r>
      <w:r w:rsidRPr="00896D4F">
        <w:softHyphen/>
        <w:t>nämnden i Kristianstad åtog sig så sm</w:t>
      </w:r>
      <w:r w:rsidRPr="00896D4F">
        <w:t>å</w:t>
      </w:r>
      <w:r w:rsidRPr="00896D4F">
        <w:t>ningom att utföra vårdnadsu</w:t>
      </w:r>
      <w:r w:rsidRPr="00896D4F">
        <w:t>t</w:t>
      </w:r>
      <w:r w:rsidRPr="00896D4F">
        <w:t>redningen.</w:t>
      </w:r>
    </w:p>
    <w:p w:rsidR="009C1C5A" w:rsidRPr="00896D4F" w:rsidRDefault="009C1C5A">
      <w:pPr>
        <w:pStyle w:val="Citatindrag"/>
      </w:pPr>
      <w:r w:rsidRPr="00896D4F">
        <w:t>Problemet att hitta lämplig person för kontaktmannauppdraget blev svårare att lösa. De personer som kommunen hade tillgängliga hade inte utrymme även för detta uppdrag. Så småningom fick socialnämnden kontakt med A.B. som var fristående konsult. A.B. bedömdes av kommunen som lämplig för uppdraget och hon godkändes av både T.F. och A.H. Avtal och följebrev sändes till A.B.</w:t>
      </w:r>
    </w:p>
    <w:p w:rsidR="009C1C5A" w:rsidRPr="00896D4F" w:rsidRDefault="009C1C5A">
      <w:pPr>
        <w:pStyle w:val="Citatindrag"/>
      </w:pPr>
      <w:r w:rsidRPr="00896D4F">
        <w:t>A.B. hade uppdraget i ca två månader. Under den tiden skulle umgänge ha skett fem gånger, med början den 18 juli 1998, vilket sammantaget skulle ha betingat en tidsåtgång av högst 20 timmar sammanlagt. Kontaktpersonen hade inte möjlighet att ställa upp den 18 juli varför hennes med</w:t>
      </w:r>
      <w:r w:rsidRPr="00896D4F">
        <w:softHyphen/>
        <w:t>verkan inte kom till stånd förrän i slutet av juli. Enligt A.B:s egna uppgifter i brev daterat den 1 augusti 1998 blev tidsåtgången 16 timmar/månad. Under juli-</w:t>
      </w:r>
      <w:r w:rsidRPr="00896D4F">
        <w:softHyphen/>
        <w:t>augusti har hon enligt egen upp</w:t>
      </w:r>
      <w:r w:rsidRPr="00896D4F">
        <w:softHyphen/>
        <w:t>gift i slutrapport den 15 februari 1999 arbetat drygt 45 timmar med uppdraget.</w:t>
      </w:r>
    </w:p>
    <w:p w:rsidR="009C1C5A" w:rsidRPr="00896D4F" w:rsidRDefault="009C1C5A">
      <w:pPr>
        <w:pStyle w:val="Citatindrag"/>
      </w:pPr>
      <w:r w:rsidRPr="00896D4F">
        <w:t>Som framgår av journalanteckningar och socialnämndens yttrande till Läns</w:t>
      </w:r>
      <w:r w:rsidRPr="00896D4F">
        <w:softHyphen/>
        <w:t>styrelsen den 2 november 1998 sammanträffade Inger Bosson den 2 september 1998 med A.B. för att följa upp uppdraget. Inger Bosson tydli</w:t>
      </w:r>
      <w:r w:rsidRPr="00896D4F">
        <w:t>g</w:t>
      </w:r>
      <w:r w:rsidRPr="00896D4F">
        <w:t>gjorde då upp</w:t>
      </w:r>
      <w:r w:rsidRPr="00896D4F">
        <w:softHyphen/>
        <w:t>dragets innehåll, dvs. att kontaktpersonen endast skulle vara närvarande – inte medla, utreda eller behandla. Den tidsåtgång som var b</w:t>
      </w:r>
      <w:r w:rsidRPr="00896D4F">
        <w:t>e</w:t>
      </w:r>
      <w:r w:rsidRPr="00896D4F">
        <w:t>räknad för uppdraget gick hon igenom än en gång. Det omfattade en beräknad tidsåtgång av 1 timme/ tillfälle och ett par timmar mellan umgängeshelgerna.</w:t>
      </w:r>
    </w:p>
    <w:p w:rsidR="009C1C5A" w:rsidRPr="00896D4F" w:rsidRDefault="009C1C5A">
      <w:pPr>
        <w:pStyle w:val="Citatindrag"/>
      </w:pPr>
      <w:r w:rsidRPr="00896D4F">
        <w:t>Då A.B. fortsatte att utöva sitt uppdrag på ett sätt som såväl innehållsmä</w:t>
      </w:r>
      <w:r w:rsidRPr="00896D4F">
        <w:t>s</w:t>
      </w:r>
      <w:r w:rsidRPr="00896D4F">
        <w:t>sigt som tidsmässigt stred mot socialnämndens uppdrag entledigades hon den 17 september 1998. Någon skyldighet enligt 17 § förvaltningslagen (FL) att ytterligare kom</w:t>
      </w:r>
      <w:r w:rsidRPr="00896D4F">
        <w:softHyphen/>
        <w:t>municera A.B. eller att bereda henne tillfälle att muntligen framföra sina åsikter i ärendet förelåg inte, eftersom det inte rörde sig om myndighetsutövning.</w:t>
      </w:r>
    </w:p>
    <w:p w:rsidR="009C1C5A" w:rsidRPr="00896D4F" w:rsidRDefault="009C1C5A">
      <w:pPr>
        <w:pStyle w:val="Citatindrag"/>
      </w:pPr>
      <w:r w:rsidRPr="00896D4F">
        <w:t>Utöver vad socialnämnden anfört i brev till Länsstyrelsen den 2 juni 1999,</w:t>
      </w:r>
      <w:r w:rsidRPr="00896D4F">
        <w:rPr>
          <w:i/>
        </w:rPr>
        <w:t xml:space="preserve"> </w:t>
      </w:r>
      <w:r w:rsidRPr="00896D4F">
        <w:t>vill nämnden anföra följande.</w:t>
      </w:r>
    </w:p>
    <w:p w:rsidR="009C1C5A" w:rsidRPr="00896D4F" w:rsidRDefault="009C1C5A">
      <w:pPr>
        <w:pStyle w:val="Citatindrag"/>
      </w:pPr>
      <w:r w:rsidRPr="00896D4F">
        <w:t>Att ha en kontaktperson är som regel en frivillig åtgärd från parternas sida. Om en av de berörda inte önskar ha kvar en kontaktperson, kan en sådan inte påtvingas dem. I detta fall har tingsrätten den 20 maj 1998 förordnat att av socialnämnden i Simrishamns kommun utsedd och av parterna T.F. och A.H. godkänd kontaktperson skulle vara närvarande vid hämtning och av</w:t>
      </w:r>
      <w:r w:rsidRPr="00896D4F">
        <w:softHyphen/>
        <w:t>lämnande av H. vid umgänges</w:t>
      </w:r>
      <w:r w:rsidRPr="00896D4F">
        <w:softHyphen/>
        <w:t>tillfällena med T.F.</w:t>
      </w:r>
    </w:p>
    <w:p w:rsidR="009C1C5A" w:rsidRPr="00896D4F" w:rsidRDefault="009C1C5A">
      <w:pPr>
        <w:pStyle w:val="Citatindrag"/>
      </w:pPr>
      <w:r w:rsidRPr="00896D4F">
        <w:t>Förutsättningen för förordnande av kontaktperson var alltså att den skulle utses av socialnämnden i Simrishamn, och att båda parter skulle godkänna den.</w:t>
      </w:r>
    </w:p>
    <w:p w:rsidR="009C1C5A" w:rsidRPr="00896D4F" w:rsidRDefault="009C1C5A">
      <w:pPr>
        <w:pStyle w:val="Citatindrag"/>
      </w:pPr>
      <w:r w:rsidRPr="00896D4F">
        <w:t>Av A.B:s redogörelse framgår att det hade uppstått en konflikt mellan henne och modern, vilket innebär att modern inte längre godkände kontak</w:t>
      </w:r>
      <w:r w:rsidRPr="00896D4F">
        <w:t>t</w:t>
      </w:r>
      <w:r w:rsidRPr="00896D4F">
        <w:t>per</w:t>
      </w:r>
      <w:r w:rsidRPr="00896D4F">
        <w:softHyphen/>
        <w:t>sonen.</w:t>
      </w:r>
    </w:p>
    <w:p w:rsidR="009C1C5A" w:rsidRPr="00896D4F" w:rsidRDefault="009C1C5A">
      <w:pPr>
        <w:pStyle w:val="Citatindrag"/>
      </w:pPr>
      <w:r w:rsidRPr="00896D4F">
        <w:t>Nämndens uppdrag till A.B. var begränsat då vårdnadsutredningen skulle ske och förhållandet mellan föräldrarna var mycket infekterat. Med anledning av detta betonades det särskilt att A.B:s uppdrag inte var att medla mellan föräldrarna.</w:t>
      </w:r>
    </w:p>
    <w:p w:rsidR="009C1C5A" w:rsidRPr="00896D4F" w:rsidRDefault="009C1C5A">
      <w:pPr>
        <w:pStyle w:val="Rubrik5"/>
        <w:spacing w:before="250"/>
        <w:rPr>
          <w:i/>
        </w:rPr>
      </w:pPr>
      <w:r w:rsidRPr="00896D4F">
        <w:rPr>
          <w:i/>
        </w:rPr>
        <w:t xml:space="preserve">Jävsförhållande </w:t>
      </w:r>
    </w:p>
    <w:p w:rsidR="009C1C5A" w:rsidRPr="00896D4F" w:rsidRDefault="009C1C5A">
      <w:pPr>
        <w:pStyle w:val="Citat"/>
      </w:pPr>
      <w:r w:rsidRPr="00896D4F">
        <w:t>M.J. har i sin anmälan hänvisat till vad han uppgett i skrivelse till länsstyre</w:t>
      </w:r>
      <w:r w:rsidRPr="00896D4F">
        <w:t>l</w:t>
      </w:r>
      <w:r w:rsidRPr="00896D4F">
        <w:t>sen. I denna sägs att A.B. uppgett att Inger Bosson till henne uppgett att Inger Bosson och A.H. umgås privat.</w:t>
      </w:r>
    </w:p>
    <w:p w:rsidR="009C1C5A" w:rsidRPr="00896D4F" w:rsidRDefault="009C1C5A">
      <w:pPr>
        <w:pStyle w:val="Citatindrag"/>
      </w:pPr>
      <w:r w:rsidRPr="00896D4F">
        <w:t>Inger Bosson är avdelningschef för bl.a. den enhet där A.H. arbetar och har där</w:t>
      </w:r>
      <w:r w:rsidRPr="00896D4F">
        <w:softHyphen/>
        <w:t>igenom en arbets</w:t>
      </w:r>
      <w:r w:rsidRPr="00896D4F">
        <w:softHyphen/>
        <w:t xml:space="preserve">rättslig funktion. Enligt Inger Bossons egna uppgifter föreligger inte ett privat vänskapsförhållande mellan henne och A.H. Den privata kontakt de haft är att A.H. köpt två kattungar av Inger Bosson. </w:t>
      </w:r>
    </w:p>
    <w:p w:rsidR="009C1C5A" w:rsidRPr="00896D4F" w:rsidRDefault="009C1C5A">
      <w:pPr>
        <w:pStyle w:val="Citatindrag"/>
      </w:pPr>
      <w:r w:rsidRPr="00896D4F">
        <w:t>När det gällt att utse resp. entlediga kontaktpersonen bedömer socialnäm</w:t>
      </w:r>
      <w:r w:rsidRPr="00896D4F">
        <w:t>n</w:t>
      </w:r>
      <w:r w:rsidRPr="00896D4F">
        <w:t>den att Inger Bosson utan att anses som jävig kunde fullgöra dessa uppgifter i enlighet med nämndens delegations</w:t>
      </w:r>
      <w:r w:rsidRPr="00896D4F">
        <w:softHyphen/>
        <w:t>ordning. Att föra upp ärenden till näm</w:t>
      </w:r>
      <w:r w:rsidRPr="00896D4F">
        <w:t>n</w:t>
      </w:r>
      <w:r w:rsidRPr="00896D4F">
        <w:t>den, som sam</w:t>
      </w:r>
      <w:r w:rsidRPr="00896D4F">
        <w:softHyphen/>
        <w:t>manträder en gång i månaden, är inte ett realistiskt alternativ när det gäller ärenden av det här slaget. I ärendet har Inger Bosson dessutom fortlöpande sam</w:t>
      </w:r>
      <w:r w:rsidRPr="00896D4F">
        <w:softHyphen/>
        <w:t>rått med socialchefen.</w:t>
      </w:r>
    </w:p>
    <w:p w:rsidR="009C1C5A" w:rsidRPr="00896D4F" w:rsidRDefault="009C1C5A">
      <w:pPr>
        <w:pStyle w:val="Citatindrag"/>
      </w:pPr>
      <w:r w:rsidRPr="00896D4F">
        <w:t>M.J. har hävdat att även socialchefen Seth Pettersson är jävig, eftersom modern i bevisuppgift den 6 september 1999 begärt att han skall höras som vittne för att sty</w:t>
      </w:r>
      <w:r w:rsidRPr="00896D4F">
        <w:t>rka hur A.H. fungerar i sin yrkesroll. Enligt socialnämndens uppfattning konstituerar inte socialchefens kunskaper om sina anställda ett jävsförhållande.</w:t>
      </w:r>
    </w:p>
    <w:p w:rsidR="009C1C5A" w:rsidRPr="00896D4F" w:rsidRDefault="009C1C5A">
      <w:pPr>
        <w:pStyle w:val="Citatindrag"/>
      </w:pPr>
      <w:r w:rsidRPr="00896D4F">
        <w:t>Nämnden delar faderns uppfattning att det är olyckligt att kontaktpersonen inte kunde vara kvar. Nattumgänget med dottern hade upphört sedan slutet av augusti, dvs. innan kontaktpersonen entledigades och har alltså inte ett direkt samband med hennes verksamhet.</w:t>
      </w:r>
    </w:p>
    <w:p w:rsidR="009C1C5A" w:rsidRPr="00896D4F" w:rsidRDefault="009C1C5A">
      <w:pPr>
        <w:pStyle w:val="Citatindrag"/>
      </w:pPr>
      <w:r w:rsidRPr="00896D4F">
        <w:t>Den 28 september 1998 inkom ett krav från faderns ombud att kontaktpe</w:t>
      </w:r>
      <w:r w:rsidRPr="00896D4F">
        <w:t>r</w:t>
      </w:r>
      <w:r w:rsidRPr="00896D4F">
        <w:t>sonen omgående skulle återinsättas. Samtidigt begärde han hos Läns</w:t>
      </w:r>
      <w:r w:rsidRPr="00896D4F">
        <w:softHyphen/>
        <w:t>styrelsen att denna granskade förhållandet samt verkade för att A.B. blev återinsatt som kontaktperson i ärendet.</w:t>
      </w:r>
    </w:p>
    <w:p w:rsidR="009C1C5A" w:rsidRPr="00896D4F" w:rsidRDefault="009C1C5A">
      <w:pPr>
        <w:pStyle w:val="Citatindrag"/>
      </w:pPr>
      <w:r w:rsidRPr="00896D4F">
        <w:t>I brev daterat den 13 oktober 1998 informerades fadern via ombudet om att kontaktpersonen entledigats då hon inte fullgjorde sitt uppdrag enligt i</w:t>
      </w:r>
      <w:r w:rsidRPr="00896D4F">
        <w:t>n</w:t>
      </w:r>
      <w:r w:rsidRPr="00896D4F">
        <w:t xml:space="preserve">gånget avtal, att hon inte skulle återinsättas som kontaktperson och att någon kommuniceringsskyldighet med parterna inte förelåg. </w:t>
      </w:r>
    </w:p>
    <w:p w:rsidR="009C1C5A" w:rsidRPr="00896D4F" w:rsidRDefault="009C1C5A">
      <w:pPr>
        <w:pStyle w:val="Citatindrag"/>
      </w:pPr>
      <w:r w:rsidRPr="00896D4F">
        <w:t xml:space="preserve">Socialnämnden avgav yttrande till Länsstyrelsen den 2 november 1998. </w:t>
      </w:r>
    </w:p>
    <w:p w:rsidR="009C1C5A" w:rsidRPr="00896D4F" w:rsidRDefault="009C1C5A">
      <w:pPr>
        <w:pStyle w:val="Citatindrag"/>
      </w:pPr>
      <w:r w:rsidRPr="00896D4F">
        <w:t>Den 9 november 1998 inkom en förfrågan från moderns ombud om ny kontakt</w:t>
      </w:r>
      <w:r w:rsidRPr="00896D4F">
        <w:softHyphen/>
        <w:t>person skulle utses. Den 12 november 1998 meddelades ombudet i brev att ny kontaktperson skulle komma att föreslås parterna när någon läm</w:t>
      </w:r>
      <w:r w:rsidRPr="00896D4F">
        <w:t>p</w:t>
      </w:r>
      <w:r w:rsidRPr="00896D4F">
        <w:t>lig person kunde åta sig uppdraget.</w:t>
      </w:r>
    </w:p>
    <w:p w:rsidR="009C1C5A" w:rsidRPr="00896D4F" w:rsidRDefault="009C1C5A">
      <w:pPr>
        <w:pStyle w:val="Citatindrag"/>
      </w:pPr>
      <w:r w:rsidRPr="00896D4F">
        <w:t>Ombudet informerades om, att de personer som förvaltningen normalt a</w:t>
      </w:r>
      <w:r w:rsidRPr="00896D4F">
        <w:t>n</w:t>
      </w:r>
      <w:r w:rsidRPr="00896D4F">
        <w:t>litar för den här typen av uppdrag känner A.H., vilket inte var tillfredsställa</w:t>
      </w:r>
      <w:r w:rsidRPr="00896D4F">
        <w:t>n</w:t>
      </w:r>
      <w:r w:rsidRPr="00896D4F">
        <w:t>de och lovades information så snart förvaltningen hade något fö</w:t>
      </w:r>
      <w:r w:rsidRPr="00896D4F">
        <w:t>r</w:t>
      </w:r>
      <w:r w:rsidRPr="00896D4F">
        <w:t>slag.</w:t>
      </w:r>
    </w:p>
    <w:p w:rsidR="009C1C5A" w:rsidRPr="00896D4F" w:rsidRDefault="009C1C5A">
      <w:pPr>
        <w:pStyle w:val="Rubrik4"/>
      </w:pPr>
      <w:r w:rsidRPr="00896D4F">
        <w:t>Ärendets gång efter entledigandet av kontaktpersonen och länsstyrelsens beslut</w:t>
      </w:r>
    </w:p>
    <w:p w:rsidR="009C1C5A" w:rsidRPr="00896D4F" w:rsidRDefault="009C1C5A">
      <w:pPr>
        <w:pStyle w:val="Citat"/>
      </w:pPr>
      <w:r w:rsidRPr="00896D4F">
        <w:t>Sedan kontaktpersonen entledigades den 28 september 1998 har nämnden försökt att hitta en för uppdraget lämplig person som också kan accepteras av T.F. och A.H. Detta har tyvärr inte lyckats. Att som fadern föreslagit återi</w:t>
      </w:r>
      <w:r w:rsidRPr="00896D4F">
        <w:t>n</w:t>
      </w:r>
      <w:r w:rsidRPr="00896D4F">
        <w:t>sätta den tidigare entledigade kontaktpersonen är som framgår av vad som tidigare anförts varken lämpligt eller möjligt. Sv</w:t>
      </w:r>
      <w:r w:rsidRPr="00896D4F">
        <w:t>å</w:t>
      </w:r>
      <w:r w:rsidRPr="00896D4F">
        <w:t>righeterna i ärendet är åt</w:t>
      </w:r>
      <w:r w:rsidRPr="00896D4F">
        <w:softHyphen/>
        <w:t>skilliga. Konflikten mellan parterna är flerårig och djup och de har genom sina respektive yrken och genom att de bott länge i trakten ett stort kontakt</w:t>
      </w:r>
      <w:r w:rsidRPr="00896D4F">
        <w:softHyphen/>
        <w:t>nät och därigenom relationer till åtskilliga av de personer som skulle kunna komma i fråga. Till detta kommer att uppdraget inte är särskilt attraktivt dels genom sitt innehåll och dels genom att det innebär</w:t>
      </w:r>
      <w:r w:rsidRPr="00896D4F">
        <w:t xml:space="preserve"> att kontaktpersonen blir uppbu</w:t>
      </w:r>
      <w:r w:rsidRPr="00896D4F">
        <w:t>n</w:t>
      </w:r>
      <w:r w:rsidRPr="00896D4F">
        <w:t>den varannan helg.</w:t>
      </w:r>
    </w:p>
    <w:p w:rsidR="009C1C5A" w:rsidRPr="00896D4F" w:rsidRDefault="009C1C5A">
      <w:pPr>
        <w:pStyle w:val="Citatindrag"/>
      </w:pPr>
      <w:r w:rsidRPr="00896D4F">
        <w:t>Det förtjänar dock att noteras att umgänget mellan T.F. och barnet fungerar på samma sätt som det gjorde innan A.B. entledigades dvs. umgänge vara</w:t>
      </w:r>
      <w:r w:rsidRPr="00896D4F">
        <w:t>n</w:t>
      </w:r>
      <w:r w:rsidRPr="00896D4F">
        <w:t>nan helg men inte övernattning.</w:t>
      </w:r>
    </w:p>
    <w:p w:rsidR="009C1C5A" w:rsidRPr="00896D4F" w:rsidRDefault="009C1C5A">
      <w:pPr>
        <w:pStyle w:val="Citatindrag"/>
      </w:pPr>
      <w:r w:rsidRPr="00896D4F">
        <w:t>Familjerätten i Kristianstads kommun har den 15 april 1999 avslutat vår</w:t>
      </w:r>
      <w:r w:rsidRPr="00896D4F">
        <w:t>d</w:t>
      </w:r>
      <w:r w:rsidRPr="00896D4F">
        <w:t>nads</w:t>
      </w:r>
      <w:r w:rsidRPr="00896D4F">
        <w:softHyphen/>
        <w:t>utred</w:t>
      </w:r>
      <w:r w:rsidRPr="00896D4F">
        <w:softHyphen/>
        <w:t>ningen. Huvudförhandling är utsatt till den 27 januari år 2000.</w:t>
      </w:r>
    </w:p>
    <w:p w:rsidR="009C1C5A" w:rsidRPr="00896D4F" w:rsidRDefault="009C1C5A">
      <w:r w:rsidRPr="00896D4F">
        <w:t xml:space="preserve">M.J. yttrade sig över socialnämndens remissvar. </w:t>
      </w:r>
    </w:p>
    <w:p w:rsidR="009C1C5A" w:rsidRPr="00896D4F" w:rsidRDefault="009C1C5A">
      <w:r w:rsidRPr="00896D4F">
        <w:t>Socialstyrelsen anmodades inkomma med yttrande. I remissen angavs bl.a. att i ärendet aktualiseras frågan om hur man från förvaltningsrättsliga utgång</w:t>
      </w:r>
      <w:r w:rsidRPr="00896D4F">
        <w:t>s</w:t>
      </w:r>
      <w:r w:rsidRPr="00896D4F">
        <w:t>punkter skall se på socialnämndens handläggning när en allmän domstol i ett mål rörande umgängesrätt har förordnat att umgänget skall ske i närvaro av kontaktperson som utses av social</w:t>
      </w:r>
      <w:r w:rsidRPr="00896D4F">
        <w:softHyphen/>
        <w:t>nämnden. JO hemställde om Socialstyre</w:t>
      </w:r>
      <w:r w:rsidRPr="00896D4F">
        <w:t>l</w:t>
      </w:r>
      <w:r w:rsidRPr="00896D4F">
        <w:t>sens yttrande i frågan om socialnämndens befattning med saken utgör ett ärende hos social</w:t>
      </w:r>
      <w:r w:rsidRPr="00896D4F">
        <w:softHyphen/>
        <w:t xml:space="preserve">nämnden och, om så är fallet, vem eller vilka som enligt styrelsens uppfattning är part i det ärendet. </w:t>
      </w:r>
    </w:p>
    <w:p w:rsidR="009C1C5A" w:rsidRPr="00896D4F" w:rsidRDefault="009C1C5A">
      <w:r w:rsidRPr="00896D4F">
        <w:t>Socialstyrelsen, genom tf överdirektören Lena Mc Elwee, anförde i ett r</w:t>
      </w:r>
      <w:r w:rsidRPr="00896D4F">
        <w:t>e</w:t>
      </w:r>
      <w:r w:rsidRPr="00896D4F">
        <w:t xml:space="preserve">missvar huvudsakligen följande.    </w:t>
      </w:r>
    </w:p>
    <w:p w:rsidR="009C1C5A" w:rsidRPr="00896D4F" w:rsidRDefault="009C1C5A">
      <w:pPr>
        <w:pStyle w:val="Rubrik4"/>
      </w:pPr>
      <w:r w:rsidRPr="00896D4F">
        <w:t>Domstols förordnande av kontaktperson</w:t>
      </w:r>
    </w:p>
    <w:p w:rsidR="009C1C5A" w:rsidRPr="00896D4F" w:rsidRDefault="009C1C5A">
      <w:pPr>
        <w:pStyle w:val="Citat"/>
      </w:pPr>
      <w:r w:rsidRPr="00896D4F">
        <w:t>När en domstol beslutar om umgänge kan domstolen föreskriva att umgänget skall ske i närvaro av t.ex. en av socialnämnden utsedd person. Domstolen kan dock inte ålägga kommunen att utse en sådan person (se NJA 1987 s. 15). Om umgänge inte kan komma till stånd i enlighet med dom</w:t>
      </w:r>
      <w:r w:rsidRPr="00896D4F">
        <w:softHyphen/>
        <w:t>stolens förordna</w:t>
      </w:r>
      <w:r w:rsidRPr="00896D4F">
        <w:t>n</w:t>
      </w:r>
      <w:r w:rsidRPr="00896D4F">
        <w:t xml:space="preserve">de beroende på att nämnden inte utser någon kontaktperson, kan detta få till följd att umgängesfrågan måste omprövas med utgångspunkt i den ändrade förutsättningen att nämndens medverkan inte kan påräknas (prop. 1997/98:7). Såväl Högsta domstolen (NJA 1987 s. 15) som JO (beslut den 30 augusti 1994, dnr 43-1994) har framhållit vikten av att ett förordnande i domstol föregås av en kontakt med socialnämnden.                </w:t>
      </w:r>
    </w:p>
    <w:p w:rsidR="009C1C5A" w:rsidRPr="00896D4F" w:rsidRDefault="009C1C5A">
      <w:pPr>
        <w:pStyle w:val="Citatindrag"/>
      </w:pPr>
      <w:r w:rsidRPr="00896D4F">
        <w:t>Frågan om socialnämnderna bör åläggas en skyldighet att utse en konta</w:t>
      </w:r>
      <w:r w:rsidRPr="00896D4F">
        <w:t>k</w:t>
      </w:r>
      <w:r w:rsidRPr="00896D4F">
        <w:t>t</w:t>
      </w:r>
      <w:r w:rsidRPr="00896D4F">
        <w:t>person vid umgänge har diskuterats i ovan nämnda lagstiftningsarbete. I pr</w:t>
      </w:r>
      <w:r w:rsidRPr="00896D4F">
        <w:t>o</w:t>
      </w:r>
      <w:r w:rsidRPr="00896D4F">
        <w:t>positionen hänvisades till att redan i social</w:t>
      </w:r>
      <w:r w:rsidRPr="00896D4F">
        <w:softHyphen/>
        <w:t>nämndernas övergripande ansvar enligt 3 och 12 §§ socialtjänstlagen (1980:620) ligger en skyldighet att me</w:t>
      </w:r>
      <w:r w:rsidRPr="00896D4F">
        <w:t>d</w:t>
      </w:r>
      <w:r w:rsidRPr="00896D4F">
        <w:t>verka till att ett barns behov av umgänge med sin förälder blir till</w:t>
      </w:r>
      <w:r w:rsidRPr="00896D4F">
        <w:softHyphen/>
        <w:t>godosett. Om en domstol har förordnat att umgänge skall utövas i närvaro av en person som utses av social</w:t>
      </w:r>
      <w:r w:rsidRPr="00896D4F">
        <w:softHyphen/>
        <w:t>nämnden, har nämnden vid behandlingen av frågan om utseende av en sådan person att utgå från att umgänge sk</w:t>
      </w:r>
      <w:r w:rsidRPr="00896D4F">
        <w:t>all äga rum i den utsträckning och på det sätt som domstolen beslutat och att detta är i överen</w:t>
      </w:r>
      <w:r w:rsidRPr="00896D4F">
        <w:t>s</w:t>
      </w:r>
      <w:r w:rsidRPr="00896D4F">
        <w:t>stämmelse med barnets bästa. Det ankommer sålunda inte på nämnden att göra en egen bedömning av lämp</w:t>
      </w:r>
      <w:r w:rsidRPr="00896D4F">
        <w:softHyphen/>
        <w:t>ligheten av den beslutade umgängesrätten. (se NJA 1987 s. 15). Både regeringen och riksdagen ansåg att det i praktiken största problemet torde vara svårigheten för socialnämnderna att finna pers</w:t>
      </w:r>
      <w:r w:rsidRPr="00896D4F">
        <w:t>o</w:t>
      </w:r>
      <w:r w:rsidRPr="00896D4F">
        <w:t>ner som är villiga att ta på sig ansvaret att vara kontaktperson. Denna fråga ansågs knappast kunna lösas lagstiftningsv</w:t>
      </w:r>
      <w:r w:rsidRPr="00896D4F">
        <w:t xml:space="preserve">ägen (1997/98:LU12).                                                                                                             </w:t>
      </w:r>
    </w:p>
    <w:p w:rsidR="009C1C5A" w:rsidRPr="00896D4F" w:rsidRDefault="009C1C5A">
      <w:pPr>
        <w:pStyle w:val="Rubrik5"/>
        <w:spacing w:before="250"/>
        <w:rPr>
          <w:i/>
        </w:rPr>
      </w:pPr>
      <w:r w:rsidRPr="00896D4F">
        <w:rPr>
          <w:i/>
        </w:rPr>
        <w:t>Ärendebegreppet</w:t>
      </w:r>
    </w:p>
    <w:p w:rsidR="009C1C5A" w:rsidRPr="00896D4F" w:rsidRDefault="009C1C5A">
      <w:pPr>
        <w:pStyle w:val="Citat"/>
      </w:pPr>
      <w:r w:rsidRPr="00896D4F">
        <w:t>Vilken typ av verksamhet som utseende av kontaktperson hos socialnämnden kan karaktäriseras som får betydelse för vilka bestämmelser i förvaltningsl</w:t>
      </w:r>
      <w:r w:rsidRPr="00896D4F">
        <w:t>a</w:t>
      </w:r>
      <w:r w:rsidRPr="00896D4F">
        <w:t>gen som blir tillämpliga. Med hand</w:t>
      </w:r>
      <w:r w:rsidRPr="00896D4F">
        <w:softHyphen/>
        <w:t>läggning av ärende avses hela den proc</w:t>
      </w:r>
      <w:r w:rsidRPr="00896D4F">
        <w:t>e</w:t>
      </w:r>
      <w:r w:rsidRPr="00896D4F">
        <w:t>dur som börjar med ett ärendes anhängiggörande och slutar med dess avg</w:t>
      </w:r>
      <w:r w:rsidRPr="00896D4F">
        <w:t>ö</w:t>
      </w:r>
      <w:r w:rsidRPr="00896D4F">
        <w:t>rande. Detta uttrycks också som myndigheternas beslutande verksamhet. Någon närmare definition av begreppet ärende ges emellertid varken i lagen eller dess förarbeten. Det har an</w:t>
      </w:r>
      <w:r w:rsidRPr="00896D4F">
        <w:softHyphen/>
        <w:t>setts som självklart att ett ärende kan a</w:t>
      </w:r>
      <w:r w:rsidRPr="00896D4F">
        <w:t>n</w:t>
      </w:r>
      <w:r w:rsidRPr="00896D4F">
        <w:t>hängiggöras hos en myndighet antingen genom en framställning hos myndi</w:t>
      </w:r>
      <w:r w:rsidRPr="00896D4F">
        <w:t>g</w:t>
      </w:r>
      <w:r w:rsidRPr="00896D4F">
        <w:t>heten eller genom att denna själv tar initiativet till en åtgärd. Från äre</w:t>
      </w:r>
      <w:r w:rsidRPr="00896D4F">
        <w:t>nd</w:t>
      </w:r>
      <w:r w:rsidRPr="00896D4F">
        <w:t>e</w:t>
      </w:r>
      <w:r w:rsidRPr="00896D4F">
        <w:t>handläggning brukar skiljas sådan verksamhet som betecknas som faktiskt handlande. Skillnaden anses principiellt ligga däri att handläggningen av ärenden utmynnar i ett beslut av något slag. Kännetecknande för ett beslut sägs vara att det innefattar ett uttalande varigenom myndigheten klargör hur den anser att en viss fråga bör lösas. Det exempel som ofta nämns som fa</w:t>
      </w:r>
      <w:r w:rsidRPr="00896D4F">
        <w:t>k</w:t>
      </w:r>
      <w:r w:rsidRPr="00896D4F">
        <w:t>tiskt handlande är en konduktörs kontrollerande verksamhet på ett tåg medan hans ingripande mot en resenär som saknar färdbiljett klassifi</w:t>
      </w:r>
      <w:r w:rsidRPr="00896D4F">
        <w:t>ceras som hand</w:t>
      </w:r>
      <w:r w:rsidRPr="00896D4F">
        <w:softHyphen/>
        <w:t>läggning av ett ärende. Sådana självklara exempel ger emellertid föga vägle</w:t>
      </w:r>
      <w:r w:rsidRPr="00896D4F">
        <w:t>d</w:t>
      </w:r>
      <w:r w:rsidRPr="00896D4F">
        <w:t>ning för här aktuella fall. Någon skarp skiljelinje mellan handläggning av ärenden och s.k. faktiskt handlande torde enligt förarbetena inte heller kunna dras upp (prop. 1971:30).</w:t>
      </w:r>
    </w:p>
    <w:p w:rsidR="009C1C5A" w:rsidRPr="00896D4F" w:rsidRDefault="009C1C5A">
      <w:pPr>
        <w:pStyle w:val="Citatindrag"/>
      </w:pPr>
      <w:r w:rsidRPr="00896D4F">
        <w:t>Att utse en kontaktperson efter beslut i domstol kan knappast betecknas som verk</w:t>
      </w:r>
      <w:r w:rsidRPr="00896D4F">
        <w:softHyphen/>
        <w:t>ställighet av beslut – och i så fall faktiskt handlande – efte</w:t>
      </w:r>
      <w:r w:rsidRPr="00896D4F">
        <w:t>r</w:t>
      </w:r>
      <w:r w:rsidRPr="00896D4F">
        <w:t>som dom</w:t>
      </w:r>
      <w:r w:rsidRPr="00896D4F">
        <w:softHyphen/>
        <w:t>stolen inte kan ålägga nämnden att göra detta. Domstolens förordnande om att umgänge skall ske i närvaro av en av socialnämnden förordnad kontaktperson betraktas istället som en begäran om nämndens medverkan (se tidigare näm</w:t>
      </w:r>
      <w:r w:rsidRPr="00896D4F">
        <w:t>n</w:t>
      </w:r>
      <w:r w:rsidRPr="00896D4F">
        <w:t>da JO-beslut från 1994). Förfarandet hos nämnden mynnar ut i ytterligare ett ställnings</w:t>
      </w:r>
      <w:r w:rsidRPr="00896D4F">
        <w:softHyphen/>
        <w:t>tagande, näm</w:t>
      </w:r>
      <w:r w:rsidRPr="00896D4F">
        <w:softHyphen/>
        <w:t>ligen vem som skall ha denna funktion. Att utöva funktionen att vara kontakt</w:t>
      </w:r>
      <w:r w:rsidRPr="00896D4F">
        <w:softHyphen/>
        <w:t xml:space="preserve">person torde däremot kunna betecknas </w:t>
      </w:r>
      <w:r w:rsidRPr="00896D4F">
        <w:t>som fa</w:t>
      </w:r>
      <w:r w:rsidRPr="00896D4F">
        <w:t>k</w:t>
      </w:r>
      <w:r w:rsidRPr="00896D4F">
        <w:t xml:space="preserve">tiskt handlande. </w:t>
      </w:r>
    </w:p>
    <w:p w:rsidR="009C1C5A" w:rsidRPr="00896D4F" w:rsidRDefault="009C1C5A">
      <w:pPr>
        <w:pStyle w:val="Citatindrag"/>
      </w:pPr>
      <w:r w:rsidRPr="00896D4F">
        <w:t>Mot bakgrund av vad som här sagts talar övervägande skäl för att socia</w:t>
      </w:r>
      <w:r w:rsidRPr="00896D4F">
        <w:t>l</w:t>
      </w:r>
      <w:r w:rsidRPr="00896D4F">
        <w:t>nämndens befattning med saken, att utse en kontaktperson, i förval</w:t>
      </w:r>
      <w:r w:rsidRPr="00896D4F">
        <w:t>t</w:t>
      </w:r>
      <w:r w:rsidRPr="00896D4F">
        <w:t>nings</w:t>
      </w:r>
      <w:r w:rsidRPr="00896D4F">
        <w:softHyphen/>
        <w:t>rättsligt hänseende bör betraktas som handläggning av ett ärende.</w:t>
      </w:r>
    </w:p>
    <w:p w:rsidR="009C1C5A" w:rsidRPr="00896D4F" w:rsidRDefault="009C1C5A">
      <w:pPr>
        <w:pStyle w:val="Citatindrag"/>
      </w:pPr>
      <w:r w:rsidRPr="00896D4F">
        <w:t>Om socialnämndens befattning med saken kan sägas utgöra ett ärende uppställer sig omedelbart frågan om förfarandet i förvaltningslagens mening kan betecknas som myndighetsutövning mot enskild. Utmärkande för all myndighetsutövning är att det rör sig om beslut eller andra åtgärder som y</w:t>
      </w:r>
      <w:r w:rsidRPr="00896D4F">
        <w:t>t</w:t>
      </w:r>
      <w:r w:rsidRPr="00896D4F">
        <w:t>terst är uttryck för samhällets makt</w:t>
      </w:r>
      <w:r w:rsidRPr="00896D4F">
        <w:softHyphen/>
        <w:t>befogenheter i förhållande till medborga</w:t>
      </w:r>
      <w:r w:rsidRPr="00896D4F">
        <w:t>r</w:t>
      </w:r>
      <w:r w:rsidRPr="00896D4F">
        <w:t>na. Men det behöver inte vara fråga om åtgärder som medför förpliktelse för enskilda. Myndighetsutövning kan också förekomma i form av gynnande beslut, t.ex. tillstånd att driva en viss verksamhet, befrielse från en lagstadgad förpliktelse och beviljande av en social förmån. Karak</w:t>
      </w:r>
      <w:r w:rsidRPr="00896D4F">
        <w:softHyphen/>
        <w:t>täristiskt är emellertid att den enskilde befinner sig i ett slags beroendeförhållande. Rör det sig om ett gynnande beslut, kommer beroendeförhållandet</w:t>
      </w:r>
      <w:r w:rsidRPr="00896D4F">
        <w:t xml:space="preserve"> till uttryck på så sätt att den enskilde måste vända sig till myndig</w:t>
      </w:r>
      <w:r w:rsidRPr="00896D4F">
        <w:softHyphen/>
        <w:t>heten för att få t.ex. en viss förmån och att myndighetens tillämpning av de föreskrifter som gäller på området får av</w:t>
      </w:r>
      <w:r w:rsidRPr="00896D4F">
        <w:softHyphen/>
        <w:t>görande betydelse för honom. Av förarbetena framgår också att begreppet myndig</w:t>
      </w:r>
      <w:r w:rsidRPr="00896D4F">
        <w:softHyphen/>
        <w:t>hetsutövning inte omfattar andra ärenden än sådana där saken avgörs ensidigt genom beslut av myndigheten (prop. 1971:30). Utanför myndighet</w:t>
      </w:r>
      <w:r w:rsidRPr="00896D4F">
        <w:t>s</w:t>
      </w:r>
      <w:r w:rsidRPr="00896D4F">
        <w:t>utövning faller t.ex. myndig</w:t>
      </w:r>
      <w:r w:rsidRPr="00896D4F">
        <w:softHyphen/>
        <w:t xml:space="preserve">hetens ärenden som gäller remisser och yttranden till domstolar. </w:t>
      </w:r>
    </w:p>
    <w:p w:rsidR="009C1C5A" w:rsidRPr="00896D4F" w:rsidRDefault="009C1C5A">
      <w:pPr>
        <w:pStyle w:val="Citatindrag"/>
      </w:pPr>
      <w:r w:rsidRPr="00896D4F">
        <w:t>I här akt</w:t>
      </w:r>
      <w:r w:rsidRPr="00896D4F">
        <w:t>uella ärende har domstolen beslutat att umgänge skall ske i närv</w:t>
      </w:r>
      <w:r w:rsidRPr="00896D4F">
        <w:t>a</w:t>
      </w:r>
      <w:r w:rsidRPr="00896D4F">
        <w:t>ro av en av social</w:t>
      </w:r>
      <w:r w:rsidRPr="00896D4F">
        <w:softHyphen/>
        <w:t>nämnden – efter hörande av föräldrarna – utsedd person. Missnöje med utgången i domen kan bara prövas genom ett överklagande i den allmänna dom</w:t>
      </w:r>
      <w:r w:rsidRPr="00896D4F">
        <w:softHyphen/>
        <w:t>stolen. När frågan väl ligger hos social</w:t>
      </w:r>
      <w:r w:rsidRPr="00896D4F">
        <w:softHyphen/>
        <w:t>nämnden kan inte föräldrarna påverka ställ</w:t>
      </w:r>
      <w:r w:rsidRPr="00896D4F">
        <w:softHyphen/>
        <w:t>ningstagandet i domstolen. Förfarandet i socialnäm</w:t>
      </w:r>
      <w:r w:rsidRPr="00896D4F">
        <w:t>n</w:t>
      </w:r>
      <w:r w:rsidRPr="00896D4F">
        <w:t xml:space="preserve">den är inte särskilt reglerat i socialtjänstlagen eller föräldrabalken. </w:t>
      </w:r>
    </w:p>
    <w:p w:rsidR="009C1C5A" w:rsidRPr="00896D4F" w:rsidRDefault="009C1C5A">
      <w:pPr>
        <w:pStyle w:val="Citatindrag"/>
      </w:pPr>
      <w:r w:rsidRPr="00896D4F">
        <w:t>Vilken typ av ärenden man skall se detta som har, såvitt Socialstyrelsen kän</w:t>
      </w:r>
      <w:r w:rsidRPr="00896D4F">
        <w:t>ner till, aldrig klar</w:t>
      </w:r>
      <w:r w:rsidRPr="00896D4F">
        <w:softHyphen/>
        <w:t>lagts, varken i ovan nämnda lagstiftningsarbete eller i andra samman</w:t>
      </w:r>
      <w:r w:rsidRPr="00896D4F">
        <w:softHyphen/>
        <w:t>hang. Även om det inte med säkerhet kan sägas anser Socia</w:t>
      </w:r>
      <w:r w:rsidRPr="00896D4F">
        <w:t>l</w:t>
      </w:r>
      <w:r w:rsidRPr="00896D4F">
        <w:t>styrelsen att över</w:t>
      </w:r>
      <w:r w:rsidRPr="00896D4F">
        <w:softHyphen/>
        <w:t>vägande skäl talar för att dessa ärenden inte utgör myndi</w:t>
      </w:r>
      <w:r w:rsidRPr="00896D4F">
        <w:t>g</w:t>
      </w:r>
      <w:r w:rsidRPr="00896D4F">
        <w:t>hetsutövning mot enskild. De bör istället ses som ett led i myndighets</w:t>
      </w:r>
      <w:r w:rsidRPr="00896D4F">
        <w:softHyphen/>
        <w:t>utövning hos en annan myndighet, var</w:t>
      </w:r>
      <w:r w:rsidRPr="00896D4F">
        <w:softHyphen/>
        <w:t>vid domstolens beslut får anses utgöra myndighetsutövningsdelen. Förvalt</w:t>
      </w:r>
      <w:r w:rsidRPr="00896D4F">
        <w:softHyphen/>
        <w:t>nings</w:t>
      </w:r>
      <w:r w:rsidRPr="00896D4F">
        <w:softHyphen/>
        <w:t>lagens regler vid myndig</w:t>
      </w:r>
      <w:r w:rsidRPr="00896D4F">
        <w:softHyphen/>
        <w:t>hets</w:t>
      </w:r>
      <w:r w:rsidRPr="00896D4F">
        <w:softHyphen/>
        <w:t>utövning mot enskild blir i så fall inte tillämpliga i nämndernas han</w:t>
      </w:r>
      <w:r w:rsidRPr="00896D4F">
        <w:t>d</w:t>
      </w:r>
      <w:r w:rsidRPr="00896D4F">
        <w:softHyphen/>
        <w:t>läggning. Med detta synsätt skulle ärendena ha mer den karaktär som nämndernas yt</w:t>
      </w:r>
      <w:r w:rsidRPr="00896D4F">
        <w:t>t</w:t>
      </w:r>
      <w:r w:rsidRPr="00896D4F">
        <w:t>randen till domstolar har. När det gäller yttranden till domstolar finns en sp</w:t>
      </w:r>
      <w:r w:rsidRPr="00896D4F">
        <w:t>e</w:t>
      </w:r>
      <w:r w:rsidRPr="00896D4F">
        <w:t>cial</w:t>
      </w:r>
      <w:r w:rsidRPr="00896D4F">
        <w:softHyphen/>
        <w:t>regel i 54 § tredje stycket socia</w:t>
      </w:r>
      <w:r w:rsidRPr="00896D4F">
        <w:t>l</w:t>
      </w:r>
      <w:r w:rsidRPr="00896D4F">
        <w:t>tjänstlagen som inne</w:t>
      </w:r>
      <w:r w:rsidRPr="00896D4F">
        <w:softHyphen/>
        <w:t>bär att förvalt</w:t>
      </w:r>
      <w:r w:rsidRPr="00896D4F">
        <w:softHyphen/>
        <w:t>ningslagens regler är tillämpliga hos nämnden trots att ärendet där inte utgör myndig</w:t>
      </w:r>
      <w:r w:rsidRPr="00896D4F">
        <w:softHyphen/>
        <w:t>hetsutövning mot enskild. Någon motsvarande regel finns inte för här aktuella ärendetyp.</w:t>
      </w:r>
    </w:p>
    <w:p w:rsidR="009C1C5A" w:rsidRPr="00896D4F" w:rsidRDefault="009C1C5A">
      <w:pPr>
        <w:pStyle w:val="Citatindrag"/>
      </w:pPr>
      <w:r w:rsidRPr="00896D4F">
        <w:t>I 12 § socialtjänstlagen stadgas bl.a. om socialnämndernas skyldighet att tillgodose det särskilda</w:t>
      </w:r>
      <w:r w:rsidRPr="00896D4F">
        <w:t xml:space="preserve"> behov av stöd och hjälp som behövs efter en dom om umgänge. Denna bestämmelse har i detta sammanhang inte bara relevans i nämndernas ansvar att efter domstols förordnande utse en kontaktperson. Enligt nämnda stadgande måste det ock</w:t>
      </w:r>
      <w:r w:rsidRPr="00896D4F">
        <w:softHyphen/>
        <w:t>så anses åligga nämnden att – om en kontaktperson entledigas – anstränga sig att försöka ersätta denna med en annan. Det ligger i sakens natur att nämnden för att leva upp till dessa sky</w:t>
      </w:r>
      <w:r w:rsidRPr="00896D4F">
        <w:t>l</w:t>
      </w:r>
      <w:r w:rsidRPr="00896D4F">
        <w:t>digheter också måste informera föräldrarna om en kontakt</w:t>
      </w:r>
      <w:r w:rsidRPr="00896D4F">
        <w:softHyphen/>
        <w:t>person har entled</w:t>
      </w:r>
      <w:r w:rsidRPr="00896D4F">
        <w:t>i</w:t>
      </w:r>
      <w:r w:rsidRPr="00896D4F">
        <w:t>gats från sitt up</w:t>
      </w:r>
      <w:r w:rsidRPr="00896D4F">
        <w:t>pdrag och om andra åtgärder som vidtas av be</w:t>
      </w:r>
      <w:r w:rsidRPr="00896D4F">
        <w:softHyphen/>
        <w:t>tydelse för u</w:t>
      </w:r>
      <w:r w:rsidRPr="00896D4F">
        <w:t>m</w:t>
      </w:r>
      <w:r w:rsidRPr="00896D4F">
        <w:t>gänget.</w:t>
      </w:r>
    </w:p>
    <w:p w:rsidR="009C1C5A" w:rsidRPr="00896D4F" w:rsidRDefault="009C1C5A">
      <w:pPr>
        <w:pStyle w:val="Citatindrag"/>
      </w:pPr>
      <w:r w:rsidRPr="00896D4F">
        <w:t>Den osäkerhet i ställningstagandet om vilken typ av ärende nämndens b</w:t>
      </w:r>
      <w:r w:rsidRPr="00896D4F">
        <w:t>e</w:t>
      </w:r>
      <w:r w:rsidRPr="00896D4F">
        <w:t>fattning med frågan skall anses utgöra, p.g.a. avsaknad av lagregler och kla</w:t>
      </w:r>
      <w:r w:rsidRPr="00896D4F">
        <w:t>r</w:t>
      </w:r>
      <w:r w:rsidRPr="00896D4F">
        <w:t>lägganden i förarbeten, torde också medföra en osäkerhet i hanteringen i nämnderna. Någon egent</w:t>
      </w:r>
      <w:r w:rsidRPr="00896D4F">
        <w:softHyphen/>
        <w:t>lig uppföljning av nämndernas handläggning har emellertid inte gjorts. En slumpmässig rundringning till några social</w:t>
      </w:r>
      <w:r w:rsidRPr="00896D4F">
        <w:softHyphen/>
        <w:t>nämnder som Socialstyrelsen gjort med anledning av denna remiss ger inte en enhetlig bild av förfarandet i nämnderna. Vissa av de tillfrågade nämnderna fattar efter en utredning beslut om att utse kontaktperson som ett bi</w:t>
      </w:r>
      <w:r w:rsidRPr="00896D4F">
        <w:t>stånd enligt 6 g § socialtjänstlagen, ibland också med hänvisning till 10 § samma lag. Det för</w:t>
      </w:r>
      <w:r w:rsidRPr="00896D4F">
        <w:t>e</w:t>
      </w:r>
      <w:r w:rsidRPr="00896D4F">
        <w:t xml:space="preserve">kommer också på vissa håll att man ber föräldrarna ansöka om kontaktperson och påbörjar därefter en utredning. I något fall fattas ett biståndsbeslut med hänvisning till 3 och 12 §§ socialtjänstlagen. </w:t>
      </w:r>
    </w:p>
    <w:p w:rsidR="009C1C5A" w:rsidRPr="00896D4F" w:rsidRDefault="009C1C5A">
      <w:pPr>
        <w:pStyle w:val="Citatindrag"/>
      </w:pPr>
      <w:r w:rsidRPr="00896D4F">
        <w:t>Om nämnden avslutar handläggningen med ett biståndsbeslut måste äre</w:t>
      </w:r>
      <w:r w:rsidRPr="00896D4F">
        <w:t>n</w:t>
      </w:r>
      <w:r w:rsidRPr="00896D4F">
        <w:t>det, enligt Social</w:t>
      </w:r>
      <w:r w:rsidRPr="00896D4F">
        <w:softHyphen/>
        <w:t>styrelsens uppfattning, anses utgöra myndighetsutövning mot enskild. En rad bestämmelser i förvaltningslagen blir då tillämpliga, t.ex. reglerna om kommunicering, partsinsyn och motivering av beslut. De näm</w:t>
      </w:r>
      <w:r w:rsidRPr="00896D4F">
        <w:t>n</w:t>
      </w:r>
      <w:r w:rsidRPr="00896D4F">
        <w:t>der som hand</w:t>
      </w:r>
      <w:r w:rsidRPr="00896D4F">
        <w:softHyphen/>
        <w:t>lägger frågan som ett biståndsärende up</w:t>
      </w:r>
      <w:r w:rsidRPr="00896D4F">
        <w:t>p</w:t>
      </w:r>
      <w:r w:rsidRPr="00896D4F">
        <w:t>ger också att man till</w:t>
      </w:r>
      <w:r w:rsidRPr="00896D4F">
        <w:softHyphen/>
        <w:t>lämpar dessa bestäm</w:t>
      </w:r>
      <w:r w:rsidRPr="00896D4F">
        <w:softHyphen/>
        <w:t xml:space="preserve">melser i förvaltningslagen.  </w:t>
      </w:r>
    </w:p>
    <w:p w:rsidR="009C1C5A" w:rsidRPr="00896D4F" w:rsidRDefault="009C1C5A">
      <w:pPr>
        <w:pStyle w:val="Rubrik5"/>
        <w:spacing w:before="250"/>
        <w:rPr>
          <w:i/>
        </w:rPr>
      </w:pPr>
      <w:r w:rsidRPr="00896D4F">
        <w:rPr>
          <w:i/>
        </w:rPr>
        <w:t>Partsfrågan</w:t>
      </w:r>
    </w:p>
    <w:p w:rsidR="009C1C5A" w:rsidRPr="00896D4F" w:rsidRDefault="009C1C5A">
      <w:pPr>
        <w:pStyle w:val="Citat"/>
      </w:pPr>
      <w:r w:rsidRPr="00896D4F">
        <w:t>I förvaltningslagen betecknas part som ”sökande, klagande eller annan part”. Någon egentlig definition av begreppet finns emellertid inte. Det är otvetydigt att föräldrarna berörs av frågan hos socialnämnden på ett sådant sätt att de måste anses som parter. Parter är de dessutom i det myndig</w:t>
      </w:r>
      <w:r w:rsidRPr="00896D4F">
        <w:softHyphen/>
        <w:t>hets</w:t>
      </w:r>
      <w:r w:rsidRPr="00896D4F">
        <w:softHyphen/>
        <w:t>utövande ledet vid dom</w:t>
      </w:r>
      <w:r w:rsidRPr="00896D4F">
        <w:softHyphen/>
        <w:t>stolen. Partsfrågan har emellertid främst betydelse för tillämpningen av de be</w:t>
      </w:r>
      <w:r w:rsidRPr="00896D4F">
        <w:softHyphen/>
        <w:t>stäm</w:t>
      </w:r>
      <w:r w:rsidRPr="00896D4F">
        <w:softHyphen/>
      </w:r>
      <w:r w:rsidRPr="00896D4F">
        <w:softHyphen/>
        <w:t>melser i förvaltningslagen som gäller vid myndighetsutövning mot enskild. Frågan är vilken betydelse ett partsförhållande får om det gäller ett ärende som inte utgör myndighetsutöv</w:t>
      </w:r>
      <w:r w:rsidRPr="00896D4F">
        <w:softHyphen/>
        <w:t>ning mot enskild. Rätt till partsinsyn har då, med stöd av allmänna rätts</w:t>
      </w:r>
      <w:r w:rsidRPr="00896D4F">
        <w:softHyphen/>
        <w:t>grundsatser, nämligen inte ansetts utesl</w:t>
      </w:r>
      <w:r w:rsidRPr="00896D4F">
        <w:t>u</w:t>
      </w:r>
      <w:r w:rsidRPr="00896D4F">
        <w:t xml:space="preserve">ten. Ett exempel där partsinsyn ansetts befogad utgjorde, före tillkomsten av 54 § socialtjänstlagen, </w:t>
      </w:r>
      <w:r w:rsidRPr="00896D4F">
        <w:t>social</w:t>
      </w:r>
      <w:r w:rsidRPr="00896D4F">
        <w:softHyphen/>
        <w:t>nämnds yttrande i en vårdnadsfråga (se Hellners kommentar till nya för</w:t>
      </w:r>
      <w:r w:rsidRPr="00896D4F">
        <w:softHyphen/>
        <w:t>valtningslagen, femte upplagan s. 148). Socialstyrelsen anser att man på mot</w:t>
      </w:r>
      <w:r w:rsidRPr="00896D4F">
        <w:softHyphen/>
        <w:t>svarande sätt bör kunna tala om en insynsrätt för föräl</w:t>
      </w:r>
      <w:r w:rsidRPr="00896D4F">
        <w:t>d</w:t>
      </w:r>
      <w:r w:rsidRPr="00896D4F">
        <w:t>rarna i ett ärende hos socialnämnden om utseende eller entledigande av ko</w:t>
      </w:r>
      <w:r w:rsidRPr="00896D4F">
        <w:t>n</w:t>
      </w:r>
      <w:r w:rsidRPr="00896D4F">
        <w:t>taktperson när domstolen förordnat att umgänget skall ske i närvaro av en sådan.</w:t>
      </w:r>
    </w:p>
    <w:p w:rsidR="009C1C5A" w:rsidRPr="00896D4F" w:rsidRDefault="009C1C5A">
      <w:pPr>
        <w:pStyle w:val="Rubrik5"/>
        <w:spacing w:before="250"/>
        <w:rPr>
          <w:i/>
        </w:rPr>
      </w:pPr>
      <w:r w:rsidRPr="00896D4F">
        <w:rPr>
          <w:i/>
        </w:rPr>
        <w:t>Förslag</w:t>
      </w:r>
    </w:p>
    <w:p w:rsidR="009C1C5A" w:rsidRPr="00896D4F" w:rsidRDefault="009C1C5A">
      <w:pPr>
        <w:pStyle w:val="Citat"/>
      </w:pPr>
      <w:r w:rsidRPr="00896D4F">
        <w:t>Samman</w:t>
      </w:r>
      <w:r w:rsidRPr="00896D4F">
        <w:softHyphen/>
        <w:t>fattningsvis anser Socialstyrelsen att det råder en osäkerhet om hur social</w:t>
      </w:r>
      <w:r w:rsidRPr="00896D4F">
        <w:softHyphen/>
        <w:t>nämnderna bör handlägga frågan om utseende av kontaktperson efter ett domstols</w:t>
      </w:r>
      <w:r w:rsidRPr="00896D4F">
        <w:softHyphen/>
        <w:t>förordnande härom och om denna handläggning skall utgöra ett ärende och i så fall vilken typ av ärende. Det kan konstateras att lagbestäm</w:t>
      </w:r>
      <w:r w:rsidRPr="00896D4F">
        <w:softHyphen/>
        <w:t>melser saknas och att för</w:t>
      </w:r>
      <w:r w:rsidRPr="00896D4F">
        <w:softHyphen/>
        <w:t>arbetena är ofullständiga. Nämndernas handlägg</w:t>
      </w:r>
      <w:r w:rsidRPr="00896D4F">
        <w:softHyphen/>
        <w:t>ning tycks också skilja sig åt. Regeringen har deklarerat (Skr. 1999/2000:137) att den avser att tillsätta en utred</w:t>
      </w:r>
      <w:r w:rsidRPr="00896D4F">
        <w:softHyphen/>
        <w:t>ning för att se över den vård</w:t>
      </w:r>
      <w:r w:rsidRPr="00896D4F">
        <w:t>nadsreform som infördes 1998. Även andra frågor om vårdnad m.m. kommer att uppmärk</w:t>
      </w:r>
      <w:r w:rsidRPr="00896D4F">
        <w:softHyphen/>
        <w:t>sammas av utredningen. Utifrån allmänna rätts</w:t>
      </w:r>
      <w:r w:rsidRPr="00896D4F">
        <w:softHyphen/>
        <w:t>säkerhets</w:t>
      </w:r>
      <w:r w:rsidRPr="00896D4F">
        <w:softHyphen/>
        <w:t>skäl och för att få en ökad klarhet i hur nämnderna bör hantera dessa frågor anser Socialstyrelsen det lämpligt att även här aktuella fråga bör ingå i utre</w:t>
      </w:r>
      <w:r w:rsidRPr="00896D4F">
        <w:t>d</w:t>
      </w:r>
      <w:r w:rsidRPr="00896D4F">
        <w:t>ningsuppdraget.</w:t>
      </w:r>
    </w:p>
    <w:p w:rsidR="009C1C5A" w:rsidRPr="00896D4F" w:rsidRDefault="009C1C5A">
      <w:r w:rsidRPr="00896D4F">
        <w:t xml:space="preserve">M.J. yttrade sig över Socialstyrelsens remissvar. </w:t>
      </w:r>
    </w:p>
    <w:p w:rsidR="009C1C5A" w:rsidRPr="00896D4F" w:rsidRDefault="009C1C5A">
      <w:r w:rsidRPr="00896D4F">
        <w:t xml:space="preserve">Socialstyrelsens remissvar översändes även för kännedom till Socialnämnden i Simrishamns kommun och Länsstyrelsen i Skåne län. </w:t>
      </w:r>
    </w:p>
    <w:p w:rsidR="009C1C5A" w:rsidRPr="00896D4F" w:rsidRDefault="009C1C5A">
      <w:pPr>
        <w:pStyle w:val="Normaltindrag"/>
      </w:pPr>
      <w:r w:rsidRPr="00896D4F">
        <w:t>Upplysningar inhämtades per telefon från Justitiedepartementet.</w:t>
      </w:r>
    </w:p>
    <w:p w:rsidR="009C1C5A" w:rsidRPr="00896D4F" w:rsidRDefault="009C1C5A">
      <w:r w:rsidRPr="00896D4F">
        <w:t xml:space="preserve">I ett beslut den 25 april 2002 anförde </w:t>
      </w:r>
      <w:r w:rsidRPr="00896D4F">
        <w:rPr>
          <w:i/>
        </w:rPr>
        <w:t>JO André</w:t>
      </w:r>
      <w:r w:rsidRPr="00896D4F">
        <w:t xml:space="preserve"> följande.  </w:t>
      </w:r>
    </w:p>
    <w:p w:rsidR="009C1C5A" w:rsidRPr="00896D4F" w:rsidRDefault="009C1C5A">
      <w:r w:rsidRPr="00896D4F">
        <w:t>Den 1 januari 2002 trädde en ny socialtjänstlag i kraft (2001:453). I förev</w:t>
      </w:r>
      <w:r w:rsidRPr="00896D4F">
        <w:t>a</w:t>
      </w:r>
      <w:r w:rsidRPr="00896D4F">
        <w:t>rande ärende behandlas händelser och omständigheter som ägde rum under den tid socialtjänstlagen (1980:620) var gällande. I remissvaren och i länsst</w:t>
      </w:r>
      <w:r w:rsidRPr="00896D4F">
        <w:t>y</w:t>
      </w:r>
      <w:r w:rsidRPr="00896D4F">
        <w:t>relsens beslut hänvisas till 1980 års lag. Jag har emellertid valt att här hänvisa till den nya socialtjänstlagen. När det gäller regleringen av rätten till bistånd har det skett vissa ändringar i förhållande till vad som gällde enligt den äldre lagen, bl.a. när det gäller möjligheten att över</w:t>
      </w:r>
      <w:r w:rsidRPr="00896D4F">
        <w:softHyphen/>
        <w:t xml:space="preserve">klaga ett biståndsbeslut. I det följande anges därför särskilt när </w:t>
      </w:r>
      <w:r w:rsidRPr="00896D4F">
        <w:t>ändringarna i bestämmelserna om bistånd har betydelse i sakligt hän</w:t>
      </w:r>
      <w:r w:rsidRPr="00896D4F">
        <w:softHyphen/>
        <w:t>seende. Hänvisningarna i övrigt till den nya lagen avser sådana bestämmelser som inte har ändrats innehållsmässigt.</w:t>
      </w:r>
    </w:p>
    <w:p w:rsidR="009C1C5A" w:rsidRPr="00896D4F" w:rsidRDefault="009C1C5A">
      <w:pPr>
        <w:pStyle w:val="Rubrik4"/>
      </w:pPr>
      <w:r w:rsidRPr="00896D4F">
        <w:t>Inledning</w:t>
      </w:r>
    </w:p>
    <w:p w:rsidR="009C1C5A" w:rsidRPr="00896D4F" w:rsidRDefault="009C1C5A">
      <w:r w:rsidRPr="00896D4F">
        <w:t>I förevarande ärende har T.F., genom sitt ombud advokaten M.J., hemställt att JO skall pröva om avdelningschefen Inger Bosson vid socialförvaltningen i Simrishamns kommun har gjort sig skyldig till tjänstefel eller om det från JO:s sida finns skäl till ytterligare kritik utöver Länsstyrelsens i Skåne län kritik i det ovan återgivna tillsynsbeslutet. Genom anmälan aktualisera</w:t>
      </w:r>
      <w:r w:rsidRPr="00896D4F">
        <w:softHyphen/>
        <w:t>des frågorna om T.F. borde ha beretts tillfälle att yttra sig över vad som hade kommit fram när nämnden övervägde att ent</w:t>
      </w:r>
      <w:r w:rsidRPr="00896D4F">
        <w:softHyphen/>
        <w:t>lediga A.B. från uppdraget som kontaktperson, om det fanns skäl att entlediga henne, om Inger Bosson var jävig när hon befattade sig med saken och om vilka åtgärder som social</w:t>
      </w:r>
      <w:r w:rsidRPr="00896D4F">
        <w:softHyphen/>
        <w:t xml:space="preserve">nämnden hade vidtagit i tiden efter länsstyrelsens beslut.  </w:t>
      </w:r>
    </w:p>
    <w:p w:rsidR="009C1C5A" w:rsidRPr="00896D4F" w:rsidRDefault="009C1C5A">
      <w:pPr>
        <w:pStyle w:val="Normaltindrag"/>
      </w:pPr>
      <w:r w:rsidRPr="00896D4F">
        <w:t>Vid min inledande genomgång av handlingarna fann jag inte omständi</w:t>
      </w:r>
      <w:r w:rsidRPr="00896D4F">
        <w:t>g</w:t>
      </w:r>
      <w:r w:rsidRPr="00896D4F">
        <w:t>heterna vara sådana att det fanns skäl att inleda en förundersökning om brott eller att överlämna ärendet till allmän åklagare. Som redan har framgått av den ovan redovisade utredningen fanns det emellertid skäl att inleda ett gransknings</w:t>
      </w:r>
      <w:r w:rsidRPr="00896D4F">
        <w:softHyphen/>
        <w:t xml:space="preserve">förfarande inom ramen för den ordinära klagomålshanteringen. </w:t>
      </w:r>
    </w:p>
    <w:p w:rsidR="009C1C5A" w:rsidRPr="00896D4F" w:rsidRDefault="009C1C5A">
      <w:pPr>
        <w:pStyle w:val="Normaltindrag"/>
      </w:pPr>
      <w:r w:rsidRPr="00896D4F">
        <w:t xml:space="preserve">Jag behandlar först frågan om T.F. borde ha beretts tillfälle att yttra </w:t>
      </w:r>
      <w:r w:rsidRPr="00896D4F">
        <w:br/>
        <w:t>sig över vad som hade kommit fram när nämnden övervägde att ent</w:t>
      </w:r>
      <w:r w:rsidRPr="00896D4F">
        <w:softHyphen/>
        <w:t>lediga A.B. från hennes uppdrag. För att svara på den frågan krävs en diskussion kring socialnämndernas hand</w:t>
      </w:r>
      <w:r w:rsidRPr="00896D4F">
        <w:softHyphen/>
        <w:t>läggning i allmänhet när en domstol har föror</w:t>
      </w:r>
      <w:r w:rsidRPr="00896D4F">
        <w:t>d</w:t>
      </w:r>
      <w:r w:rsidRPr="00896D4F">
        <w:t>nat att umgängesrätten skall ske under medverkan av en kontaktperson, u</w:t>
      </w:r>
      <w:r w:rsidRPr="00896D4F">
        <w:t>t</w:t>
      </w:r>
      <w:r w:rsidRPr="00896D4F">
        <w:t>sedd av socialnämnden. Därefter tar jag upp jävsfrågan och i ett avslutande avsnitt behandlas övriga frågor som har väckts i ärendet.</w:t>
      </w:r>
    </w:p>
    <w:p w:rsidR="009C1C5A" w:rsidRPr="00896D4F" w:rsidRDefault="009C1C5A">
      <w:pPr>
        <w:pStyle w:val="Rubrik4"/>
      </w:pPr>
      <w:r w:rsidRPr="00896D4F">
        <w:t>Allmänt om kontaktperson vid umgänge i enlighet med domstols dom eller beslut</w:t>
      </w:r>
    </w:p>
    <w:p w:rsidR="009C1C5A" w:rsidRPr="00896D4F" w:rsidRDefault="009C1C5A">
      <w:r w:rsidRPr="00896D4F">
        <w:t>För att tillgodose barns behov av nära och goda relationer till båda föräldrarna finns det i föräldra</w:t>
      </w:r>
      <w:r w:rsidRPr="00896D4F">
        <w:softHyphen/>
        <w:t>balken bestämmelser om vårdnad, boende och umgänge. När det gäller umgänge stadgas i 6 kap. 15 § första stycket föräldra</w:t>
      </w:r>
      <w:r w:rsidRPr="00896D4F">
        <w:softHyphen/>
        <w:t>balken att barnet skall ha rätt till umgänge med en förälder som det inte bor till</w:t>
      </w:r>
      <w:r w:rsidRPr="00896D4F">
        <w:softHyphen/>
        <w:t>sammans med. Barnets föräldrar har, enligt lagrummets andra stycke, ett gemen</w:t>
      </w:r>
      <w:r w:rsidRPr="00896D4F">
        <w:softHyphen/>
        <w:t>samt ansvar för att barnets behov av umgänge med en förälder som barnet inte bor till</w:t>
      </w:r>
      <w:r w:rsidRPr="00896D4F">
        <w:softHyphen/>
        <w:t>sammans med så långt möjligt tillgodoses. Om föräldrarna inte kan enas i frågan om barnets um</w:t>
      </w:r>
      <w:r w:rsidRPr="00896D4F">
        <w:softHyphen/>
        <w:t>gänge, kan frågan komma att avgöras av allmän do</w:t>
      </w:r>
      <w:r w:rsidRPr="00896D4F">
        <w:t>m</w:t>
      </w:r>
      <w:r w:rsidRPr="00896D4F">
        <w:t>stol. På talan av en förälder som vill umgås med sitt barn, skall rätten – enligt 6 kap. 15 a § första stycket föräldra</w:t>
      </w:r>
      <w:r w:rsidRPr="00896D4F">
        <w:softHyphen/>
        <w:t>balken – besluta om um</w:t>
      </w:r>
      <w:r w:rsidRPr="00896D4F">
        <w:softHyphen/>
        <w:t>gänge efter vad som är bäst för barnet. I samband med ett beslut eller en dom i en sådan fråga har domstolen möjlig</w:t>
      </w:r>
      <w:r w:rsidRPr="00896D4F">
        <w:softHyphen/>
      </w:r>
      <w:r w:rsidRPr="00896D4F">
        <w:softHyphen/>
      </w:r>
      <w:r w:rsidRPr="00896D4F">
        <w:softHyphen/>
        <w:t>het att ge vissa föreskrifter om utövandet av umgänget, t.ex. att umgänget skall ske i närvaro av en person som utses av social</w:t>
      </w:r>
      <w:r w:rsidRPr="00896D4F">
        <w:softHyphen/>
        <w:t xml:space="preserve">nämnden (en ”kontaktperson”). </w:t>
      </w:r>
    </w:p>
    <w:p w:rsidR="009C1C5A" w:rsidRPr="00896D4F" w:rsidRDefault="009C1C5A">
      <w:pPr>
        <w:pStyle w:val="Normaltindrag"/>
      </w:pPr>
      <w:r w:rsidRPr="00896D4F">
        <w:t xml:space="preserve">Domstolen saknar laglig möjlighet att ålägga kommunen att utse en person som skall medverka </w:t>
      </w:r>
      <w:r w:rsidRPr="00896D4F">
        <w:t>vid umgänget. Däremot har socialnämnden vid behan</w:t>
      </w:r>
      <w:r w:rsidRPr="00896D4F">
        <w:t>d</w:t>
      </w:r>
      <w:r w:rsidRPr="00896D4F">
        <w:t>lingen av frågan om utseende av sådan person att utgå från att umgänge skall äga rum i den utsträckning som domstolen beslutat och att detta är i överen</w:t>
      </w:r>
      <w:r w:rsidRPr="00896D4F">
        <w:t>s</w:t>
      </w:r>
      <w:r w:rsidRPr="00896D4F">
        <w:t>stämmelse med barnets bästa. Det ankommer alltså inte på socialnämnden att göra en egen bedöm</w:t>
      </w:r>
      <w:r w:rsidRPr="00896D4F">
        <w:softHyphen/>
        <w:t>n</w:t>
      </w:r>
      <w:r w:rsidRPr="00896D4F">
        <w:softHyphen/>
        <w:t>ing av om det beslutade umgänget är lämpligt eller inte och låta en sådan bedömning inverka på frågan om utseende av kontaktpe</w:t>
      </w:r>
      <w:r w:rsidRPr="00896D4F">
        <w:t>r</w:t>
      </w:r>
      <w:r w:rsidRPr="00896D4F">
        <w:t>son. Socialnämnden bör se domstolens förordnande som en begäran om nämndens medverkan.</w:t>
      </w:r>
      <w:r w:rsidRPr="00896D4F">
        <w:t xml:space="preserve"> Om um</w:t>
      </w:r>
      <w:r w:rsidRPr="00896D4F">
        <w:softHyphen/>
        <w:t>gänge inte kan komma till stånd i enlighet med domstols förordnande beroende på att nämndens medverkan inte kan pårä</w:t>
      </w:r>
      <w:r w:rsidRPr="00896D4F">
        <w:t>k</w:t>
      </w:r>
      <w:r w:rsidRPr="00896D4F">
        <w:t>nas, måste umgängesfrågan omprövas av domstolen. För att undvika att en sådan situation uppkommer är det viktigt att ett förordnande av domstolen föregås av en kontakt med socialnämnden (se NJA 1987 s. 15). I enlighet med det anförda har JO i flera beslut uttalat att nämnden har att följa vad domstol har förordnat om kontaktperson (se t.ex. JO:s beslut den 30 augusti 1994, dnr 43-1994)</w:t>
      </w:r>
      <w:r w:rsidRPr="00896D4F">
        <w:t xml:space="preserve">. </w:t>
      </w:r>
    </w:p>
    <w:p w:rsidR="009C1C5A" w:rsidRPr="00896D4F" w:rsidRDefault="009C1C5A">
      <w:pPr>
        <w:pStyle w:val="Normaltindrag"/>
      </w:pPr>
      <w:r w:rsidRPr="00896D4F">
        <w:t>Det har diskuterats om det finns behov av lagstiftning rörande en socia</w:t>
      </w:r>
      <w:r w:rsidRPr="00896D4F">
        <w:t>l</w:t>
      </w:r>
      <w:r w:rsidRPr="00896D4F">
        <w:t>nämnds skyldighet att utse kontaktperson när en domstol har förordnat att en sådan skall medverka vid en förälders umgänge med ett barn.</w:t>
      </w:r>
    </w:p>
    <w:p w:rsidR="009C1C5A" w:rsidRPr="00896D4F" w:rsidRDefault="009C1C5A">
      <w:pPr>
        <w:pStyle w:val="Normaltindrag"/>
      </w:pPr>
      <w:r w:rsidRPr="00896D4F">
        <w:t>I ett yttrande över departementspromemorian Ds 1989:52, Vårdnad och umgänge, anförde JO Norell Söderblom bl.a. följande.</w:t>
      </w:r>
    </w:p>
    <w:p w:rsidR="009C1C5A" w:rsidRPr="00896D4F" w:rsidRDefault="009C1C5A">
      <w:pPr>
        <w:pStyle w:val="Citat"/>
      </w:pPr>
      <w:r w:rsidRPr="00896D4F">
        <w:t>Det förekommer inte sällan att domstol vid fastställandet av förälderns u</w:t>
      </w:r>
      <w:r w:rsidRPr="00896D4F">
        <w:t>m</w:t>
      </w:r>
      <w:r w:rsidRPr="00896D4F">
        <w:t xml:space="preserve">gänge med barnet uppställer som villkor att umgängesrätten skall utövas i närvaro av någon av socialnämnden utsedd person. Det har i praktiken visat sig att socialnämnden inte uppfattat domstolens förordnande som bindande. Nämnden har under hänvisning till svårigheten att finna en lämplig person eller till personalbrist inte efterkommit domstolens förordnande, vilket har fått till följd att föräldern inte kunnat umgås med barnet på sätt som domstolen har bestämt. Till undanröjande av den tvekan som nu kan </w:t>
      </w:r>
      <w:r w:rsidRPr="00896D4F">
        <w:t>råda hos socia</w:t>
      </w:r>
      <w:r w:rsidRPr="00896D4F">
        <w:t>l</w:t>
      </w:r>
      <w:r w:rsidRPr="00896D4F">
        <w:t xml:space="preserve">nämnderna bör av 10 § socialtjänstlagen (1980:620, </w:t>
      </w:r>
      <w:r w:rsidRPr="00896D4F">
        <w:rPr>
          <w:i/>
        </w:rPr>
        <w:t>numera 3 kap. 6 § soc</w:t>
      </w:r>
      <w:r w:rsidRPr="00896D4F">
        <w:rPr>
          <w:i/>
        </w:rPr>
        <w:t>i</w:t>
      </w:r>
      <w:r w:rsidRPr="00896D4F">
        <w:rPr>
          <w:i/>
        </w:rPr>
        <w:t>altjänstlagen, 2001:453, min anm.</w:t>
      </w:r>
      <w:r w:rsidRPr="00896D4F">
        <w:t>) också framgå att det åligger socialnäm</w:t>
      </w:r>
      <w:r w:rsidRPr="00896D4F">
        <w:t>n</w:t>
      </w:r>
      <w:r w:rsidRPr="00896D4F">
        <w:t>den att utse en särskild person (kontaktperson) när det behövs vid umgänge</w:t>
      </w:r>
      <w:r w:rsidRPr="00896D4F">
        <w:t>s</w:t>
      </w:r>
      <w:r w:rsidRPr="00896D4F">
        <w:t>rättens utövande.</w:t>
      </w:r>
    </w:p>
    <w:p w:rsidR="009C1C5A" w:rsidRPr="00896D4F" w:rsidRDefault="009C1C5A">
      <w:r w:rsidRPr="00896D4F">
        <w:t>Social</w:t>
      </w:r>
      <w:r w:rsidRPr="00896D4F">
        <w:softHyphen/>
        <w:t>tjänstkommittén anförde i sitt huvudbetänkande (SOU 1994:139 Ny socialtjänst</w:t>
      </w:r>
      <w:r w:rsidRPr="00896D4F">
        <w:softHyphen/>
        <w:t>lag, s. 427) följande.</w:t>
      </w:r>
    </w:p>
    <w:p w:rsidR="009C1C5A" w:rsidRPr="00896D4F" w:rsidRDefault="009C1C5A">
      <w:pPr>
        <w:pStyle w:val="Citat"/>
      </w:pPr>
      <w:r w:rsidRPr="00896D4F">
        <w:t>Vi har också anledning att något kommentera de s.k. tingsrättsuppdragen. Härmed avses ärenden där tingsrätten vid sitt beslut utgått ifrån att socia</w:t>
      </w:r>
      <w:r w:rsidRPr="00896D4F">
        <w:t>l</w:t>
      </w:r>
      <w:r w:rsidRPr="00896D4F">
        <w:t>nämnden utser ”tredje person” att närvara när utdömd umgängesrätt utövas. I likhet med vad som framförts från många andra håll anser vi att ett beslut eller i en dom i umgängesfrågan alltid bör föregås av ett samråd med socia</w:t>
      </w:r>
      <w:r w:rsidRPr="00896D4F">
        <w:t>l</w:t>
      </w:r>
      <w:r w:rsidRPr="00896D4F">
        <w:t>förvaltningen. Regeringen har nyligen tillkallat en utredning med uppgift att utvärdera 1991 års reform av föräldra</w:t>
      </w:r>
      <w:r w:rsidRPr="00896D4F">
        <w:softHyphen/>
        <w:t>balkens regler om vårdnad och u</w:t>
      </w:r>
      <w:r w:rsidRPr="00896D4F">
        <w:t>m</w:t>
      </w:r>
      <w:r w:rsidRPr="00896D4F">
        <w:t xml:space="preserve">gänge. Enligt vår mening bör tingsrättsuppdragen inte behandlas av oss utan av den aktuella utredningen </w:t>
      </w:r>
      <w:r w:rsidRPr="00896D4F">
        <w:rPr>
          <w:i/>
        </w:rPr>
        <w:t>(Vårdnadstvistutredningen, anm.)</w:t>
      </w:r>
      <w:r w:rsidRPr="00896D4F">
        <w:t>.</w:t>
      </w:r>
      <w:r w:rsidRPr="00896D4F">
        <w:t xml:space="preserve"> Vi avser dä</w:t>
      </w:r>
      <w:r w:rsidRPr="00896D4F">
        <w:t>r</w:t>
      </w:r>
      <w:r w:rsidRPr="00896D4F">
        <w:t>för att göra denna utred</w:t>
      </w:r>
      <w:r w:rsidRPr="00896D4F">
        <w:softHyphen/>
        <w:t>ning uppmärksam på att frågan om tingsrättsuppdr</w:t>
      </w:r>
      <w:r w:rsidRPr="00896D4F">
        <w:t>a</w:t>
      </w:r>
      <w:r w:rsidRPr="00896D4F">
        <w:t>gen behöver övervägas närmare.</w:t>
      </w:r>
    </w:p>
    <w:p w:rsidR="009C1C5A" w:rsidRPr="00896D4F" w:rsidRDefault="009C1C5A">
      <w:r w:rsidRPr="00896D4F">
        <w:t>Vårdnadstvistutredningen blev uppmärksammad på frågan genom en skrive</w:t>
      </w:r>
      <w:r w:rsidRPr="00896D4F">
        <w:t>l</w:t>
      </w:r>
      <w:r w:rsidRPr="00896D4F">
        <w:t>se den 7 april 1995 från Social</w:t>
      </w:r>
      <w:r w:rsidRPr="00896D4F">
        <w:softHyphen/>
        <w:t xml:space="preserve">tjänstkommittén. I skrivelsen anfördes följande (SOU 1995:79, s. 122).  </w:t>
      </w:r>
    </w:p>
    <w:p w:rsidR="009C1C5A" w:rsidRPr="00896D4F" w:rsidRDefault="009C1C5A">
      <w:pPr>
        <w:pStyle w:val="Citat"/>
      </w:pPr>
      <w:r w:rsidRPr="00896D4F">
        <w:t>I förslaget till ny socialtjänstlag finns en bestämmelse om socialtjänstens skyldighet att tillhanda</w:t>
      </w:r>
      <w:r w:rsidRPr="00896D4F">
        <w:softHyphen/>
        <w:t>hålla s.k. ”personligt stöd” (5 kap. 8 §). Denna insats innefattar bl.a. kontaktperson/kontakt</w:t>
      </w:r>
      <w:r w:rsidRPr="00896D4F">
        <w:softHyphen/>
        <w:t>familj. Eftersom de s.k. tingsrättsup</w:t>
      </w:r>
      <w:r w:rsidRPr="00896D4F">
        <w:t>p</w:t>
      </w:r>
      <w:r w:rsidRPr="00896D4F">
        <w:t>dragen inte är frivilliga i vanlig bemärkelse utan syftar till att skydda barnet kan det enligt vår bedömning finnas anledning att komplettera förslaget till ny socialtjänst</w:t>
      </w:r>
      <w:r w:rsidRPr="00896D4F">
        <w:softHyphen/>
        <w:t>lag med en uttrycklig bestämmelse om socialtjänstens skyldighet att utse kontaktperson i sådana situationer. En sådan bestämmelse skulle ev. kunna tillföras 7 kap. som innehåller särskilda regler till sky</w:t>
      </w:r>
      <w:r w:rsidRPr="00896D4F">
        <w:t>dd för underåriga. Hur en sådan bestämmelse bör vara utformad får bestämmas av hur insatsen som sådan regleras i föräldrabalken. Vi har därför avstått från att lägga något förslag i denna del utan har ansett att frågan om tingsrättsuppdrag bör överv</w:t>
      </w:r>
      <w:r w:rsidRPr="00896D4F">
        <w:t>ä</w:t>
      </w:r>
      <w:r w:rsidRPr="00896D4F">
        <w:t>gas närmare i anslutning till översyn av bestäm</w:t>
      </w:r>
      <w:r w:rsidRPr="00896D4F">
        <w:softHyphen/>
        <w:t xml:space="preserve">melserna i Föräldrabalken.   </w:t>
      </w:r>
    </w:p>
    <w:p w:rsidR="009C1C5A" w:rsidRPr="00896D4F" w:rsidRDefault="009C1C5A">
      <w:pPr>
        <w:rPr>
          <w:sz w:val="20"/>
        </w:rPr>
      </w:pPr>
      <w:r w:rsidRPr="00896D4F">
        <w:t>Efter en redovisning av ovan nämnda uttalanden av Högsta domstolen (NJA 1987 s. 15) och JO (JO:s beslut den 30 augusti 1994, dnr 43-1994) anförde Vårdnads</w:t>
      </w:r>
      <w:r w:rsidRPr="00896D4F">
        <w:softHyphen/>
        <w:t>tvist</w:t>
      </w:r>
      <w:r w:rsidRPr="00896D4F">
        <w:softHyphen/>
      </w:r>
      <w:r w:rsidRPr="00896D4F">
        <w:softHyphen/>
        <w:t>utred</w:t>
      </w:r>
      <w:r w:rsidRPr="00896D4F">
        <w:softHyphen/>
        <w:t xml:space="preserve">ningen följande (a.a., s. 123 f.). </w:t>
      </w:r>
    </w:p>
    <w:p w:rsidR="009C1C5A" w:rsidRPr="00896D4F" w:rsidRDefault="009C1C5A">
      <w:pPr>
        <w:pStyle w:val="Citat"/>
      </w:pPr>
      <w:r w:rsidRPr="00896D4F">
        <w:t>I detta sammanhang vill utredningen erinra om att domstolen är skyldig och har till uppgift att se till att frågor om umgänge blir tillbörligt utredda och att besluta om umgänge efter vad som är bäst för barnet. En föreskrift om att umgänge skall ske i närvaro av en kontaktperson bör meddelas endast när det verkligen föreligger behov av en sådan, t.ex. om det finns en risk för att ba</w:t>
      </w:r>
      <w:r w:rsidRPr="00896D4F">
        <w:t>r</w:t>
      </w:r>
      <w:r w:rsidRPr="00896D4F">
        <w:t>net olovligen bortförs, och efter samråd med socialnämnden. Frågan om ko</w:t>
      </w:r>
      <w:r w:rsidRPr="00896D4F">
        <w:t>n</w:t>
      </w:r>
      <w:r w:rsidRPr="00896D4F">
        <w:t>taktperson är inte sådan att parterna disponerar över den, utan det ankommer på domstolen att pröva behovet och nöd</w:t>
      </w:r>
      <w:r w:rsidRPr="00896D4F">
        <w:softHyphen/>
        <w:t>vändigheten samt besluta därom. En föreskrift om kontaktperson vid umgänge får därför inte beslutas endast på medgivande av part som villkor för umgänge. Att besluta om kontaktperson på medgivande medför dessutom att socialnämndens resurser tas i anspråk för uppdrag där nämndens medverkan inte behövs, vilket kan få den k</w:t>
      </w:r>
      <w:r w:rsidRPr="00896D4F">
        <w:t>onsekve</w:t>
      </w:r>
      <w:r w:rsidRPr="00896D4F">
        <w:t>n</w:t>
      </w:r>
      <w:r w:rsidRPr="00896D4F">
        <w:t>sen att nämnden saknar nödvändiga resurser i de fall där det verkligen är befogat med kontaktperson.</w:t>
      </w:r>
    </w:p>
    <w:p w:rsidR="009C1C5A" w:rsidRPr="00896D4F" w:rsidRDefault="009C1C5A">
      <w:pPr>
        <w:pStyle w:val="Citatindrag"/>
      </w:pPr>
      <w:r w:rsidRPr="00896D4F">
        <w:t>Om tingsrätten finner att det är nödvändigt att besluta att umgänge skall ske i närvaro av en kontakt</w:t>
      </w:r>
      <w:r w:rsidRPr="00896D4F">
        <w:softHyphen/>
        <w:t>person bör alltid – i enlighet med vad Justitieo</w:t>
      </w:r>
      <w:r w:rsidRPr="00896D4F">
        <w:t>m</w:t>
      </w:r>
      <w:r w:rsidRPr="00896D4F">
        <w:t>budsmannen, och Socialtjänstkommittén, anfört – kontakt tas med socia</w:t>
      </w:r>
      <w:r w:rsidRPr="00896D4F">
        <w:t>l</w:t>
      </w:r>
      <w:r w:rsidRPr="00896D4F">
        <w:t>nämnden för att höra efter om nämnden kan åta sig det uppdrag som tingsrä</w:t>
      </w:r>
      <w:r w:rsidRPr="00896D4F">
        <w:t>t</w:t>
      </w:r>
      <w:r w:rsidRPr="00896D4F">
        <w:t>ten avser att besluta om. Förordnar domstolen att umgänget skall ske i närv</w:t>
      </w:r>
      <w:r w:rsidRPr="00896D4F">
        <w:t>a</w:t>
      </w:r>
      <w:r w:rsidRPr="00896D4F">
        <w:t>ro av en person som utses av socialnämnden utan att först ha kontrollerat med nämnden att den har möjlighet att åta sig uppdraget, kan detta, i de fall näm</w:t>
      </w:r>
      <w:r w:rsidRPr="00896D4F">
        <w:t>n</w:t>
      </w:r>
      <w:r w:rsidRPr="00896D4F">
        <w:t>den förklarar att den saknar möjlighet att efterkomma tingsrättens begäran, få den kon</w:t>
      </w:r>
      <w:r w:rsidRPr="00896D4F">
        <w:t>sekvensen att någon verkställighet av domstolens förordnande om umgänge inte kan ske. Detta kan i sin tur få till följd att en ny process kanske blir nödvändig, vilket medför skada för barnet och dess föräldrar samt onöd</w:t>
      </w:r>
      <w:r w:rsidRPr="00896D4F">
        <w:t>i</w:t>
      </w:r>
      <w:r w:rsidRPr="00896D4F">
        <w:t>ga kostnader för samhället.</w:t>
      </w:r>
    </w:p>
    <w:p w:rsidR="009C1C5A" w:rsidRPr="00896D4F" w:rsidRDefault="009C1C5A">
      <w:pPr>
        <w:pStyle w:val="Citatindrag"/>
      </w:pPr>
      <w:r w:rsidRPr="00896D4F">
        <w:t>Socialtjänstkommitténs förslag att en uttrycklig bestämmelse om socia</w:t>
      </w:r>
      <w:r w:rsidRPr="00896D4F">
        <w:t>l</w:t>
      </w:r>
      <w:r w:rsidRPr="00896D4F">
        <w:t>nämndens skyldighet att utse en kontaktperson vid umgänge skall införas i socialtjänstlagen och en motsvarande bestäm</w:t>
      </w:r>
      <w:r w:rsidRPr="00896D4F">
        <w:softHyphen/>
        <w:t>melse i föräldrabalken kräver noggranna överväganden. Utredningen saknar underlag för en bedömning av behovet av en sådan reglering varför frågan bör utredas i a</w:t>
      </w:r>
      <w:r w:rsidRPr="00896D4F">
        <w:t>n</w:t>
      </w:r>
      <w:r w:rsidRPr="00896D4F">
        <w:t>nat sammanhang.</w:t>
      </w:r>
    </w:p>
    <w:p w:rsidR="009C1C5A" w:rsidRPr="00896D4F" w:rsidRDefault="009C1C5A">
      <w:pPr>
        <w:pStyle w:val="Citatindrag"/>
      </w:pPr>
      <w:r w:rsidRPr="00896D4F">
        <w:t>Vårdnadstvistutredningen vill dock anlägga några synpunkter som bör b</w:t>
      </w:r>
      <w:r w:rsidRPr="00896D4F">
        <w:t>e</w:t>
      </w:r>
      <w:r w:rsidRPr="00896D4F">
        <w:t>aktas vid ställnings</w:t>
      </w:r>
      <w:r w:rsidRPr="00896D4F">
        <w:softHyphen/>
        <w:t>tagandet till frågan om kontaktperson vid umgänge bör lagregleras.</w:t>
      </w:r>
    </w:p>
    <w:p w:rsidR="009C1C5A" w:rsidRPr="00896D4F" w:rsidRDefault="009C1C5A">
      <w:pPr>
        <w:pStyle w:val="Citatindrag"/>
      </w:pPr>
      <w:r w:rsidRPr="00896D4F">
        <w:t>En föreskrift att umgänge skall ske i närvaro av en kontaktperson brukar ges om det finns risk för att barnet vid umgänget kan komma att olovligen föras bort inom eller ut ur landet (se prop. 1992/93:139 s. 37 f), när det varit en längre tids avbrott i kontakten mellan barnet och umgänges</w:t>
      </w:r>
      <w:r w:rsidRPr="00896D4F">
        <w:softHyphen/>
        <w:t>föräldern – i detta fall sker förordnande för en övergångstid – samt vid hämtande och lä</w:t>
      </w:r>
      <w:r w:rsidRPr="00896D4F">
        <w:t>m</w:t>
      </w:r>
      <w:r w:rsidRPr="00896D4F">
        <w:t>nande av barnet när föräldrarnas konflikt är sådan att de inte kan mötas. I betänkandet Barnets rätt 2 Om föräldraansvar m.m. (SOU 1979:63 s. 81 f) anfördes, att i de fall föräldrarnas förhållande till varandra medför att u</w:t>
      </w:r>
      <w:r w:rsidRPr="00896D4F">
        <w:t>m</w:t>
      </w:r>
      <w:r w:rsidRPr="00896D4F">
        <w:t>gänget blir en konfliktskapande faktor mellan dessa som barnet kan ta skada av, torde en kontaktperson kunna fylla en viktig funktion. Om det även i andra fall, annat än undantagsvis, förordnas om k</w:t>
      </w:r>
      <w:r w:rsidRPr="00896D4F">
        <w:t>ontaktperson saknar utre</w:t>
      </w:r>
      <w:r w:rsidRPr="00896D4F">
        <w:t>d</w:t>
      </w:r>
      <w:r w:rsidRPr="00896D4F">
        <w:t>ningen närmare kunskap om.</w:t>
      </w:r>
    </w:p>
    <w:p w:rsidR="009C1C5A" w:rsidRPr="00896D4F" w:rsidRDefault="009C1C5A">
      <w:pPr>
        <w:pStyle w:val="Citatindrag"/>
      </w:pPr>
      <w:r w:rsidRPr="00896D4F">
        <w:t>Lagutskottet behandlade våren 1993 (bet. 1992/93:LU22) ett motionsy</w:t>
      </w:r>
      <w:r w:rsidRPr="00896D4F">
        <w:t>r</w:t>
      </w:r>
      <w:r w:rsidRPr="00896D4F">
        <w:t>kande om att umgängesrätt i större utsträckning än för närvarande skall fö</w:t>
      </w:r>
      <w:r w:rsidRPr="00896D4F">
        <w:t>r</w:t>
      </w:r>
      <w:r w:rsidRPr="00896D4F">
        <w:t>enas med föreskrift om att kontaktperson skall finnas med när umgängesrätten utövas. Lagutskottet, som avstyrkte bifall till motionsyrkandet, anförde (s. 33).</w:t>
      </w:r>
    </w:p>
    <w:p w:rsidR="009C1C5A" w:rsidRPr="00896D4F" w:rsidRDefault="009C1C5A">
      <w:pPr>
        <w:pStyle w:val="Citatindrag"/>
        <w:ind w:left="708" w:firstLine="1"/>
      </w:pPr>
      <w:r w:rsidRPr="00896D4F">
        <w:t>Utskottet erinrar om att gällande rätt innebär att domstolen när den beslutar om umgänge kan föreskriva att umgänget skall ske i närvaro av t.ex. en av socialnämnden utsedd person. Likaså kan rätten för</w:t>
      </w:r>
      <w:r w:rsidRPr="00896D4F">
        <w:t>e</w:t>
      </w:r>
      <w:r w:rsidRPr="00896D4F">
        <w:t>skriva att umgänge får utövas endast i Sverige (se som exempel rättsfallen NJA 1969 s. 455 och NJA 1981 s. 916). Den föreslagna ändringen i 6 kap. 15 § FB syftar till att umgängesbeslut i framtiden skall utformas med särskilt beaktande av risken för att barnet t.ex. förs utomlands av den umgängesberättigade föräldern. Det finns dä</w:t>
      </w:r>
      <w:r w:rsidRPr="00896D4F">
        <w:t>r</w:t>
      </w:r>
      <w:r w:rsidRPr="00896D4F">
        <w:t>för skäl att utgå från att umgängesbesluten i framtiden i än större u</w:t>
      </w:r>
      <w:r w:rsidRPr="00896D4F">
        <w:t>t</w:t>
      </w:r>
      <w:r w:rsidRPr="00896D4F">
        <w:t>sträckning kommer att förenas med särskilda villkor med krav på närvaro av annan person. Utskottet förutsätt</w:t>
      </w:r>
      <w:r w:rsidRPr="00896D4F">
        <w:t>er att en utvärdering av rättspraxis i umgängesfrågor kommer till stånd i lämpligt samman</w:t>
      </w:r>
      <w:r w:rsidRPr="00896D4F">
        <w:softHyphen/>
        <w:t>hang med anledning av den nu föreslagna ändringen i FB:s umgän</w:t>
      </w:r>
      <w:r w:rsidRPr="00896D4F">
        <w:t>g</w:t>
      </w:r>
      <w:r w:rsidRPr="00896D4F">
        <w:t>esregel. Om det därvid skulle visa sig att det föreligger behov av lagändringar i syfte att möjliggöra att umgänget i större utsträckning förenas med särskilda föreskrifter utgår utskottet från att regeringen åter</w:t>
      </w:r>
      <w:r w:rsidRPr="00896D4F">
        <w:softHyphen/>
        <w:t>kommer till riksdagen med erforderliga förslag.</w:t>
      </w:r>
    </w:p>
    <w:p w:rsidR="009C1C5A" w:rsidRPr="00896D4F" w:rsidRDefault="009C1C5A">
      <w:pPr>
        <w:pStyle w:val="Citat"/>
      </w:pPr>
      <w:r w:rsidRPr="00896D4F">
        <w:t>Mot bakgrund av det nu anförda måste ett ställningstagande till den aktuella frågan föregås av en</w:t>
      </w:r>
      <w:r w:rsidRPr="00896D4F">
        <w:t xml:space="preserve"> inventering dels av i vilka fall domstol beslutar att u</w:t>
      </w:r>
      <w:r w:rsidRPr="00896D4F">
        <w:t>m</w:t>
      </w:r>
      <w:r w:rsidRPr="00896D4F">
        <w:t>gänge skall ske i närvaro av kontaktperson, dels av i vilka fall det föreligger behov därav.</w:t>
      </w:r>
    </w:p>
    <w:p w:rsidR="009C1C5A" w:rsidRPr="00896D4F" w:rsidRDefault="009C1C5A">
      <w:pPr>
        <w:pStyle w:val="Citatindrag"/>
      </w:pPr>
      <w:r w:rsidRPr="00896D4F">
        <w:t>Vilka konsekvenser skulle det medföra för kommunen om en skyldighet införs att efter domstols förordnande utse kontaktperson vid umgänge? Det kan antas att resursåtgången kommer att bli beaktansvärd eftersom kontak</w:t>
      </w:r>
      <w:r w:rsidRPr="00896D4F">
        <w:t>t</w:t>
      </w:r>
      <w:r w:rsidRPr="00896D4F">
        <w:t>person i allmänhet behövs utanför ordinarie arbetstid, på kvällar och helger. Till det nu anförda kan läggas att det redan i dag kan vara svårt för socia</w:t>
      </w:r>
      <w:r w:rsidRPr="00896D4F">
        <w:t>l</w:t>
      </w:r>
      <w:r w:rsidRPr="00896D4F">
        <w:t>nämnden att finna lämpliga personer för uppdragen som kontaktperson. Y</w:t>
      </w:r>
      <w:r w:rsidRPr="00896D4F">
        <w:t>t</w:t>
      </w:r>
      <w:r w:rsidRPr="00896D4F">
        <w:t>terligare omständigheter som måste över</w:t>
      </w:r>
      <w:r w:rsidRPr="00896D4F">
        <w:softHyphen/>
        <w:t xml:space="preserve">vägas är om domstolen skall vara skyldig att samråda med socialnämnden innan den meddelar ett beslut om att umgänge skall ske i närvaro av en kontaktperson eller om nämnden till följd av domstolens beslut automatiskt blir förpliktad att förordna </w:t>
      </w:r>
      <w:r w:rsidRPr="00896D4F">
        <w:t>en kontaktpe</w:t>
      </w:r>
      <w:r w:rsidRPr="00896D4F">
        <w:t>r</w:t>
      </w:r>
      <w:r w:rsidRPr="00896D4F">
        <w:t>son. I samband med över</w:t>
      </w:r>
      <w:r w:rsidRPr="00896D4F">
        <w:softHyphen/>
        <w:t>vägande av denna fråga måste noga utredas om en utökad möjlighet för domstolarna att besluta om kontaktperson kommer att leda till dels att kontaktperson förordnas ”för säkerhets skull” i de fall det saknas tillräckligt underlag för ett antagande att behovet finns, dels om ko</w:t>
      </w:r>
      <w:r w:rsidRPr="00896D4F">
        <w:t>m</w:t>
      </w:r>
      <w:r w:rsidRPr="00896D4F">
        <w:t>munens resurser kom</w:t>
      </w:r>
      <w:r w:rsidRPr="00896D4F">
        <w:softHyphen/>
        <w:t>mer att tas i anspråk i en sådan omfattning att det påve</w:t>
      </w:r>
      <w:r w:rsidRPr="00896D4F">
        <w:t>r</w:t>
      </w:r>
      <w:r w:rsidRPr="00896D4F">
        <w:t>kar möjligheten att utse kontaktperson i de fall detta verkligen är befogat.</w:t>
      </w:r>
    </w:p>
    <w:p w:rsidR="009C1C5A" w:rsidRPr="00896D4F" w:rsidRDefault="009C1C5A">
      <w:r w:rsidRPr="00896D4F">
        <w:t xml:space="preserve">I den vidare behandlingen av frågan anförde </w:t>
      </w:r>
      <w:r w:rsidRPr="00896D4F">
        <w:t>regeringen bl.a. följande (prop. 1997/98:7 s. 76).</w:t>
      </w:r>
    </w:p>
    <w:p w:rsidR="009C1C5A" w:rsidRPr="00896D4F" w:rsidRDefault="009C1C5A">
      <w:pPr>
        <w:pStyle w:val="Citat"/>
      </w:pPr>
      <w:r w:rsidRPr="00896D4F">
        <w:t>En första fråga är vilka kontakter som bör förekomma mellan domstolen och socialnämnden innan ett beslut om umgänge kombineras med ett förordnande om kontaktperson. Mot bakgrund av att såväl Högsta domstolen (se NJA 1987 s. 15) som Riksdagens ombudsmän (se beslut den 30 augusti 1994, dnr 43-1994) framhållit vikten av att ett förordnande föregås av en kontakt med socialnämnden, ter sig inte några ytterligare åtgärder påkallade i detta sa</w:t>
      </w:r>
      <w:r w:rsidRPr="00896D4F">
        <w:t>m</w:t>
      </w:r>
      <w:r w:rsidRPr="00896D4F">
        <w:t>manhang.</w:t>
      </w:r>
    </w:p>
    <w:p w:rsidR="009C1C5A" w:rsidRPr="00896D4F" w:rsidRDefault="009C1C5A">
      <w:pPr>
        <w:pStyle w:val="Citatindrag"/>
      </w:pPr>
      <w:r w:rsidRPr="00896D4F">
        <w:t>En annan fråga är om det finns tillräckliga skäl att utreda om socialnäm</w:t>
      </w:r>
      <w:r w:rsidRPr="00896D4F">
        <w:t>n</w:t>
      </w:r>
      <w:r w:rsidRPr="00896D4F">
        <w:t>derna bör åläggas en skyldighet att utse en kontaktperson vid u</w:t>
      </w:r>
      <w:r w:rsidRPr="00896D4F">
        <w:t>m</w:t>
      </w:r>
      <w:r w:rsidRPr="00896D4F">
        <w:t xml:space="preserve">gänge. </w:t>
      </w:r>
    </w:p>
    <w:p w:rsidR="009C1C5A" w:rsidRPr="00896D4F" w:rsidRDefault="009C1C5A">
      <w:pPr>
        <w:pStyle w:val="Citatindrag"/>
      </w:pPr>
      <w:r w:rsidRPr="00896D4F">
        <w:t>Härvid måste beaktas att det redan i dag i socialnämndens övergripande ansvar enligt 3 och 12 §§ socialtjänstlagen ligger en skyldighet att medverka till att ett barns behov av umgänge med sin förälder blir tillgodosett. Om en domstol har förordnat att umgänge skall utövas i närvaro av en person som utses av socialnämnden, har nämnden vid behandlingen av frågan om utsee</w:t>
      </w:r>
      <w:r w:rsidRPr="00896D4F">
        <w:t>n</w:t>
      </w:r>
      <w:r w:rsidRPr="00896D4F">
        <w:t>de av en sådan person att utgå från att umgänge skall äga rum i den utsträc</w:t>
      </w:r>
      <w:r w:rsidRPr="00896D4F">
        <w:t>k</w:t>
      </w:r>
      <w:r w:rsidRPr="00896D4F">
        <w:t>ning och på det sätt som domstolen beslutat och att detta är i överensstämme</w:t>
      </w:r>
      <w:r w:rsidRPr="00896D4F">
        <w:t>l</w:t>
      </w:r>
      <w:r w:rsidRPr="00896D4F">
        <w:t>se med barnets bästa (se NJA 1987 s. 15).</w:t>
      </w:r>
    </w:p>
    <w:p w:rsidR="009C1C5A" w:rsidRPr="00896D4F" w:rsidRDefault="009C1C5A">
      <w:pPr>
        <w:pStyle w:val="Citatindrag"/>
      </w:pPr>
      <w:r w:rsidRPr="00896D4F">
        <w:t>Frågan behöver knappast utredas ytterligare. Det i praktiken största pr</w:t>
      </w:r>
      <w:r w:rsidRPr="00896D4F">
        <w:t>o</w:t>
      </w:r>
      <w:r w:rsidRPr="00896D4F">
        <w:t>blemet torde vara att det kan vara svårt för socialnämnden att finna lämpliga personer som är beredda att åta sig uppdraget som kontaktperson vid u</w:t>
      </w:r>
      <w:r w:rsidRPr="00896D4F">
        <w:t>m</w:t>
      </w:r>
      <w:r w:rsidRPr="00896D4F">
        <w:t>gänge. Denna fråga kan knappast lösas lagstiftningsvägen.</w:t>
      </w:r>
    </w:p>
    <w:p w:rsidR="009C1C5A" w:rsidRPr="00896D4F" w:rsidRDefault="009C1C5A">
      <w:r w:rsidRPr="00896D4F">
        <w:t>I samband med att propositionen behandlades i lagutskottet (1997/98:LU12) framlades en motion i vilken förespråkades en skyldig</w:t>
      </w:r>
      <w:r w:rsidRPr="00896D4F">
        <w:softHyphen/>
        <w:t>het för socialnämnden att utse en kontaktperson, när domstolen hade beslutat om att umgänge skulle ske i närvaro av en sådan person. I motionen yrkades att riksdagen skulle besluta om en sådan skyl</w:t>
      </w:r>
      <w:r w:rsidRPr="00896D4F">
        <w:softHyphen/>
        <w:t>dighet. Utskottet, som avstyrkte yrkandet, anförde följande (s. 46).</w:t>
      </w:r>
    </w:p>
    <w:p w:rsidR="009C1C5A" w:rsidRPr="00896D4F" w:rsidRDefault="009C1C5A">
      <w:pPr>
        <w:pStyle w:val="Citat"/>
      </w:pPr>
      <w:r w:rsidRPr="00896D4F">
        <w:t>Enligt regeringens mening bör det inte införas någon möjlighet för domstolen att ålägga en kommun att utse en kontaktperson vid umgänge. Det i praktiken största problemet torde enligt regeringen vara, att det kan vara svårt för soc</w:t>
      </w:r>
      <w:r w:rsidRPr="00896D4F">
        <w:t>i</w:t>
      </w:r>
      <w:r w:rsidRPr="00896D4F">
        <w:t>alnämnden att finna lämpliga personer som är beredda att åta sig uppdraget som kontaktperson vid umgänge.</w:t>
      </w:r>
    </w:p>
    <w:p w:rsidR="009C1C5A" w:rsidRPr="00896D4F" w:rsidRDefault="009C1C5A">
      <w:pPr>
        <w:pStyle w:val="Citatindrag"/>
      </w:pPr>
      <w:r w:rsidRPr="00896D4F">
        <w:t>Utskottet vill för sin del understryka vad såväl Högsta domstolen som Riksdagens ombudsmän i skilda sammanhang framhållit om vikten av att ett förordnande om kontaktperson vid umgänge föregås av en kontakt med soc</w:t>
      </w:r>
      <w:r w:rsidRPr="00896D4F">
        <w:t>i</w:t>
      </w:r>
      <w:r w:rsidRPr="00896D4F">
        <w:t>alnämnden. Enligt utskottets mening är det naturligtvis önskvärt att komm</w:t>
      </w:r>
      <w:r w:rsidRPr="00896D4F">
        <w:t>u</w:t>
      </w:r>
      <w:r w:rsidRPr="00896D4F">
        <w:t>nerna kan tillhandahålla kontaktpersoner så att umgänge kan komma till stånd i den om</w:t>
      </w:r>
      <w:r w:rsidRPr="00896D4F">
        <w:softHyphen/>
        <w:t>fattning som domstolen beslutat. Att genom lagstiftning ålägga soc</w:t>
      </w:r>
      <w:r w:rsidRPr="00896D4F">
        <w:t>i</w:t>
      </w:r>
      <w:r w:rsidRPr="00896D4F">
        <w:t>alnämnden en sådan skyldighet som motionärerna föreslår låter sig dock e</w:t>
      </w:r>
      <w:r w:rsidRPr="00896D4F">
        <w:t>n</w:t>
      </w:r>
      <w:r w:rsidRPr="00896D4F">
        <w:t>ligt utskottet knappast göras. Som regeringen fram</w:t>
      </w:r>
      <w:r w:rsidRPr="00896D4F">
        <w:softHyphen/>
        <w:t>håller kan det vara svårt att finna personer som är villiga att ta på sig ansvaret att vara kontakt</w:t>
      </w:r>
      <w:r w:rsidRPr="00896D4F">
        <w:softHyphen/>
        <w:t>person.</w:t>
      </w:r>
    </w:p>
    <w:p w:rsidR="009C1C5A" w:rsidRPr="00896D4F" w:rsidRDefault="009C1C5A">
      <w:r w:rsidRPr="00896D4F">
        <w:t xml:space="preserve">Av vad som nu redovisats kan man dra den slutsatsen </w:t>
      </w:r>
      <w:r w:rsidRPr="00896D4F">
        <w:t>att det inte råder någon osäkerhet i rätts</w:t>
      </w:r>
      <w:r w:rsidRPr="00896D4F">
        <w:softHyphen/>
        <w:t>praxis om att en socialnämnd, även om domstol inte kan ålä</w:t>
      </w:r>
      <w:r w:rsidRPr="00896D4F">
        <w:t>g</w:t>
      </w:r>
      <w:r w:rsidRPr="00896D4F">
        <w:t>ga nämnden att utse en kontaktperson, likväl har att utse en sådan när dom</w:t>
      </w:r>
      <w:r w:rsidRPr="00896D4F">
        <w:softHyphen/>
        <w:t>stolen har förordnat att kontaktperson skall medverka vid umgänge mellan förälder och barn. Däremot finns det, som framgår bl.a. av Socialstyrelsens yttrande, viss osäkerhet när det gäller formerna för socialnämndens handläg</w:t>
      </w:r>
      <w:r w:rsidRPr="00896D4F">
        <w:t>g</w:t>
      </w:r>
      <w:r w:rsidRPr="00896D4F">
        <w:t xml:space="preserve">ning av frågan. </w:t>
      </w:r>
    </w:p>
    <w:p w:rsidR="009C1C5A" w:rsidRPr="00896D4F" w:rsidRDefault="009C1C5A">
      <w:pPr>
        <w:pStyle w:val="Rubrik4"/>
      </w:pPr>
      <w:r w:rsidRPr="00896D4F">
        <w:t xml:space="preserve">Närmare om socialnämndens handläggning av frågan om kontaktperson vid umgänge i enlighet med </w:t>
      </w:r>
      <w:r w:rsidRPr="00896D4F">
        <w:t>domstols dom eller beslut</w:t>
      </w:r>
    </w:p>
    <w:p w:rsidR="009C1C5A" w:rsidRPr="00896D4F" w:rsidRDefault="009C1C5A">
      <w:r w:rsidRPr="00896D4F">
        <w:t>I ett mål eller ärende hos domstolen enligt föräldrabalken disponerar inte parterna över frågan om kontaktperson. Det ankommer på domstolen att pr</w:t>
      </w:r>
      <w:r w:rsidRPr="00896D4F">
        <w:t>ö</w:t>
      </w:r>
      <w:r w:rsidRPr="00896D4F">
        <w:t>va behovet och nödvändigheten av en föreskrift om kontaktpersons medve</w:t>
      </w:r>
      <w:r w:rsidRPr="00896D4F">
        <w:t>r</w:t>
      </w:r>
      <w:r w:rsidRPr="00896D4F">
        <w:t>kan vid en förälders umgänge med sitt barn. Uppgiften för dom</w:t>
      </w:r>
      <w:r w:rsidRPr="00896D4F">
        <w:softHyphen/>
        <w:t>stolen är att av</w:t>
      </w:r>
      <w:r w:rsidRPr="00896D4F">
        <w:softHyphen/>
        <w:t>göra frågan om vårdnad och umgänge med utgångspunkt i barnets bästa, särskilt be</w:t>
      </w:r>
      <w:r w:rsidRPr="00896D4F">
        <w:softHyphen/>
        <w:t>hovet av en nära och god kontakt med båda föräldrarna. Detta kan innebära att domstolen förordnar om umgänge under medverkan av kontak</w:t>
      </w:r>
      <w:r w:rsidRPr="00896D4F">
        <w:t>t</w:t>
      </w:r>
      <w:r w:rsidRPr="00896D4F">
        <w:t xml:space="preserve">person utan att parterna eller någon av dem yrkat detta. </w:t>
      </w:r>
    </w:p>
    <w:p w:rsidR="009C1C5A" w:rsidRPr="00896D4F" w:rsidRDefault="009C1C5A">
      <w:pPr>
        <w:pStyle w:val="Normaltindrag"/>
      </w:pPr>
      <w:r w:rsidRPr="00896D4F">
        <w:t>När det gäller socialnämndens handläggning av frågan om kontaktperson vid umgänge i enl</w:t>
      </w:r>
      <w:r w:rsidRPr="00896D4F">
        <w:t>ighet med domstols dom eller beslut saknas det särskilda bestäm</w:t>
      </w:r>
      <w:r w:rsidRPr="00896D4F">
        <w:softHyphen/>
        <w:t>melser i föräldrabalken eller i socialtjänstlagen som visar hur nämnden skall behandla saken i formellt hänseende. Det finns inte heller någon annan bestäm</w:t>
      </w:r>
      <w:r w:rsidRPr="00896D4F">
        <w:softHyphen/>
        <w:t>melse som visar hur nämnden skall handlägga frågor av förevarande slag. Högsta domstolen har i det nämnda rättsfallet (NJA 1987 s. 15) hänfört sig till social</w:t>
      </w:r>
      <w:r w:rsidRPr="00896D4F">
        <w:softHyphen/>
        <w:t>nämndens övergripande och yttersta ansvar enligt 2 kap. 2 § och 5 kap. 1 § socialtjänstlagen (vid den aktuella tid</w:t>
      </w:r>
      <w:r w:rsidRPr="00896D4F">
        <w:softHyphen/>
        <w:t>punkten 3 och 12 §</w:t>
      </w:r>
      <w:r w:rsidRPr="00896D4F">
        <w:t>§ socia</w:t>
      </w:r>
      <w:r w:rsidRPr="00896D4F">
        <w:t>l</w:t>
      </w:r>
      <w:r w:rsidRPr="00896D4F">
        <w:t xml:space="preserve">tjänstlagen, 1980:620).     </w:t>
      </w:r>
    </w:p>
    <w:p w:rsidR="009C1C5A" w:rsidRPr="00896D4F" w:rsidRDefault="009C1C5A">
      <w:pPr>
        <w:pStyle w:val="Normaltindrag"/>
      </w:pPr>
      <w:r w:rsidRPr="00896D4F">
        <w:t>Enligt 2 kap. 2 § socialtjänstlagen har kommunen det yttersta ansvaret för att de som vistas i kommunen får det stöd och den hjälp som de behöver. Av de all</w:t>
      </w:r>
      <w:r w:rsidRPr="00896D4F">
        <w:softHyphen/>
        <w:t>männa bestämmelserna i socialtjänstlagen följer att nämnden har ett särskilt ansvar för barn och ungdom. Detta kommer till uttryck i 5 kap. 1 § social</w:t>
      </w:r>
      <w:r w:rsidRPr="00896D4F">
        <w:softHyphen/>
        <w:t>tjänstlagen där det stadgas att social</w:t>
      </w:r>
      <w:r w:rsidRPr="00896D4F">
        <w:softHyphen/>
        <w:t>nämnden bl.a. skall verka för att barn och ungdom växer upp under trygga och goda förhållanden. Där anges också att social</w:t>
      </w:r>
      <w:r w:rsidRPr="00896D4F">
        <w:softHyphen/>
        <w:t>nämnden i sin omsorg om barn och ungdom skall tillgodose det särskilda behov av stöd och hjälp som kan finnas sedan ett mål eller äre</w:t>
      </w:r>
      <w:r w:rsidRPr="00896D4F">
        <w:t>n</w:t>
      </w:r>
      <w:r w:rsidRPr="00896D4F">
        <w:t>de om vårdnad, boende, um</w:t>
      </w:r>
      <w:r w:rsidRPr="00896D4F">
        <w:softHyphen/>
        <w:t>gänge eller adoption har avgjorts. Näm</w:t>
      </w:r>
      <w:r w:rsidRPr="00896D4F">
        <w:t>nden kan därvid utse en sär</w:t>
      </w:r>
      <w:r w:rsidRPr="00896D4F">
        <w:softHyphen/>
        <w:t>skild kontaktperson i enlighet med bestäm</w:t>
      </w:r>
      <w:r w:rsidRPr="00896D4F">
        <w:softHyphen/>
        <w:t>melserna i 3 kap. 6 § tredje stycket socialtjänstlagen. En kontaktperson enligt det angivna la</w:t>
      </w:r>
      <w:r w:rsidRPr="00896D4F">
        <w:t>g</w:t>
      </w:r>
      <w:r w:rsidRPr="00896D4F">
        <w:t>rummet får endast utses om den enskilde begär eller samtycker till det. För barn som har fyllt 15 år får kontaktperson utses endast om barnet självt begär eller samtycker till det. Dessa bestämmelser ger inte någon närmare ledning för handläggningen i social</w:t>
      </w:r>
      <w:r w:rsidRPr="00896D4F">
        <w:softHyphen/>
        <w:t>nämnderna när de skall utse en kontaktperson i enli</w:t>
      </w:r>
      <w:r w:rsidRPr="00896D4F">
        <w:t>g</w:t>
      </w:r>
      <w:r w:rsidRPr="00896D4F">
        <w:t>het med vad domstol har beslutat.</w:t>
      </w:r>
    </w:p>
    <w:p w:rsidR="009C1C5A" w:rsidRPr="00896D4F" w:rsidRDefault="009C1C5A">
      <w:pPr>
        <w:pStyle w:val="Normaltindrag"/>
      </w:pPr>
      <w:r w:rsidRPr="00896D4F">
        <w:t>De</w:t>
      </w:r>
      <w:r w:rsidRPr="00896D4F">
        <w:t>t torde förekomma att en socialnämnd anser att nämndens medverkan efter domstolens dom eller beslut utgör ren verkställighet av vad domstolen har för</w:t>
      </w:r>
      <w:r w:rsidRPr="00896D4F">
        <w:softHyphen/>
        <w:t>ordnat, dvs. inte handläggning av ett ärende hos nämnden. Socia</w:t>
      </w:r>
      <w:r w:rsidRPr="00896D4F">
        <w:t>l</w:t>
      </w:r>
      <w:r w:rsidRPr="00896D4F">
        <w:t>nämnden har visserligen vid sin handlägg</w:t>
      </w:r>
      <w:r w:rsidRPr="00896D4F">
        <w:softHyphen/>
        <w:t>ning att utgå från att det föreligger ett behov av kontaktperson enligt vad som föreskrivits i domstolens dom eller beslut. Dom</w:t>
      </w:r>
      <w:r w:rsidRPr="00896D4F">
        <w:softHyphen/>
        <w:t>stolens förordnande innebär emel</w:t>
      </w:r>
      <w:r w:rsidRPr="00896D4F">
        <w:softHyphen/>
        <w:t>lertid inte något åläggande för social</w:t>
      </w:r>
      <w:r w:rsidRPr="00896D4F">
        <w:softHyphen/>
        <w:t>nämnden. Det skall i stället ses som en begäran om nämnde</w:t>
      </w:r>
      <w:r w:rsidRPr="00896D4F">
        <w:t>ns med</w:t>
      </w:r>
      <w:r w:rsidRPr="00896D4F">
        <w:softHyphen/>
        <w:t>verkan. Med anledning härav kan social</w:t>
      </w:r>
      <w:r w:rsidRPr="00896D4F">
        <w:softHyphen/>
        <w:t>nämndens befattning med saken inte anses utgöra en ren verk</w:t>
      </w:r>
      <w:r w:rsidRPr="00896D4F">
        <w:softHyphen/>
        <w:t xml:space="preserve">ställighetsåtgärd i enlighet med vad domstolen har bestämt.  </w:t>
      </w:r>
    </w:p>
    <w:p w:rsidR="009C1C5A" w:rsidRPr="00896D4F" w:rsidRDefault="009C1C5A">
      <w:pPr>
        <w:pStyle w:val="Normaltindrag"/>
      </w:pPr>
      <w:r w:rsidRPr="00896D4F">
        <w:t>I min granskningsverksamhet har jag uppmärksammat att socialnämnderna ofta löser frågan genom att meddela ett beslut om bistånd enligt socialtjäns</w:t>
      </w:r>
      <w:r w:rsidRPr="00896D4F">
        <w:t>t</w:t>
      </w:r>
      <w:r w:rsidRPr="00896D4F">
        <w:t>lagen. En sådan lösning synes dock inte helt invändningsfri eftersom det lig</w:t>
      </w:r>
      <w:r w:rsidRPr="00896D4F">
        <w:t>g</w:t>
      </w:r>
      <w:r w:rsidRPr="00896D4F">
        <w:t>er i sakens natur att socialnämnden i förevarande situation måste kunna fö</w:t>
      </w:r>
      <w:r w:rsidRPr="00896D4F">
        <w:t>r</w:t>
      </w:r>
      <w:r w:rsidRPr="00896D4F">
        <w:t>ordna en kontakt</w:t>
      </w:r>
      <w:r w:rsidRPr="00896D4F">
        <w:softHyphen/>
        <w:t>person även mot någon av de berördas vilja, dvs. i strid med de grund</w:t>
      </w:r>
      <w:r w:rsidRPr="00896D4F">
        <w:softHyphen/>
        <w:t>läggande principerna för socialtjänstlagens tillämpning. I det följa</w:t>
      </w:r>
      <w:r w:rsidRPr="00896D4F">
        <w:t>n</w:t>
      </w:r>
      <w:r w:rsidRPr="00896D4F">
        <w:t>de vill jag något utveckla vilka konsekvenser det kan få om social</w:t>
      </w:r>
      <w:r w:rsidRPr="00896D4F">
        <w:softHyphen/>
        <w:t xml:space="preserve">nämnderna handlägger ärendet såsom en fråga om bistånd. </w:t>
      </w:r>
    </w:p>
    <w:p w:rsidR="009C1C5A" w:rsidRPr="00896D4F" w:rsidRDefault="009C1C5A">
      <w:pPr>
        <w:pStyle w:val="Normaltindrag"/>
      </w:pPr>
      <w:r w:rsidRPr="00896D4F">
        <w:t xml:space="preserve">Socialnämnden har skyldighet att utge bistånd under vissa förutsättningar. Den </w:t>
      </w:r>
      <w:r w:rsidRPr="00896D4F">
        <w:t>som inte själv kan tillgodose sina behov eller kan få dem tillgodosedda på annat sätt har, enligt 4 kap. 1 § socialtjänstlagen, rätt till bistånd av socia</w:t>
      </w:r>
      <w:r w:rsidRPr="00896D4F">
        <w:t>l</w:t>
      </w:r>
      <w:r w:rsidRPr="00896D4F">
        <w:t>nämnden för sin försörjning (försörjningsstöd) och för sin livsföring i övrigt. Socialnämnden har, enligt 4 kap. 2 § socialtjänstlagen, möjlighet att ge b</w:t>
      </w:r>
      <w:r w:rsidRPr="00896D4F">
        <w:t>i</w:t>
      </w:r>
      <w:r w:rsidRPr="00896D4F">
        <w:t xml:space="preserve">stånd utöver vad som följer av 4 kap. 1 § socialtjänstlagen om det finns skäl för det. </w:t>
      </w:r>
    </w:p>
    <w:p w:rsidR="009C1C5A" w:rsidRPr="00896D4F" w:rsidRDefault="009C1C5A">
      <w:pPr>
        <w:pStyle w:val="Normaltindrag"/>
      </w:pPr>
      <w:r w:rsidRPr="00896D4F">
        <w:t>När det gäller frågan om bistånd måste beaktas den enskildes rätt att b</w:t>
      </w:r>
      <w:r w:rsidRPr="00896D4F">
        <w:t>e</w:t>
      </w:r>
      <w:r w:rsidRPr="00896D4F">
        <w:t>stämma över sin egen situation. Enligt 1 kap. 1 § socialtjänstlagen skall verk</w:t>
      </w:r>
      <w:r w:rsidRPr="00896D4F">
        <w:softHyphen/>
        <w:t>sam</w:t>
      </w:r>
      <w:r w:rsidRPr="00896D4F">
        <w:softHyphen/>
        <w:t>heten inom social</w:t>
      </w:r>
      <w:r w:rsidRPr="00896D4F">
        <w:softHyphen/>
        <w:t>tjänsten bygga på respekt för människors självbestämm</w:t>
      </w:r>
      <w:r w:rsidRPr="00896D4F">
        <w:softHyphen/>
        <w:t>anderätt och integritet. Av 3 kap. 5 § socialtjänstlagen framgår det att social</w:t>
      </w:r>
      <w:r w:rsidRPr="00896D4F">
        <w:softHyphen/>
        <w:t>nämndens insatser för den enskilde skall utformas och genomföras i samråd med honom eller henne. Mot bakgrund av de angivna bestämmelserna kan social</w:t>
      </w:r>
      <w:r w:rsidRPr="00896D4F">
        <w:softHyphen/>
        <w:t>nämnden inte besluta om bistånd enligt 4 kap. socialtjänst</w:t>
      </w:r>
      <w:r w:rsidRPr="00896D4F">
        <w:softHyphen/>
        <w:t>lagen (tidigare 6–6 h §§ social</w:t>
      </w:r>
      <w:r w:rsidRPr="00896D4F">
        <w:softHyphen/>
        <w:t>tjänst</w:t>
      </w:r>
      <w:r w:rsidRPr="00896D4F">
        <w:softHyphen/>
      </w:r>
      <w:r w:rsidRPr="00896D4F">
        <w:softHyphen/>
        <w:t>lagen, 1980:620) mot den en</w:t>
      </w:r>
      <w:r w:rsidRPr="00896D4F">
        <w:softHyphen/>
        <w:t>skildes vilja.</w:t>
      </w:r>
    </w:p>
    <w:p w:rsidR="009C1C5A" w:rsidRPr="00896D4F" w:rsidRDefault="009C1C5A">
      <w:pPr>
        <w:pStyle w:val="Normaltindrag"/>
      </w:pPr>
      <w:r w:rsidRPr="00896D4F">
        <w:t>Frågan om hur socialnämndens handläggning såvitt nu är i fråga förhåller sig till socialtjänstlagens bestämmelser är inte helt enkel, särskilt när det gäl</w:t>
      </w:r>
      <w:r w:rsidRPr="00896D4F">
        <w:t>l</w:t>
      </w:r>
      <w:r w:rsidRPr="00896D4F">
        <w:t>er hur principerna om frivil</w:t>
      </w:r>
      <w:r w:rsidRPr="00896D4F">
        <w:softHyphen/>
        <w:t>lighet och själv</w:t>
      </w:r>
      <w:r w:rsidRPr="00896D4F">
        <w:softHyphen/>
        <w:t>bestämmande i socialtjänst</w:t>
      </w:r>
      <w:r w:rsidRPr="00896D4F">
        <w:softHyphen/>
        <w:t>lagen skall förenas med rättspraxis enligt vilken nämnden har att utgå från att u</w:t>
      </w:r>
      <w:r w:rsidRPr="00896D4F">
        <w:t>m</w:t>
      </w:r>
      <w:r w:rsidRPr="00896D4F">
        <w:t>gänge skall äga rum i den utsträck</w:t>
      </w:r>
      <w:r w:rsidRPr="00896D4F">
        <w:softHyphen/>
        <w:t>ning och på det sätt som dom</w:t>
      </w:r>
      <w:r w:rsidRPr="00896D4F">
        <w:softHyphen/>
        <w:t>stolen har beslutat. Social</w:t>
      </w:r>
      <w:r w:rsidRPr="00896D4F">
        <w:softHyphen/>
        <w:t>styrelsens redo</w:t>
      </w:r>
      <w:r w:rsidRPr="00896D4F">
        <w:softHyphen/>
        <w:t>visning i remissvaret och erfaren</w:t>
      </w:r>
      <w:r w:rsidRPr="00896D4F">
        <w:softHyphen/>
        <w:t>heterna från min egen gransk</w:t>
      </w:r>
      <w:r w:rsidRPr="00896D4F">
        <w:softHyphen/>
        <w:t>ningsverksam</w:t>
      </w:r>
      <w:r w:rsidRPr="00896D4F">
        <w:softHyphen/>
        <w:t>het ger vid handen att framför allt två olika hand</w:t>
      </w:r>
      <w:r w:rsidRPr="00896D4F">
        <w:softHyphen/>
        <w:t>lings</w:t>
      </w:r>
      <w:r w:rsidRPr="00896D4F">
        <w:softHyphen/>
        <w:t>mönster kan ur</w:t>
      </w:r>
      <w:r w:rsidRPr="00896D4F">
        <w:softHyphen/>
        <w:t>skiljas när det gäller social</w:t>
      </w:r>
      <w:r w:rsidRPr="00896D4F">
        <w:softHyphen/>
        <w:t>nämndernas handläggning. Vissa socialnämnder tar upp frågan om kontakt</w:t>
      </w:r>
      <w:r w:rsidRPr="00896D4F">
        <w:t>person på eget initiativ, dvs. utan an</w:t>
      </w:r>
      <w:r w:rsidRPr="00896D4F">
        <w:softHyphen/>
        <w:t>sökan, medan andra inleder en utred</w:t>
      </w:r>
      <w:r w:rsidRPr="00896D4F">
        <w:softHyphen/>
        <w:t>ning först efter att någon av eller båda föräldrarna inkommer med en ansökan. I det sist nämnda fallet före</w:t>
      </w:r>
      <w:r w:rsidRPr="00896D4F">
        <w:softHyphen/>
        <w:t>kommer det, om en ansökan inte inkommer, att social</w:t>
      </w:r>
      <w:r w:rsidRPr="00896D4F">
        <w:softHyphen/>
        <w:t>nämnden tar kontakt med föräl</w:t>
      </w:r>
      <w:r w:rsidRPr="00896D4F">
        <w:softHyphen/>
        <w:t xml:space="preserve">drarna och uppmanar dem att ge in en sådan. </w:t>
      </w:r>
    </w:p>
    <w:p w:rsidR="009C1C5A" w:rsidRPr="00896D4F" w:rsidRDefault="009C1C5A">
      <w:pPr>
        <w:pStyle w:val="Normaltindrag"/>
      </w:pPr>
      <w:r w:rsidRPr="00896D4F">
        <w:t>Oavsett vilket alternativ socialnämnden väljer får handläggningen av fr</w:t>
      </w:r>
      <w:r w:rsidRPr="00896D4F">
        <w:t>å</w:t>
      </w:r>
      <w:r w:rsidRPr="00896D4F">
        <w:t>gan anses utgöra ett ärende som innefattar myndighetsutövning mot enskild. Denna slutsats löser emellertid inte andra frågor kring handläggningen, t.ex. när det gäller parts</w:t>
      </w:r>
      <w:r w:rsidRPr="00896D4F">
        <w:softHyphen/>
        <w:t>ställningen i ärendet. Om socialnämnden handlägger äre</w:t>
      </w:r>
      <w:r w:rsidRPr="00896D4F">
        <w:t>n</w:t>
      </w:r>
      <w:r w:rsidRPr="00896D4F">
        <w:t>det som ett bistånds</w:t>
      </w:r>
      <w:r w:rsidRPr="00896D4F">
        <w:softHyphen/>
        <w:t>ärende utan ansökan, ligger det nära till hands att betrakta barnet som bistånds</w:t>
      </w:r>
      <w:r w:rsidRPr="00896D4F">
        <w:softHyphen/>
        <w:t>tagare och part i ärendet. Därmed skulle vård</w:t>
      </w:r>
      <w:r w:rsidRPr="00896D4F">
        <w:softHyphen/>
        <w:t>nads</w:t>
      </w:r>
      <w:r w:rsidRPr="00896D4F">
        <w:softHyphen/>
        <w:t>havaren vara den som företräder barnet. Med hänsyn till att socialtjänst</w:t>
      </w:r>
      <w:r w:rsidRPr="00896D4F">
        <w:softHyphen/>
        <w:t>lagen bygger på frivillighet torde vårdnads</w:t>
      </w:r>
      <w:r w:rsidRPr="00896D4F">
        <w:softHyphen/>
        <w:t>havaren ha m</w:t>
      </w:r>
      <w:r w:rsidRPr="00896D4F">
        <w:t>öjlighet att avböja den ifrågavara</w:t>
      </w:r>
      <w:r w:rsidRPr="00896D4F">
        <w:t>n</w:t>
      </w:r>
      <w:r w:rsidRPr="00896D4F">
        <w:t>de insatsen och (numera) över</w:t>
      </w:r>
      <w:r w:rsidRPr="00896D4F">
        <w:softHyphen/>
        <w:t>klaga ett biståndsbeslut om beslutet går barnet emot. Om ärendet handläggs som ett biståndsärende utan ansökan, men med vårdnads</w:t>
      </w:r>
      <w:r w:rsidRPr="00896D4F">
        <w:softHyphen/>
        <w:t>havaren eller den umgänges</w:t>
      </w:r>
      <w:r w:rsidRPr="00896D4F">
        <w:softHyphen/>
        <w:t>berättigade föräldern angiven som b</w:t>
      </w:r>
      <w:r w:rsidRPr="00896D4F">
        <w:t>i</w:t>
      </w:r>
      <w:r w:rsidRPr="00896D4F">
        <w:t>stånds</w:t>
      </w:r>
      <w:r w:rsidRPr="00896D4F">
        <w:softHyphen/>
        <w:t>tagare, är det sannolikt den angivna bistånds</w:t>
      </w:r>
      <w:r w:rsidRPr="00896D4F">
        <w:softHyphen/>
        <w:t xml:space="preserve">tagaren som har möjlighet att (numera) överklaga nämndens beslut om beslutet går honom eller henne emot.    </w:t>
      </w:r>
    </w:p>
    <w:p w:rsidR="009C1C5A" w:rsidRPr="00896D4F" w:rsidRDefault="009C1C5A">
      <w:pPr>
        <w:pStyle w:val="Normaltindrag"/>
      </w:pPr>
      <w:r w:rsidRPr="00896D4F">
        <w:t>För det fall socialnämnden kräver att en ansökan inlämnas uppkommer frågan om vad som sker om</w:t>
      </w:r>
      <w:r w:rsidRPr="00896D4F">
        <w:t xml:space="preserve"> en ansökan inte inkommer. I sådant fall synes det inte vara möjligt att förordna en kontakt</w:t>
      </w:r>
      <w:r w:rsidRPr="00896D4F">
        <w:softHyphen/>
        <w:t>person. I övrigt uppkommer i ”ansökningsfallen” huvudsakligen samma frågor som när social</w:t>
      </w:r>
      <w:r w:rsidRPr="00896D4F">
        <w:softHyphen/>
        <w:t>nämnden inte kräver en ansökan. När det gäller partsfrågan är det i ”ansök</w:t>
      </w:r>
      <w:r w:rsidRPr="00896D4F">
        <w:softHyphen/>
        <w:t>ningsfallen” n</w:t>
      </w:r>
      <w:r w:rsidRPr="00896D4F">
        <w:t>a</w:t>
      </w:r>
      <w:r w:rsidRPr="00896D4F">
        <w:t>turligt att se sökanden som part, i varje fall om ansökan hanteras inom ramen för ett bistånds</w:t>
      </w:r>
      <w:r w:rsidRPr="00896D4F">
        <w:softHyphen/>
        <w:t xml:space="preserve">ärende. </w:t>
      </w:r>
    </w:p>
    <w:p w:rsidR="009C1C5A" w:rsidRPr="00896D4F" w:rsidRDefault="009C1C5A">
      <w:pPr>
        <w:pStyle w:val="Normaltindrag"/>
      </w:pPr>
      <w:r w:rsidRPr="00896D4F">
        <w:t>Jag har här något belyst vilka konsekvenser det kan få i formellt hänseende när social</w:t>
      </w:r>
      <w:r w:rsidRPr="00896D4F">
        <w:softHyphen/>
        <w:t>nämnderna hand</w:t>
      </w:r>
      <w:r w:rsidRPr="00896D4F">
        <w:softHyphen/>
        <w:t>lägger ärendena såsom biståndsärenden inom r</w:t>
      </w:r>
      <w:r w:rsidRPr="00896D4F">
        <w:t>a</w:t>
      </w:r>
      <w:r w:rsidRPr="00896D4F">
        <w:t>men för socialtjänstlagens regel</w:t>
      </w:r>
      <w:r w:rsidRPr="00896D4F">
        <w:softHyphen/>
        <w:t>system. Eftersom frågan om umgänge och/eller formen för dess utövande, i de fall som här är aktuella, har prövats av allmän domstol har det som regel före</w:t>
      </w:r>
      <w:r w:rsidRPr="00896D4F">
        <w:softHyphen/>
        <w:t>legat en tvist mellan föräldrarna angående umgänget. Som jag redan har nämnt ligger det därför i sakens natur att socialnämnden i sådana fall måste kunna för</w:t>
      </w:r>
      <w:r w:rsidRPr="00896D4F">
        <w:softHyphen/>
        <w:t>ordna en kontakt</w:t>
      </w:r>
      <w:r w:rsidRPr="00896D4F">
        <w:softHyphen/>
        <w:t>person även mot någon av de berördas vilja. Om ärendet handläggs med stöd av socia</w:t>
      </w:r>
      <w:r w:rsidRPr="00896D4F">
        <w:t>l</w:t>
      </w:r>
      <w:r w:rsidRPr="00896D4F">
        <w:t>tjäns</w:t>
      </w:r>
      <w:r w:rsidRPr="00896D4F">
        <w:t>tlagens regel</w:t>
      </w:r>
      <w:r w:rsidRPr="00896D4F">
        <w:softHyphen/>
        <w:t>system för biståndsärenden, kan detta – som framgått – leda till att parten i bistånds</w:t>
      </w:r>
      <w:r w:rsidRPr="00896D4F">
        <w:softHyphen/>
        <w:t>ärendet disponerar över frågan om kontaktperson. Enligt föräldrabalken skall emellertid frågan om umgänge bestämmas av allmän domstol för det fall föräldrarna inte kan komma överens i frågan. Om någon av föräldrarna i praktiken skulle ha möjlighet att avböja kontaktperson när ärendet behandlas av social</w:t>
      </w:r>
      <w:r w:rsidRPr="00896D4F">
        <w:softHyphen/>
        <w:t>nämnden, skulle detta innebära en inskrän</w:t>
      </w:r>
      <w:r w:rsidRPr="00896D4F">
        <w:t>k</w:t>
      </w:r>
      <w:r w:rsidRPr="00896D4F">
        <w:t>ning av domstolarnas och socialnämndernas möjlig</w:t>
      </w:r>
      <w:r w:rsidRPr="00896D4F">
        <w:softHyphen/>
        <w:t>heter att tillg</w:t>
      </w:r>
      <w:r w:rsidRPr="00896D4F">
        <w:t>odose barnets behov av en nära och god kontakt med båda sina föräl</w:t>
      </w:r>
      <w:r w:rsidRPr="00896D4F">
        <w:softHyphen/>
        <w:t xml:space="preserve">drar.   </w:t>
      </w:r>
    </w:p>
    <w:p w:rsidR="009C1C5A" w:rsidRPr="00896D4F" w:rsidRDefault="009C1C5A">
      <w:pPr>
        <w:pStyle w:val="Normaltindrag"/>
      </w:pPr>
      <w:r w:rsidRPr="00896D4F">
        <w:t xml:space="preserve">Jag övergår nu till att bedöma hur Socialnämnden i Simrishamns kommun har handlagt frågan om entledigande av den aktuella kontaktpersonen. </w:t>
      </w:r>
    </w:p>
    <w:p w:rsidR="009C1C5A" w:rsidRPr="00896D4F" w:rsidRDefault="009C1C5A">
      <w:pPr>
        <w:pStyle w:val="Normaltindrag"/>
      </w:pPr>
      <w:r w:rsidRPr="00896D4F">
        <w:t>Den 20 maj 1998 beslutade Simrishamns tingsrätt, för tiden intill dess l</w:t>
      </w:r>
      <w:r w:rsidRPr="00896D4F">
        <w:t>a</w:t>
      </w:r>
      <w:r w:rsidRPr="00896D4F">
        <w:t>gakraft</w:t>
      </w:r>
      <w:r w:rsidRPr="00896D4F">
        <w:softHyphen/>
        <w:t>ägande dom förelåg i målet eller annat beslutades, att modern ensam skulle ha vård</w:t>
      </w:r>
      <w:r w:rsidRPr="00896D4F">
        <w:softHyphen/>
        <w:t>naden om barnet och att T.F. skulle ha rätt till umgänge under närmare angivna tids</w:t>
      </w:r>
      <w:r w:rsidRPr="00896D4F">
        <w:softHyphen/>
        <w:t>perioder. Tingsrätten beslutade även om kontakt</w:t>
      </w:r>
      <w:r w:rsidRPr="00896D4F">
        <w:softHyphen/>
        <w:t>person enligt följande.</w:t>
      </w:r>
    </w:p>
    <w:p w:rsidR="009C1C5A" w:rsidRPr="00896D4F" w:rsidRDefault="009C1C5A">
      <w:pPr>
        <w:pStyle w:val="Citat"/>
      </w:pPr>
      <w:r w:rsidRPr="00896D4F">
        <w:t>Tingsrätten förordnar av Socialnämnden i Simrishamns kommun utsedd och av parterna godkänd kontaktperson att vara närvarande vid hämtning och avlämnande av H. vid umgängestillfällena med T.F. Parterna har enats om att en förskollärare på Solrosens daghem i Simrish</w:t>
      </w:r>
      <w:r w:rsidRPr="00896D4F">
        <w:t>amn om möjligt kunde vara lämplig som kontaktperson.</w:t>
      </w:r>
    </w:p>
    <w:p w:rsidR="009C1C5A" w:rsidRPr="00896D4F" w:rsidRDefault="009C1C5A">
      <w:r w:rsidRPr="00896D4F">
        <w:t>Som framgår förutsatte tingsrätten i beslutet att båda föräldrarna skulle god</w:t>
      </w:r>
      <w:r w:rsidRPr="00896D4F">
        <w:softHyphen/>
        <w:t>känna kontaktpersonen. Tingsrättens beslut skickades till Socialnämnden i Simris</w:t>
      </w:r>
      <w:r w:rsidRPr="00896D4F">
        <w:softHyphen/>
        <w:t>hamns kommun som den 28 april 1998 öppnade ett ärende rörande kontakt</w:t>
      </w:r>
      <w:r w:rsidRPr="00896D4F">
        <w:softHyphen/>
        <w:t>person vid umgänge. Samma dag som ärendet öppnades beslutade socialnämnden, genom avdelningschefen Inger Bosson, att enligt 6 g § soc</w:t>
      </w:r>
      <w:r w:rsidRPr="00896D4F">
        <w:t>i</w:t>
      </w:r>
      <w:r w:rsidRPr="00896D4F">
        <w:t>altjänst</w:t>
      </w:r>
      <w:r w:rsidRPr="00896D4F">
        <w:softHyphen/>
        <w:t>lagen (1980:620) be</w:t>
      </w:r>
      <w:r w:rsidRPr="00896D4F">
        <w:softHyphen/>
        <w:t>vilja ”bistånd till kontakt</w:t>
      </w:r>
      <w:r w:rsidRPr="00896D4F">
        <w:softHyphen/>
        <w:t>person att närvara vid hämtning och lämning av H. vid faderns um</w:t>
      </w:r>
      <w:r w:rsidRPr="00896D4F">
        <w:softHyphen/>
        <w:t>gänges</w:t>
      </w:r>
      <w:r w:rsidRPr="00896D4F">
        <w:softHyphen/>
      </w:r>
      <w:r w:rsidRPr="00896D4F">
        <w:softHyphen/>
        <w:t>tillfällen”. Jag konstaterar att socialnämnden tydligen använt den lösning som innebär att ett b</w:t>
      </w:r>
      <w:r w:rsidRPr="00896D4F">
        <w:t>istånd</w:t>
      </w:r>
      <w:r w:rsidRPr="00896D4F">
        <w:t>s</w:t>
      </w:r>
      <w:r w:rsidRPr="00896D4F">
        <w:t xml:space="preserve">ärende öppnats och att ett biståndsbeslut fattats direkt i enlighet med vad domstolen har förordnat. </w:t>
      </w:r>
    </w:p>
    <w:p w:rsidR="009C1C5A" w:rsidRPr="00896D4F" w:rsidRDefault="009C1C5A">
      <w:pPr>
        <w:pStyle w:val="Normaltindrag"/>
      </w:pPr>
      <w:r w:rsidRPr="00896D4F">
        <w:t>Om det uppkommer fråga om att entlediga en kontaktperson som har fö</w:t>
      </w:r>
      <w:r w:rsidRPr="00896D4F">
        <w:t>r</w:t>
      </w:r>
      <w:r w:rsidRPr="00896D4F">
        <w:t>ordnats efter domstols dom eller beslut i en umgängesfråga, bör socialnäm</w:t>
      </w:r>
      <w:r w:rsidRPr="00896D4F">
        <w:t>n</w:t>
      </w:r>
      <w:r w:rsidRPr="00896D4F">
        <w:t>den i enlighet med 11 kap. 1 § social</w:t>
      </w:r>
      <w:r w:rsidRPr="00896D4F">
        <w:softHyphen/>
        <w:t>tjänstlagen inleda en utredning utan dröjsmål. För att få underlag till ett ställnings</w:t>
      </w:r>
      <w:r w:rsidRPr="00896D4F">
        <w:softHyphen/>
        <w:t xml:space="preserve">tagande bör som regel båda föräldrarna höras över vad som framkommit under utredningen. </w:t>
      </w:r>
    </w:p>
    <w:p w:rsidR="009C1C5A" w:rsidRPr="00896D4F" w:rsidRDefault="009C1C5A">
      <w:pPr>
        <w:pStyle w:val="Normaltindrag"/>
      </w:pPr>
      <w:r w:rsidRPr="00896D4F">
        <w:t>Enligt socialnämndens remissvar till JO entledigades A.B. från uppdraget som kontaktperson på grund av att hon, enligt socialnämndens upp</w:t>
      </w:r>
      <w:r w:rsidRPr="00896D4F">
        <w:softHyphen/>
        <w:t>fattning, ut</w:t>
      </w:r>
      <w:r w:rsidRPr="00896D4F">
        <w:softHyphen/>
        <w:t>övade uppdraget på ett sätt som innehålls</w:t>
      </w:r>
      <w:r w:rsidRPr="00896D4F">
        <w:softHyphen/>
        <w:t>mässigt och tidsmässigt stred mot social</w:t>
      </w:r>
      <w:r w:rsidRPr="00896D4F">
        <w:softHyphen/>
        <w:t xml:space="preserve">nämndens avtal. Socialnämnden har i sitt remissvar även hänvisat till att det av A.B:s redogörelse framgick att det hade uppstått en konflikt mellan henne och barnets mor, vilket – enligt nämnden – innebar att modern inte längre godkände kontaktpersonen. Socialnämnden synes mena att det även på grund härav saknades förutsättningar att ha kvar A.B. som kontaktperson, eftersom tingsrättens beslut innebar att båda </w:t>
      </w:r>
      <w:r w:rsidRPr="00896D4F">
        <w:t>parter skulle god</w:t>
      </w:r>
      <w:r w:rsidRPr="00896D4F">
        <w:softHyphen/>
        <w:t xml:space="preserve">känna den som utsågs till kontaktperson. </w:t>
      </w:r>
    </w:p>
    <w:p w:rsidR="009C1C5A" w:rsidRPr="00896D4F" w:rsidRDefault="009C1C5A">
      <w:pPr>
        <w:pStyle w:val="Normaltindrag"/>
      </w:pPr>
      <w:r w:rsidRPr="00896D4F">
        <w:t>Ett ärende om entledigande av kontaktpersonen avser myndighetsutövning mot den som är part i ärendet. Med anledning härav är – enligt 11 kap. 8 § första stycket socialtjänstlagen – bestämmelserna i 17 § förvaltningslagen (1986:223) tillämpliga och ärendet får som huvudregel inte avgöras utan att den som är part har underrättats om en uppgift som har tillförts ärendet g</w:t>
      </w:r>
      <w:r w:rsidRPr="00896D4F">
        <w:t>e</w:t>
      </w:r>
      <w:r w:rsidRPr="00896D4F">
        <w:t>nom någon annan än honom själv och han har fått tillfälle att yttra sig över den. I förevarande fall är det osäkert hur nämnden – ur sitt eget perspektiv – har sett på partsfrågan och vilket skäl som var avgörande för entledigandet av kontaktpersonen. Under alla förhål</w:t>
      </w:r>
      <w:r w:rsidRPr="00896D4F">
        <w:softHyphen/>
        <w:t xml:space="preserve">landen finner jag det anmärkningsvärt att kontaktpersonen entledigades utan att T.F. hördes i enlighet med vad jag har anfört ovan.  </w:t>
      </w:r>
    </w:p>
    <w:p w:rsidR="009C1C5A" w:rsidRPr="00896D4F" w:rsidRDefault="009C1C5A">
      <w:pPr>
        <w:pStyle w:val="Rubrik4"/>
      </w:pPr>
      <w:r w:rsidRPr="00896D4F">
        <w:t>Jävsfrågan</w:t>
      </w:r>
    </w:p>
    <w:p w:rsidR="009C1C5A" w:rsidRPr="00896D4F" w:rsidRDefault="009C1C5A">
      <w:r w:rsidRPr="00896D4F">
        <w:t>I ärendet har T.F. väckt frågan om Inger Bosson på grund av jäv borde ha avstått från att fortsätta handläggningen när det uppkom fråga om att entled</w:t>
      </w:r>
      <w:r w:rsidRPr="00896D4F">
        <w:t>i</w:t>
      </w:r>
      <w:r w:rsidRPr="00896D4F">
        <w:t xml:space="preserve">ga A.B. från uppdraget som kontaktperson. </w:t>
      </w:r>
    </w:p>
    <w:p w:rsidR="009C1C5A" w:rsidRPr="00896D4F" w:rsidRDefault="009C1C5A">
      <w:pPr>
        <w:pStyle w:val="Normaltindrag"/>
      </w:pPr>
      <w:r w:rsidRPr="00896D4F">
        <w:t>Enligt 10 kap. 1 § socialtjänstlagen gäller för en socialnämnd vad som är före</w:t>
      </w:r>
      <w:r w:rsidRPr="00896D4F">
        <w:softHyphen/>
        <w:t>skrivet om nämnder i kommunallagen (1991:900). Det är således b</w:t>
      </w:r>
      <w:r w:rsidRPr="00896D4F">
        <w:t>e</w:t>
      </w:r>
      <w:r w:rsidRPr="00896D4F">
        <w:t>stämmelserna om jäv i 6 kap. 24–27 §§ kommunallagen som är tillämpliga vid handläggningen av ärenden enligt socialtjänstlagen. Av 6 kap. 25 § ko</w:t>
      </w:r>
      <w:r w:rsidRPr="00896D4F">
        <w:t>m</w:t>
      </w:r>
      <w:r w:rsidRPr="00896D4F">
        <w:t>munallagen följer att det finns flera olika jävsgrunder, vilka brukar benämnas sakägar-, intresse- och släkt</w:t>
      </w:r>
      <w:r w:rsidRPr="00896D4F">
        <w:softHyphen/>
        <w:t>skaps</w:t>
      </w:r>
      <w:r w:rsidRPr="00896D4F">
        <w:softHyphen/>
        <w:t>jäv samt ställföreträdar- och ombudsjäv. Dessutom finns det en general</w:t>
      </w:r>
      <w:r w:rsidRPr="00896D4F">
        <w:softHyphen/>
        <w:t>klausul, vilken avser vissa situationer som inte täcks av övriga jävsgrunder, s.k. delikatessjäv. Enligt denna bestä</w:t>
      </w:r>
      <w:r w:rsidRPr="00896D4F">
        <w:t>mmelse, som är den som är av intresse i detta sammanhang, är bl.a. anställd hos ko</w:t>
      </w:r>
      <w:r w:rsidRPr="00896D4F">
        <w:t>m</w:t>
      </w:r>
      <w:r w:rsidRPr="00896D4F">
        <w:t>munen jävig, om det i övrigt finns någon omständighet som är ägnad att rubba förtroendet till hans opartiskhet i ärendet. Av 6 kap. 24 § kommunallagen följer att en anställd som är jävig i ett ärende hos en nämnd inte får delta eller närvara vid handlägg</w:t>
      </w:r>
      <w:r w:rsidRPr="00896D4F">
        <w:softHyphen/>
        <w:t>ningen av ärendet. Denne får dock vidta åtgärder som inte någon annan kan vidta utan olägligt uppskov. Den som känner till en omständighet som kan antas utgöra jäv mot honom,</w:t>
      </w:r>
      <w:r w:rsidRPr="00896D4F">
        <w:t xml:space="preserve"> skall självmant ge det till känna. Enligt 6 kap. 26 § kommunallagen bortses från jäv när frågan om opartiskhet uppe</w:t>
      </w:r>
      <w:r w:rsidRPr="00896D4F">
        <w:t>n</w:t>
      </w:r>
      <w:r w:rsidRPr="00896D4F">
        <w:t xml:space="preserve">barligen saknar betydelse. </w:t>
      </w:r>
    </w:p>
    <w:p w:rsidR="009C1C5A" w:rsidRPr="00896D4F" w:rsidRDefault="009C1C5A">
      <w:pPr>
        <w:pStyle w:val="Normaltindrag"/>
      </w:pPr>
      <w:r w:rsidRPr="00896D4F">
        <w:t>Jävsreglerna skall tillämpas vid handläggning av ärenden hos nämnden. Med handläggning avses inte bara beslutsfattande utan även utredning, bere</w:t>
      </w:r>
      <w:r w:rsidRPr="00896D4F">
        <w:t>d</w:t>
      </w:r>
      <w:r w:rsidRPr="00896D4F">
        <w:t>ning och föredragning. De personer som åsyftas är de som tar sådan befat</w:t>
      </w:r>
      <w:r w:rsidRPr="00896D4F">
        <w:t>t</w:t>
      </w:r>
      <w:r w:rsidRPr="00896D4F">
        <w:t>ning med ett ärende att de kan tänkas inverka på ärendets utgång. Som exe</w:t>
      </w:r>
      <w:r w:rsidRPr="00896D4F">
        <w:t>m</w:t>
      </w:r>
      <w:r w:rsidRPr="00896D4F">
        <w:t>pel kan nämnas att den som haft att förbereda ärendet utan att delta i dess slutliga handläggning om</w:t>
      </w:r>
      <w:r w:rsidRPr="00896D4F">
        <w:softHyphen/>
        <w:t>fattas av jävsreglerna. Reglerna har till syfte att för</w:t>
      </w:r>
      <w:r w:rsidRPr="00896D4F">
        <w:softHyphen/>
        <w:t>hindra misstankar om bristande opartiskhet och ovidkommande hänsyn. B</w:t>
      </w:r>
      <w:r w:rsidRPr="00896D4F">
        <w:t>e</w:t>
      </w:r>
      <w:r w:rsidRPr="00896D4F">
        <w:t>stäm</w:t>
      </w:r>
      <w:r w:rsidRPr="00896D4F">
        <w:softHyphen/>
        <w:t>melserna träffar såväl grundade som objektivt ogrundade misstankar. Med andra ord kan jäv föreligga, även om vederbörande tjänste</w:t>
      </w:r>
      <w:r w:rsidRPr="00896D4F">
        <w:softHyphen/>
        <w:t>ma</w:t>
      </w:r>
      <w:r w:rsidRPr="00896D4F">
        <w:t>n rent fa</w:t>
      </w:r>
      <w:r w:rsidRPr="00896D4F">
        <w:t>k</w:t>
      </w:r>
      <w:r w:rsidRPr="00896D4F">
        <w:t xml:space="preserve">tiskt inte har brustit i kraven på objektivitet och opartiskhet. </w:t>
      </w:r>
    </w:p>
    <w:p w:rsidR="009C1C5A" w:rsidRPr="00896D4F" w:rsidRDefault="009C1C5A">
      <w:pPr>
        <w:pStyle w:val="Normaltindrag"/>
      </w:pPr>
      <w:r w:rsidRPr="00896D4F">
        <w:t>Det är inte möjligt att uttömmande ange alla de olika situationer i vilka det kan förekomma delikatessjäv. Som ett typiskt exempel kan nämnas att en tjänsteman är nära vän eller har en djup konflikt med en part i ett ärende. I sådant fall skall han givetvis inte handlägga ärendet. Andra fall där jäv kan föreligga är när en tjänsteman står i ett påtagligt beroendeförhål</w:t>
      </w:r>
      <w:r w:rsidRPr="00896D4F">
        <w:softHyphen/>
        <w:t>lande till en part, t.ex. därför att parten är hans överordnade. Däremot torde den omstä</w:t>
      </w:r>
      <w:r w:rsidRPr="00896D4F">
        <w:t>n</w:t>
      </w:r>
      <w:r w:rsidRPr="00896D4F">
        <w:t>digheten att ett ärende rör en person som är underställd handläggaren inte nödvändigtvis utgöra skäl för att betrakta denne som jävig. Frågan om del</w:t>
      </w:r>
      <w:r w:rsidRPr="00896D4F">
        <w:t>i</w:t>
      </w:r>
      <w:r w:rsidRPr="00896D4F">
        <w:t>katessjäv kräver en samlad bedömning av omständigheterna i varje särskilt fall.</w:t>
      </w:r>
    </w:p>
    <w:p w:rsidR="009C1C5A" w:rsidRPr="00896D4F" w:rsidRDefault="009C1C5A">
      <w:pPr>
        <w:pStyle w:val="Normaltindrag"/>
      </w:pPr>
      <w:r w:rsidRPr="00896D4F">
        <w:t>Nämnden har i sitt yttrande tillbakavisat att Inger Bosson och barnets mor stod varandra personligen nära. Jag har inte underlag för att ifrågasätta den uppgiften. Eftersom de arbetade vid samm</w:t>
      </w:r>
      <w:r w:rsidRPr="00896D4F">
        <w:t>a avdelning inom en myndighet ligger det dock i sakens natur att de ändå hade viss kontakt med varandra. Såvitt framgår av utred</w:t>
      </w:r>
      <w:r w:rsidRPr="00896D4F">
        <w:softHyphen/>
        <w:t>ningen förelåg däremot inte någon nära relation i a</w:t>
      </w:r>
      <w:r w:rsidRPr="00896D4F">
        <w:t>r</w:t>
      </w:r>
      <w:r w:rsidRPr="00896D4F">
        <w:t>betet mellan dem. Enbart det förhållandet att barnets mor arbetade vid den avdelning där Inger Bosson var avdelningschef behövde därför, enligt min mening, inte ha utgjort ett hinder för Inger Bosson att handlägga ärendet och fatta beslutet, under förutsättning att föräldrarna var överens om att kontakt</w:t>
      </w:r>
      <w:r w:rsidRPr="00896D4F">
        <w:softHyphen/>
        <w:t xml:space="preserve">personen skulle bytas ut. </w:t>
      </w:r>
      <w:r w:rsidRPr="00896D4F">
        <w:t>Enligt journal</w:t>
      </w:r>
      <w:r w:rsidRPr="00896D4F">
        <w:softHyphen/>
        <w:t>anteckningarna var det emellertid Inger Bossons medarbetare, barnets mor, som kontaktade Inger Bosson och påtalade att kontaktpersonen, enligt hennes mening, avvek från vad som var avtalat mellan social</w:t>
      </w:r>
      <w:r w:rsidRPr="00896D4F">
        <w:softHyphen/>
        <w:t>nämnden och kontaktpersonen. Denna kontakt för</w:t>
      </w:r>
      <w:r w:rsidRPr="00896D4F">
        <w:softHyphen/>
        <w:t xml:space="preserve">anledde Inger Bosson att med kontaktpersonen ta upp frågan om uppdraget och, så småningom, entlediga kontaktpersonen. Detta skedde, som ovan framgått, utan att T.F:s uppfattning efterhördes. Oavsett den felaktiga handläggningen i denna del, fanns </w:t>
      </w:r>
      <w:r w:rsidRPr="00896D4F">
        <w:t>det en tydlig risk för att det skulle kunna uppkomma mis</w:t>
      </w:r>
      <w:r w:rsidRPr="00896D4F">
        <w:t>s</w:t>
      </w:r>
      <w:r w:rsidRPr="00896D4F">
        <w:t>tankar om att Inger Bosson inte var opartisk när hon handlade ärendet. Enligt min mening borde hon därför ha avstått från att hand</w:t>
      </w:r>
      <w:r w:rsidRPr="00896D4F">
        <w:softHyphen/>
        <w:t>lägga frågan om ent</w:t>
      </w:r>
      <w:r w:rsidRPr="00896D4F">
        <w:softHyphen/>
        <w:t xml:space="preserve">ledigande. </w:t>
      </w:r>
    </w:p>
    <w:p w:rsidR="009C1C5A" w:rsidRPr="00896D4F" w:rsidRDefault="009C1C5A">
      <w:pPr>
        <w:pStyle w:val="Rubrik4"/>
      </w:pPr>
      <w:r w:rsidRPr="00896D4F">
        <w:t>Övriga frågor</w:t>
      </w:r>
    </w:p>
    <w:p w:rsidR="009C1C5A" w:rsidRPr="00896D4F" w:rsidRDefault="009C1C5A">
      <w:r w:rsidRPr="00896D4F">
        <w:t>Socialnämnden har i sitt remissvar redogjort för ärendets gång i tiden efter läns</w:t>
      </w:r>
      <w:r w:rsidRPr="00896D4F">
        <w:softHyphen/>
        <w:t>styrelsens beslut. Nämnden har bl.a. anfört att det förelåg särskilda sv</w:t>
      </w:r>
      <w:r w:rsidRPr="00896D4F">
        <w:t>å</w:t>
      </w:r>
      <w:r w:rsidRPr="00896D4F">
        <w:t>righeter att finna en lämplig kontaktperson med hänsyn till uppdragets art och omfatt</w:t>
      </w:r>
      <w:r w:rsidRPr="00896D4F">
        <w:softHyphen/>
        <w:t>ning och mot bakgrund av att barnets mor var anställd vid socialfö</w:t>
      </w:r>
      <w:r w:rsidRPr="00896D4F">
        <w:t>r</w:t>
      </w:r>
      <w:r w:rsidRPr="00896D4F">
        <w:t>valtningen i Simris</w:t>
      </w:r>
      <w:r w:rsidRPr="00896D4F">
        <w:softHyphen/>
        <w:t>hamns kommun och T.F. var anställd vid socialförval</w:t>
      </w:r>
      <w:r w:rsidRPr="00896D4F">
        <w:t>t</w:t>
      </w:r>
      <w:r w:rsidRPr="00896D4F">
        <w:t>ningen i Ystads kommun. Jag finner inte anledning att ifrågasätta vad näm</w:t>
      </w:r>
      <w:r w:rsidRPr="00896D4F">
        <w:t>n</w:t>
      </w:r>
      <w:r w:rsidRPr="00896D4F">
        <w:t>den har anfört utan kan endast konstatera att det är otillfredsställande att det inte var möjligt att finna någon ny kontaktperson sedan A.</w:t>
      </w:r>
      <w:r w:rsidRPr="00896D4F">
        <w:t>B. hade entledigats från sitt uppdrag. Vad som har fram</w:t>
      </w:r>
      <w:r w:rsidRPr="00896D4F">
        <w:softHyphen/>
        <w:t xml:space="preserve">kommit i den delen föranleder emellertid inte någon kritik från min sida.   </w:t>
      </w:r>
    </w:p>
    <w:p w:rsidR="009C1C5A" w:rsidRPr="00896D4F" w:rsidRDefault="009C1C5A">
      <w:pPr>
        <w:pStyle w:val="Normaltindrag"/>
      </w:pPr>
      <w:r w:rsidRPr="00896D4F">
        <w:t xml:space="preserve">Vad T.F. har anfört i övrigt föranleder inte något uttalande. </w:t>
      </w:r>
    </w:p>
    <w:p w:rsidR="009C1C5A" w:rsidRPr="00896D4F" w:rsidRDefault="009C1C5A">
      <w:pPr>
        <w:pStyle w:val="Rubrik4"/>
      </w:pPr>
      <w:r w:rsidRPr="00896D4F">
        <w:t xml:space="preserve">Avslutning </w:t>
      </w:r>
    </w:p>
    <w:p w:rsidR="009C1C5A" w:rsidRPr="00896D4F" w:rsidRDefault="009C1C5A">
      <w:r w:rsidRPr="00896D4F">
        <w:t>Som framgår av det anförda anser jag – i likhet med Länsstyrelsen i Skåne län – dels att kontaktpersonen inte borde ha entledigats från sitt uppdrag utan att T.F:s uppfattning i saken efterhördes, dels att Inger Bosson på grund av del</w:t>
      </w:r>
      <w:r w:rsidRPr="00896D4F">
        <w:t>i</w:t>
      </w:r>
      <w:r w:rsidRPr="00896D4F">
        <w:t>katess</w:t>
      </w:r>
      <w:r w:rsidRPr="00896D4F">
        <w:softHyphen/>
      </w:r>
      <w:r w:rsidRPr="00896D4F">
        <w:softHyphen/>
        <w:t>jäv borde ha avstått från att handlägga frågan om entledigande. I övrigt har jag inte funnit skäl att uttala någon kritik mot Socialnämnden i Simri</w:t>
      </w:r>
      <w:r w:rsidRPr="00896D4F">
        <w:t>s</w:t>
      </w:r>
      <w:r w:rsidRPr="00896D4F">
        <w:t xml:space="preserve">hamns kommun eller någon av nämndens tjänstemän. </w:t>
      </w:r>
    </w:p>
    <w:p w:rsidR="009C1C5A" w:rsidRPr="00896D4F" w:rsidRDefault="009C1C5A">
      <w:pPr>
        <w:pStyle w:val="Normaltindrag"/>
      </w:pPr>
      <w:r w:rsidRPr="00896D4F">
        <w:t>Jag har i detta ärende dock funnit anledning att peka på vissa oklarheter när det gäller formerna för socialnämn</w:t>
      </w:r>
      <w:r w:rsidRPr="00896D4F">
        <w:softHyphen/>
        <w:t>dernas hand</w:t>
      </w:r>
      <w:r w:rsidRPr="00896D4F">
        <w:softHyphen/>
        <w:t>läggning i de fall domstol har förordnat om umgänge under med</w:t>
      </w:r>
      <w:r w:rsidRPr="00896D4F">
        <w:softHyphen/>
        <w:t>verkan av en kontakt</w:t>
      </w:r>
      <w:r w:rsidRPr="00896D4F">
        <w:softHyphen/>
        <w:t>person som skall utses av socialnämnden. Som framgår av det anförda kan av</w:t>
      </w:r>
      <w:r w:rsidRPr="00896D4F">
        <w:softHyphen/>
        <w:t>saknaden av fo</w:t>
      </w:r>
      <w:r w:rsidRPr="00896D4F">
        <w:t>r</w:t>
      </w:r>
      <w:r w:rsidRPr="00896D4F">
        <w:t>mella regler innebära svårigheter i en rad hänseenden beroende av hur socia</w:t>
      </w:r>
      <w:r w:rsidRPr="00896D4F">
        <w:t>l</w:t>
      </w:r>
      <w:r w:rsidRPr="00896D4F">
        <w:t>nämnden behandlar saken. De oklarheter som för när</w:t>
      </w:r>
      <w:r w:rsidRPr="00896D4F">
        <w:softHyphen/>
        <w:t>varande före</w:t>
      </w:r>
      <w:r w:rsidRPr="00896D4F">
        <w:softHyphen/>
        <w:t>ligger kan ytterst få olyckliga konsekvenser för domstolarnas och social</w:t>
      </w:r>
      <w:r w:rsidRPr="00896D4F">
        <w:softHyphen/>
        <w:t>nämndernas möjlig</w:t>
      </w:r>
      <w:r w:rsidRPr="00896D4F">
        <w:softHyphen/>
        <w:t>heter att tillgodose barnets behov av en nära och god kontakt med båda sina föräl</w:t>
      </w:r>
      <w:r w:rsidRPr="00896D4F">
        <w:softHyphen/>
        <w:t xml:space="preserve">drar. Det är </w:t>
      </w:r>
      <w:r w:rsidRPr="00896D4F">
        <w:t>givetvis också en viktig rättssäkerhets</w:t>
      </w:r>
      <w:r w:rsidRPr="00896D4F">
        <w:softHyphen/>
        <w:t>fråga för såväl barnet som föräl</w:t>
      </w:r>
      <w:r w:rsidRPr="00896D4F">
        <w:softHyphen/>
        <w:t>d</w:t>
      </w:r>
      <w:r w:rsidRPr="00896D4F">
        <w:softHyphen/>
        <w:t>rarna att det finns bestämmelser i formellt hänseende som bidrar till enhetlig rätts</w:t>
      </w:r>
      <w:r w:rsidRPr="00896D4F">
        <w:softHyphen/>
        <w:t xml:space="preserve">tillämpning och handläggning. </w:t>
      </w:r>
    </w:p>
    <w:p w:rsidR="009C1C5A" w:rsidRPr="00896D4F" w:rsidRDefault="009C1C5A">
      <w:pPr>
        <w:pStyle w:val="Normaltindrag"/>
      </w:pPr>
      <w:r w:rsidRPr="00896D4F">
        <w:t xml:space="preserve">Jag har inhämtat att Justitiedepartementet avser att tillsätta en utredning som skall se över vissa vårdnadsfrågor (se regeringens skrivelse 1999/2000:137 s. 79 f.). Departementet har upplyst att arbetet är inriktat på att direktiv till en sådan utredning skall kunna beslutas före sommaren 2002. Jag finner det lämpligt </w:t>
      </w:r>
      <w:r w:rsidRPr="00896D4F">
        <w:t>att översända en kopia av detta beslut till Justitie</w:t>
      </w:r>
      <w:r w:rsidRPr="00896D4F">
        <w:softHyphen/>
        <w:t>departementet.</w:t>
      </w:r>
    </w:p>
    <w:p w:rsidR="009C1C5A" w:rsidRPr="00896D4F" w:rsidRDefault="009C1C5A">
      <w:pPr>
        <w:pStyle w:val="Rubrik3"/>
        <w:rPr>
          <w:b w:val="0"/>
          <w:sz w:val="23"/>
        </w:rPr>
      </w:pPr>
      <w:r w:rsidRPr="00896D4F">
        <w:br w:type="page"/>
      </w:r>
      <w:r w:rsidRPr="00896D4F">
        <w:rPr>
          <w:b w:val="0"/>
          <w:sz w:val="23"/>
        </w:rPr>
        <w:t>Fråga om en socialnämnds möjlighet att bistå en dansk social myndighet med uppgifter rörande ett barn som var tvångs-omhändertaget i Danmark men som vistades i Sverige</w:t>
      </w:r>
    </w:p>
    <w:p w:rsidR="009C1C5A" w:rsidRPr="00896D4F" w:rsidRDefault="009C1C5A">
      <w:r w:rsidRPr="00896D4F">
        <w:t>(Dnr 3801-2000)</w:t>
      </w:r>
    </w:p>
    <w:p w:rsidR="009C1C5A" w:rsidRPr="00896D4F" w:rsidRDefault="009C1C5A">
      <w:r w:rsidRPr="00896D4F">
        <w:t>I en anmälan till JO framförde M.B.N. klagomål mot socialförvaltningen i Åstorps kommun. Klagomålen avsåg sammanfattningsvis att förvaltningen, efter  kontakt från polisen och på uppdrag av Rødovre kommune i Danmark, vidtog åtgärder för att utreda hennes dotters (L.) förhål</w:t>
      </w:r>
      <w:r w:rsidRPr="00896D4F">
        <w:softHyphen/>
        <w:t>landen, utan behörighet och utan att det fanns skäl till det. M.B.N. fram</w:t>
      </w:r>
      <w:r w:rsidRPr="00896D4F">
        <w:softHyphen/>
        <w:t>förde även klagomål mot bl.a. kränkande behandling, uteblivna svar på skriftliga frågor, bristande dok</w:t>
      </w:r>
      <w:r w:rsidRPr="00896D4F">
        <w:t>u</w:t>
      </w:r>
      <w:r w:rsidRPr="00896D4F">
        <w:t>mentation och vägran att låta henne få ta del av person</w:t>
      </w:r>
      <w:r w:rsidRPr="00896D4F">
        <w:softHyphen/>
        <w:t xml:space="preserve">akten och handlingarna i den. </w:t>
      </w:r>
    </w:p>
    <w:p w:rsidR="009C1C5A" w:rsidRPr="00896D4F" w:rsidRDefault="009C1C5A">
      <w:pPr>
        <w:pStyle w:val="Normaltindrag"/>
      </w:pPr>
      <w:r w:rsidRPr="00896D4F">
        <w:t>Inledningsvis inhämtades per telefon upplysningar från 1:e socialsekreter</w:t>
      </w:r>
      <w:r w:rsidRPr="00896D4F">
        <w:t>a</w:t>
      </w:r>
      <w:r w:rsidRPr="00896D4F">
        <w:t>ren Gunborg Roos vid socialförvaltningen i Åstorps kommun.</w:t>
      </w:r>
    </w:p>
    <w:p w:rsidR="009C1C5A" w:rsidRPr="00896D4F" w:rsidRDefault="009C1C5A">
      <w:pPr>
        <w:pStyle w:val="Normaltindrag"/>
      </w:pPr>
      <w:r w:rsidRPr="00896D4F">
        <w:t>Därefter anmodades Socialnämnden i Åstorps kommun att inkomma med utred</w:t>
      </w:r>
      <w:r w:rsidRPr="00896D4F">
        <w:softHyphen/>
        <w:t>ning och yttrande över vad som framfördes i anmälan.</w:t>
      </w:r>
    </w:p>
    <w:p w:rsidR="009C1C5A" w:rsidRPr="00896D4F" w:rsidRDefault="009C1C5A">
      <w:pPr>
        <w:pStyle w:val="Normaltindrag"/>
      </w:pPr>
      <w:r w:rsidRPr="00896D4F">
        <w:t>Under remisstiden inkom en kompletterande skrivelse från M.B.N. Skr</w:t>
      </w:r>
      <w:r w:rsidRPr="00896D4F">
        <w:t>i</w:t>
      </w:r>
      <w:r w:rsidRPr="00896D4F">
        <w:t>velsen översändes till nämnden för att beaktas vid besvarandet av remissen.</w:t>
      </w:r>
    </w:p>
    <w:p w:rsidR="009C1C5A" w:rsidRPr="00896D4F" w:rsidRDefault="009C1C5A">
      <w:pPr>
        <w:pStyle w:val="Normaltindrag"/>
      </w:pPr>
      <w:r w:rsidRPr="00896D4F">
        <w:t xml:space="preserve">Socialnämndens arbetsutskott antog en tjänstemannaskrivelse, upprättad av 1:e socialsekreteraren Gunborg Roos, som sitt eget remissvar. I skrivelsen anfördes följande (hänvisningar till bilagor har här utelämnats).   </w:t>
      </w:r>
    </w:p>
    <w:p w:rsidR="009C1C5A" w:rsidRPr="00896D4F" w:rsidRDefault="009C1C5A">
      <w:pPr>
        <w:pStyle w:val="Rubrik4"/>
      </w:pPr>
      <w:r w:rsidRPr="00896D4F">
        <w:t>Sammanfattning av mina kontakter med M.B.N. och Rödovre kommune:</w:t>
      </w:r>
    </w:p>
    <w:p w:rsidR="009C1C5A" w:rsidRPr="00896D4F" w:rsidRDefault="009C1C5A">
      <w:pPr>
        <w:pStyle w:val="Citat"/>
      </w:pPr>
      <w:r w:rsidRPr="00896D4F">
        <w:t>I början av sept 00 ringde polisen Ängelholm till socialkontoret i Åstorp och bad om assistans vid hämtning av en 11-årig flicka, omhändertagen av danska myndigheter. Dansk polis hade hänvänt sig till svensk polis. Polisen föreslog hämtning på dagtid.</w:t>
      </w:r>
    </w:p>
    <w:p w:rsidR="009C1C5A" w:rsidRPr="00896D4F" w:rsidRDefault="009C1C5A">
      <w:pPr>
        <w:pStyle w:val="Citatindrag"/>
      </w:pPr>
      <w:r w:rsidRPr="00896D4F">
        <w:t>Jag tog reda på att flickan fanns i kommunen och hade börjat skolan i N</w:t>
      </w:r>
      <w:r w:rsidRPr="00896D4F">
        <w:t>y</w:t>
      </w:r>
      <w:r w:rsidRPr="00896D4F">
        <w:t>vång. Jag ringde tillbaka till polisen och framförde min åsikt, att det var olämpligt, ur barnets synpunkt, att främmande personer skulle verkställa hämtning. Jag rådde polisen att kontakta ansvarig kommun i Da</w:t>
      </w:r>
      <w:r w:rsidRPr="00896D4F">
        <w:t>n</w:t>
      </w:r>
      <w:r w:rsidRPr="00896D4F">
        <w:t>mark.</w:t>
      </w:r>
    </w:p>
    <w:p w:rsidR="009C1C5A" w:rsidRPr="00896D4F" w:rsidRDefault="009C1C5A">
      <w:pPr>
        <w:pStyle w:val="Citatindrag"/>
      </w:pPr>
      <w:r w:rsidRPr="00896D4F">
        <w:t>000915 får vi begäran från Rödovre kommune att undersöka förhållandena kring den omhänder</w:t>
      </w:r>
      <w:r w:rsidRPr="00896D4F">
        <w:softHyphen/>
        <w:t>tagna flickan L:s skolgång, för att Rödovre därefter skulle ta ställning om L. skulle hämtas eller om beslutet om omhänderta</w:t>
      </w:r>
      <w:r w:rsidRPr="00896D4F">
        <w:softHyphen/>
        <w:t>gande skulle hävas.</w:t>
      </w:r>
    </w:p>
    <w:p w:rsidR="009C1C5A" w:rsidRPr="00896D4F" w:rsidRDefault="009C1C5A">
      <w:pPr>
        <w:pStyle w:val="Citatindrag"/>
      </w:pPr>
      <w:r w:rsidRPr="00896D4F">
        <w:t xml:space="preserve">Jag tillskriver modern </w:t>
      </w:r>
      <w:r w:rsidRPr="00896D4F">
        <w:rPr>
          <w:i/>
        </w:rPr>
        <w:t>M.B.N.</w:t>
      </w:r>
      <w:r w:rsidRPr="00896D4F">
        <w:t xml:space="preserve"> om Rödovre kommunes be</w:t>
      </w:r>
      <w:r w:rsidRPr="00896D4F">
        <w:softHyphen/>
        <w:t>gäran och erbj</w:t>
      </w:r>
      <w:r w:rsidRPr="00896D4F">
        <w:t>u</w:t>
      </w:r>
      <w:r w:rsidRPr="00896D4F">
        <w:t>der henne tid för besök på socialkontoret. 000925 träffar jag och kollegan Eva Calvert modern, som uppger att dottern L. mår bra och trivs i skolan i N</w:t>
      </w:r>
      <w:r w:rsidRPr="00896D4F">
        <w:t>y</w:t>
      </w:r>
      <w:r w:rsidRPr="00896D4F">
        <w:t>vång. Modern medger på min förfrågan ett hembesök. 001003 träffar vi L. och modern i hemmet. L. berättar lite om skolan. Modern uttrycker sin ilska över danska myndigheters agerande och hävdar att de handlar juridiskt fela</w:t>
      </w:r>
      <w:r w:rsidRPr="00896D4F">
        <w:t>k</w:t>
      </w:r>
      <w:r w:rsidRPr="00896D4F">
        <w:t>tigt.</w:t>
      </w:r>
    </w:p>
    <w:p w:rsidR="009C1C5A" w:rsidRPr="00896D4F" w:rsidRDefault="009C1C5A">
      <w:pPr>
        <w:pStyle w:val="Citatindrag"/>
      </w:pPr>
      <w:r w:rsidRPr="00896D4F">
        <w:t>Efter telefonsamtal med skolans rektor meddelar jag per telefon Rödovre kommune att L.</w:t>
      </w:r>
      <w:r w:rsidRPr="00896D4F">
        <w:t xml:space="preserve"> har en fungerande skolgång.</w:t>
      </w:r>
    </w:p>
    <w:p w:rsidR="009C1C5A" w:rsidRPr="00896D4F" w:rsidRDefault="009C1C5A">
      <w:pPr>
        <w:pStyle w:val="Citatindrag"/>
      </w:pPr>
      <w:r w:rsidRPr="00896D4F">
        <w:t>Vi bedömer att det ej finns anledning från Åstorps socialtjänst sida att öppna någon utredning angående L:s förhållanden.</w:t>
      </w:r>
    </w:p>
    <w:p w:rsidR="009C1C5A" w:rsidRPr="00896D4F" w:rsidRDefault="009C1C5A">
      <w:pPr>
        <w:pStyle w:val="Citatindrag"/>
      </w:pPr>
      <w:r w:rsidRPr="00896D4F">
        <w:t>Rödovre kommune önskar dock ett möte med skolpersonal och jag sam</w:t>
      </w:r>
      <w:r w:rsidRPr="00896D4F">
        <w:softHyphen/>
        <w:t>mankallar rektorn för Nyvångsskola, moderns juridiska ombud (M.B.N. hade avsagt sig närvaro) och representanter från Rödovre kommune 001024. T</w:t>
      </w:r>
      <w:r w:rsidRPr="00896D4F">
        <w:t>y</w:t>
      </w:r>
      <w:r w:rsidRPr="00896D4F">
        <w:t>värr ger Rödovre kommune återbud med kort varsel.</w:t>
      </w:r>
    </w:p>
    <w:p w:rsidR="009C1C5A" w:rsidRPr="00896D4F" w:rsidRDefault="009C1C5A">
      <w:pPr>
        <w:pStyle w:val="Citatindrag"/>
      </w:pPr>
      <w:r w:rsidRPr="00896D4F">
        <w:t>001107 kommer mötet till stånd på socialkontoret i Åstorp. Handläggarna från Rödovre kommune får information av rektorn om L:s skolsituation. Handläggarna ber mig att brevledes samman</w:t>
      </w:r>
      <w:r w:rsidRPr="00896D4F">
        <w:softHyphen/>
        <w:t>fatta min kontakt med dem och deras ärende.</w:t>
      </w:r>
    </w:p>
    <w:p w:rsidR="009C1C5A" w:rsidRPr="00896D4F" w:rsidRDefault="009C1C5A">
      <w:pPr>
        <w:pStyle w:val="Citatindrag"/>
      </w:pPr>
      <w:r w:rsidRPr="00896D4F">
        <w:t>010105 erhåller vi för kännedom från Rödovre kommune kopia av brev till modern  M.B.N., om att de beslutat häva omhändertagan</w:t>
      </w:r>
      <w:r w:rsidRPr="00896D4F">
        <w:softHyphen/>
        <w:t>det av dottern L.</w:t>
      </w:r>
    </w:p>
    <w:p w:rsidR="009C1C5A" w:rsidRPr="00896D4F" w:rsidRDefault="009C1C5A">
      <w:pPr>
        <w:pStyle w:val="Rubrik4"/>
      </w:pPr>
      <w:r w:rsidRPr="00896D4F">
        <w:t>Svar på frågor i JO-anmälningen:</w:t>
      </w:r>
    </w:p>
    <w:p w:rsidR="009C1C5A" w:rsidRPr="00896D4F" w:rsidRDefault="009C1C5A">
      <w:pPr>
        <w:pStyle w:val="Citat"/>
      </w:pPr>
      <w:r w:rsidRPr="00896D4F">
        <w:t>Samtliga frågor som M.B.N. enligt JO-anmälan ställt till mig, har hon fått svar på muntligen.</w:t>
      </w:r>
    </w:p>
    <w:p w:rsidR="009C1C5A" w:rsidRPr="00896D4F" w:rsidRDefault="009C1C5A">
      <w:pPr>
        <w:pStyle w:val="Citatindrag"/>
      </w:pPr>
      <w:r w:rsidRPr="00896D4F">
        <w:t>Då vi ej har något ärende har vi ej heller något aktmaterial att ha insyn i. Vi har sparat kopior på brevväxling samt kopia från Rödovre komm</w:t>
      </w:r>
      <w:r w:rsidRPr="00896D4F">
        <w:t>u</w:t>
      </w:r>
      <w:r w:rsidRPr="00896D4F">
        <w:t>nes om</w:t>
      </w:r>
      <w:r w:rsidRPr="00896D4F">
        <w:softHyphen/>
        <w:t>händertagandebeslut från 000731. Allt detta kommer att malas efter JO:s granskning.</w:t>
      </w:r>
    </w:p>
    <w:p w:rsidR="009C1C5A" w:rsidRPr="00896D4F" w:rsidRDefault="009C1C5A">
      <w:pPr>
        <w:pStyle w:val="Citatindrag"/>
      </w:pPr>
      <w:r w:rsidRPr="00896D4F">
        <w:t>Vi har utgått från att företrädarna för Rödovre kommune handlar enligt danska lagstiftningen. Vi har på den danska kommunens begäran, varit dem behjälplig i kontakten med L:s skola och hem.</w:t>
      </w:r>
    </w:p>
    <w:p w:rsidR="009C1C5A" w:rsidRPr="00896D4F" w:rsidRDefault="009C1C5A">
      <w:pPr>
        <w:pStyle w:val="Citatindrag"/>
      </w:pPr>
      <w:r w:rsidRPr="00896D4F">
        <w:t>Vi har bedömt att det ej finns skäl att öppna ärende i Åstorps ko</w:t>
      </w:r>
      <w:r w:rsidRPr="00896D4F">
        <w:t>m</w:t>
      </w:r>
      <w:r w:rsidRPr="00896D4F">
        <w:t>mun.</w:t>
      </w:r>
    </w:p>
    <w:p w:rsidR="009C1C5A" w:rsidRPr="00896D4F" w:rsidRDefault="009C1C5A">
      <w:pPr>
        <w:pStyle w:val="Citatindrag"/>
      </w:pPr>
      <w:r w:rsidRPr="00896D4F">
        <w:t>Jag har sammanlagt träffat M.B.N. 1 ½ timme vid två till</w:t>
      </w:r>
      <w:r w:rsidRPr="00896D4F">
        <w:softHyphen/>
        <w:t>fällen, samt skr</w:t>
      </w:r>
      <w:r w:rsidRPr="00896D4F">
        <w:t>i</w:t>
      </w:r>
      <w:r w:rsidRPr="00896D4F">
        <w:t>vit brev (som hon lämnat Er kopior på). Jag har erhållit ett flertal långa, i</w:t>
      </w:r>
      <w:r w:rsidRPr="00896D4F">
        <w:t>n</w:t>
      </w:r>
      <w:r w:rsidRPr="00896D4F">
        <w:t>dignerande och för mig krän</w:t>
      </w:r>
      <w:r w:rsidRPr="00896D4F">
        <w:softHyphen/>
        <w:t>kande brev, delvis obegripliga undertecknade av M.B.N.</w:t>
      </w:r>
    </w:p>
    <w:p w:rsidR="009C1C5A" w:rsidRPr="00896D4F" w:rsidRDefault="009C1C5A">
      <w:pPr>
        <w:pStyle w:val="Citatindrag"/>
      </w:pPr>
      <w:r w:rsidRPr="00896D4F">
        <w:t>Anklagelserna om rasism och danskhat smärtar mig och är  helt grundlösa.</w:t>
      </w:r>
    </w:p>
    <w:p w:rsidR="009C1C5A" w:rsidRPr="00896D4F" w:rsidRDefault="009C1C5A">
      <w:pPr>
        <w:pStyle w:val="Citatindrag"/>
      </w:pPr>
      <w:r w:rsidRPr="00896D4F">
        <w:t>Socialchef Birgitta Roupe har även fått kopior av ovannämnda brev. Soc</w:t>
      </w:r>
      <w:r w:rsidRPr="00896D4F">
        <w:t>i</w:t>
      </w:r>
      <w:r w:rsidRPr="00896D4F">
        <w:t>al</w:t>
      </w:r>
      <w:r w:rsidRPr="00896D4F">
        <w:softHyphen/>
        <w:t>chefen har svarat M.B.N.</w:t>
      </w:r>
    </w:p>
    <w:p w:rsidR="009C1C5A" w:rsidRPr="00896D4F" w:rsidRDefault="009C1C5A">
      <w:r w:rsidRPr="00896D4F">
        <w:t>M.B.N. yttrade sig över remissvaret. I samband därmed utvidgade hon klago</w:t>
      </w:r>
      <w:r w:rsidRPr="00896D4F">
        <w:softHyphen/>
        <w:t>målen mot socialförvaltningen i Åstorps kommun. Såsom det får förstås fram</w:t>
      </w:r>
      <w:r w:rsidRPr="00896D4F">
        <w:softHyphen/>
        <w:t>förde hon även synpunkter på polisen (Polismyndigheten i Skåne län, närp</w:t>
      </w:r>
      <w:r w:rsidRPr="00896D4F">
        <w:t>o</w:t>
      </w:r>
      <w:r w:rsidRPr="00896D4F">
        <w:t>lis</w:t>
      </w:r>
      <w:r w:rsidRPr="00896D4F">
        <w:softHyphen/>
        <w:t xml:space="preserve">område Ängelholm) angående handläggningen av en fråga om ”aktinsyn”.  </w:t>
      </w:r>
    </w:p>
    <w:p w:rsidR="009C1C5A" w:rsidRPr="00896D4F" w:rsidRDefault="009C1C5A">
      <w:r w:rsidRPr="00896D4F">
        <w:t xml:space="preserve">I ett beslut den 25 mars 2002 anförde </w:t>
      </w:r>
      <w:r w:rsidRPr="00896D4F">
        <w:rPr>
          <w:i/>
        </w:rPr>
        <w:t>JO André</w:t>
      </w:r>
      <w:r w:rsidRPr="00896D4F">
        <w:t xml:space="preserve"> följande. </w:t>
      </w:r>
    </w:p>
    <w:p w:rsidR="009C1C5A" w:rsidRPr="00896D4F" w:rsidRDefault="009C1C5A">
      <w:r w:rsidRPr="00896D4F">
        <w:t>Den 1 januari 2002 trädde en ny socialtjänstlag i kraft (2001:453). I förev</w:t>
      </w:r>
      <w:r w:rsidRPr="00896D4F">
        <w:t>a</w:t>
      </w:r>
      <w:r w:rsidRPr="00896D4F">
        <w:t>rande ärende behandlas händelser och omständigheter som ägde rum under den tid social</w:t>
      </w:r>
      <w:r w:rsidRPr="00896D4F">
        <w:softHyphen/>
      </w:r>
      <w:r w:rsidRPr="00896D4F">
        <w:softHyphen/>
        <w:t>tjänstlagen (1980:620) var gällande. Jag har emellertid valt att i beslutet hänvisa till den nya socialtjänstlagen, som – i de avseenden som här be</w:t>
      </w:r>
      <w:r w:rsidRPr="00896D4F">
        <w:softHyphen/>
        <w:t xml:space="preserve">handlas – inte har inneburit någon förändring i sakligt hänseende. </w:t>
      </w:r>
    </w:p>
    <w:p w:rsidR="009C1C5A" w:rsidRPr="00896D4F" w:rsidRDefault="009C1C5A">
      <w:pPr>
        <w:pStyle w:val="Rubrik4"/>
      </w:pPr>
      <w:r w:rsidRPr="00896D4F">
        <w:t>Socialförvaltningens agerande när polisen bad om assistans</w:t>
      </w:r>
    </w:p>
    <w:p w:rsidR="009C1C5A" w:rsidRPr="00896D4F" w:rsidRDefault="009C1C5A">
      <w:r w:rsidRPr="00896D4F">
        <w:t>De nordiska länderna har sedan den 1 januari 1971 i huvudsak överensstä</w:t>
      </w:r>
      <w:r w:rsidRPr="00896D4F">
        <w:t>m</w:t>
      </w:r>
      <w:r w:rsidRPr="00896D4F">
        <w:t>mande lagstiftning såvitt avser utlämning för verkställighet av beslut om vård eller behandling från ett nordiskt land till ett annat. I lagen (1970:375) om utlämning till Danmark, Finland, Island eller Norge för verkställighet av b</w:t>
      </w:r>
      <w:r w:rsidRPr="00896D4F">
        <w:t>e</w:t>
      </w:r>
      <w:r w:rsidRPr="00896D4F">
        <w:t>slut om vård eller behandling anges i vilka fall utlämnande från Sverige får ske till annat nordiskt land av den som enligt beslut av myndighet i det landet skall vara omhändertagen för vård eller behandling. Till utlämningslagen ansluter kungörelsen (1970:710) om ut</w:t>
      </w:r>
      <w:r w:rsidRPr="00896D4F">
        <w:softHyphen/>
        <w:t>lämning ti</w:t>
      </w:r>
      <w:r w:rsidRPr="00896D4F">
        <w:t>ll eller från Danmark, Fi</w:t>
      </w:r>
      <w:r w:rsidRPr="00896D4F">
        <w:t>n</w:t>
      </w:r>
      <w:r w:rsidRPr="00896D4F">
        <w:t>land, Island eller Norge för verkställig</w:t>
      </w:r>
      <w:r w:rsidRPr="00896D4F">
        <w:softHyphen/>
        <w:t>het av beslut om vård eller behandling. Enligt lagstiftningen gäller följande.</w:t>
      </w:r>
    </w:p>
    <w:p w:rsidR="009C1C5A" w:rsidRPr="00896D4F" w:rsidRDefault="009C1C5A">
      <w:pPr>
        <w:pStyle w:val="Normaltindrag"/>
      </w:pPr>
      <w:r w:rsidRPr="00896D4F">
        <w:t>En framställning om utlämnande skall göras av polismyndigheten i det land där beslutet om vård eller behandling har fattats. När det gäller en person som vistas i Sverige skall en sådan framställning göras hos polis</w:t>
      </w:r>
      <w:r w:rsidRPr="00896D4F">
        <w:softHyphen/>
        <w:t>myndigheten i den ort där den som begärs ut</w:t>
      </w:r>
      <w:r w:rsidRPr="00896D4F">
        <w:softHyphen/>
        <w:t>lämnad uppehåller sig, eller, om uppehållso</w:t>
      </w:r>
      <w:r w:rsidRPr="00896D4F">
        <w:t>r</w:t>
      </w:r>
      <w:r w:rsidRPr="00896D4F">
        <w:t>ten är okänd, till Riks</w:t>
      </w:r>
      <w:r w:rsidRPr="00896D4F">
        <w:softHyphen/>
        <w:t>polisstyrelsen. Om polismyndigheten finner att villkoren för utlämning är upp</w:t>
      </w:r>
      <w:r w:rsidRPr="00896D4F">
        <w:softHyphen/>
        <w:t>fyllda och att utlämning inte bör vägras av något annat skäl, får polismyndigheten meddela beslut om utlämning. För det fall poli</w:t>
      </w:r>
      <w:r w:rsidRPr="00896D4F">
        <w:t>s</w:t>
      </w:r>
      <w:r w:rsidRPr="00896D4F">
        <w:t>myndig</w:t>
      </w:r>
      <w:r w:rsidRPr="00896D4F">
        <w:softHyphen/>
        <w:t>heten inte förordnar om utlämning, skall handlingarna skyndsamt sändas till vederbörande länsrätt som beslutar i ärendet. Verkställighet av beslut om utlämning ankommer på polis</w:t>
      </w:r>
      <w:r w:rsidRPr="00896D4F">
        <w:softHyphen/>
        <w:t>myndig</w:t>
      </w:r>
      <w:r w:rsidRPr="00896D4F">
        <w:t xml:space="preserve">heten i den ort där den som beslutet rör uppehåller sig. </w:t>
      </w:r>
    </w:p>
    <w:p w:rsidR="009C1C5A" w:rsidRPr="00896D4F" w:rsidRDefault="009C1C5A">
      <w:pPr>
        <w:pStyle w:val="Normaltindrag"/>
      </w:pPr>
      <w:r w:rsidRPr="00896D4F">
        <w:t>Lagstiftningen utgår från att man i de nordiska länderna respekterar va</w:t>
      </w:r>
      <w:r w:rsidRPr="00896D4F">
        <w:t>r</w:t>
      </w:r>
      <w:r w:rsidRPr="00896D4F">
        <w:t>andras vård</w:t>
      </w:r>
      <w:r w:rsidRPr="00896D4F">
        <w:softHyphen/>
      </w:r>
      <w:r w:rsidRPr="00896D4F">
        <w:softHyphen/>
        <w:t>lagar på berörda områden. Utlämningsförfarandet har därför nä</w:t>
      </w:r>
      <w:r w:rsidRPr="00896D4F">
        <w:t>r</w:t>
      </w:r>
      <w:r w:rsidRPr="00896D4F">
        <w:t>mast ut</w:t>
      </w:r>
      <w:r w:rsidRPr="00896D4F">
        <w:softHyphen/>
        <w:t>formats som en slags handräckning, varvid den beslutande myndigh</w:t>
      </w:r>
      <w:r w:rsidRPr="00896D4F">
        <w:t>e</w:t>
      </w:r>
      <w:r w:rsidRPr="00896D4F">
        <w:t>ten i huvud</w:t>
      </w:r>
      <w:r w:rsidRPr="00896D4F">
        <w:softHyphen/>
        <w:t>sak skall begränsa sin prövning till att konstatera att vissa formella förut</w:t>
      </w:r>
      <w:r w:rsidRPr="00896D4F">
        <w:softHyphen/>
        <w:t>sättningar är för handen. Någon överprövning av om det andra landets beslut om omhänder</w:t>
      </w:r>
      <w:r w:rsidRPr="00896D4F">
        <w:softHyphen/>
        <w:t>tagande är sakligt motiverat bör därför i princip inte komma i fråga. Det finns dock ett begränsat utrymme för att beakta omstä</w:t>
      </w:r>
      <w:r w:rsidRPr="00896D4F">
        <w:t>n</w:t>
      </w:r>
      <w:r w:rsidRPr="00896D4F">
        <w:t>dig</w:t>
      </w:r>
      <w:r w:rsidRPr="00896D4F">
        <w:softHyphen/>
        <w:t>heter som talar för att det utländska beslutet ändå in</w:t>
      </w:r>
      <w:r w:rsidRPr="00896D4F">
        <w:t>te bör leda till utlä</w:t>
      </w:r>
      <w:r w:rsidRPr="00896D4F">
        <w:t>m</w:t>
      </w:r>
      <w:r w:rsidRPr="00896D4F">
        <w:t>ning. I förarbetena till lagstiftningen (prop. 1970:30 s. 36) förutsätts att polis</w:t>
      </w:r>
      <w:r w:rsidRPr="00896D4F">
        <w:softHyphen/>
        <w:t>myndigheten vid en begäran om utlämning samråder med de svenska my</w:t>
      </w:r>
      <w:r w:rsidRPr="00896D4F">
        <w:t>n</w:t>
      </w:r>
      <w:r w:rsidRPr="00896D4F">
        <w:t>digheter som har ansvaret för mot</w:t>
      </w:r>
      <w:r w:rsidRPr="00896D4F">
        <w:softHyphen/>
        <w:t>svarande beslut här i landet, främst när det gäller utläm</w:t>
      </w:r>
      <w:r w:rsidRPr="00896D4F">
        <w:softHyphen/>
        <w:t>ning av någon som har ett framträdande vård</w:t>
      </w:r>
      <w:r w:rsidRPr="00896D4F">
        <w:softHyphen/>
        <w:t>behov.</w:t>
      </w:r>
    </w:p>
    <w:p w:rsidR="009C1C5A" w:rsidRPr="00896D4F" w:rsidRDefault="009C1C5A">
      <w:pPr>
        <w:pStyle w:val="Normaltindrag"/>
      </w:pPr>
      <w:r w:rsidRPr="00896D4F">
        <w:t>Av utredningen framgår att polismyndigheten kontaktade socialförval</w:t>
      </w:r>
      <w:r w:rsidRPr="00896D4F">
        <w:t>t</w:t>
      </w:r>
      <w:r w:rsidRPr="00896D4F">
        <w:t>ningen i Åstorps kommun och bad om assistans vid hämtning av en 11-årig flicka (L.) som var omhändertagen av danska myndigheter. L. var vid den tidpunkten, genom beslut av Rødovre kommune den 31 juli 2000, placerad på Børne</w:t>
      </w:r>
      <w:r w:rsidRPr="00896D4F">
        <w:softHyphen/>
        <w:t>pensionen Ågården utan sam</w:t>
      </w:r>
      <w:r w:rsidRPr="00896D4F">
        <w:softHyphen/>
        <w:t>tycke. Social</w:t>
      </w:r>
      <w:r w:rsidRPr="00896D4F">
        <w:softHyphen/>
        <w:t>förvaltningen gjorde den bedömningen att det var bättre för L. om för barnet kända personer medve</w:t>
      </w:r>
      <w:r w:rsidRPr="00896D4F">
        <w:t>r</w:t>
      </w:r>
      <w:r w:rsidRPr="00896D4F">
        <w:t>kade vid verkställigheten. Socialförvalt</w:t>
      </w:r>
      <w:r w:rsidRPr="00896D4F">
        <w:softHyphen/>
        <w:t xml:space="preserve">ningens bedömning och agerande under detta skede föranleder inte någon kritik från min sida.  </w:t>
      </w:r>
    </w:p>
    <w:p w:rsidR="009C1C5A" w:rsidRPr="00896D4F" w:rsidRDefault="009C1C5A">
      <w:pPr>
        <w:pStyle w:val="Rubrik4"/>
      </w:pPr>
      <w:r w:rsidRPr="00896D4F">
        <w:t>Socialförval</w:t>
      </w:r>
      <w:r w:rsidRPr="00896D4F">
        <w:t xml:space="preserve">tningens fortsatta agerande i saken </w:t>
      </w:r>
    </w:p>
    <w:p w:rsidR="009C1C5A" w:rsidRPr="00896D4F" w:rsidRDefault="009C1C5A">
      <w:r w:rsidRPr="00896D4F">
        <w:t>Den 15 september 2000 erhöll socialförvaltningen i Åstorps kommun en b</w:t>
      </w:r>
      <w:r w:rsidRPr="00896D4F">
        <w:t>e</w:t>
      </w:r>
      <w:r w:rsidRPr="00896D4F">
        <w:t>gäran från Rødovre kommune om att ”ivärksätte en undersögelse av forho</w:t>
      </w:r>
      <w:r w:rsidRPr="00896D4F">
        <w:t>l</w:t>
      </w:r>
      <w:r w:rsidRPr="00896D4F">
        <w:t xml:space="preserve">dene omkring L., således at vi på det mere konkret og kvalificeret grundlag kan tage stillning til om L. skal bringes tillbake til Ågården”. </w:t>
      </w:r>
    </w:p>
    <w:p w:rsidR="009C1C5A" w:rsidRPr="00896D4F" w:rsidRDefault="009C1C5A">
      <w:pPr>
        <w:pStyle w:val="Normaltindrag"/>
      </w:pPr>
      <w:r w:rsidRPr="00896D4F">
        <w:t>Enligt remissvaret vidtog socialförvaltningen därefter följande åtgärder. 1:e social</w:t>
      </w:r>
      <w:r w:rsidRPr="00896D4F">
        <w:softHyphen/>
        <w:t>sekreteraren Gunborg Roos tillskrev M.B.N. om Rødovre kom</w:t>
      </w:r>
      <w:r w:rsidRPr="00896D4F">
        <w:softHyphen/>
        <w:t>munes begäran och erbjöd henne en tid på socialkontoret. Den 25 september 2000 träffade Gunborg Roos och en annan tjänsteman M.B.N. som, enligt remissvaret, uppgav att L. mådde bra och trivdes i skolan. Efter M.B.N:s med</w:t>
      </w:r>
      <w:r w:rsidRPr="00896D4F">
        <w:softHyphen/>
        <w:t>givande träffade tjänstemännen L. och M.B.N. vid ett hembesök. 1:e socialsekreteraren Gunborg Roos inhämtade per tele</w:t>
      </w:r>
      <w:r w:rsidRPr="00896D4F">
        <w:softHyphen/>
        <w:t>fon upp</w:t>
      </w:r>
      <w:r w:rsidRPr="00896D4F">
        <w:softHyphen/>
        <w:t>lysningar från den skola där L. fullgjorde sin skolgång. Vidare avhölls ett möte på social</w:t>
      </w:r>
      <w:r w:rsidRPr="00896D4F">
        <w:softHyphen/>
        <w:t>kontoret med sk</w:t>
      </w:r>
      <w:r w:rsidRPr="00896D4F">
        <w:t>olans rektor, representanter från Rødovre kom</w:t>
      </w:r>
      <w:r w:rsidRPr="00896D4F">
        <w:softHyphen/>
        <w:t xml:space="preserve">mune och ett ombud för M.B.N. </w:t>
      </w:r>
    </w:p>
    <w:p w:rsidR="009C1C5A" w:rsidRPr="00896D4F" w:rsidRDefault="009C1C5A">
      <w:pPr>
        <w:pStyle w:val="Normaltindrag"/>
      </w:pPr>
      <w:r w:rsidRPr="00896D4F">
        <w:t>Socialnämnden har ett särskilt ansvar för barn och ungdom. Detta kommer till ut</w:t>
      </w:r>
      <w:r w:rsidRPr="00896D4F">
        <w:softHyphen/>
        <w:t>tryck bl.a. i 5 kap. 1 § socialtjänstlagen där det stadgas att socialnäm</w:t>
      </w:r>
      <w:r w:rsidRPr="00896D4F">
        <w:t>n</w:t>
      </w:r>
      <w:r w:rsidRPr="00896D4F">
        <w:t>den skall verka för att barn och ungdom växer upp under trygga och goda förhållanden. Vidare har socialnämnden, enligt 11 kap. 1 § socialtjänstlagen, skyldighet att utan dröjsmål inleda utredning av vad som genom ansökan eller på annat sätt kommit till nämndens kännedom och som kan föranleda någon åtgärd av nämnden. Enligt 11 kap. 2 § första stycket socialtjänstlagen får social</w:t>
      </w:r>
      <w:r w:rsidRPr="00896D4F">
        <w:softHyphen/>
        <w:t>nämnden, när det gäller en utredning om social</w:t>
      </w:r>
      <w:r w:rsidRPr="00896D4F">
        <w:softHyphen/>
        <w:t>nämnden be</w:t>
      </w:r>
      <w:r w:rsidRPr="00896D4F">
        <w:t>höver ingr</w:t>
      </w:r>
      <w:r w:rsidRPr="00896D4F">
        <w:t>i</w:t>
      </w:r>
      <w:r w:rsidRPr="00896D4F">
        <w:t>pa till en underårigs skydd eller stöd, för bedömningen av behovet av insatser, konsultera sak</w:t>
      </w:r>
      <w:r w:rsidRPr="00896D4F">
        <w:softHyphen/>
        <w:t>kunniga samt i övrigt ta de kontakter som behövs. En sådan s.k. barnavårdsutredning kan bedrivas utan sam</w:t>
      </w:r>
      <w:r w:rsidRPr="00896D4F">
        <w:softHyphen/>
        <w:t>tycke från vårdnads</w:t>
      </w:r>
      <w:r w:rsidRPr="00896D4F">
        <w:softHyphen/>
        <w:t xml:space="preserve">havaren men skall så långt det är möjligt ske i samråd med denne.   </w:t>
      </w:r>
    </w:p>
    <w:p w:rsidR="009C1C5A" w:rsidRPr="00896D4F" w:rsidRDefault="009C1C5A">
      <w:pPr>
        <w:pStyle w:val="Normaltindrag"/>
      </w:pPr>
      <w:r w:rsidRPr="00896D4F">
        <w:t>Av handlingarna hos JO framgår det att L. folkbokfördes i Åstorps ko</w:t>
      </w:r>
      <w:r w:rsidRPr="00896D4F">
        <w:t>m</w:t>
      </w:r>
      <w:r w:rsidRPr="00896D4F">
        <w:t>mun den 7 augusti 2000. Hon var alltså folkbokförd i kommunen när Rødovre kommune kontaktade socialförvaltningen. På grund av de uppgifter som soc</w:t>
      </w:r>
      <w:r w:rsidRPr="00896D4F">
        <w:t>i</w:t>
      </w:r>
      <w:r w:rsidRPr="00896D4F">
        <w:t>al</w:t>
      </w:r>
      <w:r w:rsidRPr="00896D4F">
        <w:softHyphen/>
        <w:t>förvaltningen erhöll från Rødovre kommune uppkom frågor rörande beh</w:t>
      </w:r>
      <w:r w:rsidRPr="00896D4F">
        <w:t>o</w:t>
      </w:r>
      <w:r w:rsidRPr="00896D4F">
        <w:t>vet av insatser från socialnämndens sida beträffande L. Nämnden var därför skyldig att inleda en utredning enligt 11 kap. 1 § socialtjänstlagen. Genom de olika åt</w:t>
      </w:r>
      <w:r w:rsidRPr="00896D4F">
        <w:softHyphen/>
        <w:t>gärder som socialförvaltningen vidtog får anses att en sådan utredning rent faktiskt inleddes. Inom ramen för den utredningen hade</w:t>
      </w:r>
      <w:r w:rsidRPr="00896D4F">
        <w:t xml:space="preserve"> socialförval</w:t>
      </w:r>
      <w:r w:rsidRPr="00896D4F">
        <w:t>t</w:t>
      </w:r>
      <w:r w:rsidRPr="00896D4F">
        <w:t>ningen möjlighet att vidta erforderliga utredningsåtgärder utan M.B.N:s till</w:t>
      </w:r>
      <w:r w:rsidRPr="00896D4F">
        <w:t>å</w:t>
      </w:r>
      <w:r w:rsidRPr="00896D4F">
        <w:t>telse. Det råder viss oklarhet om hur socialförvaltningen vid den aktuella tiden och socialnämnden i efterhand har bedömt på vilken grund de olika åtgärderna vidtogs. Jag nöjer mig i detta sam</w:t>
      </w:r>
      <w:r w:rsidRPr="00896D4F">
        <w:softHyphen/>
        <w:t>man</w:t>
      </w:r>
      <w:r w:rsidRPr="00896D4F">
        <w:softHyphen/>
        <w:t>hang med att framhålla att nämnden borde ha fattat ett formellt beslut om att inleda en utredning enligt 11 kap. 1 § social</w:t>
      </w:r>
      <w:r w:rsidRPr="00896D4F">
        <w:softHyphen/>
        <w:t>tjänst</w:t>
      </w:r>
      <w:r w:rsidRPr="00896D4F">
        <w:softHyphen/>
        <w:t>lagen och att åtgärderna borde ha vidtagits inom ramen för en sådan utred</w:t>
      </w:r>
      <w:r w:rsidRPr="00896D4F">
        <w:softHyphen/>
        <w:t>ning. Vad som har f</w:t>
      </w:r>
      <w:r w:rsidRPr="00896D4F">
        <w:t>ramkommit under hand</w:t>
      </w:r>
      <w:r w:rsidRPr="00896D4F">
        <w:softHyphen/>
        <w:t>läggningen borde i följd härav även ha dokumenterats (se 11 kap. 5 § social</w:t>
      </w:r>
      <w:r w:rsidRPr="00896D4F">
        <w:softHyphen/>
        <w:t>tjänstlagen). För bristerna i dessa hänseenden kan nämnden inte undgå kritik.</w:t>
      </w:r>
    </w:p>
    <w:p w:rsidR="009C1C5A" w:rsidRPr="00896D4F" w:rsidRDefault="009C1C5A">
      <w:pPr>
        <w:pStyle w:val="Rubrik4"/>
      </w:pPr>
      <w:r w:rsidRPr="00896D4F">
        <w:t xml:space="preserve">Socialförvaltningens redovisning till Rødovre kommune </w:t>
      </w:r>
    </w:p>
    <w:p w:rsidR="009C1C5A" w:rsidRPr="00896D4F" w:rsidRDefault="009C1C5A">
      <w:r w:rsidRPr="00896D4F">
        <w:t>I en skrivelse till Rødovre kommune den 5 december 2000 lämnade 1:e soc</w:t>
      </w:r>
      <w:r w:rsidRPr="00896D4F">
        <w:t>i</w:t>
      </w:r>
      <w:r w:rsidRPr="00896D4F">
        <w:t>al</w:t>
      </w:r>
      <w:r w:rsidRPr="00896D4F">
        <w:softHyphen/>
        <w:t>sekreteraren Gunborg Roos, efter begäran, en skriftlig sammanfattning av hennes kontakter i saken. Som jag uppfattar det har sammanfattningen lä</w:t>
      </w:r>
      <w:r w:rsidRPr="00896D4F">
        <w:t>m</w:t>
      </w:r>
      <w:r w:rsidRPr="00896D4F">
        <w:t>nats efter att socialförvaltningen kom fram till att det inte var aktuellt att p</w:t>
      </w:r>
      <w:r w:rsidRPr="00896D4F">
        <w:t>å</w:t>
      </w:r>
      <w:r w:rsidRPr="00896D4F">
        <w:t>börja en utredning enligt 11 kap. 1 § socialtjänstlagen. Åtgärden kan därför inte anses ha skett inom ramen för den barna</w:t>
      </w:r>
      <w:r w:rsidRPr="00896D4F">
        <w:softHyphen/>
      </w:r>
      <w:r w:rsidRPr="00896D4F">
        <w:softHyphen/>
        <w:t xml:space="preserve">vårdsutredning som jag ovan har funnit rent faktiskt vidtogs. </w:t>
      </w:r>
    </w:p>
    <w:p w:rsidR="009C1C5A" w:rsidRPr="00896D4F" w:rsidRDefault="009C1C5A">
      <w:pPr>
        <w:pStyle w:val="Normaltindrag"/>
      </w:pPr>
      <w:r w:rsidRPr="00896D4F">
        <w:t>Enligt 7 kap. 4 § sekretesslagen (1980:100) gäller inom socialtjänsten som huvud</w:t>
      </w:r>
      <w:r w:rsidRPr="00896D4F">
        <w:softHyphen/>
        <w:t>regel sekretess för uppgift om enskilds förhållanden, om det inte står klart att uppgiften kan röjas utan att den enskilde eller någon honom närst</w:t>
      </w:r>
      <w:r w:rsidRPr="00896D4F">
        <w:t>å</w:t>
      </w:r>
      <w:r w:rsidRPr="00896D4F">
        <w:t>ende lider men. Av 1 kap. 3 § tredje stycket sekretesslagen följer att sekrete</w:t>
      </w:r>
      <w:r w:rsidRPr="00896D4F">
        <w:t>s</w:t>
      </w:r>
      <w:r w:rsidRPr="00896D4F">
        <w:t>sen även gäller i förhållande till utländska myndigheter.</w:t>
      </w:r>
    </w:p>
    <w:p w:rsidR="009C1C5A" w:rsidRPr="00896D4F" w:rsidRDefault="009C1C5A">
      <w:pPr>
        <w:pStyle w:val="Normaltindrag"/>
      </w:pPr>
      <w:r w:rsidRPr="00896D4F">
        <w:t>I förevarande fall var det klarlagt för socialförvaltningen i Åstorps ko</w:t>
      </w:r>
      <w:r w:rsidRPr="00896D4F">
        <w:t>m</w:t>
      </w:r>
      <w:r w:rsidRPr="00896D4F">
        <w:t>mun att M.B.N. inte ville att något samarbete skulle ske med de sociala my</w:t>
      </w:r>
      <w:r w:rsidRPr="00896D4F">
        <w:t>n</w:t>
      </w:r>
      <w:r w:rsidRPr="00896D4F">
        <w:t>digheterna i Danmark. Det förelåg alltså sekretess enligt huvudregeln i 7 kap. 4 § sekretess</w:t>
      </w:r>
      <w:r w:rsidRPr="00896D4F">
        <w:softHyphen/>
        <w:t>lagen gentemot de sociala myndigheterna i Rødovre kommune. En sekretess</w:t>
      </w:r>
      <w:r w:rsidRPr="00896D4F">
        <w:softHyphen/>
        <w:t>belagd uppgift får emellertid, enligt 1 kap. 3 § tredje stycket sekretess</w:t>
      </w:r>
      <w:r w:rsidRPr="00896D4F">
        <w:softHyphen/>
        <w:t>lagen, lämnas till en utländsk myndighet om uppgiften i mot</w:t>
      </w:r>
      <w:r w:rsidRPr="00896D4F">
        <w:softHyphen/>
        <w:t>svarande fall får lämnas till en svensk myndighet och det enligt den utlämnande my</w:t>
      </w:r>
      <w:r w:rsidRPr="00896D4F">
        <w:t>n</w:t>
      </w:r>
      <w:r w:rsidRPr="00896D4F">
        <w:t>dighetens prövning står klart, att det är förenligt me</w:t>
      </w:r>
      <w:r w:rsidRPr="00896D4F">
        <w:t xml:space="preserve">d svenska intressen att uppgiften lämnas till den utländska myndigheten.   </w:t>
      </w:r>
    </w:p>
    <w:p w:rsidR="009C1C5A" w:rsidRPr="00896D4F" w:rsidRDefault="009C1C5A">
      <w:pPr>
        <w:pStyle w:val="Normaltindrag"/>
      </w:pPr>
      <w:r w:rsidRPr="00896D4F">
        <w:t>Enligt 14 kap. 2 § sista stycket sekretesslagen hindrar inte sekretess enligt 7 kap. 4 § sekretesslagen att uppgift som enskild, som inte fyllt 18 år, eller närstående till denne lämnas från myndighet inom hälso- och sjukvården och socialtjänsten till annan sådan myndighet, om det behövs för att den enskilde skall få nödvändig vård, behandling eller annat stöd. Denna bestämmelse ger möjlighet för bl.a. två socialnämnder i olika komm</w:t>
      </w:r>
      <w:r w:rsidRPr="00896D4F">
        <w:t>uner att samarbeta och lämna uppgifter till varandra i fall där det annars skulle föreligga sekretess mellan dem. Med hänsyn till social</w:t>
      </w:r>
      <w:r w:rsidRPr="00896D4F">
        <w:softHyphen/>
        <w:t>nämndens särskilda ansvar för barn och unga, finner jag att den aktuella bestäm</w:t>
      </w:r>
      <w:r w:rsidRPr="00896D4F">
        <w:softHyphen/>
        <w:t>melsen kan tillämpas för att möjligg</w:t>
      </w:r>
      <w:r w:rsidRPr="00896D4F">
        <w:t>ö</w:t>
      </w:r>
      <w:r w:rsidRPr="00896D4F">
        <w:t>ra ett samarbete mellan en svensk social</w:t>
      </w:r>
      <w:r w:rsidRPr="00896D4F">
        <w:softHyphen/>
        <w:t>nämnd och de sociala myndigheterna i en dansk kommun i sådana frågor som anges i lagrummet. I förevarande fall pågick det en utredning i Rødovre kommune rörande frågan om tidigare b</w:t>
      </w:r>
      <w:r w:rsidRPr="00896D4F">
        <w:t>e</w:t>
      </w:r>
      <w:r w:rsidRPr="00896D4F">
        <w:t xml:space="preserve">slutad tvångsvård skulle fortsätta </w:t>
      </w:r>
      <w:r w:rsidRPr="00896D4F">
        <w:t>eller upphöra. Enligt min bedömning hade Gunborg Roos – i enlighet med 1 kap. 3 § tredje stycket och 14 kap. 2 § sista stycket sekretesslagen – möjlighet att redovisa de i sammanfattningen angi</w:t>
      </w:r>
      <w:r w:rsidRPr="00896D4F">
        <w:t>v</w:t>
      </w:r>
      <w:r w:rsidRPr="00896D4F">
        <w:t>na upp</w:t>
      </w:r>
      <w:r w:rsidRPr="00896D4F">
        <w:softHyphen/>
        <w:t>gifterna till de sociala myndigheterna i Rødovre kommune för att a</w:t>
      </w:r>
      <w:r w:rsidRPr="00896D4F">
        <w:t>n</w:t>
      </w:r>
      <w:r w:rsidRPr="00896D4F">
        <w:t xml:space="preserve">vändas i den danska utredningen inför beslut i frågan om omhändertagandet skulle bestå eller upphöra. Vad som har förekommit i denna del föranleder därför inte någon kritik från min sida.  </w:t>
      </w:r>
    </w:p>
    <w:p w:rsidR="009C1C5A" w:rsidRPr="00896D4F" w:rsidRDefault="009C1C5A">
      <w:pPr>
        <w:pStyle w:val="Rubrik4"/>
      </w:pPr>
      <w:r w:rsidRPr="00896D4F">
        <w:t>Insyn i personakten</w:t>
      </w:r>
    </w:p>
    <w:p w:rsidR="009C1C5A" w:rsidRPr="00896D4F" w:rsidRDefault="009C1C5A">
      <w:r w:rsidRPr="00896D4F">
        <w:t>Av utredningen framgår följande. I en skrivelse till chefen för individ- och familje</w:t>
      </w:r>
      <w:r w:rsidRPr="00896D4F">
        <w:softHyphen/>
      </w:r>
      <w:r w:rsidRPr="00896D4F">
        <w:softHyphen/>
      </w:r>
      <w:r w:rsidRPr="00896D4F">
        <w:softHyphen/>
      </w:r>
      <w:r w:rsidRPr="00896D4F">
        <w:softHyphen/>
        <w:t>omsorgen Birgitta Roupe, daterad den 15 oktober 2000, begärde M.B.N. att få ”aktinsyn”. Begäran om ”aktinsyn” upprepades i en skrivelse till Birgitta Roupe, daterad den 25 oktober 2000. Såsom jag förstår remiss</w:t>
      </w:r>
      <w:r w:rsidRPr="00896D4F">
        <w:softHyphen/>
        <w:t>svaret har 1:e social</w:t>
      </w:r>
      <w:r w:rsidRPr="00896D4F">
        <w:softHyphen/>
        <w:t xml:space="preserve">sekreteraren Gunborg Roos svarat på bl.a. denna begäran muntligen. I remissvaret har anförts att socialnämnden inte hade något ärende och att det därför inte fanns något aktmaterial att ha insyn i. </w:t>
      </w:r>
    </w:p>
    <w:p w:rsidR="009C1C5A" w:rsidRPr="00896D4F" w:rsidRDefault="009C1C5A">
      <w:pPr>
        <w:pStyle w:val="Normaltindrag"/>
      </w:pPr>
      <w:r w:rsidRPr="00896D4F">
        <w:t>Som jag har anfört i ett tidigare avsnitt borde socialförvaltningens åtgärde</w:t>
      </w:r>
      <w:r w:rsidRPr="00896D4F">
        <w:t>r ha vidtagits inom ramen för en utredning enligt 11 kap. 1 § socialtjänstlagen. I följd härav borde handläggningen ha dokumenterats. Mot bakgrund av att socialförvalt</w:t>
      </w:r>
      <w:r w:rsidRPr="00896D4F">
        <w:softHyphen/>
        <w:t>ningen synes ha vidtagit åtgärderna utan att inleda en utredning, saknas det an</w:t>
      </w:r>
      <w:r w:rsidRPr="00896D4F">
        <w:softHyphen/>
        <w:t>ledning för mig att ifrågasätta förvaltningens besked om att det inte fanns något ärende eller någon akt hos nämnden. Enligt min mening borde emel</w:t>
      </w:r>
      <w:r w:rsidRPr="00896D4F">
        <w:softHyphen/>
        <w:t>lertid social</w:t>
      </w:r>
      <w:r w:rsidRPr="00896D4F">
        <w:softHyphen/>
        <w:t>förvaltningen ha behandlat begäran om ”aktinsyn” i enlighet med bestäm</w:t>
      </w:r>
      <w:r w:rsidRPr="00896D4F">
        <w:softHyphen/>
        <w:t xml:space="preserve">melserna om allmänna handlingar </w:t>
      </w:r>
      <w:r w:rsidRPr="00896D4F">
        <w:t>i 2 kap. tryckfrihets</w:t>
      </w:r>
      <w:r w:rsidRPr="00896D4F">
        <w:softHyphen/>
        <w:t>förord</w:t>
      </w:r>
      <w:r w:rsidRPr="00896D4F">
        <w:softHyphen/>
      </w:r>
      <w:r w:rsidRPr="00896D4F">
        <w:softHyphen/>
        <w:t>ningen. När det gäller tillämp</w:t>
      </w:r>
      <w:r w:rsidRPr="00896D4F">
        <w:softHyphen/>
        <w:t>ningen av bestämmelserna är utlänning, enligt 14 kap. 5 § andra stycket tryck</w:t>
      </w:r>
      <w:r w:rsidRPr="00896D4F">
        <w:softHyphen/>
        <w:t>frihets</w:t>
      </w:r>
      <w:r w:rsidRPr="00896D4F">
        <w:softHyphen/>
        <w:t xml:space="preserve">förordningen, likställd med svensk medborgare.   </w:t>
      </w:r>
    </w:p>
    <w:p w:rsidR="009C1C5A" w:rsidRPr="00896D4F" w:rsidRDefault="009C1C5A">
      <w:pPr>
        <w:pStyle w:val="Normaltindrag"/>
      </w:pPr>
      <w:r w:rsidRPr="00896D4F">
        <w:t>Enligt 2 kap. 12 § tryckfrihetsförordningen skall en allmän handling som får lämnas ut, på begäran ”genast eller så snart det är möjligt” på stället utan avgift tillhandahållas den som önskar ta del av den. Av 2 kap. 13 § tryckfr</w:t>
      </w:r>
      <w:r w:rsidRPr="00896D4F">
        <w:t>i</w:t>
      </w:r>
      <w:r w:rsidRPr="00896D4F">
        <w:t>hetsförord</w:t>
      </w:r>
      <w:r w:rsidRPr="00896D4F">
        <w:softHyphen/>
        <w:t>ningen framgår vidare att den som önskar ta del av en allmän han</w:t>
      </w:r>
      <w:r w:rsidRPr="00896D4F">
        <w:t>d</w:t>
      </w:r>
      <w:r w:rsidRPr="00896D4F">
        <w:t>ling även har rätt att mot fastställd avgift få avskrift eller kopia av handlingen. En sådan begä</w:t>
      </w:r>
      <w:r w:rsidRPr="00896D4F">
        <w:softHyphen/>
        <w:t>ran skall behandlas skynd</w:t>
      </w:r>
      <w:r w:rsidRPr="00896D4F">
        <w:softHyphen/>
        <w:t>samt. Om en framställning om att få ta del av en hand</w:t>
      </w:r>
      <w:r w:rsidRPr="00896D4F">
        <w:softHyphen/>
        <w:t>ling inte kan tillmötesgås fullt ut  skall den som begär han</w:t>
      </w:r>
      <w:r w:rsidRPr="00896D4F">
        <w:t>d</w:t>
      </w:r>
      <w:r w:rsidRPr="00896D4F">
        <w:t>lingen underrättas om detta. Han skall också enligt 15 kap. 6 § sekretesslagen underrättas om att han kan begära att frågan hänskjuts till myndigheten och att ett beslut av myndigheten krävs för a</w:t>
      </w:r>
      <w:r w:rsidRPr="00896D4F">
        <w:t>tt ett avgörande skall kunna överkl</w:t>
      </w:r>
      <w:r w:rsidRPr="00896D4F">
        <w:t>a</w:t>
      </w:r>
      <w:r w:rsidRPr="00896D4F">
        <w:t>gas. I sammanhanget kan nämnas att en myndighet inte kan vägra tillmötesgå en begäran om att få ta del av allmän handling på grund av att sökanden själv har gett in handlingen eller att sökanden sedan tidigare har en kopia av han</w:t>
      </w:r>
      <w:r w:rsidRPr="00896D4F">
        <w:t>d</w:t>
      </w:r>
      <w:r w:rsidRPr="00896D4F">
        <w:t>lingen. Däremot föreligger det givetvis inte något hinder mot att myndig</w:t>
      </w:r>
      <w:r w:rsidRPr="00896D4F">
        <w:softHyphen/>
        <w:t>heten kontaktar sökanden för att efterhöra om begäran kvarstår trots att den avser sådana handlingar.</w:t>
      </w:r>
    </w:p>
    <w:p w:rsidR="009C1C5A" w:rsidRPr="00896D4F" w:rsidRDefault="009C1C5A">
      <w:pPr>
        <w:pStyle w:val="Normaltindrag"/>
      </w:pPr>
      <w:r w:rsidRPr="00896D4F">
        <w:t>För att en handling skall vara allmän erfordras att den förvaras hos en</w:t>
      </w:r>
      <w:r w:rsidRPr="00896D4F">
        <w:t xml:space="preserve"> myndighet och att den är att anse som inkommen till myndigheten eller up</w:t>
      </w:r>
      <w:r w:rsidRPr="00896D4F">
        <w:t>p</w:t>
      </w:r>
      <w:r w:rsidRPr="00896D4F">
        <w:t>rättad hos myn</w:t>
      </w:r>
      <w:r w:rsidRPr="00896D4F">
        <w:softHyphen/>
        <w:t>dig</w:t>
      </w:r>
      <w:r w:rsidRPr="00896D4F">
        <w:softHyphen/>
        <w:t>heten. Enligt huvudregeln i 2 kap. 6 § tryckfrihetsföror</w:t>
      </w:r>
      <w:r w:rsidRPr="00896D4F">
        <w:t>d</w:t>
      </w:r>
      <w:r w:rsidRPr="00896D4F">
        <w:t>ningen anses en hand</w:t>
      </w:r>
      <w:r w:rsidRPr="00896D4F">
        <w:softHyphen/>
        <w:t>ling vara inkommen då den har anlänt till myndigheten eller kommit behörig befattningshavare till handa. Regler om när en handling anses upprättad finns i 2 kap. 7 § tryckfrihetsförordningen. En handling anses upprättad hos en myndig</w:t>
      </w:r>
      <w:r w:rsidRPr="00896D4F">
        <w:softHyphen/>
        <w:t>het när den har expedierats, dvs. sänts i väg till n</w:t>
      </w:r>
      <w:r w:rsidRPr="00896D4F">
        <w:t>å</w:t>
      </w:r>
      <w:r w:rsidRPr="00896D4F">
        <w:t>gon utanför myndigheten. Hos en myndighet finns det em</w:t>
      </w:r>
      <w:r w:rsidRPr="00896D4F">
        <w:t>ellertid många handlingar som aldrig expedieras. Sådana handlingar an</w:t>
      </w:r>
      <w:r w:rsidRPr="00896D4F">
        <w:softHyphen/>
        <w:t>ses upprättade när det ärende de hör till har slutbehandlats hos myndigheten eller, om handlingen inte hänför sig till ett visst ärende, när handlingen har justerats av myndigh</w:t>
      </w:r>
      <w:r w:rsidRPr="00896D4F">
        <w:t>e</w:t>
      </w:r>
      <w:r w:rsidRPr="00896D4F">
        <w:t>ten eller på annat sätt färdigställts. Från denna huvud</w:t>
      </w:r>
      <w:r w:rsidRPr="00896D4F">
        <w:softHyphen/>
        <w:t xml:space="preserve">regel finns det flera undantag som jag inte finner skäl att gå närmare in på här. </w:t>
      </w:r>
    </w:p>
    <w:p w:rsidR="009C1C5A" w:rsidRPr="00896D4F" w:rsidRDefault="009C1C5A">
      <w:pPr>
        <w:pStyle w:val="Normaltindrag"/>
      </w:pPr>
      <w:r w:rsidRPr="00896D4F">
        <w:t>Av utredningen framgår det att vissa av de handlingar som fanns hos soc</w:t>
      </w:r>
      <w:r w:rsidRPr="00896D4F">
        <w:t>i</w:t>
      </w:r>
      <w:r w:rsidRPr="00896D4F">
        <w:t>al</w:t>
      </w:r>
      <w:r w:rsidRPr="00896D4F">
        <w:softHyphen/>
        <w:t>nämnden rörande saken var av den karaktären att de utgjorde allmänna hand</w:t>
      </w:r>
      <w:r w:rsidRPr="00896D4F">
        <w:softHyphen/>
        <w:t xml:space="preserve">lingar. Som jag redan har nämnt borde socialnämnden ha prövat M.B.N:s begäran i enlighet med det regelsystem som jag har redogjort för. </w:t>
      </w:r>
    </w:p>
    <w:p w:rsidR="009C1C5A" w:rsidRPr="00896D4F" w:rsidRDefault="009C1C5A">
      <w:pPr>
        <w:pStyle w:val="Rubrik4"/>
      </w:pPr>
      <w:r w:rsidRPr="00896D4F">
        <w:t>Övriga frågor</w:t>
      </w:r>
    </w:p>
    <w:p w:rsidR="009C1C5A" w:rsidRPr="00896D4F" w:rsidRDefault="009C1C5A">
      <w:r w:rsidRPr="00896D4F">
        <w:t>Vad M.B.N. har anfört i övrigt föranleder inte någon åtgärd eller något utt</w:t>
      </w:r>
      <w:r w:rsidRPr="00896D4F">
        <w:t>a</w:t>
      </w:r>
      <w:r w:rsidRPr="00896D4F">
        <w:t xml:space="preserve">lande från min sida. </w:t>
      </w:r>
    </w:p>
    <w:p w:rsidR="009C1C5A" w:rsidRPr="00896D4F" w:rsidRDefault="009C1C5A">
      <w:pPr>
        <w:pStyle w:val="Huvudrubrikstreck"/>
        <w:pBdr>
          <w:bottom w:val="none" w:sz="0" w:space="0" w:color="auto"/>
        </w:pBdr>
        <w:rPr>
          <w:b w:val="0"/>
          <w:sz w:val="23"/>
        </w:rPr>
      </w:pPr>
      <w:r w:rsidRPr="00896D4F">
        <w:br w:type="page"/>
      </w:r>
      <w:r w:rsidRPr="00896D4F">
        <w:rPr>
          <w:b w:val="0"/>
          <w:sz w:val="23"/>
        </w:rPr>
        <w:t>Fråga om det förelegat skäl för en länsstyrelse att kritisera en socialnämnd för att nämnden bl.a. inte verkat för att i ett visst fall få till stånd s.k. sama</w:t>
      </w:r>
      <w:r w:rsidRPr="00896D4F">
        <w:rPr>
          <w:b w:val="0"/>
          <w:sz w:val="23"/>
        </w:rPr>
        <w:t>r</w:t>
      </w:r>
      <w:r w:rsidRPr="00896D4F">
        <w:rPr>
          <w:b w:val="0"/>
          <w:sz w:val="23"/>
        </w:rPr>
        <w:t xml:space="preserve">betssamtal  </w:t>
      </w:r>
    </w:p>
    <w:p w:rsidR="009C1C5A" w:rsidRPr="00896D4F" w:rsidRDefault="009C1C5A">
      <w:pPr>
        <w:spacing w:before="0"/>
      </w:pPr>
      <w:r w:rsidRPr="00896D4F">
        <w:t>(Dnr 3050-2000)</w:t>
      </w:r>
    </w:p>
    <w:p w:rsidR="009C1C5A" w:rsidRPr="00896D4F" w:rsidRDefault="009C1C5A">
      <w:r w:rsidRPr="00896D4F">
        <w:t>Ängelholms tingsrätt meddelade den 8 oktober 1999 en dom i vilken föror</w:t>
      </w:r>
      <w:r w:rsidRPr="00896D4F">
        <w:t>d</w:t>
      </w:r>
      <w:r w:rsidRPr="00896D4F">
        <w:t>nades att modern B.C.W. skulle ha vårdnaden om parternas barn A., född 1993, och C., född 1995, samt att fadern M.W. skulle ha sedvanligt umgänge med barnen. Hämtning och lämning vid umgängestillfällena skulle ske på neutral plats eller i närvaro av kontaktperson utsedd av socialförvaltningen i Båstads kommun. Domen över</w:t>
      </w:r>
      <w:r w:rsidRPr="00896D4F">
        <w:softHyphen/>
        <w:t>klagades och huvudförhandling i hovrätten ägde rum den 29 augusti 2000.</w:t>
      </w:r>
    </w:p>
    <w:p w:rsidR="009C1C5A" w:rsidRPr="00896D4F" w:rsidRDefault="009C1C5A">
      <w:pPr>
        <w:pStyle w:val="Normaltindrag"/>
      </w:pPr>
      <w:r w:rsidRPr="00896D4F">
        <w:t>I ett beslut den 19 juli 2000 riktade Länsstyrelsen i Skåne län, Sociala funktionen, kritik mot Social</w:t>
      </w:r>
      <w:r w:rsidRPr="00896D4F">
        <w:softHyphen/>
        <w:t>nämnden i Båstads kommun för att nämnden inte verkat för att erbjuda eller få till stånd samarbetssamtal mellan de f.d. maka</w:t>
      </w:r>
      <w:r w:rsidRPr="00896D4F">
        <w:t>r</w:t>
      </w:r>
      <w:r w:rsidRPr="00896D4F">
        <w:t>na. Länsstyrelsen anmodade socialnämnden att senast den 8 september 2000 rapportera till läns</w:t>
      </w:r>
      <w:r w:rsidRPr="00896D4F">
        <w:softHyphen/>
        <w:t>styrelsen vilka åtgärder som vidtagits i anledning av besl</w:t>
      </w:r>
      <w:r w:rsidRPr="00896D4F">
        <w:t>u</w:t>
      </w:r>
      <w:r w:rsidRPr="00896D4F">
        <w:t>tet.</w:t>
      </w:r>
    </w:p>
    <w:p w:rsidR="009C1C5A" w:rsidRPr="00896D4F" w:rsidRDefault="009C1C5A">
      <w:pPr>
        <w:pStyle w:val="Normaltindrag"/>
      </w:pPr>
      <w:r w:rsidRPr="00896D4F">
        <w:t>B.C.W. kallades till samarbetssamtal den 25 augusti 2000. B.C.W. hö</w:t>
      </w:r>
      <w:r w:rsidRPr="00896D4F">
        <w:t>r</w:t>
      </w:r>
      <w:r w:rsidRPr="00896D4F">
        <w:t>sammade inte socialförvaltningens kallelse.</w:t>
      </w:r>
    </w:p>
    <w:p w:rsidR="009C1C5A" w:rsidRPr="00896D4F" w:rsidRDefault="009C1C5A">
      <w:pPr>
        <w:pStyle w:val="Normaltindrag"/>
      </w:pPr>
      <w:r w:rsidRPr="00896D4F">
        <w:t>Den 31 augusti 2000 meddelade Ängelholms tingsrätt en dom enligt vilken M.W. dömdes till två månaders fängelse, bl.a. för olaga hot gentemot B.C.W.</w:t>
      </w:r>
    </w:p>
    <w:p w:rsidR="009C1C5A" w:rsidRPr="00896D4F" w:rsidRDefault="009C1C5A">
      <w:pPr>
        <w:pStyle w:val="Normaltindrag"/>
      </w:pPr>
      <w:r w:rsidRPr="00896D4F">
        <w:t>H.R. begärde i en anmälan till JO att JO skulle granska läns</w:t>
      </w:r>
      <w:r w:rsidRPr="00896D4F">
        <w:softHyphen/>
        <w:t>styrelsens b</w:t>
      </w:r>
      <w:r w:rsidRPr="00896D4F">
        <w:t>e</w:t>
      </w:r>
      <w:r w:rsidRPr="00896D4F">
        <w:t>slut. Han anförde att länsstyrelsen, som i beslutet utpekat social</w:t>
      </w:r>
      <w:r w:rsidRPr="00896D4F">
        <w:softHyphen/>
        <w:t>förvaltningens handläggning som felaktig, saknat all förståelse för den utsatta situation B.C.W. befunnit sig i och därtill uppmanat socialför</w:t>
      </w:r>
      <w:r w:rsidRPr="00896D4F">
        <w:softHyphen/>
        <w:t>valtningen – som dittills accepterat och respekterat hennes inställning och bevekelse</w:t>
      </w:r>
      <w:r w:rsidRPr="00896D4F">
        <w:softHyphen/>
        <w:t>grunderna för den – att i andra och framtida ärenden agera annorlunda än vad man gjort i förev</w:t>
      </w:r>
      <w:r w:rsidRPr="00896D4F">
        <w:t>a</w:t>
      </w:r>
      <w:r w:rsidRPr="00896D4F">
        <w:t>rande fall.</w:t>
      </w:r>
    </w:p>
    <w:p w:rsidR="009C1C5A" w:rsidRPr="00896D4F" w:rsidRDefault="009C1C5A">
      <w:pPr>
        <w:pStyle w:val="Normaltindrag"/>
      </w:pPr>
      <w:r w:rsidRPr="00896D4F">
        <w:t>Anmälan remitterades till Länsstyrelsen i Skåne län för yttrande. Länsst</w:t>
      </w:r>
      <w:r w:rsidRPr="00896D4F">
        <w:t>y</w:t>
      </w:r>
      <w:r w:rsidRPr="00896D4F">
        <w:t>relsen överlämnade som sitt remissvar ett av länsöverdirektören Lise-Lotte Reiter och förste länsassessor Hans Bergström upprättat yttrande jämte bilagor. I remissvaret anfördes följande.</w:t>
      </w:r>
    </w:p>
    <w:p w:rsidR="009C1C5A" w:rsidRPr="00896D4F" w:rsidRDefault="009C1C5A">
      <w:pPr>
        <w:pStyle w:val="Citat"/>
      </w:pPr>
      <w:r w:rsidRPr="00896D4F">
        <w:t>Socialkonsulenten Kerstin Jonsson har upprättat en promemoria över ärendets handläggning. Promemorian jämte bilagor bifogas.</w:t>
      </w:r>
    </w:p>
    <w:p w:rsidR="009C1C5A" w:rsidRPr="00896D4F" w:rsidRDefault="009C1C5A">
      <w:pPr>
        <w:pStyle w:val="Citatindrag"/>
      </w:pPr>
      <w:r w:rsidRPr="00896D4F">
        <w:t>Enligt 12 a § första stycket 1. socialtjänstlagen (1980:620) skall komm</w:t>
      </w:r>
      <w:r w:rsidRPr="00896D4F">
        <w:t>u</w:t>
      </w:r>
      <w:r w:rsidRPr="00896D4F">
        <w:t>nen sörja för att föräldrar kan erbjudas samtal under sakkunnig ledning i syfte att nå enighet i frågor rörande vårdnad, boende och umgänge (samarbetssa</w:t>
      </w:r>
      <w:r w:rsidRPr="00896D4F">
        <w:t>m</w:t>
      </w:r>
      <w:r w:rsidRPr="00896D4F">
        <w:t>tal). Detta innebär enligt Länsstyrelsens bedömning en långtgående skyldi</w:t>
      </w:r>
      <w:r w:rsidRPr="00896D4F">
        <w:t>g</w:t>
      </w:r>
      <w:r w:rsidRPr="00896D4F">
        <w:t>het för kommunen att se till att ett sådant samtal kommer till stånd oavsett om båda eller endast den ene av föräldrarna önskar det. Det är inte ovanligt att endast den ena föräldern framställer önskemål om ett samarbetssamtal medan den andre av olika skäl är ovillig att medverka. Gi</w:t>
      </w:r>
      <w:r w:rsidRPr="00896D4F">
        <w:t>vetvis uppstår i sådana fall gränsdragningar där det för kommunen kan vara svårt att anse det mening</w:t>
      </w:r>
      <w:r w:rsidRPr="00896D4F">
        <w:t>s</w:t>
      </w:r>
      <w:r w:rsidRPr="00896D4F">
        <w:t>fullt att bistå med hjälp i detta avseende.</w:t>
      </w:r>
    </w:p>
    <w:p w:rsidR="009C1C5A" w:rsidRPr="00896D4F" w:rsidRDefault="009C1C5A">
      <w:pPr>
        <w:pStyle w:val="Citatindrag"/>
      </w:pPr>
      <w:r w:rsidRPr="00896D4F">
        <w:t>I prop. 1997/98:7 sid. 39 ff behandlas domstols initiativ att förordna om samarbetssamtal. Bl a sägs där att domstol inte bör förordna om samarbet</w:t>
      </w:r>
      <w:r w:rsidRPr="00896D4F">
        <w:t>s</w:t>
      </w:r>
      <w:r w:rsidRPr="00896D4F">
        <w:t>samtal när det förekommer anklagelser om sexuella övergrepp, misshandel m.m. om inte särskilda skäl föreligger. Med en hänvisning till tidigare utt</w:t>
      </w:r>
      <w:r w:rsidRPr="00896D4F">
        <w:t>a</w:t>
      </w:r>
      <w:r w:rsidRPr="00896D4F">
        <w:t>lande i prop. 1990/91:8 s. 30 framhålls att utgångspunkten bör vara att ett förordnande om samarbetssamtal bör meddelas så snart det kan antas tjäna något syfte. Därefter anförs att det dock i vissa fall kan vara olämpligt att förordna om samarbetssamtal. Som exempel anges sådana fall där en av fö</w:t>
      </w:r>
      <w:r w:rsidRPr="00896D4F">
        <w:t>r</w:t>
      </w:r>
      <w:r w:rsidRPr="00896D4F">
        <w:t>äldrarna misshandlat eller gjort sig skyldig till andra övergrep</w:t>
      </w:r>
      <w:r w:rsidRPr="00896D4F">
        <w:t>p mot den andre föräldern.</w:t>
      </w:r>
    </w:p>
    <w:p w:rsidR="009C1C5A" w:rsidRPr="00896D4F" w:rsidRDefault="009C1C5A">
      <w:pPr>
        <w:pStyle w:val="Citatindrag"/>
      </w:pPr>
      <w:r w:rsidRPr="00896D4F">
        <w:t>Vad som nyss återgivits är knutet till domstols verksamhet. Motsvarande resonemang bör vara vägledande även för frågor om samarbetssamtal som väcks i annan ordning.</w:t>
      </w:r>
    </w:p>
    <w:p w:rsidR="009C1C5A" w:rsidRPr="00896D4F" w:rsidRDefault="009C1C5A">
      <w:pPr>
        <w:pStyle w:val="Citatindrag"/>
      </w:pPr>
      <w:r w:rsidRPr="00896D4F">
        <w:t>Länsstyrelsens kritik mot nämnden har tillkommit sedan det klarlagts att inte några försök att tillgodose socialtjänstlagens bestämmelser om sama</w:t>
      </w:r>
      <w:r w:rsidRPr="00896D4F">
        <w:t>r</w:t>
      </w:r>
      <w:r w:rsidRPr="00896D4F">
        <w:t>betssamtal har gjorts. Detta särskilt som det i ett tidigt skede från nämnden hade framförts att så skulle ske.</w:t>
      </w:r>
    </w:p>
    <w:p w:rsidR="009C1C5A" w:rsidRPr="00896D4F" w:rsidRDefault="009C1C5A">
      <w:pPr>
        <w:pStyle w:val="Citatindrag"/>
      </w:pPr>
      <w:r w:rsidRPr="00896D4F">
        <w:t>Mot bakgrund av de ansträngda relationerna mellan föräldrarna i det nu aktuella ärendet, där hot och våld förekommit, kan det råda delade meningar om det funnits anledning att kritisera nämnden för att den inte vidtagit några åtgärder för att få till stånd ett samarbetssamtal mellan föräldrarna, eftersom det dessutom med stor sannolikhet kunnat förutsägas att modern inte skulle ställa upp på det.</w:t>
      </w:r>
      <w:r w:rsidRPr="00896D4F">
        <w:t xml:space="preserve"> Å andra sidan har fadern under lång tid begärt att få ett samtal till stånd. Nämndens åtgärd att kalla till ett samtal, även om ett sådant sedan inte kom till stånd, har trots allt kunnat ses som ett tillmötesgående av faderns många enträgna vädjanden om ett samarbetssamtal.</w:t>
      </w:r>
    </w:p>
    <w:p w:rsidR="009C1C5A" w:rsidRPr="00896D4F" w:rsidRDefault="009C1C5A">
      <w:pPr>
        <w:pStyle w:val="Citatindrag"/>
      </w:pPr>
      <w:r w:rsidRPr="00896D4F">
        <w:t>I det beslut som Länsstyrelsen meddelade nämnden den 19 juli 2000 har det på sid. 2 angivits att kommunen har skyldighet att sörja för att samarbet</w:t>
      </w:r>
      <w:r w:rsidRPr="00896D4F">
        <w:t>s</w:t>
      </w:r>
      <w:r w:rsidRPr="00896D4F">
        <w:t>samtal kommer till stånd om båda föräldrarna begär det och att det också föreligger sådan skyldighet om endast en av föräldrarna begär det. Formul</w:t>
      </w:r>
      <w:r w:rsidRPr="00896D4F">
        <w:t>e</w:t>
      </w:r>
      <w:r w:rsidRPr="00896D4F">
        <w:t>ringen är inte helt riktig. Som tidigare nämnts måste avvägningar göras i det enskilda fallet huruvida det är meningsfullt eller lämpligt att erbjuda sama</w:t>
      </w:r>
      <w:r w:rsidRPr="00896D4F">
        <w:t>r</w:t>
      </w:r>
      <w:r w:rsidRPr="00896D4F">
        <w:t>betssamtal.</w:t>
      </w:r>
    </w:p>
    <w:p w:rsidR="009C1C5A" w:rsidRPr="00896D4F" w:rsidRDefault="009C1C5A">
      <w:r w:rsidRPr="00896D4F">
        <w:t xml:space="preserve">Socialkonsulenten Kerstin Jonsson anförde i sin promemoria följande. </w:t>
      </w:r>
      <w:r w:rsidRPr="00896D4F">
        <w:rPr>
          <w:i/>
          <w:sz w:val="20"/>
        </w:rPr>
        <w:t>(Bilagorna här utelämnade; JO:s anm.)</w:t>
      </w:r>
    </w:p>
    <w:p w:rsidR="009C1C5A" w:rsidRPr="00896D4F" w:rsidRDefault="009C1C5A">
      <w:pPr>
        <w:pStyle w:val="Citat"/>
        <w:rPr>
          <w:i/>
        </w:rPr>
      </w:pPr>
      <w:r w:rsidRPr="00896D4F">
        <w:t>Första gången M.W. tog kontakt med Länsstyrelsen var i april månad 1999 då han ringde sociala funktionens jour. Han berättade att han sedan sommaren 1998 försökt förmå Båstad kommun att erbjuda honom och hans fd hustru samarbetssamtal. Länsstyrelsen tog samma dag kontakt med ansvarig han</w:t>
      </w:r>
      <w:r w:rsidRPr="00896D4F">
        <w:t>d</w:t>
      </w:r>
      <w:r w:rsidRPr="00896D4F">
        <w:t>läggare och dennes arbetsledare som lovade att samarbetssamtal skulle erbj</w:t>
      </w:r>
      <w:r w:rsidRPr="00896D4F">
        <w:t>u</w:t>
      </w:r>
      <w:r w:rsidRPr="00896D4F">
        <w:t>das föräldrarna. Någon vecka senare inkommer M.W. med en skrivelse till Länsstyrelsen som utmynnar i beslut med di</w:t>
      </w:r>
      <w:r w:rsidRPr="00896D4F">
        <w:t>a</w:t>
      </w:r>
      <w:r w:rsidRPr="00896D4F">
        <w:t>rienr 509-11790-99 (se bilaga).</w:t>
      </w:r>
    </w:p>
    <w:p w:rsidR="009C1C5A" w:rsidRPr="00896D4F" w:rsidRDefault="009C1C5A">
      <w:pPr>
        <w:pStyle w:val="Citatindrag"/>
      </w:pPr>
      <w:r w:rsidRPr="00896D4F">
        <w:t>Därefter inkommer M.W. med ytterligare tre anmälningar mot socia</w:t>
      </w:r>
      <w:r w:rsidRPr="00896D4F">
        <w:t>l</w:t>
      </w:r>
      <w:r w:rsidRPr="00896D4F">
        <w:t>nämnden i Båstad. I två av dessa finner Länsstyrelsen inte skäl att vidta ytte</w:t>
      </w:r>
      <w:r w:rsidRPr="00896D4F">
        <w:t>r</w:t>
      </w:r>
      <w:r w:rsidRPr="00896D4F">
        <w:t>ligare åtgärder utan avslutar ärendena, beslut med diarienr 502-26143-99 och 502-5283-00 (se bilagor). Den tredje anmälan med diarienr 502-7952-00 leder till att Länsstyrelsen beslutar att granska ärendet enligt 68 § socialtjänstlagen med anledning av att M.W. och hans fd hustru fortfarande inte erbjudits tid för samarbetssamtal. Socialnämnden skriver i sitt yttrande att de ej har för avsikt att vidta några åtgärder med anlednin</w:t>
      </w:r>
      <w:r w:rsidRPr="00896D4F">
        <w:t>g av M.W:s anmälan utan hänv</w:t>
      </w:r>
      <w:r w:rsidRPr="00896D4F">
        <w:t>i</w:t>
      </w:r>
      <w:r w:rsidRPr="00896D4F">
        <w:t>sar i första hand till verkställd vårdnads- och umgängesutredning från 99 07 05. Nämnden ifrågasätter i sitt yttrande om de ska verka för att sama</w:t>
      </w:r>
      <w:r w:rsidRPr="00896D4F">
        <w:t>r</w:t>
      </w:r>
      <w:r w:rsidRPr="00896D4F">
        <w:t>betssamtal kommer till stånd i ett ärende där våld, hot och kränkningar för</w:t>
      </w:r>
      <w:r w:rsidRPr="00896D4F">
        <w:t>e</w:t>
      </w:r>
      <w:r w:rsidRPr="00896D4F">
        <w:t>kommer. I beslut den 19 juli 2000 riktar Länsstyrelsen kritik mot nämnden för att de inte verkat för att erbjuda eller få till stånd samarbetssamtal samt a</w:t>
      </w:r>
      <w:r w:rsidRPr="00896D4F">
        <w:t>n</w:t>
      </w:r>
      <w:r w:rsidRPr="00896D4F">
        <w:t xml:space="preserve">modar nämnden att inkomma med rapport över vilka åtgärder som vidtagits med anledning av beslutet. M.W. </w:t>
      </w:r>
      <w:r w:rsidRPr="00896D4F">
        <w:t>erbjöds tid för samarbetssamtal den 25 augusti 2000.</w:t>
      </w:r>
    </w:p>
    <w:p w:rsidR="009C1C5A" w:rsidRPr="00896D4F" w:rsidRDefault="009C1C5A">
      <w:pPr>
        <w:pStyle w:val="Citatindrag"/>
      </w:pPr>
      <w:r w:rsidRPr="00896D4F">
        <w:t>Länsstyrelsen har gjort bedömningen att eftersom föräldrarna har uppenb</w:t>
      </w:r>
      <w:r w:rsidRPr="00896D4F">
        <w:t>a</w:t>
      </w:r>
      <w:r w:rsidRPr="00896D4F">
        <w:t>ra svårigheter med att hantera sina konflikter och samarbeta i frågor som rör deras barn skulle samarbetssamtal kunna möjliggöra en dialog mellan föräl</w:t>
      </w:r>
      <w:r w:rsidRPr="00896D4F">
        <w:t>d</w:t>
      </w:r>
      <w:r w:rsidRPr="00896D4F">
        <w:t>rarna. Därför finner Länsstyrelsen det anmärkningsvärt att nämnden inte gjort några försök de senaste två åren för att tillmötesgå M.W:s begäran.</w:t>
      </w:r>
    </w:p>
    <w:p w:rsidR="009C1C5A" w:rsidRPr="00896D4F" w:rsidRDefault="009C1C5A">
      <w:r w:rsidRPr="00896D4F">
        <w:t>H.R. kommenterade remissvaret. Han anförde bl.a. att länsstyrelsen vid ti</w:t>
      </w:r>
      <w:r w:rsidRPr="00896D4F">
        <w:t>d</w:t>
      </w:r>
      <w:r w:rsidRPr="00896D4F">
        <w:t>punkten för sitt beslut kände till att tingsrätten som handlagt målet om vår</w:t>
      </w:r>
      <w:r w:rsidRPr="00896D4F">
        <w:t>d</w:t>
      </w:r>
      <w:r w:rsidRPr="00896D4F">
        <w:t>nad inte tagit initiativ till samarbetssamtal, liksom att M.W. stod under åtal för brott mot B.C.W. Han upplyste vidare att M.W. under hösten år 2000 på nytt åtalats för bl.a. olaga hot mot B.C.W.</w:t>
      </w:r>
    </w:p>
    <w:p w:rsidR="009C1C5A" w:rsidRPr="00896D4F" w:rsidRDefault="009C1C5A">
      <w:r w:rsidRPr="00896D4F">
        <w:t xml:space="preserve">I ett beslut den 15 april 2002 anförde </w:t>
      </w:r>
      <w:r w:rsidRPr="00896D4F">
        <w:rPr>
          <w:i/>
        </w:rPr>
        <w:t xml:space="preserve">JO André </w:t>
      </w:r>
      <w:r w:rsidRPr="00896D4F">
        <w:t xml:space="preserve">följande. </w:t>
      </w:r>
    </w:p>
    <w:p w:rsidR="009C1C5A" w:rsidRPr="00896D4F" w:rsidRDefault="009C1C5A">
      <w:r w:rsidRPr="00896D4F">
        <w:t>Kommunen skall sörja för att föräldrar kan erbjudas samtal under sakkunnig ledning i syfte att nå enighet i frågor som gäller vårdnad, boende och u</w:t>
      </w:r>
      <w:r w:rsidRPr="00896D4F">
        <w:t>m</w:t>
      </w:r>
      <w:r w:rsidRPr="00896D4F">
        <w:t>gänge (samarbetssamtal), numera 5 kap. 3 § social</w:t>
      </w:r>
      <w:r w:rsidRPr="00896D4F">
        <w:softHyphen/>
        <w:t>tjänstlagen (2001:453). På samma sätt som gäller för verksamhet i övrigt enligt socialtjänstlagen skall frågan om samarbets</w:t>
      </w:r>
      <w:r w:rsidRPr="00896D4F">
        <w:softHyphen/>
        <w:t>samtal hanteras på ett sätt som bygger på respekt för den enskildes själv</w:t>
      </w:r>
      <w:r w:rsidRPr="00896D4F">
        <w:softHyphen/>
        <w:t xml:space="preserve">bestämmanderätt och integritet. </w:t>
      </w:r>
    </w:p>
    <w:p w:rsidR="009C1C5A" w:rsidRPr="00896D4F" w:rsidRDefault="009C1C5A">
      <w:pPr>
        <w:pStyle w:val="Normaltindrag"/>
      </w:pPr>
      <w:r w:rsidRPr="00896D4F">
        <w:t>Frågor om vårdnad, boende och umgänge kan ytterst avgöras av domstol. I sådana mål får dom</w:t>
      </w:r>
      <w:r w:rsidRPr="00896D4F">
        <w:softHyphen/>
        <w:t>stolen uppdra åt socialnämnden eller något annat organ att i barnets intresse anordna samarbetssamtal i syfte att nå enighet mellan fö</w:t>
      </w:r>
      <w:r w:rsidRPr="00896D4F">
        <w:t>r</w:t>
      </w:r>
      <w:r w:rsidRPr="00896D4F">
        <w:t>äldrarna (6 kap. 18 § andra stycket föräldrabalken). Inte heller i detta fall föreligger tvång för en förälder att delta i samtalen. Detta förhållande innebär emellertid inte att domstol</w:t>
      </w:r>
      <w:r w:rsidRPr="00896D4F">
        <w:softHyphen/>
        <w:t>ens möjlighet att ta initiativ till samarbetssamtal förutsätter samtycke från föräld</w:t>
      </w:r>
      <w:r w:rsidRPr="00896D4F">
        <w:softHyphen/>
        <w:t>rar</w:t>
      </w:r>
      <w:r w:rsidRPr="00896D4F">
        <w:softHyphen/>
      </w:r>
      <w:r w:rsidRPr="00896D4F">
        <w:softHyphen/>
        <w:t>nas sida. Även om det i det nu aktuella fallet inte är fråga om domstols för</w:t>
      </w:r>
      <w:r w:rsidRPr="00896D4F">
        <w:softHyphen/>
        <w:t>ordnande om samarbetss</w:t>
      </w:r>
      <w:r w:rsidRPr="00896D4F">
        <w:t>amtal, finns det anledning att längre fram i mitt beslut något beröra de omständigheter som en domstol har att beakta vid bedömningen av om ett förord</w:t>
      </w:r>
      <w:r w:rsidRPr="00896D4F">
        <w:softHyphen/>
        <w:t>nande skall medd</w:t>
      </w:r>
      <w:r w:rsidRPr="00896D4F">
        <w:t>e</w:t>
      </w:r>
      <w:r w:rsidRPr="00896D4F">
        <w:t>las eller ej. Motsvarande omständigheter kan nämligen ligga till grund för en socialför</w:t>
      </w:r>
      <w:r w:rsidRPr="00896D4F">
        <w:softHyphen/>
        <w:t xml:space="preserve">valtnings bedömning när en begäran om samarbetssamtal inkommit från endast en av föräldrarna. </w:t>
      </w:r>
    </w:p>
    <w:p w:rsidR="009C1C5A" w:rsidRPr="00896D4F" w:rsidRDefault="009C1C5A">
      <w:pPr>
        <w:pStyle w:val="Normaltindrag"/>
      </w:pPr>
      <w:r w:rsidRPr="00896D4F">
        <w:t xml:space="preserve">I förevarande fall aktualiserades frågan om samarbetssamtal genom att M.W. vid olika tillfällen begärde att kommunen skulle ordna sådana samtal mellan honom och </w:t>
      </w:r>
      <w:r w:rsidRPr="00896D4F">
        <w:t>B.C.W. Om bara en av föräldrarna vänder sig till komm</w:t>
      </w:r>
      <w:r w:rsidRPr="00896D4F">
        <w:t>u</w:t>
      </w:r>
      <w:r w:rsidRPr="00896D4F">
        <w:t>nen med en begäran om sam</w:t>
      </w:r>
      <w:r w:rsidRPr="00896D4F">
        <w:softHyphen/>
        <w:t>arbets</w:t>
      </w:r>
      <w:r w:rsidRPr="00896D4F">
        <w:softHyphen/>
        <w:t>samtal framstår det som naturligt att socia</w:t>
      </w:r>
      <w:r w:rsidRPr="00896D4F">
        <w:t>l</w:t>
      </w:r>
      <w:r w:rsidRPr="00896D4F">
        <w:t>förvaltningen kontaktar den andre föräldern och efterhör dennes inställning. Om den föräldern motsätter sig att delta i samtal kan förvaltningen, oavsett om den anser att föräldern anfört några godtagbara skäl eller ej mot del</w:t>
      </w:r>
      <w:r w:rsidRPr="00896D4F">
        <w:softHyphen/>
        <w:t>tagande, inte anordna något samtal. Det faktum att allt deltagande i sama</w:t>
      </w:r>
      <w:r w:rsidRPr="00896D4F">
        <w:t>r</w:t>
      </w:r>
      <w:r w:rsidRPr="00896D4F">
        <w:t>bets</w:t>
      </w:r>
      <w:r w:rsidRPr="00896D4F">
        <w:softHyphen/>
        <w:t>samtal bygger på frivillighet från föräldrar</w:t>
      </w:r>
      <w:r w:rsidRPr="00896D4F">
        <w:softHyphen/>
        <w:t>nas sida behöver dock inte hin</w:t>
      </w:r>
      <w:r w:rsidRPr="00896D4F">
        <w:t>dra förvaltningen från att aktivt verka för att ett samtal ändå kommer till stånd (jfr prop. 1990/91:8 s. 70). Därvid ankommer det själv</w:t>
      </w:r>
      <w:r w:rsidRPr="00896D4F">
        <w:softHyphen/>
        <w:t>fallet på förval</w:t>
      </w:r>
      <w:r w:rsidRPr="00896D4F">
        <w:t>t</w:t>
      </w:r>
      <w:r w:rsidRPr="00896D4F">
        <w:t>ningens tjänstemän att inte uppträda på ett sätt som gör att en förälder kan uppleva det som någon form av tvång att delta i samtalen. Vid be</w:t>
      </w:r>
      <w:r w:rsidRPr="00896D4F">
        <w:softHyphen/>
        <w:t>döm</w:t>
      </w:r>
      <w:r w:rsidRPr="00896D4F">
        <w:softHyphen/>
        <w:t>ningen av lämpligheten i att försöka övertyga en förälder om att samarbets</w:t>
      </w:r>
      <w:r w:rsidRPr="00896D4F">
        <w:softHyphen/>
        <w:t>samtal kan vara en framkomlig väg måste, utöver hänsynen till vad som är bäst för ba</w:t>
      </w:r>
      <w:r w:rsidRPr="00896D4F">
        <w:t>r</w:t>
      </w:r>
      <w:r w:rsidRPr="00896D4F">
        <w:t>net, även beaktas de skäl föräldern har för att inte</w:t>
      </w:r>
      <w:r w:rsidRPr="00896D4F">
        <w:t xml:space="preserve"> vilja delta i samtal, och givetvis måste det finnas en lyhördhet för omständig</w:t>
      </w:r>
      <w:r w:rsidRPr="00896D4F">
        <w:softHyphen/>
        <w:t>heterna i det enskilda fallet. För</w:t>
      </w:r>
      <w:r w:rsidRPr="00896D4F">
        <w:softHyphen/>
        <w:t>hållandet mellan föräldrarna kan ibland vara av en art som gör att för</w:t>
      </w:r>
      <w:r w:rsidRPr="00896D4F">
        <w:softHyphen/>
        <w:t>valtningen inte bör agera för att samtal skall komma till stånd. Det är vid dessa, inte sällan grannlaga, överväganden som förvaltningen kan få vägle</w:t>
      </w:r>
      <w:r w:rsidRPr="00896D4F">
        <w:t>d</w:t>
      </w:r>
      <w:r w:rsidRPr="00896D4F">
        <w:t>ning av de uttalanden som i lag</w:t>
      </w:r>
      <w:r w:rsidRPr="00896D4F">
        <w:softHyphen/>
        <w:t>stiftnings</w:t>
      </w:r>
      <w:r w:rsidRPr="00896D4F">
        <w:softHyphen/>
        <w:t>sammanhang har gjorts vad gäller de bedömningar domstol har att göra inför ett eventuellt förord</w:t>
      </w:r>
      <w:r w:rsidRPr="00896D4F">
        <w:softHyphen/>
        <w:t>nande om sama</w:t>
      </w:r>
      <w:r w:rsidRPr="00896D4F">
        <w:t>r</w:t>
      </w:r>
      <w:r w:rsidRPr="00896D4F">
        <w:t xml:space="preserve">betssamtal. </w:t>
      </w:r>
    </w:p>
    <w:p w:rsidR="009C1C5A" w:rsidRPr="00896D4F" w:rsidRDefault="009C1C5A">
      <w:pPr>
        <w:pStyle w:val="Normaltindrag"/>
      </w:pPr>
      <w:r w:rsidRPr="00896D4F">
        <w:t>Utgångs</w:t>
      </w:r>
      <w:r w:rsidRPr="00896D4F">
        <w:softHyphen/>
        <w:t>punkten för domstolens ställningstagande har ansetts vara att ett för</w:t>
      </w:r>
      <w:r w:rsidRPr="00896D4F">
        <w:softHyphen/>
        <w:t>ordnade om samarbetssamtal bör meddelas så snart det kan antas tjäna något syfte. Ytterst måste det bli beroende av omständig</w:t>
      </w:r>
      <w:r w:rsidRPr="00896D4F">
        <w:softHyphen/>
        <w:t>heterna i det en</w:t>
      </w:r>
      <w:r w:rsidRPr="00896D4F">
        <w:softHyphen/>
        <w:t>skilda fallet huruvida domstolen skall ta initiativ till samarbets</w:t>
      </w:r>
      <w:r w:rsidRPr="00896D4F">
        <w:softHyphen/>
        <w:t>samtal. Som god</w:t>
      </w:r>
      <w:r w:rsidRPr="00896D4F">
        <w:softHyphen/>
        <w:t>tagbara skäl till att en förälder inte vill delta i sam</w:t>
      </w:r>
      <w:r w:rsidRPr="00896D4F">
        <w:softHyphen/>
        <w:t>arbets</w:t>
      </w:r>
      <w:r w:rsidRPr="00896D4F">
        <w:softHyphen/>
        <w:t>samtal har depart</w:t>
      </w:r>
      <w:r w:rsidRPr="00896D4F">
        <w:t>e</w:t>
      </w:r>
      <w:r w:rsidRPr="00896D4F">
        <w:t>ments</w:t>
      </w:r>
      <w:r w:rsidRPr="00896D4F">
        <w:softHyphen/>
        <w:t>chefen som exempel angett erfarenheter från tidigare familje</w:t>
      </w:r>
      <w:r w:rsidRPr="00896D4F">
        <w:softHyphen/>
        <w:t xml:space="preserve">rådgivning eller misshandel eller annat oacceptabelt beteende från </w:t>
      </w:r>
      <w:r w:rsidRPr="00896D4F">
        <w:t>den andra makens sida (se prop. 1990/91:8 s. 30).</w:t>
      </w:r>
    </w:p>
    <w:p w:rsidR="009C1C5A" w:rsidRPr="00896D4F" w:rsidRDefault="009C1C5A">
      <w:pPr>
        <w:pStyle w:val="Normaltindrag"/>
      </w:pPr>
      <w:r w:rsidRPr="00896D4F">
        <w:t>I ett senare lagstiftningsärende har uppmärksammats de risker som i vissa fall kan vara förenade med samtalen (prop. 1997/98:7 s. 40 f., 1997/98:LU12 s. 21). Detta ledde emellertid inte till någon inskränkning i domstolarnas befogenheter att för</w:t>
      </w:r>
      <w:r w:rsidRPr="00896D4F">
        <w:softHyphen/>
        <w:t>ordna om samarbets</w:t>
      </w:r>
      <w:r w:rsidRPr="00896D4F">
        <w:softHyphen/>
        <w:t>samtal. Dock inskärptes vikten av att domstolarna och social</w:t>
      </w:r>
      <w:r w:rsidRPr="00896D4F">
        <w:softHyphen/>
        <w:t xml:space="preserve">tjänsten är medvetna om och observanta på denna problematik. </w:t>
      </w:r>
    </w:p>
    <w:p w:rsidR="009C1C5A" w:rsidRPr="00896D4F" w:rsidRDefault="009C1C5A">
      <w:pPr>
        <w:pStyle w:val="Normaltindrag"/>
      </w:pPr>
      <w:r w:rsidRPr="00896D4F">
        <w:t>Länsstyrelsen fann i sitt beslut ”det anmärkningsvärt att nämnden inte gjort några försök de senaste två åren för att tillmötesgå M.W:s begäran om sama</w:t>
      </w:r>
      <w:r w:rsidRPr="00896D4F">
        <w:t>r</w:t>
      </w:r>
      <w:r w:rsidRPr="00896D4F">
        <w:t>betssamtal och få till stånd sådana samtal”. Länsstyrelsen fann uppenbarligen att nämnd</w:t>
      </w:r>
      <w:r w:rsidRPr="00896D4F">
        <w:softHyphen/>
        <w:t>en under en längre tid inte gjort vad som ankom på den att göra. I ärendet förelåg emellertid av allt att döma en situation där det sedan länge var känt för social</w:t>
      </w:r>
      <w:r w:rsidRPr="00896D4F">
        <w:softHyphen/>
        <w:t>nämnden att B.C.W. inte ville delta i samarbetssamtal, samt att den orsak hon angav för detta var M.W:s agerande gentemot henne. Social</w:t>
      </w:r>
      <w:r w:rsidRPr="00896D4F">
        <w:softHyphen/>
      </w:r>
      <w:r w:rsidRPr="00896D4F">
        <w:softHyphen/>
        <w:t>nämndens skyl</w:t>
      </w:r>
      <w:r w:rsidRPr="00896D4F">
        <w:softHyphen/>
        <w:t>dig</w:t>
      </w:r>
      <w:r w:rsidRPr="00896D4F">
        <w:softHyphen/>
        <w:t>het att erbjuda samtal torde under sådana förhållanden vara uppfylld så snart nämnd</w:t>
      </w:r>
      <w:r w:rsidRPr="00896D4F">
        <w:softHyphen/>
        <w:t>en kontaktat B.C.W i</w:t>
      </w:r>
      <w:r w:rsidRPr="00896D4F">
        <w:t xml:space="preserve"> anledning av M.W:s önskemål. Såvitt framkommit har sådana kontakter också förekommit men B.C.W. har förklarat att hon inte var beredd att medverka i några samtal. Huruvida näm</w:t>
      </w:r>
      <w:r w:rsidRPr="00896D4F">
        <w:t>n</w:t>
      </w:r>
      <w:r w:rsidRPr="00896D4F">
        <w:t>den borde ha verkat för att samarbets</w:t>
      </w:r>
      <w:r w:rsidRPr="00896D4F">
        <w:softHyphen/>
        <w:t>samtal ändå skulle komma till stånd är som ovan sagts en bedömnings</w:t>
      </w:r>
      <w:r w:rsidRPr="00896D4F">
        <w:softHyphen/>
        <w:t>fråga. Enligt min upp</w:t>
      </w:r>
      <w:r w:rsidRPr="00896D4F">
        <w:softHyphen/>
        <w:t>fattning har inte fra</w:t>
      </w:r>
      <w:r w:rsidRPr="00896D4F">
        <w:t>m</w:t>
      </w:r>
      <w:r w:rsidRPr="00896D4F">
        <w:t>kommit något som talar för att nämndens bedömning skulle vara felaktig.</w:t>
      </w:r>
    </w:p>
    <w:p w:rsidR="009C1C5A" w:rsidRPr="00896D4F" w:rsidRDefault="009C1C5A">
      <w:pPr>
        <w:pStyle w:val="Normaltindrag"/>
      </w:pPr>
      <w:r w:rsidRPr="00896D4F">
        <w:t>Vid tidpunkten för länsstyrelsens beslut var M.W. åtalad för brott mot bl.a. B.C.W. Kort tid därefter skulle vård</w:t>
      </w:r>
      <w:r w:rsidRPr="00896D4F">
        <w:t>nadsfrågan prövas av hovrätten. Enligt min mening manar sådana omständigheter till viss återhållsamhet från inblan</w:t>
      </w:r>
      <w:r w:rsidRPr="00896D4F">
        <w:softHyphen/>
        <w:t>dade myndigheters sida. I en situation som denna kan en förälder som fruktar för sin säkerhet känna sig tvingad att delta i samtal av rädsla för att hon a</w:t>
      </w:r>
      <w:r w:rsidRPr="00896D4F">
        <w:t>n</w:t>
      </w:r>
      <w:r w:rsidRPr="00896D4F">
        <w:t>nars skall anses inte utgå från sitt barns bästa (jfr prop. 1997/98:7 s. 41). Det är visserligen inte klarlagt om länsstyrelsen kände till de nära förestående rättegångarna. Däremot var det, enligt vad som framgår av remissvaret, känt för län</w:t>
      </w:r>
      <w:r w:rsidRPr="00896D4F">
        <w:t>sstyrelsen att det förekom våld, hot och kränkningar mellan parterna. Därtill framgår av läns</w:t>
      </w:r>
      <w:r w:rsidRPr="00896D4F">
        <w:softHyphen/>
        <w:t>styrelsens beslut att styrelsen under tillsynsärendet tagit kontakt med B.C.W. och att hon då klargjorde att hon skulle komma att bli kränkt av M.W. om hon gick med på samarbetssamtal. Mot den bakgru</w:t>
      </w:r>
      <w:r w:rsidRPr="00896D4F">
        <w:t>n</w:t>
      </w:r>
      <w:r w:rsidRPr="00896D4F">
        <w:t>den – och alldeles oavsett vilka bedömningar länsstyrelsen gjort vad gällde förfluten tid – är det något förvånande att läns</w:t>
      </w:r>
      <w:r w:rsidRPr="00896D4F">
        <w:softHyphen/>
        <w:t>styrelsen anmodade nämnden att senast visst datum återrapportera vilka åtgärder som nämnden v</w:t>
      </w:r>
      <w:r w:rsidRPr="00896D4F">
        <w:t>idtagit med anledning av beslutet. Det måste ha stått klart för länsstyrelsen att detta skulle tolkas på det sätt som nämnden också gjorde, dvs. som en uppmaning att utan dröjsmål kalla till samarbetssamtal. Jag kan bara no</w:t>
      </w:r>
      <w:r w:rsidRPr="00896D4F">
        <w:softHyphen/>
        <w:t>tera att denna upp</w:t>
      </w:r>
      <w:r w:rsidRPr="00896D4F">
        <w:softHyphen/>
        <w:t>maning, med hänsyn bl.a. till de stundande rättegångarna, kom vid en tidpunkt som rent faktiskt framstår som särskilt olämplig.</w:t>
      </w:r>
    </w:p>
    <w:p w:rsidR="009C1C5A" w:rsidRPr="00896D4F" w:rsidRDefault="009C1C5A">
      <w:pPr>
        <w:pStyle w:val="Normaltindrag"/>
      </w:pPr>
      <w:r w:rsidRPr="00896D4F">
        <w:t>Sammanfattningsvis har jag i det nu aktuella fallet en annan uppfattning än läns</w:t>
      </w:r>
      <w:r w:rsidRPr="00896D4F">
        <w:softHyphen/>
        <w:t>styrelsen vilket innebär att jag för egen del inte anser att det var befogat att kritisera social</w:t>
      </w:r>
      <w:r w:rsidRPr="00896D4F">
        <w:softHyphen/>
        <w:t>förvaltningens handläggning; länsstyrelsens ställningst</w:t>
      </w:r>
      <w:r w:rsidRPr="00896D4F">
        <w:t>a</w:t>
      </w:r>
      <w:r w:rsidRPr="00896D4F">
        <w:t>gande tycks för övrigt i viss mån ifrågasättas i länsstyrelsens eget yttrande till JO. Eftersom ärendet ytterst rör en bedömningsfråga vill jag däremot inte gå så långt att jag riktar någon egentlig kritik mot länsstyrelsen för inne</w:t>
      </w:r>
      <w:r w:rsidRPr="00896D4F">
        <w:softHyphen/>
        <w:t>hållet i tillsyns</w:t>
      </w:r>
      <w:r w:rsidRPr="00896D4F">
        <w:softHyphen/>
        <w:t>beslutet utan jag nöjer mig med att konstatera att jag i sak</w:t>
      </w:r>
      <w:r w:rsidRPr="00896D4F">
        <w:softHyphen/>
        <w:t>frågan har en annan ståndpunkt än länsstyrels</w:t>
      </w:r>
      <w:r w:rsidRPr="00896D4F">
        <w:t>en.</w:t>
      </w:r>
    </w:p>
    <w:p w:rsidR="009C1C5A" w:rsidRPr="00896D4F" w:rsidRDefault="009C1C5A">
      <w:pPr>
        <w:pStyle w:val="Rubrik2"/>
      </w:pPr>
      <w:r w:rsidRPr="00896D4F">
        <w:t xml:space="preserve">Fråga om två avtal angående umgänge med barn var utformade så att socialnämnden bort godkänna dem  </w:t>
      </w:r>
    </w:p>
    <w:p w:rsidR="009C1C5A" w:rsidRPr="00896D4F" w:rsidRDefault="009C1C5A">
      <w:pPr>
        <w:spacing w:before="0"/>
      </w:pPr>
      <w:r w:rsidRPr="00896D4F">
        <w:t>(Dnr 4089-2001)</w:t>
      </w:r>
    </w:p>
    <w:p w:rsidR="009C1C5A" w:rsidRPr="00896D4F" w:rsidRDefault="009C1C5A">
      <w:r w:rsidRPr="00896D4F">
        <w:t xml:space="preserve">Vid en inspektion av Vård- och omsorgsnämnden i Sala kommun den 13–15 november 2001 granskades bl.a. ärenden vid familjerättsenheten. </w:t>
      </w:r>
    </w:p>
    <w:p w:rsidR="009C1C5A" w:rsidRPr="00896D4F" w:rsidRDefault="009C1C5A">
      <w:pPr>
        <w:pStyle w:val="Normaltindrag"/>
        <w:rPr>
          <w:b/>
        </w:rPr>
      </w:pPr>
      <w:r w:rsidRPr="00896D4F">
        <w:t xml:space="preserve">Med anledning av vad som då kom fram uttalade </w:t>
      </w:r>
      <w:r w:rsidRPr="00896D4F">
        <w:rPr>
          <w:i/>
        </w:rPr>
        <w:t>JO André</w:t>
      </w:r>
      <w:r w:rsidRPr="00896D4F">
        <w:t xml:space="preserve"> i ett protokoll den 22 januari 2002 bl.a. följande.</w:t>
      </w:r>
      <w:r w:rsidRPr="00896D4F">
        <w:rPr>
          <w:b/>
        </w:rPr>
        <w:t xml:space="preserve"> </w:t>
      </w:r>
    </w:p>
    <w:p w:rsidR="009C1C5A" w:rsidRPr="00896D4F" w:rsidRDefault="009C1C5A">
      <w:pPr>
        <w:pStyle w:val="Normaltindrag"/>
      </w:pPr>
      <w:r w:rsidRPr="00896D4F">
        <w:t xml:space="preserve">Föräldrar kan träffa avtal rörande vårdnaden om barnet, barnets boende och en förälders umgänge med barnet. Frågan om godkännande av sådana avtal prövas av socialnämnden i den kommun där barnet är folkbokfört (se 6 kap. 17 a § FB). </w:t>
      </w:r>
    </w:p>
    <w:p w:rsidR="009C1C5A" w:rsidRPr="00896D4F" w:rsidRDefault="009C1C5A">
      <w:r w:rsidRPr="00896D4F">
        <w:t>– – –</w:t>
      </w:r>
    </w:p>
    <w:p w:rsidR="009C1C5A" w:rsidRPr="00896D4F" w:rsidRDefault="009C1C5A">
      <w:r w:rsidRPr="00896D4F">
        <w:t xml:space="preserve">Vid granskningen uppmärksammades ett avtal där faderns umgänge med sonen var bestämt till varannan helg från fredag kl. 18.00 till söndag kl. 15.00. I ett annat avtal angavs att barnet skall åka till sin far på höstlovet och en vecka i samband med julen 2001.  </w:t>
      </w:r>
    </w:p>
    <w:p w:rsidR="009C1C5A" w:rsidRPr="00896D4F" w:rsidRDefault="009C1C5A">
      <w:pPr>
        <w:pStyle w:val="Normaltindrag"/>
      </w:pPr>
      <w:r w:rsidRPr="00896D4F">
        <w:t>Verkställighet av vad allmän domstol har bestämt i dom eller beslut om bl.a. vårdnad, boende eller umgänge söks enligt 21 kap. 1 § FB hos länsrätten. Av tredje stycket samma paragraf framgår att verkställighet av avtal enligt 6 kap. 6 §, 14 a § och 15 a § söks hos länsrätten. Det som föreskrivs om ver</w:t>
      </w:r>
      <w:r w:rsidRPr="00896D4F">
        <w:t>k</w:t>
      </w:r>
      <w:r w:rsidRPr="00896D4F">
        <w:t xml:space="preserve">ställighet av dom eller beslut som vunnit laga kraft gäller även ett sådant avtal. </w:t>
      </w:r>
    </w:p>
    <w:p w:rsidR="009C1C5A" w:rsidRPr="00896D4F" w:rsidRDefault="009C1C5A">
      <w:pPr>
        <w:pStyle w:val="Normaltindrag"/>
      </w:pPr>
      <w:r w:rsidRPr="00896D4F">
        <w:t>När länsrätten förordnar om verkställighet finns möjlighet för rätten att enligt 21 kap. 4 § tredje stycket, när det påkallas av förhållanden som har inträffat efter domen eller beslutet, jämka vad som har bestämts om villkor eller tidpunkt för umgänget. I förarbetena till bestämmelsen (prop. 1982/83:165 s. 16 och 30–31) framhölls bl.a. att en ändring av tidpunkten för umgänge kunde gälla inte bara tidpunkterna för hämtning</w:t>
      </w:r>
      <w:r w:rsidRPr="00896D4F">
        <w:t xml:space="preserve"> och avlämnande av barnet under de dygn som hade bestämts utan också tiden för själva umgänget som sådant.</w:t>
      </w:r>
    </w:p>
    <w:p w:rsidR="009C1C5A" w:rsidRPr="00896D4F" w:rsidRDefault="009C1C5A">
      <w:pPr>
        <w:pStyle w:val="Normaltindrag"/>
      </w:pPr>
      <w:r w:rsidRPr="00896D4F">
        <w:t>Socialnämnden har vid utformningen av dessa avtal att aktivt verka för att framtida tvistigheter mellan föräldrarna undviks. Ett avtal som är så oklart att det inte kan verkställas torde inte heller kunna godkännas av socialnämnden. Jag vill i detta sammanhang hänvisa till Regeringsrättens avgörande RÅ 2000 ref. 30 där rätten hade att ta ställning till en ansökan om verkställighet av umgänge som enligt</w:t>
      </w:r>
      <w:r w:rsidRPr="00896D4F">
        <w:t xml:space="preserve"> allmän domstols dom skulle ske vartannat veckoslut från fredag kl. 16.00 till söndag kl. 16.00. Regeringsrätten uttalade bl.a. att i ett fall som det förevarande, där tingsrätten inte har angett om det första u</w:t>
      </w:r>
      <w:r w:rsidRPr="00896D4F">
        <w:t>m</w:t>
      </w:r>
      <w:r w:rsidRPr="00896D4F">
        <w:t>gängestillfället skall infalla under en jämn eller en udda vecka, bör verkstä</w:t>
      </w:r>
      <w:r w:rsidRPr="00896D4F">
        <w:t>l</w:t>
      </w:r>
      <w:r w:rsidRPr="00896D4F">
        <w:t xml:space="preserve">lighet kunna komma i fråga, åtminstone om det kan klarläggas att parterna är ense i fråga om valet mellan jämna och udda veckor. </w:t>
      </w:r>
    </w:p>
    <w:p w:rsidR="009C1C5A" w:rsidRPr="00896D4F" w:rsidRDefault="009C1C5A">
      <w:pPr>
        <w:pStyle w:val="Normaltindrag"/>
        <w:rPr>
          <w:b/>
        </w:rPr>
      </w:pPr>
      <w:r w:rsidRPr="00896D4F">
        <w:t>Mot bakgrund av det anförda vill jag uppmärksamma nämnden på vikten av att det av avtalen kl</w:t>
      </w:r>
      <w:r w:rsidRPr="00896D4F">
        <w:t>art framgår vad parterna har kommit överens om. Det kan därför ifrågasättas om de aktuella avtalen inte borde ha utformats på ett mer preciserat sätt.</w:t>
      </w:r>
      <w:r w:rsidRPr="00896D4F">
        <w:rPr>
          <w:b/>
        </w:rPr>
        <w:t xml:space="preserve"> </w:t>
      </w:r>
    </w:p>
    <w:p w:rsidR="009C1C5A" w:rsidRPr="00896D4F" w:rsidRDefault="009C1C5A">
      <w:pPr>
        <w:pStyle w:val="Rubrik2"/>
      </w:pPr>
      <w:r w:rsidRPr="00896D4F">
        <w:t>Fråga om en socialnämnds möjlighet att till en tjänsteman delegera rätten att överklaga domar och beslut som meddelats av en länsrätt</w:t>
      </w:r>
    </w:p>
    <w:p w:rsidR="009C1C5A" w:rsidRPr="00896D4F" w:rsidRDefault="009C1C5A">
      <w:pPr>
        <w:spacing w:before="0"/>
      </w:pPr>
      <w:r w:rsidRPr="00896D4F">
        <w:t>(Dnr 4089-2001)</w:t>
      </w:r>
    </w:p>
    <w:p w:rsidR="009C1C5A" w:rsidRPr="00896D4F" w:rsidRDefault="009C1C5A">
      <w:r w:rsidRPr="00896D4F">
        <w:t>Vid en inspektion av Vård- och omsorgsnämnden i Sala kommun den 13–15 november 2001 granskades bl.a. nämndens delegationsordning. Med anle</w:t>
      </w:r>
      <w:r w:rsidRPr="00896D4F">
        <w:t>d</w:t>
      </w:r>
      <w:r w:rsidRPr="00896D4F">
        <w:t xml:space="preserve">ning av vad som då kom fram uttalade </w:t>
      </w:r>
      <w:r w:rsidRPr="00896D4F">
        <w:rPr>
          <w:i/>
        </w:rPr>
        <w:t xml:space="preserve">JO André </w:t>
      </w:r>
      <w:r w:rsidRPr="00896D4F">
        <w:t xml:space="preserve">i ett protokoll den 22 januari 2002 bl.a. följande. </w:t>
      </w:r>
    </w:p>
    <w:p w:rsidR="009C1C5A" w:rsidRPr="00896D4F" w:rsidRDefault="009C1C5A">
      <w:pPr>
        <w:pStyle w:val="Normaltindrag"/>
      </w:pPr>
      <w:r w:rsidRPr="00896D4F">
        <w:t>Enligt gällande delegationsordningar hade nämnden till chefen för förval</w:t>
      </w:r>
      <w:r w:rsidRPr="00896D4F">
        <w:t>t</w:t>
      </w:r>
      <w:r w:rsidRPr="00896D4F">
        <w:t>ningen i stor utsträckning delegerat rätten att fatta beslut i hos nämnden för</w:t>
      </w:r>
      <w:r w:rsidRPr="00896D4F">
        <w:t>e</w:t>
      </w:r>
      <w:r w:rsidRPr="00896D4F">
        <w:t xml:space="preserve">kommande ärenden. Nämnden hade samtidigt gett förvaltningschefen rätt att i flertalet fall i sin tur uppdra åt annan anställd att besluta i stället (jfr 6 kap. 33 och 37 §§ kommunallagen [1991:900]). </w:t>
      </w:r>
    </w:p>
    <w:p w:rsidR="009C1C5A" w:rsidRPr="00896D4F" w:rsidRDefault="009C1C5A">
      <w:r w:rsidRPr="00896D4F">
        <w:t>– – –</w:t>
      </w:r>
    </w:p>
    <w:p w:rsidR="009C1C5A" w:rsidRPr="00896D4F" w:rsidRDefault="009C1C5A">
      <w:r w:rsidRPr="00896D4F">
        <w:t>I vissa slag av ärenden får beslutanderätten inte delegeras. Delegationsförb</w:t>
      </w:r>
      <w:r w:rsidRPr="00896D4F">
        <w:t>u</w:t>
      </w:r>
      <w:r w:rsidRPr="00896D4F">
        <w:t>det gäller, enligt 6 kap. 34 § kommunallagen, bl.a. ärenden som rör myndi</w:t>
      </w:r>
      <w:r w:rsidRPr="00896D4F">
        <w:t>g</w:t>
      </w:r>
      <w:r w:rsidRPr="00896D4F">
        <w:t>hetsutövning mot enskilda, om ärendena är av principiell beskaffenhet eller annars av större vikt.</w:t>
      </w:r>
    </w:p>
    <w:p w:rsidR="009C1C5A" w:rsidRPr="00896D4F" w:rsidRDefault="009C1C5A">
      <w:pPr>
        <w:pStyle w:val="Normaltindrag"/>
      </w:pPr>
      <w:r w:rsidRPr="00896D4F">
        <w:t>Av punkt 7 av förvaltningschefens delegationsordning, daterad den 14 fe</w:t>
      </w:r>
      <w:r w:rsidRPr="00896D4F">
        <w:t>b</w:t>
      </w:r>
      <w:r w:rsidRPr="00896D4F">
        <w:t>ruari 2001, framgick att den som har fattat ett beslut vilket sedan överklagas har delegation att överklaga länsrättens beslut till kammarrätten samt har rätt att begära inhibition. Enligt vad som uppgavs vid det avslutande mötet inn</w:t>
      </w:r>
      <w:r w:rsidRPr="00896D4F">
        <w:t>e</w:t>
      </w:r>
      <w:r w:rsidRPr="00896D4F">
        <w:t>bär detta att det inte är ovanligt att en tjänsteman överklagar till kammarrä</w:t>
      </w:r>
      <w:r w:rsidRPr="00896D4F">
        <w:t>t</w:t>
      </w:r>
      <w:r w:rsidRPr="00896D4F">
        <w:t>ten. Det gäller främst ärenden angående ekonomiskt bistånd. Enligt nämndens praxis skall de ärenden som är av mer principiell karaktär överklagas av nämnden.</w:t>
      </w:r>
    </w:p>
    <w:p w:rsidR="009C1C5A" w:rsidRPr="00896D4F" w:rsidRDefault="009C1C5A">
      <w:pPr>
        <w:pStyle w:val="Normaltindrag"/>
      </w:pPr>
      <w:r w:rsidRPr="00896D4F">
        <w:t>I detta sammanhang bör två avgöranden frå</w:t>
      </w:r>
      <w:r w:rsidRPr="00896D4F">
        <w:t>n Regeringsrätten uppmär</w:t>
      </w:r>
      <w:r w:rsidRPr="00896D4F">
        <w:t>k</w:t>
      </w:r>
      <w:r w:rsidRPr="00896D4F">
        <w:t>sammas. I RÅ 1991 ref. 60 fann Regeringsrätten att ett delegationsbemynd</w:t>
      </w:r>
      <w:r w:rsidRPr="00896D4F">
        <w:t>i</w:t>
      </w:r>
      <w:r w:rsidRPr="00896D4F">
        <w:t>gande, som inte är försett med ett förbehåll om att delegation inte får ske med avseende på ärenden av principiell beskaffenhet eller andra ärenden av större vikt, i princip inte kan anses stå i överensstämmelse med kommunallagens regler om delegation. Vidare prövade Regeringsrätten i RÅ 1994 ref. 67 h</w:t>
      </w:r>
      <w:r w:rsidRPr="00896D4F">
        <w:t>u</w:t>
      </w:r>
      <w:r w:rsidRPr="00896D4F">
        <w:t xml:space="preserve">ruvida en socialchef enligt den givna delegationen kunde anses behörig att överklaga en länsrättsdom angående </w:t>
      </w:r>
      <w:r w:rsidRPr="00896D4F">
        <w:t>bistånd. Delegationsbemyndigandet saknade det i kommunallagen angivna förbehållet att, vad gäller ärenden som rör myndighetsutövning mot enskilda, delegationen inte får omfatta ärenden av principiell beskaffenhet eller annars av större vikt. Regeringsrätten ko</w:t>
      </w:r>
      <w:r w:rsidRPr="00896D4F">
        <w:t>n</w:t>
      </w:r>
      <w:r w:rsidRPr="00896D4F">
        <w:t>staterade att socialchefen hade utnyttjat sin beslutanderätt enligt den för nämnden gällande delegationsordningen i ett ärende som är av sådant slag att kommunallagen tillåter delegation av beslutanderätt. Under sådana omstä</w:t>
      </w:r>
      <w:r w:rsidRPr="00896D4F">
        <w:t>n</w:t>
      </w:r>
      <w:r w:rsidRPr="00896D4F">
        <w:t>digheter saknade det betyd</w:t>
      </w:r>
      <w:r w:rsidRPr="00896D4F">
        <w:t>else att delegationsordningen inte var försedd med ett förbehåll av den innebörd som föreskrivs i kommuna</w:t>
      </w:r>
      <w:r w:rsidRPr="00896D4F">
        <w:t>l</w:t>
      </w:r>
      <w:r w:rsidRPr="00896D4F">
        <w:t>lagen.</w:t>
      </w:r>
    </w:p>
    <w:p w:rsidR="009C1C5A" w:rsidRPr="00896D4F" w:rsidRDefault="009C1C5A">
      <w:pPr>
        <w:pStyle w:val="Normaltindrag"/>
      </w:pPr>
      <w:r w:rsidRPr="00896D4F">
        <w:t xml:space="preserve">Mot bakgrund av dessa uttalanden från Regeringsrätten samt nämndens praxis att de ärenden som är av mer principiell karaktär skall överklagas av nämnden bör delegationsförteckningen kompletteras med ett förbehåll av det slag som följer av bestämmelsen i 6 kap. 34 § kommunallagen. </w:t>
      </w:r>
    </w:p>
    <w:p w:rsidR="009C1C5A" w:rsidRPr="00896D4F" w:rsidRDefault="009C1C5A">
      <w:pPr>
        <w:pStyle w:val="Rubrik2"/>
      </w:pPr>
      <w:r w:rsidRPr="00896D4F">
        <w:t xml:space="preserve">Fråga om det på grund av jäv förelåg hinder för en ledamot i en socialnämnd att delta i ett beslut om svar på ett brev </w:t>
      </w:r>
    </w:p>
    <w:p w:rsidR="009C1C5A" w:rsidRPr="00896D4F" w:rsidRDefault="009C1C5A">
      <w:pPr>
        <w:spacing w:before="0"/>
      </w:pPr>
      <w:r w:rsidRPr="00896D4F">
        <w:t>(Dnr 1128-1999)</w:t>
      </w:r>
    </w:p>
    <w:p w:rsidR="009C1C5A" w:rsidRPr="00896D4F" w:rsidRDefault="009C1C5A">
      <w:r w:rsidRPr="00896D4F">
        <w:t xml:space="preserve">Mellan I.S. och T.N. har under flera år förelegat en konflikt angående vårdnad om och umgänge med deras dotter J. Frågor rörande vårdnaden och umgänget har mer eller mindre kontinuerligt varit föremål för handläggning i olika domstolar och hos andra myndigheter sedan år 1994.    </w:t>
      </w:r>
    </w:p>
    <w:p w:rsidR="009C1C5A" w:rsidRPr="00896D4F" w:rsidRDefault="009C1C5A">
      <w:pPr>
        <w:pStyle w:val="Normaltindrag"/>
      </w:pPr>
      <w:r w:rsidRPr="00896D4F">
        <w:t xml:space="preserve">Ärenden rörande J. har aktualiserats hos Socialnämnden i Linköpings kommun. De har gällt utredningar med anledning av vårdnadstvisten och behovet av insatser från socialtjänstens sida beträffande J. Socialtjänsten har även handlagt frågor i samband med att I.S. haft umgänge med J. </w:t>
      </w:r>
    </w:p>
    <w:p w:rsidR="009C1C5A" w:rsidRPr="00896D4F" w:rsidRDefault="009C1C5A">
      <w:pPr>
        <w:pStyle w:val="Normaltindrag"/>
      </w:pPr>
      <w:r w:rsidRPr="00896D4F">
        <w:t>Den 29 juni 1999 förordnade Göta hovrätt i ett s.k. interimistiskt beslut att I.S. skulle äga rätt till umgänge med J. under två timmar vid vissa tillfällen som angavs i beslutet och att umgänget skulle ske i närvaro av en kontaktpe</w:t>
      </w:r>
      <w:r w:rsidRPr="00896D4F">
        <w:t>r</w:t>
      </w:r>
      <w:r w:rsidRPr="00896D4F">
        <w:t xml:space="preserve">son som skulle utses av Socialnämnden i Linköpings kommun. Under en tid var Göran Tholerud, som var ledamot i socialnämnden, kontaktperson vid umgängestillfällena.  </w:t>
      </w:r>
    </w:p>
    <w:p w:rsidR="009C1C5A" w:rsidRPr="00896D4F" w:rsidRDefault="009C1C5A">
      <w:pPr>
        <w:pStyle w:val="Normaltindrag"/>
      </w:pPr>
      <w:r w:rsidRPr="00896D4F">
        <w:t xml:space="preserve">I skrivelser till JO begärde I.S. att JO skulle granska hur Socialnämnden i Linköpings kommun handlagt olika ärenden beträffande J. En av de frågor som I.S. väckte var om en ledamot i socialnämnden hade delagit i ett beslut trots att han varit jävig. </w:t>
      </w:r>
    </w:p>
    <w:p w:rsidR="009C1C5A" w:rsidRPr="00896D4F" w:rsidRDefault="009C1C5A">
      <w:pPr>
        <w:pStyle w:val="Normaltindrag"/>
      </w:pPr>
      <w:r w:rsidRPr="00896D4F">
        <w:t xml:space="preserve">Efter företagen utredning anförde </w:t>
      </w:r>
      <w:r w:rsidRPr="00896D4F">
        <w:rPr>
          <w:i/>
        </w:rPr>
        <w:t xml:space="preserve">JO André </w:t>
      </w:r>
      <w:r w:rsidRPr="00896D4F">
        <w:t xml:space="preserve">i ett beslut den 22 mars 2002 följande såvitt gällde frågan om jäv.  </w:t>
      </w:r>
    </w:p>
    <w:p w:rsidR="009C1C5A" w:rsidRPr="00896D4F" w:rsidRDefault="009C1C5A">
      <w:pPr>
        <w:pStyle w:val="Normaltindrag"/>
      </w:pPr>
      <w:r w:rsidRPr="00896D4F">
        <w:t>I en skrivelse daterad den 7 november 1997 som var ställd till ”Social</w:t>
      </w:r>
      <w:r w:rsidRPr="00896D4F">
        <w:softHyphen/>
        <w:t>nämndens ordförande Lars Linebäck och samtliga ledamöter i socialnäm</w:t>
      </w:r>
      <w:r w:rsidRPr="00896D4F">
        <w:t>n</w:t>
      </w:r>
      <w:r w:rsidRPr="00896D4F">
        <w:t>den” framförde I.S. synpunkter/klagomål beträffande socialnämndens han</w:t>
      </w:r>
      <w:r w:rsidRPr="00896D4F">
        <w:t>d</w:t>
      </w:r>
      <w:r w:rsidRPr="00896D4F">
        <w:t>läggning av ären</w:t>
      </w:r>
      <w:r w:rsidRPr="00896D4F">
        <w:softHyphen/>
        <w:t>dena angående J. Hon uppehöll sig bl.a. vid kontaktpers</w:t>
      </w:r>
      <w:r w:rsidRPr="00896D4F">
        <w:t>o</w:t>
      </w:r>
      <w:r w:rsidRPr="00896D4F">
        <w:t>nens, Göran Tholeruds, agerande vid några umgängestillfällen. Enligt I.S. hade kon</w:t>
      </w:r>
      <w:r w:rsidRPr="00896D4F">
        <w:softHyphen/>
        <w:t>taktpersonen hindrat bl.a. I.S:s nye mans barn från att vara med vid umgänges</w:t>
      </w:r>
      <w:r w:rsidRPr="00896D4F">
        <w:softHyphen/>
      </w:r>
      <w:r w:rsidRPr="00896D4F">
        <w:softHyphen/>
        <w:t xml:space="preserve">tillfällena. I sin skrivelse hemställde I.S. att socialnämnden skulle svara på frågor enligt sju punkter, bl.a. följande. </w:t>
      </w:r>
    </w:p>
    <w:p w:rsidR="009C1C5A" w:rsidRPr="00896D4F" w:rsidRDefault="009C1C5A">
      <w:pPr>
        <w:pStyle w:val="Citat"/>
      </w:pPr>
      <w:r w:rsidRPr="00896D4F">
        <w:t xml:space="preserve">1) Tycker Ni </w:t>
      </w:r>
      <w:r w:rsidRPr="00896D4F">
        <w:t>att det är humanitärt att när man som mor frågar om hur ens barn mår får som svar av socialsekr. Rosmarie Kindgren att hon ej kan besv</w:t>
      </w:r>
      <w:r w:rsidRPr="00896D4F">
        <w:t>a</w:t>
      </w:r>
      <w:r w:rsidRPr="00896D4F">
        <w:t xml:space="preserve">ra den frågan pga sekretess. </w:t>
      </w:r>
    </w:p>
    <w:p w:rsidR="009C1C5A" w:rsidRPr="00896D4F" w:rsidRDefault="009C1C5A">
      <w:pPr>
        <w:pStyle w:val="Citat"/>
        <w:spacing w:before="0"/>
      </w:pPr>
      <w:r w:rsidRPr="00896D4F">
        <w:t>2) Är det i J:s intresse att bli berövad kontakten med sin mors släkt och vä</w:t>
      </w:r>
      <w:r w:rsidRPr="00896D4F">
        <w:t>n</w:t>
      </w:r>
      <w:r w:rsidRPr="00896D4F">
        <w:t>ner?</w:t>
      </w:r>
    </w:p>
    <w:p w:rsidR="009C1C5A" w:rsidRPr="00896D4F" w:rsidRDefault="009C1C5A">
      <w:pPr>
        <w:pStyle w:val="Citat"/>
        <w:spacing w:before="0"/>
      </w:pPr>
      <w:r w:rsidRPr="00896D4F">
        <w:t>6) Trots mycket starka rekommendationer från ledande barnpsykiatriker i Linköping och Stockholm (vgs kopior på anmälningar) anser §50 utredarna att någon utredning inom barnpsykiatrin ej var nödvändig för att klargöra J:s situation hos sin far i Linköping. Anser Ni att socialsekreterare besitter sådan kunskap i barnpsykiatri att man kan göra egna bedömningar som ej överen</w:t>
      </w:r>
      <w:r w:rsidRPr="00896D4F">
        <w:t>s</w:t>
      </w:r>
      <w:r w:rsidRPr="00896D4F">
        <w:t>stämmer med barnpsykiatrins? Varför är ingen remiss till barnpsykiatrin i</w:t>
      </w:r>
      <w:r w:rsidRPr="00896D4F">
        <w:t>n</w:t>
      </w:r>
      <w:r w:rsidRPr="00896D4F">
        <w:t>skickad för utredning när flera bedömningar finns om inneliggande utre</w:t>
      </w:r>
      <w:r w:rsidRPr="00896D4F">
        <w:t>d</w:t>
      </w:r>
      <w:r w:rsidRPr="00896D4F">
        <w:t>ning?</w:t>
      </w:r>
    </w:p>
    <w:p w:rsidR="009C1C5A" w:rsidRPr="00896D4F" w:rsidRDefault="009C1C5A">
      <w:pPr>
        <w:pStyle w:val="Citat"/>
        <w:spacing w:before="0"/>
      </w:pPr>
      <w:r w:rsidRPr="00896D4F">
        <w:t>7) Anser Ni att det är acceptabelt av Era tjänstemän att inskicka bristfälligt material till rättsliga instanser – – –</w:t>
      </w:r>
    </w:p>
    <w:p w:rsidR="009C1C5A" w:rsidRPr="00896D4F" w:rsidRDefault="009C1C5A">
      <w:r w:rsidRPr="00896D4F">
        <w:t xml:space="preserve">I.S:s brev torde ha föranlett ett ärende hos nämnden. </w:t>
      </w:r>
    </w:p>
    <w:p w:rsidR="009C1C5A" w:rsidRPr="00896D4F" w:rsidRDefault="009C1C5A">
      <w:pPr>
        <w:pStyle w:val="Normaltindrag"/>
      </w:pPr>
      <w:r w:rsidRPr="00896D4F">
        <w:t xml:space="preserve">Socialnämnden beslutade vid ett sammanträde den 24 november 1999 att som svar på I.S. brev sända en skrivelse som upprättats av kanslisekreteraren Arne Linder. I den anfördes bl.a. följande. </w:t>
      </w:r>
    </w:p>
    <w:p w:rsidR="009C1C5A" w:rsidRPr="00896D4F" w:rsidRDefault="009C1C5A">
      <w:pPr>
        <w:pStyle w:val="Citat"/>
      </w:pPr>
      <w:r w:rsidRPr="00896D4F">
        <w:t xml:space="preserve">I.S. är känd av socialnämnden i ärenden enligt Socialtjänstlagen och i ärenden enligt Föräldrabalken. De frågor I.S. vill ha besvarade är till övervägande del typiskt sådana frågor som avhandlas i ovan nämnda ärenden. Det finns därför i detta sammanhang inte anledning för socialnämnden att uttala sig eller vidta någon åtgärd utöver vad som förekommer vid den formliga handläggningen av de ärenden som rör J. </w:t>
      </w:r>
    </w:p>
    <w:p w:rsidR="009C1C5A" w:rsidRPr="00896D4F" w:rsidRDefault="009C1C5A">
      <w:r w:rsidRPr="00896D4F">
        <w:t xml:space="preserve">I nämndens beslut om svar på I.S:s brev deltog ledamoten Göran Tholerud. </w:t>
      </w:r>
    </w:p>
    <w:p w:rsidR="009C1C5A" w:rsidRPr="00896D4F" w:rsidRDefault="009C1C5A">
      <w:pPr>
        <w:pStyle w:val="Normaltindrag"/>
      </w:pPr>
      <w:r w:rsidRPr="00896D4F">
        <w:t>I.S. har ifrågasatt om Göran Tholerud var jävig och därför inte borde de</w:t>
      </w:r>
      <w:r w:rsidRPr="00896D4F">
        <w:t>l</w:t>
      </w:r>
      <w:r w:rsidRPr="00896D4F">
        <w:t xml:space="preserve">tagit i beslutet. </w:t>
      </w:r>
    </w:p>
    <w:p w:rsidR="009C1C5A" w:rsidRPr="00896D4F" w:rsidRDefault="009C1C5A">
      <w:pPr>
        <w:pStyle w:val="Normaltindrag"/>
      </w:pPr>
      <w:r w:rsidRPr="00896D4F">
        <w:t>Bestämmelser om jäv för ledamöter i en kommunal nämnd finns i 6 kap. 24–27 §§ kommunallagen (1991:900). Den som är jävig i ett ärende får inte delta i eller närvara vid handläggningen av ärendet. En förtroendevald är jävig bl.a. om saken angår honom själv eller om det finns någon särskild omstä</w:t>
      </w:r>
      <w:r w:rsidRPr="00896D4F">
        <w:t>n</w:t>
      </w:r>
      <w:r w:rsidRPr="00896D4F">
        <w:t xml:space="preserve">dighet som är ägnad att rubba förtroendet till hans opartiskhet i ärendet. </w:t>
      </w:r>
    </w:p>
    <w:p w:rsidR="009C1C5A" w:rsidRPr="00896D4F" w:rsidRDefault="009C1C5A">
      <w:pPr>
        <w:pStyle w:val="Normaltindrag"/>
      </w:pPr>
      <w:r w:rsidRPr="00896D4F">
        <w:t xml:space="preserve">I nämndens remissyttrande har anförts att om frågan om jäv hade väckts skulle det ha ”kunnat godtagits ett jävsförhållande i det aktuella ärendet – – – med hänvisning till 6 kap. 25 § 4 . KL för att inte onödigt riskera förtroendet till det aktuella beslutet”.  </w:t>
      </w:r>
    </w:p>
    <w:p w:rsidR="009C1C5A" w:rsidRPr="00896D4F" w:rsidRDefault="009C1C5A">
      <w:pPr>
        <w:pStyle w:val="Normaltindrag"/>
      </w:pPr>
      <w:r w:rsidRPr="00896D4F">
        <w:t>Det förekommer att en ledamot i en socialnämnd har ett uppdrag som t.ex. kontakt</w:t>
      </w:r>
      <w:r w:rsidRPr="00896D4F">
        <w:softHyphen/>
        <w:t>person enligt bestämmelserna i socialtjänstlagen. Som regel torde förhållandet inte medföra några problem ur jävssynpunkt. Det kan dock up</w:t>
      </w:r>
      <w:r w:rsidRPr="00896D4F">
        <w:t>p</w:t>
      </w:r>
      <w:r w:rsidRPr="00896D4F">
        <w:t>komma situationer då nämndledamotens uppdrag som kontaktperson kan vara ägnat att rubba förtro</w:t>
      </w:r>
      <w:r w:rsidRPr="00896D4F">
        <w:softHyphen/>
        <w:t>endet för hans opartiskhet i ett ärende. Om nämnden ansett t.ex. att det funnits skäl att entlediga Göran Tholerud från uppdraget som kontaktperson hade denne på grund av jäv knappast kunnat delta i näm</w:t>
      </w:r>
      <w:r w:rsidRPr="00896D4F">
        <w:t>n</w:t>
      </w:r>
      <w:r w:rsidRPr="00896D4F">
        <w:t>dens handläggning av frågan. I.S:s brev innefattade dock inte någon egentl</w:t>
      </w:r>
      <w:r w:rsidRPr="00896D4F">
        <w:t>ig framställning om åtgärder från nämnden utan hon ville i princip endast att nämnden skulle redovisa sin syn på olika frågor. Frågorna rörde endast delvis och indirekt Göran Tholeruds agerande. Jag finner därför inte skäl att rikta någon kritik mot Göran Tholerud eller socialnämnden för att Göran Tholerud deltog i nämndens beslut om svar på I.S:s brev.</w:t>
      </w:r>
    </w:p>
    <w:p w:rsidR="009C1C5A" w:rsidRPr="00896D4F" w:rsidRDefault="009C1C5A">
      <w:pPr>
        <w:pStyle w:val="Rubrik2"/>
      </w:pPr>
      <w:r w:rsidRPr="00896D4F">
        <w:t>Fråga om en socialnämnd var skyldig att kommunicera ett läkarutlåtande som kom in till nämnden i ett LVU-ärende efter att länsrätten hade hållit förhandling</w:t>
      </w:r>
      <w:r w:rsidRPr="00896D4F">
        <w:t xml:space="preserve"> i målet angående vård enligt LVU </w:t>
      </w:r>
    </w:p>
    <w:p w:rsidR="009C1C5A" w:rsidRPr="00896D4F" w:rsidRDefault="009C1C5A">
      <w:pPr>
        <w:spacing w:before="0"/>
      </w:pPr>
      <w:r w:rsidRPr="00896D4F">
        <w:t>(Dnr 3151-2000)</w:t>
      </w:r>
    </w:p>
    <w:p w:rsidR="009C1C5A" w:rsidRPr="00896D4F" w:rsidRDefault="009C1C5A">
      <w:r w:rsidRPr="00896D4F">
        <w:t>Ordföranden i Vårby kommundelsnämnd i Huddinge kommun beslutade den 13 januari 2000 med stöd av 6 § LVU att L.W., som är född 1999, omedelbart skulle omhändertas. Beslutet fastställdes av länsrätten.</w:t>
      </w:r>
    </w:p>
    <w:p w:rsidR="009C1C5A" w:rsidRPr="00896D4F" w:rsidRDefault="009C1C5A">
      <w:pPr>
        <w:pStyle w:val="Normaltindrag"/>
      </w:pPr>
      <w:r w:rsidRPr="00896D4F">
        <w:t>Vårby kommundelsnämnd ansökte den 9 februari 2000 hos Länsrätten i Stockholms län om att L.W. skulle beredas vård enligt LVU. Som grund för ansökan anförde nämnden att det förelåg en påtaglig risk för att hans hälsa och utveckling skulle skadas på grund av brister i omsorgen och att det inte heller förelåg något samtycke till behövlig vård. De påstådda bristerna i o</w:t>
      </w:r>
      <w:r w:rsidRPr="00896D4F">
        <w:t>m</w:t>
      </w:r>
      <w:r w:rsidRPr="00896D4F">
        <w:t xml:space="preserve">sorgen hade sin grund i moderns, H.W., psykiska sjukdom.  </w:t>
      </w:r>
    </w:p>
    <w:p w:rsidR="009C1C5A" w:rsidRPr="00896D4F" w:rsidRDefault="009C1C5A">
      <w:pPr>
        <w:pStyle w:val="Normaltindrag"/>
      </w:pPr>
      <w:r w:rsidRPr="00896D4F">
        <w:t xml:space="preserve">Länsrätten höll muntlig förhandling i målet den 18 februari 2000. </w:t>
      </w:r>
    </w:p>
    <w:p w:rsidR="009C1C5A" w:rsidRPr="00896D4F" w:rsidRDefault="009C1C5A">
      <w:pPr>
        <w:pStyle w:val="Normaltindrag"/>
      </w:pPr>
      <w:r w:rsidRPr="00896D4F">
        <w:t>I en dom den 7 mars 2000 förordnade länsrätten bl.a. att L.W. skulle ber</w:t>
      </w:r>
      <w:r w:rsidRPr="00896D4F">
        <w:t>e</w:t>
      </w:r>
      <w:r w:rsidRPr="00896D4F">
        <w:t>das vård med stöd av 1 och 2 §§ LVU. Beslutet om vård skulle gälla omede</w:t>
      </w:r>
      <w:r w:rsidRPr="00896D4F">
        <w:t>l</w:t>
      </w:r>
      <w:r w:rsidRPr="00896D4F">
        <w:t xml:space="preserve">bart. H.W. överklagade länsrättens dom till Kammarrätten i Stockholm. I en dom den 5 maj 2000 upphävde kammarrätten länsrättens dom. </w:t>
      </w:r>
    </w:p>
    <w:p w:rsidR="009C1C5A" w:rsidRPr="00896D4F" w:rsidRDefault="009C1C5A">
      <w:pPr>
        <w:pStyle w:val="Normaltindrag"/>
      </w:pPr>
      <w:r w:rsidRPr="00896D4F">
        <w:t>Advokaten S.U., som företrätt L.W:s mor i LVU-målet, klagade i en a</w:t>
      </w:r>
      <w:r w:rsidRPr="00896D4F">
        <w:t>n</w:t>
      </w:r>
      <w:r w:rsidRPr="00896D4F">
        <w:t xml:space="preserve">mälan till JO på Vårby kommundelsnämnd. Hon anförde därvid bl.a. följande. </w:t>
      </w:r>
    </w:p>
    <w:p w:rsidR="009C1C5A" w:rsidRPr="00896D4F" w:rsidRDefault="009C1C5A">
      <w:pPr>
        <w:pStyle w:val="Citat"/>
        <w:rPr>
          <w:sz w:val="20"/>
        </w:rPr>
      </w:pPr>
      <w:r w:rsidRPr="00896D4F">
        <w:rPr>
          <w:sz w:val="20"/>
        </w:rPr>
        <w:t>Socialsekreterare Kristina Gustavsson, Vårby kommundelsförvaltning, Huddinge kommun, har 000207 begärt att t.f. biträdande överläkare Mi</w:t>
      </w:r>
      <w:r w:rsidRPr="00896D4F">
        <w:rPr>
          <w:sz w:val="20"/>
        </w:rPr>
        <w:t>r</w:t>
      </w:r>
      <w:r w:rsidRPr="00896D4F">
        <w:rPr>
          <w:sz w:val="20"/>
        </w:rPr>
        <w:t>cea Ilie, Huddinge psykiatriska öppenvårdsmottagning skulle yttra sig över ”vilka effekter det kan få för ett barn att vara tillsammans med en psykiskt sjuk mamma”.</w:t>
      </w:r>
    </w:p>
    <w:p w:rsidR="009C1C5A" w:rsidRPr="00896D4F" w:rsidRDefault="009C1C5A">
      <w:pPr>
        <w:pStyle w:val="Citatindrag"/>
      </w:pPr>
      <w:r w:rsidRPr="00896D4F">
        <w:t>Intyget, som är dagtecknat 2000-02-12, har varken kommunicerats med H.W. eller ingivits till länsrätten. H.W. har ej heller beretts tillfälle att framf</w:t>
      </w:r>
      <w:r w:rsidRPr="00896D4F">
        <w:t>ö</w:t>
      </w:r>
      <w:r w:rsidRPr="00896D4F">
        <w:t xml:space="preserve">ra synpunkter på intyget.    </w:t>
      </w:r>
    </w:p>
    <w:p w:rsidR="009C1C5A" w:rsidRPr="00896D4F" w:rsidRDefault="009C1C5A">
      <w:r w:rsidRPr="00896D4F">
        <w:t xml:space="preserve">S.U. hemställde att JO skulle utreda om underlåtenheten att kommunicera läkarintyget stred mot lag eller annan författning eller annars var felaktigt eller olämpligt. </w:t>
      </w:r>
    </w:p>
    <w:p w:rsidR="009C1C5A" w:rsidRPr="00896D4F" w:rsidRDefault="009C1C5A">
      <w:pPr>
        <w:pStyle w:val="Normaltindrag"/>
      </w:pPr>
      <w:r w:rsidRPr="00896D4F">
        <w:t xml:space="preserve">Till sin anmälan fogade S.U. en kopia av det aktuella läkarintyget. </w:t>
      </w:r>
    </w:p>
    <w:p w:rsidR="009C1C5A" w:rsidRPr="00896D4F" w:rsidRDefault="009C1C5A">
      <w:pPr>
        <w:pStyle w:val="Normaltindrag"/>
      </w:pPr>
      <w:r w:rsidRPr="00896D4F">
        <w:t xml:space="preserve">Vårby kommundelsnämnd anförde i ett yttrande över anmälan i huvudsak följande. </w:t>
      </w:r>
    </w:p>
    <w:p w:rsidR="009C1C5A" w:rsidRPr="00896D4F" w:rsidRDefault="009C1C5A">
      <w:pPr>
        <w:pStyle w:val="Rubrik5"/>
      </w:pPr>
      <w:r w:rsidRPr="00896D4F">
        <w:t>Saken</w:t>
      </w:r>
    </w:p>
    <w:p w:rsidR="009C1C5A" w:rsidRPr="00896D4F" w:rsidRDefault="009C1C5A">
      <w:pPr>
        <w:pStyle w:val="Citat"/>
      </w:pPr>
      <w:r w:rsidRPr="00896D4F">
        <w:t>I en utredning om barnet L.W. har kommundelsförvaltningen begärt in jou</w:t>
      </w:r>
      <w:r w:rsidRPr="00896D4F">
        <w:t>r</w:t>
      </w:r>
      <w:r w:rsidRPr="00896D4F">
        <w:t>nalanteckningar från Huddinge psykiatriska öppenvårdsmottagning. Förutom detta begärde utredaren Kristina Gustavsson att den ansvariga läkaren Mircea Ilie skulle utfärda en skriftlig bedömning av moderns psykiska tillstånd. B</w:t>
      </w:r>
      <w:r w:rsidRPr="00896D4F">
        <w:t>e</w:t>
      </w:r>
      <w:r w:rsidRPr="00896D4F">
        <w:t>gäran hade utformningen att ansvarig läkare skulle göra en bedömning av ”vilka effekter det kan få för ett barn att vara tillsammans med en psykisk sjuk mamma”.</w:t>
      </w:r>
    </w:p>
    <w:p w:rsidR="009C1C5A" w:rsidRPr="00896D4F" w:rsidRDefault="009C1C5A">
      <w:pPr>
        <w:pStyle w:val="Citatindrag"/>
      </w:pPr>
      <w:r w:rsidRPr="00896D4F">
        <w:t>Intyget hade begärts vid flera tillfällen efter den 31 januari 2000. Läkaren lovade att inkomma med intyget senast den 14 fe</w:t>
      </w:r>
      <w:r w:rsidRPr="00896D4F">
        <w:t>bruari. Modern hade den 7 februari varit på sitt första besök hos den ansvarige läkaren.</w:t>
      </w:r>
    </w:p>
    <w:p w:rsidR="009C1C5A" w:rsidRPr="00896D4F" w:rsidRDefault="009C1C5A">
      <w:pPr>
        <w:pStyle w:val="Citat"/>
      </w:pPr>
      <w:r w:rsidRPr="00896D4F">
        <w:t>Efter att nämnden gjort en ansökan om vård för L.W., hade länsrätten muntlig förhandling den 18 februari 2000. Intyget inkom till nämnden den 25 februari 2000.</w:t>
      </w:r>
    </w:p>
    <w:p w:rsidR="009C1C5A" w:rsidRPr="00896D4F" w:rsidRDefault="009C1C5A">
      <w:pPr>
        <w:pStyle w:val="Citatindrag"/>
      </w:pPr>
      <w:r w:rsidRPr="00896D4F">
        <w:t>Länsrätten beslöt i dom den 7 mars 2000 att L.W. skulle beredas vård, m</w:t>
      </w:r>
      <w:r w:rsidRPr="00896D4F">
        <w:t>e</w:t>
      </w:r>
      <w:r w:rsidRPr="00896D4F">
        <w:t>dan kammarrätten den 5 maj 2000 ansåg att modern inte brustit i omsorg om L.W. och därför upphävde länsrättens dom om vård.</w:t>
      </w:r>
    </w:p>
    <w:p w:rsidR="009C1C5A" w:rsidRPr="00896D4F" w:rsidRDefault="009C1C5A">
      <w:pPr>
        <w:pStyle w:val="Citat"/>
      </w:pPr>
      <w:r w:rsidRPr="00896D4F">
        <w:t>Yttrande</w:t>
      </w:r>
    </w:p>
    <w:p w:rsidR="009C1C5A" w:rsidRPr="00896D4F" w:rsidRDefault="009C1C5A">
      <w:pPr>
        <w:pStyle w:val="Citat"/>
      </w:pPr>
      <w:r w:rsidRPr="00896D4F">
        <w:t>Vid den muntliga förhandlingen i länsrätten påtalade kommundelsnämnden att det önskade intyget inte hade inkommit i tid. Länsrätten uttalade inte, att man önskade intyget om det kom in vid ett senare tillfälle.</w:t>
      </w:r>
    </w:p>
    <w:p w:rsidR="009C1C5A" w:rsidRPr="00896D4F" w:rsidRDefault="009C1C5A">
      <w:pPr>
        <w:pStyle w:val="Citatindrag"/>
      </w:pPr>
      <w:r w:rsidRPr="00896D4F">
        <w:t>Eftersom intyget inte låg till grund för nämndens ansökan, kommunicer</w:t>
      </w:r>
      <w:r w:rsidRPr="00896D4F">
        <w:t>a</w:t>
      </w:r>
      <w:r w:rsidRPr="00896D4F">
        <w:t>des det inte med modern.</w:t>
      </w:r>
    </w:p>
    <w:p w:rsidR="009C1C5A" w:rsidRPr="00896D4F" w:rsidRDefault="009C1C5A">
      <w:pPr>
        <w:pStyle w:val="Citatindrag"/>
      </w:pPr>
      <w:r w:rsidRPr="00896D4F">
        <w:t>I kommundelsnämndens yttrande till kammarrätten ingick intyget som en bilaga. I kammarrätten ingick det i beslutsunderlaget.</w:t>
      </w:r>
    </w:p>
    <w:p w:rsidR="009C1C5A" w:rsidRPr="00896D4F" w:rsidRDefault="009C1C5A">
      <w:pPr>
        <w:pStyle w:val="Citatindrag"/>
      </w:pPr>
      <w:r w:rsidRPr="00896D4F">
        <w:t>Nämndens ansökan grundades på moderns psykiska sjukdom och på grund därav bristande omsorgsförmåga. Läkarintyget anger att modern fungerar på en acceptabel nivå så länge hon respekterar behandlingsplaneringen i form av psykofarmaka och regelbundna stödsamtal. Det framgår också att rehabil</w:t>
      </w:r>
      <w:r w:rsidRPr="00896D4F">
        <w:t>i</w:t>
      </w:r>
      <w:r w:rsidRPr="00896D4F">
        <w:t>teringsförsök har misslyckats och att modern sedan 1997 saknar arbete.</w:t>
      </w:r>
    </w:p>
    <w:p w:rsidR="009C1C5A" w:rsidRPr="00896D4F" w:rsidRDefault="009C1C5A">
      <w:pPr>
        <w:pStyle w:val="Citatindrag"/>
      </w:pPr>
      <w:r w:rsidRPr="00896D4F">
        <w:t>Läkaren hänvisar till att ”pat:s förutsättningar till psykisk tillfrisknad och därmed att klara vårdnaden om barnen är mycket större om hon får möjlighet att visa att hon är kapabel att ta hand om sina barn. Att placera barnet/barnen utanför hemmet ökar markant risken för institutionaliserad psykisk vård och social utslagning för pat:s del”. Någon bedömning av risken för barnet har inte gjorts.</w:t>
      </w:r>
    </w:p>
    <w:p w:rsidR="009C1C5A" w:rsidRPr="00896D4F" w:rsidRDefault="009C1C5A">
      <w:pPr>
        <w:pStyle w:val="Citatindrag"/>
      </w:pPr>
      <w:r w:rsidRPr="00896D4F">
        <w:t>Kommundelsnämnden har för sin del funnit, att länsrätten har informerats om att intyget begärts, men att länsrätten funnit att det material som present</w:t>
      </w:r>
      <w:r w:rsidRPr="00896D4F">
        <w:t>e</w:t>
      </w:r>
      <w:r w:rsidRPr="00896D4F">
        <w:t>rats har varit tillräckligt för att kunna döma i frågan.</w:t>
      </w:r>
    </w:p>
    <w:p w:rsidR="009C1C5A" w:rsidRPr="00896D4F" w:rsidRDefault="009C1C5A">
      <w:pPr>
        <w:pStyle w:val="Citat"/>
      </w:pPr>
      <w:r w:rsidRPr="00896D4F">
        <w:t>Kommundelsnämnden hemställer att anmälan lämnas utan åtgärd.</w:t>
      </w:r>
    </w:p>
    <w:p w:rsidR="009C1C5A" w:rsidRPr="00896D4F" w:rsidRDefault="009C1C5A">
      <w:r w:rsidRPr="00896D4F">
        <w:t xml:space="preserve">S.U. </w:t>
      </w:r>
      <w:r w:rsidRPr="00896D4F">
        <w:rPr>
          <w:sz w:val="20"/>
        </w:rPr>
        <w:t>bereddes</w:t>
      </w:r>
      <w:r w:rsidRPr="00896D4F">
        <w:t xml:space="preserve"> tillfälle att yttra sig över remissvaret.   </w:t>
      </w:r>
    </w:p>
    <w:p w:rsidR="009C1C5A" w:rsidRPr="00896D4F" w:rsidRDefault="009C1C5A">
      <w:r w:rsidRPr="00896D4F">
        <w:t xml:space="preserve">I ett beslut den 7 maj 2002 anförde </w:t>
      </w:r>
      <w:r w:rsidRPr="00896D4F">
        <w:rPr>
          <w:i/>
        </w:rPr>
        <w:t>JO André</w:t>
      </w:r>
      <w:r w:rsidRPr="00896D4F">
        <w:t xml:space="preserve"> följande. </w:t>
      </w:r>
    </w:p>
    <w:p w:rsidR="009C1C5A" w:rsidRPr="00896D4F" w:rsidRDefault="009C1C5A">
      <w:pPr>
        <w:pStyle w:val="Normaltindrag"/>
      </w:pPr>
      <w:r w:rsidRPr="00896D4F">
        <w:t>Enligt 17 § förvaltningslagen (1986:223) får ett ärende som regel inte a</w:t>
      </w:r>
      <w:r w:rsidRPr="00896D4F">
        <w:t>v</w:t>
      </w:r>
      <w:r w:rsidRPr="00896D4F">
        <w:t>göras utan att den som är sökande, klagande eller annan part har underrättats om en uppgift som har tillförts ärendet genom någon annan än honom själv och han har fått tillfälle att yttra sig över den, om ärendet avser myndighet</w:t>
      </w:r>
      <w:r w:rsidRPr="00896D4F">
        <w:t>s</w:t>
      </w:r>
      <w:r w:rsidRPr="00896D4F">
        <w:t>utövning mot någon enskild. Denna bestämmelse tar sikte på beredningen av ett ärende inför att myndigheten skall fatta ett beslut. Bestämmelsen har sål</w:t>
      </w:r>
      <w:r w:rsidRPr="00896D4F">
        <w:t>e</w:t>
      </w:r>
      <w:r w:rsidRPr="00896D4F">
        <w:t>des inte betydelse i förevarande fall eftersom det aktuella läkarutlåtandet kom in till nämnden efter det att nämnden hade besluta</w:t>
      </w:r>
      <w:r w:rsidRPr="00896D4F">
        <w:t>t om att hos länsrätten a</w:t>
      </w:r>
      <w:r w:rsidRPr="00896D4F">
        <w:t>n</w:t>
      </w:r>
      <w:r w:rsidRPr="00896D4F">
        <w:t xml:space="preserve">söka om vård enligt LVU. </w:t>
      </w:r>
    </w:p>
    <w:p w:rsidR="009C1C5A" w:rsidRPr="00896D4F" w:rsidRDefault="009C1C5A">
      <w:pPr>
        <w:pStyle w:val="Normaltindrag"/>
      </w:pPr>
      <w:r w:rsidRPr="00896D4F">
        <w:t>Att kommunikationsskyldighet inte föreligger enligt 17 § FL innebär inte att socialnämnden kan förhålla sig passiv när det till nämnden under en påg</w:t>
      </w:r>
      <w:r w:rsidRPr="00896D4F">
        <w:t>å</w:t>
      </w:r>
      <w:r w:rsidRPr="00896D4F">
        <w:t>ende process angående vård enligt LVU kommer in ett läkarintyg eller andra uppgifter. Uppgifterna kan nämligen ha betydelse för bedömningen av frågan om vård. I första hand har nämnden att ta ställning till om de nya uppgifterna kan t.ex. föranleda nämnden att återkalla sin ansökan om vård. Även om nämnden med beaktande av de nya uppgifterna finner att ansökan om vård skall vidhållas, kan uppgifterna vara sådana att det likväl finns skäl att uppl</w:t>
      </w:r>
      <w:r w:rsidRPr="00896D4F">
        <w:t>y</w:t>
      </w:r>
      <w:r w:rsidRPr="00896D4F">
        <w:t xml:space="preserve">sa domstolen om dem. Det kan i många fall vara lämpligt att </w:t>
      </w:r>
      <w:r w:rsidRPr="00896D4F">
        <w:t>nämnden samr</w:t>
      </w:r>
      <w:r w:rsidRPr="00896D4F">
        <w:t>å</w:t>
      </w:r>
      <w:r w:rsidRPr="00896D4F">
        <w:t>der med vårdnadshavaren eller dennes ombud i frågan. Det går dock inte att ange några preciserade riktlinjer för hur en socialnämnd skall agera i detta hänseende. Det måste bli en b</w:t>
      </w:r>
      <w:r w:rsidRPr="00896D4F">
        <w:t>e</w:t>
      </w:r>
      <w:r w:rsidRPr="00896D4F">
        <w:t>dömning av förhållandena i det enskilda fallet.</w:t>
      </w:r>
    </w:p>
    <w:p w:rsidR="009C1C5A" w:rsidRPr="00896D4F" w:rsidRDefault="009C1C5A">
      <w:pPr>
        <w:pStyle w:val="Normaltindrag"/>
      </w:pPr>
      <w:r w:rsidRPr="00896D4F">
        <w:t>I det aktuella intyget fanns uppgifter om bl.a. vårdnadshavarens psykiska sjukdom och kontakt med den psykiatriska kliniken vid Huddinge sjukhus. Enligt intyget hade patienten ” … fungerat utifrån diagnosen på ett accept</w:t>
      </w:r>
      <w:r w:rsidRPr="00896D4F">
        <w:t>a</w:t>
      </w:r>
      <w:r w:rsidRPr="00896D4F">
        <w:t>belt nivå inklusive relation till sina barn så länge hon har respekterat behan</w:t>
      </w:r>
      <w:r w:rsidRPr="00896D4F">
        <w:t>d</w:t>
      </w:r>
      <w:r w:rsidRPr="00896D4F">
        <w:t xml:space="preserve">lingsplanering i form av psykofarmaka och regelbundna stödsamtal”. I intyget anfördes vidare bl.a. följande. </w:t>
      </w:r>
    </w:p>
    <w:p w:rsidR="009C1C5A" w:rsidRPr="00896D4F" w:rsidRDefault="009C1C5A">
      <w:pPr>
        <w:pStyle w:val="Citat"/>
        <w:rPr>
          <w:sz w:val="20"/>
        </w:rPr>
      </w:pPr>
      <w:r w:rsidRPr="00896D4F">
        <w:rPr>
          <w:sz w:val="20"/>
        </w:rPr>
        <w:t>För att svara på socialsekreterare Christina Gustavssons fråga om vilka effekter det kan få för ett barn att leva tillsammans med psykiskt sjuk mor riskerar man att hamna i allmänna spekulativa resonemang vilket bör man undvika vid enskilda ärenden. Jag vill påpeka att varken jag eller någon annan av nuvarande personal p</w:t>
      </w:r>
      <w:r w:rsidRPr="00896D4F">
        <w:rPr>
          <w:sz w:val="20"/>
        </w:rPr>
        <w:t>å mottagning har personlig kännedom om denna pat. För att kunna få en uppfattning baserad på så objektiva fakta som möjligt om hur barnen, som är föremål för utredning, mår fysiskt och psykiskt, som ett indirekt mått på mammans förmåga att ta hand om de</w:t>
      </w:r>
      <w:r w:rsidRPr="00896D4F">
        <w:rPr>
          <w:sz w:val="20"/>
        </w:rPr>
        <w:t>s</w:t>
      </w:r>
      <w:r w:rsidRPr="00896D4F">
        <w:rPr>
          <w:sz w:val="20"/>
        </w:rPr>
        <w:t>sa, rekommenderar undertecknad att utlåtande begärs från Barnavård</w:t>
      </w:r>
      <w:r w:rsidRPr="00896D4F">
        <w:rPr>
          <w:sz w:val="20"/>
        </w:rPr>
        <w:t>s</w:t>
      </w:r>
      <w:r w:rsidRPr="00896D4F">
        <w:rPr>
          <w:sz w:val="20"/>
        </w:rPr>
        <w:t>central resp PBU. Dessa vårdinstanser, om jag förstår rätt, har haft mö</w:t>
      </w:r>
      <w:r w:rsidRPr="00896D4F">
        <w:rPr>
          <w:sz w:val="20"/>
        </w:rPr>
        <w:t>j</w:t>
      </w:r>
      <w:r w:rsidRPr="00896D4F">
        <w:rPr>
          <w:sz w:val="20"/>
        </w:rPr>
        <w:t>ligheten att träffa ba</w:t>
      </w:r>
      <w:r w:rsidRPr="00896D4F">
        <w:rPr>
          <w:sz w:val="20"/>
        </w:rPr>
        <w:t>r</w:t>
      </w:r>
      <w:r w:rsidRPr="00896D4F">
        <w:rPr>
          <w:sz w:val="20"/>
        </w:rPr>
        <w:t xml:space="preserve">nen och också mamman.    </w:t>
      </w:r>
    </w:p>
    <w:p w:rsidR="009C1C5A" w:rsidRPr="00896D4F" w:rsidRDefault="009C1C5A">
      <w:r w:rsidRPr="00896D4F">
        <w:t>Som framgår av det anförda grundades läkarintyget på journalanteckning</w:t>
      </w:r>
      <w:r w:rsidRPr="00896D4F">
        <w:t>ar som förts vid den psykiatriska kliniken vid Huddinge sjukhus. Uppgifterna får antas ha varit kända för nämnden eftersom nämnden i LVU-målet hade tagit del av sjukhu</w:t>
      </w:r>
      <w:r w:rsidRPr="00896D4F">
        <w:softHyphen/>
        <w:t>sets journal beträffande vårdnadshavaren. Härutöver innehöll intyget inte annat än vissa mer allmänna överväganden rörande moderns o</w:t>
      </w:r>
      <w:r w:rsidRPr="00896D4F">
        <w:t>m</w:t>
      </w:r>
      <w:r w:rsidRPr="00896D4F">
        <w:t>sorgsförmåga. Kommun</w:t>
      </w:r>
      <w:r w:rsidRPr="00896D4F">
        <w:softHyphen/>
        <w:t>dels</w:t>
      </w:r>
      <w:r w:rsidRPr="00896D4F">
        <w:softHyphen/>
        <w:t>nämnden, som var den part som hade begärt intyget, har uppenbarligen inte för egen del ansett det vara erforderligt att åberopa det i länsrätten. Däremot foga</w:t>
      </w:r>
      <w:r w:rsidRPr="00896D4F">
        <w:softHyphen/>
        <w:t xml:space="preserve">des intyget till nämndens </w:t>
      </w:r>
      <w:r w:rsidRPr="00896D4F">
        <w:t>yttrande till kammarrätten där intyget, som åberopades av motparten, ingick i domstolens beslutsunderlag. I vad mån intyget, som citera</w:t>
      </w:r>
      <w:r w:rsidRPr="00896D4F">
        <w:softHyphen/>
        <w:t>des i kammarrättens dom, hade betydelse för utgången där är dock oklart. Enligt min mening var innehållet i intyget sådant att kommundelsnämnden i vart fall inte kan klandras för att intyget inte gavs in till länsrätten. Däremot anser jag att nämnden borde ha informerat vårdnadshavarens ombud om att intyget hade kom</w:t>
      </w:r>
      <w:r w:rsidRPr="00896D4F">
        <w:softHyphen/>
        <w:t>mit in till näm</w:t>
      </w:r>
      <w:r w:rsidRPr="00896D4F">
        <w:t>n</w:t>
      </w:r>
      <w:r w:rsidRPr="00896D4F">
        <w:t>den. För den underlåtenheten kan nämnden i</w:t>
      </w:r>
      <w:r w:rsidRPr="00896D4F">
        <w:t xml:space="preserve">nte undgå kritik. </w:t>
      </w:r>
    </w:p>
    <w:p w:rsidR="009C1C5A" w:rsidRPr="00896D4F" w:rsidRDefault="009C1C5A">
      <w:pPr>
        <w:pStyle w:val="Citat"/>
      </w:pPr>
    </w:p>
    <w:p w:rsidR="009C1C5A" w:rsidRPr="00896D4F" w:rsidRDefault="009C1C5A">
      <w:pPr>
        <w:pStyle w:val="Rubrik1"/>
      </w:pPr>
      <w:r w:rsidRPr="00896D4F">
        <w:br w:type="page"/>
        <w:t>Hälso- och sjukvård</w:t>
      </w:r>
    </w:p>
    <w:p w:rsidR="009C1C5A" w:rsidRPr="00896D4F" w:rsidRDefault="009C1C5A">
      <w:pPr>
        <w:pStyle w:val="Rubrik2"/>
        <w:spacing w:before="120"/>
      </w:pPr>
      <w:r w:rsidRPr="00896D4F">
        <w:t>Kritik mot barn- och ungdomspsykiatrisk verksamhet för under</w:t>
      </w:r>
      <w:r w:rsidRPr="00896D4F">
        <w:softHyphen/>
        <w:t xml:space="preserve">låtenhet att, vid misstanke om att ett barn utsatts för sexuella övergrepp, anmäla saken till socialnämnden. – Även fråga om skyldighet att underrätta vårdnadshavare </w:t>
      </w:r>
    </w:p>
    <w:p w:rsidR="009C1C5A" w:rsidRPr="00896D4F" w:rsidRDefault="009C1C5A">
      <w:pPr>
        <w:spacing w:before="0"/>
      </w:pPr>
      <w:r w:rsidRPr="00896D4F">
        <w:t>(Dnr 2628-2000)</w:t>
      </w:r>
    </w:p>
    <w:p w:rsidR="009C1C5A" w:rsidRPr="00896D4F" w:rsidRDefault="009C1C5A">
      <w:pPr>
        <w:pStyle w:val="Rubrik3"/>
      </w:pPr>
      <w:r w:rsidRPr="00896D4F">
        <w:t>Anmälan</w:t>
      </w:r>
    </w:p>
    <w:p w:rsidR="009C1C5A" w:rsidRPr="00896D4F" w:rsidRDefault="009C1C5A">
      <w:r w:rsidRPr="00896D4F">
        <w:t>I en anmälan till JO framförde M.P. klagomål mot barn- och ungdoms</w:t>
      </w:r>
      <w:r w:rsidRPr="00896D4F">
        <w:softHyphen/>
        <w:t>psykiatriska verksamheten vid Östersunds sjukhus, Jämtlands läns landsting, avseende under</w:t>
      </w:r>
      <w:r w:rsidRPr="00896D4F">
        <w:softHyphen/>
        <w:t>låtenhet att underrätta honom som vårdnadshavare om mis</w:t>
      </w:r>
      <w:r w:rsidRPr="00896D4F">
        <w:t>s</w:t>
      </w:r>
      <w:r w:rsidRPr="00896D4F">
        <w:t>tanke om att hans dotter utsatts för sexuella övergrepp hemma hos modern och hennes sambo. Han anförde bl.a. följande (hänvisning till bilagor har här utelämnats).</w:t>
      </w:r>
    </w:p>
    <w:p w:rsidR="009C1C5A" w:rsidRPr="00896D4F" w:rsidRDefault="009C1C5A">
      <w:pPr>
        <w:pStyle w:val="Citat"/>
        <w:rPr>
          <w:sz w:val="20"/>
        </w:rPr>
      </w:pPr>
      <w:r w:rsidRPr="00896D4F">
        <w:t>Jag blev inte underrättad om att min dotter blivit utsatt för sexuella över</w:t>
      </w:r>
      <w:r w:rsidRPr="00896D4F">
        <w:softHyphen/>
        <w:t>grepp av mammans sambo förrän ett år efter övergreppet, då min dotter bröt sa</w:t>
      </w:r>
      <w:r w:rsidRPr="00896D4F">
        <w:t>m</w:t>
      </w:r>
      <w:r w:rsidRPr="00896D4F">
        <w:t>man i min bostad och berättade vad som hänt (1998-08-11). Med stöd av hennes berät</w:t>
      </w:r>
      <w:r w:rsidRPr="00896D4F">
        <w:softHyphen/>
        <w:t>telse gjorde jag polisanmälan, vilket ledde till att gärnings</w:t>
      </w:r>
      <w:r w:rsidRPr="00896D4F">
        <w:softHyphen/>
        <w:t>mannen se</w:t>
      </w:r>
      <w:r w:rsidRPr="00896D4F">
        <w:softHyphen/>
        <w:t>nare dömdes till fängelse i Östersunds tingsrätt. Vidare framkom av min dotters berät</w:t>
      </w:r>
      <w:r w:rsidRPr="00896D4F">
        <w:softHyphen/>
        <w:t>telse att utredning genomförts vid BUP, varför jag ko</w:t>
      </w:r>
      <w:r w:rsidRPr="00896D4F">
        <w:t>n</w:t>
      </w:r>
      <w:r w:rsidRPr="00896D4F">
        <w:t>taktade dessa. Vid besök på BUP 1998-08-17 kunde jag efter kraftig överta</w:t>
      </w:r>
      <w:r w:rsidRPr="00896D4F">
        <w:t>l</w:t>
      </w:r>
      <w:r w:rsidRPr="00896D4F">
        <w:t>ning erhålla journalut</w:t>
      </w:r>
      <w:r w:rsidRPr="00896D4F">
        <w:softHyphen/>
        <w:t>drag om händelsen.</w:t>
      </w:r>
    </w:p>
    <w:p w:rsidR="009C1C5A" w:rsidRPr="00896D4F" w:rsidRDefault="009C1C5A">
      <w:r w:rsidRPr="00896D4F">
        <w:t>I BUP:s journalanteckn</w:t>
      </w:r>
      <w:r w:rsidRPr="00896D4F">
        <w:t>ingar framgår att utredande personal;</w:t>
      </w:r>
    </w:p>
    <w:p w:rsidR="009C1C5A" w:rsidRPr="00896D4F" w:rsidRDefault="009C1C5A">
      <w:pPr>
        <w:pStyle w:val="PunktlistaBomb"/>
        <w:spacing w:before="0"/>
      </w:pPr>
      <w:r w:rsidRPr="00896D4F">
        <w:t>Beslutar sig för att inte polisanmäla händelsen.</w:t>
      </w:r>
    </w:p>
    <w:p w:rsidR="009C1C5A" w:rsidRPr="00896D4F" w:rsidRDefault="009C1C5A">
      <w:pPr>
        <w:pStyle w:val="PunktlistaBomb"/>
        <w:numPr>
          <w:ilvl w:val="0"/>
          <w:numId w:val="0"/>
        </w:numPr>
        <w:spacing w:before="0"/>
        <w:ind w:left="227" w:hanging="227"/>
      </w:pPr>
      <w:r w:rsidRPr="00896D4F">
        <w:t>Att den misstänkte skall skyddas mot misstanke.</w:t>
      </w:r>
    </w:p>
    <w:p w:rsidR="009C1C5A" w:rsidRPr="00896D4F" w:rsidRDefault="009C1C5A">
      <w:pPr>
        <w:pStyle w:val="PunktlistaBomb"/>
        <w:numPr>
          <w:ilvl w:val="0"/>
          <w:numId w:val="0"/>
        </w:numPr>
        <w:spacing w:before="0"/>
        <w:ind w:left="227" w:hanging="227"/>
      </w:pPr>
      <w:r w:rsidRPr="00896D4F">
        <w:t>Att den misstänkte är själv tillsammans med barnen under mornarna.</w:t>
      </w:r>
    </w:p>
    <w:p w:rsidR="009C1C5A" w:rsidRPr="00896D4F" w:rsidRDefault="009C1C5A">
      <w:pPr>
        <w:pStyle w:val="PunktlistaBomb"/>
        <w:numPr>
          <w:ilvl w:val="0"/>
          <w:numId w:val="0"/>
        </w:numPr>
        <w:spacing w:before="0"/>
        <w:ind w:left="227" w:hanging="227"/>
      </w:pPr>
      <w:r w:rsidRPr="00896D4F">
        <w:t>Trots att uppföljningssamtalet 5½ månad efter händelsen visar att E:s redog</w:t>
      </w:r>
      <w:r w:rsidRPr="00896D4F">
        <w:t>ö</w:t>
      </w:r>
      <w:r w:rsidRPr="00896D4F">
        <w:t>relse från första samtalet är densamma, samt att ytterligare detaljer fra</w:t>
      </w:r>
      <w:r w:rsidRPr="00896D4F">
        <w:t>m</w:t>
      </w:r>
      <w:r w:rsidRPr="00896D4F">
        <w:t>kommer om gärningsmannens förehavanden, görs ingen polisanmälan och ytterligare utredning.</w:t>
      </w:r>
    </w:p>
    <w:p w:rsidR="009C1C5A" w:rsidRPr="00896D4F" w:rsidRDefault="009C1C5A">
      <w:pPr>
        <w:pStyle w:val="PunktlistaBomb"/>
        <w:numPr>
          <w:ilvl w:val="0"/>
          <w:numId w:val="0"/>
        </w:numPr>
        <w:spacing w:before="0"/>
        <w:ind w:left="227" w:hanging="227"/>
      </w:pPr>
      <w:r w:rsidRPr="00896D4F">
        <w:t>Att jag som vårdnadshavare och far inte lämnas något större utrymme i utre</w:t>
      </w:r>
      <w:r w:rsidRPr="00896D4F">
        <w:t>d</w:t>
      </w:r>
      <w:r w:rsidRPr="00896D4F">
        <w:t>ningen, trots att barnen mellan 1991–1998, då jag flyttade till Stockholm, vistas 50 % av tiden hos mig.</w:t>
      </w:r>
    </w:p>
    <w:p w:rsidR="009C1C5A" w:rsidRPr="00896D4F" w:rsidRDefault="009C1C5A">
      <w:pPr>
        <w:pStyle w:val="Citat"/>
      </w:pPr>
      <w:r w:rsidRPr="00896D4F">
        <w:t>Denna anmälan kanske kan betraktas som sent inkommen, framförallt med avse</w:t>
      </w:r>
      <w:r w:rsidRPr="00896D4F">
        <w:softHyphen/>
        <w:t>ende på datum för upprättande av journalen. Trots detta vill jag att JO beaktar att journalen inte kommit till min kännedom förrän ett år efter att den upprättats. Dess</w:t>
      </w:r>
      <w:r w:rsidRPr="00896D4F">
        <w:softHyphen/>
        <w:t>utom har händelsen varit psykiskt påfrestande för min dotter och andra berörda, varför det inte tidigare funnits vare sig ork eller kraft att hantera de felaktigheter som begåtts av BUP i detta ärende.</w:t>
      </w:r>
    </w:p>
    <w:p w:rsidR="009C1C5A" w:rsidRPr="00896D4F" w:rsidRDefault="009C1C5A">
      <w:r w:rsidRPr="00896D4F">
        <w:t>Till anmälan fogades kopior av polisförhör med M.P:s dotter den 11 augusti 1998 och utdrag ur patientjournalen.</w:t>
      </w:r>
    </w:p>
    <w:p w:rsidR="009C1C5A" w:rsidRPr="00896D4F" w:rsidRDefault="009C1C5A">
      <w:pPr>
        <w:pStyle w:val="Rubrik3"/>
        <w:rPr>
          <w:b w:val="0"/>
        </w:rPr>
      </w:pPr>
      <w:r w:rsidRPr="00896D4F">
        <w:t xml:space="preserve">Utredning </w:t>
      </w:r>
    </w:p>
    <w:p w:rsidR="009C1C5A" w:rsidRPr="00896D4F" w:rsidRDefault="009C1C5A">
      <w:r w:rsidRPr="00896D4F">
        <w:t>Landstingsstyrelsen i Jämtlands län anmodades att inkomma med utredning och yttrande över vad M.P. hade anfört i anmälan. I remissen angavs att st</w:t>
      </w:r>
      <w:r w:rsidRPr="00896D4F">
        <w:t>y</w:t>
      </w:r>
      <w:r w:rsidRPr="00896D4F">
        <w:t>relsen därvid även skulle redovisa sjukhusets överväganden och åtgärder rörande den i 71 § socialtjänstlagen (1980:620) a</w:t>
      </w:r>
      <w:r w:rsidRPr="00896D4F">
        <w:t>n</w:t>
      </w:r>
      <w:r w:rsidRPr="00896D4F">
        <w:t>givna anmälningsplikten.</w:t>
      </w:r>
    </w:p>
    <w:p w:rsidR="009C1C5A" w:rsidRPr="00896D4F" w:rsidRDefault="009C1C5A">
      <w:r w:rsidRPr="00896D4F">
        <w:t>Landstingsstyrelsen översände utredning och yttrande från Östersunds sju</w:t>
      </w:r>
      <w:r w:rsidRPr="00896D4F">
        <w:t>k</w:t>
      </w:r>
      <w:r w:rsidRPr="00896D4F">
        <w:t>hus. Sjukhuset avgav remissvar genom socionomen Ulla Arfwidsson Ander</w:t>
      </w:r>
      <w:r w:rsidRPr="00896D4F">
        <w:t>s</w:t>
      </w:r>
      <w:r w:rsidRPr="00896D4F">
        <w:t>son och sjukskötare Tommy Engstrand. Remissvaret hade vidimerats av överläkaren Anita Marklund. I remissvaret anfördes huvudsakligen följa</w:t>
      </w:r>
      <w:r w:rsidRPr="00896D4F">
        <w:t>n</w:t>
      </w:r>
      <w:r w:rsidRPr="00896D4F">
        <w:t xml:space="preserve">de. </w:t>
      </w:r>
    </w:p>
    <w:p w:rsidR="009C1C5A" w:rsidRPr="00896D4F" w:rsidRDefault="009C1C5A">
      <w:pPr>
        <w:pStyle w:val="Citat"/>
        <w:rPr>
          <w:sz w:val="20"/>
        </w:rPr>
      </w:pPr>
      <w:r w:rsidRPr="00896D4F">
        <w:t>I vår redogörelse nedan kommer vi att utveckla det resonemang, som vi då förde och som inte alltid klart framgår i journaltexten.</w:t>
      </w:r>
    </w:p>
    <w:p w:rsidR="009C1C5A" w:rsidRPr="00896D4F" w:rsidRDefault="009C1C5A">
      <w:pPr>
        <w:pStyle w:val="Citatindrag"/>
        <w:rPr>
          <w:sz w:val="20"/>
        </w:rPr>
      </w:pPr>
      <w:r w:rsidRPr="00896D4F">
        <w:t>I detta ärende bedömde vi att E:s berättelse var så vag, att vi var över</w:t>
      </w:r>
      <w:r w:rsidRPr="00896D4F">
        <w:softHyphen/>
        <w:t>tygade om att en anmälan till socialtjänsten inte skulle leda till någon åtgärd. I samtal med E. och hennes mamma blev be</w:t>
      </w:r>
      <w:r w:rsidRPr="00896D4F">
        <w:softHyphen/>
        <w:t>rättelsen inte tydligare. Vår b</w:t>
      </w:r>
      <w:r w:rsidRPr="00896D4F">
        <w:t>e</w:t>
      </w:r>
      <w:r w:rsidRPr="00896D4F">
        <w:t>dömning var att vi i första hand ville arbeta med skyddet av E. och inte fastna i frågeställningen, om det hade inträffat eller ej. Den primära av</w:t>
      </w:r>
      <w:r w:rsidRPr="00896D4F">
        <w:softHyphen/>
        <w:t>sikten var att skydda E. mot fortsatta sexuella över</w:t>
      </w:r>
      <w:r w:rsidRPr="00896D4F">
        <w:softHyphen/>
        <w:t>grepp (om det hade inträffat). Vi valde då att hålla mammas oro hög och att det fick bli hennes ansvar att se till att E. inte försattes i situationer, där d</w:t>
      </w:r>
      <w:r w:rsidRPr="00896D4F">
        <w:t>et fanns möjlighet för styvpappan, att sexuellt förgripa sig på E. Det är detta arbete som i journalen refereras till att skydda styvpappan mot misstankar.</w:t>
      </w:r>
    </w:p>
    <w:p w:rsidR="009C1C5A" w:rsidRPr="00896D4F" w:rsidRDefault="009C1C5A">
      <w:pPr>
        <w:pStyle w:val="Citatindrag"/>
        <w:rPr>
          <w:sz w:val="20"/>
        </w:rPr>
      </w:pPr>
      <w:r w:rsidRPr="00896D4F">
        <w:t>Vad gäller 71 § socialtjänstlagen har varje tjänsteman att självständigt fatta beslut om anmälan till socialtjänsten är aktuell eller ej. Det är alltid möj</w:t>
      </w:r>
      <w:r w:rsidRPr="00896D4F">
        <w:softHyphen/>
        <w:t>ligt för en handläggare att rådgöra med MLA eller en kollega om tvek</w:t>
      </w:r>
      <w:r w:rsidRPr="00896D4F">
        <w:softHyphen/>
        <w:t>samhet råder. Vi har också en arbetsgrupp, som utvecklar arbetsmetoder för ”utsatta barn”. De erbjuder konsultation till kollegor, när man känner sig tveksam.</w:t>
      </w:r>
    </w:p>
    <w:p w:rsidR="009C1C5A" w:rsidRPr="00896D4F" w:rsidRDefault="009C1C5A">
      <w:pPr>
        <w:pStyle w:val="Citatindrag"/>
      </w:pPr>
      <w:r w:rsidRPr="00896D4F">
        <w:t>Vi hade en diskussion med mamma om att ta med pappa i samtal. Mamma ville inte det, vi var mycket tydliga med att varken hon eller styvpappan fick hindra E. att berätta om hon ville.</w:t>
      </w:r>
    </w:p>
    <w:p w:rsidR="009C1C5A" w:rsidRPr="00896D4F" w:rsidRDefault="009C1C5A">
      <w:pPr>
        <w:pStyle w:val="Citatindrag"/>
      </w:pPr>
      <w:r w:rsidRPr="00896D4F">
        <w:t>När vi valde att inte kontakta eller informera pappan resonerade vi ungefär enligt följande.</w:t>
      </w:r>
    </w:p>
    <w:p w:rsidR="009C1C5A" w:rsidRPr="00896D4F" w:rsidRDefault="009C1C5A">
      <w:pPr>
        <w:pStyle w:val="Citatindrag"/>
      </w:pPr>
      <w:r w:rsidRPr="00896D4F">
        <w:t>Vi var mycket osäkra om nåt hade hänt eller ej, vi ville inte fastna i en pr</w:t>
      </w:r>
      <w:r w:rsidRPr="00896D4F">
        <w:t>o</w:t>
      </w:r>
      <w:r w:rsidRPr="00896D4F">
        <w:t>cess där E:s skydd riskerade att komma i bakgrunden av vad som var sanning eller ej. Mamma hade på eget initiativ tagit kontakt med BUP och vi bedömde det som att hon hade tillräckliga resurser att skydda E. hemma. Vi bedömde att det var mamma, som vågade ta oron på allvar och att E. den aktuella na</w:t>
      </w:r>
      <w:r w:rsidRPr="00896D4F">
        <w:t>t</w:t>
      </w:r>
      <w:r w:rsidRPr="00896D4F">
        <w:t>ten sökt hjälp av mamma och fått det. P g a ovan</w:t>
      </w:r>
      <w:r w:rsidRPr="00896D4F">
        <w:softHyphen/>
        <w:t>stående valde vi att respekt</w:t>
      </w:r>
      <w:r w:rsidRPr="00896D4F">
        <w:t>e</w:t>
      </w:r>
      <w:r w:rsidRPr="00896D4F">
        <w:t>ra hennes önskan i den uppkomna situationen. När vi i uppfölj</w:t>
      </w:r>
      <w:r w:rsidRPr="00896D4F">
        <w:softHyphen/>
        <w:t>ningssamtal får veta att styvpappan är själv med barnen på morgo</w:t>
      </w:r>
      <w:r w:rsidRPr="00896D4F">
        <w:softHyphen/>
        <w:t>nen l</w:t>
      </w:r>
      <w:r w:rsidRPr="00896D4F">
        <w:t>yssnar vi noga hur de resonerar. Vi uppfattar det så, att mamma fort</w:t>
      </w:r>
      <w:r w:rsidRPr="00896D4F">
        <w:softHyphen/>
        <w:t>farande har höjd beredskap och uppmärksamhet på E., eftersom hon bl a har ansvar för att E. är påklädd innan hon lämnar hemmet. Vi bedömer att mamma fortfarande orkar vara orolig och obse</w:t>
      </w:r>
      <w:r w:rsidRPr="00896D4F">
        <w:t>r</w:t>
      </w:r>
      <w:r w:rsidRPr="00896D4F">
        <w:t>vant på E. och vi tänker då att E. fortfarande är skyddad hemma.</w:t>
      </w:r>
    </w:p>
    <w:p w:rsidR="009C1C5A" w:rsidRPr="00896D4F" w:rsidRDefault="009C1C5A">
      <w:r w:rsidRPr="00896D4F">
        <w:t>M.P. bereddes tillfälle att yttra sig över remissvaret men har inte avhörts.</w:t>
      </w:r>
    </w:p>
    <w:p w:rsidR="009C1C5A" w:rsidRPr="00896D4F" w:rsidRDefault="009C1C5A">
      <w:r w:rsidRPr="00896D4F">
        <w:t xml:space="preserve">I beslut den 16 oktober 2001 anförde </w:t>
      </w:r>
      <w:r w:rsidRPr="00896D4F">
        <w:rPr>
          <w:i/>
        </w:rPr>
        <w:t xml:space="preserve">JO André </w:t>
      </w:r>
      <w:r w:rsidRPr="00896D4F">
        <w:t>följande.</w:t>
      </w:r>
    </w:p>
    <w:p w:rsidR="009C1C5A" w:rsidRPr="00896D4F" w:rsidRDefault="009C1C5A">
      <w:pPr>
        <w:pStyle w:val="Rubrik3"/>
      </w:pPr>
      <w:r w:rsidRPr="00896D4F">
        <w:t>Bedömning</w:t>
      </w:r>
    </w:p>
    <w:p w:rsidR="009C1C5A" w:rsidRPr="00896D4F" w:rsidRDefault="009C1C5A">
      <w:r w:rsidRPr="00896D4F">
        <w:t>JO skall enligt de regler som gäller för JO:s verksamhet normalt inte utreda hän</w:t>
      </w:r>
      <w:r w:rsidRPr="00896D4F">
        <w:softHyphen/>
        <w:t>delser eller förhållanden som ligger mer än två år tillbaka i tiden om det inte finns särskilda skäl för det. M.P:s anmälan inkom till JO den 25 juli 2000 och avsåg, som det får förstås, barn- och ungdomspsykiatriska verksamhetens agerande under behandlings</w:t>
      </w:r>
      <w:r w:rsidRPr="00896D4F">
        <w:softHyphen/>
        <w:t>perioden från och med anmälan den 18 augusti 1997 till och med den 8 juni 1998 då ”ärendet” avslutades enligt anteckning i patientjournalen. Jag har funnit att det föreligger särskilda skäl att ta upp saken till utredning.</w:t>
      </w:r>
    </w:p>
    <w:p w:rsidR="009C1C5A" w:rsidRPr="00896D4F" w:rsidRDefault="009C1C5A">
      <w:pPr>
        <w:pStyle w:val="Rubrik4"/>
      </w:pPr>
      <w:r w:rsidRPr="00896D4F">
        <w:t>Anmälningsplikten</w:t>
      </w:r>
    </w:p>
    <w:p w:rsidR="009C1C5A" w:rsidRPr="00896D4F" w:rsidRDefault="009C1C5A">
      <w:r w:rsidRPr="00896D4F">
        <w:t>I 71 § andra stycket socialtjänstlagen föreskrivs bl.a. att myndigheter vars verk</w:t>
      </w:r>
      <w:r w:rsidRPr="00896D4F">
        <w:softHyphen/>
        <w:t>samhet berör barn och ungdom samt andra myndigheter inom hälso- och sjuk</w:t>
      </w:r>
      <w:r w:rsidRPr="00896D4F">
        <w:softHyphen/>
        <w:t>vården är skyldiga att genast till socialnämnden anmäla om de i sin verk</w:t>
      </w:r>
      <w:r w:rsidRPr="00896D4F">
        <w:softHyphen/>
        <w:t xml:space="preserve">samhet får kännedom om något som kan innebära att socialnämnden behöver ingripa till en underårigs skydd. Detta gäller även dem som är anställda hos sådana myndigheter. </w:t>
      </w:r>
    </w:p>
    <w:p w:rsidR="009C1C5A" w:rsidRPr="00896D4F" w:rsidRDefault="009C1C5A">
      <w:pPr>
        <w:pStyle w:val="Normaltindrag"/>
      </w:pPr>
      <w:r w:rsidRPr="00896D4F">
        <w:t>Anmälningsplikten förutsätter inte att det är klarlagt att social</w:t>
      </w:r>
      <w:r w:rsidRPr="00896D4F">
        <w:softHyphen/>
        <w:t>nämnden b</w:t>
      </w:r>
      <w:r w:rsidRPr="00896D4F">
        <w:t>e</w:t>
      </w:r>
      <w:r w:rsidRPr="00896D4F">
        <w:t>höver ingripa. Även uppgifter som är svårbedömda eller obestyrkta skall anmälas, om de tyder på att ett barn kan vara i behov av stöd eller hjälp från socialnämndens sida. Det räcker således med att det föreligger misstankar om något missförhållande för att anmälningsplikt skall inträda. Det ankommer där</w:t>
      </w:r>
      <w:r w:rsidRPr="00896D4F">
        <w:softHyphen/>
        <w:t>efter på socialnämnden att föranstalta om erforderlig utredning för att utröna om behov av åtgärder före</w:t>
      </w:r>
      <w:r w:rsidRPr="00896D4F">
        <w:softHyphen/>
        <w:t>ligger. Anmälningsplikt föreligger även om man inom hälso- och sjukvården, t.ex. inom barn</w:t>
      </w:r>
      <w:r w:rsidRPr="00896D4F">
        <w:t>- och ungdomspsykiatrin, be</w:t>
      </w:r>
      <w:r w:rsidRPr="00896D4F">
        <w:softHyphen/>
        <w:t>dömer det som tillräckligt med de åtgärder som vidtas inom ramen för den egna verksamheten. Information om vilka åtgärder som den anmälningssky</w:t>
      </w:r>
      <w:r w:rsidRPr="00896D4F">
        <w:t>l</w:t>
      </w:r>
      <w:r w:rsidRPr="00896D4F">
        <w:t>dige anser lämpliga kan lämnas till social</w:t>
      </w:r>
      <w:r w:rsidRPr="00896D4F">
        <w:softHyphen/>
        <w:t>nämnden i sam</w:t>
      </w:r>
      <w:r w:rsidRPr="00896D4F">
        <w:softHyphen/>
        <w:t xml:space="preserve">band med anmälan.  </w:t>
      </w:r>
    </w:p>
    <w:p w:rsidR="009C1C5A" w:rsidRPr="00896D4F" w:rsidRDefault="009C1C5A">
      <w:pPr>
        <w:pStyle w:val="Normaltindrag"/>
      </w:pPr>
      <w:r w:rsidRPr="00896D4F">
        <w:t>I förevarande fall har hälso- och sjukvårdspersonalen, enligt remissvaret, själva gjort den bedömningen att barnets berättelse var så vag att en anmälan till social</w:t>
      </w:r>
      <w:r w:rsidRPr="00896D4F">
        <w:softHyphen/>
        <w:t>tjänsten inte skulle leda till någon åtgärd. Personalen har även fra</w:t>
      </w:r>
      <w:r w:rsidRPr="00896D4F">
        <w:t>m</w:t>
      </w:r>
      <w:r w:rsidRPr="00896D4F">
        <w:t>fört att det före</w:t>
      </w:r>
      <w:r w:rsidRPr="00896D4F">
        <w:softHyphen/>
        <w:t>låg osäkerhet om något övergrepp hade inträffat och att de i första hand ville arbeta med att skydda barnet mot fort</w:t>
      </w:r>
      <w:r w:rsidRPr="00896D4F">
        <w:softHyphen/>
        <w:t>satta övergrepp ”(om det hade inträffat)”. Eftersom personalen valde att arbeta vidare med frågan om skydd måste det ha funnits en inte helt ogrundad misstanke om att up</w:t>
      </w:r>
      <w:r w:rsidRPr="00896D4F">
        <w:t>p</w:t>
      </w:r>
      <w:r w:rsidRPr="00896D4F">
        <w:t>gifterna om övergrepp var korrekta. Därtill kommer att den misstänkte bodde tillsammans med barnet. Vad som har framkommit leder till den</w:t>
      </w:r>
      <w:r w:rsidRPr="00896D4F">
        <w:t xml:space="preserve"> bedömnin</w:t>
      </w:r>
      <w:r w:rsidRPr="00896D4F">
        <w:t>g</w:t>
      </w:r>
      <w:r w:rsidRPr="00896D4F">
        <w:t>en att situationen uppenbarligen var sådan att det förelåg anmälningsskyldi</w:t>
      </w:r>
      <w:r w:rsidRPr="00896D4F">
        <w:t>g</w:t>
      </w:r>
      <w:r w:rsidRPr="00896D4F">
        <w:t>het för hälso- och sjukvårdspersonalen. Det hade varit av stor vikt att saken kom till social</w:t>
      </w:r>
      <w:r w:rsidRPr="00896D4F">
        <w:softHyphen/>
        <w:t>nämndens kännedom för nämndens över</w:t>
      </w:r>
      <w:r w:rsidRPr="00896D4F">
        <w:softHyphen/>
        <w:t>väganden i fråga om barnets behov av skydd eller stöd och om polisanmälan skulle göras eller inte. Vid en utredning hos social</w:t>
      </w:r>
      <w:r w:rsidRPr="00896D4F">
        <w:softHyphen/>
        <w:t>nämnden hade dessutom M.P., i sin egenskap av vårdnadshavare, intagit parts</w:t>
      </w:r>
      <w:r w:rsidRPr="00896D4F">
        <w:softHyphen/>
        <w:t>ställning och därmed blivit informerad om vad som fram</w:t>
      </w:r>
      <w:r w:rsidRPr="00896D4F">
        <w:softHyphen/>
        <w:t xml:space="preserve">kommit.  </w:t>
      </w:r>
    </w:p>
    <w:p w:rsidR="009C1C5A" w:rsidRPr="00896D4F" w:rsidRDefault="009C1C5A">
      <w:pPr>
        <w:pStyle w:val="Normaltindrag"/>
      </w:pPr>
      <w:r w:rsidRPr="00896D4F">
        <w:t>Ulla Arfwidsson Anderssons o</w:t>
      </w:r>
      <w:r w:rsidRPr="00896D4F">
        <w:t>ch Tommy Engstrands under</w:t>
      </w:r>
      <w:r w:rsidRPr="00896D4F">
        <w:softHyphen/>
        <w:t>låtenhet att anmäla saken till socialnämnden föranleder allvarlig kritik från min sida. Vad som har framkommit ger mig även anledning att ifrågasätta om för</w:t>
      </w:r>
      <w:r w:rsidRPr="00896D4F">
        <w:softHyphen/>
        <w:t>hållandena inte var sådana att det före</w:t>
      </w:r>
      <w:r w:rsidRPr="00896D4F">
        <w:softHyphen/>
        <w:t>låg en an</w:t>
      </w:r>
      <w:r w:rsidRPr="00896D4F">
        <w:softHyphen/>
        <w:t>mäl</w:t>
      </w:r>
      <w:r w:rsidRPr="00896D4F">
        <w:softHyphen/>
        <w:t>ningsplikt redan innan ”ärendet” fö</w:t>
      </w:r>
      <w:r w:rsidRPr="00896D4F">
        <w:t>r</w:t>
      </w:r>
      <w:r w:rsidRPr="00896D4F">
        <w:t>delades till Ulla Arfwidsson Andersson och Tommy Engstrand, dvs. i sa</w:t>
      </w:r>
      <w:r w:rsidRPr="00896D4F">
        <w:t>m</w:t>
      </w:r>
      <w:r w:rsidRPr="00896D4F">
        <w:t>band med anmälan den 18 augusti 1997 och när ”ärendet” togs upp i remiss</w:t>
      </w:r>
      <w:r w:rsidRPr="00896D4F">
        <w:softHyphen/>
      </w:r>
      <w:r w:rsidRPr="00896D4F">
        <w:softHyphen/>
        <w:t xml:space="preserve">grupp den 19 augusti 1997. </w:t>
      </w:r>
    </w:p>
    <w:p w:rsidR="009C1C5A" w:rsidRPr="00896D4F" w:rsidRDefault="009C1C5A">
      <w:pPr>
        <w:pStyle w:val="Normaltindrag"/>
        <w:rPr>
          <w:i/>
        </w:rPr>
      </w:pPr>
      <w:r w:rsidRPr="00896D4F">
        <w:t>Jag förutsätter att landstinget tar initiativ till utbild</w:t>
      </w:r>
      <w:r w:rsidRPr="00896D4F">
        <w:softHyphen/>
        <w:t>ningsinsatser angående hälso- och sjukvårdspersonalens anmälningsskyldighet. Med gjorda uttala</w:t>
      </w:r>
      <w:r w:rsidRPr="00896D4F">
        <w:t>n</w:t>
      </w:r>
      <w:r w:rsidRPr="00896D4F">
        <w:t>den lämnar jag frågan om anmälning</w:t>
      </w:r>
      <w:r w:rsidRPr="00896D4F">
        <w:t>s</w:t>
      </w:r>
      <w:r w:rsidRPr="00896D4F">
        <w:t xml:space="preserve">skyldigheten. </w:t>
      </w:r>
    </w:p>
    <w:p w:rsidR="009C1C5A" w:rsidRPr="00896D4F" w:rsidRDefault="009C1C5A">
      <w:pPr>
        <w:pStyle w:val="Rubrik4"/>
      </w:pPr>
      <w:r w:rsidRPr="00896D4F">
        <w:t xml:space="preserve">Information till båda vårdnadshavarna?  </w:t>
      </w:r>
    </w:p>
    <w:p w:rsidR="009C1C5A" w:rsidRPr="00896D4F" w:rsidRDefault="009C1C5A">
      <w:r w:rsidRPr="00896D4F">
        <w:t>Huvudregeln när det gäller förhållandet mellan en underårig och hans vår</w:t>
      </w:r>
      <w:r w:rsidRPr="00896D4F">
        <w:t>d</w:t>
      </w:r>
      <w:r w:rsidRPr="00896D4F">
        <w:t>nads</w:t>
      </w:r>
      <w:r w:rsidRPr="00896D4F">
        <w:softHyphen/>
        <w:t>havare är enligt 6 kap. 11 § föräldrabalken att vårdnadshavaren har rätt och skyldighet att bestämma i frågor som rör barnets personliga angeläge</w:t>
      </w:r>
      <w:r w:rsidRPr="00896D4F">
        <w:t>n</w:t>
      </w:r>
      <w:r w:rsidRPr="00896D4F">
        <w:t>heter. Vårdnadshavaren skall dock enligt stadgandet i takt med barnets st</w:t>
      </w:r>
      <w:r w:rsidRPr="00896D4F">
        <w:t>i</w:t>
      </w:r>
      <w:r w:rsidRPr="00896D4F">
        <w:t>gande ålder och utveckling ta allt större hänsyn till barnets synpunkter och önskemål. När det gäller vård och behandling finns i hälso- och sjukvårdsl</w:t>
      </w:r>
      <w:r w:rsidRPr="00896D4F">
        <w:t>a</w:t>
      </w:r>
      <w:r w:rsidRPr="00896D4F">
        <w:t>gen (1982:763) bestäm</w:t>
      </w:r>
      <w:r w:rsidRPr="00896D4F">
        <w:softHyphen/>
        <w:t>melser om att vård och behandling så långt det är mö</w:t>
      </w:r>
      <w:r w:rsidRPr="00896D4F">
        <w:t>j</w:t>
      </w:r>
      <w:r w:rsidRPr="00896D4F">
        <w:t>ligt skall utformas och genom</w:t>
      </w:r>
      <w:r w:rsidRPr="00896D4F">
        <w:softHyphen/>
        <w:t>föras i samråd med patienten.</w:t>
      </w:r>
      <w:r w:rsidRPr="00896D4F">
        <w:t xml:space="preserve"> När det gäller små barn skall ett sådant sam</w:t>
      </w:r>
      <w:r w:rsidRPr="00896D4F">
        <w:softHyphen/>
        <w:t>råd ske med vårdnadshavaren. När det gäller äldre barn kan det mot bakgrund av föräldra</w:t>
      </w:r>
      <w:r w:rsidRPr="00896D4F">
        <w:softHyphen/>
        <w:t>balkens bestämmelser knappast antas att det föreligger en ovillkorlig skyldighet för hälso- och sjukvårdspe</w:t>
      </w:r>
      <w:r w:rsidRPr="00896D4F">
        <w:t>r</w:t>
      </w:r>
      <w:r w:rsidRPr="00896D4F">
        <w:t>sonalen att informera vårdnadshavaren i allt som rör den underårige patienten. Detta beror på vad frågan gäller och barnets mognads</w:t>
      </w:r>
      <w:r w:rsidRPr="00896D4F">
        <w:softHyphen/>
        <w:t>grad. I aktuellt fall var patienten tio år när den barn- och ungdoms</w:t>
      </w:r>
      <w:r w:rsidRPr="00896D4F">
        <w:softHyphen/>
        <w:t>psykiatriska mottag</w:t>
      </w:r>
      <w:r w:rsidRPr="00896D4F">
        <w:softHyphen/>
        <w:t>ningen up</w:t>
      </w:r>
      <w:r w:rsidRPr="00896D4F">
        <w:t>p</w:t>
      </w:r>
      <w:r w:rsidRPr="00896D4F">
        <w:t>söktes på grund av misstanken om övergr</w:t>
      </w:r>
      <w:r w:rsidRPr="00896D4F">
        <w:t>epp. Givetvis förlåg det skyldighet att sam</w:t>
      </w:r>
      <w:r w:rsidRPr="00896D4F">
        <w:softHyphen/>
        <w:t xml:space="preserve">råda med vårdnadshavaren angående vården och behandlingen. </w:t>
      </w:r>
    </w:p>
    <w:p w:rsidR="009C1C5A" w:rsidRPr="00896D4F" w:rsidRDefault="009C1C5A">
      <w:pPr>
        <w:pStyle w:val="Normaltindrag"/>
      </w:pPr>
      <w:r w:rsidRPr="00896D4F">
        <w:t>Den fråga som sedan uppkommer är om det var tillräckligt att informera endast den ene vårdnadshavaren. Av 6 kap. 13 § föräldrabalken framgår att om barnet har två vårdnadshavare skall de tillsammans utöva bestämmand</w:t>
      </w:r>
      <w:r w:rsidRPr="00896D4F">
        <w:t>e</w:t>
      </w:r>
      <w:r w:rsidRPr="00896D4F">
        <w:t>rätten. Det krävs alltså normalt gemensamma beslut i frågor som rör vårdn</w:t>
      </w:r>
      <w:r w:rsidRPr="00896D4F">
        <w:t>a</w:t>
      </w:r>
      <w:r w:rsidRPr="00896D4F">
        <w:t>den. Bestämmande</w:t>
      </w:r>
      <w:r w:rsidRPr="00896D4F">
        <w:softHyphen/>
        <w:t>rätten utövas dock av den ene vårdnadshavaren ensam när den andre till följd av från</w:t>
      </w:r>
      <w:r w:rsidRPr="00896D4F">
        <w:softHyphen/>
        <w:t>varo, sjukdom eller annan orsak är förhindrad att ta del i beslut rörande vårdnaden och beslutet inte kan skjutas upp utan oläge</w:t>
      </w:r>
      <w:r w:rsidRPr="00896D4F">
        <w:t>n</w:t>
      </w:r>
      <w:r w:rsidRPr="00896D4F">
        <w:t>het. Beslut som är av in</w:t>
      </w:r>
      <w:r w:rsidRPr="00896D4F">
        <w:softHyphen/>
        <w:t>gripande betydelse för barnets framtid får dock inte fattas av den ene vårdnads</w:t>
      </w:r>
      <w:r w:rsidRPr="00896D4F">
        <w:softHyphen/>
        <w:t>havaren ensam, om inte barnets bästa uppenbarl</w:t>
      </w:r>
      <w:r w:rsidRPr="00896D4F">
        <w:t>i</w:t>
      </w:r>
      <w:r w:rsidRPr="00896D4F">
        <w:t xml:space="preserve">gen kräver det. </w:t>
      </w:r>
    </w:p>
    <w:p w:rsidR="009C1C5A" w:rsidRPr="00896D4F" w:rsidRDefault="009C1C5A">
      <w:pPr>
        <w:pStyle w:val="Normaltindrag"/>
      </w:pPr>
      <w:r w:rsidRPr="00896D4F">
        <w:t>Bestämmelsen i 6 kap. 13 § skall inte</w:t>
      </w:r>
      <w:r w:rsidRPr="00896D4F">
        <w:t xml:space="preserve"> tolkas så att båda föräldrarna, även om ingen direkt är förhindrad, skall behöva delta i alla vardagliga avgöra</w:t>
      </w:r>
      <w:r w:rsidRPr="00896D4F">
        <w:t>n</w:t>
      </w:r>
      <w:r w:rsidRPr="00896D4F">
        <w:t>den. Om föräldrarna inte sammanbor måste med nödvändighet den förälder som har barnet hos sig fatta de flesta beslut som rör den dagliga omsorgen. I förarbetena till den nu gällande lagstiftningen om vårdnad uttalades att till den dagliga omsorgen hör frågor om bl.a. barnets mat, kläder, sovtider och hur barnet skall tillbringa sin fritid. Däremot undantogs beslut av mer ingr</w:t>
      </w:r>
      <w:r w:rsidRPr="00896D4F">
        <w:t>i</w:t>
      </w:r>
      <w:r w:rsidRPr="00896D4F">
        <w:t>pande bet</w:t>
      </w:r>
      <w:r w:rsidRPr="00896D4F">
        <w:t>y</w:t>
      </w:r>
      <w:r w:rsidRPr="00896D4F">
        <w:t xml:space="preserve">delse för </w:t>
      </w:r>
      <w:r w:rsidRPr="00896D4F">
        <w:t xml:space="preserve">barnets framtid (prop. 1975/76:170 s. 178). </w:t>
      </w:r>
    </w:p>
    <w:p w:rsidR="009C1C5A" w:rsidRPr="00896D4F" w:rsidRDefault="009C1C5A">
      <w:pPr>
        <w:pStyle w:val="Normaltindrag"/>
      </w:pPr>
      <w:r w:rsidRPr="00896D4F">
        <w:t>När det gäller åtgärder inom hälso- och sjukvården måste det i många fall anses tillräckligt att samråd sker med den ene vårdnadshavaren. Man får utgå från att den vårdnadshavare som initierar vårdkontakten informerar den andre vårdnads</w:t>
      </w:r>
      <w:r w:rsidRPr="00896D4F">
        <w:softHyphen/>
        <w:t>havaren. Samråd med den andre vårdnadshavaren bör dock ske om det finns någon särskild anled</w:t>
      </w:r>
      <w:r w:rsidRPr="00896D4F">
        <w:softHyphen/>
        <w:t>ning att misstänka att denne inte samtycker till behand</w:t>
      </w:r>
      <w:r w:rsidRPr="00896D4F">
        <w:softHyphen/>
        <w:t>lingen eller om det är fråga om åtgärder av ingripande beskaffenhet för barnets framtid. Några närmare riktlinjer kan inte lämnas, utan frågan om båda vårdnads</w:t>
      </w:r>
      <w:r w:rsidRPr="00896D4F">
        <w:softHyphen/>
        <w:t xml:space="preserve">havarnas samtycke behövs eller inte, måste avgöras i varje enskilt fall. </w:t>
      </w:r>
    </w:p>
    <w:p w:rsidR="009C1C5A" w:rsidRPr="00896D4F" w:rsidRDefault="009C1C5A">
      <w:pPr>
        <w:pStyle w:val="Normaltindrag"/>
      </w:pPr>
      <w:r w:rsidRPr="00896D4F">
        <w:t>I förevarande fall hade det fram</w:t>
      </w:r>
      <w:r w:rsidRPr="00896D4F">
        <w:softHyphen/>
        <w:t>kommit uppgifter som för</w:t>
      </w:r>
      <w:r w:rsidRPr="00896D4F">
        <w:softHyphen/>
        <w:t>anledde missta</w:t>
      </w:r>
      <w:r w:rsidRPr="00896D4F">
        <w:t>n</w:t>
      </w:r>
      <w:r w:rsidRPr="00896D4F">
        <w:t>ke om sexuella övergrepp. Det är natur</w:t>
      </w:r>
      <w:r w:rsidRPr="00896D4F">
        <w:softHyphen/>
        <w:t>ligtvis en viktig fråga för vårdnadsh</w:t>
      </w:r>
      <w:r w:rsidRPr="00896D4F">
        <w:t>a</w:t>
      </w:r>
      <w:r w:rsidRPr="00896D4F">
        <w:t>varna att i  en sådan situation bedöma om planerade vård- och behandlingsi</w:t>
      </w:r>
      <w:r w:rsidRPr="00896D4F">
        <w:t>n</w:t>
      </w:r>
      <w:r w:rsidRPr="00896D4F">
        <w:t>satser är lämpliga eller inte. Vidare fanns det anledning för hälso- och sju</w:t>
      </w:r>
      <w:r w:rsidRPr="00896D4F">
        <w:t>k</w:t>
      </w:r>
      <w:r w:rsidRPr="00896D4F">
        <w:t>vårdspersonalen att misstänka dels att det förelåg en intressekonflikt mellan barnets mor och barnets far, dels att barnets far hade synpunkter på vilka insatser som skulle vidtas inom hälso- och sjukvården, bl.a. lämpligheten av att hans dot</w:t>
      </w:r>
      <w:r w:rsidRPr="00896D4F">
        <w:t>ter deltog i samtal tillsammans med den misstänkte förövaren. Enligt min mening var det en sådan situation där personalen borde ha inhä</w:t>
      </w:r>
      <w:r w:rsidRPr="00896D4F">
        <w:t>m</w:t>
      </w:r>
      <w:r w:rsidRPr="00896D4F">
        <w:t>tat samtycke till planerade insatser även från den andre vårdnadshavaren. Några hinder mot en kontakt med barnets far har inte åberopats i remissvaret.</w:t>
      </w:r>
    </w:p>
    <w:p w:rsidR="009C1C5A" w:rsidRPr="00896D4F" w:rsidRDefault="009C1C5A">
      <w:r w:rsidRPr="00896D4F">
        <w:t>Ärendet avslutas.</w:t>
      </w:r>
    </w:p>
    <w:p w:rsidR="009C1C5A" w:rsidRPr="00896D4F" w:rsidRDefault="009C1C5A">
      <w:pPr>
        <w:pStyle w:val="Rubrik2"/>
      </w:pPr>
      <w:r w:rsidRPr="00896D4F">
        <w:t>Handläggningen vid prövning av behandlingsförslag enligt 10 § tandvårdsförordningen (1998:1338). Bl.a. fråga om beslut i sådana ärenden kan överklagas</w:t>
      </w:r>
    </w:p>
    <w:p w:rsidR="009C1C5A" w:rsidRPr="00896D4F" w:rsidRDefault="009C1C5A">
      <w:pPr>
        <w:spacing w:before="0"/>
      </w:pPr>
      <w:r w:rsidRPr="00896D4F">
        <w:t>(Dnr 3931-2000)</w:t>
      </w:r>
    </w:p>
    <w:p w:rsidR="009C1C5A" w:rsidRPr="00896D4F" w:rsidRDefault="009C1C5A">
      <w:pPr>
        <w:pStyle w:val="Rubrik3"/>
      </w:pPr>
      <w:r w:rsidRPr="00896D4F">
        <w:t>Anmälan</w:t>
      </w:r>
    </w:p>
    <w:p w:rsidR="009C1C5A" w:rsidRPr="00896D4F" w:rsidRDefault="009C1C5A">
      <w:r w:rsidRPr="00896D4F">
        <w:t>I en anmälan till JO framförde L.Z. klagomål mot Tandvårds</w:t>
      </w:r>
      <w:r w:rsidRPr="00896D4F">
        <w:softHyphen/>
        <w:t>nämnden, Reg</w:t>
      </w:r>
      <w:r w:rsidRPr="00896D4F">
        <w:t>i</w:t>
      </w:r>
      <w:r w:rsidRPr="00896D4F">
        <w:t>on Skåne, angående handläggningen vid prövning av behandlingsförslag enligt 10 § tandvårdsförordningen. Klagomålen rör att tandvårdsnämnden inte har fattat beslut som kan överklagas. L.Z. klagade vidare på att nämnden inte gjort en omprövning av sin bedömning efter det att komplettering skett i hans ärende. Han fogade till anmälan ett antal handlingar.</w:t>
      </w:r>
    </w:p>
    <w:p w:rsidR="009C1C5A" w:rsidRPr="00896D4F" w:rsidRDefault="009C1C5A">
      <w:pPr>
        <w:pStyle w:val="Normaltindrag"/>
      </w:pPr>
      <w:r w:rsidRPr="00896D4F">
        <w:t>L.Z. utvidgade senare sin anmälan till att omfatta hand</w:t>
      </w:r>
      <w:r w:rsidRPr="00896D4F">
        <w:softHyphen/>
        <w:t>läggningen av hans begäran om att få ta del av handlingar. Han riktade också kritik mot tand</w:t>
      </w:r>
      <w:r w:rsidRPr="00896D4F">
        <w:softHyphen/>
        <w:t>vårdsnämnden bl.a. för att den inte besvarade hans begäran om att nämnden, och inte tandvårdsdirektören, skulle pröva hans ärende.</w:t>
      </w:r>
    </w:p>
    <w:p w:rsidR="009C1C5A" w:rsidRPr="00896D4F" w:rsidRDefault="009C1C5A">
      <w:pPr>
        <w:pStyle w:val="Rubrik3"/>
      </w:pPr>
      <w:r w:rsidRPr="00896D4F">
        <w:t>Utredning</w:t>
      </w:r>
    </w:p>
    <w:p w:rsidR="009C1C5A" w:rsidRPr="00896D4F" w:rsidRDefault="009C1C5A">
      <w:r w:rsidRPr="00896D4F">
        <w:t>Inledningsvis infordrades de handlingar som fanns vid tandvårdsnämndens kansli angående L.Z.. Vidare infordrades en av Region Skåne upprättad pr</w:t>
      </w:r>
      <w:r w:rsidRPr="00896D4F">
        <w:t>o</w:t>
      </w:r>
      <w:r w:rsidRPr="00896D4F">
        <w:t>memoria – som nämnden hänvisat till i L.Z:s ärende – rörande enskilds mö</w:t>
      </w:r>
      <w:r w:rsidRPr="00896D4F">
        <w:t>j</w:t>
      </w:r>
      <w:r w:rsidRPr="00896D4F">
        <w:t>lighet att överklaga landstingets prövning av behandlingsförslag enligt 10 § tandvårds</w:t>
      </w:r>
      <w:r w:rsidRPr="00896D4F">
        <w:softHyphen/>
        <w:t>förordningen.</w:t>
      </w:r>
    </w:p>
    <w:p w:rsidR="009C1C5A" w:rsidRPr="00896D4F" w:rsidRDefault="009C1C5A">
      <w:pPr>
        <w:pStyle w:val="Normaltindrag"/>
      </w:pPr>
      <w:r w:rsidRPr="00896D4F">
        <w:t>Upplysningar inhämtades per telefon från tandvårdsdirektören Tomas Forss vid tandvårdsnämndens kansli.</w:t>
      </w:r>
    </w:p>
    <w:p w:rsidR="009C1C5A" w:rsidRPr="00896D4F" w:rsidRDefault="009C1C5A">
      <w:pPr>
        <w:pStyle w:val="Normaltindrag"/>
      </w:pPr>
      <w:r w:rsidRPr="00896D4F">
        <w:t>Därefter anmodades tandvårdsnämnden att inkomma med utredning och yt</w:t>
      </w:r>
      <w:r w:rsidRPr="00896D4F">
        <w:t>t</w:t>
      </w:r>
      <w:r w:rsidRPr="00896D4F">
        <w:t>rande över vad som framförts i anmälningarna.</w:t>
      </w:r>
    </w:p>
    <w:p w:rsidR="009C1C5A" w:rsidRPr="00896D4F" w:rsidRDefault="009C1C5A">
      <w:r w:rsidRPr="00896D4F">
        <w:t>Tandvårdsnämnden anförde i sitt remissvar följande.</w:t>
      </w:r>
    </w:p>
    <w:p w:rsidR="009C1C5A" w:rsidRPr="00896D4F" w:rsidRDefault="009C1C5A">
      <w:pPr>
        <w:pStyle w:val="Citat"/>
      </w:pPr>
      <w:r w:rsidRPr="00896D4F">
        <w:t>Rättsläget</w:t>
      </w:r>
    </w:p>
    <w:p w:rsidR="009C1C5A" w:rsidRPr="00896D4F" w:rsidRDefault="009C1C5A">
      <w:pPr>
        <w:pStyle w:val="Citat"/>
      </w:pPr>
      <w:r w:rsidRPr="00896D4F">
        <w:t>Inledningsvis vill nämnden redovisa sin syn på hur den uppfattat rättsläget beträffande ifråga</w:t>
      </w:r>
      <w:r w:rsidRPr="00896D4F">
        <w:softHyphen/>
        <w:t>varande förhandsprövningar.</w:t>
      </w:r>
    </w:p>
    <w:p w:rsidR="009C1C5A" w:rsidRPr="00896D4F" w:rsidRDefault="009C1C5A">
      <w:pPr>
        <w:pStyle w:val="Citatindrag"/>
      </w:pPr>
      <w:r w:rsidRPr="00896D4F">
        <w:t>Den s k tandvårdsreformen trädde i kraft från 1 januari 1999. Genom inf</w:t>
      </w:r>
      <w:r w:rsidRPr="00896D4F">
        <w:t>ö</w:t>
      </w:r>
      <w:r w:rsidRPr="00896D4F">
        <w:t>randet av 8 a § tand</w:t>
      </w:r>
      <w:r w:rsidRPr="00896D4F">
        <w:softHyphen/>
        <w:t>vårdslagen (1985:125) fick landstingen bl a ett ansvar att se till att tandvård kan erbjudas dem som har behov av särskilda tandvårdsi</w:t>
      </w:r>
      <w:r w:rsidRPr="00896D4F">
        <w:t>n</w:t>
      </w:r>
      <w:r w:rsidRPr="00896D4F">
        <w:t>satser som ett led i en sjukdomsbehandling under en begränsad tid. Enligt 15 a § tredje stycket samma lag gäller för sådan vård bestämmelserna om vårdavgifter i den öppna vården enligt hälso- och sju</w:t>
      </w:r>
      <w:r w:rsidRPr="00896D4F">
        <w:t>k</w:t>
      </w:r>
      <w:r w:rsidRPr="00896D4F">
        <w:t>vårdslagen (1982:763).</w:t>
      </w:r>
    </w:p>
    <w:p w:rsidR="009C1C5A" w:rsidRPr="00896D4F" w:rsidRDefault="009C1C5A">
      <w:pPr>
        <w:pStyle w:val="Citatindrag"/>
      </w:pPr>
      <w:r w:rsidRPr="00896D4F">
        <w:t>Särskilda bestämmelser om sådan tandvård som avses i 15 a tredje stycket tandvårdslagen återfinns i tandvårdsförordningen (1998:1338</w:t>
      </w:r>
      <w:r w:rsidRPr="00896D4F">
        <w:t>). I 3 § sis</w:t>
      </w:r>
      <w:r w:rsidRPr="00896D4F">
        <w:t>t</w:t>
      </w:r>
      <w:r w:rsidRPr="00896D4F">
        <w:t>nämnda förordning finns föreskrifter om tandvård som ett led i sjukdomsb</w:t>
      </w:r>
      <w:r w:rsidRPr="00896D4F">
        <w:t>e</w:t>
      </w:r>
      <w:r w:rsidRPr="00896D4F">
        <w:t>handling. I 10 § samma förordning anges att innan en vårdgivare inleder en behandling enligt 3 § skall behandlingsförslaget prövas av det landsting inom vars område patienten är bosatt. Några särskilda bestämmelser om överkl</w:t>
      </w:r>
      <w:r w:rsidRPr="00896D4F">
        <w:t>a</w:t>
      </w:r>
      <w:r w:rsidRPr="00896D4F">
        <w:t>gande finns inte beträffande denna typ av förhandsprövningar. Före reformen gjordes förhandsprövning av denna typ av behandlingsförslag av försäkring</w:t>
      </w:r>
      <w:r w:rsidRPr="00896D4F">
        <w:t>s</w:t>
      </w:r>
      <w:r w:rsidRPr="00896D4F">
        <w:t>kassan. Kassans beslut kunde då överklagas till all</w:t>
      </w:r>
      <w:r w:rsidRPr="00896D4F">
        <w:t>män för</w:t>
      </w:r>
      <w:r w:rsidRPr="00896D4F">
        <w:softHyphen/>
        <w:t>valtningsdomstol. Även i nuvarande förordning (1998:1337) om tandvårdstaxa finns särskilda överklagandebestämmelser beträffande försäkringskassans beslut i ärende om förhandsprövning.</w:t>
      </w:r>
    </w:p>
    <w:p w:rsidR="009C1C5A" w:rsidRPr="00896D4F" w:rsidRDefault="009C1C5A">
      <w:pPr>
        <w:pStyle w:val="Citatindrag"/>
      </w:pPr>
      <w:r w:rsidRPr="00896D4F">
        <w:t>I förarbetena till tandvårdsreformen (1997/98:112 s 58) framgår av rege</w:t>
      </w:r>
      <w:r w:rsidRPr="00896D4F">
        <w:t>r</w:t>
      </w:r>
      <w:r w:rsidRPr="00896D4F">
        <w:t>ingens bedömning under rubriken ”8.1 Genomförande” bl a följande: ”Förhandlingar bör inledas med företrädare för lands</w:t>
      </w:r>
      <w:r w:rsidRPr="00896D4F">
        <w:softHyphen/>
        <w:t>tingen vad gäller överf</w:t>
      </w:r>
      <w:r w:rsidRPr="00896D4F">
        <w:t>ö</w:t>
      </w:r>
      <w:r w:rsidRPr="00896D4F">
        <w:t>randet till landstingen av viss tandvård och kostnadsansvaret för den. Det bör bli Socialstyrelsens uppgift att utarbeta de allmänna råd och föreskrifter som kan behövas”.</w:t>
      </w:r>
    </w:p>
    <w:p w:rsidR="009C1C5A" w:rsidRPr="00896D4F" w:rsidRDefault="009C1C5A">
      <w:pPr>
        <w:pStyle w:val="Citatindrag"/>
      </w:pPr>
      <w:r w:rsidRPr="00896D4F">
        <w:t>Någon allmän bestämmelse om förvaltningsbesluts överklagbarhet finns inte i förvaltningslagen. Överklagbarheten regleras vanligtvis genom besvär</w:t>
      </w:r>
      <w:r w:rsidRPr="00896D4F">
        <w:t>s</w:t>
      </w:r>
      <w:r w:rsidRPr="00896D4F">
        <w:t>bestämmelser i specialförfattningar eller i författningar som mera allmänt gäller en viss myndighets verksamhet. När det gäller besluts</w:t>
      </w:r>
      <w:r w:rsidRPr="00896D4F">
        <w:softHyphen/>
        <w:t>fattande i ko</w:t>
      </w:r>
      <w:r w:rsidRPr="00896D4F">
        <w:t>m</w:t>
      </w:r>
      <w:r w:rsidRPr="00896D4F">
        <w:t>munal verksamhet skiljer man på formella beslut i kommunallagens (KL:s) mening och på ren verkställighet. Kommunala beslut går att överklaga genom laglighetsprövning (10 kap KL). Ren verkställighet kan inte angripas genom någon form av besvär.</w:t>
      </w:r>
    </w:p>
    <w:p w:rsidR="009C1C5A" w:rsidRPr="00896D4F" w:rsidRDefault="009C1C5A">
      <w:pPr>
        <w:pStyle w:val="Citatindrag"/>
      </w:pPr>
      <w:r w:rsidRPr="00896D4F">
        <w:t>Frågan är vilken typ av beslut landstingens prövningar av behandlingsfö</w:t>
      </w:r>
      <w:r w:rsidRPr="00896D4F">
        <w:t>r</w:t>
      </w:r>
      <w:r w:rsidRPr="00896D4F">
        <w:t>slag utgör. Ärendena har otvivelaktigt karaktären av förvaltningsärenden med inslag av myndighetsutövning mot enskild. Några särskilda besvärsbestä</w:t>
      </w:r>
      <w:r w:rsidRPr="00896D4F">
        <w:t>m</w:t>
      </w:r>
      <w:r w:rsidRPr="00896D4F">
        <w:t>melser saknas emellertid varför det inte går att angripa ett lands</w:t>
      </w:r>
      <w:r w:rsidRPr="00896D4F">
        <w:softHyphen/>
        <w:t>tings avg</w:t>
      </w:r>
      <w:r w:rsidRPr="00896D4F">
        <w:t>ö</w:t>
      </w:r>
      <w:r w:rsidRPr="00896D4F">
        <w:t>rande genom förvaltningsbesvär. Återstår hur ärendena skall ses ur ett ko</w:t>
      </w:r>
      <w:r w:rsidRPr="00896D4F">
        <w:t>m</w:t>
      </w:r>
      <w:r w:rsidRPr="00896D4F">
        <w:t>munal</w:t>
      </w:r>
      <w:r w:rsidRPr="00896D4F">
        <w:softHyphen/>
        <w:t>rättsligt perspektiv. Enligt tandvårdsnämndens mening är det inte troligt att lagstiftarens intention</w:t>
      </w:r>
      <w:r w:rsidRPr="00896D4F">
        <w:softHyphen/>
        <w:t>er varit att ärendena skall avgöras genom komm</w:t>
      </w:r>
      <w:r w:rsidRPr="00896D4F">
        <w:t>u</w:t>
      </w:r>
      <w:r w:rsidRPr="00896D4F">
        <w:t>nala beslut. Att anföra kommunalbesvär i den här typen av</w:t>
      </w:r>
      <w:r w:rsidRPr="00896D4F">
        <w:t xml:space="preserve"> ärenden synes inte vara ändamålsenligt eftersom någon lämplighetsprövning inte kan göras och något nytt beslut inte kan sättas i ett upphävt besluts ställe. Därtill är ärendena starkt knutna till enskilda individer vilket också gör dem olämpliga att hant</w:t>
      </w:r>
      <w:r w:rsidRPr="00896D4F">
        <w:t>e</w:t>
      </w:r>
      <w:r w:rsidRPr="00896D4F">
        <w:t>ras som kommunala beslut. Kommunala beslut kan som bekant överklagas inte enbart av den beslutet angår utan av samtliga kommun- eller landsting</w:t>
      </w:r>
      <w:r w:rsidRPr="00896D4F">
        <w:t>s</w:t>
      </w:r>
      <w:r w:rsidRPr="00896D4F">
        <w:t>medlemmar.</w:t>
      </w:r>
    </w:p>
    <w:p w:rsidR="009C1C5A" w:rsidRPr="00896D4F" w:rsidRDefault="009C1C5A">
      <w:pPr>
        <w:pStyle w:val="Citatindrag"/>
      </w:pPr>
      <w:r w:rsidRPr="00896D4F">
        <w:t>I den till JO tidigare ingivna promemorian 1999-03-25 har regionkontoret särskilt belyst reformens ko</w:t>
      </w:r>
      <w:r w:rsidRPr="00896D4F">
        <w:t>nsekvenser beträffande möjligheten att överklaga förhandsprövningar. Vid regionkontorets kontakter med Landstingsförbundet har besked lämnats att Landstingsförbundet betraktar förfarandet som ver</w:t>
      </w:r>
      <w:r w:rsidRPr="00896D4F">
        <w:t>k</w:t>
      </w:r>
      <w:r w:rsidRPr="00896D4F">
        <w:t>ställighet. Socialstyrelsen har såvitt tandvårdsnämnden känner till inte uta</w:t>
      </w:r>
      <w:r w:rsidRPr="00896D4F">
        <w:t>r</w:t>
      </w:r>
      <w:r w:rsidRPr="00896D4F">
        <w:t>betat några föreskrifter eller allmänna råd om hur man skall lösa den aktuella problematiken. Mot bakgrund härav anser tandvårdsnämnden att den haft fog för att betrakta förhandspröv</w:t>
      </w:r>
      <w:r w:rsidRPr="00896D4F">
        <w:softHyphen/>
        <w:t>ningarna som ren verkställighet. I detta samma</w:t>
      </w:r>
      <w:r w:rsidRPr="00896D4F">
        <w:t>n</w:t>
      </w:r>
      <w:r w:rsidRPr="00896D4F">
        <w:t xml:space="preserve">hang bör </w:t>
      </w:r>
      <w:r w:rsidRPr="00896D4F">
        <w:t>också särskilt kommenteras vad anmälaren framfört om besvärshä</w:t>
      </w:r>
      <w:r w:rsidRPr="00896D4F">
        <w:t>n</w:t>
      </w:r>
      <w:r w:rsidRPr="00896D4F">
        <w:t>visning. Besvärshänvisning lämnas i överklagningsbara förvaltningsärenden. Saknas författningsreglerade besvärsregler kan besvärshänvisning inte göras. När det gäller kommunala beslut lämnas aldrig besvärshänvisning. Generella bestämmelser om laglighetsprövning finns i kommunallagen.</w:t>
      </w:r>
    </w:p>
    <w:p w:rsidR="009C1C5A" w:rsidRPr="00896D4F" w:rsidRDefault="009C1C5A">
      <w:pPr>
        <w:pStyle w:val="Citat"/>
      </w:pPr>
      <w:r w:rsidRPr="00896D4F">
        <w:t>Allmänt om handläggningen hos tandvårdsnämndens kansli</w:t>
      </w:r>
    </w:p>
    <w:p w:rsidR="009C1C5A" w:rsidRPr="00896D4F" w:rsidRDefault="009C1C5A">
      <w:pPr>
        <w:pStyle w:val="Citat"/>
      </w:pPr>
      <w:r w:rsidRPr="00896D4F">
        <w:t>Förhandsprövningarna görs av tandvårdsdirektören som biträds av för änd</w:t>
      </w:r>
      <w:r w:rsidRPr="00896D4F">
        <w:t>a</w:t>
      </w:r>
      <w:r w:rsidRPr="00896D4F">
        <w:t>målet kontrakterad sakkunnig expertis. För närvarande finns en bedömning</w:t>
      </w:r>
      <w:r w:rsidRPr="00896D4F">
        <w:t>s</w:t>
      </w:r>
      <w:r w:rsidRPr="00896D4F">
        <w:t>tandläkare. Dessutom finna fyra bedömningskonsulter att tillgå om bedö</w:t>
      </w:r>
      <w:r w:rsidRPr="00896D4F">
        <w:t>m</w:t>
      </w:r>
      <w:r w:rsidRPr="00896D4F">
        <w:t>ningarna kräver ytterligare sakkunskap. Tandvårds</w:t>
      </w:r>
      <w:r w:rsidRPr="00896D4F">
        <w:softHyphen/>
        <w:t>direktören har i egenskap av högste tjänsteman också varit den som gentemot sökandena ansvarat för prövningarna. Tandvårdsnämnden tar inte upp enskilda ärenden av denna karaktär, utan de handläggs på tjänstemannan</w:t>
      </w:r>
      <w:r w:rsidRPr="00896D4F">
        <w:t>i</w:t>
      </w:r>
      <w:r w:rsidRPr="00896D4F">
        <w:t>vå.</w:t>
      </w:r>
    </w:p>
    <w:p w:rsidR="009C1C5A" w:rsidRPr="00896D4F" w:rsidRDefault="009C1C5A">
      <w:pPr>
        <w:pStyle w:val="Citatindrag"/>
      </w:pPr>
      <w:r w:rsidRPr="00896D4F">
        <w:t>De till ansökningarna bifogade medicinska utredningarna prövas mot de i 3 § tandvårdsför</w:t>
      </w:r>
      <w:r w:rsidRPr="00896D4F">
        <w:softHyphen/>
        <w:t>ordningen uppställda villkoren. Förordningen gör en tydlig uppräkning av vilken typ av tandvårds</w:t>
      </w:r>
      <w:r w:rsidRPr="00896D4F">
        <w:softHyphen/>
        <w:t>behandling som berättigar till lägre avgift. Till följd härav är merparten av ansökningarna rutin</w:t>
      </w:r>
      <w:r w:rsidRPr="00896D4F">
        <w:softHyphen/>
        <w:t>ärenden i vilka bedömningarna är förhållandevis enkla. Behov av särskilda interna föreskri</w:t>
      </w:r>
      <w:r w:rsidRPr="00896D4F">
        <w:t>f</w:t>
      </w:r>
      <w:r w:rsidRPr="00896D4F">
        <w:t>ter har därför inte ansetts föreligga.</w:t>
      </w:r>
    </w:p>
    <w:p w:rsidR="009C1C5A" w:rsidRPr="00896D4F" w:rsidRDefault="009C1C5A">
      <w:pPr>
        <w:pStyle w:val="Citatindrag"/>
      </w:pPr>
      <w:r w:rsidRPr="00896D4F">
        <w:t>Tandvårdsnämnden är som ovan nämnts medveten om de begränsade b</w:t>
      </w:r>
      <w:r w:rsidRPr="00896D4F">
        <w:t>e</w:t>
      </w:r>
      <w:r w:rsidRPr="00896D4F">
        <w:t xml:space="preserve">svärsmöjligheter som reformen fört med sig. Nämnden har därför på eget initiativ utarbetat en praxis för hanteringen av de ärenden i vilka sökandena varit missnöjda med beslutet. Denna praxis är mycket enkel och innebär att </w:t>
      </w:r>
      <w:r w:rsidRPr="00896D4F">
        <w:rPr>
          <w:i/>
        </w:rPr>
        <w:t>samtliga</w:t>
      </w:r>
      <w:r w:rsidRPr="00896D4F">
        <w:t xml:space="preserve"> som begär en ny bedömning får en sådan. I vissa fall har sökandena kommit in med kompletterande utredning vilket lett till att det ursprungliga negativa beskedet har ändrats till ett positivt.</w:t>
      </w:r>
    </w:p>
    <w:p w:rsidR="009C1C5A" w:rsidRPr="00896D4F" w:rsidRDefault="009C1C5A">
      <w:pPr>
        <w:pStyle w:val="Citatindrag"/>
      </w:pPr>
      <w:r w:rsidRPr="00896D4F">
        <w:t>Under år 2000 har ca 2 500 förhandsprövningar handlagts av tandvård</w:t>
      </w:r>
      <w:r w:rsidRPr="00896D4F">
        <w:t>s</w:t>
      </w:r>
      <w:r w:rsidRPr="00896D4F">
        <w:t>nämnden. Ca 10 % av dem har resulterat i ett negativt besked till sökanden. Detta är enligt nämndens uppfattning en rimlig bifallsfrekvens som är i nivå med andra landsting. Eftersom utgången av ärendena har ekonomisk betyde</w:t>
      </w:r>
      <w:r w:rsidRPr="00896D4F">
        <w:t>l</w:t>
      </w:r>
      <w:r w:rsidRPr="00896D4F">
        <w:t>se för de sökande ligger det dock i sakens natur att merparten av de som inte fått bifall är missnöjda. L.Z. har begärt att få ta del av de bedömningar som inte bifallits och dessa har avidentifierats. Arbetet med detta har varit omfa</w:t>
      </w:r>
      <w:r w:rsidRPr="00896D4F">
        <w:t>t</w:t>
      </w:r>
      <w:r w:rsidRPr="00896D4F">
        <w:t xml:space="preserve">tande med hänsyn till sekretessen för personerna i </w:t>
      </w:r>
      <w:r w:rsidRPr="00896D4F">
        <w:t>denna grupp. Originalen har först kopierats och sedan har en omsorgsfull över</w:t>
      </w:r>
      <w:r w:rsidRPr="00896D4F">
        <w:softHyphen/>
        <w:t>strykning gjorts för att inga personuppgifter ska lämnas ut. Erbjudande till L.Z. om att komma till nämndens kansli har lämnats i brev 2000-12-05. Något svar på erbjudandet har ej kommit.</w:t>
      </w:r>
    </w:p>
    <w:p w:rsidR="009C1C5A" w:rsidRPr="00896D4F" w:rsidRDefault="009C1C5A">
      <w:pPr>
        <w:pStyle w:val="Citat"/>
      </w:pPr>
      <w:r w:rsidRPr="00896D4F">
        <w:t>L.Z:s ärende</w:t>
      </w:r>
    </w:p>
    <w:p w:rsidR="009C1C5A" w:rsidRPr="00896D4F" w:rsidRDefault="009C1C5A">
      <w:pPr>
        <w:pStyle w:val="Citat"/>
      </w:pPr>
      <w:r w:rsidRPr="00896D4F">
        <w:t>1. Ansökan om förhandsbesked inkom till tandvårdskansliet 1999-12-06. Ansökan och bifogade utredning visade vid en första bedömning att förutsät</w:t>
      </w:r>
      <w:r w:rsidRPr="00896D4F">
        <w:t>t</w:t>
      </w:r>
      <w:r w:rsidRPr="00896D4F">
        <w:t>ningar för bifall inte fanns. Behandlande tandläkare lämnades skriftligt b</w:t>
      </w:r>
      <w:r w:rsidRPr="00896D4F">
        <w:t>e</w:t>
      </w:r>
      <w:r w:rsidRPr="00896D4F">
        <w:t>sked om bedömningen 1999-12-19.</w:t>
      </w:r>
    </w:p>
    <w:p w:rsidR="009C1C5A" w:rsidRPr="00896D4F" w:rsidRDefault="009C1C5A">
      <w:pPr>
        <w:pStyle w:val="Citat"/>
      </w:pPr>
      <w:r w:rsidRPr="00896D4F">
        <w:t xml:space="preserve">2. Tandläkaren kompletterade sin ursprungliga ansökan angående L.Z. med nytt medicinskt underlag 2000-02-23. </w:t>
      </w:r>
    </w:p>
    <w:p w:rsidR="009C1C5A" w:rsidRPr="00896D4F" w:rsidRDefault="009C1C5A">
      <w:pPr>
        <w:pStyle w:val="Citat"/>
      </w:pPr>
      <w:r w:rsidRPr="00896D4F">
        <w:t>3. Vid en ny prövning av L.Z:s ansökan gjordes bedömningen att inte heller det nya underlaget visade att han uppfyllde kraven för att bestämmelserna om vårdavgifter i den öppna hälso- och sjukvården skulle tillämpas. Tandläkaren lämnades därefter både ett muntligt och 2000-03-07 ett skriftligt besked om bedömningens utgång.</w:t>
      </w:r>
    </w:p>
    <w:p w:rsidR="009C1C5A" w:rsidRPr="00896D4F" w:rsidRDefault="009C1C5A">
      <w:pPr>
        <w:pStyle w:val="Citat"/>
      </w:pPr>
      <w:r w:rsidRPr="00896D4F">
        <w:t>Sammanfattningsvis kan konstateras följande. Nämnden medger att tan</w:t>
      </w:r>
      <w:r w:rsidRPr="00896D4F">
        <w:t>d</w:t>
      </w:r>
      <w:r w:rsidRPr="00896D4F">
        <w:t>vårdsreformen inneburit begränsningar i enskildas rätt att föra talan mot vissa kategorier av förhandsprövningar. Detta faktum kan dock inte läggas tan</w:t>
      </w:r>
      <w:r w:rsidRPr="00896D4F">
        <w:t>d</w:t>
      </w:r>
      <w:r w:rsidRPr="00896D4F">
        <w:t>vårdsnämnden till last. Innebär begränsningen ett reellt problem är det enligt nämndens mening lagstiftarens sak att finna en lösning på det. Nämnden anser sig ha gjort vad den har kunnat för att tillgodose de enskildas rätt i dessa frågor. Beträffande hand</w:t>
      </w:r>
      <w:r w:rsidRPr="00896D4F">
        <w:softHyphen/>
        <w:t xml:space="preserve">läggningen av L.Z.s ärende kan sägas att det prövats utifrån samma förutsättningar som andra ärendet </w:t>
      </w:r>
      <w:r w:rsidRPr="00896D4F">
        <w:t>och att han, i motsats till vad han själv uppger, fått en andra bedömning efter att han begärt det.</w:t>
      </w:r>
    </w:p>
    <w:p w:rsidR="009C1C5A" w:rsidRPr="00896D4F" w:rsidRDefault="009C1C5A">
      <w:r w:rsidRPr="00896D4F">
        <w:t>L.Z. kommenterade remissvaret.</w:t>
      </w:r>
    </w:p>
    <w:p w:rsidR="009C1C5A" w:rsidRPr="00896D4F" w:rsidRDefault="009C1C5A">
      <w:r w:rsidRPr="00896D4F">
        <w:t xml:space="preserve">I beslut den 31 maj 2002 anförde </w:t>
      </w:r>
      <w:r w:rsidRPr="00896D4F">
        <w:rPr>
          <w:i/>
        </w:rPr>
        <w:t xml:space="preserve">JO André </w:t>
      </w:r>
      <w:r w:rsidRPr="00896D4F">
        <w:t>följande.</w:t>
      </w:r>
    </w:p>
    <w:p w:rsidR="009C1C5A" w:rsidRPr="00896D4F" w:rsidRDefault="009C1C5A">
      <w:pPr>
        <w:pStyle w:val="Rubrik3"/>
      </w:pPr>
      <w:r w:rsidRPr="00896D4F">
        <w:t>Bedömning</w:t>
      </w:r>
    </w:p>
    <w:p w:rsidR="009C1C5A" w:rsidRPr="00896D4F" w:rsidRDefault="009C1C5A">
      <w:r w:rsidRPr="00896D4F">
        <w:t>Den rättsliga regleringen angående förutsättningarna att få tandvård enligt de avgiftsbestämmelser som gäller för öppen hälso- och sjukvård har redovisats i tandvårdsnämndens yttrande till JO. Nämnden har även redogjort för tan</w:t>
      </w:r>
      <w:r w:rsidRPr="00896D4F">
        <w:t>d</w:t>
      </w:r>
      <w:r w:rsidRPr="00896D4F">
        <w:t>vårds</w:t>
      </w:r>
      <w:r w:rsidRPr="00896D4F">
        <w:softHyphen/>
        <w:t>reformens konsekvenser vad gäller rätten att genom s.k. förvaltningsb</w:t>
      </w:r>
      <w:r w:rsidRPr="00896D4F">
        <w:t>e</w:t>
      </w:r>
      <w:r w:rsidRPr="00896D4F">
        <w:t>svär överklaga sådana s.k. förhandsbesked som det här är fråga om. Beträ</w:t>
      </w:r>
      <w:r w:rsidRPr="00896D4F">
        <w:t>f</w:t>
      </w:r>
      <w:r w:rsidRPr="00896D4F">
        <w:t>fande dessa frågor nöjer jag mig med att hänvisa till nämndens framställning.</w:t>
      </w:r>
    </w:p>
    <w:p w:rsidR="009C1C5A" w:rsidRPr="00896D4F" w:rsidRDefault="009C1C5A">
      <w:pPr>
        <w:pStyle w:val="Rubrik4"/>
      </w:pPr>
      <w:r w:rsidRPr="00896D4F">
        <w:t>Möjligheten att överklaga för laglighetsprövning</w:t>
      </w:r>
    </w:p>
    <w:p w:rsidR="009C1C5A" w:rsidRPr="00896D4F" w:rsidRDefault="009C1C5A">
      <w:r w:rsidRPr="00896D4F">
        <w:t>Som framgått saknas rätt för en part att hos högre instans genom s.k. förval</w:t>
      </w:r>
      <w:r w:rsidRPr="00896D4F">
        <w:t>t</w:t>
      </w:r>
      <w:r w:rsidRPr="00896D4F">
        <w:t>nings</w:t>
      </w:r>
      <w:r w:rsidRPr="00896D4F">
        <w:softHyphen/>
        <w:t>besvär föra talan mot ett negativt besked efter en prövning av ett b</w:t>
      </w:r>
      <w:r w:rsidRPr="00896D4F">
        <w:t>e</w:t>
      </w:r>
      <w:r w:rsidRPr="00896D4F">
        <w:t>handlings</w:t>
      </w:r>
      <w:r w:rsidRPr="00896D4F">
        <w:softHyphen/>
        <w:t>förslag enligt 10 § tandvårdsförordningen. Detta innebär att en ful</w:t>
      </w:r>
      <w:r w:rsidRPr="00896D4F">
        <w:t>l</w:t>
      </w:r>
      <w:r w:rsidRPr="00896D4F">
        <w:t>ständig över</w:t>
      </w:r>
      <w:r w:rsidRPr="00896D4F">
        <w:softHyphen/>
        <w:t>prövning av tandvårdsnämndens avgörande inte kan ske. Frågan är då om  prövningen av behandlingsförslaget utmynnar i ett sådant beslut som varje medlem av landstinget kan överklaga enligt bestämmelserna om laglighets</w:t>
      </w:r>
      <w:r w:rsidRPr="00896D4F">
        <w:softHyphen/>
        <w:t>prövning i 10 kap. kommunallagen (1991:900). En grundläggande förutsättning för att denna väg skall stå öppen är att det förelig</w:t>
      </w:r>
      <w:r w:rsidRPr="00896D4F">
        <w:t>ger ett ko</w:t>
      </w:r>
      <w:r w:rsidRPr="00896D4F">
        <w:t>m</w:t>
      </w:r>
      <w:r w:rsidRPr="00896D4F">
        <w:t>munalt beslut. Beslutet skall i föreskriven ordning ha dokumenterats i ett protokoll och justerats.  Möjligheten till lag</w:t>
      </w:r>
      <w:r w:rsidRPr="00896D4F">
        <w:softHyphen/>
        <w:t>lighetsprövning har begränsats genom att talan mot beslut av rent förberedande eller rent verk</w:t>
      </w:r>
      <w:r w:rsidRPr="00896D4F">
        <w:softHyphen/>
        <w:t>ställande art som fattas av en nämnd (eller på nämnds vägnar av en delegat) inte är tillåten (10 kap. 2 § 2 kommunal</w:t>
      </w:r>
      <w:r w:rsidRPr="00896D4F">
        <w:softHyphen/>
        <w:t xml:space="preserve">lagen). </w:t>
      </w:r>
    </w:p>
    <w:p w:rsidR="009C1C5A" w:rsidRPr="00896D4F" w:rsidRDefault="009C1C5A">
      <w:pPr>
        <w:pStyle w:val="Normaltindrag"/>
      </w:pPr>
      <w:r w:rsidRPr="00896D4F">
        <w:t xml:space="preserve">Behandlande tandläkares begäran om </w:t>
      </w:r>
      <w:r w:rsidRPr="00896D4F">
        <w:softHyphen/>
        <w:t>bedömning av behandlingsförslaget synes ske på ett av Region Skåne upprättat formulär. Formuläret innehåller avsnitt om planerad behandling, bedömningstandläkarens utlåtande och b</w:t>
      </w:r>
      <w:r w:rsidRPr="00896D4F">
        <w:t>e</w:t>
      </w:r>
      <w:r w:rsidRPr="00896D4F">
        <w:t>slut. Besluts</w:t>
      </w:r>
      <w:r w:rsidRPr="00896D4F">
        <w:softHyphen/>
        <w:t>avsnittet består av tre rutor, ”Faktura avseende ovan specificerade åtgärder och pris kommer ej att godkännas”, ”Faktura avseende ovan specif</w:t>
      </w:r>
      <w:r w:rsidRPr="00896D4F">
        <w:t>i</w:t>
      </w:r>
      <w:r w:rsidRPr="00896D4F">
        <w:t>cerade åtgärder och pris kommer att godkännas” samt ”Faktura avseende ovan specificerade åtgärder och pris kommer att godkännas med begrän</w:t>
      </w:r>
      <w:r w:rsidRPr="00896D4F">
        <w:t>s</w:t>
      </w:r>
      <w:r w:rsidRPr="00896D4F">
        <w:t>ningar”. I den av Region Skåne upprä</w:t>
      </w:r>
      <w:r w:rsidRPr="00896D4F">
        <w:t>ttade promem</w:t>
      </w:r>
      <w:r w:rsidRPr="00896D4F">
        <w:softHyphen/>
        <w:t>orian anges att det inte är fråga om några formella beslut utan endast besked om under vilka förutsät</w:t>
      </w:r>
      <w:r w:rsidRPr="00896D4F">
        <w:t>t</w:t>
      </w:r>
      <w:r w:rsidRPr="00896D4F">
        <w:t>ningar en faktura kommer att attesteras. Ett sådant besked är enligt promem</w:t>
      </w:r>
      <w:r w:rsidRPr="00896D4F">
        <w:t>o</w:t>
      </w:r>
      <w:r w:rsidRPr="00896D4F">
        <w:t>rian inte att betrakta som ett beslut i kommunallagens mening och går inte att överklaga. Promemorian synes ha upprättats efter det att Landstingsförbu</w:t>
      </w:r>
      <w:r w:rsidRPr="00896D4F">
        <w:t>n</w:t>
      </w:r>
      <w:r w:rsidRPr="00896D4F">
        <w:t>dets inställning i frågan efterhörts.</w:t>
      </w:r>
    </w:p>
    <w:p w:rsidR="009C1C5A" w:rsidRPr="00896D4F" w:rsidRDefault="009C1C5A">
      <w:pPr>
        <w:pStyle w:val="Normaltindrag"/>
      </w:pPr>
      <w:r w:rsidRPr="00896D4F">
        <w:t>Enligt vad som inhämtats av tandvårdsnämnden tar nämnden inte upp e</w:t>
      </w:r>
      <w:r w:rsidRPr="00896D4F">
        <w:t>n</w:t>
      </w:r>
      <w:r w:rsidRPr="00896D4F">
        <w:t>skilda ärenden såvitt här är i fråga, utan de handläggs på tjänstemannanivå. Det är tand</w:t>
      </w:r>
      <w:r w:rsidRPr="00896D4F">
        <w:softHyphen/>
        <w:t>vårdsdirektören som ombesörjer prövningarna. Tandvårdsdirekt</w:t>
      </w:r>
      <w:r w:rsidRPr="00896D4F">
        <w:t>ö</w:t>
      </w:r>
      <w:r w:rsidRPr="00896D4F">
        <w:t>rens beslut har inte upptagits i protokoll vid något nämndssammanträde och inte heller fattats i enlighet med delegation. Konsekvensen av denna han</w:t>
      </w:r>
      <w:r w:rsidRPr="00896D4F">
        <w:t>d</w:t>
      </w:r>
      <w:r w:rsidRPr="00896D4F">
        <w:t>läggning är att det således blir fråga om ett sådant tjänstemannabeslut som inte kan bli föremål för laglig</w:t>
      </w:r>
      <w:r w:rsidRPr="00896D4F">
        <w:softHyphen/>
        <w:t>hets</w:t>
      </w:r>
      <w:r w:rsidRPr="00896D4F">
        <w:softHyphen/>
        <w:t>prövning. Tandvårdsnämnden har i remi</w:t>
      </w:r>
      <w:r w:rsidRPr="00896D4F">
        <w:t>s</w:t>
      </w:r>
      <w:r w:rsidRPr="00896D4F">
        <w:t xml:space="preserve">svaret upplyst att den betraktat förhandsprövningarna som ren </w:t>
      </w:r>
      <w:r w:rsidRPr="00896D4F">
        <w:t xml:space="preserve">verkställighet. </w:t>
      </w:r>
    </w:p>
    <w:p w:rsidR="009C1C5A" w:rsidRPr="00896D4F" w:rsidRDefault="009C1C5A">
      <w:pPr>
        <w:pStyle w:val="Normaltindrag"/>
      </w:pPr>
      <w:r w:rsidRPr="00896D4F">
        <w:t>Att ett ställningstagande enligt 10 § tandvårdsförordningen inte skulle gå att överklaga vare sig genom förvaltningsbesvär eller för laglighetsprövning är i och för sig i linje med vad som i övrigt gäller på hälso- och sjukvårdens område. Det torde emellertid stå klart att genom den behandlande tandläk</w:t>
      </w:r>
      <w:r w:rsidRPr="00896D4F">
        <w:t>a</w:t>
      </w:r>
      <w:r w:rsidRPr="00896D4F">
        <w:t>rens begäran om en prövning av ett behandlings</w:t>
      </w:r>
      <w:r w:rsidRPr="00896D4F">
        <w:softHyphen/>
        <w:t>förslag uppkommer ett ärende hos nämnden, något som också direkt framgår av 11 § tandvårdsförordningen. Det är också utan tvekan så att tandvårdsdirektörens ställningstagande – efter eventuell begäran om kom</w:t>
      </w:r>
      <w:r w:rsidRPr="00896D4F">
        <w:softHyphen/>
        <w:t xml:space="preserve">plettering eller liknande – är ett beslut enligt vilket ärendet avgörs och avslutas hos nämnden. </w:t>
      </w:r>
    </w:p>
    <w:p w:rsidR="009C1C5A" w:rsidRPr="00896D4F" w:rsidRDefault="009C1C5A">
      <w:pPr>
        <w:pStyle w:val="Normaltindrag"/>
      </w:pPr>
      <w:r w:rsidRPr="00896D4F">
        <w:t>Av remissvaret framgår att tandvårdsdirektören vid sin prövning biträds av en bedömningstandläkare. Därutöver finns sakkunnig expertis att tillgå om bedöm</w:t>
      </w:r>
      <w:r w:rsidRPr="00896D4F">
        <w:softHyphen/>
        <w:t>ningarna skulle kräva ytterligare sakkunskap. Detta innebär att prö</w:t>
      </w:r>
      <w:r w:rsidRPr="00896D4F">
        <w:t>v</w:t>
      </w:r>
      <w:r w:rsidRPr="00896D4F">
        <w:t>ningen innefattar ett sådant tydligt inslag av självständigt ställningstagande att den i princip inte kan anses vara av rent verkställande art.</w:t>
      </w:r>
    </w:p>
    <w:p w:rsidR="009C1C5A" w:rsidRPr="00896D4F" w:rsidRDefault="009C1C5A">
      <w:pPr>
        <w:pStyle w:val="Normaltindrag"/>
      </w:pPr>
      <w:r w:rsidRPr="00896D4F">
        <w:t xml:space="preserve">Det är mot den bakgrunden mycket som talar för att landstingen, i enlighet med kommunallagens bestämmelser, har att meddela formliga beslut efter prövningar av behandlingsförslag. </w:t>
      </w:r>
    </w:p>
    <w:p w:rsidR="009C1C5A" w:rsidRPr="00896D4F" w:rsidRDefault="009C1C5A">
      <w:pPr>
        <w:pStyle w:val="Normaltindrag"/>
      </w:pPr>
      <w:r w:rsidRPr="00896D4F">
        <w:t>Huruvida ett sådant beslut kan överklagas för laglighetsprövning är ytterst en fråga för domstol att pröva. Jag kan bara konstatera att den laglighetsprö</w:t>
      </w:r>
      <w:r w:rsidRPr="00896D4F">
        <w:t>v</w:t>
      </w:r>
      <w:r w:rsidRPr="00896D4F">
        <w:t>ning av beslut som kan ske enligt 10 kap. kom</w:t>
      </w:r>
      <w:r w:rsidRPr="00896D4F">
        <w:softHyphen/>
        <w:t>munallagen endast kan leda till att beslutet i fråga upphävs. Jag delar därmed tandvårdsnämndens uppfattning att laglighets</w:t>
      </w:r>
      <w:r w:rsidRPr="00896D4F">
        <w:softHyphen/>
        <w:t xml:space="preserve">prövning i den här typen av individanknutna ärenden framstår som mindre ändamålsenlig. </w:t>
      </w:r>
    </w:p>
    <w:p w:rsidR="009C1C5A" w:rsidRPr="00896D4F" w:rsidRDefault="009C1C5A">
      <w:pPr>
        <w:pStyle w:val="Normaltindrag"/>
      </w:pPr>
      <w:r w:rsidRPr="00896D4F">
        <w:t>Jag kan sammanfattningsvis konstatera att det måste anses råda oklarhet om hur prövningarna enligt 10 § tandvårdsförordningen skall behandlas i formellt hänseende. Jag finner därför inte anledning att rikta någon kritik mot Tandvårds</w:t>
      </w:r>
      <w:r w:rsidRPr="00896D4F">
        <w:softHyphen/>
        <w:t>nämnden, Region Skåne, för det sätt på vilket nämnden har valt att ti</w:t>
      </w:r>
      <w:r w:rsidRPr="00896D4F">
        <w:t>l</w:t>
      </w:r>
      <w:r w:rsidRPr="00896D4F">
        <w:t xml:space="preserve">lämpa de i ärendet aktuella bestämmelserna.  </w:t>
      </w:r>
    </w:p>
    <w:p w:rsidR="009C1C5A" w:rsidRPr="00896D4F" w:rsidRDefault="009C1C5A">
      <w:pPr>
        <w:pStyle w:val="Normaltindrag"/>
      </w:pPr>
      <w:r w:rsidRPr="00896D4F">
        <w:t>Jag vill i denna del avslutningsvis nämna att Socialstyrelsen på uppdrag av regeringen gjort en uppföljning av landstingens tandvård enligt tandvårdslag och tandvårds</w:t>
      </w:r>
      <w:r w:rsidRPr="00896D4F">
        <w:softHyphen/>
        <w:t>förordning. Uppföljningen publicerades i en rapport i oktober 2001 (”Uppföljning av landstingens tandvård enligt tandvårdslag och tan</w:t>
      </w:r>
      <w:r w:rsidRPr="00896D4F">
        <w:t>d</w:t>
      </w:r>
      <w:r w:rsidRPr="00896D4F">
        <w:t>vårds</w:t>
      </w:r>
      <w:r w:rsidRPr="00896D4F">
        <w:softHyphen/>
        <w:t>förordning”). Reger</w:t>
      </w:r>
      <w:r w:rsidRPr="00896D4F">
        <w:softHyphen/>
        <w:t>ingen tillkallade under år 2000 en särskild utredare med uppdrag att göra en samlad utvärdering av det reformerade tandvårdsst</w:t>
      </w:r>
      <w:r w:rsidRPr="00896D4F">
        <w:t>ö</w:t>
      </w:r>
      <w:r w:rsidRPr="00896D4F">
        <w:t>det och vid behov föreslå förändringar (Dir. 2000:65). Av direktiven framgår att utredaren skall se över bl.a. bestämmelserna om tandvård som ett led i en sjukdoms</w:t>
      </w:r>
      <w:r w:rsidRPr="00896D4F">
        <w:softHyphen/>
        <w:t>behandling och hur de tillämpas samt vid behov föreslå förän</w:t>
      </w:r>
      <w:r w:rsidRPr="00896D4F">
        <w:t>drin</w:t>
      </w:r>
      <w:r w:rsidRPr="00896D4F">
        <w:t>g</w:t>
      </w:r>
      <w:r w:rsidRPr="00896D4F">
        <w:t>ar. Utredningen beräknas avsluta sitt arbete den 15 juni 2002. Jag finner skäl att sända en kopia av detta beslut till Socialdepartementet för kännedom.</w:t>
      </w:r>
    </w:p>
    <w:p w:rsidR="009C1C5A" w:rsidRPr="00896D4F" w:rsidRDefault="009C1C5A">
      <w:pPr>
        <w:pStyle w:val="Rubrik4"/>
      </w:pPr>
      <w:r w:rsidRPr="00896D4F">
        <w:t>Omprövning av förhandsbedömningen</w:t>
      </w:r>
    </w:p>
    <w:p w:rsidR="009C1C5A" w:rsidRPr="00896D4F" w:rsidRDefault="009C1C5A">
      <w:r w:rsidRPr="00896D4F">
        <w:t>L.Z. har gjort gällande att nämnden inte omprövar sina beslut enligt de rutiner som nämnden själv fastställt. Han har i denna del särskilt hänvisat till en skr</w:t>
      </w:r>
      <w:r w:rsidRPr="00896D4F">
        <w:t>i</w:t>
      </w:r>
      <w:r w:rsidRPr="00896D4F">
        <w:t>velse av tandvårdsnämndens ordförande den 20 augusti 1998 i vilken tand</w:t>
      </w:r>
      <w:r w:rsidRPr="00896D4F">
        <w:softHyphen/>
        <w:t>vårdsnämnden föreslås besluta att en eventuell omprövning av behandlings</w:t>
      </w:r>
      <w:r w:rsidRPr="00896D4F">
        <w:softHyphen/>
        <w:t>förslag skall ske i en utökad krets av tjänstemän kring tandvårdsdirektören. Tandvårds</w:t>
      </w:r>
      <w:r w:rsidRPr="00896D4F">
        <w:softHyphen/>
        <w:t>nämnden beslutade enligt protokollsutdrag den 3 september 1999 i enlighet med förslaget.</w:t>
      </w:r>
    </w:p>
    <w:p w:rsidR="009C1C5A" w:rsidRPr="00896D4F" w:rsidRDefault="009C1C5A">
      <w:pPr>
        <w:pStyle w:val="Normaltindrag"/>
      </w:pPr>
      <w:r w:rsidRPr="00896D4F">
        <w:t>Tandvårdsnämnden har enligt remissvaret också utarbetat en praxis för han</w:t>
      </w:r>
      <w:r w:rsidRPr="00896D4F">
        <w:softHyphen/>
        <w:t>teringen av de ärenden i vilka sökandena varit missnöjda med beslutet. Samtliga som begär en ny bedömning får enligt nämnden en sådan. Nämnden har angett att L.Z:s tandläkare den 7 mars 2000 lämnats ett skriftligt besked om utgången av ompröv</w:t>
      </w:r>
      <w:r w:rsidRPr="00896D4F">
        <w:softHyphen/>
        <w:t>ningen.</w:t>
      </w:r>
    </w:p>
    <w:p w:rsidR="009C1C5A" w:rsidRPr="00896D4F" w:rsidRDefault="009C1C5A">
      <w:pPr>
        <w:pStyle w:val="Normaltindrag"/>
      </w:pPr>
      <w:r w:rsidRPr="00896D4F">
        <w:t xml:space="preserve">JO:s huvuduppgift är att granska att myndigheter och andra som står under JO:s tillsyn följer lagar och andra författningar i sin verksamhet. Huruvida nämnden i förevarande fall följt sina egna rutiner är således inte en fråga för JO. </w:t>
      </w:r>
    </w:p>
    <w:p w:rsidR="009C1C5A" w:rsidRPr="00896D4F" w:rsidRDefault="009C1C5A">
      <w:pPr>
        <w:pStyle w:val="Normaltindrag"/>
      </w:pPr>
      <w:r w:rsidRPr="00896D4F">
        <w:t>Jag vill i denna del något kommentera den språkliga utformningen av skr</w:t>
      </w:r>
      <w:r w:rsidRPr="00896D4F">
        <w:t>i</w:t>
      </w:r>
      <w:r w:rsidRPr="00896D4F">
        <w:t>ve</w:t>
      </w:r>
      <w:r w:rsidRPr="00896D4F">
        <w:t>l</w:t>
      </w:r>
      <w:r w:rsidRPr="00896D4F">
        <w:t>sen/beslutet den 7 mars 2000.</w:t>
      </w:r>
    </w:p>
    <w:p w:rsidR="009C1C5A" w:rsidRPr="00896D4F" w:rsidRDefault="009C1C5A">
      <w:pPr>
        <w:pStyle w:val="Normaltindrag"/>
      </w:pPr>
      <w:r w:rsidRPr="00896D4F">
        <w:t>I skrivelsen finner tandvårdsdirektören att det insända underlaget är otil</w:t>
      </w:r>
      <w:r w:rsidRPr="00896D4F">
        <w:t>l</w:t>
      </w:r>
      <w:r w:rsidRPr="00896D4F">
        <w:t>räckligt för en bedömning. Detta uttryckssätt ger anled</w:t>
      </w:r>
      <w:r w:rsidRPr="00896D4F">
        <w:softHyphen/>
        <w:t>ning till vissa fråg</w:t>
      </w:r>
      <w:r w:rsidRPr="00896D4F">
        <w:t>e</w:t>
      </w:r>
      <w:r w:rsidRPr="00896D4F">
        <w:t>tecken, nämligen om nämnden därmed ansåg att L.Z:s ärende var avslutat eller om det var fråga om en begäran/upplysning om att komplettering måste ske innan en omprövning över huvud taget kunde göras. Jag vill därför fra</w:t>
      </w:r>
      <w:r w:rsidRPr="00896D4F">
        <w:t>m</w:t>
      </w:r>
      <w:r w:rsidRPr="00896D4F">
        <w:t>hålla att det är väsentligt att en myndighet i möjligaste mån uttrycker sig på ett sätt som inte ger utrymme för miss</w:t>
      </w:r>
      <w:r w:rsidRPr="00896D4F">
        <w:softHyphen/>
        <w:t xml:space="preserve">förstånd. </w:t>
      </w:r>
    </w:p>
    <w:p w:rsidR="009C1C5A" w:rsidRPr="00896D4F" w:rsidRDefault="009C1C5A">
      <w:pPr>
        <w:pStyle w:val="Rubrik4"/>
      </w:pPr>
      <w:r w:rsidRPr="00896D4F">
        <w:t xml:space="preserve">Handläggningen av framställningen om utlämnande av handlingar </w:t>
      </w:r>
    </w:p>
    <w:p w:rsidR="009C1C5A" w:rsidRPr="00896D4F" w:rsidRDefault="009C1C5A">
      <w:r w:rsidRPr="00896D4F">
        <w:t>Grundläggande regler om allmänna handlingars offentlighet finns i 2 kap. tryck</w:t>
      </w:r>
      <w:r w:rsidRPr="00896D4F">
        <w:softHyphen/>
        <w:t>frihetsförordningen (TF), vilket även primärt reglerar frågan om utlä</w:t>
      </w:r>
      <w:r w:rsidRPr="00896D4F">
        <w:t>m</w:t>
      </w:r>
      <w:r w:rsidRPr="00896D4F">
        <w:t>nande av allmän handling. En handling är enligt 3 § allmän, om den förvaras hos myndighet och enligt 6 eller 7 § är att anse som inkommen till eller up</w:t>
      </w:r>
      <w:r w:rsidRPr="00896D4F">
        <w:t>p</w:t>
      </w:r>
      <w:r w:rsidRPr="00896D4F">
        <w:t>rättad hos myndighet. Enligt 12 § skall en allmän handling, som får lämnas ut, på begäran ”genast eller så snart det är möjligt” på stället utan avgift tillha</w:t>
      </w:r>
      <w:r w:rsidRPr="00896D4F">
        <w:t>n</w:t>
      </w:r>
      <w:r w:rsidRPr="00896D4F">
        <w:t>dahållas den som önskar ta del av den. Av 13 § framgår vidare att den som önskar ta del av en allmän handling även har rätt att mo</w:t>
      </w:r>
      <w:r w:rsidRPr="00896D4F">
        <w:t>t fastställd avgift få avskrift eller kopia av handlingen till den del den får lämnas ut. En sådan begäran skall behandlas skyndsamt. JO har i ett flertal beslut uttalat att inn</w:t>
      </w:r>
      <w:r w:rsidRPr="00896D4F">
        <w:t>e</w:t>
      </w:r>
      <w:r w:rsidRPr="00896D4F">
        <w:t>börden härav är att besked i en utlämnandefråga normalt bör lämnas redan samma dag som begäran gjorts. Någon eller några dagars fördröjning kan dock godtas om en sådan fördröjning är nödvändig för att myndigheten skall kunna ta ställning till om den efterfrågade handlingen är allmän och offentlig. Härtill kommer att ett visst dröjsm</w:t>
      </w:r>
      <w:r w:rsidRPr="00896D4F">
        <w:t>ål är ofrånkomligt om fram</w:t>
      </w:r>
      <w:r w:rsidRPr="00896D4F">
        <w:softHyphen/>
        <w:t>ställningen avser eller fordrar genomgång av ett omfattande material. Om en framstäl</w:t>
      </w:r>
      <w:r w:rsidRPr="00896D4F">
        <w:t>l</w:t>
      </w:r>
      <w:r w:rsidRPr="00896D4F">
        <w:t>ning om att få ta del av en handling inte kan tillmötesgås fullt ut, skall den som begär handlingen underrättas härom.</w:t>
      </w:r>
    </w:p>
    <w:p w:rsidR="009C1C5A" w:rsidRPr="00896D4F" w:rsidRDefault="009C1C5A">
      <w:pPr>
        <w:pStyle w:val="Normaltindrag"/>
      </w:pPr>
      <w:r w:rsidRPr="00896D4F">
        <w:t xml:space="preserve">L.Z. begärde i en skrivelse som inkom till tandvårdsnämnden den </w:t>
      </w:r>
      <w:r w:rsidRPr="00896D4F">
        <w:br/>
        <w:t>25 oktober 2000 att erhålla kopior av samtliga förhandsbesked som innefatt</w:t>
      </w:r>
      <w:r w:rsidRPr="00896D4F">
        <w:t>a</w:t>
      </w:r>
      <w:r w:rsidRPr="00896D4F">
        <w:t>de avslag under år 2000. Den 27 oktober besvarade tandvårdsdirektören L.Z:s framställan på så sätt att upplysning gavs om att hans begäran omfattade 230 ärenden samt att handlingarna måste avidentifieras på grund av sekretess och att handläggningen därför skulle komma att ta tid. Han ombads kontakta nämndens kansli för det fall han vidhöll sin begäran. L.Z. begärde i ett brev som inkom till nämnden den 2 november 2000 att han skulle</w:t>
      </w:r>
      <w:r w:rsidRPr="00896D4F">
        <w:t xml:space="preserve"> få ta del av handlingarna på plats. I en skrivelse den 7 november 2000 upplyste tan</w:t>
      </w:r>
      <w:r w:rsidRPr="00896D4F">
        <w:t>d</w:t>
      </w:r>
      <w:r w:rsidRPr="00896D4F">
        <w:t>vårds</w:t>
      </w:r>
      <w:r w:rsidRPr="00896D4F">
        <w:softHyphen/>
        <w:t>direktören på nytt om att handlingarna måste avidentifieras och L.Z. ombads därför att kontakta kansliet för överenskommelse om tid och plats för tillhandahållande av handlingarna. L.Z. framförde i en skrivelse som inkom till nämnden den 13 november 2000 att han önskade att all kommunikation skulle ske skriftligt och att han därför avvaktade skriftligt besked om när handlingarna var till</w:t>
      </w:r>
      <w:r w:rsidRPr="00896D4F">
        <w:softHyphen/>
        <w:t xml:space="preserve">gängliga.   </w:t>
      </w:r>
    </w:p>
    <w:p w:rsidR="009C1C5A" w:rsidRPr="00896D4F" w:rsidRDefault="009C1C5A">
      <w:pPr>
        <w:pStyle w:val="Normaltindrag"/>
      </w:pPr>
      <w:r w:rsidRPr="00896D4F">
        <w:t>Enligt remissvare</w:t>
      </w:r>
      <w:r w:rsidRPr="00896D4F">
        <w:t xml:space="preserve">t gavs L.Z. i skrivelse den 5 december 2000 erbjudande om att komma till nämndens kansli. </w:t>
      </w:r>
    </w:p>
    <w:p w:rsidR="009C1C5A" w:rsidRPr="00896D4F" w:rsidRDefault="009C1C5A">
      <w:pPr>
        <w:pStyle w:val="Normaltindrag"/>
      </w:pPr>
      <w:r w:rsidRPr="00896D4F">
        <w:t>Även med beaktande av att handläggningen av L.Z:s framställning var a</w:t>
      </w:r>
      <w:r w:rsidRPr="00896D4F">
        <w:t>r</w:t>
      </w:r>
      <w:r w:rsidRPr="00896D4F">
        <w:t>betskrävande, framstår den tid som förflöt från det att framställningen gjordes till det att handlingarna tillhandahölls som alltför lång. Med det påpekandet lä</w:t>
      </w:r>
      <w:r w:rsidRPr="00896D4F">
        <w:t>m</w:t>
      </w:r>
      <w:r w:rsidRPr="00896D4F">
        <w:t>nar jag frågan.</w:t>
      </w:r>
    </w:p>
    <w:p w:rsidR="009C1C5A" w:rsidRPr="00896D4F" w:rsidRDefault="009C1C5A">
      <w:pPr>
        <w:pStyle w:val="Rubrik4"/>
      </w:pPr>
      <w:r w:rsidRPr="00896D4F">
        <w:t>Handläggningen av begäran om att nämnden skulle pröva tandvårdsärendet</w:t>
      </w:r>
    </w:p>
    <w:p w:rsidR="009C1C5A" w:rsidRPr="00896D4F" w:rsidRDefault="009C1C5A">
      <w:r w:rsidRPr="00896D4F">
        <w:t>Enligt 4 § förvaltningslagen skall varje myndighet lämna upplysningar, väg</w:t>
      </w:r>
      <w:r w:rsidRPr="00896D4F">
        <w:softHyphen/>
        <w:t>ledning, råd och annan sådan hjälp till enskilda i frågor som rör myndighetens verksamhetsområde. Frågor från enskilda skall besvaras så snart som möjligt. Det är myndigheten, inte den enskilde befattningshavaren, som enligt den nämnda bestämmelsen åläggs skyldighet att ge den enskilde service. Servic</w:t>
      </w:r>
      <w:r w:rsidRPr="00896D4F">
        <w:t>e</w:t>
      </w:r>
      <w:r w:rsidRPr="00896D4F">
        <w:t>skyldigheten är inte obegränsad. Myndigheten avgör själv i vilken utsträc</w:t>
      </w:r>
      <w:r w:rsidRPr="00896D4F">
        <w:t>k</w:t>
      </w:r>
      <w:r w:rsidRPr="00896D4F">
        <w:t xml:space="preserve">ning som hjälp skall lämnas och på vilket sätt svar på frågor skall ges. Någon form av svar bör dock normalt utgå och svaret får inte </w:t>
      </w:r>
      <w:r w:rsidRPr="00896D4F">
        <w:t>dröja längre än nö</w:t>
      </w:r>
      <w:r w:rsidRPr="00896D4F">
        <w:t>d</w:t>
      </w:r>
      <w:r w:rsidRPr="00896D4F">
        <w:t>vändigt.</w:t>
      </w:r>
    </w:p>
    <w:p w:rsidR="009C1C5A" w:rsidRPr="00896D4F" w:rsidRDefault="009C1C5A">
      <w:pPr>
        <w:pStyle w:val="Normaltindrag"/>
      </w:pPr>
      <w:r w:rsidRPr="00896D4F">
        <w:t>Av utredningen här framgår att L.Z. i en skrivelse som inkom till nämnden den 16 oktober 2000 begärde bl.a. att hans ärende skulle prövas av nämnden. Den 18 oktober besvarades hans skrivelse av tandvårdsdirektören. Det saknas således anledning att rikta någon kritik mot handläggningen i denna del.</w:t>
      </w:r>
    </w:p>
    <w:p w:rsidR="009C1C5A" w:rsidRPr="00896D4F" w:rsidRDefault="009C1C5A">
      <w:pPr>
        <w:pStyle w:val="Rubrik4"/>
      </w:pPr>
      <w:r w:rsidRPr="00896D4F">
        <w:t>Övriga frågor</w:t>
      </w:r>
    </w:p>
    <w:p w:rsidR="009C1C5A" w:rsidRPr="00896D4F" w:rsidRDefault="009C1C5A">
      <w:r w:rsidRPr="00896D4F">
        <w:t>Vad L.Z. i övrigt har anfört föranleder inte någon åtgärd eller något uttalande av mig.</w:t>
      </w:r>
    </w:p>
    <w:p w:rsidR="009C1C5A" w:rsidRPr="00896D4F" w:rsidRDefault="009C1C5A">
      <w:r w:rsidRPr="00896D4F">
        <w:t>Ärendet avslutas.</w:t>
      </w:r>
    </w:p>
    <w:p w:rsidR="009C1C5A" w:rsidRPr="00896D4F" w:rsidRDefault="009C1C5A">
      <w:pPr>
        <w:pStyle w:val="Rubrik2"/>
      </w:pPr>
      <w:r w:rsidRPr="00896D4F">
        <w:br w:type="page"/>
        <w:t>Fråga om förutsättningarna för enhet inom hälso- och sjukvården att kvarhålla en patient som är föremål för vård enligt lagen (1988:870) om vård av missbrukare i vissa fall, LVM</w:t>
      </w:r>
    </w:p>
    <w:p w:rsidR="009C1C5A" w:rsidRPr="00896D4F" w:rsidRDefault="009C1C5A">
      <w:pPr>
        <w:spacing w:before="0"/>
      </w:pPr>
      <w:r w:rsidRPr="00896D4F">
        <w:t>(Dnr 4453-2000)</w:t>
      </w:r>
    </w:p>
    <w:p w:rsidR="009C1C5A" w:rsidRPr="00896D4F" w:rsidRDefault="009C1C5A">
      <w:pPr>
        <w:pStyle w:val="Rubrik3"/>
      </w:pPr>
      <w:r w:rsidRPr="00896D4F">
        <w:t>Bakgrund</w:t>
      </w:r>
    </w:p>
    <w:p w:rsidR="009C1C5A" w:rsidRPr="00896D4F" w:rsidRDefault="009C1C5A">
      <w:r w:rsidRPr="00896D4F">
        <w:t>Den 14 december 2000 omhändertogs F.J. enligt 13 § LVM. Hand</w:t>
      </w:r>
      <w:r w:rsidRPr="00896D4F">
        <w:softHyphen/>
        <w:t>läggaren vid Katarina-Sofia stadsdels</w:t>
      </w:r>
      <w:r w:rsidRPr="00896D4F">
        <w:softHyphen/>
        <w:t>förvaltning i Stockholms kommun, Dennis Han</w:t>
      </w:r>
      <w:r w:rsidRPr="00896D4F">
        <w:t>s</w:t>
      </w:r>
      <w:r w:rsidRPr="00896D4F">
        <w:t>son, begärde den 15 december 2000 att Polismyndigheten i Stockholm skulle föra F.J. till Östfora behandlings</w:t>
      </w:r>
      <w:r w:rsidRPr="00896D4F">
        <w:softHyphen/>
        <w:t>hem efter avgiftning på akuten vid Mariap</w:t>
      </w:r>
      <w:r w:rsidRPr="00896D4F">
        <w:t>o</w:t>
      </w:r>
      <w:r w:rsidRPr="00896D4F">
        <w:t>likliniken. Den 20 de</w:t>
      </w:r>
      <w:r w:rsidRPr="00896D4F">
        <w:softHyphen/>
        <w:t>cember 2000 fördes F.J. till kliniken genom polisens försorg. Senare samma dag upplystes Dennis Hansson om att undersökande läkare låtit F.J. lämna enheten eftersom han motsatte sig vård.</w:t>
      </w:r>
    </w:p>
    <w:p w:rsidR="009C1C5A" w:rsidRPr="00896D4F" w:rsidRDefault="009C1C5A">
      <w:pPr>
        <w:pStyle w:val="Rubrik3"/>
      </w:pPr>
      <w:r w:rsidRPr="00896D4F">
        <w:t>Anmälan</w:t>
      </w:r>
    </w:p>
    <w:p w:rsidR="009C1C5A" w:rsidRPr="00896D4F" w:rsidRDefault="009C1C5A">
      <w:r w:rsidRPr="00896D4F">
        <w:t>Dennis Hansson framförde i en anmälan till JO klagomål mot Mariapoliklin</w:t>
      </w:r>
      <w:r w:rsidRPr="00896D4F">
        <w:t>i</w:t>
      </w:r>
      <w:r w:rsidRPr="00896D4F">
        <w:t>ken (numera Mariaenheten) vid Stockholms läns landsting. Han klagade på att läkare vid akutmottagningen under</w:t>
      </w:r>
      <w:r w:rsidRPr="00896D4F">
        <w:softHyphen/>
        <w:t>låtit att kvarhålla F.J. vid vårdenheten under den tid som behövts för att säker</w:t>
      </w:r>
      <w:r w:rsidRPr="00896D4F">
        <w:softHyphen/>
        <w:t>ställa att han kunde föras över till Ös</w:t>
      </w:r>
      <w:r w:rsidRPr="00896D4F">
        <w:t>t</w:t>
      </w:r>
      <w:r w:rsidRPr="00896D4F">
        <w:t>fora behandlings</w:t>
      </w:r>
      <w:r w:rsidRPr="00896D4F">
        <w:softHyphen/>
        <w:t>hem.</w:t>
      </w:r>
    </w:p>
    <w:p w:rsidR="009C1C5A" w:rsidRPr="00896D4F" w:rsidRDefault="009C1C5A">
      <w:pPr>
        <w:pStyle w:val="Rubrik3"/>
      </w:pPr>
      <w:r w:rsidRPr="00896D4F">
        <w:t>Utredning</w:t>
      </w:r>
    </w:p>
    <w:p w:rsidR="009C1C5A" w:rsidRPr="00896D4F" w:rsidRDefault="009C1C5A">
      <w:r w:rsidRPr="00896D4F">
        <w:t>Anmälan remitterades till Produktionsstyrelsen vid Stockholms läns landsting för utredning och yttrande. Produktionsstyrelsens stab har överlämnat ett yttrande av verksamhetschefen Markus Heilig och sektionschefen Annette Voltaire Carlsson. I remissvaret framförs bl.a. följande.</w:t>
      </w:r>
    </w:p>
    <w:p w:rsidR="009C1C5A" w:rsidRPr="00896D4F" w:rsidRDefault="009C1C5A">
      <w:pPr>
        <w:pStyle w:val="Rubrik4"/>
        <w:spacing w:before="125"/>
        <w:rPr>
          <w:i w:val="0"/>
        </w:rPr>
      </w:pPr>
      <w:r w:rsidRPr="00896D4F">
        <w:rPr>
          <w:i w:val="0"/>
        </w:rPr>
        <w:t>– – –</w:t>
      </w:r>
    </w:p>
    <w:p w:rsidR="009C1C5A" w:rsidRPr="00896D4F" w:rsidRDefault="009C1C5A">
      <w:pPr>
        <w:pStyle w:val="Rubrik4"/>
        <w:spacing w:before="125"/>
        <w:rPr>
          <w:sz w:val="20"/>
        </w:rPr>
      </w:pPr>
      <w:r w:rsidRPr="00896D4F">
        <w:rPr>
          <w:sz w:val="20"/>
        </w:rPr>
        <w:t>Det aktuella förloppet</w:t>
      </w:r>
    </w:p>
    <w:p w:rsidR="009C1C5A" w:rsidRPr="00896D4F" w:rsidRDefault="009C1C5A">
      <w:pPr>
        <w:pStyle w:val="Citat"/>
      </w:pPr>
      <w:r w:rsidRPr="00896D4F">
        <w:t>001122 gjordes ånyo en LVM-anmälan avseende J. av doktor Rolf Byström, Åsö Vårdcentral. Vid hembesök av socialtjänstens LVM-handläggare samma dag uppgav J. att han ämnade uppsöka Maria påfö</w:t>
      </w:r>
      <w:r w:rsidRPr="00896D4F">
        <w:t>l</w:t>
      </w:r>
      <w:r w:rsidRPr="00896D4F">
        <w:t>jande dag för en LVM-undersökning. Detta skedde dock ej. 001123 utfärdades därför polishandräc</w:t>
      </w:r>
      <w:r w:rsidRPr="00896D4F">
        <w:t>k</w:t>
      </w:r>
      <w:r w:rsidRPr="00896D4F">
        <w:t>ningsbegäran för att föra pat till läkaru</w:t>
      </w:r>
      <w:r w:rsidRPr="00896D4F">
        <w:t>n</w:t>
      </w:r>
      <w:r w:rsidRPr="00896D4F">
        <w:t>dersökning på Maria.</w:t>
      </w:r>
    </w:p>
    <w:p w:rsidR="009C1C5A" w:rsidRPr="00896D4F" w:rsidRDefault="009C1C5A">
      <w:pPr>
        <w:pStyle w:val="Citatindrag"/>
      </w:pPr>
      <w:r w:rsidRPr="00896D4F">
        <w:t>001213 inkom J. med polis för LVM-undersökning. Provsvar förelåg r</w:t>
      </w:r>
      <w:r w:rsidRPr="00896D4F">
        <w:t>e</w:t>
      </w:r>
      <w:r w:rsidRPr="00896D4F">
        <w:t>dan, och visade liksom tidigare TPK 7 och tydliga tecken på allvarlig leve</w:t>
      </w:r>
      <w:r w:rsidRPr="00896D4F">
        <w:t>r</w:t>
      </w:r>
      <w:r w:rsidRPr="00896D4F">
        <w:t>sjukdom. Således fanns starkt medicinskt stöd för behovet av vård enl. LVM. Detta dokumenterades och meddelades socialtjänsten i ett utförligt läkarintyg, som redan samma dag utfärdades av jourhavande läkare på Maria. Samtidigt erbjöds J. inläggning, men vägrade detta. I detta läge förelåg inte någon laglig grund att vårda patienten utan hans samtycke. P.g.a. det allvarliga somatiska tillståndet skrev däremot ansvarig överläkare til</w:t>
      </w:r>
      <w:r w:rsidRPr="00896D4F">
        <w:t>l socialtjänstens handläggare att behov även förelåg av omedelbart omhändertagande enl. 13 § LVM.</w:t>
      </w:r>
    </w:p>
    <w:p w:rsidR="009C1C5A" w:rsidRPr="00896D4F" w:rsidRDefault="009C1C5A">
      <w:pPr>
        <w:pStyle w:val="Citatindrag"/>
      </w:pPr>
      <w:r w:rsidRPr="00896D4F">
        <w:t>001214 fattades 13 § beslut av socialnämnden. J. skulle efter avgiftning f</w:t>
      </w:r>
      <w:r w:rsidRPr="00896D4F">
        <w:t>ö</w:t>
      </w:r>
      <w:r w:rsidRPr="00896D4F">
        <w:t>ras till Östfora behandlingshem.</w:t>
      </w:r>
    </w:p>
    <w:p w:rsidR="009C1C5A" w:rsidRPr="00896D4F" w:rsidRDefault="009C1C5A">
      <w:pPr>
        <w:pStyle w:val="Citatindrag"/>
      </w:pPr>
      <w:r w:rsidRPr="00896D4F">
        <w:t>001216 fann polis och handläggare J. i hans hem. 001220 infördes J. av polis tillsammans med handläggare till Maria. Inför detta togs ingen kontakt med vår klinik för att förbereda omhänder</w:t>
      </w:r>
      <w:r w:rsidRPr="00896D4F">
        <w:softHyphen/>
        <w:t>tagandet. Således fanns ingen mö</w:t>
      </w:r>
      <w:r w:rsidRPr="00896D4F">
        <w:t>j</w:t>
      </w:r>
      <w:r w:rsidRPr="00896D4F">
        <w:t>lighet att diskutera den situation, inte helt osannolik med hänsyn till beskrivna tidigare erfarenheter med patienten, att denne inte skulle acceptera att vårdas hos oss. Detta borde självklart skett mot bakgrund av erfarenheterna 1998, då J. via häkte fick föras direkt till behandlingshem för LVM-vård, och endast därefter, under bevakning, kunde erhålla den somatiska behandling som även då var hans främsta sju</w:t>
      </w:r>
      <w:r w:rsidRPr="00896D4F">
        <w:t>k</w:t>
      </w:r>
      <w:r w:rsidRPr="00896D4F">
        <w:t>vårdsbehov.</w:t>
      </w:r>
    </w:p>
    <w:p w:rsidR="009C1C5A" w:rsidRPr="00896D4F" w:rsidRDefault="009C1C5A">
      <w:pPr>
        <w:pStyle w:val="Citatindrag"/>
      </w:pPr>
      <w:r w:rsidRPr="00896D4F">
        <w:t>Efter att 001220 ha infört J. till vår klinik kvars</w:t>
      </w:r>
      <w:r w:rsidRPr="00896D4F">
        <w:t>tannade inte medföljande polis och socialtjänsthandläggare. När läkarundersökning genomfördes strax därpå framgick att J., ej helt oväntat, motsatte sig vård på samma sätt som tidigare. Någon indikation för vård enligt LPT förelåg ej då patienten inte hade någon allvarlig psykisk störning, ett grundrekvisit. Både jourhavande läkare och ansvarig överläkare försökte övertala J. att lägga in sig frivilligt. När detta ej var framgångsrikt beslöts att efterfölja J:s absoluta vilja att lämna motta</w:t>
      </w:r>
      <w:r w:rsidRPr="00896D4F">
        <w:t>g</w:t>
      </w:r>
      <w:r w:rsidRPr="00896D4F">
        <w:t>ningen.</w:t>
      </w:r>
    </w:p>
    <w:p w:rsidR="009C1C5A" w:rsidRPr="00896D4F" w:rsidRDefault="009C1C5A">
      <w:pPr>
        <w:pStyle w:val="Rubrik4"/>
        <w:rPr>
          <w:sz w:val="20"/>
        </w:rPr>
      </w:pPr>
      <w:r w:rsidRPr="00896D4F">
        <w:rPr>
          <w:sz w:val="20"/>
        </w:rPr>
        <w:t>Komment</w:t>
      </w:r>
      <w:r w:rsidRPr="00896D4F">
        <w:rPr>
          <w:sz w:val="20"/>
        </w:rPr>
        <w:t>ar</w:t>
      </w:r>
    </w:p>
    <w:p w:rsidR="009C1C5A" w:rsidRPr="00896D4F" w:rsidRDefault="009C1C5A">
      <w:pPr>
        <w:pStyle w:val="Citat"/>
      </w:pPr>
      <w:r w:rsidRPr="00896D4F">
        <w:t>I anmälan hävdas att sjukvården skulle ha brustit genom att inte hålla kvar patienten mot hans vilja, enl. 24 § LVM. Anmälan tycks basera sig på en bristande kännedom om såväl lagstiftning som praxis. 24 § lyder:</w:t>
      </w:r>
    </w:p>
    <w:p w:rsidR="009C1C5A" w:rsidRPr="00896D4F" w:rsidRDefault="009C1C5A">
      <w:pPr>
        <w:rPr>
          <w:sz w:val="20"/>
        </w:rPr>
      </w:pPr>
      <w:r w:rsidRPr="00896D4F">
        <w:rPr>
          <w:sz w:val="20"/>
        </w:rPr>
        <w:t>– – –</w:t>
      </w:r>
    </w:p>
    <w:p w:rsidR="009C1C5A" w:rsidRPr="00896D4F" w:rsidRDefault="009C1C5A">
      <w:pPr>
        <w:pStyle w:val="Citat"/>
      </w:pPr>
      <w:r w:rsidRPr="00896D4F">
        <w:t>Paragrafens första stycke anger att en prövning skall göras om förutsättnin</w:t>
      </w:r>
      <w:r w:rsidRPr="00896D4F">
        <w:t>g</w:t>
      </w:r>
      <w:r w:rsidRPr="00896D4F">
        <w:t>arna för sjukhusvård är uppfyllda. En sådan prövning måste rimligen innefatta en diskussion med den berörda sjukvårdsinrättningen. Ingen sådan diskussion fördes med vår klinik i det aktuella fallet. Häri ligger grundproblemet. Hade en sådan diskussion kommit till stånd hade det nämligen varit uppenbart, på basen av tidigare erfarenheter med patienten, att förutsättningar för vård hos oss knappast var uppfyllda, och endast skulle bli det om behandlingen skedde under bevakning, arrangerad inom ramen för LVM-</w:t>
      </w:r>
      <w:r w:rsidRPr="00896D4F">
        <w:t>vården.</w:t>
      </w:r>
    </w:p>
    <w:p w:rsidR="009C1C5A" w:rsidRPr="00896D4F" w:rsidRDefault="009C1C5A">
      <w:pPr>
        <w:pStyle w:val="Citatindrag"/>
      </w:pPr>
      <w:r w:rsidRPr="00896D4F">
        <w:t>I paragrafens tredje stycke anges vidare att ”verksamhetschefen (</w:t>
      </w:r>
      <w:r w:rsidRPr="00896D4F">
        <w:rPr>
          <w:i/>
        </w:rPr>
        <w:t>normalt dennes delegat, ansvarig överläkare; vår anmärkning</w:t>
      </w:r>
      <w:r w:rsidRPr="00896D4F">
        <w:t>) får besluta att mis</w:t>
      </w:r>
      <w:r w:rsidRPr="00896D4F">
        <w:t>s</w:t>
      </w:r>
      <w:r w:rsidRPr="00896D4F">
        <w:t xml:space="preserve">brukaren skall hindras att lämna sjukhuset ...”. Detta är den s.k. ”retentionsrätten”. Lagstiftarens ordval är i detta sammanhang helt entydigt. ”Får” anger en </w:t>
      </w:r>
      <w:r w:rsidRPr="00896D4F">
        <w:rPr>
          <w:u w:val="single"/>
        </w:rPr>
        <w:t>möjlighet</w:t>
      </w:r>
      <w:r w:rsidRPr="00896D4F">
        <w:t>, men kan aldrig innebära ett tvingande krav på ver</w:t>
      </w:r>
      <w:r w:rsidRPr="00896D4F">
        <w:t>k</w:t>
      </w:r>
      <w:r w:rsidRPr="00896D4F">
        <w:t>samhetschefen eller delegaten att kvarhålla patienten.</w:t>
      </w:r>
    </w:p>
    <w:p w:rsidR="009C1C5A" w:rsidRPr="00896D4F" w:rsidRDefault="009C1C5A">
      <w:pPr>
        <w:pStyle w:val="Citatindrag"/>
      </w:pPr>
      <w:r w:rsidRPr="00896D4F">
        <w:t>I detta sammanhang är gällande praxis av intresse. Svenska Psykiatriska Föreningen har nämligen rekommenderat sina medlemmar att över huvud taget inte utöv</w:t>
      </w:r>
      <w:r w:rsidRPr="00896D4F">
        <w:t>a retentionsrätten. Detta baseras på följande övervägande: H</w:t>
      </w:r>
      <w:r w:rsidRPr="00896D4F">
        <w:t>a</w:t>
      </w:r>
      <w:r w:rsidRPr="00896D4F">
        <w:t>wai-deklarationen tillåter tvång inom psykiatrisk vård endast på basen av psykisk sjukdom. Sådan tvångsvård regleras i Sverige av de psykiatriska tvångsvårdslagarna LPT och LRV. Man anser att utövande av annat tvång inom psykiatrisk vård är etiskt oförsvarbart.</w:t>
      </w:r>
    </w:p>
    <w:p w:rsidR="009C1C5A" w:rsidRPr="00896D4F" w:rsidRDefault="009C1C5A">
      <w:pPr>
        <w:pStyle w:val="Citatindrag"/>
      </w:pPr>
      <w:r w:rsidRPr="00896D4F">
        <w:t>Psykiatriska föreningens ställningstagande kan diskuteras, och vid vår kl</w:t>
      </w:r>
      <w:r w:rsidRPr="00896D4F">
        <w:t>i</w:t>
      </w:r>
      <w:r w:rsidRPr="00896D4F">
        <w:t>nik anser vi att retentionsrätten i enstaka fall etiskt kan försvaras, nämligen om patienten i annat fall riskerar att avlida eller allvarligt skadas. Detta stäl</w:t>
      </w:r>
      <w:r w:rsidRPr="00896D4F">
        <w:t>l</w:t>
      </w:r>
      <w:r w:rsidRPr="00896D4F">
        <w:t>ningstagande är emellertid så grannlaga att det inte kan regleras i kliniköve</w:t>
      </w:r>
      <w:r w:rsidRPr="00896D4F">
        <w:t>r</w:t>
      </w:r>
      <w:r w:rsidRPr="00896D4F">
        <w:t>gripande riktlinjer, utan får bli den enskilda specialistens suveräna beslut. I de fall ställningstagandet blir att patienten inte kvarhålls informeras socialtjän</w:t>
      </w:r>
      <w:r w:rsidRPr="00896D4F">
        <w:t>s</w:t>
      </w:r>
      <w:r w:rsidRPr="00896D4F">
        <w:t>ten och/eller polisen så snart därefter som verksa</w:t>
      </w:r>
      <w:r w:rsidRPr="00896D4F">
        <w:t>m</w:t>
      </w:r>
      <w:r w:rsidRPr="00896D4F">
        <w:t>heten tillåter.</w:t>
      </w:r>
    </w:p>
    <w:p w:rsidR="009C1C5A" w:rsidRPr="00896D4F" w:rsidRDefault="009C1C5A">
      <w:pPr>
        <w:pStyle w:val="Citatindrag"/>
      </w:pPr>
      <w:r w:rsidRPr="00896D4F">
        <w:t>Vi kan därför inte finna att handläggning</w:t>
      </w:r>
      <w:r w:rsidRPr="00896D4F">
        <w:t>en i detta ärende brustit, varken formellt eller medicinskt. Vi vill också påpeka att flera patienter dagligen undersöks på akuten Maria inför beslut om LVM-vård. All personal är info</w:t>
      </w:r>
      <w:r w:rsidRPr="00896D4F">
        <w:t>r</w:t>
      </w:r>
      <w:r w:rsidRPr="00896D4F">
        <w:t>merad om hur handläggning av patienterna skall gå till. Patienterna undersöks av mottagande personal inom 15 minuter och medföljande personal eller andra intervjuas också. Alla läkare ges information rörande LVM-lagstiftning och intygsskrivande i samband med nya</w:t>
      </w:r>
      <w:r w:rsidRPr="00896D4F">
        <w:t>n</w:t>
      </w:r>
      <w:r w:rsidRPr="00896D4F">
        <w:t>ställning.</w:t>
      </w:r>
    </w:p>
    <w:p w:rsidR="009C1C5A" w:rsidRPr="00896D4F" w:rsidRDefault="009C1C5A">
      <w:r w:rsidRPr="00896D4F">
        <w:t>Dennis Hansson kommenterade remissvaret. Han anförde b</w:t>
      </w:r>
      <w:r w:rsidRPr="00896D4F">
        <w:t>l.a. att han hade flera telefonkontakter med Mariaenheten i ärendet före den 20 december 2000, bl.a. den 18 december då en biträdande överläkare lovade att ”sätta upp informa</w:t>
      </w:r>
      <w:r w:rsidRPr="00896D4F">
        <w:softHyphen/>
        <w:t>tion om att F.J. var välkommen närhelst på dygnet med polisen”.</w:t>
      </w:r>
    </w:p>
    <w:p w:rsidR="009C1C5A" w:rsidRPr="00896D4F" w:rsidRDefault="009C1C5A">
      <w:r w:rsidRPr="00896D4F">
        <w:t xml:space="preserve">I beslut den 27 mars 2002 anförde </w:t>
      </w:r>
      <w:r w:rsidRPr="00896D4F">
        <w:rPr>
          <w:i/>
        </w:rPr>
        <w:t>JO André</w:t>
      </w:r>
      <w:r w:rsidRPr="00896D4F">
        <w:t xml:space="preserve"> följande.</w:t>
      </w:r>
    </w:p>
    <w:p w:rsidR="009C1C5A" w:rsidRPr="00896D4F" w:rsidRDefault="009C1C5A">
      <w:pPr>
        <w:pStyle w:val="Rubrik3"/>
      </w:pPr>
      <w:r w:rsidRPr="00896D4F">
        <w:t>Bedömning</w:t>
      </w:r>
    </w:p>
    <w:p w:rsidR="009C1C5A" w:rsidRPr="00896D4F" w:rsidRDefault="009C1C5A">
      <w:r w:rsidRPr="00896D4F">
        <w:t>Enligt 24 § första stycket LVM skall vård enligt LVM inledas på sjukhus, om förutsättningar för sjukhusvård är uppfyllda och det anses lämpligt med hä</w:t>
      </w:r>
      <w:r w:rsidRPr="00896D4F">
        <w:t>n</w:t>
      </w:r>
      <w:r w:rsidRPr="00896D4F">
        <w:t>syn till den planerade vården i övrigt. Enligt bestämmelsens andra stycke skall den som behöver sjukhusvård under vårdtiden beredas tillfälle till sådan vård. Av tredje stycket framgår att verksamhets</w:t>
      </w:r>
      <w:r w:rsidRPr="00896D4F">
        <w:softHyphen/>
        <w:t>chefen för den sjukhusenhet där miss</w:t>
      </w:r>
      <w:r w:rsidRPr="00896D4F">
        <w:softHyphen/>
        <w:t>bruk</w:t>
      </w:r>
      <w:r w:rsidRPr="00896D4F">
        <w:softHyphen/>
        <w:t>aren vårdas skall se till att social</w:t>
      </w:r>
      <w:r w:rsidRPr="00896D4F">
        <w:softHyphen/>
        <w:t>nämnden eller den som förestår vården vid LVM-hemmet genast underrättas, om missbrukaren önskar lämna eller redan har lämnat sjukhuset. Verksamhetschefen får besluta att missbr</w:t>
      </w:r>
      <w:r w:rsidRPr="00896D4F">
        <w:t>u</w:t>
      </w:r>
      <w:r w:rsidRPr="00896D4F">
        <w:t xml:space="preserve">karen skall hindras att lämna sjukhuset under den tid </w:t>
      </w:r>
      <w:r w:rsidRPr="00896D4F">
        <w:t>som behövs för att s</w:t>
      </w:r>
      <w:r w:rsidRPr="00896D4F">
        <w:t>ä</w:t>
      </w:r>
      <w:r w:rsidRPr="00896D4F">
        <w:t>kerställa att missbrukaren kan föras över till ett LVM-hem.</w:t>
      </w:r>
    </w:p>
    <w:p w:rsidR="009C1C5A" w:rsidRPr="00896D4F" w:rsidRDefault="009C1C5A">
      <w:pPr>
        <w:pStyle w:val="Normaltindrag"/>
      </w:pPr>
      <w:r w:rsidRPr="00896D4F">
        <w:t>I förevarande ärende har Mariaenheten underrättat nämnden om att F.J. lämnat kliniken. De närmare omständigheterna kring underrättelsen – t.ex. om den gjordes ”genast” som föreskrivs i bestämmelsen – framgår inte av utre</w:t>
      </w:r>
      <w:r w:rsidRPr="00896D4F">
        <w:t>d</w:t>
      </w:r>
      <w:r w:rsidRPr="00896D4F">
        <w:t>ningen här. Klagomålen rör emellertid att F.J. tilläts lämna kliniken. Min bedömning tar därför sikte på den frågan. Jag har trots detta funnit skäl att nedan beröra under</w:t>
      </w:r>
      <w:r w:rsidRPr="00896D4F">
        <w:softHyphen/>
        <w:t>rättelse</w:t>
      </w:r>
      <w:r w:rsidRPr="00896D4F">
        <w:softHyphen/>
      </w:r>
      <w:r w:rsidRPr="00896D4F">
        <w:softHyphen/>
        <w:t>skyldigheten mer generellt eftersom denna sky</w:t>
      </w:r>
      <w:r w:rsidRPr="00896D4F">
        <w:t>l</w:t>
      </w:r>
      <w:r w:rsidRPr="00896D4F">
        <w:t>dighet är nära förknippad med rätten att hålla kvar en patient.</w:t>
      </w:r>
    </w:p>
    <w:p w:rsidR="009C1C5A" w:rsidRPr="00896D4F" w:rsidRDefault="009C1C5A">
      <w:r w:rsidRPr="00896D4F">
        <w:t xml:space="preserve">Vad gäller sistnämnda rättighet kan följande anföras. </w:t>
      </w:r>
    </w:p>
    <w:p w:rsidR="009C1C5A" w:rsidRPr="00896D4F" w:rsidRDefault="009C1C5A">
      <w:r w:rsidRPr="00896D4F">
        <w:t>Enligt 2 a § första stycket hälso- och sjukvårdslagen (1982:763) skall hälso- och sjukvården bedrivas så att den uppfyller kraven på en god vård. Detta innebär enligt tredje punkten att den särskilt skall bygga på respekt för pat</w:t>
      </w:r>
      <w:r w:rsidRPr="00896D4F">
        <w:t>i</w:t>
      </w:r>
      <w:r w:rsidRPr="00896D4F">
        <w:t>enternas självbestämmande och integritet. Patienten har i princip en obegrä</w:t>
      </w:r>
      <w:r w:rsidRPr="00896D4F">
        <w:t>n</w:t>
      </w:r>
      <w:r w:rsidRPr="00896D4F">
        <w:t>sad rätt att avstå från behandling och kan därmed kräva att en åtgärd genast avbryts eller aldrig vidtas. Här kan också hänvisas till det förbud mot påtvingat kroppsligt ingrepp som har kommit till uttryck i 2 kap. 6 § rege</w:t>
      </w:r>
      <w:r w:rsidRPr="00896D4F">
        <w:t>r</w:t>
      </w:r>
      <w:r w:rsidRPr="00896D4F">
        <w:t>ingsformen. I annan lagstiftning finns dock bestämmelser som inskränker patientens rätt till själv</w:t>
      </w:r>
      <w:r w:rsidRPr="00896D4F">
        <w:softHyphen/>
        <w:t>bestämmande, däribland kan nämnas smittskyddslagen (1988:1472) och lagen (1991:1128) om psykiatrisk tvångsvård.</w:t>
      </w:r>
    </w:p>
    <w:p w:rsidR="009C1C5A" w:rsidRPr="00896D4F" w:rsidRDefault="009C1C5A">
      <w:pPr>
        <w:pStyle w:val="Normaltindrag"/>
      </w:pPr>
      <w:r w:rsidRPr="00896D4F">
        <w:t>När det gäller kvarhållningsrätten enligt LVM påpekades i förarbetena till lagen  att det inte var fråga om att hålla kvar patienten för behandling utan endast en åtgärd för att trygga att patienten inte avviker från LVM-vården. Bestämmelsen i 24 § tredje stycket LVM anses således inte innebära något avsteg från principen om självbestämmande och frivillighet inom hälso- och sjukvården (prop. 1987/88:147 s. 83 f.). Föredragande statsrådet anförde vidare i denna del bl.a. följande. ”Patientens önskemål om att</w:t>
      </w:r>
      <w:r w:rsidRPr="00896D4F">
        <w:t xml:space="preserve"> få avstå från behandling och vistelse på sjukhus skall alltid uppfyllas. Patienten är eme</w:t>
      </w:r>
      <w:r w:rsidRPr="00896D4F">
        <w:t>l</w:t>
      </w:r>
      <w:r w:rsidRPr="00896D4F">
        <w:t>lertid genom beslutet om LVM-vård redan be</w:t>
      </w:r>
      <w:r w:rsidRPr="00896D4F">
        <w:softHyphen/>
        <w:t>rövad friheten. Det är därför naturligt att han förs över till LVM-hemmet när han avstår från sjukhusb</w:t>
      </w:r>
      <w:r w:rsidRPr="00896D4F">
        <w:t>e</w:t>
      </w:r>
      <w:r w:rsidRPr="00896D4F">
        <w:t>handling. Det är därför också naturligt att han hindras att lämna sjukhuset medan han väntar på transport.”</w:t>
      </w:r>
    </w:p>
    <w:p w:rsidR="009C1C5A" w:rsidRPr="00896D4F" w:rsidRDefault="009C1C5A">
      <w:pPr>
        <w:pStyle w:val="Normaltindrag"/>
      </w:pPr>
      <w:r w:rsidRPr="00896D4F">
        <w:t>Verksamhetschefen har i dessa fall även rätt att begära handräckning av polis för att föra den som skall beredas vård enligt LVM eller som är omede</w:t>
      </w:r>
      <w:r w:rsidRPr="00896D4F">
        <w:t>l</w:t>
      </w:r>
      <w:r w:rsidRPr="00896D4F">
        <w:t>bart omhän</w:t>
      </w:r>
      <w:r w:rsidRPr="00896D4F">
        <w:softHyphen/>
        <w:t>der</w:t>
      </w:r>
      <w:r w:rsidRPr="00896D4F">
        <w:softHyphen/>
      </w:r>
      <w:r w:rsidRPr="00896D4F">
        <w:softHyphen/>
        <w:t>tagen till ett LVM-hem (45 § 3 LVM).</w:t>
      </w:r>
    </w:p>
    <w:p w:rsidR="009C1C5A" w:rsidRPr="00896D4F" w:rsidRDefault="009C1C5A">
      <w:pPr>
        <w:pStyle w:val="Normaltindrag"/>
      </w:pPr>
      <w:r w:rsidRPr="00896D4F">
        <w:t>Jag vill i detta sammanhang framhålla att verksamhetschefen är skyldig att underrätta antingen socialnämnden eller den som förestår LVM-hemmet om missbrukaren önskar lämna eller redan har lämnat sjukhuset. Här föreligger således inte någon möjlighet för verksamhetschefen att underlåta denna å</w:t>
      </w:r>
      <w:r w:rsidRPr="00896D4F">
        <w:t>t</w:t>
      </w:r>
      <w:r w:rsidRPr="00896D4F">
        <w:t>gärd. Däremot får verksamhetschefen själv avgöra huruvida missbrukaren skall hindras lämna sjukhuset eller inte. Jag vill dock betona att det i många fall kan vara av stor betydelse för den enskilde att verksamhetschefen anvä</w:t>
      </w:r>
      <w:r w:rsidRPr="00896D4F">
        <w:t>n</w:t>
      </w:r>
      <w:r w:rsidRPr="00896D4F">
        <w:t>der sig av sin möj</w:t>
      </w:r>
      <w:r w:rsidRPr="00896D4F">
        <w:softHyphen/>
        <w:t>lighet att med stöd av LVM hålla kvar patienten under kort tid för att säkerställa att denne inte avviker från LVM-vården.</w:t>
      </w:r>
    </w:p>
    <w:p w:rsidR="009C1C5A" w:rsidRPr="00896D4F" w:rsidRDefault="009C1C5A">
      <w:pPr>
        <w:pStyle w:val="Normaltindrag"/>
      </w:pPr>
      <w:r w:rsidRPr="00896D4F">
        <w:t>JO har tidigare behandlat frågor om underrättelseskyldigheten och kva</w:t>
      </w:r>
      <w:r w:rsidRPr="00896D4F">
        <w:t>r</w:t>
      </w:r>
      <w:r w:rsidRPr="00896D4F">
        <w:t>hållnings</w:t>
      </w:r>
      <w:r w:rsidRPr="00896D4F">
        <w:softHyphen/>
        <w:t>rätten enligt nu aktuellt lagrum (JO:s ämbetsberättelse 1990/91 s. 218 och 1993/94 s. 298). I sistnämnda beslut aktualiserades frågan hur ”vårdas” i 24 § tredje stycket första meningen skall tolkas. Socialstyrelsen som yttrade sig till JO i det ärendet anförde att en företagen undersökning inte kan anses vara påbörjad vård, då denna endast ligger till grund för läkarens beslut huruvida patienten skall erhålla vård. Socialstyrelsen synes således ha tolkat ordet vårdas så att därmed avses sjukhusvå</w:t>
      </w:r>
      <w:r w:rsidRPr="00896D4F">
        <w:t>rd. JO Norell Söderblom ställde sig tveksam till den tolkningen och ansåg sannolikheten tala för att lagstiftaren avsett den på</w:t>
      </w:r>
      <w:r w:rsidRPr="00896D4F">
        <w:softHyphen/>
        <w:t>gående LVM-vården. Då bestämmelsens utformning lämnade öppet för olika tolkningar ansåg hon sig inte kunna kritisera veder</w:t>
      </w:r>
      <w:r w:rsidRPr="00896D4F">
        <w:softHyphen/>
        <w:t>börande läkare för att han underlåtit att anmäla till socialnämnden att patie</w:t>
      </w:r>
      <w:r w:rsidRPr="00896D4F">
        <w:t>n</w:t>
      </w:r>
      <w:r w:rsidRPr="00896D4F">
        <w:t>ten lämnat sjukhuset.</w:t>
      </w:r>
    </w:p>
    <w:p w:rsidR="009C1C5A" w:rsidRPr="00896D4F" w:rsidRDefault="009C1C5A">
      <w:pPr>
        <w:pStyle w:val="Normaltindrag"/>
      </w:pPr>
      <w:r w:rsidRPr="00896D4F">
        <w:t>Bestämmelsen om verksamhetschefens kvarhållningsrätt förutsätter på mot</w:t>
      </w:r>
      <w:r w:rsidRPr="00896D4F">
        <w:softHyphen/>
        <w:t xml:space="preserve">svarande sätt att patienten vårdas på sjukhuset. </w:t>
      </w:r>
    </w:p>
    <w:p w:rsidR="009C1C5A" w:rsidRPr="00896D4F" w:rsidRDefault="009C1C5A">
      <w:pPr>
        <w:pStyle w:val="Normaltindrag"/>
      </w:pPr>
      <w:r w:rsidRPr="00896D4F">
        <w:t>Jag konstaterar att det saknas anledning att kritisera Mariaenheten för att F.J. inte hindrades att lämna enheten. Någon skyldighet att hålla kvar honom förelåg inte. Mot bakgrund av den ovan redovisade oklarhet</w:t>
      </w:r>
      <w:r w:rsidRPr="00896D4F">
        <w:softHyphen/>
        <w:t>en i lagstiftningen kan därtill ifrågasättas om Mariaenheten över huvud taget hade kunnat kva</w:t>
      </w:r>
      <w:r w:rsidRPr="00896D4F">
        <w:t>r</w:t>
      </w:r>
      <w:r w:rsidRPr="00896D4F">
        <w:t xml:space="preserve">hålla F.J. </w:t>
      </w:r>
    </w:p>
    <w:p w:rsidR="009C1C5A" w:rsidRPr="00896D4F" w:rsidRDefault="009C1C5A">
      <w:pPr>
        <w:pStyle w:val="Normaltindrag"/>
      </w:pPr>
      <w:r w:rsidRPr="00896D4F">
        <w:t>Jag finner i detta ärende inte skäl att själv uttala en uppfattning om hur b</w:t>
      </w:r>
      <w:r w:rsidRPr="00896D4F">
        <w:t>e</w:t>
      </w:r>
      <w:r w:rsidRPr="00896D4F">
        <w:t>stäm</w:t>
      </w:r>
      <w:r w:rsidRPr="00896D4F">
        <w:softHyphen/>
        <w:t>melsen skall tolkas eftersom det inte har någon betydelse för utgången här. Det är dock önskvärt att oklarheten i lagstiftningen undanröjs. Regerin</w:t>
      </w:r>
      <w:r w:rsidRPr="00896D4F">
        <w:t>g</w:t>
      </w:r>
      <w:r w:rsidRPr="00896D4F">
        <w:t>en har den 31 januari 2002 tillkallat en särskild utredare med uppdrag att se över tillämpning</w:t>
      </w:r>
      <w:r w:rsidRPr="00896D4F">
        <w:softHyphen/>
        <w:t>en av LVM (Dir. 2002:10). Jag finner skäl att sända en kopia av detta beslut till Socialdepartementet för kännedom.</w:t>
      </w:r>
    </w:p>
    <w:p w:rsidR="009C1C5A" w:rsidRPr="00896D4F" w:rsidRDefault="009C1C5A">
      <w:r w:rsidRPr="00896D4F">
        <w:t>Ärendet avslutas.</w:t>
      </w:r>
    </w:p>
    <w:p w:rsidR="009C1C5A" w:rsidRPr="00896D4F" w:rsidRDefault="009C1C5A">
      <w:pPr>
        <w:pStyle w:val="Normaltindrag"/>
      </w:pPr>
    </w:p>
    <w:p w:rsidR="009C1C5A" w:rsidRPr="00896D4F" w:rsidRDefault="009C1C5A"/>
    <w:p w:rsidR="009C1C5A" w:rsidRPr="00896D4F" w:rsidRDefault="009C1C5A">
      <w:pPr>
        <w:pStyle w:val="Normaltindrag"/>
      </w:pPr>
    </w:p>
    <w:p w:rsidR="009C1C5A" w:rsidRPr="00896D4F" w:rsidRDefault="009C1C5A">
      <w:r w:rsidRPr="00896D4F">
        <w:br w:type="page"/>
      </w:r>
    </w:p>
    <w:p w:rsidR="009C1C5A" w:rsidRPr="00896D4F" w:rsidRDefault="009C1C5A">
      <w:pPr>
        <w:pStyle w:val="Rubrik1"/>
        <w:spacing w:before="0"/>
      </w:pPr>
      <w:r w:rsidRPr="00896D4F">
        <w:t>Socialförsäkring</w:t>
      </w:r>
    </w:p>
    <w:p w:rsidR="009C1C5A" w:rsidRPr="00896D4F" w:rsidRDefault="009C1C5A">
      <w:pPr>
        <w:pStyle w:val="Rubrik2"/>
        <w:spacing w:before="120"/>
      </w:pPr>
      <w:r w:rsidRPr="00896D4F">
        <w:t>Socialförsäkringsnämnd har beslutat att begränsa tiden för ett anförande av den försäkrades ombud</w:t>
      </w:r>
    </w:p>
    <w:p w:rsidR="009C1C5A" w:rsidRPr="00896D4F" w:rsidRDefault="009C1C5A">
      <w:pPr>
        <w:spacing w:before="0"/>
      </w:pPr>
      <w:r w:rsidRPr="00896D4F">
        <w:t>(Dnr 3301-2000)</w:t>
      </w:r>
    </w:p>
    <w:p w:rsidR="009C1C5A" w:rsidRPr="00896D4F" w:rsidRDefault="009C1C5A">
      <w:r w:rsidRPr="00896D4F">
        <w:t>I en anmälan till JO klagade Bo-Gunnar Hemtke på Stockholms läns allmä</w:t>
      </w:r>
      <w:r w:rsidRPr="00896D4F">
        <w:t>n</w:t>
      </w:r>
      <w:r w:rsidRPr="00896D4F">
        <w:t>na försäkringskassas handläggning av ett livränteärende rörande A.J. Han anförde bl.a. följande. När ärendet skulle prövas begärde A.J. att få närvara vid nämndens sammanträde. Han ville visa sina arbetsredskap och en vide</w:t>
      </w:r>
      <w:r w:rsidRPr="00896D4F">
        <w:t>o</w:t>
      </w:r>
      <w:r w:rsidRPr="00896D4F">
        <w:t>film. Nämndens ordförande inledde dock med att förklara att nämnden inte avsåg att ta del av videofilmen och att A.J. endast hade 10 minuter till sitt förfogande. Bo-Gunnar Hemtke begärde då att detta skulle antecknas i sa</w:t>
      </w:r>
      <w:r w:rsidRPr="00896D4F">
        <w:t>m</w:t>
      </w:r>
      <w:r w:rsidRPr="00896D4F">
        <w:t>manträdesprotokollet. I protokollet finns antecknat att A.J:s red</w:t>
      </w:r>
      <w:r w:rsidRPr="00896D4F">
        <w:t>ogörelse var</w:t>
      </w:r>
      <w:r w:rsidRPr="00896D4F">
        <w:t>a</w:t>
      </w:r>
      <w:r w:rsidRPr="00896D4F">
        <w:t>de i 40 minuter, vilket i och för sig är riktigt.</w:t>
      </w:r>
    </w:p>
    <w:p w:rsidR="009C1C5A" w:rsidRPr="00896D4F" w:rsidRDefault="009C1C5A">
      <w:r w:rsidRPr="00896D4F">
        <w:t>I protokollet från socialförsäkringsnämndens sammanträde och i underrätte</w:t>
      </w:r>
      <w:r w:rsidRPr="00896D4F">
        <w:t>l</w:t>
      </w:r>
      <w:r w:rsidRPr="00896D4F">
        <w:t>sen om nämndens beslut, vilka bifogades anmälan, anges följande.</w:t>
      </w:r>
    </w:p>
    <w:p w:rsidR="009C1C5A" w:rsidRPr="00896D4F" w:rsidRDefault="009C1C5A">
      <w:pPr>
        <w:pStyle w:val="Citat"/>
      </w:pPr>
      <w:r w:rsidRPr="00896D4F">
        <w:t>Ordföranden G.N.  informerade om att den video som inskickats i ärendet ej skulle förevisas nämnden då handläggaren redovisat innehållet i arbetsutre</w:t>
      </w:r>
      <w:r w:rsidRPr="00896D4F">
        <w:t>d</w:t>
      </w:r>
      <w:r w:rsidRPr="00896D4F">
        <w:t>ningen och några nya omständigheter utöver vad som framgår i arbetsutre</w:t>
      </w:r>
      <w:r w:rsidRPr="00896D4F">
        <w:t>d</w:t>
      </w:r>
      <w:r w:rsidRPr="00896D4F">
        <w:t>ning, fotografier och övrigt material ej framkommit.</w:t>
      </w:r>
    </w:p>
    <w:p w:rsidR="009C1C5A" w:rsidRPr="00896D4F" w:rsidRDefault="009C1C5A">
      <w:pPr>
        <w:pStyle w:val="Citatindrag"/>
      </w:pPr>
      <w:r w:rsidRPr="00896D4F">
        <w:t>Därutöver gavs J. och ombudet Bo-Gunnar Hemtke 10 minuter för att r</w:t>
      </w:r>
      <w:r w:rsidRPr="00896D4F">
        <w:t>e</w:t>
      </w:r>
      <w:r w:rsidRPr="00896D4F">
        <w:t xml:space="preserve">dogöra för ytterligare uppgifter rörande ärendet. </w:t>
      </w:r>
      <w:r w:rsidRPr="00896D4F">
        <w:rPr>
          <w:spacing w:val="-4"/>
        </w:rPr>
        <w:t>Redogörelsen tog 40 min</w:t>
      </w:r>
      <w:r w:rsidRPr="00896D4F">
        <w:rPr>
          <w:spacing w:val="-4"/>
        </w:rPr>
        <w:t>u</w:t>
      </w:r>
      <w:r w:rsidRPr="00896D4F">
        <w:rPr>
          <w:spacing w:val="-4"/>
        </w:rPr>
        <w:t>ter</w:t>
      </w:r>
      <w:r w:rsidRPr="00896D4F">
        <w:t>.</w:t>
      </w:r>
    </w:p>
    <w:p w:rsidR="009C1C5A" w:rsidRPr="00896D4F" w:rsidRDefault="009C1C5A">
      <w:r w:rsidRPr="00896D4F">
        <w:t>Försäkringskassan yttrade sig efter remiss. Bo-Gunnar Hemtke kommenter</w:t>
      </w:r>
      <w:r w:rsidRPr="00896D4F">
        <w:t>a</w:t>
      </w:r>
      <w:r w:rsidRPr="00896D4F">
        <w:t>de remissvaret.</w:t>
      </w:r>
    </w:p>
    <w:p w:rsidR="009C1C5A" w:rsidRPr="00896D4F" w:rsidRDefault="009C1C5A">
      <w:r w:rsidRPr="00896D4F">
        <w:t xml:space="preserve">I sitt beslut den 23 augusti 2001 anförde </w:t>
      </w:r>
      <w:r w:rsidRPr="00896D4F">
        <w:rPr>
          <w:i/>
        </w:rPr>
        <w:t xml:space="preserve">JO Pennlöv </w:t>
      </w:r>
      <w:r w:rsidRPr="00896D4F">
        <w:t>i denna fråga följande.</w:t>
      </w:r>
    </w:p>
    <w:p w:rsidR="009C1C5A" w:rsidRPr="00896D4F" w:rsidRDefault="009C1C5A">
      <w:r w:rsidRPr="00896D4F">
        <w:t>A.J. och hans ombud Bo-Gunnar Hemtke begärde att få närvara och framlä</w:t>
      </w:r>
      <w:r w:rsidRPr="00896D4F">
        <w:t>g</w:t>
      </w:r>
      <w:r w:rsidRPr="00896D4F">
        <w:t>ga sina synpunkter när socialförsäkringsnämnden prövade A.J:s rätt till li</w:t>
      </w:r>
      <w:r w:rsidRPr="00896D4F">
        <w:t>v</w:t>
      </w:r>
      <w:r w:rsidRPr="00896D4F">
        <w:t xml:space="preserve">ränta. Nämndens ordförande beslutade då att de skulle få tillfälle till det i tio minuter. Det framgår inte av utredningen anledningen till ordförandens beslut att tidsbegränsa anförandet. Jag anser att det är ytterst olämpligt att på sätt som skedde i förväg begränsa en parts möjlighet att muntligen komplettera sin talan. För det fall nämndens ordförande under partens anförande finner att detta blir onödigt omfattande, t.ex. genom </w:t>
      </w:r>
      <w:r w:rsidRPr="00896D4F">
        <w:t>upprepning av redan föredraget material eller genom utvikningar utan relevans för ärendet, ankommer det på honom att ta ställning till om anförandet skall förkortas eller avbrytas. Parten bör dessförinnan upplysas om att han bör försöka begränsa sitt anförande. Försäkringskassan förtjänar kritik för sin handläggning av ärendet i denna del.</w:t>
      </w:r>
    </w:p>
    <w:p w:rsidR="009C1C5A" w:rsidRPr="00896D4F" w:rsidRDefault="009C1C5A">
      <w:pPr>
        <w:pStyle w:val="Normaltindrag"/>
      </w:pPr>
      <w:r w:rsidRPr="00896D4F">
        <w:t>Vad därefter beträffar hur tidsåtgången redovisades i protokollet och i b</w:t>
      </w:r>
      <w:r w:rsidRPr="00896D4F">
        <w:t>e</w:t>
      </w:r>
      <w:r w:rsidRPr="00896D4F">
        <w:t>slutsunderrättelsen anser jag att det i och för sig hade räckt att ange att A.J. företrädde inför nämnden utan att närmare ange hur lång tid det tog. Eftersom Bo-Gunnar Hemtke inledningsvis hade begärt att tidsåtgången skulle redov</w:t>
      </w:r>
      <w:r w:rsidRPr="00896D4F">
        <w:t>i</w:t>
      </w:r>
      <w:r w:rsidRPr="00896D4F">
        <w:t>sas i protokollet har jag dock förståelse för att försäkringskassan gjorde så och att kassan då också angav den faktiska tid A.J:s och Bo-Gunnar Hemtkes anföranden tog. Jag ställer mig dock tveksam till behovet av att redovisa detta även i beslutsunderrättelsen eftersom uppgifte</w:t>
      </w:r>
      <w:r w:rsidRPr="00896D4F">
        <w:t>n gällde en handläggningsfråga och inte nämndens beslut i sakfrågan.</w:t>
      </w:r>
    </w:p>
    <w:p w:rsidR="009C1C5A" w:rsidRPr="00896D4F" w:rsidRDefault="009C1C5A">
      <w:pPr>
        <w:pStyle w:val="Rubrik2"/>
      </w:pPr>
      <w:r w:rsidRPr="00896D4F">
        <w:t>Brister i socialförsäkringsnämndens protokoll</w:t>
      </w:r>
    </w:p>
    <w:p w:rsidR="009C1C5A" w:rsidRPr="00896D4F" w:rsidRDefault="009C1C5A">
      <w:pPr>
        <w:spacing w:before="0"/>
      </w:pPr>
      <w:r w:rsidRPr="00896D4F">
        <w:t>(Dnr 3972-2000)</w:t>
      </w:r>
    </w:p>
    <w:p w:rsidR="009C1C5A" w:rsidRPr="00896D4F" w:rsidRDefault="009C1C5A">
      <w:r w:rsidRPr="00896D4F">
        <w:t>I en anmälan klagade Margareta Johansson på hur ett beslut av socialförsä</w:t>
      </w:r>
      <w:r w:rsidRPr="00896D4F">
        <w:t>k</w:t>
      </w:r>
      <w:r w:rsidRPr="00896D4F">
        <w:t>ringsnämnden i ett livränteärende avseende D.K. hade protokollförts. I prot</w:t>
      </w:r>
      <w:r w:rsidRPr="00896D4F">
        <w:t>o</w:t>
      </w:r>
      <w:r w:rsidRPr="00896D4F">
        <w:t>koll från den aktuella socialförsäkringsnämndens sammanträde den 17 n</w:t>
      </w:r>
      <w:r w:rsidRPr="00896D4F">
        <w:t>o</w:t>
      </w:r>
      <w:r w:rsidRPr="00896D4F">
        <w:t>vember 1999 hade angetts två beslut; ett avslagsbeslut med motivering samt ett beslut att återremittera ärendet. Av föredragningspromemorian och kas</w:t>
      </w:r>
      <w:r w:rsidRPr="00896D4F">
        <w:t>s</w:t>
      </w:r>
      <w:r w:rsidRPr="00896D4F">
        <w:t>ans journalanteckningar framgår dessutom att socialförsäkringsnämnden hade funnit D.K. berättigad till livränta. I journalanteckningarna hade kassan angett ”Eftersom ett delbeslut ej går att göra – återremitterades ä</w:t>
      </w:r>
      <w:r w:rsidRPr="00896D4F">
        <w:t>rendet för utredning av årsinkomst och ev samordningsprocent ...”.</w:t>
      </w:r>
    </w:p>
    <w:p w:rsidR="009C1C5A" w:rsidRPr="00896D4F" w:rsidRDefault="009C1C5A">
      <w:r w:rsidRPr="00896D4F">
        <w:t>I protokollet från socialförsäkringsnämndens sammanträde den 17 november 1999 angavs bl.a. följande.</w:t>
      </w:r>
    </w:p>
    <w:p w:rsidR="009C1C5A" w:rsidRPr="00896D4F" w:rsidRDefault="009C1C5A">
      <w:pPr>
        <w:pStyle w:val="Citat"/>
      </w:pPr>
      <w:r w:rsidRPr="00896D4F">
        <w:t>K. kan inte få livränta för sin inkomstförlust, trots att olycksfall den 4 dece</w:t>
      </w:r>
      <w:r w:rsidRPr="00896D4F">
        <w:t>m</w:t>
      </w:r>
      <w:r w:rsidRPr="00896D4F">
        <w:t>ber 1992 tidigare godkänts som arbetsskada. Anledningen till beslutet är att de besvär som medfört en inkomstförlust för K., inte har något samband med olycksfallet. (2 kapitlet 2 § och 4 kapitlet 1 § lagen om arbetsskadeförsä</w:t>
      </w:r>
      <w:r w:rsidRPr="00896D4F">
        <w:t>k</w:t>
      </w:r>
      <w:r w:rsidRPr="00896D4F">
        <w:t>ring).</w:t>
      </w:r>
    </w:p>
    <w:p w:rsidR="009C1C5A" w:rsidRPr="00896D4F" w:rsidRDefault="009C1C5A">
      <w:pPr>
        <w:pStyle w:val="Citat"/>
        <w:spacing w:before="0"/>
      </w:pPr>
      <w:r w:rsidRPr="00896D4F">
        <w:t>Återremiss för vidare utredning av årsinkomst.</w:t>
      </w:r>
    </w:p>
    <w:p w:rsidR="009C1C5A" w:rsidRPr="00896D4F" w:rsidRDefault="009C1C5A">
      <w:r w:rsidRPr="00896D4F">
        <w:t>Därefter angavs i protokollet försäkringskassans motivering till avslagsb</w:t>
      </w:r>
      <w:r w:rsidRPr="00896D4F">
        <w:t>e</w:t>
      </w:r>
      <w:r w:rsidRPr="00896D4F">
        <w:t>slutet. I föredragningspromemorian angavs under rubriken Avvike</w:t>
      </w:r>
      <w:r w:rsidRPr="00896D4F">
        <w:t>l</w:t>
      </w:r>
      <w:r w:rsidRPr="00896D4F">
        <w:t>se/komplet</w:t>
      </w:r>
      <w:r w:rsidRPr="00896D4F">
        <w:softHyphen/>
        <w:t>tering av socialförsäkringsnämndens beslut följande överstrukna text.</w:t>
      </w:r>
    </w:p>
    <w:p w:rsidR="009C1C5A" w:rsidRPr="00896D4F" w:rsidRDefault="009C1C5A">
      <w:pPr>
        <w:pStyle w:val="Citat"/>
      </w:pPr>
      <w:r w:rsidRPr="00896D4F">
        <w:t>Socialförsäkringsnämnden hos försäkringskassan beslöt att orsakssamband finns mellan K:s olycksfall den 4 december 1992 och nuvarande besvär. K. beviljades livränta fr.o.m. november 1996 med samordning 15 %. 2 ledamöter begärde avvikande mening.</w:t>
      </w:r>
    </w:p>
    <w:p w:rsidR="009C1C5A" w:rsidRPr="00896D4F" w:rsidRDefault="009C1C5A">
      <w:r w:rsidRPr="00896D4F">
        <w:t>I en journalanteckning den 17 november 1999 angavs fö</w:t>
      </w:r>
      <w:r w:rsidRPr="00896D4F">
        <w:t>l</w:t>
      </w:r>
      <w:r w:rsidRPr="00896D4F">
        <w:t>jande.</w:t>
      </w:r>
    </w:p>
    <w:p w:rsidR="009C1C5A" w:rsidRPr="00896D4F" w:rsidRDefault="009C1C5A">
      <w:pPr>
        <w:pStyle w:val="Citat"/>
      </w:pPr>
      <w:r w:rsidRPr="00896D4F">
        <w:t>Ärendet föredrogs i SFN. Nämnden ville ändra beslutet så att K. skulle få livränta för de besvär hon ådrog sig vid olycksfallet. Nämnden ansåg att en samordningsprocent på 15 %. Eftersom ett delbeslut ej går att göra återremi</w:t>
      </w:r>
      <w:r w:rsidRPr="00896D4F">
        <w:t>t</w:t>
      </w:r>
      <w:r w:rsidRPr="00896D4F">
        <w:t>terades ärendet för utredning av årsinkomsten och ev samordningsprocent. Därefter skall ärendet ånyo föredras i SFN, samma SFN som gjorde återr</w:t>
      </w:r>
      <w:r w:rsidRPr="00896D4F">
        <w:t>e</w:t>
      </w:r>
      <w:r w:rsidRPr="00896D4F">
        <w:t>missen.</w:t>
      </w:r>
    </w:p>
    <w:p w:rsidR="009C1C5A" w:rsidRPr="00896D4F" w:rsidRDefault="009C1C5A">
      <w:pPr>
        <w:rPr>
          <w:sz w:val="20"/>
        </w:rPr>
      </w:pPr>
      <w:r w:rsidRPr="00896D4F">
        <w:t>Hos JO utreddes ärendet på så sätt att försäkringskassans akt begärdes in och granskades. Därefter inhämtades försäkringskassans yttrande. Försäkring</w:t>
      </w:r>
      <w:r w:rsidRPr="00896D4F">
        <w:t>s</w:t>
      </w:r>
      <w:r w:rsidRPr="00896D4F">
        <w:t>kassan anförde genom direktören Henrik Meldahl bl.a. följande.</w:t>
      </w:r>
    </w:p>
    <w:p w:rsidR="009C1C5A" w:rsidRPr="00896D4F" w:rsidRDefault="009C1C5A">
      <w:pPr>
        <w:pStyle w:val="Citat"/>
      </w:pPr>
      <w:r w:rsidRPr="00896D4F">
        <w:t>När en socialförsäkringsnämnd skall fatta beslut i ett ärende skall nämndl</w:t>
      </w:r>
      <w:r w:rsidRPr="00896D4F">
        <w:t>e</w:t>
      </w:r>
      <w:r w:rsidRPr="00896D4F">
        <w:t>damöterna ta ställning till det presenterade beslutsunderlaget, bedöma och väga samman de olika omständigheterna som föreligger i ärendet och fatta beslut i enlighet med de regler och den praxis som gäller. Det är den för</w:t>
      </w:r>
      <w:r w:rsidRPr="00896D4F">
        <w:t>e</w:t>
      </w:r>
      <w:r w:rsidRPr="00896D4F">
        <w:t>dragande tjänstemannens uppgift att vara expert på de materiella och formella regler som gäller och att ge nämnden den information som den behöver i sitt beslutsfattande. Det innebär att om en nämnd anser att beslutsunderlaget behöver kompletteras görs utredningen av tjänsteman. Ärendet å</w:t>
      </w:r>
      <w:r w:rsidRPr="00896D4F">
        <w:t>terremitteras i sin helhet då beslutsunderlaget är ofullständigt.</w:t>
      </w:r>
    </w:p>
    <w:p w:rsidR="009C1C5A" w:rsidRPr="00896D4F" w:rsidRDefault="009C1C5A">
      <w:pPr>
        <w:pStyle w:val="Citatindrag"/>
      </w:pPr>
      <w:r w:rsidRPr="00896D4F">
        <w:t>Innan beslut fattas av nämnden vid ett senare sammanträde redovisas kompletterande uppgifter efter eventuell kommunicering med den försäkrade. RFV:s rekommendationer i allmänna rådet (l982:4) (härmed torde avses al</w:t>
      </w:r>
      <w:r w:rsidRPr="00896D4F">
        <w:t>l</w:t>
      </w:r>
      <w:r w:rsidRPr="00896D4F">
        <w:t>männa rådet 1992:4, JO:s anmärkning) uttalar att de åtgärder som ingår i ett ärende i största möjliga utsträckning vidtas innan ärendet prövas av socialfö</w:t>
      </w:r>
      <w:r w:rsidRPr="00896D4F">
        <w:t>r</w:t>
      </w:r>
      <w:r w:rsidRPr="00896D4F">
        <w:t>säkringsnämnden. Exempel på åtgärder som kan göras innan ärendet prövas i nämnden är t.ex. uträkning av förmånens storlek efter eventuell samordning med andra förmåner. Det är först när bedömningar gjorts av samtliga delar i ett ärende som ett slutligt beslut föreligger. Det är enligt FÖD l983:1 (härmed torde avses FÖD 1993:1, JO:s anmärkning) detta saml</w:t>
      </w:r>
      <w:r w:rsidRPr="00896D4F">
        <w:t>ade ställningstagande som utgör försäkringskassans beslut och det beslut som enligt förvaltningsl</w:t>
      </w:r>
      <w:r w:rsidRPr="00896D4F">
        <w:t>a</w:t>
      </w:r>
      <w:r w:rsidRPr="00896D4F">
        <w:t>gen skall expedieras till den försäkrade.</w:t>
      </w:r>
    </w:p>
    <w:p w:rsidR="009C1C5A" w:rsidRPr="00896D4F" w:rsidRDefault="009C1C5A">
      <w:pPr>
        <w:pStyle w:val="Citatindrag"/>
      </w:pPr>
      <w:r w:rsidRPr="00896D4F">
        <w:t>När en socialförsäkringsnämnd efter föredragning dokumenterar sitt stäl</w:t>
      </w:r>
      <w:r w:rsidRPr="00896D4F">
        <w:t>l</w:t>
      </w:r>
      <w:r w:rsidRPr="00896D4F">
        <w:t>ningstagande i ett protokoll utgör detta protokoll beslutsdokumentet i ärendet (jfr Regeringsrättens dom den 9 november 1999 i mål nr 7670-1995, RÅ 1999 ref 51, och JO:s ämbetsberättelse l997/98 s 390 f). Nämndens beslut skall med andra ord anses ha det innehåll som framgår av protokollet.</w:t>
      </w:r>
    </w:p>
    <w:p w:rsidR="009C1C5A" w:rsidRPr="00896D4F" w:rsidRDefault="009C1C5A">
      <w:pPr>
        <w:pStyle w:val="Citatindrag"/>
      </w:pPr>
      <w:r w:rsidRPr="00896D4F">
        <w:t>På föredragningspromemorian under socialförsäkringsnämndens beslut har antecknats att K. beviljades livränta fr.o.m. november 1996 med 15 % sa</w:t>
      </w:r>
      <w:r w:rsidRPr="00896D4F">
        <w:t>m</w:t>
      </w:r>
      <w:r w:rsidRPr="00896D4F">
        <w:t>ordning och att två ledamöter begärde avvikande mening. Detta har dock strukits över och signerats. På föredragningspromemorian står istället med stor text ”Återremiss för utredning av årsinkomst”. En socialförsäkring</w:t>
      </w:r>
      <w:r w:rsidRPr="00896D4F">
        <w:t>s</w:t>
      </w:r>
      <w:r w:rsidRPr="00896D4F">
        <w:t>nämnd kan fram till protokollet justerats ändra sitt ställning</w:t>
      </w:r>
      <w:r w:rsidRPr="00896D4F">
        <w:t>s</w:t>
      </w:r>
      <w:r w:rsidRPr="00896D4F">
        <w:t>tagande.</w:t>
      </w:r>
    </w:p>
    <w:p w:rsidR="009C1C5A" w:rsidRPr="00896D4F" w:rsidRDefault="009C1C5A">
      <w:pPr>
        <w:pStyle w:val="Citatindrag"/>
      </w:pPr>
      <w:r w:rsidRPr="00896D4F">
        <w:t>Innehållet i det beslut som socialförsäkringsnämnden fattat bestäms av vad som framgår av protokollet den 17 november 1999. Enligt detta protokoll har nämnden beslutat att återremittera ärendet för kompletterande utrednin</w:t>
      </w:r>
      <w:r w:rsidRPr="00896D4F">
        <w:t>g om årsinkomst, vilket även överensstämmer med beslutsmeddelandet som sändes till Margareta Johansson och D.K. den 2 december 1999. Även förslag på beslut utgörande avslag på livränta framgår av protokollet vilket inte borde noterats.</w:t>
      </w:r>
    </w:p>
    <w:p w:rsidR="009C1C5A" w:rsidRPr="00896D4F" w:rsidRDefault="009C1C5A">
      <w:pPr>
        <w:pStyle w:val="Citatindrag"/>
      </w:pPr>
      <w:r w:rsidRPr="00896D4F">
        <w:t>Något beslut om beviljande av förmån föreligger inte.</w:t>
      </w:r>
    </w:p>
    <w:p w:rsidR="009C1C5A" w:rsidRPr="00896D4F" w:rsidRDefault="009C1C5A">
      <w:r w:rsidRPr="00896D4F">
        <w:t xml:space="preserve">I sitt den 21 december 2001 meddelade beslut anförde </w:t>
      </w:r>
      <w:r w:rsidRPr="00896D4F">
        <w:rPr>
          <w:i/>
        </w:rPr>
        <w:t xml:space="preserve">JO Pennlöv </w:t>
      </w:r>
      <w:r w:rsidRPr="00896D4F">
        <w:t>i bedö</w:t>
      </w:r>
      <w:r w:rsidRPr="00896D4F">
        <w:t>m</w:t>
      </w:r>
      <w:r w:rsidRPr="00896D4F">
        <w:t>ningsdelen följande.</w:t>
      </w:r>
    </w:p>
    <w:p w:rsidR="009C1C5A" w:rsidRPr="00896D4F" w:rsidRDefault="009C1C5A">
      <w:r w:rsidRPr="00896D4F">
        <w:t>D.K:s livränteärende föredrogs i socialförsäkringsnämnden den 17 november 1999. I protokollet från sammanträdet anges som nämndens beslut inle</w:t>
      </w:r>
      <w:r w:rsidRPr="00896D4F">
        <w:t>d</w:t>
      </w:r>
      <w:r w:rsidRPr="00896D4F">
        <w:t>ningsvis att D.K. inte kan få livränta för sin inkomstförlust. Därefter anges att ärendet är återremitterat för vidare utredning av årsinkomsten. Protokollet justerades av ordföranden den 23 november 1999. I föredragningspromemor</w:t>
      </w:r>
      <w:r w:rsidRPr="00896D4F">
        <w:t>i</w:t>
      </w:r>
      <w:r w:rsidRPr="00896D4F">
        <w:t>an anges under rubriken Avvikelse från nämndens beslut, men överstruket, att nämnden beslutat att bevilja D.K. arbetsskadelivränta med en samordning</w:t>
      </w:r>
      <w:r w:rsidRPr="00896D4F">
        <w:t>s</w:t>
      </w:r>
      <w:r w:rsidRPr="00896D4F">
        <w:t>procent på 15 %. I försäkringskassans journalanteckningar anges att socialfö</w:t>
      </w:r>
      <w:r w:rsidRPr="00896D4F">
        <w:t>r</w:t>
      </w:r>
      <w:r w:rsidRPr="00896D4F">
        <w:t>säkringsnämnden ville besluta att D.K. skulle få livrän</w:t>
      </w:r>
      <w:r w:rsidRPr="00896D4F">
        <w:t>ta. Eftersom det inte går att fatta ett delbeslut så återremitterades ärendet i stället för inkomstutre</w:t>
      </w:r>
      <w:r w:rsidRPr="00896D4F">
        <w:t>d</w:t>
      </w:r>
      <w:r w:rsidRPr="00896D4F">
        <w:t>ning. Vidare noterades att ärendet därefter skulle tas upp med samma socia</w:t>
      </w:r>
      <w:r w:rsidRPr="00896D4F">
        <w:t>l</w:t>
      </w:r>
      <w:r w:rsidRPr="00896D4F">
        <w:t>försäkringsnämnd som fattat beslutet om återremiss.</w:t>
      </w:r>
    </w:p>
    <w:p w:rsidR="009C1C5A" w:rsidRPr="00896D4F" w:rsidRDefault="009C1C5A">
      <w:pPr>
        <w:pStyle w:val="Normaltindrag"/>
      </w:pPr>
      <w:r w:rsidRPr="00896D4F">
        <w:t>I detta ärende har således fråga uppkommit vad som egentligen har utgjort socialförsäkringsnämndens beslut i ärendet vid sammanträdet den 17 nove</w:t>
      </w:r>
      <w:r w:rsidRPr="00896D4F">
        <w:t>m</w:t>
      </w:r>
      <w:r w:rsidRPr="00896D4F">
        <w:t>ber 1999. Man kan tänka sig tre varianter. Den första varianten är att D.K. inte beviljades livränta. Den andra varianten är att ärendet återemitterades för utredning av årsinkomst och slutligen den sista varianten att D.K. beviljades livränta med en viss samordningsprocent. För att kunna ta ställning till vad som är socialförsäkringsnämndens beslut får man gå till protokollet från nämndens sammanträde.</w:t>
      </w:r>
    </w:p>
    <w:p w:rsidR="009C1C5A" w:rsidRPr="00896D4F" w:rsidRDefault="009C1C5A">
      <w:pPr>
        <w:pStyle w:val="Normaltindrag"/>
      </w:pPr>
      <w:r w:rsidRPr="00896D4F">
        <w:t xml:space="preserve">Socialförsäkringsnämndens protokoll är beslutsdokumentet i ett ärende som har prövats av nämnden (se JO </w:t>
      </w:r>
      <w:r w:rsidRPr="00896D4F">
        <w:t>1997/98 s. 375). Nämndens beslut fra</w:t>
      </w:r>
      <w:r w:rsidRPr="00896D4F">
        <w:t>m</w:t>
      </w:r>
      <w:r w:rsidRPr="00896D4F">
        <w:t>går således av det justerade protokollet och inte av någon annan handling. Efter det att protokollet har justerats kan inte ett för parten gynnande beslut ändras av försäkringskassan annat än med stöd av 20 kap. 10 a § lagen (1962:381) om allmän försäkring. Det är därför utomordentligt viktigt att protokollet på ett korrekt sätt återger vad nämnden har beslutat.</w:t>
      </w:r>
    </w:p>
    <w:p w:rsidR="009C1C5A" w:rsidRPr="00896D4F" w:rsidRDefault="009C1C5A">
      <w:pPr>
        <w:pStyle w:val="Normaltindrag"/>
      </w:pPr>
      <w:r w:rsidRPr="00896D4F">
        <w:t>I detta ärende återger nämndens protokoll två skilda och oförenliga beslut i ärendet. Av försäkringskassans re</w:t>
      </w:r>
      <w:r w:rsidRPr="00896D4F">
        <w:t>missvar framgår att föredragandens förslag till avslagsbeslut uppenbarligen av misstag noterats i det justerade protokollet, vilket – som försäkringskassan har framhållit – inte borde ha skett. Ansvaret för att protokollet på ett korrekt sätt visar vad nämnden beslutat åvilar genom justeringen nämndens ordförande. – Jag anser att det är utomordentligt a</w:t>
      </w:r>
      <w:r w:rsidRPr="00896D4F">
        <w:t>n</w:t>
      </w:r>
      <w:r w:rsidRPr="00896D4F">
        <w:t>märkningsvärt att ett så viktigt dokument som socialförsäkringsnämndens protokoll hanteras på ett så vårdslöst sätt som skett i detta ärende.</w:t>
      </w:r>
    </w:p>
    <w:p w:rsidR="009C1C5A" w:rsidRPr="00896D4F" w:rsidRDefault="009C1C5A">
      <w:pPr>
        <w:pStyle w:val="Normaltindrag"/>
      </w:pPr>
      <w:r w:rsidRPr="00896D4F">
        <w:t>De anteckninga</w:t>
      </w:r>
      <w:r w:rsidRPr="00896D4F">
        <w:t>r i föredragningspromemorian och journalen som utförts efter socialförsäkringsnämndens sammanträde rörande nämndens beslut har fått till följd att det uppstått ytterligare förvirring rörande vad som beslutats vid nämndsammanträdet den 17 november 1999. Utformningen av antec</w:t>
      </w:r>
      <w:r w:rsidRPr="00896D4F">
        <w:t>k</w:t>
      </w:r>
      <w:r w:rsidRPr="00896D4F">
        <w:t>ningarna ger intryck av att nämnden faktiskt fattat ett annat beslut än det som återges i protokollet. Enligt min mening är det olämpligt att i föredragning</w:t>
      </w:r>
      <w:r w:rsidRPr="00896D4F">
        <w:t>s</w:t>
      </w:r>
      <w:r w:rsidRPr="00896D4F">
        <w:t>promemoria eller journalhandlingar nedteckna vad som diskuterats i näm</w:t>
      </w:r>
      <w:r w:rsidRPr="00896D4F">
        <w:t>n</w:t>
      </w:r>
      <w:r w:rsidRPr="00896D4F">
        <w:t xml:space="preserve">den. Den </w:t>
      </w:r>
      <w:r w:rsidRPr="00896D4F">
        <w:t>motivering som kan finnas till nämndens ställningstagande i ett ärende bör i förekommande fall framgå enbart av protokollet.</w:t>
      </w:r>
    </w:p>
    <w:p w:rsidR="009C1C5A" w:rsidRPr="00896D4F" w:rsidRDefault="009C1C5A">
      <w:pPr>
        <w:pStyle w:val="Normaltindrag"/>
      </w:pPr>
      <w:r w:rsidRPr="00896D4F">
        <w:t>Även i övrigt har journalföringen i ärendet varit bristfällig och dokume</w:t>
      </w:r>
      <w:r w:rsidRPr="00896D4F">
        <w:t>n</w:t>
      </w:r>
      <w:r w:rsidRPr="00896D4F">
        <w:t>tation saknats om relevanta åtgärder.</w:t>
      </w:r>
    </w:p>
    <w:p w:rsidR="009C1C5A" w:rsidRPr="00896D4F" w:rsidRDefault="009C1C5A">
      <w:pPr>
        <w:pStyle w:val="Normaltindrag"/>
      </w:pPr>
      <w:r w:rsidRPr="00896D4F">
        <w:t xml:space="preserve">Jag vill avslutningsvis anmärka att jag är utomordentligt förvånad över vad kassan uppgivit med hänvisning till rättsfallet FÖD 1993:1. Av bl.a. det i remissvaret åberopade regeringsrättsavgörandet och ett stort antal JO-avgöranden framgår med fullkomlig tydlighet att det är fråga om två beslut; ett fattat av socialförsäkringsnämnden och ett fattat av tjänsteman vid kassan. Besluten är såväl fattade som meddelade vid skilda tidpunkter, de överklagas på skilda sätt och </w:t>
      </w:r>
      <w:r w:rsidRPr="00896D4F">
        <w:t>tiden för överklagandet är olika.</w:t>
      </w:r>
    </w:p>
    <w:p w:rsidR="009C1C5A" w:rsidRPr="00896D4F" w:rsidRDefault="009C1C5A">
      <w:r w:rsidRPr="00896D4F">
        <w:t>Sammantaget förtjänar försäkringskassan mycket allvarlig kritik för sin hand</w:t>
      </w:r>
      <w:r w:rsidRPr="00896D4F">
        <w:softHyphen/>
        <w:t>läggning av ärendet.</w:t>
      </w:r>
    </w:p>
    <w:p w:rsidR="009C1C5A" w:rsidRPr="00896D4F" w:rsidRDefault="009C1C5A">
      <w:pPr>
        <w:pStyle w:val="Rubrik2"/>
      </w:pPr>
      <w:r w:rsidRPr="00896D4F">
        <w:br w:type="page"/>
        <w:t>Initiativärende mot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angående social</w:t>
      </w:r>
      <w:r w:rsidRPr="00896D4F">
        <w:softHyphen/>
        <w:t>försäkringsnämnds upphävande av ett fattat beslut</w:t>
      </w:r>
    </w:p>
    <w:p w:rsidR="009C1C5A" w:rsidRPr="00896D4F" w:rsidRDefault="009C1C5A">
      <w:pPr>
        <w:spacing w:before="0"/>
      </w:pPr>
      <w:r w:rsidRPr="00896D4F">
        <w:t>(Dnr 3641-2000)</w:t>
      </w:r>
    </w:p>
    <w:p w:rsidR="009C1C5A" w:rsidRPr="00896D4F" w:rsidRDefault="009C1C5A">
      <w:r w:rsidRPr="00896D4F">
        <w:t xml:space="preserve">I ett den 15 november 2001 meddelat beslut anförde </w:t>
      </w:r>
      <w:r w:rsidRPr="00896D4F">
        <w:rPr>
          <w:i/>
        </w:rPr>
        <w:t xml:space="preserve">JO Pennlöv </w:t>
      </w:r>
      <w:r w:rsidRPr="00896D4F">
        <w:t>följande.</w:t>
      </w:r>
    </w:p>
    <w:p w:rsidR="009C1C5A" w:rsidRPr="00896D4F" w:rsidRDefault="009C1C5A">
      <w:pPr>
        <w:pStyle w:val="Rubrik3"/>
      </w:pPr>
      <w:r w:rsidRPr="00896D4F">
        <w:t>Initiativet</w:t>
      </w:r>
    </w:p>
    <w:p w:rsidR="009C1C5A" w:rsidRPr="00896D4F" w:rsidRDefault="009C1C5A">
      <w:r w:rsidRPr="00896D4F">
        <w:t>Vid min inspektion av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den 17</w:t>
      </w:r>
      <w:r w:rsidRPr="00896D4F">
        <w:rPr>
          <w:rFonts w:ascii="Garamond" w:hAnsi="Garamond"/>
        </w:rPr>
        <w:t>–</w:t>
      </w:r>
      <w:r w:rsidRPr="00896D4F">
        <w:t>19 okto</w:t>
      </w:r>
      <w:r w:rsidRPr="00896D4F">
        <w:softHyphen/>
        <w:t>ber 2000 (dnr 3125-2000) framkom följande i ett av de granskade äre</w:t>
      </w:r>
      <w:r w:rsidRPr="00896D4F">
        <w:t>n</w:t>
      </w:r>
      <w:r w:rsidRPr="00896D4F">
        <w:t>dena gällande vårdbidrag.</w:t>
      </w:r>
    </w:p>
    <w:p w:rsidR="009C1C5A" w:rsidRPr="00896D4F" w:rsidRDefault="009C1C5A">
      <w:pPr>
        <w:pStyle w:val="Normaltindrag"/>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nämnden fattade vid ett sammanträde den 11 juli 2000 ett beslut att bevilja helt vårdbidrag fr.o.m. maj 2000 för F.S. Underrättelse om beslutet skickades ut den 13 juli. Den 19 juli ringde F.S:s mor, P.S., och up</w:t>
      </w:r>
      <w:r w:rsidRPr="00896D4F">
        <w:t>p</w:t>
      </w:r>
      <w:r w:rsidRPr="00896D4F">
        <w:t>gav att beslu</w:t>
      </w:r>
      <w:r w:rsidRPr="00896D4F">
        <w:softHyphen/>
        <w:t>tet måste ha blivit fel eftersom vårdbidraget rätteligen skulle utgå fr.o.m. oktober 1999. För</w:t>
      </w:r>
      <w:r w:rsidRPr="00896D4F">
        <w:softHyphen/>
        <w:t>säk</w:t>
      </w:r>
      <w:r w:rsidRPr="00896D4F">
        <w:softHyphen/>
        <w:t>rings</w:t>
      </w:r>
      <w:r w:rsidRPr="00896D4F">
        <w:softHyphen/>
        <w:t>kas</w:t>
      </w:r>
      <w:r w:rsidRPr="00896D4F">
        <w:softHyphen/>
        <w:t>san tog därför upp ärendet för ny prö</w:t>
      </w:r>
      <w:r w:rsidRPr="00896D4F">
        <w:t>v</w:t>
      </w:r>
      <w:r w:rsidRPr="00896D4F">
        <w:t>ning i so</w:t>
      </w:r>
      <w:r w:rsidRPr="00896D4F">
        <w:softHyphen/>
        <w:t>ci</w:t>
      </w:r>
      <w:r w:rsidRPr="00896D4F">
        <w:softHyphen/>
        <w:t>al</w:t>
      </w:r>
      <w:r w:rsidRPr="00896D4F">
        <w:softHyphen/>
        <w:t>för</w:t>
      </w:r>
      <w:r w:rsidRPr="00896D4F">
        <w:softHyphen/>
        <w:t>säk</w:t>
      </w:r>
      <w:r w:rsidRPr="00896D4F">
        <w:softHyphen/>
        <w:t>rings</w:t>
      </w:r>
      <w:r w:rsidRPr="00896D4F">
        <w:softHyphen/>
        <w:t>nämnden. Den 22 september fattade so</w:t>
      </w:r>
      <w:r w:rsidRPr="00896D4F">
        <w:softHyphen/>
        <w:t>ci</w:t>
      </w:r>
      <w:r w:rsidRPr="00896D4F">
        <w:softHyphen/>
        <w:t>al</w:t>
      </w:r>
      <w:r w:rsidRPr="00896D4F">
        <w:softHyphen/>
        <w:t>för</w:t>
      </w:r>
      <w:r w:rsidRPr="00896D4F">
        <w:softHyphen/>
        <w:t>säk</w:t>
      </w:r>
      <w:r w:rsidRPr="00896D4F">
        <w:softHyphen/>
        <w:t>rings</w:t>
      </w:r>
      <w:r w:rsidRPr="00896D4F">
        <w:softHyphen/>
        <w:t>nämnden följande beslut.</w:t>
      </w:r>
    </w:p>
    <w:p w:rsidR="009C1C5A" w:rsidRPr="00896D4F" w:rsidRDefault="009C1C5A">
      <w:pPr>
        <w:pStyle w:val="Citat"/>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 xml:space="preserve">nämndens beslut den 11 juli 2000 upphävs då felaktig fr.o.m.-tidpunkt angivits. NYTT BESLUT: Helt vårdbidrag fr.o.m. oktober 2000 för F.S.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p>
    <w:p w:rsidR="009C1C5A" w:rsidRPr="00896D4F" w:rsidRDefault="009C1C5A">
      <w:r w:rsidRPr="00896D4F">
        <w:t>När ärendet den 2 oktober 2000 kom till pensionsenheten uppmärksammades att det återigen hade angetts fel datum beträffande från vilken tidpunkt vår</w:t>
      </w:r>
      <w:r w:rsidRPr="00896D4F">
        <w:t>d</w:t>
      </w:r>
      <w:r w:rsidRPr="00896D4F">
        <w:t>bidraget skulle utgå. För</w:t>
      </w:r>
      <w:r w:rsidRPr="00896D4F">
        <w:softHyphen/>
        <w:t>säk</w:t>
      </w:r>
      <w:r w:rsidRPr="00896D4F">
        <w:softHyphen/>
        <w:t>rings</w:t>
      </w:r>
      <w:r w:rsidRPr="00896D4F">
        <w:softHyphen/>
        <w:t>kas</w:t>
      </w:r>
      <w:r w:rsidRPr="00896D4F">
        <w:softHyphen/>
        <w:t>san beslutade därför att inte skicka ut någon underrät</w:t>
      </w:r>
      <w:r w:rsidRPr="00896D4F">
        <w:softHyphen/>
        <w:t>telse om beslutet, eftersom ärendet ännu en gång skulle tas upp för ny prövning i so</w:t>
      </w:r>
      <w:r w:rsidRPr="00896D4F">
        <w:softHyphen/>
        <w:t>ci</w:t>
      </w:r>
      <w:r w:rsidRPr="00896D4F">
        <w:softHyphen/>
        <w:t>al</w:t>
      </w:r>
      <w:r w:rsidRPr="00896D4F">
        <w:softHyphen/>
        <w:t>för</w:t>
      </w:r>
      <w:r w:rsidRPr="00896D4F">
        <w:softHyphen/>
        <w:t>säk</w:t>
      </w:r>
      <w:r w:rsidRPr="00896D4F">
        <w:softHyphen/>
        <w:t>rings</w:t>
      </w:r>
      <w:r w:rsidRPr="00896D4F">
        <w:softHyphen/>
        <w:t>nämnden. Den 17 oktober fattade so</w:t>
      </w:r>
      <w:r w:rsidRPr="00896D4F">
        <w:softHyphen/>
        <w:t>ci</w:t>
      </w:r>
      <w:r w:rsidRPr="00896D4F">
        <w:softHyphen/>
        <w:t>al</w:t>
      </w:r>
      <w:r w:rsidRPr="00896D4F">
        <w:softHyphen/>
        <w:t>för</w:t>
      </w:r>
      <w:r w:rsidRPr="00896D4F">
        <w:softHyphen/>
        <w:t>säk</w:t>
      </w:r>
      <w:r w:rsidRPr="00896D4F">
        <w:softHyphen/>
        <w:t>rings</w:t>
      </w:r>
      <w:r w:rsidRPr="00896D4F">
        <w:softHyphen/>
        <w:t>nämnden föl</w:t>
      </w:r>
      <w:r w:rsidRPr="00896D4F">
        <w:softHyphen/>
        <w:t>jande beslut.</w:t>
      </w:r>
    </w:p>
    <w:p w:rsidR="009C1C5A" w:rsidRPr="00896D4F" w:rsidRDefault="009C1C5A">
      <w:pPr>
        <w:pStyle w:val="Citat"/>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 xml:space="preserve">nämndens beslut den 22 september 2000 upphävs då felaktig fr.o.m.-tidpunkt angivits. NYTT BESLUT: Helt vårdbidrag fr.o.m. oktober 1999 för F.S.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p>
    <w:p w:rsidR="009C1C5A" w:rsidRPr="00896D4F" w:rsidRDefault="009C1C5A">
      <w:r w:rsidRPr="00896D4F">
        <w:t>Jag beslutade att i ett särskilt ärende granska för</w:t>
      </w:r>
      <w:r w:rsidRPr="00896D4F">
        <w:softHyphen/>
        <w:t>säk</w:t>
      </w:r>
      <w:r w:rsidRPr="00896D4F">
        <w:softHyphen/>
        <w:t>rings</w:t>
      </w:r>
      <w:r w:rsidRPr="00896D4F">
        <w:softHyphen/>
        <w:t>kas</w:t>
      </w:r>
      <w:r w:rsidRPr="00896D4F">
        <w:softHyphen/>
        <w:t>sans handläggning i ärendet.</w:t>
      </w:r>
    </w:p>
    <w:p w:rsidR="009C1C5A" w:rsidRPr="00896D4F" w:rsidRDefault="009C1C5A">
      <w:pPr>
        <w:pStyle w:val="Rubrik3"/>
      </w:pPr>
      <w:r w:rsidRPr="00896D4F">
        <w:t>Utredning</w:t>
      </w:r>
    </w:p>
    <w:p w:rsidR="009C1C5A" w:rsidRPr="00896D4F" w:rsidRDefault="009C1C5A">
      <w:r w:rsidRPr="00896D4F">
        <w:t>För</w:t>
      </w:r>
      <w:r w:rsidRPr="00896D4F">
        <w:softHyphen/>
        <w:t>säk</w:t>
      </w:r>
      <w:r w:rsidRPr="00896D4F">
        <w:softHyphen/>
        <w:t>rings</w:t>
      </w:r>
      <w:r w:rsidRPr="00896D4F">
        <w:softHyphen/>
        <w:t>kas</w:t>
      </w:r>
      <w:r w:rsidRPr="00896D4F">
        <w:softHyphen/>
        <w:t>san anmodades att yttra sig över en promemoria, som innehöll det som upptagits ovan.</w:t>
      </w:r>
    </w:p>
    <w:p w:rsidR="009C1C5A" w:rsidRPr="00896D4F" w:rsidRDefault="009C1C5A">
      <w:r w:rsidRPr="00896D4F">
        <w:t>I sitt svar anförde för</w:t>
      </w:r>
      <w:r w:rsidRPr="00896D4F">
        <w:softHyphen/>
        <w:t>säk</w:t>
      </w:r>
      <w:r w:rsidRPr="00896D4F">
        <w:softHyphen/>
        <w:t>rings</w:t>
      </w:r>
      <w:r w:rsidRPr="00896D4F">
        <w:softHyphen/>
        <w:t>kas</w:t>
      </w:r>
      <w:r w:rsidRPr="00896D4F">
        <w:softHyphen/>
        <w:t xml:space="preserve">san </w:t>
      </w:r>
      <w:r w:rsidRPr="00896D4F">
        <w:rPr>
          <w:rFonts w:ascii="Garamond" w:hAnsi="Garamond"/>
        </w:rPr>
        <w:t>–</w:t>
      </w:r>
      <w:r w:rsidRPr="00896D4F">
        <w:t xml:space="preserve"> direktören Åke Lindwall </w:t>
      </w:r>
      <w:r w:rsidRPr="00896D4F">
        <w:rPr>
          <w:rFonts w:ascii="Garamond" w:hAnsi="Garamond"/>
        </w:rPr>
        <w:t>–</w:t>
      </w:r>
      <w:r w:rsidRPr="00896D4F">
        <w:t xml:space="preserve"> följande.</w:t>
      </w:r>
    </w:p>
    <w:p w:rsidR="009C1C5A" w:rsidRPr="00896D4F" w:rsidRDefault="009C1C5A">
      <w:pPr>
        <w:pStyle w:val="Citat"/>
      </w:pPr>
      <w:r w:rsidRPr="00896D4F">
        <w:t>Vid JO:s inspektion av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den 17–19 oktober 2000 framkom att so</w:t>
      </w:r>
      <w:r w:rsidRPr="00896D4F">
        <w:softHyphen/>
        <w:t>ci</w:t>
      </w:r>
      <w:r w:rsidRPr="00896D4F">
        <w:softHyphen/>
        <w:t>al</w:t>
      </w:r>
      <w:r w:rsidRPr="00896D4F">
        <w:softHyphen/>
        <w:t>för</w:t>
      </w:r>
      <w:r w:rsidRPr="00896D4F">
        <w:softHyphen/>
        <w:t>säk</w:t>
      </w:r>
      <w:r w:rsidRPr="00896D4F">
        <w:softHyphen/>
        <w:t>rings</w:t>
      </w:r>
      <w:r w:rsidRPr="00896D4F">
        <w:softHyphen/>
        <w:t>nämnd 5 vid sitt sammanträde den 22 september 2000 formlöst ändrat sitt beslut den 11 juli 2000. Ytterligare en formlös ändring gjordes vid so</w:t>
      </w:r>
      <w:r w:rsidRPr="00896D4F">
        <w:softHyphen/>
        <w:t>ci</w:t>
      </w:r>
      <w:r w:rsidRPr="00896D4F">
        <w:softHyphen/>
        <w:t>al</w:t>
      </w:r>
      <w:r w:rsidRPr="00896D4F">
        <w:softHyphen/>
        <w:t>för</w:t>
      </w:r>
      <w:r w:rsidRPr="00896D4F">
        <w:softHyphen/>
        <w:t>säk</w:t>
      </w:r>
      <w:r w:rsidRPr="00896D4F">
        <w:softHyphen/>
        <w:t>rings</w:t>
      </w:r>
      <w:r w:rsidRPr="00896D4F">
        <w:softHyphen/>
        <w:t>nämndens sammanträde den 17 oktober 2000 då även beslutet den 22 september blev fel.</w:t>
      </w:r>
    </w:p>
    <w:p w:rsidR="009C1C5A" w:rsidRPr="00896D4F" w:rsidRDefault="009C1C5A">
      <w:pPr>
        <w:pStyle w:val="Rubrik4"/>
      </w:pPr>
      <w:r w:rsidRPr="00896D4F">
        <w:t>För</w:t>
      </w:r>
      <w:r w:rsidRPr="00896D4F">
        <w:softHyphen/>
        <w:t>säk</w:t>
      </w:r>
      <w:r w:rsidRPr="00896D4F">
        <w:softHyphen/>
        <w:t>rings</w:t>
      </w:r>
      <w:r w:rsidRPr="00896D4F">
        <w:softHyphen/>
        <w:t>kas</w:t>
      </w:r>
      <w:r w:rsidRPr="00896D4F">
        <w:softHyphen/>
        <w:t>sans bedömning</w:t>
      </w:r>
    </w:p>
    <w:p w:rsidR="009C1C5A" w:rsidRPr="00896D4F" w:rsidRDefault="009C1C5A">
      <w:pPr>
        <w:pStyle w:val="Citat"/>
      </w:pPr>
      <w:r w:rsidRPr="00896D4F">
        <w:t>För</w:t>
      </w:r>
      <w:r w:rsidRPr="00896D4F">
        <w:softHyphen/>
        <w:t>säk</w:t>
      </w:r>
      <w:r w:rsidRPr="00896D4F">
        <w:softHyphen/>
        <w:t>rings</w:t>
      </w:r>
      <w:r w:rsidRPr="00896D4F">
        <w:softHyphen/>
        <w:t>kas</w:t>
      </w:r>
      <w:r w:rsidRPr="00896D4F">
        <w:softHyphen/>
        <w:t>san medger att handläggningen i so</w:t>
      </w:r>
      <w:r w:rsidRPr="00896D4F">
        <w:softHyphen/>
        <w:t>ci</w:t>
      </w:r>
      <w:r w:rsidRPr="00896D4F">
        <w:softHyphen/>
        <w:t>al</w:t>
      </w:r>
      <w:r w:rsidRPr="00896D4F">
        <w:softHyphen/>
        <w:t>för</w:t>
      </w:r>
      <w:r w:rsidRPr="00896D4F">
        <w:softHyphen/>
        <w:t>säk</w:t>
      </w:r>
      <w:r w:rsidRPr="00896D4F">
        <w:softHyphen/>
        <w:t>rings</w:t>
      </w:r>
      <w:r w:rsidRPr="00896D4F">
        <w:softHyphen/>
        <w:t>nämnd 5 har varit felaktig. P.S. var beviljad helt vårdbidrag till och med april 2000. So</w:t>
      </w:r>
      <w:r w:rsidRPr="00896D4F">
        <w:softHyphen/>
        <w:t>ci</w:t>
      </w:r>
      <w:r w:rsidRPr="00896D4F">
        <w:softHyphen/>
        <w:t>al</w:t>
      </w:r>
      <w:r w:rsidRPr="00896D4F">
        <w:softHyphen/>
        <w:t>för</w:t>
      </w:r>
      <w:r w:rsidRPr="00896D4F">
        <w:softHyphen/>
        <w:t>säk</w:t>
      </w:r>
      <w:r w:rsidRPr="00896D4F">
        <w:softHyphen/>
        <w:t>rings</w:t>
      </w:r>
      <w:r w:rsidRPr="00896D4F">
        <w:softHyphen/>
        <w:t>nämnden beslutade samtidigt att rätt till merkostnadsersättning inte förelåg.</w:t>
      </w:r>
    </w:p>
    <w:p w:rsidR="009C1C5A" w:rsidRPr="00896D4F" w:rsidRDefault="009C1C5A">
      <w:pPr>
        <w:pStyle w:val="Citatindrag"/>
        <w:rPr>
          <w:rFonts w:ascii="Garamond" w:hAnsi="Garamond"/>
        </w:rPr>
      </w:pPr>
      <w:r w:rsidRPr="00896D4F">
        <w:t>Ny ansökan om vårdbidrag inkom den 12 januari 2000. Av den ansökan om fortsatt vårdbidrag fram</w:t>
      </w:r>
      <w:r w:rsidRPr="00896D4F">
        <w:softHyphen/>
        <w:t>kom att sökanden numera hade merkostnader i sådan omfattning att rätt till merkost</w:t>
      </w:r>
      <w:r w:rsidRPr="00896D4F">
        <w:softHyphen/>
        <w:t>nads</w:t>
      </w:r>
      <w:r w:rsidRPr="00896D4F">
        <w:softHyphen/>
        <w:t>er</w:t>
      </w:r>
      <w:r w:rsidRPr="00896D4F">
        <w:softHyphen/>
        <w:t>sätt</w:t>
      </w:r>
      <w:r w:rsidRPr="00896D4F">
        <w:softHyphen/>
        <w:t>ning förelåg. I motiv till beslut i so</w:t>
      </w:r>
      <w:r w:rsidRPr="00896D4F">
        <w:softHyphen/>
        <w:t>ci</w:t>
      </w:r>
      <w:r w:rsidRPr="00896D4F">
        <w:softHyphen/>
        <w:t>al</w:t>
      </w:r>
      <w:r w:rsidRPr="00896D4F">
        <w:softHyphen/>
        <w:t>för</w:t>
      </w:r>
      <w:r w:rsidRPr="00896D4F">
        <w:softHyphen/>
        <w:t>säk</w:t>
      </w:r>
      <w:r w:rsidRPr="00896D4F">
        <w:softHyphen/>
        <w:t>rings</w:t>
      </w:r>
      <w:r w:rsidRPr="00896D4F">
        <w:softHyphen/>
        <w:t>nämnden den 11 juli 2000 anges att ”rätt till vårdbidrag föreligger fr.o.m. oktober 1999. Utöver det hela vårdbidraget utges 18 % av prisbas</w:t>
      </w:r>
      <w:r w:rsidRPr="00896D4F">
        <w:softHyphen/>
        <w:t>be</w:t>
      </w:r>
      <w:r w:rsidRPr="00896D4F">
        <w:softHyphen/>
        <w:t xml:space="preserve">loppet som skattefri merkostnadsersättning från samma tidpunkt”. I nämndens beslut angavs dock felaktigt ”Helt vårdbidrag fr.o.m. maj 2000 för F.S.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 ”</w:t>
      </w:r>
    </w:p>
    <w:p w:rsidR="009C1C5A" w:rsidRPr="00896D4F" w:rsidRDefault="009C1C5A">
      <w:pPr>
        <w:pStyle w:val="Citatindrag"/>
      </w:pPr>
      <w:r w:rsidRPr="00896D4F">
        <w:t>Det är nämndens beslut, så som det framkommer av det jus</w:t>
      </w:r>
      <w:r w:rsidRPr="00896D4F">
        <w:t>terade prot</w:t>
      </w:r>
      <w:r w:rsidRPr="00896D4F">
        <w:t>o</w:t>
      </w:r>
      <w:r w:rsidRPr="00896D4F">
        <w:t>kollet, som är det egentliga beslutet. Det skrivfel som gjordes i protokollet skulle således ha ändrats med stöd av bestämmel</w:t>
      </w:r>
      <w:r w:rsidRPr="00896D4F">
        <w:softHyphen/>
        <w:t>serna i 20 kap. 10 a § 1 p. [AFL].</w:t>
      </w:r>
    </w:p>
    <w:p w:rsidR="009C1C5A" w:rsidRPr="00896D4F" w:rsidRDefault="009C1C5A">
      <w:pPr>
        <w:pStyle w:val="Citatindrag"/>
      </w:pPr>
      <w:r w:rsidRPr="00896D4F">
        <w:t>I det nu aktuella ärendet har nämnden formlöst rättat första skrivfelet, va</w:t>
      </w:r>
      <w:r w:rsidRPr="00896D4F">
        <w:t>r</w:t>
      </w:r>
      <w:r w:rsidRPr="00896D4F">
        <w:t>vid ett nytt skrivfel upp</w:t>
      </w:r>
      <w:r w:rsidRPr="00896D4F">
        <w:softHyphen/>
        <w:t>stod, nu felaktigt år. Ytterligare en formlös rättelse gjordes innan beslutet blev det avsedda.</w:t>
      </w:r>
    </w:p>
    <w:p w:rsidR="009C1C5A" w:rsidRPr="00896D4F" w:rsidRDefault="009C1C5A">
      <w:pPr>
        <w:pStyle w:val="Citatindrag"/>
      </w:pPr>
      <w:r w:rsidRPr="00896D4F">
        <w:t>För</w:t>
      </w:r>
      <w:r w:rsidRPr="00896D4F">
        <w:softHyphen/>
        <w:t>säk</w:t>
      </w:r>
      <w:r w:rsidRPr="00896D4F">
        <w:softHyphen/>
        <w:t>rings</w:t>
      </w:r>
      <w:r w:rsidRPr="00896D4F">
        <w:softHyphen/>
        <w:t>kas</w:t>
      </w:r>
      <w:r w:rsidRPr="00896D4F">
        <w:softHyphen/>
        <w:t>san har efter det nu aktuella ärendet, men innan JO:s i</w:t>
      </w:r>
      <w:r w:rsidRPr="00896D4F">
        <w:t>n</w:t>
      </w:r>
      <w:r w:rsidRPr="00896D4F">
        <w:t>spektionsbesök, tagit fram vissa riktlinjer för vad man bör tänka [på] vid rättelse av felaktiga beslut respektive underrättelse om beslut och när ett b</w:t>
      </w:r>
      <w:r w:rsidRPr="00896D4F">
        <w:t>e</w:t>
      </w:r>
      <w:r w:rsidRPr="00896D4F">
        <w:t>slut skall ändras med stöd av 20 kap. 10 a § [AFL] eller allmänna förvalt</w:t>
      </w:r>
      <w:r w:rsidRPr="00896D4F">
        <w:softHyphen/>
        <w:t>ningsrättsliga principer.</w:t>
      </w:r>
    </w:p>
    <w:p w:rsidR="009C1C5A" w:rsidRPr="00896D4F" w:rsidRDefault="009C1C5A">
      <w:pPr>
        <w:pStyle w:val="Rubrik3"/>
      </w:pPr>
      <w:r w:rsidRPr="00896D4F">
        <w:t>Bedömning</w:t>
      </w:r>
    </w:p>
    <w:p w:rsidR="009C1C5A" w:rsidRPr="00896D4F" w:rsidRDefault="009C1C5A">
      <w:r w:rsidRPr="00896D4F">
        <w:t>Ärenden om rätt till bl.a. vårdbidrag avgörs enligt 21 § lagen (1998:703) om han</w:t>
      </w:r>
      <w:r w:rsidRPr="00896D4F">
        <w:softHyphen/>
        <w:t>dikapp</w:t>
      </w:r>
      <w:r w:rsidRPr="00896D4F">
        <w:softHyphen/>
        <w:t>er</w:t>
      </w:r>
      <w:r w:rsidRPr="00896D4F">
        <w:softHyphen/>
        <w:t>sätt</w:t>
      </w:r>
      <w:r w:rsidRPr="00896D4F">
        <w:softHyphen/>
        <w:t>ning och vårdbidrag av so</w:t>
      </w:r>
      <w:r w:rsidRPr="00896D4F">
        <w:softHyphen/>
        <w:t>ci</w:t>
      </w:r>
      <w:r w:rsidRPr="00896D4F">
        <w:softHyphen/>
        <w:t>al</w:t>
      </w:r>
      <w:r w:rsidRPr="00896D4F">
        <w:softHyphen/>
        <w:t>för</w:t>
      </w:r>
      <w:r w:rsidRPr="00896D4F">
        <w:softHyphen/>
        <w:t>säk</w:t>
      </w:r>
      <w:r w:rsidRPr="00896D4F">
        <w:softHyphen/>
        <w:t>rings</w:t>
      </w:r>
      <w:r w:rsidRPr="00896D4F">
        <w:softHyphen/>
        <w:t>nämnd. Enligt 22 § i samma lag gäller i tillämpliga delar bl.a. 20 kap. 10 a § lagen (1962:381) om all</w:t>
      </w:r>
      <w:r w:rsidRPr="00896D4F">
        <w:softHyphen/>
        <w:t>män för</w:t>
      </w:r>
      <w:r w:rsidRPr="00896D4F">
        <w:softHyphen/>
        <w:t>säk</w:t>
      </w:r>
      <w:r w:rsidRPr="00896D4F">
        <w:softHyphen/>
        <w:t>ring (AFL) om ändring av ett beslut. Av sistnämnda lagrum framgår att för</w:t>
      </w:r>
      <w:r w:rsidRPr="00896D4F">
        <w:softHyphen/>
        <w:t>säk</w:t>
      </w:r>
      <w:r w:rsidRPr="00896D4F">
        <w:softHyphen/>
        <w:t>rings</w:t>
      </w:r>
      <w:r w:rsidRPr="00896D4F">
        <w:softHyphen/>
        <w:t>kas</w:t>
      </w:r>
      <w:r w:rsidRPr="00896D4F">
        <w:softHyphen/>
        <w:t>san skall ändra ett beslut i ärende om försäkring som har fattats av kassan och inte prövats av domstol, bl.a. (p. 1) om beslutet på grund av skrivfel, räknefel eller annat sådant förbiseende innehåller u</w:t>
      </w:r>
      <w:r w:rsidRPr="00896D4F">
        <w:t>p</w:t>
      </w:r>
      <w:r w:rsidRPr="00896D4F">
        <w:t>penbar oriktighet.</w:t>
      </w:r>
    </w:p>
    <w:p w:rsidR="009C1C5A" w:rsidRPr="00896D4F" w:rsidRDefault="009C1C5A">
      <w:pPr>
        <w:pStyle w:val="Normaltindrag"/>
      </w:pPr>
      <w:r w:rsidRPr="00896D4F">
        <w:t>Som kassan påpekat i si</w:t>
      </w:r>
      <w:r w:rsidRPr="00896D4F">
        <w:t>tt remissvar är det so</w:t>
      </w:r>
      <w:r w:rsidRPr="00896D4F">
        <w:softHyphen/>
        <w:t>ci</w:t>
      </w:r>
      <w:r w:rsidRPr="00896D4F">
        <w:softHyphen/>
        <w:t>al</w:t>
      </w:r>
      <w:r w:rsidRPr="00896D4F">
        <w:softHyphen/>
        <w:t>för</w:t>
      </w:r>
      <w:r w:rsidRPr="00896D4F">
        <w:softHyphen/>
        <w:t>säk</w:t>
      </w:r>
      <w:r w:rsidRPr="00896D4F">
        <w:softHyphen/>
        <w:t>rings</w:t>
      </w:r>
      <w:r w:rsidRPr="00896D4F">
        <w:softHyphen/>
        <w:t>nämndens protokoll som utgör besluts</w:t>
      </w:r>
      <w:r w:rsidRPr="00896D4F">
        <w:softHyphen/>
        <w:t>dokumentet i ärenden som beslutas av nämnden. I detta fall har nämndens beslut blivit felaktigt inte bara vid ett, utan vid två tillfällen. Felen be</w:t>
      </w:r>
      <w:r w:rsidRPr="00896D4F">
        <w:softHyphen/>
        <w:t>stod i att nämnden angav fel tidpunkt från vilken för</w:t>
      </w:r>
      <w:r w:rsidRPr="00896D4F">
        <w:softHyphen/>
        <w:t>må</w:t>
      </w:r>
      <w:r w:rsidRPr="00896D4F">
        <w:softHyphen/>
        <w:t>nen skulle utbetalas. När dessa fel upptäcktes har so</w:t>
      </w:r>
      <w:r w:rsidRPr="00896D4F">
        <w:softHyphen/>
        <w:t>ci</w:t>
      </w:r>
      <w:r w:rsidRPr="00896D4F">
        <w:softHyphen/>
        <w:t>al</w:t>
      </w:r>
      <w:r w:rsidRPr="00896D4F">
        <w:softHyphen/>
        <w:t>för</w:t>
      </w:r>
      <w:r w:rsidRPr="00896D4F">
        <w:softHyphen/>
        <w:t>säk</w:t>
      </w:r>
      <w:r w:rsidRPr="00896D4F">
        <w:softHyphen/>
        <w:t>rings</w:t>
      </w:r>
      <w:r w:rsidRPr="00896D4F">
        <w:softHyphen/>
        <w:t>nämnden ”upp</w:t>
      </w:r>
      <w:r w:rsidRPr="00896D4F">
        <w:softHyphen/>
        <w:t>hävt” sina beslut och satt nya beslut i deras ställe. Detta förfarande har, som kas</w:t>
      </w:r>
      <w:r w:rsidRPr="00896D4F">
        <w:softHyphen/>
        <w:t>san också anfört i sitt re</w:t>
      </w:r>
      <w:r w:rsidRPr="00896D4F">
        <w:softHyphen/>
        <w:t xml:space="preserve">missvar, varit oriktigt. De </w:t>
      </w:r>
      <w:r w:rsidRPr="00896D4F">
        <w:t>uppdagade felen var tveklöst av sådant slag att nämn</w:t>
      </w:r>
      <w:r w:rsidRPr="00896D4F">
        <w:softHyphen/>
        <w:t>den i stället hade kunnat ändra besluten med stöd av 20 kap. 10 a § AFL. Det som hänt ger mig anledning att särskilt u</w:t>
      </w:r>
      <w:r w:rsidRPr="00896D4F">
        <w:t>n</w:t>
      </w:r>
      <w:r w:rsidRPr="00896D4F">
        <w:t>derstryka, att en so</w:t>
      </w:r>
      <w:r w:rsidRPr="00896D4F">
        <w:softHyphen/>
        <w:t>ci</w:t>
      </w:r>
      <w:r w:rsidRPr="00896D4F">
        <w:softHyphen/>
        <w:t>al</w:t>
      </w:r>
      <w:r w:rsidRPr="00896D4F">
        <w:softHyphen/>
        <w:t>för</w:t>
      </w:r>
      <w:r w:rsidRPr="00896D4F">
        <w:softHyphen/>
        <w:t>säk</w:t>
      </w:r>
      <w:r w:rsidRPr="00896D4F">
        <w:softHyphen/>
        <w:t>rings</w:t>
      </w:r>
      <w:r w:rsidRPr="00896D4F">
        <w:softHyphen/>
        <w:t>nämnd inte har möjlighet att form</w:t>
      </w:r>
      <w:r w:rsidRPr="00896D4F">
        <w:softHyphen/>
        <w:t>löst och utan lagstöd ”upphäva” sina egna beslut.</w:t>
      </w:r>
    </w:p>
    <w:p w:rsidR="009C1C5A" w:rsidRPr="00896D4F" w:rsidRDefault="009C1C5A">
      <w:pPr>
        <w:pStyle w:val="Normaltindrag"/>
      </w:pPr>
      <w:r w:rsidRPr="00896D4F">
        <w:t>Jag har i ett annat beslut denna dag (dnr 3642-2000) kritiserat kassan för dess handläggning av en omprövning enligt 20 kap. 10 a § AFL. Uppenbarl</w:t>
      </w:r>
      <w:r w:rsidRPr="00896D4F">
        <w:t>i</w:t>
      </w:r>
      <w:r w:rsidRPr="00896D4F">
        <w:t>gen finns det hos kassan avsevärda brister i kunskaperna om lagrummets tillämpning. I sitt remissvar uppgav kassan att den har tagit fram vissa rik</w:t>
      </w:r>
      <w:r w:rsidRPr="00896D4F">
        <w:t>t</w:t>
      </w:r>
      <w:r w:rsidRPr="00896D4F">
        <w:t>linjer för handläggningen. Jag förutsätter att kassan noggrant följer upp ti</w:t>
      </w:r>
      <w:r w:rsidRPr="00896D4F">
        <w:t>l</w:t>
      </w:r>
      <w:r w:rsidRPr="00896D4F">
        <w:t>lämpningen av reglerna och avslu</w:t>
      </w:r>
      <w:r w:rsidRPr="00896D4F">
        <w:softHyphen/>
        <w:t>tar därmed ärendet här med den kritik som ligger i det ovan sagda.</w:t>
      </w:r>
    </w:p>
    <w:p w:rsidR="009C1C5A" w:rsidRPr="00896D4F" w:rsidRDefault="009C1C5A">
      <w:pPr>
        <w:pStyle w:val="Rubrik2"/>
      </w:pPr>
      <w:r w:rsidRPr="00896D4F">
        <w:t>Initiativärende mot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angående hand</w:t>
      </w:r>
      <w:r w:rsidRPr="00896D4F">
        <w:softHyphen/>
        <w:t>läggningen av en begäran om omprövning enligt 20 kap. 10 a § lagen (1962:381) om all</w:t>
      </w:r>
      <w:r w:rsidRPr="00896D4F">
        <w:softHyphen/>
        <w:t>män för</w:t>
      </w:r>
      <w:r w:rsidRPr="00896D4F">
        <w:softHyphen/>
        <w:t>säk</w:t>
      </w:r>
      <w:r w:rsidRPr="00896D4F">
        <w:softHyphen/>
        <w:t>ring</w:t>
      </w:r>
    </w:p>
    <w:p w:rsidR="009C1C5A" w:rsidRPr="00896D4F" w:rsidRDefault="009C1C5A">
      <w:pPr>
        <w:spacing w:before="0"/>
      </w:pPr>
      <w:r w:rsidRPr="00896D4F">
        <w:t>(Dnr 3642-2000)</w:t>
      </w:r>
    </w:p>
    <w:p w:rsidR="009C1C5A" w:rsidRPr="00896D4F" w:rsidRDefault="009C1C5A">
      <w:r w:rsidRPr="00896D4F">
        <w:t xml:space="preserve">I ett den 15 november 2001 meddelat beslut anförde </w:t>
      </w:r>
      <w:r w:rsidRPr="00896D4F">
        <w:rPr>
          <w:i/>
        </w:rPr>
        <w:t xml:space="preserve">JO Pennlöv </w:t>
      </w:r>
      <w:r w:rsidRPr="00896D4F">
        <w:t>följande.</w:t>
      </w:r>
    </w:p>
    <w:p w:rsidR="009C1C5A" w:rsidRPr="00896D4F" w:rsidRDefault="009C1C5A">
      <w:pPr>
        <w:pStyle w:val="Rubrik3"/>
      </w:pPr>
      <w:r w:rsidRPr="00896D4F">
        <w:t>Initiativet</w:t>
      </w:r>
    </w:p>
    <w:p w:rsidR="009C1C5A" w:rsidRPr="00896D4F" w:rsidRDefault="009C1C5A">
      <w:r w:rsidRPr="00896D4F">
        <w:t>Vid min inspektion av Örebro läns all</w:t>
      </w:r>
      <w:r w:rsidRPr="00896D4F">
        <w:softHyphen/>
        <w:t>män</w:t>
      </w:r>
      <w:r w:rsidRPr="00896D4F">
        <w:softHyphen/>
        <w:t>na för</w:t>
      </w:r>
      <w:r w:rsidRPr="00896D4F">
        <w:softHyphen/>
        <w:t>säk</w:t>
      </w:r>
      <w:r w:rsidRPr="00896D4F">
        <w:softHyphen/>
        <w:t>rings</w:t>
      </w:r>
      <w:r w:rsidRPr="00896D4F">
        <w:softHyphen/>
        <w:t>kas</w:t>
      </w:r>
      <w:r w:rsidRPr="00896D4F">
        <w:softHyphen/>
        <w:t>sa den 17</w:t>
      </w:r>
      <w:r w:rsidRPr="00896D4F">
        <w:rPr>
          <w:rFonts w:ascii="Garamond" w:hAnsi="Garamond"/>
        </w:rPr>
        <w:t>–</w:t>
      </w:r>
      <w:r w:rsidRPr="00896D4F">
        <w:t>19 okto</w:t>
      </w:r>
      <w:r w:rsidRPr="00896D4F">
        <w:softHyphen/>
        <w:t>ber 2000 (dnr 3125-2000) granskade jag bl.a. ärenden gällande arbet</w:t>
      </w:r>
      <w:r w:rsidRPr="00896D4F">
        <w:t>s</w:t>
      </w:r>
      <w:r w:rsidRPr="00896D4F">
        <w:t>skadeförsäkring. I ett av dessa ärenden framkom följande.</w:t>
      </w:r>
    </w:p>
    <w:p w:rsidR="009C1C5A" w:rsidRPr="00896D4F" w:rsidRDefault="009C1C5A">
      <w:pPr>
        <w:pStyle w:val="Normaltindrag"/>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nämnd 1 i Örebro hade den 9 mars 2000 avslagit en a</w:t>
      </w:r>
      <w:r w:rsidRPr="00896D4F">
        <w:t>n</w:t>
      </w:r>
      <w:r w:rsidRPr="00896D4F">
        <w:t>sökan om för</w:t>
      </w:r>
      <w:r w:rsidRPr="00896D4F">
        <w:softHyphen/>
        <w:t>tids</w:t>
      </w:r>
      <w:r w:rsidRPr="00896D4F">
        <w:softHyphen/>
        <w:t>pen</w:t>
      </w:r>
      <w:r w:rsidRPr="00896D4F">
        <w:softHyphen/>
        <w:t>sion. Sedan den försäk</w:t>
      </w:r>
      <w:r w:rsidRPr="00896D4F">
        <w:softHyphen/>
        <w:t>ra</w:t>
      </w:r>
      <w:r w:rsidRPr="00896D4F">
        <w:softHyphen/>
        <w:t>de (A.S.) överkla</w:t>
      </w:r>
      <w:r w:rsidRPr="00896D4F">
        <w:softHyphen/>
        <w:t>gat be</w:t>
      </w:r>
      <w:r w:rsidRPr="00896D4F">
        <w:softHyphen/>
        <w:t>slutet hade nämnden den 15 juni 2000 ändrat sitt beslut och i stället beviljat sjuk</w:t>
      </w:r>
      <w:r w:rsidRPr="00896D4F">
        <w:softHyphen/>
        <w:t>bi</w:t>
      </w:r>
      <w:r w:rsidRPr="00896D4F">
        <w:softHyphen/>
        <w:t>drag under en tvåårs</w:t>
      </w:r>
      <w:r w:rsidRPr="00896D4F">
        <w:softHyphen/>
        <w:t>period.</w:t>
      </w:r>
    </w:p>
    <w:p w:rsidR="009C1C5A" w:rsidRPr="00896D4F" w:rsidRDefault="009C1C5A">
      <w:pPr>
        <w:pStyle w:val="Normaltindrag"/>
      </w:pPr>
      <w:r w:rsidRPr="00896D4F">
        <w:t>I sitt ändringsbeslut hade nämnden åberopat 20 kap. 10 a § 3 AFL. Enligt den bestämmelsen skall försäkringskassan ändra ett beslut i ett ärende om försäkring enligt lagen, som har fattats av kassan och inte har prövats av do</w:t>
      </w:r>
      <w:r w:rsidRPr="00896D4F">
        <w:t>m</w:t>
      </w:r>
      <w:r w:rsidRPr="00896D4F">
        <w:t>stol om beslutet har blivit oriktigt på grund av uppenbart felaktig rättstilläm</w:t>
      </w:r>
      <w:r w:rsidRPr="00896D4F">
        <w:t>p</w:t>
      </w:r>
      <w:r w:rsidRPr="00896D4F">
        <w:t>ning eller annan liknande orsak.</w:t>
      </w:r>
    </w:p>
    <w:p w:rsidR="009C1C5A" w:rsidRPr="00896D4F" w:rsidRDefault="009C1C5A">
      <w:pPr>
        <w:pStyle w:val="Normaltindrag"/>
      </w:pPr>
      <w:r w:rsidRPr="00896D4F">
        <w:t>Såvitt fram</w:t>
      </w:r>
      <w:r w:rsidRPr="00896D4F">
        <w:softHyphen/>
        <w:t>går av nämn</w:t>
      </w:r>
      <w:r w:rsidRPr="00896D4F">
        <w:softHyphen/>
        <w:t xml:space="preserve">dens motivering till sitt beslut den 15 juni 2000 hade den </w:t>
      </w:r>
      <w:r w:rsidRPr="00896D4F">
        <w:rPr>
          <w:rFonts w:ascii="Garamond" w:hAnsi="Garamond"/>
        </w:rPr>
        <w:t>–</w:t>
      </w:r>
      <w:r w:rsidRPr="00896D4F">
        <w:t xml:space="preserve"> bortsett från överkla</w:t>
      </w:r>
      <w:r w:rsidRPr="00896D4F">
        <w:softHyphen/>
        <w:t xml:space="preserve">gandet </w:t>
      </w:r>
      <w:r w:rsidRPr="00896D4F">
        <w:rPr>
          <w:rFonts w:ascii="Garamond" w:hAnsi="Garamond"/>
        </w:rPr>
        <w:t>–</w:t>
      </w:r>
      <w:r w:rsidRPr="00896D4F">
        <w:t xml:space="preserve"> inget nytt material att tillgå i ärendet. Vid inspektio</w:t>
      </w:r>
      <w:r w:rsidRPr="00896D4F">
        <w:softHyphen/>
        <w:t>nen ifrå</w:t>
      </w:r>
      <w:r w:rsidRPr="00896D4F">
        <w:softHyphen/>
        <w:t>gasatte jag om nämndens första beslu</w:t>
      </w:r>
      <w:r w:rsidRPr="00896D4F">
        <w:softHyphen/>
        <w:t>t kunde sägas ha blivit orik</w:t>
      </w:r>
      <w:r w:rsidRPr="00896D4F">
        <w:softHyphen/>
        <w:t>tigt på grund av uppen</w:t>
      </w:r>
      <w:r w:rsidRPr="00896D4F">
        <w:softHyphen/>
        <w:t>bart fel</w:t>
      </w:r>
      <w:r w:rsidRPr="00896D4F">
        <w:softHyphen/>
        <w:t>aktig rätts</w:t>
      </w:r>
      <w:r w:rsidRPr="00896D4F">
        <w:softHyphen/>
        <w:t>tillämp</w:t>
      </w:r>
      <w:r w:rsidRPr="00896D4F">
        <w:softHyphen/>
        <w:t>ning eller annan liknande or</w:t>
      </w:r>
      <w:r w:rsidRPr="00896D4F">
        <w:softHyphen/>
        <w:t>sak. Det är med andra ord tvek</w:t>
      </w:r>
      <w:r w:rsidRPr="00896D4F">
        <w:softHyphen/>
        <w:t>samt om det nämnda lag</w:t>
      </w:r>
      <w:r w:rsidRPr="00896D4F">
        <w:softHyphen/>
        <w:t>rum</w:t>
      </w:r>
      <w:r w:rsidRPr="00896D4F">
        <w:softHyphen/>
        <w:t>met kan åberopas när nämnden ändrar sin be</w:t>
      </w:r>
      <w:r w:rsidRPr="00896D4F">
        <w:softHyphen/>
        <w:t xml:space="preserve">dömning på detta sätt. </w:t>
      </w:r>
      <w:r w:rsidRPr="00896D4F">
        <w:rPr>
          <w:rFonts w:ascii="Garamond" w:hAnsi="Garamond"/>
        </w:rPr>
        <w:t>–</w:t>
      </w:r>
      <w:r w:rsidRPr="00896D4F">
        <w:t xml:space="preserve"> Jag beslutade att låta utreda frå</w:t>
      </w:r>
      <w:r w:rsidRPr="00896D4F">
        <w:softHyphen/>
        <w:t>gan i ett på mitt initiativ upplagt</w:t>
      </w:r>
      <w:r w:rsidRPr="00896D4F">
        <w:t xml:space="preserve"> ärende.</w:t>
      </w:r>
    </w:p>
    <w:p w:rsidR="009C1C5A" w:rsidRPr="00896D4F" w:rsidRDefault="009C1C5A">
      <w:pPr>
        <w:pStyle w:val="Rubrik3"/>
      </w:pPr>
      <w:r w:rsidRPr="00896D4F">
        <w:t>Utredning</w:t>
      </w:r>
    </w:p>
    <w:p w:rsidR="009C1C5A" w:rsidRPr="00896D4F" w:rsidRDefault="009C1C5A">
      <w:r w:rsidRPr="00896D4F">
        <w:t>För</w:t>
      </w:r>
      <w:r w:rsidRPr="00896D4F">
        <w:softHyphen/>
        <w:t>säk</w:t>
      </w:r>
      <w:r w:rsidRPr="00896D4F">
        <w:softHyphen/>
        <w:t>rings</w:t>
      </w:r>
      <w:r w:rsidRPr="00896D4F">
        <w:softHyphen/>
        <w:t>kas</w:t>
      </w:r>
      <w:r w:rsidRPr="00896D4F">
        <w:softHyphen/>
        <w:t>san anmodades att yttra sig över en promemoria, som i huvu</w:t>
      </w:r>
      <w:r w:rsidRPr="00896D4F">
        <w:t>d</w:t>
      </w:r>
      <w:r w:rsidRPr="00896D4F">
        <w:t>sak innehöll det som upptagits ovan.</w:t>
      </w:r>
    </w:p>
    <w:p w:rsidR="009C1C5A" w:rsidRPr="00896D4F" w:rsidRDefault="009C1C5A">
      <w:r w:rsidRPr="00896D4F">
        <w:t>I sitt svar anförde för</w:t>
      </w:r>
      <w:r w:rsidRPr="00896D4F">
        <w:softHyphen/>
        <w:t>säk</w:t>
      </w:r>
      <w:r w:rsidRPr="00896D4F">
        <w:softHyphen/>
        <w:t>rings</w:t>
      </w:r>
      <w:r w:rsidRPr="00896D4F">
        <w:softHyphen/>
        <w:t>kas</w:t>
      </w:r>
      <w:r w:rsidRPr="00896D4F">
        <w:softHyphen/>
        <w:t xml:space="preserve">san </w:t>
      </w:r>
      <w:r w:rsidRPr="00896D4F">
        <w:rPr>
          <w:rFonts w:ascii="Garamond" w:hAnsi="Garamond"/>
        </w:rPr>
        <w:t>–</w:t>
      </w:r>
      <w:r w:rsidRPr="00896D4F">
        <w:t xml:space="preserve"> direktören Åke Lindwall </w:t>
      </w:r>
      <w:r w:rsidRPr="00896D4F">
        <w:rPr>
          <w:rFonts w:ascii="Garamond" w:hAnsi="Garamond"/>
        </w:rPr>
        <w:t>–</w:t>
      </w:r>
      <w:r w:rsidRPr="00896D4F">
        <w:t xml:space="preserve"> följande.</w:t>
      </w:r>
    </w:p>
    <w:p w:rsidR="009C1C5A" w:rsidRPr="00896D4F" w:rsidRDefault="009C1C5A">
      <w:pPr>
        <w:pStyle w:val="Rubrik4"/>
      </w:pPr>
      <w:r w:rsidRPr="00896D4F">
        <w:t>Bakgrund</w:t>
      </w:r>
    </w:p>
    <w:p w:rsidR="009C1C5A" w:rsidRPr="00896D4F" w:rsidRDefault="009C1C5A">
      <w:pPr>
        <w:pStyle w:val="Citat"/>
      </w:pPr>
      <w:r w:rsidRPr="00896D4F">
        <w:t>A.S. hade ansökt om förtidspension den 22 juni 1999. Av ansökan framkom att A.S. saknade ar</w:t>
      </w:r>
      <w:r w:rsidRPr="00896D4F">
        <w:softHyphen/>
        <w:t>bete, utförde mycket lite hushållssysslor och inte talade svenska. Enligt kungörelse (1962:394) med vissa bestämmelser rö</w:t>
      </w:r>
      <w:r w:rsidRPr="00896D4F">
        <w:softHyphen/>
        <w:t>rande an</w:t>
      </w:r>
      <w:r w:rsidRPr="00896D4F">
        <w:softHyphen/>
        <w:t>sökan om pension enligt lagen om allmän försäkring m.m. framgår av 4 § att till ansökan om förtidspension skall bifogas läkarutlåtande på fast</w:t>
      </w:r>
      <w:r w:rsidRPr="00896D4F">
        <w:softHyphen/>
        <w:t>ställd bla</w:t>
      </w:r>
      <w:r w:rsidRPr="00896D4F">
        <w:t>n</w:t>
      </w:r>
      <w:r w:rsidRPr="00896D4F">
        <w:t>kett.</w:t>
      </w:r>
    </w:p>
    <w:p w:rsidR="009C1C5A" w:rsidRPr="00896D4F" w:rsidRDefault="009C1C5A">
      <w:pPr>
        <w:pStyle w:val="Citatindrag"/>
      </w:pPr>
      <w:r w:rsidRPr="00896D4F">
        <w:t>Läkarutlåtande av den 13 oktober 1999 från distriktsläkare B.Z. inkom till försäkrings</w:t>
      </w:r>
      <w:r w:rsidRPr="00896D4F">
        <w:softHyphen/>
        <w:t>kas</w:t>
      </w:r>
      <w:r w:rsidRPr="00896D4F">
        <w:softHyphen/>
        <w:t>san. Enligt hans bedömning var det väl möjligt att pat, om hon haft en stabil kulturell och social bak</w:t>
      </w:r>
      <w:r w:rsidRPr="00896D4F">
        <w:softHyphen/>
        <w:t>grund, skulle kunna klara ett anpassat arbete, men utifrån pat:s förutsättningar ter det sig helt orea</w:t>
      </w:r>
      <w:r w:rsidRPr="00896D4F">
        <w:softHyphen/>
        <w:t>listiskt att hon någonsin kommer att kunna stå till arbetsmarknadens fö</w:t>
      </w:r>
      <w:r w:rsidRPr="00896D4F">
        <w:t>r</w:t>
      </w:r>
      <w:r w:rsidRPr="00896D4F">
        <w:t>fogande.</w:t>
      </w:r>
    </w:p>
    <w:p w:rsidR="009C1C5A" w:rsidRPr="00896D4F" w:rsidRDefault="009C1C5A">
      <w:pPr>
        <w:pStyle w:val="Citatindrag"/>
      </w:pPr>
      <w:r w:rsidRPr="00896D4F">
        <w:t>Försäkringsläkare J.H. bedömde den 26 oktober 1999 att ytterli</w:t>
      </w:r>
      <w:r w:rsidRPr="00896D4F">
        <w:softHyphen/>
        <w:t>gare utre</w:t>
      </w:r>
      <w:r w:rsidRPr="00896D4F">
        <w:t>d</w:t>
      </w:r>
      <w:r w:rsidRPr="00896D4F">
        <w:t>ning skulle behövas för att kunna bedöma om hon skulle kunna klara ett a</w:t>
      </w:r>
      <w:r w:rsidRPr="00896D4F">
        <w:t>n</w:t>
      </w:r>
      <w:r w:rsidRPr="00896D4F">
        <w:t>passat arbete eller inte och föreslog en remiss för funktionsanalys vid Inte</w:t>
      </w:r>
      <w:r w:rsidRPr="00896D4F">
        <w:t>g</w:t>
      </w:r>
      <w:r w:rsidRPr="00896D4F">
        <w:t>ration &amp; Rehabilitering.</w:t>
      </w:r>
    </w:p>
    <w:p w:rsidR="009C1C5A" w:rsidRPr="00896D4F" w:rsidRDefault="009C1C5A">
      <w:pPr>
        <w:pStyle w:val="Citatindrag"/>
      </w:pPr>
      <w:r w:rsidRPr="00896D4F">
        <w:t>Behandlande läkare B.Z. skickade den 22 december 1999 in en komplett</w:t>
      </w:r>
      <w:r w:rsidRPr="00896D4F">
        <w:t>e</w:t>
      </w:r>
      <w:r w:rsidRPr="00896D4F">
        <w:t>ring där han ändrade sin tidigare bedömning och uttalade att han inte tror att A.S. hade förutsättningar att klara någon form av arbete.</w:t>
      </w:r>
    </w:p>
    <w:p w:rsidR="009C1C5A" w:rsidRPr="00896D4F" w:rsidRDefault="009C1C5A">
      <w:pPr>
        <w:pStyle w:val="Citatindrag"/>
      </w:pPr>
      <w:r w:rsidRPr="00896D4F">
        <w:t>Enligt förvaltningslagen 4 § har myndigheter ett övergripande ansvar att lämna upplysning och vägledning gentemot enskilda. Myndigheten har en</w:t>
      </w:r>
      <w:r w:rsidRPr="00896D4F">
        <w:softHyphen/>
        <w:t>ligt samma lag 7 § även ett allmänt krav på handläggning av ärenden och ett u</w:t>
      </w:r>
      <w:r w:rsidRPr="00896D4F">
        <w:t>t</w:t>
      </w:r>
      <w:r w:rsidRPr="00896D4F">
        <w:t>redningsansvar.</w:t>
      </w:r>
    </w:p>
    <w:p w:rsidR="009C1C5A" w:rsidRPr="00896D4F" w:rsidRDefault="009C1C5A">
      <w:pPr>
        <w:pStyle w:val="Citatindrag"/>
      </w:pPr>
      <w:r w:rsidRPr="00896D4F">
        <w:t>Socialförsäkringsnämnds 1 motivering till beslutet den 9 mars 2000 om avslag på ansökan om förtidspension var att ”Befintligt underlag styrker inte att den försäkrades arbetsförmåga är nedsatt med minst en fjärdedel p g a sjukdom. Ansökan måste därför avslås”.</w:t>
      </w:r>
    </w:p>
    <w:p w:rsidR="009C1C5A" w:rsidRPr="00896D4F" w:rsidRDefault="009C1C5A">
      <w:pPr>
        <w:pStyle w:val="Citatindrag"/>
      </w:pPr>
      <w:r w:rsidRPr="00896D4F">
        <w:t>Försäkringskassan skall med anledning av överklagan pröva dels att över</w:t>
      </w:r>
      <w:r w:rsidRPr="00896D4F">
        <w:softHyphen/>
        <w:t>klagan inkommit i rätt tid, dels om det föreligger skäl att ändra beslutet med stöd av bestämmelserna i 20 kap. 10 § a lagen om allmän fö</w:t>
      </w:r>
      <w:r w:rsidRPr="00896D4F">
        <w:t>r</w:t>
      </w:r>
      <w:r w:rsidRPr="00896D4F">
        <w:t>säkring.</w:t>
      </w:r>
    </w:p>
    <w:p w:rsidR="009C1C5A" w:rsidRPr="00896D4F" w:rsidRDefault="009C1C5A">
      <w:pPr>
        <w:pStyle w:val="Citat"/>
      </w:pPr>
      <w:r w:rsidRPr="00896D4F">
        <w:t>Skyldigheten att ändra gäller</w:t>
      </w:r>
    </w:p>
    <w:p w:rsidR="009C1C5A" w:rsidRPr="00896D4F" w:rsidRDefault="009C1C5A">
      <w:pPr>
        <w:pStyle w:val="Citat"/>
        <w:spacing w:before="0"/>
      </w:pPr>
      <w:r w:rsidRPr="00896D4F">
        <w:t>1. om beslutet på grund av skrivfel, räknefel eller annat sådant förbiseende innehåller uppenbar oriktighet,</w:t>
      </w:r>
    </w:p>
    <w:p w:rsidR="009C1C5A" w:rsidRPr="00896D4F" w:rsidRDefault="009C1C5A">
      <w:pPr>
        <w:pStyle w:val="Citat"/>
        <w:spacing w:before="0"/>
      </w:pPr>
      <w:r w:rsidRPr="00896D4F">
        <w:t>2. om beslutet har blivit oriktigt på grund av att det fattats på uppenbart fel</w:t>
      </w:r>
      <w:r w:rsidRPr="00896D4F">
        <w:softHyphen/>
        <w:t>aktigt eller ofullständigt underlag,</w:t>
      </w:r>
    </w:p>
    <w:p w:rsidR="009C1C5A" w:rsidRPr="00896D4F" w:rsidRDefault="009C1C5A">
      <w:pPr>
        <w:pStyle w:val="Citat"/>
        <w:spacing w:before="0"/>
      </w:pPr>
      <w:r w:rsidRPr="00896D4F">
        <w:t>3. om beslutet blivit oriktigt på grund av uppenbart felaktig rättstillämpning eller annan liknande orsak.</w:t>
      </w:r>
    </w:p>
    <w:p w:rsidR="009C1C5A" w:rsidRPr="00896D4F" w:rsidRDefault="009C1C5A">
      <w:pPr>
        <w:pStyle w:val="Citat"/>
      </w:pPr>
      <w:r w:rsidRPr="00896D4F">
        <w:t>Av förarbetena framgår att med uppenbart felaktig rättstillämpning avses såväl tillämpning av gällande bestämmelser som av vid beslutet gällande rättspraxis.</w:t>
      </w:r>
    </w:p>
    <w:p w:rsidR="009C1C5A" w:rsidRPr="00896D4F" w:rsidRDefault="009C1C5A">
      <w:pPr>
        <w:pStyle w:val="Rubrik4"/>
      </w:pPr>
      <w:r w:rsidRPr="00896D4F">
        <w:t>Försäkringskassans bedömning</w:t>
      </w:r>
    </w:p>
    <w:p w:rsidR="009C1C5A" w:rsidRPr="00896D4F" w:rsidRDefault="009C1C5A">
      <w:pPr>
        <w:pStyle w:val="Citat"/>
      </w:pPr>
      <w:r w:rsidRPr="00896D4F">
        <w:t>Försäkringskassan delar JO:s bedömning att det kan vara tveksamt om en annan bedömning på samma underlag kan utgöra skäl för ändring enligt akt</w:t>
      </w:r>
      <w:r w:rsidRPr="00896D4F">
        <w:t>u</w:t>
      </w:r>
      <w:r w:rsidRPr="00896D4F">
        <w:t>ellt lagrum utan att man tydligt anger vari felaktigheten består. Fö</w:t>
      </w:r>
      <w:r w:rsidRPr="00896D4F">
        <w:t>r</w:t>
      </w:r>
      <w:r w:rsidRPr="00896D4F">
        <w:t>säk</w:t>
      </w:r>
      <w:r w:rsidRPr="00896D4F">
        <w:softHyphen/>
        <w:t>ringskassan har efter det nu aktuella ärendet, men innan JO:s inspek</w:t>
      </w:r>
      <w:r w:rsidRPr="00896D4F">
        <w:softHyphen/>
        <w:t>tionsbe</w:t>
      </w:r>
      <w:r w:rsidRPr="00896D4F">
        <w:softHyphen/>
        <w:t>sök, tagit fram vissa riktlinjer för vad man bör tänka [på] vid prövningen av om ett beslut kan/ska ändras med stöd av 20 kap. 10 a § AFL eller inte.</w:t>
      </w:r>
    </w:p>
    <w:p w:rsidR="009C1C5A" w:rsidRPr="00896D4F" w:rsidRDefault="009C1C5A">
      <w:pPr>
        <w:pStyle w:val="Citatindrag"/>
      </w:pPr>
      <w:r w:rsidRPr="00896D4F">
        <w:t>Rätten till förtidspension för den som inte är förvärvsarbetande skall b</w:t>
      </w:r>
      <w:r w:rsidRPr="00896D4F">
        <w:t>e</w:t>
      </w:r>
      <w:r w:rsidRPr="00896D4F">
        <w:t>dömas utifrån förmågan att omsätta eventuellt hushållsarbete i ett arbete på öppna marknaden eller förmågan att klara ett nor</w:t>
      </w:r>
      <w:r w:rsidRPr="00896D4F">
        <w:softHyphen/>
        <w:t>malt arbete. Av prop. 1996/97:28 s 17–18 framgår att om sjukdomen medför att den försäkrade enbart kan klara ett speciellt arbete som endast förekommer i mycket be</w:t>
      </w:r>
      <w:r w:rsidRPr="00896D4F">
        <w:softHyphen/>
        <w:t>gränsad utsträckning kan det inte vara rimligt att bedöma hans arbetsför</w:t>
      </w:r>
      <w:r w:rsidRPr="00896D4F">
        <w:softHyphen/>
        <w:t>måga i förhållande till detta arbete med mindre än att han faktiskt erbjuds detta arbete.</w:t>
      </w:r>
    </w:p>
    <w:p w:rsidR="009C1C5A" w:rsidRPr="00896D4F" w:rsidRDefault="009C1C5A">
      <w:pPr>
        <w:pStyle w:val="Citatindrag"/>
      </w:pPr>
      <w:r w:rsidRPr="00896D4F">
        <w:t>I det aktuella ärendet bedömde behandlande läkare att A.S.</w:t>
      </w:r>
      <w:r w:rsidRPr="00896D4F">
        <w:t xml:space="preserve"> inte hade förut</w:t>
      </w:r>
      <w:r w:rsidRPr="00896D4F">
        <w:softHyphen/>
        <w:t>sättning att klara något arbete. Försäkringsläkaren hade tidigare bedömt att det enda som A.S. eventuellt skulle kunna klara var ett anpassat arbete. Detta underlag bedömde socialförsäkringsnämnden inte styrka ned</w:t>
      </w:r>
      <w:r w:rsidRPr="00896D4F">
        <w:softHyphen/>
        <w:t>sättning med en fjärdedel på grund av sjukdom.</w:t>
      </w:r>
    </w:p>
    <w:p w:rsidR="009C1C5A" w:rsidRPr="00896D4F" w:rsidRDefault="009C1C5A">
      <w:pPr>
        <w:pStyle w:val="Citatindrag"/>
      </w:pPr>
      <w:r w:rsidRPr="00896D4F">
        <w:t>Riksförsäkringsverket har inte överklagat försäkringskassans beslut att ändra beslutet med hänvis</w:t>
      </w:r>
      <w:r w:rsidRPr="00896D4F">
        <w:softHyphen/>
        <w:t>ning till uppenbart felaktig rättstillämpning och att det medicinska underlaget styrkte rätt till sjuk</w:t>
      </w:r>
      <w:r w:rsidRPr="00896D4F">
        <w:softHyphen/>
        <w:t>bidrag med beaktande av de krav som ställs i 7 kap. 3 § lagen om allmän försäkring. Den fö</w:t>
      </w:r>
      <w:r w:rsidRPr="00896D4F">
        <w:t>r</w:t>
      </w:r>
      <w:r w:rsidRPr="00896D4F">
        <w:t>säk</w:t>
      </w:r>
      <w:r w:rsidRPr="00896D4F">
        <w:softHyphen/>
        <w:t>ringsmäs</w:t>
      </w:r>
      <w:r w:rsidRPr="00896D4F">
        <w:softHyphen/>
        <w:t>siga bedömningen i ärendet har därmed inte prövats i do</w:t>
      </w:r>
      <w:r w:rsidRPr="00896D4F">
        <w:t>m</w:t>
      </w:r>
      <w:r w:rsidRPr="00896D4F">
        <w:t>stol.</w:t>
      </w:r>
    </w:p>
    <w:p w:rsidR="009C1C5A" w:rsidRPr="00896D4F" w:rsidRDefault="009C1C5A">
      <w:pPr>
        <w:pStyle w:val="Rubrik3"/>
      </w:pPr>
      <w:r w:rsidRPr="00896D4F">
        <w:t>Bedömning</w:t>
      </w:r>
    </w:p>
    <w:p w:rsidR="009C1C5A" w:rsidRPr="00896D4F" w:rsidRDefault="009C1C5A">
      <w:r w:rsidRPr="00896D4F">
        <w:t>Inledningsvis vill jag understryka, att jag inte kan uttala mig om själva sa</w:t>
      </w:r>
      <w:r w:rsidRPr="00896D4F">
        <w:t>k</w:t>
      </w:r>
      <w:r w:rsidRPr="00896D4F">
        <w:t>frågan i ärendet, dvs. om A.S. var berättigad till någon pensionsförmån eller inte. En sådan fråga skall nämligen avgöras av för</w:t>
      </w:r>
      <w:r w:rsidRPr="00896D4F">
        <w:softHyphen/>
        <w:t>säk</w:t>
      </w:r>
      <w:r w:rsidRPr="00896D4F">
        <w:softHyphen/>
        <w:t>rings</w:t>
      </w:r>
      <w:r w:rsidRPr="00896D4F">
        <w:softHyphen/>
        <w:t>kas</w:t>
      </w:r>
      <w:r w:rsidRPr="00896D4F">
        <w:softHyphen/>
        <w:t xml:space="preserve">san och </w:t>
      </w:r>
      <w:r w:rsidRPr="00896D4F">
        <w:rPr>
          <w:rFonts w:ascii="Garamond" w:hAnsi="Garamond"/>
        </w:rPr>
        <w:t>–</w:t>
      </w:r>
      <w:r w:rsidRPr="00896D4F">
        <w:t xml:space="preserve"> i de fall kassans beslut överklagas </w:t>
      </w:r>
      <w:r w:rsidRPr="00896D4F">
        <w:rPr>
          <w:rFonts w:ascii="Garamond" w:hAnsi="Garamond"/>
        </w:rPr>
        <w:t>–</w:t>
      </w:r>
      <w:r w:rsidRPr="00896D4F">
        <w:t xml:space="preserve"> av allmän förvaltningsdomstol. Min grans</w:t>
      </w:r>
      <w:r w:rsidRPr="00896D4F">
        <w:t>k</w:t>
      </w:r>
      <w:r w:rsidRPr="00896D4F">
        <w:t>ning av detta ärende är i stället inriktad på den formella sidan av saken.</w:t>
      </w:r>
    </w:p>
    <w:p w:rsidR="009C1C5A" w:rsidRPr="00896D4F" w:rsidRDefault="009C1C5A">
      <w:pPr>
        <w:pStyle w:val="Rubrik4"/>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nämndens tillämpning av 20 kap. 10 a § AFL</w:t>
      </w:r>
    </w:p>
    <w:p w:rsidR="009C1C5A" w:rsidRPr="00896D4F" w:rsidRDefault="009C1C5A">
      <w:r w:rsidRPr="00896D4F">
        <w:t xml:space="preserve">Det jag tagit upp i detta ärende </w:t>
      </w:r>
      <w:r w:rsidRPr="00896D4F">
        <w:rPr>
          <w:rFonts w:ascii="Garamond" w:hAnsi="Garamond"/>
        </w:rPr>
        <w:t>–</w:t>
      </w:r>
      <w:r w:rsidRPr="00896D4F">
        <w:t xml:space="preserve"> och som jag ifrågasatte när jag granskade det aktuella ärendet vid inspektionen </w:t>
      </w:r>
      <w:r w:rsidRPr="00896D4F">
        <w:rPr>
          <w:rFonts w:ascii="Garamond" w:hAnsi="Garamond"/>
        </w:rPr>
        <w:t xml:space="preserve">– </w:t>
      </w:r>
      <w:r w:rsidRPr="00896D4F">
        <w:t>är om för</w:t>
      </w:r>
      <w:r w:rsidRPr="00896D4F">
        <w:softHyphen/>
        <w:t>säk</w:t>
      </w:r>
      <w:r w:rsidRPr="00896D4F">
        <w:softHyphen/>
        <w:t>rings</w:t>
      </w:r>
      <w:r w:rsidRPr="00896D4F">
        <w:softHyphen/>
        <w:t>kas</w:t>
      </w:r>
      <w:r w:rsidRPr="00896D4F">
        <w:softHyphen/>
        <w:t>san gjorde rätt när den åberopade 20 kap. 10 a § 3 lagen (1962:381) om all</w:t>
      </w:r>
      <w:r w:rsidRPr="00896D4F">
        <w:softHyphen/>
        <w:t>män för</w:t>
      </w:r>
      <w:r w:rsidRPr="00896D4F">
        <w:softHyphen/>
        <w:t>säk</w:t>
      </w:r>
      <w:r w:rsidRPr="00896D4F">
        <w:softHyphen/>
        <w:t>ring (AFL) för att kunna ändra sitt tidigare beslut.</w:t>
      </w:r>
    </w:p>
    <w:p w:rsidR="009C1C5A" w:rsidRPr="00896D4F" w:rsidRDefault="009C1C5A">
      <w:pPr>
        <w:pStyle w:val="Normaltindrag"/>
      </w:pPr>
      <w:r w:rsidRPr="00896D4F">
        <w:t>Som framgått ovan skall för</w:t>
      </w:r>
      <w:r w:rsidRPr="00896D4F">
        <w:softHyphen/>
        <w:t>säk</w:t>
      </w:r>
      <w:r w:rsidRPr="00896D4F">
        <w:softHyphen/>
        <w:t>rings</w:t>
      </w:r>
      <w:r w:rsidRPr="00896D4F">
        <w:softHyphen/>
        <w:t>kas</w:t>
      </w:r>
      <w:r w:rsidRPr="00896D4F">
        <w:softHyphen/>
        <w:t>san enligt nämnda bestämmelse ändra ett beslut om försäk</w:t>
      </w:r>
      <w:r w:rsidRPr="00896D4F">
        <w:softHyphen/>
        <w:t>ring enligt AFL, som har fattats av kassan och inte har prövats av domstol, bl.a. om beslutet blivit oriktigt på grund av uppenbart felaktig rätts</w:t>
      </w:r>
      <w:r w:rsidRPr="00896D4F">
        <w:softHyphen/>
        <w:t>till</w:t>
      </w:r>
      <w:r w:rsidRPr="00896D4F">
        <w:softHyphen/>
        <w:t>lämp</w:t>
      </w:r>
      <w:r w:rsidRPr="00896D4F">
        <w:softHyphen/>
        <w:t>ning eller annan liknande orsak. Lagrummet kan sägas ange de minimikrav som skall gälla för för</w:t>
      </w:r>
      <w:r w:rsidRPr="00896D4F">
        <w:softHyphen/>
        <w:t>säk</w:t>
      </w:r>
      <w:r w:rsidRPr="00896D4F">
        <w:softHyphen/>
        <w:t>rings</w:t>
      </w:r>
      <w:r w:rsidRPr="00896D4F">
        <w:softHyphen/>
        <w:t>kas</w:t>
      </w:r>
      <w:r w:rsidRPr="00896D4F">
        <w:softHyphen/>
        <w:t xml:space="preserve">sans </w:t>
      </w:r>
      <w:r w:rsidRPr="00896D4F">
        <w:rPr>
          <w:i/>
        </w:rPr>
        <w:t>skyldighet</w:t>
      </w:r>
      <w:r w:rsidRPr="00896D4F">
        <w:t xml:space="preserve"> att ändra ett beslut som i efter</w:t>
      </w:r>
      <w:r w:rsidRPr="00896D4F">
        <w:softHyphen/>
        <w:t xml:space="preserve">hand framstår som felaktigt. </w:t>
      </w:r>
      <w:r w:rsidRPr="00896D4F">
        <w:rPr>
          <w:rFonts w:ascii="Garamond" w:hAnsi="Garamond"/>
        </w:rPr>
        <w:t>–</w:t>
      </w:r>
      <w:r w:rsidRPr="00896D4F">
        <w:t xml:space="preserve"> Jag går inte in på de två övriga ändrings</w:t>
      </w:r>
      <w:r w:rsidRPr="00896D4F">
        <w:softHyphen/>
        <w:t>grun</w:t>
      </w:r>
      <w:r w:rsidRPr="00896D4F">
        <w:softHyphen/>
        <w:t>der</w:t>
      </w:r>
      <w:r w:rsidRPr="00896D4F">
        <w:softHyphen/>
        <w:t>na (uppen</w:t>
      </w:r>
      <w:r w:rsidRPr="00896D4F">
        <w:softHyphen/>
        <w:t>bar oriktighet på grund av förbi</w:t>
      </w:r>
      <w:r w:rsidRPr="00896D4F">
        <w:t>seende resp. uppenbara brister i besluts</w:t>
      </w:r>
      <w:r w:rsidRPr="00896D4F">
        <w:softHyphen/>
        <w:t>underlaget), eftersom de inte är aktuella här.</w:t>
      </w:r>
    </w:p>
    <w:p w:rsidR="009C1C5A" w:rsidRPr="00896D4F" w:rsidRDefault="009C1C5A">
      <w:pPr>
        <w:pStyle w:val="Normaltindrag"/>
      </w:pPr>
      <w:r w:rsidRPr="00896D4F">
        <w:t>Frågan om omprövning enligt 20 kap. 10 a § AFL tas rutinmässigt upp i samband med att den enskilde överklagar för</w:t>
      </w:r>
      <w:r w:rsidRPr="00896D4F">
        <w:softHyphen/>
        <w:t>säk</w:t>
      </w:r>
      <w:r w:rsidRPr="00896D4F">
        <w:softHyphen/>
        <w:t>rings</w:t>
      </w:r>
      <w:r w:rsidRPr="00896D4F">
        <w:softHyphen/>
        <w:t>kas</w:t>
      </w:r>
      <w:r w:rsidRPr="00896D4F">
        <w:softHyphen/>
        <w:t>sans beslut. För ärenden som prö</w:t>
      </w:r>
      <w:r w:rsidRPr="00896D4F">
        <w:softHyphen/>
        <w:t>vats av so</w:t>
      </w:r>
      <w:r w:rsidRPr="00896D4F">
        <w:softHyphen/>
        <w:t>ci</w:t>
      </w:r>
      <w:r w:rsidRPr="00896D4F">
        <w:softHyphen/>
        <w:t>al</w:t>
      </w:r>
      <w:r w:rsidRPr="00896D4F">
        <w:softHyphen/>
        <w:t>för</w:t>
      </w:r>
      <w:r w:rsidRPr="00896D4F">
        <w:softHyphen/>
        <w:t>säk</w:t>
      </w:r>
      <w:r w:rsidRPr="00896D4F">
        <w:softHyphen/>
        <w:t>rings</w:t>
      </w:r>
      <w:r w:rsidRPr="00896D4F">
        <w:softHyphen/>
        <w:t>nämnden torde för</w:t>
      </w:r>
      <w:r w:rsidRPr="00896D4F">
        <w:softHyphen/>
        <w:t>säk</w:t>
      </w:r>
      <w:r w:rsidRPr="00896D4F">
        <w:softHyphen/>
        <w:t>rings</w:t>
      </w:r>
      <w:r w:rsidRPr="00896D4F">
        <w:softHyphen/>
        <w:t>kas</w:t>
      </w:r>
      <w:r w:rsidRPr="00896D4F">
        <w:softHyphen/>
        <w:t>sorna som regel tillämpa den rutinen, att en tjänste</w:t>
      </w:r>
      <w:r w:rsidRPr="00896D4F">
        <w:softHyphen/>
        <w:t>man vid kassan bedömer om en ändring kan bli aktuell. Om så inte är fallet, skall överklagandet och övriga handlingar skyndsamt över</w:t>
      </w:r>
      <w:r w:rsidRPr="00896D4F">
        <w:softHyphen/>
        <w:t>lämnas till länsrätten. Finner tjänstemannen dä</w:t>
      </w:r>
      <w:r w:rsidRPr="00896D4F">
        <w:t>r</w:t>
      </w:r>
      <w:r w:rsidRPr="00896D4F">
        <w:t>emot att nämndens beslut bör änd</w:t>
      </w:r>
      <w:r w:rsidRPr="00896D4F">
        <w:softHyphen/>
        <w:t>ras med stöd av 20 kap. 10 a § AFL tas den frågan upp av nämnden.</w:t>
      </w:r>
    </w:p>
    <w:p w:rsidR="009C1C5A" w:rsidRPr="00896D4F" w:rsidRDefault="009C1C5A">
      <w:pPr>
        <w:pStyle w:val="Normaltindrag"/>
      </w:pPr>
      <w:r w:rsidRPr="00896D4F">
        <w:t>I det av mig granskade ärendet hade so</w:t>
      </w:r>
      <w:r w:rsidRPr="00896D4F">
        <w:softHyphen/>
        <w:t>ci</w:t>
      </w:r>
      <w:r w:rsidRPr="00896D4F">
        <w:softHyphen/>
        <w:t>al</w:t>
      </w:r>
      <w:r w:rsidRPr="00896D4F">
        <w:softHyphen/>
        <w:t>för</w:t>
      </w:r>
      <w:r w:rsidRPr="00896D4F">
        <w:softHyphen/>
        <w:t>säk</w:t>
      </w:r>
      <w:r w:rsidRPr="00896D4F">
        <w:softHyphen/>
        <w:t>rings</w:t>
      </w:r>
      <w:r w:rsidRPr="00896D4F">
        <w:softHyphen/>
        <w:t>nämnden avslagit A.S:s an</w:t>
      </w:r>
      <w:r w:rsidRPr="00896D4F">
        <w:softHyphen/>
        <w:t>sö</w:t>
      </w:r>
      <w:r w:rsidRPr="00896D4F">
        <w:softHyphen/>
        <w:t>kan om för</w:t>
      </w:r>
      <w:r w:rsidRPr="00896D4F">
        <w:softHyphen/>
        <w:t>tids</w:t>
      </w:r>
      <w:r w:rsidRPr="00896D4F">
        <w:softHyphen/>
        <w:t>pen</w:t>
      </w:r>
      <w:r w:rsidRPr="00896D4F">
        <w:softHyphen/>
        <w:t>sion. Sedan hon överklagat beslutet togs ärendet åter upp i nämnden. I protokollet från nämndens sam</w:t>
      </w:r>
      <w:r w:rsidRPr="00896D4F">
        <w:softHyphen/>
        <w:t>man</w:t>
      </w:r>
      <w:r w:rsidRPr="00896D4F">
        <w:softHyphen/>
        <w:t>träde den 15 juni 2000 antecknades följande som nämndens beslut.</w:t>
      </w:r>
    </w:p>
    <w:p w:rsidR="009C1C5A" w:rsidRPr="00896D4F" w:rsidRDefault="009C1C5A">
      <w:pPr>
        <w:pStyle w:val="Citat"/>
      </w:pPr>
      <w:r w:rsidRPr="00896D4F">
        <w:t>So</w:t>
      </w:r>
      <w:r w:rsidRPr="00896D4F">
        <w:softHyphen/>
        <w:t>ci</w:t>
      </w:r>
      <w:r w:rsidRPr="00896D4F">
        <w:softHyphen/>
        <w:t>al</w:t>
      </w:r>
      <w:r w:rsidRPr="00896D4F">
        <w:softHyphen/>
        <w:t>för</w:t>
      </w:r>
      <w:r w:rsidRPr="00896D4F">
        <w:softHyphen/>
        <w:t>säk</w:t>
      </w:r>
      <w:r w:rsidRPr="00896D4F">
        <w:softHyphen/>
        <w:t>rings</w:t>
      </w:r>
      <w:r w:rsidRPr="00896D4F">
        <w:softHyphen/>
        <w:t>nämnden finner vid prövning enligt 20 kap. 10 a § lagen om all</w:t>
      </w:r>
      <w:r w:rsidRPr="00896D4F">
        <w:softHyphen/>
        <w:t>män för</w:t>
      </w:r>
      <w:r w:rsidRPr="00896D4F">
        <w:softHyphen/>
        <w:t>säk</w:t>
      </w:r>
      <w:r w:rsidRPr="00896D4F">
        <w:softHyphen/>
        <w:t>ring [anledning] att ändra sitt tidigare beslut den 9 mars 2000.</w:t>
      </w:r>
    </w:p>
    <w:p w:rsidR="009C1C5A" w:rsidRPr="00896D4F" w:rsidRDefault="009C1C5A">
      <w:pPr>
        <w:pStyle w:val="Citat"/>
      </w:pPr>
      <w:r w:rsidRPr="00896D4F">
        <w:t>Nytt beslut: Helt sjukbidrag fr.o.m. mars 1999 t.o.m. mars 2001. Pension</w:t>
      </w:r>
      <w:r w:rsidRPr="00896D4F">
        <w:t>s</w:t>
      </w:r>
      <w:r w:rsidRPr="00896D4F">
        <w:t>fallsår 1999. Motivering framgår av bilaga.</w:t>
      </w:r>
    </w:p>
    <w:p w:rsidR="009C1C5A" w:rsidRPr="00896D4F" w:rsidRDefault="009C1C5A">
      <w:r w:rsidRPr="00896D4F">
        <w:t>I bilagan angavs följande motivering till so</w:t>
      </w:r>
      <w:r w:rsidRPr="00896D4F">
        <w:softHyphen/>
        <w:t>ci</w:t>
      </w:r>
      <w:r w:rsidRPr="00896D4F">
        <w:softHyphen/>
        <w:t>al</w:t>
      </w:r>
      <w:r w:rsidRPr="00896D4F">
        <w:softHyphen/>
        <w:t>för</w:t>
      </w:r>
      <w:r w:rsidRPr="00896D4F">
        <w:softHyphen/>
        <w:t>säk</w:t>
      </w:r>
      <w:r w:rsidRPr="00896D4F">
        <w:softHyphen/>
        <w:t>rings</w:t>
      </w:r>
      <w:r w:rsidRPr="00896D4F">
        <w:softHyphen/>
        <w:t>nämndens beslut.</w:t>
      </w:r>
    </w:p>
    <w:p w:rsidR="009C1C5A" w:rsidRPr="00896D4F" w:rsidRDefault="009C1C5A">
      <w:pPr>
        <w:pStyle w:val="Citat"/>
      </w:pPr>
      <w:r w:rsidRPr="00896D4F">
        <w:t>Vid so</w:t>
      </w:r>
      <w:r w:rsidRPr="00896D4F">
        <w:softHyphen/>
        <w:t>ci</w:t>
      </w:r>
      <w:r w:rsidRPr="00896D4F">
        <w:softHyphen/>
        <w:t>al</w:t>
      </w:r>
      <w:r w:rsidRPr="00896D4F">
        <w:softHyphen/>
        <w:t>för</w:t>
      </w:r>
      <w:r w:rsidRPr="00896D4F">
        <w:softHyphen/>
        <w:t>säk</w:t>
      </w:r>
      <w:r w:rsidRPr="00896D4F">
        <w:softHyphen/>
        <w:t>rings</w:t>
      </w:r>
      <w:r w:rsidRPr="00896D4F">
        <w:softHyphen/>
        <w:t>nämndssammanträde den 9 mars 2000 beslutades att avslå den försäkrades ansökan om för</w:t>
      </w:r>
      <w:r w:rsidRPr="00896D4F">
        <w:softHyphen/>
        <w:t>tids</w:t>
      </w:r>
      <w:r w:rsidRPr="00896D4F">
        <w:softHyphen/>
        <w:t>pen</w:t>
      </w:r>
      <w:r w:rsidRPr="00896D4F">
        <w:softHyphen/>
        <w:t>sion då arbetsförmågan inte bedömdes vara nedsatt med minst en fjärdedel på grund av sjukdom.</w:t>
      </w:r>
    </w:p>
    <w:p w:rsidR="009C1C5A" w:rsidRPr="00896D4F" w:rsidRDefault="009C1C5A">
      <w:pPr>
        <w:pStyle w:val="Citatindrag"/>
      </w:pPr>
      <w:r w:rsidRPr="00896D4F">
        <w:t>Den försäkrade har i skrivelse som inkom den 26 april 2000 överklagat fattat beslut och hävdar att hon lider av ett flertal sjukdomar sedan flera år tillbaka. Hon har via socialtjänsten deltagit i ett Sara-projekt innebärande sy, klippning, läsa svenska och skriva. Deltog tre veckor varefter hon på gr</w:t>
      </w:r>
      <w:r w:rsidRPr="00896D4F">
        <w:t>und av sjukdom slutade.</w:t>
      </w:r>
    </w:p>
    <w:p w:rsidR="009C1C5A" w:rsidRPr="00896D4F" w:rsidRDefault="009C1C5A">
      <w:pPr>
        <w:pStyle w:val="Citatindrag"/>
      </w:pPr>
      <w:r w:rsidRPr="00896D4F">
        <w:t>I läkarutlåtande som inkom den 13 oktober 1999 från dl B.Z, B-s vårdce</w:t>
      </w:r>
      <w:r w:rsidRPr="00896D4F">
        <w:t>n</w:t>
      </w:r>
      <w:r w:rsidRPr="00896D4F">
        <w:t>tral, anges att den för</w:t>
      </w:r>
      <w:r w:rsidRPr="00896D4F">
        <w:softHyphen/>
        <w:t>säk</w:t>
      </w:r>
      <w:r w:rsidRPr="00896D4F">
        <w:softHyphen/>
        <w:t>rades somatiska tillstånd kompliceras av sociokult</w:t>
      </w:r>
      <w:r w:rsidRPr="00896D4F">
        <w:t>u</w:t>
      </w:r>
      <w:r w:rsidRPr="00896D4F">
        <w:t>rella faktorer. Det är möjligt att om hon nu haft en stabil kulturell och social bakgrund skulle kunna klara anpassat arbete, men utifån patientens för</w:t>
      </w:r>
      <w:r w:rsidRPr="00896D4F">
        <w:softHyphen/>
        <w:t>utsättningar ter det sig helt orealistiskt att hon någonsin kommer att kunna stå till arbetsmark</w:t>
      </w:r>
      <w:r w:rsidRPr="00896D4F">
        <w:softHyphen/>
        <w:t>na</w:t>
      </w:r>
      <w:r w:rsidRPr="00896D4F">
        <w:softHyphen/>
        <w:t>dens förfogande. För</w:t>
      </w:r>
      <w:r w:rsidRPr="00896D4F">
        <w:softHyphen/>
        <w:t>säk</w:t>
      </w:r>
      <w:r w:rsidRPr="00896D4F">
        <w:softHyphen/>
        <w:t>rings</w:t>
      </w:r>
      <w:r w:rsidRPr="00896D4F">
        <w:softHyphen/>
        <w:t>kas</w:t>
      </w:r>
      <w:r w:rsidRPr="00896D4F">
        <w:softHyphen/>
        <w:t>sans för</w:t>
      </w:r>
      <w:r w:rsidRPr="00896D4F">
        <w:softHyphen/>
        <w:t>säkringsläkare har granskat ärendet den 26 oktober 1999 och finner att underlaget behöver ko</w:t>
      </w:r>
      <w:r w:rsidRPr="00896D4F">
        <w:t>m</w:t>
      </w:r>
      <w:r w:rsidRPr="00896D4F">
        <w:t>pletteras med en funktionsanalys vid Integr</w:t>
      </w:r>
      <w:r w:rsidRPr="00896D4F">
        <w:t>ation &amp; Rehabi</w:t>
      </w:r>
      <w:r w:rsidRPr="00896D4F">
        <w:softHyphen/>
        <w:t>li</w:t>
      </w:r>
      <w:r w:rsidRPr="00896D4F">
        <w:softHyphen/>
        <w:t>tering och föreslår att den försäkrade remitteras dit.</w:t>
      </w:r>
    </w:p>
    <w:p w:rsidR="009C1C5A" w:rsidRPr="00896D4F" w:rsidRDefault="009C1C5A">
      <w:pPr>
        <w:pStyle w:val="Citatindrag"/>
      </w:pPr>
      <w:r w:rsidRPr="00896D4F">
        <w:t>Utifrån de handlingar som finns i ärendet så har för</w:t>
      </w:r>
      <w:r w:rsidRPr="00896D4F">
        <w:softHyphen/>
        <w:t>säk</w:t>
      </w:r>
      <w:r w:rsidRPr="00896D4F">
        <w:softHyphen/>
        <w:t>rings</w:t>
      </w:r>
      <w:r w:rsidRPr="00896D4F">
        <w:softHyphen/>
        <w:t>kas</w:t>
      </w:r>
      <w:r w:rsidRPr="00896D4F">
        <w:softHyphen/>
        <w:t>san inte til</w:t>
      </w:r>
      <w:r w:rsidRPr="00896D4F">
        <w:t>l</w:t>
      </w:r>
      <w:r w:rsidRPr="00896D4F">
        <w:t>räckligt med underlag för att kunna ta ställning till den medicinska nedsät</w:t>
      </w:r>
      <w:r w:rsidRPr="00896D4F">
        <w:t>t</w:t>
      </w:r>
      <w:r w:rsidRPr="00896D4F">
        <w:t>ningen vad gäller omfattning och varaktighet. Vidare utredning krävs för att ta ställning [till] den försäkrades ansökan. I avvaktan på ytterligare utredning och att behandlande läkare anger att om möjligt är det anpassat arbete som avses skall den försäkrade vara berättigad till ett helt sjuk</w:t>
      </w:r>
      <w:r w:rsidRPr="00896D4F">
        <w:softHyphen/>
        <w:t>bi</w:t>
      </w:r>
      <w:r w:rsidRPr="00896D4F">
        <w:softHyphen/>
        <w:t>drag. Hon anses vara berättigad till ett helt sjukbi</w:t>
      </w:r>
      <w:r w:rsidRPr="00896D4F">
        <w:softHyphen/>
        <w:t>drag fr.o.m. mars 1999 t.o.m. mars 2001 och att man under</w:t>
      </w:r>
      <w:r w:rsidRPr="00896D4F">
        <w:t xml:space="preserve"> denna tid vidare utreder den försäkra</w:t>
      </w:r>
      <w:r w:rsidRPr="00896D4F">
        <w:softHyphen/>
        <w:t>des arbetsförmåga. Pe</w:t>
      </w:r>
      <w:r w:rsidRPr="00896D4F">
        <w:t>n</w:t>
      </w:r>
      <w:r w:rsidRPr="00896D4F">
        <w:t>sionsfallsåret fastställs till 1999 då läkarutlåtandet styrker att en medicinsk nedsättning föreligger.</w:t>
      </w:r>
    </w:p>
    <w:p w:rsidR="009C1C5A" w:rsidRPr="00896D4F" w:rsidRDefault="009C1C5A">
      <w:r w:rsidRPr="00896D4F">
        <w:t>Som framgår av det ovanstående har so</w:t>
      </w:r>
      <w:r w:rsidRPr="00896D4F">
        <w:softHyphen/>
        <w:t>ci</w:t>
      </w:r>
      <w:r w:rsidRPr="00896D4F">
        <w:softHyphen/>
        <w:t>al</w:t>
      </w:r>
      <w:r w:rsidRPr="00896D4F">
        <w:softHyphen/>
        <w:t>för</w:t>
      </w:r>
      <w:r w:rsidRPr="00896D4F">
        <w:softHyphen/>
        <w:t>säk</w:t>
      </w:r>
      <w:r w:rsidRPr="00896D4F">
        <w:softHyphen/>
        <w:t>rings</w:t>
      </w:r>
      <w:r w:rsidRPr="00896D4F">
        <w:softHyphen/>
        <w:t>nämnden grundat sitt beslut på ett underlag som förelåg redan vid tiden för det ursprungliga besl</w:t>
      </w:r>
      <w:r w:rsidRPr="00896D4F">
        <w:t>u</w:t>
      </w:r>
      <w:r w:rsidRPr="00896D4F">
        <w:t>tet. Nämn</w:t>
      </w:r>
      <w:r w:rsidRPr="00896D4F">
        <w:softHyphen/>
        <w:t xml:space="preserve">den har således gjort en ny </w:t>
      </w:r>
      <w:r w:rsidRPr="00896D4F">
        <w:rPr>
          <w:rFonts w:ascii="Garamond" w:hAnsi="Garamond"/>
        </w:rPr>
        <w:t>–</w:t>
      </w:r>
      <w:r w:rsidRPr="00896D4F">
        <w:t xml:space="preserve"> och annan </w:t>
      </w:r>
      <w:r w:rsidRPr="00896D4F">
        <w:rPr>
          <w:rFonts w:ascii="Garamond" w:hAnsi="Garamond"/>
        </w:rPr>
        <w:t>–</w:t>
      </w:r>
      <w:r w:rsidRPr="00896D4F">
        <w:t xml:space="preserve"> bedömning av materialet. I sitt ändrade beslut delade nämnden försäkringsläkarens uppfattning att y</w:t>
      </w:r>
      <w:r w:rsidRPr="00896D4F">
        <w:t>t</w:t>
      </w:r>
      <w:r w:rsidRPr="00896D4F">
        <w:t>terligare utredning krävdes för att kunna ta ställning till den medicinska ne</w:t>
      </w:r>
      <w:r w:rsidRPr="00896D4F">
        <w:t>d</w:t>
      </w:r>
      <w:r w:rsidRPr="00896D4F">
        <w:t>sättningens omfattning och varaktighet.</w:t>
      </w:r>
    </w:p>
    <w:p w:rsidR="009C1C5A" w:rsidRPr="00896D4F" w:rsidRDefault="009C1C5A">
      <w:pPr>
        <w:pStyle w:val="Normaltindrag"/>
      </w:pPr>
      <w:r w:rsidRPr="00896D4F">
        <w:t>Jag kan för min del inte ut</w:t>
      </w:r>
      <w:r w:rsidRPr="00896D4F">
        <w:softHyphen/>
        <w:t xml:space="preserve">läsa av nämndens motivering att ändringen skulle ha skett på grund av </w:t>
      </w:r>
      <w:r w:rsidRPr="00896D4F">
        <w:rPr>
          <w:i/>
        </w:rPr>
        <w:t>uppen</w:t>
      </w:r>
      <w:r w:rsidRPr="00896D4F">
        <w:rPr>
          <w:i/>
        </w:rPr>
        <w:softHyphen/>
        <w:t>bart felaktig rättstillämpning</w:t>
      </w:r>
      <w:r w:rsidRPr="00896D4F">
        <w:t>. Inslaget av til</w:t>
      </w:r>
      <w:r w:rsidRPr="00896D4F">
        <w:softHyphen/>
      </w:r>
      <w:r w:rsidRPr="00896D4F">
        <w:t>lämp</w:t>
      </w:r>
      <w:r w:rsidRPr="00896D4F">
        <w:softHyphen/>
      </w:r>
      <w:r w:rsidRPr="00896D4F">
        <w:softHyphen/>
        <w:t>ning av för</w:t>
      </w:r>
      <w:r w:rsidRPr="00896D4F">
        <w:softHyphen/>
        <w:t>fatt</w:t>
      </w:r>
      <w:r w:rsidRPr="00896D4F">
        <w:softHyphen/>
      </w:r>
      <w:r w:rsidRPr="00896D4F">
        <w:softHyphen/>
        <w:t>ningsbestämmelser eller stadgad rättspraxis förefaller också ha varit måttligt i ären</w:t>
      </w:r>
      <w:r w:rsidRPr="00896D4F">
        <w:softHyphen/>
        <w:t>det; det nämnden hade att ta ställning till i än</w:t>
      </w:r>
      <w:r w:rsidRPr="00896D4F">
        <w:t>d</w:t>
      </w:r>
      <w:r w:rsidRPr="00896D4F">
        <w:t>ringsbeslutet var ju sna</w:t>
      </w:r>
      <w:r w:rsidRPr="00896D4F">
        <w:softHyphen/>
        <w:t>rare vilka kon</w:t>
      </w:r>
      <w:r w:rsidRPr="00896D4F">
        <w:softHyphen/>
        <w:t>se</w:t>
      </w:r>
      <w:r w:rsidRPr="00896D4F">
        <w:softHyphen/>
        <w:t>kvenser det medicinska underlaget hade för ärendets fort</w:t>
      </w:r>
      <w:r w:rsidRPr="00896D4F">
        <w:softHyphen/>
        <w:t>satta hand</w:t>
      </w:r>
      <w:r w:rsidRPr="00896D4F">
        <w:softHyphen/>
        <w:t>lägg</w:t>
      </w:r>
      <w:r w:rsidRPr="00896D4F">
        <w:softHyphen/>
        <w:t>ning. Enligt min mening borde nämnden betydligt klarare ha redovisat i änd</w:t>
      </w:r>
      <w:r w:rsidRPr="00896D4F">
        <w:softHyphen/>
        <w:t>ringsbeslutet vari den uppenbart fela</w:t>
      </w:r>
      <w:r w:rsidRPr="00896D4F">
        <w:t>ktiga rättstillämp</w:t>
      </w:r>
      <w:r w:rsidRPr="00896D4F">
        <w:softHyphen/>
        <w:t>ningen bestod.</w:t>
      </w:r>
    </w:p>
    <w:p w:rsidR="009C1C5A" w:rsidRPr="00896D4F" w:rsidRDefault="009C1C5A">
      <w:pPr>
        <w:pStyle w:val="Normaltindrag"/>
      </w:pPr>
      <w:r w:rsidRPr="00896D4F">
        <w:t>I 20 kap. 10 a § AFL anges som alternativ till ”uppenbart felaktigt rätt</w:t>
      </w:r>
      <w:r w:rsidRPr="00896D4F">
        <w:t>s</w:t>
      </w:r>
      <w:r w:rsidRPr="00896D4F">
        <w:t>tilllämp</w:t>
      </w:r>
      <w:r w:rsidRPr="00896D4F">
        <w:softHyphen/>
        <w:t>ning” att beslutet blivit oriktigt på grund av ”annan liknande orsak”. Som exempel på vad som avses med detta har nämnts att beslutsfattaren har misstagit sig i fråga om en faktisk omständighet som ingår i beslutsunderl</w:t>
      </w:r>
      <w:r w:rsidRPr="00896D4F">
        <w:t>a</w:t>
      </w:r>
      <w:r w:rsidRPr="00896D4F">
        <w:t>get. Det är naturligtvis möj</w:t>
      </w:r>
      <w:r w:rsidRPr="00896D4F">
        <w:softHyphen/>
        <w:t>ligt, att nämnden ansåg sig tillämpa den senare grunden för sitt ändringsbeslut. Inte heller detta framgår i så fall av beslutets motivering.</w:t>
      </w:r>
    </w:p>
    <w:p w:rsidR="009C1C5A" w:rsidRPr="00896D4F" w:rsidRDefault="009C1C5A">
      <w:pPr>
        <w:pStyle w:val="Normaltindrag"/>
      </w:pPr>
      <w:r w:rsidRPr="00896D4F">
        <w:t>Innan jag lämnar denna fråga vill jag erinra om uppenbarhetskriteriets ex</w:t>
      </w:r>
      <w:r w:rsidRPr="00896D4F">
        <w:t>i</w:t>
      </w:r>
      <w:r w:rsidRPr="00896D4F">
        <w:t>stens. Av</w:t>
      </w:r>
      <w:r w:rsidRPr="00896D4F">
        <w:softHyphen/>
        <w:t>sikten med den aktuella regeln är att ändring av ett beslut skall ku</w:t>
      </w:r>
      <w:r w:rsidRPr="00896D4F">
        <w:t>n</w:t>
      </w:r>
      <w:r w:rsidRPr="00896D4F">
        <w:t>na göras på det</w:t>
      </w:r>
      <w:r w:rsidRPr="00896D4F">
        <w:softHyphen/>
        <w:t>ta sätt endast om vissa kva</w:t>
      </w:r>
      <w:r w:rsidRPr="00896D4F">
        <w:softHyphen/>
        <w:t>li</w:t>
      </w:r>
      <w:r w:rsidRPr="00896D4F">
        <w:softHyphen/>
        <w:t>ficerade felaktighe</w:t>
      </w:r>
      <w:r w:rsidRPr="00896D4F">
        <w:softHyphen/>
        <w:t>ter föreligger. En för</w:t>
      </w:r>
      <w:r w:rsidRPr="00896D4F">
        <w:softHyphen/>
        <w:t>säk</w:t>
      </w:r>
      <w:r w:rsidRPr="00896D4F">
        <w:softHyphen/>
        <w:t>rings</w:t>
      </w:r>
      <w:r w:rsidRPr="00896D4F">
        <w:softHyphen/>
        <w:t>kas</w:t>
      </w:r>
      <w:r w:rsidRPr="00896D4F">
        <w:softHyphen/>
      </w:r>
      <w:r w:rsidRPr="00896D4F">
        <w:softHyphen/>
        <w:t>sa bör därför vid sin tillämpning vara observant på att ti</w:t>
      </w:r>
      <w:r w:rsidRPr="00896D4F">
        <w:t>l</w:t>
      </w:r>
      <w:r w:rsidRPr="00896D4F">
        <w:t>lämp</w:t>
      </w:r>
      <w:r w:rsidRPr="00896D4F">
        <w:softHyphen/>
        <w:t>ningen av lag</w:t>
      </w:r>
      <w:r w:rsidRPr="00896D4F">
        <w:softHyphen/>
        <w:t>rummet inte tänjs utanför det område det är avsett för.</w:t>
      </w:r>
    </w:p>
    <w:p w:rsidR="009C1C5A" w:rsidRPr="00896D4F" w:rsidRDefault="009C1C5A">
      <w:pPr>
        <w:pStyle w:val="Rubrik4"/>
      </w:pPr>
      <w:r w:rsidRPr="00896D4F">
        <w:t>Ytterligare möjligheter till ändring av beslut</w:t>
      </w:r>
    </w:p>
    <w:p w:rsidR="009C1C5A" w:rsidRPr="00896D4F" w:rsidRDefault="009C1C5A">
      <w:r w:rsidRPr="00896D4F">
        <w:t>20 kap. 10 a § AFL innefattar, som framgår ovan, en miniminivå för för</w:t>
      </w:r>
      <w:r w:rsidRPr="00896D4F">
        <w:softHyphen/>
        <w:t>säk</w:t>
      </w:r>
      <w:r w:rsidRPr="00896D4F">
        <w:softHyphen/>
        <w:t>rings</w:t>
      </w:r>
      <w:r w:rsidRPr="00896D4F">
        <w:softHyphen/>
        <w:t>kas</w:t>
      </w:r>
      <w:r w:rsidRPr="00896D4F">
        <w:softHyphen/>
        <w:t>sans skyldighet att ändra ett felaktigt beslut. En annan sak är att för</w:t>
      </w:r>
      <w:r w:rsidRPr="00896D4F">
        <w:softHyphen/>
        <w:t>säk</w:t>
      </w:r>
      <w:r w:rsidRPr="00896D4F">
        <w:softHyphen/>
        <w:t>rings</w:t>
      </w:r>
      <w:r w:rsidRPr="00896D4F">
        <w:softHyphen/>
        <w:t>kas</w:t>
      </w:r>
      <w:r w:rsidRPr="00896D4F">
        <w:softHyphen/>
        <w:t xml:space="preserve">san ändå kan ha </w:t>
      </w:r>
      <w:r w:rsidRPr="00896D4F">
        <w:rPr>
          <w:i/>
        </w:rPr>
        <w:t>befogenhet</w:t>
      </w:r>
      <w:r w:rsidRPr="00896D4F">
        <w:t xml:space="preserve"> att i vissa situationer ändra ett redan fattat beslut. En sådan befogenhet följer av de principer som utvecklats i praxis och som inne</w:t>
      </w:r>
      <w:r w:rsidRPr="00896D4F">
        <w:softHyphen/>
        <w:t>bär att för</w:t>
      </w:r>
      <w:r w:rsidRPr="00896D4F">
        <w:softHyphen/>
        <w:t>valtningsbeslut endast i begränsad omfattning vinner s.k. negativ rätts</w:t>
      </w:r>
      <w:r w:rsidRPr="00896D4F">
        <w:softHyphen/>
        <w:t>kraft. Detta gäller i synnerhet för avslagsbeslut. En myndighet har således möjlig</w:t>
      </w:r>
      <w:r w:rsidRPr="00896D4F">
        <w:softHyphen/>
        <w:t>het att ändra ett sådant beslut till den enskildes förmån, därtill oavsett om besl</w:t>
      </w:r>
      <w:r w:rsidRPr="00896D4F">
        <w:t>utet vunnit laga kraft eller inte. En sådan än</w:t>
      </w:r>
      <w:r w:rsidRPr="00896D4F">
        <w:t>d</w:t>
      </w:r>
      <w:r w:rsidRPr="00896D4F">
        <w:t>ring kan göras även om det inte förekom</w:t>
      </w:r>
      <w:r w:rsidRPr="00896D4F">
        <w:softHyphen/>
        <w:t>mit några direkta felaktigheter; det räcker med att myndigheten gjort en ny lämp</w:t>
      </w:r>
      <w:r w:rsidRPr="00896D4F">
        <w:softHyphen/>
        <w:t>lighets</w:t>
      </w:r>
      <w:r w:rsidRPr="00896D4F">
        <w:softHyphen/>
        <w:t>be</w:t>
      </w:r>
      <w:r w:rsidRPr="00896D4F">
        <w:softHyphen/>
        <w:t xml:space="preserve">dömning. </w:t>
      </w:r>
      <w:r w:rsidRPr="00896D4F">
        <w:rPr>
          <w:rFonts w:ascii="Garamond" w:hAnsi="Garamond"/>
        </w:rPr>
        <w:t>–</w:t>
      </w:r>
      <w:r w:rsidRPr="00896D4F">
        <w:t xml:space="preserve"> Myndigh</w:t>
      </w:r>
      <w:r w:rsidRPr="00896D4F">
        <w:t>e</w:t>
      </w:r>
      <w:r w:rsidRPr="00896D4F">
        <w:t>tens befogenhet att ändra ett beslut inskränks dock av princi</w:t>
      </w:r>
      <w:r w:rsidRPr="00896D4F">
        <w:softHyphen/>
        <w:t>pen om litispe</w:t>
      </w:r>
      <w:r w:rsidRPr="00896D4F">
        <w:t>n</w:t>
      </w:r>
      <w:r w:rsidRPr="00896D4F">
        <w:t>dens, som innebär att beslutsmyndigheten inte får ändra sitt beslut sedan ärende efter överklagande överlämnats till högre instans.</w:t>
      </w:r>
    </w:p>
    <w:p w:rsidR="009C1C5A" w:rsidRPr="00896D4F" w:rsidRDefault="009C1C5A">
      <w:pPr>
        <w:pStyle w:val="Normaltindrag"/>
      </w:pPr>
      <w:r w:rsidRPr="00896D4F">
        <w:t>Av det jag nu sagt följer således att en för</w:t>
      </w:r>
      <w:r w:rsidRPr="00896D4F">
        <w:softHyphen/>
        <w:t>säk</w:t>
      </w:r>
      <w:r w:rsidRPr="00896D4F">
        <w:softHyphen/>
        <w:t>rings</w:t>
      </w:r>
      <w:r w:rsidRPr="00896D4F">
        <w:softHyphen/>
        <w:t>kas</w:t>
      </w:r>
      <w:r w:rsidRPr="00896D4F">
        <w:softHyphen/>
        <w:t>sa har möjlighet att under vissa förutsättningar och utan att behöva åberopa 20 kap. 10 a § AFL ändra beslut till den försäkrades förmån.</w:t>
      </w:r>
    </w:p>
    <w:p w:rsidR="009C1C5A" w:rsidRPr="00896D4F" w:rsidRDefault="009C1C5A">
      <w:pPr>
        <w:pStyle w:val="Rubrik4"/>
      </w:pPr>
      <w:r w:rsidRPr="00896D4F">
        <w:t>Kassans vidare hantering av överklagandet</w:t>
      </w:r>
    </w:p>
    <w:p w:rsidR="009C1C5A" w:rsidRPr="00896D4F" w:rsidRDefault="009C1C5A">
      <w:r w:rsidRPr="00896D4F">
        <w:t>Avslutningsvis vill jag påpeka föl</w:t>
      </w:r>
      <w:r w:rsidRPr="00896D4F">
        <w:softHyphen/>
        <w:t>jande. Genom sitt änd</w:t>
      </w:r>
      <w:r w:rsidRPr="00896D4F">
        <w:softHyphen/>
        <w:t>ringsbeslut kom so</w:t>
      </w:r>
      <w:r w:rsidRPr="00896D4F">
        <w:softHyphen/>
        <w:t>ci</w:t>
      </w:r>
      <w:r w:rsidRPr="00896D4F">
        <w:softHyphen/>
        <w:t>al</w:t>
      </w:r>
      <w:r w:rsidRPr="00896D4F">
        <w:softHyphen/>
        <w:t>för</w:t>
      </w:r>
      <w:r w:rsidRPr="00896D4F">
        <w:softHyphen/>
        <w:t>säk</w:t>
      </w:r>
      <w:r w:rsidRPr="00896D4F">
        <w:softHyphen/>
        <w:t>rings</w:t>
      </w:r>
      <w:r w:rsidRPr="00896D4F">
        <w:softHyphen/>
        <w:t>nämnden efter sin nya pröv</w:t>
      </w:r>
      <w:r w:rsidRPr="00896D4F">
        <w:softHyphen/>
        <w:t xml:space="preserve">ning att bevilja A.S. </w:t>
      </w:r>
      <w:r w:rsidRPr="00896D4F">
        <w:rPr>
          <w:i/>
        </w:rPr>
        <w:t>sjukbidrag</w:t>
      </w:r>
      <w:r w:rsidRPr="00896D4F">
        <w:t>. E</w:t>
      </w:r>
      <w:r w:rsidRPr="00896D4F">
        <w:t>f</w:t>
      </w:r>
      <w:r w:rsidRPr="00896D4F">
        <w:t xml:space="preserve">tersom hon </w:t>
      </w:r>
      <w:r w:rsidRPr="00896D4F">
        <w:rPr>
          <w:rFonts w:ascii="Garamond" w:hAnsi="Garamond"/>
        </w:rPr>
        <w:t>–</w:t>
      </w:r>
      <w:r w:rsidRPr="00896D4F">
        <w:t xml:space="preserve"> såvitt fram</w:t>
      </w:r>
      <w:r w:rsidRPr="00896D4F">
        <w:softHyphen/>
        <w:t>går </w:t>
      </w:r>
      <w:r w:rsidRPr="00896D4F">
        <w:rPr>
          <w:rFonts w:ascii="Garamond" w:hAnsi="Garamond"/>
        </w:rPr>
        <w:t>–</w:t>
      </w:r>
      <w:r w:rsidRPr="00896D4F">
        <w:t xml:space="preserve"> hade ansökt om </w:t>
      </w:r>
      <w:r w:rsidRPr="00896D4F">
        <w:rPr>
          <w:i/>
        </w:rPr>
        <w:t>för</w:t>
      </w:r>
      <w:r w:rsidRPr="00896D4F">
        <w:rPr>
          <w:i/>
        </w:rPr>
        <w:softHyphen/>
        <w:t>tids</w:t>
      </w:r>
      <w:r w:rsidRPr="00896D4F">
        <w:rPr>
          <w:i/>
        </w:rPr>
        <w:softHyphen/>
        <w:t>pen</w:t>
      </w:r>
      <w:r w:rsidRPr="00896D4F">
        <w:rPr>
          <w:i/>
        </w:rPr>
        <w:softHyphen/>
        <w:t>sion</w:t>
      </w:r>
      <w:r w:rsidRPr="00896D4F">
        <w:t xml:space="preserve"> kan ändringen inte sägas ha skett på det sätt som den försäkrade begärt. Överklagandet borde därför ha behandlats som ett överklagande av so</w:t>
      </w:r>
      <w:r w:rsidRPr="00896D4F">
        <w:softHyphen/>
        <w:t>ci</w:t>
      </w:r>
      <w:r w:rsidRPr="00896D4F">
        <w:softHyphen/>
        <w:t>al</w:t>
      </w:r>
      <w:r w:rsidRPr="00896D4F">
        <w:softHyphen/>
        <w:t>för</w:t>
      </w:r>
      <w:r w:rsidRPr="00896D4F">
        <w:softHyphen/>
        <w:t>säk</w:t>
      </w:r>
      <w:r w:rsidRPr="00896D4F">
        <w:softHyphen/>
        <w:t>rings</w:t>
      </w:r>
      <w:r w:rsidRPr="00896D4F">
        <w:softHyphen/>
        <w:t>nämndens omprövningsbeslut. Detta följer av 28 § för</w:t>
      </w:r>
      <w:r w:rsidRPr="00896D4F">
        <w:softHyphen/>
        <w:t>valt</w:t>
      </w:r>
      <w:r w:rsidRPr="00896D4F">
        <w:softHyphen/>
        <w:t>nings</w:t>
      </w:r>
      <w:r w:rsidRPr="00896D4F">
        <w:softHyphen/>
        <w:t>la</w:t>
      </w:r>
      <w:r w:rsidRPr="00896D4F">
        <w:softHyphen/>
        <w:t>gen (1986:223). För</w:t>
      </w:r>
      <w:r w:rsidRPr="00896D4F">
        <w:softHyphen/>
        <w:t>säk</w:t>
      </w:r>
      <w:r w:rsidRPr="00896D4F">
        <w:softHyphen/>
        <w:t>rings</w:t>
      </w:r>
      <w:r w:rsidRPr="00896D4F">
        <w:softHyphen/>
        <w:t>kas</w:t>
      </w:r>
      <w:r w:rsidRPr="00896D4F">
        <w:softHyphen/>
        <w:t>san borde med andra ord ha över</w:t>
      </w:r>
      <w:r w:rsidRPr="00896D4F">
        <w:softHyphen/>
        <w:t>lämnat ären</w:t>
      </w:r>
      <w:r w:rsidRPr="00896D4F">
        <w:softHyphen/>
        <w:t>det till läns</w:t>
      </w:r>
      <w:r w:rsidRPr="00896D4F">
        <w:softHyphen/>
        <w:t>rät</w:t>
      </w:r>
      <w:r w:rsidRPr="00896D4F">
        <w:t>ten.</w:t>
      </w:r>
    </w:p>
    <w:p w:rsidR="009C1C5A" w:rsidRPr="00896D4F" w:rsidRDefault="009C1C5A">
      <w:pPr>
        <w:pStyle w:val="Normaltindrag"/>
      </w:pPr>
      <w:r w:rsidRPr="00896D4F">
        <w:t>Av det jag anfört ovan framgår sammanfattningsvis att jag är kritisk till för</w:t>
      </w:r>
      <w:r w:rsidRPr="00896D4F">
        <w:softHyphen/>
        <w:t>säk</w:t>
      </w:r>
      <w:r w:rsidRPr="00896D4F">
        <w:softHyphen/>
        <w:t>rings</w:t>
      </w:r>
      <w:r w:rsidRPr="00896D4F">
        <w:softHyphen/>
        <w:t>kas</w:t>
      </w:r>
      <w:r w:rsidRPr="00896D4F">
        <w:softHyphen/>
        <w:t>sans handläggning av ärendet i behandlade hänseenden. Med dessa ord avslutar jag ärendet.</w:t>
      </w:r>
    </w:p>
    <w:p w:rsidR="009C1C5A" w:rsidRPr="00896D4F" w:rsidRDefault="009C1C5A">
      <w:pPr>
        <w:pStyle w:val="Rubrik2"/>
      </w:pPr>
      <w:r w:rsidRPr="00896D4F">
        <w:t>Försäkringskassa har övervägt att återkalla ett beslut, sedan den funnit att en annan kassa borde ha handlagt ärendet</w:t>
      </w:r>
    </w:p>
    <w:p w:rsidR="009C1C5A" w:rsidRPr="00896D4F" w:rsidRDefault="009C1C5A">
      <w:pPr>
        <w:spacing w:before="0"/>
      </w:pPr>
      <w:r w:rsidRPr="00896D4F">
        <w:t>(Dnr 2871-2001)</w:t>
      </w:r>
    </w:p>
    <w:p w:rsidR="009C1C5A" w:rsidRPr="00896D4F" w:rsidRDefault="009C1C5A">
      <w:r w:rsidRPr="00896D4F">
        <w:t>Vid inspektion av Norrbottens läns all</w:t>
      </w:r>
      <w:r w:rsidRPr="00896D4F">
        <w:softHyphen/>
        <w:t>män</w:t>
      </w:r>
      <w:r w:rsidRPr="00896D4F">
        <w:softHyphen/>
        <w:t>na för</w:t>
      </w:r>
      <w:r w:rsidRPr="00896D4F">
        <w:softHyphen/>
        <w:t>säk</w:t>
      </w:r>
      <w:r w:rsidRPr="00896D4F">
        <w:softHyphen/>
        <w:t>rings</w:t>
      </w:r>
      <w:r w:rsidRPr="00896D4F">
        <w:softHyphen/>
        <w:t>kas</w:t>
      </w:r>
      <w:r w:rsidRPr="00896D4F">
        <w:softHyphen/>
        <w:t>sa den 18</w:t>
      </w:r>
      <w:r w:rsidRPr="00896D4F">
        <w:rPr>
          <w:rFonts w:ascii="Garamond" w:hAnsi="Garamond"/>
        </w:rPr>
        <w:t>–</w:t>
      </w:r>
      <w:r w:rsidRPr="00896D4F">
        <w:t xml:space="preserve">20 september 2001 granskade </w:t>
      </w:r>
      <w:r w:rsidRPr="00896D4F">
        <w:rPr>
          <w:i/>
        </w:rPr>
        <w:t xml:space="preserve">JO Pennlöv </w:t>
      </w:r>
      <w:r w:rsidRPr="00896D4F">
        <w:t>bl.a. protokoll och akter från sa</w:t>
      </w:r>
      <w:r w:rsidRPr="00896D4F">
        <w:t>m</w:t>
      </w:r>
      <w:r w:rsidRPr="00896D4F">
        <w:t>manträden med socialförsäkringsnämnd. I det vid inspektionen förda prot</w:t>
      </w:r>
      <w:r w:rsidRPr="00896D4F">
        <w:t>o</w:t>
      </w:r>
      <w:r w:rsidRPr="00896D4F">
        <w:t>kollet lät han under denna punkt anteckna bl.a. följande.</w:t>
      </w:r>
    </w:p>
    <w:p w:rsidR="009C1C5A" w:rsidRPr="00896D4F" w:rsidRDefault="009C1C5A">
      <w:pPr>
        <w:pStyle w:val="Normaltindrag"/>
        <w:spacing w:before="125"/>
        <w:ind w:firstLine="0"/>
      </w:pPr>
      <w:r w:rsidRPr="00896D4F">
        <w:t>I ett ärende från Luleåkontoret rörande handikappersättning noterades att det hade upprättats en promemoria med ett förslag till beslut innebärande att försäkringskassan skulle återkalla ett tidigare beslut, eftersom Västmanlands läns allmänna försäkringskassa och inte kas</w:t>
      </w:r>
      <w:r w:rsidRPr="00896D4F">
        <w:t>san i Norrbotten var behörig att fatta det beslutet. JO uttalade att det inte är möjligt att återkalla ett beslut. Om försäkringskassan anser att ett beslut i ett sådant fall skall undanröjas är det lämpligast att Riksförsäkringsverket överklagar beslutet till länsrätten, som har möjlighet att undanröja det. Kassan bör i så fall, förutom att underrätta Riksförsäkringsverket, även kontakta länsrätten och den behöriga försä</w:t>
      </w:r>
      <w:r w:rsidRPr="00896D4F">
        <w:t>k</w:t>
      </w:r>
      <w:r w:rsidRPr="00896D4F">
        <w:t>ringskassan för att få en snabb handläggning av ärendet.</w:t>
      </w:r>
    </w:p>
    <w:p w:rsidR="009C1C5A" w:rsidRPr="00896D4F" w:rsidRDefault="009C1C5A">
      <w:pPr>
        <w:pStyle w:val="Rubrik2"/>
      </w:pPr>
      <w:r w:rsidRPr="00896D4F">
        <w:t>Försäkringskassas underlåtenh</w:t>
      </w:r>
      <w:r w:rsidRPr="00896D4F">
        <w:t>et att besvara en begäran om anstånd</w:t>
      </w:r>
    </w:p>
    <w:p w:rsidR="009C1C5A" w:rsidRPr="00896D4F" w:rsidRDefault="009C1C5A">
      <w:pPr>
        <w:spacing w:before="0"/>
      </w:pPr>
      <w:r w:rsidRPr="00896D4F">
        <w:t>(Dnr 3600-2001)</w:t>
      </w:r>
    </w:p>
    <w:p w:rsidR="009C1C5A" w:rsidRPr="00896D4F" w:rsidRDefault="009C1C5A">
      <w:r w:rsidRPr="00896D4F">
        <w:t>Med anledning av en anmälan mot Stockholms läns allmänna försäkringska</w:t>
      </w:r>
      <w:r w:rsidRPr="00896D4F">
        <w:t>s</w:t>
      </w:r>
      <w:r w:rsidRPr="00896D4F">
        <w:t xml:space="preserve">sa meddelade </w:t>
      </w:r>
      <w:r w:rsidRPr="00896D4F">
        <w:rPr>
          <w:i/>
        </w:rPr>
        <w:t xml:space="preserve">JO Pennlöv </w:t>
      </w:r>
      <w:r w:rsidRPr="00896D4F">
        <w:t>den 19 juni 2002 ett beslut med följande innehåll.</w:t>
      </w:r>
    </w:p>
    <w:p w:rsidR="009C1C5A" w:rsidRPr="00896D4F" w:rsidRDefault="009C1C5A">
      <w:pPr>
        <w:pStyle w:val="Rubrik3"/>
      </w:pPr>
      <w:r w:rsidRPr="00896D4F">
        <w:t>Anmälan</w:t>
      </w:r>
    </w:p>
    <w:p w:rsidR="009C1C5A" w:rsidRPr="00896D4F" w:rsidRDefault="009C1C5A">
      <w:r w:rsidRPr="00896D4F">
        <w:t>Margareta Johansson har i egenskap av ombud för E.L. klagat på försäkring</w:t>
      </w:r>
      <w:r w:rsidRPr="00896D4F">
        <w:t>s</w:t>
      </w:r>
      <w:r w:rsidRPr="00896D4F">
        <w:t>kassans underlåtenhet att besvara en begäran om anstånd. Hon har anfört bl.a. följande. Försäkringskassan har i ett omprövningsbeslut meddelat att begärt anstånd inte beviljats. Genom detta förfaringssätt har E.L. betagits möjligh</w:t>
      </w:r>
      <w:r w:rsidRPr="00896D4F">
        <w:t>e</w:t>
      </w:r>
      <w:r w:rsidRPr="00896D4F">
        <w:t>ten att anföra skäl för sin begäran om omprövning.</w:t>
      </w:r>
    </w:p>
    <w:p w:rsidR="009C1C5A" w:rsidRPr="00896D4F" w:rsidRDefault="009C1C5A">
      <w:pPr>
        <w:pStyle w:val="Rubrik3"/>
      </w:pPr>
      <w:r w:rsidRPr="00896D4F">
        <w:t>Utredning</w:t>
      </w:r>
    </w:p>
    <w:p w:rsidR="009C1C5A" w:rsidRPr="00896D4F" w:rsidRDefault="009C1C5A">
      <w:r w:rsidRPr="00896D4F">
        <w:t xml:space="preserve">Efter remiss har försäkringskassan </w:t>
      </w:r>
      <w:r w:rsidRPr="00896D4F">
        <w:rPr>
          <w:rFonts w:ascii="Garamond" w:hAnsi="Garamond"/>
        </w:rPr>
        <w:t>–</w:t>
      </w:r>
      <w:r w:rsidRPr="00896D4F">
        <w:t xml:space="preserve"> direktören Henrik Meldahl </w:t>
      </w:r>
      <w:r w:rsidRPr="00896D4F">
        <w:rPr>
          <w:rFonts w:ascii="Garamond" w:hAnsi="Garamond"/>
        </w:rPr>
        <w:t>–</w:t>
      </w:r>
      <w:r w:rsidRPr="00896D4F">
        <w:t xml:space="preserve"> svarat fö</w:t>
      </w:r>
      <w:r w:rsidRPr="00896D4F">
        <w:t>l</w:t>
      </w:r>
      <w:r w:rsidRPr="00896D4F">
        <w:t>jande.</w:t>
      </w:r>
    </w:p>
    <w:p w:rsidR="009C1C5A" w:rsidRPr="00896D4F" w:rsidRDefault="009C1C5A">
      <w:pPr>
        <w:pStyle w:val="Citatindrag"/>
        <w:ind w:firstLine="0"/>
      </w:pPr>
      <w:r w:rsidRPr="00896D4F">
        <w:t>– – –</w:t>
      </w:r>
    </w:p>
    <w:p w:rsidR="009C1C5A" w:rsidRPr="00896D4F" w:rsidRDefault="009C1C5A">
      <w:pPr>
        <w:pStyle w:val="Rubrik4"/>
      </w:pPr>
      <w:r w:rsidRPr="00896D4F">
        <w:t>Bakgrund</w:t>
      </w:r>
    </w:p>
    <w:p w:rsidR="009C1C5A" w:rsidRPr="00896D4F" w:rsidRDefault="009C1C5A">
      <w:pPr>
        <w:pStyle w:val="Citat"/>
      </w:pPr>
      <w:r w:rsidRPr="00896D4F">
        <w:t>E.L. begärde i skrivelse som inkom till försäkringskassan den 21 mars 2001 omprövning av försäkringskassans beslut den 5 mars 2001 att inte utge sju</w:t>
      </w:r>
      <w:r w:rsidRPr="00896D4F">
        <w:t>k</w:t>
      </w:r>
      <w:r w:rsidRPr="00896D4F">
        <w:t>penning från och med den 1 mars 2001. Hon anhöll samtidigt om anstånd i sex månader med att komplettera begäran om omprövning. E.L. uppgav inte något skäl för det begärda anståndet. Av journalanteckning förd av försä</w:t>
      </w:r>
      <w:r w:rsidRPr="00896D4F">
        <w:t>k</w:t>
      </w:r>
      <w:r w:rsidRPr="00896D4F">
        <w:t>ringskassans handläggare den 28 mars 2001 framgår att det begärda anståndet inte medgavs. Försäkringskassan beslutade den 30 mars 2001 att inte ändra beslutet den 5 mars. Samtidigt som E.L. underrättades om försäkringskassans beslut efter omprövning meddelades hon att det begärda anståndet i s</w:t>
      </w:r>
      <w:r w:rsidRPr="00896D4F">
        <w:t>ex m</w:t>
      </w:r>
      <w:r w:rsidRPr="00896D4F">
        <w:t>å</w:t>
      </w:r>
      <w:r w:rsidRPr="00896D4F">
        <w:t>nader inte medgavs. Underrättelsen är daterad den 30 mars 2001.</w:t>
      </w:r>
    </w:p>
    <w:p w:rsidR="009C1C5A" w:rsidRPr="00896D4F" w:rsidRDefault="009C1C5A">
      <w:pPr>
        <w:pStyle w:val="Citatindrag"/>
      </w:pPr>
      <w:r w:rsidRPr="00896D4F">
        <w:t>E.L. överklagade försäkringskassans beslut i skrivelse som inkom till fö</w:t>
      </w:r>
      <w:r w:rsidRPr="00896D4F">
        <w:t>r</w:t>
      </w:r>
      <w:r w:rsidRPr="00896D4F">
        <w:t>säkringskassan den 10 september 2001. Då överklagandet inkom för sent avvisades det av försäkringskassan. E.L. har överklagat avvisningsbeslutet till länsrätten.</w:t>
      </w:r>
    </w:p>
    <w:p w:rsidR="009C1C5A" w:rsidRPr="00896D4F" w:rsidRDefault="009C1C5A">
      <w:pPr>
        <w:pStyle w:val="Rubrik4"/>
      </w:pPr>
      <w:r w:rsidRPr="00896D4F">
        <w:t>Yttrande</w:t>
      </w:r>
    </w:p>
    <w:p w:rsidR="009C1C5A" w:rsidRPr="00896D4F" w:rsidRDefault="009C1C5A">
      <w:pPr>
        <w:pStyle w:val="Citat"/>
      </w:pPr>
      <w:r w:rsidRPr="00896D4F">
        <w:t>Av försäkringskassans handlingar framgår att försäkringskassan tog ställning till E.L:s begäran om anstånd i samband med att hennes begäran om omprö</w:t>
      </w:r>
      <w:r w:rsidRPr="00896D4F">
        <w:t>v</w:t>
      </w:r>
      <w:r w:rsidRPr="00896D4F">
        <w:t>ning inkom till kassan. Anteckning om ställningstagandet har gjorts i försä</w:t>
      </w:r>
      <w:r w:rsidRPr="00896D4F">
        <w:t>k</w:t>
      </w:r>
      <w:r w:rsidRPr="00896D4F">
        <w:t>ringskassans journal. E.L. meddelades om försäkringskassans ställningst</w:t>
      </w:r>
      <w:r w:rsidRPr="00896D4F">
        <w:t>a</w:t>
      </w:r>
      <w:r w:rsidRPr="00896D4F">
        <w:t>gande när beslut efter omprövning underrättades henne ett par dagar senare. E.L. hade möjlighet att överklaga försäkringskassans beslut och i samband med det framföra ytterligare synpunkter. Överklagan inkom till försäkring</w:t>
      </w:r>
      <w:r w:rsidRPr="00896D4F">
        <w:t>s</w:t>
      </w:r>
      <w:r w:rsidRPr="00896D4F">
        <w:t>kassan först den 10 september 2001, det vill säga nästan sex månader efter beslutet den 30 mars 2001.</w:t>
      </w:r>
    </w:p>
    <w:p w:rsidR="009C1C5A" w:rsidRPr="00896D4F" w:rsidRDefault="009C1C5A">
      <w:pPr>
        <w:pStyle w:val="Citatindrag"/>
      </w:pPr>
      <w:r w:rsidRPr="00896D4F">
        <w:t>Försäkringskassan delar E.L:s uppfatt</w:t>
      </w:r>
      <w:r w:rsidRPr="00896D4F">
        <w:t>ning att försäkringskassan före beslut borde ha meddelat henne att det begärda anståndet i sex månader inte me</w:t>
      </w:r>
      <w:r w:rsidRPr="00896D4F">
        <w:t>d</w:t>
      </w:r>
      <w:r w:rsidRPr="00896D4F">
        <w:t>gavs och samtidigt berett henne skälig tid för att inkomma med komplettering av begäran om omprövning. Försäkringskassans omprövningsenhet är me</w:t>
      </w:r>
      <w:r w:rsidRPr="00896D4F">
        <w:t>d</w:t>
      </w:r>
      <w:r w:rsidRPr="00896D4F">
        <w:t>veten om vikten av att den försäkrade bereds tillfälle att framföra sina sy</w:t>
      </w:r>
      <w:r w:rsidRPr="00896D4F">
        <w:t>n</w:t>
      </w:r>
      <w:r w:rsidRPr="00896D4F">
        <w:t>punkter före ett beslut. Försäkringskassan beklagar att så inte skett i E.L:s fall.</w:t>
      </w:r>
    </w:p>
    <w:p w:rsidR="009C1C5A" w:rsidRPr="00896D4F" w:rsidRDefault="009C1C5A">
      <w:r w:rsidRPr="00896D4F">
        <w:t>Margareta Johansson har kommenterat remissvaret.</w:t>
      </w:r>
    </w:p>
    <w:p w:rsidR="009C1C5A" w:rsidRPr="00896D4F" w:rsidRDefault="009C1C5A">
      <w:pPr>
        <w:pStyle w:val="Rubrik3"/>
      </w:pPr>
      <w:r w:rsidRPr="00896D4F">
        <w:t>Bedömning</w:t>
      </w:r>
    </w:p>
    <w:p w:rsidR="009C1C5A" w:rsidRPr="00896D4F" w:rsidRDefault="009C1C5A">
      <w:r w:rsidRPr="00896D4F">
        <w:t>Av utredningen framgår bl.a. följande. E.L. begärde den 21 mars 2001 o</w:t>
      </w:r>
      <w:r w:rsidRPr="00896D4F">
        <w:t>m</w:t>
      </w:r>
      <w:r w:rsidRPr="00896D4F">
        <w:t>prövning av kassans beslut i ett sjukpenningärende. Hon anhöll samtidigt om anstånd i sex månader med att komplettera sin begäran. Den 30 mars beslut</w:t>
      </w:r>
      <w:r w:rsidRPr="00896D4F">
        <w:t>a</w:t>
      </w:r>
      <w:r w:rsidRPr="00896D4F">
        <w:t>de försäkringskassan genom omprövning att inte ändra sitt tidigare beslut. Först i omprövningsbeslutet underrättades E.L. om att hon inte medgavs det begärda anståndet.</w:t>
      </w:r>
    </w:p>
    <w:p w:rsidR="009C1C5A" w:rsidRPr="00896D4F" w:rsidRDefault="009C1C5A">
      <w:pPr>
        <w:pStyle w:val="Normaltindrag"/>
      </w:pPr>
      <w:r w:rsidRPr="00896D4F">
        <w:t xml:space="preserve">Försäkringskassan har medgett att kassan </w:t>
      </w:r>
      <w:r w:rsidRPr="00896D4F">
        <w:rPr>
          <w:rFonts w:ascii="Garamond" w:hAnsi="Garamond"/>
        </w:rPr>
        <w:t>–</w:t>
      </w:r>
      <w:r w:rsidRPr="00896D4F">
        <w:t xml:space="preserve"> innan den fattade sitt omprö</w:t>
      </w:r>
      <w:r w:rsidRPr="00896D4F">
        <w:t>v</w:t>
      </w:r>
      <w:r w:rsidRPr="00896D4F">
        <w:t xml:space="preserve">ningbeslut </w:t>
      </w:r>
      <w:r w:rsidRPr="00896D4F">
        <w:rPr>
          <w:rFonts w:ascii="Garamond" w:hAnsi="Garamond"/>
        </w:rPr>
        <w:t>–</w:t>
      </w:r>
      <w:r w:rsidRPr="00896D4F">
        <w:t xml:space="preserve"> borde ha meddelat E.L. att det begärda anståndet inte medgavs och samtidigt berett henne tillfälle att inom skälig tid komplettera sin begäran om omprövning. Jag instämmer helt i den bedömningen. Försäkringskassan kan inte undgå kritik för sin u</w:t>
      </w:r>
      <w:r w:rsidRPr="00896D4F">
        <w:t>n</w:t>
      </w:r>
      <w:r w:rsidRPr="00896D4F">
        <w:t>derlåtenhet i detta avseende.</w:t>
      </w:r>
    </w:p>
    <w:p w:rsidR="009C1C5A" w:rsidRPr="00896D4F" w:rsidRDefault="009C1C5A">
      <w:pPr>
        <w:pStyle w:val="Normaltindrag"/>
      </w:pPr>
      <w:r w:rsidRPr="00896D4F">
        <w:t>E.L:s anståndsbegäran var utformad enligt följande ”anhåller om anstånd sex (6) månader med att komplettera överklagandet” [rätteligen omprö</w:t>
      </w:r>
      <w:r w:rsidRPr="00896D4F">
        <w:t>v</w:t>
      </w:r>
      <w:r w:rsidRPr="00896D4F">
        <w:t>ningsbegäran; JO:s anm.]. E.L. hade således inte motiverat varför hon önsk</w:t>
      </w:r>
      <w:r w:rsidRPr="00896D4F">
        <w:t>a</w:t>
      </w:r>
      <w:r w:rsidRPr="00896D4F">
        <w:t>de anstånd i sex månader med att inkomma med komplettering. Mot bakgrund härav vill jag hänvisa till vad jag uttalade i frågan vid min inspektion av Stockholms läns allmänna försäkringskassa, kontorsområde Södertälje, den 6 mars 2002 (dnr 719-2002). I protokollet från den inspektionen antecknades bl.a. fö</w:t>
      </w:r>
      <w:r w:rsidRPr="00896D4F">
        <w:t>l</w:t>
      </w:r>
      <w:r w:rsidRPr="00896D4F">
        <w:t>jande (s. 5).</w:t>
      </w:r>
    </w:p>
    <w:p w:rsidR="009C1C5A" w:rsidRPr="00896D4F" w:rsidRDefault="009C1C5A">
      <w:pPr>
        <w:pStyle w:val="Citat"/>
      </w:pPr>
      <w:r w:rsidRPr="00896D4F">
        <w:t>JO anförde att om parten eller i förekommande fall partens ombud begär anstånd med att utveckla sin talan bör själv</w:t>
      </w:r>
      <w:r w:rsidRPr="00896D4F">
        <w:t>fallet anståndsbegäran vara mot</w:t>
      </w:r>
      <w:r w:rsidRPr="00896D4F">
        <w:t>i</w:t>
      </w:r>
      <w:r w:rsidRPr="00896D4F">
        <w:t>verad. Enligt JO:s uppfattning bör försäkringskassan i annat fall vara restri</w:t>
      </w:r>
      <w:r w:rsidRPr="00896D4F">
        <w:t>k</w:t>
      </w:r>
      <w:r w:rsidRPr="00896D4F">
        <w:t>tiv med att bevilja anstånd och generellt också vara restriktiv med att bevilja alltför långa anstånd. JO erinrade om att försäkringskassan har ett ansvar för att driva ärendet framåt.</w:t>
      </w:r>
    </w:p>
    <w:p w:rsidR="009C1C5A" w:rsidRPr="00896D4F" w:rsidRDefault="009C1C5A">
      <w:pPr>
        <w:pStyle w:val="Sidfot"/>
        <w:tabs>
          <w:tab w:val="clear" w:pos="9072"/>
          <w:tab w:val="left" w:pos="0"/>
        </w:tabs>
      </w:pPr>
      <w:r w:rsidRPr="00896D4F">
        <w:t>Ärendet avslutas med den kritik som uttalats ovan.</w:t>
      </w:r>
    </w:p>
    <w:p w:rsidR="009C1C5A" w:rsidRPr="00896D4F" w:rsidRDefault="009C1C5A">
      <w:pPr>
        <w:pStyle w:val="Rubrik2"/>
      </w:pPr>
      <w:r w:rsidRPr="00896D4F">
        <w:br w:type="page"/>
        <w:t>Ett initiativärende angående allmän försäkringskassas handläggningstid för begäran om omprövning</w:t>
      </w:r>
    </w:p>
    <w:p w:rsidR="009C1C5A" w:rsidRPr="00896D4F" w:rsidRDefault="009C1C5A">
      <w:pPr>
        <w:spacing w:before="0"/>
      </w:pPr>
      <w:r w:rsidRPr="00896D4F">
        <w:t>(Dnr 469-2001)</w:t>
      </w:r>
    </w:p>
    <w:p w:rsidR="009C1C5A" w:rsidRPr="00896D4F" w:rsidRDefault="009C1C5A">
      <w:r w:rsidRPr="00896D4F">
        <w:t xml:space="preserve">I ett beslut den 11 januari 2002 anförde </w:t>
      </w:r>
      <w:r w:rsidRPr="00896D4F">
        <w:rPr>
          <w:i/>
        </w:rPr>
        <w:t xml:space="preserve">JO Pennlöv </w:t>
      </w:r>
      <w:r w:rsidRPr="00896D4F">
        <w:t>följande.</w:t>
      </w:r>
    </w:p>
    <w:p w:rsidR="009C1C5A" w:rsidRPr="00896D4F" w:rsidRDefault="009C1C5A">
      <w:pPr>
        <w:pStyle w:val="Rubrik3"/>
      </w:pPr>
      <w:r w:rsidRPr="00896D4F">
        <w:t>Initiativet och bakgrund</w:t>
      </w:r>
    </w:p>
    <w:p w:rsidR="009C1C5A" w:rsidRPr="00896D4F" w:rsidRDefault="009C1C5A">
      <w:r w:rsidRPr="00896D4F">
        <w:t>Vid min inspektion den 7 februari 2001 av Stockholms läns allmänna försä</w:t>
      </w:r>
      <w:r w:rsidRPr="00896D4F">
        <w:t>k</w:t>
      </w:r>
      <w:r w:rsidRPr="00896D4F">
        <w:t>ringskassa, kontorsområde Södertörn, uppmärksammade jag att merparten av de granskade, men ännu inte slutförda ärendena gällande omprövning var gamla.</w:t>
      </w:r>
    </w:p>
    <w:p w:rsidR="009C1C5A" w:rsidRPr="00896D4F" w:rsidRDefault="009C1C5A">
      <w:pPr>
        <w:pStyle w:val="Normaltindrag"/>
      </w:pPr>
      <w:r w:rsidRPr="00896D4F">
        <w:t>Mot bakgrund av att försäkringskassans omprövning enligt 20 kap. 10 § lagen (1962:381) om allmän försäkring (AFL) – om inte särskilda skäl för</w:t>
      </w:r>
      <w:r w:rsidRPr="00896D4F">
        <w:t>e</w:t>
      </w:r>
      <w:r w:rsidRPr="00896D4F">
        <w:t>ligger – skall vara slutförd inom sex veckor beslutade jag att inom ramen för ett initiativärende granska försäkringskassans handläggning av begäran om omprö</w:t>
      </w:r>
      <w:r w:rsidRPr="00896D4F">
        <w:t>v</w:t>
      </w:r>
      <w:r w:rsidRPr="00896D4F">
        <w:t>ning.</w:t>
      </w:r>
    </w:p>
    <w:p w:rsidR="009C1C5A" w:rsidRPr="00896D4F" w:rsidRDefault="009C1C5A">
      <w:pPr>
        <w:pStyle w:val="Normaltindrag"/>
      </w:pPr>
      <w:r w:rsidRPr="00896D4F">
        <w:t>Den 12 februari 2001 genomförde tre tjänstemän vid ombudsmannaexp</w:t>
      </w:r>
      <w:r w:rsidRPr="00896D4F">
        <w:t>e</w:t>
      </w:r>
      <w:r w:rsidRPr="00896D4F">
        <w:t>ditionen en fördjupad granskning av ännu inte avgjorda ärenden gällande begäran om omprövning, som kommit in till kassan före den 31 december 2000. Denna granskning utfördes vid länskontorets omprövningsenhet. Dä</w:t>
      </w:r>
      <w:r w:rsidRPr="00896D4F">
        <w:t>r</w:t>
      </w:r>
      <w:r w:rsidRPr="00896D4F">
        <w:t>vid framkom sammanfattningsvis följande.</w:t>
      </w:r>
    </w:p>
    <w:p w:rsidR="009C1C5A" w:rsidRPr="00896D4F" w:rsidRDefault="009C1C5A">
      <w:pPr>
        <w:pStyle w:val="Normaltindrag"/>
      </w:pPr>
      <w:r w:rsidRPr="00896D4F">
        <w:t>Av de ärenden som gällde barnbidrag, bostadsbidrag och underhållsstöd fanns en omprövningsbegäran som kommit in i juni 2000, en som kommit in i augusti, två som kommit in i september, fem som kommit in i oktober, tre som kommit in i november och arton som k</w:t>
      </w:r>
      <w:r w:rsidRPr="00896D4F">
        <w:t>ommit in i december 2000.</w:t>
      </w:r>
    </w:p>
    <w:p w:rsidR="009C1C5A" w:rsidRPr="00896D4F" w:rsidRDefault="009C1C5A">
      <w:pPr>
        <w:pStyle w:val="Normaltindrag"/>
      </w:pPr>
      <w:r w:rsidRPr="00896D4F">
        <w:t>Av de ärenden som gällde avregistrering från försäkringskassan, sjukpe</w:t>
      </w:r>
      <w:r w:rsidRPr="00896D4F">
        <w:t>n</w:t>
      </w:r>
      <w:r w:rsidRPr="00896D4F">
        <w:t>ninggrundande inkomst, sjukpenning och tillfällig föräldrapenning fanns en omprövningsbegäran som kommit in i oktober 2000, tio som kommit in i november och sex som kommit in i december 2000.</w:t>
      </w:r>
    </w:p>
    <w:p w:rsidR="009C1C5A" w:rsidRPr="00896D4F" w:rsidRDefault="009C1C5A">
      <w:pPr>
        <w:pStyle w:val="Normaltindrag"/>
      </w:pPr>
      <w:r w:rsidRPr="00896D4F">
        <w:t>Av de ärenden som gällde pensionsförmåner fanns en omprövningsbeg</w:t>
      </w:r>
      <w:r w:rsidRPr="00896D4F">
        <w:t>ä</w:t>
      </w:r>
      <w:r w:rsidRPr="00896D4F">
        <w:t>ran som kommit in i maj 2000, en som kommit in i juli, fyra som kommit in i augusti, tjugotre som kommit in i september, femton som kommit in i okt</w:t>
      </w:r>
      <w:r w:rsidRPr="00896D4F">
        <w:t>o</w:t>
      </w:r>
      <w:r w:rsidRPr="00896D4F">
        <w:t>ber, trettio som kommit in i november och nitton som kommit in i december 2000.</w:t>
      </w:r>
    </w:p>
    <w:p w:rsidR="009C1C5A" w:rsidRPr="00896D4F" w:rsidRDefault="009C1C5A">
      <w:pPr>
        <w:pStyle w:val="Normaltindrag"/>
      </w:pPr>
      <w:r w:rsidRPr="00896D4F">
        <w:t>I några ärenden rörande barnbidrag, bostadsbidrag och underhållsstöd uppmärksammades särskilt följande omständigheter.</w:t>
      </w:r>
    </w:p>
    <w:p w:rsidR="009C1C5A" w:rsidRPr="00896D4F" w:rsidRDefault="009C1C5A">
      <w:pPr>
        <w:pStyle w:val="Normaltindrag"/>
      </w:pPr>
      <w:r w:rsidRPr="00896D4F">
        <w:t>En begäran om omprövning av ett beslut rörande underhållsstöd kom in till försäkringskassan den 30 juni 2000. En skrivelse som bekräftade att begäran inkommit skickades den 6 juli. Enligt en tjänsteanteckning från oktober a</w:t>
      </w:r>
      <w:r w:rsidRPr="00896D4F">
        <w:t>v</w:t>
      </w:r>
      <w:r w:rsidRPr="00896D4F">
        <w:t>vaktade kassan att kommunen skulle återkomma med besked i en viss fråga. Den 4 januari 2001 skickade försäkringskassan en påminnelse till kommunen. När inget svar inkom skickade kassan en ny skrivelse den 26 januari 2001. I ett annat ärende kom en begäran om omprövning av ett beslut rörande barnb</w:t>
      </w:r>
      <w:r w:rsidRPr="00896D4F">
        <w:t>i</w:t>
      </w:r>
      <w:r w:rsidRPr="00896D4F">
        <w:t>drag in till försäkringskassan den 28 augusti 2000. Först den 5 december kom den in till centralkontoret. Handläggningen påbörjades den 13 december 2000. I ytterligare ett annat ärende kom en begäran om omprövning</w:t>
      </w:r>
      <w:r w:rsidRPr="00896D4F">
        <w:t xml:space="preserve"> av ett beslut rörande barnbidrag in till försäkringskassan den 9 oktober 2000 och översändes till centralkontoret först den 17 januari 2001. Handläggningen påbörjades den 19 januari 2001.</w:t>
      </w:r>
    </w:p>
    <w:p w:rsidR="009C1C5A" w:rsidRPr="00896D4F" w:rsidRDefault="009C1C5A">
      <w:pPr>
        <w:pStyle w:val="Normaltindrag"/>
      </w:pPr>
      <w:r w:rsidRPr="00896D4F">
        <w:t>I två ärenden rörande sjukpenninggrundande inkomst uppmärksammades särskilt följande omständigheter.</w:t>
      </w:r>
    </w:p>
    <w:p w:rsidR="009C1C5A" w:rsidRPr="00896D4F" w:rsidRDefault="009C1C5A">
      <w:pPr>
        <w:pStyle w:val="Normaltindrag"/>
      </w:pPr>
      <w:r w:rsidRPr="00896D4F">
        <w:t>En begäran om omprövning kom in till lokalkontoret den 24 november 2000. Den 5 december översändes den till centralkontoret. Enligt en tjänst</w:t>
      </w:r>
      <w:r w:rsidRPr="00896D4F">
        <w:t>e</w:t>
      </w:r>
      <w:r w:rsidRPr="00896D4F">
        <w:t>anteckning den 29 januari 2001 ringde den försäkrade och vädjade om ett snabbt beslut. Enligt en tjänsteanteckning den 9 februari 2001 ringde den försäkrade återigen, varvid kassan meddelade att den skulle påbörja han</w:t>
      </w:r>
      <w:r w:rsidRPr="00896D4F">
        <w:t>d</w:t>
      </w:r>
      <w:r w:rsidRPr="00896D4F">
        <w:t>läggningen av ärendet påföljande vecka. Samma dag påbörjades utredningen. I det andra ärendet kom en begäran om omprövning in till lokalkontoret den 21 november 2000 och översändes till centralkontoret den 12 december. Den 3 januari 2001 ringde den försäkrade till försäkringskassan och förhör</w:t>
      </w:r>
      <w:r w:rsidRPr="00896D4F">
        <w:t>de sig om ärendet, varvid kassan upplyste henne om att det beräknades ta ca två till tre m</w:t>
      </w:r>
      <w:r w:rsidRPr="00896D4F">
        <w:t>å</w:t>
      </w:r>
      <w:r w:rsidRPr="00896D4F">
        <w:t>nader innan utredningen skulle påbörjas.</w:t>
      </w:r>
    </w:p>
    <w:p w:rsidR="009C1C5A" w:rsidRPr="00896D4F" w:rsidRDefault="009C1C5A">
      <w:pPr>
        <w:pStyle w:val="Normaltindrag"/>
      </w:pPr>
      <w:r w:rsidRPr="00896D4F">
        <w:t>I några ärenden rörande pensionsförmåner uppmärksammades särskilt fö</w:t>
      </w:r>
      <w:r w:rsidRPr="00896D4F">
        <w:t>l</w:t>
      </w:r>
      <w:r w:rsidRPr="00896D4F">
        <w:t>ja</w:t>
      </w:r>
      <w:r w:rsidRPr="00896D4F">
        <w:t>n</w:t>
      </w:r>
      <w:r w:rsidRPr="00896D4F">
        <w:t>de omständigheter.</w:t>
      </w:r>
    </w:p>
    <w:p w:rsidR="009C1C5A" w:rsidRPr="00896D4F" w:rsidRDefault="009C1C5A">
      <w:pPr>
        <w:pStyle w:val="Normaltindrag"/>
      </w:pPr>
      <w:r w:rsidRPr="00896D4F">
        <w:t>En begäran om omprövning av ett beslut rörande ålderspension kom in till försäkringskassan den 12 juli 2000. En odaterad skrivelse skickades till den försäkrade med begäran om svar senast den 13 december. En skrivelse till skattemyndigheten skickades den 9 januari 2001. I ett annat ärende kom en begäran om omprövning av ett beslut rörande ålderspension in till försä</w:t>
      </w:r>
      <w:r w:rsidRPr="00896D4F">
        <w:t>k</w:t>
      </w:r>
      <w:r w:rsidRPr="00896D4F">
        <w:t>ringskassan den 28 augusti 2000. I begäran fanns en uppgift om att den fö</w:t>
      </w:r>
      <w:r w:rsidRPr="00896D4F">
        <w:t>r</w:t>
      </w:r>
      <w:r w:rsidRPr="00896D4F">
        <w:t xml:space="preserve">säkrade skulle inkomma med komplettering. I en skrivelse den 28 december påminde kassan om kompletteringen. I en ny skrivelse den 15 januari 2001 uppgav kassan att komplettering måste inkomma senast den 19 februari 2001. Därefter skulle kassan fatta beslut. I ytterligare ett ärende kom en begäran om omprövning av ett beslut rörande pensionsrätt in till försäkringskassan den 26 april 2000. Enligt en tjänsteanteckning från oktober var </w:t>
      </w:r>
      <w:r w:rsidRPr="00896D4F">
        <w:t>den försäkrade nöjd med de besked han fick från kassan i samband med ett telefonsamtal. Den försäkrade skulle fundera på om han ville ha ärendet omprövat. Om inte skulle han sända in en återkallelse. En påminnelse skickades till den försäkr</w:t>
      </w:r>
      <w:r w:rsidRPr="00896D4F">
        <w:t>a</w:t>
      </w:r>
      <w:r w:rsidRPr="00896D4F">
        <w:t>de den 7 februari 2001 med uppmaning att han skulle meddela kassan sitt besked. Ärendet skulle bevakas den 12 mars 2001. I ett ärende kom en beg</w:t>
      </w:r>
      <w:r w:rsidRPr="00896D4F">
        <w:t>ä</w:t>
      </w:r>
      <w:r w:rsidRPr="00896D4F">
        <w:t>ran om omprövning in till lokalkontoret den 9 oktober 2000. Först den 4 d</w:t>
      </w:r>
      <w:r w:rsidRPr="00896D4F">
        <w:t>e</w:t>
      </w:r>
      <w:r w:rsidRPr="00896D4F">
        <w:t>cember gjorde kassan en rättidsprövning och en prövn</w:t>
      </w:r>
      <w:r w:rsidRPr="00896D4F">
        <w:t>ing enligt 20 kap. 10 a § lagen (1962:381) om allmän försäkring. Den 5 december 2000 öve</w:t>
      </w:r>
      <w:r w:rsidRPr="00896D4F">
        <w:t>r</w:t>
      </w:r>
      <w:r w:rsidRPr="00896D4F">
        <w:t>sändes ärendet till centralkontoret. Slutligen i ett ärende kom en begäran om omprövning rörande rätten till barnår vid pension in till kassan den 4 augusti 2000. Den inkom till centralkontoret först den 8 februari 2001.</w:t>
      </w:r>
    </w:p>
    <w:p w:rsidR="009C1C5A" w:rsidRPr="00896D4F" w:rsidRDefault="009C1C5A">
      <w:pPr>
        <w:pStyle w:val="Normaltindrag"/>
      </w:pPr>
      <w:r w:rsidRPr="00896D4F">
        <w:t>I ett ärende, som gällde arbetskadelivränta, var omständigheterna följande. Begäran om omprövning kom in till lokalkontoret den 7 juli 2000 och öve</w:t>
      </w:r>
      <w:r w:rsidRPr="00896D4F">
        <w:t>r</w:t>
      </w:r>
      <w:r w:rsidRPr="00896D4F">
        <w:t>sändes tio dagar senare till centralkontoret. Den försäkrade hade begärt a</w:t>
      </w:r>
      <w:r w:rsidRPr="00896D4F">
        <w:t>n</w:t>
      </w:r>
      <w:r w:rsidRPr="00896D4F">
        <w:t>stånd i tre månader, men såvitt framgår av akten hade försäkringskassan inte lämnat något besked i anståndsfrågan. Handläggningen av ärendet påbörjades dock först den 19 december, då den försäkrades ombud kontaktade försä</w:t>
      </w:r>
      <w:r w:rsidRPr="00896D4F">
        <w:t>k</w:t>
      </w:r>
      <w:r w:rsidRPr="00896D4F">
        <w:t>ringskassan. Därefter hade förnyat anstånd begärts till den 5 februari 2001.</w:t>
      </w:r>
    </w:p>
    <w:p w:rsidR="009C1C5A" w:rsidRPr="00896D4F" w:rsidRDefault="009C1C5A">
      <w:pPr>
        <w:pStyle w:val="Normaltindrag"/>
      </w:pPr>
      <w:r w:rsidRPr="00896D4F">
        <w:t>En generell iakttagelse var att det ibland kunde ta lång tid innan omprö</w:t>
      </w:r>
      <w:r w:rsidRPr="00896D4F">
        <w:t>v</w:t>
      </w:r>
      <w:r w:rsidRPr="00896D4F">
        <w:t>ningsbegäran översändes från lokalkontoret till centralkontorets omprö</w:t>
      </w:r>
      <w:r w:rsidRPr="00896D4F">
        <w:t>v</w:t>
      </w:r>
      <w:r w:rsidRPr="00896D4F">
        <w:t>ningsenhet.</w:t>
      </w:r>
    </w:p>
    <w:p w:rsidR="009C1C5A" w:rsidRPr="00896D4F" w:rsidRDefault="009C1C5A">
      <w:pPr>
        <w:pStyle w:val="Rubrik3"/>
      </w:pPr>
      <w:r w:rsidRPr="00896D4F">
        <w:t>Utredning</w:t>
      </w:r>
    </w:p>
    <w:p w:rsidR="009C1C5A" w:rsidRPr="00896D4F" w:rsidRDefault="009C1C5A">
      <w:pPr>
        <w:tabs>
          <w:tab w:val="left" w:pos="0"/>
        </w:tabs>
        <w:rPr>
          <w:sz w:val="20"/>
        </w:rPr>
      </w:pPr>
      <w:r w:rsidRPr="00896D4F">
        <w:t>Mot bakgrund av att försäkringskassans handläggning av begäran om o</w:t>
      </w:r>
      <w:r w:rsidRPr="00896D4F">
        <w:t>m</w:t>
      </w:r>
      <w:r w:rsidRPr="00896D4F">
        <w:t>prövning enligt 20 kap. 10 § AFL enligt huvudregeln skall vara slutförd inom sex veckor anmodades försäkringskassan att yttra sig över kassans handläg</w:t>
      </w:r>
      <w:r w:rsidRPr="00896D4F">
        <w:t>g</w:t>
      </w:r>
      <w:r w:rsidRPr="00896D4F">
        <w:t xml:space="preserve">ning av begäran om omprövning enligt vad som ovan anförts. </w:t>
      </w:r>
      <w:r w:rsidRPr="00896D4F">
        <w:rPr>
          <w:rFonts w:ascii="Garamond" w:hAnsi="Garamond"/>
        </w:rPr>
        <w:t>–</w:t>
      </w:r>
      <w:r w:rsidRPr="00896D4F">
        <w:t xml:space="preserve"> Försäkring</w:t>
      </w:r>
      <w:r w:rsidRPr="00896D4F">
        <w:t>s</w:t>
      </w:r>
      <w:r w:rsidRPr="00896D4F">
        <w:t>kassans remissvar har utelämnats i detta referat.</w:t>
      </w:r>
    </w:p>
    <w:p w:rsidR="009C1C5A" w:rsidRPr="00896D4F" w:rsidRDefault="009C1C5A">
      <w:pPr>
        <w:pStyle w:val="Rubrik3"/>
      </w:pPr>
      <w:r w:rsidRPr="00896D4F">
        <w:t>Bedömning</w:t>
      </w:r>
    </w:p>
    <w:p w:rsidR="009C1C5A" w:rsidRPr="00896D4F" w:rsidRDefault="009C1C5A">
      <w:r w:rsidRPr="00896D4F">
        <w:t>I Riksförsäkringsverkets före den 1 juli 1998 gällande föreskrifter (RFFS 1978:22) om ändring av allmän försäkringskassas och skattemyndighets b</w:t>
      </w:r>
      <w:r w:rsidRPr="00896D4F">
        <w:t>e</w:t>
      </w:r>
      <w:r w:rsidRPr="00896D4F">
        <w:t>slut i vissa fall m.m. föreskrevs att omprövning av beslut enligt 20 kap. 10 § lagen (1962:381) om allmän försäkring (AFL) skulle vara slutförd inom sex veckor från det att omprövning begärdes, om inte särskilda skäl föranledde annat.</w:t>
      </w:r>
    </w:p>
    <w:p w:rsidR="009C1C5A" w:rsidRPr="00896D4F" w:rsidRDefault="009C1C5A">
      <w:pPr>
        <w:pStyle w:val="Normaltindrag"/>
      </w:pPr>
      <w:r w:rsidRPr="00896D4F">
        <w:t>Jag har i flera tidigare beslut uttryckt att den ovan angivna tidsgränsen för omprövningsärenden enligt min uppfattning fortfarande bör gälla och att det således är viktigt att försäkringskassorna fattar sina beslut om omprövning inom sex veckor. Riksförsäkringsverket delar m</w:t>
      </w:r>
      <w:r w:rsidRPr="00896D4F">
        <w:t>in uppfattning och har också i det från den 1 september 2001 gällande allmänna rådet om ändring och o</w:t>
      </w:r>
      <w:r w:rsidRPr="00896D4F">
        <w:t>m</w:t>
      </w:r>
      <w:r w:rsidRPr="00896D4F">
        <w:t>prövning enligt AFL (RAR 2001:4) angett att omprövning av beslut bör göras inom sex veckor från det omprövning begärdes, om inte särskilda skäl föra</w:t>
      </w:r>
      <w:r w:rsidRPr="00896D4F">
        <w:t>n</w:t>
      </w:r>
      <w:r w:rsidRPr="00896D4F">
        <w:t>leder annat.</w:t>
      </w:r>
    </w:p>
    <w:p w:rsidR="009C1C5A" w:rsidRPr="00896D4F" w:rsidRDefault="009C1C5A">
      <w:pPr>
        <w:pStyle w:val="Normaltindrag"/>
      </w:pPr>
      <w:r w:rsidRPr="00896D4F">
        <w:t>Av utredningen framgår att många av de granskade omprövningsärendena var flera månader gamla. Anledningarna till dröjsmålen var av skiftande k</w:t>
      </w:r>
      <w:r w:rsidRPr="00896D4F">
        <w:t>a</w:t>
      </w:r>
      <w:r w:rsidRPr="00896D4F">
        <w:t>raktär. I vissa fall berodde dröjsmålet på att den försäkrade själv begärt a</w:t>
      </w:r>
      <w:r w:rsidRPr="00896D4F">
        <w:t>n</w:t>
      </w:r>
      <w:r w:rsidRPr="00896D4F">
        <w:t>stånd för att komplettera sin omprövningsbegäran. I andra fall berodde dröj</w:t>
      </w:r>
      <w:r w:rsidRPr="00896D4F">
        <w:t>s</w:t>
      </w:r>
      <w:r w:rsidRPr="00896D4F">
        <w:t>målet på svårigheter för kassan att få in kompletteringar som den begärt. Andra anledningar till den långa handläggningstiden var att det tog lång tid innan omprövningsbegäran översändes från lokalkontoret till centralkontoret, bristande bevakningsrutiner och i något ärende uteblivet datastöd.</w:t>
      </w:r>
    </w:p>
    <w:p w:rsidR="009C1C5A" w:rsidRPr="00896D4F" w:rsidRDefault="009C1C5A">
      <w:pPr>
        <w:pStyle w:val="Normaltindrag"/>
      </w:pPr>
      <w:r w:rsidRPr="00896D4F">
        <w:t>Försäkringskassan har därutöver i sitt remissvar pekat på vissa</w:t>
      </w:r>
      <w:r w:rsidRPr="00896D4F">
        <w:t xml:space="preserve"> mer gen</w:t>
      </w:r>
      <w:r w:rsidRPr="00896D4F">
        <w:t>e</w:t>
      </w:r>
      <w:r w:rsidRPr="00896D4F">
        <w:t>rella anledningar till att handläggningstiden vad gäller omprövningsärendena i så många fall har överskridit sex veckor. Försäkringskassan genomförde 1996 en genomgripande omorganisation, vilken ledde till att omprövningsärendena fick stå tillbaka för kassans internkontroll. Samtidigt ökade antalet omprö</w:t>
      </w:r>
      <w:r w:rsidRPr="00896D4F">
        <w:t>v</w:t>
      </w:r>
      <w:r w:rsidRPr="00896D4F">
        <w:t>ningar bl.a. på grund av ny lagstiftning, såsom lagen (1996:1030) om unde</w:t>
      </w:r>
      <w:r w:rsidRPr="00896D4F">
        <w:t>r</w:t>
      </w:r>
      <w:r w:rsidRPr="00896D4F">
        <w:t>hållsstöd och ändringar i lagen (1993:737) om bostadsbidrag. Försäkringska</w:t>
      </w:r>
      <w:r w:rsidRPr="00896D4F">
        <w:t>s</w:t>
      </w:r>
      <w:r w:rsidRPr="00896D4F">
        <w:t>san genomförde sedan ytterligare omorganisatione</w:t>
      </w:r>
      <w:r w:rsidRPr="00896D4F">
        <w:t>r under 1999 och 2000.</w:t>
      </w:r>
    </w:p>
    <w:p w:rsidR="009C1C5A" w:rsidRPr="00896D4F" w:rsidRDefault="009C1C5A">
      <w:pPr>
        <w:pStyle w:val="Normaltindrag"/>
      </w:pPr>
      <w:r w:rsidRPr="00896D4F">
        <w:t>Försäkringskassan har vidare anfört att omprövningsverksamheten förän</w:t>
      </w:r>
      <w:r w:rsidRPr="00896D4F">
        <w:t>d</w:t>
      </w:r>
      <w:r w:rsidRPr="00896D4F">
        <w:t>rats och försvårats sedan omprövningsinstitutet infördes 1982. Socialförsä</w:t>
      </w:r>
      <w:r w:rsidRPr="00896D4F">
        <w:t>k</w:t>
      </w:r>
      <w:r w:rsidRPr="00896D4F">
        <w:t>ringslagstiftningen har blivit mer komplicerad, mer hänsyn måste i ärend</w:t>
      </w:r>
      <w:r w:rsidRPr="00896D4F">
        <w:t>e</w:t>
      </w:r>
      <w:r w:rsidRPr="00896D4F">
        <w:t>handläggningen tas till rörligheten mellan länderna m.m. Därtill kommer att arbetssituationen vid lokalkontoren har medfört att ärendena inte alltid är välutredda från början. Försäkringskassan anser därför att det kan finnas a</w:t>
      </w:r>
      <w:r w:rsidRPr="00896D4F">
        <w:t>n</w:t>
      </w:r>
      <w:r w:rsidRPr="00896D4F">
        <w:t>ledning att se över den rekommederade handläggningstiden på sex veckor.</w:t>
      </w:r>
    </w:p>
    <w:p w:rsidR="009C1C5A" w:rsidRPr="00896D4F" w:rsidRDefault="009C1C5A">
      <w:pPr>
        <w:pStyle w:val="Normaltindrag"/>
      </w:pPr>
      <w:r w:rsidRPr="00896D4F">
        <w:t>Såvitt jag kan bedöma hänför sig dock merparten av de orsaker k</w:t>
      </w:r>
      <w:r w:rsidRPr="00896D4F">
        <w:t>assan a</w:t>
      </w:r>
      <w:r w:rsidRPr="00896D4F">
        <w:t>n</w:t>
      </w:r>
      <w:r w:rsidRPr="00896D4F">
        <w:t>givit som förklaring till de långa handläggningstiderna till problem som up</w:t>
      </w:r>
      <w:r w:rsidRPr="00896D4F">
        <w:t>p</w:t>
      </w:r>
      <w:r w:rsidRPr="00896D4F">
        <w:t>stått på grund av försäkringskassans arbetssituation. Det har förekommit fr</w:t>
      </w:r>
      <w:r w:rsidRPr="00896D4F">
        <w:t>e</w:t>
      </w:r>
      <w:r w:rsidRPr="00896D4F">
        <w:t>kventa omorganisationer, problem vid prioritering mellan arbetsuppgifter som internkontroll och omprövningsverksamhet, förseningar till följd av att loka</w:t>
      </w:r>
      <w:r w:rsidRPr="00896D4F">
        <w:t>l</w:t>
      </w:r>
      <w:r w:rsidRPr="00896D4F">
        <w:t>kontoren dröjt med att sända ärendet vidare, bristande bevakningsrutiner och trängt personalläge. Ingen av dessa orsaker, vilka ju är av mer administrativ karaktär, kan enligt min mening på något sä</w:t>
      </w:r>
      <w:r w:rsidRPr="00896D4F">
        <w:t>tt motivera att längre handläg</w:t>
      </w:r>
      <w:r w:rsidRPr="00896D4F">
        <w:t>g</w:t>
      </w:r>
      <w:r w:rsidRPr="00896D4F">
        <w:t>ningstider för omprövningsärendena generellt kan accepteras.</w:t>
      </w:r>
    </w:p>
    <w:p w:rsidR="009C1C5A" w:rsidRPr="00896D4F" w:rsidRDefault="009C1C5A">
      <w:pPr>
        <w:pStyle w:val="Normaltindrag"/>
      </w:pPr>
      <w:r w:rsidRPr="00896D4F">
        <w:t>Ett beslut av en försäkringskassa skall självfallet redan från början vara välgrundat. Ärendet bör, när kassan fattar sitt ursprungliga beslut, vara utrett med sådan omsorg att allt nödvändigt material finns tillgängligt redan vid den tidpunkten. Ett synsätt som innebär att omprövningsinstitutet används för att i efterhand rätta till brister i det ursprungliga beslutsunderlaget kan få den ko</w:t>
      </w:r>
      <w:r w:rsidRPr="00896D4F">
        <w:t>n</w:t>
      </w:r>
      <w:r w:rsidRPr="00896D4F">
        <w:t>sekvensen att den som litar på att kassan har fattat ett materiellt riktigt beslut, och därför inte överklagar beslutet, lider en rättsförlust. En annan sak är att kassan självfallet i samband med en omprövning kan upptäcka och rätta till brister i beslutsunderlaget. Men utgångspunkten måste vara att varje ärende skall vara korrekt handlagt från början.</w:t>
      </w:r>
    </w:p>
    <w:p w:rsidR="009C1C5A" w:rsidRPr="00896D4F" w:rsidRDefault="009C1C5A">
      <w:pPr>
        <w:pStyle w:val="Normaltindrag"/>
      </w:pPr>
      <w:r w:rsidRPr="00896D4F">
        <w:t>De sex veckorna som en omprövning skall slutföras inom torde främst vara till för att en annan beslutsfattare inom försäkringskassan skall sätta sig in i ä</w:t>
      </w:r>
      <w:r w:rsidRPr="00896D4F">
        <w:t>rendet. Det är endast om särskilda skäl föreligger som man kan godta att kassan överskrider sexveckorsfristen. Ett sådant särskilt skäl kan vara att den försäkrade i sin omprövningsbegäran lämnar nya uppgifter och ärendet därför behöver kompletteras. I det fallet kan en längre handläggningstid än sex veckor godtas. Enligt min uppfattning kan inte de orsaker som försäkring</w:t>
      </w:r>
      <w:r w:rsidRPr="00896D4F">
        <w:t>s</w:t>
      </w:r>
      <w:r w:rsidRPr="00896D4F">
        <w:t>kassan i detta ärende pekat på som en förklaring till den i vissa fall långa handläggningstiden för omprövningar rymmas under begreppet s</w:t>
      </w:r>
      <w:r w:rsidRPr="00896D4F">
        <w:t>ärskilda skäl. – Jag delar således inte försäkringskassans åsikt att det kan finnas anledning att se över den rekommenderade handläggningstiden för omprövningsbesl</w:t>
      </w:r>
      <w:r w:rsidRPr="00896D4F">
        <w:t>u</w:t>
      </w:r>
      <w:r w:rsidRPr="00896D4F">
        <w:t>ten.</w:t>
      </w:r>
    </w:p>
    <w:p w:rsidR="009C1C5A" w:rsidRPr="00896D4F" w:rsidRDefault="009C1C5A">
      <w:pPr>
        <w:pStyle w:val="Normaltindrag"/>
      </w:pPr>
      <w:r w:rsidRPr="00896D4F">
        <w:t>En annan betydelsefull aspekt är att ett godtagande av en längre handläg</w:t>
      </w:r>
      <w:r w:rsidRPr="00896D4F">
        <w:t>g</w:t>
      </w:r>
      <w:r w:rsidRPr="00896D4F">
        <w:t>ningstid för omprövningsärenden försenar den enskildes rätt att få sin sak prövad av domstol. Det är ju först när försäkringskassan har fattat sitt o</w:t>
      </w:r>
      <w:r w:rsidRPr="00896D4F">
        <w:t>m</w:t>
      </w:r>
      <w:r w:rsidRPr="00896D4F">
        <w:t>prövningsbeslut som den försäkrade får möjlighet att överklaga beslutet och få sin sak prövad i domstol.</w:t>
      </w:r>
    </w:p>
    <w:p w:rsidR="009C1C5A" w:rsidRPr="00896D4F" w:rsidRDefault="009C1C5A">
      <w:pPr>
        <w:pStyle w:val="Normaltindrag"/>
      </w:pPr>
      <w:r w:rsidRPr="00896D4F">
        <w:t>Sammantaget är jag mycket kritisk till de redovisade bristerna i försä</w:t>
      </w:r>
      <w:r w:rsidRPr="00896D4F">
        <w:t>k</w:t>
      </w:r>
      <w:r w:rsidRPr="00896D4F">
        <w:t>ringskassans handläggning av omprövningar enligt 20 kap. 10 § AFL.</w:t>
      </w:r>
    </w:p>
    <w:p w:rsidR="009C1C5A" w:rsidRPr="00896D4F" w:rsidRDefault="009C1C5A">
      <w:pPr>
        <w:pStyle w:val="Normaltindrag"/>
      </w:pPr>
      <w:r w:rsidRPr="00896D4F">
        <w:t>De brister som framkommit i detta ärende är av allvarlig natur. Jag öve</w:t>
      </w:r>
      <w:r w:rsidRPr="00896D4F">
        <w:t>r</w:t>
      </w:r>
      <w:r w:rsidRPr="00896D4F">
        <w:t>lämnar därför kopior av detta beslut till såväl Riksförsäkringsverket som till Regeringskansliet (Socialdepartemenet) och socialförsäkringsutskottet för känn</w:t>
      </w:r>
      <w:r w:rsidRPr="00896D4F">
        <w:t>e</w:t>
      </w:r>
      <w:r w:rsidRPr="00896D4F">
        <w:t>dom.</w:t>
      </w:r>
    </w:p>
    <w:p w:rsidR="009C1C5A" w:rsidRPr="00896D4F" w:rsidRDefault="009C1C5A">
      <w:pPr>
        <w:pStyle w:val="Rubrik2"/>
      </w:pPr>
      <w:r w:rsidRPr="00896D4F">
        <w:br w:type="page"/>
        <w:t>Ett initiativärende rörande försäkringskassas handläggning av en inkommen handling, vilken rubricerats som ett överklagande</w:t>
      </w:r>
    </w:p>
    <w:p w:rsidR="009C1C5A" w:rsidRPr="00896D4F" w:rsidRDefault="009C1C5A">
      <w:pPr>
        <w:spacing w:before="0"/>
      </w:pPr>
      <w:r w:rsidRPr="00896D4F">
        <w:t>(Dnr 3644-2000)</w:t>
      </w:r>
    </w:p>
    <w:p w:rsidR="009C1C5A" w:rsidRPr="00896D4F" w:rsidRDefault="009C1C5A">
      <w:r w:rsidRPr="00896D4F">
        <w:t xml:space="preserve">I ett den 12 november 2001 meddelat beslut anförde </w:t>
      </w:r>
      <w:r w:rsidRPr="00896D4F">
        <w:rPr>
          <w:i/>
        </w:rPr>
        <w:t xml:space="preserve">JO Pennlöv </w:t>
      </w:r>
      <w:r w:rsidRPr="00896D4F">
        <w:t>följande.</w:t>
      </w:r>
    </w:p>
    <w:p w:rsidR="009C1C5A" w:rsidRPr="00896D4F" w:rsidRDefault="009C1C5A">
      <w:pPr>
        <w:pStyle w:val="Rubrik3"/>
      </w:pPr>
      <w:r w:rsidRPr="00896D4F">
        <w:t>Initiativet</w:t>
      </w:r>
    </w:p>
    <w:p w:rsidR="009C1C5A" w:rsidRPr="00896D4F" w:rsidRDefault="009C1C5A">
      <w:r w:rsidRPr="00896D4F">
        <w:t>Vid min inspektion av Örebro läns allmänna försäkringskassa den 17</w:t>
      </w:r>
      <w:r w:rsidRPr="00896D4F">
        <w:rPr>
          <w:rFonts w:ascii="Garamond" w:hAnsi="Garamond"/>
        </w:rPr>
        <w:t>–</w:t>
      </w:r>
      <w:r w:rsidRPr="00896D4F">
        <w:t>19 oktober 2000 (dnr 3125-2000) framkom följande i ett av de granskade äre</w:t>
      </w:r>
      <w:r w:rsidRPr="00896D4F">
        <w:t>n</w:t>
      </w:r>
      <w:r w:rsidRPr="00896D4F">
        <w:t>dena gällande arbetsskadeförsäkring.</w:t>
      </w:r>
    </w:p>
    <w:p w:rsidR="009C1C5A" w:rsidRPr="00896D4F" w:rsidRDefault="009C1C5A">
      <w:pPr>
        <w:pStyle w:val="Normaltindrag"/>
      </w:pPr>
      <w:r w:rsidRPr="00896D4F">
        <w:t>I ärendet hade arbetsskadeanmälan, som avsåg G.P., inlämnats den 15 juni 1999. Försäkringskassan skickade den 9 juli samma år ett informationsbrev till henne. Hon kom den 3 september 1999 in med en såsom överklagande rubricerad handling. I handlingen angavs det överklagade beslutet vara fattat den 9 juli 1999. Med anledning av detta skickade kassan den 17 september 1999 ett brev till G.P. vari fr</w:t>
      </w:r>
      <w:r w:rsidRPr="00896D4F">
        <w:t>amgick bl.a. att ingen prövning hade skett efte</w:t>
      </w:r>
      <w:r w:rsidRPr="00896D4F">
        <w:t>r</w:t>
      </w:r>
      <w:r w:rsidRPr="00896D4F">
        <w:t>som inga ersättningsanspråk kommit in till kassan. Kassan anförde vidare att den, eftersom inget beslut fattats, inte skulle skicka över handlingen till län</w:t>
      </w:r>
      <w:r w:rsidRPr="00896D4F">
        <w:t>s</w:t>
      </w:r>
      <w:r w:rsidRPr="00896D4F">
        <w:t xml:space="preserve">rätten. </w:t>
      </w:r>
      <w:r w:rsidRPr="00896D4F">
        <w:rPr>
          <w:rFonts w:ascii="Garamond" w:hAnsi="Garamond"/>
        </w:rPr>
        <w:t>–</w:t>
      </w:r>
      <w:r w:rsidRPr="00896D4F">
        <w:t xml:space="preserve"> Jag beslutade att i ett särskilt ärende låta utreda kassans handläg</w:t>
      </w:r>
      <w:r w:rsidRPr="00896D4F">
        <w:t>g</w:t>
      </w:r>
      <w:r w:rsidRPr="00896D4F">
        <w:t>ning av det brev som kom in från den försäkrade den 3 september 1999.</w:t>
      </w:r>
    </w:p>
    <w:p w:rsidR="009C1C5A" w:rsidRPr="00896D4F" w:rsidRDefault="009C1C5A">
      <w:pPr>
        <w:pStyle w:val="Rubrik3"/>
      </w:pPr>
      <w:r w:rsidRPr="00896D4F">
        <w:t>Utredning</w:t>
      </w:r>
    </w:p>
    <w:p w:rsidR="009C1C5A" w:rsidRPr="00896D4F" w:rsidRDefault="009C1C5A">
      <w:r w:rsidRPr="00896D4F">
        <w:t>Försäkringskassan anmodades att yttra sig över en promemoria, som innehöll det som upptagits ovan.</w:t>
      </w:r>
    </w:p>
    <w:p w:rsidR="009C1C5A" w:rsidRPr="00896D4F" w:rsidRDefault="009C1C5A">
      <w:r w:rsidRPr="00896D4F">
        <w:t xml:space="preserve">I sitt svar anförde försäkringskassan </w:t>
      </w:r>
      <w:r w:rsidRPr="00896D4F">
        <w:rPr>
          <w:rFonts w:ascii="Garamond" w:hAnsi="Garamond"/>
        </w:rPr>
        <w:t>–</w:t>
      </w:r>
      <w:r w:rsidRPr="00896D4F">
        <w:t xml:space="preserve"> direktören Åke Lindwall </w:t>
      </w:r>
      <w:r w:rsidRPr="00896D4F">
        <w:rPr>
          <w:rFonts w:ascii="Garamond" w:hAnsi="Garamond"/>
        </w:rPr>
        <w:t>–</w:t>
      </w:r>
      <w:r w:rsidRPr="00896D4F">
        <w:t xml:space="preserve"> följande.</w:t>
      </w:r>
    </w:p>
    <w:p w:rsidR="009C1C5A" w:rsidRPr="00896D4F" w:rsidRDefault="009C1C5A">
      <w:pPr>
        <w:pStyle w:val="Rubrik4"/>
      </w:pPr>
      <w:r w:rsidRPr="00896D4F">
        <w:t>Försäkringskassans bedömning</w:t>
      </w:r>
    </w:p>
    <w:p w:rsidR="009C1C5A" w:rsidRPr="00896D4F" w:rsidRDefault="009C1C5A">
      <w:pPr>
        <w:pStyle w:val="Citat"/>
      </w:pPr>
      <w:r w:rsidRPr="00896D4F">
        <w:t>I den arbetsskadeanmälan som inkom den 15 juni 1999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anges att G.P. fått ryggproblem av att arbeta som färdtjänstchaufför. Sjukhistorik saknades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Handläggaren uppfattade anmälan som ett statistikfall och det vanliga informationsbrevet skickades ut i och med att anmälan registrerades. G.P. uppmanades i informationsbrevet att kontakta försäkringskassan om hon hade ersättningsanspråk som hon ville ha prövade. Av informationsbrevet framgick vidare att ”Har du inte haft kostnader eller inkomstminskning prövas inte din anmälan nu utan arkiveras på fö</w:t>
      </w:r>
      <w:r w:rsidRPr="00896D4F">
        <w:t>rsäkringskassan för eventuell prövning om kostnader skulle uppstå enligt ovan.”</w:t>
      </w:r>
    </w:p>
    <w:p w:rsidR="009C1C5A" w:rsidRPr="00896D4F" w:rsidRDefault="009C1C5A">
      <w:pPr>
        <w:pStyle w:val="Citatindrag"/>
      </w:pPr>
      <w:r w:rsidRPr="00896D4F">
        <w:t>Skrivelsen rubricerad ”Överklagande av beslut den 9 juli 1999” inkom den 3 september 1999 från G.P. med begäran om anstånd i tre månader att u</w:t>
      </w:r>
      <w:r w:rsidRPr="00896D4F">
        <w:t>t</w:t>
      </w:r>
      <w:r w:rsidRPr="00896D4F">
        <w:t>veckla talan.</w:t>
      </w:r>
    </w:p>
    <w:p w:rsidR="009C1C5A" w:rsidRPr="00896D4F" w:rsidRDefault="009C1C5A">
      <w:pPr>
        <w:pStyle w:val="Citatindrag"/>
      </w:pPr>
      <w:r w:rsidRPr="00896D4F">
        <w:t>Det är endast beslut som kan överklagas enligt bestämmelserna i förval</w:t>
      </w:r>
      <w:r w:rsidRPr="00896D4F">
        <w:t>t</w:t>
      </w:r>
      <w:r w:rsidRPr="00896D4F">
        <w:t>ningslagen och lagen om allmän försäkring. Förhållandet att en försäkrad rubricerar sin skrivelse som ”Överklagande” innebär inte att skrivelsen är en överklagan enligt angivna lagrum.</w:t>
      </w:r>
    </w:p>
    <w:p w:rsidR="009C1C5A" w:rsidRPr="00896D4F" w:rsidRDefault="009C1C5A">
      <w:pPr>
        <w:pStyle w:val="Citatindrag"/>
      </w:pPr>
      <w:r w:rsidRPr="00896D4F">
        <w:t>Försäkringskassan uppmanade på nytt G.P. att tala om vilka ersättningsa</w:t>
      </w:r>
      <w:r w:rsidRPr="00896D4F">
        <w:t>n</w:t>
      </w:r>
      <w:r w:rsidRPr="00896D4F">
        <w:t>språk hon ville ha prövade. Det fanns inte några indikationer som pekade på att försäkringskassan hade en skyldighet att ex officio pröva hennes arbet</w:t>
      </w:r>
      <w:r w:rsidRPr="00896D4F">
        <w:t>s</w:t>
      </w:r>
      <w:r w:rsidRPr="00896D4F">
        <w:t>skadeanmälan. Försäkringskassan informerade på nytt om att om hon inte inkom med något yrkande skulle hennes anmälan arkiveras tills vidare i a</w:t>
      </w:r>
      <w:r w:rsidRPr="00896D4F">
        <w:t>v</w:t>
      </w:r>
      <w:r w:rsidRPr="00896D4F">
        <w:t>vaktan på om hon i framtiden fick kostnader eller inkomstförlust på grund av de besvär som anmälan avsåg. Försäkringskassan har inte avvisat något y</w:t>
      </w:r>
      <w:r w:rsidRPr="00896D4F">
        <w:t>r</w:t>
      </w:r>
      <w:r w:rsidRPr="00896D4F">
        <w:t>kande om prövning av ersättningsanspråk utan endast bekräftat att k</w:t>
      </w:r>
      <w:r w:rsidRPr="00896D4F">
        <w:t>assan har mottagit arbetsskadeanmälan och i</w:t>
      </w:r>
      <w:r w:rsidRPr="00896D4F">
        <w:t>n</w:t>
      </w:r>
      <w:r w:rsidRPr="00896D4F">
        <w:t>formerat om reglerna för prövning.</w:t>
      </w:r>
    </w:p>
    <w:p w:rsidR="009C1C5A" w:rsidRPr="00896D4F" w:rsidRDefault="009C1C5A">
      <w:pPr>
        <w:pStyle w:val="Rubrik3"/>
      </w:pPr>
      <w:r w:rsidRPr="00896D4F">
        <w:t>Bedömning</w:t>
      </w:r>
    </w:p>
    <w:p w:rsidR="009C1C5A" w:rsidRPr="00896D4F" w:rsidRDefault="009C1C5A">
      <w:r w:rsidRPr="00896D4F">
        <w:t>G.P. lämnade i juni 1999 in en anmälan om arbetsskada till försäkringskassan. Den 9 juli 1999 skickade kassan en skrivelse till henne. I denna informerade kassan bl.a. om att hon skulle vända sig till kassan om hon hade anspråk på ersättning. G.P. uppfattade uppenbarligen kassans skrivelse som ett beslut. Hon inkom nämligen den 3 september 1999 med en skrift, i vilken hon sade sig överklaga försäkringskassans beslut av den 9 juli.</w:t>
      </w:r>
    </w:p>
    <w:p w:rsidR="009C1C5A" w:rsidRPr="00896D4F" w:rsidRDefault="009C1C5A">
      <w:pPr>
        <w:pStyle w:val="Normaltindrag"/>
      </w:pPr>
      <w:r w:rsidRPr="00896D4F">
        <w:t>Av försäkringskassans yttrande hit framgår att den inte anser sig ha fattat något beslut i G.P:s arbetsskadeärende. Den fråga som jag behandlar i detta ärende är emellertid enbart hur försäkringskassan skulle ha hanterat den skrift som G.P. gav in den 3 september 1999. Jag tar således inte ställning till om kassans brev av den 9 juli 1999 innefattade något beslut eller om det i så fall kunde överklagas.</w:t>
      </w:r>
    </w:p>
    <w:p w:rsidR="009C1C5A" w:rsidRPr="00896D4F" w:rsidRDefault="009C1C5A">
      <w:pPr>
        <w:pStyle w:val="Normaltindrag"/>
      </w:pPr>
      <w:r w:rsidRPr="00896D4F">
        <w:t xml:space="preserve">När ett överklagande kommer in till försäkringskassan skall den i första hand göra två saker: pröva om överklagandet kommit in i rätt tid och </w:t>
      </w:r>
      <w:r w:rsidRPr="00896D4F">
        <w:rPr>
          <w:rFonts w:ascii="Garamond" w:hAnsi="Garamond"/>
        </w:rPr>
        <w:t>–</w:t>
      </w:r>
      <w:r w:rsidRPr="00896D4F">
        <w:t xml:space="preserve"> i för</w:t>
      </w:r>
      <w:r w:rsidRPr="00896D4F">
        <w:t>e</w:t>
      </w:r>
      <w:r w:rsidRPr="00896D4F">
        <w:t xml:space="preserve">kommande fall </w:t>
      </w:r>
      <w:r w:rsidRPr="00896D4F">
        <w:rPr>
          <w:rFonts w:ascii="Garamond" w:hAnsi="Garamond"/>
        </w:rPr>
        <w:t>–</w:t>
      </w:r>
      <w:r w:rsidRPr="00896D4F">
        <w:t xml:space="preserve"> pröva om beslutet bör ändras med stöd av 20 kap. 10 a § AFL. Därefter skall överklagandet och handlingarna överlämnas till länsrätten för prövning. Jag vill särskilt understryka, att det inte ankommer på försä</w:t>
      </w:r>
      <w:r w:rsidRPr="00896D4F">
        <w:t>k</w:t>
      </w:r>
      <w:r w:rsidRPr="00896D4F">
        <w:t xml:space="preserve">ringskassan att avgöra om det föreligger ett beslut och </w:t>
      </w:r>
      <w:r w:rsidRPr="00896D4F">
        <w:rPr>
          <w:rFonts w:ascii="Garamond" w:hAnsi="Garamond"/>
        </w:rPr>
        <w:t>–</w:t>
      </w:r>
      <w:r w:rsidRPr="00896D4F">
        <w:t xml:space="preserve"> om så skulle vara fallet </w:t>
      </w:r>
      <w:r w:rsidRPr="00896D4F">
        <w:rPr>
          <w:rFonts w:ascii="Garamond" w:hAnsi="Garamond"/>
        </w:rPr>
        <w:t>–</w:t>
      </w:r>
      <w:r w:rsidRPr="00896D4F">
        <w:t xml:space="preserve"> om detta är överklagbart; det är en uppgift för den instans som har att pröva överklaganden av kassans beslut, dvs. i första hand länsrätten. Kassan hade alltså bort överlämna G.P:s skrift dit.</w:t>
      </w:r>
      <w:r w:rsidRPr="00896D4F">
        <w:t xml:space="preserve"> Jag förutsätter att den snarast ser till att så sker.</w:t>
      </w:r>
    </w:p>
    <w:p w:rsidR="009C1C5A" w:rsidRPr="00896D4F" w:rsidRDefault="009C1C5A">
      <w:r w:rsidRPr="00896D4F">
        <w:t>Med den kritik som ligger i det jag nu sagt avslutar jag ärendet.</w:t>
      </w:r>
    </w:p>
    <w:p w:rsidR="009C1C5A" w:rsidRPr="00896D4F" w:rsidRDefault="009C1C5A">
      <w:pPr>
        <w:pStyle w:val="Rubrik2"/>
      </w:pPr>
      <w:r w:rsidRPr="00896D4F">
        <w:t>Försäkringskassas utformning av ett avvisningsbeslut. Även fråga om handläggningstiden för överlämnande av ett överklagande till domstol</w:t>
      </w:r>
    </w:p>
    <w:p w:rsidR="009C1C5A" w:rsidRPr="00896D4F" w:rsidRDefault="009C1C5A">
      <w:pPr>
        <w:spacing w:before="0"/>
      </w:pPr>
      <w:r w:rsidRPr="00896D4F">
        <w:t>(Dnr 163-2001)</w:t>
      </w:r>
    </w:p>
    <w:p w:rsidR="009C1C5A" w:rsidRPr="00896D4F" w:rsidRDefault="009C1C5A">
      <w:r w:rsidRPr="00896D4F">
        <w:t>Sedan G.C. i en anmälan till JO framfört klagomål mot Västerbottens allmä</w:t>
      </w:r>
      <w:r w:rsidRPr="00896D4F">
        <w:t>n</w:t>
      </w:r>
      <w:r w:rsidRPr="00896D4F">
        <w:t xml:space="preserve">na försäkringskassas handläggning av ett arbetsskadeärende upprättades vid ombudsmannaexpeditionen en promemoria som </w:t>
      </w:r>
      <w:r w:rsidRPr="00896D4F">
        <w:rPr>
          <w:rFonts w:ascii="Garamond" w:hAnsi="Garamond"/>
        </w:rPr>
        <w:t>–</w:t>
      </w:r>
      <w:r w:rsidRPr="00896D4F">
        <w:t xml:space="preserve"> såvitt här är aktuellt </w:t>
      </w:r>
      <w:r w:rsidRPr="00896D4F">
        <w:rPr>
          <w:rFonts w:ascii="Garamond" w:hAnsi="Garamond"/>
        </w:rPr>
        <w:t>–</w:t>
      </w:r>
      <w:r w:rsidRPr="00896D4F">
        <w:t xml:space="preserve"> i</w:t>
      </w:r>
      <w:r w:rsidRPr="00896D4F">
        <w:t>n</w:t>
      </w:r>
      <w:r w:rsidRPr="00896D4F">
        <w:t>nehöll följande.</w:t>
      </w:r>
    </w:p>
    <w:p w:rsidR="009C1C5A" w:rsidRPr="00896D4F" w:rsidRDefault="009C1C5A">
      <w:pPr>
        <w:pStyle w:val="Rubrik4"/>
      </w:pPr>
      <w:r w:rsidRPr="00896D4F">
        <w:t>1. Handläggningstid för överlämnande av överklagande</w:t>
      </w:r>
    </w:p>
    <w:p w:rsidR="009C1C5A" w:rsidRPr="00896D4F" w:rsidRDefault="009C1C5A">
      <w:pPr>
        <w:pStyle w:val="Citat"/>
      </w:pPr>
      <w:r w:rsidRPr="00896D4F">
        <w:t>G.C. har i en anmälan till JO bl.a. klagat på försäkringskassans handläggning av hennes arbetsskadeärende. I sin anmälan hänvisar hon till en skrivelse den 21 januari 2000 vari hon bl.a. överklagar socialförsäkringsnämndens beslut den 19 november 1999 avseende förtidspension och livränta. Överklagandet, som är inkomststämplat hos kassan den 28 januari 2000, kom enligt länsrä</w:t>
      </w:r>
      <w:r w:rsidRPr="00896D4F">
        <w:t>t</w:t>
      </w:r>
      <w:r w:rsidRPr="00896D4F">
        <w:t>tens inkomststämpel in dit först den 7 april 2000.</w:t>
      </w:r>
    </w:p>
    <w:p w:rsidR="009C1C5A" w:rsidRPr="00896D4F" w:rsidRDefault="009C1C5A">
      <w:pPr>
        <w:pStyle w:val="Rubrik4"/>
      </w:pPr>
      <w:r w:rsidRPr="00896D4F">
        <w:t>2. Försäkringskassans utformning av ett avvisningsbeslut</w:t>
      </w:r>
    </w:p>
    <w:p w:rsidR="009C1C5A" w:rsidRPr="00896D4F" w:rsidRDefault="009C1C5A">
      <w:pPr>
        <w:pStyle w:val="Citat"/>
      </w:pPr>
      <w:r w:rsidRPr="00896D4F">
        <w:t>I sin skrivelse den 21 januari 2000 begär G.C. vidare att kassan ”omprövar tidigare beslut” och anför: ”Det skall gälla hela mitt arbetsskadeärende och beslut om arbetsskadesjukpenning, sjukbidrag/arbetsskadelivränta samt fö</w:t>
      </w:r>
      <w:r w:rsidRPr="00896D4F">
        <w:t>r</w:t>
      </w:r>
      <w:r w:rsidRPr="00896D4F">
        <w:t>tidspension från och med maj 1987.”</w:t>
      </w:r>
    </w:p>
    <w:p w:rsidR="009C1C5A" w:rsidRPr="00896D4F" w:rsidRDefault="009C1C5A">
      <w:pPr>
        <w:pStyle w:val="Citatindrag"/>
      </w:pPr>
      <w:r w:rsidRPr="00896D4F">
        <w:t>Med anledning av G.C:s begäran om ”omprövning” har försäkringskassan fattat vad som måste betraktas som ett avvisningsbeslut den 31 mars 2000. I beslutet anger kassan bl.a. ”att kassan är förhindrad att ompröva beslut enligt ditt yrkande från och med maj 1987”. Flertalet av de beslut som G.C. begär att kassan skall ”ompröva” ankommer det på socialförsäkringsnämnden att avgöra. Dessa beslut saknar kassan enligt 20 kap. 10 § lagen om allmän fö</w:t>
      </w:r>
      <w:r w:rsidRPr="00896D4F">
        <w:t>r</w:t>
      </w:r>
      <w:r w:rsidRPr="00896D4F">
        <w:t>säkring behörighet att ompröva. – Kassans beslut den 31 mars 2000 har inte rubricerats som ett sådant och har heller inte försetts med överklagandehä</w:t>
      </w:r>
      <w:r w:rsidRPr="00896D4F">
        <w:t>n</w:t>
      </w:r>
      <w:r w:rsidRPr="00896D4F">
        <w:t xml:space="preserve">visning. </w:t>
      </w: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p>
    <w:p w:rsidR="009C1C5A" w:rsidRPr="00896D4F" w:rsidRDefault="009C1C5A">
      <w:r w:rsidRPr="00896D4F">
        <w:t>Försäkringskassan anmodades att yttra sig över promemorians innehåll. I sitt svar anförde kassan – vikarierande direktören Anders Boman – följande.</w:t>
      </w:r>
    </w:p>
    <w:p w:rsidR="009C1C5A" w:rsidRPr="00896D4F" w:rsidRDefault="009C1C5A">
      <w:pPr>
        <w:pStyle w:val="Citatindrag"/>
        <w:spacing w:before="125"/>
        <w:ind w:firstLine="0"/>
      </w:pPr>
      <w:r w:rsidRPr="00896D4F">
        <w:t>– – –</w:t>
      </w:r>
    </w:p>
    <w:p w:rsidR="009C1C5A" w:rsidRPr="00896D4F" w:rsidRDefault="009C1C5A">
      <w:pPr>
        <w:pStyle w:val="Citat"/>
      </w:pPr>
      <w:r w:rsidRPr="00896D4F">
        <w:t>Överklagandet har i rubricerade ärende inkomststämplats hos kassan den 28 januari 2000 och först den 7 april 2000 hos länsrätten.</w:t>
      </w:r>
    </w:p>
    <w:p w:rsidR="009C1C5A" w:rsidRPr="00896D4F" w:rsidRDefault="009C1C5A">
      <w:pPr>
        <w:pStyle w:val="Citatindrag"/>
      </w:pPr>
      <w:r w:rsidRPr="00896D4F">
        <w:t>I Riksförsäkringsverkets allmänna råd rekommenderas att försäkringska</w:t>
      </w:r>
      <w:r w:rsidRPr="00896D4F">
        <w:t>s</w:t>
      </w:r>
      <w:r w:rsidRPr="00896D4F">
        <w:t>san överlämnar ett överklagat beslut och övriga handlingar inom en vecka. Försäkringskassan har inte följt de rekommendationer som gäller för han</w:t>
      </w:r>
      <w:r w:rsidRPr="00896D4F">
        <w:t>d</w:t>
      </w:r>
      <w:r w:rsidRPr="00896D4F">
        <w:t>läggning av överklaganden och något skäl till att ärendet inte översänts till länsrätten inom stipulerad tid finns inte. Kassans personal är väl informerad om vilka rutiner som gäller för handläggningen av överklaganden och infö</w:t>
      </w:r>
      <w:r w:rsidRPr="00896D4F">
        <w:t>r</w:t>
      </w:r>
      <w:r w:rsidRPr="00896D4F">
        <w:t>stådda med att dessa inte följts i förevarande ärende.</w:t>
      </w:r>
    </w:p>
    <w:p w:rsidR="009C1C5A" w:rsidRPr="00896D4F" w:rsidRDefault="009C1C5A">
      <w:pPr>
        <w:pStyle w:val="Citatindrag"/>
      </w:pPr>
      <w:r w:rsidRPr="00896D4F">
        <w:t xml:space="preserve">När det gäller försäkringskassans utformning av ett avvisningsbeslut vill kassan </w:t>
      </w:r>
      <w:r w:rsidRPr="00896D4F">
        <w:t>redovisa följande. G.C. har i skrivelse till försäkringskassan daterad den 21 januari 2000 begärt att kassan ”omprövar tidigare beslut” och anför: ”Det ska gälla hela mitt arbetsskadeärende och beslut om arbetsskadesju</w:t>
      </w:r>
      <w:r w:rsidRPr="00896D4F">
        <w:t>k</w:t>
      </w:r>
      <w:r w:rsidRPr="00896D4F">
        <w:t>penning, sjukbidrag/arbetsskadelivränta samt förtidspension från och med maj 1987.”</w:t>
      </w:r>
    </w:p>
    <w:p w:rsidR="009C1C5A" w:rsidRPr="00896D4F" w:rsidRDefault="009C1C5A">
      <w:pPr>
        <w:pStyle w:val="Citatindrag"/>
      </w:pPr>
      <w:r w:rsidRPr="00896D4F">
        <w:t>G.C:s begäran omfattar dels beslut som varit uppe till prövning i högre i</w:t>
      </w:r>
      <w:r w:rsidRPr="00896D4F">
        <w:t>n</w:t>
      </w:r>
      <w:r w:rsidRPr="00896D4F">
        <w:t>stans och vunnit laga kraft och dels försäkringskassans beslut den 19 nove</w:t>
      </w:r>
      <w:r w:rsidRPr="00896D4F">
        <w:t>m</w:t>
      </w:r>
      <w:r w:rsidRPr="00896D4F">
        <w:t>ber 1999.</w:t>
      </w:r>
    </w:p>
    <w:p w:rsidR="009C1C5A" w:rsidRPr="00896D4F" w:rsidRDefault="009C1C5A">
      <w:pPr>
        <w:pStyle w:val="Citatindrag"/>
      </w:pPr>
      <w:r w:rsidRPr="00896D4F">
        <w:t>Försäkringskassan borde i samband med handläggningen av överklagan [ha] gjort en kompletterande utredning för att säkerställa sig om innebörden i hennes framställan. Först därefter skulle försäkringskassan ha fattat ett beslut beträffande G.C:s yrkanden. I det fall att delar av yrkandena skulle ha avv</w:t>
      </w:r>
      <w:r w:rsidRPr="00896D4F">
        <w:t>i</w:t>
      </w:r>
      <w:r w:rsidRPr="00896D4F">
        <w:t>sats skulle beslutet den 31 mars 2000 ha utformats som ett avvisningsbeslut med överklagandehänvisning. Eventuella övriga yrkanden skulle ha handlagts av försäkringskassan i vanlig ordning.</w:t>
      </w:r>
    </w:p>
    <w:p w:rsidR="009C1C5A" w:rsidRPr="00896D4F" w:rsidRDefault="009C1C5A">
      <w:pPr>
        <w:pStyle w:val="Citatindrag"/>
        <w:ind w:firstLine="0"/>
      </w:pP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pPr>
        <w:pStyle w:val="Citat"/>
      </w:pPr>
      <w:r w:rsidRPr="00896D4F">
        <w:t>Försäkringskassan ser mycket allvarligt på hur G.C:s ärende har handlagts och kan konstatera att handläggningen av ärendet inte kan undgå kritik. Fö</w:t>
      </w:r>
      <w:r w:rsidRPr="00896D4F">
        <w:t>r</w:t>
      </w:r>
      <w:r w:rsidRPr="00896D4F">
        <w:t>säkringskassan i Västerbotten står inför en omorganisation under 2001. I samband med denna kommer ytterligare utbildningsinsatser att ske beträffa</w:t>
      </w:r>
      <w:r w:rsidRPr="00896D4F">
        <w:t>n</w:t>
      </w:r>
      <w:r w:rsidRPr="00896D4F">
        <w:t>de förvaltningsrätt för att ånyo betona vikten av de förvaltningsrättsliga re</w:t>
      </w:r>
      <w:r w:rsidRPr="00896D4F">
        <w:t>g</w:t>
      </w:r>
      <w:r w:rsidRPr="00896D4F">
        <w:t>lerna.</w:t>
      </w:r>
    </w:p>
    <w:p w:rsidR="009C1C5A" w:rsidRPr="00896D4F" w:rsidRDefault="009C1C5A">
      <w:r w:rsidRPr="00896D4F">
        <w:t>G.C. kommenterade remissvaret.</w:t>
      </w:r>
    </w:p>
    <w:p w:rsidR="009C1C5A" w:rsidRPr="00896D4F" w:rsidRDefault="009C1C5A">
      <w:r w:rsidRPr="00896D4F">
        <w:t xml:space="preserve">I sitt den 25 oktober 2001 meddelade beslut anförde </w:t>
      </w:r>
      <w:r w:rsidRPr="00896D4F">
        <w:rPr>
          <w:i/>
        </w:rPr>
        <w:t xml:space="preserve">JO Pennlöv </w:t>
      </w:r>
      <w:r w:rsidRPr="00896D4F">
        <w:t xml:space="preserve"> i bedö</w:t>
      </w:r>
      <w:r w:rsidRPr="00896D4F">
        <w:t>m</w:t>
      </w:r>
      <w:r w:rsidRPr="00896D4F">
        <w:t>ningsdelen bl.a. följande.</w:t>
      </w:r>
    </w:p>
    <w:p w:rsidR="009C1C5A" w:rsidRPr="00896D4F" w:rsidRDefault="009C1C5A">
      <w:pPr>
        <w:pStyle w:val="Rubrik4"/>
      </w:pPr>
      <w:r w:rsidRPr="00896D4F">
        <w:t>Handläggningstid för överlämnande av överklagande</w:t>
      </w:r>
    </w:p>
    <w:p w:rsidR="009C1C5A" w:rsidRPr="00896D4F" w:rsidRDefault="009C1C5A">
      <w:r w:rsidRPr="00896D4F">
        <w:t>Det dröjde över två månader innan försäkringskassan översände skrivelsen med överklagandet till länsrätten. Detta är inte godtagbart. Jag har bl.a. vid ett flertal inspektioner av olika försäkringskassor uttalat att tidsrymden för fö</w:t>
      </w:r>
      <w:r w:rsidRPr="00896D4F">
        <w:t>r</w:t>
      </w:r>
      <w:r w:rsidRPr="00896D4F">
        <w:t>säkringskassans rättidsprövning och prövning enligt 20 kap. 10 a § lagen (1962:381) om allmän försäkring (AFL) och till dess att överklagandet lä</w:t>
      </w:r>
      <w:r w:rsidRPr="00896D4F">
        <w:t>m</w:t>
      </w:r>
      <w:r w:rsidRPr="00896D4F">
        <w:t>nas över till länsrätten inte bör överstiga en vecka.</w:t>
      </w:r>
    </w:p>
    <w:p w:rsidR="009C1C5A" w:rsidRPr="00896D4F" w:rsidRDefault="009C1C5A">
      <w:pPr>
        <w:pStyle w:val="Rubrik4"/>
      </w:pPr>
      <w:r w:rsidRPr="00896D4F">
        <w:t>Utformningen av ett avvisningsbeslut</w:t>
      </w:r>
    </w:p>
    <w:p w:rsidR="009C1C5A" w:rsidRPr="00896D4F" w:rsidRDefault="009C1C5A">
      <w:r w:rsidRPr="00896D4F">
        <w:t>Av försäkringskassans remissvar framgår att kassan till viss del har uppfattat G.C:s yrkanden i skrivelsen den 21 januari 2000 som oklara. Kassan har a</w:t>
      </w:r>
      <w:r w:rsidRPr="00896D4F">
        <w:t>n</w:t>
      </w:r>
      <w:r w:rsidRPr="00896D4F">
        <w:t>fört att den därför borde ha tagit kontakt med G.C. för att säkerställa sig om innebörden i hennes framställan. Lika med kassan anser jag att, om den funnit oklarheter i G.C:s framställan, hon borde ha givits tillfälle att inkomma med kompletteringar innan ärendet avgjordes.</w:t>
      </w:r>
    </w:p>
    <w:p w:rsidR="009C1C5A" w:rsidRPr="00896D4F" w:rsidRDefault="009C1C5A">
      <w:pPr>
        <w:pStyle w:val="Normaltindrag"/>
      </w:pPr>
      <w:r w:rsidRPr="00896D4F">
        <w:t xml:space="preserve">I 20 kap. 10 § AFL föreskrivs att beslut av en allmän försäkringskassa som har fattats av tjänsteman i ärenden om försäkring enligt denna lag skall </w:t>
      </w:r>
      <w:r w:rsidRPr="00896D4F">
        <w:rPr>
          <w:i/>
        </w:rPr>
        <w:t>o</w:t>
      </w:r>
      <w:r w:rsidRPr="00896D4F">
        <w:rPr>
          <w:i/>
        </w:rPr>
        <w:t>m</w:t>
      </w:r>
      <w:r w:rsidRPr="00896D4F">
        <w:rPr>
          <w:i/>
        </w:rPr>
        <w:t>prövas</w:t>
      </w:r>
      <w:r w:rsidRPr="00896D4F">
        <w:t xml:space="preserve"> av kassan, om det begärs av en enskild som beslutet angår och beslutet inte har meddelats med stöd av 10 a §.</w:t>
      </w:r>
    </w:p>
    <w:p w:rsidR="009C1C5A" w:rsidRPr="00896D4F" w:rsidRDefault="009C1C5A">
      <w:pPr>
        <w:pStyle w:val="Normaltindrag"/>
      </w:pPr>
      <w:r w:rsidRPr="00896D4F">
        <w:t xml:space="preserve">Försäkringskassan har i beslutet den 31 mars 2000 bl.a. anfört att den är förhindrad att </w:t>
      </w:r>
      <w:r w:rsidRPr="00896D4F">
        <w:rPr>
          <w:i/>
        </w:rPr>
        <w:t>ompröva</w:t>
      </w:r>
      <w:r w:rsidRPr="00896D4F">
        <w:t xml:space="preserve"> beslut enligt G.C:s yrkande från och med maj 1987. Såvitt framkommit har besluten inte meddelats med stöd av 20 kap. 10 a § AFL. Kassans ställningstagande att avvisa G.C:s yrkande som för sent i</w:t>
      </w:r>
      <w:r w:rsidRPr="00896D4F">
        <w:t>n</w:t>
      </w:r>
      <w:r w:rsidRPr="00896D4F">
        <w:t xml:space="preserve">kommet har – enligt vad som framkommit – bl.a. omfattat beslut som det ankommer på socialförsäkringsnämnden att avgöra. Kassan saknar enligt 20 kap. 10 § AFL behörighet att </w:t>
      </w:r>
      <w:r w:rsidRPr="00896D4F">
        <w:rPr>
          <w:i/>
        </w:rPr>
        <w:t xml:space="preserve">ompröva </w:t>
      </w:r>
      <w:r w:rsidRPr="00896D4F">
        <w:t>dessa beslut. Jag vill betona vikten av att den juridiska terminologin används på ett korrekt sätt.</w:t>
      </w:r>
    </w:p>
    <w:p w:rsidR="009C1C5A" w:rsidRPr="00896D4F" w:rsidRDefault="009C1C5A">
      <w:pPr>
        <w:pStyle w:val="Normaltindrag"/>
      </w:pPr>
      <w:r w:rsidRPr="00896D4F">
        <w:t>Det aktuella avvisningsbeslu</w:t>
      </w:r>
      <w:r w:rsidRPr="00896D4F">
        <w:t>tet har inte försetts med någon anvisning om hur det kan överklagas. I 21 § andra stycket förvaltningslagen (1986:223) föreskrivs bl.a. att om ett beslut varigenom en myndighet avgör ett ärende går part emot och kan överklagas, skall han underrättas om hur han kan överklaga det. Beslutet borde således, då det gått sökanden emot, ha innehållit anvi</w:t>
      </w:r>
      <w:r w:rsidRPr="00896D4F">
        <w:t>s</w:t>
      </w:r>
      <w:r w:rsidRPr="00896D4F">
        <w:t>ningar om hur det kunnat överklagas.</w:t>
      </w:r>
    </w:p>
    <w:p w:rsidR="009C1C5A" w:rsidRPr="00896D4F" w:rsidRDefault="009C1C5A">
      <w:pPr>
        <w:pStyle w:val="Normaltindrag"/>
      </w:pPr>
      <w:r w:rsidRPr="00896D4F">
        <w:t>När det gäller avvisningsbeslutets utformning har jag – utöver vad som sagts här ovan – funnit skäl att erinra om följande.</w:t>
      </w:r>
    </w:p>
    <w:p w:rsidR="009C1C5A" w:rsidRPr="00896D4F" w:rsidRDefault="009C1C5A">
      <w:pPr>
        <w:pStyle w:val="Normaltindrag"/>
      </w:pPr>
      <w:r w:rsidRPr="00896D4F">
        <w:t>Enligt huvudregeln i 20 § förvaltningslagen skall beslut varigenom en myndighet avgör ett ärende innehålla de skäl som har bestämt utgången, om äre</w:t>
      </w:r>
      <w:r w:rsidRPr="00896D4F">
        <w:t>n</w:t>
      </w:r>
      <w:r w:rsidRPr="00896D4F">
        <w:t>det avser myndighetsutövning mot någon enskild.</w:t>
      </w:r>
    </w:p>
    <w:p w:rsidR="009C1C5A" w:rsidRPr="00896D4F" w:rsidRDefault="009C1C5A">
      <w:pPr>
        <w:pStyle w:val="Normaltindrag"/>
      </w:pPr>
      <w:r w:rsidRPr="00896D4F">
        <w:t>Genom sitt beslut den 31 mars 2000 har försäkringskassan – som fram-  gått – avvisat G.C:s framställan om prövning med hänvisning dels till att hennes ”yrkande från och med maj 1987” kommit in för sent, dels till att henne tillerkänd ”ersättning enligt lagen om arbetsskadeförsäkring för åren september 1992 t.o.m. maj 1997 dessutom varit föremål för prövning i högre instans”. Av avvisningsbeslutet framgår varken datum för eller andra uppgi</w:t>
      </w:r>
      <w:r w:rsidRPr="00896D4F">
        <w:t>f</w:t>
      </w:r>
      <w:r w:rsidRPr="00896D4F">
        <w:t>ter om de tidigare avgöranden vari kassan har behandlat de sakfrågor som G.C. i sin skrivelse den 21 januari 2000 har begärt att kassan skall pröva. Det är enligt min mening en påtaglig brist ur rättssäkerhetssynpunkt att kassans avvisningsbeslut i G.C:s fall inte innehåller närmare uppgifter om de tidigare avg</w:t>
      </w:r>
      <w:r w:rsidRPr="00896D4F">
        <w:t>ö</w:t>
      </w:r>
      <w:r w:rsidRPr="00896D4F">
        <w:t>randen som omfattas av kassans ställningstaganden.</w:t>
      </w:r>
    </w:p>
    <w:p w:rsidR="009C1C5A" w:rsidRPr="00896D4F" w:rsidRDefault="009C1C5A">
      <w:pPr>
        <w:pStyle w:val="Normaltindrag"/>
      </w:pPr>
      <w:r w:rsidRPr="00896D4F">
        <w:t>Jag har vidare funnit skäl att – utan att ta ställning i G.C:s fall – något b</w:t>
      </w:r>
      <w:r w:rsidRPr="00896D4F">
        <w:t>e</w:t>
      </w:r>
      <w:r w:rsidRPr="00896D4F">
        <w:t xml:space="preserve">röra frågan om ett förvaltningsbeslut är förenat med </w:t>
      </w:r>
      <w:r w:rsidRPr="00896D4F">
        <w:rPr>
          <w:i/>
        </w:rPr>
        <w:t xml:space="preserve">negativ rättskraft. </w:t>
      </w:r>
      <w:r w:rsidRPr="00896D4F">
        <w:t>Att ett beslut är förenat med negativ rättskraft innebär att den fråga som har avgjorts genom beslutet inte får tas upp till förnyad prövning. Beslutet är alltså orub</w:t>
      </w:r>
      <w:r w:rsidRPr="00896D4F">
        <w:t>b</w:t>
      </w:r>
      <w:r w:rsidRPr="00896D4F">
        <w:t>ligt och den beslutande myndigheten kan inte senare återkalla eller ändra beslutet (res judicata).</w:t>
      </w:r>
    </w:p>
    <w:p w:rsidR="009C1C5A" w:rsidRPr="00896D4F" w:rsidRDefault="009C1C5A">
      <w:pPr>
        <w:pStyle w:val="Normaltindrag"/>
      </w:pPr>
      <w:r w:rsidRPr="00896D4F">
        <w:t>Beträffande det stora flertalet förvaltningsbeslut gäller emellertid att de inte är förenade med sådan negativ rättskraft, jfr Strömberg, Allmän förval</w:t>
      </w:r>
      <w:r w:rsidRPr="00896D4F">
        <w:t>t</w:t>
      </w:r>
      <w:r w:rsidRPr="00896D4F">
        <w:t>ningsrätt, 20:e uppl., s. 71 f.</w:t>
      </w:r>
    </w:p>
    <w:p w:rsidR="009C1C5A" w:rsidRPr="00896D4F" w:rsidRDefault="009C1C5A">
      <w:pPr>
        <w:pStyle w:val="Normaltindrag"/>
      </w:pPr>
      <w:r w:rsidRPr="00896D4F">
        <w:t>Ragnemalm anför för sin del i Förvaltningsprocessrättens grunder (7:e uppl. 1992, s. 88 f.) bl.a. följande om rättskraftsfrågan. Avslagsbeslut är en typ av s.k. betungande beslut, som frånkänns rättskraft. Sökanden kan alltså återkomma med en ny framställning i samma sak och kan då få den bifallen utan hänsyn till det tidigare avslaget. Myndigheten kan frångå sitt tidigare beslut, om sökanden förmår visa nya omständigheter, men också på oförän</w:t>
      </w:r>
      <w:r w:rsidRPr="00896D4F">
        <w:t>d</w:t>
      </w:r>
      <w:r w:rsidRPr="00896D4F">
        <w:t>rat material, om man ändrat uppfattning i frågan (jfr RRK K76 2:7 angående bidragsförskott). Inte ens det förhållandet, att avslagsbeslut efter besvär fas</w:t>
      </w:r>
      <w:r w:rsidRPr="00896D4F">
        <w:t>t</w:t>
      </w:r>
      <w:r w:rsidRPr="00896D4F">
        <w:t>ställs av högre myndighet, hindrar i princip beslutsmyndigheten från att sen</w:t>
      </w:r>
      <w:r w:rsidRPr="00896D4F">
        <w:t>a</w:t>
      </w:r>
      <w:r w:rsidRPr="00896D4F">
        <w:t>re bifalla samma ansökan. En annan sak är naturligtvis, att föreskrifter om bestämda ansökningstider ibland sätter stopp för en förnyad prövning, jfr RÅ 1978 1:9 angående ansökan om skattebefrielse.</w:t>
      </w:r>
    </w:p>
    <w:p w:rsidR="009C1C5A" w:rsidRPr="00896D4F" w:rsidRDefault="009C1C5A">
      <w:r w:rsidRPr="00896D4F">
        <w:rPr>
          <w:rFonts w:ascii="Garamond" w:hAnsi="Garamond"/>
        </w:rPr>
        <w:t>– – –</w:t>
      </w:r>
    </w:p>
    <w:p w:rsidR="009C1C5A" w:rsidRPr="00896D4F" w:rsidRDefault="009C1C5A">
      <w:r w:rsidRPr="00896D4F">
        <w:t>Sammanfattningsvis kan jag konstatera att det förekommit ett flertal brister i försäkringskassans handläggning av G.C:s ärende. Försäkringskassan har i remissvaret anfört att den ser allvarligt på bristerna i handläggningen av äre</w:t>
      </w:r>
      <w:r w:rsidRPr="00896D4F">
        <w:t>n</w:t>
      </w:r>
      <w:r w:rsidRPr="00896D4F">
        <w:t>det och att utbildningsinsatser i förvaltningsrätt kommer att anordnas för kassans personal. Försäkringskassan förtjänar likväl kritik för sin handläg</w:t>
      </w:r>
      <w:r w:rsidRPr="00896D4F">
        <w:t>g</w:t>
      </w:r>
      <w:r w:rsidRPr="00896D4F">
        <w:t>ning av G.C:s ärende.</w:t>
      </w:r>
    </w:p>
    <w:p w:rsidR="009C1C5A" w:rsidRPr="00896D4F" w:rsidRDefault="009C1C5A">
      <w:pPr>
        <w:pStyle w:val="Rubrik2"/>
      </w:pPr>
      <w:r w:rsidRPr="00896D4F">
        <w:t>Ett initiativärende om en försäkringskassas handläggning av ärenden rörande omprövning av beslut om pension enligt det gamla pensionssystemet och beslut om pensionsrätt enligt övergångsbestämmelserna till det nya pensionssystemet</w:t>
      </w:r>
    </w:p>
    <w:p w:rsidR="009C1C5A" w:rsidRPr="00896D4F" w:rsidRDefault="009C1C5A">
      <w:pPr>
        <w:spacing w:before="0"/>
      </w:pPr>
      <w:r w:rsidRPr="00896D4F">
        <w:t>(Dnr 582-2001)</w:t>
      </w:r>
    </w:p>
    <w:p w:rsidR="009C1C5A" w:rsidRPr="00896D4F" w:rsidRDefault="009C1C5A">
      <w:r w:rsidRPr="00896D4F">
        <w:rPr>
          <w:i/>
        </w:rPr>
        <w:t xml:space="preserve">JO Pennlöv </w:t>
      </w:r>
      <w:r w:rsidRPr="00896D4F">
        <w:t>meddelade den 18 januari 2002 ett beslut med följande innehåll.</w:t>
      </w:r>
    </w:p>
    <w:p w:rsidR="009C1C5A" w:rsidRPr="00896D4F" w:rsidRDefault="009C1C5A">
      <w:pPr>
        <w:pStyle w:val="Rubrik3"/>
      </w:pPr>
      <w:r w:rsidRPr="00896D4F">
        <w:t>Initiativet</w:t>
      </w:r>
    </w:p>
    <w:p w:rsidR="009C1C5A" w:rsidRPr="00896D4F" w:rsidRDefault="009C1C5A">
      <w:r w:rsidRPr="00896D4F">
        <w:t>Vid granskning av handlingar hos Stockholms läns allmänna försäkringskassa den 12 februari 2001 uppmärksammades bl.a. följande. I en skrift som kom in till försäkringskassan den 8 oktober 1999 begärde K.S. omprövning av ett beslut rörande ålderspension. Försäkringskassan hade ännu inte fattat något beslut i ärendet. Den 11 april 2000 inkom till kassan en skrift från G.L., i vilken hon begärde omprövning av ett beslut rörande pensionsrätt. Inte heller det ärendet var avgjort. Jag beslutade att inom ramen fö</w:t>
      </w:r>
      <w:r w:rsidRPr="00896D4F">
        <w:t>r ett på mitt initiativ upptaget ärende inhämta försäkringskassans yttrande över handläggningen av de nämnda ärendena.</w:t>
      </w:r>
    </w:p>
    <w:p w:rsidR="009C1C5A" w:rsidRPr="00896D4F" w:rsidRDefault="009C1C5A">
      <w:pPr>
        <w:pStyle w:val="Rubrik3"/>
      </w:pPr>
      <w:r w:rsidRPr="00896D4F">
        <w:t>Utredning</w:t>
      </w:r>
    </w:p>
    <w:p w:rsidR="009C1C5A" w:rsidRPr="00896D4F" w:rsidRDefault="009C1C5A">
      <w:r w:rsidRPr="00896D4F">
        <w:t>Efter remiss till Stockholms läns allmänna försäkringskassa anförde direkt</w:t>
      </w:r>
      <w:r w:rsidRPr="00896D4F">
        <w:t>ö</w:t>
      </w:r>
      <w:r w:rsidRPr="00896D4F">
        <w:t xml:space="preserve">ren Henrik Meldahl den 23 april 2001 följande </w:t>
      </w:r>
      <w:r w:rsidRPr="00896D4F">
        <w:rPr>
          <w:i/>
        </w:rPr>
        <w:t>(bilagorna har utelämnats här, min anm.)</w:t>
      </w:r>
      <w:r w:rsidRPr="00896D4F">
        <w:t>.</w:t>
      </w:r>
    </w:p>
    <w:p w:rsidR="009C1C5A" w:rsidRPr="00896D4F" w:rsidRDefault="009C1C5A">
      <w:pPr>
        <w:pStyle w:val="Citat"/>
        <w:spacing w:before="250"/>
        <w:rPr>
          <w:b/>
        </w:rPr>
      </w:pPr>
      <w:r w:rsidRPr="00896D4F">
        <w:rPr>
          <w:b/>
        </w:rPr>
        <w:t>Redogörelse för handläggningen</w:t>
      </w:r>
    </w:p>
    <w:p w:rsidR="009C1C5A" w:rsidRPr="00896D4F" w:rsidRDefault="009C1C5A">
      <w:pPr>
        <w:pStyle w:val="Rubrik4"/>
        <w:spacing w:before="125"/>
      </w:pPr>
      <w:r w:rsidRPr="00896D4F">
        <w:t>K.S.</w:t>
      </w:r>
    </w:p>
    <w:p w:rsidR="009C1C5A" w:rsidRPr="00896D4F" w:rsidRDefault="009C1C5A">
      <w:pPr>
        <w:pStyle w:val="Citat"/>
      </w:pPr>
      <w:r w:rsidRPr="00896D4F">
        <w:t>K.S. har i skrivelse den 2 oktober 1999 begärt att försäkringskassan skall ompröva hans beslut om ålderspension daterat den 28 september 1999. Fö</w:t>
      </w:r>
      <w:r w:rsidRPr="00896D4F">
        <w:t>r</w:t>
      </w:r>
      <w:r w:rsidRPr="00896D4F">
        <w:t>säkringskassan har i sitt beslut baserat pensionens storlek på 27 intjänade poängår av 30 möjliga för full ATP. K.S. har i sin begäran om omprövning yrkat att ATP skall baseras på 30 poängår.</w:t>
      </w:r>
    </w:p>
    <w:p w:rsidR="009C1C5A" w:rsidRPr="00896D4F" w:rsidRDefault="009C1C5A">
      <w:pPr>
        <w:pStyle w:val="Citatindrag"/>
      </w:pPr>
      <w:r w:rsidRPr="00896D4F">
        <w:t>K.S:s begäran om omprövning kom behörig handläggare tillhanda den 12 november 1999. Ärendet blev sedan liggande till den 1 mars 2000 då han</w:t>
      </w:r>
      <w:r w:rsidRPr="00896D4F">
        <w:t>d</w:t>
      </w:r>
      <w:r w:rsidRPr="00896D4F">
        <w:t>läggaren tog kontakt med K.S. för att närmare utreda grunderna för omprö</w:t>
      </w:r>
      <w:r w:rsidRPr="00896D4F">
        <w:t>v</w:t>
      </w:r>
      <w:r w:rsidRPr="00896D4F">
        <w:t>ningsbegäran. K.S. uppgav att han själv avsåg att kontakta skattemyndigheten för att få en ändring av ATP-poängen till stånd. Han uppgav att han skulle återkomma till försäkringskassan när han fått besked från skattemyndigheten. K.S. ville även att försäkringskassan skulle avvakta med beslut till dess att han varit i kontakt med skattemyndigheten.</w:t>
      </w:r>
    </w:p>
    <w:p w:rsidR="009C1C5A" w:rsidRPr="00896D4F" w:rsidRDefault="009C1C5A">
      <w:pPr>
        <w:pStyle w:val="Citatindrag"/>
      </w:pPr>
      <w:r w:rsidRPr="00896D4F">
        <w:t>Den 24 januari 2001 sände försäkringskassan ett brev till K.S. med förfr</w:t>
      </w:r>
      <w:r w:rsidRPr="00896D4F">
        <w:t>å</w:t>
      </w:r>
      <w:r w:rsidRPr="00896D4F">
        <w:t>gan om han erhållit något svar från skattemyndigheten rörande hans uteblivna pensionspoängår. I brevet upplystes om att nuvarande pensionsberäkning var riktig utifrån de befintliga uppgifterna från skattemyndigheten. K.S. fick även uppgiften att om skattemyndigheten ändrar sina uppgifter skulle även hans pension räknas om. I brevet uppmanades K.S. att lämna besked till försä</w:t>
      </w:r>
      <w:r w:rsidRPr="00896D4F">
        <w:t>k</w:t>
      </w:r>
      <w:r w:rsidRPr="00896D4F">
        <w:t>ringskassan om han ville att försäkring</w:t>
      </w:r>
      <w:r w:rsidRPr="00896D4F">
        <w:t>s</w:t>
      </w:r>
      <w:r w:rsidRPr="00896D4F">
        <w:t>kassan skulle avsluta omprövningen.</w:t>
      </w:r>
    </w:p>
    <w:p w:rsidR="009C1C5A" w:rsidRPr="00896D4F" w:rsidRDefault="009C1C5A">
      <w:pPr>
        <w:pStyle w:val="Citatindrag"/>
      </w:pPr>
      <w:r w:rsidRPr="00896D4F">
        <w:t>Den 31 januari 2001 ringer K.S. till försäkringskassan. H</w:t>
      </w:r>
      <w:r w:rsidRPr="00896D4F">
        <w:t>an uppger att han helt enkelt glömt bort att kontakta skattemyndigheten men att han skall göra detta snarast. Han ville fortfarande att försäkringskassan skulle avvakta med sitt beslut till dess att han fått besked från skattemyndigh</w:t>
      </w:r>
      <w:r w:rsidRPr="00896D4F">
        <w:t>e</w:t>
      </w:r>
      <w:r w:rsidRPr="00896D4F">
        <w:t>ten.</w:t>
      </w:r>
    </w:p>
    <w:p w:rsidR="009C1C5A" w:rsidRPr="00896D4F" w:rsidRDefault="009C1C5A">
      <w:pPr>
        <w:pStyle w:val="Citat"/>
      </w:pPr>
      <w:r w:rsidRPr="00896D4F">
        <w:t>K.S. har därefter inte hört av sig till försäkringskassan. Ärendet ligger under bevakning.</w:t>
      </w:r>
    </w:p>
    <w:p w:rsidR="009C1C5A" w:rsidRPr="00896D4F" w:rsidRDefault="009C1C5A">
      <w:pPr>
        <w:pStyle w:val="Rubrik4"/>
      </w:pPr>
      <w:r w:rsidRPr="00896D4F">
        <w:t>G.L.</w:t>
      </w:r>
    </w:p>
    <w:p w:rsidR="009C1C5A" w:rsidRPr="00896D4F" w:rsidRDefault="009C1C5A">
      <w:pPr>
        <w:pStyle w:val="Citat"/>
      </w:pPr>
      <w:r w:rsidRPr="00896D4F">
        <w:t>G.L. har i skrivelse den 10 april 2000 begärt omprövning av pension</w:t>
      </w:r>
      <w:r w:rsidRPr="00896D4F">
        <w:t>s</w:t>
      </w:r>
      <w:r w:rsidRPr="00896D4F">
        <w:t>grundande inkomst (PGI) för åren 1989 till 1998. Hon har anfört att försä</w:t>
      </w:r>
      <w:r w:rsidRPr="00896D4F">
        <w:t>k</w:t>
      </w:r>
      <w:r w:rsidRPr="00896D4F">
        <w:t>ringskassan skall utreda om uppgifterna för åren 1989 till 1998 är rätt berä</w:t>
      </w:r>
      <w:r w:rsidRPr="00896D4F">
        <w:t>k</w:t>
      </w:r>
      <w:r w:rsidRPr="00896D4F">
        <w:t>nade. Försäkringskassan sände bekräftelsebrev till G.L. den 29 a</w:t>
      </w:r>
      <w:r w:rsidRPr="00896D4F">
        <w:t>u</w:t>
      </w:r>
      <w:r w:rsidRPr="00896D4F">
        <w:t>gusti 2000.</w:t>
      </w:r>
    </w:p>
    <w:p w:rsidR="009C1C5A" w:rsidRPr="00896D4F" w:rsidRDefault="009C1C5A">
      <w:pPr>
        <w:pStyle w:val="Citatindrag"/>
      </w:pPr>
      <w:r w:rsidRPr="00896D4F">
        <w:t>Försäkringskassan uppfattade först att G.L. begärt omprövning enbart av pensionsrätten och att det var kassan som skulle göra omprövningen. I a</w:t>
      </w:r>
      <w:r w:rsidRPr="00896D4F">
        <w:t>v</w:t>
      </w:r>
      <w:r w:rsidRPr="00896D4F">
        <w:t>vaktan på handläggningsrutiner har ärendet legat på lokalkontoret för vidare utredning kring vilka frågor som skall prövas av försäkringskassan och vilka som skall prövas av skattemyndigheten när det gäller omprövning av pe</w:t>
      </w:r>
      <w:r w:rsidRPr="00896D4F">
        <w:t>n</w:t>
      </w:r>
      <w:r w:rsidRPr="00896D4F">
        <w:t>sionsrätter. Ärendet översändes till centralkontoret den 27 november 2000. Försäkringskassan ändrade då uppfattning om G.L:s begäran om omprövning. Försäkringskassan ansåg att omprövning skulle ske av PGI och av pension</w:t>
      </w:r>
      <w:r w:rsidRPr="00896D4F">
        <w:t>s</w:t>
      </w:r>
      <w:r w:rsidRPr="00896D4F">
        <w:t>rätten. Enligt försäkringskassans handläggningsrutiner skall begära</w:t>
      </w:r>
      <w:r w:rsidRPr="00896D4F">
        <w:t>n om o</w:t>
      </w:r>
      <w:r w:rsidRPr="00896D4F">
        <w:t>m</w:t>
      </w:r>
      <w:r w:rsidRPr="00896D4F">
        <w:t>prövningar av PGI översändas till skattemyndigheten för handläggning där. Detta gjordes den 5 december 2000.</w:t>
      </w:r>
    </w:p>
    <w:p w:rsidR="009C1C5A" w:rsidRPr="00896D4F" w:rsidRDefault="009C1C5A">
      <w:pPr>
        <w:pStyle w:val="Citatindrag"/>
      </w:pPr>
      <w:r w:rsidRPr="00896D4F">
        <w:t>G.L. har framställt frågor rörande försäkringskassans beräkning av hennes antagandepoäng. Dessa frågor har försäkringskassan besvarat i ett brev dat</w:t>
      </w:r>
      <w:r w:rsidRPr="00896D4F">
        <w:t>e</w:t>
      </w:r>
      <w:r w:rsidRPr="00896D4F">
        <w:t>rat den 2 april 2001.</w:t>
      </w:r>
    </w:p>
    <w:p w:rsidR="009C1C5A" w:rsidRPr="00896D4F" w:rsidRDefault="009C1C5A">
      <w:pPr>
        <w:pStyle w:val="Citatindrag"/>
      </w:pPr>
      <w:r w:rsidRPr="00896D4F">
        <w:t>Försäkringskassan har avvaktat skattemyndighetens prövning av PGI, som baseras på den taxerade inkomsten. Under tiden har försäkringskassan försökt att utreda vidare med skattemyndigheten om pensionsrätten kunde ha gru</w:t>
      </w:r>
      <w:r w:rsidRPr="00896D4F">
        <w:t>n</w:t>
      </w:r>
      <w:r w:rsidRPr="00896D4F">
        <w:t>dats på felaktiga uppgifter från skattemyndigheten. Av denna anledning b</w:t>
      </w:r>
      <w:r w:rsidRPr="00896D4F">
        <w:t>e</w:t>
      </w:r>
      <w:r w:rsidRPr="00896D4F">
        <w:t>gärdes in längdutdrag från skattemyndigheten rörande den taxerade inkom</w:t>
      </w:r>
      <w:r w:rsidRPr="00896D4F">
        <w:t>s</w:t>
      </w:r>
      <w:r w:rsidRPr="00896D4F">
        <w:t>ten för de aktuella åren. Detta utdrag visade inga andra uppgifter än de som hade legat till grund för beslutet om pension</w:t>
      </w:r>
      <w:r w:rsidRPr="00896D4F">
        <w:t>s</w:t>
      </w:r>
      <w:r w:rsidRPr="00896D4F">
        <w:t>rätten.</w:t>
      </w:r>
    </w:p>
    <w:p w:rsidR="009C1C5A" w:rsidRPr="00896D4F" w:rsidRDefault="009C1C5A">
      <w:pPr>
        <w:pStyle w:val="Citatindrag"/>
      </w:pPr>
      <w:r w:rsidRPr="00896D4F">
        <w:t>Försäkringskassan har under handläggningen haft kontakt med G.L:s o</w:t>
      </w:r>
      <w:r w:rsidRPr="00896D4F">
        <w:t>m</w:t>
      </w:r>
      <w:r w:rsidRPr="00896D4F">
        <w:t>bud. Försäkringskassan har då förklarat att pensionsrätten grundar sig på fastställd PGI och att G.L. måste vända sig till skattemyndigheten för att lä</w:t>
      </w:r>
      <w:r w:rsidRPr="00896D4F">
        <w:t>m</w:t>
      </w:r>
      <w:r w:rsidRPr="00896D4F">
        <w:t>na de uppgifter som behövs för att ändra taxeringsbeslutet.</w:t>
      </w:r>
    </w:p>
    <w:p w:rsidR="009C1C5A" w:rsidRPr="00896D4F" w:rsidRDefault="009C1C5A">
      <w:pPr>
        <w:pStyle w:val="Citat"/>
        <w:spacing w:before="250"/>
      </w:pPr>
      <w:r w:rsidRPr="00896D4F">
        <w:rPr>
          <w:b/>
        </w:rPr>
        <w:t>Yttrande</w:t>
      </w:r>
    </w:p>
    <w:p w:rsidR="009C1C5A" w:rsidRPr="00896D4F" w:rsidRDefault="009C1C5A">
      <w:pPr>
        <w:pStyle w:val="Citat"/>
      </w:pPr>
      <w:r w:rsidRPr="00896D4F">
        <w:t>Dessa två ärenden rör handläggningen av pension och pensionsrätt. Det första ärendet är handlagt utifrån reglerna i det gamla pensionssystemet. Det andra ärendet är handlagt utifrån övergångsreglerna till det nya pensionssystemet. Bägge ärendena har det gemensamt att försäkringskassans beslut grundar sig på skattemyndighetens beslut utifrån den taxerade inkomsten. För att försä</w:t>
      </w:r>
      <w:r w:rsidRPr="00896D4F">
        <w:t>k</w:t>
      </w:r>
      <w:r w:rsidRPr="00896D4F">
        <w:t>ringskassan skall kunna ändra sitt pensionsbeslut vid omprövning förutsätts att skattemyndigheten prövat och ändrat taxeringen för de aktuella åren. I ett sådant ärende förutsätts att den försäkrade förser skattemyndigheten med uppgifter så att en ändring kan komma till stånd. Försäkringskassan har b</w:t>
      </w:r>
      <w:r w:rsidRPr="00896D4F">
        <w:t>e</w:t>
      </w:r>
      <w:r w:rsidRPr="00896D4F">
        <w:t>gränsade möjligheter att på egen hand vara skattemyndigheten behjälplig med adekvata uppgifter. Försäkringskassan kan för egen del endast kontrollera att de uppgifter som skattemyndigheten lagt [till] grund fö</w:t>
      </w:r>
      <w:r w:rsidRPr="00896D4F">
        <w:t>r bestämmande av ATP eller PGI är ko</w:t>
      </w:r>
      <w:r w:rsidRPr="00896D4F">
        <w:t>r</w:t>
      </w:r>
      <w:r w:rsidRPr="00896D4F">
        <w:t>rekta utifrån skattelängden.</w:t>
      </w:r>
    </w:p>
    <w:p w:rsidR="009C1C5A" w:rsidRPr="00896D4F" w:rsidRDefault="009C1C5A">
      <w:pPr>
        <w:pStyle w:val="Citatindrag"/>
      </w:pPr>
      <w:r w:rsidRPr="00896D4F">
        <w:t>K.S. har begärt omprövning av pensionsbeslut baserat på ATP-poängen. Dessa baseras på den av skattemyndigheten fastställda taxerade inkomsten. I det fall den försäkrade anför att uppgiften är oriktig måste han själv vända sig till skattemyndigheten för att den skall göra en omprövning av den taxerade inkomsten. Försäkringskassan kan inte lämna underlag så att skattemyndi</w:t>
      </w:r>
      <w:r w:rsidRPr="00896D4F">
        <w:t>g</w:t>
      </w:r>
      <w:r w:rsidRPr="00896D4F">
        <w:t>heten kan pröva taxeringen.</w:t>
      </w:r>
    </w:p>
    <w:p w:rsidR="009C1C5A" w:rsidRPr="00896D4F" w:rsidRDefault="009C1C5A">
      <w:pPr>
        <w:pStyle w:val="Citatindrag"/>
      </w:pPr>
      <w:r w:rsidRPr="00896D4F">
        <w:t>I det nu aktuella ärendet har K.S. anfört att det saknas uppgifter från viss anställning. Han har själv uppgivit att han skall undersöka orsaken till detta hos skattemyndigheten. K.S. har begärt att försäkringskassan skall avvakta att besluta i ärendet under tiden. Skulle försäkringskassan gå vidare i handläg</w:t>
      </w:r>
      <w:r w:rsidRPr="00896D4F">
        <w:t>g</w:t>
      </w:r>
      <w:r w:rsidRPr="00896D4F">
        <w:t>ningen med nu föreliggande underlag finns ingen möjlighet att ändra tidigare beslut. Försäkringskassan har därför valt att vänta med ytterligare handläg</w:t>
      </w:r>
      <w:r w:rsidRPr="00896D4F">
        <w:t>g</w:t>
      </w:r>
      <w:r w:rsidRPr="00896D4F">
        <w:t>ning till dess att skattemyndigheten gjort sin prövning. Ärendet har därför dragit ut på tiden.</w:t>
      </w:r>
    </w:p>
    <w:p w:rsidR="009C1C5A" w:rsidRPr="00896D4F" w:rsidRDefault="009C1C5A">
      <w:pPr>
        <w:pStyle w:val="Citatindrag"/>
      </w:pPr>
      <w:r w:rsidRPr="00896D4F">
        <w:t>Det kan konstateras att K.S. inte skulle ha gjort någon rättsförlust om fö</w:t>
      </w:r>
      <w:r w:rsidRPr="00896D4F">
        <w:t>r</w:t>
      </w:r>
      <w:r w:rsidRPr="00896D4F">
        <w:t>säkringskassan redan i ett tidigare skede beslutat i ärendet och avslagit o</w:t>
      </w:r>
      <w:r w:rsidRPr="00896D4F">
        <w:t>m</w:t>
      </w:r>
      <w:r w:rsidRPr="00896D4F">
        <w:t>prövningsbegäran. I det fall skattemyndigheten vid en senare prövning ändrar K.S:s taxering och ATP kommer försäkringskassan att ändra pensionsbesl</w:t>
      </w:r>
      <w:r w:rsidRPr="00896D4F">
        <w:t>u</w:t>
      </w:r>
      <w:r w:rsidRPr="00896D4F">
        <w:t>tet. K.S. har då möjligheten att överklaga detta beslut. Det kan därför ifråg</w:t>
      </w:r>
      <w:r w:rsidRPr="00896D4F">
        <w:t>a</w:t>
      </w:r>
      <w:r w:rsidRPr="00896D4F">
        <w:t xml:space="preserve">sättas om försäkringskassan skall fortsätta att vänta på skattemyndighetens beslut. Eftersom försäkringskassan ändå nu har beviljat anstånd kommer kontakt nu att tas med K.S. Därefter kommer försäkringskassan </w:t>
      </w:r>
      <w:r w:rsidRPr="00896D4F">
        <w:t>att fatta b</w:t>
      </w:r>
      <w:r w:rsidRPr="00896D4F">
        <w:t>e</w:t>
      </w:r>
      <w:r w:rsidRPr="00896D4F">
        <w:t>slut i ärendet oavsett om K.S. fått besked från skattemyndigheten eller ej.</w:t>
      </w:r>
    </w:p>
    <w:p w:rsidR="009C1C5A" w:rsidRPr="00896D4F" w:rsidRDefault="009C1C5A">
      <w:pPr>
        <w:pStyle w:val="Citatindrag"/>
      </w:pPr>
      <w:r w:rsidRPr="00896D4F">
        <w:t>Vad gäller G.L:s omprövningsbegäran har försäkringskassan översänt ärendet till skattemyndigheten för att den skall kunna pröva PGI. Enligt 44 §  lagen (1998:675) om införande av lagen (1998:674) om inkomstgrundad ålderspension skall bestämmelserna i 13 kapitlet 9 § första och andra styckena lagen om inkomstgrundad ålderspension tillämpas när det gäller omprövning av pensionsrätt för retroaktiv tid. Någon hänvisning till</w:t>
      </w:r>
      <w:r w:rsidRPr="00896D4F">
        <w:t xml:space="preserve"> tredje stycket som reglerar förfarandet vid omprövning av PGI hos skattemyndigheten finns inte. Försäkringskassan har ändå funnit att ärendet bör översändas till skattemy</w:t>
      </w:r>
      <w:r w:rsidRPr="00896D4F">
        <w:t>n</w:t>
      </w:r>
      <w:r w:rsidRPr="00896D4F">
        <w:t>digheten för prövning av PGI.</w:t>
      </w:r>
    </w:p>
    <w:p w:rsidR="009C1C5A" w:rsidRPr="00896D4F" w:rsidRDefault="009C1C5A">
      <w:pPr>
        <w:pStyle w:val="Citatindrag"/>
      </w:pPr>
      <w:r w:rsidRPr="00896D4F">
        <w:t>När besluten om pensionsrätt för retroaktiv tid sändes ut under våren 2000 fanns inga handläggningsrutiner för hur omprövning av dessa ärenden skulle gå till. Riksförsäkringsverket (RFV) utlovade att det skulle komma ett tekni</w:t>
      </w:r>
      <w:r w:rsidRPr="00896D4F">
        <w:t>k</w:t>
      </w:r>
      <w:r w:rsidRPr="00896D4F">
        <w:t>stöd i november 2000 som försäkringskassan skulle använda sig av för att mata in ändringsbesluten. RFV uppmanade även försäkringskassan att a</w:t>
      </w:r>
      <w:r w:rsidRPr="00896D4F">
        <w:t>v</w:t>
      </w:r>
      <w:r w:rsidRPr="00896D4F">
        <w:t>vakta med omprövningarna tills vidare instruktioner skulle komma. I maj 2000 meddelade RFV att försäkringskassorna själva fick utveckla handläg</w:t>
      </w:r>
      <w:r w:rsidRPr="00896D4F">
        <w:t>g</w:t>
      </w:r>
      <w:r w:rsidRPr="00896D4F">
        <w:t>ningsrutiner men vidhöll att ett maskinellt stöd för ändringsbeslut skulle fi</w:t>
      </w:r>
      <w:r w:rsidRPr="00896D4F">
        <w:t>n</w:t>
      </w:r>
      <w:r w:rsidRPr="00896D4F">
        <w:t>nas att tillgå i november 2000.</w:t>
      </w:r>
    </w:p>
    <w:p w:rsidR="009C1C5A" w:rsidRPr="00896D4F" w:rsidRDefault="009C1C5A">
      <w:pPr>
        <w:pStyle w:val="Citatindrag"/>
      </w:pPr>
      <w:r w:rsidRPr="00896D4F">
        <w:t>Försäkringskassan hade avvaktat ytterligare besked från RFV och under t</w:t>
      </w:r>
      <w:r w:rsidRPr="00896D4F">
        <w:t>i</w:t>
      </w:r>
      <w:r w:rsidRPr="00896D4F">
        <w:t>den hade omprövningsärendena legat och väntat. I maj påbörjades handläg</w:t>
      </w:r>
      <w:r w:rsidRPr="00896D4F">
        <w:t>g</w:t>
      </w:r>
      <w:r w:rsidRPr="00896D4F">
        <w:t>ningen. Försäkringskassan upptäckte redan i inledningen att det fanns svåri</w:t>
      </w:r>
      <w:r w:rsidRPr="00896D4F">
        <w:t>g</w:t>
      </w:r>
      <w:r w:rsidRPr="00896D4F">
        <w:t>heter att göra en gränsdragning mellan försäkringskassans prövningsram och skattemyndighetens prövningsram. Av denna anledning inleddes ett lokalt samarbete med skattemyndigheten för att kunna påbörja handläggningen av ärendena så att besluten skulle vara klara för inmatning till november.</w:t>
      </w:r>
    </w:p>
    <w:p w:rsidR="009C1C5A" w:rsidRPr="00896D4F" w:rsidRDefault="009C1C5A">
      <w:pPr>
        <w:pStyle w:val="Citatindrag"/>
      </w:pPr>
      <w:r w:rsidRPr="00896D4F">
        <w:t>Under försommaren 2000 träffades representanter från skattemyndigheten o</w:t>
      </w:r>
      <w:r w:rsidRPr="00896D4F">
        <w:t>ch försäkringskassan i Stockholm för att tillsammans finna en fungerande handläggningsrutin. Det fanns oklarheter om hur omprövningarna av de retr</w:t>
      </w:r>
      <w:r w:rsidRPr="00896D4F">
        <w:t>o</w:t>
      </w:r>
      <w:r w:rsidRPr="00896D4F">
        <w:t>aktiva besluten skulle handläggas. Träffarna fortsatte under sensommaren. Försäkringskassan utfärdade till slut en rutin för vilka ärenden som skulle översändas till skattemyndigheten (bilaga 1) och hur handläggningen skulle gå till efter det att skattemyndigheten fattat sitt PGI-beslut. Försäkringska</w:t>
      </w:r>
      <w:r w:rsidRPr="00896D4F">
        <w:t>s</w:t>
      </w:r>
      <w:r w:rsidRPr="00896D4F">
        <w:t>sans handläggningstider är därmed beroende av skattemyndighete</w:t>
      </w:r>
      <w:r w:rsidRPr="00896D4F">
        <w:t>ns han</w:t>
      </w:r>
      <w:r w:rsidRPr="00896D4F">
        <w:t>d</w:t>
      </w:r>
      <w:r w:rsidRPr="00896D4F">
        <w:t>läggningstider.</w:t>
      </w:r>
    </w:p>
    <w:p w:rsidR="009C1C5A" w:rsidRPr="00896D4F" w:rsidRDefault="009C1C5A">
      <w:pPr>
        <w:pStyle w:val="Citatindrag"/>
      </w:pPr>
      <w:r w:rsidRPr="00896D4F">
        <w:t>Enligt uppgift från skattemyndigheten är handläggningstiderna varierande under året. I samband med taxeringsbesluten i augusti varje år inkommer en stor mängd omprövningar som måste prioriteras. Försäkringskassans ärenden kan därför komma att dra ut på tiden.</w:t>
      </w:r>
    </w:p>
    <w:p w:rsidR="009C1C5A" w:rsidRPr="00896D4F" w:rsidRDefault="009C1C5A">
      <w:pPr>
        <w:pStyle w:val="Citatindrag"/>
      </w:pPr>
      <w:r w:rsidRPr="00896D4F">
        <w:t>I september 2000 meddelade RFV att det utlovade teknikstödet för än</w:t>
      </w:r>
      <w:r w:rsidRPr="00896D4F">
        <w:t>d</w:t>
      </w:r>
      <w:r w:rsidRPr="00896D4F">
        <w:t>ringsbeslut skulle levereras först i mars 2001. Stödet var avsett att omfatta såväl beslut om ändring av pensionsrätt på grund av ändrad PGI som för än</w:t>
      </w:r>
      <w:r w:rsidRPr="00896D4F">
        <w:t>d</w:t>
      </w:r>
      <w:r w:rsidRPr="00896D4F">
        <w:t>rad barnårsrätt. I början av 2001 levererades stödet. Det omfattade då endast ändring av pensionsrätt till följd av ändrad PGI. Vad gäller barnårsrätten har ändringsbeslut inte kunnat sändas till berörda försäkrade maskinellt, utan försäkringskassan fick sända ut dessa beslut manuellt. Enligt RFV:s reko</w:t>
      </w:r>
      <w:r w:rsidRPr="00896D4F">
        <w:t>m</w:t>
      </w:r>
      <w:r w:rsidRPr="00896D4F">
        <w:t>mendation gjordes detta under våren 2001.</w:t>
      </w:r>
    </w:p>
    <w:p w:rsidR="009C1C5A" w:rsidRPr="00896D4F" w:rsidRDefault="009C1C5A">
      <w:pPr>
        <w:pStyle w:val="Citatindrag"/>
      </w:pPr>
      <w:r w:rsidRPr="00896D4F">
        <w:t>De olika bes</w:t>
      </w:r>
      <w:r w:rsidRPr="00896D4F">
        <w:t>keden från RFV har medfört att försäkringskassan haft svåri</w:t>
      </w:r>
      <w:r w:rsidRPr="00896D4F">
        <w:t>g</w:t>
      </w:r>
      <w:r w:rsidRPr="00896D4F">
        <w:t>heter att hitta bra handläggningsrutiner för omprövningar av pensionsrätter. Det har även medfört störningar i all omprövning av pensionsärenden. Detta har även fått till följd att handläggningstiderna blivit långa i pensionsärenden som inte berörts av det nya pensionssystemet. Med det nya pensionssystemet har dessutom antalet ärenden på pensionssidan ökat. Försäkringskassan ho</w:t>
      </w:r>
      <w:r w:rsidRPr="00896D4F">
        <w:t>p</w:t>
      </w:r>
      <w:r w:rsidRPr="00896D4F">
        <w:t xml:space="preserve">pas genom en ny organisation av omprövningsverksamheten att komma till </w:t>
      </w:r>
      <w:r w:rsidRPr="00896D4F">
        <w:t>rätta med handläggningstiderna. Ytterligare resurser har även tillförts pe</w:t>
      </w:r>
      <w:r w:rsidRPr="00896D4F">
        <w:t>n</w:t>
      </w:r>
      <w:r w:rsidRPr="00896D4F">
        <w:t>sionsomprövningen.</w:t>
      </w:r>
    </w:p>
    <w:p w:rsidR="009C1C5A" w:rsidRPr="00896D4F" w:rsidRDefault="009C1C5A">
      <w:pPr>
        <w:pStyle w:val="Citatindrag"/>
      </w:pPr>
      <w:r w:rsidRPr="00896D4F">
        <w:t>Sammanfattningsvis visar handläggningen av dessa två ärenden att det inte endast beror på försäkringskassans handläggningsrutiner att omprövningarna dragit ut på tiden. Försäkringskassan skulle dock kunnat fatta beslut i ärend</w:t>
      </w:r>
      <w:r w:rsidRPr="00896D4F">
        <w:t>e</w:t>
      </w:r>
      <w:r w:rsidRPr="00896D4F">
        <w:t>na på befintliga underlag men har valt att avvakta skattemyndighetens besked för att kunna göra en omprövning utifrån ett fullständigt underlag. Enligt försäkringskassans bedömning kan ett tidigt avslag utan underlag från ska</w:t>
      </w:r>
      <w:r w:rsidRPr="00896D4F">
        <w:t>t</w:t>
      </w:r>
      <w:r w:rsidRPr="00896D4F">
        <w:t>temyndigheten inte vara i de försäkrades intresse eftersom de i första hand vill ha en ändring till stånd. Det finns dock en rimlig gräns för hur länge försä</w:t>
      </w:r>
      <w:r w:rsidRPr="00896D4F">
        <w:t>k</w:t>
      </w:r>
      <w:r w:rsidRPr="00896D4F">
        <w:t>ringskassan bör medge anstånd.</w:t>
      </w:r>
    </w:p>
    <w:p w:rsidR="009C1C5A" w:rsidRPr="00896D4F" w:rsidRDefault="009C1C5A">
      <w:pPr>
        <w:pStyle w:val="Citatindrag"/>
      </w:pPr>
      <w:r w:rsidRPr="00896D4F">
        <w:t>Försäkringskassan kan bara beklaga att rutinerna för omprövningar enligt införandelagen inte var</w:t>
      </w:r>
      <w:r w:rsidRPr="00896D4F">
        <w:t>it effektivare. Samtidigt som de försäkrade önskar få besked i sina ärenden är det dock av vikt att påpeka att besluten om pension</w:t>
      </w:r>
      <w:r w:rsidRPr="00896D4F">
        <w:t>s</w:t>
      </w:r>
      <w:r w:rsidRPr="00896D4F">
        <w:t>rätter inte legat till grund för någon faktisk utbetalning och att de försäkrade på så sätt inte gått miste om någon ersättning under den långa handläggning</w:t>
      </w:r>
      <w:r w:rsidRPr="00896D4F">
        <w:t>s</w:t>
      </w:r>
      <w:r w:rsidRPr="00896D4F">
        <w:t>tiden. Försäkringskassan har dock stor förståelse för att handläggningstiden framstår som orimligt lång för den som önskar få ett besked.</w:t>
      </w:r>
    </w:p>
    <w:p w:rsidR="009C1C5A" w:rsidRPr="00896D4F" w:rsidRDefault="009C1C5A">
      <w:r w:rsidRPr="00896D4F">
        <w:t>Härefter upprättade föredraganden i ärendet en promemoria, av vilken fra</w:t>
      </w:r>
      <w:r w:rsidRPr="00896D4F">
        <w:t>m</w:t>
      </w:r>
      <w:r w:rsidRPr="00896D4F">
        <w:t>gick bl.a. följande.</w:t>
      </w:r>
    </w:p>
    <w:p w:rsidR="009C1C5A" w:rsidRPr="00896D4F" w:rsidRDefault="009C1C5A">
      <w:pPr>
        <w:pStyle w:val="Citat"/>
      </w:pPr>
      <w:r w:rsidRPr="00896D4F">
        <w:t>Försäkringskassan har den 23 april 2001 kommit in med remissvar. Av detta framgår att försäkringskassan haft vissa svårigheter i samband med handläg</w:t>
      </w:r>
      <w:r w:rsidRPr="00896D4F">
        <w:t>g</w:t>
      </w:r>
      <w:r w:rsidRPr="00896D4F">
        <w:t>ningen av G.L:s omprövningsärende. Svårigheterna förefaller till viss del vara en följd av ett från Riksförsäkringsverket sent levererat teknikstöd. Vidare förefaller av verket tidigare utlovade handläggningsanvisningar överhuvudt</w:t>
      </w:r>
      <w:r w:rsidRPr="00896D4F">
        <w:t>a</w:t>
      </w:r>
      <w:r w:rsidRPr="00896D4F">
        <w:t>get inte ha tillhandahållits försäkringskassorna.</w:t>
      </w:r>
    </w:p>
    <w:p w:rsidR="009C1C5A" w:rsidRPr="00896D4F" w:rsidRDefault="009C1C5A">
      <w:pPr>
        <w:pStyle w:val="Citat"/>
      </w:pPr>
      <w:r w:rsidRPr="00896D4F">
        <w:t>Riksförsäkringsverket bör yttra sig i ovan nämnda avseenden.</w:t>
      </w:r>
    </w:p>
    <w:p w:rsidR="009C1C5A" w:rsidRPr="00896D4F" w:rsidRDefault="009C1C5A">
      <w:r w:rsidRPr="00896D4F">
        <w:t>Efter remiss anförde Riksförsäkringsverket (RFV), genom överdirektören Ingrid Petersson, den 15 juni 2001 i huvudsak följande.</w:t>
      </w:r>
    </w:p>
    <w:p w:rsidR="009C1C5A" w:rsidRPr="00896D4F" w:rsidRDefault="009C1C5A">
      <w:pPr>
        <w:pStyle w:val="Rubrik3"/>
        <w:rPr>
          <w:sz w:val="19"/>
        </w:rPr>
      </w:pPr>
      <w:r w:rsidRPr="00896D4F">
        <w:rPr>
          <w:sz w:val="19"/>
        </w:rPr>
        <w:t>Yttrande</w:t>
      </w:r>
    </w:p>
    <w:p w:rsidR="009C1C5A" w:rsidRPr="00896D4F" w:rsidRDefault="009C1C5A">
      <w:pPr>
        <w:pStyle w:val="Citat"/>
      </w:pPr>
      <w:r w:rsidRPr="00896D4F">
        <w:t>Riksförsäkringsverket har av JO ombetts att särskilt yttra sig över tillhand</w:t>
      </w:r>
      <w:r w:rsidRPr="00896D4F">
        <w:t>a</w:t>
      </w:r>
      <w:r w:rsidRPr="00896D4F">
        <w:t>hållet teknikstöd och handläggningsanvisningar.</w:t>
      </w:r>
    </w:p>
    <w:p w:rsidR="009C1C5A" w:rsidRPr="00896D4F" w:rsidRDefault="009C1C5A">
      <w:pPr>
        <w:pStyle w:val="Citatindrag"/>
      </w:pPr>
      <w:r w:rsidRPr="00896D4F">
        <w:t>Arbetet med genomförandet av det nya pensionssystemet har varit ytterst tidskritiskt och mycket resurskrävande. En förutsättning för genomförandet av pensionsreformen har varit att administrationen av besluten om pension</w:t>
      </w:r>
      <w:r w:rsidRPr="00896D4F">
        <w:t>s</w:t>
      </w:r>
      <w:r w:rsidRPr="00896D4F">
        <w:t>rätt och pension enligt lagen (1998:674) om inkomstgrundad ålderspension (LIP) liksom hanteringen av ändringsbeslut i huvudsak skall vara automatis</w:t>
      </w:r>
      <w:r w:rsidRPr="00896D4F">
        <w:t>e</w:t>
      </w:r>
      <w:r w:rsidRPr="00896D4F">
        <w:t>rad. Något annat har varken varit administrativt eller ekonomiskt möjligt. Regleringen kräver en systemuppbyggnad som har visat sig bli mycket o</w:t>
      </w:r>
      <w:r w:rsidRPr="00896D4F">
        <w:t>m</w:t>
      </w:r>
      <w:r w:rsidRPr="00896D4F">
        <w:t>fattande. Det komplicerade regelverket, både materiellt och processuellt och de svårigheter att få ett korrekt underlag som blir en följd av att nya regler tillämpas på förhållanden som ligger mycket långt tillbaka i t</w:t>
      </w:r>
      <w:r w:rsidRPr="00896D4F">
        <w:t>iden medförde att vissa prioriteringar behövde göras. I första hand prioriterades de årliga besluten om pensionsrätter.</w:t>
      </w:r>
    </w:p>
    <w:p w:rsidR="009C1C5A" w:rsidRPr="00896D4F" w:rsidRDefault="009C1C5A">
      <w:pPr>
        <w:pStyle w:val="Citatindrag"/>
      </w:pPr>
      <w:r w:rsidRPr="00896D4F">
        <w:t>Besluten som meddelades i pensionsutskicket för år 2000 rörde 5,3 milj</w:t>
      </w:r>
      <w:r w:rsidRPr="00896D4F">
        <w:t>o</w:t>
      </w:r>
      <w:r w:rsidRPr="00896D4F">
        <w:t>ner människor och avsåg 39 intjänandeår (1960–1998). De maskinella än</w:t>
      </w:r>
      <w:r w:rsidRPr="00896D4F">
        <w:t>d</w:t>
      </w:r>
      <w:r w:rsidRPr="00896D4F">
        <w:t>ringsrutinerna fanns inte tillgängliga när de ”årliga besluten” skickades ut våren 2000. Det var ursprungligen planerat att ändringsbesluten avseende intjänandeåren 1960–1998 skulle kunna sändas ut i november 2000, men det visade sig inte vara möjligt. Detta kunde ske först i mars 2001. Detta har orsakat vissa problem för försäkringskassorna. Riksförsäkringsverket kan bara beklaga detta.</w:t>
      </w:r>
    </w:p>
    <w:p w:rsidR="009C1C5A" w:rsidRPr="00896D4F" w:rsidRDefault="009C1C5A">
      <w:pPr>
        <w:pStyle w:val="Citatindrag"/>
      </w:pPr>
      <w:r w:rsidRPr="00896D4F">
        <w:t>En omprövning på den enskildes initiativ, som inne</w:t>
      </w:r>
      <w:r w:rsidRPr="00896D4F">
        <w:t>bär att försäkringska</w:t>
      </w:r>
      <w:r w:rsidRPr="00896D4F">
        <w:t>s</w:t>
      </w:r>
      <w:r w:rsidRPr="00896D4F">
        <w:t>san inte ändrar beräkningsunderlaget, betyder att några nya belopp eller u</w:t>
      </w:r>
      <w:r w:rsidRPr="00896D4F">
        <w:t>n</w:t>
      </w:r>
      <w:r w:rsidRPr="00896D4F">
        <w:t>derlag inte skall tillföras systemen. I det aktuella omprövningsärendet rörande G.L. skulle försäkringskassan således, om omprövningen inte innebar någon ändring i beräkningsunderlaget, ha kunnat fatta beslut utan att ha tillgång till något tekniskt stöd.</w:t>
      </w:r>
    </w:p>
    <w:p w:rsidR="009C1C5A" w:rsidRPr="00896D4F" w:rsidRDefault="009C1C5A">
      <w:pPr>
        <w:pStyle w:val="Citatindrag"/>
      </w:pPr>
      <w:r w:rsidRPr="00896D4F">
        <w:t>Om den försäkrade begärt omprövning av sin pensionsgrundande inkomst (PGI) skulle försäkringskassan snarast ha vidarebefordrat ärendet till skatt</w:t>
      </w:r>
      <w:r w:rsidRPr="00896D4F">
        <w:t>e</w:t>
      </w:r>
      <w:r w:rsidRPr="00896D4F">
        <w:t>myndigheten som beslutar om PGI och underrättat den försä</w:t>
      </w:r>
      <w:r w:rsidRPr="00896D4F">
        <w:t>k</w:t>
      </w:r>
      <w:r w:rsidRPr="00896D4F">
        <w:t>rade om detta.</w:t>
      </w:r>
    </w:p>
    <w:p w:rsidR="009C1C5A" w:rsidRPr="00896D4F" w:rsidRDefault="009C1C5A">
      <w:pPr>
        <w:pStyle w:val="Citatindrag"/>
      </w:pPr>
      <w:r w:rsidRPr="00896D4F">
        <w:t xml:space="preserve">Försäkringskassan hade i och för sig kunnat fatta ett beslut som innebar ändring i beräkningsunderlagen innan de maskinella rutinerna var klara, men detta beslut och underlaget för det hade först senare kunnat behandlas i IT-systemet. Det skulle inneburit att IT-systemet, som skall redovisa samtliga beslut och underlagen för dessa, under en period inte var uppdaterat med aktuella uppgifter. Med anledning av detta och den risk för att </w:t>
      </w:r>
      <w:r w:rsidRPr="00896D4F">
        <w:t>det skulle up</w:t>
      </w:r>
      <w:r w:rsidRPr="00896D4F">
        <w:t>p</w:t>
      </w:r>
      <w:r w:rsidRPr="00896D4F">
        <w:t>stå fel i ändringshanteringen av besluten för den retroaktiva tiden från 1960–1998, gjorde Riksförsäkringsverket bedömningen att försäkringskassorna bo</w:t>
      </w:r>
      <w:r w:rsidRPr="00896D4F">
        <w:t>r</w:t>
      </w:r>
      <w:r w:rsidRPr="00896D4F">
        <w:t>de avvakta med dessa ändringsbeslut tills de maskinella beräkningarna och besluten kunnat framställas. Riksförsäkringsverket informerade försäkring</w:t>
      </w:r>
      <w:r w:rsidRPr="00896D4F">
        <w:t>s</w:t>
      </w:r>
      <w:r w:rsidRPr="00896D4F">
        <w:t>kassorna om detta bl.a. vid konferenser.</w:t>
      </w:r>
    </w:p>
    <w:p w:rsidR="009C1C5A" w:rsidRPr="00896D4F" w:rsidRDefault="009C1C5A">
      <w:pPr>
        <w:pStyle w:val="Citatindrag"/>
      </w:pPr>
      <w:r w:rsidRPr="00896D4F">
        <w:t>Framdeles kommer leveranser från skattemyndigheten av datafiler med ändrade pensionsgrundande inkomster att ske var fjortonde dag och Riksfö</w:t>
      </w:r>
      <w:r w:rsidRPr="00896D4F">
        <w:t>r</w:t>
      </w:r>
      <w:r w:rsidRPr="00896D4F">
        <w:t>säkringsverket kommer fr.o.m. mitten av november 2001 att ha en daglig uppdatering av ändringsimpulser. Användningen av den maskinella rutinen kommer då inte att fördröja handläggningen av omprö</w:t>
      </w:r>
      <w:r w:rsidRPr="00896D4F">
        <w:t>v</w:t>
      </w:r>
      <w:r w:rsidRPr="00896D4F">
        <w:t>ningarna.</w:t>
      </w:r>
    </w:p>
    <w:p w:rsidR="009C1C5A" w:rsidRPr="00896D4F" w:rsidRDefault="009C1C5A">
      <w:pPr>
        <w:pStyle w:val="Citatindrag"/>
      </w:pPr>
      <w:r w:rsidRPr="00896D4F">
        <w:t>När det gäller stöd i handläggningen har försäkringskassan haft Allmänna Råd l998:14, som behandlar omprövning, ändring och överklagande av al</w:t>
      </w:r>
      <w:r w:rsidRPr="00896D4F">
        <w:t>l</w:t>
      </w:r>
      <w:r w:rsidRPr="00896D4F">
        <w:t>män försäkringskassas beslut både enligt bestämmelserna i lagen (1998:674) om inkomstgrundad ålderspension (LIP) och enligt lagen (1962:381) om allmän försäkring (AFL). Dessutom har försäkringskassan haft Allmänna Råd 1998:15 som behandlar både de materiella och de processuella reglerna enligt LIP.</w:t>
      </w:r>
    </w:p>
    <w:p w:rsidR="009C1C5A" w:rsidRPr="00896D4F" w:rsidRDefault="009C1C5A">
      <w:pPr>
        <w:pStyle w:val="Citatindrag"/>
      </w:pPr>
      <w:r w:rsidRPr="00896D4F">
        <w:t>Beträffande handläggningsrutiner har insatser gjorts för att förbättra i</w:t>
      </w:r>
      <w:r w:rsidRPr="00896D4F">
        <w:t>n</w:t>
      </w:r>
      <w:r w:rsidRPr="00896D4F">
        <w:t>formationen till försäkringskassorna. Under år 2000 och år 2001 har Riksfö</w:t>
      </w:r>
      <w:r w:rsidRPr="00896D4F">
        <w:t>r</w:t>
      </w:r>
      <w:r w:rsidRPr="00896D4F">
        <w:t>säkringsverket genomfört flera utbildningar och konferenser som rört o</w:t>
      </w:r>
      <w:r w:rsidRPr="00896D4F">
        <w:t>m</w:t>
      </w:r>
      <w:r w:rsidRPr="00896D4F">
        <w:t xml:space="preserve">prövning och ändring av beslut om pensionsrätter. Vid dessa tillfällen har även information getts rörande tillvägagångssättet om den försäkrade begärt omprövning av den pensionsgrundande inkomsten. Under år 2000 har arbete påbörjats med att omarbeta de ovan nämnda allmänna råden till vägledningar. Dessa vägledningar beräknas bli klara under sommaren 2001. De nya </w:t>
      </w:r>
      <w:r w:rsidRPr="00896D4F">
        <w:t>vägle</w:t>
      </w:r>
      <w:r w:rsidRPr="00896D4F">
        <w:t>d</w:t>
      </w:r>
      <w:r w:rsidRPr="00896D4F">
        <w:t>ningarna kommer att innehålla utförligare beskrivningar både om de mater</w:t>
      </w:r>
      <w:r w:rsidRPr="00896D4F">
        <w:t>i</w:t>
      </w:r>
      <w:r w:rsidRPr="00896D4F">
        <w:t>ella och de processuella reglerna.</w:t>
      </w:r>
    </w:p>
    <w:p w:rsidR="009C1C5A" w:rsidRPr="00896D4F" w:rsidRDefault="009C1C5A">
      <w:pPr>
        <w:pStyle w:val="Citatindrag"/>
      </w:pPr>
      <w:r w:rsidRPr="00896D4F">
        <w:t>Sammanfattningsvis kan sägas att reglerna, som är komplicerade både i materiellt och processuellt hänseende, leder till att IT-systemet, särskilt när det gäller ändringsrutinerna, blir såväl ytterst invecklat som mycket omfatta</w:t>
      </w:r>
      <w:r w:rsidRPr="00896D4F">
        <w:t>n</w:t>
      </w:r>
      <w:r w:rsidRPr="00896D4F">
        <w:t>de. Ett problem är också att innebörden av centrala bestämmelser i LIP i vissa fall inte är entydiga. Verket har med hänsyn till dessa svårigheter hos socia</w:t>
      </w:r>
      <w:r w:rsidRPr="00896D4F">
        <w:t>l</w:t>
      </w:r>
      <w:r w:rsidRPr="00896D4F">
        <w:t>departementet hemställt om vissa lagändringar. Nämnda problem har som tidigare sagts medfört förseningar i systembyggnaden. De kan också ha lett till att, särskilt mot bakgrund av att ändrings- och omprövningsreglerna enligt LIP i väsentliga avseenden avviker från vad som gäller för andra delar av socialförsäkringen, informationen till försäkringskasso</w:t>
      </w:r>
      <w:r w:rsidRPr="00896D4F">
        <w:t>rna inte i alla avsee</w:t>
      </w:r>
      <w:r w:rsidRPr="00896D4F">
        <w:t>n</w:t>
      </w:r>
      <w:r w:rsidRPr="00896D4F">
        <w:t>den varit så klar och ful</w:t>
      </w:r>
      <w:r w:rsidRPr="00896D4F">
        <w:t>l</w:t>
      </w:r>
      <w:r w:rsidRPr="00896D4F">
        <w:t>ständig som varit önskvärt.</w:t>
      </w:r>
    </w:p>
    <w:p w:rsidR="009C1C5A" w:rsidRPr="00896D4F" w:rsidRDefault="009C1C5A">
      <w:pPr>
        <w:pStyle w:val="Rubrik3"/>
      </w:pPr>
      <w:r w:rsidRPr="00896D4F">
        <w:t>Bedömning</w:t>
      </w:r>
    </w:p>
    <w:p w:rsidR="009C1C5A" w:rsidRPr="00896D4F" w:rsidRDefault="009C1C5A">
      <w:pPr>
        <w:pStyle w:val="Rubrik4"/>
        <w:spacing w:before="125"/>
      </w:pPr>
      <w:r w:rsidRPr="00896D4F">
        <w:t>Inledning</w:t>
      </w:r>
    </w:p>
    <w:p w:rsidR="009C1C5A" w:rsidRPr="00896D4F" w:rsidRDefault="009C1C5A">
      <w:r w:rsidRPr="00896D4F">
        <w:t>Vid min granskning av ärendena rörande K.S. och G.L. reagerade jag inle</w:t>
      </w:r>
      <w:r w:rsidRPr="00896D4F">
        <w:t>d</w:t>
      </w:r>
      <w:r w:rsidRPr="00896D4F">
        <w:t>ningsvis på de långa handläggningstiderna. Snart insåg jag att dessa delvis var orsakade av en osäkerhet hos kassan om hur ärendena skulle handläggas. Jag kommer därför nedan att främst uppehålla mig vid hur jag anser att ärenden av de aktuella slagen bör handläggas. Först skall jag dock nämna något om bl.a. handläggningstider för omprövningsärenden.</w:t>
      </w:r>
    </w:p>
    <w:p w:rsidR="009C1C5A" w:rsidRPr="00896D4F" w:rsidRDefault="009C1C5A">
      <w:pPr>
        <w:pStyle w:val="Rubrik4"/>
      </w:pPr>
      <w:r w:rsidRPr="00896D4F">
        <w:t>Allmänt om handläggningstider för en försäkringskassas omprövning av beslut m.m.</w:t>
      </w:r>
    </w:p>
    <w:p w:rsidR="009C1C5A" w:rsidRPr="00896D4F" w:rsidRDefault="009C1C5A">
      <w:r w:rsidRPr="00896D4F">
        <w:t>Om en enskild som beslutet angår begär omprövning av ett tjänstemannab</w:t>
      </w:r>
      <w:r w:rsidRPr="00896D4F">
        <w:t>e</w:t>
      </w:r>
      <w:r w:rsidRPr="00896D4F">
        <w:t>slut om försäkring skall försäkringskassan enligt 20 kap. 10 § första stycket lagen (1962:381) om allmän försäkring (AFL) ompröva beslutet.</w:t>
      </w:r>
    </w:p>
    <w:p w:rsidR="009C1C5A" w:rsidRPr="00896D4F" w:rsidRDefault="009C1C5A">
      <w:pPr>
        <w:pStyle w:val="Normaltindrag"/>
      </w:pPr>
      <w:r w:rsidRPr="00896D4F">
        <w:t>Enligt RFV:s allmänna råd (AR 1998:14) Omprövning, ändring och öve</w:t>
      </w:r>
      <w:r w:rsidRPr="00896D4F">
        <w:t>r</w:t>
      </w:r>
      <w:r w:rsidRPr="00896D4F">
        <w:t>klagande av allmän försäkringskassas beslut, som gällde t.o.m. den 31 augusti 2001, rekommenderade verket att omprövning av beslut skulle göras inom sex veckor från det att omprövning begärdes, om inte särskilda skäl föranle</w:t>
      </w:r>
      <w:r w:rsidRPr="00896D4F">
        <w:t>d</w:t>
      </w:r>
      <w:r w:rsidRPr="00896D4F">
        <w:t>de annat. Enligt verket avsågs med särskilda skäl t.ex. att extra tid behövdes för att skaffa in medicinska underlag och utredningar eller att den försäkrade begärde anstånd för att komplettera ärendet. Även i de från den 1 september 2001 gällande allmänna råden om omprövning och ändri</w:t>
      </w:r>
      <w:r w:rsidRPr="00896D4F">
        <w:t>ng enligt AFL (RAR 2001:4) anger RFV att omprövning av beslut bör göras inom sex veckor från det att omprövning begärdes, om inte särskilda skäl föranleder annat.</w:t>
      </w:r>
    </w:p>
    <w:p w:rsidR="009C1C5A" w:rsidRPr="00896D4F" w:rsidRDefault="009C1C5A">
      <w:pPr>
        <w:pStyle w:val="Normaltindrag"/>
      </w:pPr>
      <w:r w:rsidRPr="00896D4F">
        <w:t>Jag har i ett stort antal beslut understrukit vikten av att försäkringskassorna fattar sina beslut om omprövning inom sex veckor. Den främsta anledningen till att jag anser det så betydelsefullt är att det är först sedan kassan har me</w:t>
      </w:r>
      <w:r w:rsidRPr="00896D4F">
        <w:t>d</w:t>
      </w:r>
      <w:r w:rsidRPr="00896D4F">
        <w:t>delat sitt omprövningsbeslut som den försäkrade har möjlighet att få sin sak överprövad i högre instans. Om en försäkringskassa dröjer för länge med sitt omprövningsbeslut kommer således den försäkrades rätt att få sin sak prövad i domstol att försenas i motsvarande mån.</w:t>
      </w:r>
    </w:p>
    <w:p w:rsidR="009C1C5A" w:rsidRPr="00896D4F" w:rsidRDefault="009C1C5A">
      <w:pPr>
        <w:pStyle w:val="Normaltindrag"/>
      </w:pPr>
      <w:r w:rsidRPr="00896D4F">
        <w:t>För ärenden enligt lagen (1998:674) om inkomstgrundad ålderspension (LIP) gäller delvis liknande regler för omprövning som för ärenden enligt AFL. Vissa bestämmelser i LIP skiljer sig dock både i fråga om systematik och sak. Jag skall neda</w:t>
      </w:r>
      <w:r w:rsidRPr="00896D4F">
        <w:t>n kort beröra de bestämmelser som är av intresse i detta ärende.</w:t>
      </w:r>
    </w:p>
    <w:p w:rsidR="009C1C5A" w:rsidRPr="00896D4F" w:rsidRDefault="009C1C5A">
      <w:pPr>
        <w:pStyle w:val="Normaltindrag"/>
      </w:pPr>
      <w:r w:rsidRPr="00896D4F">
        <w:t>Enligt 13 kap. 9 § första stycket LIP skall ett beslut enligt lagen omprövas bl.a. om den som beslutet avser begär det. Av 17 § första stycket samma k</w:t>
      </w:r>
      <w:r w:rsidRPr="00896D4F">
        <w:t>a</w:t>
      </w:r>
      <w:r w:rsidRPr="00896D4F">
        <w:t>pitel framgår att en enskild endast får överklaga beslut som tillkommit genom omprövning. Nämnda bestämmelser motsvarar i stort de som gäller enligt AFL. Bestämmelser i LIP som däremot saknar tidigare motsvarighet är 13 kap. 9 § andra och tredje stycket. Enligt det andra stycket får som huvu</w:t>
      </w:r>
      <w:r w:rsidRPr="00896D4F">
        <w:t>d</w:t>
      </w:r>
      <w:r w:rsidRPr="00896D4F">
        <w:t>regel ett beslut om pensionsgrundande inkomst eller andra pensionsgrundande belopp omprövas på begäran av den enskilde bara i samband med att beslutet om pensionsrätt eller pensionspoäng omprövas. Enligt tredje stycket</w:t>
      </w:r>
      <w:r w:rsidRPr="00896D4F">
        <w:t xml:space="preserve"> skall försäkringskassan, om det vid omprövning av ett beslut om pensionsrätt eller pensionspoäng skall göras en prövning av den pensionsgrundande inkomst som legat till grund för beslutet, överlämna ärendet i den delen till skatt</w:t>
      </w:r>
      <w:r w:rsidRPr="00896D4F">
        <w:t>e</w:t>
      </w:r>
      <w:r w:rsidRPr="00896D4F">
        <w:t>myndigheten för omprövning av beslutet om denna inkomst.</w:t>
      </w:r>
    </w:p>
    <w:p w:rsidR="009C1C5A" w:rsidRPr="00896D4F" w:rsidRDefault="009C1C5A">
      <w:pPr>
        <w:pStyle w:val="Normaltindrag"/>
      </w:pPr>
      <w:r w:rsidRPr="00896D4F">
        <w:t>Enligt de ovan nämnda tidigare gällande allmänna råden (AR 1998:14) r</w:t>
      </w:r>
      <w:r w:rsidRPr="00896D4F">
        <w:t>e</w:t>
      </w:r>
      <w:r w:rsidRPr="00896D4F">
        <w:t>kommenderade RFV att beslut om omprövning, när den försäkrade eller den som är berörd har begärt omprövning av ett beslut enligt LIP, skulle fattas inom sex veckor från det att omprövning begärdes, om inte särskilda skäl föranledde annat. Som exempel på särskilda skäl angavs att den försäkrade begärt anstånd för att komplettera ärendet. RFV förefaller inte ha gett ut några nya rekommendationer i nämnt avseende.</w:t>
      </w:r>
    </w:p>
    <w:p w:rsidR="009C1C5A" w:rsidRPr="00896D4F" w:rsidRDefault="009C1C5A">
      <w:pPr>
        <w:pStyle w:val="Normaltindrag"/>
      </w:pPr>
      <w:r w:rsidRPr="00896D4F">
        <w:t xml:space="preserve">Vad gäller omprövning av beslut om bl.a. pensionsrätt för åren 1960–1998, som skall fastställas </w:t>
      </w:r>
      <w:r w:rsidRPr="00896D4F">
        <w:t>enligt lagen (1998:675) om införande av lagen (1998:674) om inkomstgrundad ålderspension (InfL), hänvisas i 44 § InfL i tillämpliga delar till 13 kap. 9 § första och andra stycket LIP. Någon gällande rekommendation om handläggningstider för denna typ av ärenden förefaller inte finnas.</w:t>
      </w:r>
    </w:p>
    <w:p w:rsidR="009C1C5A" w:rsidRPr="00896D4F" w:rsidRDefault="009C1C5A">
      <w:pPr>
        <w:pStyle w:val="Rubrik4"/>
      </w:pPr>
      <w:r w:rsidRPr="00896D4F">
        <w:t>Omprövning av beslut som fattats enligt bestämmelserna i det gamla pensionssystemet</w:t>
      </w:r>
    </w:p>
    <w:p w:rsidR="009C1C5A" w:rsidRPr="00896D4F" w:rsidRDefault="009C1C5A">
      <w:r w:rsidRPr="00896D4F">
        <w:t>Försäkringskassans beslut den 28 september 1999 om ålderspension rörande K.S., född 1934, var fattat enligt bestämmelserna i det gamla pensionssyst</w:t>
      </w:r>
      <w:r w:rsidRPr="00896D4F">
        <w:t>e</w:t>
      </w:r>
      <w:r w:rsidRPr="00896D4F">
        <w:t>met, dvs. med stöd av huvudsakligen AFL. K.S. gjorde i sin begäran om o</w:t>
      </w:r>
      <w:r w:rsidRPr="00896D4F">
        <w:t>m</w:t>
      </w:r>
      <w:r w:rsidRPr="00896D4F">
        <w:t>prövning gällande att han hade 30 intjänade poängår mot de 27 som enligt kassans beslut tillgodoräknats honom.</w:t>
      </w:r>
    </w:p>
    <w:p w:rsidR="009C1C5A" w:rsidRPr="00896D4F" w:rsidRDefault="009C1C5A">
      <w:pPr>
        <w:pStyle w:val="Normaltindrag"/>
      </w:pPr>
      <w:r w:rsidRPr="00896D4F">
        <w:t>Enligt 11 kap. 6 § AFL tillgodoräknas en försäkrad pensionspoäng för varje år för vilket pensionsgrundande inkomst fastställts för honom. Enligt 1 § lagen (1959:551) om beräkning av pensionsgrundande inkomst enligt lagen (1962:381) om allmän försäkring (LBP) bestäms pensionsgrundande inkomst av viss skattemyndighet. Av 8 a § s</w:t>
      </w:r>
      <w:r w:rsidRPr="00896D4F">
        <w:t>amma lag framgår att skattemyndigheten skall ompröva sitt beslut om den försäkrade begär det eller om det finns andra skäl.</w:t>
      </w:r>
    </w:p>
    <w:p w:rsidR="009C1C5A" w:rsidRPr="00896D4F" w:rsidRDefault="009C1C5A">
      <w:pPr>
        <w:pStyle w:val="Normaltindrag"/>
      </w:pPr>
      <w:r w:rsidRPr="00896D4F">
        <w:t>K.S:s begäran om omprövning skall handläggas med stöd av aktuella re</w:t>
      </w:r>
      <w:r w:rsidRPr="00896D4F">
        <w:t>g</w:t>
      </w:r>
      <w:r w:rsidRPr="00896D4F">
        <w:t>ler i 20 kap. AFL. Även den av RFV, i först AR 1998:14 och senare i RAR 2001:4, rekommenderade handläggningstiden på sex veckor är tillämplig på K.S:s omprövningsärende.</w:t>
      </w:r>
    </w:p>
    <w:p w:rsidR="009C1C5A" w:rsidRPr="00896D4F" w:rsidRDefault="009C1C5A">
      <w:pPr>
        <w:pStyle w:val="Normaltindrag"/>
      </w:pPr>
      <w:r w:rsidRPr="00896D4F">
        <w:t>Det har inte framkommit att det för denna typ av ärenden finns någon nä</w:t>
      </w:r>
      <w:r w:rsidRPr="00896D4F">
        <w:t>r</w:t>
      </w:r>
      <w:r w:rsidRPr="00896D4F">
        <w:t>mare handläggningsordning. Enligt min uppfattning kan ärendena handläggas på två alternativa sätt. Jag skall beskriva dessa alternativ nedan.</w:t>
      </w:r>
    </w:p>
    <w:p w:rsidR="009C1C5A" w:rsidRPr="00896D4F" w:rsidRDefault="009C1C5A">
      <w:pPr>
        <w:pStyle w:val="Normaltindrag"/>
      </w:pPr>
      <w:r w:rsidRPr="00896D4F">
        <w:t>Försäkringskassan har i sitt remissvar anfört att K.S. inte skulle ha åsa</w:t>
      </w:r>
      <w:r w:rsidRPr="00896D4F">
        <w:t>m</w:t>
      </w:r>
      <w:r w:rsidRPr="00896D4F">
        <w:t>kats någon rättsförlust om kassan i ett tidigare skede avslagit hans begäran om omprövning. Detta på grund av att kassan kommer att ändra pensionsbeslutet för det fall skattemyndigheten skulle ändra hans taxeringar. Pensionsbeslutet har K.S. möjlighet att överklaga.</w:t>
      </w:r>
    </w:p>
    <w:p w:rsidR="009C1C5A" w:rsidRPr="00896D4F" w:rsidRDefault="009C1C5A">
      <w:pPr>
        <w:pStyle w:val="Normaltindrag"/>
      </w:pPr>
      <w:r w:rsidRPr="00896D4F">
        <w:t>Försäkringskassan har inte närmare angett på vilken grund kassan skulle kunna företa en sådan s.k. följdändring, dvs. justering av pensionsbeslutet sedan skattemyndigheten ändrat ett tidigare beslut om pensionsgrundande inkomst (beräkningsunder</w:t>
      </w:r>
      <w:r w:rsidRPr="00896D4F">
        <w:t>laget). Jag utgår dock från att kassan avsett en ti</w:t>
      </w:r>
      <w:r w:rsidRPr="00896D4F">
        <w:t>l</w:t>
      </w:r>
      <w:r w:rsidRPr="00896D4F">
        <w:t>lämpning av 20 kap. 10 a § AFL. Vid bestämmelsens tillkomst uttalade vi</w:t>
      </w:r>
      <w:r w:rsidRPr="00896D4F">
        <w:t>s</w:t>
      </w:r>
      <w:r w:rsidRPr="00896D4F">
        <w:t>serligen departementschefen i den allmänna motiveringen att bestämmelsen skall ta sikte på endast beslut som var felaktiga redan när de fattades, således ursprungliga felaktigheter, (prop. 1977/78:20 s. 83). Men i specialmotiverin</w:t>
      </w:r>
      <w:r w:rsidRPr="00896D4F">
        <w:t>g</w:t>
      </w:r>
      <w:r w:rsidRPr="00896D4F">
        <w:t>en till densamma anges som exempel på användningsområde för tillämpnin</w:t>
      </w:r>
      <w:r w:rsidRPr="00896D4F">
        <w:t>g</w:t>
      </w:r>
      <w:r w:rsidRPr="00896D4F">
        <w:t xml:space="preserve">en av bestämmelsens punkt två, dvs. när ett beslut blivit oriktigt därför att det har </w:t>
      </w:r>
      <w:r w:rsidRPr="00896D4F">
        <w:t>grundats på ett uppenbart felaktigt eller ofullständigt underlag, att det påvisats en ny beräkning av pensionsgrundande inkomst i ett pensionsärende (a. prop. s. 94).</w:t>
      </w:r>
    </w:p>
    <w:p w:rsidR="009C1C5A" w:rsidRPr="00896D4F" w:rsidRDefault="009C1C5A">
      <w:pPr>
        <w:pStyle w:val="Normaltindrag"/>
      </w:pPr>
      <w:r w:rsidRPr="00896D4F">
        <w:t>Jag återkommer nu till frågan på vilka sätt försäkringskassan lämpligtvis kan handlägga ett ärende av det aktuella slaget.</w:t>
      </w:r>
    </w:p>
    <w:p w:rsidR="009C1C5A" w:rsidRPr="00896D4F" w:rsidRDefault="009C1C5A">
      <w:pPr>
        <w:pStyle w:val="Normaltindrag"/>
      </w:pPr>
      <w:r w:rsidRPr="00896D4F">
        <w:t>Ett alternativ är att försäkringskassan avslår den försäkrades begäran om omprövning med hänvisning till att grundbeslutet är riktigt utifrån de uppgi</w:t>
      </w:r>
      <w:r w:rsidRPr="00896D4F">
        <w:t>f</w:t>
      </w:r>
      <w:r w:rsidRPr="00896D4F">
        <w:t xml:space="preserve">ter som kassan har, givetvis under förutsättning att så är fallet. I samband med beslutet bör kassan informera den försäkrade om att det för en ändring av grundbeslutet i princip krävs att beräkningsunderlaget för detta ändras, dvs. att skattemyndigheten ändrar den försäkrades pensionsgrundande inkomst, och att den försäkrade själv får ta initiativ till en sådan ändring. Vidare bör den försäkrade informeras om att försäkringskassan på eget initiativ företar en följdändring av pensionsbeslutet för det fall </w:t>
      </w:r>
      <w:r w:rsidRPr="00896D4F">
        <w:t>skattemyndigheten ändrar den pensionsgrundande inkomsten.</w:t>
      </w:r>
    </w:p>
    <w:p w:rsidR="009C1C5A" w:rsidRPr="00896D4F" w:rsidRDefault="009C1C5A">
      <w:pPr>
        <w:pStyle w:val="Normaltindrag"/>
      </w:pPr>
      <w:r w:rsidRPr="00896D4F">
        <w:t>Ett annat alternativ är att den försäkrade i snar anslutning till att begäran om omprövning kommit in underrättas om vad som krävs för att få till stånd en ändring av pensionsbeslutet. Den försäkrade bör därvid ges möjlighet att inom en viss tid inkomma med det erforderliga materialet vid påföljd att fö</w:t>
      </w:r>
      <w:r w:rsidRPr="00896D4F">
        <w:t>r</w:t>
      </w:r>
      <w:r w:rsidRPr="00896D4F">
        <w:t>säkringskassan annars prövar ärendet på befintligt underlag.</w:t>
      </w:r>
    </w:p>
    <w:p w:rsidR="009C1C5A" w:rsidRPr="00896D4F" w:rsidRDefault="009C1C5A">
      <w:pPr>
        <w:pStyle w:val="Normaltindrag"/>
      </w:pPr>
      <w:r w:rsidRPr="00896D4F">
        <w:t>En risk med alternativ två är att ärenden blir liggande omotiverat länge hos försäkringskassan. Mot denna bakgrund, och då jag inte kan finna att den försäkrade skulle lida någon rättsförlust vid tillämpningen av det första alte</w:t>
      </w:r>
      <w:r w:rsidRPr="00896D4F">
        <w:t>r</w:t>
      </w:r>
      <w:r w:rsidRPr="00896D4F">
        <w:t>nativet, anser jag att detta är att föredra.</w:t>
      </w:r>
    </w:p>
    <w:p w:rsidR="009C1C5A" w:rsidRPr="00896D4F" w:rsidRDefault="009C1C5A">
      <w:pPr>
        <w:pStyle w:val="Normaltindrag"/>
      </w:pPr>
      <w:r w:rsidRPr="00896D4F">
        <w:t>Jag vill här skjuta in att jag är medveten om att LBP upphörde att gälla vid utgången av år 1998. Bestämmelserna i lagen skall dock fortsätta att gälla vid beräkning av pensionsgrundande inkomst enligt lagen om allmän försäkring avseende år 1998 och tidigare (4 § första stycket InfL). Att jag anser att LBP fortfarande är tillämplig även vid omprövning av beslut om pensionsgrunda</w:t>
      </w:r>
      <w:r w:rsidRPr="00896D4F">
        <w:t>n</w:t>
      </w:r>
      <w:r w:rsidRPr="00896D4F">
        <w:t>de inkomst som fattats enligt den lagen framgår av min bedömning av ärendet rörande G.L. nedan.</w:t>
      </w:r>
    </w:p>
    <w:p w:rsidR="009C1C5A" w:rsidRPr="00896D4F" w:rsidRDefault="009C1C5A">
      <w:pPr>
        <w:pStyle w:val="Normaltindrag"/>
      </w:pPr>
      <w:r w:rsidRPr="00896D4F">
        <w:t xml:space="preserve">Försäkringskassans handläggning i K.S:s ärende är präglad av alltför långa uppehåll i densamma. Handläggningen illustrerar också faran med att, vid medgivande av anstånd eller liknande, inte utsätta ett datum för den senaste dagen då komplettering skall inges. Hade ärendet handlagts i enlighet med något av de två ovan angivna alternativen hade antagligen handläggningen inte blivit så långdragen. En handläggning </w:t>
      </w:r>
      <w:r w:rsidRPr="00896D4F">
        <w:t>enligt det första alternativet hade givetvis stämt bäst överens med den rekommenderade handläggningstiden på sex veckor.</w:t>
      </w:r>
    </w:p>
    <w:p w:rsidR="009C1C5A" w:rsidRPr="00896D4F" w:rsidRDefault="009C1C5A">
      <w:pPr>
        <w:pStyle w:val="Rubrik4"/>
      </w:pPr>
      <w:r w:rsidRPr="00896D4F">
        <w:t>Omprövning av beslut som fattats enligt övergångsbestämmelserna till det nya pensionssystemet</w:t>
      </w:r>
    </w:p>
    <w:p w:rsidR="009C1C5A" w:rsidRPr="00896D4F" w:rsidRDefault="009C1C5A">
      <w:r w:rsidRPr="00896D4F">
        <w:t>Försäkringskassans beslut den 28 februari 2000 om pensionsrätt rörande G.L., född 1941, var fattat enligt övergångsbestämmelserna till det nya pensionss</w:t>
      </w:r>
      <w:r w:rsidRPr="00896D4F">
        <w:t>y</w:t>
      </w:r>
      <w:r w:rsidRPr="00896D4F">
        <w:t>stemet, dvs. enligt InfL. Försäkringskassan har tolkat G.L:s begäran om o</w:t>
      </w:r>
      <w:r w:rsidRPr="00896D4F">
        <w:t>m</w:t>
      </w:r>
      <w:r w:rsidRPr="00896D4F">
        <w:t>prövning så att hon var missnöjd med de pensionsgrundande inkomster som tidigare fastställts och således handlagt hennes begäran härefter.</w:t>
      </w:r>
    </w:p>
    <w:p w:rsidR="009C1C5A" w:rsidRPr="00896D4F" w:rsidRDefault="009C1C5A">
      <w:pPr>
        <w:pStyle w:val="Normaltindrag"/>
      </w:pPr>
      <w:r w:rsidRPr="00896D4F">
        <w:t>Vid det nya pensionssystemets ikraftträdande hade en stor del av de pers</w:t>
      </w:r>
      <w:r w:rsidRPr="00896D4F">
        <w:t>o</w:t>
      </w:r>
      <w:r w:rsidRPr="00896D4F">
        <w:t>ner som omfattas av systemet redan tjänat in rätt till pensionen, dvs. pe</w:t>
      </w:r>
      <w:r w:rsidRPr="00896D4F">
        <w:t>n</w:t>
      </w:r>
      <w:r w:rsidRPr="00896D4F">
        <w:t>sionspoäng, inom ATP-systemet. Det är mot denna bakgrund som det i InfL finns bestämmelser som gör det möjligt att inom ramen för det nya systemet ta hänsyn till tillgodoräknade pensionspoäng för perioden 1960–1998. Jag skall kort beröra vissa av bestämmelserna nedan.</w:t>
      </w:r>
    </w:p>
    <w:p w:rsidR="009C1C5A" w:rsidRPr="00896D4F" w:rsidRDefault="009C1C5A">
      <w:pPr>
        <w:pStyle w:val="Normaltindrag"/>
      </w:pPr>
      <w:r w:rsidRPr="00896D4F">
        <w:t>Enligt 43 § InfL hade försäkringskassan att senast den 31 mars 2000 till den som beslutet avser skicka en underrättelse om fastställd pensionsrätt e</w:t>
      </w:r>
      <w:r w:rsidRPr="00896D4F">
        <w:t>n</w:t>
      </w:r>
      <w:r w:rsidRPr="00896D4F">
        <w:t>ligt 28 § första stycket samma lag för åren 1960–1998. Detsamma gäller e</w:t>
      </w:r>
      <w:r w:rsidRPr="00896D4F">
        <w:t>n</w:t>
      </w:r>
      <w:r w:rsidRPr="00896D4F">
        <w:t>ligt sistnämnda lagrum pensionsgrundande belopp till föräldrar till små barn enligt 3 kap. 10 § LIP och, för åren 1995–1998, pensionsgrundande belopp för plikttjänstgöring enligt 3 kap. 8 § samma lag. Enligt 28 § andra stycket InfL beräknas pensionsrätt, utom på pensionsgrundande inkomster beräknade enligt 10 §, på pensionsgrundande belopp som avses i 10 § och i 28 § första stycket andra meningen.</w:t>
      </w:r>
    </w:p>
    <w:p w:rsidR="009C1C5A" w:rsidRPr="00896D4F" w:rsidRDefault="009C1C5A">
      <w:pPr>
        <w:pStyle w:val="Normaltindrag"/>
      </w:pPr>
      <w:r w:rsidRPr="00896D4F">
        <w:t>Enligt 10 § InfL skall för tid före å</w:t>
      </w:r>
      <w:r w:rsidRPr="00896D4F">
        <w:t>r 1999, vid tillämpningen av LIP, med en persons pensionsgrundande inkomst respektive pensionsgrundande belopp enligt 3 kap. 4 § den lagen avses de pensionspoäng som personen med anle</w:t>
      </w:r>
      <w:r w:rsidRPr="00896D4F">
        <w:t>d</w:t>
      </w:r>
      <w:r w:rsidRPr="00896D4F">
        <w:t>ning av sin pensionsgrundande inkomst respektive förtidspension tillgodorä</w:t>
      </w:r>
      <w:r w:rsidRPr="00896D4F">
        <w:t>k</w:t>
      </w:r>
      <w:r w:rsidRPr="00896D4F">
        <w:t>nats för det berörda året enligt lagen (1959:291) om försäkring för allmän tilläggspension eller enligt AFL multiplicerat med det basbelopp för respekt</w:t>
      </w:r>
      <w:r w:rsidRPr="00896D4F">
        <w:t>i</w:t>
      </w:r>
      <w:r w:rsidRPr="00896D4F">
        <w:t>ve år som anges i 9 § 1–3 och avrundat till närmaste hundratal kronor. Vid beräkningen skall pensions</w:t>
      </w:r>
      <w:r w:rsidRPr="00896D4F">
        <w:t>poängen som avser pensionsgrundande inkomst ökas med talet ett.</w:t>
      </w:r>
    </w:p>
    <w:p w:rsidR="009C1C5A" w:rsidRPr="00896D4F" w:rsidRDefault="009C1C5A">
      <w:pPr>
        <w:pStyle w:val="Normaltindrag"/>
      </w:pPr>
      <w:r w:rsidRPr="00896D4F">
        <w:t>Den av försäkringskassan fastställda pensionsrätten bygger således inte på några nya beslut om pensionsgrundande inkomst utan på en rekonstruktion av tidigare fastställda sådana.</w:t>
      </w:r>
    </w:p>
    <w:p w:rsidR="009C1C5A" w:rsidRPr="00896D4F" w:rsidRDefault="009C1C5A">
      <w:pPr>
        <w:pStyle w:val="Normaltindrag"/>
      </w:pPr>
      <w:r w:rsidRPr="00896D4F">
        <w:t>Då kommer jag till frågan hur en begäran om omprövning av ett beslut om pensionsrätt för förfluten tid skall handläggas, när den försäkrade, som i för</w:t>
      </w:r>
      <w:r w:rsidRPr="00896D4F">
        <w:t>e</w:t>
      </w:r>
      <w:r w:rsidRPr="00896D4F">
        <w:t>varande fall, ifrågasatt om inte den pensionsgrundande inkomsten är felaktig. Det gäller således här pensionsgrundande inkomst som fastställts avseende år före 1999.</w:t>
      </w:r>
    </w:p>
    <w:p w:rsidR="009C1C5A" w:rsidRPr="00896D4F" w:rsidRDefault="009C1C5A">
      <w:pPr>
        <w:pStyle w:val="Normaltindrag"/>
      </w:pPr>
      <w:r w:rsidRPr="00896D4F">
        <w:t>Som framgått ovan stadgas i 44 § InfL att för beslut enligt 28 § gäller, s</w:t>
      </w:r>
      <w:r w:rsidRPr="00896D4F">
        <w:t>å</w:t>
      </w:r>
      <w:r w:rsidRPr="00896D4F">
        <w:t>vitt här är av intresse, i tillämpliga delar 13 kap. 9 § första och andra styckena LIP. Enligt första stycket i den sistnämnda paragrafen skall ett beslut enligt LIP omprövas bl.a. om den som beslutet avser begär det. Enligt det andra stycket får, som huvudregel, ett beslut om pensionsgrundande inkomst eller andra pensionsgrundande belopp omprövas på begäran av den enskilde bara i samband med att beslutet om pensionsrätt eller pensionspoäng omprövas. 44 § InfL saknar dock hänvisning till 13 kap. 9 § tredje</w:t>
      </w:r>
      <w:r w:rsidRPr="00896D4F">
        <w:t xml:space="preserve"> stycket LIP. I detta stycke stadgas att försäkringskassan skall, om det vid omprövning av ett b</w:t>
      </w:r>
      <w:r w:rsidRPr="00896D4F">
        <w:t>e</w:t>
      </w:r>
      <w:r w:rsidRPr="00896D4F">
        <w:t>slut om pensionsrätt eller pensionspoäng skall göras en prövning av den pe</w:t>
      </w:r>
      <w:r w:rsidRPr="00896D4F">
        <w:t>n</w:t>
      </w:r>
      <w:r w:rsidRPr="00896D4F">
        <w:t>sionsgrundande inkomsten som legat till grund för beslutet, överlämna äre</w:t>
      </w:r>
      <w:r w:rsidRPr="00896D4F">
        <w:t>n</w:t>
      </w:r>
      <w:r w:rsidRPr="00896D4F">
        <w:t>det i den delen till skattemyndigheten för omprövning av beslutet om denna inkomst.</w:t>
      </w:r>
    </w:p>
    <w:p w:rsidR="009C1C5A" w:rsidRPr="00896D4F" w:rsidRDefault="009C1C5A">
      <w:pPr>
        <w:pStyle w:val="Normaltindrag"/>
      </w:pPr>
      <w:r w:rsidRPr="00896D4F">
        <w:t>Försäkringskassan har i sitt remissvar uppgett att det förelåg oklarheter om hur ärendena om omprövning av de retroaktiva besluten skulle handläggas, men att kassan så småningom fann</w:t>
      </w:r>
      <w:r w:rsidRPr="00896D4F">
        <w:t xml:space="preserve"> att G.L:s ärende borde översändas till skattemyndigheten för prövning av den pensionsgrundande inkomsten. Det förefaller dock som att kassan senare ändrat uppfattning och förklarat för G.L. att hon själv måste vända sig till skattemyndigheten för att få till stånd en ändring av taxeringarna. RFV har i sitt svar anfört att om den försäkrade b</w:t>
      </w:r>
      <w:r w:rsidRPr="00896D4F">
        <w:t>e</w:t>
      </w:r>
      <w:r w:rsidRPr="00896D4F">
        <w:t xml:space="preserve">gärt omprövning av sin pensionsgrundande inkomst skulle försäkringskassan snarast ha vidarebefordrat ärendet till skattemyndigheten. </w:t>
      </w:r>
      <w:r w:rsidRPr="00896D4F">
        <w:rPr>
          <w:rFonts w:ascii="Garamond" w:hAnsi="Garamond"/>
        </w:rPr>
        <w:t>–</w:t>
      </w:r>
      <w:r w:rsidRPr="00896D4F">
        <w:t xml:space="preserve"> Som kommer att framgå nedan anse</w:t>
      </w:r>
      <w:r w:rsidRPr="00896D4F">
        <w:t>r jag att det knappast var lagstiftarens avsikt att denna typ av ärenden skulle handläggas på nämnt sätt.</w:t>
      </w:r>
    </w:p>
    <w:p w:rsidR="009C1C5A" w:rsidRPr="00896D4F" w:rsidRDefault="009C1C5A">
      <w:pPr>
        <w:pStyle w:val="Normaltindrag"/>
      </w:pPr>
      <w:r w:rsidRPr="00896D4F">
        <w:t>Av 1 § InfL stadgas bl.a. att lagen innehåller bestämmelser om tillgod</w:t>
      </w:r>
      <w:r w:rsidRPr="00896D4F">
        <w:t>o</w:t>
      </w:r>
      <w:r w:rsidRPr="00896D4F">
        <w:t>räknande av pensionsrätt och andra pensionsgrundande belopp än pension</w:t>
      </w:r>
      <w:r w:rsidRPr="00896D4F">
        <w:t>s</w:t>
      </w:r>
      <w:r w:rsidRPr="00896D4F">
        <w:t>grundande inkomst för tid före år 1999.</w:t>
      </w:r>
    </w:p>
    <w:p w:rsidR="009C1C5A" w:rsidRPr="00896D4F" w:rsidRDefault="009C1C5A">
      <w:pPr>
        <w:pStyle w:val="Normaltindrag"/>
      </w:pPr>
      <w:r w:rsidRPr="00896D4F">
        <w:t>I 3 § andra stycket InfL anges att bestämmelserna i LIP om fastställande av bl.a. pensionsgrundande inkomst skall tillämpas första gången för år 1999. I 4 § första stycket sägs att bestämmelserna i LBP skall upphöra att gälla vid utgången av år 1998. Bestämmelserna i den lagen skall dock fortsätta att gälla vid beräkning av pensionsgrundande inkomst enligt AFL avseende år 1998 och tidigare.</w:t>
      </w:r>
    </w:p>
    <w:p w:rsidR="009C1C5A" w:rsidRPr="00896D4F" w:rsidRDefault="009C1C5A">
      <w:pPr>
        <w:pStyle w:val="Normaltindrag"/>
      </w:pPr>
      <w:r w:rsidRPr="00896D4F">
        <w:t>Bestämmelserna i LBP skall således fortsätta att gälla vid beräkningen av pensionsgrundande inkomst avseende år före 1999. Med utgångspunkt i den nämnda bestämmelsens ordalydelse är det enligt min mening inte helt givet att den kan anses innefatta även omprövningsreglerna i LBP. De nedan a</w:t>
      </w:r>
      <w:r w:rsidRPr="00896D4F">
        <w:t>n</w:t>
      </w:r>
      <w:r w:rsidRPr="00896D4F">
        <w:t>givna uttalandena i förarbetena till det reformerade pensionssystemet (prop. 1997/98:151) talar dock för att lagstiftaren avsett detta. På s. 328 anför d</w:t>
      </w:r>
      <w:r w:rsidRPr="00896D4F">
        <w:t>e</w:t>
      </w:r>
      <w:r w:rsidRPr="00896D4F">
        <w:t>partementschefen bl.a. följande.</w:t>
      </w:r>
    </w:p>
    <w:p w:rsidR="009C1C5A" w:rsidRPr="00896D4F" w:rsidRDefault="009C1C5A">
      <w:pPr>
        <w:pStyle w:val="Citat"/>
      </w:pPr>
      <w:r w:rsidRPr="00896D4F">
        <w:t>Det är den registrerade pensionspoängen för varje år som utgör utgångspun</w:t>
      </w:r>
      <w:r w:rsidRPr="00896D4F">
        <w:t>k</w:t>
      </w:r>
      <w:r w:rsidRPr="00896D4F">
        <w:t>ten för den pensionsgrundande inkomst som för år i förfluten tid skall berä</w:t>
      </w:r>
      <w:r w:rsidRPr="00896D4F">
        <w:t>k</w:t>
      </w:r>
      <w:r w:rsidRPr="00896D4F">
        <w:t>nas för den enskilde. Denne kommer därmed inte, genom att hänvisa till sin självdeklaration eller annat underlag, att kunna få till stånd en beräkning av pensionsgrundande inkomst för tid före år 1960 eller en högre pension</w:t>
      </w:r>
      <w:r w:rsidRPr="00896D4F">
        <w:t>s</w:t>
      </w:r>
      <w:r w:rsidRPr="00896D4F">
        <w:t>grundande inkomst för år i förfluten tid än vad som följer av en omräkning av pensionspoängen. Det senare gäller såväl i de fall då det har registrerats pe</w:t>
      </w:r>
      <w:r w:rsidRPr="00896D4F">
        <w:t>n</w:t>
      </w:r>
      <w:r w:rsidRPr="00896D4F">
        <w:t>sionspoäng för den berörde som då någon sådan poäng int</w:t>
      </w:r>
      <w:r w:rsidRPr="00896D4F">
        <w:t>e registrerats på grund av att inkomsterna inte har överstigit ett basbelopp. Om däremot den enskilde kan visa att han för något år har tillgodoräknats pensionspoäng som inte är korrekt beräknad i förhållande till den pensionsgrundande inkomst som för det året har fastställts av skattemyndigheten, bör beräkningen göras utifrån rätt pensionspoäng. I sådant fall bör naturligtvis även registreringen av pe</w:t>
      </w:r>
      <w:r w:rsidRPr="00896D4F">
        <w:t>n</w:t>
      </w:r>
      <w:r w:rsidRPr="00896D4F">
        <w:t>sionspoängen korrigeras. Detsamma gäller om den pensionsgrundande i</w:t>
      </w:r>
      <w:r w:rsidRPr="00896D4F">
        <w:t>n</w:t>
      </w:r>
      <w:r w:rsidRPr="00896D4F">
        <w:t>komsten för senare år exempelvis ändra</w:t>
      </w:r>
      <w:r w:rsidRPr="00896D4F">
        <w:t>s på grund av ändrad taxering eller om det i efterhand visar sig att pensionspoäng på grund av underlåten avgiftsb</w:t>
      </w:r>
      <w:r w:rsidRPr="00896D4F">
        <w:t>e</w:t>
      </w:r>
      <w:r w:rsidRPr="00896D4F">
        <w:t>talning inte borde ha tillgodoräknats.</w:t>
      </w:r>
    </w:p>
    <w:p w:rsidR="009C1C5A" w:rsidRPr="00896D4F" w:rsidRDefault="009C1C5A">
      <w:r w:rsidRPr="00896D4F">
        <w:t>På sidan 504 f. behandlar departementschefen bl.a. omprövningsreglerna för besluten om bl.a. pensionsrätt för åren 1960–1998. Han anför därvid bl.a. att beslut om pensionsgrundande inkomst för tiden 1960–1998 inte berörs av dessa regler. För dessa beslut gäller de regler om omprövning och överkl</w:t>
      </w:r>
      <w:r w:rsidRPr="00896D4F">
        <w:t>a</w:t>
      </w:r>
      <w:r w:rsidRPr="00896D4F">
        <w:t>gande som finns i LBP (s. 505).</w:t>
      </w:r>
    </w:p>
    <w:p w:rsidR="009C1C5A" w:rsidRPr="00896D4F" w:rsidRDefault="009C1C5A">
      <w:pPr>
        <w:pStyle w:val="Normaltindrag"/>
        <w:rPr>
          <w:b/>
        </w:rPr>
      </w:pPr>
      <w:r w:rsidRPr="00896D4F">
        <w:t>Det förefaller således vara lagstiftarens mening att omprövningsreglerna i LBP fortfarande skall gälla för beslut om pensionsgrundande inkomst som fattats avseende år före 1999. RFV har numera i sin Vägledning 2001:7 (O</w:t>
      </w:r>
      <w:r w:rsidRPr="00896D4F">
        <w:t>m</w:t>
      </w:r>
      <w:r w:rsidRPr="00896D4F">
        <w:t>prövning, ändring och överklagande av allmän försäkringskassas beslut) kommit till motsvarande slutsats. På s. 29 anges bl.a. att om det framgår av en begäran om omprövning av beslut om pensionsrätt och pensionspoäng att den försäkrade är missnöjd med beräkningsunderlagen för besluten, dvs. med besluten om PGI och/eller PGB för samma år skall också de sistnämnda b</w:t>
      </w:r>
      <w:r w:rsidRPr="00896D4F">
        <w:t>e</w:t>
      </w:r>
      <w:r w:rsidRPr="00896D4F">
        <w:t xml:space="preserve">sluten omprövas. </w:t>
      </w:r>
      <w:r w:rsidRPr="00896D4F">
        <w:rPr>
          <w:i/>
        </w:rPr>
        <w:t>Då det gäller beslut om PGI gäller detta endast fr.o.m. intjänandeåret 1999 (min kurs.).</w:t>
      </w:r>
    </w:p>
    <w:p w:rsidR="009C1C5A" w:rsidRPr="00896D4F" w:rsidRDefault="009C1C5A">
      <w:pPr>
        <w:pStyle w:val="Normaltindrag"/>
      </w:pPr>
      <w:r w:rsidRPr="00896D4F">
        <w:t>En fråga som i sammanhanget kan ställa</w:t>
      </w:r>
      <w:r w:rsidRPr="00896D4F">
        <w:t>s är vad lagstiftaren åsyftat med hänvisningen i 44 § InfL till 13 kap. 9 § andra stycket LIP, dvs. att ett beslut om pensionsgrundande inkomst eller andra pensionsgrundande belopp, som huvudregel, får omprövas på begäran av den enskilde bara i samband med att ett beslut om pensionsrätt eller pensionspoäng omprövas. Ett beslut enligt 28 § innefattar dock inte ett beslut om pensionsgrundande inkomst och hä</w:t>
      </w:r>
      <w:r w:rsidRPr="00896D4F">
        <w:t>n</w:t>
      </w:r>
      <w:r w:rsidRPr="00896D4F">
        <w:t>visningen till bestämmelserna i LIP gäller endast ”i tillämpliga delar”. Jag utgår därför från att 13 k</w:t>
      </w:r>
      <w:r w:rsidRPr="00896D4F">
        <w:t>ap. 9 § andra stycket, vid omprövning av ett beslut om pensionsrätt för förfluten tid, endast är tillämpligt med avseende på prö</w:t>
      </w:r>
      <w:r w:rsidRPr="00896D4F">
        <w:t>v</w:t>
      </w:r>
      <w:r w:rsidRPr="00896D4F">
        <w:t>nin</w:t>
      </w:r>
      <w:r w:rsidRPr="00896D4F">
        <w:t>g</w:t>
      </w:r>
      <w:r w:rsidRPr="00896D4F">
        <w:t>en av andra pensionsgrundande belopp.</w:t>
      </w:r>
    </w:p>
    <w:p w:rsidR="009C1C5A" w:rsidRPr="00896D4F" w:rsidRDefault="009C1C5A">
      <w:pPr>
        <w:pStyle w:val="Normaltindrag"/>
      </w:pPr>
      <w:r w:rsidRPr="00896D4F">
        <w:t>Av en, enligt min mening, vidsträckt men rimlig tolkning av 4 § första stycket InfL kan således anses följa att försäkringskassan inte skulle ha skic</w:t>
      </w:r>
      <w:r w:rsidRPr="00896D4F">
        <w:t>k</w:t>
      </w:r>
      <w:r w:rsidRPr="00896D4F">
        <w:t>at G.L:s ärende till skattemyndigheten för prövning av den pensionsgrunda</w:t>
      </w:r>
      <w:r w:rsidRPr="00896D4F">
        <w:t>n</w:t>
      </w:r>
      <w:r w:rsidRPr="00896D4F">
        <w:t>de inkomsten. G.L:s ärende borde i stället ha handlagts på motsvarande sätt som jag ovan har redogjort för avseende K.S:s begäran om omprövning. Det var således G.L. som, om hon ansåg att hennes pensionsgrundande inkomster för de aktuella åren var felaktiga, hade att begära omprövning hos skattemy</w:t>
      </w:r>
      <w:r w:rsidRPr="00896D4F">
        <w:t>n</w:t>
      </w:r>
      <w:r w:rsidRPr="00896D4F">
        <w:t>digheten av dessa. Såvitt jag kan bedöma hade G.L. heller inte åsamkats n</w:t>
      </w:r>
      <w:r w:rsidRPr="00896D4F">
        <w:t>å</w:t>
      </w:r>
      <w:r w:rsidRPr="00896D4F">
        <w:t>gon rättsförlust om kassan avslagit hennes begäran om omprövning</w:t>
      </w:r>
      <w:r w:rsidRPr="00896D4F">
        <w:t xml:space="preserve"> med hä</w:t>
      </w:r>
      <w:r w:rsidRPr="00896D4F">
        <w:t>n</w:t>
      </w:r>
      <w:r w:rsidRPr="00896D4F">
        <w:t>visning till att kassans beslut var riktigt utifrån de uppgifter kassan hade, om nu så var fallet. I 44 § InfL finns nämligen en hänvisning till 13 kap. 7 § LIP. Enligt den sistnämnda bestämmelsen skall ett beslut enligt LIP ändras om det föranleds av bl.a. en ändring som gjorts i beräkningsunderlaget för beslutet. I den ovan nämnda propositionen kan i detta avseende läsas följande (s. 345). Pensionspoängen för ATP för något av åren 1960–1998 kan i vissa fall – t.ex. på grund av omtaxering – komma a</w:t>
      </w:r>
      <w:r w:rsidRPr="00896D4F">
        <w:t>tt ändras efter det att beslut om pension</w:t>
      </w:r>
      <w:r w:rsidRPr="00896D4F">
        <w:t>s</w:t>
      </w:r>
      <w:r w:rsidRPr="00896D4F">
        <w:t>rätt för förfluten tid inom det reformerade ålderspensionssystemet redan har fattats. I sådana fall bör försäkringskassan ex officio ändra beslutet om pe</w:t>
      </w:r>
      <w:r w:rsidRPr="00896D4F">
        <w:t>n</w:t>
      </w:r>
      <w:r w:rsidRPr="00896D4F">
        <w:t>sionsrätt för förfluten tid.</w:t>
      </w:r>
    </w:p>
    <w:p w:rsidR="009C1C5A" w:rsidRPr="00896D4F" w:rsidRDefault="009C1C5A">
      <w:r w:rsidRPr="00896D4F">
        <w:t>Jag vill avslutningsvis anföra följande.</w:t>
      </w:r>
    </w:p>
    <w:p w:rsidR="009C1C5A" w:rsidRPr="00896D4F" w:rsidRDefault="009C1C5A">
      <w:r w:rsidRPr="00896D4F">
        <w:t>Jag är inte alls förvånad över att försäkringskassan haft svårigheter att fas</w:t>
      </w:r>
      <w:r w:rsidRPr="00896D4F">
        <w:t>t</w:t>
      </w:r>
      <w:r w:rsidRPr="00896D4F">
        <w:t>ställa på vilket sätt en begäran om omprövning av ett beslut om pensionsrätt för förfluten tid skall handläggas. Enligt min mening är nämligen lagtexten alltför otydlig i aktuellt hänseende. Det faktum att jag kommit till ett annat resultat än vad kassan inledningsvis gjorde kan ses som en bekräftelse på detta.</w:t>
      </w:r>
    </w:p>
    <w:p w:rsidR="009C1C5A" w:rsidRPr="00896D4F" w:rsidRDefault="009C1C5A">
      <w:pPr>
        <w:pStyle w:val="Normaltindrag"/>
      </w:pPr>
      <w:r w:rsidRPr="00896D4F">
        <w:t>Försäkringskassan har anfört att det under våren 2000, då besluten om pensionsrätt för retroaktiv tid sändes ut, inte fanns några handläggningsanvi</w:t>
      </w:r>
      <w:r w:rsidRPr="00896D4F">
        <w:t>s</w:t>
      </w:r>
      <w:r w:rsidRPr="00896D4F">
        <w:t>ningar för en begäran om omprövning av ett sådant beslut. RFV har å sin sida uppgett att försäkringskassan haft de allmänna råden 1998:14 och 15 att tillgå. Dessa allmänna råd innehåller emellertid inte några närmare anvisningar för kassans handläggning i aktuellt avseende. Det förefaller vara först genom sin Vägledning 2001:7 som RFV i skrift kommit fram till att också ett beslut om pensionsgrundande inkomst skall omprövas vid en begäran om omprövning av pensionsrätt, där den försäkrade är missnöjd med be</w:t>
      </w:r>
      <w:r w:rsidRPr="00896D4F">
        <w:t>räkningsunderlaget, först fr.o.m. intjänandeåret 1999. RFV har även gjort gällande att verket g</w:t>
      </w:r>
      <w:r w:rsidRPr="00896D4F">
        <w:t>e</w:t>
      </w:r>
      <w:r w:rsidRPr="00896D4F">
        <w:t>nomfört att antal utbildningar och konferenser rörande bl.a. handläggningen av begäran om omprövning av beslut om pensionsrätt. Jag betvivlar inte detta. Denna information förefaller dock inte helt ha kunnat bota bristen på han</w:t>
      </w:r>
      <w:r w:rsidRPr="00896D4F">
        <w:t>d</w:t>
      </w:r>
      <w:r w:rsidRPr="00896D4F">
        <w:t>läggningsanvisningar i övrigt. Jag vill här framhålla att jag finner det högst märkligt att en enskild försäkringskassa i samband med ikraftträdandet av en ny lagstiftning skall behöva ägn</w:t>
      </w:r>
      <w:r w:rsidRPr="00896D4F">
        <w:t>a tid och kraft åt att utarbeta handläggning</w:t>
      </w:r>
      <w:r w:rsidRPr="00896D4F">
        <w:t>s</w:t>
      </w:r>
      <w:r w:rsidRPr="00896D4F">
        <w:t>rutiner. Detta arbete borde enligt min mening i rimlig tid ha utförts av RFV.</w:t>
      </w:r>
    </w:p>
    <w:p w:rsidR="009C1C5A" w:rsidRPr="00896D4F" w:rsidRDefault="009C1C5A">
      <w:pPr>
        <w:pStyle w:val="Normaltindrag"/>
      </w:pPr>
      <w:r w:rsidRPr="00896D4F">
        <w:t>Vad sedan gäller det av RFV levererade datastödet anser jag att det är mycket beklagligt att försäkringskassorna fått vänta på detta. De olika besk</w:t>
      </w:r>
      <w:r w:rsidRPr="00896D4F">
        <w:t>e</w:t>
      </w:r>
      <w:r w:rsidRPr="00896D4F">
        <w:t>den om när stödet kunde förväntas och det förhållandet att det levererades så sent har givetvis skapat både irritation och merarbete hos kassorna.</w:t>
      </w:r>
    </w:p>
    <w:p w:rsidR="009C1C5A" w:rsidRPr="00896D4F" w:rsidRDefault="009C1C5A">
      <w:pPr>
        <w:pStyle w:val="Rubrik4"/>
      </w:pPr>
      <w:r w:rsidRPr="00896D4F">
        <w:t>Avslutning</w:t>
      </w:r>
    </w:p>
    <w:p w:rsidR="009C1C5A" w:rsidRPr="00896D4F" w:rsidRDefault="009C1C5A">
      <w:r w:rsidRPr="00896D4F">
        <w:t>Jag skall avslutningsvis knyta an till det som jag inledningsvis berörde, dvs. försäkringskassans handläggningstider för en begäran om omprövning. Även om ett ärende, som i G.L:s fall, inte omfattas av någon av RFV rekommend</w:t>
      </w:r>
      <w:r w:rsidRPr="00896D4F">
        <w:t>e</w:t>
      </w:r>
      <w:r w:rsidRPr="00896D4F">
        <w:t>rad handläggningstid skall givetvis ett krav på skyndsamhet ändå prägla handläggningen av ärendet. Min förhoppning är att försäkringskassan numera har fått erforderligt handläggar- och datastöd så att rimliga handläggningst</w:t>
      </w:r>
      <w:r w:rsidRPr="00896D4F">
        <w:t>i</w:t>
      </w:r>
      <w:r w:rsidRPr="00896D4F">
        <w:t>der för omprövningsärenden kan uppnås.</w:t>
      </w:r>
    </w:p>
    <w:p w:rsidR="009C1C5A" w:rsidRPr="00896D4F" w:rsidRDefault="009C1C5A">
      <w:pPr>
        <w:pStyle w:val="Rubrik4"/>
      </w:pPr>
      <w:r w:rsidRPr="00896D4F">
        <w:t>Övrigt</w:t>
      </w:r>
    </w:p>
    <w:p w:rsidR="009C1C5A" w:rsidRPr="00896D4F" w:rsidRDefault="009C1C5A">
      <w:r w:rsidRPr="00896D4F">
        <w:t>Det som har framkommit i ärendet föranleder mig att skickat en kopia av beslutet till såväl Regeringskansliet (Socialdepartementet) som socialförsä</w:t>
      </w:r>
      <w:r w:rsidRPr="00896D4F">
        <w:t>k</w:t>
      </w:r>
      <w:r w:rsidRPr="00896D4F">
        <w:t>ringsutskottet.</w:t>
      </w:r>
    </w:p>
    <w:p w:rsidR="009C1C5A" w:rsidRPr="00896D4F" w:rsidRDefault="009C1C5A">
      <w:r w:rsidRPr="00896D4F">
        <w:t>Ärendet avslutas.</w:t>
      </w:r>
    </w:p>
    <w:p w:rsidR="009C1C5A" w:rsidRPr="00896D4F" w:rsidRDefault="009C1C5A">
      <w:pPr>
        <w:pStyle w:val="Rubrik2"/>
      </w:pPr>
      <w:r w:rsidRPr="00896D4F">
        <w:br w:type="page"/>
        <w:t>Fråga om mot vem försäkringskassa skall rikta återkrav på för mycket utbetald assistansersättning</w:t>
      </w:r>
    </w:p>
    <w:p w:rsidR="009C1C5A" w:rsidRPr="00896D4F" w:rsidRDefault="009C1C5A">
      <w:pPr>
        <w:spacing w:before="0"/>
      </w:pPr>
      <w:r w:rsidRPr="00896D4F">
        <w:t>(Dnr 4068-2000)</w:t>
      </w:r>
    </w:p>
    <w:p w:rsidR="009C1C5A" w:rsidRPr="00896D4F" w:rsidRDefault="009C1C5A">
      <w:r w:rsidRPr="00896D4F">
        <w:rPr>
          <w:i/>
        </w:rPr>
        <w:t xml:space="preserve">JO Pennlöv </w:t>
      </w:r>
      <w:r w:rsidRPr="00896D4F">
        <w:t>meddelade den 31 januari 2002 ett beslut med följande innehåll.</w:t>
      </w:r>
    </w:p>
    <w:p w:rsidR="009C1C5A" w:rsidRPr="00896D4F" w:rsidRDefault="009C1C5A">
      <w:pPr>
        <w:pStyle w:val="Rubrik3"/>
      </w:pPr>
      <w:r w:rsidRPr="00896D4F">
        <w:t>Bakgrund</w:t>
      </w:r>
    </w:p>
    <w:p w:rsidR="009C1C5A" w:rsidRPr="00896D4F" w:rsidRDefault="009C1C5A">
      <w:r w:rsidRPr="00896D4F">
        <w:t>Försäkringskassan beviljade den 1 februari 1999 Z.L., född 1996, assistanse</w:t>
      </w:r>
      <w:r w:rsidRPr="00896D4F">
        <w:t>r</w:t>
      </w:r>
      <w:r w:rsidRPr="00896D4F">
        <w:t>sättning för 3 224 timmar per sex månader fr.o.m. den 1 augusti 1998. I mot</w:t>
      </w:r>
      <w:r w:rsidRPr="00896D4F">
        <w:t>i</w:t>
      </w:r>
      <w:r w:rsidRPr="00896D4F">
        <w:t>veringen till beslutet angavs att behovet av assistans bedömdes ha en omfat</w:t>
      </w:r>
      <w:r w:rsidRPr="00896D4F">
        <w:t>t</w:t>
      </w:r>
      <w:r w:rsidRPr="00896D4F">
        <w:t>ning som motsvarade i genomsnitt 62 timmar per vecka. Denna tid motsvar</w:t>
      </w:r>
      <w:r w:rsidRPr="00896D4F">
        <w:t>a</w:t>
      </w:r>
      <w:r w:rsidRPr="00896D4F">
        <w:t>de 1 612 timmar per sex månader. Vidare angavs i beslutet att ersättningen betalades ut till Gotlands kommun, eftersom kommunen var arbetsgivare för Z:s assistenter.</w:t>
      </w:r>
    </w:p>
    <w:p w:rsidR="009C1C5A" w:rsidRPr="00896D4F" w:rsidRDefault="009C1C5A">
      <w:pPr>
        <w:pStyle w:val="Normaltindrag"/>
      </w:pPr>
      <w:r w:rsidRPr="00896D4F">
        <w:t>Z:s mor, L.L., var hans personliga assistent. Hon fick ersättning av Go</w:t>
      </w:r>
      <w:r w:rsidRPr="00896D4F">
        <w:t>t</w:t>
      </w:r>
      <w:r w:rsidRPr="00896D4F">
        <w:t>lands kommun för de timmar hon arbetade. Fram till den period som är akt</w:t>
      </w:r>
      <w:r w:rsidRPr="00896D4F">
        <w:t>u</w:t>
      </w:r>
      <w:r w:rsidRPr="00896D4F">
        <w:t>ell i ärendet hade kommunen lämnat ersättning mot räkning.</w:t>
      </w:r>
    </w:p>
    <w:p w:rsidR="009C1C5A" w:rsidRPr="00896D4F" w:rsidRDefault="009C1C5A">
      <w:pPr>
        <w:pStyle w:val="Normaltindrag"/>
      </w:pPr>
      <w:r w:rsidRPr="00896D4F">
        <w:t>För den nu aktuella perioden, februari</w:t>
      </w:r>
      <w:r w:rsidRPr="00896D4F">
        <w:rPr>
          <w:rFonts w:ascii="Garamond" w:hAnsi="Garamond"/>
        </w:rPr>
        <w:t>–</w:t>
      </w:r>
      <w:r w:rsidRPr="00896D4F">
        <w:t>juli 2000, hade försäkringskassan i stället betalat ut preliminära belopp månadsvis till Gotlands kommun. De utbetalda beloppen grundades på antalet beviljade assistanstimmar enligt försäkringskassans beslut. Vid slutavräkningen uppmärksammade försä</w:t>
      </w:r>
      <w:r w:rsidRPr="00896D4F">
        <w:t>k</w:t>
      </w:r>
      <w:r w:rsidRPr="00896D4F">
        <w:t>ringskassan att antalet faktiskt utnyttjade assistanstimmar uppgick till 1 604 timmar medan antalet ersatta assistanstimmar uppgick till 2 366 timmar. Fö</w:t>
      </w:r>
      <w:r w:rsidRPr="00896D4F">
        <w:t>r</w:t>
      </w:r>
      <w:r w:rsidRPr="00896D4F">
        <w:t>säkringskassan fattade därför den 14 september 2000 ett beslut om återbeta</w:t>
      </w:r>
      <w:r w:rsidRPr="00896D4F">
        <w:t>l</w:t>
      </w:r>
      <w:r w:rsidRPr="00896D4F">
        <w:t>ning av för mycket utbetald assi</w:t>
      </w:r>
      <w:r w:rsidRPr="00896D4F">
        <w:t>stansersättning med 135 636 kr för tiden fe</w:t>
      </w:r>
      <w:r w:rsidRPr="00896D4F">
        <w:t>b</w:t>
      </w:r>
      <w:r w:rsidRPr="00896D4F">
        <w:t>ruari–juli 2000. Beslutet ställdes till målsman för Z.L. och en kopia skickades för kännedom till Gotlands kommun. I beslutet angavs att Z.L. måste betala tillbaka den för högt utbetalda assistansersättningen, 135 636 kr och att ka</w:t>
      </w:r>
      <w:r w:rsidRPr="00896D4F">
        <w:t>s</w:t>
      </w:r>
      <w:r w:rsidRPr="00896D4F">
        <w:t>san skulle reglera skulden med 22 606 kr per månad under sex månader fr.o.m. oktober 2000. Som tillämpade bestämmelser angav kassan 16 § lagen (1993:389) om assistansersättning och 10 § Riksförsäkringsverkets föreskri</w:t>
      </w:r>
      <w:r w:rsidRPr="00896D4F">
        <w:t>f</w:t>
      </w:r>
      <w:r w:rsidRPr="00896D4F">
        <w:t>ter om assistanser</w:t>
      </w:r>
      <w:r w:rsidRPr="00896D4F">
        <w:t>sättning (RFFS 1993:24). Beslutet saknar helt motivering såväl såvitt avser frågan varför betalningsskyldighet uppkommit som vem denna betalningsskyldighet åvilar.</w:t>
      </w:r>
    </w:p>
    <w:p w:rsidR="009C1C5A" w:rsidRPr="00896D4F" w:rsidRDefault="009C1C5A">
      <w:pPr>
        <w:pStyle w:val="Rubrik3"/>
      </w:pPr>
      <w:r w:rsidRPr="00896D4F">
        <w:t>Anmälan</w:t>
      </w:r>
    </w:p>
    <w:p w:rsidR="009C1C5A" w:rsidRPr="00896D4F" w:rsidRDefault="009C1C5A">
      <w:r w:rsidRPr="00896D4F">
        <w:t>L.L. klagade på att försäkringskassan krävt hennes minderårige son, Z., på för mycket utgiven assistansersättning, trots att han aldrig erhållit pengarna. Z. var visserligen den som var berättigad till assistansersättningen, men ass</w:t>
      </w:r>
      <w:r w:rsidRPr="00896D4F">
        <w:t>i</w:t>
      </w:r>
      <w:r w:rsidRPr="00896D4F">
        <w:t>stansersättningen utbetalades till kommunen. Hon arbetade som Z:s personl</w:t>
      </w:r>
      <w:r w:rsidRPr="00896D4F">
        <w:t>i</w:t>
      </w:r>
      <w:r w:rsidRPr="00896D4F">
        <w:t>ga assistent och redovisade de arbetade timmarna till kommunen som arbet</w:t>
      </w:r>
      <w:r w:rsidRPr="00896D4F">
        <w:t>s</w:t>
      </w:r>
      <w:r w:rsidRPr="00896D4F">
        <w:t>givare enligt ett avtalat system.</w:t>
      </w:r>
    </w:p>
    <w:p w:rsidR="009C1C5A" w:rsidRPr="00896D4F" w:rsidRDefault="009C1C5A">
      <w:pPr>
        <w:pStyle w:val="Normaltindrag"/>
      </w:pPr>
      <w:r w:rsidRPr="00896D4F">
        <w:t>L.L. klagade också på att försäkringskassan inte heller hade berett henne tillfälle att yttra sig över de omständigheter som låg till grund för kassans beslut om återkrav innan beslutet fattades. När hon kontaktade försäkring</w:t>
      </w:r>
      <w:r w:rsidRPr="00896D4F">
        <w:t>s</w:t>
      </w:r>
      <w:r w:rsidRPr="00896D4F">
        <w:t>kassan fick hon besked att beslutet kanske inte var rätt och att hon för Z:s räkning inte behövde ta hänsyn till innehållet i beslutet. Något nytt beslut som visade att det tidigare beslutet var felaktigt och därför upphävts hade försä</w:t>
      </w:r>
      <w:r w:rsidRPr="00896D4F">
        <w:t>k</w:t>
      </w:r>
      <w:r w:rsidRPr="00896D4F">
        <w:t>ringskassan emellertid inte fattat. Det var därför oklart enligt hennes mening om Z. häftade i skuld till det allmänna eller inte. L.L. yrkade vidare sk</w:t>
      </w:r>
      <w:r w:rsidRPr="00896D4F">
        <w:t>a</w:t>
      </w:r>
      <w:r w:rsidRPr="00896D4F">
        <w:t>destånd med 10 000 kr för kränkning av Z:s integritet.</w:t>
      </w:r>
    </w:p>
    <w:p w:rsidR="009C1C5A" w:rsidRPr="00896D4F" w:rsidRDefault="009C1C5A">
      <w:pPr>
        <w:pStyle w:val="Rubrik3"/>
      </w:pPr>
      <w:r w:rsidRPr="00896D4F">
        <w:t>Utredning</w:t>
      </w:r>
    </w:p>
    <w:p w:rsidR="009C1C5A" w:rsidRPr="00896D4F" w:rsidRDefault="009C1C5A">
      <w:r w:rsidRPr="00896D4F">
        <w:t>Försäkringskassans akt begärdes in och granskades. Anmälan remitterades därefter till försäkringskassan för yttrande över vem som kassan ansåg vara part i ärendet om återbetalning av assistansersättning och mot vem beslutet om återbetalning av assistansersättning skall riktas i de fall assistansersät</w:t>
      </w:r>
      <w:r w:rsidRPr="00896D4F">
        <w:t>t</w:t>
      </w:r>
      <w:r w:rsidRPr="00896D4F">
        <w:t>ningen utbetalats till annan än den ersättningsberättigade. Försäkringskassan anförde i remissvaret följande.</w:t>
      </w:r>
    </w:p>
    <w:p w:rsidR="009C1C5A" w:rsidRPr="00896D4F" w:rsidRDefault="009C1C5A">
      <w:pPr>
        <w:pStyle w:val="Rubrik4"/>
      </w:pPr>
      <w:r w:rsidRPr="00896D4F">
        <w:t>Hanteringen av återkravet</w:t>
      </w:r>
    </w:p>
    <w:p w:rsidR="009C1C5A" w:rsidRPr="00896D4F" w:rsidRDefault="009C1C5A">
      <w:pPr>
        <w:pStyle w:val="Citat"/>
      </w:pPr>
      <w:r w:rsidRPr="00896D4F">
        <w:t>Såsom L.L. uppger i sin anmälan, har beslutet om återkrav fattats utan någon föregående kommunicering, varken skriftlig eller muntlig. Kassan är väl medveten om att detta förfarande strider mot förvaltningslagens regler om kommuniceringsskyldighet och vi ser naturligtvis allvarligt på det inträffade.</w:t>
      </w:r>
    </w:p>
    <w:p w:rsidR="009C1C5A" w:rsidRPr="00896D4F" w:rsidRDefault="009C1C5A">
      <w:pPr>
        <w:pStyle w:val="Citatindrag"/>
      </w:pPr>
      <w:r w:rsidRPr="00896D4F">
        <w:t>Den telefonkontakt L.L. omnämner är troligtvis den som enligt journala</w:t>
      </w:r>
      <w:r w:rsidRPr="00896D4F">
        <w:t>n</w:t>
      </w:r>
      <w:r w:rsidRPr="00896D4F">
        <w:t>teckningar ägt rum den 18 september 2000. Anteckningarna bekräftar en osäkerhet om huruvida beslutet om återkrav skulle ha ställts till L.L., som vårdnadshavare för Z.L., eller till Gotlands kommun som tagit emot ersät</w:t>
      </w:r>
      <w:r w:rsidRPr="00896D4F">
        <w:t>t</w:t>
      </w:r>
      <w:r w:rsidRPr="00896D4F">
        <w:t>ningarna. Enligt anteckningarna har tjänstemannen vid detta tillfälle framfört en ursäkt för misstag som begåtts.</w:t>
      </w:r>
    </w:p>
    <w:p w:rsidR="009C1C5A" w:rsidRPr="00896D4F" w:rsidRDefault="009C1C5A">
      <w:pPr>
        <w:pStyle w:val="Citatindrag"/>
      </w:pPr>
      <w:r w:rsidRPr="00896D4F">
        <w:t xml:space="preserve">Vad avser beslutet anser kassan att det i sak är korrekt. Kassan beklagar dock utformningen av beslutet och motiveringen till detsamma. Vidare borde L.L. [ha] informerats om hur </w:t>
      </w:r>
      <w:r w:rsidRPr="00896D4F">
        <w:t>regleringen av skulden rent praktiskt skulle gå till. Upplysningsvis kan meddelas att den uppkomna skulden för närvarande kvittas löpande mot ersättning som betalas ut till Gotlands kommun. Slutr</w:t>
      </w:r>
      <w:r w:rsidRPr="00896D4F">
        <w:t>e</w:t>
      </w:r>
      <w:r w:rsidRPr="00896D4F">
        <w:t>glering sker i och med utbetalningen i mars månad 200l .</w:t>
      </w:r>
    </w:p>
    <w:p w:rsidR="009C1C5A" w:rsidRPr="00896D4F" w:rsidRDefault="009C1C5A">
      <w:pPr>
        <w:pStyle w:val="Citatindrag"/>
      </w:pPr>
      <w:r w:rsidRPr="00896D4F">
        <w:t xml:space="preserve">Sammanfattningsvis framför kassan sin ursäkt till det inträffade och kassan beklagar också de olägenheter som L.L. och Z.L. drabbats av. Hade kassan tagit kontakt med L.L. när misstämningen uppmärksammades och informerat henne om den uppkomna situationen och </w:t>
      </w:r>
      <w:r w:rsidRPr="00896D4F">
        <w:t>hur den skulle kunna lösas, hade förmodligen mycket av det obehag som L.L.upplevt kunnat undvikas.</w:t>
      </w:r>
    </w:p>
    <w:p w:rsidR="009C1C5A" w:rsidRPr="00896D4F" w:rsidRDefault="009C1C5A">
      <w:pPr>
        <w:pStyle w:val="Rubrik4"/>
      </w:pPr>
      <w:r w:rsidRPr="00896D4F">
        <w:t>Partsfrågan och vem som beslutet om återbetalning skall riktas mot när assistansersättning betalas ut till annan än den ersättningsberättigade</w:t>
      </w:r>
    </w:p>
    <w:p w:rsidR="009C1C5A" w:rsidRPr="00896D4F" w:rsidRDefault="009C1C5A">
      <w:pPr>
        <w:pStyle w:val="Citat"/>
      </w:pPr>
      <w:r w:rsidRPr="00896D4F">
        <w:t>Enligt 16 § lag (1993:389) om assistansersättning skall försäkringskassan besluta om återbetalning av assistansersättning bl.a. i de fall den som erhållit ersättning eller hans ställföreträdare borde ha insett att ersättning betalats ut med för högt belopp.</w:t>
      </w:r>
    </w:p>
    <w:p w:rsidR="009C1C5A" w:rsidRPr="00896D4F" w:rsidRDefault="009C1C5A">
      <w:pPr>
        <w:pStyle w:val="Citatindrag"/>
      </w:pPr>
      <w:r w:rsidRPr="00896D4F">
        <w:t>Den som fått ersättning kan vara den ersättningsberättigade själv. Det kan också vara annan enskild eller juridisk person eller en kommun som försä</w:t>
      </w:r>
      <w:r w:rsidRPr="00896D4F">
        <w:t>k</w:t>
      </w:r>
      <w:r w:rsidRPr="00896D4F">
        <w:t>ringskassan på begäran av den ersättningsberättigade betalar ut assistanse</w:t>
      </w:r>
      <w:r w:rsidRPr="00896D4F">
        <w:t>r</w:t>
      </w:r>
      <w:r w:rsidRPr="00896D4F">
        <w:t>sättning till. Se 11 § förordning (1993:1091) om assistansersättning och Rik</w:t>
      </w:r>
      <w:r w:rsidRPr="00896D4F">
        <w:t>s</w:t>
      </w:r>
      <w:r w:rsidRPr="00896D4F">
        <w:t>försäkringsverkets allmänna råd 1998:6, assistansersät</w:t>
      </w:r>
      <w:r w:rsidRPr="00896D4F">
        <w:t>t</w:t>
      </w:r>
      <w:r w:rsidRPr="00896D4F">
        <w:t>ning, s. 71.</w:t>
      </w:r>
    </w:p>
    <w:p w:rsidR="009C1C5A" w:rsidRPr="00896D4F" w:rsidRDefault="009C1C5A">
      <w:pPr>
        <w:pStyle w:val="Citatindrag"/>
      </w:pPr>
      <w:r w:rsidRPr="00896D4F">
        <w:t>Z.L. har beviljats assistansersättning. Eftersom han är omyndig är det hans moder, såsom vårdnadshavare, som är att anse som part. Assistansen till Z.L. anordnas i kommunens regi. Ersättningen betalas ut till kommunen.</w:t>
      </w:r>
    </w:p>
    <w:p w:rsidR="009C1C5A" w:rsidRPr="00896D4F" w:rsidRDefault="009C1C5A">
      <w:pPr>
        <w:pStyle w:val="Citatindrag"/>
      </w:pPr>
      <w:r w:rsidRPr="00896D4F">
        <w:t>Z.L. är den ersättningsberättigade personen. I och med detta anser försä</w:t>
      </w:r>
      <w:r w:rsidRPr="00896D4F">
        <w:t>k</w:t>
      </w:r>
      <w:r w:rsidRPr="00896D4F">
        <w:t>ringskassan också att det formellt är L.L., såsom vårdnadshavare för Z.L., som kravet på återbetalning skall riktas mot. Det förhållandet att den faktiska ersättningen betalats ut till kommunen förändrar inte, enligt försäkringska</w:t>
      </w:r>
      <w:r w:rsidRPr="00896D4F">
        <w:t>s</w:t>
      </w:r>
      <w:r w:rsidRPr="00896D4F">
        <w:t>sans uppfattning, att det är den ersättningsberättigade som kravet skall riktas mot.</w:t>
      </w:r>
    </w:p>
    <w:p w:rsidR="009C1C5A" w:rsidRPr="00896D4F" w:rsidRDefault="009C1C5A">
      <w:pPr>
        <w:pStyle w:val="Citatindrag"/>
      </w:pPr>
      <w:r w:rsidRPr="00896D4F">
        <w:t>Vad försäkringskassan erfar finns varken i förarbeten eller i praxis något klart uttalande i frågan.</w:t>
      </w:r>
    </w:p>
    <w:p w:rsidR="009C1C5A" w:rsidRPr="00896D4F" w:rsidRDefault="009C1C5A">
      <w:r w:rsidRPr="00896D4F">
        <w:t>Ärendet remitterades därefter till Riksförsäkringsverket för yttrande över vem som verket ansåg vara part i ärendet om återbetalning av assistansersättning och mot vem beslutet om återbetalning av assistansersättning skall riktas i de fall assistansersättningen utbetalas till annan än den ersättningsberättigade. Riksförsäkringsverket anförde i remissvaret följande.</w:t>
      </w:r>
    </w:p>
    <w:p w:rsidR="009C1C5A" w:rsidRPr="00896D4F" w:rsidRDefault="009C1C5A">
      <w:pPr>
        <w:pStyle w:val="Rubrik4"/>
      </w:pPr>
      <w:r w:rsidRPr="00896D4F">
        <w:t>Riksförsäkringsverkets bedömning</w:t>
      </w:r>
    </w:p>
    <w:p w:rsidR="009C1C5A" w:rsidRPr="00896D4F" w:rsidRDefault="009C1C5A">
      <w:pPr>
        <w:pStyle w:val="Citat"/>
      </w:pPr>
      <w:r w:rsidRPr="00896D4F">
        <w:t>Riksförsäkringsverket konstaterar att det kan bli fråga om återbetalning i två fall, dels då den assistansberättigade inte utnyttjat alla de beviljade assistan</w:t>
      </w:r>
      <w:r w:rsidRPr="00896D4F">
        <w:t>s</w:t>
      </w:r>
      <w:r w:rsidRPr="00896D4F">
        <w:t>timmarna, dels i övriga fall då 16 § LASS blir aktuell. I det första fallet ska försäkringskassan utan någon prövning besluta om kvittning. I det andra fallet måste försäkringskassan först pröva om förutsättningarna för återbetalning är uppfyllda enligt 16 § första stycket.</w:t>
      </w:r>
    </w:p>
    <w:p w:rsidR="009C1C5A" w:rsidRPr="00896D4F" w:rsidRDefault="009C1C5A">
      <w:pPr>
        <w:pStyle w:val="Citatindrag"/>
      </w:pPr>
      <w:r w:rsidRPr="00896D4F">
        <w:t>Riksförsäkringsverket anser att försäkringskassan i detta fall ska pröva om förutsättningar föreligger för återbetalningsskyldighet enligt 16 § LASS.</w:t>
      </w:r>
    </w:p>
    <w:p w:rsidR="009C1C5A" w:rsidRPr="00896D4F" w:rsidRDefault="009C1C5A">
      <w:pPr>
        <w:pStyle w:val="Citatindrag"/>
      </w:pPr>
      <w:r w:rsidRPr="00896D4F">
        <w:t>Efter lagändringen den 1 februari 1995 betalar försäkringskassan ofta ut assistansersättning direkt till en kommun eller ett kooperativ. Den assistan</w:t>
      </w:r>
      <w:r w:rsidRPr="00896D4F">
        <w:t>s</w:t>
      </w:r>
      <w:r w:rsidRPr="00896D4F">
        <w:t>berättigade tar aldrig emot någon assistansersättning från försäkringskassan. Den som är anställd redovisar de timmar han/hon arbetat och uppbär lön för sitt arbete.</w:t>
      </w:r>
    </w:p>
    <w:p w:rsidR="009C1C5A" w:rsidRPr="00896D4F" w:rsidRDefault="009C1C5A">
      <w:pPr>
        <w:pStyle w:val="Citatindrag"/>
      </w:pPr>
      <w:r w:rsidRPr="00896D4F">
        <w:t>Enligt Riksförsäkringsverkets uppfattning är det svårt att ur lagen utläsa om det är den assistansberättigade eller kommunen som återbetalningskravet ska ställas till. Det torde kunna inträffa fall då den assistansberättigade har lämnat felaktiga uppgifter osv. och som därför fått för mycket assistansersät</w:t>
      </w:r>
      <w:r w:rsidRPr="00896D4F">
        <w:t>t</w:t>
      </w:r>
      <w:r w:rsidRPr="00896D4F">
        <w:t>ning och därför borde betala tillbaka ersättningen.</w:t>
      </w:r>
    </w:p>
    <w:p w:rsidR="009C1C5A" w:rsidRPr="00896D4F" w:rsidRDefault="009C1C5A">
      <w:pPr>
        <w:pStyle w:val="Citatindrag"/>
      </w:pPr>
      <w:r w:rsidRPr="00896D4F">
        <w:t>Riksförsäkringsverket anser att i ett fall som det förevarande kommunen får anses ha erhållit ersättningen enligt 16 § LASS och att beslutet om åte</w:t>
      </w:r>
      <w:r w:rsidRPr="00896D4F">
        <w:t>r</w:t>
      </w:r>
      <w:r w:rsidRPr="00896D4F">
        <w:t>betalning därför bör ställas till kommunen. Givetvis måste övriga villkor som anges i lagrummet vara uppfyllda för att försäkringskassan ska äga rätt att återkräva beloppet.</w:t>
      </w:r>
    </w:p>
    <w:p w:rsidR="009C1C5A" w:rsidRPr="00896D4F" w:rsidRDefault="009C1C5A">
      <w:r w:rsidRPr="00896D4F">
        <w:t>L.L. kommenterade remissvaret.</w:t>
      </w:r>
    </w:p>
    <w:p w:rsidR="009C1C5A" w:rsidRPr="00896D4F" w:rsidRDefault="009C1C5A">
      <w:pPr>
        <w:pStyle w:val="Rubrik3"/>
      </w:pPr>
      <w:r w:rsidRPr="00896D4F">
        <w:t>Rättslig reglering</w:t>
      </w:r>
    </w:p>
    <w:p w:rsidR="009C1C5A" w:rsidRPr="00896D4F" w:rsidRDefault="009C1C5A">
      <w:r w:rsidRPr="00896D4F">
        <w:t>I 10 § lagen (1993:389) om assistansersättning (LASS) anges att assistanse</w:t>
      </w:r>
      <w:r w:rsidRPr="00896D4F">
        <w:t>r</w:t>
      </w:r>
      <w:r w:rsidRPr="00896D4F">
        <w:t>sättningen utbetalas månadsvis med visst belopp för det antal beviljade ass</w:t>
      </w:r>
      <w:r w:rsidRPr="00896D4F">
        <w:t>i</w:t>
      </w:r>
      <w:r w:rsidRPr="00896D4F">
        <w:t>stanstimmar som assistans lämnats. I 11 § LASS anges att om den ersät</w:t>
      </w:r>
      <w:r w:rsidRPr="00896D4F">
        <w:t>t</w:t>
      </w:r>
      <w:r w:rsidRPr="00896D4F">
        <w:t>ningsberättigade genom kommunen fått biträde av personlig assistent får försäkringskassan besluta att assistansersättningen skall betalas ut till ko</w:t>
      </w:r>
      <w:r w:rsidRPr="00896D4F">
        <w:t>m</w:t>
      </w:r>
      <w:r w:rsidRPr="00896D4F">
        <w:t>munen i den utsträckning den motsvarar kommunens avgift för assistansen. Ytterligare bestämmelser finns i 11 § förordningen (1993:1091) om assistan</w:t>
      </w:r>
      <w:r w:rsidRPr="00896D4F">
        <w:t>s</w:t>
      </w:r>
      <w:r w:rsidRPr="00896D4F">
        <w:t xml:space="preserve">ersättning som anger att utöver vad som följer av 11 och 12 §§ LASS </w:t>
      </w:r>
      <w:r w:rsidRPr="00896D4F">
        <w:t>får försäkringskassan på begäran av den ersättningsberättigade besluta att ass</w:t>
      </w:r>
      <w:r w:rsidRPr="00896D4F">
        <w:t>i</w:t>
      </w:r>
      <w:r w:rsidRPr="00896D4F">
        <w:t>stansersättningen skall betalas ut till någon annan enskild person, en juridisk person eller en kommun.</w:t>
      </w:r>
    </w:p>
    <w:p w:rsidR="009C1C5A" w:rsidRPr="00896D4F" w:rsidRDefault="009C1C5A">
      <w:pPr>
        <w:pStyle w:val="Normaltindrag"/>
      </w:pPr>
      <w:r w:rsidRPr="00896D4F">
        <w:t>I 16 § LASS anges att försäkringskassan skall besluta om återbetalning av assistansersättning, om den som erhållit ersättning eller hans ställföreträdare genom att lämna oriktiga uppgifter eller genom att underlåta att fullgöra en uppgifts- eller anmälningsskyldighet eller på annat sätt har förorsakat att ersättning har lämnats</w:t>
      </w:r>
      <w:r w:rsidRPr="00896D4F">
        <w:t xml:space="preserve"> felaktigt eller med för högt belopp. Detsamma gäller om ersättning i annat fall har lämnats felaktigt eller med för högt belopp och den som erhållit ersättning eller hans ställföreträdare skäligen borde ha insett detta. Om det finns särskilda skäl får försäkringskassan efterge kravet på återbetalning helt eller delvis. Vid en senare utbetalning till någon som skall betala tillbaka ersättning får försäkringskassan hålla inne ett skäligt belopp i avräkning på vad som har lämnats för mycket.</w:t>
      </w:r>
    </w:p>
    <w:p w:rsidR="009C1C5A" w:rsidRPr="00896D4F" w:rsidRDefault="009C1C5A">
      <w:pPr>
        <w:pStyle w:val="Normaltindrag"/>
      </w:pPr>
      <w:r w:rsidRPr="00896D4F">
        <w:t>I Riksförsäkrings</w:t>
      </w:r>
      <w:r w:rsidRPr="00896D4F">
        <w:t>verkets allmänna råd (1998:6) om assistansersättning a</w:t>
      </w:r>
      <w:r w:rsidRPr="00896D4F">
        <w:t>n</w:t>
      </w:r>
      <w:r w:rsidRPr="00896D4F">
        <w:t>ges att försäkringskassans beslut om återbetalning av assistansersättningen avser den som fått ersättningen och att detta i vissa fall t.ex. kan vara en kommun som försäkringskassan på begäran av den ersättningsberättigade betalat ut assistansersättningen till.</w:t>
      </w:r>
    </w:p>
    <w:p w:rsidR="009C1C5A" w:rsidRPr="00896D4F" w:rsidRDefault="009C1C5A">
      <w:pPr>
        <w:pStyle w:val="Rubrik3"/>
      </w:pPr>
      <w:r w:rsidRPr="00896D4F">
        <w:t>Bedömning</w:t>
      </w:r>
    </w:p>
    <w:p w:rsidR="009C1C5A" w:rsidRPr="00896D4F" w:rsidRDefault="009C1C5A">
      <w:r w:rsidRPr="00896D4F">
        <w:t>Den fråga som har aktualiserats i detta ärende är mot vem återkrav av ass</w:t>
      </w:r>
      <w:r w:rsidRPr="00896D4F">
        <w:t>i</w:t>
      </w:r>
      <w:r w:rsidRPr="00896D4F">
        <w:t>stansersättning skall riktas när assistansersättningen utbetalats till annan än den som enligt beslut av försäkringskassan är berättigad till assistansen.</w:t>
      </w:r>
    </w:p>
    <w:p w:rsidR="009C1C5A" w:rsidRPr="00896D4F" w:rsidRDefault="009C1C5A">
      <w:pPr>
        <w:pStyle w:val="Normaltindrag"/>
      </w:pPr>
      <w:r w:rsidRPr="00896D4F">
        <w:t>Z.L. hade av försäkringskassan beviljats assistansersättning. Ersättningen betalades emellertid ut till Gotlands kommun som i sin tur avlönade Z:s mor, L.L., som Z:s personliga assistent. Någon assistansersättning hade således aldrig utbetalats till Z. Trots detta riktade försäkringskassan beslutet om åte</w:t>
      </w:r>
      <w:r w:rsidRPr="00896D4F">
        <w:t>r</w:t>
      </w:r>
      <w:r w:rsidRPr="00896D4F">
        <w:t>krav till honom i egenskap av part i ärendet, dvs. den som var berättigad till assistansersättningen. I beslutet anges inte varför betalningsskyldighet enligt 16 § LASS uppkommit och inte heller varför kravet riktats mot Z.L.</w:t>
      </w:r>
    </w:p>
    <w:p w:rsidR="009C1C5A" w:rsidRPr="00896D4F" w:rsidRDefault="009C1C5A">
      <w:pPr>
        <w:pStyle w:val="Normaltindrag"/>
      </w:pPr>
      <w:r w:rsidRPr="00896D4F">
        <w:t>Varken lagen om assistansersättning eller förarbetena till lagstiftningen ger någon konkret anvisning om mot vem återkravet skall riktas i ett fall som detta. I 16 § LASS anges att den som erhållit ersättningen under vissa föru</w:t>
      </w:r>
      <w:r w:rsidRPr="00896D4F">
        <w:t>t</w:t>
      </w:r>
      <w:r w:rsidRPr="00896D4F">
        <w:t>sättningar kan bli återbetalningsskyldig om assistansersättning har lämnats med felaktigt eller med för högt belopp. Begreppet den som erhållit ersät</w:t>
      </w:r>
      <w:r w:rsidRPr="00896D4F">
        <w:t>t</w:t>
      </w:r>
      <w:r w:rsidRPr="00896D4F">
        <w:t>ningen skulle kunna tyda på att lagstiftaren avsett den som faktiskt fått ersät</w:t>
      </w:r>
      <w:r w:rsidRPr="00896D4F">
        <w:t>t</w:t>
      </w:r>
      <w:r w:rsidRPr="00896D4F">
        <w:t>ningen utbetald till sig, dvs. i detta fall Gotlands kommun, och inte den som enligt beslut av försäkringskassan är berättigad till ersättningen. Som Riksfö</w:t>
      </w:r>
      <w:r w:rsidRPr="00896D4F">
        <w:t>r</w:t>
      </w:r>
      <w:r w:rsidRPr="00896D4F">
        <w:t>säkringsverket har anfört är det dock svårt att direkt ur lagen utläsa vilken som avses. Gotlands läns allmänna försäkringsk</w:t>
      </w:r>
      <w:r w:rsidRPr="00896D4F">
        <w:t>assas beslut att rikta återkr</w:t>
      </w:r>
      <w:r w:rsidRPr="00896D4F">
        <w:t>a</w:t>
      </w:r>
      <w:r w:rsidRPr="00896D4F">
        <w:t>vet mot den assistansersättningsberättigade visar också på otydligheten i la</w:t>
      </w:r>
      <w:r w:rsidRPr="00896D4F">
        <w:t>g</w:t>
      </w:r>
      <w:r w:rsidRPr="00896D4F">
        <w:t>stiftningen.</w:t>
      </w:r>
    </w:p>
    <w:p w:rsidR="009C1C5A" w:rsidRPr="00896D4F" w:rsidRDefault="009C1C5A">
      <w:pPr>
        <w:pStyle w:val="Normaltindrag"/>
      </w:pPr>
      <w:r w:rsidRPr="00896D4F">
        <w:t>Denna oklarhet får också till följd att det kan ifrågasättas vilken grund fö</w:t>
      </w:r>
      <w:r w:rsidRPr="00896D4F">
        <w:t>r</w:t>
      </w:r>
      <w:r w:rsidRPr="00896D4F">
        <w:t>säkringskassan i detta fall har haft för att avräkna löpande assistansersättning som utbetalas till Gotlands kommun mot den uppkomna skulden. I 16 § LASS anges att vid en senare utbetalning till någon som skall betala tillbaka ersättningen får försäkringskassan hålla inne ett skäligt belopp i avräkning på vad som har lämnats för mycket. Avräkningen bygger således på att det finns ett beslut som visar vem som är återbetalningsskyldig och att det är vid utb</w:t>
      </w:r>
      <w:r w:rsidRPr="00896D4F">
        <w:t>e</w:t>
      </w:r>
      <w:r w:rsidRPr="00896D4F">
        <w:t>talning till denne som avräkning kan ske. I detta f</w:t>
      </w:r>
      <w:r w:rsidRPr="00896D4F">
        <w:t>all har försäkringskassan beslutat att Z.L. är återbetalningsskyldig men avräkning av återkravsbeloppet har skett mot utbetalningen till kommunen, trots att något beslut att komm</w:t>
      </w:r>
      <w:r w:rsidRPr="00896D4F">
        <w:t>u</w:t>
      </w:r>
      <w:r w:rsidRPr="00896D4F">
        <w:t>nen är återbetalningsskyldig inte föreligger.</w:t>
      </w:r>
    </w:p>
    <w:p w:rsidR="009C1C5A" w:rsidRPr="00896D4F" w:rsidRDefault="009C1C5A">
      <w:pPr>
        <w:pStyle w:val="Normaltindrag"/>
      </w:pPr>
      <w:r w:rsidRPr="00896D4F">
        <w:t>Jag vill i sammanhanget också peka på en ytterligare aspekt av frågan om till vem beslutet om återkrav riktas. För det fall någon återbetalning av åter</w:t>
      </w:r>
      <w:r w:rsidRPr="00896D4F">
        <w:softHyphen/>
        <w:t>kravsbeloppet inte sker, kan försäkringskassan besluta att skicka ett inkass</w:t>
      </w:r>
      <w:r w:rsidRPr="00896D4F">
        <w:t>o</w:t>
      </w:r>
      <w:r w:rsidRPr="00896D4F">
        <w:t>krav (betalningsanmaning) till den som enligt kassans beslut är återbeta</w:t>
      </w:r>
      <w:r w:rsidRPr="00896D4F">
        <w:t>l</w:t>
      </w:r>
      <w:r w:rsidRPr="00896D4F">
        <w:t>ningsskyldig. Om skulden inte betalas har försäkringskassan möjlighet att ansöka om betalningsföreläggande hos kronofogdemyndigheten eller väcka talan i domstol. När exekutionstitel utfärdats kan den läggas till grund för utmätning genom kronofogdemyndighetens försorg.</w:t>
      </w:r>
    </w:p>
    <w:p w:rsidR="009C1C5A" w:rsidRPr="00896D4F" w:rsidRDefault="009C1C5A">
      <w:pPr>
        <w:pStyle w:val="Normaltindrag"/>
      </w:pPr>
      <w:r w:rsidRPr="00896D4F">
        <w:t>Jag har ovan pekat på den oklarhet som enligt min uppfattning råder b</w:t>
      </w:r>
      <w:r w:rsidRPr="00896D4F">
        <w:t>e</w:t>
      </w:r>
      <w:r w:rsidRPr="00896D4F">
        <w:t>träffande återkrav av assistansersättning i LASS när annan än den assistansb</w:t>
      </w:r>
      <w:r w:rsidRPr="00896D4F">
        <w:t>e</w:t>
      </w:r>
      <w:r w:rsidRPr="00896D4F">
        <w:t>rättigade uppburit ersättningen. Jag får härmed, efter samråd med chefsjust</w:t>
      </w:r>
      <w:r w:rsidRPr="00896D4F">
        <w:t>i</w:t>
      </w:r>
      <w:r w:rsidRPr="00896D4F">
        <w:t>tieombudsmannen Claes Eklundh, enligt 4 § lagen (1986:765) med instru</w:t>
      </w:r>
      <w:r w:rsidRPr="00896D4F">
        <w:t>k</w:t>
      </w:r>
      <w:r w:rsidRPr="00896D4F">
        <w:t>tion för riksdagens ombudsmän väcka fråga om sådan författningsändring som kan undanröja de oklarheter som ovan berörts. Jag överlämnar därför en kopia av detta beslut till Regeringskansliet (Socialdepartementet). Jag öve</w:t>
      </w:r>
      <w:r w:rsidRPr="00896D4F">
        <w:t>r</w:t>
      </w:r>
      <w:r w:rsidRPr="00896D4F">
        <w:t xml:space="preserve">lämnar också en kopia av beslutet till socialförsäkringsutskottet </w:t>
      </w:r>
      <w:r w:rsidRPr="00896D4F">
        <w:t>för känn</w:t>
      </w:r>
      <w:r w:rsidRPr="00896D4F">
        <w:t>e</w:t>
      </w:r>
      <w:r w:rsidRPr="00896D4F">
        <w:t>dom.</w:t>
      </w:r>
    </w:p>
    <w:p w:rsidR="009C1C5A" w:rsidRPr="00896D4F" w:rsidRDefault="009C1C5A">
      <w:pPr>
        <w:pStyle w:val="Normaltindrag"/>
      </w:pPr>
      <w:r w:rsidRPr="00896D4F">
        <w:t>Försäkringskassans handläggning av ärendet förtjänar kritik såväl för den bristande kommuniceringen innan återkravsbeslutet fattades som för den bristande motiveringen av beslutet.</w:t>
      </w:r>
    </w:p>
    <w:p w:rsidR="009C1C5A" w:rsidRPr="00896D4F" w:rsidRDefault="009C1C5A">
      <w:pPr>
        <w:pStyle w:val="Normaltindrag"/>
      </w:pPr>
      <w:r w:rsidRPr="00896D4F">
        <w:t>JO är inte behörig att pröva frågor om skadestånd.</w:t>
      </w:r>
    </w:p>
    <w:p w:rsidR="009C1C5A" w:rsidRPr="00896D4F" w:rsidRDefault="009C1C5A">
      <w:r w:rsidRPr="00896D4F">
        <w:t>Ärendet avslutas.</w:t>
      </w:r>
    </w:p>
    <w:p w:rsidR="009C1C5A" w:rsidRPr="00896D4F" w:rsidRDefault="009C1C5A"/>
    <w:p w:rsidR="009C1C5A" w:rsidRPr="00896D4F" w:rsidRDefault="009C1C5A">
      <w:pPr>
        <w:pStyle w:val="Normaltindrag"/>
      </w:pPr>
    </w:p>
    <w:p w:rsidR="009C1C5A" w:rsidRPr="00896D4F" w:rsidRDefault="009C1C5A"/>
    <w:p w:rsidR="009C1C5A" w:rsidRPr="00896D4F" w:rsidRDefault="009C1C5A"/>
    <w:p w:rsidR="009C1C5A" w:rsidRPr="00896D4F" w:rsidRDefault="009C1C5A">
      <w:pPr>
        <w:pStyle w:val="Normaltindrag"/>
      </w:pPr>
    </w:p>
    <w:p w:rsidR="009C1C5A" w:rsidRPr="00896D4F" w:rsidRDefault="009C1C5A"/>
    <w:p w:rsidR="009C1C5A" w:rsidRPr="00896D4F" w:rsidRDefault="009C1C5A"/>
    <w:p w:rsidR="009C1C5A" w:rsidRPr="00896D4F" w:rsidRDefault="009C1C5A"/>
    <w:p w:rsidR="009C1C5A" w:rsidRPr="00896D4F" w:rsidRDefault="009C1C5A">
      <w:pPr>
        <w:pStyle w:val="Rubrik2"/>
      </w:pPr>
    </w:p>
    <w:p w:rsidR="009C1C5A" w:rsidRPr="00896D4F" w:rsidRDefault="009C1C5A">
      <w:pPr>
        <w:pStyle w:val="Normaltindrag"/>
      </w:pPr>
    </w:p>
    <w:p w:rsidR="009C1C5A" w:rsidRPr="00896D4F" w:rsidRDefault="009C1C5A">
      <w:pPr>
        <w:pStyle w:val="Normaltindrag"/>
      </w:pPr>
    </w:p>
    <w:p w:rsidR="009C1C5A" w:rsidRPr="00896D4F" w:rsidRDefault="009C1C5A">
      <w:pPr>
        <w:pStyle w:val="Rubrik1"/>
      </w:pPr>
      <w:r w:rsidRPr="00896D4F">
        <w:br w:type="page"/>
        <w:t>Miljö- och hälsoskydd samt djurskydd</w:t>
      </w:r>
    </w:p>
    <w:p w:rsidR="009C1C5A" w:rsidRPr="00896D4F" w:rsidRDefault="009C1C5A">
      <w:pPr>
        <w:pStyle w:val="Rubrik2"/>
        <w:spacing w:before="120"/>
      </w:pPr>
      <w:r w:rsidRPr="00896D4F">
        <w:t>Statens jordbruksverks handläggning av ett ärende rörande destruktion av nötkreatur; bl.a. tillämpning av EG-förordningar</w:t>
      </w:r>
    </w:p>
    <w:p w:rsidR="009C1C5A" w:rsidRPr="00896D4F" w:rsidRDefault="009C1C5A">
      <w:pPr>
        <w:spacing w:before="0"/>
      </w:pPr>
      <w:r w:rsidRPr="00896D4F">
        <w:t>(Dnr 3743-1999)</w:t>
      </w:r>
    </w:p>
    <w:p w:rsidR="009C1C5A" w:rsidRPr="00896D4F" w:rsidRDefault="009C1C5A">
      <w:pPr>
        <w:pStyle w:val="Rubrik3"/>
      </w:pPr>
      <w:r w:rsidRPr="00896D4F">
        <w:t xml:space="preserve">Anmälan </w:t>
      </w:r>
    </w:p>
    <w:p w:rsidR="009C1C5A" w:rsidRPr="00896D4F" w:rsidRDefault="009C1C5A">
      <w:r w:rsidRPr="00896D4F">
        <w:t>I en anmälan begärde S-I.S. att JO skulle granska Statens jordbruksverks handläggning och beslut i ett ärende rörande destruktion av nötkreatur. A</w:t>
      </w:r>
      <w:r w:rsidRPr="00896D4F">
        <w:t>n</w:t>
      </w:r>
      <w:r w:rsidRPr="00896D4F">
        <w:t>mälan baserades på uppgifter ur en tidningsartikel i Norrköpings Tidningar den 9 oktober 1999 om att sex nötkreatur på en gård utanför Ljungskile skj</w:t>
      </w:r>
      <w:r w:rsidRPr="00896D4F">
        <w:t>u</w:t>
      </w:r>
      <w:r w:rsidRPr="00896D4F">
        <w:t xml:space="preserve">tits ihjäl efter beslut från Jordbruksverket därför att ”korna saknade EU:s gula registreringsplattor i öronen”. Tidningsartikeln var fogad till anmälan. </w:t>
      </w:r>
    </w:p>
    <w:p w:rsidR="009C1C5A" w:rsidRPr="00896D4F" w:rsidRDefault="009C1C5A">
      <w:pPr>
        <w:pStyle w:val="Rubrik3"/>
      </w:pPr>
      <w:r w:rsidRPr="00896D4F">
        <w:t xml:space="preserve">Utredning </w:t>
      </w:r>
    </w:p>
    <w:p w:rsidR="009C1C5A" w:rsidRPr="00896D4F" w:rsidRDefault="009C1C5A">
      <w:r w:rsidRPr="00896D4F">
        <w:t xml:space="preserve">Statens jordbruksverks akt lånades in och granskades. </w:t>
      </w:r>
    </w:p>
    <w:p w:rsidR="009C1C5A" w:rsidRPr="00896D4F" w:rsidRDefault="009C1C5A">
      <w:r w:rsidRPr="00896D4F">
        <w:t>I en promemoria som upprättades hos JO den 20 oktober 1999 anfördes fö</w:t>
      </w:r>
      <w:r w:rsidRPr="00896D4F">
        <w:t>l</w:t>
      </w:r>
      <w:r w:rsidRPr="00896D4F">
        <w:t>jande.</w:t>
      </w:r>
    </w:p>
    <w:p w:rsidR="009C1C5A" w:rsidRPr="00896D4F" w:rsidRDefault="009C1C5A">
      <w:pPr>
        <w:pStyle w:val="Citat"/>
      </w:pPr>
      <w:r w:rsidRPr="00896D4F">
        <w:t>Den 17 september 1999 beslöt Statens jordbruksverk med stöd av artikel 1.1 i kommissionens förordning (EG) nr 494/98 av den 27 februari 1998 att fö</w:t>
      </w:r>
      <w:r w:rsidRPr="00896D4F">
        <w:t>r</w:t>
      </w:r>
      <w:r w:rsidRPr="00896D4F">
        <w:t>bjuda P.S. att förflytta sina djur till eller från sin anläggning med visst angivet produktionsplatsnummer. P.S. förelades samtidigt att senast inom två arbet</w:t>
      </w:r>
      <w:r w:rsidRPr="00896D4F">
        <w:t>s</w:t>
      </w:r>
      <w:r w:rsidRPr="00896D4F">
        <w:t>dagar från det han fick del av beslutet bevisa identiteten av samtliga djur som a</w:t>
      </w:r>
      <w:r w:rsidRPr="00896D4F">
        <w:t>v</w:t>
      </w:r>
      <w:r w:rsidRPr="00896D4F">
        <w:t xml:space="preserve">sågs i en bifogad kontrollrapport. </w:t>
      </w:r>
    </w:p>
    <w:p w:rsidR="009C1C5A" w:rsidRPr="00896D4F" w:rsidRDefault="009C1C5A">
      <w:pPr>
        <w:pStyle w:val="Citatindrag"/>
      </w:pPr>
      <w:r w:rsidRPr="00896D4F">
        <w:t>Den 4 oktober 1999 beslöt Jordbruksverket med stöd av artikel 1.2 i sa</w:t>
      </w:r>
      <w:r w:rsidRPr="00896D4F">
        <w:t>m</w:t>
      </w:r>
      <w:r w:rsidRPr="00896D4F">
        <w:t>ma förordning att sex nötkreatur tillhöriga P.S. skulle destrueras, eftersom han inte hade kunnat bevisa identiteten på djuren.</w:t>
      </w:r>
    </w:p>
    <w:p w:rsidR="009C1C5A" w:rsidRPr="00896D4F" w:rsidRDefault="009C1C5A">
      <w:pPr>
        <w:pStyle w:val="Citatindrag"/>
      </w:pPr>
      <w:r w:rsidRPr="00896D4F">
        <w:t>Avlivningen av nötkreaturen ägde – enligt en rapport av distriktsveterin</w:t>
      </w:r>
      <w:r w:rsidRPr="00896D4F">
        <w:t>ä</w:t>
      </w:r>
      <w:r w:rsidRPr="00896D4F">
        <w:t>ren Nils Vallentin som på Jordbruksverkets uppdrag övervakade saken – rum på förmiddagen den 6 oktober 1999.</w:t>
      </w:r>
    </w:p>
    <w:p w:rsidR="009C1C5A" w:rsidRPr="00896D4F" w:rsidRDefault="009C1C5A">
      <w:pPr>
        <w:pStyle w:val="Citatindrag"/>
      </w:pPr>
      <w:r w:rsidRPr="00896D4F">
        <w:t>Händelsen väckte stor uppmärksamhet i nyhetsbevakningen och har till dags dato resulterat i femton anmälningar till JO som samtliga grundar sig på uppgifter i massmedierna.</w:t>
      </w:r>
    </w:p>
    <w:p w:rsidR="009C1C5A" w:rsidRPr="00896D4F" w:rsidRDefault="009C1C5A">
      <w:pPr>
        <w:pStyle w:val="Citatindrag"/>
      </w:pPr>
      <w:r w:rsidRPr="00896D4F">
        <w:t>JO har med anledning av anmälningarna lånat in Jordbruksverkets akt i ärendet.</w:t>
      </w:r>
    </w:p>
    <w:p w:rsidR="009C1C5A" w:rsidRPr="00896D4F" w:rsidRDefault="009C1C5A">
      <w:pPr>
        <w:pStyle w:val="Citatindrag"/>
      </w:pPr>
      <w:r w:rsidRPr="00896D4F">
        <w:t>Av akten framgår utöver vad redan angivits att beslutet den 17 september 1999 med föreläggande för P.S. att bevisa identiteten av djuren delgavs h</w:t>
      </w:r>
      <w:r w:rsidRPr="00896D4F">
        <w:t>o</w:t>
      </w:r>
      <w:r w:rsidRPr="00896D4F">
        <w:t>nom den 21 september 1999. Beslutet kunde enligt meddelad fullföljdshä</w:t>
      </w:r>
      <w:r w:rsidRPr="00896D4F">
        <w:t>n</w:t>
      </w:r>
      <w:r w:rsidRPr="00896D4F">
        <w:t>visning överklagas hos länsrätten inom tre veckor från den dag då P.S. fick del av beslutet. Fullföljdstiden gick således ut den 12 oktober 1999.</w:t>
      </w:r>
    </w:p>
    <w:p w:rsidR="009C1C5A" w:rsidRPr="00896D4F" w:rsidRDefault="009C1C5A">
      <w:pPr>
        <w:pStyle w:val="Citatindrag"/>
      </w:pPr>
      <w:r w:rsidRPr="00896D4F">
        <w:t>Jordbruksverkets nästa beslut om destruering av nötkreaturen fattades r</w:t>
      </w:r>
      <w:r w:rsidRPr="00896D4F">
        <w:t>e</w:t>
      </w:r>
      <w:r w:rsidRPr="00896D4F">
        <w:t>dan den 4 oktober. I beslutet angavs att det gällde med omedelbar verkan. Detta beslut skickades till P.S. den 5 oktober. Av akten framgår inte om P.S. fick del av beslutet innan djuren avlivades. Även i detta beslut angavs att det kunde överklagas hos länsrätten inom tre veckor från de</w:t>
      </w:r>
      <w:r w:rsidRPr="00896D4F">
        <w:t>l</w:t>
      </w:r>
      <w:r w:rsidRPr="00896D4F">
        <w:t>givningen.</w:t>
      </w:r>
    </w:p>
    <w:p w:rsidR="009C1C5A" w:rsidRPr="00896D4F" w:rsidRDefault="009C1C5A">
      <w:pPr>
        <w:pStyle w:val="Citat"/>
      </w:pPr>
      <w:r w:rsidRPr="00896D4F">
        <w:t>––––</w:t>
      </w:r>
    </w:p>
    <w:p w:rsidR="009C1C5A" w:rsidRPr="00896D4F" w:rsidRDefault="009C1C5A">
      <w:pPr>
        <w:pStyle w:val="Citat"/>
      </w:pPr>
      <w:r w:rsidRPr="00896D4F">
        <w:t>I anledning av det nu redovisade bör yttrande inhämtas från Jordbruksverket. Yttrandet skall särskilt avse de omständigheterna att destrueringsbeslutet den 4 oktober fattades innan föreläggandebeslutet den 17 september vunnit laga kraft och att destrueringsbeslutet verkställdes innan P.S. – som det synes – fått rimlig möjlighet att utnyttja sin rätt att öve</w:t>
      </w:r>
      <w:r w:rsidRPr="00896D4F">
        <w:t>r</w:t>
      </w:r>
      <w:r w:rsidRPr="00896D4F">
        <w:t>klaga det.</w:t>
      </w:r>
    </w:p>
    <w:p w:rsidR="009C1C5A" w:rsidRPr="00896D4F" w:rsidRDefault="009C1C5A">
      <w:pPr>
        <w:pStyle w:val="Citatindrag"/>
      </w:pPr>
      <w:r w:rsidRPr="00896D4F">
        <w:t>Jordbruksverket bör också yttra sig i frågan om verket övervägt andra a</w:t>
      </w:r>
      <w:r w:rsidRPr="00896D4F">
        <w:t>l</w:t>
      </w:r>
      <w:r w:rsidRPr="00896D4F">
        <w:t xml:space="preserve">ternativ för att komma till rätta med problemet med utebliven identifiering av djuren. </w:t>
      </w:r>
    </w:p>
    <w:p w:rsidR="009C1C5A" w:rsidRPr="00896D4F" w:rsidRDefault="009C1C5A">
      <w:r w:rsidRPr="00896D4F">
        <w:t>Ärendet remitterades till Jordbruksverket för yttrande enligt promemorian. Jordbruksverket anförde i sitt remissvar, som beslutats av generaldirektören Ingbritt Irhammar den 1 december 1999, följande (b</w:t>
      </w:r>
      <w:r w:rsidRPr="00896D4F">
        <w:t>i</w:t>
      </w:r>
      <w:r w:rsidRPr="00896D4F">
        <w:t>lagorna här uteslutna).</w:t>
      </w:r>
    </w:p>
    <w:p w:rsidR="009C1C5A" w:rsidRPr="00896D4F" w:rsidRDefault="009C1C5A">
      <w:pPr>
        <w:pStyle w:val="Citat"/>
        <w:rPr>
          <w:i/>
        </w:rPr>
      </w:pPr>
      <w:r w:rsidRPr="00896D4F">
        <w:rPr>
          <w:i/>
        </w:rPr>
        <w:t xml:space="preserve">Ärendets gång och den rättsliga grunden </w:t>
      </w:r>
    </w:p>
    <w:p w:rsidR="009C1C5A" w:rsidRPr="00896D4F" w:rsidRDefault="009C1C5A">
      <w:pPr>
        <w:pStyle w:val="Citat"/>
      </w:pPr>
      <w:r w:rsidRPr="00896D4F">
        <w:t>Enligt 24 och 26 §§ förordningen (1994:1715) om EG:s förordningar om jordbruksprodukter fattar Jordbruksverket beslut i den tillsyns- och kontrol</w:t>
      </w:r>
      <w:r w:rsidRPr="00896D4F">
        <w:t>l</w:t>
      </w:r>
      <w:r w:rsidRPr="00896D4F">
        <w:t>verksamhet som verket bedriver vad avser efterlevnaden av rådets förordning (EG) nr 820/97 av den 21 april 1997 om upprättandet av ett system för ident</w:t>
      </w:r>
      <w:r w:rsidRPr="00896D4F">
        <w:t>i</w:t>
      </w:r>
      <w:r w:rsidRPr="00896D4F">
        <w:t>fiering av nötkreatur och om märkning av nötkött och nötköttsprodukter och kommissionens förordning (EG) nr 494/98 av den 27 februari 1998 om nä</w:t>
      </w:r>
      <w:r w:rsidRPr="00896D4F">
        <w:t>r</w:t>
      </w:r>
      <w:r w:rsidRPr="00896D4F">
        <w:t>mare föreskrifter för genomförandet av rådets förordning (EG) nr 820/97 vad gäller tillämpningen av administrativa minimipåföljder inom ramen för s</w:t>
      </w:r>
      <w:r w:rsidRPr="00896D4F">
        <w:t>y</w:t>
      </w:r>
      <w:r w:rsidRPr="00896D4F">
        <w:t>stemet för identifiering och registr</w:t>
      </w:r>
      <w:r w:rsidRPr="00896D4F">
        <w:t>e</w:t>
      </w:r>
      <w:r w:rsidRPr="00896D4F">
        <w:t>ring av nötkreatur.</w:t>
      </w:r>
    </w:p>
    <w:p w:rsidR="009C1C5A" w:rsidRPr="00896D4F" w:rsidRDefault="009C1C5A">
      <w:pPr>
        <w:pStyle w:val="Citatindrag"/>
      </w:pPr>
      <w:r w:rsidRPr="00896D4F">
        <w:t>Jordbruks</w:t>
      </w:r>
      <w:r w:rsidRPr="00896D4F">
        <w:t>verket har tillämpat följande bestämmelser i ovan nämnda EG-förordningar i det aktuella ärendet.</w:t>
      </w:r>
    </w:p>
    <w:p w:rsidR="009C1C5A" w:rsidRPr="00896D4F" w:rsidRDefault="009C1C5A">
      <w:pPr>
        <w:pStyle w:val="Citatindrag"/>
      </w:pPr>
      <w:r w:rsidRPr="00896D4F">
        <w:t>Av artikel 3 första stycket i rådets förordning (EG) nr 820/97 framgår att systemet för identifiering och registrering av nötkreatur skall omfatta följande delar.</w:t>
      </w:r>
    </w:p>
    <w:p w:rsidR="009C1C5A" w:rsidRPr="00896D4F" w:rsidRDefault="009C1C5A">
      <w:pPr>
        <w:pStyle w:val="PunktlistaBomb"/>
        <w:numPr>
          <w:ilvl w:val="0"/>
          <w:numId w:val="42"/>
        </w:numPr>
        <w:spacing w:before="0" w:line="200" w:lineRule="atLeast"/>
        <w:ind w:left="227" w:hanging="227"/>
      </w:pPr>
      <w:r w:rsidRPr="00896D4F">
        <w:t>Öronmärken för individuell identifiering av djur.</w:t>
      </w:r>
    </w:p>
    <w:p w:rsidR="009C1C5A" w:rsidRPr="00896D4F" w:rsidRDefault="009C1C5A">
      <w:pPr>
        <w:pStyle w:val="PunktlistaBomb"/>
        <w:numPr>
          <w:ilvl w:val="0"/>
          <w:numId w:val="42"/>
        </w:numPr>
        <w:spacing w:before="0" w:line="200" w:lineRule="atLeast"/>
        <w:ind w:left="227" w:hanging="227"/>
      </w:pPr>
      <w:r w:rsidRPr="00896D4F">
        <w:t>Databaser.</w:t>
      </w:r>
    </w:p>
    <w:p w:rsidR="009C1C5A" w:rsidRPr="00896D4F" w:rsidRDefault="009C1C5A">
      <w:pPr>
        <w:pStyle w:val="PunktlistaBomb"/>
        <w:numPr>
          <w:ilvl w:val="0"/>
          <w:numId w:val="42"/>
        </w:numPr>
        <w:spacing w:before="0" w:line="200" w:lineRule="atLeast"/>
        <w:ind w:left="227" w:hanging="227"/>
      </w:pPr>
      <w:r w:rsidRPr="00896D4F">
        <w:t>Pass för djuren (tillämpas inte i Sverige).</w:t>
      </w:r>
    </w:p>
    <w:p w:rsidR="009C1C5A" w:rsidRPr="00896D4F" w:rsidRDefault="009C1C5A">
      <w:pPr>
        <w:pStyle w:val="PunktlistaBomb"/>
        <w:numPr>
          <w:ilvl w:val="0"/>
          <w:numId w:val="42"/>
        </w:numPr>
        <w:spacing w:before="0" w:line="200" w:lineRule="atLeast"/>
        <w:ind w:left="227" w:hanging="227"/>
      </w:pPr>
      <w:r w:rsidRPr="00896D4F">
        <w:t>Individuella register som förs i alla anläggningar.</w:t>
      </w:r>
    </w:p>
    <w:p w:rsidR="009C1C5A" w:rsidRPr="00896D4F" w:rsidRDefault="009C1C5A">
      <w:pPr>
        <w:pStyle w:val="Citat"/>
      </w:pPr>
      <w:r w:rsidRPr="00896D4F">
        <w:t>Av artikel 1.1 i kommissionens förordning (EG) nr 494/98 framgår att om det finns djur som inte uppfyller någon av bestämmelserna i artikel 3 i förordning (EG) nr 820/97 skall förflyttningen av samtliga djur till eller från den berörda djurhållarens anläggning begrä</w:t>
      </w:r>
      <w:r w:rsidRPr="00896D4F">
        <w:t>n</w:t>
      </w:r>
      <w:r w:rsidRPr="00896D4F">
        <w:t>sas.</w:t>
      </w:r>
    </w:p>
    <w:p w:rsidR="009C1C5A" w:rsidRPr="00896D4F" w:rsidRDefault="009C1C5A">
      <w:pPr>
        <w:pStyle w:val="Citatindrag"/>
      </w:pPr>
      <w:r w:rsidRPr="00896D4F">
        <w:t>Av artikel 1.2 i förordningen (EG) nr 494/98 framgår vidare att om dju</w:t>
      </w:r>
      <w:r w:rsidRPr="00896D4F">
        <w:t>r</w:t>
      </w:r>
      <w:r w:rsidRPr="00896D4F">
        <w:t>hållaren på anläggningen inte kan bevisa identifieringen av ett djur inom två arbetsdagar skall det omedelbart destrueras under veterinärmyndighetens överinseende och utan ersättning från den behöriga my</w:t>
      </w:r>
      <w:r w:rsidRPr="00896D4F">
        <w:t>n</w:t>
      </w:r>
      <w:r w:rsidRPr="00896D4F">
        <w:t>digheten.</w:t>
      </w:r>
    </w:p>
    <w:p w:rsidR="009C1C5A" w:rsidRPr="00896D4F" w:rsidRDefault="009C1C5A">
      <w:pPr>
        <w:pStyle w:val="Citatindrag"/>
      </w:pPr>
      <w:r w:rsidRPr="00896D4F">
        <w:t>Jordbruksverket erhöll den 11 maj 1999 en anmälan om att det hos P.S. fanns nötkreatur som inte var märkta med öronbrickor eller registrerade. Ve</w:t>
      </w:r>
      <w:r w:rsidRPr="00896D4F">
        <w:t>r</w:t>
      </w:r>
      <w:r w:rsidRPr="00896D4F">
        <w:t>ket skickade då information om gällande regler för märkning, journalföring och rapportering av nötkreatur till P.S., men då ingenting inträffade som ty</w:t>
      </w:r>
      <w:r w:rsidRPr="00896D4F">
        <w:t>d</w:t>
      </w:r>
      <w:r w:rsidRPr="00896D4F">
        <w:t>de på att han hade för avsikt att märka eller registrera sina djur begärde verket den 26 augusti 1999 att Länsstyrelsen i Västra Götaland skulle kontrollera förhållandena hos P.S. avseende märkning och registrering. Länsstyrelsen konstaterade i sin kontrollrapport av den 7 september 1999 att P.S:s sex nö</w:t>
      </w:r>
      <w:r w:rsidRPr="00896D4F">
        <w:t>t</w:t>
      </w:r>
      <w:r w:rsidRPr="00896D4F">
        <w:t>kreatur inte var märkta med öronbrickor. Vidare sakna</w:t>
      </w:r>
      <w:r w:rsidRPr="00896D4F">
        <w:t>des ett individuellt register på anläggningen (stalljournal) och någon rapportering av djurinneh</w:t>
      </w:r>
      <w:r w:rsidRPr="00896D4F">
        <w:t>a</w:t>
      </w:r>
      <w:r w:rsidRPr="00896D4F">
        <w:t xml:space="preserve">vet till Centrala nötkreatursregistret (CDB) hade inte gjorts. Då P.S. därmed inte uppfyllde </w:t>
      </w:r>
      <w:r w:rsidRPr="00896D4F">
        <w:rPr>
          <w:i/>
        </w:rPr>
        <w:t xml:space="preserve">någon </w:t>
      </w:r>
      <w:r w:rsidRPr="00896D4F">
        <w:t>av bestämmelserna i artikel 3 i förordningen 820/97 beslutade verket den 17 september 1999, med stöd av artikel 1.1 i kommi</w:t>
      </w:r>
      <w:r w:rsidRPr="00896D4F">
        <w:t>s</w:t>
      </w:r>
      <w:r w:rsidRPr="00896D4F">
        <w:t>sionens förordning (EG) nr 494/98, om förbud mot förflyttning av samtliga djur till eller från anläggningen. Han förelades samtidigt att senast inom två dagar från det att han fick del av före</w:t>
      </w:r>
      <w:r w:rsidRPr="00896D4F">
        <w:t>varande beslut bevisa identiteten på nötkreaturen i enlighet med art 1.2 samma förordning. P.S. delgavs beslutet den 21 september 1999. Han begärde inte inhibition av beslutet hos länsrä</w:t>
      </w:r>
      <w:r w:rsidRPr="00896D4F">
        <w:t>t</w:t>
      </w:r>
      <w:r w:rsidRPr="00896D4F">
        <w:t>ten.</w:t>
      </w:r>
    </w:p>
    <w:p w:rsidR="009C1C5A" w:rsidRPr="00896D4F" w:rsidRDefault="009C1C5A">
      <w:pPr>
        <w:pStyle w:val="Citatindrag"/>
      </w:pPr>
      <w:r w:rsidRPr="00896D4F">
        <w:t>De uppgifter som en djurhållare måste bevisa för att ett djur skall anses vara identifierat är följande. Djurets kön, ras, födelsedatum, moderns identif</w:t>
      </w:r>
      <w:r w:rsidRPr="00896D4F">
        <w:t>i</w:t>
      </w:r>
      <w:r w:rsidRPr="00896D4F">
        <w:t>kationskod för djur födda efter den 1 juli 1999, födelseanläggningens ident</w:t>
      </w:r>
      <w:r w:rsidRPr="00896D4F">
        <w:t>i</w:t>
      </w:r>
      <w:r w:rsidRPr="00896D4F">
        <w:t>fikationsnummer, identifikationsnummer för alla anläggningar där djuret hållits samt datum för förflyttningar. Det skall understrykas att verket förs</w:t>
      </w:r>
      <w:r w:rsidRPr="00896D4F">
        <w:t>ö</w:t>
      </w:r>
      <w:r w:rsidRPr="00896D4F">
        <w:t xml:space="preserve">ker – så långt det är möjligt – att bistå en djurhållare med identifieringen. Det skall dock påpekas att det är djurhållaren som skall bevisa identiteten på sina djur, inte Jordbruksverket. Med beaktande härav kontaktade handläggare vid Jordbruksverket P.S. vid två tillfällen, den 24 </w:t>
      </w:r>
      <w:r w:rsidRPr="00896D4F">
        <w:t>och 27 september 1999, för att informera honom om hur identifieringen av djuren skulle gå till och vid behov bistå honom. Han vägrade vid dessa tillfällen att samtala med handläggarna. Jordbruksverket beslutade den 4 oktober 1999 om destruktion av de aktuella nötkreaturen. En sammanställning över viktiga händelser i ärendet bifogas (bil</w:t>
      </w:r>
      <w:r w:rsidRPr="00896D4F">
        <w:t>a</w:t>
      </w:r>
      <w:r w:rsidRPr="00896D4F">
        <w:t>ga 1).</w:t>
      </w:r>
    </w:p>
    <w:p w:rsidR="009C1C5A" w:rsidRPr="00896D4F" w:rsidRDefault="009C1C5A">
      <w:pPr>
        <w:pStyle w:val="Citatindrag"/>
      </w:pPr>
      <w:r w:rsidRPr="00896D4F">
        <w:t>Det är viktigt att klarlägga att ett syfte med de relevanta EG-förord</w:t>
      </w:r>
      <w:r w:rsidRPr="00896D4F">
        <w:softHyphen/>
        <w:t>ningarna är att möjliggöra en effektiv smittspårning. Detta har medfört att de tidsfrister som skall iakttas vid tillämpningen av regelverket är synnerligen snäva. Enligt artikel 1.2 i kommissionens förordning (EG) nr 494/98 skall ett djur omedelbart destrueras om djurhållaren inte har bevisat identiteten på djuret inom två arbetsdagar. Vid angivna förhållanden beslutade Jordbruk</w:t>
      </w:r>
      <w:r w:rsidRPr="00896D4F">
        <w:t>s</w:t>
      </w:r>
      <w:r w:rsidRPr="00896D4F">
        <w:t>verket att destruktionen skulle ske med omedelbar verkan enligt 32 § föror</w:t>
      </w:r>
      <w:r w:rsidRPr="00896D4F">
        <w:t>d</w:t>
      </w:r>
      <w:r w:rsidRPr="00896D4F">
        <w:t>ningen (1994:1715) om EG:s förordningar om jordbruksp</w:t>
      </w:r>
      <w:r w:rsidRPr="00896D4F">
        <w:t>rodukter. Destru</w:t>
      </w:r>
      <w:r w:rsidRPr="00896D4F">
        <w:t>k</w:t>
      </w:r>
      <w:r w:rsidRPr="00896D4F">
        <w:t>tionen kunde därmed ske utan att P.S. delgivits beslutet eller att detta vunnit laga kraft. Eftersom artikel 1.2 innehåller ordet omedelbart är det inte möjligt att vänta på att föreläggandebeslutet respektive destrueringsbeslutet skall vinna laga kraft innan nästa åtgärd vidtas. Det skall i sammanhanget nämnas att beslutet expedierades till P.S. den 5 oktober 1999 med normal postbefor</w:t>
      </w:r>
      <w:r w:rsidRPr="00896D4F">
        <w:t>d</w:t>
      </w:r>
      <w:r w:rsidRPr="00896D4F">
        <w:t>ran. Ytterligare ett beslut översändes till distriktsveterinären Nils Vallentin för överlämnande till P.S.</w:t>
      </w:r>
      <w:r w:rsidRPr="00896D4F">
        <w:t xml:space="preserve"> på dagen för verkställigheten av beslutet.</w:t>
      </w:r>
    </w:p>
    <w:p w:rsidR="009C1C5A" w:rsidRPr="00896D4F" w:rsidRDefault="009C1C5A">
      <w:pPr>
        <w:pStyle w:val="Citat"/>
        <w:rPr>
          <w:i/>
        </w:rPr>
      </w:pPr>
      <w:r w:rsidRPr="00896D4F">
        <w:rPr>
          <w:i/>
        </w:rPr>
        <w:t xml:space="preserve">Alternativt förfarande </w:t>
      </w:r>
    </w:p>
    <w:p w:rsidR="009C1C5A" w:rsidRPr="00896D4F" w:rsidRDefault="009C1C5A">
      <w:pPr>
        <w:pStyle w:val="Citat"/>
      </w:pPr>
      <w:r w:rsidRPr="00896D4F">
        <w:t>Jordbruksverket har också att yttra sig i frågan om andra alternativ har öve</w:t>
      </w:r>
      <w:r w:rsidRPr="00896D4F">
        <w:t>r</w:t>
      </w:r>
      <w:r w:rsidRPr="00896D4F">
        <w:t>vägts för att komma tillrätta med problemet med utebliven identifiering av djuren. Destruktion av nötkreatur, och därtill utan ersättning, är ett påtagligt ingrepp i en djurhållares personliga och ekonomiska förhållanden. Dessutom är ett dylikt beslut oåterkalleligt. Jordbruksverket lade därför ned avsevärd tid på att utreda om det fanns alternativ till den aktuella destruktionen. Gällande EG-förordningar är emellertid klara och entydiga och lämnar inte något u</w:t>
      </w:r>
      <w:r w:rsidRPr="00896D4F">
        <w:t>t</w:t>
      </w:r>
      <w:r w:rsidRPr="00896D4F">
        <w:t>rymme för verket att förfara på annat sätt än</w:t>
      </w:r>
      <w:r w:rsidRPr="00896D4F">
        <w:t xml:space="preserve"> som har skett. Alla alternativa förfaranden som t.ex. tvångsmärkning av djur är uteslutna. </w:t>
      </w:r>
    </w:p>
    <w:p w:rsidR="009C1C5A" w:rsidRPr="00896D4F" w:rsidRDefault="009C1C5A">
      <w:pPr>
        <w:pStyle w:val="Citatindrag"/>
      </w:pPr>
      <w:r w:rsidRPr="00896D4F">
        <w:t>Jordbruksverket vill i sammanhanget även uppmärksamma Länsrättens i Jönköpings län dom av den 11 november 1999 (bilaga 2) samt kommissi</w:t>
      </w:r>
      <w:r w:rsidRPr="00896D4F">
        <w:t>o</w:t>
      </w:r>
      <w:r w:rsidRPr="00896D4F">
        <w:t xml:space="preserve">nens svar på parlamentsledamot Per Gahrtons fråga (bilaga 3). </w:t>
      </w:r>
    </w:p>
    <w:p w:rsidR="009C1C5A" w:rsidRPr="00896D4F" w:rsidRDefault="009C1C5A">
      <w:pPr>
        <w:pStyle w:val="Citatindrag"/>
      </w:pPr>
      <w:r w:rsidRPr="00896D4F">
        <w:t>Sammantaget är det Jordbruksverkets uppfattning att allt som är möjligt har gjorts för att bistå P.S. med identifieringen av de aktuella nötkreaturen, att tillämpningen av relevanta svenska författningar och EG-förordningar har skett på ett korrekt sätt samt att verket inte har kunnat agera på något annat sätt för att komma tillrätta med det förhållandet att P.S. inte identifierade sina nötkr</w:t>
      </w:r>
      <w:r w:rsidRPr="00896D4F">
        <w:t>e</w:t>
      </w:r>
      <w:r w:rsidRPr="00896D4F">
        <w:t>atur.</w:t>
      </w:r>
    </w:p>
    <w:p w:rsidR="009C1C5A" w:rsidRPr="00896D4F" w:rsidRDefault="009C1C5A">
      <w:r w:rsidRPr="00896D4F">
        <w:t>Länsrätten i Jönköpings län avslog den 9 november 1999 P.S:s överklagande av Jordbruksverkets beslut om destruktion av nötkreatur.</w:t>
      </w:r>
    </w:p>
    <w:p w:rsidR="009C1C5A" w:rsidRPr="00896D4F" w:rsidRDefault="009C1C5A">
      <w:r w:rsidRPr="00896D4F">
        <w:t xml:space="preserve">I beslut den 8 januari 2002 anförde </w:t>
      </w:r>
      <w:r w:rsidRPr="00896D4F">
        <w:rPr>
          <w:i/>
        </w:rPr>
        <w:t>JO Berggren</w:t>
      </w:r>
      <w:r w:rsidRPr="00896D4F">
        <w:t xml:space="preserve"> följande.</w:t>
      </w:r>
    </w:p>
    <w:p w:rsidR="009C1C5A" w:rsidRPr="00896D4F" w:rsidRDefault="009C1C5A">
      <w:r w:rsidRPr="00896D4F">
        <w:t>JO:s tillsyn avser i första hand en kontroll av att myndigheterna och deras befattningshavare i sin verksamhet följer lagar och andra författningar samt i övrigt fullgör sina åligganden. Granskningen är av rättslig art och avser främst tillämpningen av gällande förfaranderegler. Däremot brukar JO inte pröva myndigheternas ställningstaganden i sakfrågor, i synnerhet om besluten bygger på lämplighetsöverväganden eller förutsätter särskild sakkunskap. JO kan inte ändra eller upphäva ett b</w:t>
      </w:r>
      <w:r w:rsidRPr="00896D4F">
        <w:t>eslut som en myndighet fattat. JO:s grans</w:t>
      </w:r>
      <w:r w:rsidRPr="00896D4F">
        <w:t>k</w:t>
      </w:r>
      <w:r w:rsidRPr="00896D4F">
        <w:t>ning är inte heller avsedd att föregripa eller ersätta den prövning som kan ske eller har skett i ordinarie or</w:t>
      </w:r>
      <w:r w:rsidRPr="00896D4F">
        <w:t>d</w:t>
      </w:r>
      <w:r w:rsidRPr="00896D4F">
        <w:t xml:space="preserve">ning. </w:t>
      </w:r>
    </w:p>
    <w:p w:rsidR="009C1C5A" w:rsidRPr="00896D4F" w:rsidRDefault="009C1C5A">
      <w:pPr>
        <w:pStyle w:val="Normaltindrag"/>
      </w:pPr>
      <w:r w:rsidRPr="00896D4F">
        <w:t>Jordbruksverket har i sitt yttrande hit uppgett att verket lagt ned avsevärd tid på att utreda om det fanns alternativ till destruktionen. Härtill har verket anmärkt att gällande EG-förordningar är klara och entydiga och inte lämnar något utrymme för verket att förfara på annat sätt än som skett; ett alternativt förfarande, som t.ex. tvångsmärkning e</w:t>
      </w:r>
      <w:r w:rsidRPr="00896D4F">
        <w:t>ller dylikt är uteslutet. Till detta vill jag endast lägga den synpunkten att verket inte rimligen kunnat kritiseras om man före beslutet om destruktion genom alternativa åtgärder försökt nå EG-förordningens yttersta syfte, att för spårande av eventuell smitta göra det möjligt att utreda nötkreaturens ursprung. Med hänsyn till vad som uppgetts om djurhållarens bristande samarbetsvilja och allmänna inställning har jag emellertid inte underlag för ett påstående att verket genom beslutet om d</w:t>
      </w:r>
      <w:r w:rsidRPr="00896D4F">
        <w:t>e</w:t>
      </w:r>
      <w:r w:rsidRPr="00896D4F">
        <w:t>struktion handlat</w:t>
      </w:r>
      <w:r w:rsidRPr="00896D4F">
        <w:t xml:space="preserve"> felaktigt. Lagligheten av det beslutet har för övrigt prövats av Länsrätten i Jönköpings län. Med hänsyn härtill och till vad jag nyss har sagt om innebörden och inriktningen av JO:s tillsyn har jag inga ytterligare synpunkter på det beslutet i sig. </w:t>
      </w:r>
    </w:p>
    <w:p w:rsidR="009C1C5A" w:rsidRPr="00896D4F" w:rsidRDefault="009C1C5A">
      <w:pPr>
        <w:pStyle w:val="Normaltindrag"/>
      </w:pPr>
      <w:r w:rsidRPr="00896D4F">
        <w:t>När det gäller verkställigheten av beslutet vill jag i anslutning till den r</w:t>
      </w:r>
      <w:r w:rsidRPr="00896D4F">
        <w:t>e</w:t>
      </w:r>
      <w:r w:rsidRPr="00896D4F">
        <w:t xml:space="preserve">mitterade promemorian anföra följande. </w:t>
      </w:r>
    </w:p>
    <w:p w:rsidR="009C1C5A" w:rsidRPr="00896D4F" w:rsidRDefault="009C1C5A">
      <w:pPr>
        <w:pStyle w:val="Normaltindrag"/>
      </w:pPr>
      <w:r w:rsidRPr="00896D4F">
        <w:t>I Jordbruksverkets beslut den 17 september 1999 förelades P.S. att senast inom två dagar från det att han fick del av beslutet bevisa identiteten på nö</w:t>
      </w:r>
      <w:r w:rsidRPr="00896D4F">
        <w:t>t</w:t>
      </w:r>
      <w:r w:rsidRPr="00896D4F">
        <w:t>kreaturen. I skälen för beslutet uppgavs att om så inte skedde skulle djuren omedelbart destrueras. Det ligger i sakens natur att ett efterföljande beslut om att djuren skulle destrueras kunde fattas så snart de två dagarna har passerat, dvs. utan att beslutet har vunnit laga kraft. När myndigheten överväger att fatta ett sådant beslut bör den likväl ta hänsyn till sådana förhållanden som talar för att man bör avvakta med verkställigheten av beslutet, t.ex. att besl</w:t>
      </w:r>
      <w:r w:rsidRPr="00896D4F">
        <w:t>u</w:t>
      </w:r>
      <w:r w:rsidRPr="00896D4F">
        <w:t>tet innebär ett allvarligt ingrepp i den</w:t>
      </w:r>
      <w:r w:rsidRPr="00896D4F">
        <w:t xml:space="preserve"> enskildes frihet eller egendom, att ver</w:t>
      </w:r>
      <w:r w:rsidRPr="00896D4F">
        <w:t>k</w:t>
      </w:r>
      <w:r w:rsidRPr="00896D4F">
        <w:t>ställigheten skulle bli irreparabel samt att det finns risk för att beslutet blir upphävt om det överklagas (se Håkan Strömberg, Allmän förvaltningsrätt, 20:e uppl. 2000, s. 128). Av utredningen i ärendet har framkommit att han</w:t>
      </w:r>
      <w:r w:rsidRPr="00896D4F">
        <w:t>d</w:t>
      </w:r>
      <w:r w:rsidRPr="00896D4F">
        <w:t>läggare vid Jordbruksverket den 24 och 27 september 1999 varit i kontakt med P.S. för att vid behov bistå honom med identifieringen av djuren. Först efter det att han därvid vägrat samtala med handläggarna har Jordbruksverket den 4 oktober 199</w:t>
      </w:r>
      <w:r w:rsidRPr="00896D4F">
        <w:t xml:space="preserve">9 beslutat att djuren skall destrueras. Mot denna bakgrund finner jag inte anledning att kritisera Jordbruksverket för att verket har fattat beslut om att djuren omedelbart skall destrueras innan tiden för överklagande av beslutet den 17 september 1999 löpt ut.   </w:t>
      </w:r>
    </w:p>
    <w:p w:rsidR="009C1C5A" w:rsidRPr="00896D4F" w:rsidRDefault="009C1C5A">
      <w:pPr>
        <w:pStyle w:val="Normaltindrag"/>
      </w:pPr>
      <w:r w:rsidRPr="00896D4F">
        <w:t>P.S. har såvitt framkommit inte fått del av Jordbruksverkets beslut den 4 oktober 1999 att djuren omedelbart skall destrueras innan det verkställdes. Han har således inte haft möjlighet att överklaga beslutet hos länsrätten och begära inhibition a</w:t>
      </w:r>
      <w:r w:rsidRPr="00896D4F">
        <w:t>v verkställigheten. Huvudregeln när det gäller betungande beslut är dock att adressaten måste få del av beslutet innan det kan verkställas mot honom (se Strömberg, s. 127). Detta är, liksom i fråga om verkställighet av ett beslut innan det vunnit laga kraft, särskilt viktigt om beslutet innebär ett allvarligt ingrepp i den enskildes frihet eller egendom eller om verkställigh</w:t>
      </w:r>
      <w:r w:rsidRPr="00896D4F">
        <w:t>e</w:t>
      </w:r>
      <w:r w:rsidRPr="00896D4F">
        <w:t>ten skulle bli irreparabel. Jordbruksverket har i sitt remissvar hänvisat till de snäva tidsfrister som anges i artikel 1.2 i kommissi</w:t>
      </w:r>
      <w:r w:rsidRPr="00896D4F">
        <w:t xml:space="preserve">onens förordning (EG) nr 494/98 – ett djur skall </w:t>
      </w:r>
      <w:r w:rsidRPr="00896D4F">
        <w:rPr>
          <w:i/>
        </w:rPr>
        <w:t>omedelbart</w:t>
      </w:r>
      <w:r w:rsidRPr="00896D4F">
        <w:t xml:space="preserve"> destrueras om djurhållaren inte inom två dagar bevisat djurets identitet – samt att verket i enlighet med 32 § föror</w:t>
      </w:r>
      <w:r w:rsidRPr="00896D4F">
        <w:t>d</w:t>
      </w:r>
      <w:r w:rsidRPr="00896D4F">
        <w:t>ningen (1994:1715) om EG:s förordningar om jordbruksprodukter förordnat om att beslutet skall gälla omedelbart. Mot bakgrund av dessa bestämmelser kunde beslutet om destruktion enligt Jordbruksverket verkställas trots att det inte delgetts P.S. För egen del finner jag det tvivelaktigt att bestämmelserna ger uttryckligt stöd för Jordb</w:t>
      </w:r>
      <w:r w:rsidRPr="00896D4F">
        <w:t>ruksverkets uppfattning. Inte heller kan förhå</w:t>
      </w:r>
      <w:r w:rsidRPr="00896D4F">
        <w:t>l</w:t>
      </w:r>
      <w:r w:rsidRPr="00896D4F">
        <w:t>landena anses ha varit sådana att de, t.ex. av hänsyn till allmän ordning och säkerhet, överhängande fara eller liknande, krävde att beslutet verkställdes innan det tillkännagetts för P.S. Med hänsyn till att beslutet innebar ett myc</w:t>
      </w:r>
      <w:r w:rsidRPr="00896D4F">
        <w:t>k</w:t>
      </w:r>
      <w:r w:rsidRPr="00896D4F">
        <w:t>et allvarligt ingrepp i hans egendom samt att verkställigheten var irreparabel borde Jordbruksverket i stället – i enlighet med huvudregeln ovan – ha a</w:t>
      </w:r>
      <w:r w:rsidRPr="00896D4F">
        <w:t>v</w:t>
      </w:r>
      <w:r w:rsidRPr="00896D4F">
        <w:t>vaktat med att verkställa beslutet till dess P.S. bevisligen fått del av det. D</w:t>
      </w:r>
      <w:r w:rsidRPr="00896D4F">
        <w:t>ä</w:t>
      </w:r>
      <w:r w:rsidRPr="00896D4F">
        <w:t>r</w:t>
      </w:r>
      <w:r w:rsidRPr="00896D4F">
        <w:t>emot innebär de snäva tidsfrister som föreskrivs i bestämmelsen att beslutet kan verkställas utan hinder av att det inte vunnit laga kraft. Jag är således kritisk till att Jordbruksverket har verkställt beslutet om att djuren skall d</w:t>
      </w:r>
      <w:r w:rsidRPr="00896D4F">
        <w:t>e</w:t>
      </w:r>
      <w:r w:rsidRPr="00896D4F">
        <w:t>strueras innan det delgetts djurägaren.</w:t>
      </w:r>
    </w:p>
    <w:p w:rsidR="009C1C5A" w:rsidRPr="00896D4F" w:rsidRDefault="009C1C5A">
      <w:pPr>
        <w:pStyle w:val="Normaltindrag"/>
      </w:pPr>
      <w:r w:rsidRPr="00896D4F">
        <w:t>Vad som i övrigt har framkommit i ärendet motiverar inte någon ytterlig</w:t>
      </w:r>
      <w:r w:rsidRPr="00896D4F">
        <w:t>a</w:t>
      </w:r>
      <w:r w:rsidRPr="00896D4F">
        <w:t>re åtgärd eller något uttalande från min sida.</w:t>
      </w:r>
    </w:p>
    <w:p w:rsidR="009C1C5A" w:rsidRPr="00896D4F" w:rsidRDefault="009C1C5A">
      <w:pPr>
        <w:pStyle w:val="Normaltindrag"/>
      </w:pPr>
      <w:r w:rsidRPr="00896D4F">
        <w:t>Ärendet hos JO är härmed avslutat.</w:t>
      </w:r>
    </w:p>
    <w:p w:rsidR="009C1C5A" w:rsidRPr="00896D4F" w:rsidRDefault="009C1C5A">
      <w:pPr>
        <w:pStyle w:val="Rubrik2"/>
      </w:pPr>
      <w:r w:rsidRPr="00896D4F">
        <w:t xml:space="preserve">Kritik mot en miljö- och hälsoskyddsnämnd för långsam handläggning av ett ärende rörande bullerstörningar från ett nöjesfält (Gröna Lund) </w:t>
      </w:r>
    </w:p>
    <w:p w:rsidR="009C1C5A" w:rsidRPr="00896D4F" w:rsidRDefault="009C1C5A">
      <w:pPr>
        <w:spacing w:before="0"/>
      </w:pPr>
      <w:r w:rsidRPr="00896D4F">
        <w:t>(Dnr 1075-2000)</w:t>
      </w:r>
    </w:p>
    <w:p w:rsidR="009C1C5A" w:rsidRPr="00896D4F" w:rsidRDefault="009C1C5A">
      <w:pPr>
        <w:pStyle w:val="Rubrik3"/>
      </w:pPr>
      <w:r w:rsidRPr="00896D4F">
        <w:t>Anmälan</w:t>
      </w:r>
    </w:p>
    <w:p w:rsidR="009C1C5A" w:rsidRPr="00896D4F" w:rsidRDefault="009C1C5A">
      <w:r w:rsidRPr="00896D4F">
        <w:t>I en anmälan, som kom in till JO den 20 mars 2000, begärde Jan Håkansson att JO skulle granska Miljö- och hälsoskyddsnämndens i Stockholms ko</w:t>
      </w:r>
      <w:r w:rsidRPr="00896D4F">
        <w:t>m</w:t>
      </w:r>
      <w:r w:rsidRPr="00896D4F">
        <w:t>mun handläggning av ett ärende rörande bullerstörningar från nöjesfältet Gröna Lund. Han var missnöjd med att nämnden inte hade vidtagit några åtgärder, trots att klagomål rörande buller hade framförts till nämnden redan år 1995. I anmälan och därtill fogade handlingar anfördes bl.a. följande.</w:t>
      </w:r>
    </w:p>
    <w:p w:rsidR="009C1C5A" w:rsidRPr="00896D4F" w:rsidRDefault="009C1C5A">
      <w:pPr>
        <w:pStyle w:val="Normaltindrag"/>
      </w:pPr>
      <w:r w:rsidRPr="00896D4F">
        <w:t>Miljöförvaltningen har ”i dialog med Gröna Lund” utarbetat förslag till bullerreducerande åtgärder sedan 1995. Trots detta har bullernivåerna ökat kontinuerligt under denna tid. Redan vid mätningar 1998 konstaterades</w:t>
      </w:r>
      <w:r w:rsidRPr="00896D4F">
        <w:t xml:space="preserve"> att bullret överskred de riktvärden som gäller för externt industribuller med s</w:t>
      </w:r>
      <w:r w:rsidRPr="00896D4F">
        <w:t>å</w:t>
      </w:r>
      <w:r w:rsidRPr="00896D4F">
        <w:t>dan marginal att det borde ha föranlett omedelbara bullerreducerande åtgä</w:t>
      </w:r>
      <w:r w:rsidRPr="00896D4F">
        <w:t>r</w:t>
      </w:r>
      <w:r w:rsidRPr="00896D4F">
        <w:t>der.</w:t>
      </w:r>
    </w:p>
    <w:p w:rsidR="009C1C5A" w:rsidRPr="00896D4F" w:rsidRDefault="009C1C5A">
      <w:pPr>
        <w:pStyle w:val="Rubrik3"/>
      </w:pPr>
      <w:r w:rsidRPr="00896D4F">
        <w:t>Utredning</w:t>
      </w:r>
    </w:p>
    <w:p w:rsidR="009C1C5A" w:rsidRPr="00896D4F" w:rsidRDefault="009C1C5A">
      <w:r w:rsidRPr="00896D4F">
        <w:t>I en tjänsteanteckning upprättad hos JO den 19 april 2000 efter telefonsamtal med en tjänsteman vid miljöförvaltningen i Stockholms kommun upptogs följande.</w:t>
      </w:r>
    </w:p>
    <w:p w:rsidR="009C1C5A" w:rsidRPr="00896D4F" w:rsidRDefault="009C1C5A">
      <w:pPr>
        <w:pStyle w:val="Citat"/>
      </w:pPr>
      <w:r w:rsidRPr="00896D4F">
        <w:t>Förvaltningen hade för avsikt att ärendet skulle ha tagits upp på miljö- och hälsoskyddsnämndens sammanträde i början av april, men nämndens ordf</w:t>
      </w:r>
      <w:r w:rsidRPr="00896D4F">
        <w:t>ö</w:t>
      </w:r>
      <w:r w:rsidRPr="00896D4F">
        <w:t>rande delade inte den uppfattningen och ärendet togs inte upp. Avsikten är dock fortfarande att det skall tas upp men tjänstemannen vet inte när. Hon har förstått att politikerna i nämnden förhandlar direkt med ledningen för Gröna Lund.</w:t>
      </w:r>
    </w:p>
    <w:p w:rsidR="009C1C5A" w:rsidRPr="00896D4F" w:rsidRDefault="009C1C5A">
      <w:r w:rsidRPr="00896D4F">
        <w:t>Anmälan remitterades till miljö- och hälsoskyddsnämnden för utredning och yttrande rörande handläggningen och handläggningstiden av ärendet. Näm</w:t>
      </w:r>
      <w:r w:rsidRPr="00896D4F">
        <w:t>n</w:t>
      </w:r>
      <w:r w:rsidRPr="00896D4F">
        <w:t>den a</w:t>
      </w:r>
      <w:r w:rsidRPr="00896D4F">
        <w:t>n</w:t>
      </w:r>
      <w:r w:rsidRPr="00896D4F">
        <w:t>förde i sitt remissvar den 6 juni 2000 följande.</w:t>
      </w:r>
    </w:p>
    <w:p w:rsidR="009C1C5A" w:rsidRPr="00896D4F" w:rsidRDefault="009C1C5A">
      <w:pPr>
        <w:pStyle w:val="Citat"/>
      </w:pPr>
      <w:r w:rsidRPr="00896D4F">
        <w:t>Miljöförvaltningen får, i fråga om den infordrade utredningen av handläg</w:t>
      </w:r>
      <w:r w:rsidRPr="00896D4F">
        <w:t>g</w:t>
      </w:r>
      <w:r w:rsidRPr="00896D4F">
        <w:t>ningen och handläggningstiden i ärendet, åberopa vad som anförts i tjänst</w:t>
      </w:r>
      <w:r w:rsidRPr="00896D4F">
        <w:t>e</w:t>
      </w:r>
      <w:r w:rsidRPr="00896D4F">
        <w:t>utlåtande från den 13 januari 2000 beträffande bakgrunden till ärendet och ärendets handläggning, samt vad som i övrigt framgår av den till ombud</w:t>
      </w:r>
      <w:r w:rsidRPr="00896D4F">
        <w:t>s</w:t>
      </w:r>
      <w:r w:rsidRPr="00896D4F">
        <w:t>mannen tid</w:t>
      </w:r>
      <w:r w:rsidRPr="00896D4F">
        <w:t>i</w:t>
      </w:r>
      <w:r w:rsidRPr="00896D4F">
        <w:t>gare infordrade akten i ärendet.</w:t>
      </w:r>
    </w:p>
    <w:p w:rsidR="009C1C5A" w:rsidRPr="00896D4F" w:rsidRDefault="009C1C5A">
      <w:pPr>
        <w:pStyle w:val="Citatindrag"/>
      </w:pPr>
      <w:r w:rsidRPr="00896D4F">
        <w:t>Härutöver antecknar förvaltningen att handläggningen av ärendet har komplicerats av flera faktorer, vilket även framgår av förvaltningens tidigare tjänsteutlåtande.</w:t>
      </w:r>
    </w:p>
    <w:p w:rsidR="009C1C5A" w:rsidRPr="00896D4F" w:rsidRDefault="009C1C5A">
      <w:pPr>
        <w:pStyle w:val="Citatindrag"/>
      </w:pPr>
      <w:r w:rsidRPr="00896D4F">
        <w:t>Ärendet anmäldes till förvaltningen av F.A. sommaren 1995. Klagomål har inkommit varje säsong sedan dess, från boende i Djurgårdsstaden, från al</w:t>
      </w:r>
      <w:r w:rsidRPr="00896D4F">
        <w:t>l</w:t>
      </w:r>
      <w:r w:rsidRPr="00896D4F">
        <w:t>mänheten samt från F.A. Klagomålen har avsett bullerstörningar från Gröna Lunds verksamhet – musikbuller från utomhuskonserterna, åkattraktioner och uteserveringar, annat buller från åkattraktioner (maskinljud, skrik och skrän), buller från varutransporter och sophantering, buller från bedrivna bygg och rivningsarbeten efter stängningsdags respektive efter säsongens slut, buller i anslutning till personalens hemgång samt fläktbuller. Verksamhetens öppett</w:t>
      </w:r>
      <w:r w:rsidRPr="00896D4F">
        <w:t>i</w:t>
      </w:r>
      <w:r w:rsidRPr="00896D4F">
        <w:t>der har även kritiserats. Bullerstörningar har också</w:t>
      </w:r>
      <w:r w:rsidRPr="00896D4F">
        <w:t xml:space="preserve"> framförts beträffande andra verksamheter i området.</w:t>
      </w:r>
    </w:p>
    <w:p w:rsidR="009C1C5A" w:rsidRPr="00896D4F" w:rsidRDefault="009C1C5A">
      <w:pPr>
        <w:pStyle w:val="Citatindrag"/>
      </w:pPr>
      <w:r w:rsidRPr="00896D4F">
        <w:t>Bolaget har underrättats om dessa klagomål och uppmanats att vidta åtgä</w:t>
      </w:r>
      <w:r w:rsidRPr="00896D4F">
        <w:t>r</w:t>
      </w:r>
      <w:r w:rsidRPr="00896D4F">
        <w:t>der samt att planera sin verksamhet för att reducera bullerstörningarna. I</w:t>
      </w:r>
      <w:r w:rsidRPr="00896D4F">
        <w:t>n</w:t>
      </w:r>
      <w:r w:rsidRPr="00896D4F">
        <w:t>formationen och uppmaningarna har framförts skriftligen, via ett flertal tel</w:t>
      </w:r>
      <w:r w:rsidRPr="00896D4F">
        <w:t>e</w:t>
      </w:r>
      <w:r w:rsidRPr="00896D4F">
        <w:t>fonsamtal samt vid åtta möten – fr o m den 6 februari 1996 t o m den 15 mars 2000. Vid två tillfällen, 1997 respektive 1998, har inspektion och ljudniv</w:t>
      </w:r>
      <w:r w:rsidRPr="00896D4F">
        <w:t>å</w:t>
      </w:r>
      <w:r w:rsidRPr="00896D4F">
        <w:t>mätning för bedömning av störningarna utförts hos klagande av förvaltningen. Flera rapporter om åtgärder och förslag på åtgärder samt mätprotokoll har lämnats av bolaget, vilket förvaltningens tidigare tjän</w:t>
      </w:r>
      <w:r w:rsidRPr="00896D4F">
        <w:t>s</w:t>
      </w:r>
      <w:r w:rsidRPr="00896D4F">
        <w:t>teutlåtande visar.</w:t>
      </w:r>
    </w:p>
    <w:p w:rsidR="009C1C5A" w:rsidRPr="00896D4F" w:rsidRDefault="009C1C5A">
      <w:pPr>
        <w:pStyle w:val="Citatindrag"/>
      </w:pPr>
      <w:r w:rsidRPr="00896D4F">
        <w:t>Förvaltningen bedömde att de kontakter som inledningsvis togs med bol</w:t>
      </w:r>
      <w:r w:rsidRPr="00896D4F">
        <w:t>a</w:t>
      </w:r>
      <w:r w:rsidRPr="00896D4F">
        <w:t>get från förvaltningens sida var tillräckliga. Denna bedömning grundades på att klagomålen inkom i flera omgångar och var ofokuserade med ospecifika yrkanden, vilket medförde en osäkerhet beträffande bullerstörningarnas o</w:t>
      </w:r>
      <w:r w:rsidRPr="00896D4F">
        <w:t>m</w:t>
      </w:r>
      <w:r w:rsidRPr="00896D4F">
        <w:t>fattning och ursprung. Därutöver tillkommer det faktum att verksamheten är omfattande och varierad. Vidare att förvaltningen har begränsade resurser för den tillsyn som kan bedrivas i ett enskilt ärende.</w:t>
      </w:r>
    </w:p>
    <w:p w:rsidR="009C1C5A" w:rsidRPr="00896D4F" w:rsidRDefault="009C1C5A">
      <w:pPr>
        <w:pStyle w:val="Citatindrag"/>
      </w:pPr>
      <w:r w:rsidRPr="00896D4F">
        <w:t>Då klagomålen inte upphörde trots förvaltningens upprepade anmaningar och bolagets ut</w:t>
      </w:r>
      <w:r w:rsidRPr="00896D4F">
        <w:t>fästelser om åtgärder har tillsynen av verksamheten intensifi</w:t>
      </w:r>
      <w:r w:rsidRPr="00896D4F">
        <w:t>e</w:t>
      </w:r>
      <w:r w:rsidRPr="00896D4F">
        <w:t>rats, vilket bl.a. resulterade i att en handlingsplan för verksamheten upprätt</w:t>
      </w:r>
      <w:r w:rsidRPr="00896D4F">
        <w:t>a</w:t>
      </w:r>
      <w:r w:rsidRPr="00896D4F">
        <w:t>des 1998.</w:t>
      </w:r>
    </w:p>
    <w:p w:rsidR="009C1C5A" w:rsidRPr="00896D4F" w:rsidRDefault="009C1C5A">
      <w:pPr>
        <w:pStyle w:val="Citatindrag"/>
      </w:pPr>
      <w:r w:rsidRPr="00896D4F">
        <w:t>För att illustrera svårigheten att bedöma störningarna kan nämnas att vid ärendets påbörjande 1995 anfördes att klagomålen avsåg bullerstörningar från gamla scenen och ”andra ljudstörningar” t.ex. discojet (åkattraktion). Under efterföljande säsong 1996 inkom även klagomål om musikbuller från café Cirkus, Hasselbac</w:t>
      </w:r>
      <w:r w:rsidRPr="00896D4F">
        <w:t>k</w:t>
      </w:r>
      <w:r w:rsidRPr="00896D4F">
        <w:t>en, Lingården samt Skansen.</w:t>
      </w:r>
    </w:p>
    <w:p w:rsidR="009C1C5A" w:rsidRPr="00896D4F" w:rsidRDefault="009C1C5A">
      <w:pPr>
        <w:pStyle w:val="Citatindrag"/>
      </w:pPr>
      <w:r w:rsidRPr="00896D4F">
        <w:t>Det har tagit tid innan förvaltningen erhållit ett heltäckande bedömning</w:t>
      </w:r>
      <w:r w:rsidRPr="00896D4F">
        <w:t>s</w:t>
      </w:r>
      <w:r w:rsidRPr="00896D4F">
        <w:t>underlag, vilket försvårat tillåtlighetsprövningen. Bolaget har sent presenterat en utredning av bullerstörningarnas omfat</w:t>
      </w:r>
      <w:r w:rsidRPr="00896D4F">
        <w:t>t</w:t>
      </w:r>
      <w:r w:rsidRPr="00896D4F">
        <w:t>ning.</w:t>
      </w:r>
    </w:p>
    <w:p w:rsidR="009C1C5A" w:rsidRPr="00896D4F" w:rsidRDefault="009C1C5A">
      <w:pPr>
        <w:pStyle w:val="Citatindrag"/>
      </w:pPr>
      <w:r w:rsidRPr="00896D4F">
        <w:t>Eftersom verksamheten endast bedrivs under ca fyra månader per år har även detta bidragit till att ärendet haft en utdragen tidsutdräkt.</w:t>
      </w:r>
    </w:p>
    <w:p w:rsidR="009C1C5A" w:rsidRPr="00896D4F" w:rsidRDefault="009C1C5A">
      <w:pPr>
        <w:pStyle w:val="Citatindrag"/>
      </w:pPr>
      <w:r w:rsidRPr="00896D4F">
        <w:t>Miljöförvaltningen anser att det i sammanhanget bör framhållas att det saknas rättspraxis om bullerkrav mot nöjesparker. Vidare att det inte heller finns någon tillsynsvägledning eller anvisningar för verksamheter av detta slag.</w:t>
      </w:r>
    </w:p>
    <w:p w:rsidR="009C1C5A" w:rsidRPr="00896D4F" w:rsidRDefault="009C1C5A">
      <w:pPr>
        <w:pStyle w:val="Citatindrag"/>
      </w:pPr>
      <w:r w:rsidRPr="00896D4F">
        <w:t>Mot bakgrund av ovanstående och de svårigheter som presenterats medger förvaltningen att handläggningstiden blivit utdragen och beklagar detta.</w:t>
      </w:r>
    </w:p>
    <w:p w:rsidR="009C1C5A" w:rsidRPr="00896D4F" w:rsidRDefault="009C1C5A">
      <w:pPr>
        <w:pStyle w:val="Citatindrag"/>
      </w:pPr>
      <w:r w:rsidRPr="00896D4F">
        <w:t>I slutet av år 1999 förklarade förvaltningen för bolaget att förhållandena krävde ett avgörande och föreslog nämnden den 25 januari 2000 ett beslut på sätt som framgår av tjänsteutlåtandet. Miljö- och hälsoskyddsnämnden fann emellertid anle</w:t>
      </w:r>
      <w:r w:rsidRPr="00896D4F">
        <w:t>d</w:t>
      </w:r>
      <w:r w:rsidRPr="00896D4F">
        <w:t>ning att återremittera ärendet.</w:t>
      </w:r>
    </w:p>
    <w:p w:rsidR="009C1C5A" w:rsidRPr="00896D4F" w:rsidRDefault="009C1C5A">
      <w:pPr>
        <w:pStyle w:val="Rubrik4"/>
      </w:pPr>
      <w:r w:rsidRPr="00896D4F">
        <w:t>Övrigt</w:t>
      </w:r>
    </w:p>
    <w:p w:rsidR="009C1C5A" w:rsidRPr="00896D4F" w:rsidRDefault="009C1C5A">
      <w:pPr>
        <w:pStyle w:val="Citat"/>
      </w:pPr>
      <w:r w:rsidRPr="00896D4F">
        <w:t>Jan Håkansson anför i sin skrivelse att bullerstörningarna eskalerat. Enligt vad förvaltningen erfar finns det ingen utredning av hur bullerstörningarna i området utvecklats genom åren.</w:t>
      </w:r>
    </w:p>
    <w:p w:rsidR="009C1C5A" w:rsidRPr="00896D4F" w:rsidRDefault="009C1C5A">
      <w:pPr>
        <w:pStyle w:val="Citatindrag"/>
      </w:pPr>
      <w:r w:rsidRPr="00896D4F">
        <w:t>Ärendet har ännu inte tagits upp på föredragningslistan för nämndsa</w:t>
      </w:r>
      <w:r w:rsidRPr="00896D4F">
        <w:t>m</w:t>
      </w:r>
      <w:r w:rsidRPr="00896D4F">
        <w:t>manträdena under våren. Förvaltningens tillsyn av verksamheten fortsätter således utan något beslut. Bolaget kommer att föreläggas att till förvaltningen redovisa ett kontrol</w:t>
      </w:r>
      <w:r w:rsidRPr="00896D4F">
        <w:t>l</w:t>
      </w:r>
      <w:r w:rsidRPr="00896D4F">
        <w:t>program.</w:t>
      </w:r>
    </w:p>
    <w:p w:rsidR="009C1C5A" w:rsidRPr="00896D4F" w:rsidRDefault="009C1C5A">
      <w:r w:rsidRPr="00896D4F">
        <w:t>Jan Håkansson kommenterade remissvaret och vidhöll sin kritik mot miljö- och hälsoskyddsnämnden.</w:t>
      </w:r>
    </w:p>
    <w:p w:rsidR="009C1C5A" w:rsidRPr="00896D4F" w:rsidRDefault="009C1C5A">
      <w:r w:rsidRPr="00896D4F">
        <w:t>Miljö- och hälsoskyddsnämndens akt lånades in och granskades, varvid fra</w:t>
      </w:r>
      <w:r w:rsidRPr="00896D4F">
        <w:t>m</w:t>
      </w:r>
      <w:r w:rsidRPr="00896D4F">
        <w:t>kom bl.a. följande. Den 25 januari 2000 beslutade nämnden att återremittera ett förslag till beslut till miljöförvaltningen med följande motivering. ”Gröna Lund har vidtagit ett antal åtgärder för att minska bullernivåerna. Gröna Lund har därmed visat att bolaget tar bullerfrågorna på stort allvar. Miljö- och hä</w:t>
      </w:r>
      <w:r w:rsidRPr="00896D4F">
        <w:t>l</w:t>
      </w:r>
      <w:r w:rsidRPr="00896D4F">
        <w:t>soskyddsnämnden återremitterar därför ärendet. Förvaltningen ska i dialog med Gröna Lund utarbeta förslag till åtgärder för att lösa bullerproblemat</w:t>
      </w:r>
      <w:r w:rsidRPr="00896D4F">
        <w:t>i</w:t>
      </w:r>
      <w:r w:rsidRPr="00896D4F">
        <w:t>ken. Därefter bör förvaltningen snarast återkomm</w:t>
      </w:r>
      <w:r w:rsidRPr="00896D4F">
        <w:t>a till nämnden med åtgärd</w:t>
      </w:r>
      <w:r w:rsidRPr="00896D4F">
        <w:t>s</w:t>
      </w:r>
      <w:r w:rsidRPr="00896D4F">
        <w:t>förslagen och tidsplanen för genomförande av dessa.” Vidare beslutade nämnden den 24 maj 2000 om ett kontrollprogram för AB Gröna Lunds T</w:t>
      </w:r>
      <w:r w:rsidRPr="00896D4F">
        <w:t>i</w:t>
      </w:r>
      <w:r w:rsidRPr="00896D4F">
        <w:t>voli. Gröna Lund har också vidtagit vissa bullerdämpande åtgä</w:t>
      </w:r>
      <w:r w:rsidRPr="00896D4F">
        <w:t>r</w:t>
      </w:r>
      <w:r w:rsidRPr="00896D4F">
        <w:t xml:space="preserve">der.  </w:t>
      </w:r>
    </w:p>
    <w:p w:rsidR="009C1C5A" w:rsidRPr="00896D4F" w:rsidRDefault="009C1C5A">
      <w:r w:rsidRPr="00896D4F">
        <w:t xml:space="preserve">I beslut den 18 december 2001 anförde </w:t>
      </w:r>
      <w:r w:rsidRPr="00896D4F">
        <w:rPr>
          <w:i/>
        </w:rPr>
        <w:t>JO Berggren</w:t>
      </w:r>
      <w:r w:rsidRPr="00896D4F">
        <w:t xml:space="preserve"> följande.</w:t>
      </w:r>
    </w:p>
    <w:p w:rsidR="009C1C5A" w:rsidRPr="00896D4F" w:rsidRDefault="009C1C5A">
      <w:r w:rsidRPr="00896D4F">
        <w:t>JO:s tillsyn avser i första hand kontroll av att myndigheterna och deras befat</w:t>
      </w:r>
      <w:r w:rsidRPr="00896D4F">
        <w:t>t</w:t>
      </w:r>
      <w:r w:rsidRPr="00896D4F">
        <w:t>ningshavare i sin verksamhet följer lagar och andra författningar samt i övrigt fullgör sina åligganden. Granskningen är av rättslig art och avser främst ti</w:t>
      </w:r>
      <w:r w:rsidRPr="00896D4F">
        <w:t>l</w:t>
      </w:r>
      <w:r w:rsidRPr="00896D4F">
        <w:t>lämpningen av gällande förfaranderegler. Däremot brukar JO inte pröva my</w:t>
      </w:r>
      <w:r w:rsidRPr="00896D4F">
        <w:t>n</w:t>
      </w:r>
      <w:r w:rsidRPr="00896D4F">
        <w:t>digheternas ställningstaganden i sakfrågor, i synnerhet om besluten bygger på lämplighetsöverväganden eller förutsätter särskild sakkunskap. Jag har därför begränsat min utredning till att avse frågan huruvida miljö- och hälsoskydd</w:t>
      </w:r>
      <w:r w:rsidRPr="00896D4F">
        <w:t>s</w:t>
      </w:r>
      <w:r w:rsidRPr="00896D4F">
        <w:t>nämndens handläggning varit korrekt från fo</w:t>
      </w:r>
      <w:r w:rsidRPr="00896D4F">
        <w:t>r</w:t>
      </w:r>
      <w:r w:rsidRPr="00896D4F">
        <w:t xml:space="preserve">mell </w:t>
      </w:r>
      <w:r w:rsidRPr="00896D4F">
        <w:t>synpunkt.</w:t>
      </w:r>
    </w:p>
    <w:p w:rsidR="009C1C5A" w:rsidRPr="00896D4F" w:rsidRDefault="009C1C5A">
      <w:pPr>
        <w:pStyle w:val="Normaltindrag"/>
      </w:pPr>
      <w:r w:rsidRPr="00896D4F">
        <w:t>Vidare skall JO enligt de regler som gäller för JO:s verksamhet normalt inte utreda hän</w:t>
      </w:r>
      <w:r w:rsidRPr="00896D4F">
        <w:softHyphen/>
        <w:t>delser eller förhållanden som ligger mer än två år tillbaka i tiden om det inte finns särskilda skäl för det, se 20 § lagen (1986:765) med instruktion för Riksdagens ombudsmän. I Jan Håkanssons anmälan, som kom in till JO den 20 mars 2000, redogörs för händelser från 1995 och framåt. Min granskning kommer med hänsyn till vad som anförts om JO:s granskning</w:t>
      </w:r>
      <w:r w:rsidRPr="00896D4F">
        <w:t>s</w:t>
      </w:r>
      <w:r w:rsidRPr="00896D4F">
        <w:t>verksamhet att avse det som inträffat från mars 1998, men det som fra</w:t>
      </w:r>
      <w:r w:rsidRPr="00896D4F">
        <w:t>m</w:t>
      </w:r>
      <w:r w:rsidRPr="00896D4F">
        <w:t>kommit om förhållandena dessförinnan ligger givetvis som ett allmänt u</w:t>
      </w:r>
      <w:r w:rsidRPr="00896D4F">
        <w:t>n</w:t>
      </w:r>
      <w:r w:rsidRPr="00896D4F">
        <w:t>derlag för m</w:t>
      </w:r>
      <w:r w:rsidRPr="00896D4F">
        <w:t>in b</w:t>
      </w:r>
      <w:r w:rsidRPr="00896D4F">
        <w:t>e</w:t>
      </w:r>
      <w:r w:rsidRPr="00896D4F">
        <w:t>dömning.</w:t>
      </w:r>
    </w:p>
    <w:p w:rsidR="009C1C5A" w:rsidRPr="00896D4F" w:rsidRDefault="009C1C5A">
      <w:pPr>
        <w:pStyle w:val="Normaltindrag"/>
      </w:pPr>
      <w:r w:rsidRPr="00896D4F">
        <w:t>De klagomål som Jan Håkansson och andra närboende anfört hos milj</w:t>
      </w:r>
      <w:r w:rsidRPr="00896D4F">
        <w:t>ö</w:t>
      </w:r>
      <w:r w:rsidRPr="00896D4F">
        <w:t>förvaltningen har hos förvaltningen gett upphov till ett ärende angående en ifrågasatt sanitär olägenhet enligt hälsoskyddslagen (1982:1080). Lagen har den 1 januari 1999 upphört och bestämmelserna rörande olägenheter för mä</w:t>
      </w:r>
      <w:r w:rsidRPr="00896D4F">
        <w:t>n</w:t>
      </w:r>
      <w:r w:rsidRPr="00896D4F">
        <w:t>niskors hälsa återfinns numera i 9 kap. miljöbalken samt i förordningen (1998:899) om miljöfarlig verksamhet och häls</w:t>
      </w:r>
      <w:r w:rsidRPr="00896D4F">
        <w:t>o</w:t>
      </w:r>
      <w:r w:rsidRPr="00896D4F">
        <w:t>skydd.</w:t>
      </w:r>
    </w:p>
    <w:p w:rsidR="009C1C5A" w:rsidRPr="00896D4F" w:rsidRDefault="009C1C5A">
      <w:pPr>
        <w:pStyle w:val="Normaltindrag"/>
      </w:pPr>
      <w:r w:rsidRPr="00896D4F">
        <w:t>Miljö- och hälsoskyddsförfattningarna innehåller inga föreskrifter om handläggningstider för ärenden av nu aktuellt slag. Därmed gäller den al</w:t>
      </w:r>
      <w:r w:rsidRPr="00896D4F">
        <w:t>l</w:t>
      </w:r>
      <w:r w:rsidRPr="00896D4F">
        <w:t>männa regeln i 7 § förvaltningslagen (1986:223) att partsärenden skall han</w:t>
      </w:r>
      <w:r w:rsidRPr="00896D4F">
        <w:t>d</w:t>
      </w:r>
      <w:r w:rsidRPr="00896D4F">
        <w:t>läggas så enkelt, snabbt och billigt som möjligt utan att säkerheten eftersätts. Det ankommer på nämnden att driva fram ärendet till ett avgörande, dvs. ett formellt beslut.</w:t>
      </w:r>
    </w:p>
    <w:p w:rsidR="009C1C5A" w:rsidRPr="00896D4F" w:rsidRDefault="009C1C5A">
      <w:pPr>
        <w:pStyle w:val="Normaltindrag"/>
      </w:pPr>
      <w:r w:rsidRPr="00896D4F">
        <w:t>Innebörden av nämndens beslut avgörs av omständigheterna i det enskilda fallet. Beslutet kan bestå i ett föreläggande till den som är ansvarig för en störande verksamhet eller t.ex. vara ett konstaterande att ingen störning för</w:t>
      </w:r>
      <w:r w:rsidRPr="00896D4F">
        <w:t>e</w:t>
      </w:r>
      <w:r w:rsidRPr="00896D4F">
        <w:t>kommer, varför klagoärendet avslutas utan åtgärd. Om klaganden anser att eventuellt vidtagna åtgärder inte är tillräckliga, har han eller hon rätt att öve</w:t>
      </w:r>
      <w:r w:rsidRPr="00896D4F">
        <w:t>r</w:t>
      </w:r>
      <w:r w:rsidRPr="00896D4F">
        <w:t>klaga för att försöka få till stånd mera kraftigt verkande å</w:t>
      </w:r>
      <w:r w:rsidRPr="00896D4F">
        <w:t>t</w:t>
      </w:r>
      <w:r w:rsidRPr="00896D4F">
        <w:t>gärder.</w:t>
      </w:r>
    </w:p>
    <w:p w:rsidR="009C1C5A" w:rsidRPr="00896D4F" w:rsidRDefault="009C1C5A">
      <w:pPr>
        <w:pStyle w:val="Normaltindrag"/>
        <w:rPr>
          <w:snapToGrid w:val="0"/>
          <w:lang w:eastAsia="sv-SE"/>
        </w:rPr>
      </w:pPr>
      <w:r w:rsidRPr="00896D4F">
        <w:t>Som tillsynsmyndighet rörande frågor om hälsoskydd har miljö- och hä</w:t>
      </w:r>
      <w:r w:rsidRPr="00896D4F">
        <w:t>l</w:t>
      </w:r>
      <w:r w:rsidRPr="00896D4F">
        <w:t>soskyddsnämnden en allmän skyldighet att vara lyhörd för befogade klagomål och se till att överträdelser av gällande hälsoskyddsbestämmelser för en ver</w:t>
      </w:r>
      <w:r w:rsidRPr="00896D4F">
        <w:t>k</w:t>
      </w:r>
      <w:r w:rsidRPr="00896D4F">
        <w:t>samhet möts med de åtgärder som påkallas av omständigheterna. I ärendet framfördes klagomål rörande buller från Gröna Lund till miljö- och häls</w:t>
      </w:r>
      <w:r w:rsidRPr="00896D4F">
        <w:t>o</w:t>
      </w:r>
      <w:r w:rsidRPr="00896D4F">
        <w:t xml:space="preserve">skyddsnämnden redan sommaren 1995. </w:t>
      </w:r>
      <w:r w:rsidRPr="00896D4F">
        <w:rPr>
          <w:snapToGrid w:val="0"/>
          <w:lang w:eastAsia="sv-SE"/>
        </w:rPr>
        <w:t>Något formellt slutligt beslut har ännu inte fattats i nämnden. En sådan tidsutdräkt är naturligtvis inte accept</w:t>
      </w:r>
      <w:r w:rsidRPr="00896D4F">
        <w:rPr>
          <w:snapToGrid w:val="0"/>
          <w:lang w:eastAsia="sv-SE"/>
        </w:rPr>
        <w:t>a</w:t>
      </w:r>
      <w:r w:rsidRPr="00896D4F">
        <w:rPr>
          <w:snapToGrid w:val="0"/>
          <w:lang w:eastAsia="sv-SE"/>
        </w:rPr>
        <w:t>bel. Ärendet borde långt tidigare ha behandlats i nämnden med ett s</w:t>
      </w:r>
      <w:r w:rsidRPr="00896D4F">
        <w:rPr>
          <w:snapToGrid w:val="0"/>
          <w:lang w:eastAsia="sv-SE"/>
        </w:rPr>
        <w:t>lutligt beslut som kunnat överklagas. Av utredningen i ärendet framgår visserligen att miljöförvaltningen under handläggningstiden vidtagit flera åtgärder, bl.a. bullermätningar för att utreda klagomålen, samt också att miljöförvaltningen lämnat nämnden förslag till slutligt beslut i ärendet. Kvar står dock att ärendet ännu efter drygt sex år inte kunnat slutf</w:t>
      </w:r>
      <w:r w:rsidRPr="00896D4F">
        <w:rPr>
          <w:snapToGrid w:val="0"/>
          <w:lang w:eastAsia="sv-SE"/>
        </w:rPr>
        <w:t>ö</w:t>
      </w:r>
      <w:r w:rsidRPr="00896D4F">
        <w:rPr>
          <w:snapToGrid w:val="0"/>
          <w:lang w:eastAsia="sv-SE"/>
        </w:rPr>
        <w:t>ras.</w:t>
      </w:r>
    </w:p>
    <w:p w:rsidR="009C1C5A" w:rsidRPr="00896D4F" w:rsidRDefault="009C1C5A">
      <w:pPr>
        <w:pStyle w:val="Normaltindrag"/>
        <w:rPr>
          <w:snapToGrid w:val="0"/>
          <w:lang w:eastAsia="sv-SE"/>
        </w:rPr>
      </w:pPr>
      <w:r w:rsidRPr="00896D4F">
        <w:rPr>
          <w:snapToGrid w:val="0"/>
          <w:lang w:eastAsia="sv-SE"/>
        </w:rPr>
        <w:t>Vid min prövning av klagomålen hos JO har jag självfallet inte tagit stäl</w:t>
      </w:r>
      <w:r w:rsidRPr="00896D4F">
        <w:rPr>
          <w:snapToGrid w:val="0"/>
          <w:lang w:eastAsia="sv-SE"/>
        </w:rPr>
        <w:t>l</w:t>
      </w:r>
      <w:r w:rsidRPr="00896D4F">
        <w:rPr>
          <w:snapToGrid w:val="0"/>
          <w:lang w:eastAsia="sv-SE"/>
        </w:rPr>
        <w:t>ning till  den kritik som har anförts rörande bl.a. bullerstörningar genom ver</w:t>
      </w:r>
      <w:r w:rsidRPr="00896D4F">
        <w:rPr>
          <w:snapToGrid w:val="0"/>
          <w:lang w:eastAsia="sv-SE"/>
        </w:rPr>
        <w:t>k</w:t>
      </w:r>
      <w:r w:rsidRPr="00896D4F">
        <w:rPr>
          <w:snapToGrid w:val="0"/>
          <w:lang w:eastAsia="sv-SE"/>
        </w:rPr>
        <w:t>samheten vid Gröna Lund. Jag har inte heller tagit ställning till lämpligheten av vidtagna åtgärder eller förslag hos nämnden. Jag kan dock mot bakgrund av vad som har förekommit konstatera att det sätt på vilket nämnden har dr</w:t>
      </w:r>
      <w:r w:rsidRPr="00896D4F">
        <w:rPr>
          <w:snapToGrid w:val="0"/>
          <w:lang w:eastAsia="sv-SE"/>
        </w:rPr>
        <w:t>i</w:t>
      </w:r>
      <w:r w:rsidRPr="00896D4F">
        <w:rPr>
          <w:snapToGrid w:val="0"/>
          <w:lang w:eastAsia="sv-SE"/>
        </w:rPr>
        <w:t>vit ärendet inte är förenligt med de krav på bl.a. snabbhet i handläggningen som jag förut har redogjort för. Nämnden har härigenom enligt min uppfat</w:t>
      </w:r>
      <w:r w:rsidRPr="00896D4F">
        <w:rPr>
          <w:snapToGrid w:val="0"/>
          <w:lang w:eastAsia="sv-SE"/>
        </w:rPr>
        <w:t>t</w:t>
      </w:r>
      <w:r w:rsidRPr="00896D4F">
        <w:rPr>
          <w:snapToGrid w:val="0"/>
          <w:lang w:eastAsia="sv-SE"/>
        </w:rPr>
        <w:t>ning brustit i sin uppgift som til</w:t>
      </w:r>
      <w:r w:rsidRPr="00896D4F">
        <w:rPr>
          <w:snapToGrid w:val="0"/>
          <w:lang w:eastAsia="sv-SE"/>
        </w:rPr>
        <w:t>l</w:t>
      </w:r>
      <w:r w:rsidRPr="00896D4F">
        <w:rPr>
          <w:snapToGrid w:val="0"/>
          <w:lang w:eastAsia="sv-SE"/>
        </w:rPr>
        <w:t>synsmyndighet.</w:t>
      </w:r>
    </w:p>
    <w:p w:rsidR="009C1C5A" w:rsidRPr="00896D4F" w:rsidRDefault="009C1C5A">
      <w:pPr>
        <w:rPr>
          <w:snapToGrid w:val="0"/>
          <w:lang w:eastAsia="sv-SE"/>
        </w:rPr>
      </w:pPr>
      <w:r w:rsidRPr="00896D4F">
        <w:rPr>
          <w:snapToGrid w:val="0"/>
          <w:lang w:eastAsia="sv-SE"/>
        </w:rPr>
        <w:t xml:space="preserve">Med </w:t>
      </w:r>
      <w:r w:rsidRPr="00896D4F">
        <w:rPr>
          <w:snapToGrid w:val="0"/>
          <w:lang w:eastAsia="sv-SE"/>
        </w:rPr>
        <w:t>den uttalade kritiken avslutar jag ärendet.</w:t>
      </w:r>
    </w:p>
    <w:p w:rsidR="009C1C5A" w:rsidRPr="00896D4F" w:rsidRDefault="009C1C5A">
      <w:pPr>
        <w:pStyle w:val="Rubrik2"/>
      </w:pPr>
      <w:r w:rsidRPr="00896D4F">
        <w:t>En kommunal nämnd har uppdragit åt en advokat att biträda kommunen i ett ärende rörande inrättande av en allmän vattenanläggning. Bl.a. fråga om de uppgifter som överlämnats till advokaten innefattar myndighetsutövning</w:t>
      </w:r>
    </w:p>
    <w:p w:rsidR="009C1C5A" w:rsidRPr="00896D4F" w:rsidRDefault="009C1C5A">
      <w:pPr>
        <w:spacing w:before="0"/>
      </w:pPr>
      <w:r w:rsidRPr="00896D4F">
        <w:t>(Dnr 1476-2000)</w:t>
      </w:r>
    </w:p>
    <w:p w:rsidR="009C1C5A" w:rsidRPr="00896D4F" w:rsidRDefault="009C1C5A">
      <w:pPr>
        <w:pStyle w:val="Rubrik3"/>
      </w:pPr>
      <w:r w:rsidRPr="00896D4F">
        <w:t>Anmälan</w:t>
      </w:r>
    </w:p>
    <w:p w:rsidR="009C1C5A" w:rsidRPr="00896D4F" w:rsidRDefault="009C1C5A">
      <w:r w:rsidRPr="00896D4F">
        <w:t>I en anmälan, som kom in till JO den 17 april 2000, begärde Bengt Berglund att JO skulle granska Härjedalens kommuns handläggning av ett ärende rörande inrättande av allmän vattenanläggning i Östansjö. I anmälan påstods bl.a. att tekniska nämnden eller annan behörig nämnd inte meddelade något överklagbart beslut trots att han begärde det. Av anmälan jämte därtill fogade handlingar framgick bl.a. följa</w:t>
      </w:r>
      <w:r w:rsidRPr="00896D4F">
        <w:t>n</w:t>
      </w:r>
      <w:r w:rsidRPr="00896D4F">
        <w:t>de.</w:t>
      </w:r>
    </w:p>
    <w:p w:rsidR="009C1C5A" w:rsidRPr="00896D4F" w:rsidRDefault="009C1C5A">
      <w:pPr>
        <w:pStyle w:val="Normaltindrag"/>
      </w:pPr>
      <w:r w:rsidRPr="00896D4F">
        <w:t>Den nuvarande enskilda vattenanläggningen i Östansjö, som omfattar ca 50 fastigheter, anlades i slutet av 50-talet. Genom förrättning i början av 70-talet bildades Östansjö samfällighetsförening för att handha skötsel och drift av anläggningen. Vattentäkten utgörs av en ytvattentäkt. Kvalitén på vattnet har avsevärt försämrats  och det finns risk att byn inom kort tid kommer att vara utan användbart hushållsvatten. Diskussioner har förts mellan främst tekniska kontoret i Härjedalens kommun och samfälli</w:t>
      </w:r>
      <w:r w:rsidRPr="00896D4F">
        <w:t>ghetsföreningen rörande hur man bäst skall lösa vattenförsörjningen i Östansjö. Enligt tekniska kont</w:t>
      </w:r>
      <w:r w:rsidRPr="00896D4F">
        <w:t>o</w:t>
      </w:r>
      <w:r w:rsidRPr="00896D4F">
        <w:t>ret är det för delägarna billigaste alternativet att den nuvarande anläggning</w:t>
      </w:r>
      <w:r w:rsidRPr="00896D4F">
        <w:t>s</w:t>
      </w:r>
      <w:r w:rsidRPr="00896D4F">
        <w:t>förrättningen omprövas genom en ny förrättning. Ansökan kan göras av n</w:t>
      </w:r>
      <w:r w:rsidRPr="00896D4F">
        <w:t>å</w:t>
      </w:r>
      <w:r w:rsidRPr="00896D4F">
        <w:t>gon av delägarna eller av kommunen. Samfällighetsföreningen anser emelle</w:t>
      </w:r>
      <w:r w:rsidRPr="00896D4F">
        <w:t>r</w:t>
      </w:r>
      <w:r w:rsidRPr="00896D4F">
        <w:t>tid att kommunen bör överta ansvaret för vatte</w:t>
      </w:r>
      <w:r w:rsidRPr="00896D4F">
        <w:t>n</w:t>
      </w:r>
      <w:r w:rsidRPr="00896D4F">
        <w:t xml:space="preserve">försörjningen i Östansjö.  </w:t>
      </w:r>
    </w:p>
    <w:p w:rsidR="009C1C5A" w:rsidRPr="00896D4F" w:rsidRDefault="009C1C5A">
      <w:pPr>
        <w:pStyle w:val="Normaltindrag"/>
      </w:pPr>
      <w:r w:rsidRPr="00896D4F">
        <w:t xml:space="preserve">I en skrivelse den 14 juni 1999 begärde Bengt Berglund, såsom företrädare för Östansjö samfällighetsförening, att </w:t>
      </w:r>
      <w:r w:rsidRPr="00896D4F">
        <w:t>tekniska nämnden, eller den nämnd som eljest anses behörig därtill, utan dröjsmål skulle fatta beslut om inrätta</w:t>
      </w:r>
      <w:r w:rsidRPr="00896D4F">
        <w:t>n</w:t>
      </w:r>
      <w:r w:rsidRPr="00896D4F">
        <w:t>de av allmän vattenanläggning med verksamhetsområde omfattande Östansjö by samt att nämnden skulle besluta om en särskild anslutningsavgift med beaktande av självkostnadsprincipen och reglerna om inlösen av befintliga anläggningar i 15 § lagen (1970:244) om allmänna vatten- och avloppsa</w:t>
      </w:r>
      <w:r w:rsidRPr="00896D4F">
        <w:t>n</w:t>
      </w:r>
      <w:r w:rsidRPr="00896D4F">
        <w:t>läggningar (va-lagen). I skrivelsen förutsatte föreningen vidare att man skulle få ta del av eventuella utredni</w:t>
      </w:r>
      <w:r w:rsidRPr="00896D4F">
        <w:t>ngar samt att man skulle få besked om hur b</w:t>
      </w:r>
      <w:r w:rsidRPr="00896D4F">
        <w:t>e</w:t>
      </w:r>
      <w:r w:rsidRPr="00896D4F">
        <w:t>slutet, för det fall det skulle gå föreningen emot, kunde överpr</w:t>
      </w:r>
      <w:r w:rsidRPr="00896D4F">
        <w:t>ö</w:t>
      </w:r>
      <w:r w:rsidRPr="00896D4F">
        <w:t>vas.</w:t>
      </w:r>
    </w:p>
    <w:p w:rsidR="009C1C5A" w:rsidRPr="00896D4F" w:rsidRDefault="009C1C5A">
      <w:pPr>
        <w:pStyle w:val="Normaltindrag"/>
      </w:pPr>
      <w:r w:rsidRPr="00896D4F">
        <w:t>Skrivelsen besvarades den 27 september 1999 av en advokat, som uppgav att han fått i uppdrag av Härjedalens kommun att göra detta. I svarsskrivelsen uppgavs bl.a. följande. Kommunen är i och för sig beredd att utvidga ver</w:t>
      </w:r>
      <w:r w:rsidRPr="00896D4F">
        <w:t>k</w:t>
      </w:r>
      <w:r w:rsidRPr="00896D4F">
        <w:t>samhetsområdet för kommunens allmänna vattenanläggning så att den o</w:t>
      </w:r>
      <w:r w:rsidRPr="00896D4F">
        <w:t>m</w:t>
      </w:r>
      <w:r w:rsidRPr="00896D4F">
        <w:t>fattar även Östansjö by men fastighetsägarna kommer då att få betala anläg</w:t>
      </w:r>
      <w:r w:rsidRPr="00896D4F">
        <w:t>g</w:t>
      </w:r>
      <w:r w:rsidRPr="00896D4F">
        <w:t>ningsavgift i enlighet med va-taxan. Eventuellt kan fastighetsägarna få viss ersättning för den befintliga anläggningen. Mot denna bakgrund finns det enligt kommunen skäl för Östansjö samfällighetsförening att ånyo överväga om inte föreningen själv bör svara för en upprustning av den befintliga a</w:t>
      </w:r>
      <w:r w:rsidRPr="00896D4F">
        <w:t>n</w:t>
      </w:r>
      <w:r w:rsidRPr="00896D4F">
        <w:t>läggningen. Föreningen ombads att återkomma för det fall man trots all</w:t>
      </w:r>
      <w:r w:rsidRPr="00896D4F">
        <w:t>t ville att kommunen skulle fatta beslut om att utvidga verksamhetsområdet så att det omfattar även Östa</w:t>
      </w:r>
      <w:r w:rsidRPr="00896D4F">
        <w:t>n</w:t>
      </w:r>
      <w:r w:rsidRPr="00896D4F">
        <w:t>sjö.</w:t>
      </w:r>
    </w:p>
    <w:p w:rsidR="009C1C5A" w:rsidRPr="00896D4F" w:rsidRDefault="009C1C5A">
      <w:pPr>
        <w:pStyle w:val="Normaltindrag"/>
      </w:pPr>
      <w:r w:rsidRPr="00896D4F">
        <w:t>I beslut den 9 december 1999 anförde tekniska nämnden att nämnden var beredd att föreslå kommunfullmäktige att utöka verksamhetsområdet för kommunens allmänna va-anläggning med Östansjö, varvid bl.a. kommunens va-taxa skulle komma att gälla. Innan utökningen skedde förutsattes att ans</w:t>
      </w:r>
      <w:r w:rsidRPr="00896D4F">
        <w:t>ö</w:t>
      </w:r>
      <w:r w:rsidRPr="00896D4F">
        <w:t>kan om anslutning till den allmänna anläggningen inlämnades av respektive fastighetsägare.</w:t>
      </w:r>
    </w:p>
    <w:p w:rsidR="009C1C5A" w:rsidRPr="00896D4F" w:rsidRDefault="009C1C5A">
      <w:pPr>
        <w:pStyle w:val="Rubrik3"/>
      </w:pPr>
      <w:r w:rsidRPr="00896D4F">
        <w:t>Utredning</w:t>
      </w:r>
    </w:p>
    <w:p w:rsidR="009C1C5A" w:rsidRPr="00896D4F" w:rsidRDefault="009C1C5A">
      <w:r w:rsidRPr="00896D4F">
        <w:t>Anmälan remitterades till Kommunstyrelsen i Härjedalens kommun för u</w:t>
      </w:r>
      <w:r w:rsidRPr="00896D4F">
        <w:t>t</w:t>
      </w:r>
      <w:r w:rsidRPr="00896D4F">
        <w:t>redning och yttrande över vad som framförts i anmälan rörande handläg</w:t>
      </w:r>
      <w:r w:rsidRPr="00896D4F">
        <w:t>g</w:t>
      </w:r>
      <w:r w:rsidRPr="00896D4F">
        <w:t>ningen av Bengt Berglunds skrivelse den 14 juni 1999 med begäran om i</w:t>
      </w:r>
      <w:r w:rsidRPr="00896D4F">
        <w:t>n</w:t>
      </w:r>
      <w:r w:rsidRPr="00896D4F">
        <w:t>rättande av allmän vatten</w:t>
      </w:r>
      <w:r w:rsidRPr="00896D4F">
        <w:softHyphen/>
      </w:r>
      <w:r w:rsidRPr="00896D4F">
        <w:softHyphen/>
      </w:r>
      <w:r w:rsidRPr="00896D4F">
        <w:softHyphen/>
      </w:r>
      <w:r w:rsidRPr="00896D4F">
        <w:softHyphen/>
        <w:t>anläggning i Östansjö. I sitt remissvar den 11 okt</w:t>
      </w:r>
      <w:r w:rsidRPr="00896D4F">
        <w:t>o</w:t>
      </w:r>
      <w:r w:rsidRPr="00896D4F">
        <w:t>ber 2000 anförde kommunst</w:t>
      </w:r>
      <w:r w:rsidRPr="00896D4F">
        <w:t>y</w:t>
      </w:r>
      <w:r w:rsidRPr="00896D4F">
        <w:t>relsen bl.a. följande.</w:t>
      </w:r>
    </w:p>
    <w:p w:rsidR="009C1C5A" w:rsidRPr="00896D4F" w:rsidRDefault="009C1C5A">
      <w:pPr>
        <w:pStyle w:val="Citat"/>
      </w:pPr>
      <w:r w:rsidRPr="00896D4F">
        <w:t xml:space="preserve">Den 6 juni 1999 [rätteligen den 14 juni 1999; JO:s anm.] tillskrevs tekniska nämnden av byalagets/samfällighetsföreningen genom dess ombud Bengt Berglund. </w:t>
      </w:r>
    </w:p>
    <w:p w:rsidR="009C1C5A" w:rsidRPr="00896D4F" w:rsidRDefault="009C1C5A">
      <w:r w:rsidRPr="00896D4F">
        <w:t>– – –</w:t>
      </w:r>
    </w:p>
    <w:p w:rsidR="009C1C5A" w:rsidRPr="00896D4F" w:rsidRDefault="009C1C5A">
      <w:pPr>
        <w:pStyle w:val="Citat"/>
      </w:pPr>
      <w:r w:rsidRPr="00896D4F">
        <w:t>Eftersom förvaltningens trovärdighet och juridiska kompetens ifrågasatts av sökandens ombud anlitade tekniska nämnden ett juridiskt ombud för att kla</w:t>
      </w:r>
      <w:r w:rsidRPr="00896D4F">
        <w:t>r</w:t>
      </w:r>
      <w:r w:rsidRPr="00896D4F">
        <w:t>göra vissa frågeställningar.</w:t>
      </w:r>
    </w:p>
    <w:p w:rsidR="009C1C5A" w:rsidRPr="00896D4F" w:rsidRDefault="009C1C5A">
      <w:pPr>
        <w:pStyle w:val="Citatindrag"/>
      </w:pPr>
      <w:r w:rsidRPr="00896D4F">
        <w:t>Den 27 september 1999 tillskrev kommunen, via sitt ombud Advokatfi</w:t>
      </w:r>
      <w:r w:rsidRPr="00896D4F">
        <w:t>r</w:t>
      </w:r>
      <w:r w:rsidRPr="00896D4F">
        <w:t>man Åberg &amp; Co AB, samfällighetsföreningen, via ombudet Bengt Berglund. I brevet redogörs för de allmänna och juridiska förutsättningarna för ver</w:t>
      </w:r>
      <w:r w:rsidRPr="00896D4F">
        <w:t>k</w:t>
      </w:r>
      <w:r w:rsidRPr="00896D4F">
        <w:t>samhetsområden, anslutningsavgifter och inlösen av anläggning. Brevet a</w:t>
      </w:r>
      <w:r w:rsidRPr="00896D4F">
        <w:t>v</w:t>
      </w:r>
      <w:r w:rsidRPr="00896D4F">
        <w:t>slutas med sammanfat</w:t>
      </w:r>
      <w:r w:rsidRPr="00896D4F">
        <w:t>t</w:t>
      </w:r>
      <w:r w:rsidRPr="00896D4F">
        <w:t>ningen:</w:t>
      </w:r>
    </w:p>
    <w:p w:rsidR="009C1C5A" w:rsidRPr="00896D4F" w:rsidRDefault="009C1C5A">
      <w:pPr>
        <w:pStyle w:val="Citatindrag"/>
      </w:pPr>
      <w:r w:rsidRPr="00896D4F">
        <w:t>”Sammanfattningsvis innebär kommunens inställning att man i och för sig är beredd att utvidga verksamhetsområdet men att fastighetsägarna får betala anläggningsavgift i enlighet med va-taxan. Möjligen kan fastighetsägarna erhålla viss ersättning för den befintliga</w:t>
      </w:r>
      <w:r w:rsidRPr="00896D4F">
        <w:t xml:space="preserve"> anläggningen. Mot bakgrund av kommunens inställning finns det skäl för Östansjö Byalag att ånyo överväga om inte samfällighetsföreningen själv bör svara för en upprustning av den befintliga anläggningen. För det fall byalaget trots allt vill att kommunen skall fatta ett beslut om att utvidga verksamhetsområdet så att det omfattar Östa</w:t>
      </w:r>
      <w:r w:rsidRPr="00896D4F">
        <w:t>n</w:t>
      </w:r>
      <w:r w:rsidRPr="00896D4F">
        <w:t>sjö by, ber jag Er att återkomma.”</w:t>
      </w:r>
    </w:p>
    <w:p w:rsidR="009C1C5A" w:rsidRPr="00896D4F" w:rsidRDefault="009C1C5A">
      <w:pPr>
        <w:pStyle w:val="Citatindrag"/>
      </w:pPr>
      <w:r w:rsidRPr="00896D4F">
        <w:t>Sökandens ombud har därefter, den 23 november 1999, i brev till komm</w:t>
      </w:r>
      <w:r w:rsidRPr="00896D4F">
        <w:t>u</w:t>
      </w:r>
      <w:r w:rsidRPr="00896D4F">
        <w:t>nens ombud, bekräftat att kraven på en lösning av frågan om vattenförsör</w:t>
      </w:r>
      <w:r w:rsidRPr="00896D4F">
        <w:t>j</w:t>
      </w:r>
      <w:r w:rsidRPr="00896D4F">
        <w:t>ningen i Östansjö kvarstår, och att man, med hänvisning till tidigare skrivelse önskar ett kommunalt beslut.</w:t>
      </w:r>
    </w:p>
    <w:p w:rsidR="009C1C5A" w:rsidRPr="00896D4F" w:rsidRDefault="009C1C5A">
      <w:pPr>
        <w:pStyle w:val="Citatindrag"/>
      </w:pPr>
      <w:r w:rsidRPr="00896D4F">
        <w:t>Tekniska nämnden prövade och beslutade i ärendet den 9 december 1999, § 73. – – –</w:t>
      </w:r>
    </w:p>
    <w:p w:rsidR="009C1C5A" w:rsidRPr="00896D4F" w:rsidRDefault="009C1C5A">
      <w:pPr>
        <w:pStyle w:val="Citat"/>
      </w:pPr>
      <w:r w:rsidRPr="00896D4F">
        <w:t>Tekniska nämndens beslut:</w:t>
      </w:r>
    </w:p>
    <w:p w:rsidR="009C1C5A" w:rsidRPr="00896D4F" w:rsidRDefault="009C1C5A">
      <w:pPr>
        <w:pStyle w:val="Citat"/>
        <w:spacing w:before="0"/>
      </w:pPr>
      <w:r w:rsidRPr="00896D4F">
        <w:t>Tekniska nämnden är beredd att föreslå kommunfullmäktige utöka verksa</w:t>
      </w:r>
      <w:r w:rsidRPr="00896D4F">
        <w:t>m</w:t>
      </w:r>
      <w:r w:rsidRPr="00896D4F">
        <w:t>hetsområdet för kommunens allmänna va-anläggning med Östansjö. Villk</w:t>
      </w:r>
      <w:r w:rsidRPr="00896D4F">
        <w:t>o</w:t>
      </w:r>
      <w:r w:rsidRPr="00896D4F">
        <w:t>ren för brukande, ABVA (Allmänna bestämmelser för brukande av Härjed</w:t>
      </w:r>
      <w:r w:rsidRPr="00896D4F">
        <w:t>a</w:t>
      </w:r>
      <w:r w:rsidRPr="00896D4F">
        <w:t>lens kommuns allmänna vatten- och avloppsanläggning) samt kommunens va-taxa kommer då att gälla. Innan utökningen sker förutsätts att ansökan om anslutning till den allmänna anläggningen inlämnas av respektive fastighet</w:t>
      </w:r>
      <w:r w:rsidRPr="00896D4F">
        <w:t>s</w:t>
      </w:r>
      <w:r w:rsidRPr="00896D4F">
        <w:t>ägare.</w:t>
      </w:r>
    </w:p>
    <w:p w:rsidR="009C1C5A" w:rsidRPr="00896D4F" w:rsidRDefault="009C1C5A">
      <w:r w:rsidRPr="00896D4F">
        <w:t>I remissvaret angavs avslutningsvis att samfällighetsföreningens hemställan ansågs ”bifallen i och med tekniska nämndens beslut att Östansjö kan i</w:t>
      </w:r>
      <w:r w:rsidRPr="00896D4F">
        <w:t>ngå i verksamhetsområdet för kommunens al</w:t>
      </w:r>
      <w:r w:rsidRPr="00896D4F">
        <w:t>l</w:t>
      </w:r>
      <w:r w:rsidRPr="00896D4F">
        <w:t>männa va-anläggning”.</w:t>
      </w:r>
    </w:p>
    <w:p w:rsidR="009C1C5A" w:rsidRPr="00896D4F" w:rsidRDefault="009C1C5A">
      <w:r w:rsidRPr="00896D4F">
        <w:t xml:space="preserve">Bengt Berglund kommenterade remissvaret. </w:t>
      </w:r>
    </w:p>
    <w:p w:rsidR="009C1C5A" w:rsidRPr="00896D4F" w:rsidRDefault="009C1C5A">
      <w:r w:rsidRPr="00896D4F">
        <w:t>Tekniska nämndens akt lånades in och granskades.</w:t>
      </w:r>
    </w:p>
    <w:p w:rsidR="009C1C5A" w:rsidRPr="00896D4F" w:rsidRDefault="009C1C5A">
      <w:r w:rsidRPr="00896D4F">
        <w:t xml:space="preserve">I beslut den 24 maj 2002 anförde </w:t>
      </w:r>
      <w:r w:rsidRPr="00896D4F">
        <w:rPr>
          <w:i/>
        </w:rPr>
        <w:t>stf. JO Ekberg</w:t>
      </w:r>
      <w:r w:rsidRPr="00896D4F">
        <w:t xml:space="preserve"> bl.a. följande.</w:t>
      </w:r>
    </w:p>
    <w:p w:rsidR="009C1C5A" w:rsidRPr="00896D4F" w:rsidRDefault="009C1C5A">
      <w:r w:rsidRPr="00896D4F">
        <w:t>Bengt Berglunds skrivelse den 14 juni 1999 till ”Härjedalens kommun, Te</w:t>
      </w:r>
      <w:r w:rsidRPr="00896D4F">
        <w:t>k</w:t>
      </w:r>
      <w:r w:rsidRPr="00896D4F">
        <w:t>niska nämnden” besvarades av en advokat som uppgav att Härjedalens ko</w:t>
      </w:r>
      <w:r w:rsidRPr="00896D4F">
        <w:t>m</w:t>
      </w:r>
      <w:r w:rsidRPr="00896D4F">
        <w:t>mun uppdragit åt honom att göra detta. Advokatens skrivelse, i vilken bl.a. redovisades  kommunens inställning i sakfrågan, avslutades med en uppm</w:t>
      </w:r>
      <w:r w:rsidRPr="00896D4F">
        <w:t>a</w:t>
      </w:r>
      <w:r w:rsidRPr="00896D4F">
        <w:t>ning till samfällighetsföreningen att ånyo överväga om inte föreningen själv borde svara för upprustningen av den befintliga va-anläggningen och, för det fall man trots allt ville att kommunen skulle fatta beslut om att utvidga ver</w:t>
      </w:r>
      <w:r w:rsidRPr="00896D4F">
        <w:t>k</w:t>
      </w:r>
      <w:r w:rsidRPr="00896D4F">
        <w:t>samhetsområdet, därefter återkomma. Såvida föreningen inte hör</w:t>
      </w:r>
      <w:r w:rsidRPr="00896D4F">
        <w:t>de av sig innebar således skrivelsen ett besked om att ärendet avslutades. Det ligger därför nära till hands att tolka skrivelsen som att kommunen i viss mån öve</w:t>
      </w:r>
      <w:r w:rsidRPr="00896D4F">
        <w:t>r</w:t>
      </w:r>
      <w:r w:rsidRPr="00896D4F">
        <w:t>låtit åt advokaten att fatta beslut i äre</w:t>
      </w:r>
      <w:r w:rsidRPr="00896D4F">
        <w:t>n</w:t>
      </w:r>
      <w:r w:rsidRPr="00896D4F">
        <w:t xml:space="preserve">det. </w:t>
      </w:r>
    </w:p>
    <w:p w:rsidR="009C1C5A" w:rsidRPr="00896D4F" w:rsidRDefault="009C1C5A">
      <w:pPr>
        <w:pStyle w:val="Normaltindrag"/>
      </w:pPr>
      <w:r w:rsidRPr="00896D4F">
        <w:t>En kommuns möjligheter att överlämna förvaltningsuppgifter till enskilda regleras i regeringsformen och kommunallagen (1991:900). En förvaltning</w:t>
      </w:r>
      <w:r w:rsidRPr="00896D4F">
        <w:t>s</w:t>
      </w:r>
      <w:r w:rsidRPr="00896D4F">
        <w:t>uppgift kan sålunda enligt 11 kap. 6 § tredje stycket regeringsformen öve</w:t>
      </w:r>
      <w:r w:rsidRPr="00896D4F">
        <w:t>r</w:t>
      </w:r>
      <w:r w:rsidRPr="00896D4F">
        <w:t xml:space="preserve">lämnas till bolag, förening, samfällighet, stiftelse, registrerat trossamfund eller någon av dess organisatoriska delar eller till enskild individ. Innefattar uppgiften myndighetsutövning, skall det ske med stöd av lag. Vidare skall dokumenteras vilka uppgifter som överlämnas. </w:t>
      </w:r>
    </w:p>
    <w:p w:rsidR="009C1C5A" w:rsidRPr="00896D4F" w:rsidRDefault="009C1C5A">
      <w:pPr>
        <w:pStyle w:val="Normaltindrag"/>
      </w:pPr>
      <w:r w:rsidRPr="00896D4F">
        <w:t>Den närmare omfattningen av de uppgifter som kommunen överlämnat till advokaten har inte framkommit. Någon fullmakt för advokaten med avgrän</w:t>
      </w:r>
      <w:r w:rsidRPr="00896D4F">
        <w:t>s</w:t>
      </w:r>
      <w:r w:rsidRPr="00896D4F">
        <w:t>ning av hans uppdrag återfinns inte i kommunens akt. Innehållet i advokatens skrivelse ger emellertid vid handen att uppgiften kunde innefatta myndighet</w:t>
      </w:r>
      <w:r w:rsidRPr="00896D4F">
        <w:t>s</w:t>
      </w:r>
      <w:r w:rsidRPr="00896D4F">
        <w:t>utövning. Det saknas stöd i lag för att på detta sätt  överlämna en sådan up</w:t>
      </w:r>
      <w:r w:rsidRPr="00896D4F">
        <w:t>p</w:t>
      </w:r>
      <w:r w:rsidRPr="00896D4F">
        <w:t>gift till en enskild. Däremot har kommunen möjlighet att inför ett eget beslut i ett ärende innefattande myndighetsutövning t.ex. inhämta ett yttrande från en advokat eller annan rörande tolkningen av gällande bestä</w:t>
      </w:r>
      <w:r w:rsidRPr="00896D4F">
        <w:t>m</w:t>
      </w:r>
      <w:r w:rsidRPr="00896D4F">
        <w:t>melser på området.</w:t>
      </w:r>
    </w:p>
    <w:p w:rsidR="009C1C5A" w:rsidRPr="00896D4F" w:rsidRDefault="009C1C5A">
      <w:pPr>
        <w:pStyle w:val="Normaltindrag"/>
      </w:pPr>
      <w:r w:rsidRPr="00896D4F">
        <w:t>Såvitt framgår av den inlånade akten har något</w:t>
      </w:r>
      <w:r w:rsidRPr="00896D4F">
        <w:t xml:space="preserve"> dokumenterat ställningst</w:t>
      </w:r>
      <w:r w:rsidRPr="00896D4F">
        <w:t>a</w:t>
      </w:r>
      <w:r w:rsidRPr="00896D4F">
        <w:t xml:space="preserve">gande från kommunens sida inte föregått advokatens skrivelse och skrivelsen synes ha tillförts ärendet först genom att Bengt Berglund skickat in en kopia av denna till tekniska nämnden. Då kommunen inte närmare har berört dessa frågor i sitt remissvar är det oklart vilka närmare överväganden som gjorts i samband med beslutet att uppdra åt advokaten att besvara Bengt Berglunds skrivelse. Mycket tyder dock på att nämnden inte själv tagit ställning i frågan utan överlämnat detta till </w:t>
      </w:r>
      <w:r w:rsidRPr="00896D4F">
        <w:t>advokaten. Som jag anfört ovan är en sådan han</w:t>
      </w:r>
      <w:r w:rsidRPr="00896D4F">
        <w:t>d</w:t>
      </w:r>
      <w:r w:rsidRPr="00896D4F">
        <w:t>läggning inte förenlig med gä</w:t>
      </w:r>
      <w:r w:rsidRPr="00896D4F">
        <w:t>l</w:t>
      </w:r>
      <w:r w:rsidRPr="00896D4F">
        <w:t xml:space="preserve">lande regler. </w:t>
      </w:r>
    </w:p>
    <w:p w:rsidR="009C1C5A" w:rsidRPr="00896D4F" w:rsidRDefault="009C1C5A">
      <w:pPr>
        <w:pStyle w:val="Normaltindrag"/>
      </w:pPr>
      <w:r w:rsidRPr="00896D4F">
        <w:t>Den 9 december 1999 beslutade tekniska nämnden att den ”är beredd att föreslå” kommunfullmäktige att utöka verksamhetsområdet för kommunens allmänna verksamhetsområde. Detta beslut kan inte anses utgöra ett bifall till samfällighetsföreningens begäran. Någon skyldighet att formligen delge b</w:t>
      </w:r>
      <w:r w:rsidRPr="00896D4F">
        <w:t>e</w:t>
      </w:r>
      <w:r w:rsidRPr="00896D4F">
        <w:t>slutet med föreningen eller att förse det med överklagandehänvisning har emellertid inte förelegat eftersom beslutet inte kan överklagas på annat sätt än genom begäran om laglighetsprövning. Den som anser att en kommun inte fullföljer sin skyldigheter på va-området kan i stället vända sig till länsstyre</w:t>
      </w:r>
      <w:r w:rsidRPr="00896D4F">
        <w:t>l</w:t>
      </w:r>
      <w:r w:rsidRPr="00896D4F">
        <w:t>sen. Bengt Berglunds klagomål i denna del föranleder därför ingen ytterligare åtgärd av mig.</w:t>
      </w:r>
    </w:p>
    <w:p w:rsidR="009C1C5A" w:rsidRPr="00896D4F" w:rsidRDefault="009C1C5A">
      <w:pPr>
        <w:pStyle w:val="Rubrik2"/>
      </w:pPr>
      <w:r w:rsidRPr="00896D4F">
        <w:t>En kommuns samverkan med en annan kommun inom djurskyddsområdet har inte ansetts ha stöd i lag</w:t>
      </w:r>
    </w:p>
    <w:p w:rsidR="009C1C5A" w:rsidRPr="00896D4F" w:rsidRDefault="009C1C5A">
      <w:pPr>
        <w:spacing w:before="0"/>
      </w:pPr>
      <w:r w:rsidRPr="00896D4F">
        <w:t>(Dnr 2414-2000)</w:t>
      </w:r>
    </w:p>
    <w:p w:rsidR="009C1C5A" w:rsidRPr="00896D4F" w:rsidRDefault="009C1C5A">
      <w:pPr>
        <w:pStyle w:val="Rubrik3"/>
      </w:pPr>
      <w:r w:rsidRPr="00896D4F">
        <w:t>Initiativet</w:t>
      </w:r>
    </w:p>
    <w:p w:rsidR="009C1C5A" w:rsidRPr="00896D4F" w:rsidRDefault="009C1C5A">
      <w:r w:rsidRPr="00896D4F">
        <w:t>Vid JO Berggrens inspektion den 5–7 juni 2000 av Miljönämnden i Vellinge kommun uppgav kommunens förvaltningschef att en djurskyddsinspektör anställd i Trelleborgs kommun utövar tillsyn också i Vellinge kommun och då fattar beslut i Vellinge kommuns namn. Han ifrågasatte om sådana ”köp av tjänster” var förenliga med lagstiftnin</w:t>
      </w:r>
      <w:r w:rsidRPr="00896D4F">
        <w:t>g</w:t>
      </w:r>
      <w:r w:rsidRPr="00896D4F">
        <w:t xml:space="preserve">en. </w:t>
      </w:r>
    </w:p>
    <w:p w:rsidR="009C1C5A" w:rsidRPr="00896D4F" w:rsidRDefault="009C1C5A">
      <w:r w:rsidRPr="00896D4F">
        <w:t>Med anledning av uppgifterna inleddes utredning.</w:t>
      </w:r>
    </w:p>
    <w:p w:rsidR="009C1C5A" w:rsidRPr="00896D4F" w:rsidRDefault="009C1C5A">
      <w:pPr>
        <w:pStyle w:val="Rubrik3"/>
      </w:pPr>
      <w:r w:rsidRPr="00896D4F">
        <w:t>Utredning</w:t>
      </w:r>
    </w:p>
    <w:p w:rsidR="009C1C5A" w:rsidRPr="00896D4F" w:rsidRDefault="009C1C5A">
      <w:r w:rsidRPr="00896D4F">
        <w:t>Miljönämnden anmodades att inkomma med utredning och yttrande rörande de närmare formerna för det angivna samarbetet mellan Trelleborgs kommun och Vellinge kommun. Miljönämnden anförde i sitt remissvar bl.a. följa</w:t>
      </w:r>
      <w:r w:rsidRPr="00896D4F">
        <w:t>n</w:t>
      </w:r>
      <w:r w:rsidRPr="00896D4F">
        <w:t>de.</w:t>
      </w:r>
    </w:p>
    <w:p w:rsidR="009C1C5A" w:rsidRPr="00896D4F" w:rsidRDefault="009C1C5A">
      <w:pPr>
        <w:pStyle w:val="Citat"/>
      </w:pPr>
      <w:r w:rsidRPr="00896D4F">
        <w:t>I Vellinge kommuns fall förhåller det sig för närvarande på det sättet att kommunen hyr djurskyddsinspektören i Trelleborg som då under två till tre månader per år utför den obligatoriska myndighetskontrollen beträffande djurskyddet. Sådant förfarande förekommer allmänt i Sveriges kommuner.</w:t>
      </w:r>
    </w:p>
    <w:p w:rsidR="009C1C5A" w:rsidRPr="00896D4F" w:rsidRDefault="009C1C5A">
      <w:pPr>
        <w:pStyle w:val="Citatindrag"/>
        <w:ind w:firstLine="0"/>
      </w:pPr>
      <w:r w:rsidRPr="00896D4F">
        <w:t>– – –</w:t>
      </w:r>
    </w:p>
    <w:p w:rsidR="009C1C5A" w:rsidRPr="00896D4F" w:rsidRDefault="009C1C5A">
      <w:pPr>
        <w:pStyle w:val="Citatindrag"/>
      </w:pPr>
      <w:r w:rsidRPr="00896D4F">
        <w:t>I vårt fall utför tjänstemannen från Trelleborg inspektioner och meddelar därvid råd och anvisningar på platsen till berörd djurhållare. Föreläggande eller förbud för viss verksamhet inom djurkontrollen beslutas alltid av milj</w:t>
      </w:r>
      <w:r w:rsidRPr="00896D4F">
        <w:t>ö</w:t>
      </w:r>
      <w:r w:rsidRPr="00896D4F">
        <w:t>nämnden. Beträffande debitering av tillsynsavgift undertecknas dessa beslut av miljödirektören i Vellinge. Med hänsyn till att även begreppet råd är att betrakta som myndighetsutövning bör instruktionen till djurskyddsinspekt</w:t>
      </w:r>
      <w:r w:rsidRPr="00896D4F">
        <w:t>ö</w:t>
      </w:r>
      <w:r w:rsidRPr="00896D4F">
        <w:t>ren justeras så att vederbörande endast rapporterar till miljöförvaltningen och ärendet därefter handlägges av Ve</w:t>
      </w:r>
      <w:r w:rsidRPr="00896D4F">
        <w:t>l</w:t>
      </w:r>
      <w:r w:rsidRPr="00896D4F">
        <w:t>linge kommuns personal.</w:t>
      </w:r>
    </w:p>
    <w:p w:rsidR="009C1C5A" w:rsidRPr="00896D4F" w:rsidRDefault="009C1C5A">
      <w:pPr>
        <w:pStyle w:val="Citatindrag"/>
      </w:pPr>
      <w:r w:rsidRPr="00896D4F">
        <w:t>Huruvida denna åtgärd är tillfyllest eller om ytterligare åtgärder också b</w:t>
      </w:r>
      <w:r w:rsidRPr="00896D4F">
        <w:t>e</w:t>
      </w:r>
      <w:r w:rsidRPr="00896D4F">
        <w:t>höver vidtagas avvaktar miljönämnden JO:s bedömning.</w:t>
      </w:r>
    </w:p>
    <w:p w:rsidR="009C1C5A" w:rsidRPr="00896D4F" w:rsidRDefault="009C1C5A">
      <w:pPr>
        <w:spacing w:before="0"/>
      </w:pPr>
      <w:r w:rsidRPr="00896D4F">
        <w:t>– – –</w:t>
      </w:r>
    </w:p>
    <w:p w:rsidR="009C1C5A" w:rsidRPr="00896D4F" w:rsidRDefault="009C1C5A">
      <w:r w:rsidRPr="00896D4F">
        <w:t xml:space="preserve">I beslut den 17 juni 2002 anförde </w:t>
      </w:r>
      <w:r w:rsidRPr="00896D4F">
        <w:rPr>
          <w:i/>
        </w:rPr>
        <w:t>JO Berggren</w:t>
      </w:r>
      <w:r w:rsidRPr="00896D4F">
        <w:t xml:space="preserve"> följande. </w:t>
      </w:r>
    </w:p>
    <w:p w:rsidR="009C1C5A" w:rsidRPr="00896D4F" w:rsidRDefault="009C1C5A">
      <w:r w:rsidRPr="00896D4F">
        <w:t>En kommun är enligt lag skyldig att förse sina medlemmar med viss sa</w:t>
      </w:r>
      <w:r w:rsidRPr="00896D4F">
        <w:t>m</w:t>
      </w:r>
      <w:r w:rsidRPr="00896D4F">
        <w:t>hällsservice, s.k. obligatoriska verksamheter. Det kan röra sig om t.ex. socia</w:t>
      </w:r>
      <w:r w:rsidRPr="00896D4F">
        <w:t>l</w:t>
      </w:r>
      <w:r w:rsidRPr="00896D4F">
        <w:t>tjänst, skola, renhållning, djurskydd m.m. Därutöver kan kommunen frivilligt tillhandahålla andra tjänster.</w:t>
      </w:r>
    </w:p>
    <w:p w:rsidR="009C1C5A" w:rsidRPr="00896D4F" w:rsidRDefault="009C1C5A">
      <w:pPr>
        <w:pStyle w:val="Normaltindrag"/>
      </w:pPr>
      <w:r w:rsidRPr="00896D4F">
        <w:t>Enligt den s.k. lokaliseringsprincipen (2 kap. 1 § kommunallagen, 1991:900) skall den verksamhet som en kommun bedriver vara av allmänt intresse och ha anknytning till det egna geografiska området eller de egna medlemmarna. En kommun får inte ha hand om sådana angelägenheter som det ankommer enbart på staten, en annan komm</w:t>
      </w:r>
      <w:r w:rsidRPr="00896D4F">
        <w:t>un, ett annat landsting eller någon annan att sköta. För att en kommun skall få göra undantag från denna princip krävs, oavsett om uppgiften innefattar myndighetsutövning eller inte, att det finns ett uttryckligt lagstöd för ett sådant agerande. I rättspraxis har dock accepterats att en kommun säljer tillfällig överskottskapacitet på mar</w:t>
      </w:r>
      <w:r w:rsidRPr="00896D4F">
        <w:t>k</w:t>
      </w:r>
      <w:r w:rsidRPr="00896D4F">
        <w:t>naden, varvid får förutsättas en motsvarande möjlighet att köpa denna kap</w:t>
      </w:r>
      <w:r w:rsidRPr="00896D4F">
        <w:t>a</w:t>
      </w:r>
      <w:r w:rsidRPr="00896D4F">
        <w:t>citet. I begreppet tillfällig ligger att det inte får röra sig om ett permanent arrangemang (prop.</w:t>
      </w:r>
      <w:r w:rsidRPr="00896D4F">
        <w:t xml:space="preserve"> 1995/96:167 s.11–12 och 38 f.).</w:t>
      </w:r>
    </w:p>
    <w:p w:rsidR="009C1C5A" w:rsidRPr="00896D4F" w:rsidRDefault="009C1C5A">
      <w:pPr>
        <w:pStyle w:val="Normaltindrag"/>
      </w:pPr>
      <w:r w:rsidRPr="00896D4F">
        <w:t>Lagstiftaren har inom vissa områden gjort det möjligt för en kommun att närmare samverka med andra kommuner. På miljöområdet t.ex. kan en ko</w:t>
      </w:r>
      <w:r w:rsidRPr="00896D4F">
        <w:t>m</w:t>
      </w:r>
      <w:r w:rsidRPr="00896D4F">
        <w:t>mun enligt 26 kap. 7 § miljöbalken ge en annan kommun i uppdrag att utföra tillsyn och att göra utredningar inom uppdragsgivarens område samt delegera beslutanderätt till en anställd i den andra kommunen. Andra områden där det införts möjligheter – och i vissa fall en skyldighet – att samarbeta över ko</w:t>
      </w:r>
      <w:r w:rsidRPr="00896D4F">
        <w:t>m</w:t>
      </w:r>
      <w:r w:rsidRPr="00896D4F">
        <w:t>mungränserna är t.ex. räddningstjänsten (9 och 11 §§ räddningstjänstlagen, 1986:1102) och alkohollagstif</w:t>
      </w:r>
      <w:r w:rsidRPr="00896D4F">
        <w:t>t</w:t>
      </w:r>
      <w:r w:rsidRPr="00896D4F">
        <w:t>ningen (7 kap. 16 § alkohollagen, 1994:1738).</w:t>
      </w:r>
    </w:p>
    <w:p w:rsidR="009C1C5A" w:rsidRPr="00896D4F" w:rsidRDefault="009C1C5A">
      <w:pPr>
        <w:pStyle w:val="Normaltindrag"/>
      </w:pPr>
      <w:r w:rsidRPr="00896D4F">
        <w:t>Några motsvarande bestämmelser finns dock inte inom djur</w:t>
      </w:r>
      <w:r w:rsidRPr="00896D4F">
        <w:t>skyddsomr</w:t>
      </w:r>
      <w:r w:rsidRPr="00896D4F">
        <w:t>å</w:t>
      </w:r>
      <w:r w:rsidRPr="00896D4F">
        <w:t>det. Enligt 24 § djurskyddslagen (1988:534) utövas djurskyddstillsynen i en kommun av kommunens miljö- och hälsoskyddsnämnd eller nämnd med motsvarande funktion. Nämnden är skyldig att ha tillgång till djurskyddsu</w:t>
      </w:r>
      <w:r w:rsidRPr="00896D4F">
        <w:t>t</w:t>
      </w:r>
      <w:r w:rsidRPr="00896D4F">
        <w:t>bildad personal i den omfattning som behövs för att nämnden skall kunna fullgöra sina uppgifter på ett tillfredsställande sätt.</w:t>
      </w:r>
    </w:p>
    <w:p w:rsidR="009C1C5A" w:rsidRPr="00896D4F" w:rsidRDefault="009C1C5A">
      <w:pPr>
        <w:pStyle w:val="Normaltindrag"/>
      </w:pPr>
      <w:r w:rsidRPr="00896D4F">
        <w:t>Förslag har framförts om införande av möjligheter till kommunal samve</w:t>
      </w:r>
      <w:r w:rsidRPr="00896D4F">
        <w:t>r</w:t>
      </w:r>
      <w:r w:rsidRPr="00896D4F">
        <w:t>kan även inom djurskyddsområdet. I betänkandet Offentlig djurskyddstillsyn (SOU 1996:13) föreslogs att frågan om samverkan skulle lösas genom en reglering i djurskyddslagen om delegering av beslutanderätt till anställda i andra kommuner och om möjlighet för en kommun att genom avtal överlåta djurskyddsuppdrag åt en annan kommun (s. 70–71). Förslaget ledde dock inte fram till någon lagändring. Förslag har också väckts om förstatligande av den lokala djurskyddstillsynen. I regeringens proposition 2001/02:189</w:t>
      </w:r>
      <w:r w:rsidRPr="00896D4F">
        <w:t>, som öve</w:t>
      </w:r>
      <w:r w:rsidRPr="00896D4F">
        <w:t>r</w:t>
      </w:r>
      <w:r w:rsidRPr="00896D4F">
        <w:t>lämnades till riksdagen den 6 juni 2002, föreslås att en ny central dju</w:t>
      </w:r>
      <w:r w:rsidRPr="00896D4F">
        <w:t>r</w:t>
      </w:r>
      <w:r w:rsidRPr="00896D4F">
        <w:t>skyddsmyndighet inrättas. Huvudmannaskapet för den lokala tillsynen skall dock ligga kvar hos kommunerna. I frågan huruvida kommunerna borde få rätt att samverka även inom djurskyddsområdet lämnas inte något besked, utan regeringen skall arbeta vidare med inriktningen att en proposition i äre</w:t>
      </w:r>
      <w:r w:rsidRPr="00896D4F">
        <w:t>n</w:t>
      </w:r>
      <w:r w:rsidRPr="00896D4F">
        <w:t xml:space="preserve">det skall kunna föreläggas riksdagen i början av år 2003 (s. 12). </w:t>
      </w:r>
    </w:p>
    <w:p w:rsidR="009C1C5A" w:rsidRPr="00896D4F" w:rsidRDefault="009C1C5A">
      <w:pPr>
        <w:pStyle w:val="Normaltindrag"/>
      </w:pPr>
      <w:r w:rsidRPr="00896D4F">
        <w:t xml:space="preserve">Det nyss sagda innebär att det idag saknas möjligheter för en kommun </w:t>
      </w:r>
      <w:r w:rsidRPr="00896D4F">
        <w:t>att genom avtal anlita en annan kommun för att ombesörja djurskyddsuppdrag åt den förstnämnda kommunen. Detta gäller även för uppgifter som inte inn</w:t>
      </w:r>
      <w:r w:rsidRPr="00896D4F">
        <w:t>e</w:t>
      </w:r>
      <w:r w:rsidRPr="00896D4F">
        <w:t>fattar myndighetsutövning. Den ordning som tillämpas av Miljönämnden i Vellinge kommun – att under några månader per år hyra in en djurskyddsi</w:t>
      </w:r>
      <w:r w:rsidRPr="00896D4F">
        <w:t>n</w:t>
      </w:r>
      <w:r w:rsidRPr="00896D4F">
        <w:t>spektör från en annan kommun – saknar således stöd i lag. Jag förutsätter att kommunen vidtar de ändringar i kommunens organisation som detta konstat</w:t>
      </w:r>
      <w:r w:rsidRPr="00896D4F">
        <w:t>e</w:t>
      </w:r>
      <w:r w:rsidRPr="00896D4F">
        <w:t xml:space="preserve">rande motiverar. Jag vidtar därför inte någon annan åtgärd än att jag </w:t>
      </w:r>
      <w:r w:rsidRPr="00896D4F">
        <w:t>skickar ett exemplar av detta beslut till Jordbruksdepartementet samt till riksdagens miljö- och jordbruksutskott.</w:t>
      </w:r>
    </w:p>
    <w:p w:rsidR="009C1C5A" w:rsidRPr="00896D4F" w:rsidRDefault="009C1C5A">
      <w:pPr>
        <w:pStyle w:val="Rubrik2"/>
      </w:pPr>
      <w:r w:rsidRPr="00896D4F">
        <w:t>Handläggning av klagomålsärenden</w:t>
      </w:r>
    </w:p>
    <w:p w:rsidR="009C1C5A" w:rsidRPr="00896D4F" w:rsidRDefault="009C1C5A">
      <w:pPr>
        <w:spacing w:before="0"/>
      </w:pPr>
      <w:r w:rsidRPr="00896D4F">
        <w:t>(Dnr 2484–2487-2001)</w:t>
      </w:r>
    </w:p>
    <w:p w:rsidR="009C1C5A" w:rsidRPr="00896D4F" w:rsidRDefault="009C1C5A">
      <w:pPr>
        <w:pStyle w:val="Rubrik3"/>
      </w:pPr>
      <w:r w:rsidRPr="00896D4F">
        <w:t>Initiativet</w:t>
      </w:r>
    </w:p>
    <w:p w:rsidR="009C1C5A" w:rsidRPr="00896D4F" w:rsidRDefault="009C1C5A">
      <w:r w:rsidRPr="00896D4F">
        <w:t>Vid JO Berggrens inspektion av Områdesnämnderna Boo, Fisksä</w:t>
      </w:r>
      <w:r w:rsidRPr="00896D4F">
        <w:t>t</w:t>
      </w:r>
      <w:r w:rsidRPr="00896D4F">
        <w:t>ra/Salt</w:t>
      </w:r>
      <w:r w:rsidRPr="00896D4F">
        <w:softHyphen/>
        <w:t>sjö</w:t>
      </w:r>
      <w:r w:rsidRPr="00896D4F">
        <w:softHyphen/>
        <w:t>baden, Sicklaön och Älta i Nacka kommun den 13, 14 och 16 februari 2001 antecknades – såvitt angick nämndernas verksamhet med miljö- och häls</w:t>
      </w:r>
      <w:r w:rsidRPr="00896D4F">
        <w:t>o</w:t>
      </w:r>
      <w:r w:rsidRPr="00896D4F">
        <w:t>skyddsfrågor – fö</w:t>
      </w:r>
      <w:r w:rsidRPr="00896D4F">
        <w:t>l</w:t>
      </w:r>
      <w:r w:rsidRPr="00896D4F">
        <w:t>jande till protokollet under punkten 3.2 (JO:s dnr 349-2001).</w:t>
      </w:r>
    </w:p>
    <w:p w:rsidR="009C1C5A" w:rsidRPr="00896D4F" w:rsidRDefault="009C1C5A">
      <w:pPr>
        <w:pStyle w:val="Citat"/>
        <w:rPr>
          <w:highlight w:val="yellow"/>
        </w:rPr>
      </w:pPr>
      <w:r w:rsidRPr="00896D4F">
        <w:t>I pärmar betecknade Enklare klagomål 1999, 2000 respektive 2001 samlades handlingar rörande klagomål från enskilda om olägenheter av olika slag. Av handlingarna framgick att de personer som hade framfört klagomål i många fall bodde nära – i flera fall granne med – den som klag</w:t>
      </w:r>
      <w:r w:rsidRPr="00896D4F">
        <w:t>omålen riktades mot. Detta var exempelvis fallet i fråga om klagomål från A.B., Saltsjö-Boo, om buller från motorvägen (pärmen för år 2001). Vid samtal med miljö- och hälsoskyddschefen Eva Dahlbäck upplystes att miljöförvaltningen vanligtvis inte betraktar sådana klagomål som ärenden och att de därför inte åsätts di</w:t>
      </w:r>
      <w:r w:rsidRPr="00896D4F">
        <w:t>a</w:t>
      </w:r>
      <w:r w:rsidRPr="00896D4F">
        <w:t>rienummer och inte heller avslutas med formliga beslut med ful</w:t>
      </w:r>
      <w:r w:rsidRPr="00896D4F">
        <w:t>l</w:t>
      </w:r>
      <w:r w:rsidRPr="00896D4F">
        <w:t>följds</w:t>
      </w:r>
      <w:r w:rsidRPr="00896D4F">
        <w:softHyphen/>
        <w:t>hänvis</w:t>
      </w:r>
      <w:r w:rsidRPr="00896D4F">
        <w:softHyphen/>
        <w:t>ning.</w:t>
      </w:r>
      <w:r w:rsidRPr="00896D4F">
        <w:rPr>
          <w:highlight w:val="yellow"/>
        </w:rPr>
        <w:t xml:space="preserve"> </w:t>
      </w:r>
    </w:p>
    <w:p w:rsidR="009C1C5A" w:rsidRPr="00896D4F" w:rsidRDefault="009C1C5A">
      <w:pPr>
        <w:pStyle w:val="Citatindrag"/>
      </w:pPr>
      <w:r w:rsidRPr="00896D4F">
        <w:t>Av handlingarna kunde också utläsas att miljöförvaltningen i vissa fall hade tagit skriftlig kontakt med den s</w:t>
      </w:r>
      <w:r w:rsidRPr="00896D4F">
        <w:t>om klagomålen riktades mot och bett denne att komma in med uppgifter om vidtagna eller planerade åtgärder. E</w:t>
      </w:r>
      <w:r w:rsidRPr="00896D4F">
        <w:t>n</w:t>
      </w:r>
      <w:r w:rsidRPr="00896D4F">
        <w:t>ligt vad som framgick av handlingarna hade detta inte föregåtts av inspektion eller annan undersök</w:t>
      </w:r>
      <w:r w:rsidRPr="00896D4F">
        <w:softHyphen/>
        <w:t xml:space="preserve">ning på platsen (se t.ex. i fråga om klagomål om buller från fastigheten Orminge 41:1 och på bländande belysning från fastigheten Ektorpsvägen 2–6, båda från pärmen för år 2000). </w:t>
      </w:r>
    </w:p>
    <w:p w:rsidR="009C1C5A" w:rsidRPr="00896D4F" w:rsidRDefault="009C1C5A">
      <w:pPr>
        <w:pStyle w:val="Citatindrag"/>
      </w:pPr>
      <w:r w:rsidRPr="00896D4F">
        <w:t>Vid genomgången uppgav Eva Dahlbäck att det skulle vara administrativt svår</w:t>
      </w:r>
      <w:r w:rsidRPr="00896D4F">
        <w:softHyphen/>
        <w:t xml:space="preserve">hanterligt att behandla sådana klagomål som ärenden med åtföljande diarieföring och beslutsskrivning. </w:t>
      </w:r>
    </w:p>
    <w:p w:rsidR="009C1C5A" w:rsidRPr="00896D4F" w:rsidRDefault="009C1C5A">
      <w:r w:rsidRPr="00896D4F">
        <w:t>JO Berggren beslutade att inhämta samtliga områdesnämnders yttranden med avseende på handläggningen av dessa slags klagomål.</w:t>
      </w:r>
    </w:p>
    <w:p w:rsidR="009C1C5A" w:rsidRPr="00896D4F" w:rsidRDefault="009C1C5A">
      <w:pPr>
        <w:pStyle w:val="Rubrik3"/>
      </w:pPr>
      <w:r w:rsidRPr="00896D4F">
        <w:t>Utredning</w:t>
      </w:r>
    </w:p>
    <w:p w:rsidR="009C1C5A" w:rsidRPr="00896D4F" w:rsidRDefault="009C1C5A">
      <w:r w:rsidRPr="00896D4F">
        <w:t>I likalydande yttranden anförde omr</w:t>
      </w:r>
      <w:r w:rsidRPr="00896D4F">
        <w:t>å</w:t>
      </w:r>
      <w:r w:rsidRPr="00896D4F">
        <w:t xml:space="preserve">desnämnderna följande. </w:t>
      </w:r>
    </w:p>
    <w:p w:rsidR="009C1C5A" w:rsidRPr="00896D4F" w:rsidRDefault="009C1C5A">
      <w:pPr>
        <w:pStyle w:val="Citat"/>
      </w:pPr>
      <w:r w:rsidRPr="00896D4F">
        <w:t>Ett av kommunens övergripande mål är effektivt resursutnyttjande. Effektmål är att områdesnämndens myndighetsutövning skall kännetecknas av rättss</w:t>
      </w:r>
      <w:r w:rsidRPr="00896D4F">
        <w:t>ä</w:t>
      </w:r>
      <w:r w:rsidRPr="00896D4F">
        <w:t>kerhet, begriplighet, tillgängli</w:t>
      </w:r>
      <w:r w:rsidRPr="00896D4F">
        <w:t>g</w:t>
      </w:r>
      <w:r w:rsidRPr="00896D4F">
        <w:t xml:space="preserve">het. </w:t>
      </w:r>
    </w:p>
    <w:p w:rsidR="009C1C5A" w:rsidRPr="00896D4F" w:rsidRDefault="009C1C5A">
      <w:pPr>
        <w:pStyle w:val="Citatindrag"/>
      </w:pPr>
      <w:r w:rsidRPr="00896D4F">
        <w:t>I pärmarna ”Enklare klagomål” förekommer olika typer av ärenden, de som registrerats i Ecos och de som inte registrerats.</w:t>
      </w:r>
    </w:p>
    <w:p w:rsidR="009C1C5A" w:rsidRPr="00896D4F" w:rsidRDefault="009C1C5A">
      <w:pPr>
        <w:pStyle w:val="Citatindrag"/>
      </w:pPr>
      <w:r w:rsidRPr="00896D4F">
        <w:t>Vissa enklare klagomål har tidigare klarats av med ett telefonsamtal eller utskick av information med en kortvarig och snabb arbetsinsats. Ofta har man bett den som klagat att återkomma om de inte märker någon förbättring. De</w:t>
      </w:r>
      <w:r w:rsidRPr="00896D4F">
        <w:t>s</w:t>
      </w:r>
      <w:r w:rsidRPr="00896D4F">
        <w:t>sa klagomål har tidigare inte registrerats i Ecos.</w:t>
      </w:r>
    </w:p>
    <w:p w:rsidR="009C1C5A" w:rsidRPr="00896D4F" w:rsidRDefault="009C1C5A">
      <w:pPr>
        <w:pStyle w:val="Citatindrag"/>
      </w:pPr>
      <w:r w:rsidRPr="00896D4F">
        <w:t xml:space="preserve">Av utrymmesskäl har enklare klagomålsärenden som registrerats i Ecos satts in i pärmarna för ”Enklare klagomål” i stället för att läggas i en ny hängmapp i arkivet. </w:t>
      </w:r>
    </w:p>
    <w:p w:rsidR="009C1C5A" w:rsidRPr="00896D4F" w:rsidRDefault="009C1C5A">
      <w:pPr>
        <w:pStyle w:val="Citatindrag"/>
      </w:pPr>
      <w:r w:rsidRPr="00896D4F">
        <w:t>För att förbättra överskådligheten i handläggningen införs nu följande rut</w:t>
      </w:r>
      <w:r w:rsidRPr="00896D4F">
        <w:t>i</w:t>
      </w:r>
      <w:r w:rsidRPr="00896D4F">
        <w:t>ner:</w:t>
      </w:r>
    </w:p>
    <w:p w:rsidR="009C1C5A" w:rsidRPr="00896D4F" w:rsidRDefault="009C1C5A">
      <w:pPr>
        <w:pStyle w:val="Citatindrag"/>
      </w:pPr>
      <w:r w:rsidRPr="00896D4F">
        <w:t>När en handling kommer in, som brev, fax eller e-post, registreras detta genom en anteckning i ett databaserat ärendehanteringssystem, Ecos.</w:t>
      </w:r>
    </w:p>
    <w:p w:rsidR="009C1C5A" w:rsidRPr="00896D4F" w:rsidRDefault="009C1C5A">
      <w:pPr>
        <w:pStyle w:val="Citatindrag"/>
      </w:pPr>
      <w:r w:rsidRPr="00896D4F">
        <w:t>Fortsättningsvis kommer alla nya tillsynsärenden att registreras i Ecos oa</w:t>
      </w:r>
      <w:r w:rsidRPr="00896D4F">
        <w:t>v</w:t>
      </w:r>
      <w:r w:rsidRPr="00896D4F">
        <w:t xml:space="preserve">sett om de startas genom ett muntligt klagomål, ett e-postmeddelande eller en ansökningshandling. Detta gäller alla klagomål från allmänheten, även om tillsynsinsatsen förväntas bli ringa. </w:t>
      </w:r>
    </w:p>
    <w:p w:rsidR="009C1C5A" w:rsidRPr="00896D4F" w:rsidRDefault="009C1C5A">
      <w:pPr>
        <w:pStyle w:val="Citatindrag"/>
      </w:pPr>
      <w:r w:rsidRPr="00896D4F">
        <w:t>När områdesnämnden anser att ett ärende kan avslutas men den klagande inte är nöjd med utgången fattas ett delegationsbeslut att inte vidta ytterligare åtgärder. Ärendet kan då formellt överkl</w:t>
      </w:r>
      <w:r w:rsidRPr="00896D4F">
        <w:t>a</w:t>
      </w:r>
      <w:r w:rsidRPr="00896D4F">
        <w:t>gas.</w:t>
      </w:r>
    </w:p>
    <w:p w:rsidR="009C1C5A" w:rsidRPr="00896D4F" w:rsidRDefault="009C1C5A">
      <w:pPr>
        <w:pStyle w:val="Citatindrag"/>
      </w:pPr>
      <w:r w:rsidRPr="00896D4F">
        <w:t>Förvaring i pärmar kommer främst av utrymmesskäl även att ske fortsät</w:t>
      </w:r>
      <w:r w:rsidRPr="00896D4F">
        <w:t>t</w:t>
      </w:r>
      <w:r w:rsidRPr="00896D4F">
        <w:t>ningsvis. Regler för insortering i pärmar finns, handlingarna är därför möjliga att plocka fram vid ev. förfrågan.</w:t>
      </w:r>
    </w:p>
    <w:p w:rsidR="009C1C5A" w:rsidRPr="00896D4F" w:rsidRDefault="009C1C5A">
      <w:pPr>
        <w:pStyle w:val="Citatindrag"/>
      </w:pPr>
      <w:r w:rsidRPr="00896D4F">
        <w:t>En genomgång genomförs nu av administrativa rutiner för miljö- och hä</w:t>
      </w:r>
      <w:r w:rsidRPr="00896D4F">
        <w:t>l</w:t>
      </w:r>
      <w:r w:rsidRPr="00896D4F">
        <w:t xml:space="preserve">soskyddsärendena. Syftet är att dokumentera rutinerna och finna möjligheter till förbättringar. </w:t>
      </w:r>
    </w:p>
    <w:p w:rsidR="009C1C5A" w:rsidRPr="00896D4F" w:rsidRDefault="009C1C5A">
      <w:r w:rsidRPr="00896D4F">
        <w:t xml:space="preserve">I beslut den 28 februari 2002 anförde </w:t>
      </w:r>
      <w:r w:rsidRPr="00896D4F">
        <w:rPr>
          <w:i/>
        </w:rPr>
        <w:t>JO Berggren</w:t>
      </w:r>
      <w:r w:rsidRPr="00896D4F">
        <w:t xml:space="preserve"> följande.</w:t>
      </w:r>
    </w:p>
    <w:p w:rsidR="009C1C5A" w:rsidRPr="00896D4F" w:rsidRDefault="009C1C5A">
      <w:r w:rsidRPr="00896D4F">
        <w:t>Områdesnämnderna har i remissyttrandena berört hur handläggningen av klagomålsärenden skett och upplyst om vilka förändringar i rutinerna som har beslutats efter min inspektion. Vad som framkommit föranleder följande uttalanden.</w:t>
      </w:r>
    </w:p>
    <w:p w:rsidR="009C1C5A" w:rsidRPr="00896D4F" w:rsidRDefault="009C1C5A">
      <w:pPr>
        <w:pStyle w:val="Normaltindrag"/>
      </w:pPr>
      <w:r w:rsidRPr="00896D4F">
        <w:t>När någon vänder sig till en kommunal nämnd i dess egenskap av til</w:t>
      </w:r>
      <w:r w:rsidRPr="00896D4F">
        <w:t>l</w:t>
      </w:r>
      <w:r w:rsidRPr="00896D4F">
        <w:t>synsmyndighet och begär ett ingripande för avhjälpande av en olägenhet som anmälaren menar sig drabbad av i sin bostad eller på sin fastighet, uppko</w:t>
      </w:r>
      <w:r w:rsidRPr="00896D4F">
        <w:t>m</w:t>
      </w:r>
      <w:r w:rsidRPr="00896D4F">
        <w:t>mer hos myndigheten ett ärende enligt 9 kap. miljöbalken och förordningen (1998:899) om miljöfarlig verksamhet och hälsoskydd. I ett sådant ärende är anmälaren att betrakta som part. Något krav på att klagomålen skall vara skriftliga finns inte, utan även muntliga klagomål innebär att ett ärende a</w:t>
      </w:r>
      <w:r w:rsidRPr="00896D4F">
        <w:t>n</w:t>
      </w:r>
      <w:r w:rsidRPr="00896D4F">
        <w:t>hängiggörs hos myndigheten. Ytterst gäller ärendena frågan om m</w:t>
      </w:r>
      <w:r w:rsidRPr="00896D4F">
        <w:t>yndigheten skall ingripa med stöd av de aktuella författningarna. Det är alltså frågan om myndighetsutövning. Bestämmelser om förvaltningsmyndigheters handläg</w:t>
      </w:r>
      <w:r w:rsidRPr="00896D4F">
        <w:t>g</w:t>
      </w:r>
      <w:r w:rsidRPr="00896D4F">
        <w:t>ning av ärenden finns i förvaltnin</w:t>
      </w:r>
      <w:r w:rsidRPr="00896D4F">
        <w:t>g</w:t>
      </w:r>
      <w:r w:rsidRPr="00896D4F">
        <w:t xml:space="preserve">slagen (1986:223). </w:t>
      </w:r>
    </w:p>
    <w:p w:rsidR="009C1C5A" w:rsidRPr="00896D4F" w:rsidRDefault="009C1C5A">
      <w:pPr>
        <w:pStyle w:val="Normaltindrag"/>
      </w:pPr>
      <w:r w:rsidRPr="00896D4F">
        <w:t>Ett hos en förvaltningsmyndighet anhängiggjort ärende skall avslutas g</w:t>
      </w:r>
      <w:r w:rsidRPr="00896D4F">
        <w:t>e</w:t>
      </w:r>
      <w:r w:rsidRPr="00896D4F">
        <w:t>nom ett beslut av något slag. För</w:t>
      </w:r>
      <w:r w:rsidRPr="00896D4F">
        <w:softHyphen/>
        <w:t>utom beslut varigenom myn</w:t>
      </w:r>
      <w:r w:rsidRPr="00896D4F">
        <w:softHyphen/>
        <w:t xml:space="preserve">digheten i sak avgör ärendet förekommer avskrivnings- och avvisningsbeslut. Det beslut som myndigheten meddelar kan anmälaren som regel överklaga om han anser att det gått honom emot. </w:t>
      </w:r>
    </w:p>
    <w:p w:rsidR="009C1C5A" w:rsidRPr="00896D4F" w:rsidRDefault="009C1C5A">
      <w:pPr>
        <w:pStyle w:val="Normaltindrag"/>
      </w:pPr>
      <w:r w:rsidRPr="00896D4F">
        <w:t>De vid inspektionen uppmärksammade klagomålen har inte handlagts e</w:t>
      </w:r>
      <w:r w:rsidRPr="00896D4F">
        <w:t>n</w:t>
      </w:r>
      <w:r w:rsidRPr="00896D4F">
        <w:t>ligt den nyss beskrivna ordningen. Områdesnämnderna har i yttrandena up</w:t>
      </w:r>
      <w:r w:rsidRPr="00896D4F">
        <w:t>p</w:t>
      </w:r>
      <w:r w:rsidRPr="00896D4F">
        <w:t>lyst att man nu infört rutiner som innebär att det när ett ärende kan avslutas men den klagande inte är nöjd med utgången, fattas ett formellt överklagbart beslut med besked att det inte vidtas ytterligare åtgärder. Jag vill med anle</w:t>
      </w:r>
      <w:r w:rsidRPr="00896D4F">
        <w:t>d</w:t>
      </w:r>
      <w:r w:rsidRPr="00896D4F">
        <w:t>ning härav påpeka att samtliga ärenden där någon enskild är part skall avsl</w:t>
      </w:r>
      <w:r w:rsidRPr="00896D4F">
        <w:t>u</w:t>
      </w:r>
      <w:r w:rsidRPr="00896D4F">
        <w:t>tas med formliga beslut. Det saknar således i detta avseende betydelse om anmälaren kan antas vara nöjd med beslutet. Myndigheten</w:t>
      </w:r>
      <w:r w:rsidRPr="00896D4F">
        <w:t>s beslut i klag</w:t>
      </w:r>
      <w:r w:rsidRPr="00896D4F">
        <w:t>o</w:t>
      </w:r>
      <w:r w:rsidRPr="00896D4F">
        <w:t>målsärendena bör enligt min mening normalt förses med fullföljdshänvi</w:t>
      </w:r>
      <w:r w:rsidRPr="00896D4F">
        <w:t>s</w:t>
      </w:r>
      <w:r w:rsidRPr="00896D4F">
        <w:t xml:space="preserve">ning. </w:t>
      </w:r>
    </w:p>
    <w:p w:rsidR="009C1C5A" w:rsidRPr="00896D4F" w:rsidRDefault="009C1C5A">
      <w:pPr>
        <w:pStyle w:val="Normaltindrag"/>
      </w:pPr>
      <w:r w:rsidRPr="00896D4F">
        <w:t>Mot bakgrund av det sagda är jag positiv till att samtliga inkomna klag</w:t>
      </w:r>
      <w:r w:rsidRPr="00896D4F">
        <w:t>o</w:t>
      </w:r>
      <w:r w:rsidRPr="00896D4F">
        <w:t>mål numera registreras i ärendehantering</w:t>
      </w:r>
      <w:r w:rsidRPr="00896D4F">
        <w:t>s</w:t>
      </w:r>
      <w:r w:rsidRPr="00896D4F">
        <w:t xml:space="preserve">systemet. </w:t>
      </w:r>
    </w:p>
    <w:p w:rsidR="009C1C5A" w:rsidRPr="00896D4F" w:rsidRDefault="009C1C5A">
      <w:pPr>
        <w:pStyle w:val="Normaltindrag"/>
      </w:pPr>
      <w:r w:rsidRPr="00896D4F">
        <w:t>Vad nämnderna anfört angående förvaring av handlingar ger inte anle</w:t>
      </w:r>
      <w:r w:rsidRPr="00896D4F">
        <w:t>d</w:t>
      </w:r>
      <w:r w:rsidRPr="00896D4F">
        <w:t>ning till något påpekande från min sida.</w:t>
      </w:r>
    </w:p>
    <w:p w:rsidR="009C1C5A" w:rsidRPr="00896D4F" w:rsidRDefault="009C1C5A">
      <w:pPr>
        <w:pStyle w:val="Normaltindrag"/>
      </w:pPr>
      <w:r w:rsidRPr="00896D4F">
        <w:t>I protokollet från inspektionen ifrågasattes om områdesnämnder utan för</w:t>
      </w:r>
      <w:r w:rsidRPr="00896D4F">
        <w:t>e</w:t>
      </w:r>
      <w:r w:rsidRPr="00896D4F">
        <w:t>gående inspektion eller annan undersökning hade begärt av dem som klag</w:t>
      </w:r>
      <w:r w:rsidRPr="00896D4F">
        <w:t>o</w:t>
      </w:r>
      <w:r w:rsidRPr="00896D4F">
        <w:t>mål riktades mot att de skulle komma in med uppgifter om vidtagna eller planerade åtgärder. Nämnderna har i remissyttrandena inte lämnat några nä</w:t>
      </w:r>
      <w:r w:rsidRPr="00896D4F">
        <w:t>r</w:t>
      </w:r>
      <w:r w:rsidRPr="00896D4F">
        <w:t>mare upplysningar i denna fråga. Det är således oklart hur nämnderna hant</w:t>
      </w:r>
      <w:r w:rsidRPr="00896D4F">
        <w:t>e</w:t>
      </w:r>
      <w:r w:rsidRPr="00896D4F">
        <w:t>rat detta. Jag finner inte anledning att utreda saken ytterligare, men jag vill från allmänna utgångspunkter uttala fö</w:t>
      </w:r>
      <w:r w:rsidRPr="00896D4F">
        <w:t>l</w:t>
      </w:r>
      <w:r w:rsidRPr="00896D4F">
        <w:t xml:space="preserve">jande. </w:t>
      </w:r>
    </w:p>
    <w:p w:rsidR="009C1C5A" w:rsidRPr="00896D4F" w:rsidRDefault="009C1C5A">
      <w:pPr>
        <w:pStyle w:val="Normaltindrag"/>
      </w:pPr>
      <w:r w:rsidRPr="00896D4F">
        <w:t>När en myndighet vänder sig till en enskild och begär att denne skall vidta åtgärder, t.ex. f</w:t>
      </w:r>
      <w:r w:rsidRPr="00896D4F">
        <w:t>ör att minska buller, förutsätter detta att myndigheten har g</w:t>
      </w:r>
      <w:r w:rsidRPr="00896D4F">
        <w:t>e</w:t>
      </w:r>
      <w:r w:rsidRPr="00896D4F">
        <w:t>nom</w:t>
      </w:r>
      <w:r w:rsidRPr="00896D4F">
        <w:softHyphen/>
        <w:t>fört någon form av utredning i ärendet som visar hur förhållandena är på den aktuella platsen. Utan en utredning har myndigheten inte underlag för att kunna ta ställning till om det finns anledning att begära att en enskild skall vidta åtgärder. Vidare krävs givetvis att myndigheten mot bakgrund av ti</w:t>
      </w:r>
      <w:r w:rsidRPr="00896D4F">
        <w:t>l</w:t>
      </w:r>
      <w:r w:rsidRPr="00896D4F">
        <w:t>lämpliga författningsföreskrifter har funnit sig ha fog för att ålägga den e</w:t>
      </w:r>
      <w:r w:rsidRPr="00896D4F">
        <w:t>n</w:t>
      </w:r>
      <w:r w:rsidRPr="00896D4F">
        <w:t>skilde att vidta åtgärder. En annan sak är att en myndighet, t.ex.</w:t>
      </w:r>
      <w:r w:rsidRPr="00896D4F">
        <w:t xml:space="preserve"> med anle</w:t>
      </w:r>
      <w:r w:rsidRPr="00896D4F">
        <w:t>d</w:t>
      </w:r>
      <w:r w:rsidRPr="00896D4F">
        <w:t>ning av inkomna klagomål, kan lämna information till en enskild beträffande vilka regler som gäller, om detta således inte utformas som ett åläggande gentemot denne. Så snart myndigheten framställer krav på att en enskild skall vidta åtgärder skall detta formuleras i ett beslut, som förses med fullföljd</w:t>
      </w:r>
      <w:r w:rsidRPr="00896D4F">
        <w:t>s</w:t>
      </w:r>
      <w:r w:rsidRPr="00896D4F">
        <w:t>hänvi</w:t>
      </w:r>
      <w:r w:rsidRPr="00896D4F">
        <w:t>s</w:t>
      </w:r>
      <w:r w:rsidRPr="00896D4F">
        <w:t>ning.</w:t>
      </w:r>
    </w:p>
    <w:p w:rsidR="009C1C5A" w:rsidRPr="00896D4F" w:rsidRDefault="009C1C5A">
      <w:pPr>
        <w:pStyle w:val="Normaltindrag"/>
      </w:pPr>
      <w:r w:rsidRPr="00896D4F">
        <w:t>Med dessa besked a</w:t>
      </w:r>
      <w:r w:rsidRPr="00896D4F">
        <w:t>v</w:t>
      </w:r>
      <w:r w:rsidRPr="00896D4F">
        <w:t>slutar jag initiativärendena.</w:t>
      </w:r>
    </w:p>
    <w:p w:rsidR="009C1C5A" w:rsidRPr="00896D4F" w:rsidRDefault="009C1C5A">
      <w:pPr>
        <w:pStyle w:val="Rubrik2"/>
      </w:pPr>
      <w:r w:rsidRPr="00896D4F">
        <w:t>En miljö- och samhällsbyggnadsnämnd har dröjt med att översända ett överklagande till länsstyrelsen</w:t>
      </w:r>
    </w:p>
    <w:p w:rsidR="009C1C5A" w:rsidRPr="00896D4F" w:rsidRDefault="009C1C5A">
      <w:pPr>
        <w:spacing w:before="0"/>
      </w:pPr>
      <w:r w:rsidRPr="00896D4F">
        <w:t>(Dnr 3392-2001)</w:t>
      </w:r>
    </w:p>
    <w:p w:rsidR="009C1C5A" w:rsidRPr="00896D4F" w:rsidRDefault="009C1C5A">
      <w:pPr>
        <w:pStyle w:val="Rubrik3"/>
      </w:pPr>
      <w:r w:rsidRPr="00896D4F">
        <w:t>Anmälan</w:t>
      </w:r>
    </w:p>
    <w:p w:rsidR="009C1C5A" w:rsidRPr="00896D4F" w:rsidRDefault="009C1C5A">
      <w:r w:rsidRPr="00896D4F">
        <w:t>I en anmälan, som kom in till JO den 17 september 2001, klagade S.J. på att Miljö- och samhällsbyggnadsnämnden i Oxelösunds kommun efter två mån</w:t>
      </w:r>
      <w:r w:rsidRPr="00896D4F">
        <w:t>a</w:t>
      </w:r>
      <w:r w:rsidRPr="00896D4F">
        <w:t>der ännu inte hade sänt över hans överklagande till länsstyrelsen. Av anmälan framgick att S.J. den 4 juli 2001 överklagade nämndens beslut den 6 juni 2001 i ärende 062/01 rörande förorening på byggnad, samt att överklagandet vid tidpunkten för anmälan till JO ännu inte hade översänts till länsst</w:t>
      </w:r>
      <w:r w:rsidRPr="00896D4F">
        <w:t>y</w:t>
      </w:r>
      <w:r w:rsidRPr="00896D4F">
        <w:t>relsen.</w:t>
      </w:r>
    </w:p>
    <w:p w:rsidR="009C1C5A" w:rsidRPr="00896D4F" w:rsidRDefault="009C1C5A">
      <w:pPr>
        <w:pStyle w:val="Rubrik3"/>
      </w:pPr>
      <w:r w:rsidRPr="00896D4F">
        <w:t>Utredning</w:t>
      </w:r>
    </w:p>
    <w:p w:rsidR="009C1C5A" w:rsidRPr="00896D4F" w:rsidRDefault="009C1C5A">
      <w:r w:rsidRPr="00896D4F">
        <w:t>Anmälan remitterades till miljö- och samhällsbyggnadsnämnden för utre</w:t>
      </w:r>
      <w:r w:rsidRPr="00896D4F">
        <w:t>d</w:t>
      </w:r>
      <w:r w:rsidRPr="00896D4F">
        <w:t>ning och yttrande. Nämnden åberopade som sitt remissvar ett yttrande, up</w:t>
      </w:r>
      <w:r w:rsidRPr="00896D4F">
        <w:t>p</w:t>
      </w:r>
      <w:r w:rsidRPr="00896D4F">
        <w:t>rättat av miljö- och hälsoinspektören Patrik Holmer vid miljö- och samhäll</w:t>
      </w:r>
      <w:r w:rsidRPr="00896D4F">
        <w:t>s</w:t>
      </w:r>
      <w:r w:rsidRPr="00896D4F">
        <w:t>byggnadskontoret i Oxelösunds kommun. I yttranden anfördes bl.a. följande.</w:t>
      </w:r>
    </w:p>
    <w:p w:rsidR="009C1C5A" w:rsidRPr="00896D4F" w:rsidRDefault="009C1C5A">
      <w:pPr>
        <w:pStyle w:val="Citat"/>
      </w:pPr>
      <w:r w:rsidRPr="00896D4F">
        <w:t xml:space="preserve">– – – </w:t>
      </w:r>
    </w:p>
    <w:p w:rsidR="009C1C5A" w:rsidRPr="00896D4F" w:rsidRDefault="009C1C5A">
      <w:pPr>
        <w:pStyle w:val="Citat"/>
      </w:pPr>
      <w:r w:rsidRPr="00896D4F">
        <w:t>Nämnden ställde sig i sitt beslut daterat den 6 juni 2001 bakom kontorets ställningstagande och avvisade S.J:s krav. S.J. har då överklagat nämndens beslut till länsstyrelsen. Eftersom det är nämndens beslut som överklagats har nämnden prövat om överklagandet inkommit i rätt tid samt åter tagit upp ärendet för omprövning. Nämnden fann i beslut daterat den 10 oktober 2001 att överklagandet inkommit i rätt tid samt att stå fast vid sitt ställningstaga</w:t>
      </w:r>
      <w:r w:rsidRPr="00896D4F">
        <w:t>n</w:t>
      </w:r>
      <w:r w:rsidRPr="00896D4F">
        <w:t>de. Överklagandet har skickats vidare till länsstyre</w:t>
      </w:r>
      <w:r w:rsidRPr="00896D4F">
        <w:t>l</w:t>
      </w:r>
      <w:r w:rsidRPr="00896D4F">
        <w:t>sen.</w:t>
      </w:r>
    </w:p>
    <w:p w:rsidR="009C1C5A" w:rsidRPr="00896D4F" w:rsidRDefault="009C1C5A">
      <w:pPr>
        <w:pStyle w:val="Citat"/>
      </w:pPr>
      <w:r w:rsidRPr="00896D4F">
        <w:t xml:space="preserve">– – – </w:t>
      </w:r>
    </w:p>
    <w:p w:rsidR="009C1C5A" w:rsidRPr="00896D4F" w:rsidRDefault="009C1C5A">
      <w:pPr>
        <w:pStyle w:val="Citat"/>
      </w:pPr>
      <w:r w:rsidRPr="00896D4F">
        <w:t>Kommunen har inte stoppat överklagandet av ärendet. Beslutet som S.J. överklagat är fattat av miljö- och samhällsbyggnadsnämnden och det är då nämndens uppgift att pröva om ärendet inkommit i rätt tid. Förvaltningslagen 23, 24, 25 § §. Nämnden har även tagit upp beslutet till omprövning för att säkerställa att det fattade beslutet inte är oriktigt.</w:t>
      </w:r>
    </w:p>
    <w:p w:rsidR="009C1C5A" w:rsidRPr="00896D4F" w:rsidRDefault="009C1C5A">
      <w:r w:rsidRPr="00896D4F">
        <w:t>Av yttrandet och därtill fogade handlingar framgår även att överklagandet kom in till miljö- och samhällsbyggnadskontoret den 5 juli 2001 och att hand</w:t>
      </w:r>
      <w:r w:rsidRPr="00896D4F">
        <w:softHyphen/>
        <w:t>lingarna översändes till länsstyrelsen den 17 oktober 2001.</w:t>
      </w:r>
    </w:p>
    <w:p w:rsidR="009C1C5A" w:rsidRPr="00896D4F" w:rsidRDefault="009C1C5A">
      <w:r w:rsidRPr="00896D4F">
        <w:t>S.J. kommenterade remissvaret.</w:t>
      </w:r>
    </w:p>
    <w:p w:rsidR="009C1C5A" w:rsidRPr="00896D4F" w:rsidRDefault="009C1C5A">
      <w:r w:rsidRPr="00896D4F">
        <w:t xml:space="preserve">I beslut den 26 mars 2002 anförde </w:t>
      </w:r>
      <w:r w:rsidRPr="00896D4F">
        <w:rPr>
          <w:i/>
        </w:rPr>
        <w:t>JO Berggren</w:t>
      </w:r>
      <w:r w:rsidRPr="00896D4F">
        <w:t xml:space="preserve"> följande. </w:t>
      </w:r>
    </w:p>
    <w:p w:rsidR="009C1C5A" w:rsidRPr="00896D4F" w:rsidRDefault="009C1C5A">
      <w:r w:rsidRPr="00896D4F">
        <w:t>Ärendet gäller nämndens handläggning av S.J:s skrivelse med öve</w:t>
      </w:r>
      <w:r w:rsidRPr="00896D4F">
        <w:t>r</w:t>
      </w:r>
      <w:r w:rsidRPr="00896D4F">
        <w:t>klagande.</w:t>
      </w:r>
    </w:p>
    <w:p w:rsidR="009C1C5A" w:rsidRPr="00896D4F" w:rsidRDefault="009C1C5A">
      <w:pPr>
        <w:pStyle w:val="Normaltindrag"/>
      </w:pPr>
      <w:r w:rsidRPr="00896D4F">
        <w:t>Det finns inte någon författningsreglering som anger inom vilken tidsfrist en förvaltningsmyndighet skall överlämna en skrivelse med överklagande och övriga handlingar i ärendet till högre instans. Det ligger emellertid i sakens natur att överlämnandet – när ett sådant skall äga rum – skall ske utan dröj</w:t>
      </w:r>
      <w:r w:rsidRPr="00896D4F">
        <w:t>s</w:t>
      </w:r>
      <w:r w:rsidRPr="00896D4F">
        <w:t>mål. Det allmänna kravet i 7 § förvaltningslagen (1986:223) på skyndsam handläggning gäller också här.</w:t>
      </w:r>
    </w:p>
    <w:p w:rsidR="009C1C5A" w:rsidRPr="00896D4F" w:rsidRDefault="009C1C5A">
      <w:pPr>
        <w:pStyle w:val="Normaltindrag"/>
      </w:pPr>
      <w:r w:rsidRPr="00896D4F">
        <w:t>I 27 § förvaltningslagen finns bestämmelser om beslutsmyndighetens o</w:t>
      </w:r>
      <w:r w:rsidRPr="00896D4F">
        <w:t>m</w:t>
      </w:r>
      <w:r w:rsidRPr="00896D4F">
        <w:t>prövningsplikt. Som en förutsättning för omprövningsplikten gäller att my</w:t>
      </w:r>
      <w:r w:rsidRPr="00896D4F">
        <w:t>n</w:t>
      </w:r>
      <w:r w:rsidRPr="00896D4F">
        <w:t>digheten finner att beslutet är uppenbart oriktigt. Detta innebär att omprö</w:t>
      </w:r>
      <w:r w:rsidRPr="00896D4F">
        <w:t>v</w:t>
      </w:r>
      <w:r w:rsidRPr="00896D4F">
        <w:t>ningsplikten gäller bara i sådana fall då myndigheten enkelt kan konstatera att beslutet är oriktigt. Normalt är myndigheten inte skyldig att göra någon mera ingående granskning av ett redan avgjort ärende annat än då den har särskild anledning till det. Det torde i allmänhet räcka med att myndigheten läser igenom skrivelsen med överklagandet och det överklag</w:t>
      </w:r>
      <w:r w:rsidRPr="00896D4F">
        <w:t>ade beslutet. Bara om denna genomläsning ger vid handen att utgången sannolikt bör vara en annan behöver myndigheten granska ärendet närmare.</w:t>
      </w:r>
    </w:p>
    <w:p w:rsidR="009C1C5A" w:rsidRPr="00896D4F" w:rsidRDefault="009C1C5A">
      <w:pPr>
        <w:pStyle w:val="Normaltindrag"/>
      </w:pPr>
      <w:r w:rsidRPr="00896D4F">
        <w:t>Frågan om vem som är behörig att på myndighetens vägnar handlägga fr</w:t>
      </w:r>
      <w:r w:rsidRPr="00896D4F">
        <w:t>å</w:t>
      </w:r>
      <w:r w:rsidRPr="00896D4F">
        <w:t>gor om omprövning regleras inte i förvaltningslagen. Det finns således inte något krav på att förutsättningarna för en omprövning skall prövas på högre nivå eller ens på samma nivå som det överklagade beslutet. Det torde dock stämma bäst med lagstiftarens intentioner att ett omprövningsbeslut enligt 27 § fattas på samma nivå som det tidigare beslutet (jfr Hellners och Mal</w:t>
      </w:r>
      <w:r w:rsidRPr="00896D4F">
        <w:t>m</w:t>
      </w:r>
      <w:r w:rsidRPr="00896D4F">
        <w:t>qvist, Nya förvaltningslagen med kommentarer, 5 u. 1999, s. 302). Detta innebär emellertid inte att efter ett visst överklagande, myndig</w:t>
      </w:r>
      <w:r w:rsidRPr="00896D4F">
        <w:t>hetens prövning av om det över huvud taget finns skäl att myndigheten själv rättar det öve</w:t>
      </w:r>
      <w:r w:rsidRPr="00896D4F">
        <w:t>r</w:t>
      </w:r>
      <w:r w:rsidRPr="00896D4F">
        <w:t>klag</w:t>
      </w:r>
      <w:r w:rsidRPr="00896D4F">
        <w:t>a</w:t>
      </w:r>
      <w:r w:rsidRPr="00896D4F">
        <w:t>de beslutet måste göras på den nivån.</w:t>
      </w:r>
    </w:p>
    <w:p w:rsidR="009C1C5A" w:rsidRPr="00896D4F" w:rsidRDefault="009C1C5A">
      <w:pPr>
        <w:pStyle w:val="Normaltindrag"/>
      </w:pPr>
      <w:r w:rsidRPr="00896D4F">
        <w:t>Har det överklagade beslutet fattats av en tjänsteman på delegation finns det alltså inte något krav på att ett överklagande förs till nämnden för att de</w:t>
      </w:r>
      <w:r w:rsidRPr="00896D4F">
        <w:t>n</w:t>
      </w:r>
      <w:r w:rsidRPr="00896D4F">
        <w:t>na skall ta ställning till om en omprövning bör ske. På samma sätt förhåller det sig om det överklagade beslutet fattats av nämnden själv. Även i det fallet är det godtagbart om en tjänsteman, som har betrotts med saken, tar ställning till om beslutet är uppenbart oriktigt eller inte. Den inledande prövningen av om förutsättningar enligt 27 § förvaltningslagen för ändring av ett överklagat beslut föreligger är sålunda att anse som ett beslut under handläggning (jfr JO 1989/90 s. 267), och myndigheten kan b</w:t>
      </w:r>
      <w:r w:rsidRPr="00896D4F">
        <w:t>etro en eller flera tjänstemän att f</w:t>
      </w:r>
      <w:r w:rsidRPr="00896D4F">
        <w:t>ö</w:t>
      </w:r>
      <w:r w:rsidRPr="00896D4F">
        <w:t>reta sådan prövning. En sådan ordning framstår som lämplig med hänsyn till det skyndsamhetskrav som enligt vad ovan sagts gäller.</w:t>
      </w:r>
    </w:p>
    <w:p w:rsidR="009C1C5A" w:rsidRPr="00896D4F" w:rsidRDefault="009C1C5A">
      <w:pPr>
        <w:pStyle w:val="Normaltindrag"/>
      </w:pPr>
      <w:r w:rsidRPr="00896D4F">
        <w:t>Om det vid en sådan prövning som nyss har nämnts kan konstateras att b</w:t>
      </w:r>
      <w:r w:rsidRPr="00896D4F">
        <w:t>e</w:t>
      </w:r>
      <w:r w:rsidRPr="00896D4F">
        <w:t>slutet inte är uppenbart oriktigt, behöver detta inte komma till uttryck i något formligt beslut. Det räcker att handläggaren tar ställning till om överklagandet har kommit in i rätt tid och, om så är fallet, ser till att överklagandeskriften och övriga handlingar i ärendet snarast vidarebefordras till överinstansen. Överlämnandet bör i sådana fall normalt ske inom en vecka efter det att öve</w:t>
      </w:r>
      <w:r w:rsidRPr="00896D4F">
        <w:t>r</w:t>
      </w:r>
      <w:r w:rsidRPr="00896D4F">
        <w:t>klagandet kom in till myndigheten. Något krav på att myndigheten skall bif</w:t>
      </w:r>
      <w:r w:rsidRPr="00896D4F">
        <w:t>o</w:t>
      </w:r>
      <w:r w:rsidRPr="00896D4F">
        <w:t>ga ett yttrande till överinsta</w:t>
      </w:r>
      <w:r w:rsidRPr="00896D4F">
        <w:t>n</w:t>
      </w:r>
      <w:r w:rsidRPr="00896D4F">
        <w:t>sen föreli</w:t>
      </w:r>
      <w:r w:rsidRPr="00896D4F">
        <w:t>gger inte.</w:t>
      </w:r>
    </w:p>
    <w:p w:rsidR="009C1C5A" w:rsidRPr="00896D4F" w:rsidRDefault="009C1C5A">
      <w:pPr>
        <w:pStyle w:val="Normaltindrag"/>
      </w:pPr>
      <w:r w:rsidRPr="00896D4F">
        <w:t>Den ordning som miljö- och samhällsbyggnadsnämnden gett uttryck för i remissvaret, att föra alla omprövningsärenden i vilka nämnden själv fattat det överklagade beslutet till nämnden, innebär i normalfallet att skyndsamhet</w:t>
      </w:r>
      <w:r w:rsidRPr="00896D4F">
        <w:t>s</w:t>
      </w:r>
      <w:r w:rsidRPr="00896D4F">
        <w:t>kravet inte tillgodoses. För att man skall undvika onödig tidsutdräkt bör e</w:t>
      </w:r>
      <w:r w:rsidRPr="00896D4F">
        <w:t>n</w:t>
      </w:r>
      <w:r w:rsidRPr="00896D4F">
        <w:t xml:space="preserve">dast sådana ärenden där en ändring av beslutet kan förmodas komma i fråga anmälas till nämnden. </w:t>
      </w:r>
    </w:p>
    <w:p w:rsidR="009C1C5A" w:rsidRPr="00896D4F" w:rsidRDefault="009C1C5A">
      <w:pPr>
        <w:pStyle w:val="Normaltindrag"/>
      </w:pPr>
      <w:r w:rsidRPr="00896D4F">
        <w:t>S.J:s överklagande kom in till myndigheten den 5 juli 2001. Av den nyss lämnade redogörelsen framgår att myndigheten i  nära anslutning härtill borde ha prövat om överklagandet kommit in i rätt tid och om förutsättningarna enligt 27 § förvaltningslagen för omprövning förelegat. Av nämndens yttra</w:t>
      </w:r>
      <w:r w:rsidRPr="00896D4F">
        <w:t>n</w:t>
      </w:r>
      <w:r w:rsidRPr="00896D4F">
        <w:t>de framgår att myndigheten inte haft beredskap för en sådan handläggning</w:t>
      </w:r>
      <w:r w:rsidRPr="00896D4F">
        <w:t>s</w:t>
      </w:r>
      <w:r w:rsidRPr="00896D4F">
        <w:t>ordning. Först den 17 oktober 2001 vidarebefordrades överklagandet och övriga handlingar i ärendet till länsstyrelsen. Detta dröjsmål är inte accept</w:t>
      </w:r>
      <w:r w:rsidRPr="00896D4F">
        <w:t>a</w:t>
      </w:r>
      <w:r w:rsidRPr="00896D4F">
        <w:t>belt. Miljö- och samhällsbyggnadsnämnden kan inte undgå kritik för han</w:t>
      </w:r>
      <w:r w:rsidRPr="00896D4F">
        <w:t>d</w:t>
      </w:r>
      <w:r w:rsidRPr="00896D4F">
        <w:t>läggningen.</w:t>
      </w:r>
    </w:p>
    <w:p w:rsidR="009C1C5A" w:rsidRPr="00896D4F" w:rsidRDefault="009C1C5A">
      <w:pPr>
        <w:pStyle w:val="Rubrik1"/>
      </w:pPr>
      <w:r w:rsidRPr="00896D4F">
        <w:br w:type="page"/>
        <w:t>Utbildnings- och kultursektorn</w:t>
      </w:r>
    </w:p>
    <w:p w:rsidR="009C1C5A" w:rsidRPr="00896D4F" w:rsidRDefault="009C1C5A">
      <w:pPr>
        <w:pStyle w:val="Rubrik2"/>
        <w:spacing w:before="120"/>
      </w:pPr>
      <w:r w:rsidRPr="00896D4F">
        <w:t>Fråga om en elev kunde tas emot i en grundskola efter framställning från endast en av barnets båda vårdnadshavare</w:t>
      </w:r>
    </w:p>
    <w:p w:rsidR="009C1C5A" w:rsidRPr="00896D4F" w:rsidRDefault="009C1C5A">
      <w:pPr>
        <w:spacing w:before="0"/>
      </w:pPr>
      <w:r w:rsidRPr="00896D4F">
        <w:t>(Dnr 1728-2000 och 1729-2000)</w:t>
      </w:r>
    </w:p>
    <w:p w:rsidR="009C1C5A" w:rsidRPr="00896D4F" w:rsidRDefault="009C1C5A">
      <w:r w:rsidRPr="00896D4F">
        <w:t>I skrivelser till JO framförde H.C. klagomål mot dels Skredsviks skola i U</w:t>
      </w:r>
      <w:r w:rsidRPr="00896D4F">
        <w:t>d</w:t>
      </w:r>
      <w:r w:rsidRPr="00896D4F">
        <w:t>devalla kommun (JO:s dnr 1728-2000), dels Myggenäs skola i Tjörns ko</w:t>
      </w:r>
      <w:r w:rsidRPr="00896D4F">
        <w:t>m</w:t>
      </w:r>
      <w:r w:rsidRPr="00896D4F">
        <w:t>mun (JO:s dnr 1729-2000) angående att sonen hade kunnat byta skola efter en framställan endast från fadern. Hon anfö</w:t>
      </w:r>
      <w:r w:rsidRPr="00896D4F">
        <w:t>r</w:t>
      </w:r>
      <w:r w:rsidRPr="00896D4F">
        <w:t xml:space="preserve">de i huvudsak följande. </w:t>
      </w:r>
    </w:p>
    <w:p w:rsidR="009C1C5A" w:rsidRPr="00896D4F" w:rsidRDefault="009C1C5A">
      <w:pPr>
        <w:pStyle w:val="Normaltindrag"/>
      </w:pPr>
      <w:r w:rsidRPr="00896D4F">
        <w:t>Hon och f.d. maken hade gemensam vårdnad om de tre gemensamma ba</w:t>
      </w:r>
      <w:r w:rsidRPr="00896D4F">
        <w:t>r</w:t>
      </w:r>
      <w:r w:rsidRPr="00896D4F">
        <w:t>nen. Efter äktenskapsskillnaden 1991 hade barnen bott och varit folkbokförda hos henne. – Hon och äldste sonen M., som vid aktuell tidpunkt var 12 år och gick i årskurs 6, hade haft ”tonårskonflikter” under vilka M. uttalat att han ville flytta till fadern. När de två yngsta barnen den 16 april 2000 kom tillb</w:t>
      </w:r>
      <w:r w:rsidRPr="00896D4F">
        <w:t>a</w:t>
      </w:r>
      <w:r w:rsidRPr="00896D4F">
        <w:t>ka efter helgumgänge med fadern hade de med sig ett brev från honom där han skrev att M., vilken då vistats hos fadern sedan den 11 april 2000, hade beslutat sig för att byta skola och flytta till fad</w:t>
      </w:r>
      <w:r w:rsidRPr="00896D4F">
        <w:t>ern omgående. Den 28 april 2000 berättade hennes f.d. make för henne att M. hade börjat i Myggenäs skola i Tjörns kommun. Varken M:s tidigare skola, Skredsviks skola i Udd</w:t>
      </w:r>
      <w:r w:rsidRPr="00896D4F">
        <w:t>e</w:t>
      </w:r>
      <w:r w:rsidRPr="00896D4F">
        <w:t>valla kommun, eller Myggenäs skola informerade henne i saken. – Rektorn för Skredsviks skola skickade, efter begäran per telefon och sedan hon hört att M. ville flytta till fadern, pedagogisk information till Myggenäs skola utan att ifrågasätta flyttningen trots att hon tyckte att det var konstigt att någon ville byta skola när det var så</w:t>
      </w:r>
      <w:r w:rsidRPr="00896D4F">
        <w:t xml:space="preserve"> kort tid kvar av vårterminen. </w:t>
      </w:r>
      <w:r w:rsidRPr="00896D4F">
        <w:rPr>
          <w:rFonts w:ascii="Garamond" w:hAnsi="Garamond"/>
        </w:rPr>
        <w:t xml:space="preserve">– </w:t>
      </w:r>
      <w:r w:rsidRPr="00896D4F">
        <w:t>Kontakterna med Myggenäs skola sköttes av hennes f.d. makes nya hustru. – H.C. berättade vid ett telefonsamtal den 28 april 2000 för rektorn i Myggenäs skola att hon och hennes f.d. make hade gemensam vårdnad men att sonen var folkbokförd hos henne och att hon motsatte sig skolbytet. Rektorn lovade att tala med hennes f.d. make. Vid telefonsamtal med M. den 2 maj 2000 framkom emellertid att han varit i Myggenäs skola under dagen. Under veckan som följde försökte hon upprepad</w:t>
      </w:r>
      <w:r w:rsidRPr="00896D4F">
        <w:t>e gånger att få kontakt med rektorn utan att lyc</w:t>
      </w:r>
      <w:r w:rsidRPr="00896D4F">
        <w:t>k</w:t>
      </w:r>
      <w:r w:rsidRPr="00896D4F">
        <w:t xml:space="preserve">as. </w:t>
      </w:r>
    </w:p>
    <w:p w:rsidR="009C1C5A" w:rsidRPr="00896D4F" w:rsidRDefault="009C1C5A">
      <w:pPr>
        <w:pStyle w:val="Normaltindrag"/>
      </w:pPr>
      <w:r w:rsidRPr="00896D4F">
        <w:t>Barn- och utbildningsnämnden i Uddevalla kommun samt Barn- och u</w:t>
      </w:r>
      <w:r w:rsidRPr="00896D4F">
        <w:t>t</w:t>
      </w:r>
      <w:r w:rsidRPr="00896D4F">
        <w:t>bildningsnämnden i Tjörns kommun anmodades att inkomma med utredning och yttrande i fråga om Skredsviks skolas respektive Myggenäs skolas han</w:t>
      </w:r>
      <w:r w:rsidRPr="00896D4F">
        <w:t>d</w:t>
      </w:r>
      <w:r w:rsidRPr="00896D4F">
        <w:t>läg</w:t>
      </w:r>
      <w:r w:rsidRPr="00896D4F">
        <w:t>g</w:t>
      </w:r>
      <w:r w:rsidRPr="00896D4F">
        <w:t xml:space="preserve">ning av aktuellt ärende. </w:t>
      </w:r>
    </w:p>
    <w:p w:rsidR="009C1C5A" w:rsidRPr="00896D4F" w:rsidRDefault="009C1C5A">
      <w:pPr>
        <w:pStyle w:val="Normaltindrag"/>
      </w:pPr>
      <w:r w:rsidRPr="00896D4F">
        <w:t>I sitt remissvar anförde Barn- och utbildningsnämnden i Uddevalla ko</w:t>
      </w:r>
      <w:r w:rsidRPr="00896D4F">
        <w:t>m</w:t>
      </w:r>
      <w:r w:rsidRPr="00896D4F">
        <w:t>mun bl.a. fö</w:t>
      </w:r>
      <w:r w:rsidRPr="00896D4F">
        <w:t>l</w:t>
      </w:r>
      <w:r w:rsidRPr="00896D4F">
        <w:t>jande.</w:t>
      </w:r>
    </w:p>
    <w:p w:rsidR="009C1C5A" w:rsidRPr="00896D4F" w:rsidRDefault="009C1C5A">
      <w:pPr>
        <w:pStyle w:val="Citat"/>
      </w:pPr>
      <w:r w:rsidRPr="00896D4F">
        <w:t>Bestämmelserna om barns skolgång regleras i skollagen. I skollagens 3 kap. 15 § står ”den som har vårdnaden om ett skolpliktigt barn skall se till att ba</w:t>
      </w:r>
      <w:r w:rsidRPr="00896D4F">
        <w:t>r</w:t>
      </w:r>
      <w:r w:rsidRPr="00896D4F">
        <w:t>net fullgör sin skolplikt”. I de allra flesta fall brukar barnen även vara fol</w:t>
      </w:r>
      <w:r w:rsidRPr="00896D4F">
        <w:t>k</w:t>
      </w:r>
      <w:r w:rsidRPr="00896D4F">
        <w:t xml:space="preserve">bokförda hos den/de som har vårdnaden. </w:t>
      </w:r>
    </w:p>
    <w:p w:rsidR="009C1C5A" w:rsidRPr="00896D4F" w:rsidRDefault="009C1C5A">
      <w:pPr>
        <w:pStyle w:val="Citatindrag"/>
      </w:pPr>
      <w:r w:rsidRPr="00896D4F">
        <w:t>Arbetsgången i Uddevalla kommun när barn skall fullgöra sin skolplikt är att tjänstemän för skolornas expeditioner utifrån skolornas upptagningsomr</w:t>
      </w:r>
      <w:r w:rsidRPr="00896D4F">
        <w:t>å</w:t>
      </w:r>
      <w:r w:rsidRPr="00896D4F">
        <w:t xml:space="preserve">den och barnens folkbokföringsadresser kallar barnen till skolgång till berörd skola. </w:t>
      </w:r>
    </w:p>
    <w:p w:rsidR="009C1C5A" w:rsidRPr="00896D4F" w:rsidRDefault="009C1C5A">
      <w:pPr>
        <w:pStyle w:val="Citatindrag"/>
      </w:pPr>
      <w:r w:rsidRPr="00896D4F">
        <w:t>I de fall förälder önskar annan skola än den till vilken barnet hör anmäler föräldern detta. Beslut fattas av rektor enligt skollagens bestämmelser 4 kap. 6 §. I lagen finns inget reglerat att båda  föräldrarnas uttryckliga samtycke skall föreligga vid en sådan begäran. Normalt är att rektor litar på att den förälder som framför önskemålet har mandat att tala för båda föräldrarna.</w:t>
      </w:r>
    </w:p>
    <w:p w:rsidR="009C1C5A" w:rsidRPr="00896D4F" w:rsidRDefault="009C1C5A">
      <w:pPr>
        <w:pStyle w:val="Citatindrag"/>
      </w:pPr>
      <w:r w:rsidRPr="00896D4F">
        <w:t xml:space="preserve">Vid förflyttning till annan skola i kommunen föreligger oftast en skriftlig begäran. När det gäller förflyttning till skola på annan ort är det emellertid vanligt att detta meddelas muntligt. </w:t>
      </w:r>
    </w:p>
    <w:p w:rsidR="009C1C5A" w:rsidRPr="00896D4F" w:rsidRDefault="009C1C5A">
      <w:pPr>
        <w:pStyle w:val="Citatindrag"/>
      </w:pPr>
      <w:r w:rsidRPr="00896D4F">
        <w:t>I det aktuella ärendet har rektor känt till att barnens föräldrar levt skilda åt och att det hade varit en vårdnadsutredning. Rektor har även förutsatt att föräldrarna har gemensam vårdnad eftersom inget annat har uttalats från n</w:t>
      </w:r>
      <w:r w:rsidRPr="00896D4F">
        <w:t>å</w:t>
      </w:r>
      <w:r w:rsidRPr="00896D4F">
        <w:t xml:space="preserve">gon av föräldrarna. Båda föräldrarna har visat intresse för barnens skolgång där fadern har besökt skolan vid ett flertal tillfällen. </w:t>
      </w:r>
    </w:p>
    <w:p w:rsidR="009C1C5A" w:rsidRPr="00896D4F" w:rsidRDefault="009C1C5A">
      <w:pPr>
        <w:pStyle w:val="Citatindrag"/>
      </w:pPr>
      <w:r w:rsidRPr="00896D4F">
        <w:t>Den 20 april fick rektor vid Skredsviks skola meddelande av fadern att äldste sonen skulle flytta hem till honom och att familjerätten var inkopplad. Det senare hade fadern nämnt vid tidigare tillfälle till rektorn. Fadern berätt</w:t>
      </w:r>
      <w:r w:rsidRPr="00896D4F">
        <w:t>a</w:t>
      </w:r>
      <w:r w:rsidRPr="00896D4F">
        <w:t>de också att sonen skulle byta skola. Rektorn talade om för fadern att det var synd eftersom det var så kort tid kvar på terminen. Fadern undrade även om rektorn kunde ringa rektorn vid den mottagande skolan men fick svaret att vederbörande fick ta kontakt, vilket skedde samma dag. Rektorn vid Skred</w:t>
      </w:r>
      <w:r w:rsidRPr="00896D4F">
        <w:t>s</w:t>
      </w:r>
      <w:r w:rsidRPr="00896D4F">
        <w:t>viks skola upplyste då om att det inte fanns några skolmässiga problem och att något pedagogiskt utlåtande ej var gjort samt att övrig information får inhämtas från målsmän.</w:t>
      </w:r>
    </w:p>
    <w:p w:rsidR="009C1C5A" w:rsidRPr="00896D4F" w:rsidRDefault="009C1C5A">
      <w:pPr>
        <w:pStyle w:val="Citatindrag"/>
      </w:pPr>
      <w:r w:rsidRPr="00896D4F">
        <w:t xml:space="preserve">Genomgång av ärendet visar inte att </w:t>
      </w:r>
      <w:r w:rsidRPr="00896D4F">
        <w:t>rektorn vid Skredsviks skola har brustit i hanteringen. Även om hon var medveten om att det förelåg en vår</w:t>
      </w:r>
      <w:r w:rsidRPr="00896D4F">
        <w:t>d</w:t>
      </w:r>
      <w:r w:rsidRPr="00896D4F">
        <w:t>nadstvist kan det inte vara rektors uppgift i detta fall att ifrågasätta faderns upplysning om att pojken skulle flytta till honom genom att ta kontakt. Möjl</w:t>
      </w:r>
      <w:r w:rsidRPr="00896D4F">
        <w:t>i</w:t>
      </w:r>
      <w:r w:rsidRPr="00896D4F">
        <w:t>gen skulle hon ha kunnat ställa frågan om föräldrarna var överens om detta. Rektors uppgift måste alltid vara att behandla båda föräldrarna lika och att förutsätta att dessa löser uppkomna problem med barnens bästa för ögonen.</w:t>
      </w:r>
    </w:p>
    <w:p w:rsidR="009C1C5A" w:rsidRPr="00896D4F" w:rsidRDefault="009C1C5A">
      <w:pPr>
        <w:pStyle w:val="Citatindrag"/>
      </w:pPr>
      <w:r w:rsidRPr="00896D4F">
        <w:t>Upplysningsvis kan s</w:t>
      </w:r>
      <w:r w:rsidRPr="00896D4F">
        <w:t>ägas att pojken fortfarande är folkbokförd hos ma</w:t>
      </w:r>
      <w:r w:rsidRPr="00896D4F">
        <w:t>m</w:t>
      </w:r>
      <w:r w:rsidRPr="00896D4F">
        <w:t>man.</w:t>
      </w:r>
    </w:p>
    <w:p w:rsidR="009C1C5A" w:rsidRPr="00896D4F" w:rsidRDefault="009C1C5A">
      <w:r w:rsidRPr="00896D4F">
        <w:t>Barn- och utbildningsnämnden i Tjörns kommun lämnade som sitt remissvar ett av Lena Nyberg, rektor för Myggenäs och Hjälteby skolor, i samråd med förvaltningschefen Ove Holmberg upprättat yttrande. I yttrandet anfördes följa</w:t>
      </w:r>
      <w:r w:rsidRPr="00896D4F">
        <w:t>n</w:t>
      </w:r>
      <w:r w:rsidRPr="00896D4F">
        <w:t>de.</w:t>
      </w:r>
    </w:p>
    <w:p w:rsidR="009C1C5A" w:rsidRPr="00896D4F" w:rsidRDefault="009C1C5A">
      <w:pPr>
        <w:pStyle w:val="Citat"/>
      </w:pPr>
      <w:r w:rsidRPr="00896D4F">
        <w:t>Elev M.K. född 1987-, kom till Myggenäs skola den 25 april, för de 7 sista veckorna läsåret 99/00, på pappa J.K:s begäran.</w:t>
      </w:r>
    </w:p>
    <w:p w:rsidR="009C1C5A" w:rsidRPr="00896D4F" w:rsidRDefault="009C1C5A">
      <w:pPr>
        <w:pStyle w:val="Citatindrag"/>
      </w:pPr>
      <w:r w:rsidRPr="00896D4F">
        <w:t>Som rektor blev jag informerad 17 april, att M. var boende hos sin biol</w:t>
      </w:r>
      <w:r w:rsidRPr="00896D4F">
        <w:t>o</w:t>
      </w:r>
      <w:r w:rsidRPr="00896D4F">
        <w:t>giska pappa i Myggenäs villaområde och att en vårdnadstvist pågick. Jag informerades om att M. inte mådde bra och ville bo hos pappa, samt att J.K. efter att ha rådfrågat familjerätten beslutat låta M. få bo hemma hos sig. Jag blev också informerad om att föräldrarna har gemensam vårdnad om M.</w:t>
      </w:r>
    </w:p>
    <w:p w:rsidR="009C1C5A" w:rsidRPr="00896D4F" w:rsidRDefault="009C1C5A">
      <w:pPr>
        <w:pStyle w:val="Citatindrag"/>
      </w:pPr>
      <w:r w:rsidRPr="00896D4F">
        <w:t>För att få mer information om M:s skolsituation tar jag kontakt med rektor Birgitta Arbring, Skredsviks skola.</w:t>
      </w:r>
    </w:p>
    <w:p w:rsidR="009C1C5A" w:rsidRPr="00896D4F" w:rsidRDefault="009C1C5A">
      <w:pPr>
        <w:pStyle w:val="Citatindrag"/>
      </w:pPr>
      <w:r w:rsidRPr="00896D4F">
        <w:t>Därefter träffar jag M. och V.K. (J.K:s fru) tisdag 25 april för samtal. Vi diskuterar även problematiken med att byta skola/klass i slutet av år 6. De är helt medvetna om detta och hade gärna väntat till höststarten som avsikten varit, men i den nya situation som uppstått vill de och M. ändå byta skola. V.K. har barn på vår skola och sköter familjens kontakter med skolan. Vi tar då emot M. i vår skola och försöker göra det bästa av sit</w:t>
      </w:r>
      <w:r w:rsidRPr="00896D4F">
        <w:t>u</w:t>
      </w:r>
      <w:r w:rsidRPr="00896D4F">
        <w:t>ationen.</w:t>
      </w:r>
    </w:p>
    <w:p w:rsidR="009C1C5A" w:rsidRPr="00896D4F" w:rsidRDefault="009C1C5A">
      <w:pPr>
        <w:pStyle w:val="Citatindrag"/>
      </w:pPr>
      <w:r w:rsidRPr="00896D4F">
        <w:t>Efter 4 skoldagar, 28 april, ringer H.K., mycket upprörd och protesterar mot M:s skolgång på Myggenäs skola. Jag tar då kontakt med J.K. och fra</w:t>
      </w:r>
      <w:r w:rsidRPr="00896D4F">
        <w:t>m</w:t>
      </w:r>
      <w:r w:rsidRPr="00896D4F">
        <w:t>för budskapet. J.K. framhärdar dock att detta är det bästa för M.</w:t>
      </w:r>
    </w:p>
    <w:p w:rsidR="009C1C5A" w:rsidRPr="00896D4F" w:rsidRDefault="009C1C5A">
      <w:pPr>
        <w:pStyle w:val="Citatindrag"/>
      </w:pPr>
      <w:r w:rsidRPr="00896D4F">
        <w:t>Jag rådfrågar även förvaltningschef Ove Holmberg och får stöd i mitt handlande. Från det juridiska ombudet på familjerätten i Tjörns kommun får jag bedömandet att vi handlat rätt pga den gemensamma vårdnaden, samt rådet att tala med J.K:s handläggare på familjerätten i Uddevalla, för att i</w:t>
      </w:r>
      <w:r w:rsidRPr="00896D4F">
        <w:t>n</w:t>
      </w:r>
      <w:r w:rsidRPr="00896D4F">
        <w:t>formera dem om situationen. Får därefter namn och telefonnummer av J.K. till handläggare Lena Helgesson, Uddevalla kommun, som jag tar kontakt med.</w:t>
      </w:r>
    </w:p>
    <w:p w:rsidR="009C1C5A" w:rsidRPr="00896D4F" w:rsidRDefault="009C1C5A">
      <w:pPr>
        <w:pStyle w:val="Citatindrag"/>
      </w:pPr>
      <w:r w:rsidRPr="00896D4F">
        <w:t>Tar kontakt med H.K. och informerar henne.</w:t>
      </w:r>
    </w:p>
    <w:p w:rsidR="009C1C5A" w:rsidRPr="00896D4F" w:rsidRDefault="009C1C5A">
      <w:pPr>
        <w:pStyle w:val="Citatindrag"/>
      </w:pPr>
      <w:r w:rsidRPr="00896D4F">
        <w:t>M.K. har under tiden fullföljt sin skolgång på Myggenäs skola, varit på b</w:t>
      </w:r>
      <w:r w:rsidRPr="00896D4F">
        <w:t>e</w:t>
      </w:r>
      <w:r w:rsidRPr="00896D4F">
        <w:t>sök i sin gamla klass och även deltagit i planerad skolresa med dem. M. har framfört att han önskar fortsätta sin skolgång på Tjörn.</w:t>
      </w:r>
    </w:p>
    <w:p w:rsidR="009C1C5A" w:rsidRPr="00896D4F" w:rsidRDefault="009C1C5A">
      <w:r w:rsidRPr="00896D4F">
        <w:t xml:space="preserve">H.C. kommenterade remissvaren. </w:t>
      </w:r>
    </w:p>
    <w:p w:rsidR="009C1C5A" w:rsidRPr="00896D4F" w:rsidRDefault="009C1C5A">
      <w:r w:rsidRPr="00896D4F">
        <w:t xml:space="preserve">I ett beslut den 26 juni 2002 anförde </w:t>
      </w:r>
      <w:r w:rsidRPr="00896D4F">
        <w:rPr>
          <w:i/>
        </w:rPr>
        <w:t>JO André</w:t>
      </w:r>
      <w:r w:rsidRPr="00896D4F">
        <w:t xml:space="preserve"> följande. </w:t>
      </w:r>
    </w:p>
    <w:p w:rsidR="009C1C5A" w:rsidRPr="00896D4F" w:rsidRDefault="009C1C5A">
      <w:r w:rsidRPr="00896D4F">
        <w:t>Grundläggande bestämmelser om vårdnadshavares ansvar finns i 6 kap. 2 § andra stycket föräldrabalken. Närmare regler om vårdnadens utövande finns i 6 kap. 11–13 §§ föräldrabalken. Barnets vårdnadshavare har rätt och skyldi</w:t>
      </w:r>
      <w:r w:rsidRPr="00896D4F">
        <w:t>g</w:t>
      </w:r>
      <w:r w:rsidRPr="00896D4F">
        <w:t>het att bestämma i frågor som rör barnets personliga angelägenheter. Om barnet har två vårdnadshavare skall de enligt 6 kap. 13 § föräldrabalken til</w:t>
      </w:r>
      <w:r w:rsidRPr="00896D4F">
        <w:t>l</w:t>
      </w:r>
      <w:r w:rsidRPr="00896D4F">
        <w:t xml:space="preserve">sammans utöva  bestämmanderätten. Det krävs alltså normalt gemensamma beslut i frågor som rör vårdnaden. Bestämmanderätten utövas dock av den ena vårdnadshavaren ensam när den andra till följd av frånvaro, sjukdom eller annan orsak är förhindrad att ta del i beslut rörande vårdnaden och beslutet inte kan skjutas upp utan olägenhet. Beslut som är av ingripande </w:t>
      </w:r>
      <w:r w:rsidRPr="00896D4F">
        <w:t xml:space="preserve">betydelse för barnets framtid får dock inte fattas av den ena vårdnadshavaren ensam, om inte barnets bästa uppenbarligen kräver det. </w:t>
      </w:r>
    </w:p>
    <w:p w:rsidR="009C1C5A" w:rsidRPr="00896D4F" w:rsidRDefault="009C1C5A">
      <w:pPr>
        <w:pStyle w:val="Normaltindrag"/>
      </w:pPr>
      <w:r w:rsidRPr="00896D4F">
        <w:t>Bestämmelsen i 6 kap. 13 § föräldrabalken skall inte tolkas så att båda fö</w:t>
      </w:r>
      <w:r w:rsidRPr="00896D4F">
        <w:t>r</w:t>
      </w:r>
      <w:r w:rsidRPr="00896D4F">
        <w:t>äldrarna, även om ingen är direkt förhindrad, skall behöva delta i alla varda</w:t>
      </w:r>
      <w:r w:rsidRPr="00896D4F">
        <w:t>g</w:t>
      </w:r>
      <w:r w:rsidRPr="00896D4F">
        <w:t>liga avgöranden. Om föräldrarna inte sammanbor måste med nödvändighet den förälder som har barnet hos sig fatta de flesta beslut som rör den dagliga omsorgen. I förarbetena till lagstiftningen uttalades att till den dagliga omso</w:t>
      </w:r>
      <w:r w:rsidRPr="00896D4F">
        <w:t>r</w:t>
      </w:r>
      <w:r w:rsidRPr="00896D4F">
        <w:t>gen hör frågor om bl.a. barnets mat, kläder, sovtider och hur barnet skall tillbringa sin fritid. Däremot undantogs beslut av mer ingripande betydelse för barnets framtid, t.ex. frågor som rör barnets sko</w:t>
      </w:r>
      <w:r w:rsidRPr="00896D4F">
        <w:t xml:space="preserve">lgång och bosättning (prop. 1975/76:170 s.178). </w:t>
      </w:r>
    </w:p>
    <w:p w:rsidR="009C1C5A" w:rsidRPr="00896D4F" w:rsidRDefault="009C1C5A">
      <w:pPr>
        <w:pStyle w:val="Normaltindrag"/>
      </w:pPr>
      <w:r w:rsidRPr="00896D4F">
        <w:t>Någon förändring såvitt avser kravet på gemensamma beslut i frågor som rör barnets skolgång och bosättning har inte skett. Enligt gällande rätt krävs alltså att vårdnadshavarna är överens om att deras barn skall byta skola. Om vårdnadshavarna inte kan enas i en sådan fråga kan detta ytterst leda till att den gemensamma vårdnaden måste up</w:t>
      </w:r>
      <w:r w:rsidRPr="00896D4F">
        <w:t>p</w:t>
      </w:r>
      <w:r w:rsidRPr="00896D4F">
        <w:t>lösas.</w:t>
      </w:r>
    </w:p>
    <w:p w:rsidR="009C1C5A" w:rsidRPr="00896D4F" w:rsidRDefault="009C1C5A">
      <w:pPr>
        <w:pStyle w:val="Normaltindrag"/>
      </w:pPr>
      <w:r w:rsidRPr="00896D4F">
        <w:t>Enligt 4 kap. 5 § skollagen (1985:1100) skall hemkommunen – folkbokf</w:t>
      </w:r>
      <w:r w:rsidRPr="00896D4F">
        <w:t>ö</w:t>
      </w:r>
      <w:r w:rsidRPr="00896D4F">
        <w:t>ringskommunen – sörja för att utbildning kommer till stånd för var och en som enligt lagen har rätt att gå i grundskolan. I skollagen finns det bestä</w:t>
      </w:r>
      <w:r w:rsidRPr="00896D4F">
        <w:t>m</w:t>
      </w:r>
      <w:r w:rsidRPr="00896D4F">
        <w:t>melser som tillåter avsteg från denna huvudregel. I 4 kap. 8 § skollagen sta</w:t>
      </w:r>
      <w:r w:rsidRPr="00896D4F">
        <w:t>d</w:t>
      </w:r>
      <w:r w:rsidRPr="00896D4F">
        <w:t>gas sålunda att en kommun i sin grundskola även skall ta emot en elev för vars grundskoleutbildning kommunen inte är skyldig att sörja, om eleven med hänsyn till sina personliga förhållanden har särskilda skäl att få gå i den kommunens grundskola. Enligt 4 kap. 8 a § skollagen har en</w:t>
      </w:r>
      <w:r w:rsidRPr="00896D4F">
        <w:t xml:space="preserve"> kommun också rätt att, efter önskemål av vårdnadshavare, i sin grundskola ta emot en elev från en annan kommun. I båda fallen har kommunen rätt till ersättning för sina kostnader för elevens utbildning från elevens hemkommun, låt vara att ersättningens storlek är beroende av om eleven tas emot på grund av särskilda skäl eller vårdnadshavarens önskemål.</w:t>
      </w:r>
    </w:p>
    <w:p w:rsidR="009C1C5A" w:rsidRPr="00896D4F" w:rsidRDefault="009C1C5A">
      <w:pPr>
        <w:pStyle w:val="Normaltindrag"/>
      </w:pPr>
      <w:r w:rsidRPr="00896D4F">
        <w:t>Såvitt framgår av utredningen kontaktade M:s far den 17 april 2000 rektor Lena Nyberg vid Myggenäs skola i Tjörns kommun angående önskemål om att skolan omg</w:t>
      </w:r>
      <w:r w:rsidRPr="00896D4F">
        <w:t>ående skulle motta M. som elev. Faderns bostad låg inom Myggenäs skolas upptagningsområde. Lena Nyberg informerades bl.a. om att föräldrarna hade  gemensam vårdnad om M., att M. numera bodde hos sin far och att han ville bo där även fortsättningsvis. Därigenom förelåg det i och för sig skäl som motiverade att M. skulle tas emot som elev vid skolan, även om han ännu inte var folkbokförd i Tjörns kommun. Som ovan anförts är dock beslut i frågan om barns skolgång ett sådant beslut som vårdnadshavarna har att f</w:t>
      </w:r>
      <w:r w:rsidRPr="00896D4F">
        <w:t>atta gemensamt. Några särskilda omständigheter som visar att det i för</w:t>
      </w:r>
      <w:r w:rsidRPr="00896D4F">
        <w:t>e</w:t>
      </w:r>
      <w:r w:rsidRPr="00896D4F">
        <w:t>varande fall skulle ha varit fråga om en sådan placering som avses i 4 kap. 8 § skollagen har inte framko</w:t>
      </w:r>
      <w:r w:rsidRPr="00896D4F">
        <w:t>m</w:t>
      </w:r>
      <w:r w:rsidRPr="00896D4F">
        <w:t xml:space="preserve">mit. </w:t>
      </w:r>
    </w:p>
    <w:p w:rsidR="009C1C5A" w:rsidRPr="00896D4F" w:rsidRDefault="009C1C5A">
      <w:pPr>
        <w:pStyle w:val="Normaltindrag"/>
      </w:pPr>
      <w:r w:rsidRPr="00896D4F">
        <w:t>Skolan måste känna till och kunna belägga de förhållanden som ligger till grund för att barnet skall tas emot i skolan. Detta innebär bl.a. att en skola, genom att inhämta besked från folkbokföringen, måste kontrollera uppgifte</w:t>
      </w:r>
      <w:r w:rsidRPr="00896D4F">
        <w:t>r</w:t>
      </w:r>
      <w:r w:rsidRPr="00896D4F">
        <w:t>na om vem eller vilka som är vårdnadshavare för barnet. Vidare måste vår</w:t>
      </w:r>
      <w:r w:rsidRPr="00896D4F">
        <w:t>d</w:t>
      </w:r>
      <w:r w:rsidRPr="00896D4F">
        <w:t>nadshavarens respektive vårdnadshavarnas inställning till inskrivning i viss skola klarläggas (se JO:s ämbetsberättelse 2001/02 s. 397 och JO:s beslut den 12 april 2002, dnr 372-2001). Om det finns två vårdnadshavare sker detta enklast genom att båda undertecknar en ansökan om placering av barnet i den aktuella skolan.</w:t>
      </w:r>
    </w:p>
    <w:p w:rsidR="009C1C5A" w:rsidRPr="00896D4F" w:rsidRDefault="009C1C5A">
      <w:pPr>
        <w:pStyle w:val="Normaltindrag"/>
      </w:pPr>
      <w:r w:rsidRPr="00896D4F">
        <w:t>När M. mottogs i Myggenäs skola kände skolan till att föräldrarna hade gemensam vårdnad och att det pågick en vårdnad</w:t>
      </w:r>
      <w:r w:rsidRPr="00896D4F">
        <w:t>stvist. Det får också föru</w:t>
      </w:r>
      <w:r w:rsidRPr="00896D4F">
        <w:t>t</w:t>
      </w:r>
      <w:r w:rsidRPr="00896D4F">
        <w:t>sättas att skolan underrättades om att H.C. var den andre av barnets vårdnad</w:t>
      </w:r>
      <w:r w:rsidRPr="00896D4F">
        <w:t>s</w:t>
      </w:r>
      <w:r w:rsidRPr="00896D4F">
        <w:t xml:space="preserve">havare. Skolan vidtog emellertid inte några åtgärder för att efterhöra hennes inställning. I enlighet med vad som anförts ovan anser jag att skolledningen vid Myggenäs skola, inför beslutet om M. skulle skrivas in i skolan eller inte, borde ha kontaktat H.C. och klargjort vilken uppfattning hon hade i frågan. </w:t>
      </w:r>
    </w:p>
    <w:p w:rsidR="009C1C5A" w:rsidRPr="00896D4F" w:rsidRDefault="009C1C5A">
      <w:pPr>
        <w:pStyle w:val="Normaltindrag"/>
      </w:pPr>
      <w:r w:rsidRPr="00896D4F">
        <w:t>Det kan här tilläggas att det, även när det är fråga om en placering enligt 4 kap. 8 § skollagen</w:t>
      </w:r>
      <w:r w:rsidRPr="00896D4F">
        <w:t>, självfallet krävs att skolan har kännedom om de närmare omständigheterna i ärendet. Det är visserligen inte en formell förutsättning för tillämpning av den bestämmelsen att det finns en ansökan från barnets vår</w:t>
      </w:r>
      <w:r w:rsidRPr="00896D4F">
        <w:t>d</w:t>
      </w:r>
      <w:r w:rsidRPr="00896D4F">
        <w:t xml:space="preserve">nadshavare eller ens någon utredning om dennes önskemål i placeringsfrågan. Enligt min uppfattning bör skolan emellertid som regel också i dessa fall informera sig om vem eller vilka som är vårdnadshavare och efterhöra deras respektive inställning till inskrivning i skolan. En annan sak är att det </w:t>
      </w:r>
      <w:r w:rsidRPr="00896D4F">
        <w:t xml:space="preserve">är kommunen som självständigt har att ta ställning till om det i en uppkommen situation föreligger sådana särskilda skäl som kan föranleda en placering med stöd av 4 kap. 8 § skollagen. </w:t>
      </w:r>
    </w:p>
    <w:p w:rsidR="009C1C5A" w:rsidRPr="00896D4F" w:rsidRDefault="009C1C5A">
      <w:pPr>
        <w:pStyle w:val="Normaltindrag"/>
      </w:pPr>
      <w:r w:rsidRPr="00896D4F">
        <w:t>Vad gäller Skredsviks skola ger utredningen inte underlag för att rikta kr</w:t>
      </w:r>
      <w:r w:rsidRPr="00896D4F">
        <w:t>i</w:t>
      </w:r>
      <w:r w:rsidRPr="00896D4F">
        <w:t>tik mot handläggningen i förevarande fall. Med hänsyn till vad Barn- och utbildningsnämnden i Uddevalla kommun har anfört om att rektor normalt ”litar på att den förälder som framför önskemålet har mandat att tala för båda föräldrarna” vill jag dock allmänt erinra om den utredningsskyldighet som måste anses föreligga vad avser förutsättningarna för mottagande av en elev i sk</w:t>
      </w:r>
      <w:r w:rsidRPr="00896D4F">
        <w:t>o</w:t>
      </w:r>
      <w:r w:rsidRPr="00896D4F">
        <w:t>lan.</w:t>
      </w:r>
    </w:p>
    <w:p w:rsidR="009C1C5A" w:rsidRPr="00896D4F" w:rsidRDefault="009C1C5A">
      <w:r w:rsidRPr="00896D4F">
        <w:t>Det som H.C. i övrigt framfört föranleder inte någon ytterligare åtgärd eller något u</w:t>
      </w:r>
      <w:r w:rsidRPr="00896D4F">
        <w:t>t</w:t>
      </w:r>
      <w:r w:rsidRPr="00896D4F">
        <w:t>talande från min sida.</w:t>
      </w:r>
    </w:p>
    <w:p w:rsidR="009C1C5A" w:rsidRPr="00896D4F" w:rsidRDefault="009C1C5A">
      <w:pPr>
        <w:pStyle w:val="Rubrik2"/>
      </w:pPr>
      <w:r w:rsidRPr="00896D4F">
        <w:t>Kritik mot en gymnasieskola för handläggningen av en fråga om avstängning av en elev inom kommunal vuxenutbildning, m.m.</w:t>
      </w:r>
    </w:p>
    <w:p w:rsidR="009C1C5A" w:rsidRPr="00896D4F" w:rsidRDefault="009C1C5A">
      <w:pPr>
        <w:spacing w:before="0"/>
      </w:pPr>
      <w:r w:rsidRPr="00896D4F">
        <w:t>(Dnr 2837-1999)</w:t>
      </w:r>
    </w:p>
    <w:p w:rsidR="009C1C5A" w:rsidRPr="00896D4F" w:rsidRDefault="009C1C5A">
      <w:pPr>
        <w:pStyle w:val="Rubrik3"/>
      </w:pPr>
      <w:r w:rsidRPr="00896D4F">
        <w:t xml:space="preserve">Anmälan </w:t>
      </w:r>
    </w:p>
    <w:p w:rsidR="009C1C5A" w:rsidRPr="00896D4F" w:rsidRDefault="009C1C5A">
      <w:r w:rsidRPr="00896D4F">
        <w:t>I en anmälan till JO framförde U.V. klagomål mot Lövsta landsbygdsgymn</w:t>
      </w:r>
      <w:r w:rsidRPr="00896D4F">
        <w:t>a</w:t>
      </w:r>
      <w:r w:rsidRPr="00896D4F">
        <w:t>sium i Romakloster, Gotlands kommun, m.fl. angående felaktig behandling i samband med en avstängning. Han gjorde även gällande att han förmåtts att studera ”på distans” och därigenom var utestängd från skolan.</w:t>
      </w:r>
    </w:p>
    <w:p w:rsidR="009C1C5A" w:rsidRPr="00896D4F" w:rsidRDefault="009C1C5A">
      <w:pPr>
        <w:pStyle w:val="Normaltindrag"/>
      </w:pPr>
      <w:r w:rsidRPr="00896D4F">
        <w:t>U.V. anförde bl.a. följande. Han blev antagen till trädgårdslinjen på Lövsta landsbygdsgymnasium i slutet av 1998. Han studerade där de tre första mån</w:t>
      </w:r>
      <w:r w:rsidRPr="00896D4F">
        <w:t>a</w:t>
      </w:r>
      <w:r w:rsidRPr="00896D4F">
        <w:t>derna 1999 utan att få någon varning eller klagomål mot sin person. Under en skolresa till Stockholm i april 1999 (</w:t>
      </w:r>
      <w:r w:rsidRPr="00896D4F">
        <w:rPr>
          <w:i/>
        </w:rPr>
        <w:t>rätteligen mars 1999;</w:t>
      </w:r>
      <w:r w:rsidRPr="00896D4F">
        <w:t xml:space="preserve"> </w:t>
      </w:r>
      <w:r w:rsidRPr="00896D4F">
        <w:rPr>
          <w:i/>
        </w:rPr>
        <w:t>JO:s anm</w:t>
      </w:r>
      <w:r w:rsidRPr="00896D4F">
        <w:t>.) kom han i bråk med en av sina klasskamrater. När han återvände till Gotland fick han av en av de andra eleverna höra att han var ”relegerad”. Detta fick han snart bekräftat av en av huvudlärarna på trädgårdslinjen. Han sände ett brev till biträdande rektorn Tova Johansson och bad henne skicka en förklaring. Hon skickade då ett intyg avseende den tid han varit p</w:t>
      </w:r>
      <w:r w:rsidRPr="00896D4F">
        <w:t>å skolan utan vidare förklaring om hans avstängning. Han blev avstängd från undervisningen u</w:t>
      </w:r>
      <w:r w:rsidRPr="00896D4F">
        <w:t>n</w:t>
      </w:r>
      <w:r w:rsidRPr="00896D4F">
        <w:t>der en 14-dagarsperiod. Dagen innan han skulle återvända till skolan efter avstängningen ringde Tova Johansson och meddelade att en grupp elever satte sig emot att han återvände. Tova Johansson lade fram ett förslag som innebar att han skulle studera på distans. Han gick med på det eftersom han uppfatt</w:t>
      </w:r>
      <w:r w:rsidRPr="00896D4F">
        <w:t>a</w:t>
      </w:r>
      <w:r w:rsidRPr="00896D4F">
        <w:t xml:space="preserve">de att han inte hade något annat val. </w:t>
      </w:r>
    </w:p>
    <w:p w:rsidR="009C1C5A" w:rsidRPr="00896D4F" w:rsidRDefault="009C1C5A">
      <w:pPr>
        <w:pStyle w:val="Rubrik3"/>
      </w:pPr>
      <w:r w:rsidRPr="00896D4F">
        <w:t>Utredning</w:t>
      </w:r>
    </w:p>
    <w:p w:rsidR="009C1C5A" w:rsidRPr="00896D4F" w:rsidRDefault="009C1C5A">
      <w:r w:rsidRPr="00896D4F">
        <w:t>Inledningsvis infordrades handlingar från Lövsta landsbygdsgymn</w:t>
      </w:r>
      <w:r w:rsidRPr="00896D4F">
        <w:t>a</w:t>
      </w:r>
      <w:r w:rsidRPr="00896D4F">
        <w:t xml:space="preserve">sium. </w:t>
      </w:r>
    </w:p>
    <w:p w:rsidR="009C1C5A" w:rsidRPr="00896D4F" w:rsidRDefault="009C1C5A">
      <w:pPr>
        <w:pStyle w:val="Normaltindrag"/>
      </w:pPr>
      <w:r w:rsidRPr="00896D4F">
        <w:t>Härvid framkom bl.a. följande. I en till U.V. ställd skrivelse, daterad den 13 april 1999, som rubricerats ”Varning angående allvarlig förseelse under studietid”, anförde Tova Johansson, biträdande rektor vid Lövsta landsbygd</w:t>
      </w:r>
      <w:r w:rsidRPr="00896D4F">
        <w:t>s</w:t>
      </w:r>
      <w:r w:rsidRPr="00896D4F">
        <w:t>gymnasium, bl.a. följa</w:t>
      </w:r>
      <w:r w:rsidRPr="00896D4F">
        <w:t>n</w:t>
      </w:r>
      <w:r w:rsidRPr="00896D4F">
        <w:t xml:space="preserve">de. </w:t>
      </w:r>
    </w:p>
    <w:p w:rsidR="009C1C5A" w:rsidRPr="00896D4F" w:rsidRDefault="009C1C5A">
      <w:pPr>
        <w:pStyle w:val="Citat"/>
      </w:pPr>
      <w:r w:rsidRPr="00896D4F">
        <w:t>Härmed tilldelas U.V. studerande inom kunskapslyftets helårskurs inom trä</w:t>
      </w:r>
      <w:r w:rsidRPr="00896D4F">
        <w:t>d</w:t>
      </w:r>
      <w:r w:rsidRPr="00896D4F">
        <w:t>gård vid Lövsta Landsbygdsgymnasium (registrerad vid Komvux Visby) en varning angående olämpligt uppträdande och kraftig alkoholberusning vid studieresa till Sollentunamässan 25–26 mars 1999 enligt nedanstående b</w:t>
      </w:r>
      <w:r w:rsidRPr="00896D4F">
        <w:t>e</w:t>
      </w:r>
      <w:r w:rsidRPr="00896D4F">
        <w:t>skrivning. U.V. avstängs från undervisning två veckor fr o m 1999-03-29 enl fö</w:t>
      </w:r>
      <w:r w:rsidRPr="00896D4F">
        <w:t>r</w:t>
      </w:r>
      <w:r w:rsidRPr="00896D4F">
        <w:t xml:space="preserve">ordning. </w:t>
      </w:r>
    </w:p>
    <w:p w:rsidR="009C1C5A" w:rsidRPr="00896D4F" w:rsidRDefault="009C1C5A">
      <w:r w:rsidRPr="00896D4F">
        <w:t>Av handlingarna framgår vidare att Tova Johansson i en till Barn- och utbil</w:t>
      </w:r>
      <w:r w:rsidRPr="00896D4F">
        <w:t>d</w:t>
      </w:r>
      <w:r w:rsidRPr="00896D4F">
        <w:t>ningsnämnden i Gotlands kommun ställd skrivelse av den 18 april 1999 yrk</w:t>
      </w:r>
      <w:r w:rsidRPr="00896D4F">
        <w:t>a</w:t>
      </w:r>
      <w:r w:rsidRPr="00896D4F">
        <w:t>de  att nämnden skulle ”pröva avstängningen” av U.V. I skrivelsen anfördes även bl.a. följande.</w:t>
      </w:r>
    </w:p>
    <w:p w:rsidR="009C1C5A" w:rsidRPr="00896D4F" w:rsidRDefault="009C1C5A">
      <w:pPr>
        <w:pStyle w:val="Citat"/>
      </w:pPr>
      <w:r w:rsidRPr="00896D4F">
        <w:t>Ärendet har handlagts sent pga att den studerande själv gett signaler om att han skulle avsluta utbildningen och också begärde ett intyg över studierna vilket utfärdades 1999-03-31. I det läget fanns ingen anledning att vidta n</w:t>
      </w:r>
      <w:r w:rsidRPr="00896D4F">
        <w:t>å</w:t>
      </w:r>
      <w:r w:rsidRPr="00896D4F">
        <w:t xml:space="preserve">gon åtgärd. </w:t>
      </w:r>
    </w:p>
    <w:p w:rsidR="009C1C5A" w:rsidRPr="00896D4F" w:rsidRDefault="009C1C5A">
      <w:pPr>
        <w:pStyle w:val="Citatindrag"/>
      </w:pPr>
      <w:r w:rsidRPr="00896D4F">
        <w:t>Dessutom har det varit och är oklart om vem som är den högst ansvariga för kunskapslyftets elever. Eleven har hävdat att en lärare avstängt eleven vilket inte är fallet. Läraren har meddelat eleven att de övriga studerande inte välkomnade honom tillbaka.</w:t>
      </w:r>
    </w:p>
    <w:p w:rsidR="009C1C5A" w:rsidRPr="00896D4F" w:rsidRDefault="009C1C5A">
      <w:r w:rsidRPr="00896D4F">
        <w:t>I en till barn- och utbildningsnämnden ställd skrivelse den 7 juli 1999 lämn</w:t>
      </w:r>
      <w:r w:rsidRPr="00896D4F">
        <w:t>a</w:t>
      </w:r>
      <w:r w:rsidRPr="00896D4F">
        <w:t>de Tova Johansson en redogörelse avseende aktuellt ärende. I skrivelsen a</w:t>
      </w:r>
      <w:r w:rsidRPr="00896D4F">
        <w:t>n</w:t>
      </w:r>
      <w:r w:rsidRPr="00896D4F">
        <w:t>fördes bl.a. fö</w:t>
      </w:r>
      <w:r w:rsidRPr="00896D4F">
        <w:t>l</w:t>
      </w:r>
      <w:r w:rsidRPr="00896D4F">
        <w:t>jande.</w:t>
      </w:r>
    </w:p>
    <w:p w:rsidR="009C1C5A" w:rsidRPr="00896D4F" w:rsidRDefault="009C1C5A">
      <w:pPr>
        <w:pStyle w:val="Citat"/>
      </w:pPr>
      <w:r w:rsidRPr="00896D4F">
        <w:t>En skriftlig varning utdelades till U.V. daterad 1999-04-13 och är undertec</w:t>
      </w:r>
      <w:r w:rsidRPr="00896D4F">
        <w:t>k</w:t>
      </w:r>
      <w:r w:rsidRPr="00896D4F">
        <w:t>nad av båda parter. Eleven tilldelades en retroaktiv avstängning om två vec</w:t>
      </w:r>
      <w:r w:rsidRPr="00896D4F">
        <w:t>k</w:t>
      </w:r>
      <w:r w:rsidRPr="00896D4F">
        <w:t>or i samband med varningen. Annan avstängning har inte varit gällande. Rektor har förberett klassen på U.V:s återkomst där möten med klassen skett 1999-04-13 och 1999-04-16 där det framkommit att detta inte skulle fungera på ett bra sätt. U.V. meddelades svårigheterna med att återuppta studierna på Lövsta. I samband med detta kontaktades Barn- och Utbildningsnämnden samt att U.V. erbjöds individuella studier med praktikplats på Mur</w:t>
      </w:r>
      <w:r w:rsidRPr="00896D4F">
        <w:t>amaris enligt bifogat brev. Individuell studieplan a</w:t>
      </w:r>
      <w:r w:rsidRPr="00896D4F">
        <w:t>c</w:t>
      </w:r>
      <w:r w:rsidRPr="00896D4F">
        <w:t>cepterades av den studerande.</w:t>
      </w:r>
      <w:r w:rsidRPr="00896D4F">
        <w:br/>
        <w:t xml:space="preserve">– För att utreda studiemöjligheterna i klassen kopplades kurator Ann-Marie Holm Renborn vid Komvux in för utredning. De utförda åtgärderna har varit kontakt med U.V., närvaro vid möte mellan den studerande och rektor samt samtal med eleverna vid trädgårdsutbildningen 1999-05-06. Bedömningen av kurator är att, såsom situationen utvecklat sig med ett kompakt motstånd från övriga elever, den bästa lösningen är att U.V. bedriver </w:t>
      </w:r>
      <w:r w:rsidRPr="00896D4F">
        <w:t>studierna enskilt. K</w:t>
      </w:r>
      <w:r w:rsidRPr="00896D4F">
        <w:t>u</w:t>
      </w:r>
      <w:r w:rsidRPr="00896D4F">
        <w:t>rators bedömning delas av undertecknad.</w:t>
      </w:r>
    </w:p>
    <w:p w:rsidR="009C1C5A" w:rsidRPr="00896D4F" w:rsidRDefault="009C1C5A">
      <w:r w:rsidRPr="00896D4F">
        <w:t>Barn- och utbildningsnämnden i Gotlands kommun anmodades att inkomma med utredning och yttrande över vad som framförts i U.V:s anmälan till JO. I remissyttrandet anfördes fö</w:t>
      </w:r>
      <w:r w:rsidRPr="00896D4F">
        <w:t>l</w:t>
      </w:r>
      <w:r w:rsidRPr="00896D4F">
        <w:t>jande.</w:t>
      </w:r>
    </w:p>
    <w:p w:rsidR="009C1C5A" w:rsidRPr="00896D4F" w:rsidRDefault="009C1C5A">
      <w:pPr>
        <w:pStyle w:val="Rubrik4"/>
      </w:pPr>
      <w:r w:rsidRPr="00896D4F">
        <w:t xml:space="preserve">Bakgrund </w:t>
      </w:r>
    </w:p>
    <w:p w:rsidR="009C1C5A" w:rsidRPr="00896D4F" w:rsidRDefault="009C1C5A">
      <w:pPr>
        <w:pStyle w:val="Citat"/>
      </w:pPr>
      <w:r w:rsidRPr="00896D4F">
        <w:t>U.V., född 1954 (</w:t>
      </w:r>
      <w:r w:rsidRPr="00896D4F">
        <w:rPr>
          <w:i/>
        </w:rPr>
        <w:t>1958 enligt U.V:s påpekande; JO:s anm.</w:t>
      </w:r>
      <w:r w:rsidRPr="00896D4F">
        <w:t>), är elev vid trä</w:t>
      </w:r>
      <w:r w:rsidRPr="00896D4F">
        <w:t>d</w:t>
      </w:r>
      <w:r w:rsidRPr="00896D4F">
        <w:t>gårdsutbild</w:t>
      </w:r>
      <w:r w:rsidRPr="00896D4F">
        <w:softHyphen/>
        <w:t xml:space="preserve">ningen på Lövsta Landsbygdsgymnasium inom ramen för </w:t>
      </w:r>
      <w:r w:rsidRPr="00896D4F">
        <w:rPr>
          <w:i/>
        </w:rPr>
        <w:t>ku</w:t>
      </w:r>
      <w:r w:rsidRPr="00896D4F">
        <w:rPr>
          <w:i/>
        </w:rPr>
        <w:t>n</w:t>
      </w:r>
      <w:r w:rsidRPr="00896D4F">
        <w:rPr>
          <w:i/>
        </w:rPr>
        <w:t xml:space="preserve">skapslyftet. </w:t>
      </w:r>
      <w:r w:rsidRPr="00896D4F">
        <w:t>Under viss tid har det rått konflikt mellan U.V. och övriga elever i utbild</w:t>
      </w:r>
      <w:r w:rsidRPr="00896D4F">
        <w:softHyphen/>
        <w:t>ningen. Vid en studieresa till Stockholm v 12 blev U.V. avvisad från vand</w:t>
      </w:r>
      <w:r w:rsidRPr="00896D4F">
        <w:softHyphen/>
        <w:t>rarhemmet af Chapman på grund av störande uppträdande i alkoholp</w:t>
      </w:r>
      <w:r w:rsidRPr="00896D4F">
        <w:t>å</w:t>
      </w:r>
      <w:r w:rsidRPr="00896D4F">
        <w:t>verkat tillstånd. Efter denna incident avstängdes U.V. temporärt två veckor från kur</w:t>
      </w:r>
      <w:r w:rsidRPr="00896D4F">
        <w:softHyphen/>
        <w:t>sen. Efter denna period erbjöds U.V. individuell stud</w:t>
      </w:r>
      <w:r w:rsidRPr="00896D4F">
        <w:t>i</w:t>
      </w:r>
      <w:r w:rsidRPr="00896D4F">
        <w:t>eplats.</w:t>
      </w:r>
    </w:p>
    <w:p w:rsidR="009C1C5A" w:rsidRPr="00896D4F" w:rsidRDefault="009C1C5A">
      <w:pPr>
        <w:pStyle w:val="Citatindrag"/>
      </w:pPr>
      <w:r w:rsidRPr="00896D4F">
        <w:t>Som elev på k</w:t>
      </w:r>
      <w:r w:rsidRPr="00896D4F">
        <w:t>unskapslyftet omfattas U.V. av förordning om kommunal vuxen</w:t>
      </w:r>
      <w:r w:rsidRPr="00896D4F">
        <w:softHyphen/>
        <w:t>utbildning. I förordningens 3 kapitel regleras disciplinära åtgärder i 21–24 §§. Enligt vår mening rör detta sig emellertid inte om en disciplinär åtgärd, utan om en anpassad studiegång i form av individuell undervisning. Åtgärden var motiverad under en längre tid, men den utlösande faktorn blev incidenten i Stockholm.</w:t>
      </w:r>
    </w:p>
    <w:p w:rsidR="009C1C5A" w:rsidRPr="00896D4F" w:rsidRDefault="009C1C5A">
      <w:pPr>
        <w:pStyle w:val="Rubrik4"/>
      </w:pPr>
      <w:r w:rsidRPr="00896D4F">
        <w:t xml:space="preserve">Utredning  </w:t>
      </w:r>
    </w:p>
    <w:p w:rsidR="009C1C5A" w:rsidRPr="00896D4F" w:rsidRDefault="009C1C5A">
      <w:pPr>
        <w:pStyle w:val="Citat"/>
      </w:pPr>
      <w:r w:rsidRPr="00896D4F">
        <w:t>Som framgår av bilagorna (</w:t>
      </w:r>
      <w:r w:rsidRPr="00896D4F">
        <w:rPr>
          <w:i/>
        </w:rPr>
        <w:t>här utelämnade;</w:t>
      </w:r>
      <w:r w:rsidRPr="00896D4F">
        <w:t xml:space="preserve"> </w:t>
      </w:r>
      <w:r w:rsidRPr="00896D4F">
        <w:rPr>
          <w:i/>
        </w:rPr>
        <w:t>JO:s anm.</w:t>
      </w:r>
      <w:r w:rsidRPr="00896D4F">
        <w:t>) vidtogs åtgärden efter en långvarig konfliktsitua</w:t>
      </w:r>
      <w:r w:rsidRPr="00896D4F">
        <w:softHyphen/>
        <w:t>tion mellan U.V. och de övriga eleverna i gruppen. Kurator Ann-Marie Holm Renborn har varit engagerad i ärendet. Som framgår av bifogade handlingar råder oenighet med U.V. om huruvida åtgärden skall betraktas som avstäng</w:t>
      </w:r>
      <w:r w:rsidRPr="00896D4F">
        <w:softHyphen/>
        <w:t>ning eller övergång till individuell u</w:t>
      </w:r>
      <w:r w:rsidRPr="00896D4F">
        <w:t>n</w:t>
      </w:r>
      <w:r w:rsidRPr="00896D4F">
        <w:t>dervisning. Utbildningen fortsatte ge</w:t>
      </w:r>
      <w:r w:rsidRPr="00896D4F">
        <w:softHyphen/>
        <w:t xml:space="preserve">nom att U.V. studerat i hemmet och på individuell praktik, och kan enligt vår mening därför inte betraktas som en avstängning. Uppgifter </w:t>
      </w:r>
      <w:r w:rsidRPr="00896D4F">
        <w:t>och material har sänts hem till U.V. U.V. uppger att möjligheten att delta i undervisningen från hemmet ej fungerar då den inn</w:t>
      </w:r>
      <w:r w:rsidRPr="00896D4F">
        <w:t>e</w:t>
      </w:r>
      <w:r w:rsidRPr="00896D4F">
        <w:t>håller praktiska moment som genomförs på Lövsta. F n (hösten 1999) har U.V. sin undervisning i form av individuell praktiktjänstgöring.</w:t>
      </w:r>
    </w:p>
    <w:p w:rsidR="009C1C5A" w:rsidRPr="00896D4F" w:rsidRDefault="009C1C5A">
      <w:pPr>
        <w:pStyle w:val="Citatindrag"/>
      </w:pPr>
      <w:r w:rsidRPr="00896D4F">
        <w:t>Åtgärden beslutades av klassföreståndaren. Beslut om avstängning är inte delegerade från styrelsen för skolan enligt gällande delegationsordning. Om åtgärden skulle vara att betrakta som avstängning kan den således anses strida mot 23 §.</w:t>
      </w:r>
    </w:p>
    <w:p w:rsidR="009C1C5A" w:rsidRPr="00896D4F" w:rsidRDefault="009C1C5A">
      <w:pPr>
        <w:pStyle w:val="Citatindrag"/>
      </w:pPr>
      <w:r w:rsidRPr="00896D4F">
        <w:t>Enligt vår mening är det rektor som har ansvaret för elevens undervisning och som således också har att fatta beslut om anpassad studiegång, prak</w:t>
      </w:r>
      <w:r w:rsidRPr="00896D4F">
        <w:softHyphen/>
        <w:t>tiktjänst</w:t>
      </w:r>
      <w:r w:rsidRPr="00896D4F">
        <w:softHyphen/>
        <w:t>göring eller individuella studiepl</w:t>
      </w:r>
      <w:r w:rsidRPr="00896D4F">
        <w:t>a</w:t>
      </w:r>
      <w:r w:rsidRPr="00896D4F">
        <w:t>ner.</w:t>
      </w:r>
    </w:p>
    <w:p w:rsidR="009C1C5A" w:rsidRPr="00896D4F" w:rsidRDefault="009C1C5A">
      <w:pPr>
        <w:pStyle w:val="Citatindrag"/>
      </w:pPr>
      <w:r w:rsidRPr="00896D4F">
        <w:rPr>
          <w:i/>
        </w:rPr>
        <w:t xml:space="preserve">Kunskapslyftet </w:t>
      </w:r>
      <w:r w:rsidRPr="00896D4F">
        <w:t>är lokaliserad till Lövsta Landsbygdsgymnasium, vi</w:t>
      </w:r>
      <w:r w:rsidRPr="00896D4F">
        <w:t>l</w:t>
      </w:r>
      <w:r w:rsidRPr="00896D4F">
        <w:t>ket till</w:t>
      </w:r>
      <w:r w:rsidRPr="00896D4F">
        <w:softHyphen/>
        <w:t>hör Barn- och utbildningsnämndens ansvarsområde. Om åtgärden skulle b</w:t>
      </w:r>
      <w:r w:rsidRPr="00896D4F">
        <w:t>e</w:t>
      </w:r>
      <w:r w:rsidRPr="00896D4F">
        <w:t>traktas som avstängning istället för individuell undervisning borde alltså b</w:t>
      </w:r>
      <w:r w:rsidRPr="00896D4F">
        <w:t>e</w:t>
      </w:r>
      <w:r w:rsidRPr="00896D4F">
        <w:t>slutet i konsekvens därmed ha fattats av Barn- och utbildning</w:t>
      </w:r>
      <w:r w:rsidRPr="00896D4F">
        <w:t>s</w:t>
      </w:r>
      <w:r w:rsidRPr="00896D4F">
        <w:t>nämnden.</w:t>
      </w:r>
    </w:p>
    <w:p w:rsidR="009C1C5A" w:rsidRPr="00896D4F" w:rsidRDefault="009C1C5A">
      <w:r w:rsidRPr="00896D4F">
        <w:t>U.V. kommenterade remissvaret. Han anförde bl.a. följande. Han har inte känt till att det rått konflikt mellan honom och övriga elever före aktuell sko</w:t>
      </w:r>
      <w:r w:rsidRPr="00896D4F">
        <w:t>l</w:t>
      </w:r>
      <w:r w:rsidRPr="00896D4F">
        <w:t>resa. Innan han blev avstängd hade han inte fått någon som helst varning om att det ”inte stod rätt till”. – Det är svårt för honom med de individuella stud</w:t>
      </w:r>
      <w:r w:rsidRPr="00896D4F">
        <w:t>i</w:t>
      </w:r>
      <w:r w:rsidRPr="00896D4F">
        <w:t xml:space="preserve">erna, särskilt då han inte har möjlighet att praktisera vissa av ämnena. </w:t>
      </w:r>
    </w:p>
    <w:p w:rsidR="009C1C5A" w:rsidRPr="00896D4F" w:rsidRDefault="009C1C5A">
      <w:pPr>
        <w:pStyle w:val="Normaltindrag"/>
      </w:pPr>
      <w:r w:rsidRPr="00896D4F">
        <w:t>Kompletterande uppgifter inhämtades per telefon från nämndsekreteraren Per Westholm, barn- och utbildningsförvaltningen, Tova Johansson och Jan Boström, rektor för den kommunala vuxenutbildningen i Gotlands kommun.</w:t>
      </w:r>
    </w:p>
    <w:p w:rsidR="009C1C5A" w:rsidRPr="00896D4F" w:rsidRDefault="009C1C5A">
      <w:pPr>
        <w:pStyle w:val="Normaltindrag"/>
      </w:pPr>
      <w:r w:rsidRPr="00896D4F">
        <w:t>Per Westholm uppgav bl.a. att Tova Johanssons i skrift av den 18 april 1999 framställda yrkande om prövning av avstängning inte togs upp i barn- och utbildningsnämnden eftersom saken inte betraktades som en avstän</w:t>
      </w:r>
      <w:r w:rsidRPr="00896D4F">
        <w:t>g</w:t>
      </w:r>
      <w:r w:rsidRPr="00896D4F">
        <w:t xml:space="preserve">ning. </w:t>
      </w:r>
    </w:p>
    <w:p w:rsidR="009C1C5A" w:rsidRPr="00896D4F" w:rsidRDefault="009C1C5A">
      <w:pPr>
        <w:pStyle w:val="Normaltindrag"/>
      </w:pPr>
      <w:r w:rsidRPr="00896D4F">
        <w:t>Jan Boström lämnade följande upplysningar. Inledningsvis låg Kunskap</w:t>
      </w:r>
      <w:r w:rsidRPr="00896D4F">
        <w:t>s</w:t>
      </w:r>
      <w:r w:rsidRPr="00896D4F">
        <w:t>lyftet organisatoriskt under kommunstyrelsen. Sedan den 1 januari 2000 ingår Kunskapslyftet i barn- och utbildningsnämndens ansvarsområde. Den ko</w:t>
      </w:r>
      <w:r w:rsidRPr="00896D4F">
        <w:t>m</w:t>
      </w:r>
      <w:r w:rsidRPr="00896D4F">
        <w:t>munala vuxenutbildningen i Gotlands kommun tillhörde vid den i ärendet aktuella tidpunkten –  och gör det alltjämt – barn- och utbildningsnämndens ansvar</w:t>
      </w:r>
      <w:r w:rsidRPr="00896D4F">
        <w:t>s</w:t>
      </w:r>
      <w:r w:rsidRPr="00896D4F">
        <w:t>område.</w:t>
      </w:r>
    </w:p>
    <w:p w:rsidR="009C1C5A" w:rsidRPr="00896D4F" w:rsidRDefault="009C1C5A">
      <w:r w:rsidRPr="00896D4F">
        <w:t>JO tog även del av vissa handlingar från barn- och utbildningsförval</w:t>
      </w:r>
      <w:r w:rsidRPr="00896D4F">
        <w:t>t</w:t>
      </w:r>
      <w:r w:rsidRPr="00896D4F">
        <w:t>ningen.</w:t>
      </w:r>
    </w:p>
    <w:p w:rsidR="009C1C5A" w:rsidRPr="00896D4F" w:rsidRDefault="009C1C5A">
      <w:r w:rsidRPr="00896D4F">
        <w:t xml:space="preserve">I beslut den 21 februari 2002 anförde </w:t>
      </w:r>
      <w:r w:rsidRPr="00896D4F">
        <w:rPr>
          <w:i/>
        </w:rPr>
        <w:t xml:space="preserve">JO André </w:t>
      </w:r>
      <w:r w:rsidRPr="00896D4F">
        <w:t>följande.</w:t>
      </w:r>
    </w:p>
    <w:p w:rsidR="009C1C5A" w:rsidRPr="00896D4F" w:rsidRDefault="009C1C5A">
      <w:pPr>
        <w:pStyle w:val="Rubrik3"/>
      </w:pPr>
      <w:r w:rsidRPr="00896D4F">
        <w:t>Rättslig reglering</w:t>
      </w:r>
    </w:p>
    <w:p w:rsidR="009C1C5A" w:rsidRPr="00896D4F" w:rsidRDefault="009C1C5A">
      <w:pPr>
        <w:pStyle w:val="Rubrik4"/>
        <w:spacing w:before="125"/>
      </w:pPr>
      <w:r w:rsidRPr="00896D4F">
        <w:t>Allmänt</w:t>
      </w:r>
    </w:p>
    <w:p w:rsidR="009C1C5A" w:rsidRPr="00896D4F" w:rsidRDefault="009C1C5A">
      <w:r w:rsidRPr="00896D4F">
        <w:t>Av 1 kap. 8 § skollagen (1985:1100) framgår att det allmänna anordnar u</w:t>
      </w:r>
      <w:r w:rsidRPr="00896D4F">
        <w:t>t</w:t>
      </w:r>
      <w:r w:rsidRPr="00896D4F">
        <w:t>bildning för vuxna i form av bl.a. kommunal vuxenutbildning (komvux). Komvux består av grundläggande vuxenutbildning, gymnasial vuxenutbil</w:t>
      </w:r>
      <w:r w:rsidRPr="00896D4F">
        <w:t>d</w:t>
      </w:r>
      <w:r w:rsidRPr="00896D4F">
        <w:t>ning och påbyggnadsutbildning (11 kap. 1 § skollagen). I 1 kap. 10 § skoll</w:t>
      </w:r>
      <w:r w:rsidRPr="00896D4F">
        <w:t>a</w:t>
      </w:r>
      <w:r w:rsidRPr="00896D4F">
        <w:t>gen stadgas att kommuner och landsting är huvudmän för komvux. Av 12 § i samma kapitel framgår att den som är huvudman för en del av det offentliga skolväsendet ansvarar för att utbildningen genomförs i enlighet med bestä</w:t>
      </w:r>
      <w:r w:rsidRPr="00896D4F">
        <w:t>m</w:t>
      </w:r>
      <w:r w:rsidRPr="00896D4F">
        <w:t>melserna i skollagen och de bestämmelser som kan finnas i annan lag eller f</w:t>
      </w:r>
      <w:r w:rsidRPr="00896D4F">
        <w:t xml:space="preserve">örordning. Varje kommun och landsting skall, enligt 2 kap. 1 § skollagen, som styrelse för sitt offentliga skolväsende utse en eller flera nämnder. Av 2 kap. 2 § samma lag framgår att det för ledningen av utbildningen i skolorna skall finnas rektorer och att dessa skall hålla sig förtrogna med det dagliga arbetet i skolan.    </w:t>
      </w:r>
    </w:p>
    <w:p w:rsidR="009C1C5A" w:rsidRPr="00896D4F" w:rsidRDefault="009C1C5A">
      <w:pPr>
        <w:pStyle w:val="Normaltindrag"/>
      </w:pPr>
      <w:r w:rsidRPr="00896D4F">
        <w:t>För den kommunala vuxenutbildningen gäller, utöver vad som föreskrivs i skollagen, bl.a. förordningen (1992:403) om kommunal vuxenutbildning och förordningen (SKOLFS 1994:2) om 1994 å</w:t>
      </w:r>
      <w:r w:rsidRPr="00896D4F">
        <w:t>rs läroplan för de frivilliga sko</w:t>
      </w:r>
      <w:r w:rsidRPr="00896D4F">
        <w:t>l</w:t>
      </w:r>
      <w:r w:rsidRPr="00896D4F">
        <w:t>formerna. Härutöver innehåller förordningen (1998:276) om statligt stöd till särskilda satsningar på utbildning av vuxna de speciella regler som gäller för Kunskapsly</w:t>
      </w:r>
      <w:r w:rsidRPr="00896D4F">
        <w:t>f</w:t>
      </w:r>
      <w:r w:rsidRPr="00896D4F">
        <w:t xml:space="preserve">tet. </w:t>
      </w:r>
    </w:p>
    <w:p w:rsidR="009C1C5A" w:rsidRPr="00896D4F" w:rsidRDefault="009C1C5A">
      <w:pPr>
        <w:pStyle w:val="Rubrik4"/>
      </w:pPr>
      <w:r w:rsidRPr="00896D4F">
        <w:t>Disciplinära åtgärder</w:t>
      </w:r>
    </w:p>
    <w:p w:rsidR="009C1C5A" w:rsidRPr="00896D4F" w:rsidRDefault="009C1C5A">
      <w:r w:rsidRPr="00896D4F">
        <w:t>Den rättsliga grunden för disciplinära åtgärder mot elever vid kommunal vuxenutbildning finns i 15 kap. 14 § skollagen. Av bestämmelsen framgår att regeringen, eller den myndighet som regeringen bestämmer, får meddela föreskrifter om disciplinära åtgärder och skiljande av elev från viss utbildning i fråga om utbildning enligt skollagen efter skolpliktens up</w:t>
      </w:r>
      <w:r w:rsidRPr="00896D4F">
        <w:t>p</w:t>
      </w:r>
      <w:r w:rsidRPr="00896D4F">
        <w:t xml:space="preserve">hörande. </w:t>
      </w:r>
    </w:p>
    <w:p w:rsidR="009C1C5A" w:rsidRPr="00896D4F" w:rsidRDefault="009C1C5A">
      <w:pPr>
        <w:pStyle w:val="Normaltindrag"/>
      </w:pPr>
      <w:r w:rsidRPr="00896D4F">
        <w:t>De närmare bestämmelserna om disciplinära åtgärder mot elev vid ko</w:t>
      </w:r>
      <w:r w:rsidRPr="00896D4F">
        <w:t>m</w:t>
      </w:r>
      <w:r w:rsidRPr="00896D4F">
        <w:t>munal vuxenutbildning finns i 3 kap. 21–24 §§ förordningen om kommunal vuxenutbil</w:t>
      </w:r>
      <w:r w:rsidRPr="00896D4F">
        <w:t>d</w:t>
      </w:r>
      <w:r w:rsidRPr="00896D4F">
        <w:t xml:space="preserve">ning. </w:t>
      </w:r>
    </w:p>
    <w:p w:rsidR="009C1C5A" w:rsidRPr="00896D4F" w:rsidRDefault="009C1C5A">
      <w:pPr>
        <w:pStyle w:val="Normaltindrag"/>
      </w:pPr>
      <w:r w:rsidRPr="00896D4F">
        <w:t>I förordningens 3 kap. 21 § anges att en elev får skiljas från utbildningen bl.a. om han inte kan anpassa sig till de arbetsformer som undervisningen bedrivs i. Enligt 3 kap. 22 § får elev avstängas från undervisningen helt eller delvis eller förvisas från komvux om han gjort sig skyldig till upprepade fö</w:t>
      </w:r>
      <w:r w:rsidRPr="00896D4F">
        <w:t>r</w:t>
      </w:r>
      <w:r w:rsidRPr="00896D4F">
        <w:t>seelser eller en allvarligare förseelse, eller om han uppträtt olämpligt vid upprepade tillfällen eller hans uppförande på annat sätt kan antas inverka skadligt på andra elever. Avstängning får avse högst två veckor medan fö</w:t>
      </w:r>
      <w:r w:rsidRPr="00896D4F">
        <w:t>r</w:t>
      </w:r>
      <w:r w:rsidRPr="00896D4F">
        <w:t>visning får ske för högst ett och ett halvt år.</w:t>
      </w:r>
    </w:p>
    <w:p w:rsidR="009C1C5A" w:rsidRPr="00896D4F" w:rsidRDefault="009C1C5A">
      <w:pPr>
        <w:pStyle w:val="Normaltindrag"/>
      </w:pPr>
      <w:r w:rsidRPr="00896D4F">
        <w:t>Av 3 kap. 23 § framgår att frågor om skiljande från utbildningen, avstän</w:t>
      </w:r>
      <w:r w:rsidRPr="00896D4F">
        <w:t>g</w:t>
      </w:r>
      <w:r w:rsidRPr="00896D4F">
        <w:t xml:space="preserve">ning eller förvisning avgörs av styrelsen för utbildningen. Om det bedöms nödvändigt med hänsyn till risken för andra elever och skolans personal får rektor, i avvaktan på att styrelsen skall avgöra ett ärende om avstängning eller förvisning, besluta att med omedelbar verkan interimistiskt avstänga en elev. Ett beslut om interimistisk avstängning gäller till dess ärendet har prövats av styrelsen, dock längst under två veckor. </w:t>
      </w:r>
    </w:p>
    <w:p w:rsidR="009C1C5A" w:rsidRPr="00896D4F" w:rsidRDefault="009C1C5A">
      <w:pPr>
        <w:pStyle w:val="Normaltindrag"/>
      </w:pPr>
      <w:r w:rsidRPr="00896D4F">
        <w:t>Vidare anges i 3 kap. 24 § att styrelsen för utbildningen i ett ärende om skilja</w:t>
      </w:r>
      <w:r w:rsidRPr="00896D4F">
        <w:t>nde från utbildningen, eller om avstängning eller förvisning, skall se till att det finns en utredning som allsidigt klarlägger de omständigheter som är av betydelse för ärendets bedömning. Utredningen skall inledas omgående och genomföras så skyndsamt som möjligt. Eleven skall få tillfälle att muntl</w:t>
      </w:r>
      <w:r w:rsidRPr="00896D4F">
        <w:t>i</w:t>
      </w:r>
      <w:r w:rsidRPr="00896D4F">
        <w:t>gen yttra sig inför styre</w:t>
      </w:r>
      <w:r w:rsidRPr="00896D4F">
        <w:t>l</w:t>
      </w:r>
      <w:r w:rsidRPr="00896D4F">
        <w:t xml:space="preserve">sen för utbildningen. </w:t>
      </w:r>
    </w:p>
    <w:p w:rsidR="009C1C5A" w:rsidRPr="00896D4F" w:rsidRDefault="009C1C5A">
      <w:pPr>
        <w:pStyle w:val="Normaltindrag"/>
      </w:pPr>
      <w:r w:rsidRPr="00896D4F">
        <w:t>Av förordningens 6 kap. 1 § och 22 a § förvaltningslagen (1986:223) följer att beslut om skiljande från utbildningen, avstängning eller förvisning samt beslut om</w:t>
      </w:r>
      <w:r w:rsidRPr="00896D4F">
        <w:t xml:space="preserve"> interimistisk avstängning kan överklagas till allmän förvaltning</w:t>
      </w:r>
      <w:r w:rsidRPr="00896D4F">
        <w:t>s</w:t>
      </w:r>
      <w:r w:rsidRPr="00896D4F">
        <w:t>domstol.</w:t>
      </w:r>
    </w:p>
    <w:p w:rsidR="009C1C5A" w:rsidRPr="00896D4F" w:rsidRDefault="009C1C5A">
      <w:pPr>
        <w:pStyle w:val="Normaltindrag"/>
      </w:pPr>
      <w:r w:rsidRPr="00896D4F">
        <w:t>Av 21 § andra stycket förvaltningslagen framgår att sådana beslut om a</w:t>
      </w:r>
      <w:r w:rsidRPr="00896D4F">
        <w:t>v</w:t>
      </w:r>
      <w:r w:rsidRPr="00896D4F">
        <w:t>stängning som här är i fråga skall förses med information om hur beslutet kan överklagas. Det skall framgå av överklagandeanvisningen att överklagandet skall göras skriftligt och att det i skrivelsen skall anges vilket beslut som överklagas och den ändring klaganden begär. Vidare skall det framgå att skrivelsen skall ges in till den myndighet som har meddelat beslutet och att skrivelsen skall ha kommit in dit inom tre veckor från den dag då klaganden fick del av beslutet (jfr 23 § förvaltningsl</w:t>
      </w:r>
      <w:r w:rsidRPr="00896D4F">
        <w:t>a</w:t>
      </w:r>
      <w:r w:rsidRPr="00896D4F">
        <w:t>gen).</w:t>
      </w:r>
    </w:p>
    <w:p w:rsidR="009C1C5A" w:rsidRPr="00896D4F" w:rsidRDefault="009C1C5A">
      <w:pPr>
        <w:pStyle w:val="Rubrik4"/>
      </w:pPr>
      <w:r w:rsidRPr="00896D4F">
        <w:t>Enski</w:t>
      </w:r>
      <w:r w:rsidRPr="00896D4F">
        <w:t>ld undervisning m.m.</w:t>
      </w:r>
    </w:p>
    <w:p w:rsidR="009C1C5A" w:rsidRPr="00896D4F" w:rsidRDefault="009C1C5A">
      <w:r w:rsidRPr="00896D4F">
        <w:t>Förordningen om kommunal vuxenutbildning innehåller i 2 kap. 13 § en b</w:t>
      </w:r>
      <w:r w:rsidRPr="00896D4F">
        <w:t>e</w:t>
      </w:r>
      <w:r w:rsidRPr="00896D4F">
        <w:t>stämmelse rörande undervisningens former. I bestämmelsen stadgas att u</w:t>
      </w:r>
      <w:r w:rsidRPr="00896D4F">
        <w:t>n</w:t>
      </w:r>
      <w:r w:rsidRPr="00896D4F">
        <w:t>dervisningen skall bedrivas som gruppundervisning men att enskild undervi</w:t>
      </w:r>
      <w:r w:rsidRPr="00896D4F">
        <w:t>s</w:t>
      </w:r>
      <w:r w:rsidRPr="00896D4F">
        <w:t xml:space="preserve">ning får anordnas om det finns särskilda skäl. </w:t>
      </w:r>
    </w:p>
    <w:p w:rsidR="009C1C5A" w:rsidRPr="00896D4F" w:rsidRDefault="009C1C5A">
      <w:pPr>
        <w:pStyle w:val="Normaltindrag"/>
      </w:pPr>
      <w:r w:rsidRPr="00896D4F">
        <w:t>Av 6 kap. 1 § förordningen om kommunal vuxenutbildning följer att beslut om enskild undervisning kan överklagas endast i den ordning som anges för lagli</w:t>
      </w:r>
      <w:r w:rsidRPr="00896D4F">
        <w:t>g</w:t>
      </w:r>
      <w:r w:rsidRPr="00896D4F">
        <w:t>hetsprövning i 10 kap. kommunallagen (1991:900).</w:t>
      </w:r>
    </w:p>
    <w:p w:rsidR="009C1C5A" w:rsidRPr="00896D4F" w:rsidRDefault="009C1C5A">
      <w:pPr>
        <w:pStyle w:val="Normaltindrag"/>
        <w:rPr>
          <w:b/>
        </w:rPr>
      </w:pPr>
      <w:r w:rsidRPr="00896D4F">
        <w:t>I punkten 2.6 förordningen om 1994 års läroplan för de frivilliga skolfo</w:t>
      </w:r>
      <w:r w:rsidRPr="00896D4F">
        <w:t>r</w:t>
      </w:r>
      <w:r w:rsidRPr="00896D4F">
        <w:t xml:space="preserve">merna stadgas att rektorn har ansvar för skolans resultat och därvid, inom givna ramar, ett särskilt ansvar för bl.a. </w:t>
      </w:r>
      <w:r w:rsidRPr="00896D4F">
        <w:rPr>
          <w:u w:val="single"/>
        </w:rPr>
        <w:t>att</w:t>
      </w:r>
      <w:r w:rsidRPr="00896D4F">
        <w:rPr>
          <w:i/>
        </w:rPr>
        <w:t xml:space="preserve"> </w:t>
      </w:r>
      <w:r w:rsidRPr="00896D4F">
        <w:t xml:space="preserve">utbildningen organiseras så att den så långt som möjligt anpassas efter elevernas önskemål och val av kurser och så att återvändsgränder i studiegången undviks, </w:t>
      </w:r>
      <w:r w:rsidRPr="00896D4F">
        <w:rPr>
          <w:u w:val="single"/>
        </w:rPr>
        <w:t>att</w:t>
      </w:r>
      <w:r w:rsidRPr="00896D4F">
        <w:rPr>
          <w:i/>
        </w:rPr>
        <w:t xml:space="preserve"> </w:t>
      </w:r>
      <w:r w:rsidRPr="00896D4F">
        <w:t>undervisningens uppläg</w:t>
      </w:r>
      <w:r w:rsidRPr="00896D4F">
        <w:t>g</w:t>
      </w:r>
      <w:r w:rsidRPr="00896D4F">
        <w:t xml:space="preserve">ning, innehåll och arbetsformer anpassas efter elevernas skiftande behov och förutsättningar, </w:t>
      </w:r>
      <w:r w:rsidRPr="00896D4F">
        <w:rPr>
          <w:u w:val="single"/>
        </w:rPr>
        <w:t>att</w:t>
      </w:r>
      <w:r w:rsidRPr="00896D4F">
        <w:t xml:space="preserve"> undervisning, elevvårds- och syoverksamhet utformas så att elever som behöver särskilt stöd och hjälp f</w:t>
      </w:r>
      <w:r w:rsidRPr="00896D4F">
        <w:t xml:space="preserve">år detta och </w:t>
      </w:r>
      <w:r w:rsidRPr="00896D4F">
        <w:rPr>
          <w:u w:val="single"/>
        </w:rPr>
        <w:t>att</w:t>
      </w:r>
      <w:r w:rsidRPr="00896D4F">
        <w:rPr>
          <w:i/>
        </w:rPr>
        <w:t xml:space="preserve"> </w:t>
      </w:r>
      <w:r w:rsidRPr="00896D4F">
        <w:t>varje elev i dialog med skolan gör upp en individuell studieplan och reviderar den vid olika tillfällen under utbil</w:t>
      </w:r>
      <w:r w:rsidRPr="00896D4F">
        <w:t>d</w:t>
      </w:r>
      <w:r w:rsidRPr="00896D4F">
        <w:t>ningen.</w:t>
      </w:r>
    </w:p>
    <w:p w:rsidR="009C1C5A" w:rsidRPr="00896D4F" w:rsidRDefault="009C1C5A">
      <w:pPr>
        <w:pStyle w:val="Rubrik3"/>
      </w:pPr>
      <w:r w:rsidRPr="00896D4F">
        <w:t>Bedömning</w:t>
      </w:r>
    </w:p>
    <w:p w:rsidR="009C1C5A" w:rsidRPr="00896D4F" w:rsidRDefault="009C1C5A">
      <w:pPr>
        <w:pStyle w:val="Rubrik4"/>
        <w:spacing w:before="125"/>
      </w:pPr>
      <w:r w:rsidRPr="00896D4F">
        <w:t>Beslut om skriftlig varning och interimistisk avstängning</w:t>
      </w:r>
    </w:p>
    <w:p w:rsidR="009C1C5A" w:rsidRPr="00896D4F" w:rsidRDefault="009C1C5A">
      <w:r w:rsidRPr="00896D4F">
        <w:t>U.V., som studerade inom ramen för det s.k. Kunskapslyftet, var registrerad vid komvux och omfattades således av förordningen om kommunal vuxenu</w:t>
      </w:r>
      <w:r w:rsidRPr="00896D4F">
        <w:t>t</w:t>
      </w:r>
      <w:r w:rsidRPr="00896D4F">
        <w:t>bildning. Han erhöll utbildningen – trädgårdsutbildning med kurstid från den 7 januari 1999 till den 22 december 1999 – vid Lövsta landsbygdsgymnas</w:t>
      </w:r>
      <w:r w:rsidRPr="00896D4F">
        <w:t>i</w:t>
      </w:r>
      <w:r w:rsidRPr="00896D4F">
        <w:t xml:space="preserve">um. </w:t>
      </w:r>
    </w:p>
    <w:p w:rsidR="009C1C5A" w:rsidRPr="00896D4F" w:rsidRDefault="009C1C5A">
      <w:pPr>
        <w:pStyle w:val="Normaltindrag"/>
      </w:pPr>
      <w:r w:rsidRPr="00896D4F">
        <w:t xml:space="preserve">När det gäller den första delen av aktuellt händelseförlopp, dvs. biträdande rektorns vid Lövsta landsbygdsgymnasium åtgärd att tilldela U.V. en skriftlig varning samt avstänga honom från undervisningen under 14 dagar, vill jag anföra följande. </w:t>
      </w:r>
    </w:p>
    <w:p w:rsidR="009C1C5A" w:rsidRPr="00896D4F" w:rsidRDefault="009C1C5A">
      <w:pPr>
        <w:pStyle w:val="Normaltindrag"/>
      </w:pPr>
      <w:r w:rsidRPr="00896D4F">
        <w:t xml:space="preserve">Skolförfattningarna innehåller uttömmande preciserade regler om vilka </w:t>
      </w:r>
      <w:r w:rsidRPr="00896D4F">
        <w:br/>
        <w:t>disciplinära åtgärder som kan vidtas beträffande en elev. Inledningsvis kan konstateras att skriftlig varning inte finns med bland de disciplinära åtgärder som upptas i förordningen om kommunal vuxenutbildning. Det saknades således författningsstöd för att tilldela U.V. en skriftlig va</w:t>
      </w:r>
      <w:r w:rsidRPr="00896D4F">
        <w:t>r</w:t>
      </w:r>
      <w:r w:rsidRPr="00896D4F">
        <w:t>ning.</w:t>
      </w:r>
    </w:p>
    <w:p w:rsidR="009C1C5A" w:rsidRPr="00896D4F" w:rsidRDefault="009C1C5A">
      <w:pPr>
        <w:pStyle w:val="Normaltindrag"/>
      </w:pPr>
      <w:r w:rsidRPr="00896D4F">
        <w:t xml:space="preserve">Som framgår av redovisningen rörande bestämmelserna i förordningen om kommunal vuxenutbildning är det </w:t>
      </w:r>
      <w:r w:rsidRPr="00896D4F">
        <w:rPr>
          <w:i/>
        </w:rPr>
        <w:t>styrelsen för utbildningen</w:t>
      </w:r>
      <w:r w:rsidRPr="00896D4F">
        <w:t xml:space="preserve"> som avgör frågor om avstängning. </w:t>
      </w:r>
      <w:r w:rsidRPr="00896D4F">
        <w:rPr>
          <w:i/>
        </w:rPr>
        <w:t>Rektor</w:t>
      </w:r>
      <w:r w:rsidRPr="00896D4F">
        <w:t xml:space="preserve"> har möjlighet att – om det bedöms nödvändigt med hänsyn till risken för andra elever och skolans personal – besluta att med omedelbar verkan interimistiskt avstänga en elev vid en kommunal vuxenu</w:t>
      </w:r>
      <w:r w:rsidRPr="00896D4F">
        <w:t>t</w:t>
      </w:r>
      <w:r w:rsidRPr="00896D4F">
        <w:t xml:space="preserve">bildning. </w:t>
      </w:r>
    </w:p>
    <w:p w:rsidR="009C1C5A" w:rsidRPr="00896D4F" w:rsidRDefault="009C1C5A">
      <w:pPr>
        <w:pStyle w:val="Normaltindrag"/>
      </w:pPr>
      <w:r w:rsidRPr="00896D4F">
        <w:t xml:space="preserve">I de fall där beslutanderätten enligt författning tillkommer rektor kan den inte utövas av biträdande rektor annat än om denne vid tillfället tjänstgör som ställföreträdande rektor. Det kan i sammanhanget hänvisas till förarbetena till 2 </w:t>
      </w:r>
      <w:r w:rsidRPr="00896D4F">
        <w:t>kap. 2 § första stycket skollagen (prop. 1990/91:18 om ansvaret för skolan, s. 35 f.) varav framgår att någon annan skolledare inte från rektor kan ta över det ansvar och de sky</w:t>
      </w:r>
      <w:r w:rsidRPr="00896D4F">
        <w:t>l</w:t>
      </w:r>
      <w:r w:rsidRPr="00896D4F">
        <w:t xml:space="preserve">digheter denne har enligt författningarna. </w:t>
      </w:r>
    </w:p>
    <w:p w:rsidR="009C1C5A" w:rsidRPr="00896D4F" w:rsidRDefault="009C1C5A">
      <w:pPr>
        <w:pStyle w:val="Normaltindrag"/>
      </w:pPr>
      <w:r w:rsidRPr="00896D4F">
        <w:t>Eftersom avstängningsärendet här gällde en elev inom komvux som erhöll sin utbildning vid en gymnasieskola, måste man emellertid först ta ställning till en  för hela ärendets handläggning avgörande fråga, nämligen om det var styrelsen/rektorn för komvux eller för gymnasieskolan som var beh</w:t>
      </w:r>
      <w:r w:rsidRPr="00896D4F">
        <w:t>örig att fatta beslut rörande avstängning/interimistisk avstän</w:t>
      </w:r>
      <w:r w:rsidRPr="00896D4F">
        <w:t>g</w:t>
      </w:r>
      <w:r w:rsidRPr="00896D4F">
        <w:t xml:space="preserve">ning. </w:t>
      </w:r>
    </w:p>
    <w:p w:rsidR="009C1C5A" w:rsidRPr="00896D4F" w:rsidRDefault="009C1C5A">
      <w:pPr>
        <w:pStyle w:val="Normaltindrag"/>
      </w:pPr>
      <w:r w:rsidRPr="00896D4F">
        <w:t xml:space="preserve">Beträffande komvux som anordnas enligt 11 kap. 6 § skollagen – dvs. där kommuner och landsting uppdrar åt andra att anordna komvux – stadgas i 2 kap. 8 § förordningen om kommunal vuxenutbildning att bestämmelser om rektor alltid avser den rektor inom det offentliga skolväsendet som är ansvarig för ledningen av utbildningen. </w:t>
      </w:r>
    </w:p>
    <w:p w:rsidR="009C1C5A" w:rsidRPr="00896D4F" w:rsidRDefault="009C1C5A">
      <w:pPr>
        <w:pStyle w:val="Normaltindrag"/>
      </w:pPr>
      <w:r w:rsidRPr="00896D4F">
        <w:t>Förevarande situation har däremot inte reglerats i förordningen. Vid den aktuella tidpunkten hade komvux kommunstyrelsens uppdrag att genomföra Kunskapslyftet på Gotland. Som framgått var U.V. registrerad vid komvux men erhöll sin utbildning vid Lövsta landbygdsgymnasium. Komvux sama</w:t>
      </w:r>
      <w:r w:rsidRPr="00896D4F">
        <w:t>r</w:t>
      </w:r>
      <w:r w:rsidRPr="00896D4F">
        <w:t>betade alltså med en annan skolform inom det offentliga skolväsendet med kommunen som gemensam huvudman. Enligt min mening måste det i ett sådant fall anses följa av skollagens grunder att det är styrelsen respektive rektorn för den skolform där eleven är registrerad som är behörig att fatta beslut i ett avstängningsärende. Det anförda leder fram till att ett interimistiskt beslut om att stänga av U.V. från utbildningen måste fattas av rektorn för komvux och sedan prövas av styrelsen för komvux, vilket vid</w:t>
      </w:r>
      <w:r w:rsidRPr="00896D4F">
        <w:t xml:space="preserve"> den i ärendet aktuella tidpunkten var, och alltjämt är, barn- och utbildningsnämnden. Det ligger i sakens natur att det är skolan där undervisningen bedrivs som har kännedom om vad som rent faktiskt inträffat och att gymnasieskolan har att lämna rektorn för komvux erforderlig information när fråga om interimistisk avstängning aktualiseras i ett fall som det förevarande. </w:t>
      </w:r>
    </w:p>
    <w:p w:rsidR="009C1C5A" w:rsidRPr="00896D4F" w:rsidRDefault="009C1C5A">
      <w:pPr>
        <w:pStyle w:val="Normaltindrag"/>
      </w:pPr>
      <w:r w:rsidRPr="00896D4F">
        <w:t>Vid sidan av frågan om vem som var behörig att ta ställning i avstän</w:t>
      </w:r>
      <w:r w:rsidRPr="00896D4F">
        <w:t>g</w:t>
      </w:r>
      <w:r w:rsidRPr="00896D4F">
        <w:t>ningsärendet ger vad som kommit fram anledning att ta upp flera andra frågor rörande han</w:t>
      </w:r>
      <w:r w:rsidRPr="00896D4F">
        <w:t>d</w:t>
      </w:r>
      <w:r w:rsidRPr="00896D4F">
        <w:t xml:space="preserve">läggningen. </w:t>
      </w:r>
    </w:p>
    <w:p w:rsidR="009C1C5A" w:rsidRPr="00896D4F" w:rsidRDefault="009C1C5A">
      <w:pPr>
        <w:pStyle w:val="Normaltindrag"/>
      </w:pPr>
      <w:r w:rsidRPr="00896D4F">
        <w:t>Det interimistiska beslutet av den 13 april 1999 avsåg en tidsbegränsad, redan förfluten, period. Att ett beslut är interimistiskt innebär att det gäller till dess något annat förordnas. Det kan således inte, såsom här skedde, tidsb</w:t>
      </w:r>
      <w:r w:rsidRPr="00896D4F">
        <w:t>e</w:t>
      </w:r>
      <w:r w:rsidRPr="00896D4F">
        <w:t>gränsas utan gäller till dess att styrelsen för utbildningen avgör ärendet, dock högst två veckor. Såvitt framgår av handlingarna var beslutet inte heller fö</w:t>
      </w:r>
      <w:r w:rsidRPr="00896D4F">
        <w:t>r</w:t>
      </w:r>
      <w:r w:rsidRPr="00896D4F">
        <w:t>sett med överklagandeanvi</w:t>
      </w:r>
      <w:r w:rsidRPr="00896D4F">
        <w:t>s</w:t>
      </w:r>
      <w:r w:rsidRPr="00896D4F">
        <w:t>ning.</w:t>
      </w:r>
    </w:p>
    <w:p w:rsidR="009C1C5A" w:rsidRPr="00896D4F" w:rsidRDefault="009C1C5A">
      <w:pPr>
        <w:pStyle w:val="Normaltindrag"/>
      </w:pPr>
      <w:r w:rsidRPr="00896D4F">
        <w:t>Om ett interimistiskt beslut har fattats måste saken anmälas till styrelsen för utbildningen som har att fatta ett efterföljande självständigt beslut i h</w:t>
      </w:r>
      <w:r w:rsidRPr="00896D4F">
        <w:t>u</w:t>
      </w:r>
      <w:r w:rsidRPr="00896D4F">
        <w:t>vudsaken.  I en till barn- och utbildningsnämnden ställd skrivelse av den 18 april 1999 yrkade Tova Johansson att nämnden skulle pröva avstängningen av U.V. Av det anförda framgår att barn- och utbildningsnämnden var, såsom styrelse för komvux, behörig att avgöra avstängningsfrågan. Genom utre</w:t>
      </w:r>
      <w:r w:rsidRPr="00896D4F">
        <w:t>d</w:t>
      </w:r>
      <w:r w:rsidRPr="00896D4F">
        <w:t>ningen har framkommit att nämnden inte ansåg att det rörde sig om en a</w:t>
      </w:r>
      <w:r w:rsidRPr="00896D4F">
        <w:t>v</w:t>
      </w:r>
      <w:r w:rsidRPr="00896D4F">
        <w:t>stängning utan om en övergång till ”individuell” undervisning och att näm</w:t>
      </w:r>
      <w:r w:rsidRPr="00896D4F">
        <w:t>n</w:t>
      </w:r>
      <w:r w:rsidRPr="00896D4F">
        <w:t>den, på grund av det betraktelsesättet, aldrig prövade beslutet om avst</w:t>
      </w:r>
      <w:r w:rsidRPr="00896D4F">
        <w:t>än</w:t>
      </w:r>
      <w:r w:rsidRPr="00896D4F">
        <w:t>g</w:t>
      </w:r>
      <w:r w:rsidRPr="00896D4F">
        <w:t>ning. Eftersom ett formellt beslut om interimistisk avstängning fattats fanns det, enligt min mening, inte utrymme för att underlåta att pröva avstängning</w:t>
      </w:r>
      <w:r w:rsidRPr="00896D4F">
        <w:t>s</w:t>
      </w:r>
      <w:r w:rsidRPr="00896D4F">
        <w:t>frågan på den grunden att nämnden ansåg att det var fråga om en övergång till ”individuell” unde</w:t>
      </w:r>
      <w:r w:rsidRPr="00896D4F">
        <w:t>r</w:t>
      </w:r>
      <w:r w:rsidRPr="00896D4F">
        <w:t xml:space="preserve">visning. </w:t>
      </w:r>
    </w:p>
    <w:p w:rsidR="009C1C5A" w:rsidRPr="00896D4F" w:rsidRDefault="009C1C5A">
      <w:pPr>
        <w:pStyle w:val="Normaltindrag"/>
      </w:pPr>
      <w:r w:rsidRPr="00896D4F">
        <w:t>Med hänsyn till att JO är återhållsam med att uttala sig rörande myndi</w:t>
      </w:r>
      <w:r w:rsidRPr="00896D4F">
        <w:t>g</w:t>
      </w:r>
      <w:r w:rsidRPr="00896D4F">
        <w:t>heters bedömningar i sakfrågor finner jag inte skäl att ta ställning till om det i förevarande fall i och för sig fanns grund för att besluta om avstän</w:t>
      </w:r>
      <w:r w:rsidRPr="00896D4F">
        <w:t>g</w:t>
      </w:r>
      <w:r w:rsidRPr="00896D4F">
        <w:t>ning/interimistisk avstängning. Jag kan emellertid inte underlåta att notera att det i beslutet av den 13 april 1999 inte över huvud taget angetts att det förelåg någon form av risk för andra elever och skolans personal, vilket enligt föror</w:t>
      </w:r>
      <w:r w:rsidRPr="00896D4F">
        <w:t>d</w:t>
      </w:r>
      <w:r w:rsidRPr="00896D4F">
        <w:t xml:space="preserve">ningen om kommunal vuxenutbildning är en förutsättning för interimistisk avstängning av en elev. </w:t>
      </w:r>
    </w:p>
    <w:p w:rsidR="009C1C5A" w:rsidRPr="00896D4F" w:rsidRDefault="009C1C5A">
      <w:pPr>
        <w:pStyle w:val="Normaltindrag"/>
      </w:pPr>
      <w:r w:rsidRPr="00896D4F">
        <w:t>Sammanfattningsvis k</w:t>
      </w:r>
      <w:r w:rsidRPr="00896D4F">
        <w:t>an jag konstatera att handläggningen av avstän</w:t>
      </w:r>
      <w:r w:rsidRPr="00896D4F">
        <w:t>g</w:t>
      </w:r>
      <w:r w:rsidRPr="00896D4F">
        <w:t>ningsfrågan uppvisar anmärkningsvärda brister i en rad avseenden. Påtalade brister medförde bl.a. att U.V. betogs möjligheterna såväl att få yttra sig inför styrelsen för utbildningen och få styrelsens beslut i saken som att genom överklagande föra upp avstängningsfrågan till prövning i domstol. Jag föru</w:t>
      </w:r>
      <w:r w:rsidRPr="00896D4F">
        <w:t>t</w:t>
      </w:r>
      <w:r w:rsidRPr="00896D4F">
        <w:t>sätter att man från nämndens sida ser till att ärenden av ifrågavarande slag i fortsättningen handläggs i enlighet med gällande lagstif</w:t>
      </w:r>
      <w:r w:rsidRPr="00896D4F">
        <w:t>t</w:t>
      </w:r>
      <w:r w:rsidRPr="00896D4F">
        <w:t>ning.</w:t>
      </w:r>
    </w:p>
    <w:p w:rsidR="009C1C5A" w:rsidRPr="00896D4F" w:rsidRDefault="009C1C5A">
      <w:pPr>
        <w:pStyle w:val="Rubrik4"/>
      </w:pPr>
      <w:r w:rsidRPr="00896D4F">
        <w:t>Enskild undervisn</w:t>
      </w:r>
      <w:r w:rsidRPr="00896D4F">
        <w:t>ing</w:t>
      </w:r>
    </w:p>
    <w:p w:rsidR="009C1C5A" w:rsidRPr="00896D4F" w:rsidRDefault="009C1C5A">
      <w:r w:rsidRPr="00896D4F">
        <w:t xml:space="preserve">När det gäller U.V:s missnöje med att han, efter det att avstängningsperioden var slut, förmåddes studera ”på distans” och därigenom var ”utestängd” från skolan vill jag anföra följande. </w:t>
      </w:r>
    </w:p>
    <w:p w:rsidR="009C1C5A" w:rsidRPr="00896D4F" w:rsidRDefault="009C1C5A">
      <w:pPr>
        <w:pStyle w:val="Normaltindrag"/>
      </w:pPr>
      <w:r w:rsidRPr="00896D4F">
        <w:t>Av utredningen framgår att det var biträdande rektorn vid Lövsta land</w:t>
      </w:r>
      <w:r w:rsidRPr="00896D4F">
        <w:t>s</w:t>
      </w:r>
      <w:r w:rsidRPr="00896D4F">
        <w:t>bygdsgymnasium som, bl.a. efter samråd med kuratorn vid komvux, beslut</w:t>
      </w:r>
      <w:r w:rsidRPr="00896D4F">
        <w:t>a</w:t>
      </w:r>
      <w:r w:rsidRPr="00896D4F">
        <w:t>de att U.V. skulle ”bedriva studier enskilt”. Det har inte framkommit vad som var den rättsliga grunden för beslutet. Eftersom U.V. var elev inom komvux torde det ha varit den ovan beskrivna bestämmelsen i 2 kap. 13 § förordnin</w:t>
      </w:r>
      <w:r w:rsidRPr="00896D4F">
        <w:t>g</w:t>
      </w:r>
      <w:r w:rsidRPr="00896D4F">
        <w:t>en om kommunal vuxenu</w:t>
      </w:r>
      <w:r w:rsidRPr="00896D4F">
        <w:t>t</w:t>
      </w:r>
      <w:r w:rsidRPr="00896D4F">
        <w:t>bildning som kunnat komma i fråga.</w:t>
      </w:r>
    </w:p>
    <w:p w:rsidR="009C1C5A" w:rsidRPr="00896D4F" w:rsidRDefault="009C1C5A">
      <w:pPr>
        <w:pStyle w:val="Normaltindrag"/>
      </w:pPr>
      <w:r w:rsidRPr="00896D4F">
        <w:t>När det gäller en elev inom komvux som får sin utbildning vid en gymn</w:t>
      </w:r>
      <w:r w:rsidRPr="00896D4F">
        <w:t>a</w:t>
      </w:r>
      <w:r w:rsidRPr="00896D4F">
        <w:t>sieskola är det – på motsvarande sätt som i fråga om avstängning – i praktiken den skola där undervisningen bedrivs som har de bästa möjligheterna att uppmärksamma om det föreligger sådana särskilda förhållanden som kan föranleda beslut om enskild undervisning. Vad avser den formella hanterin</w:t>
      </w:r>
      <w:r w:rsidRPr="00896D4F">
        <w:t>g</w:t>
      </w:r>
      <w:r w:rsidRPr="00896D4F">
        <w:t>en finner jag emellertid att författningsregleringen inte kan tolkas på annat sätt än att ett sådant beslut måste fattas av ledningen för komvux. Biträdande rektorn vid Lövsta landsbygdsgymnasium var således inte, enl</w:t>
      </w:r>
      <w:r w:rsidRPr="00896D4F">
        <w:t>igt min up</w:t>
      </w:r>
      <w:r w:rsidRPr="00896D4F">
        <w:t>p</w:t>
      </w:r>
      <w:r w:rsidRPr="00896D4F">
        <w:t>fattning, behörig att fatta beslut om enskild undervisning för U.V. Med hä</w:t>
      </w:r>
      <w:r w:rsidRPr="00896D4F">
        <w:t>n</w:t>
      </w:r>
      <w:r w:rsidRPr="00896D4F">
        <w:t>syn till att det kan finnas ett visst utrymme för en annan tolkning av bestä</w:t>
      </w:r>
      <w:r w:rsidRPr="00896D4F">
        <w:t>m</w:t>
      </w:r>
      <w:r w:rsidRPr="00896D4F">
        <w:t xml:space="preserve">melsen vill jag dock inte rikta kritik mot skolan i detta avseende utan nöjer mig med de uttalanden som jag gjort. </w:t>
      </w:r>
    </w:p>
    <w:p w:rsidR="009C1C5A" w:rsidRPr="00896D4F" w:rsidRDefault="009C1C5A">
      <w:pPr>
        <w:pStyle w:val="Normaltindrag"/>
      </w:pPr>
      <w:r w:rsidRPr="00896D4F">
        <w:t>Huruvida det i förevarande fall förelegat särskilda skäl att anordna enskild undervisning är en sådan bedömningsfråga som JO regelmässigt inte anlägger några synpunkter på. Jag gör därför inget uttalande i den delen. Avslutning</w:t>
      </w:r>
      <w:r w:rsidRPr="00896D4F">
        <w:t>s</w:t>
      </w:r>
      <w:r w:rsidRPr="00896D4F">
        <w:t>vis vill jag dock rent allmänt framhålla vikten av att frågan om övergång till enskild undervisning inte hanteras på ett sådant sätt att eleven uppfattar den enskilda undervisningen som en form av disciplinär å</w:t>
      </w:r>
      <w:r w:rsidRPr="00896D4F">
        <w:t>t</w:t>
      </w:r>
      <w:r w:rsidRPr="00896D4F">
        <w:t>gärd.</w:t>
      </w:r>
    </w:p>
    <w:p w:rsidR="009C1C5A" w:rsidRPr="00896D4F" w:rsidRDefault="009C1C5A">
      <w:pPr>
        <w:pStyle w:val="Normaltindrag"/>
      </w:pPr>
      <w:r w:rsidRPr="00896D4F">
        <w:t>De oklarheter som i ärendet framkommit rörande behörighet att fatta beslut i olika frågor är av den karaktären att det kan antas att de medför problem mer generellt. Jag finner därför anledning att sända en kopia av beslutet till U</w:t>
      </w:r>
      <w:r w:rsidRPr="00896D4F">
        <w:t>t</w:t>
      </w:r>
      <w:r w:rsidRPr="00896D4F">
        <w:t>bildningsdepart</w:t>
      </w:r>
      <w:r w:rsidRPr="00896D4F">
        <w:t>e</w:t>
      </w:r>
      <w:r w:rsidRPr="00896D4F">
        <w:t>mentet.</w:t>
      </w:r>
    </w:p>
    <w:p w:rsidR="009C1C5A" w:rsidRPr="00896D4F" w:rsidRDefault="009C1C5A">
      <w:r w:rsidRPr="00896D4F">
        <w:t>____________</w:t>
      </w:r>
    </w:p>
    <w:p w:rsidR="009C1C5A" w:rsidRPr="00896D4F" w:rsidRDefault="009C1C5A">
      <w:r w:rsidRPr="00896D4F">
        <w:t xml:space="preserve">Med den delvis allvarliga kritik som framgår av det anförda avslutas ärendet. </w:t>
      </w:r>
    </w:p>
    <w:p w:rsidR="009C1C5A" w:rsidRPr="00896D4F" w:rsidRDefault="009C1C5A">
      <w:pPr>
        <w:pStyle w:val="Rubrik2"/>
      </w:pPr>
      <w:r w:rsidRPr="00896D4F">
        <w:t>Handläggningen av ett elevvårdsärende i en gymnasieskola. Fråga om eleven varit avstängd från praktikplats och om utformningen av skrivelser till eleven</w:t>
      </w:r>
    </w:p>
    <w:p w:rsidR="009C1C5A" w:rsidRPr="00896D4F" w:rsidRDefault="009C1C5A">
      <w:pPr>
        <w:spacing w:before="0"/>
      </w:pPr>
      <w:r w:rsidRPr="00896D4F">
        <w:t>(Dnr 1185-2000)</w:t>
      </w:r>
    </w:p>
    <w:p w:rsidR="009C1C5A" w:rsidRPr="00896D4F" w:rsidRDefault="009C1C5A">
      <w:pPr>
        <w:pStyle w:val="Rubrik3"/>
      </w:pPr>
      <w:r w:rsidRPr="00896D4F">
        <w:t>Anmälan</w:t>
      </w:r>
    </w:p>
    <w:p w:rsidR="009C1C5A" w:rsidRPr="00896D4F" w:rsidRDefault="009C1C5A">
      <w:r w:rsidRPr="00896D4F">
        <w:t>I en anmälan, som inkom till JO den 28 mars 2000, framförde I.M., C.M. och A.M. klagomål mot hur rektorn May Asp vid Vårdgymnasiet i Växjö hade hand</w:t>
      </w:r>
      <w:r w:rsidRPr="00896D4F">
        <w:softHyphen/>
        <w:t>lagt ett elevvårdsärende gällande A.M. De gjorde bl.a. gällande att May Asp hade brutit mot ”alla svenska skolregler” och att A.M. hade blivit orätt</w:t>
      </w:r>
      <w:r w:rsidRPr="00896D4F">
        <w:softHyphen/>
        <w:t xml:space="preserve">vist behandlad och förföljd av rektorn. </w:t>
      </w:r>
    </w:p>
    <w:p w:rsidR="009C1C5A" w:rsidRPr="00896D4F" w:rsidRDefault="009C1C5A">
      <w:pPr>
        <w:pStyle w:val="Normaltindrag"/>
      </w:pPr>
      <w:r w:rsidRPr="00896D4F">
        <w:t>Av anmälan framgick bl.a. följande. A.M. gick tredje året på Vårdgymn</w:t>
      </w:r>
      <w:r w:rsidRPr="00896D4F">
        <w:t>a</w:t>
      </w:r>
      <w:r w:rsidRPr="00896D4F">
        <w:t>siet i Växjö. Lördagen den 26 februari 2000 besökte A.M. ett dansställe. Han kom i samband därmed i bråk med en annan person. A.M. blev i anledning av den inträf</w:t>
      </w:r>
      <w:r w:rsidRPr="00896D4F">
        <w:softHyphen/>
        <w:t>fade händel</w:t>
      </w:r>
      <w:r w:rsidRPr="00896D4F">
        <w:softHyphen/>
        <w:t>sen misstänkt för att ha gjort sig skyldig till misshandel. Den 7 mars 2000 ringde May Asp och meddelade att A.M. skulle bli avstängd från skolan i  14 dagar. Vid ett möte på skolan den 8 mars 2000 meddelade hon att A.M. hade bli</w:t>
      </w:r>
      <w:r w:rsidRPr="00896D4F">
        <w:softHyphen/>
        <w:t>vit avstängd från skolan. I samband därmed uppgav hon även att hon skulle skicka beslutet till dem per post</w:t>
      </w:r>
      <w:r w:rsidRPr="00896D4F">
        <w:t>. Den 23 mars 2000 erhöll de ett brev, som var daterat den 21 mars 2000. I detta angavs det bl.a. att A.M. var avstängd från sko</w:t>
      </w:r>
      <w:r w:rsidRPr="00896D4F">
        <w:softHyphen/>
        <w:t xml:space="preserve">lan under tiden mellan den 1 mars och den </w:t>
      </w:r>
      <w:r w:rsidRPr="00896D4F">
        <w:br/>
        <w:t>31 mars 2000. Beslutet stred mot gäl</w:t>
      </w:r>
      <w:r w:rsidRPr="00896D4F">
        <w:softHyphen/>
        <w:t>lande regler för skolan efter</w:t>
      </w:r>
      <w:r w:rsidRPr="00896D4F">
        <w:softHyphen/>
        <w:t>som avstän</w:t>
      </w:r>
      <w:r w:rsidRPr="00896D4F">
        <w:t>g</w:t>
      </w:r>
      <w:r w:rsidRPr="00896D4F">
        <w:t>ningen varade längre än 14 dagar, A.M. inte hade fått möjlighet att yttra sig innan beslutet meddelades. Vidare saknades över</w:t>
      </w:r>
      <w:r w:rsidRPr="00896D4F">
        <w:softHyphen/>
        <w:t>klagandehänvis</w:t>
      </w:r>
      <w:r w:rsidRPr="00896D4F">
        <w:softHyphen/>
        <w:t>ning.</w:t>
      </w:r>
    </w:p>
    <w:p w:rsidR="009C1C5A" w:rsidRPr="00896D4F" w:rsidRDefault="009C1C5A">
      <w:pPr>
        <w:pStyle w:val="Rubrik3"/>
      </w:pPr>
      <w:r w:rsidRPr="00896D4F">
        <w:t>Utredning</w:t>
      </w:r>
    </w:p>
    <w:p w:rsidR="009C1C5A" w:rsidRPr="00896D4F" w:rsidRDefault="009C1C5A">
      <w:bookmarkStart w:id="4" w:name="Här"/>
      <w:bookmarkEnd w:id="4"/>
      <w:r w:rsidRPr="00896D4F">
        <w:t>Anmälan remitterades till Landstingsdirektören, Landstinget Kronoberg, för ut</w:t>
      </w:r>
      <w:r w:rsidRPr="00896D4F">
        <w:softHyphen/>
        <w:t xml:space="preserve">redning och yttrande. </w:t>
      </w:r>
    </w:p>
    <w:p w:rsidR="009C1C5A" w:rsidRPr="00896D4F" w:rsidRDefault="009C1C5A">
      <w:pPr>
        <w:pStyle w:val="Normaltindrag"/>
      </w:pPr>
      <w:r w:rsidRPr="00896D4F">
        <w:t>Under remisstiden inkom ytterligare en skrivelse från anmälarna. Till de</w:t>
      </w:r>
      <w:r w:rsidRPr="00896D4F">
        <w:t>n</w:t>
      </w:r>
      <w:r w:rsidRPr="00896D4F">
        <w:t>na foga</w:t>
      </w:r>
      <w:r w:rsidRPr="00896D4F">
        <w:softHyphen/>
        <w:t>des kopior av två brev, daterade den 21 mars och den 23 mars 2000, som A.M. hade erhållit från May Asp.</w:t>
      </w:r>
    </w:p>
    <w:p w:rsidR="009C1C5A" w:rsidRPr="00896D4F" w:rsidRDefault="009C1C5A">
      <w:pPr>
        <w:pStyle w:val="Normaltindrag"/>
      </w:pPr>
      <w:r w:rsidRPr="00896D4F">
        <w:t>Landstinget överlämnade som sitt remissvar ett yttrande upprättat av pe</w:t>
      </w:r>
      <w:r w:rsidRPr="00896D4F">
        <w:t>r</w:t>
      </w:r>
      <w:r w:rsidRPr="00896D4F">
        <w:t>sonaldi</w:t>
      </w:r>
      <w:r w:rsidRPr="00896D4F">
        <w:softHyphen/>
        <w:t>rektören Stefan Bergström, vari anfördes bl.a. följande.</w:t>
      </w:r>
    </w:p>
    <w:p w:rsidR="009C1C5A" w:rsidRPr="00896D4F" w:rsidRDefault="009C1C5A">
      <w:pPr>
        <w:pStyle w:val="Citat"/>
      </w:pPr>
      <w:r w:rsidRPr="00896D4F">
        <w:t>A.M. är elev i årskurs 3 vid Vårdgymnasiet i Växjö. Under tiden 2000-02-28–-03-31 var det plane</w:t>
      </w:r>
      <w:r w:rsidRPr="00896D4F">
        <w:softHyphen/>
        <w:t>rat att M. skulle ha praktikutbildning (APU) på region</w:t>
      </w:r>
      <w:r w:rsidRPr="00896D4F">
        <w:softHyphen/>
        <w:t>psykiatrin i Växjö. Under helgen 26–27/2 råkade M. i dispyt med några andra ungdomar på ett dansställe. Den 1/3 hämtades M. på praktik</w:t>
      </w:r>
      <w:r w:rsidRPr="00896D4F">
        <w:softHyphen/>
        <w:t>platsen av polis. Enligt uppgift från polisen var M. misstänkt för misshandel och häktades. M. släpptes ur häktet först den 7/3.</w:t>
      </w:r>
    </w:p>
    <w:p w:rsidR="009C1C5A" w:rsidRPr="00896D4F" w:rsidRDefault="009C1C5A">
      <w:pPr>
        <w:pStyle w:val="Citatindrag"/>
      </w:pPr>
      <w:r w:rsidRPr="00896D4F">
        <w:t>Den 8/3 hade rektor Asp samtal med A., fadern och en syster. A. in</w:t>
      </w:r>
      <w:r w:rsidRPr="00896D4F">
        <w:softHyphen/>
        <w:t>formeras då om att han inte kan gå tillbaka till avdelningen. Han informeras också om gymnasieförordningens bestämmelser angå</w:t>
      </w:r>
      <w:r w:rsidRPr="00896D4F">
        <w:softHyphen/>
        <w:t>ende avstängning. Bl a ger förordningen rektor möjlighet att i väntan på styrelsens b</w:t>
      </w:r>
      <w:r w:rsidRPr="00896D4F">
        <w:t>e</w:t>
      </w:r>
      <w:r w:rsidRPr="00896D4F">
        <w:t>slut interimis</w:t>
      </w:r>
      <w:r w:rsidRPr="00896D4F">
        <w:softHyphen/>
        <w:t>tiskt avstänga M. Kopia på författningstexten överlämnades.</w:t>
      </w:r>
    </w:p>
    <w:p w:rsidR="009C1C5A" w:rsidRPr="00896D4F" w:rsidRDefault="009C1C5A">
      <w:pPr>
        <w:pStyle w:val="Citatindrag"/>
      </w:pPr>
      <w:r w:rsidRPr="00896D4F">
        <w:t>Den 15 mars meddelar avdelningen skriftligen att M. inte kan återgå dit för praktik.</w:t>
      </w:r>
    </w:p>
    <w:p w:rsidR="009C1C5A" w:rsidRPr="00896D4F" w:rsidRDefault="009C1C5A">
      <w:pPr>
        <w:pStyle w:val="Citatindrag"/>
      </w:pPr>
      <w:r w:rsidRPr="00896D4F">
        <w:t>Den 23 mars meddelar rektor skriftligen sitt beslut om att man tvin</w:t>
      </w:r>
      <w:r w:rsidRPr="00896D4F">
        <w:t>g</w:t>
      </w:r>
      <w:r w:rsidRPr="00896D4F">
        <w:t>ats in</w:t>
      </w:r>
      <w:r w:rsidRPr="00896D4F">
        <w:softHyphen/>
        <w:t>ställa planerad praktikut</w:t>
      </w:r>
      <w:r w:rsidRPr="00896D4F">
        <w:softHyphen/>
        <w:t>bildning. Beslutet innebär således inte en formell avstängning från skolan. Praktikplatsen har efter samråd med förvaltnings</w:t>
      </w:r>
      <w:r w:rsidRPr="00896D4F">
        <w:softHyphen/>
        <w:t>ledningen kontaktat rektor och meddelat att man inte längre är villig att låta M. praktisera i verksamheten. Praktik inom psykiatrin ställer stora krav på förtroendefullt uppträdande. Denna information har senare vidimerats skriftl</w:t>
      </w:r>
      <w:r w:rsidRPr="00896D4F">
        <w:t>i</w:t>
      </w:r>
      <w:r w:rsidRPr="00896D4F">
        <w:t>gen i särskilt mail (bifogas; här ute</w:t>
      </w:r>
      <w:r w:rsidRPr="00896D4F">
        <w:softHyphen/>
        <w:t>lämnad, JO:s anm.). Samtidigt meddelar rektor att man försö</w:t>
      </w:r>
      <w:r w:rsidRPr="00896D4F">
        <w:softHyphen/>
        <w:t>ker finna alternativa l</w:t>
      </w:r>
      <w:r w:rsidRPr="00896D4F">
        <w:t>ösningar vad gäller praktiken. Det är dock inte möjligt med hänsyn till kraven på god handledning och lärarstöd att förlägga den inom den ordinarie terminstiden.</w:t>
      </w:r>
    </w:p>
    <w:p w:rsidR="009C1C5A" w:rsidRPr="00896D4F" w:rsidRDefault="009C1C5A">
      <w:pPr>
        <w:pStyle w:val="Citatindrag"/>
      </w:pPr>
      <w:r w:rsidRPr="00896D4F">
        <w:t>Rektor har vid ett antal tillfällen haft samtal med såväl M. som del av hans familj. När det gäller samtalen med A.M. har dialogen fungerat väl och utan större komplikationer. Det bör tydliggöras att A. är myndig. Samtalen med familjen har skett under mer upprörda former och har försvå</w:t>
      </w:r>
      <w:r w:rsidRPr="00896D4F">
        <w:softHyphen/>
        <w:t>rats av språkpr</w:t>
      </w:r>
      <w:r w:rsidRPr="00896D4F">
        <w:t>o</w:t>
      </w:r>
      <w:r w:rsidRPr="00896D4F">
        <w:t>blem och kulturella skillnader.</w:t>
      </w:r>
    </w:p>
    <w:p w:rsidR="009C1C5A" w:rsidRPr="00896D4F" w:rsidRDefault="009C1C5A">
      <w:pPr>
        <w:pStyle w:val="Citatindrag"/>
      </w:pPr>
      <w:r w:rsidRPr="00896D4F">
        <w:t>Enligt vår uppfattning har rektor Asp följt givna regler, haft återkommande kontakt med den be</w:t>
      </w:r>
      <w:r w:rsidRPr="00896D4F">
        <w:softHyphen/>
        <w:t>rörde samt tjänstvilligt erbjudit att försöka lösa praktik</w:t>
      </w:r>
      <w:r w:rsidRPr="00896D4F">
        <w:softHyphen/>
        <w:t>frågan på rimligt sätt.</w:t>
      </w:r>
    </w:p>
    <w:p w:rsidR="009C1C5A" w:rsidRPr="00896D4F" w:rsidRDefault="009C1C5A">
      <w:r w:rsidRPr="00896D4F">
        <w:t>Till remissvaret fogades bl.a. en redogörelse, daterad den 31 mars 2000, av May Asp över hanteringen av det ifrågavarande ärendet samt kopior av två brev, date</w:t>
      </w:r>
      <w:r w:rsidRPr="00896D4F">
        <w:softHyphen/>
        <w:t>rade den 21 och den 23 mars 2000, från May Asp till A.M.</w:t>
      </w:r>
    </w:p>
    <w:p w:rsidR="009C1C5A" w:rsidRPr="00896D4F" w:rsidRDefault="009C1C5A">
      <w:pPr>
        <w:pStyle w:val="Normaltindrag"/>
      </w:pPr>
      <w:r w:rsidRPr="00896D4F">
        <w:t>I brevet den 21 mars 2000 anförde May Asp följande.</w:t>
      </w:r>
    </w:p>
    <w:p w:rsidR="009C1C5A" w:rsidRPr="00896D4F" w:rsidRDefault="009C1C5A">
      <w:pPr>
        <w:pStyle w:val="Citat"/>
      </w:pPr>
      <w:r w:rsidRPr="00896D4F">
        <w:t>Vill informera Dig om att Du för tillfället är avstängd från vårdgymnasiet under tiden 1/3–31/3 2000. Skälet härtill är Du väl medveten om. Du kommer att få ett formellt beslut från Landstinget Kronoberg. Tingsrättens beslut får sedan ligga till grund för fortsatt handläggning.</w:t>
      </w:r>
    </w:p>
    <w:p w:rsidR="009C1C5A" w:rsidRPr="00896D4F" w:rsidRDefault="009C1C5A">
      <w:pPr>
        <w:pStyle w:val="Citatindrag"/>
      </w:pPr>
      <w:r w:rsidRPr="00896D4F">
        <w:t>Avdelning 53 har också meddelat att Du ej kan göra Din praktik (APU) inom psykiatrin under nuvarande omständigheter.</w:t>
      </w:r>
    </w:p>
    <w:p w:rsidR="009C1C5A" w:rsidRPr="00896D4F" w:rsidRDefault="009C1C5A">
      <w:pPr>
        <w:pStyle w:val="Citatindrag"/>
      </w:pPr>
      <w:r w:rsidRPr="00896D4F">
        <w:t>Information om tillfällig avstängning har lämnats till CSN.</w:t>
      </w:r>
    </w:p>
    <w:p w:rsidR="009C1C5A" w:rsidRPr="00896D4F" w:rsidRDefault="009C1C5A">
      <w:pPr>
        <w:pStyle w:val="Citatindrag"/>
      </w:pPr>
      <w:r w:rsidRPr="00896D4F">
        <w:t>Är något oklart kan Du kontakta mig.</w:t>
      </w:r>
    </w:p>
    <w:p w:rsidR="009C1C5A" w:rsidRPr="00896D4F" w:rsidRDefault="009C1C5A">
      <w:r w:rsidRPr="00896D4F">
        <w:t>I brevet den 23 mars 2000 anförde May Asp följande.</w:t>
      </w:r>
    </w:p>
    <w:p w:rsidR="009C1C5A" w:rsidRPr="00896D4F" w:rsidRDefault="009C1C5A">
      <w:pPr>
        <w:pStyle w:val="Citat"/>
      </w:pPr>
      <w:r w:rsidRPr="00896D4F">
        <w:t>Härmed informeras Du om att vi med anledning av åtal om misshandel nö</w:t>
      </w:r>
      <w:r w:rsidRPr="00896D4F">
        <w:t>d</w:t>
      </w:r>
      <w:r w:rsidRPr="00896D4F">
        <w:t>gats inställa din APU-period. Detta innebär inte någon formell avstängning från skolan.</w:t>
      </w:r>
    </w:p>
    <w:p w:rsidR="009C1C5A" w:rsidRPr="00896D4F" w:rsidRDefault="009C1C5A">
      <w:pPr>
        <w:pStyle w:val="Citatindrag"/>
      </w:pPr>
      <w:r w:rsidRPr="00896D4F">
        <w:t>CSN är meddelad.</w:t>
      </w:r>
    </w:p>
    <w:p w:rsidR="009C1C5A" w:rsidRPr="00896D4F" w:rsidRDefault="009C1C5A">
      <w:pPr>
        <w:pStyle w:val="Citatindrag"/>
      </w:pPr>
      <w:r w:rsidRPr="00896D4F">
        <w:t>Efter att åtal har prövats i tingsrätten önskar jag träffa Dig för att diskutera Dina fortsatta studier och möjlighet att på annan tid inhämta Din förlorade APU-tid.</w:t>
      </w:r>
    </w:p>
    <w:p w:rsidR="009C1C5A" w:rsidRPr="00896D4F" w:rsidRDefault="009C1C5A">
      <w:r w:rsidRPr="00896D4F">
        <w:t>Anmälarna kommenterade remissvaret och vidhöll därvid att A.M. hade blivit av</w:t>
      </w:r>
      <w:r w:rsidRPr="00896D4F">
        <w:softHyphen/>
        <w:t>stängd från skolan och att avstängningsbeslutet stred mot gällande regler.</w:t>
      </w:r>
    </w:p>
    <w:p w:rsidR="009C1C5A" w:rsidRPr="00896D4F" w:rsidRDefault="009C1C5A">
      <w:pPr>
        <w:pStyle w:val="Normaltindrag"/>
      </w:pPr>
      <w:r w:rsidRPr="00896D4F">
        <w:t>Från Anders Elgan, Gymnasieförvaltningen i Växjö kommun, har inhä</w:t>
      </w:r>
      <w:r w:rsidRPr="00896D4F">
        <w:t>m</w:t>
      </w:r>
      <w:r w:rsidRPr="00896D4F">
        <w:t xml:space="preserve">tats att Vårdgymnasiet i Växjö för snart två år sedan flyttades över till den kommunala gymnasieskolan Teknikum och att utbildningen där finns som ett särskilt program vid gymnasiet. </w:t>
      </w:r>
    </w:p>
    <w:p w:rsidR="009C1C5A" w:rsidRPr="00896D4F" w:rsidRDefault="009C1C5A">
      <w:r w:rsidRPr="00896D4F">
        <w:t xml:space="preserve">I beslut den 29 april 2002 anförde </w:t>
      </w:r>
      <w:r w:rsidRPr="00896D4F">
        <w:rPr>
          <w:i/>
        </w:rPr>
        <w:t xml:space="preserve">JO André </w:t>
      </w:r>
      <w:r w:rsidRPr="00896D4F">
        <w:t xml:space="preserve">följande. </w:t>
      </w:r>
    </w:p>
    <w:p w:rsidR="009C1C5A" w:rsidRPr="00896D4F" w:rsidRDefault="009C1C5A">
      <w:pPr>
        <w:pStyle w:val="Rubrik3"/>
      </w:pPr>
      <w:r w:rsidRPr="00896D4F">
        <w:t>Rättslig reglering</w:t>
      </w:r>
    </w:p>
    <w:p w:rsidR="009C1C5A" w:rsidRPr="00896D4F" w:rsidRDefault="009C1C5A">
      <w:r w:rsidRPr="00896D4F">
        <w:t>Den rättsliga grunden för disciplinära åtgärder mot elever vid gymnasieskolan finns i 15 kap. 14 § skollagen (1985:1100). Av bestämmelsen framgår att rege</w:t>
      </w:r>
      <w:r w:rsidRPr="00896D4F">
        <w:softHyphen/>
        <w:t>ringen eller den myndighet som regeringen bestämmer får, i fråga om ut</w:t>
      </w:r>
      <w:r w:rsidRPr="00896D4F">
        <w:softHyphen/>
        <w:t>bildning enligt skollagen efter skolpliktens upphörande, meddela föreskrifter om discipli</w:t>
      </w:r>
      <w:r w:rsidRPr="00896D4F">
        <w:softHyphen/>
        <w:t xml:space="preserve">nära åtgärder och skiljande av elev från viss utbildning. </w:t>
      </w:r>
    </w:p>
    <w:p w:rsidR="009C1C5A" w:rsidRPr="00896D4F" w:rsidRDefault="009C1C5A">
      <w:pPr>
        <w:pStyle w:val="Normaltindrag"/>
      </w:pPr>
      <w:r w:rsidRPr="00896D4F">
        <w:t>De närmare bestämmelserna om disciplinära åtgärder mot elev vid gymn</w:t>
      </w:r>
      <w:r w:rsidRPr="00896D4F">
        <w:t>a</w:t>
      </w:r>
      <w:r w:rsidRPr="00896D4F">
        <w:t>sieskola fanns vid den tidpunkt som ärendet avser i 6 kap. 28–31 §§ gymn</w:t>
      </w:r>
      <w:r w:rsidRPr="00896D4F">
        <w:t>a</w:t>
      </w:r>
      <w:r w:rsidRPr="00896D4F">
        <w:t>sieförordningen (1992:394).</w:t>
      </w:r>
    </w:p>
    <w:p w:rsidR="009C1C5A" w:rsidRPr="00896D4F" w:rsidRDefault="009C1C5A">
      <w:pPr>
        <w:pStyle w:val="Normaltindrag"/>
      </w:pPr>
      <w:r w:rsidRPr="00896D4F">
        <w:t>I förordningens 6 kap. 29 § anges bl.a. att elev får stängas av från unde</w:t>
      </w:r>
      <w:r w:rsidRPr="00896D4F">
        <w:t>r</w:t>
      </w:r>
      <w:r w:rsidRPr="00896D4F">
        <w:t>visningen helt eller delvis under högst två veckor av terminen eller förvisas från kommunens eller landstingets gymnasieskola om syftet med vissa i 6 kap. 28 § angivna åtgär</w:t>
      </w:r>
      <w:r w:rsidRPr="00896D4F">
        <w:softHyphen/>
        <w:t>der inte upp</w:t>
      </w:r>
      <w:r w:rsidRPr="00896D4F">
        <w:softHyphen/>
        <w:t>nås eller om elevens uppförande kan antas inverka skadligt på andra elever eller det finns andra särskilda skäl.</w:t>
      </w:r>
    </w:p>
    <w:p w:rsidR="009C1C5A" w:rsidRPr="00896D4F" w:rsidRDefault="009C1C5A">
      <w:pPr>
        <w:pStyle w:val="Normaltindrag"/>
      </w:pPr>
      <w:r w:rsidRPr="00896D4F">
        <w:t>Av 6 kap. 30 § framgår att fråga om avstängning eller förvisning avgörs av styrel</w:t>
      </w:r>
      <w:r w:rsidRPr="00896D4F">
        <w:softHyphen/>
        <w:t>sen för utbildningen. Om det bedöms nödvändigt med hänsyn till risken för andra elever och skolans personal får rektor, i avvaktan på att styrelsen skall avgöra ett ärende om avstängning eller förvisning, besluta att med om</w:t>
      </w:r>
      <w:r w:rsidRPr="00896D4F">
        <w:t>e</w:t>
      </w:r>
      <w:r w:rsidRPr="00896D4F">
        <w:t>delbar verkan interi</w:t>
      </w:r>
      <w:r w:rsidRPr="00896D4F">
        <w:softHyphen/>
        <w:t>mistiskt avstänga en elev. Ett beslut om interimistisk a</w:t>
      </w:r>
      <w:r w:rsidRPr="00896D4F">
        <w:t>v</w:t>
      </w:r>
      <w:r w:rsidRPr="00896D4F">
        <w:t>stängning gäller till dess ärendet prövats av styrelsen, dock längst under två veckor.</w:t>
      </w:r>
    </w:p>
    <w:p w:rsidR="009C1C5A" w:rsidRPr="00896D4F" w:rsidRDefault="009C1C5A">
      <w:pPr>
        <w:pStyle w:val="Normaltindrag"/>
      </w:pPr>
      <w:r w:rsidRPr="00896D4F">
        <w:t>Vidare anges i 6 kap. 31 § bl.a. att styrelsen för utbildningen skall se till att det i ett ärende om avstängning eller fö</w:t>
      </w:r>
      <w:r w:rsidRPr="00896D4F">
        <w:t>rvisning finns en utredning som alls</w:t>
      </w:r>
      <w:r w:rsidRPr="00896D4F">
        <w:t>i</w:t>
      </w:r>
      <w:r w:rsidRPr="00896D4F">
        <w:t>digt klar</w:t>
      </w:r>
      <w:r w:rsidRPr="00896D4F">
        <w:softHyphen/>
        <w:t>lägger de omständigheter som är av betydelse för ärendets bedö</w:t>
      </w:r>
      <w:r w:rsidRPr="00896D4F">
        <w:t>m</w:t>
      </w:r>
      <w:r w:rsidRPr="00896D4F">
        <w:t>ning. Eleven och, i fråga om en elev som inte har fyllt 18 år och inte heller har ingått äktenskap, elevens vårdnadshavare skall få tillfälle att muntligen yttra sig inför styrelsen för utbildningen.</w:t>
      </w:r>
    </w:p>
    <w:p w:rsidR="009C1C5A" w:rsidRPr="00896D4F" w:rsidRDefault="009C1C5A">
      <w:pPr>
        <w:pStyle w:val="Normaltindrag"/>
      </w:pPr>
      <w:r w:rsidRPr="00896D4F">
        <w:t>Av förordningens 12 kap. 1 § och 22 a § förvaltningslagen (1986:223) följer att beslut om avstängning och förvisning samt beslut om interimistisk avstängning kan överklagas till allmän förvaltningsdomst</w:t>
      </w:r>
      <w:r w:rsidRPr="00896D4F">
        <w:t>ol.</w:t>
      </w:r>
    </w:p>
    <w:p w:rsidR="009C1C5A" w:rsidRPr="00896D4F" w:rsidRDefault="009C1C5A">
      <w:pPr>
        <w:pStyle w:val="Rubrik3"/>
      </w:pPr>
      <w:r w:rsidRPr="00896D4F">
        <w:t>Bedömning</w:t>
      </w:r>
    </w:p>
    <w:p w:rsidR="009C1C5A" w:rsidRPr="00896D4F" w:rsidRDefault="009C1C5A">
      <w:r w:rsidRPr="00896D4F">
        <w:t>Av utredningen framgår bl.a. att A.M. har erhållit två brev daterade den 21 och den 23 mars 2000 från vårdgymnasiets rektor May Asp. Landstinget har, såvitt jag har förstått det, med hänsyn till innehållet i brevet den 23 mars 2000 tillbakavisat an</w:t>
      </w:r>
      <w:r w:rsidRPr="00896D4F">
        <w:softHyphen/>
        <w:t>mälarnas påstående om att A.M. med anledning av hä</w:t>
      </w:r>
      <w:r w:rsidRPr="00896D4F">
        <w:t>n</w:t>
      </w:r>
      <w:r w:rsidRPr="00896D4F">
        <w:t>delsen den 26 februari 2000 skulle ha blivit avstängd från sina studier vid vårdgymnasiet. Enligt lands</w:t>
      </w:r>
      <w:r w:rsidRPr="00896D4F">
        <w:softHyphen/>
        <w:t>tingets mening har det endast varit fråga om att den praktik som A.M. skulle ge</w:t>
      </w:r>
      <w:r w:rsidRPr="00896D4F">
        <w:softHyphen/>
        <w:t>nomgå under den aktuella tiden blev inställd. Mot att det endast skulle ha varit fråga om att planerad praktik ställdes in talar emellertid brevet den 21 mars 2000 till A.M. Ordalydelsen i detta brev kan enligt min mening inte uppfattas på något annat sätt än att det hade fat</w:t>
      </w:r>
      <w:r w:rsidRPr="00896D4F">
        <w:t>tats ett interimistiskt beslut enligt 6 kap. 30 § gymna</w:t>
      </w:r>
      <w:r w:rsidRPr="00896D4F">
        <w:softHyphen/>
        <w:t>sieförordningen om att stänga av A.M. från skolan. Huruvida avsikten var att stänga av A.M. från skolan eller om syftet endast var att ge honom besked om att planerad praktik hade ställts in går med hänsyn till de motstridiga besked som ges i breven inte att avgöra. Ut</w:t>
      </w:r>
      <w:r w:rsidRPr="00896D4F">
        <w:softHyphen/>
        <w:t>redningen i övrigt, och jag tänker då främst på vad som har framkommit beträf</w:t>
      </w:r>
      <w:r w:rsidRPr="00896D4F">
        <w:softHyphen/>
        <w:t>fande det möte som ägde rum den 8 mars 2000, ger inte heller något svar på denna frå</w:t>
      </w:r>
      <w:r w:rsidRPr="00896D4F">
        <w:softHyphen/>
        <w:t>ga. Landstinget Kronobe</w:t>
      </w:r>
      <w:r w:rsidRPr="00896D4F">
        <w:t>rg är emellertid inte längre huvu</w:t>
      </w:r>
      <w:r w:rsidRPr="00896D4F">
        <w:t>d</w:t>
      </w:r>
      <w:r w:rsidRPr="00896D4F">
        <w:t xml:space="preserve">man för utbildningen. Med hänsyn härtill och då jag inte finner det sannolikt att ytterligare utredningsåtgärder från min sida skulle bringa klarhet i saken, anser jag inte att det finns skäl för mig att utreda frågan vidare. </w:t>
      </w:r>
    </w:p>
    <w:p w:rsidR="009C1C5A" w:rsidRPr="00896D4F" w:rsidRDefault="009C1C5A">
      <w:pPr>
        <w:pStyle w:val="Normaltindrag"/>
      </w:pPr>
      <w:r w:rsidRPr="00896D4F">
        <w:t>Innehållet i de ifrågavarande breven till A.M. ger mig dock anledning till följande uttalande. Det är självklart av största vikt att språkbehandlingen i en myndighets skrivelser och beslut är sådan att det tydligt framgår vad som avses och om det är f</w:t>
      </w:r>
      <w:r w:rsidRPr="00896D4F">
        <w:t>råga om ett beslut eller inte. Som jag har anfört ovan talar ordalydelsen i brevet den 21 mars 2000 för att ett beslut om att stänga av A.M. från skolan har fattats samtidigt som brevet den 23 mars 2000 ger i</w:t>
      </w:r>
      <w:r w:rsidRPr="00896D4F">
        <w:t>n</w:t>
      </w:r>
      <w:r w:rsidRPr="00896D4F">
        <w:t>tryck av att så inte var fallet. Att två brev gäl</w:t>
      </w:r>
      <w:r w:rsidRPr="00896D4F">
        <w:softHyphen/>
        <w:t>lande samma sak utformas på ett sådant sätt att de ger olika besked i en fråga är anmärk</w:t>
      </w:r>
      <w:r w:rsidRPr="00896D4F">
        <w:softHyphen/>
        <w:t>ningsvärt och givetvis inte acceptabelt. Eftersom det, enligt vad landstinget har anfört, inte har varit fråga om en avstängning, var det vidare inte heller lämp</w:t>
      </w:r>
      <w:r w:rsidRPr="00896D4F">
        <w:softHyphen/>
        <w:t>li</w:t>
      </w:r>
      <w:r w:rsidRPr="00896D4F">
        <w:t>gt att använda ordet ”avstängd” i brevet den 21 mars 2000 om här</w:t>
      </w:r>
      <w:r w:rsidRPr="00896D4F">
        <w:softHyphen/>
        <w:t>med avsågs att A.M. inte längre var välkommen till sin praktiktjänstgöring. An</w:t>
      </w:r>
      <w:r w:rsidRPr="00896D4F">
        <w:softHyphen/>
        <w:t>vändandet av detta ord har också fått mycket olyckliga konsekvenser då A.M. och hans familj upp</w:t>
      </w:r>
      <w:r w:rsidRPr="00896D4F">
        <w:softHyphen/>
        <w:t>fattade ordet på det sätt som faller sig naturligt vid ett normalt språkbruk. Jag är mot bak</w:t>
      </w:r>
      <w:r w:rsidRPr="00896D4F">
        <w:softHyphen/>
        <w:t>grund av det anförda kritisk till hur skrivelserna har utformats. Brevens utform</w:t>
      </w:r>
      <w:r w:rsidRPr="00896D4F">
        <w:softHyphen/>
        <w:t>ning ger enligt min mening även anledning att ifråga</w:t>
      </w:r>
      <w:r w:rsidRPr="00896D4F">
        <w:softHyphen/>
        <w:t>sätta om inte ku</w:t>
      </w:r>
      <w:r w:rsidRPr="00896D4F">
        <w:t>n</w:t>
      </w:r>
      <w:r w:rsidRPr="00896D4F">
        <w:t>ska</w:t>
      </w:r>
      <w:r w:rsidRPr="00896D4F">
        <w:softHyphen/>
        <w:t>perna vad gäller den lag</w:t>
      </w:r>
      <w:r w:rsidRPr="00896D4F">
        <w:t>stiftning om disciplinära åtgärder mot elever vid gymna</w:t>
      </w:r>
      <w:r w:rsidRPr="00896D4F">
        <w:softHyphen/>
        <w:t>siesko</w:t>
      </w:r>
      <w:r w:rsidRPr="00896D4F">
        <w:softHyphen/>
        <w:t xml:space="preserve">lan som jag har redogjort för ovan har varit bristfälliga. Med hänsyn till att landstinget inte längre är huvudman för utbildningen finner jag dock inte skäl till något ytterligare uttalande utan låter saken bero med vad jag nu har anfört. </w:t>
      </w:r>
    </w:p>
    <w:p w:rsidR="009C1C5A" w:rsidRPr="00896D4F" w:rsidRDefault="009C1C5A">
      <w:pPr>
        <w:pStyle w:val="Normaltindrag"/>
      </w:pPr>
      <w:r w:rsidRPr="00896D4F">
        <w:t>Vad som i övrigt har förekommit i ärendet föranleder inte något uttalande eller någon annan åtgärd från min sida.</w:t>
      </w:r>
    </w:p>
    <w:p w:rsidR="009C1C5A" w:rsidRPr="00896D4F" w:rsidRDefault="009C1C5A">
      <w:pPr>
        <w:spacing w:before="0"/>
      </w:pPr>
      <w:r w:rsidRPr="00896D4F">
        <w:t>__________</w:t>
      </w:r>
    </w:p>
    <w:p w:rsidR="009C1C5A" w:rsidRPr="00896D4F" w:rsidRDefault="009C1C5A">
      <w:r w:rsidRPr="00896D4F">
        <w:t>Ärendet avslutas med den kritik som ligger i det ovan sagda.</w:t>
      </w:r>
    </w:p>
    <w:p w:rsidR="009C1C5A" w:rsidRPr="00896D4F" w:rsidRDefault="009C1C5A">
      <w:pPr>
        <w:pStyle w:val="Rubrik2"/>
      </w:pPr>
      <w:r w:rsidRPr="00896D4F">
        <w:br w:type="page"/>
        <w:t xml:space="preserve">Handläggningen av ett återkravsärende; bl.a. fråga om Centrala studiestödsnämnden (CSN) varit förhindrad att ompröva ett beslut innan Regeringsrätten prövat en begäran om </w:t>
      </w:r>
      <w:r w:rsidRPr="00896D4F">
        <w:rPr>
          <w:spacing w:val="-4"/>
        </w:rPr>
        <w:t>rätts</w:t>
      </w:r>
      <w:r w:rsidRPr="00896D4F">
        <w:rPr>
          <w:spacing w:val="-4"/>
        </w:rPr>
        <w:softHyphen/>
        <w:t>prövning</w:t>
      </w:r>
      <w:r w:rsidRPr="00896D4F">
        <w:t xml:space="preserve"> av beslutet</w:t>
      </w:r>
    </w:p>
    <w:p w:rsidR="009C1C5A" w:rsidRPr="00896D4F" w:rsidRDefault="009C1C5A">
      <w:pPr>
        <w:spacing w:before="0"/>
      </w:pPr>
      <w:r w:rsidRPr="00896D4F">
        <w:t>(Dnr 3072-2000)</w:t>
      </w:r>
    </w:p>
    <w:p w:rsidR="009C1C5A" w:rsidRPr="00896D4F" w:rsidRDefault="009C1C5A">
      <w:pPr>
        <w:pStyle w:val="Rubrik3"/>
        <w:rPr>
          <w:b w:val="0"/>
        </w:rPr>
      </w:pPr>
      <w:r w:rsidRPr="00896D4F">
        <w:t>Anmälan</w:t>
      </w:r>
    </w:p>
    <w:p w:rsidR="009C1C5A" w:rsidRPr="00896D4F" w:rsidRDefault="009C1C5A">
      <w:r w:rsidRPr="00896D4F">
        <w:t>I en anmälan till JO framförde F.N. klagomål mot CSN angående hand</w:t>
      </w:r>
      <w:r w:rsidRPr="00896D4F">
        <w:softHyphen/>
        <w:t>läggningen av ett återkravsärende, m.m. En samman</w:t>
      </w:r>
      <w:r w:rsidRPr="00896D4F">
        <w:softHyphen/>
        <w:t>fattning av huvudpun</w:t>
      </w:r>
      <w:r w:rsidRPr="00896D4F">
        <w:t>k</w:t>
      </w:r>
      <w:r w:rsidRPr="00896D4F">
        <w:t>terna i anmälan lämnas i det följande.</w:t>
      </w:r>
    </w:p>
    <w:p w:rsidR="009C1C5A" w:rsidRPr="00896D4F" w:rsidRDefault="009C1C5A">
      <w:pPr>
        <w:pStyle w:val="Normaltindrag"/>
      </w:pPr>
      <w:r w:rsidRPr="00896D4F">
        <w:t>Den 16 september 1999 beslutade CSN i Uppsala att bevilja studiemedel för läsåret 1999/2000. Enligt CSN skulle den sista utbetalningen för höstte</w:t>
      </w:r>
      <w:r w:rsidRPr="00896D4F">
        <w:t>r</w:t>
      </w:r>
      <w:r w:rsidRPr="00896D4F">
        <w:t>minen 1999 verkställas den 29 november 1999. I slutet av november månad skickade F.N. ett brev till CSN där han meddelade att hans inkomst skulle komma att bli så hög att han inte var berättigad till den planerade utbetalnin</w:t>
      </w:r>
      <w:r w:rsidRPr="00896D4F">
        <w:t>g</w:t>
      </w:r>
      <w:r w:rsidRPr="00896D4F">
        <w:t>en. Brevet kom emellertid inte fram i tid, var</w:t>
      </w:r>
      <w:r w:rsidRPr="00896D4F">
        <w:softHyphen/>
        <w:t>för F.N. blev återbetalningssky</w:t>
      </w:r>
      <w:r w:rsidRPr="00896D4F">
        <w:t>l</w:t>
      </w:r>
      <w:r w:rsidRPr="00896D4F">
        <w:t>dig med 333 kr. Han blev också skyldig att betala ränta med 5 kr för perioden den 29 november 1999–den 31 januari 2000 och en expeditionsavgift om 100 kr. F.N. begärde omprövning av beslutet (CSN:s ärende 20</w:t>
      </w:r>
      <w:r w:rsidRPr="00896D4F">
        <w:t>00-2371-2631, JO:s anm.). Den 20 januari 2000 meddelade CSN att begäran hade mottagits och att handlägg</w:t>
      </w:r>
      <w:r w:rsidRPr="00896D4F">
        <w:softHyphen/>
        <w:t>nings</w:t>
      </w:r>
      <w:r w:rsidRPr="00896D4F">
        <w:softHyphen/>
        <w:t xml:space="preserve">tiden uppgick till cirka två månader. </w:t>
      </w:r>
    </w:p>
    <w:p w:rsidR="009C1C5A" w:rsidRPr="00896D4F" w:rsidRDefault="009C1C5A">
      <w:pPr>
        <w:pStyle w:val="Normaltindrag"/>
      </w:pPr>
      <w:r w:rsidRPr="00896D4F">
        <w:t>Enligt F.N. var det fel att påföra ränta för den tid då det inte existerade n</w:t>
      </w:r>
      <w:r w:rsidRPr="00896D4F">
        <w:t>å</w:t>
      </w:r>
      <w:r w:rsidRPr="00896D4F">
        <w:t>gon skuld och under den tid han saknade möj</w:t>
      </w:r>
      <w:r w:rsidRPr="00896D4F">
        <w:softHyphen/>
        <w:t>lig</w:t>
      </w:r>
      <w:r w:rsidRPr="00896D4F">
        <w:softHyphen/>
        <w:t>het att betala in skulden. V</w:t>
      </w:r>
      <w:r w:rsidRPr="00896D4F">
        <w:t>i</w:t>
      </w:r>
      <w:r w:rsidRPr="00896D4F">
        <w:t>dare var det, enligt honom, orimligt att skicka ut ett inbetal</w:t>
      </w:r>
      <w:r w:rsidRPr="00896D4F">
        <w:softHyphen/>
        <w:t>nings</w:t>
      </w:r>
      <w:r w:rsidRPr="00896D4F">
        <w:softHyphen/>
        <w:t>kort och påföra en expeditionsavgift om 100 kr i stället för att minska kommande st</w:t>
      </w:r>
      <w:r w:rsidRPr="00896D4F">
        <w:t>u</w:t>
      </w:r>
      <w:r w:rsidRPr="00896D4F">
        <w:t>diemedel med samma belopp. I samband med begäran om ompröv</w:t>
      </w:r>
      <w:r w:rsidRPr="00896D4F">
        <w:softHyphen/>
        <w:t>ning av återkravsbeslutet framställdes ett yrkande om inhibition såvitt avsåg räntekr</w:t>
      </w:r>
      <w:r w:rsidRPr="00896D4F">
        <w:t>a</w:t>
      </w:r>
      <w:r w:rsidRPr="00896D4F">
        <w:t>vet och expeditionsavgiften (dvs. ett yrkande om att det tidigare beslutet i dessa delar tills vidare inte skulle gälla). CSN inhiberade</w:t>
      </w:r>
      <w:r w:rsidRPr="00896D4F">
        <w:t xml:space="preserve"> emellertid hela kr</w:t>
      </w:r>
      <w:r w:rsidRPr="00896D4F">
        <w:t>a</w:t>
      </w:r>
      <w:r w:rsidRPr="00896D4F">
        <w:t>vet, dvs. även kapital</w:t>
      </w:r>
      <w:r w:rsidRPr="00896D4F">
        <w:softHyphen/>
        <w:t>beloppet om 333 kr, utan yrkande. Han utgick från detta eftersom CSN inte skickade några inbetalningskort. Den 25 april 2000 besl</w:t>
      </w:r>
      <w:r w:rsidRPr="00896D4F">
        <w:t>u</w:t>
      </w:r>
      <w:r w:rsidRPr="00896D4F">
        <w:t>tade CSN:s huvud</w:t>
      </w:r>
      <w:r w:rsidRPr="00896D4F">
        <w:softHyphen/>
        <w:t>kontor att inte ändra det tidigare beslutet. F.N. ansökte om rätts</w:t>
      </w:r>
      <w:r w:rsidRPr="00896D4F">
        <w:softHyphen/>
        <w:t>prövning av beslutet i Kammarrätten i Sundsvall. Han yrkade även inh</w:t>
      </w:r>
      <w:r w:rsidRPr="00896D4F">
        <w:t>i</w:t>
      </w:r>
      <w:r w:rsidRPr="00896D4F">
        <w:t>bition av beslutet. Kam</w:t>
      </w:r>
      <w:r w:rsidRPr="00896D4F">
        <w:softHyphen/>
        <w:t>mar</w:t>
      </w:r>
      <w:r w:rsidRPr="00896D4F">
        <w:softHyphen/>
        <w:t>rätten avvisade ansökningen i beslut den 22 maj 2000 (kammar</w:t>
      </w:r>
      <w:r w:rsidRPr="00896D4F">
        <w:softHyphen/>
        <w:t>rättens mål nr 1379-2000, JO:s anm). Kammarrättens a</w:t>
      </w:r>
      <w:r w:rsidRPr="00896D4F">
        <w:t>v</w:t>
      </w:r>
      <w:r w:rsidRPr="00896D4F">
        <w:t>vis</w:t>
      </w:r>
      <w:r w:rsidRPr="00896D4F">
        <w:softHyphen/>
        <w:t>nings</w:t>
      </w:r>
      <w:r w:rsidRPr="00896D4F">
        <w:softHyphen/>
        <w:t>beslut överklagades till Regerings</w:t>
      </w:r>
      <w:r w:rsidRPr="00896D4F">
        <w:t>rätten (Regeringsrättens mål nr 3761-2000, JO:s anm.).</w:t>
      </w:r>
    </w:p>
    <w:p w:rsidR="009C1C5A" w:rsidRPr="00896D4F" w:rsidRDefault="009C1C5A">
      <w:pPr>
        <w:pStyle w:val="Normaltindrag"/>
      </w:pPr>
      <w:r w:rsidRPr="00896D4F">
        <w:t xml:space="preserve">Den 9 juni 2000 fattade CSN beslut om verkställighet och begärde bl.a. </w:t>
      </w:r>
      <w:r w:rsidRPr="00896D4F">
        <w:br/>
        <w:t>16 kr i ränta avseende tiden fram till den 30 juni 2000 då beloppet förföll till betalning. Beslutet föranledde F.N. att framställa ett nytt inhibitionsyrkande och att begära en förnyad prövning vid CSN:s huvudkontor (CSN:s ärende 2000-2379-19394, JO:s anm.). Regionjuristen Anna Jadner svarade att CSN var förhindrad att pröva hans ompröv</w:t>
      </w:r>
      <w:r w:rsidRPr="00896D4F">
        <w:softHyphen/>
        <w:t>nings</w:t>
      </w:r>
      <w:r w:rsidRPr="00896D4F">
        <w:softHyphen/>
        <w:t>begäran och inhibitionsbegäran eftersom ärendet låg i Regerings</w:t>
      </w:r>
      <w:r w:rsidRPr="00896D4F">
        <w:softHyphen/>
        <w:t>rätten. Något beslut skulle inte komma att fattas förrän Regerings</w:t>
      </w:r>
      <w:r w:rsidRPr="00896D4F">
        <w:softHyphen/>
      </w:r>
      <w:r w:rsidRPr="00896D4F">
        <w:softHyphen/>
        <w:t>rätten hade avgjort sitt ärende.</w:t>
      </w:r>
    </w:p>
    <w:p w:rsidR="009C1C5A" w:rsidRPr="00896D4F" w:rsidRDefault="009C1C5A"/>
    <w:p w:rsidR="009C1C5A" w:rsidRPr="00896D4F" w:rsidRDefault="009C1C5A">
      <w:r w:rsidRPr="00896D4F">
        <w:t>Mot den angivna bakgrunden ställde F.N. följande frågor.</w:t>
      </w:r>
    </w:p>
    <w:p w:rsidR="009C1C5A" w:rsidRPr="00896D4F" w:rsidRDefault="009C1C5A">
      <w:pPr>
        <w:pStyle w:val="Citatindrag"/>
        <w:numPr>
          <w:ilvl w:val="0"/>
          <w:numId w:val="49"/>
        </w:numPr>
        <w:spacing w:before="125"/>
        <w:rPr>
          <w:sz w:val="20"/>
        </w:rPr>
      </w:pPr>
      <w:r w:rsidRPr="00896D4F">
        <w:t xml:space="preserve">Var det riktigt och får CSN fatta beslut om att påföra mig ränta för en period när någon </w:t>
      </w:r>
      <w:r w:rsidRPr="00896D4F">
        <w:rPr>
          <w:sz w:val="20"/>
        </w:rPr>
        <w:t>skuld</w:t>
      </w:r>
      <w:r w:rsidRPr="00896D4F">
        <w:t xml:space="preserve"> inte existerar?  </w:t>
      </w:r>
    </w:p>
    <w:p w:rsidR="009C1C5A" w:rsidRPr="00896D4F" w:rsidRDefault="009C1C5A">
      <w:pPr>
        <w:numPr>
          <w:ilvl w:val="0"/>
          <w:numId w:val="49"/>
        </w:numPr>
        <w:spacing w:before="0"/>
        <w:rPr>
          <w:sz w:val="20"/>
        </w:rPr>
      </w:pPr>
      <w:r w:rsidRPr="00896D4F">
        <w:rPr>
          <w:sz w:val="20"/>
        </w:rPr>
        <w:t>Får CSN påföra mig ränta för en period när jag förvägras möjligheten att återbetala kravet?</w:t>
      </w:r>
    </w:p>
    <w:p w:rsidR="009C1C5A" w:rsidRPr="00896D4F" w:rsidRDefault="009C1C5A">
      <w:pPr>
        <w:pStyle w:val="Citatindrag"/>
        <w:numPr>
          <w:ilvl w:val="0"/>
          <w:numId w:val="49"/>
        </w:numPr>
        <w:rPr>
          <w:sz w:val="20"/>
        </w:rPr>
      </w:pPr>
      <w:r w:rsidRPr="00896D4F">
        <w:rPr>
          <w:sz w:val="20"/>
        </w:rPr>
        <w:t xml:space="preserve">Borde inte CSN ha </w:t>
      </w:r>
      <w:r w:rsidRPr="00896D4F">
        <w:t>minskat</w:t>
      </w:r>
      <w:r w:rsidRPr="00896D4F">
        <w:rPr>
          <w:sz w:val="20"/>
        </w:rPr>
        <w:t xml:space="preserve"> mina studiemedel kommande termin med återbetalningskravet istället för att tvinga mig att återbetala summan och på så sätt påföra mig en onödig expeditions</w:t>
      </w:r>
      <w:r w:rsidRPr="00896D4F">
        <w:rPr>
          <w:sz w:val="20"/>
        </w:rPr>
        <w:softHyphen/>
      </w:r>
      <w:r w:rsidRPr="00896D4F">
        <w:rPr>
          <w:sz w:val="20"/>
        </w:rPr>
        <w:softHyphen/>
        <w:t>avgift?</w:t>
      </w:r>
    </w:p>
    <w:p w:rsidR="009C1C5A" w:rsidRPr="00896D4F" w:rsidRDefault="009C1C5A">
      <w:pPr>
        <w:pStyle w:val="Citatindrag"/>
        <w:numPr>
          <w:ilvl w:val="0"/>
          <w:numId w:val="49"/>
        </w:numPr>
        <w:rPr>
          <w:sz w:val="20"/>
        </w:rPr>
      </w:pPr>
      <w:r w:rsidRPr="00896D4F">
        <w:rPr>
          <w:sz w:val="20"/>
        </w:rPr>
        <w:t>Var det korrekt att gå utöver mitt yrkande och inhibera även själva återbetalningskravet på 333 kr när jag uttryckligen begär att få betala detta?</w:t>
      </w:r>
    </w:p>
    <w:p w:rsidR="009C1C5A" w:rsidRPr="00896D4F" w:rsidRDefault="009C1C5A">
      <w:pPr>
        <w:pStyle w:val="Citatindrag"/>
        <w:numPr>
          <w:ilvl w:val="0"/>
          <w:numId w:val="49"/>
        </w:numPr>
        <w:rPr>
          <w:sz w:val="20"/>
        </w:rPr>
      </w:pPr>
      <w:r w:rsidRPr="00896D4F">
        <w:rPr>
          <w:sz w:val="20"/>
        </w:rPr>
        <w:t xml:space="preserve">Borde inte CSN i </w:t>
      </w:r>
      <w:r w:rsidRPr="00896D4F">
        <w:t>Sundsvall</w:t>
      </w:r>
      <w:r w:rsidRPr="00896D4F">
        <w:rPr>
          <w:sz w:val="20"/>
        </w:rPr>
        <w:t xml:space="preserve"> ha fattat beslut angående min begäran om omprövning snabbare än nästan fyra månader efter det att begäran kom in till myndigheten?</w:t>
      </w:r>
    </w:p>
    <w:p w:rsidR="009C1C5A" w:rsidRPr="00896D4F" w:rsidRDefault="009C1C5A">
      <w:pPr>
        <w:pStyle w:val="Citatindrag"/>
        <w:numPr>
          <w:ilvl w:val="0"/>
          <w:numId w:val="49"/>
        </w:numPr>
        <w:rPr>
          <w:sz w:val="20"/>
        </w:rPr>
      </w:pPr>
      <w:r w:rsidRPr="00896D4F">
        <w:rPr>
          <w:sz w:val="20"/>
        </w:rPr>
        <w:t>Borde inte CSN ha verkställt återbetalningen snabbare än två mån</w:t>
      </w:r>
      <w:r w:rsidRPr="00896D4F">
        <w:rPr>
          <w:sz w:val="20"/>
        </w:rPr>
        <w:t>a</w:t>
      </w:r>
      <w:r w:rsidRPr="00896D4F">
        <w:rPr>
          <w:sz w:val="20"/>
        </w:rPr>
        <w:t xml:space="preserve">der efter det att </w:t>
      </w:r>
      <w:r w:rsidRPr="00896D4F">
        <w:t>huvud</w:t>
      </w:r>
      <w:r w:rsidRPr="00896D4F">
        <w:softHyphen/>
        <w:t>kontoret</w:t>
      </w:r>
      <w:r w:rsidRPr="00896D4F">
        <w:rPr>
          <w:sz w:val="20"/>
        </w:rPr>
        <w:t xml:space="preserve"> avslagit min begäran om omprövning?</w:t>
      </w:r>
    </w:p>
    <w:p w:rsidR="009C1C5A" w:rsidRPr="00896D4F" w:rsidRDefault="009C1C5A">
      <w:pPr>
        <w:pStyle w:val="Citatindrag"/>
        <w:numPr>
          <w:ilvl w:val="0"/>
          <w:numId w:val="49"/>
        </w:numPr>
        <w:rPr>
          <w:sz w:val="20"/>
        </w:rPr>
      </w:pPr>
      <w:r w:rsidRPr="00896D4F">
        <w:rPr>
          <w:sz w:val="20"/>
        </w:rPr>
        <w:t>Är CSN:s bedömning riktig vad beträffar att de är förhindrade att ompröva det nya beslutet då ärendet ligger i Regeringsrätten men inte förhindrade att verkställa kravet?</w:t>
      </w:r>
    </w:p>
    <w:p w:rsidR="009C1C5A" w:rsidRPr="00896D4F" w:rsidRDefault="009C1C5A">
      <w:pPr>
        <w:pStyle w:val="Citatindrag"/>
        <w:numPr>
          <w:ilvl w:val="0"/>
          <w:numId w:val="49"/>
        </w:numPr>
        <w:rPr>
          <w:sz w:val="20"/>
        </w:rPr>
      </w:pPr>
      <w:r w:rsidRPr="00896D4F">
        <w:rPr>
          <w:sz w:val="20"/>
        </w:rPr>
        <w:t>Borde inte jag ha informerats tydligare om CSN:s kontakt med R</w:t>
      </w:r>
      <w:r w:rsidRPr="00896D4F">
        <w:rPr>
          <w:sz w:val="20"/>
        </w:rPr>
        <w:t>e</w:t>
      </w:r>
      <w:r w:rsidRPr="00896D4F">
        <w:rPr>
          <w:sz w:val="20"/>
        </w:rPr>
        <w:t>geringsrätten så att jag också fått vetskap om deras åsikter i frågan?</w:t>
      </w:r>
    </w:p>
    <w:p w:rsidR="009C1C5A" w:rsidRPr="00896D4F" w:rsidRDefault="009C1C5A">
      <w:pPr>
        <w:pStyle w:val="Citatindrag"/>
        <w:numPr>
          <w:ilvl w:val="0"/>
          <w:numId w:val="49"/>
        </w:numPr>
      </w:pPr>
      <w:r w:rsidRPr="00896D4F">
        <w:rPr>
          <w:sz w:val="20"/>
        </w:rPr>
        <w:t xml:space="preserve">Är inte CSN:s återkravsbeslut i juni, juli och augusti (2000, JO:s anm.) felaktiga då </w:t>
      </w:r>
      <w:r w:rsidRPr="00896D4F">
        <w:t>de</w:t>
      </w:r>
      <w:r w:rsidRPr="00896D4F">
        <w:rPr>
          <w:sz w:val="20"/>
        </w:rPr>
        <w:t xml:space="preserve"> påfört mig en betydligt högre ränta än vad som skulle utgått om de inte gått utöver mitt yrkande i inhibitionsbegäran i januari månad? </w:t>
      </w:r>
    </w:p>
    <w:p w:rsidR="009C1C5A" w:rsidRPr="00896D4F" w:rsidRDefault="009C1C5A">
      <w:pPr>
        <w:pStyle w:val="Rubrik3"/>
        <w:rPr>
          <w:b w:val="0"/>
        </w:rPr>
      </w:pPr>
      <w:r w:rsidRPr="00896D4F">
        <w:t>Utredning</w:t>
      </w:r>
    </w:p>
    <w:p w:rsidR="009C1C5A" w:rsidRPr="00896D4F" w:rsidRDefault="009C1C5A">
      <w:r w:rsidRPr="00896D4F">
        <w:t xml:space="preserve">Inledningsvis infordrades och granskades vissa handlingar i CSN:s ärenden 2000-2371-2631 och 2000-2379-19394. </w:t>
      </w:r>
    </w:p>
    <w:p w:rsidR="009C1C5A" w:rsidRPr="00896D4F" w:rsidRDefault="009C1C5A">
      <w:pPr>
        <w:pStyle w:val="Normaltindrag"/>
      </w:pPr>
      <w:r w:rsidRPr="00896D4F">
        <w:t>Vid granskningen uppmärksammades bl.a. att ett e-postmeddelande hade inkommit till CSN den 17 april 2000 och att detta, enligt vad som angavs i en missivskrivelse från CSN:s dåvarande region</w:t>
      </w:r>
      <w:r w:rsidRPr="00896D4F">
        <w:softHyphen/>
        <w:t>jurist Anna Jadner, inte hade varit möjligt att återfinna bland hand</w:t>
      </w:r>
      <w:r w:rsidRPr="00896D4F">
        <w:softHyphen/>
        <w:t xml:space="preserve">lingarna i ärendet. </w:t>
      </w:r>
    </w:p>
    <w:p w:rsidR="009C1C5A" w:rsidRPr="00896D4F" w:rsidRDefault="009C1C5A">
      <w:pPr>
        <w:pStyle w:val="Normaltindrag"/>
      </w:pPr>
      <w:r w:rsidRPr="00896D4F">
        <w:t>CSN anmodades att inkomma med utredning och yttrande dels i anledning av vad anmälaren hade anfört om handläggningen av omprövnings</w:t>
      </w:r>
      <w:r w:rsidRPr="00896D4F">
        <w:softHyphen/>
        <w:t>ärendena 2000-2371-2631 och 2000-2379-19394, dels dokumentationen av ett e-post</w:t>
      </w:r>
      <w:r w:rsidRPr="00896D4F">
        <w:softHyphen/>
        <w:t>med</w:t>
      </w:r>
      <w:r w:rsidRPr="00896D4F">
        <w:softHyphen/>
        <w:t xml:space="preserve">delande som F.N. hade skickat den 17 april 2000. </w:t>
      </w:r>
    </w:p>
    <w:p w:rsidR="009C1C5A" w:rsidRPr="00896D4F" w:rsidRDefault="009C1C5A">
      <w:pPr>
        <w:pStyle w:val="Normaltindrag"/>
      </w:pPr>
      <w:r w:rsidRPr="00896D4F">
        <w:t>CSN, genom general</w:t>
      </w:r>
      <w:r w:rsidRPr="00896D4F">
        <w:softHyphen/>
        <w:t>direktören Björn Mårtensson, avgav följande remi</w:t>
      </w:r>
      <w:r w:rsidRPr="00896D4F">
        <w:t>s</w:t>
      </w:r>
      <w:r w:rsidRPr="00896D4F">
        <w:t>svar.</w:t>
      </w:r>
    </w:p>
    <w:p w:rsidR="009C1C5A" w:rsidRPr="00896D4F" w:rsidRDefault="009C1C5A">
      <w:r w:rsidRPr="00896D4F">
        <w:t>– – –</w:t>
      </w:r>
    </w:p>
    <w:p w:rsidR="009C1C5A" w:rsidRPr="00896D4F" w:rsidRDefault="009C1C5A">
      <w:pPr>
        <w:pStyle w:val="Rubrik4"/>
        <w:rPr>
          <w:sz w:val="20"/>
        </w:rPr>
      </w:pPr>
      <w:r w:rsidRPr="00896D4F">
        <w:t>Bakgrund</w:t>
      </w:r>
    </w:p>
    <w:p w:rsidR="009C1C5A" w:rsidRPr="00896D4F" w:rsidRDefault="009C1C5A">
      <w:pPr>
        <w:pStyle w:val="Citat"/>
        <w:rPr>
          <w:sz w:val="20"/>
        </w:rPr>
      </w:pPr>
      <w:r w:rsidRPr="00896D4F">
        <w:t>F.N. beviljades studiemedel – endast studiebidrag – såvitt nu är av intresse, för tiden den 1 september 1999–den 4 januari 2000 genom beslut den 16 september 1999. I ansökan om studie</w:t>
      </w:r>
      <w:r w:rsidRPr="00896D4F">
        <w:softHyphen/>
        <w:t>medel uppgav han att hans inkomst under det andra kalenderhalvåret beräknades uppgå till 20 000 kr. Den 21 september anmälde han att han beräknade sin inkomst till 27 000 kr. Den 28 september med</w:t>
      </w:r>
      <w:r w:rsidRPr="00896D4F">
        <w:softHyphen/>
        <w:t>delade han att hans inkomst hade överskridit 30 000 kr och att den skulle bli högre än så eftersom han hade fått ett ”extrajobb”. Han b</w:t>
      </w:r>
      <w:r w:rsidRPr="00896D4F">
        <w:t>e</w:t>
      </w:r>
      <w:r w:rsidRPr="00896D4F">
        <w:t>gärde bl.a. att få en ny blankett för anmälan om i</w:t>
      </w:r>
      <w:r w:rsidRPr="00896D4F">
        <w:t>n</w:t>
      </w:r>
      <w:r w:rsidRPr="00896D4F">
        <w:t xml:space="preserve">komständring.   </w:t>
      </w:r>
    </w:p>
    <w:p w:rsidR="009C1C5A" w:rsidRPr="00896D4F" w:rsidRDefault="009C1C5A">
      <w:pPr>
        <w:pStyle w:val="Citatindrag"/>
        <w:rPr>
          <w:sz w:val="20"/>
        </w:rPr>
      </w:pPr>
      <w:r w:rsidRPr="00896D4F">
        <w:t xml:space="preserve">Den 6 oktober gav F.N., på en av CSN tillhandahållen blankett, in en ny anmälan om ändrad inkomst i vilken han </w:t>
      </w:r>
      <w:r w:rsidRPr="00896D4F">
        <w:t>beräknade inkomsten till 32 300 kr. Eftersom hans inkomst översteg gällande fribelopp om 30 940 kr omprövade CSN den 12 oktober 1999 hans rätt till studiemedel med hänsyn härtill. Till följd härav reducerades de återstående utbetalningarna av studiemedel avs</w:t>
      </w:r>
      <w:r w:rsidRPr="00896D4F">
        <w:t>e</w:t>
      </w:r>
      <w:r w:rsidRPr="00896D4F">
        <w:t>ende höst</w:t>
      </w:r>
      <w:r w:rsidRPr="00896D4F">
        <w:softHyphen/>
        <w:t>terminen 1999. – I mitterminsförsäkran/begäran om utbetalning inkommen till CSN den 15 oktober uppgav F.N. ånyo sin inkomst för det andra kalenderhalvåret 1999 till 32 300 kr.</w:t>
      </w:r>
    </w:p>
    <w:p w:rsidR="009C1C5A" w:rsidRPr="00896D4F" w:rsidRDefault="009C1C5A">
      <w:pPr>
        <w:pStyle w:val="Citatindrag"/>
        <w:rPr>
          <w:sz w:val="20"/>
        </w:rPr>
      </w:pPr>
      <w:r w:rsidRPr="00896D4F">
        <w:t xml:space="preserve">Den 2 december 1999 inkom till CSN en skrivelse från F.N. i vilken </w:t>
      </w:r>
      <w:r w:rsidRPr="00896D4F">
        <w:t>han anmälde att hans inkomst för det andra kalenderhalvåret skulle uppgå till 35 000 kr. I anledning härav med</w:t>
      </w:r>
      <w:r w:rsidRPr="00896D4F">
        <w:softHyphen/>
        <w:t>delade CSN i beslut den 3 december att den anmälda inkomsten föranledde att hans studiemedel skulle reduceras. – Efte</w:t>
      </w:r>
      <w:r w:rsidRPr="00896D4F">
        <w:t>r</w:t>
      </w:r>
      <w:r w:rsidRPr="00896D4F">
        <w:t>som studiemedel betalas ut i förskott hade CSN den 28 november verk</w:t>
      </w:r>
      <w:r w:rsidRPr="00896D4F">
        <w:softHyphen/>
        <w:t>ställt den sista utbetal</w:t>
      </w:r>
      <w:r w:rsidRPr="00896D4F">
        <w:softHyphen/>
        <w:t>ningen av studiemedel till F.N. avseende höstterminen 1999. CSN kunde därför i beslutet den 3 december inte ändra tidigare beslut om studiemedel till hans nackdel enligt 4 kap. 28 § studie</w:t>
      </w:r>
      <w:r w:rsidRPr="00896D4F">
        <w:softHyphen/>
        <w:t>s</w:t>
      </w:r>
      <w:r w:rsidRPr="00896D4F">
        <w:t>tödsförordningen (1973:418, JO:s anm.). Detta lagrum stadgar att ändring till den studerandes nackdel endast får ske om två villkor är uppfyllda varav det ena är att än</w:t>
      </w:r>
      <w:r w:rsidRPr="00896D4F">
        <w:t>d</w:t>
      </w:r>
      <w:r w:rsidRPr="00896D4F">
        <w:t>ringen skall kunna ske genom avdrag på studiemedel som betalas ut under samma kalenderhalvår. Således återstod för CSN endast att återkräva för mycket utbetalade studiemedel enligt 9 kap. 2 § studiestödslagen (1973:349, JO:s anm.). – F.N. underrättades därför i beslutet den 3 december att för mycket utbetalat studiemedel skulle krävas tillba</w:t>
      </w:r>
      <w:r w:rsidRPr="00896D4F">
        <w:t>ka samt att ett särskilt beslut skulle översändas i a</w:t>
      </w:r>
      <w:r w:rsidRPr="00896D4F">
        <w:t>n</w:t>
      </w:r>
      <w:r w:rsidRPr="00896D4F">
        <w:t>ledning härav.</w:t>
      </w:r>
    </w:p>
    <w:p w:rsidR="009C1C5A" w:rsidRPr="00896D4F" w:rsidRDefault="009C1C5A">
      <w:pPr>
        <w:pStyle w:val="Citatindrag"/>
      </w:pPr>
      <w:r w:rsidRPr="00896D4F">
        <w:t>Den 14 december meddelade CSN ett beslut, expedierat den 15 december, enligt vilket F.N. med hänsyn till den anmälda inkomsten om 35 000 kr hade fått studiemedel utbetalat med 333 kr för mycket och att beloppet exklusive ränta om 5 kr samt en expeditionsavgift om 100 kr skulle åter</w:t>
      </w:r>
      <w:r w:rsidRPr="00896D4F">
        <w:softHyphen/>
        <w:t>betalas per den 31 januari 2000. Räntan beräknades fr.o.m. tidpunkten för den senaste utb</w:t>
      </w:r>
      <w:r w:rsidRPr="00896D4F">
        <w:t>e</w:t>
      </w:r>
      <w:r w:rsidRPr="00896D4F">
        <w:t xml:space="preserve">talningen av studiemedel, den 29 november 1999, t.o.m. förfallodatum för återkravet. </w:t>
      </w:r>
    </w:p>
    <w:p w:rsidR="009C1C5A" w:rsidRPr="00896D4F" w:rsidRDefault="009C1C5A">
      <w:pPr>
        <w:pStyle w:val="Rubrik4"/>
        <w:rPr>
          <w:sz w:val="19"/>
        </w:rPr>
      </w:pPr>
      <w:r w:rsidRPr="00896D4F">
        <w:rPr>
          <w:sz w:val="19"/>
        </w:rPr>
        <w:t>Omprövningsärende 2000-2371-2631</w:t>
      </w:r>
    </w:p>
    <w:p w:rsidR="009C1C5A" w:rsidRPr="00896D4F" w:rsidRDefault="009C1C5A">
      <w:pPr>
        <w:pStyle w:val="Citat"/>
        <w:rPr>
          <w:sz w:val="20"/>
        </w:rPr>
      </w:pPr>
      <w:r w:rsidRPr="00896D4F">
        <w:t>F.N. begärde i en skrivelse inkommen till CSN den 10 januari 2000 omprö</w:t>
      </w:r>
      <w:r w:rsidRPr="00896D4F">
        <w:t>v</w:t>
      </w:r>
      <w:r w:rsidRPr="00896D4F">
        <w:t>ning av beslutet om återkrav, CSN:s omprövningsärende 2000-2371-2631. Han yrkade att återbetalnings</w:t>
      </w:r>
      <w:r w:rsidRPr="00896D4F">
        <w:softHyphen/>
        <w:t>skyldigheten skulle fastställas till 333 kr, att kravet på ränta och expeditionsavgift skulle avskrivas samt att återbetalningen skulle verkställas genom minskning av hans studiemedel för vår</w:t>
      </w:r>
      <w:r w:rsidRPr="00896D4F">
        <w:softHyphen/>
        <w:t>terminen 2000. Han anförde bl.a. att ränta inte skall tas ut för en period då han inte hade velat ha de för högt beslutade studiemedlen, att enligt 2 § räntelagen kan ränta inte utgå för tid innan fordringen är förfalle</w:t>
      </w:r>
      <w:r w:rsidRPr="00896D4F">
        <w:t>n och att han inte hade givits möjlighet att betala tillbaka den överskjutande summan innan beslut om åte</w:t>
      </w:r>
      <w:r w:rsidRPr="00896D4F">
        <w:t>r</w:t>
      </w:r>
      <w:r w:rsidRPr="00896D4F">
        <w:t>krav sändes ut. I en skrivelse inkommen den 14 januari begärde F.N. inhib</w:t>
      </w:r>
      <w:r w:rsidRPr="00896D4F">
        <w:t>i</w:t>
      </w:r>
      <w:r w:rsidRPr="00896D4F">
        <w:t>tion av CSN:s beslut den 14 december 1999 samt att beslutet avseende ränta och expeditionsavgift inte skulle verkställas innan det slutliga beslutet hade vunnit laga kraft. – I en skrivelse den 20 januari 2000 underrättades F.N. att hans omprövningsbegäran hade överlämnats till CSN:s huvudkontor för o</w:t>
      </w:r>
      <w:r w:rsidRPr="00896D4F">
        <w:t>m</w:t>
      </w:r>
      <w:r w:rsidRPr="00896D4F">
        <w:t>pröv</w:t>
      </w:r>
      <w:r w:rsidRPr="00896D4F">
        <w:softHyphen/>
        <w:t>ning och att den genomsn</w:t>
      </w:r>
      <w:r w:rsidRPr="00896D4F">
        <w:t>ittliga handläggn</w:t>
      </w:r>
      <w:r w:rsidRPr="00896D4F">
        <w:softHyphen/>
        <w:t>ings</w:t>
      </w:r>
      <w:r w:rsidRPr="00896D4F">
        <w:softHyphen/>
      </w:r>
      <w:r w:rsidRPr="00896D4F">
        <w:softHyphen/>
        <w:t>tiden på huvudkontoret f.n. var ca två månader. – I ett e-postmeddelande den 16 april undrade F.N. om handläggningstiden av hans omprövnings</w:t>
      </w:r>
      <w:r w:rsidRPr="00896D4F">
        <w:softHyphen/>
        <w:t xml:space="preserve">begäran. Den 17 april besvarade CSN e-postmeddelandet och meddelade att det hade vidarebefordrats till omprövningsenheten och att han kunde ta kontakt med enheten på angivet telefonnummer om han hade frågor. </w:t>
      </w:r>
    </w:p>
    <w:p w:rsidR="009C1C5A" w:rsidRPr="00896D4F" w:rsidRDefault="009C1C5A">
      <w:pPr>
        <w:pStyle w:val="Citatindrag"/>
        <w:rPr>
          <w:sz w:val="20"/>
        </w:rPr>
      </w:pPr>
      <w:r w:rsidRPr="00896D4F">
        <w:t>CSN:s huvudkontor meddelade beslut i ärendet den 25 april 2000. I besl</w:t>
      </w:r>
      <w:r w:rsidRPr="00896D4F">
        <w:t>u</w:t>
      </w:r>
      <w:r w:rsidRPr="00896D4F">
        <w:t>tet konstaterades att tidigare fattat beslut om återkrav av för mycket utbetal</w:t>
      </w:r>
      <w:r w:rsidRPr="00896D4F">
        <w:t>a</w:t>
      </w:r>
      <w:r w:rsidRPr="00896D4F">
        <w:t>de studiemedel till ett kapitalbelopp om 333 kr inte ändrades samt att ränta, enligt 9 kap. 2 § studiestödslagen, togs ut på det återkrävda kapitalbeloppet fr.o.m. den 29 november t.o.m. den 31 december 1999 med 9 procent men att räntan sattes ned till 7,5 procent för tiden den 1–31 januari 2000. Kravet på ränta uppgick således till 5 kr per den 31 januari 2000. Ränta enligt lag skulle tillkomma efter detta datum. Vidare konstat</w:t>
      </w:r>
      <w:r w:rsidRPr="00896D4F">
        <w:t>erades att en expeditionsavgift om 100 kr hade påförts enligt 9 kap. 1 a § studiestöds</w:t>
      </w:r>
      <w:r w:rsidRPr="00896D4F">
        <w:softHyphen/>
        <w:t>förordningen.</w:t>
      </w:r>
    </w:p>
    <w:p w:rsidR="009C1C5A" w:rsidRPr="00896D4F" w:rsidRDefault="009C1C5A">
      <w:pPr>
        <w:pStyle w:val="Citatindrag"/>
      </w:pPr>
      <w:r w:rsidRPr="00896D4F">
        <w:t xml:space="preserve">I anledning av omprövningsbeslutet expedierades den 4 maj ett nytt beslut om återkrav. Återkrävt kapitalbelopp uppgick till 333 kr, ränta till 16 kr och expeditionsavgift till 100 kr.  </w:t>
      </w:r>
    </w:p>
    <w:p w:rsidR="009C1C5A" w:rsidRPr="00896D4F" w:rsidRDefault="009C1C5A">
      <w:pPr>
        <w:pStyle w:val="Citatindrag"/>
      </w:pPr>
      <w:r w:rsidRPr="00896D4F">
        <w:t>Kammarrätten i Sundsvall har i beslut den 22 maj 2000, mål nr 1379-2000, avvisat F.N:s ansökan om rättsprövning och inhibition av CSN:s beslut den 25 april 2000. Han har överklagat kam</w:t>
      </w:r>
      <w:r w:rsidRPr="00896D4F">
        <w:softHyphen/>
        <w:t>marrättens beslut till Regeringsrätten.</w:t>
      </w:r>
    </w:p>
    <w:p w:rsidR="009C1C5A" w:rsidRPr="00896D4F" w:rsidRDefault="009C1C5A">
      <w:pPr>
        <w:pStyle w:val="Citatindrag"/>
        <w:rPr>
          <w:b/>
          <w:i/>
        </w:rPr>
      </w:pPr>
      <w:r w:rsidRPr="00896D4F">
        <w:t>Den 9 juni 2000 expedierade CSN inbetalningskort till F.N. på 449 kr va</w:t>
      </w:r>
      <w:r w:rsidRPr="00896D4F">
        <w:t>r</w:t>
      </w:r>
      <w:r w:rsidRPr="00896D4F">
        <w:t>av 100 kr av</w:t>
      </w:r>
      <w:r w:rsidRPr="00896D4F">
        <w:softHyphen/>
        <w:t>såg expeditionsavgift, 16 kr ränta och 333 kr kapitalbelopp. Fö</w:t>
      </w:r>
      <w:r w:rsidRPr="00896D4F">
        <w:t>r</w:t>
      </w:r>
      <w:r w:rsidRPr="00896D4F">
        <w:t>fallodatum bestämdes till den 30 juni.</w:t>
      </w:r>
    </w:p>
    <w:p w:rsidR="009C1C5A" w:rsidRPr="00896D4F" w:rsidRDefault="009C1C5A">
      <w:pPr>
        <w:pStyle w:val="Rubrik4"/>
        <w:rPr>
          <w:sz w:val="19"/>
        </w:rPr>
      </w:pPr>
      <w:r w:rsidRPr="00896D4F">
        <w:rPr>
          <w:sz w:val="19"/>
        </w:rPr>
        <w:t>Omprövningsärende 2000-2379-19394</w:t>
      </w:r>
    </w:p>
    <w:p w:rsidR="009C1C5A" w:rsidRPr="00896D4F" w:rsidRDefault="009C1C5A">
      <w:pPr>
        <w:pStyle w:val="Citat"/>
        <w:rPr>
          <w:sz w:val="20"/>
        </w:rPr>
      </w:pPr>
      <w:r w:rsidRPr="00896D4F">
        <w:t>I en skrivelse som kom in till CSN den 21 juni 2000 begärde F.N. överprö</w:t>
      </w:r>
      <w:r w:rsidRPr="00896D4F">
        <w:t>v</w:t>
      </w:r>
      <w:r w:rsidRPr="00896D4F">
        <w:t>ning av CSN:s beslut den 9 juni. Han yrkade att inhibition skulle meddelas avseende räntekravet på 11 kr av de 16 kr som återkravet gäller samt att åte</w:t>
      </w:r>
      <w:r w:rsidRPr="00896D4F">
        <w:t>r</w:t>
      </w:r>
      <w:r w:rsidRPr="00896D4F">
        <w:t>kravsräntan skulle fastställas till 5 kr.</w:t>
      </w:r>
    </w:p>
    <w:p w:rsidR="009C1C5A" w:rsidRPr="00896D4F" w:rsidRDefault="009C1C5A">
      <w:pPr>
        <w:pStyle w:val="Citatindrag"/>
        <w:rPr>
          <w:sz w:val="20"/>
        </w:rPr>
      </w:pPr>
      <w:r w:rsidRPr="00896D4F">
        <w:t>Den 7 juli meddelade CSN F.N. brevledes att hans begäran om inhibition inte skulle prövas eftersom frågan var anhängiggjord i domstol samt att o</w:t>
      </w:r>
      <w:r w:rsidRPr="00896D4F">
        <w:t>m</w:t>
      </w:r>
      <w:r w:rsidRPr="00896D4F">
        <w:t>prövning av omprövningsbeslutet den 25 april inte skulle utföras innan R</w:t>
      </w:r>
      <w:r w:rsidRPr="00896D4F">
        <w:t>e</w:t>
      </w:r>
      <w:r w:rsidRPr="00896D4F">
        <w:t>geringsrätten hade avgjort hans överklagande av Kammar</w:t>
      </w:r>
      <w:r w:rsidRPr="00896D4F">
        <w:softHyphen/>
        <w:t>rättens i Sundsvall beslut den 22 maj 2000. Han expedierades ett inbetalningskort på summan 451 kr varav 18 kr utgjorde ränta, 100 kr expeditionsavgift och 333 kr kap</w:t>
      </w:r>
      <w:r w:rsidRPr="00896D4F">
        <w:t>i</w:t>
      </w:r>
      <w:r w:rsidRPr="00896D4F">
        <w:t>talbelopp.</w:t>
      </w:r>
    </w:p>
    <w:p w:rsidR="009C1C5A" w:rsidRPr="00896D4F" w:rsidRDefault="009C1C5A">
      <w:pPr>
        <w:pStyle w:val="Citatindrag"/>
      </w:pPr>
      <w:r w:rsidRPr="00896D4F">
        <w:t>Den 9 juli inkom ett e-postmeddelande från F.N. i vilket han undrade om inhibition med</w:t>
      </w:r>
      <w:r w:rsidRPr="00896D4F">
        <w:softHyphen/>
        <w:t>delats i enlighet med hans begäran därom. – I ett e-post</w:t>
      </w:r>
      <w:r w:rsidRPr="00896D4F">
        <w:softHyphen/>
        <w:t>meddelande inkommet den 20 juli undrade F.N. varför han fått en betalning</w:t>
      </w:r>
      <w:r w:rsidRPr="00896D4F">
        <w:t>s</w:t>
      </w:r>
      <w:r w:rsidRPr="00896D4F">
        <w:t>påminnelse på återkravet med tillhörande räntekrav när han fått uppfattningen att några sådana åtgärder inte skulle vidtas i avvaktan på Regeringsrättens avgörande.</w:t>
      </w:r>
    </w:p>
    <w:p w:rsidR="009C1C5A" w:rsidRPr="00896D4F" w:rsidRDefault="009C1C5A">
      <w:pPr>
        <w:pStyle w:val="Citatindrag"/>
      </w:pPr>
      <w:r w:rsidRPr="00896D4F">
        <w:t>CSN meddelade F.N. brevledes den 17 augusti 2000 sammanfattat följa</w:t>
      </w:r>
      <w:r w:rsidRPr="00896D4F">
        <w:t>n</w:t>
      </w:r>
      <w:r w:rsidRPr="00896D4F">
        <w:t>de: Beslutet om återkrav förlorar inte sin giltighet under den tid talan är a</w:t>
      </w:r>
      <w:r w:rsidRPr="00896D4F">
        <w:t>n</w:t>
      </w:r>
      <w:r w:rsidRPr="00896D4F">
        <w:t>hängig i Regeringsrätten och att lagstad</w:t>
      </w:r>
      <w:r w:rsidRPr="00896D4F">
        <w:softHyphen/>
        <w:t>gad ränta således löper på återkrävt belopp i enlighet med beslutet den 25 april. De automatiska utskicken av inbetalningskort har fortsatt för att bereda möjlighet till inbetalning och dä</w:t>
      </w:r>
      <w:r w:rsidRPr="00896D4F">
        <w:t>r</w:t>
      </w:r>
      <w:r w:rsidRPr="00896D4F">
        <w:t>igenom undvika påförande av ytterligare ränta i väntan på Regeringsrättens ställnings</w:t>
      </w:r>
      <w:r w:rsidRPr="00896D4F">
        <w:softHyphen/>
        <w:t>tagande. Eventuella inbetalningar på återkravet kommer att återb</w:t>
      </w:r>
      <w:r w:rsidRPr="00896D4F">
        <w:t>e</w:t>
      </w:r>
      <w:r w:rsidRPr="00896D4F">
        <w:t>talas för det fall CSN förlorar processen om åter</w:t>
      </w:r>
      <w:r w:rsidRPr="00896D4F">
        <w:softHyphen/>
        <w:t>kr</w:t>
      </w:r>
      <w:r w:rsidRPr="00896D4F">
        <w:t>avet. Utskick av nya inb</w:t>
      </w:r>
      <w:r w:rsidRPr="00896D4F">
        <w:t>e</w:t>
      </w:r>
      <w:r w:rsidRPr="00896D4F">
        <w:t>talningskort har stoppats, enligt önskemål, men ränta löper ändå på det åte</w:t>
      </w:r>
      <w:r w:rsidRPr="00896D4F">
        <w:t>r</w:t>
      </w:r>
      <w:r w:rsidRPr="00896D4F">
        <w:t>krävda beloppet. Innan Regeringsrätten prövat överklagandet kommer vare sig beslutet den 25 april 2000 att omprövas eller inhibitionsyrkandet att pr</w:t>
      </w:r>
      <w:r w:rsidRPr="00896D4F">
        <w:t>ö</w:t>
      </w:r>
      <w:r w:rsidRPr="00896D4F">
        <w:t>vas.</w:t>
      </w:r>
    </w:p>
    <w:p w:rsidR="009C1C5A" w:rsidRPr="00896D4F" w:rsidRDefault="009C1C5A">
      <w:pPr>
        <w:pStyle w:val="Citat"/>
        <w:rPr>
          <w:i/>
        </w:rPr>
      </w:pPr>
      <w:r w:rsidRPr="00896D4F">
        <w:rPr>
          <w:i/>
        </w:rPr>
        <w:t>E-postmeddelande</w:t>
      </w:r>
    </w:p>
    <w:p w:rsidR="009C1C5A" w:rsidRPr="00896D4F" w:rsidRDefault="009C1C5A">
      <w:pPr>
        <w:pStyle w:val="Citat"/>
        <w:rPr>
          <w:sz w:val="20"/>
        </w:rPr>
      </w:pPr>
      <w:r w:rsidRPr="00896D4F">
        <w:t>Bilagt översänds dokumentationen av e-postmeddelandet från F.N. skickat den 16 april 2000 och CSN:s svar den 17 april (ej bifogad här, JO:s anm.). Meddelandet har sparats i CSN:s e-postregister samt med tillhörande svar i ärendet 2000-2371-2631.</w:t>
      </w:r>
    </w:p>
    <w:p w:rsidR="009C1C5A" w:rsidRPr="00896D4F" w:rsidRDefault="009C1C5A">
      <w:pPr>
        <w:pStyle w:val="Citatindrag"/>
      </w:pPr>
      <w:r w:rsidRPr="00896D4F">
        <w:t xml:space="preserve">Avslutningsvis väljer CSN att besvara de numrerade frågor F.N. ställer i sin skrivelse till JO i den ordning de där framställs. </w:t>
      </w:r>
    </w:p>
    <w:p w:rsidR="009C1C5A" w:rsidRPr="00896D4F" w:rsidRDefault="009C1C5A">
      <w:pPr>
        <w:pStyle w:val="Citat"/>
        <w:rPr>
          <w:sz w:val="20"/>
        </w:rPr>
      </w:pPr>
      <w:r w:rsidRPr="00896D4F">
        <w:t>1. När F.N. anmälde att hans inkomst överstigit fribeloppet konstaterades att studie</w:t>
      </w:r>
      <w:r w:rsidRPr="00896D4F">
        <w:softHyphen/>
        <w:t>medel hade betalats ut till honom med för högt belopp. Eftersom besl</w:t>
      </w:r>
      <w:r w:rsidRPr="00896D4F">
        <w:t>u</w:t>
      </w:r>
      <w:r w:rsidRPr="00896D4F">
        <w:t>tet att bevilja honom studie</w:t>
      </w:r>
      <w:r w:rsidRPr="00896D4F">
        <w:softHyphen/>
        <w:t>medel inte kunde omprövas med stöd av 4 kap. 28 § studiestödsförordningen och ändringen verk</w:t>
      </w:r>
      <w:r w:rsidRPr="00896D4F">
        <w:softHyphen/>
        <w:t>ställas genom avdrag på studiemedel som betalas ut under samma kalenderhalvår återstod för CSN endast att fatta beslut om återkrav enligt 9 kap. 2 § studiestödslagen. Återkrav av studiemedel skall, enligt det senare lagrummet, ske med ränta som berä</w:t>
      </w:r>
      <w:r w:rsidRPr="00896D4F">
        <w:t>k</w:t>
      </w:r>
      <w:r w:rsidRPr="00896D4F">
        <w:t>nas från den dag när medlen tagits emot efter en räntesats som vid var</w:t>
      </w:r>
      <w:r w:rsidRPr="00896D4F">
        <w:t>je ti</w:t>
      </w:r>
      <w:r w:rsidRPr="00896D4F">
        <w:t>d</w:t>
      </w:r>
      <w:r w:rsidRPr="00896D4F">
        <w:t>punkt med två procentenheter överstiger statens utlånings</w:t>
      </w:r>
      <w:r w:rsidRPr="00896D4F">
        <w:softHyphen/>
        <w:t>ränta. – Det kan således förenklat sägas att F.N. i den stund studiemedel hade betalats ut till honom med för högt belopp ådrog sig en återkravsskuld vilken också löpte med ränta från denna tidpunkt.</w:t>
      </w:r>
    </w:p>
    <w:p w:rsidR="009C1C5A" w:rsidRPr="00896D4F" w:rsidRDefault="009C1C5A">
      <w:pPr>
        <w:pStyle w:val="Citat"/>
        <w:rPr>
          <w:sz w:val="20"/>
        </w:rPr>
      </w:pPr>
      <w:r w:rsidRPr="00896D4F">
        <w:t xml:space="preserve">2. I beslutet den 3 december 1999 underrättades F.N. om att han hade fått studiemedel för höstterminen utbetalat med ett för högt belopp och att ett särskilt beslut om återkrav kommer att tillställas honom. Den 14 december expedierades beslutet om </w:t>
      </w:r>
      <w:r w:rsidRPr="00896D4F">
        <w:t>återkrav till F.N. Återkrävt belopp uppgick till 338 kr varav 333 kr avsåg kapital och 5 kr ränta. Förfallodag var den 31 jan</w:t>
      </w:r>
      <w:r w:rsidRPr="00896D4F">
        <w:t>u</w:t>
      </w:r>
      <w:r w:rsidRPr="00896D4F">
        <w:t>ari 2000. Inbetalningsavi med förtryckta uppgifter enligt beslutet om återkrav sändes ut till honom. – Enligt CSN:s uppfattning har F.N. inte förvägrats någon möjlighet att åter</w:t>
      </w:r>
      <w:r w:rsidRPr="00896D4F">
        <w:softHyphen/>
        <w:t>betala åter</w:t>
      </w:r>
      <w:r w:rsidRPr="00896D4F">
        <w:softHyphen/>
        <w:t>kravet. En förtryckt avi för inbetalning av återkrävt belopp tillställdes honom elva dagar efter att han underrättats om att studiemedel hade betalats ut med för högt belopp. Han har också under d</w:t>
      </w:r>
      <w:r w:rsidRPr="00896D4F">
        <w:t>en tid som gick från det att underrättelsen skedde haft möjlighet att själv ko</w:t>
      </w:r>
      <w:r w:rsidRPr="00896D4F">
        <w:t>n</w:t>
      </w:r>
      <w:r w:rsidRPr="00896D4F">
        <w:t>takta CSN för att få en uppgift om belopp inklusive ränta som skall återbet</w:t>
      </w:r>
      <w:r w:rsidRPr="00896D4F">
        <w:t>a</w:t>
      </w:r>
      <w:r w:rsidRPr="00896D4F">
        <w:t>las samt aktuellt kontonummer för betalningen. – Det kan tilläggas att CSN:s handläggare numera rekommenderas att i beslut om ändring av beviljade studie</w:t>
      </w:r>
      <w:r w:rsidRPr="00896D4F">
        <w:softHyphen/>
        <w:t>medel även ange eventuellt belopp som betalats för mycket samt att beloppet kan betalas på angivet kontonummer och således inte bara att ett särskilt beslut om åter</w:t>
      </w:r>
      <w:r w:rsidRPr="00896D4F">
        <w:softHyphen/>
        <w:t>krav kommer att expedieras.</w:t>
      </w:r>
    </w:p>
    <w:p w:rsidR="009C1C5A" w:rsidRPr="00896D4F" w:rsidRDefault="009C1C5A">
      <w:pPr>
        <w:pStyle w:val="Citat"/>
        <w:rPr>
          <w:sz w:val="20"/>
        </w:rPr>
      </w:pPr>
      <w:r w:rsidRPr="00896D4F">
        <w:t>3. Efterso</w:t>
      </w:r>
      <w:r w:rsidRPr="00896D4F">
        <w:t>m F.N:s studiemedel för höstterminen 1999 hade betalats ut i sin helhet och det som hade betalats ut för mycket för denna period författning</w:t>
      </w:r>
      <w:r w:rsidRPr="00896D4F">
        <w:t>s</w:t>
      </w:r>
      <w:r w:rsidRPr="00896D4F">
        <w:t>enligt inte kunde avräknas mot studie</w:t>
      </w:r>
      <w:r w:rsidRPr="00896D4F">
        <w:softHyphen/>
        <w:t>medel avseende vårterminen 2000 åte</w:t>
      </w:r>
      <w:r w:rsidRPr="00896D4F">
        <w:t>r</w:t>
      </w:r>
      <w:r w:rsidRPr="00896D4F">
        <w:t>stod för CSN endast att besluta om återkrav av det för mycket utbetalade beloppet. Att expeditionsavgift tillkommer återkravet framgår av 9 kap. 2 § studiestöds</w:t>
      </w:r>
      <w:r w:rsidRPr="00896D4F">
        <w:softHyphen/>
        <w:t>lagen och 9 kap. 1a § studiestödsföror</w:t>
      </w:r>
      <w:r w:rsidRPr="00896D4F">
        <w:t>d</w:t>
      </w:r>
      <w:r w:rsidRPr="00896D4F">
        <w:t xml:space="preserve">ningen. </w:t>
      </w:r>
    </w:p>
    <w:p w:rsidR="009C1C5A" w:rsidRPr="00896D4F" w:rsidRDefault="009C1C5A">
      <w:pPr>
        <w:pStyle w:val="Citat"/>
        <w:rPr>
          <w:sz w:val="20"/>
        </w:rPr>
      </w:pPr>
      <w:r w:rsidRPr="00896D4F">
        <w:t>4. CSN har inte inhiberat något återbetalningskrav på 333 kr. F.N. har när som helst kun</w:t>
      </w:r>
      <w:r w:rsidRPr="00896D4F">
        <w:t xml:space="preserve">nat betala in beloppet på CSN:s konto för återkrav. </w:t>
      </w:r>
    </w:p>
    <w:p w:rsidR="009C1C5A" w:rsidRPr="00896D4F" w:rsidRDefault="009C1C5A">
      <w:pPr>
        <w:pStyle w:val="Citat"/>
        <w:rPr>
          <w:sz w:val="20"/>
        </w:rPr>
      </w:pPr>
      <w:r w:rsidRPr="00896D4F">
        <w:t>5. F.N:s begäran om omprövning av beslutet den 15 december 1999 kom in till CSN den 10 januari 2000. I underrättelsen till honom om att ärendet överlämnats till CSN:s huvudkontor för omprövning uppgavs bl.a. att ”Den genomsnittliga handläggningstiden på CSN:s huvudkontor för ärenden om återkrav av studiemedel är f.n. ca två månader.” Den 25 april 2000 meddelade CSN:s huvudkontor omprövningsbeslutet, ärendenummer 2000-2371-2631. – Handläggningstiden för om</w:t>
      </w:r>
      <w:r w:rsidRPr="00896D4F">
        <w:softHyphen/>
        <w:t>pröv</w:t>
      </w:r>
      <w:r w:rsidRPr="00896D4F">
        <w:softHyphen/>
        <w:t>ningsärendet har visserligen överstigit den i underrättelsen angivna genomsnittliga och vid den tidpunkten gällande tiden. Det kan emellertid inte anses vara på något sätt anmärkningsvärt att han</w:t>
      </w:r>
      <w:r w:rsidRPr="00896D4F">
        <w:t>d</w:t>
      </w:r>
      <w:r w:rsidRPr="00896D4F">
        <w:t xml:space="preserve">läggningstiden för en omprövning av ett tidigare beslut uppgår till ca 3,5 månader. </w:t>
      </w:r>
    </w:p>
    <w:p w:rsidR="009C1C5A" w:rsidRPr="00896D4F" w:rsidRDefault="009C1C5A">
      <w:pPr>
        <w:pStyle w:val="Citat"/>
        <w:rPr>
          <w:sz w:val="20"/>
        </w:rPr>
      </w:pPr>
      <w:r w:rsidRPr="00896D4F">
        <w:t>6. CSN har inte verkställt någon återbetalning till F.N. i anledning av huvu</w:t>
      </w:r>
      <w:r w:rsidRPr="00896D4F">
        <w:t>d</w:t>
      </w:r>
      <w:r w:rsidRPr="00896D4F">
        <w:t>kontorets beslut om avslag av hans begäran om omprövning. – Kanhända syftar F.N. med frågan på det faktum att ett nytt inbetalningskort på det åte</w:t>
      </w:r>
      <w:r w:rsidRPr="00896D4F">
        <w:t>r</w:t>
      </w:r>
      <w:r w:rsidRPr="00896D4F">
        <w:t>krävda beloppet efter beslutet 25 april 2000 kom att få förfallo</w:t>
      </w:r>
      <w:r w:rsidRPr="00896D4F">
        <w:softHyphen/>
        <w:t>datum den 30 juni. Till grund för expedieringen av inbetalningskortet låg den tekniska verk</w:t>
      </w:r>
      <w:r w:rsidRPr="00896D4F">
        <w:softHyphen/>
        <w:t>ställig</w:t>
      </w:r>
      <w:r w:rsidRPr="00896D4F">
        <w:softHyphen/>
        <w:t>heten av beslutet vilken skedde den 4 maj och att förfallodatum bestämdes till den 30 juni kan ha sin grund i att handläggaren ansåg det ri</w:t>
      </w:r>
      <w:r w:rsidRPr="00896D4F">
        <w:t>m</w:t>
      </w:r>
      <w:r w:rsidRPr="00896D4F">
        <w:t>ligt med den betalningsfristen. Natu</w:t>
      </w:r>
      <w:r w:rsidRPr="00896D4F">
        <w:softHyphen/>
        <w:t>rlig</w:t>
      </w:r>
      <w:r w:rsidRPr="00896D4F">
        <w:softHyphen/>
        <w:t xml:space="preserve">tvis fanns också </w:t>
      </w:r>
      <w:r w:rsidRPr="00896D4F">
        <w:t>i detta fallet en mö</w:t>
      </w:r>
      <w:r w:rsidRPr="00896D4F">
        <w:t>j</w:t>
      </w:r>
      <w:r w:rsidRPr="00896D4F">
        <w:t>lighet för F.N. att begära att få en tidigare för</w:t>
      </w:r>
      <w:r w:rsidRPr="00896D4F">
        <w:softHyphen/>
        <w:t>fallo</w:t>
      </w:r>
      <w:r w:rsidRPr="00896D4F">
        <w:softHyphen/>
        <w:t>dag för det återkrävda b</w:t>
      </w:r>
      <w:r w:rsidRPr="00896D4F">
        <w:t>e</w:t>
      </w:r>
      <w:r w:rsidRPr="00896D4F">
        <w:t>loppet eller en plan för återbetalningen av detsa</w:t>
      </w:r>
      <w:r w:rsidRPr="00896D4F">
        <w:t>m</w:t>
      </w:r>
      <w:r w:rsidRPr="00896D4F">
        <w:t xml:space="preserve">ma. </w:t>
      </w:r>
    </w:p>
    <w:p w:rsidR="009C1C5A" w:rsidRPr="00896D4F" w:rsidRDefault="009C1C5A">
      <w:pPr>
        <w:pStyle w:val="Citat"/>
        <w:rPr>
          <w:sz w:val="20"/>
        </w:rPr>
      </w:pPr>
      <w:r w:rsidRPr="00896D4F">
        <w:t>7. CSN:s beslut att ompröva beslutet av återkrav följer av bestämmelsen i 9 kap. 2 § studie</w:t>
      </w:r>
      <w:r w:rsidRPr="00896D4F">
        <w:softHyphen/>
        <w:t>stöds</w:t>
      </w:r>
      <w:r w:rsidRPr="00896D4F">
        <w:softHyphen/>
        <w:t>förord</w:t>
      </w:r>
      <w:r w:rsidRPr="00896D4F">
        <w:softHyphen/>
        <w:t>ningen. Eftersom F.N. för talan mot beslutet om återkrav i förvalt</w:t>
      </w:r>
      <w:r w:rsidRPr="00896D4F">
        <w:softHyphen/>
        <w:t>nings</w:t>
      </w:r>
      <w:r w:rsidRPr="00896D4F">
        <w:softHyphen/>
        <w:t>domstol och då han egentligen inte framfört några nya omständigheter till stöd för sin begäran om förnyad ompröv</w:t>
      </w:r>
      <w:r w:rsidRPr="00896D4F">
        <w:softHyphen/>
        <w:t>ning har CSN funnit det lämpligt att avvakta Regeringsrättens bedömning i ärendet innan den för</w:t>
      </w:r>
      <w:r w:rsidRPr="00896D4F">
        <w:softHyphen/>
        <w:t>nyade omprövningen äger rum. Vad gäller frågan om att verkställa kravet vill CSN påpeka att myndig</w:t>
      </w:r>
      <w:r w:rsidRPr="00896D4F">
        <w:softHyphen/>
        <w:t>hetens beslut om återkrav inte utgör någon exekutionstitel. – Den ”verkställig</w:t>
      </w:r>
      <w:r w:rsidRPr="00896D4F">
        <w:softHyphen/>
        <w:t>het” av åter</w:t>
      </w:r>
      <w:r w:rsidRPr="00896D4F">
        <w:softHyphen/>
        <w:t>betalningskravet som sket</w:t>
      </w:r>
      <w:r w:rsidRPr="00896D4F">
        <w:t>t från CSN:s sida har bestått i att fyra inbetal</w:t>
      </w:r>
      <w:r w:rsidRPr="00896D4F">
        <w:softHyphen/>
        <w:t>nings</w:t>
      </w:r>
      <w:r w:rsidRPr="00896D4F">
        <w:softHyphen/>
        <w:t>kort sänts ut. De två första var knutna till beslutet om återkrav respektive omprövnings</w:t>
      </w:r>
      <w:r w:rsidRPr="00896D4F">
        <w:softHyphen/>
        <w:t>beslutet. De övriga var påminnelser till följd av omprövningsbeslutet. Den första påminnelsen hade förfallodatum den 31 juli och förfallo</w:t>
      </w:r>
      <w:r w:rsidRPr="00896D4F">
        <w:softHyphen/>
        <w:t>datum flyttades till den 31 augusti efter att F.N. den 20 juli hört av sig till CSN. Den andra avin, med förfall</w:t>
      </w:r>
      <w:r w:rsidRPr="00896D4F">
        <w:t>o</w:t>
      </w:r>
      <w:r w:rsidRPr="00896D4F">
        <w:t>datum den 31 augusti, annullerades efter att F.N. ånyo hört av sig och han fick då besk</w:t>
      </w:r>
      <w:r w:rsidRPr="00896D4F">
        <w:t>e</w:t>
      </w:r>
      <w:r w:rsidRPr="00896D4F">
        <w:t>det att nya utskick av inbeta</w:t>
      </w:r>
      <w:r w:rsidRPr="00896D4F">
        <w:t xml:space="preserve">lningskort inte skulle ske. </w:t>
      </w:r>
    </w:p>
    <w:p w:rsidR="009C1C5A" w:rsidRPr="00896D4F" w:rsidRDefault="009C1C5A">
      <w:pPr>
        <w:pStyle w:val="Citat"/>
        <w:rPr>
          <w:sz w:val="20"/>
        </w:rPr>
      </w:pPr>
      <w:r w:rsidRPr="00896D4F">
        <w:t>8. CSN:s kontakt med Regeringsrätten den 6 juli 2000 skedde i anledning av att F.N. yrkade inhibition av CSN:s beslut och syftet var att få veta när R</w:t>
      </w:r>
      <w:r w:rsidRPr="00896D4F">
        <w:t>e</w:t>
      </w:r>
      <w:r w:rsidRPr="00896D4F">
        <w:t>geringsrätten skulle pröva hans över</w:t>
      </w:r>
      <w:r w:rsidRPr="00896D4F">
        <w:softHyphen/>
        <w:t>klagande. Margareta Larsson vid Rege</w:t>
      </w:r>
      <w:r w:rsidRPr="00896D4F">
        <w:t>r</w:t>
      </w:r>
      <w:r w:rsidRPr="00896D4F">
        <w:t>ingsrätten meddelade att hon inte kunde säga när målet skulle tas upp till prövning. I brev samma dag underrättades F.N. om bl.a. att hans ärende låg hos Regeringsrätten.</w:t>
      </w:r>
    </w:p>
    <w:p w:rsidR="009C1C5A" w:rsidRPr="00896D4F" w:rsidRDefault="009C1C5A">
      <w:pPr>
        <w:pStyle w:val="Citat"/>
      </w:pPr>
      <w:r w:rsidRPr="00896D4F">
        <w:t>9. I skrivelsen som kom in till CSN den 10 januari yrkade F.N. bl.a. att hans åter</w:t>
      </w:r>
      <w:r w:rsidRPr="00896D4F">
        <w:softHyphen/>
        <w:t>betalnings</w:t>
      </w:r>
      <w:r w:rsidRPr="00896D4F">
        <w:softHyphen/>
        <w:t>skyldighet skulle fastställas till 333 kr samt att skyldigheten att betala ränta och expeditionsavgift skulle avskrivas. I en skrivelse som kom in den 14 januari yrkade han inhibition av kravet på ränta och expeditionsavgift. – Eftersom ränta på för mycket utbetalade studiemedel, enligt studiestödsl</w:t>
      </w:r>
      <w:r w:rsidRPr="00896D4F">
        <w:t>a</w:t>
      </w:r>
      <w:r w:rsidRPr="00896D4F">
        <w:t xml:space="preserve">gen, skall tas ut från den dag när medlen togs emot är besluten som lett till expediering av inbetalningskort till F.N. inte felaktiga såvitt gäller påförd ränta. Ränta skall således påföras oavsett </w:t>
      </w:r>
      <w:r w:rsidRPr="00896D4F">
        <w:t>utgången av hans begäran om inh</w:t>
      </w:r>
      <w:r w:rsidRPr="00896D4F">
        <w:t>i</w:t>
      </w:r>
      <w:r w:rsidRPr="00896D4F">
        <w:t xml:space="preserve">bition om beslutet om återkrav står fast.    </w:t>
      </w:r>
    </w:p>
    <w:p w:rsidR="009C1C5A" w:rsidRPr="00896D4F" w:rsidRDefault="009C1C5A">
      <w:r w:rsidRPr="00896D4F">
        <w:t xml:space="preserve">F.N. yttrade sig över remissvaret. </w:t>
      </w:r>
    </w:p>
    <w:p w:rsidR="009C1C5A" w:rsidRPr="00896D4F" w:rsidRDefault="009C1C5A">
      <w:r w:rsidRPr="00896D4F">
        <w:t>Föredraganden inhämtade att Regeringsrätten den 19 april 2001 beslutat att inte meddela F.N. prövningstillstånd i det från Kammarrätten i Sundsvall  överklagade målet om rätts</w:t>
      </w:r>
      <w:r w:rsidRPr="00896D4F">
        <w:softHyphen/>
        <w:t xml:space="preserve">prövning (Regeringsrättens mål nr 3761-2000). </w:t>
      </w:r>
    </w:p>
    <w:p w:rsidR="009C1C5A" w:rsidRPr="00896D4F" w:rsidRDefault="009C1C5A">
      <w:r w:rsidRPr="00896D4F">
        <w:t>Slutligen inhämtades kompletterande upplysningar från verksjuristen Ari Hellberg, handläggare av CSN:s ärende 2000-2379-19394.</w:t>
      </w:r>
    </w:p>
    <w:p w:rsidR="009C1C5A" w:rsidRPr="00896D4F" w:rsidRDefault="009C1C5A">
      <w:r w:rsidRPr="00896D4F">
        <w:t xml:space="preserve">I beslut den 25 februari 2002 anförde </w:t>
      </w:r>
      <w:r w:rsidRPr="00896D4F">
        <w:rPr>
          <w:i/>
        </w:rPr>
        <w:t>JO André</w:t>
      </w:r>
      <w:r w:rsidRPr="00896D4F">
        <w:t xml:space="preserve"> följande.</w:t>
      </w:r>
    </w:p>
    <w:p w:rsidR="009C1C5A" w:rsidRPr="00896D4F" w:rsidRDefault="009C1C5A">
      <w:pPr>
        <w:pStyle w:val="Rubrik3"/>
      </w:pPr>
      <w:r w:rsidRPr="00896D4F">
        <w:t>Bedömning</w:t>
      </w:r>
    </w:p>
    <w:p w:rsidR="009C1C5A" w:rsidRPr="00896D4F" w:rsidRDefault="009C1C5A">
      <w:r w:rsidRPr="00896D4F">
        <w:t>CSN har redogjort för handläggningen mot bakgrund av den lagstift</w:t>
      </w:r>
      <w:r w:rsidRPr="00896D4F">
        <w:softHyphen/>
        <w:t>ning som var aktuell under den ifrågavarande tidsperioden och har därvid i huvudsak bemött F.N:s klagomål och frågor. Jag kan i allt väsentligt ansluta mig till vad CSN har anfört och finner inte anledning att, utom i ett par avseenden, anlä</w:t>
      </w:r>
      <w:r w:rsidRPr="00896D4F">
        <w:t>g</w:t>
      </w:r>
      <w:r w:rsidRPr="00896D4F">
        <w:t>ga några synpunkter på handläggningen. Det som jag vill ta upp särskilt rör CSN:s besked till F.N. om att omprövnings</w:t>
      </w:r>
      <w:r w:rsidRPr="00896D4F">
        <w:softHyphen/>
        <w:t>ärendet (2000-2379-19394) inte skulle komma att avgöras förrän Regerings</w:t>
      </w:r>
      <w:r w:rsidRPr="00896D4F">
        <w:softHyphen/>
        <w:t>rätten hade avgjort sitt mål och handläggningen av de fram</w:t>
      </w:r>
      <w:r w:rsidRPr="00896D4F">
        <w:softHyphen/>
        <w:t>ställda inhibitions</w:t>
      </w:r>
      <w:r w:rsidRPr="00896D4F">
        <w:softHyphen/>
        <w:t xml:space="preserve">yrkandena. </w:t>
      </w:r>
    </w:p>
    <w:p w:rsidR="009C1C5A" w:rsidRPr="00896D4F" w:rsidRDefault="009C1C5A">
      <w:pPr>
        <w:pStyle w:val="Normaltindrag"/>
      </w:pPr>
      <w:r w:rsidRPr="00896D4F">
        <w:t>Den första frågan som jag behandlar i det följande är således om det var riktigt av CSN att inte fatta beslut med hänvisning till den pågående do</w:t>
      </w:r>
      <w:r w:rsidRPr="00896D4F">
        <w:t>m</w:t>
      </w:r>
      <w:r w:rsidRPr="00896D4F">
        <w:t>stolsprocessen.</w:t>
      </w:r>
    </w:p>
    <w:p w:rsidR="009C1C5A" w:rsidRPr="00896D4F" w:rsidRDefault="009C1C5A">
      <w:pPr>
        <w:pStyle w:val="Normaltindrag"/>
      </w:pPr>
      <w:r w:rsidRPr="00896D4F">
        <w:t>Av 27 § förvaltningslagen (1986:223) följer att en myndighet under vissa förutsätt</w:t>
      </w:r>
      <w:r w:rsidRPr="00896D4F">
        <w:softHyphen/>
        <w:t>ningar skall ompröva ett beslut. Skyldigheten att ompröva ett beslut föreligger emel</w:t>
      </w:r>
      <w:r w:rsidRPr="00896D4F">
        <w:softHyphen/>
        <w:t>lertid inte om beslutet har överklagats och myndigheten öve</w:t>
      </w:r>
      <w:r w:rsidRPr="00896D4F">
        <w:t>r</w:t>
      </w:r>
      <w:r w:rsidRPr="00896D4F">
        <w:t>lämnat hand</w:t>
      </w:r>
      <w:r w:rsidRPr="00896D4F">
        <w:softHyphen/>
        <w:t>lingarna till den högre instansen. Bestämmelsen innebär inte något hinder för en myndighet att ompröva ett beslut också i andra fall än då den är skyldig att göra det enligt förvalt</w:t>
      </w:r>
      <w:r w:rsidRPr="00896D4F">
        <w:softHyphen/>
        <w:t>ningslagen. I förvaltningslagen anges sålunda inte uttömmande i vilka fall en myndighet får ändra ett redan fattat beslut. När det gäller CSN finns det särskilda bestämmels</w:t>
      </w:r>
      <w:r w:rsidRPr="00896D4F">
        <w:t>er om omprövning i 9 kap. 2 § studiestödsförordningen (1973:418). Av dessa följer att ett beslut om studiestöd i ett ärende enligt studiestödslagen eller studie</w:t>
      </w:r>
      <w:r w:rsidRPr="00896D4F">
        <w:softHyphen/>
        <w:t>stöds</w:t>
      </w:r>
      <w:r w:rsidRPr="00896D4F">
        <w:softHyphen/>
        <w:t>förordningen som meddelats av CSN och som inte kan öve</w:t>
      </w:r>
      <w:r w:rsidRPr="00896D4F">
        <w:t>r</w:t>
      </w:r>
      <w:r w:rsidRPr="00896D4F">
        <w:t>klagas skall om</w:t>
      </w:r>
      <w:r w:rsidRPr="00896D4F">
        <w:softHyphen/>
        <w:t>prövas av CSN, om den som beslutet angår skriftligen begär det. Vid ompröv</w:t>
      </w:r>
      <w:r w:rsidRPr="00896D4F">
        <w:softHyphen/>
        <w:t>ningen får be</w:t>
      </w:r>
      <w:r w:rsidRPr="00896D4F">
        <w:softHyphen/>
        <w:t>slutet inte ändras till nackdel för den som begärt ompröv</w:t>
      </w:r>
      <w:r w:rsidRPr="00896D4F">
        <w:softHyphen/>
        <w:t xml:space="preserve">ningen. </w:t>
      </w:r>
    </w:p>
    <w:p w:rsidR="009C1C5A" w:rsidRPr="00896D4F" w:rsidRDefault="009C1C5A">
      <w:pPr>
        <w:pStyle w:val="Normaltindrag"/>
      </w:pPr>
      <w:r w:rsidRPr="00896D4F">
        <w:t>Enligt 7 § förvaltningslagen skall varje ärende där någon är part handläg</w:t>
      </w:r>
      <w:r w:rsidRPr="00896D4F">
        <w:t>g</w:t>
      </w:r>
      <w:r w:rsidRPr="00896D4F">
        <w:t>as så enkelt, snabbt och billigt som möjligt utan att säkerheten eftersätts. En myndighet bör följaktligen inte avvakta med att avgöra ett ärende om en s</w:t>
      </w:r>
      <w:r w:rsidRPr="00896D4F">
        <w:t>å</w:t>
      </w:r>
      <w:r w:rsidRPr="00896D4F">
        <w:t>dan åtgärd inte är befogad i det enskilda fallet. CSN har anfört att det befanns lämpligt att avvakta Regeringsrättens bedömning innan den förnyade o</w:t>
      </w:r>
      <w:r w:rsidRPr="00896D4F">
        <w:t>m</w:t>
      </w:r>
      <w:r w:rsidRPr="00896D4F">
        <w:t>prövningen ägde rum (i ärendet 2000-2379-19394). CSN har därvid hänvisat till att F.N. hade fört talan mot återkravet i allmän förvaltningsdomstol och att han egentligen inte hade framfört några nya omständi</w:t>
      </w:r>
      <w:r w:rsidRPr="00896D4F">
        <w:t>gheter i sin begäran om för</w:t>
      </w:r>
      <w:r w:rsidRPr="00896D4F">
        <w:softHyphen/>
        <w:t>nyad omprövning. För att ta ställning till om det var befogat att låta ärendet vila i avvaktan på domstolarnas avgörande måste först undersökas vilken form av prövning som var aktuell hos dom</w:t>
      </w:r>
      <w:r w:rsidRPr="00896D4F">
        <w:softHyphen/>
        <w:t>stolarna.</w:t>
      </w:r>
    </w:p>
    <w:p w:rsidR="009C1C5A" w:rsidRPr="00896D4F" w:rsidRDefault="009C1C5A">
      <w:pPr>
        <w:pStyle w:val="Normaltindrag"/>
      </w:pPr>
      <w:r w:rsidRPr="00896D4F">
        <w:t>Den talan som F.N. förde mot CSN:s omprövningsbeslut den 25 april 2000 (CSN:s ärende 2000-2371-2631) var en ansökan om rättsprövning. Enligt 1 § lagen (1988:205) om rättsprövning av vissa förvaltningsbeslut skall domstol, på ansökan av en enskild part i vissa förvaltningsärenden, p</w:t>
      </w:r>
      <w:r w:rsidRPr="00896D4F">
        <w:t>röva om avgöra</w:t>
      </w:r>
      <w:r w:rsidRPr="00896D4F">
        <w:t>n</w:t>
      </w:r>
      <w:r w:rsidRPr="00896D4F">
        <w:t>det i ärendet strider mot någon rättsregel på det sätt som sökanden angivit eller som i övrigt klart framgår av omständigheterna i ärendet. Av 4 § följer att ett förvaltnings</w:t>
      </w:r>
      <w:r w:rsidRPr="00896D4F">
        <w:softHyphen/>
        <w:t>beslut skall gälla trots att rättsprövning kan ske. Domstolen får dock, enligt samma paragraf, bestämma att beslutet tills vidare inte skall gälla. Om domstolen finner att förvaltningsbeslutet strider mot någon rättsr</w:t>
      </w:r>
      <w:r w:rsidRPr="00896D4F">
        <w:t>e</w:t>
      </w:r>
      <w:r w:rsidRPr="00896D4F">
        <w:t>gel och det inte är uppenbart att felet saknat betydelse för avgörandet, skall domstolen – enligt 5 § sa</w:t>
      </w:r>
      <w:r w:rsidRPr="00896D4F">
        <w:t xml:space="preserve">mma lag – upphäva beslutet och, om det behövs, återförvisa ärendet till den myndighet som meddelat beslutet. I annat fall står beslutet fast. </w:t>
      </w:r>
    </w:p>
    <w:p w:rsidR="009C1C5A" w:rsidRPr="00896D4F" w:rsidRDefault="009C1C5A">
      <w:pPr>
        <w:pStyle w:val="Normaltindrag"/>
      </w:pPr>
      <w:r w:rsidRPr="00896D4F">
        <w:t>Den fråga som inställer sig är om CSN, på grund av den vid domstolarna pågående rättsprövningen, var förhindrad att fatta beslut i anledning av F.N:s för</w:t>
      </w:r>
      <w:r w:rsidRPr="00896D4F">
        <w:softHyphen/>
        <w:t>nyade begäran om omprövning. Frågan om en förvaltningsmyndighet är förhindrad att ompröva ett beslut efter att den enskilde har över</w:t>
      </w:r>
      <w:r w:rsidRPr="00896D4F">
        <w:softHyphen/>
        <w:t>klagat eller på annat sätt angripit det tidigare beslutet, är inte alldeles självklar och är kna</w:t>
      </w:r>
      <w:r w:rsidRPr="00896D4F">
        <w:t>p</w:t>
      </w:r>
      <w:r w:rsidRPr="00896D4F">
        <w:t>past möjlig att besvara i generella termer. När det gäller förvaltningsbesvär, dvs. sådana ärenden där en förvaltningsdomstol överprövar ärendet i sak och har möjlighet att sätta ett annat beslut i det överklagade beslutets ställe, måste ärendets karaktär bli avgörande. I före</w:t>
      </w:r>
      <w:r w:rsidRPr="00896D4F">
        <w:softHyphen/>
      </w:r>
      <w:r w:rsidRPr="00896D4F">
        <w:softHyphen/>
        <w:t>va</w:t>
      </w:r>
      <w:r w:rsidRPr="00896D4F">
        <w:t>rande fall var det emellertid fråga om en begränsad laglighetskontroll, vilken endast kunde ha utmynnat i att det angripna beslutet stod fast eller upphävdes. Det finns knappast skäl att i såd</w:t>
      </w:r>
      <w:r w:rsidRPr="00896D4F">
        <w:t>a</w:t>
      </w:r>
      <w:r w:rsidRPr="00896D4F">
        <w:t>na fall frånkänna beslutsmyndig</w:t>
      </w:r>
      <w:r w:rsidRPr="00896D4F">
        <w:softHyphen/>
        <w:t>heten möj</w:t>
      </w:r>
      <w:r w:rsidRPr="00896D4F">
        <w:softHyphen/>
        <w:t>lighet att ompröva det tidigare b</w:t>
      </w:r>
      <w:r w:rsidRPr="00896D4F">
        <w:t>e</w:t>
      </w:r>
      <w:r w:rsidRPr="00896D4F">
        <w:t>slutet. Huvudregeln bör alltså – i en</w:t>
      </w:r>
      <w:r w:rsidRPr="00896D4F">
        <w:softHyphen/>
        <w:t>lighet med vad som gäller vid laglighet</w:t>
      </w:r>
      <w:r w:rsidRPr="00896D4F">
        <w:t>s</w:t>
      </w:r>
      <w:r w:rsidRPr="00896D4F">
        <w:t>prövning enligt 10 kap. kommunallagen (1991:900) – vara att en an</w:t>
      </w:r>
      <w:r w:rsidRPr="00896D4F">
        <w:softHyphen/>
        <w:t>sökan om rättsprövning inte hindrar beslutsmyndigheten från att fatta ett nytt beslut i samma sak s</w:t>
      </w:r>
      <w:r w:rsidRPr="00896D4F">
        <w:t>om är föremål för sådan prövning (se Strömberg, Allmän förval</w:t>
      </w:r>
      <w:r w:rsidRPr="00896D4F">
        <w:t>t</w:t>
      </w:r>
      <w:r w:rsidRPr="00896D4F">
        <w:t>nings</w:t>
      </w:r>
      <w:r w:rsidRPr="00896D4F">
        <w:softHyphen/>
        <w:t>rätt, 20:e uppl, s. 74 f. och där gjorda hänvisningar). I enlighet härmed utgjorde den på</w:t>
      </w:r>
      <w:r w:rsidRPr="00896D4F">
        <w:softHyphen/>
        <w:t>gående rättsprövningen inte något hinder mot att CSN fattade beslut i anledning av F.N:s förnyade begäran om omprövning och framställda inhibitions</w:t>
      </w:r>
      <w:r w:rsidRPr="00896D4F">
        <w:softHyphen/>
        <w:t>yrkande.</w:t>
      </w:r>
    </w:p>
    <w:p w:rsidR="009C1C5A" w:rsidRPr="00896D4F" w:rsidRDefault="009C1C5A">
      <w:pPr>
        <w:pStyle w:val="Normaltindrag"/>
      </w:pPr>
      <w:r w:rsidRPr="00896D4F">
        <w:t>Mot bakgrund av det anförda utgjorde det som CSN har åberopat, enligt min mening, inte något skäl för CSN att avvakta förvaltningsdomstolarnas slutliga avgörande. Jag finner emellertid inte anledni</w:t>
      </w:r>
      <w:r w:rsidRPr="00896D4F">
        <w:t>ng att kritisera CSN för att myndigheten har gjort en annan bedömning än den som jag har redovisat.</w:t>
      </w:r>
    </w:p>
    <w:p w:rsidR="009C1C5A" w:rsidRPr="00896D4F" w:rsidRDefault="009C1C5A">
      <w:pPr>
        <w:pStyle w:val="Normaltindrag"/>
      </w:pPr>
      <w:r w:rsidRPr="00896D4F">
        <w:t>Verksjuristen Ari Hellberg har upplyst att CSN ännu inte har avgjort o</w:t>
      </w:r>
      <w:r w:rsidRPr="00896D4F">
        <w:t>m</w:t>
      </w:r>
      <w:r w:rsidRPr="00896D4F">
        <w:t>prövnings</w:t>
      </w:r>
      <w:r w:rsidRPr="00896D4F">
        <w:softHyphen/>
        <w:t>ärendet (2000-2379-19394) trots att Regeringsrätten den 19 april 2001 beslutade att inte meddela prövningstillstånd i det dit överklagade målet om rättsprövning. En orsak till detta synes vara att Regeringsrättens beslut inte har diarieförts i ärendet. Jag förutsätter att CSN omgående tar ställning till den fortsatta handläggningen av ärendet och emotser en kopia av CSN:s avgörande.</w:t>
      </w:r>
    </w:p>
    <w:p w:rsidR="009C1C5A" w:rsidRPr="00896D4F" w:rsidRDefault="009C1C5A">
      <w:pPr>
        <w:pStyle w:val="Normaltindrag"/>
        <w:rPr>
          <w:i/>
        </w:rPr>
      </w:pPr>
      <w:r w:rsidRPr="00896D4F">
        <w:t>Som jag har nämnt inledningsvis vill jag även beröra CSN:s handläggning av F.N:s inhibitions</w:t>
      </w:r>
      <w:r w:rsidRPr="00896D4F">
        <w:softHyphen/>
        <w:t>yrkanden. Det ligger i sakens natur att ett sådant yrkande skall handläggas skyndsamt. Den som har framställt ett inhibitionsyrkande bör omgående få ett besked om hur myndigheten har bedömt yrkandet, dvs. om yrkandet bifalls, avslås eller avvisas. Jag kan konstatera att F.N. fra</w:t>
      </w:r>
      <w:r w:rsidRPr="00896D4F">
        <w:t>m</w:t>
      </w:r>
      <w:r w:rsidRPr="00896D4F">
        <w:t>ställde sitt första inhibitions</w:t>
      </w:r>
      <w:r w:rsidRPr="00896D4F">
        <w:softHyphen/>
        <w:t>yrkande i en skrivelse som inkom till CSN den 14 januari 2000 och att han inte erhöll något besked förrän CSN:s huvudko</w:t>
      </w:r>
      <w:r w:rsidRPr="00896D4F">
        <w:t>n</w:t>
      </w:r>
      <w:r w:rsidRPr="00896D4F">
        <w:t>tor avslog hans begäran om ändring i beslut den 25 april 2000. Det andra inhibi</w:t>
      </w:r>
      <w:r w:rsidRPr="00896D4F">
        <w:t>tions</w:t>
      </w:r>
      <w:r w:rsidRPr="00896D4F">
        <w:softHyphen/>
        <w:t>yrkandet fram</w:t>
      </w:r>
      <w:r w:rsidRPr="00896D4F">
        <w:softHyphen/>
        <w:t>ställdes den 21 juni 2000 och föranledde ett besked den 7 juli 2000 om att yrkandet inte skulle prövas förrän Regeringsrätten hade avgjort sitt mål. Jag kan konstatera att det tog alldeles för lång tid innan F.N. erhöll besked i an</w:t>
      </w:r>
      <w:r w:rsidRPr="00896D4F">
        <w:softHyphen/>
        <w:t>ledning av de framställda inhibitions</w:t>
      </w:r>
      <w:r w:rsidRPr="00896D4F">
        <w:softHyphen/>
        <w:t>yrkandena.</w:t>
      </w:r>
    </w:p>
    <w:p w:rsidR="009C1C5A" w:rsidRPr="00896D4F" w:rsidRDefault="009C1C5A">
      <w:r w:rsidRPr="00896D4F">
        <w:t>_____________</w:t>
      </w:r>
    </w:p>
    <w:p w:rsidR="009C1C5A" w:rsidRPr="00896D4F" w:rsidRDefault="009C1C5A">
      <w:pPr>
        <w:spacing w:before="250"/>
      </w:pPr>
      <w:r w:rsidRPr="00896D4F">
        <w:t xml:space="preserve">Ärendet avslutas med gjorda uttalanden. </w:t>
      </w:r>
    </w:p>
    <w:p w:rsidR="009C1C5A" w:rsidRPr="00896D4F" w:rsidRDefault="009C1C5A"/>
    <w:p w:rsidR="009C1C5A" w:rsidRPr="00896D4F" w:rsidRDefault="009C1C5A"/>
    <w:p w:rsidR="009C1C5A" w:rsidRPr="00896D4F" w:rsidRDefault="009C1C5A"/>
    <w:p w:rsidR="009C1C5A" w:rsidRPr="00896D4F" w:rsidRDefault="009C1C5A">
      <w:pPr>
        <w:pStyle w:val="Rubrik1"/>
      </w:pPr>
      <w:r w:rsidRPr="00896D4F">
        <w:br w:type="page"/>
        <w:t>Kommunikationsväsendet</w:t>
      </w:r>
    </w:p>
    <w:p w:rsidR="009C1C5A" w:rsidRPr="00896D4F" w:rsidRDefault="009C1C5A">
      <w:pPr>
        <w:pStyle w:val="Rubrik2"/>
        <w:spacing w:before="120"/>
      </w:pPr>
      <w:r w:rsidRPr="00896D4F">
        <w:t>Post- och telestyrelsen sökte vid indrivning av en ford</w:t>
      </w:r>
      <w:r w:rsidRPr="00896D4F">
        <w:softHyphen/>
        <w:t>ran verkställig</w:t>
      </w:r>
      <w:r w:rsidRPr="00896D4F">
        <w:softHyphen/>
        <w:t>het av en icke lagakraftvunnen, senare upphävd, dom utan att ånyo kräva betalning, vilket ledde till registrering för be</w:t>
      </w:r>
      <w:r w:rsidRPr="00896D4F">
        <w:softHyphen/>
        <w:t>talnings</w:t>
      </w:r>
      <w:r w:rsidRPr="00896D4F">
        <w:softHyphen/>
        <w:t>försum</w:t>
      </w:r>
      <w:r w:rsidRPr="00896D4F">
        <w:softHyphen/>
        <w:t>mel</w:t>
      </w:r>
      <w:r w:rsidRPr="00896D4F">
        <w:softHyphen/>
        <w:t>se (betalningsanmärkning). Förfarandet har prövats enligt såväl regler om utsökning och personlig integritet som en allmän proportionalitets</w:t>
      </w:r>
      <w:r w:rsidRPr="00896D4F">
        <w:softHyphen/>
        <w:t xml:space="preserve">princip </w:t>
      </w:r>
    </w:p>
    <w:p w:rsidR="009C1C5A" w:rsidRPr="00896D4F" w:rsidRDefault="009C1C5A">
      <w:pPr>
        <w:spacing w:before="0"/>
      </w:pPr>
      <w:r w:rsidRPr="00896D4F">
        <w:t>(Dnr 2204-1999)</w:t>
      </w:r>
    </w:p>
    <w:p w:rsidR="009C1C5A" w:rsidRPr="00896D4F" w:rsidRDefault="009C1C5A">
      <w:pPr>
        <w:pStyle w:val="Rubrik3"/>
      </w:pPr>
      <w:r w:rsidRPr="00896D4F">
        <w:t>Anmälan</w:t>
      </w:r>
    </w:p>
    <w:p w:rsidR="009C1C5A" w:rsidRPr="00896D4F" w:rsidRDefault="009C1C5A">
      <w:r w:rsidRPr="00896D4F">
        <w:t>Av en den 4 juni 1999 inkommen anmälan från M.K. framgick bl.a. följande. M.K. ansåg sig inte skyldig att betala vad Post- och tele</w:t>
      </w:r>
      <w:r w:rsidRPr="00896D4F">
        <w:softHyphen/>
        <w:t>styrelsen krävde h</w:t>
      </w:r>
      <w:r w:rsidRPr="00896D4F">
        <w:t>o</w:t>
      </w:r>
      <w:r w:rsidRPr="00896D4F">
        <w:t>nom i avgift för ett tillstånd för radiosändare, knutet till ett av honom drivet export</w:t>
      </w:r>
      <w:r w:rsidRPr="00896D4F">
        <w:softHyphen/>
        <w:t>före</w:t>
      </w:r>
      <w:r w:rsidRPr="00896D4F">
        <w:softHyphen/>
        <w:t>tag. På talan av styrelsen hade Hässleholms tings</w:t>
      </w:r>
      <w:r w:rsidRPr="00896D4F">
        <w:softHyphen/>
        <w:t>rätt förpliktat honom att betala avgiftsbeloppen. Utan att domen, som M.K. över</w:t>
      </w:r>
      <w:r w:rsidRPr="00896D4F">
        <w:softHyphen/>
        <w:t>klagat, hade vunnit laga kraft sökte styrelsen hos kronofogdemyndigheten verk</w:t>
      </w:r>
      <w:r w:rsidRPr="00896D4F">
        <w:softHyphen/>
        <w:t>ställighet, vilket ledde till ut</w:t>
      </w:r>
      <w:r w:rsidRPr="00896D4F">
        <w:softHyphen/>
        <w:t>mät</w:t>
      </w:r>
      <w:r w:rsidRPr="00896D4F">
        <w:softHyphen/>
        <w:t>ning. Härigenom blev M.K. registrerad hos kreditupplysningsföretag med en be</w:t>
      </w:r>
      <w:r w:rsidRPr="00896D4F">
        <w:softHyphen/>
        <w:t xml:space="preserve">talningsanmärkning. </w:t>
      </w:r>
    </w:p>
    <w:p w:rsidR="009C1C5A" w:rsidRPr="00896D4F" w:rsidRDefault="009C1C5A">
      <w:r w:rsidRPr="00896D4F">
        <w:t>M.K. anförde i detta sammanhang bl.a. följande.</w:t>
      </w:r>
    </w:p>
    <w:p w:rsidR="009C1C5A" w:rsidRPr="00896D4F" w:rsidRDefault="009C1C5A">
      <w:pPr>
        <w:pStyle w:val="Citat"/>
      </w:pPr>
      <w:r w:rsidRPr="00896D4F">
        <w:t xml:space="preserve">Men genom denna dom [tingsrättens] utnyttjar Post- och telestyrelsen sin rätt att kräva in utdömt belopp. Dock inte att som normalt först kräva svaranden på kapitalet, utan man går direkt till Kronofogdemyndigheten för utfående av beloppet. </w:t>
      </w:r>
    </w:p>
    <w:p w:rsidR="009C1C5A" w:rsidRPr="00896D4F" w:rsidRDefault="009C1C5A">
      <w:pPr>
        <w:pStyle w:val="Citatindrag"/>
      </w:pPr>
      <w:r w:rsidRPr="00896D4F">
        <w:t>Genom detta sätt att agera i förtid innan domen vunnit laga kraft, utmätes beloppet via Krono</w:t>
      </w:r>
      <w:r w:rsidRPr="00896D4F">
        <w:softHyphen/>
        <w:t xml:space="preserve">fogdemyndigheten och jag hamnar i alla de register som finns i landet vad gäller denna typ av ärende. </w:t>
      </w:r>
    </w:p>
    <w:p w:rsidR="009C1C5A" w:rsidRPr="00896D4F" w:rsidRDefault="009C1C5A">
      <w:pPr>
        <w:pStyle w:val="Rubrik3"/>
      </w:pPr>
      <w:r w:rsidRPr="00896D4F">
        <w:t>Utredning</w:t>
      </w:r>
    </w:p>
    <w:p w:rsidR="009C1C5A" w:rsidRPr="00896D4F" w:rsidRDefault="009C1C5A">
      <w:r w:rsidRPr="00896D4F">
        <w:t>Ärendet tillfördes kopior av Hässleholms tingsrätts dom i målet (FT 53/98) den 16 oktober 1998 och Hovrättens över Skåne och Blekinge efter överkl</w:t>
      </w:r>
      <w:r w:rsidRPr="00896D4F">
        <w:t>a</w:t>
      </w:r>
      <w:r w:rsidRPr="00896D4F">
        <w:t xml:space="preserve">gande meddelade dom den 25 februari 1999 (mål FT 469-98). Den senare domen innebar  att Post- och telestyrelsens talan om avgift ogillades, sedan M.K:s yrkande i den delen hade medgivits. </w:t>
      </w:r>
    </w:p>
    <w:p w:rsidR="009C1C5A" w:rsidRPr="00896D4F" w:rsidRDefault="009C1C5A">
      <w:pPr>
        <w:pStyle w:val="Normaltindrag"/>
      </w:pPr>
      <w:r w:rsidRPr="00896D4F">
        <w:t>Vid slutbehandlingen av ärendet var av Datainspektionen sedan år 1992 meddela</w:t>
      </w:r>
      <w:r w:rsidRPr="00896D4F">
        <w:softHyphen/>
        <w:t>de beslut om tillstånd för Upplysningscentralen UC AB att bedriva kreditupplys</w:t>
      </w:r>
      <w:r w:rsidRPr="00896D4F">
        <w:softHyphen/>
        <w:t>ningsverksamhet och föra ett personregister tillgängliga.</w:t>
      </w:r>
    </w:p>
    <w:p w:rsidR="009C1C5A" w:rsidRPr="00896D4F" w:rsidRDefault="009C1C5A">
      <w:pPr>
        <w:pStyle w:val="Normaltindrag"/>
      </w:pPr>
      <w:r w:rsidRPr="00896D4F">
        <w:t>Post- och telestyrelsen anmodades att yttra sig beträffande påståendet att utsök</w:t>
      </w:r>
      <w:r w:rsidRPr="00896D4F">
        <w:softHyphen/>
        <w:t>ning begärts utan att krav med stöd av dom dessförinnan framställts. Remissen besvarades den 29 septe</w:t>
      </w:r>
      <w:r w:rsidRPr="00896D4F">
        <w:t>m</w:t>
      </w:r>
      <w:r w:rsidRPr="00896D4F">
        <w:t>ber 1999 enligt följande.</w:t>
      </w:r>
    </w:p>
    <w:p w:rsidR="009C1C5A" w:rsidRPr="00896D4F" w:rsidRDefault="009C1C5A">
      <w:pPr>
        <w:pStyle w:val="Citat"/>
      </w:pPr>
      <w:r w:rsidRPr="00896D4F">
        <w:t>M.K. erhöll den 26 september 1989 av Televerket ett prov- och demonstr</w:t>
      </w:r>
      <w:r w:rsidRPr="00896D4F">
        <w:t>a</w:t>
      </w:r>
      <w:r w:rsidRPr="00896D4F">
        <w:t>tionstillstånd för radio</w:t>
      </w:r>
      <w:r w:rsidRPr="00896D4F">
        <w:softHyphen/>
        <w:t>sändare. Ett nytt tillstånd, betecknat Bevis, som avsåg samma radiosändare utfärda</w:t>
      </w:r>
      <w:r w:rsidRPr="00896D4F">
        <w:softHyphen/>
        <w:t>des den 13 sep</w:t>
      </w:r>
      <w:r w:rsidRPr="00896D4F">
        <w:softHyphen/>
        <w:t>tember 1994. Till följd av utebli</w:t>
      </w:r>
      <w:r w:rsidRPr="00896D4F">
        <w:t>v</w:t>
      </w:r>
      <w:r w:rsidRPr="00896D4F">
        <w:t>na betalningar yrkade PTS [Post- och tele</w:t>
      </w:r>
      <w:r w:rsidRPr="00896D4F">
        <w:softHyphen/>
        <w:t>styrel</w:t>
      </w:r>
      <w:r w:rsidRPr="00896D4F">
        <w:softHyphen/>
        <w:t>sen], genom Kam</w:t>
      </w:r>
      <w:r w:rsidRPr="00896D4F">
        <w:softHyphen/>
        <w:t>markollegiet, hos kronofogdemyndigheten (KFM) i ansökan om betalnings</w:t>
      </w:r>
      <w:r w:rsidRPr="00896D4F">
        <w:softHyphen/>
        <w:t>föreläggande att M.K. skulle åläggas att betala en fordran som avsåg sådana avgifter som årl</w:t>
      </w:r>
      <w:r w:rsidRPr="00896D4F">
        <w:t>i</w:t>
      </w:r>
      <w:r w:rsidRPr="00896D4F">
        <w:t>gen skulle erläggas av till</w:t>
      </w:r>
      <w:r w:rsidRPr="00896D4F">
        <w:softHyphen/>
        <w:t>ståndshavare för tillståndet i fråga, för åren 1994–1997. M.K. bestred kravet och målet överlämnad</w:t>
      </w:r>
      <w:r w:rsidRPr="00896D4F">
        <w:t>es till tingsrätten.</w:t>
      </w:r>
    </w:p>
    <w:p w:rsidR="009C1C5A" w:rsidRPr="00896D4F" w:rsidRDefault="009C1C5A">
      <w:pPr>
        <w:pStyle w:val="Citat"/>
      </w:pPr>
      <w:r w:rsidRPr="00896D4F">
        <w:t>Hässleholms tingsrätt förpliktade i dom den 16 oktober 1998 (Mål nr FT 53/98) M.K. att utge visst belopp till PTS. Med tingsrättens dom som exek</w:t>
      </w:r>
      <w:r w:rsidRPr="00896D4F">
        <w:t>u</w:t>
      </w:r>
      <w:r w:rsidRPr="00896D4F">
        <w:t>tionstitel verkställde kronofogdemyndigheten, på ansökan av PTS, utmät</w:t>
      </w:r>
      <w:r w:rsidRPr="00896D4F">
        <w:softHyphen/>
        <w:t>ning i M.K. tillkommande öve</w:t>
      </w:r>
      <w:r w:rsidRPr="00896D4F">
        <w:t>r</w:t>
      </w:r>
      <w:r w:rsidRPr="00896D4F">
        <w:t>skjutande skatt.</w:t>
      </w:r>
    </w:p>
    <w:p w:rsidR="009C1C5A" w:rsidRPr="00896D4F" w:rsidRDefault="009C1C5A">
      <w:pPr>
        <w:pStyle w:val="Citatindrag"/>
      </w:pPr>
      <w:r w:rsidRPr="00896D4F">
        <w:t>Vid kontakt med såväl kronofogdemyndigheten som Upplysningscentralen (UC) den 28 maj 1999 har framkommit att M.K. har en betalningsanmär</w:t>
      </w:r>
      <w:r w:rsidRPr="00896D4F">
        <w:t>k</w:t>
      </w:r>
      <w:r w:rsidRPr="00896D4F">
        <w:t>ning. Anmärkningen har dock inte uppkommit som en följd av PTS ärende utan har uppkommit i ett annat ärende där PTS inte varit part.</w:t>
      </w:r>
    </w:p>
    <w:p w:rsidR="009C1C5A" w:rsidRPr="00896D4F" w:rsidRDefault="009C1C5A">
      <w:pPr>
        <w:pStyle w:val="Citatindrag"/>
      </w:pPr>
      <w:r w:rsidRPr="00896D4F">
        <w:t>PTS har vid upprepade tillfällen, förutom vid den ursprungliga faktur</w:t>
      </w:r>
      <w:r w:rsidRPr="00896D4F">
        <w:t>e</w:t>
      </w:r>
      <w:r w:rsidRPr="00896D4F">
        <w:t>ringen och därpå följande betalningspåminnelser bl.a. den 18 september 1997, skriftligen haft kontakt med M.K. angående obetalda fakturor avseende til</w:t>
      </w:r>
      <w:r w:rsidRPr="00896D4F">
        <w:t>l</w:t>
      </w:r>
      <w:r w:rsidRPr="00896D4F">
        <w:t xml:space="preserve">stånd. Han har inte vid något tillfälle visat betalningsvilja. </w:t>
      </w:r>
    </w:p>
    <w:p w:rsidR="009C1C5A" w:rsidRPr="00896D4F" w:rsidRDefault="009C1C5A">
      <w:pPr>
        <w:pStyle w:val="Citatindrag"/>
      </w:pPr>
      <w:r w:rsidRPr="00896D4F">
        <w:t>Efter tingsrättens dom beslutade PTS att med stöd av bestämmelsen i 3 kap. 6 § utsökningsbalken begära verkställighet. Att PTS inte vände sig till M.K. med begäran om betalning med stöd av tingsrättens dom torde ha berott på att han tidigare inte visat någon betalningsvilja och att en för</w:t>
      </w:r>
      <w:r w:rsidRPr="00896D4F">
        <w:softHyphen/>
        <w:t>nyad direk</w:t>
      </w:r>
      <w:r w:rsidRPr="00896D4F">
        <w:t>t</w:t>
      </w:r>
      <w:r w:rsidRPr="00896D4F">
        <w:t>kontakt med honom inte framstod som meningsfull.</w:t>
      </w:r>
    </w:p>
    <w:p w:rsidR="009C1C5A" w:rsidRPr="00896D4F" w:rsidRDefault="009C1C5A">
      <w:pPr>
        <w:pStyle w:val="Citatindrag"/>
      </w:pPr>
      <w:r w:rsidRPr="00896D4F">
        <w:t>Det bör framhållas att PTS mycket sällan vänder sig till KFM. När my</w:t>
      </w:r>
      <w:r w:rsidRPr="00896D4F">
        <w:t>n</w:t>
      </w:r>
      <w:r w:rsidRPr="00896D4F">
        <w:t>digheten trots allt söker betalning genom betalningsföreläggande har uppr</w:t>
      </w:r>
      <w:r w:rsidRPr="00896D4F">
        <w:t>e</w:t>
      </w:r>
      <w:r w:rsidRPr="00896D4F">
        <w:t>pade påminnelser redan skickats och den bris</w:t>
      </w:r>
      <w:r w:rsidRPr="00896D4F">
        <w:softHyphen/>
        <w:t>tande betalningsviljan får sål</w:t>
      </w:r>
      <w:r w:rsidRPr="00896D4F">
        <w:t>e</w:t>
      </w:r>
      <w:r w:rsidRPr="00896D4F">
        <w:t xml:space="preserve">des anses klarlagd. </w:t>
      </w:r>
    </w:p>
    <w:p w:rsidR="009C1C5A" w:rsidRPr="00896D4F" w:rsidRDefault="009C1C5A">
      <w:r w:rsidRPr="00896D4F">
        <w:t xml:space="preserve">M.K. yttrade sig över vad Post- och telestyrelsen hade anfört. </w:t>
      </w:r>
    </w:p>
    <w:p w:rsidR="009C1C5A" w:rsidRPr="00896D4F" w:rsidRDefault="009C1C5A">
      <w:r w:rsidRPr="00896D4F">
        <w:t xml:space="preserve">I ett beslut den 18 september 2001 anförde </w:t>
      </w:r>
      <w:r w:rsidRPr="00896D4F">
        <w:rPr>
          <w:i/>
        </w:rPr>
        <w:t>JO Berggren</w:t>
      </w:r>
      <w:r w:rsidRPr="00896D4F">
        <w:t xml:space="preserve"> följande.</w:t>
      </w:r>
    </w:p>
    <w:p w:rsidR="009C1C5A" w:rsidRPr="00896D4F" w:rsidRDefault="009C1C5A">
      <w:pPr>
        <w:pStyle w:val="Rubrik3"/>
      </w:pPr>
      <w:r w:rsidRPr="00896D4F">
        <w:t>Bedömning</w:t>
      </w:r>
    </w:p>
    <w:p w:rsidR="009C1C5A" w:rsidRPr="00896D4F" w:rsidRDefault="009C1C5A">
      <w:r w:rsidRPr="00896D4F">
        <w:t>För indrivning av fordringar av det slag, som Post- och telestyrelsen här hade, gäller förordningen (1993:1138) om hantering av statliga fordringar. Det följer av 2 § första stycket och, såvitt framkommit, av 3 §, enligt vilken fö</w:t>
      </w:r>
      <w:r w:rsidRPr="00896D4F">
        <w:t>r</w:t>
      </w:r>
      <w:r w:rsidRPr="00896D4F">
        <w:t xml:space="preserve">ordningen skall tillämpas, om inte något annat följer av lag eller förordning eller av ett särskilt beslut av regeringen. </w:t>
      </w:r>
    </w:p>
    <w:p w:rsidR="009C1C5A" w:rsidRPr="00896D4F" w:rsidRDefault="009C1C5A">
      <w:pPr>
        <w:pStyle w:val="Normaltindrag"/>
      </w:pPr>
      <w:r w:rsidRPr="00896D4F">
        <w:t xml:space="preserve">Om fordran inte har betalats senast på förfallodagen, skall myndigheten så snart som möjligt skicka en betalningspåminnelse till den betalningsskyldige, och om fordran inte betalas efter påminnelse, skall myndigheten vidta de åtgärder som behövs för att få betalt (10 och 11 §§). </w:t>
      </w:r>
    </w:p>
    <w:p w:rsidR="009C1C5A" w:rsidRPr="00896D4F" w:rsidRDefault="009C1C5A">
      <w:pPr>
        <w:pStyle w:val="Normaltindrag"/>
      </w:pPr>
      <w:r w:rsidRPr="00896D4F">
        <w:t>Enligt Riksrevisionsverkets föreskrifter för verkställigheten av förordnin</w:t>
      </w:r>
      <w:r w:rsidRPr="00896D4F">
        <w:t>g</w:t>
      </w:r>
      <w:r w:rsidRPr="00896D4F">
        <w:t>en (föreskrifter, 1993:1681, om hantering av statliga fordringar) gäller i denna del följande.</w:t>
      </w:r>
    </w:p>
    <w:p w:rsidR="009C1C5A" w:rsidRPr="00896D4F" w:rsidRDefault="009C1C5A">
      <w:pPr>
        <w:pStyle w:val="Citat"/>
      </w:pPr>
      <w:r w:rsidRPr="00896D4F">
        <w:t>Om fordran inte betalas efter påminnelse skall myndigheten utan dröjsmål vidta indrivnings</w:t>
      </w:r>
      <w:r w:rsidRPr="00896D4F">
        <w:softHyphen/>
        <w:t>åtgärder enligt inkassolagen (1974:182) och om detta inte ger resultat ansöka om betalnings</w:t>
      </w:r>
      <w:r w:rsidRPr="00896D4F">
        <w:softHyphen/>
        <w:t>föreläggande enligt lagen (1990:746) om betalningsföreläggande och handräckning.</w:t>
      </w:r>
    </w:p>
    <w:p w:rsidR="009C1C5A" w:rsidRPr="00896D4F" w:rsidRDefault="009C1C5A">
      <w:pPr>
        <w:pStyle w:val="Citatindrag"/>
      </w:pPr>
      <w:r w:rsidRPr="00896D4F">
        <w:t>Bestrider gäldenären betalningsskyldighet skall talan föras vid domstol e</w:t>
      </w:r>
      <w:r w:rsidRPr="00896D4F">
        <w:t>l</w:t>
      </w:r>
      <w:r w:rsidRPr="00896D4F">
        <w:t>ler andra rättsliga å</w:t>
      </w:r>
      <w:r w:rsidRPr="00896D4F">
        <w:t>t</w:t>
      </w:r>
      <w:r w:rsidRPr="00896D4F">
        <w:t>gärder vidtas.</w:t>
      </w:r>
    </w:p>
    <w:p w:rsidR="009C1C5A" w:rsidRPr="00896D4F" w:rsidRDefault="009C1C5A">
      <w:pPr>
        <w:pStyle w:val="Citatindrag"/>
      </w:pPr>
      <w:r w:rsidRPr="00896D4F">
        <w:t>Angivna åtgärder vidtas i den omfattning som är motiverat med hänsyn till fordringens belopp, gäldenärens betalningsförmåga och omständigheterna i övrigt.</w:t>
      </w:r>
    </w:p>
    <w:p w:rsidR="009C1C5A" w:rsidRPr="00896D4F" w:rsidRDefault="009C1C5A">
      <w:r w:rsidRPr="00896D4F">
        <w:t>I den rättsliga bakgrunden i ärendet ingår bl.a. också 9 kap. 19 § sekretessl</w:t>
      </w:r>
      <w:r w:rsidRPr="00896D4F">
        <w:t>a</w:t>
      </w:r>
      <w:r w:rsidRPr="00896D4F">
        <w:t>gen (1980:100), vilken till den 1 oktober 2001 lyder så.</w:t>
      </w:r>
    </w:p>
    <w:p w:rsidR="009C1C5A" w:rsidRPr="00896D4F" w:rsidRDefault="009C1C5A">
      <w:pPr>
        <w:pStyle w:val="Citat"/>
      </w:pPr>
      <w:r w:rsidRPr="00896D4F">
        <w:t>Sekretess gäller inom exekutionsväsendet i mål eller ärende angående exek</w:t>
      </w:r>
      <w:r w:rsidRPr="00896D4F">
        <w:t>u</w:t>
      </w:r>
      <w:r w:rsidRPr="00896D4F">
        <w:t>tiv verksamhet för uppgift om enskilds personliga eller ekonomiska förhå</w:t>
      </w:r>
      <w:r w:rsidRPr="00896D4F">
        <w:t>l</w:t>
      </w:r>
      <w:r w:rsidRPr="00896D4F">
        <w:t>landen, om det kan antas att den enskilde eller någon honom närstående lider avsevärd skada eller betydande men om uppgiften röjs.</w:t>
      </w:r>
    </w:p>
    <w:p w:rsidR="009C1C5A" w:rsidRPr="00896D4F" w:rsidRDefault="009C1C5A">
      <w:pPr>
        <w:pStyle w:val="Citatindrag"/>
      </w:pPr>
      <w:r w:rsidRPr="00896D4F">
        <w:t>Sekretessen gäller dock inte uppgift om förpliktelse som avses med den sökta verkställig</w:t>
      </w:r>
      <w:r w:rsidRPr="00896D4F">
        <w:softHyphen/>
        <w:t>heten och inte heller beslut i målet eller ärendet.</w:t>
      </w:r>
    </w:p>
    <w:p w:rsidR="009C1C5A" w:rsidRPr="00896D4F" w:rsidRDefault="009C1C5A">
      <w:pPr>
        <w:pStyle w:val="Citatindrag"/>
      </w:pPr>
      <w:r w:rsidRPr="00896D4F">
        <w:t>Motsvarande sekretess gäller i myndighets verksamhet som avser förande av eller uttag ur ett utsökningsregister för uppgift som har tillförts r</w:t>
      </w:r>
      <w:r w:rsidRPr="00896D4F">
        <w:t>e</w:t>
      </w:r>
      <w:r w:rsidRPr="00896D4F">
        <w:t>gistret.</w:t>
      </w:r>
    </w:p>
    <w:p w:rsidR="009C1C5A" w:rsidRPr="00896D4F" w:rsidRDefault="009C1C5A">
      <w:r w:rsidRPr="00896D4F">
        <w:t>Den i ärendet aktuella frågan gäller inte krav eller påminnelse på det typiskt sett tidiga stadium som ovan angivna bestämmelser reglerar (jfr JO 1991/92 s. 175 beträffande motsvarande äldre reglering) utan i det sena skede, när myndigheten, efter att ha påfört och påmint om en avgift, har utverkat do</w:t>
      </w:r>
      <w:r w:rsidRPr="00896D4F">
        <w:t>m</w:t>
      </w:r>
      <w:r w:rsidRPr="00896D4F">
        <w:t>stols dom som exeku</w:t>
      </w:r>
      <w:r w:rsidRPr="00896D4F">
        <w:softHyphen/>
        <w:t>tionstitel (jfr 3 kap. 1 § första stycket 1 och 6 utsö</w:t>
      </w:r>
      <w:r w:rsidRPr="00896D4F">
        <w:t>k</w:t>
      </w:r>
      <w:r w:rsidRPr="00896D4F">
        <w:t>ningsba</w:t>
      </w:r>
      <w:r w:rsidRPr="00896D4F">
        <w:t>l</w:t>
      </w:r>
      <w:r w:rsidRPr="00896D4F">
        <w:t xml:space="preserve">ken). </w:t>
      </w:r>
    </w:p>
    <w:p w:rsidR="009C1C5A" w:rsidRPr="00896D4F" w:rsidRDefault="009C1C5A">
      <w:pPr>
        <w:pStyle w:val="Normaltindrag"/>
      </w:pPr>
      <w:r w:rsidRPr="00896D4F">
        <w:t>När Post- och telestyrelsen hos kronofogdemyndigheten sökte verkställi</w:t>
      </w:r>
      <w:r w:rsidRPr="00896D4F">
        <w:t>g</w:t>
      </w:r>
      <w:r w:rsidRPr="00896D4F">
        <w:t>het av tingsrättens dom, vilket ledde till utmätning, var det med utnyttjande av bestäm</w:t>
      </w:r>
      <w:r w:rsidRPr="00896D4F">
        <w:softHyphen/>
        <w:t>melserna för fall där betalningsskyldighet har ålagts genom en dom; en sådan är verkställbar ”genast”, utan hinder av att den inte vunnit laga kraft, om inte gälde</w:t>
      </w:r>
      <w:r w:rsidRPr="00896D4F">
        <w:softHyphen/>
        <w:t xml:space="preserve">nären nedsätter pengar eller vidtar vissa andra motsvarande åtgärder (3 kap. 6 § utsökningsbalken). </w:t>
      </w:r>
    </w:p>
    <w:p w:rsidR="009C1C5A" w:rsidRPr="00896D4F" w:rsidRDefault="009C1C5A">
      <w:pPr>
        <w:pStyle w:val="Normaltindrag"/>
      </w:pPr>
      <w:r w:rsidRPr="00896D4F">
        <w:t>Den nu redovisade regleringen medgav att Post- och telestyrelsen vidtog den åt</w:t>
      </w:r>
      <w:r w:rsidRPr="00896D4F">
        <w:softHyphen/>
        <w:t>gärd för ver</w:t>
      </w:r>
      <w:r w:rsidRPr="00896D4F">
        <w:t>k</w:t>
      </w:r>
      <w:r w:rsidRPr="00896D4F">
        <w:t>ställighet som medförde att M.K. ådrog sig en betal</w:t>
      </w:r>
      <w:r w:rsidRPr="00896D4F">
        <w:softHyphen/>
        <w:t>ningsanmärkning. Styrelsens handläggning kan emellertid prövas från läm</w:t>
      </w:r>
      <w:r w:rsidRPr="00896D4F">
        <w:t>p</w:t>
      </w:r>
      <w:r w:rsidRPr="00896D4F">
        <w:t>lig</w:t>
      </w:r>
      <w:r w:rsidRPr="00896D4F">
        <w:softHyphen/>
        <w:t>hetssynpunkter och mot bakgrund av en allmän proportionalitetsprincip, inte bara med hänsyn till för</w:t>
      </w:r>
      <w:r w:rsidRPr="00896D4F">
        <w:softHyphen/>
        <w:t>fattningsenligheten i inskränkt mening. (Denna och andra all</w:t>
      </w:r>
      <w:r w:rsidRPr="00896D4F">
        <w:softHyphen/>
        <w:t>männa rättsprinciper berörs i t.ex. prop. 1993/94:117 s. 39 f. och Strömberg, All</w:t>
      </w:r>
      <w:r w:rsidRPr="00896D4F">
        <w:softHyphen/>
        <w:t>män förval</w:t>
      </w:r>
      <w:r w:rsidRPr="00896D4F">
        <w:t>t</w:t>
      </w:r>
      <w:r w:rsidRPr="00896D4F">
        <w:t xml:space="preserve">ningsrätt 20 u. 2000 s. 68). </w:t>
      </w:r>
    </w:p>
    <w:p w:rsidR="009C1C5A" w:rsidRPr="00896D4F" w:rsidRDefault="009C1C5A">
      <w:pPr>
        <w:pStyle w:val="Normaltindrag"/>
      </w:pPr>
      <w:r w:rsidRPr="00896D4F">
        <w:t>Därvidlag kan först konstateras att Riksrevisionsverkets ovan återgivna f</w:t>
      </w:r>
      <w:r w:rsidRPr="00896D4F">
        <w:t>ö</w:t>
      </w:r>
      <w:r w:rsidRPr="00896D4F">
        <w:t>reskrif</w:t>
      </w:r>
      <w:r w:rsidRPr="00896D4F">
        <w:softHyphen/>
        <w:t>ter lämnar utrymme för en allmän bedömning av omständigheterna i det enskilda fallet vid prövning hur långtgående åtgärderna för att få betalt bör vara.</w:t>
      </w:r>
    </w:p>
    <w:p w:rsidR="009C1C5A" w:rsidRPr="00896D4F" w:rsidRDefault="009C1C5A">
      <w:pPr>
        <w:pStyle w:val="Normaltindrag"/>
      </w:pPr>
      <w:r w:rsidRPr="00896D4F">
        <w:t>Post- och telestyrelsen har i sitt yttrande till JO kommit med upplysningen att – enligt en u</w:t>
      </w:r>
      <w:r w:rsidRPr="00896D4F">
        <w:t>n</w:t>
      </w:r>
      <w:r w:rsidRPr="00896D4F">
        <w:t>dersök</w:t>
      </w:r>
      <w:r w:rsidRPr="00896D4F">
        <w:softHyphen/>
        <w:t>ning i maj 1999 – M.K. inte hade någon betalnings</w:t>
      </w:r>
      <w:r w:rsidRPr="00896D4F">
        <w:softHyphen/>
        <w:t>anmärkning föran</w:t>
      </w:r>
      <w:r w:rsidRPr="00896D4F">
        <w:softHyphen/>
        <w:t>ledd av att styrelsen hade ett ärende hos kronofogdemyndig</w:t>
      </w:r>
      <w:r w:rsidRPr="00896D4F">
        <w:softHyphen/>
        <w:t>heten. Styrelsen har dock inte förklarat vilken betydelse detta har i samman</w:t>
      </w:r>
      <w:r w:rsidRPr="00896D4F">
        <w:softHyphen/>
        <w:t xml:space="preserve">hanget. </w:t>
      </w:r>
    </w:p>
    <w:p w:rsidR="009C1C5A" w:rsidRPr="00896D4F" w:rsidRDefault="009C1C5A">
      <w:pPr>
        <w:pStyle w:val="Normaltindrag"/>
      </w:pPr>
      <w:r w:rsidRPr="00896D4F">
        <w:t>Att någon tid efter hovrättens upphävande av underinstansens dom aktuella regis</w:t>
      </w:r>
      <w:r w:rsidRPr="00896D4F">
        <w:softHyphen/>
        <w:t xml:space="preserve">ter inte visade den förmenta betalningsförsummelsen framstår emellertid som en förväntad följd av att möjligheterna till </w:t>
      </w:r>
      <w:r w:rsidRPr="00896D4F">
        <w:rPr>
          <w:i/>
        </w:rPr>
        <w:t>rättelse</w:t>
      </w:r>
      <w:r w:rsidRPr="00896D4F">
        <w:t xml:space="preserve"> av oriktiga eller mis</w:t>
      </w:r>
      <w:r w:rsidRPr="00896D4F">
        <w:t>s</w:t>
      </w:r>
      <w:r w:rsidRPr="00896D4F">
        <w:t>visande upp</w:t>
      </w:r>
      <w:r w:rsidRPr="00896D4F">
        <w:softHyphen/>
        <w:t>gifter hade utnyttjats i enlighet med 12 § kreditupplysningslagen (1973:1173). Ett av de fall där rättelse enligt lagen aktualiseras är sålunda det att gäldenären påstår att en domstols eller annan myndighets beslut är mater</w:t>
      </w:r>
      <w:r w:rsidRPr="00896D4F">
        <w:t>i</w:t>
      </w:r>
      <w:r w:rsidRPr="00896D4F">
        <w:t xml:space="preserve">ellt oriktigt genom att det har </w:t>
      </w:r>
      <w:r w:rsidRPr="00896D4F">
        <w:rPr>
          <w:i/>
        </w:rPr>
        <w:t>ändrats</w:t>
      </w:r>
      <w:r w:rsidRPr="00896D4F">
        <w:t>; detta kan ha skett efter återvinning, efter fullföljd i högre instans eller på an</w:t>
      </w:r>
      <w:r w:rsidRPr="00896D4F">
        <w:t>nat sätt (prop. 1973:155 s. 151; se även t.ex. Datainspektionens rapport, 2001:1, Missvisande uppgifter hos kr</w:t>
      </w:r>
      <w:r w:rsidRPr="00896D4F">
        <w:t>e</w:t>
      </w:r>
      <w:r w:rsidRPr="00896D4F">
        <w:t>ditupplysningsföretag).</w:t>
      </w:r>
    </w:p>
    <w:p w:rsidR="009C1C5A" w:rsidRPr="00896D4F" w:rsidRDefault="009C1C5A">
      <w:pPr>
        <w:pStyle w:val="Normaltindrag"/>
      </w:pPr>
      <w:r w:rsidRPr="00896D4F">
        <w:t xml:space="preserve">I alla händelser var begäran om verkställighet </w:t>
      </w:r>
      <w:r w:rsidRPr="00896D4F">
        <w:rPr>
          <w:i/>
        </w:rPr>
        <w:t>ägnad</w:t>
      </w:r>
      <w:r w:rsidRPr="00896D4F">
        <w:t xml:space="preserve"> att leda till en beta</w:t>
      </w:r>
      <w:r w:rsidRPr="00896D4F">
        <w:t>l</w:t>
      </w:r>
      <w:r w:rsidRPr="00896D4F">
        <w:t>nings</w:t>
      </w:r>
      <w:r w:rsidRPr="00896D4F">
        <w:softHyphen/>
        <w:t>anmärkning för M.K. Det kan därför inte uteslutas att M.K. under en tid mellan ansökan om verkställighet av tingsrättsdomen och en tidpunkt efter hovrättens dom hade olägenheter av styrelsens handläggning. Lagstiftarens värdering här</w:t>
      </w:r>
      <w:r w:rsidRPr="00896D4F">
        <w:softHyphen/>
        <w:t>vidlag är att en felaktig eller missvisande kreditupplysning kan ut</w:t>
      </w:r>
      <w:r w:rsidRPr="00896D4F">
        <w:softHyphen/>
        <w:t xml:space="preserve">göra en allvarlig integritetskränkning (a. prop. s. 113). </w:t>
      </w:r>
    </w:p>
    <w:p w:rsidR="009C1C5A" w:rsidRPr="00896D4F" w:rsidRDefault="009C1C5A">
      <w:pPr>
        <w:pStyle w:val="Normaltindrag"/>
      </w:pPr>
      <w:r w:rsidRPr="00896D4F">
        <w:t>Post- och telestyrelsen har som skäl för att fullfölja indrivningen, redan i</w:t>
      </w:r>
      <w:r w:rsidRPr="00896D4F">
        <w:t>n</w:t>
      </w:r>
      <w:r w:rsidRPr="00896D4F">
        <w:t>nan tingsrättens dom hade vunnit laga kraft, hänvisat till att M.K. beträf</w:t>
      </w:r>
      <w:r w:rsidRPr="00896D4F">
        <w:softHyphen/>
        <w:t>fande andra, tidigare fordringar inte visat någon betalnings</w:t>
      </w:r>
      <w:r w:rsidRPr="00896D4F">
        <w:rPr>
          <w:i/>
        </w:rPr>
        <w:t>vilja</w:t>
      </w:r>
      <w:r w:rsidRPr="00896D4F">
        <w:t>. Men det framgår inte att denne i de fallen skulle ha bestritt betalnings</w:t>
      </w:r>
      <w:r w:rsidRPr="00896D4F">
        <w:rPr>
          <w:i/>
        </w:rPr>
        <w:t>skyldighet</w:t>
      </w:r>
      <w:r w:rsidRPr="00896D4F">
        <w:t>, vilket här visade sig vara fallet åtminstone när indrivningen hade förts till kronofogd</w:t>
      </w:r>
      <w:r w:rsidRPr="00896D4F">
        <w:t>e</w:t>
      </w:r>
      <w:r w:rsidRPr="00896D4F">
        <w:t>myndig</w:t>
      </w:r>
      <w:r w:rsidRPr="00896D4F">
        <w:softHyphen/>
        <w:t>heten. Denna in</w:t>
      </w:r>
      <w:r w:rsidRPr="00896D4F">
        <w:softHyphen/>
        <w:t>ställning behöll M.K. vid behandlingen i domstol. Vidare avsåg indrivningen fordringar för avgifter som gällde perioder flera år tillbaka. Styrelsen har inte anfört något som</w:t>
      </w:r>
      <w:r w:rsidRPr="00896D4F">
        <w:t xml:space="preserve"> skulle innebära att det i den akt</w:t>
      </w:r>
      <w:r w:rsidRPr="00896D4F">
        <w:t>u</w:t>
      </w:r>
      <w:r w:rsidRPr="00896D4F">
        <w:t>ella situa</w:t>
      </w:r>
      <w:r w:rsidRPr="00896D4F">
        <w:softHyphen/>
        <w:t>tionen skulle ha varit särskilt viktigt att få in pengarna så snart som det med tillämpning av utsöknings</w:t>
      </w:r>
      <w:r w:rsidRPr="00896D4F">
        <w:softHyphen/>
        <w:t xml:space="preserve">balken var möjligt. </w:t>
      </w:r>
    </w:p>
    <w:p w:rsidR="009C1C5A" w:rsidRPr="00896D4F" w:rsidRDefault="009C1C5A">
      <w:pPr>
        <w:pStyle w:val="Normaltindrag"/>
      </w:pPr>
      <w:r w:rsidRPr="00896D4F">
        <w:t>Riksdagens finansutskott har nyligen – vid behandlingen av en proposition med förslag till ändringar i kreditupplysningslagen (1973:1173) och i sa</w:t>
      </w:r>
      <w:r w:rsidRPr="00896D4F">
        <w:t>m</w:t>
      </w:r>
      <w:r w:rsidRPr="00896D4F">
        <w:t>band med frågor om enstaka mindre betalningsförsummelser – anfört bl.a. följande (bet. 2000/01:FiU21 s. 26 f.).</w:t>
      </w:r>
    </w:p>
    <w:p w:rsidR="009C1C5A" w:rsidRPr="00896D4F" w:rsidRDefault="009C1C5A">
      <w:pPr>
        <w:pStyle w:val="Citat"/>
      </w:pPr>
      <w:r w:rsidRPr="00896D4F">
        <w:t>Det kan vidare inte uteslutas att effektivare påminnelserutiner hos myndigh</w:t>
      </w:r>
      <w:r w:rsidRPr="00896D4F">
        <w:t>e</w:t>
      </w:r>
      <w:r w:rsidRPr="00896D4F">
        <w:t>terna skulle kunna bidra till att minska antalet betalningsförsummelser. U</w:t>
      </w:r>
      <w:r w:rsidRPr="00896D4F">
        <w:t>t</w:t>
      </w:r>
      <w:r w:rsidRPr="00896D4F">
        <w:t>skottet anser därför att regeringen även bör gå igenom myndigheternas p</w:t>
      </w:r>
      <w:r w:rsidRPr="00896D4F">
        <w:t>å</w:t>
      </w:r>
      <w:r w:rsidRPr="00896D4F">
        <w:t>minnelserutiner.</w:t>
      </w:r>
    </w:p>
    <w:p w:rsidR="009C1C5A" w:rsidRPr="00896D4F" w:rsidRDefault="009C1C5A">
      <w:r w:rsidRPr="00896D4F">
        <w:t>Mot ovan angiven bakgrund – och i linje med denna sist berörda, aktuella inrikt</w:t>
      </w:r>
      <w:r w:rsidRPr="00896D4F">
        <w:softHyphen/>
        <w:t>ning hos lagstiftaren i en hithörande fråga – hade Post- och telestyrelsen enligt min mening bort väga den principiella fördelen av att söka få betalt så tidigt som möjligt mot gälde</w:t>
      </w:r>
      <w:r w:rsidRPr="00896D4F">
        <w:softHyphen/>
        <w:t>närens intresse av att undgå utsökning. Därvid hade man i vart fall, genom en skrivelse eller på annat sätt, bort ge M.K. till</w:t>
      </w:r>
      <w:r w:rsidRPr="00896D4F">
        <w:softHyphen/>
        <w:t>fälle att betala frivil</w:t>
      </w:r>
      <w:r w:rsidRPr="00896D4F">
        <w:softHyphen/>
        <w:t>ligt i den nya situation som domen emot honom innebar.</w:t>
      </w:r>
    </w:p>
    <w:p w:rsidR="009C1C5A" w:rsidRPr="00896D4F" w:rsidRDefault="009C1C5A">
      <w:pPr>
        <w:pStyle w:val="Normaltindrag"/>
      </w:pPr>
      <w:r w:rsidRPr="00896D4F">
        <w:t>M.K. har i övrigt klagat över det förhållandet att Post- och telestyrel</w:t>
      </w:r>
      <w:r w:rsidRPr="00896D4F">
        <w:softHyphen/>
        <w:t>sen över huvud taget drev kravet på avgift, varvid han särskilt anmärker på myn</w:t>
      </w:r>
      <w:r w:rsidRPr="00896D4F">
        <w:softHyphen/>
        <w:t>dighetens ombud i domstolarna, en tjänsteman vid Kammarkollegiet. Med hänsyn till vad som har redovisats i tingsrättens dom och hovrättens beslut i saken, ger klago</w:t>
      </w:r>
      <w:r w:rsidRPr="00896D4F">
        <w:softHyphen/>
        <w:t xml:space="preserve">målen i denna del inte anledning till något uttalande från min sida. </w:t>
      </w:r>
    </w:p>
    <w:p w:rsidR="009C1C5A" w:rsidRPr="00896D4F" w:rsidRDefault="009C1C5A">
      <w:pPr>
        <w:pStyle w:val="Normaltindrag"/>
      </w:pPr>
      <w:r w:rsidRPr="00896D4F">
        <w:t>Ytterligare har M.K. vänt sig emot behandlingen av krav på skadestånd som han har riktat mot Post- och telestyrelsen. Mot bakgrund bl.a. av att JO inte har till uppgift att pröva rätt till skadest</w:t>
      </w:r>
      <w:r w:rsidRPr="00896D4F">
        <w:t>ånd och prövning av sådana frågor ytterst kan ske i domstol, föranleder anmälningen inte någon utredning hä</w:t>
      </w:r>
      <w:r w:rsidRPr="00896D4F">
        <w:t>r</w:t>
      </w:r>
      <w:r w:rsidRPr="00896D4F">
        <w:t xml:space="preserve">vidlag. </w:t>
      </w:r>
    </w:p>
    <w:p w:rsidR="009C1C5A" w:rsidRPr="00896D4F" w:rsidRDefault="009C1C5A">
      <w:r w:rsidRPr="00896D4F">
        <w:t>Ärendet avslutas.</w:t>
      </w:r>
    </w:p>
    <w:p w:rsidR="009C1C5A" w:rsidRPr="00896D4F" w:rsidRDefault="009C1C5A">
      <w:pPr>
        <w:pStyle w:val="Rubrik2"/>
      </w:pPr>
      <w:r w:rsidRPr="00896D4F">
        <w:br w:type="page"/>
        <w:t>Förfarandet för återfående av körkort efter återkallelse</w:t>
      </w:r>
    </w:p>
    <w:p w:rsidR="009C1C5A" w:rsidRPr="00896D4F" w:rsidRDefault="009C1C5A">
      <w:pPr>
        <w:spacing w:before="0"/>
      </w:pPr>
      <w:r w:rsidRPr="00896D4F">
        <w:t>(Dnr 2111-2000)</w:t>
      </w:r>
    </w:p>
    <w:p w:rsidR="009C1C5A" w:rsidRPr="00896D4F" w:rsidRDefault="009C1C5A">
      <w:pPr>
        <w:pStyle w:val="Rubrik3"/>
      </w:pPr>
      <w:r w:rsidRPr="00896D4F">
        <w:t>Anmälan m.m.</w:t>
      </w:r>
    </w:p>
    <w:p w:rsidR="009C1C5A" w:rsidRPr="00896D4F" w:rsidRDefault="009C1C5A">
      <w:r w:rsidRPr="00896D4F">
        <w:t>M-B.P. klagade till JO på handläggningen hos Vägverket och Länsstyrelsen i Stockholms län av sonen K.H:s ärende rörande nytt körkort efter återkallelse. Av anmälan med bilagor framgick i huvudsak följande. K.H:s körkort o</w:t>
      </w:r>
      <w:r w:rsidRPr="00896D4F">
        <w:t>m</w:t>
      </w:r>
      <w:r w:rsidRPr="00896D4F">
        <w:t>händertogs den 19 september 1998. Den 1 oktober 1998 beslutade länsstyre</w:t>
      </w:r>
      <w:r w:rsidRPr="00896D4F">
        <w:t>l</w:t>
      </w:r>
      <w:r w:rsidRPr="00896D4F">
        <w:t>sen att återkalla körkortet tills vidare i 12 månader och den 22 februari 1999 fastställde länsstyrelsen genom slutligt beslut spärrtiden till 12 månader. Till det slutliga beslutet fogades upplysningen att ansökan om utfärdande av kö</w:t>
      </w:r>
      <w:r w:rsidRPr="00896D4F">
        <w:t>r</w:t>
      </w:r>
      <w:r w:rsidRPr="00896D4F">
        <w:t>kort måste göras inom 14 månader från det att spärrtiden började löpa. Län</w:t>
      </w:r>
      <w:r w:rsidRPr="00896D4F">
        <w:t>s</w:t>
      </w:r>
      <w:r w:rsidRPr="00896D4F">
        <w:t>styrelsen biföll den 11 november 1999 K.H:s ansökan om körkortstillstånd. Vägverket skickade därefter en s.k. grundhandling till</w:t>
      </w:r>
      <w:r w:rsidRPr="00896D4F">
        <w:t xml:space="preserve"> K.H. Den ifyllda han</w:t>
      </w:r>
      <w:r w:rsidRPr="00896D4F">
        <w:t>d</w:t>
      </w:r>
      <w:r w:rsidRPr="00896D4F">
        <w:t xml:space="preserve">lingen kom in till Vägverket den 25 november. Vägverket beslutade den 3 december att inte utfärda körkort och hänvisade till att spärrtiden började löpa den 19 september 1998 och att ansökan således skulle ha kommit in senast den 19 november 1999. </w:t>
      </w:r>
    </w:p>
    <w:p w:rsidR="009C1C5A" w:rsidRPr="00896D4F" w:rsidRDefault="009C1C5A">
      <w:pPr>
        <w:pStyle w:val="Normaltindrag"/>
      </w:pPr>
      <w:r w:rsidRPr="00896D4F">
        <w:t>M-B.P. uppgav i anmälan bl.a. följande. Länsstyrelsen skickade medd</w:t>
      </w:r>
      <w:r w:rsidRPr="00896D4F">
        <w:t>e</w:t>
      </w:r>
      <w:r w:rsidRPr="00896D4F">
        <w:t xml:space="preserve">lande om körkortstillstånd till Vägverket först den 16 november, trots att beslutet fattades den 11 november. K.H. mottog Vägverkets grundhandling först den 23 november trots att verket påstår sig ha skickat handlingen den 17 november. Hon är kritisk till att länsstyrelsens registrering skedde så sent och ifrågasätter om det verkligen är riktigt att expedieringen av grundhandlingen från Vägverket skedde den 17 november.    </w:t>
      </w:r>
    </w:p>
    <w:p w:rsidR="009C1C5A" w:rsidRPr="00896D4F" w:rsidRDefault="009C1C5A">
      <w:pPr>
        <w:pStyle w:val="Rubrik3"/>
      </w:pPr>
      <w:r w:rsidRPr="00896D4F">
        <w:t>Utredning</w:t>
      </w:r>
    </w:p>
    <w:p w:rsidR="009C1C5A" w:rsidRPr="00896D4F" w:rsidRDefault="009C1C5A">
      <w:r w:rsidRPr="00896D4F">
        <w:t>Anmälan remitterades inledningsvis till Vägverket för utredning och yttrande. Vägverket anförde följande i sitt remissvar.</w:t>
      </w:r>
    </w:p>
    <w:p w:rsidR="009C1C5A" w:rsidRPr="00896D4F" w:rsidRDefault="009C1C5A">
      <w:pPr>
        <w:pStyle w:val="Citat"/>
      </w:pPr>
      <w:r w:rsidRPr="00896D4F">
        <w:t>H:s körkort – med behörigheterna BE, C och DE – omhändertogs den 19 september 1998 på grund av misstänkt rattfylleribrott och återkallades tills vidare den 1 oktober samma år. Efter lagakraftvunnen brottmålsdom återka</w:t>
      </w:r>
      <w:r w:rsidRPr="00896D4F">
        <w:t>l</w:t>
      </w:r>
      <w:r w:rsidRPr="00896D4F">
        <w:t xml:space="preserve">lades körkortet slutligt den 22 februari 1999 med en spärrtid på 12 månader räknat från omhändertagandet. </w:t>
      </w:r>
    </w:p>
    <w:p w:rsidR="009C1C5A" w:rsidRPr="00896D4F" w:rsidRDefault="009C1C5A">
      <w:pPr>
        <w:pStyle w:val="Citatindrag"/>
      </w:pPr>
      <w:r w:rsidRPr="00896D4F">
        <w:t>Den 14 juni 1999 ansökte H. hos länsstyrelsen i Stockholms län om kö</w:t>
      </w:r>
      <w:r w:rsidRPr="00896D4F">
        <w:t>r</w:t>
      </w:r>
      <w:r w:rsidRPr="00896D4F">
        <w:t>kortstillstånd avseende samma behörigheter som han tidigare innehaft. Beslut om tillstånd meddelades den 11 november och registrerades av länsstyrelsen i körkortsregistret den 16 november. Påföljande dag skickade Vägverket ut ett underlag för ansökan om utfärdande av körkort. A</w:t>
      </w:r>
      <w:r w:rsidRPr="00896D4F">
        <w:t>n</w:t>
      </w:r>
      <w:r w:rsidRPr="00896D4F">
        <w:t xml:space="preserve">sökningen inkom </w:t>
      </w:r>
      <w:r w:rsidRPr="00896D4F">
        <w:br/>
        <w:t xml:space="preserve">till verket den 25 november. Den 3 december meddelade verket beslut att inte utfärda körkort eftersom ansökningen inkommit efter den 19 november med följd att godkänt förarprov måste avläggas. </w:t>
      </w:r>
    </w:p>
    <w:p w:rsidR="009C1C5A" w:rsidRPr="00896D4F" w:rsidRDefault="009C1C5A">
      <w:pPr>
        <w:pStyle w:val="Citatindrag"/>
      </w:pPr>
      <w:r w:rsidRPr="00896D4F">
        <w:t>Det finns inga uppgif</w:t>
      </w:r>
      <w:r w:rsidRPr="00896D4F">
        <w:t xml:space="preserve">ter hos verket som förklarar varför underlaget – som skickades som </w:t>
      </w:r>
      <w:r w:rsidRPr="00896D4F">
        <w:rPr>
          <w:i/>
        </w:rPr>
        <w:t>Brev</w:t>
      </w:r>
      <w:r w:rsidRPr="00896D4F">
        <w:t xml:space="preserve"> med utdelning påföljande vardag i normalfallet – kom H. till handa först den 23 november. </w:t>
      </w:r>
    </w:p>
    <w:p w:rsidR="009C1C5A" w:rsidRPr="00896D4F" w:rsidRDefault="009C1C5A">
      <w:r w:rsidRPr="00896D4F">
        <w:t>Beträffande körkortstillståndsärendet har följande uppgifter inhämtats från länsstyrelsen:</w:t>
      </w:r>
    </w:p>
    <w:p w:rsidR="009C1C5A" w:rsidRPr="00896D4F" w:rsidRDefault="009C1C5A">
      <w:pPr>
        <w:pStyle w:val="Citatindrag"/>
      </w:pPr>
      <w:r w:rsidRPr="00896D4F">
        <w:t>Utdrag ur Rikspolisstyrelsens polisregister inkom den 21 juni och samma dag förelades H. att komplettera ansökningen med ett läkarintyg som sägs i 3 kap. 1 § körkortsförordningen (1998:980). Intyget inkom den 10 augusti och samma dag överlämnades ärendet till länsstyrelsens konsultläkare för yttrande. Den 18 augusti föreslog konsultläkaren att ärendet skulle komplett</w:t>
      </w:r>
      <w:r w:rsidRPr="00896D4F">
        <w:t>e</w:t>
      </w:r>
      <w:r w:rsidRPr="00896D4F">
        <w:t>ras med ett läkarintyg utfärdat av psykiaterspecialist och med avseende på frågan om missbruk. Begärt intyg inkom den 5 november. Sedan beslut fattats den 11 november överlämnades ärendet till diariet för expediering, registr</w:t>
      </w:r>
      <w:r w:rsidRPr="00896D4F">
        <w:t>e</w:t>
      </w:r>
      <w:r w:rsidRPr="00896D4F">
        <w:t xml:space="preserve">ring och avslutning. </w:t>
      </w:r>
    </w:p>
    <w:p w:rsidR="009C1C5A" w:rsidRPr="00896D4F" w:rsidRDefault="009C1C5A">
      <w:pPr>
        <w:pStyle w:val="Rubrik4"/>
      </w:pPr>
      <w:r w:rsidRPr="00896D4F">
        <w:t>Yttrande</w:t>
      </w:r>
    </w:p>
    <w:p w:rsidR="009C1C5A" w:rsidRPr="00896D4F" w:rsidRDefault="009C1C5A">
      <w:pPr>
        <w:pStyle w:val="Rubrik4"/>
        <w:spacing w:before="125"/>
      </w:pPr>
      <w:r w:rsidRPr="00896D4F">
        <w:t>Gällande bestämmelser</w:t>
      </w:r>
    </w:p>
    <w:p w:rsidR="009C1C5A" w:rsidRPr="00896D4F" w:rsidRDefault="009C1C5A">
      <w:pPr>
        <w:pStyle w:val="Citat"/>
      </w:pPr>
      <w:r w:rsidRPr="00896D4F">
        <w:t>Bestämmelserna om nytt körkort efter återkallelse finns i 5 kap. 13–15 §§ körkortslagen (1998:480). Huvudregeln är att sökanden skall uppfylla samtl</w:t>
      </w:r>
      <w:r w:rsidRPr="00896D4F">
        <w:t>i</w:t>
      </w:r>
      <w:r w:rsidRPr="00896D4F">
        <w:t>ga krav som gäller för utfärdanden av körkort enligt 3 kap. men det finns vissa betydelsefulla undantag i fråga om körkortstillstånd och godkänt föra</w:t>
      </w:r>
      <w:r w:rsidRPr="00896D4F">
        <w:t>r</w:t>
      </w:r>
      <w:r w:rsidRPr="00896D4F">
        <w:t xml:space="preserve">prov. Undantagsfallen beror dels på grunden för återkallelsen och dels på spärrtidens längd; 14 § andra stycket. </w:t>
      </w:r>
    </w:p>
    <w:p w:rsidR="009C1C5A" w:rsidRPr="00896D4F" w:rsidRDefault="009C1C5A">
      <w:pPr>
        <w:pStyle w:val="Citatindrag"/>
      </w:pPr>
      <w:r w:rsidRPr="00896D4F">
        <w:t>Den som har fått sitt körkort återkallat på grund av trafiknykterhetsbrott – 5 kap. 3 § 1 körkortslagen – måste alltid genomgå en förnyad lämplighet</w:t>
      </w:r>
      <w:r w:rsidRPr="00896D4F">
        <w:t>s</w:t>
      </w:r>
      <w:r w:rsidRPr="00896D4F">
        <w:t>prövning i form av körkortstillstånd. Om spärrtiden har bestämts till högst ett år krävs inte förarprov under förutsättning att ansökan om utfärdande av kö</w:t>
      </w:r>
      <w:r w:rsidRPr="00896D4F">
        <w:t>r</w:t>
      </w:r>
      <w:r w:rsidRPr="00896D4F">
        <w:t xml:space="preserve">kort görs inom 14 månader från det att spärrtiden började löpa; 14 § tredje stycket. </w:t>
      </w:r>
    </w:p>
    <w:p w:rsidR="009C1C5A" w:rsidRPr="00896D4F" w:rsidRDefault="009C1C5A">
      <w:pPr>
        <w:pStyle w:val="Citatindrag"/>
      </w:pPr>
      <w:r w:rsidRPr="00896D4F">
        <w:t>Regelverket överensstämmer i stort med tidigare gällande ordning – 39–42 a § körkortsförordningen (1977:722) – dock med den skillnaden att vad som sägs i 14 § tredje stycket om tiden för ansökan för att inte behöva avlägga nytt förarprov, tidigare var knuten till ansök</w:t>
      </w:r>
      <w:r w:rsidRPr="00896D4F">
        <w:t>an om körkortstil</w:t>
      </w:r>
      <w:r w:rsidRPr="00896D4F">
        <w:t>l</w:t>
      </w:r>
      <w:r w:rsidRPr="00896D4F">
        <w:t xml:space="preserve">stånd. </w:t>
      </w:r>
    </w:p>
    <w:p w:rsidR="009C1C5A" w:rsidRPr="00896D4F" w:rsidRDefault="009C1C5A">
      <w:pPr>
        <w:pStyle w:val="Citatindrag"/>
      </w:pPr>
      <w:r w:rsidRPr="00896D4F">
        <w:t xml:space="preserve">Enligt 3 kap. 15 § körkortsförordningen skall Vägverket skicka underlag för ansökan om utfärdande av körkort till sökanden. Ansökningen skall göras på en särskild blankett </w:t>
      </w:r>
      <w:r w:rsidRPr="00896D4F">
        <w:rPr>
          <w:i/>
        </w:rPr>
        <w:t>(grundhandling)</w:t>
      </w:r>
      <w:r w:rsidRPr="00896D4F">
        <w:t>.</w:t>
      </w:r>
    </w:p>
    <w:p w:rsidR="009C1C5A" w:rsidRPr="00896D4F" w:rsidRDefault="009C1C5A">
      <w:pPr>
        <w:pStyle w:val="Citatindrag"/>
      </w:pPr>
      <w:r w:rsidRPr="00896D4F">
        <w:t xml:space="preserve">Vägverkets beslut i den aktuella frågan om utfärdande av körkort, får inte överklagas enligt 8 kap. 2 § tredje stycket körkortslagen. </w:t>
      </w:r>
    </w:p>
    <w:p w:rsidR="009C1C5A" w:rsidRPr="00896D4F" w:rsidRDefault="009C1C5A">
      <w:pPr>
        <w:pStyle w:val="Rubrik4"/>
      </w:pPr>
      <w:r w:rsidRPr="00896D4F">
        <w:t xml:space="preserve">Gällande rutiner </w:t>
      </w:r>
    </w:p>
    <w:p w:rsidR="009C1C5A" w:rsidRPr="00896D4F" w:rsidRDefault="009C1C5A">
      <w:pPr>
        <w:pStyle w:val="Citat"/>
      </w:pPr>
      <w:r w:rsidRPr="00896D4F">
        <w:t>Vägverket framställer en grundhandling och skickar den till sökanden när länsstyrelsen har meddelat körkortstillstånd. Underrättelse om meddelat kö</w:t>
      </w:r>
      <w:r w:rsidRPr="00896D4F">
        <w:t>r</w:t>
      </w:r>
      <w:r w:rsidRPr="00896D4F">
        <w:t xml:space="preserve">kortstillstånd sker via körkortsregistret i och med att länsstyrelsen registrerar beslutet enligt 7 kap. 16 § körkortsförordningen. </w:t>
      </w:r>
    </w:p>
    <w:p w:rsidR="009C1C5A" w:rsidRPr="00896D4F" w:rsidRDefault="009C1C5A">
      <w:pPr>
        <w:pStyle w:val="Rubrik4"/>
      </w:pPr>
      <w:r w:rsidRPr="00896D4F">
        <w:t>Verkets synpunkter på handläggningen</w:t>
      </w:r>
    </w:p>
    <w:p w:rsidR="009C1C5A" w:rsidRPr="00896D4F" w:rsidRDefault="009C1C5A">
      <w:pPr>
        <w:pStyle w:val="Citat"/>
      </w:pPr>
      <w:r w:rsidRPr="00896D4F">
        <w:t>H:s ansökan inkom till Vägverket för sent för utfärdande av körkort utan krav på godkänt förarprov och handläggningen har följt gällande lagstif</w:t>
      </w:r>
      <w:r w:rsidRPr="00896D4F">
        <w:t>t</w:t>
      </w:r>
      <w:r w:rsidRPr="00896D4F">
        <w:t xml:space="preserve">ning. </w:t>
      </w:r>
    </w:p>
    <w:p w:rsidR="009C1C5A" w:rsidRPr="00896D4F" w:rsidRDefault="009C1C5A">
      <w:pPr>
        <w:pStyle w:val="Citatindrag"/>
      </w:pPr>
      <w:r w:rsidRPr="00896D4F">
        <w:t>Länsstyrelsens handläggning av H:s körkortstillståndsärende fram till b</w:t>
      </w:r>
      <w:r w:rsidRPr="00896D4F">
        <w:t>e</w:t>
      </w:r>
      <w:r w:rsidRPr="00896D4F">
        <w:t>slutet, föranleder ingen annan kommentar från verkets sida än att tidsåtgången i allt väsentligt synes ha berott på att läkarintyg inväntades. Därvid anmärks att ansökningen var ofullständig från början och komplett först den 10 augu</w:t>
      </w:r>
      <w:r w:rsidRPr="00896D4F">
        <w:t>s</w:t>
      </w:r>
      <w:r w:rsidRPr="00896D4F">
        <w:t xml:space="preserve">ti. I övrigt konstateras att en omedelbar registrering av beslutet hade givit H. en viss möjlighet att ge in sin ansökan till Vägverket i tid. </w:t>
      </w:r>
    </w:p>
    <w:p w:rsidR="009C1C5A" w:rsidRPr="00896D4F" w:rsidRDefault="009C1C5A">
      <w:pPr>
        <w:pStyle w:val="Rubrik4"/>
      </w:pPr>
      <w:r w:rsidRPr="00896D4F">
        <w:t>Verkets synpunkter på lagstiftningen</w:t>
      </w:r>
    </w:p>
    <w:p w:rsidR="009C1C5A" w:rsidRPr="00896D4F" w:rsidRDefault="009C1C5A">
      <w:pPr>
        <w:pStyle w:val="Citat"/>
      </w:pPr>
      <w:r w:rsidRPr="00896D4F">
        <w:t xml:space="preserve">Bestämmelserna om återfående av körkort efter återkallelse är svårtillgängliga och i vissa delar svårtolkade. Beträffande förarprovskravet har det skett en försämring för den enskilde på så sätt, att han eller hon numera måste vara ute i god tid med sin ansökan om körkortstillstånd hos länsstyrelsen för att – efter positivt beslut – också hinna med att ge in en ansökan om utfärdande hos Vägverket. Länsstyrelsens handläggningstid blir i många fall avgörande för om sökanden klarar tidsfristen. </w:t>
      </w:r>
    </w:p>
    <w:p w:rsidR="009C1C5A" w:rsidRPr="00896D4F" w:rsidRDefault="009C1C5A">
      <w:pPr>
        <w:pStyle w:val="Citatindrag"/>
      </w:pPr>
      <w:r w:rsidRPr="00896D4F">
        <w:t xml:space="preserve">Den enskilde har således små – i vissa fall obefintliga – tidsmarginaler till sitt förfogande om körkortstillståndsärendet kräver ett beslutsunderlag utöver det som ges in från början. Försenad postgång eller andra händelser som den enskilde inte omedelbart kan styra över, kan också vara avgörande för frågan. Någon möjlighet för verket att i enskilda fall göra avsteg från bestämmelserna finns inte. </w:t>
      </w:r>
    </w:p>
    <w:p w:rsidR="009C1C5A" w:rsidRPr="00896D4F" w:rsidRDefault="009C1C5A">
      <w:pPr>
        <w:pStyle w:val="Citatindrag"/>
      </w:pPr>
      <w:r w:rsidRPr="00896D4F">
        <w:t xml:space="preserve">Vägverket har i skrivelse till näringsdepartementet den 30 mars 1999 och den 26 oktober 1999 (dnr AL10A 99:4120) påtalat problemen och förklarat som sin mening att det är mycket angeläget med en lösning som undanröjer de orimliga konsekvenserna för enskilda. </w:t>
      </w:r>
    </w:p>
    <w:p w:rsidR="009C1C5A" w:rsidRPr="00896D4F" w:rsidRDefault="009C1C5A">
      <w:r w:rsidRPr="00896D4F">
        <w:t>Länsstyrelsen i Stockholms län anmodades därefter att göra en utredning och yttra sig över M-B.P:s anmälan till JO. En kopia av remissvaret från Vägve</w:t>
      </w:r>
      <w:r w:rsidRPr="00896D4F">
        <w:t>r</w:t>
      </w:r>
      <w:r w:rsidRPr="00896D4F">
        <w:t>ket bifogades. Länsstyrelsen anförde följande i sitt remissvar.</w:t>
      </w:r>
    </w:p>
    <w:p w:rsidR="009C1C5A" w:rsidRPr="00896D4F" w:rsidRDefault="009C1C5A">
      <w:pPr>
        <w:pStyle w:val="Citat"/>
      </w:pPr>
      <w:r w:rsidRPr="00896D4F">
        <w:t>Utredningen om ärendets handläggning och de olika tidpunkter som varit för handen i fråga om återkallelse och ansökan om återfående av H:s körkort redovisas i Vägverkets remissvar. Såsom framgår av verkets utredning har handläggningen – så snart H. kompletterat ärendet med nödvändigt läkarintyg – inte avvikit från gängse rutiner i någon anmärkningsvärd utsträckning. Tidsåtgången för slutförande av ärendet har hållits inom en acceptabel ram. Lä</w:t>
      </w:r>
      <w:r w:rsidRPr="00896D4F">
        <w:t xml:space="preserve">nsstyrelsen har inte heller brustit i information om reglerna för återfående av körkort efter återkallelse. </w:t>
      </w:r>
    </w:p>
    <w:p w:rsidR="009C1C5A" w:rsidRPr="00896D4F" w:rsidRDefault="009C1C5A">
      <w:pPr>
        <w:pStyle w:val="Citatindrag"/>
      </w:pPr>
      <w:r w:rsidRPr="00896D4F">
        <w:t>Bestämmelserna i bland annat körkortslagens 5 kap 14 § om återfående av körkort efter återkallelse är – som Vägverket framhåller i sitt remissvar – svårtillgängliga och svårtolkade. Länsstyrelsen lämnar därför i återkallelseb</w:t>
      </w:r>
      <w:r w:rsidRPr="00896D4F">
        <w:t>e</w:t>
      </w:r>
      <w:r w:rsidRPr="00896D4F">
        <w:t>sluten utförlig information för vad som gäller för återfående av körkort i varje enskilt fall. Länsstyrelsernas körkortsförening har lagt ner mycket tid på att arbeta fram en klar, lättillgänglig och för alla begriplig information om återf</w:t>
      </w:r>
      <w:r w:rsidRPr="00896D4F">
        <w:t>å</w:t>
      </w:r>
      <w:r w:rsidRPr="00896D4F">
        <w:t>ende av körkort efter återkallelse. Den sökande uppmanas bland annat att i god tid ta kontakt med läkare för de fall läkarintyg är ett krav för att ansökan skall kunna behandlas. Trots detta får länsstyrelsen mycket ofta förfrågningar om tillvägagångssättet för återfåend</w:t>
      </w:r>
      <w:r w:rsidRPr="00896D4F">
        <w:t>e av körkort, vilket visar att bestämme</w:t>
      </w:r>
      <w:r w:rsidRPr="00896D4F">
        <w:t>l</w:t>
      </w:r>
      <w:r w:rsidRPr="00896D4F">
        <w:t>serna är mycket kompl</w:t>
      </w:r>
      <w:r w:rsidRPr="00896D4F">
        <w:t>i</w:t>
      </w:r>
      <w:r w:rsidRPr="00896D4F">
        <w:t xml:space="preserve">cerade. </w:t>
      </w:r>
    </w:p>
    <w:p w:rsidR="009C1C5A" w:rsidRPr="00896D4F" w:rsidRDefault="009C1C5A">
      <w:pPr>
        <w:pStyle w:val="Citatindrag"/>
      </w:pPr>
      <w:r w:rsidRPr="00896D4F">
        <w:t>Reglerna om återfående av körkort efter återkallelse är – förutom de ko</w:t>
      </w:r>
      <w:r w:rsidRPr="00896D4F">
        <w:t>n</w:t>
      </w:r>
      <w:r w:rsidRPr="00896D4F">
        <w:t>sekvenser de kan skapa för den enskilde – tungrodda från handläggningssy</w:t>
      </w:r>
      <w:r w:rsidRPr="00896D4F">
        <w:t>n</w:t>
      </w:r>
      <w:r w:rsidRPr="00896D4F">
        <w:t>punkt. De små tidsmarginalerna som det kan bli fråga om i ärenden som detta har gjort att länsstyrelsen noga bevakar dessa ärenden och att de självfallet har förtur i handläggningen. Enligt länsstyrelsen har handläggningen hos berörda körkortsmyndigheter i detta fall skett med den skyndsamhet som ärendet kräver och någon försummelse kan därför inte anses ligga länsstyre</w:t>
      </w:r>
      <w:r w:rsidRPr="00896D4F">
        <w:t>l</w:t>
      </w:r>
      <w:r w:rsidRPr="00896D4F">
        <w:t>sen till last. Den besvärliga situation H. hamnat i får tillskriv</w:t>
      </w:r>
      <w:r w:rsidRPr="00896D4F">
        <w:t>as de i högsta grad komplicerade bestämmelserna för återfående av körkort. Länsstyrelserna har tidigare gemensamt till departementet påtalat önskvärdheten att regelve</w:t>
      </w:r>
      <w:r w:rsidRPr="00896D4F">
        <w:t>r</w:t>
      </w:r>
      <w:r w:rsidRPr="00896D4F">
        <w:t xml:space="preserve">ket förenklas. </w:t>
      </w:r>
    </w:p>
    <w:p w:rsidR="009C1C5A" w:rsidRPr="00896D4F" w:rsidRDefault="009C1C5A">
      <w:r w:rsidRPr="00896D4F">
        <w:t xml:space="preserve">I ett beslut den 19 december 2001 anförde </w:t>
      </w:r>
      <w:r w:rsidRPr="00896D4F">
        <w:rPr>
          <w:i/>
        </w:rPr>
        <w:t>JO Berggren</w:t>
      </w:r>
      <w:r w:rsidRPr="00896D4F">
        <w:t xml:space="preserve"> följande.  </w:t>
      </w:r>
    </w:p>
    <w:p w:rsidR="009C1C5A" w:rsidRPr="00896D4F" w:rsidRDefault="009C1C5A">
      <w:pPr>
        <w:pStyle w:val="Rubrik3"/>
      </w:pPr>
      <w:r w:rsidRPr="00896D4F">
        <w:t>Bedömning</w:t>
      </w:r>
    </w:p>
    <w:p w:rsidR="009C1C5A" w:rsidRPr="00896D4F" w:rsidRDefault="009C1C5A">
      <w:r w:rsidRPr="00896D4F">
        <w:t>Förfarandet för att få nytt körkort efter återkallelse är följande. Länsstyrelsen har att först lämna körkortstillstånd, varefter Vägverket ombesörjer utfärda</w:t>
      </w:r>
      <w:r w:rsidRPr="00896D4F">
        <w:t>n</w:t>
      </w:r>
      <w:r w:rsidRPr="00896D4F">
        <w:t>det av körkort. Ansökan om körkortstillstånd</w:t>
      </w:r>
      <w:r w:rsidRPr="00896D4F">
        <w:rPr>
          <w:i/>
        </w:rPr>
        <w:t xml:space="preserve"> </w:t>
      </w:r>
      <w:r w:rsidRPr="00896D4F">
        <w:t>kan ges in till länsstyrelsen tidigast sex månader innan återkallelsetiden går ut och tillståndet kan beviljas tidigast två månader före återkallelsetidens utgång. När länsstyrelsen lämnat detta tillstånd skickar Vägverket ett underlag för ansökan om utfärdande av körkort, s.k. grundhandling</w:t>
      </w:r>
      <w:r w:rsidRPr="00896D4F">
        <w:rPr>
          <w:i/>
        </w:rPr>
        <w:t xml:space="preserve">. </w:t>
      </w:r>
      <w:r w:rsidRPr="00896D4F">
        <w:t>Ansökan om nytt körkort måste ha kommit in till Vägverket inom 14 månader efter det att återkallelsetiden började löpa för att sökanden inte skall behöva avlägga förarprov.</w:t>
      </w:r>
      <w:r w:rsidRPr="00896D4F">
        <w:t xml:space="preserve"> Dessa bestämmelser återfinns i 3 kap. 2 § körkortsförordningen (1998:980) och 5 kap. 14 § körkortslagen (1998:488).</w:t>
      </w:r>
    </w:p>
    <w:p w:rsidR="009C1C5A" w:rsidRPr="00896D4F" w:rsidRDefault="009C1C5A">
      <w:pPr>
        <w:pStyle w:val="Normaltindrag"/>
      </w:pPr>
      <w:r w:rsidRPr="00896D4F">
        <w:t xml:space="preserve">K.H:s ansökan om körkort skulle ha kommit in till Vägverket senast den 19 november 1999 för att verket skulle ha kunnat utfärda ett nytt körkort utan förarprov. En förutsättning för ansökan om körkort var, som framgått ovan, att K.H. dessförinnan sökt och fått körkortstillstånd hos länsstyrelsen. </w:t>
      </w:r>
    </w:p>
    <w:p w:rsidR="009C1C5A" w:rsidRPr="00896D4F" w:rsidRDefault="009C1C5A">
      <w:pPr>
        <w:pStyle w:val="Normaltindrag"/>
      </w:pPr>
      <w:r w:rsidRPr="00896D4F">
        <w:t>Av utredningen framgår att K.H. ansökte om körkortstillstånd hos länsst</w:t>
      </w:r>
      <w:r w:rsidRPr="00896D4F">
        <w:t>y</w:t>
      </w:r>
      <w:r w:rsidRPr="00896D4F">
        <w:t>relsen redan den 14 juni 1999. Emellertid var ansökan komplett först den 5 november efter det att länsstyrelsen begärt att K.H. skulle ge in ett läkari</w:t>
      </w:r>
      <w:r w:rsidRPr="00896D4F">
        <w:t>n</w:t>
      </w:r>
      <w:r w:rsidRPr="00896D4F">
        <w:t>tyg. Vid den tidpunkten återstod således endast två veckor innan tidsfristen för ansökan om körkort till Vägverket gick ut. Länsstyrelsen beviljade kö</w:t>
      </w:r>
      <w:r w:rsidRPr="00896D4F">
        <w:t>r</w:t>
      </w:r>
      <w:r w:rsidRPr="00896D4F">
        <w:t xml:space="preserve">kortstillståndet den 11 november. Registrering i körkortsregistret gjordes den 16 november. </w:t>
      </w:r>
    </w:p>
    <w:p w:rsidR="009C1C5A" w:rsidRPr="00896D4F" w:rsidRDefault="009C1C5A">
      <w:pPr>
        <w:pStyle w:val="Normaltindrag"/>
      </w:pPr>
      <w:r w:rsidRPr="00896D4F">
        <w:t>Denna handläggningstid av beslutsfattandet och registreringen skulle i normalfallet inte resultera i kritik från mi</w:t>
      </w:r>
      <w:r w:rsidRPr="00896D4F">
        <w:t>n sida. Vägverket har anmärkt att en omedelbar registrering av beslutet hade gett K.H. en viss möjlighet att ge in sin ansökan till Vägverket i tid. Länsstyrelsen gör emellertid gällande att handläggningen skett med den skyndsamhet som ärendet krävt. Jag kan e</w:t>
      </w:r>
      <w:r w:rsidRPr="00896D4F">
        <w:t>n</w:t>
      </w:r>
      <w:r w:rsidRPr="00896D4F">
        <w:t>dast konstatera att det såvitt utredningen visar borde ha varit möjligt för län</w:t>
      </w:r>
      <w:r w:rsidRPr="00896D4F">
        <w:t>s</w:t>
      </w:r>
      <w:r w:rsidRPr="00896D4F">
        <w:t>styrelsen att tidigare än som skedde registrera det beviljade tillståndet i kö</w:t>
      </w:r>
      <w:r w:rsidRPr="00896D4F">
        <w:t>r</w:t>
      </w:r>
      <w:r w:rsidRPr="00896D4F">
        <w:t xml:space="preserve">kortsregistret. </w:t>
      </w:r>
    </w:p>
    <w:p w:rsidR="009C1C5A" w:rsidRPr="00896D4F" w:rsidRDefault="009C1C5A">
      <w:pPr>
        <w:pStyle w:val="Normaltindrag"/>
      </w:pPr>
      <w:r w:rsidRPr="00896D4F">
        <w:t xml:space="preserve">Vägverket har enligt uppgift expedierat grundhandlingen till K.H. den </w:t>
      </w:r>
      <w:r w:rsidRPr="00896D4F">
        <w:br/>
        <w:t xml:space="preserve">17 november. Försändelsen skulle i normalfallet ha kommit fram nästa dag och därmed gett K.H. en viss möjlighet att ansöka om körkort i tid. Det har inte gått att utreda varför försändelsen kom fram först den 23 november. Jag har inte ansett det meningsfullt att ytterligare forska i den saken.  </w:t>
      </w:r>
    </w:p>
    <w:p w:rsidR="009C1C5A" w:rsidRPr="00896D4F" w:rsidRDefault="009C1C5A">
      <w:pPr>
        <w:pStyle w:val="Normaltindrag"/>
      </w:pPr>
      <w:r w:rsidRPr="00896D4F">
        <w:t>Remissmyndigheterna har i sina svar uppehållit sig vid de aktuella b</w:t>
      </w:r>
      <w:r w:rsidRPr="00896D4F">
        <w:t>e</w:t>
      </w:r>
      <w:r w:rsidRPr="00896D4F">
        <w:t>stämmelserna i allmänhet. Jag delar uppfattningen att dessa är komplicerade och svårtolkade i vissa delar. Trots den information om förfarandet som län</w:t>
      </w:r>
      <w:r w:rsidRPr="00896D4F">
        <w:t>s</w:t>
      </w:r>
      <w:r w:rsidRPr="00896D4F">
        <w:t>styrelsen lämnar i samband med beslut om återkallelse kan det för den enski</w:t>
      </w:r>
      <w:r w:rsidRPr="00896D4F">
        <w:t>l</w:t>
      </w:r>
      <w:r w:rsidRPr="00896D4F">
        <w:t>de uppstå missförstånd om vad som gäller. Jag utesluter inte att informationen kan förbättras ytterligare; möjligen borde framhållas ännu tydligare att tid</w:t>
      </w:r>
      <w:r w:rsidRPr="00896D4F">
        <w:t>s</w:t>
      </w:r>
      <w:r w:rsidRPr="00896D4F">
        <w:t xml:space="preserve">fristen om 14 månader avser Vägverkets handläggning och att länsstyrelsen dessförinnan skall behandla ärendet. Jag förutsätter </w:t>
      </w:r>
      <w:r w:rsidRPr="00896D4F">
        <w:t xml:space="preserve">också att länsstyrelserna i samband med ett föreläggande om läkarintyg påminner om de tidsfrister som gäller.  </w:t>
      </w:r>
    </w:p>
    <w:p w:rsidR="009C1C5A" w:rsidRPr="00896D4F" w:rsidRDefault="009C1C5A">
      <w:pPr>
        <w:pStyle w:val="Normaltindrag"/>
      </w:pPr>
      <w:r w:rsidRPr="00896D4F">
        <w:t>Vägverket har i remissvaret förklarat att verket i två skrivelser uppmär</w:t>
      </w:r>
      <w:r w:rsidRPr="00896D4F">
        <w:t>k</w:t>
      </w:r>
      <w:r w:rsidRPr="00896D4F">
        <w:t>sammat Näringsdepartementet på de problem som uppstår för den enskilde på grund av regelverket. Länsstyrelsen har också uppgett att länsstyrelserna gemensamt påtalat önskvärdheten att regelverket förändras. Jag överlämnar en kopia av detta beslut för kännedom till Näringsdepartementet.</w:t>
      </w:r>
    </w:p>
    <w:p w:rsidR="009C1C5A" w:rsidRPr="00896D4F" w:rsidRDefault="009C1C5A">
      <w:pPr>
        <w:pStyle w:val="Rubrik2"/>
      </w:pPr>
      <w:r w:rsidRPr="00896D4F">
        <w:br w:type="page"/>
        <w:t xml:space="preserve">Nummerpresentation när myndigheter kontaktas per telefon. Hänsyn till den enskildes rätt till skydd av anonymitet m.m. </w:t>
      </w:r>
    </w:p>
    <w:p w:rsidR="009C1C5A" w:rsidRPr="00896D4F" w:rsidRDefault="009C1C5A">
      <w:pPr>
        <w:spacing w:before="0"/>
      </w:pPr>
      <w:r w:rsidRPr="00896D4F">
        <w:t>(Dnr 2750-2001)</w:t>
      </w:r>
    </w:p>
    <w:p w:rsidR="009C1C5A" w:rsidRPr="00896D4F" w:rsidRDefault="009C1C5A">
      <w:pPr>
        <w:pStyle w:val="Rubrik3"/>
      </w:pPr>
      <w:r w:rsidRPr="00896D4F">
        <w:t>Anmälan</w:t>
      </w:r>
    </w:p>
    <w:p w:rsidR="009C1C5A" w:rsidRPr="00896D4F" w:rsidRDefault="009C1C5A">
      <w:r w:rsidRPr="00896D4F">
        <w:t>A.J. uppgav att telefonapparaterna hos Vägverket var så beskaffade att tjän</w:t>
      </w:r>
      <w:r w:rsidRPr="00896D4F">
        <w:t>s</w:t>
      </w:r>
      <w:r w:rsidRPr="00896D4F">
        <w:t>te</w:t>
      </w:r>
      <w:r w:rsidRPr="00896D4F">
        <w:softHyphen/>
        <w:t xml:space="preserve">männen fick kännedom om numren för de telefoner från vilka man ringde dit. Enligt honom betydde det att Vägverket ”indirekt vet” vem som ringer, trots den rätt att vara anonym inför myndigheterna som den enskilde har. </w:t>
      </w:r>
    </w:p>
    <w:p w:rsidR="009C1C5A" w:rsidRPr="00896D4F" w:rsidRDefault="009C1C5A">
      <w:r w:rsidRPr="00896D4F">
        <w:t xml:space="preserve">I ett beslut den 14 augusti 2001 anförde </w:t>
      </w:r>
      <w:r w:rsidRPr="00896D4F">
        <w:rPr>
          <w:i/>
        </w:rPr>
        <w:t>JO Berggren</w:t>
      </w:r>
      <w:r w:rsidRPr="00896D4F">
        <w:t xml:space="preserve"> följande.</w:t>
      </w:r>
    </w:p>
    <w:p w:rsidR="009C1C5A" w:rsidRPr="00896D4F" w:rsidRDefault="009C1C5A">
      <w:pPr>
        <w:rPr>
          <w:sz w:val="21"/>
        </w:rPr>
      </w:pPr>
      <w:r w:rsidRPr="00896D4F">
        <w:rPr>
          <w:b/>
          <w:sz w:val="21"/>
        </w:rPr>
        <w:t>Bedömning</w:t>
      </w:r>
    </w:p>
    <w:p w:rsidR="009C1C5A" w:rsidRPr="00896D4F" w:rsidRDefault="009C1C5A">
      <w:r w:rsidRPr="00896D4F">
        <w:t>Frågan uppkommer inte bara hos den nu anmälda myndigheten och har tid</w:t>
      </w:r>
      <w:r w:rsidRPr="00896D4F">
        <w:t>i</w:t>
      </w:r>
      <w:r w:rsidRPr="00896D4F">
        <w:t>gare behandlats av JO beträffande telefonsystemet hos en kommun, såsom framgår av ett beslut (1995-12-19) refererat i JO:s ämbetsberättelse 1996/97 s. 458. I det ärendet (dnr 4366-1995) anförde JO Wahlström i hithörande del följande.</w:t>
      </w:r>
    </w:p>
    <w:p w:rsidR="009C1C5A" w:rsidRPr="00896D4F" w:rsidRDefault="009C1C5A">
      <w:pPr>
        <w:pStyle w:val="Citat"/>
      </w:pPr>
      <w:r w:rsidRPr="00896D4F">
        <w:t>Någon författningsbestämmelse som positivt tillerkänner ”alla rätt att vara anonyma i sin kontakt med myndighet” finns inte. Däremot finns i tryckfr</w:t>
      </w:r>
      <w:r w:rsidRPr="00896D4F">
        <w:t>i</w:t>
      </w:r>
      <w:r w:rsidRPr="00896D4F">
        <w:t>hetsförordningen (TF) och yttrandefrihets</w:t>
      </w:r>
      <w:r w:rsidRPr="00896D4F">
        <w:softHyphen/>
        <w:t>grundlagen (YGL) vissa regler om anonymitetsskydd. Jag utgår ifrån att det är dessa regler Ni avsett i Er anm</w:t>
      </w:r>
      <w:r w:rsidRPr="00896D4F">
        <w:t>ä</w:t>
      </w:r>
      <w:r w:rsidRPr="00896D4F">
        <w:t>lan.</w:t>
      </w:r>
    </w:p>
    <w:p w:rsidR="009C1C5A" w:rsidRPr="00896D4F" w:rsidRDefault="009C1C5A">
      <w:pPr>
        <w:pStyle w:val="Citatindrag"/>
      </w:pPr>
      <w:r w:rsidRPr="00896D4F">
        <w:t>I TF och YGL finns bestämmelser om rätt till anonymitet för den som med stöd av 1 kap. 1 § tred</w:t>
      </w:r>
      <w:r w:rsidRPr="00896D4F">
        <w:softHyphen/>
        <w:t>je stycket TF eller 1 kap. 2 § YGL lämnar uppgifter för offentliggörande i tryckt skrift respek</w:t>
      </w:r>
      <w:r w:rsidRPr="00896D4F">
        <w:softHyphen/>
        <w:t>tive i radioprogram, filmer och lju</w:t>
      </w:r>
      <w:r w:rsidRPr="00896D4F">
        <w:t>d</w:t>
      </w:r>
      <w:r w:rsidRPr="00896D4F">
        <w:t>upptagningar. Bestämmelserna innebär bl.a. att den som utnyttjat denna s.k. meddelarfrihet inte behöver röja sin identitet samt att den som tagit befattning med till</w:t>
      </w:r>
      <w:r w:rsidRPr="00896D4F">
        <w:softHyphen/>
        <w:t>komsten eller spridningen av tryckt skrift eller en framställning i r</w:t>
      </w:r>
      <w:r w:rsidRPr="00896D4F">
        <w:t>a</w:t>
      </w:r>
      <w:r w:rsidRPr="00896D4F">
        <w:t>dioprogram, film eller ljud</w:t>
      </w:r>
      <w:r w:rsidRPr="00896D4F">
        <w:softHyphen/>
        <w:t>upptag</w:t>
      </w:r>
      <w:r w:rsidRPr="00896D4F">
        <w:softHyphen/>
        <w:t>ning inte får röja vem som lämnat uppgi</w:t>
      </w:r>
      <w:r w:rsidRPr="00896D4F">
        <w:t>f</w:t>
      </w:r>
      <w:r w:rsidRPr="00896D4F">
        <w:t xml:space="preserve">terna. Myndigheter och andra allmänna organ är vidare förbjudna att </w:t>
      </w:r>
      <w:r w:rsidRPr="00896D4F">
        <w:t>efte</w:t>
      </w:r>
      <w:r w:rsidRPr="00896D4F">
        <w:t>r</w:t>
      </w:r>
      <w:r w:rsidRPr="00896D4F">
        <w:t>forska vem som lämnat uppgifter eller annat meddelande i sådant publice</w:t>
      </w:r>
      <w:r w:rsidRPr="00896D4F">
        <w:softHyphen/>
        <w:t>rings</w:t>
      </w:r>
      <w:r w:rsidRPr="00896D4F">
        <w:softHyphen/>
        <w:t>syfte som nyss sagts. Dessa skyddsregler gäller även när offentligt a</w:t>
      </w:r>
      <w:r w:rsidRPr="00896D4F">
        <w:t>n</w:t>
      </w:r>
      <w:r w:rsidRPr="00896D4F">
        <w:t>ställda utnyttjat med</w:t>
      </w:r>
      <w:r w:rsidRPr="00896D4F">
        <w:softHyphen/>
        <w:t>delarfriheten.</w:t>
      </w:r>
    </w:p>
    <w:p w:rsidR="009C1C5A" w:rsidRPr="00896D4F" w:rsidRDefault="009C1C5A">
      <w:pPr>
        <w:pStyle w:val="Citatindrag"/>
      </w:pPr>
      <w:r w:rsidRPr="00896D4F">
        <w:t>Vidare får enligt 2 kap. 14 § tredje stycket TF en myndighet inte på grund av att någon begär att få ta del av allmän handling efterforska vem sökanden är eller vilket syfte han har med sin begäran i större utsträckning än vad som behövs för att myndigheten skall kunna pröva om handlingen kan lämnas ut. Denna regel inneb</w:t>
      </w:r>
      <w:r w:rsidRPr="00896D4F">
        <w:t>är att en sökande inte ens får tillfrågas om sin identitet om uppgifter</w:t>
      </w:r>
      <w:r w:rsidRPr="00896D4F">
        <w:softHyphen/>
        <w:t>na i den allmänna handling han begärt att få ut inte omfattas av n</w:t>
      </w:r>
      <w:r w:rsidRPr="00896D4F">
        <w:t>å</w:t>
      </w:r>
      <w:r w:rsidRPr="00896D4F">
        <w:t>gon regel i sekretesslagen (1980:100). Självfallet får i en sådan situation hans identitet inte heller efterforskas på annat sätt. Endast om uppgifterna i den begärda handlingen omfattas av sekretess och sökandens identitet kan ha betydelse för den sekretessprövning myndigheten i sådant fall har att göra, får sökandens identi</w:t>
      </w:r>
      <w:r w:rsidRPr="00896D4F">
        <w:softHyphen/>
        <w:t>tet efte</w:t>
      </w:r>
      <w:r w:rsidRPr="00896D4F">
        <w:t>r</w:t>
      </w:r>
      <w:r w:rsidRPr="00896D4F">
        <w:t>frågas.</w:t>
      </w:r>
    </w:p>
    <w:p w:rsidR="009C1C5A" w:rsidRPr="00896D4F" w:rsidRDefault="009C1C5A">
      <w:pPr>
        <w:pStyle w:val="Citatindrag"/>
      </w:pPr>
      <w:r w:rsidRPr="00896D4F">
        <w:t>Som jag har uppfattat Er anm</w:t>
      </w:r>
      <w:r w:rsidRPr="00896D4F">
        <w:t>älan hyser Ni farhågor för att dessa grun</w:t>
      </w:r>
      <w:r w:rsidRPr="00896D4F">
        <w:t>d</w:t>
      </w:r>
      <w:r w:rsidRPr="00896D4F">
        <w:t>lagsbestämmelser skulle trädas för när av myndigheter inom Gotlands ko</w:t>
      </w:r>
      <w:r w:rsidRPr="00896D4F">
        <w:t>m</w:t>
      </w:r>
      <w:r w:rsidRPr="00896D4F">
        <w:t>mun genom att kommunen abonnerar på en tele</w:t>
      </w:r>
      <w:r w:rsidRPr="00896D4F">
        <w:softHyphen/>
        <w:t>tjänst som möjliggör att ”inkommande telefonnummer” visas på display hos ko</w:t>
      </w:r>
      <w:r w:rsidRPr="00896D4F">
        <w:t>m</w:t>
      </w:r>
      <w:r w:rsidRPr="00896D4F">
        <w:t>munen.</w:t>
      </w:r>
    </w:p>
    <w:p w:rsidR="009C1C5A" w:rsidRPr="00896D4F" w:rsidRDefault="009C1C5A">
      <w:pPr>
        <w:pStyle w:val="Citatindrag"/>
      </w:pPr>
      <w:r w:rsidRPr="00896D4F">
        <w:t>På displayen visas ett telefonnummer, som innehas av en myndighet, ett företag eller en enskild som ingått ett abonnemangsavtal med ett telefonbolag. En telefon kan emellertid nyttjas även av andra enskilda än abonnenten. Av det visade telefonnumret kan således inte med s</w:t>
      </w:r>
      <w:r w:rsidRPr="00896D4F">
        <w:t>äkerhet dras någon slutsats om den uppringandes identitet. På grund härav kan det förhållandet att numret på den telefon en uppringande enskild använder visas för samtalsmottagaren inte i sig anses medföra att den uppringande personens identitet röjs. Det kan tilläggas att en abonnent hos telebolaget kost</w:t>
      </w:r>
      <w:r w:rsidRPr="00896D4F">
        <w:softHyphen/>
        <w:t>nadsfritt kan begära att hans telefonnummer inte visas hos dem som abonnerar på den här aktuella tel</w:t>
      </w:r>
      <w:r w:rsidRPr="00896D4F">
        <w:t>e</w:t>
      </w:r>
      <w:r w:rsidRPr="00896D4F">
        <w:t>tjänsten.</w:t>
      </w:r>
    </w:p>
    <w:p w:rsidR="009C1C5A" w:rsidRPr="00896D4F" w:rsidRDefault="009C1C5A">
      <w:r w:rsidRPr="00896D4F">
        <w:t xml:space="preserve">– – – </w:t>
      </w:r>
    </w:p>
    <w:p w:rsidR="009C1C5A" w:rsidRPr="00896D4F" w:rsidRDefault="009C1C5A">
      <w:pPr>
        <w:pStyle w:val="Citat"/>
      </w:pPr>
      <w:r w:rsidRPr="00896D4F">
        <w:t>Mot bakgrund av vad jag nu har anfört saknar jag anledning att på grund av innehållet i Er an</w:t>
      </w:r>
      <w:r w:rsidRPr="00896D4F">
        <w:softHyphen/>
        <w:t>mälan anta att införandet av ifrågavarande teletjänst inom Gotlands kommun skulle – som Ni be</w:t>
      </w:r>
      <w:r w:rsidRPr="00896D4F">
        <w:softHyphen/>
        <w:t>farat – stå i strid med TF:s och YGL:s regler om anonymitetsskydd och efterforskningsförbud. Jag finner därför inte skäl att vidta någon åtgärd i anledning av Er anmälan.</w:t>
      </w:r>
    </w:p>
    <w:p w:rsidR="009C1C5A" w:rsidRPr="00896D4F" w:rsidRDefault="009C1C5A">
      <w:r w:rsidRPr="00896D4F">
        <w:t>Den nu gjorda anmälan har jag att bedöma även med hänsyn till den reglering av vissa hithörande frågor som häromåret infördes i telelagstiftningen, till genom</w:t>
      </w:r>
      <w:r w:rsidRPr="00896D4F">
        <w:softHyphen/>
        <w:t>förande av ett inom Europeiska unionen beslutat direktiv om behan</w:t>
      </w:r>
      <w:r w:rsidRPr="00896D4F">
        <w:t>d</w:t>
      </w:r>
      <w:r w:rsidRPr="00896D4F">
        <w:t>ling av per</w:t>
      </w:r>
      <w:r w:rsidRPr="00896D4F">
        <w:softHyphen/>
        <w:t>sonuppgifter och skydd för privatlivet inom telekommunikation</w:t>
      </w:r>
      <w:r w:rsidRPr="00896D4F">
        <w:t>s</w:t>
      </w:r>
      <w:r w:rsidRPr="00896D4F">
        <w:t>området, tele</w:t>
      </w:r>
      <w:r w:rsidRPr="00896D4F">
        <w:softHyphen/>
        <w:t>dataskyddsdirektivet (97/96/EG, SFS 1999:578 och 572, prop. 1998/99:92 s. 1, 25 och 28 f., bet. 1998/99:TU12). Sålunda har föreskrifter meddelats om ”de krav som skall ställas på teletjänster, vilka medger identif</w:t>
      </w:r>
      <w:r w:rsidRPr="00896D4F">
        <w:t>i</w:t>
      </w:r>
      <w:r w:rsidRPr="00896D4F">
        <w:t>ering av det anropande eller det uppringda telefonnumret” (52 § 2 telelagen, 1993:597). I kraven ingår att en anropande abonnent skall ha möjli</w:t>
      </w:r>
      <w:r w:rsidRPr="00896D4F">
        <w:t>ghet att enkelt och kostnadsfritt varaktigt skyd</w:t>
      </w:r>
      <w:r w:rsidRPr="00896D4F">
        <w:softHyphen/>
        <w:t>das mot nummerpresentation och att en anropande användare på motsvarande sätt skall kunna förhindra nummerpr</w:t>
      </w:r>
      <w:r w:rsidRPr="00896D4F">
        <w:t>e</w:t>
      </w:r>
      <w:r w:rsidRPr="00896D4F">
        <w:t>sentation vid enstaka samtal; med nummerpre</w:t>
      </w:r>
      <w:r w:rsidRPr="00896D4F">
        <w:softHyphen/>
        <w:t>sentation avses ”en teletjänst i ett allmänt tillgängligt telenät som medger presen</w:t>
      </w:r>
      <w:r w:rsidRPr="00896D4F">
        <w:softHyphen/>
        <w:t>tation av det anropande telefonnumret” (24–25 §§ teleförordningen, 1997:399). Den som tillhand</w:t>
      </w:r>
      <w:r w:rsidRPr="00896D4F">
        <w:t>a</w:t>
      </w:r>
      <w:r w:rsidRPr="00896D4F">
        <w:t>håller nummerpresentation och skydd mot denna tjänst skall upplysa allmä</w:t>
      </w:r>
      <w:r w:rsidRPr="00896D4F">
        <w:t>n</w:t>
      </w:r>
      <w:r w:rsidRPr="00896D4F">
        <w:t>heten om nämnda möjligheter (28 §).</w:t>
      </w:r>
    </w:p>
    <w:p w:rsidR="009C1C5A" w:rsidRPr="00896D4F" w:rsidRDefault="009C1C5A">
      <w:pPr>
        <w:pStyle w:val="Normaltindrag"/>
      </w:pPr>
      <w:r w:rsidRPr="00896D4F">
        <w:t>Om denna reglering eft</w:t>
      </w:r>
      <w:r w:rsidRPr="00896D4F">
        <w:t>erlevs, kan den som ringer till t.ex. en myndighet tydligen undvika att uppgifter om numret till den använda telefonen därvid överförs dit och eventuellt leder till uppfattningen att den som ringer är den abonnent som numret är knutet till eller någon annan som kan antas ha til</w:t>
      </w:r>
      <w:r w:rsidRPr="00896D4F">
        <w:t>l</w:t>
      </w:r>
      <w:r w:rsidRPr="00896D4F">
        <w:t xml:space="preserve">gång till dennes telefon. </w:t>
      </w:r>
    </w:p>
    <w:p w:rsidR="009C1C5A" w:rsidRPr="00896D4F" w:rsidRDefault="009C1C5A">
      <w:pPr>
        <w:pStyle w:val="Normaltindrag"/>
      </w:pPr>
      <w:r w:rsidRPr="00896D4F">
        <w:t>I riksdagsmotioner har framförts önskemål om lagstiftning i fråga om nummer</w:t>
      </w:r>
      <w:r w:rsidRPr="00896D4F">
        <w:softHyphen/>
        <w:t>presentation. Riksdagen har med anledning härav och även efter införandet av nämnda ändringar i teleförfattningarna framhållit att det är a</w:t>
      </w:r>
      <w:r w:rsidRPr="00896D4F">
        <w:t>n</w:t>
      </w:r>
      <w:r w:rsidRPr="00896D4F">
        <w:t>geläget att enskilda även telefonledes kan kontakta myndigheter anonymt för att lämna uppgifter och begära upplysningar samt att det inte är självklart att det är den enskilde som skall bära ansvaret för att anonymiteten upprätthålls. Riksdagen har gett regeringen detta till känna och att den bör låta frågan om hur anonymiteten skall kunna upp</w:t>
      </w:r>
      <w:r w:rsidRPr="00896D4F">
        <w:softHyphen/>
        <w:t>rätthållas för enskilda s</w:t>
      </w:r>
      <w:r w:rsidRPr="00896D4F">
        <w:t>om kontaktar my</w:t>
      </w:r>
      <w:r w:rsidRPr="00896D4F">
        <w:t>n</w:t>
      </w:r>
      <w:r w:rsidRPr="00896D4F">
        <w:t>digheter per telefon, utan att den enskil</w:t>
      </w:r>
      <w:r w:rsidRPr="00896D4F">
        <w:softHyphen/>
        <w:t>de själv skall behöva vara aktiv, bli föremål för överväganden i något lämpligt sammanhang. (Se till det nu a</w:t>
      </w:r>
      <w:r w:rsidRPr="00896D4F">
        <w:t>n</w:t>
      </w:r>
      <w:r w:rsidRPr="00896D4F">
        <w:t xml:space="preserve">givna bl.a. bet. 1999/2000:KU7 s. 16 f.) </w:t>
      </w:r>
    </w:p>
    <w:p w:rsidR="009C1C5A" w:rsidRPr="00896D4F" w:rsidRDefault="009C1C5A">
      <w:pPr>
        <w:pStyle w:val="Normaltindrag"/>
      </w:pPr>
      <w:r w:rsidRPr="00896D4F">
        <w:t>Sådana överväganden har sedan redovisats i promemorian Några frågor om myndigheternas service (Ds 2001:25 s. 26 f.). Där framförs uppfattningen att det, frånsett vissa verksamhetsområden (t.ex. räddningstjänst), inte torde föreligga något mera påtagligt behov hos myndigheterna av tillgång till nu</w:t>
      </w:r>
      <w:r w:rsidRPr="00896D4F">
        <w:t>m</w:t>
      </w:r>
      <w:r w:rsidRPr="00896D4F">
        <w:t>merpresenta</w:t>
      </w:r>
      <w:r w:rsidRPr="00896D4F">
        <w:softHyphen/>
        <w:t>tion för externa telefonsamtal och att i varje fall de skäl väger tyngre som talar emot en generell användning av tjänsten. Det förutsätts att myndigheterna själv</w:t>
      </w:r>
      <w:r w:rsidRPr="00896D4F">
        <w:softHyphen/>
        <w:t>mant iakttar erforderlig återhållsamhet på detta område, varför någon författnings</w:t>
      </w:r>
      <w:r w:rsidRPr="00896D4F">
        <w:softHyphen/>
        <w:t xml:space="preserve">reglering av saken inte anses påkallad i nuläget. </w:t>
      </w:r>
    </w:p>
    <w:p w:rsidR="009C1C5A" w:rsidRPr="00896D4F" w:rsidRDefault="009C1C5A">
      <w:pPr>
        <w:pStyle w:val="Normaltindrag"/>
      </w:pPr>
      <w:r w:rsidRPr="00896D4F">
        <w:t>Då myndigheternas skyldigheter ännu inte torde ha övervägts slutligt på det sätt som riksdagen avsåg, begränsar jag mitt uttalande i saken till det ovan anförda.</w:t>
      </w:r>
    </w:p>
    <w:p w:rsidR="009C1C5A" w:rsidRPr="00896D4F" w:rsidRDefault="009C1C5A">
      <w:pPr>
        <w:pStyle w:val="Rubrik1"/>
      </w:pPr>
      <w:r w:rsidRPr="00896D4F">
        <w:br w:type="page"/>
        <w:t>Plan- och byggnadsväsendet</w:t>
      </w:r>
    </w:p>
    <w:p w:rsidR="009C1C5A" w:rsidRPr="00896D4F" w:rsidRDefault="009C1C5A">
      <w:pPr>
        <w:pStyle w:val="Rubrik2"/>
        <w:spacing w:before="120"/>
      </w:pPr>
      <w:r w:rsidRPr="00896D4F">
        <w:t>En byggnadsnämnds hantering av ett överklagande som getts in innan beslutet meddelats</w:t>
      </w:r>
    </w:p>
    <w:p w:rsidR="009C1C5A" w:rsidRPr="00896D4F" w:rsidRDefault="009C1C5A">
      <w:pPr>
        <w:spacing w:before="0"/>
      </w:pPr>
      <w:r w:rsidRPr="00896D4F">
        <w:t>(Dnr 542-2001)</w:t>
      </w:r>
    </w:p>
    <w:p w:rsidR="009C1C5A" w:rsidRPr="00896D4F" w:rsidRDefault="009C1C5A">
      <w:pPr>
        <w:pStyle w:val="Rubrik3"/>
      </w:pPr>
      <w:r w:rsidRPr="00896D4F">
        <w:t>Anmälan</w:t>
      </w:r>
    </w:p>
    <w:p w:rsidR="009C1C5A" w:rsidRPr="00896D4F" w:rsidRDefault="009C1C5A">
      <w:r w:rsidRPr="00896D4F">
        <w:t>I en anmälan mot Miljö- och byggnämnden i Ale kommun framförde M.Y. bl.a. följande. Den 26 januari 2001 lämnade han in ett överklagande till nämnden av dess beslut den 24 januari 2001 att med stöd av 8 kap. 23 och 34 §§ plan- och bygglagen (1987:10), PBL, meddela anstånd med prövningen i ett ärende rörande förhandsbesked avseende fyra bostadshus på fastigheten Nödinge 27:2. Vid ett samtal med länsstyrelsen den 9 februari 2001 visade det sig att överklagandet ännu inte kommit in dit.</w:t>
      </w:r>
    </w:p>
    <w:p w:rsidR="009C1C5A" w:rsidRPr="00896D4F" w:rsidRDefault="009C1C5A">
      <w:pPr>
        <w:pStyle w:val="Rubrik3"/>
      </w:pPr>
      <w:r w:rsidRPr="00896D4F">
        <w:t>Utredning</w:t>
      </w:r>
    </w:p>
    <w:p w:rsidR="009C1C5A" w:rsidRPr="00896D4F" w:rsidRDefault="009C1C5A">
      <w:r w:rsidRPr="00896D4F">
        <w:t>Anmälan remitterades till miljö- och byggnämnden för yttrande. Av remissv</w:t>
      </w:r>
      <w:r w:rsidRPr="00896D4F">
        <w:t>a</w:t>
      </w:r>
      <w:r w:rsidRPr="00896D4F">
        <w:t>ret framgår bl.a. följande. Protokollet från miljö- och byggnämndens sa</w:t>
      </w:r>
      <w:r w:rsidRPr="00896D4F">
        <w:t>m</w:t>
      </w:r>
      <w:r w:rsidRPr="00896D4F">
        <w:t>manträde den 24 januari 2001 justerades den 7 februari 2001. Efter rättid</w:t>
      </w:r>
      <w:r w:rsidRPr="00896D4F">
        <w:t>s</w:t>
      </w:r>
      <w:r w:rsidRPr="00896D4F">
        <w:t>prövning följande dag, skickades det överklagade beslutet tillsammans med överklagandet till länsstyrelsen.</w:t>
      </w:r>
    </w:p>
    <w:p w:rsidR="009C1C5A" w:rsidRPr="00896D4F" w:rsidRDefault="009C1C5A">
      <w:r w:rsidRPr="00896D4F">
        <w:t>M.Y. kommenterade remissvaret.</w:t>
      </w:r>
    </w:p>
    <w:p w:rsidR="009C1C5A" w:rsidRPr="00896D4F" w:rsidRDefault="009C1C5A">
      <w:r w:rsidRPr="00896D4F">
        <w:t xml:space="preserve">I sitt beslut den 5 april 2002 anförde </w:t>
      </w:r>
      <w:r w:rsidRPr="00896D4F">
        <w:rPr>
          <w:i/>
        </w:rPr>
        <w:t xml:space="preserve">JO Berggren </w:t>
      </w:r>
      <w:r w:rsidRPr="00896D4F">
        <w:t>följande.</w:t>
      </w:r>
    </w:p>
    <w:p w:rsidR="009C1C5A" w:rsidRPr="00896D4F" w:rsidRDefault="009C1C5A">
      <w:pPr>
        <w:pStyle w:val="Rubrik3"/>
      </w:pPr>
      <w:r w:rsidRPr="00896D4F">
        <w:t>Bedömning</w:t>
      </w:r>
    </w:p>
    <w:p w:rsidR="009C1C5A" w:rsidRPr="00896D4F" w:rsidRDefault="009C1C5A">
      <w:r w:rsidRPr="00896D4F">
        <w:t>Beslut enligt 8 kap. 23 § PBL om anstånd med avgörandet av ansökningar om lov får överklagas hos länsstyrelsen genom förvaltningsbesvär, se 13 kap. 2 § PBL.</w:t>
      </w:r>
    </w:p>
    <w:p w:rsidR="009C1C5A" w:rsidRPr="00896D4F" w:rsidRDefault="009C1C5A">
      <w:pPr>
        <w:pStyle w:val="Normaltindrag"/>
      </w:pPr>
      <w:r w:rsidRPr="00896D4F">
        <w:t>Enligt 23 § andra stycket förvaltningslagen (1986:223), FL, skall en skr</w:t>
      </w:r>
      <w:r w:rsidRPr="00896D4F">
        <w:t>i</w:t>
      </w:r>
      <w:r w:rsidRPr="00896D4F">
        <w:t>velse med överklagande ha kommit in till den myndighet, som fattat det b</w:t>
      </w:r>
      <w:r w:rsidRPr="00896D4F">
        <w:t>e</w:t>
      </w:r>
      <w:r w:rsidRPr="00896D4F">
        <w:t>slut som överklagas, inom tre veckor från den dag då klaganden fick del av beslutet. Beslutsmyndigheten prövar enligt 24 § FL om skrivelsen med öve</w:t>
      </w:r>
      <w:r w:rsidRPr="00896D4F">
        <w:t>r</w:t>
      </w:r>
      <w:r w:rsidRPr="00896D4F">
        <w:t>klagandet har kommit in i rätt tid, s.k. rättidsprövning, och skall om detta är fallet, enligt 25 § FL överlämna skrivelsen och övriga handlingar i ärendet till den myndighet som skall pröva överklagandet. Har skrivelsen kommit in för sent, skall den som regel avvisas.</w:t>
      </w:r>
    </w:p>
    <w:p w:rsidR="009C1C5A" w:rsidRPr="00896D4F" w:rsidRDefault="009C1C5A">
      <w:pPr>
        <w:pStyle w:val="Normaltindrag"/>
      </w:pPr>
      <w:r w:rsidRPr="00896D4F">
        <w:t>Frågan inom vilken t</w:t>
      </w:r>
      <w:r w:rsidRPr="00896D4F">
        <w:t>idsfrist en förvaltningsmyndighet skall överlämna en skrivelse med överklagande och övriga handlingar i ärendet till överinstansen är inte reglerad i någon författning. Det ligger i sakens natur att ett överlä</w:t>
      </w:r>
      <w:r w:rsidRPr="00896D4F">
        <w:t>m</w:t>
      </w:r>
      <w:r w:rsidRPr="00896D4F">
        <w:t>nande – när sådant skall äga rum – måste ske utan dröjsmål. Den allmänna regeln i 7 § FL om snabb och enkel handläggning m.m. skall vara vägledande även i detta hänseende (prop. 1985/86:80 s. 77). När beslutet inte omprövas, bör överlämnandet normalt ske inom en vecka efter det att överklagandet kom i</w:t>
      </w:r>
      <w:r w:rsidRPr="00896D4F">
        <w:t>n till myndigheten.</w:t>
      </w:r>
    </w:p>
    <w:p w:rsidR="009C1C5A" w:rsidRPr="00896D4F" w:rsidRDefault="009C1C5A">
      <w:pPr>
        <w:pStyle w:val="Normaltindrag"/>
      </w:pPr>
      <w:r w:rsidRPr="00896D4F">
        <w:t>För att kunna bedöma nämndens handläggning av överklagandet måste först avgöras vid vilken tidpunkt nämndens beslut kan anses vara fattat.</w:t>
      </w:r>
    </w:p>
    <w:p w:rsidR="009C1C5A" w:rsidRPr="00896D4F" w:rsidRDefault="009C1C5A">
      <w:pPr>
        <w:pStyle w:val="Normaltindrag"/>
      </w:pPr>
      <w:r w:rsidRPr="00896D4F">
        <w:t>Vid sammanträden i kommunfullmäktige och kommunala nämnder skall protokoll föras på ordförandens ansvar (se 5 kap. 57 § och 6 kap. 30 § ko</w:t>
      </w:r>
      <w:r w:rsidRPr="00896D4F">
        <w:t>m</w:t>
      </w:r>
      <w:r w:rsidRPr="00896D4F">
        <w:t>munallagen, 1991:900). Enligt 5 kap. 59 § skall protokollet redovisa bl.a. vilka beslut som har fattats vid sammanträdet. Ett protokoll skall enligt 5 kap. 61 § justeras senast fjorton dagar efter sammanträdet. Justeringens funktion är att bekräfta att protokollet rätt återger vad som förevarit under sammanträdet.</w:t>
      </w:r>
    </w:p>
    <w:p w:rsidR="009C1C5A" w:rsidRPr="00896D4F" w:rsidRDefault="009C1C5A">
      <w:pPr>
        <w:pStyle w:val="Normaltindrag"/>
      </w:pPr>
      <w:r w:rsidRPr="00896D4F">
        <w:t>En förutsättning för att de beslut som tas upp i ett protokoll skall få ver</w:t>
      </w:r>
      <w:r w:rsidRPr="00896D4F">
        <w:t>k</w:t>
      </w:r>
      <w:r w:rsidRPr="00896D4F">
        <w:t>ställas är att protokollet justerats. Det är också vid denna tidpunkt protokollet blir en allmän handling (se 2 kap. 3 § tryckfrihetsförordningen) och således föreligger i sitt definitiva skick. Det är inte heller möjligt för en överinstans att pröva ett överklagat beslut innan detta är skriftligen dokumenterat (se Ragnemalm, Förvaltningsbesluts överklagbarhet, 1970, s. 35). Allt detta talar enligt min mening för att en kommunal nämnds beslut kan anses vara defin</w:t>
      </w:r>
      <w:r w:rsidRPr="00896D4F">
        <w:t>i</w:t>
      </w:r>
      <w:r w:rsidRPr="00896D4F">
        <w:t>tivt först sedan protokollet har justerats.</w:t>
      </w:r>
    </w:p>
    <w:p w:rsidR="009C1C5A" w:rsidRPr="00896D4F" w:rsidRDefault="009C1C5A">
      <w:pPr>
        <w:pStyle w:val="Normaltindrag"/>
      </w:pPr>
      <w:r w:rsidRPr="00896D4F">
        <w:t>Miljö- och byggnämnden beslutade om anstånd i ärendet om förhandsb</w:t>
      </w:r>
      <w:r w:rsidRPr="00896D4F">
        <w:t>e</w:t>
      </w:r>
      <w:r w:rsidRPr="00896D4F">
        <w:t>sked vid ett sammanträde den 24 januari 2001. Protokollet från sammanträdet justerades den 7 februari 2001. En skrivelse rubricerad ”Överklagan av beslut om anstånd, taget i Miljö- och Byggnämnden i Ale Kommun 010124 – Dnr 545/00”, ställd till Länsstyrelsen i Västra Götalands län, lämnades in till nämnden den 26 januari 2001. Den 8 februari 2001 skickade nämnden öve</w:t>
      </w:r>
      <w:r w:rsidRPr="00896D4F">
        <w:t>r</w:t>
      </w:r>
      <w:r w:rsidRPr="00896D4F">
        <w:t>klagandet till länsstyrelsen, efter att ha prövat att det kommit in i rätt tid.</w:t>
      </w:r>
    </w:p>
    <w:p w:rsidR="009C1C5A" w:rsidRPr="00896D4F" w:rsidRDefault="009C1C5A">
      <w:pPr>
        <w:pStyle w:val="Normaltindrag"/>
      </w:pPr>
      <w:r w:rsidRPr="00896D4F">
        <w:t>Den till länsstyrelsen ställda skrivelsen har enligt sin rubri</w:t>
      </w:r>
      <w:r w:rsidRPr="00896D4F">
        <w:t>k innefattat ett överklagande av miljö- och byggnämndens beslut om anstånd. När skrivelsen kom in till nämnden hade protokollet från nämndens sammanträde ännu inte justerats. Överklagandet gjordes således innan beslutet formellt hade medd</w:t>
      </w:r>
      <w:r w:rsidRPr="00896D4F">
        <w:t>e</w:t>
      </w:r>
      <w:r w:rsidRPr="00896D4F">
        <w:t>lats. JO har tidigare sagt angående sådana överklaganden att beslutsmyndi</w:t>
      </w:r>
      <w:r w:rsidRPr="00896D4F">
        <w:t>g</w:t>
      </w:r>
      <w:r w:rsidRPr="00896D4F">
        <w:t>heten omgående bör överlämna skrivelsen med överklagandet till överinsta</w:t>
      </w:r>
      <w:r w:rsidRPr="00896D4F">
        <w:t>n</w:t>
      </w:r>
      <w:r w:rsidRPr="00896D4F">
        <w:t>sen och samtidigt underrätta densamma om att något beslut ännu inte medd</w:t>
      </w:r>
      <w:r w:rsidRPr="00896D4F">
        <w:t>e</w:t>
      </w:r>
      <w:r w:rsidRPr="00896D4F">
        <w:t>lats i det aktuella ärendet (se JO:s ämbetsberättelse</w:t>
      </w:r>
      <w:r w:rsidRPr="00896D4F">
        <w:t xml:space="preserve"> 1998/99 s. 443). Jag gör för min del inte någon annan bedömning. Miljö- och byggnämnden borde således i detta fall snarast ha överlämnat skrivelsen med överklagandet till länsstyrelsen och samtidigt underrättat länsstyrelsen om att protokollet inte hade justerats.</w:t>
      </w:r>
    </w:p>
    <w:p w:rsidR="009C1C5A" w:rsidRPr="00896D4F" w:rsidRDefault="009C1C5A">
      <w:pPr>
        <w:pStyle w:val="Rubrik2"/>
      </w:pPr>
      <w:r w:rsidRPr="00896D4F">
        <w:t xml:space="preserve">Frågor om dels förfarandet vid ändringar av en kommunal myndighets beslut genom självrättelse, dels utrymmet för villkor i beslut om lov enligt plan- och bygglagen (1987:10, PBL) </w:t>
      </w:r>
    </w:p>
    <w:p w:rsidR="009C1C5A" w:rsidRPr="00896D4F" w:rsidRDefault="009C1C5A">
      <w:pPr>
        <w:spacing w:before="0"/>
      </w:pPr>
      <w:r w:rsidRPr="00896D4F">
        <w:t>(Dnr 3337-2001)</w:t>
      </w:r>
    </w:p>
    <w:p w:rsidR="009C1C5A" w:rsidRPr="00896D4F" w:rsidRDefault="009C1C5A">
      <w:r w:rsidRPr="00896D4F">
        <w:rPr>
          <w:i/>
        </w:rPr>
        <w:t>JO Berggren</w:t>
      </w:r>
      <w:r w:rsidRPr="00896D4F">
        <w:t xml:space="preserve"> inspekterade i oktober 2001 Byggnadsnämnden i Uppsala kommun. De vid granskningen av nämndens protokoll m.m. gjorda iakttage</w:t>
      </w:r>
      <w:r w:rsidRPr="00896D4F">
        <w:t>l</w:t>
      </w:r>
      <w:r w:rsidRPr="00896D4F">
        <w:t>serna föranled</w:t>
      </w:r>
      <w:r w:rsidRPr="00896D4F">
        <w:softHyphen/>
        <w:t>de, under skilda avsnitt i inspektionsprotokollet, bl.a. de utt</w:t>
      </w:r>
      <w:r w:rsidRPr="00896D4F">
        <w:t>a</w:t>
      </w:r>
      <w:r w:rsidRPr="00896D4F">
        <w:t>landen som framgår nedan.</w:t>
      </w:r>
    </w:p>
    <w:p w:rsidR="009C1C5A" w:rsidRPr="00896D4F" w:rsidRDefault="009C1C5A">
      <w:pPr>
        <w:pStyle w:val="Rubrik3"/>
      </w:pPr>
      <w:r w:rsidRPr="00896D4F">
        <w:t>Rättelse av beslut</w:t>
      </w:r>
    </w:p>
    <w:p w:rsidR="009C1C5A" w:rsidRPr="00896D4F" w:rsidRDefault="009C1C5A">
      <w:r w:rsidRPr="00896D4F">
        <w:t xml:space="preserve">Byggnadsnämnden beslutade </w:t>
      </w:r>
      <w:r w:rsidRPr="00896D4F">
        <w:rPr>
          <w:u w:val="single"/>
        </w:rPr>
        <w:t>den 23 november 2000, § 615,</w:t>
      </w:r>
      <w:r w:rsidRPr="00896D4F">
        <w:t xml:space="preserve"> att, enligt vad den ur</w:t>
      </w:r>
      <w:r w:rsidRPr="00896D4F">
        <w:softHyphen/>
        <w:t xml:space="preserve">sprungliga texten anger, </w:t>
      </w:r>
      <w:r w:rsidRPr="00896D4F">
        <w:rPr>
          <w:i/>
        </w:rPr>
        <w:t>med mindre avvikelse</w:t>
      </w:r>
      <w:r w:rsidRPr="00896D4F">
        <w:t xml:space="preserve"> bevilja begärt bygglov, för nybygg</w:t>
      </w:r>
      <w:r w:rsidRPr="00896D4F">
        <w:softHyphen/>
        <w:t xml:space="preserve">nad av carport med förråd. Som ”Motiv </w:t>
      </w:r>
      <w:r w:rsidRPr="00896D4F">
        <w:rPr>
          <w:i/>
        </w:rPr>
        <w:t>till mindre avvikelse</w:t>
      </w:r>
      <w:r w:rsidRPr="00896D4F">
        <w:t>” anges i proto</w:t>
      </w:r>
      <w:r w:rsidRPr="00896D4F">
        <w:softHyphen/>
        <w:t>kollet härvid följande. ”Enligt detaljplanen får garage förläggas i gräns mot grann</w:t>
      </w:r>
      <w:r w:rsidRPr="00896D4F">
        <w:softHyphen/>
        <w:t>tomt där byggnadsnämnden så finner lämpligt. Placeringen kan ej anses störa eftersom – – – .” De i JO:s protokoll nu kursiverade orden är överstrukna, och på ett utrym</w:t>
      </w:r>
      <w:r w:rsidRPr="00896D4F">
        <w:softHyphen/>
        <w:t>me bredvid i nämndens protokoll har för hand skrivit</w:t>
      </w:r>
      <w:r w:rsidRPr="00896D4F">
        <w:t>s: ”Felskrivet. Änd</w:t>
      </w:r>
      <w:r w:rsidRPr="00896D4F">
        <w:softHyphen/>
        <w:t xml:space="preserve">rat 2000-11-05”, undertecknat av sekreteraren. </w:t>
      </w:r>
    </w:p>
    <w:p w:rsidR="009C1C5A" w:rsidRPr="00896D4F" w:rsidRDefault="009C1C5A">
      <w:r w:rsidRPr="00896D4F">
        <w:rPr>
          <w:i/>
        </w:rPr>
        <w:t>JO Berggren</w:t>
      </w:r>
      <w:r w:rsidRPr="00896D4F">
        <w:t xml:space="preserve"> lät anteckna följande.</w:t>
      </w:r>
    </w:p>
    <w:p w:rsidR="009C1C5A" w:rsidRPr="00896D4F" w:rsidRDefault="009C1C5A">
      <w:r w:rsidRPr="00896D4F">
        <w:t>Enligt de här tillämpliga reglerna i 26 § (jfr 31 §) förvaltningslagen får ett beslut som innehåller en uppenbar oriktighet till följd av myndighetens eller någon an</w:t>
      </w:r>
      <w:r w:rsidRPr="00896D4F">
        <w:softHyphen/>
        <w:t>nans skrivfel, räknefel eller liknande förbiseende, rättas av den my</w:t>
      </w:r>
      <w:r w:rsidRPr="00896D4F">
        <w:t>n</w:t>
      </w:r>
      <w:r w:rsidRPr="00896D4F">
        <w:t>dighet som har meddelat beslutet. Innan rättelse sker skall myndigheten ge den som är part tillfäl</w:t>
      </w:r>
      <w:r w:rsidRPr="00896D4F">
        <w:softHyphen/>
        <w:t>le att yttra sig, om ärendet avser myndighetsutöv</w:t>
      </w:r>
      <w:r w:rsidRPr="00896D4F">
        <w:softHyphen/>
        <w:t>ning mot någon enskild och åt</w:t>
      </w:r>
      <w:r w:rsidRPr="00896D4F">
        <w:softHyphen/>
        <w:t>gärden inte är obehövlig.</w:t>
      </w:r>
    </w:p>
    <w:p w:rsidR="009C1C5A" w:rsidRPr="00896D4F" w:rsidRDefault="009C1C5A">
      <w:pPr>
        <w:pStyle w:val="Normaltindrag"/>
      </w:pPr>
      <w:r w:rsidRPr="00896D4F">
        <w:t>Jag utgår från att vad som strukits var en uppenbar oriktighet till följd av det slags förbiseende som anges i den nämnda bestämmelsen. Vidare torde det ha varit obe</w:t>
      </w:r>
      <w:r w:rsidRPr="00896D4F">
        <w:softHyphen/>
        <w:t>hövligt att höra parter i frågan.</w:t>
      </w:r>
    </w:p>
    <w:p w:rsidR="009C1C5A" w:rsidRPr="00896D4F" w:rsidRDefault="009C1C5A">
      <w:pPr>
        <w:pStyle w:val="Normaltindrag"/>
      </w:pPr>
      <w:r w:rsidRPr="00896D4F">
        <w:t>Förfarandet i övrigt vid rättelsen är däremot inte godtagbart. Först bör där</w:t>
      </w:r>
      <w:r w:rsidRPr="00896D4F">
        <w:softHyphen/>
        <w:t>vidlag konstateras att datum för ändringen i protokollet uppenbarligen är felskrivet; det är ett tidigare än dagen för sammanträdet. Vad som är av mera principiellt intresse är emellertid det förhål</w:t>
      </w:r>
      <w:r w:rsidRPr="00896D4F">
        <w:softHyphen/>
        <w:t>landet att det är nämndens sekret</w:t>
      </w:r>
      <w:r w:rsidRPr="00896D4F">
        <w:t>e</w:t>
      </w:r>
      <w:r w:rsidRPr="00896D4F">
        <w:t>rare som undertecknat anteckningen om ändring.</w:t>
      </w:r>
    </w:p>
    <w:p w:rsidR="009C1C5A" w:rsidRPr="00896D4F" w:rsidRDefault="009C1C5A">
      <w:pPr>
        <w:pStyle w:val="Normaltindrag"/>
      </w:pPr>
      <w:r w:rsidRPr="00896D4F">
        <w:t xml:space="preserve">Rättelse av förbiseendefel skall i princip ske i samma ordning som gäller för det ursprungliga beslutandet. Beroende på felets art får det dock anses möjligt att i en del fall lätta på kravet att en rättelse måste beslutas vid ett </w:t>
      </w:r>
      <w:r w:rsidRPr="00896D4F">
        <w:t>kommande sammanträ</w:t>
      </w:r>
      <w:r w:rsidRPr="00896D4F">
        <w:softHyphen/>
        <w:t>de – vad nu gäller kommunala myndigheters beslut i ärenden som inte delegerats.</w:t>
      </w:r>
    </w:p>
    <w:p w:rsidR="009C1C5A" w:rsidRPr="00896D4F" w:rsidRDefault="009C1C5A">
      <w:pPr>
        <w:pStyle w:val="Normaltindrag"/>
      </w:pPr>
      <w:r w:rsidRPr="00896D4F">
        <w:t>I avsaknad av en närmare reglering i förvaltningslagen på denna punkt, är det på det område med kollektivt beslutsfattande som det här gäller naturligt att söka ut</w:t>
      </w:r>
      <w:r w:rsidRPr="00896D4F">
        <w:softHyphen/>
        <w:t>gångspunkter i kommunallagens regler om förfarandet i nämnder vid protokoll</w:t>
      </w:r>
      <w:r w:rsidRPr="00896D4F">
        <w:softHyphen/>
        <w:t>föring m.m. Enligt 6 kap. 30 § (jfr 11 kap. 3 § första stycket PBL) skall därvidlag bestämmelserna för fullmäktige tillämpas. Dessa inne</w:t>
      </w:r>
      <w:r w:rsidRPr="00896D4F">
        <w:softHyphen/>
        <w:t>håller bl.a. följande (5 kap. 57 och 60 §§). Vid sammanträdena skall proto</w:t>
      </w:r>
      <w:r w:rsidRPr="00896D4F">
        <w:softHyphen/>
        <w:t>koll föras på ordförandens ansvar, och ett protokoll skall justeras senast fjorton dagar efter sammanträdet på det sätt som fullmäktige har bestämt.</w:t>
      </w:r>
    </w:p>
    <w:p w:rsidR="009C1C5A" w:rsidRPr="00896D4F" w:rsidRDefault="009C1C5A">
      <w:pPr>
        <w:pStyle w:val="Normaltindrag"/>
      </w:pPr>
      <w:r w:rsidRPr="00896D4F">
        <w:t>Att justera ett protokoll innebär att kontrollera riktigheten av detta sam</w:t>
      </w:r>
      <w:r w:rsidRPr="00896D4F">
        <w:t>t att, efter eventuella ändringar, intyga denna med sin namnteckning. Kontrollen avser vad som har förevarit under sammanträdet. Någon anledning att där</w:t>
      </w:r>
      <w:r w:rsidRPr="00896D4F">
        <w:softHyphen/>
        <w:t>vidlag undanta uppgifter om sakförhållandena i behandlade ärenden före</w:t>
      </w:r>
      <w:r w:rsidRPr="00896D4F">
        <w:softHyphen/>
        <w:t>ligger inte. En annan sak är att justerare kan vara beroende av handläggande tjänstemäns medverkan i såda</w:t>
      </w:r>
      <w:r w:rsidRPr="00896D4F">
        <w:softHyphen/>
        <w:t>na hänseenden. Detsamma gäller för övrigt sekreterare, vilka inte omfattas av den uttryckliga regleringen i kommunal</w:t>
      </w:r>
      <w:r w:rsidRPr="00896D4F">
        <w:softHyphen/>
        <w:t>lagen och är att anse som biträden åt ordföra</w:t>
      </w:r>
      <w:r w:rsidRPr="00896D4F">
        <w:t>n</w:t>
      </w:r>
      <w:r w:rsidRPr="00896D4F">
        <w:softHyphen/>
        <w:t>de.</w:t>
      </w:r>
    </w:p>
    <w:p w:rsidR="009C1C5A" w:rsidRPr="00896D4F" w:rsidRDefault="009C1C5A">
      <w:pPr>
        <w:pStyle w:val="Normaltindrag"/>
      </w:pPr>
      <w:r w:rsidRPr="00896D4F">
        <w:t xml:space="preserve">Som justerare </w:t>
      </w:r>
      <w:r w:rsidRPr="00896D4F">
        <w:t>anses ordföranden självskriven (prop. 1990/91:117 s. 193), utöver den eller dem som särskilt utsetts för uppdraget.</w:t>
      </w:r>
    </w:p>
    <w:p w:rsidR="009C1C5A" w:rsidRPr="00896D4F" w:rsidRDefault="009C1C5A">
      <w:pPr>
        <w:pStyle w:val="Normaltindrag"/>
      </w:pPr>
      <w:r w:rsidRPr="00896D4F">
        <w:t>Mot denna bakgrund bör det enligt min mening krävas att en rättelse av ett justerat protokoll bestyrks av justerarna, om nu inte beslut i den frågan fattas vid ett sam</w:t>
      </w:r>
      <w:r w:rsidRPr="00896D4F">
        <w:softHyphen/>
        <w:t>manträde (jfr Hilborn m.fl., Kommunallagen, upplaga år 2001, s. 266, ang. full</w:t>
      </w:r>
      <w:r w:rsidRPr="00896D4F">
        <w:softHyphen/>
        <w:t>mäktiges protokoll), vilket kan anses nödvändigt för rättelser som avser själva innehållet i fatta</w:t>
      </w:r>
      <w:r w:rsidRPr="00896D4F">
        <w:softHyphen/>
        <w:t>de b</w:t>
      </w:r>
      <w:r w:rsidRPr="00896D4F">
        <w:t>e</w:t>
      </w:r>
      <w:r w:rsidRPr="00896D4F">
        <w:t>slut.</w:t>
      </w:r>
    </w:p>
    <w:p w:rsidR="009C1C5A" w:rsidRPr="00896D4F" w:rsidRDefault="009C1C5A">
      <w:pPr>
        <w:pStyle w:val="Normaltindrag"/>
      </w:pPr>
      <w:r w:rsidRPr="00896D4F">
        <w:t>Denna hållning i fråga om formerna för rättelse vinner stöd av den närmare regle</w:t>
      </w:r>
      <w:r w:rsidRPr="00896D4F">
        <w:softHyphen/>
        <w:t>ring som finns på domstolarnas område. Enligt 36 § förordningen (1979:575) om protokollföring m.m. vid de allmänna förvaltningsdomstolar</w:t>
      </w:r>
      <w:r w:rsidRPr="00896D4F">
        <w:softHyphen/>
        <w:t>na gäller sålunda följande. Rättelse eller komplettering av en dom eller ett annat beslut enligt 32 § förvaltningsprocesslagen (1971:291) skall antecknas av ordföranden på originalet till domen eller beslutet eller, när beslutet har tagits in i ett protokoll, i detta proto</w:t>
      </w:r>
      <w:r w:rsidRPr="00896D4F">
        <w:softHyphen/>
        <w:t>koll. I anteckningen skall dagen för rät</w:t>
      </w:r>
      <w:r w:rsidRPr="00896D4F">
        <w:softHyphen/>
        <w:t>telsen eller kompletteringen anges. En mot</w:t>
      </w:r>
      <w:r w:rsidRPr="00896D4F">
        <w:softHyphen/>
        <w:t>svarande anteckn</w:t>
      </w:r>
      <w:r w:rsidRPr="00896D4F">
        <w:t>ing skall göras på u</w:t>
      </w:r>
      <w:r w:rsidRPr="00896D4F">
        <w:t>t</w:t>
      </w:r>
      <w:r w:rsidRPr="00896D4F">
        <w:t>skrifter av domen eller beslutet om detta kan ske. – Sådana åtgärder med berörda handlingar har förordats även beträffande för</w:t>
      </w:r>
      <w:r w:rsidRPr="00896D4F">
        <w:softHyphen/>
        <w:t>valtningsmyndig</w:t>
      </w:r>
      <w:r w:rsidRPr="00896D4F">
        <w:softHyphen/>
        <w:t>heternas handläggning av ärenden (Hellners och Malmqvist, Nya förvalt</w:t>
      </w:r>
      <w:r w:rsidRPr="00896D4F">
        <w:softHyphen/>
        <w:t>ningslagen med kommentarer, 5 u. 1999, s. 292).</w:t>
      </w:r>
    </w:p>
    <w:p w:rsidR="009C1C5A" w:rsidRPr="00896D4F" w:rsidRDefault="009C1C5A">
      <w:r w:rsidRPr="00896D4F">
        <w:t xml:space="preserve">Vid </w:t>
      </w:r>
      <w:r w:rsidRPr="00896D4F">
        <w:rPr>
          <w:u w:val="single"/>
        </w:rPr>
        <w:t>sammanträde den 8 mars 2001, § 131,</w:t>
      </w:r>
      <w:r w:rsidRPr="00896D4F">
        <w:t xml:space="preserve"> beslutade nämnden att bevilja begärt bygglov för vissa tillfälliga åtgärder och att ta ut avgift för handläg</w:t>
      </w:r>
      <w:r w:rsidRPr="00896D4F">
        <w:t>g</w:t>
      </w:r>
      <w:r w:rsidRPr="00896D4F">
        <w:t>ningen (”bygglovavgift”) med 11 786 kr. I protokollet har detta belopp str</w:t>
      </w:r>
      <w:r w:rsidRPr="00896D4F">
        <w:t>u</w:t>
      </w:r>
      <w:r w:rsidRPr="00896D4F">
        <w:t>kits och ett nytt tillfogats, 5 890. Intill är för hand skrivet följande, daterat den 11 septem</w:t>
      </w:r>
      <w:r w:rsidRPr="00896D4F">
        <w:softHyphen/>
        <w:t>ber samma år och undertecknat av nämndens sekreterare: ”Enligt överenskommel</w:t>
      </w:r>
      <w:r w:rsidRPr="00896D4F">
        <w:softHyphen/>
        <w:t xml:space="preserve">se med sök. 2001-09-06 och [en bygglovsarkitekt]” </w:t>
      </w:r>
    </w:p>
    <w:p w:rsidR="009C1C5A" w:rsidRPr="00896D4F" w:rsidRDefault="009C1C5A">
      <w:pPr>
        <w:pStyle w:val="Normaltindrag"/>
      </w:pPr>
      <w:r w:rsidRPr="00896D4F">
        <w:t>På förfrågan uppgav den handläggande arkitekten nu följande. Det sen</w:t>
      </w:r>
      <w:r w:rsidRPr="00896D4F">
        <w:t>are avgifts</w:t>
      </w:r>
      <w:r w:rsidRPr="00896D4F">
        <w:softHyphen/>
        <w:t>beloppet var resultatet av en omprövning som begärts av sökanden. Ändringen gjordes efter en skälighetsbedömning som grundades på vad som i protokollet berörts sålunda: ”Ärendet har föregåtts av flera separata tidsb</w:t>
      </w:r>
      <w:r w:rsidRPr="00896D4F">
        <w:t>e</w:t>
      </w:r>
      <w:r w:rsidRPr="00896D4F">
        <w:t xml:space="preserve">gränsade bygglov som utgått.” Den prövning som det nu beviljade lovet grundades på hade i viss utsträckning redan gjorts i de tidigare ärenden, i vilka avgift tagits ut. </w:t>
      </w:r>
    </w:p>
    <w:p w:rsidR="009C1C5A" w:rsidRPr="00896D4F" w:rsidRDefault="009C1C5A">
      <w:r w:rsidRPr="00896D4F">
        <w:rPr>
          <w:i/>
        </w:rPr>
        <w:t>JO Berggren</w:t>
      </w:r>
      <w:r w:rsidRPr="00896D4F">
        <w:t xml:space="preserve"> lät anteckna följande.</w:t>
      </w:r>
    </w:p>
    <w:p w:rsidR="009C1C5A" w:rsidRPr="00896D4F" w:rsidRDefault="009C1C5A">
      <w:r w:rsidRPr="00896D4F">
        <w:t>Den ändring av avgiftens belopp som här skedde – och som jag förutsätter hade stöd i gällande taxa (jfr 11 kap. 5 § tredje stycket PBL) – avsåg inte något som kan anses som ”skrivfel, räknefel eller liknande förbiseende” (26 § förvaltnings</w:t>
      </w:r>
      <w:r w:rsidRPr="00896D4F">
        <w:softHyphen/>
        <w:t>lagen). I stället var ändringen en följd av en omprövning av det i frågan först fatta</w:t>
      </w:r>
      <w:r w:rsidRPr="00896D4F">
        <w:softHyphen/>
        <w:t>de beslutet. Som framgår av de bestämmelser här</w:t>
      </w:r>
      <w:r w:rsidRPr="00896D4F">
        <w:softHyphen/>
        <w:t>om som har meddelats i 27 § för</w:t>
      </w:r>
      <w:r w:rsidRPr="00896D4F">
        <w:softHyphen/>
        <w:t>valtningslagen, är det naturligtvis den beslutande my</w:t>
      </w:r>
      <w:r w:rsidRPr="00896D4F">
        <w:t>n</w:t>
      </w:r>
      <w:r w:rsidRPr="00896D4F">
        <w:t>digheten som svarar även för en ändring.</w:t>
      </w:r>
    </w:p>
    <w:p w:rsidR="009C1C5A" w:rsidRPr="00896D4F" w:rsidRDefault="009C1C5A">
      <w:pPr>
        <w:pStyle w:val="Normaltindrag"/>
      </w:pPr>
      <w:r w:rsidRPr="00896D4F">
        <w:t>Den lättnad i handläggningens former, som enligt det ovan anförda är tänkbar vid rättelse av förbiseendefel, är utesluten vid ändring av beslut i samband med om</w:t>
      </w:r>
      <w:r w:rsidRPr="00896D4F">
        <w:softHyphen/>
        <w:t>prövning. Förutsättningen för att någon tjänsteman, i stället för hela nämnden, skall få besluta ändring är att en delegering ger behörighet att avgöra frågan (jfr 6 kap. 33-34 §§ kommunallagen och 11 kap. 3 § PBL). Enligt åtminstone den delegationsordning som företeddes vid inspektionen (se ett annat avsnitt i JO:s proto</w:t>
      </w:r>
      <w:r w:rsidRPr="00896D4F">
        <w:softHyphen/>
        <w:t>koll) var bara stadsbyggnadsdirektören dele</w:t>
      </w:r>
      <w:r w:rsidRPr="00896D4F">
        <w:softHyphen/>
        <w:t>gat i fråga om beslut om avgift av det här slaget.</w:t>
      </w:r>
    </w:p>
    <w:p w:rsidR="009C1C5A" w:rsidRPr="00896D4F" w:rsidRDefault="009C1C5A">
      <w:pPr>
        <w:pStyle w:val="Normaltindrag"/>
      </w:pPr>
      <w:r w:rsidRPr="00896D4F">
        <w:t>Det har vid inspektionen inte framkommit att något senare beslut om a</w:t>
      </w:r>
      <w:r w:rsidRPr="00896D4F">
        <w:t>v</w:t>
      </w:r>
      <w:r w:rsidRPr="00896D4F">
        <w:t>gif</w:t>
      </w:r>
      <w:r w:rsidRPr="00896D4F">
        <w:softHyphen/>
        <w:t>ten meddelades, vilket hade varit den korrekta handläggningen (jämte doku</w:t>
      </w:r>
      <w:r w:rsidRPr="00896D4F">
        <w:softHyphen/>
        <w:t>mentation om vad sökanden hade tillfört ärendet). I så fall hade antec</w:t>
      </w:r>
      <w:r w:rsidRPr="00896D4F">
        <w:t>k</w:t>
      </w:r>
      <w:r w:rsidRPr="00896D4F">
        <w:t>ning</w:t>
      </w:r>
      <w:r w:rsidRPr="00896D4F">
        <w:softHyphen/>
        <w:t>en i protokollet för sammanträdet den 8 mars 2001 bort inskränkas till att hänv</w:t>
      </w:r>
      <w:r w:rsidRPr="00896D4F">
        <w:t>i</w:t>
      </w:r>
      <w:r w:rsidRPr="00896D4F">
        <w:t xml:space="preserve">sa till detta. </w:t>
      </w:r>
    </w:p>
    <w:p w:rsidR="009C1C5A" w:rsidRPr="00896D4F" w:rsidRDefault="009C1C5A">
      <w:r w:rsidRPr="00896D4F">
        <w:t xml:space="preserve">Vid </w:t>
      </w:r>
      <w:r w:rsidRPr="00896D4F">
        <w:rPr>
          <w:u w:val="single"/>
        </w:rPr>
        <w:t>sammanträde den 18  januari 2001, § 24,</w:t>
      </w:r>
      <w:r w:rsidRPr="00896D4F">
        <w:t xml:space="preserve"> beslutade nämnden att meddela ett positivt förhandsbesked för nybyggnad av ”två enbostadshus på tilltänkta tomter på Jälla – – –”. Enligt uppgifter i slutet av paragrafen beslöts om avgift enligt fö</w:t>
      </w:r>
      <w:r w:rsidRPr="00896D4F">
        <w:t>l</w:t>
      </w:r>
      <w:r w:rsidRPr="00896D4F">
        <w:t>jande, med ett handskrivet tillägg, som här kursiverats.</w:t>
      </w:r>
    </w:p>
    <w:p w:rsidR="009C1C5A" w:rsidRPr="00896D4F" w:rsidRDefault="009C1C5A">
      <w:pPr>
        <w:pStyle w:val="Citat"/>
        <w:rPr>
          <w:i/>
        </w:rPr>
      </w:pPr>
      <w:r w:rsidRPr="00896D4F">
        <w:t xml:space="preserve">Avgift: 5.712 kronor </w:t>
      </w:r>
      <w:r w:rsidRPr="00896D4F">
        <w:rPr>
          <w:i/>
        </w:rPr>
        <w:t>/ tomt = 11.424:-                      2001-01-25</w:t>
      </w:r>
    </w:p>
    <w:p w:rsidR="009C1C5A" w:rsidRPr="00896D4F" w:rsidRDefault="009C1C5A">
      <w:pPr>
        <w:pStyle w:val="Citat"/>
        <w:spacing w:before="0"/>
      </w:pPr>
      <w:r w:rsidRPr="00896D4F">
        <w:t>Faktura utsändes separat.                                           [</w:t>
      </w:r>
      <w:r w:rsidRPr="00896D4F">
        <w:rPr>
          <w:i/>
        </w:rPr>
        <w:t>Sekreterarens namn</w:t>
      </w:r>
      <w:r w:rsidRPr="00896D4F">
        <w:t>]</w:t>
      </w:r>
    </w:p>
    <w:p w:rsidR="009C1C5A" w:rsidRPr="00896D4F" w:rsidRDefault="009C1C5A">
      <w:r w:rsidRPr="00896D4F">
        <w:t>Enligt uppgifterna på första sidan av protokollet för detta sammanträde hade juste</w:t>
      </w:r>
      <w:r w:rsidRPr="00896D4F">
        <w:softHyphen/>
        <w:t xml:space="preserve">ring ägt rum samma dag som det hölls, för övrigt i likhet med vad som skett med andra vid inspektionen genomgångna protokoll. </w:t>
      </w:r>
    </w:p>
    <w:p w:rsidR="009C1C5A" w:rsidRPr="00896D4F" w:rsidRDefault="009C1C5A">
      <w:r w:rsidRPr="00896D4F">
        <w:rPr>
          <w:i/>
        </w:rPr>
        <w:t>JO Berggren</w:t>
      </w:r>
      <w:r w:rsidRPr="00896D4F">
        <w:t xml:space="preserve"> lät anteckna följande.</w:t>
      </w:r>
    </w:p>
    <w:p w:rsidR="009C1C5A" w:rsidRPr="00896D4F" w:rsidRDefault="009C1C5A">
      <w:r w:rsidRPr="00896D4F">
        <w:t>Vad tillägget närmare bestämt innebär framstår som oklart. Detta är i sig natu</w:t>
      </w:r>
      <w:r w:rsidRPr="00896D4F">
        <w:t>r</w:t>
      </w:r>
      <w:r w:rsidRPr="00896D4F">
        <w:t>ligt</w:t>
      </w:r>
      <w:r w:rsidRPr="00896D4F">
        <w:softHyphen/>
        <w:t xml:space="preserve">vis otillfredsställande. </w:t>
      </w:r>
    </w:p>
    <w:p w:rsidR="009C1C5A" w:rsidRPr="00896D4F" w:rsidRDefault="009C1C5A">
      <w:pPr>
        <w:pStyle w:val="Normaltindrag"/>
      </w:pPr>
      <w:r w:rsidRPr="00896D4F">
        <w:t xml:space="preserve">Nu tillgängliga uppgifter medger inte någon bedömning av vad ändringen i det justerade protokollet berodde på. Av vad jag anfört i de ovan angivna fallen följer emellertid att den rättelse eller den ändring av vilken avgift som skulle påföras inte skett på ett godtagbart sätt. </w:t>
      </w:r>
    </w:p>
    <w:p w:rsidR="009C1C5A" w:rsidRPr="00896D4F" w:rsidRDefault="009C1C5A">
      <w:r w:rsidRPr="00896D4F">
        <w:t xml:space="preserve">Vid </w:t>
      </w:r>
      <w:r w:rsidRPr="00896D4F">
        <w:rPr>
          <w:u w:val="single"/>
        </w:rPr>
        <w:t>sammanträde den 20 december 2000, § 679,</w:t>
      </w:r>
      <w:r w:rsidRPr="00896D4F">
        <w:t xml:space="preserve"> förelåg enligt rubriken i proto</w:t>
      </w:r>
      <w:r w:rsidRPr="00896D4F">
        <w:softHyphen/>
        <w:t>kollet ett ärende om ”Hänskjutande enligt Fastighetsbildningslagen 4 kap 25a FBL angående klyvning”. Siffran 4 är skriven för hand ovanpå en maskinskriven siffra som knappast kan tydas. I marginalen bredvid denna rad är två bokstäver skrivna för hand, antagligen som initialer för ett personnamn. De överensstämmer inte med någon av deras som i protokollet (nederst på sidan) angetts som ”Juste</w:t>
      </w:r>
      <w:r w:rsidRPr="00896D4F">
        <w:softHyphen/>
        <w:t>randens sign”. Något särskilt datum för ändr</w:t>
      </w:r>
      <w:r w:rsidRPr="00896D4F">
        <w:t xml:space="preserve">ingen är inte angivet. </w:t>
      </w:r>
    </w:p>
    <w:p w:rsidR="009C1C5A" w:rsidRPr="00896D4F" w:rsidRDefault="009C1C5A">
      <w:pPr>
        <w:pStyle w:val="Normaltindrag"/>
      </w:pPr>
      <w:r w:rsidRPr="00896D4F">
        <w:t xml:space="preserve">Beslutet i ärendet blev att nämnden ”tillstyrker delning” av fastigheten i fråga. (Denna i ärendet använda formulering i och för sig tas upp i ett annat avsnitt i JO:s protokoll.) Någon hänvisning till författning återkommer inte i beslutet. </w:t>
      </w:r>
    </w:p>
    <w:p w:rsidR="009C1C5A" w:rsidRPr="00896D4F" w:rsidRDefault="009C1C5A">
      <w:r w:rsidRPr="00896D4F">
        <w:rPr>
          <w:i/>
        </w:rPr>
        <w:t>JO Berggren</w:t>
      </w:r>
      <w:r w:rsidRPr="00896D4F">
        <w:t xml:space="preserve"> lät anteckna följande.</w:t>
      </w:r>
    </w:p>
    <w:p w:rsidR="009C1C5A" w:rsidRPr="00896D4F" w:rsidRDefault="009C1C5A">
      <w:r w:rsidRPr="00896D4F">
        <w:t>Det kan här antas röra sig om ett skrivfel som fått rättas enligt 26 § förval</w:t>
      </w:r>
      <w:r w:rsidRPr="00896D4F">
        <w:t>t</w:t>
      </w:r>
      <w:r w:rsidRPr="00896D4F">
        <w:t>nings</w:t>
      </w:r>
      <w:r w:rsidRPr="00896D4F">
        <w:softHyphen/>
        <w:t xml:space="preserve">lagen. Jag hänvisar till vad jag anfört beträffande det ovan först angivna fallet. Därav följer att rättelsen inte utförts på ett riktigt sätt. Här måste dock tilläggas följande. En ändring skall utföras så att den äldre lydelsen kan läsas. Den skall dateras. I stället för justerarnas signaturer har här skrivits något som inte kan knytas till någons namn utan tillgång till uppgifter på annat håll inom nämnden och dess organisation. </w:t>
      </w:r>
    </w:p>
    <w:p w:rsidR="009C1C5A" w:rsidRPr="00896D4F" w:rsidRDefault="009C1C5A">
      <w:pPr>
        <w:pStyle w:val="Rubrik3"/>
      </w:pPr>
      <w:r w:rsidRPr="00896D4F">
        <w:t>Villkor, oförenliga med handläggning enligt PBL</w:t>
      </w:r>
    </w:p>
    <w:p w:rsidR="009C1C5A" w:rsidRPr="00896D4F" w:rsidRDefault="009C1C5A">
      <w:r w:rsidRPr="00896D4F">
        <w:rPr>
          <w:u w:val="single"/>
        </w:rPr>
        <w:t>Ärendet 2001, § 87</w:t>
      </w:r>
      <w:r w:rsidRPr="00896D4F">
        <w:t>, avsåg nybyggnad av transformatorstation. Byggnad</w:t>
      </w:r>
      <w:r w:rsidRPr="00896D4F">
        <w:t>s</w:t>
      </w:r>
      <w:r w:rsidRPr="00896D4F">
        <w:t>nämnden beslutade att bevilja bygglov och att enligt 7 kap. 18 § miljöbalken meddela dis</w:t>
      </w:r>
      <w:r w:rsidRPr="00896D4F">
        <w:softHyphen/>
        <w:t>pens från byggnadsförbud inom strandskyddsområde. Nämnden angav skäl för dispensen och lämnade upplysningar om lovets giltighetstid.</w:t>
      </w:r>
    </w:p>
    <w:p w:rsidR="009C1C5A" w:rsidRPr="00896D4F" w:rsidRDefault="009C1C5A">
      <w:pPr>
        <w:rPr>
          <w:sz w:val="20"/>
        </w:rPr>
      </w:pPr>
      <w:r w:rsidRPr="00896D4F">
        <w:t>Därutöver innehåller protokollet i ärendet bl.a. följande.</w:t>
      </w:r>
    </w:p>
    <w:p w:rsidR="009C1C5A" w:rsidRPr="00896D4F" w:rsidRDefault="009C1C5A">
      <w:pPr>
        <w:pStyle w:val="Rubrik3"/>
      </w:pPr>
      <w:r w:rsidRPr="00896D4F">
        <w:t>Villkor</w:t>
      </w:r>
    </w:p>
    <w:p w:rsidR="009C1C5A" w:rsidRPr="00896D4F" w:rsidRDefault="009C1C5A">
      <w:pPr>
        <w:pStyle w:val="Citat"/>
      </w:pPr>
      <w:r w:rsidRPr="00896D4F">
        <w:t>Markägarens tillstånd krävs.</w:t>
      </w:r>
    </w:p>
    <w:p w:rsidR="009C1C5A" w:rsidRPr="00896D4F" w:rsidRDefault="009C1C5A">
      <w:pPr>
        <w:pStyle w:val="Citat"/>
        <w:rPr>
          <w:sz w:val="24"/>
        </w:rPr>
      </w:pPr>
      <w:r w:rsidRPr="00896D4F">
        <w:t>Grannens medgivande för byggnation nära tomtgräns.</w:t>
      </w:r>
    </w:p>
    <w:p w:rsidR="009C1C5A" w:rsidRPr="00896D4F" w:rsidRDefault="009C1C5A">
      <w:r w:rsidRPr="00896D4F">
        <w:rPr>
          <w:i/>
        </w:rPr>
        <w:t>JO Berggren</w:t>
      </w:r>
      <w:r w:rsidRPr="00896D4F">
        <w:t xml:space="preserve"> lät anteckna följande.</w:t>
      </w:r>
    </w:p>
    <w:p w:rsidR="009C1C5A" w:rsidRPr="00896D4F" w:rsidRDefault="009C1C5A">
      <w:r w:rsidRPr="00896D4F">
        <w:t>I ett beslut, varigenom lov lämnas, skall anges lovets giltighetstid samt de villkor och upplysningar i övrigt som behövs (8 kap. 26 § PBL). Det är unde</w:t>
      </w:r>
      <w:r w:rsidRPr="00896D4F">
        <w:t>r</w:t>
      </w:r>
      <w:r w:rsidRPr="00896D4F">
        <w:t>förstått att bara villkor ”som har stöd i PBL” kan uppställas (prop. 1985/86:1 s. 738).</w:t>
      </w:r>
    </w:p>
    <w:p w:rsidR="009C1C5A" w:rsidRPr="00896D4F" w:rsidRDefault="009C1C5A">
      <w:pPr>
        <w:pStyle w:val="Normaltindrag"/>
      </w:pPr>
      <w:r w:rsidRPr="00896D4F">
        <w:t>Krav på tillstånd av markägaren torde inte kunna knytas till den byggnads</w:t>
      </w:r>
      <w:r w:rsidRPr="00896D4F">
        <w:softHyphen/>
        <w:t>rättsliga regleringen i PBL – eller, för den delen, utgöra en riktig tillämp</w:t>
      </w:r>
      <w:r w:rsidRPr="00896D4F">
        <w:softHyphen/>
        <w:t>ning av miljöba</w:t>
      </w:r>
      <w:r w:rsidRPr="00896D4F">
        <w:t>l</w:t>
      </w:r>
      <w:r w:rsidRPr="00896D4F">
        <w:softHyphen/>
        <w:t>ken i fråga om dispens. Om nämnden vill erinra om de för</w:t>
      </w:r>
      <w:r w:rsidRPr="00896D4F">
        <w:softHyphen/>
        <w:t>utsättningar för en åt</w:t>
      </w:r>
      <w:r w:rsidRPr="00896D4F">
        <w:softHyphen/>
        <w:t>gärd som gäller enligt annan lag, t.ex. civilrättsligt, skall det rubriceras som eller annars framgå att det bara är upplysningar.</w:t>
      </w:r>
    </w:p>
    <w:p w:rsidR="009C1C5A" w:rsidRPr="00896D4F" w:rsidRDefault="009C1C5A">
      <w:pPr>
        <w:pStyle w:val="Normaltindrag"/>
      </w:pPr>
      <w:r w:rsidRPr="00896D4F">
        <w:t>Av uppgifterna i protokollet framgår inte på vilket sätt grannes medgiva</w:t>
      </w:r>
      <w:r w:rsidRPr="00896D4F">
        <w:t>n</w:t>
      </w:r>
      <w:r w:rsidRPr="00896D4F">
        <w:t>de för byggande ”nära tomtgräns” skulle ha betydelse enligt PBL. Att berörda grannar medger byggnadsåtgärder av visst slag har visserligen enligt 8 kap. 4 och 5 §§ PBL en verkan, nämligen i fråga om bygglovsplikt. Men det sker då primärt utom ramen för något ärende hos byggnadsnämnden.</w:t>
      </w:r>
    </w:p>
    <w:p w:rsidR="009C1C5A" w:rsidRPr="00896D4F" w:rsidRDefault="009C1C5A">
      <w:pPr>
        <w:pStyle w:val="Normaltindrag"/>
      </w:pPr>
      <w:r w:rsidRPr="00896D4F">
        <w:t>Grannars – sakägares – inställning till byggnadsföretag har emellertid på det hela taget betydelse vid prövning av frågor enligt PBL. Därvid skall nä</w:t>
      </w:r>
      <w:r w:rsidRPr="00896D4F">
        <w:t>m</w:t>
      </w:r>
      <w:r w:rsidRPr="00896D4F">
        <w:t>li</w:t>
      </w:r>
      <w:r w:rsidRPr="00896D4F">
        <w:softHyphen/>
        <w:t>gen både all</w:t>
      </w:r>
      <w:r w:rsidRPr="00896D4F">
        <w:softHyphen/>
        <w:t>männa och enskilda intressen beaktas, om inte annat är särskilt för</w:t>
      </w:r>
      <w:r w:rsidRPr="00896D4F">
        <w:t>e</w:t>
      </w:r>
      <w:r w:rsidRPr="00896D4F">
        <w:t>skrivet (1 kap. 5 § PBL).</w:t>
      </w:r>
    </w:p>
    <w:p w:rsidR="009C1C5A" w:rsidRPr="00896D4F" w:rsidRDefault="009C1C5A">
      <w:pPr>
        <w:pStyle w:val="Normaltindrag"/>
      </w:pPr>
      <w:r w:rsidRPr="00896D4F">
        <w:t>Av intresse nu är närmast de regler om krav på byggnader som anges i 3 kap. 2 § PBL. Enligt dem skall byggnader placeras och utformas så att de eller deras av</w:t>
      </w:r>
      <w:r w:rsidRPr="00896D4F">
        <w:softHyphen/>
        <w:t>sedda användning bl.a. inte medför fara eller olägenheter för omgivningen. Att prövningen härvidlag skall ske genom utredning på van</w:t>
      </w:r>
      <w:r w:rsidRPr="00896D4F">
        <w:softHyphen/>
        <w:t>ligt sätt, där grannar be</w:t>
      </w:r>
      <w:r w:rsidRPr="00896D4F">
        <w:softHyphen/>
        <w:t>reds tillfälle att yttra sig och nämnden, på grundval av vad som då kommer fram, genom avgörandet av ärendet bestämmer bl.a. vilken placering som godtas, fram</w:t>
      </w:r>
      <w:r w:rsidRPr="00896D4F">
        <w:softHyphen/>
        <w:t>går av reglerna om handläggning av lov- och andra tillståndsärenden. De avser kommunikation med sakägare m.fl. i bl.a. de fa</w:t>
      </w:r>
      <w:r w:rsidRPr="00896D4F">
        <w:t>l</w:t>
      </w:r>
      <w:r w:rsidRPr="00896D4F">
        <w:t xml:space="preserve">len att åtgärden i fråga strider mot detaljplan eller skall utföras </w:t>
      </w:r>
      <w:r w:rsidRPr="00896D4F">
        <w:t>utanför detal</w:t>
      </w:r>
      <w:r w:rsidRPr="00896D4F">
        <w:t>j</w:t>
      </w:r>
      <w:r w:rsidRPr="00896D4F">
        <w:t>plan (8 kap. 22 § första och andra styckena samt 34 § fjärde stycket PBL. Se även 17 kap. 4 § tredje styc</w:t>
      </w:r>
      <w:r w:rsidRPr="00896D4F">
        <w:t>k</w:t>
      </w:r>
      <w:r w:rsidRPr="00896D4F">
        <w:t>et PBL och 39 § i den i övrigt upphävda bygg</w:t>
      </w:r>
      <w:r w:rsidRPr="00896D4F">
        <w:softHyphen/>
        <w:t>nadsstadgan, 1959:612, om ett i lagen, be</w:t>
      </w:r>
      <w:r w:rsidRPr="00896D4F">
        <w:softHyphen/>
        <w:t>träffande avstånd mot granntomt, speciellt reglerat fall, nämligen åtgärder inom områden med äldre planer. Byggnadsnämnden får medge undantag från huvud</w:t>
      </w:r>
      <w:r w:rsidRPr="00896D4F">
        <w:softHyphen/>
        <w:t>regeln, men, om åtgärden kan inverka på förhållandena på angrän</w:t>
      </w:r>
      <w:r w:rsidRPr="00896D4F">
        <w:softHyphen/>
        <w:t xml:space="preserve">sande tomt, skall dess ägare höras i saken.) </w:t>
      </w:r>
    </w:p>
    <w:p w:rsidR="009C1C5A" w:rsidRPr="00896D4F" w:rsidRDefault="009C1C5A">
      <w:pPr>
        <w:pStyle w:val="Normaltindrag"/>
      </w:pPr>
      <w:r w:rsidRPr="00896D4F">
        <w:t>Att lägga märke till är att lagen inte ger</w:t>
      </w:r>
      <w:r w:rsidRPr="00896D4F">
        <w:t xml:space="preserve"> grannar m.fl. någon vetorätt (jfr JO:s ämbetsberättelse 1989/90 s. 338, angående förhandsbesked). Deras i</w:t>
      </w:r>
      <w:r w:rsidRPr="00896D4F">
        <w:t>n</w:t>
      </w:r>
      <w:r w:rsidRPr="00896D4F">
        <w:t>ställning in</w:t>
      </w:r>
      <w:r w:rsidRPr="00896D4F">
        <w:softHyphen/>
        <w:t>går som en faktor bland flera vid den prövning som ankommer på byggnadsnämn</w:t>
      </w:r>
      <w:r w:rsidRPr="00896D4F">
        <w:softHyphen/>
        <w:t>den. Att ersätta utredning och prövning i vanlig ordning med att schematiskt, för övrigt utan att skälet för beslutet i den delen redovisas, uppställa villkor om gran</w:t>
      </w:r>
      <w:r w:rsidRPr="00896D4F">
        <w:softHyphen/>
        <w:t>nes godkännande kan anses innebära att denne til</w:t>
      </w:r>
      <w:r w:rsidRPr="00896D4F">
        <w:t>l</w:t>
      </w:r>
      <w:r w:rsidRPr="00896D4F">
        <w:t>godoses i högre grad än vad en sorgfällig avvägning mellan motstående i</w:t>
      </w:r>
      <w:r w:rsidRPr="00896D4F">
        <w:t>n</w:t>
      </w:r>
      <w:r w:rsidRPr="00896D4F">
        <w:t>tressen hade bort med</w:t>
      </w:r>
      <w:r w:rsidRPr="00896D4F">
        <w:softHyphen/>
        <w:t>föra.</w:t>
      </w:r>
    </w:p>
    <w:p w:rsidR="009C1C5A" w:rsidRPr="00896D4F" w:rsidRDefault="009C1C5A">
      <w:pPr>
        <w:pStyle w:val="Normaltindrag"/>
      </w:pPr>
      <w:r w:rsidRPr="00896D4F">
        <w:t>Att en byggnadsnämnd ersätter den för utredningen av omgivningspåve</w:t>
      </w:r>
      <w:r w:rsidRPr="00896D4F">
        <w:t>r</w:t>
      </w:r>
      <w:r w:rsidRPr="00896D4F">
        <w:t>kan – ett väsentligt inslag i tillståndsprövningen – föreskrivna handläggnin</w:t>
      </w:r>
      <w:r w:rsidRPr="00896D4F">
        <w:t>g</w:t>
      </w:r>
      <w:r w:rsidRPr="00896D4F">
        <w:t>en med att ut</w:t>
      </w:r>
      <w:r w:rsidRPr="00896D4F">
        <w:softHyphen/>
        <w:t>nyttja den allmänna befogenheten att uppställa villkor måste så</w:t>
      </w:r>
      <w:r w:rsidRPr="00896D4F">
        <w:softHyphen/>
        <w:t>lunda anses ofö</w:t>
      </w:r>
      <w:r w:rsidRPr="00896D4F">
        <w:t>r</w:t>
      </w:r>
      <w:r w:rsidRPr="00896D4F">
        <w:t>en</w:t>
      </w:r>
      <w:r w:rsidRPr="00896D4F">
        <w:softHyphen/>
        <w:t>ligt med såväl PBL som allmänna principer för hur för</w:t>
      </w:r>
      <w:r w:rsidRPr="00896D4F">
        <w:softHyphen/>
        <w:t>valtningsmyndigheter skall pröva ärenden.</w:t>
      </w:r>
    </w:p>
    <w:p w:rsidR="009C1C5A" w:rsidRPr="00896D4F" w:rsidRDefault="009C1C5A">
      <w:pPr>
        <w:pStyle w:val="Normaltindrag"/>
      </w:pPr>
      <w:r w:rsidRPr="00896D4F">
        <w:t>Härtill kommer att det typiskt sett måste anses förenat med svårigheter att styrka uppfyllandet av ett sådant villkor som här uppställts, till skillnad från villkor vilkas uppfyllande nämnden förhållandevis enkelt kan konstatera g</w:t>
      </w:r>
      <w:r w:rsidRPr="00896D4F">
        <w:t>e</w:t>
      </w:r>
      <w:r w:rsidRPr="00896D4F">
        <w:t>nom besikt</w:t>
      </w:r>
      <w:r w:rsidRPr="00896D4F">
        <w:softHyphen/>
        <w:t>ning, direkt observation. Särskilt när som här någon viss form för grannens med</w:t>
      </w:r>
      <w:r w:rsidRPr="00896D4F">
        <w:softHyphen/>
        <w:t>givande inte bestämts, riskerar man att det framtida rätts</w:t>
      </w:r>
      <w:r w:rsidRPr="00896D4F">
        <w:softHyphen/>
        <w:t>läget blir ovisst. (Jfr Regeringsrättens årsbok 1996 ref 54, om allmänna rättssäke</w:t>
      </w:r>
      <w:r w:rsidRPr="00896D4F">
        <w:t>r</w:t>
      </w:r>
      <w:r w:rsidRPr="00896D4F">
        <w:t>hetsaspekter på ett villkor som innebar möjlighet att efter ett bygg</w:t>
      </w:r>
      <w:r w:rsidRPr="00896D4F">
        <w:softHyphen/>
        <w:t>lov på nytt ifrågasätta byggnads</w:t>
      </w:r>
      <w:r w:rsidRPr="00896D4F">
        <w:softHyphen/>
        <w:t>företagets lämplighet.)</w:t>
      </w:r>
    </w:p>
    <w:p w:rsidR="009C1C5A" w:rsidRPr="00896D4F" w:rsidRDefault="009C1C5A"/>
    <w:p w:rsidR="009C1C5A" w:rsidRPr="00896D4F" w:rsidRDefault="009C1C5A">
      <w:pPr>
        <w:pStyle w:val="Rubrik1"/>
      </w:pPr>
      <w:r w:rsidRPr="00896D4F">
        <w:br w:type="page"/>
        <w:t>Överförmyndarnämnder och överförmyndare</w:t>
      </w:r>
    </w:p>
    <w:p w:rsidR="009C1C5A" w:rsidRPr="00896D4F" w:rsidRDefault="009C1C5A">
      <w:pPr>
        <w:pStyle w:val="Rubrik2"/>
        <w:spacing w:before="120"/>
      </w:pPr>
      <w:r w:rsidRPr="00896D4F">
        <w:t>Kritik mot en överförmyndare för handläggningen av ett ärende om go</w:t>
      </w:r>
      <w:r w:rsidRPr="00896D4F">
        <w:t>d</w:t>
      </w:r>
      <w:r w:rsidRPr="00896D4F">
        <w:t>manskap m.m.</w:t>
      </w:r>
    </w:p>
    <w:p w:rsidR="009C1C5A" w:rsidRPr="00896D4F" w:rsidRDefault="009C1C5A">
      <w:pPr>
        <w:spacing w:before="0"/>
      </w:pPr>
      <w:r w:rsidRPr="00896D4F">
        <w:t>(Dnr 3512-2000)</w:t>
      </w:r>
    </w:p>
    <w:p w:rsidR="009C1C5A" w:rsidRPr="00896D4F" w:rsidRDefault="009C1C5A">
      <w:r w:rsidRPr="00896D4F">
        <w:t xml:space="preserve">I ett beslut den 7 december 2001 anförde </w:t>
      </w:r>
      <w:r w:rsidRPr="00896D4F">
        <w:rPr>
          <w:i/>
        </w:rPr>
        <w:t xml:space="preserve">JO Pennlöv </w:t>
      </w:r>
      <w:r w:rsidRPr="00896D4F">
        <w:t>följande.</w:t>
      </w:r>
    </w:p>
    <w:p w:rsidR="009C1C5A" w:rsidRPr="00896D4F" w:rsidRDefault="009C1C5A">
      <w:pPr>
        <w:pStyle w:val="Rubrik3"/>
      </w:pPr>
      <w:r w:rsidRPr="00896D4F">
        <w:t>Anm</w:t>
      </w:r>
      <w:r w:rsidRPr="00896D4F">
        <w:t>ä</w:t>
      </w:r>
      <w:r w:rsidRPr="00896D4F">
        <w:t>lan m.m.</w:t>
      </w:r>
    </w:p>
    <w:p w:rsidR="009C1C5A" w:rsidRPr="00896D4F" w:rsidRDefault="009C1C5A">
      <w:r w:rsidRPr="00896D4F">
        <w:t>God man enligt 11 kap. 4 § föräldrabalken (FB) förordnades den 30 nove</w:t>
      </w:r>
      <w:r w:rsidRPr="00896D4F">
        <w:t>m</w:t>
      </w:r>
      <w:r w:rsidRPr="00896D4F">
        <w:t xml:space="preserve">ber 1998 för B.A. </w:t>
      </w:r>
    </w:p>
    <w:p w:rsidR="009C1C5A" w:rsidRPr="00896D4F" w:rsidRDefault="009C1C5A">
      <w:pPr>
        <w:pStyle w:val="Normaltindrag"/>
      </w:pPr>
      <w:r w:rsidRPr="00896D4F">
        <w:t>M. och M.H. (B.A:s syster och svåger) har framfört klagomål mot Öve</w:t>
      </w:r>
      <w:r w:rsidRPr="00896D4F">
        <w:t>r</w:t>
      </w:r>
      <w:r w:rsidRPr="00896D4F">
        <w:t>förmy</w:t>
      </w:r>
      <w:r w:rsidRPr="00896D4F">
        <w:t>n</w:t>
      </w:r>
      <w:r w:rsidRPr="00896D4F">
        <w:t>daren i Västerås i flera avseenden. De har anfört bl.a. följande.</w:t>
      </w:r>
    </w:p>
    <w:p w:rsidR="009C1C5A" w:rsidRPr="00896D4F" w:rsidRDefault="009C1C5A">
      <w:pPr>
        <w:numPr>
          <w:ilvl w:val="0"/>
          <w:numId w:val="50"/>
        </w:numPr>
        <w:spacing w:line="240" w:lineRule="auto"/>
      </w:pPr>
      <w:r w:rsidRPr="00896D4F">
        <w:t>Överförmyndaren har förvägrat dem ett personligt möte och i stället hänvisat till skrif</w:t>
      </w:r>
      <w:r w:rsidRPr="00896D4F">
        <w:t>t</w:t>
      </w:r>
      <w:r w:rsidRPr="00896D4F">
        <w:t>lig korrespondens.</w:t>
      </w:r>
    </w:p>
    <w:p w:rsidR="009C1C5A" w:rsidRPr="00896D4F" w:rsidRDefault="009C1C5A">
      <w:pPr>
        <w:numPr>
          <w:ilvl w:val="0"/>
          <w:numId w:val="50"/>
        </w:numPr>
        <w:spacing w:before="0" w:line="240" w:lineRule="auto"/>
      </w:pPr>
      <w:r w:rsidRPr="00896D4F">
        <w:t>Den skriftliga kommunikationen har överförmyndaren skött nonchalant. Svar på frågor har uteblivit och ärendet har dragit ut på tiden i mer än åtta m</w:t>
      </w:r>
      <w:r w:rsidRPr="00896D4F">
        <w:t>å</w:t>
      </w:r>
      <w:r w:rsidRPr="00896D4F">
        <w:t>nader.</w:t>
      </w:r>
    </w:p>
    <w:p w:rsidR="009C1C5A" w:rsidRPr="00896D4F" w:rsidRDefault="009C1C5A">
      <w:pPr>
        <w:numPr>
          <w:ilvl w:val="0"/>
          <w:numId w:val="50"/>
        </w:numPr>
        <w:spacing w:before="0" w:line="240" w:lineRule="auto"/>
      </w:pPr>
      <w:r w:rsidRPr="00896D4F">
        <w:t>M.H. har inte fått ta del av hela överförmyndarens akt rörande sin bror. Senaste påstötning med begäran om detta är ännu efter tre veckor ob</w:t>
      </w:r>
      <w:r w:rsidRPr="00896D4F">
        <w:t>e</w:t>
      </w:r>
      <w:r w:rsidRPr="00896D4F">
        <w:t>svarad. Totalt har mer än ett halvt år förflutit sedan första begäran gjo</w:t>
      </w:r>
      <w:r w:rsidRPr="00896D4F">
        <w:t>r</w:t>
      </w:r>
      <w:r w:rsidRPr="00896D4F">
        <w:t>des.</w:t>
      </w:r>
    </w:p>
    <w:p w:rsidR="009C1C5A" w:rsidRPr="00896D4F" w:rsidRDefault="009C1C5A">
      <w:pPr>
        <w:numPr>
          <w:ilvl w:val="0"/>
          <w:numId w:val="50"/>
        </w:numPr>
        <w:spacing w:before="0" w:line="240" w:lineRule="auto"/>
      </w:pPr>
      <w:r w:rsidRPr="00896D4F">
        <w:t>Överförmyndarens tillsynsfunktion fungerar inte. Hon accepterar utan erinran en god man som inte anser sig behöva ha kontakt med sin h</w:t>
      </w:r>
      <w:r w:rsidRPr="00896D4F">
        <w:t>u</w:t>
      </w:r>
      <w:r w:rsidRPr="00896D4F">
        <w:t>vudmans nä</w:t>
      </w:r>
      <w:r w:rsidRPr="00896D4F">
        <w:t>r</w:t>
      </w:r>
      <w:r w:rsidRPr="00896D4F">
        <w:t>maste släktingar.</w:t>
      </w:r>
    </w:p>
    <w:p w:rsidR="009C1C5A" w:rsidRPr="00896D4F" w:rsidRDefault="009C1C5A">
      <w:pPr>
        <w:numPr>
          <w:ilvl w:val="0"/>
          <w:numId w:val="50"/>
        </w:numPr>
        <w:spacing w:before="0" w:line="240" w:lineRule="auto"/>
      </w:pPr>
      <w:r w:rsidRPr="00896D4F">
        <w:t>Överförmyndaren har oriktigt gett samtycke till gode mannens försäl</w:t>
      </w:r>
      <w:r w:rsidRPr="00896D4F">
        <w:t>j</w:t>
      </w:r>
      <w:r w:rsidRPr="00896D4F">
        <w:t>ning av huvudmannens villa utan att dessförinnan kontakta närmast a</w:t>
      </w:r>
      <w:r w:rsidRPr="00896D4F">
        <w:t>n</w:t>
      </w:r>
      <w:r w:rsidRPr="00896D4F">
        <w:t>hörig.</w:t>
      </w:r>
    </w:p>
    <w:p w:rsidR="009C1C5A" w:rsidRPr="00896D4F" w:rsidRDefault="009C1C5A">
      <w:pPr>
        <w:numPr>
          <w:ilvl w:val="0"/>
          <w:numId w:val="50"/>
        </w:numPr>
        <w:spacing w:before="0" w:line="240" w:lineRule="auto"/>
      </w:pPr>
      <w:r w:rsidRPr="00896D4F">
        <w:t>Överförmyndaren har brustit i tillsynen genom att inte utreda hur vill</w:t>
      </w:r>
      <w:r w:rsidRPr="00896D4F">
        <w:t>a</w:t>
      </w:r>
      <w:r w:rsidRPr="00896D4F">
        <w:t>försäl</w:t>
      </w:r>
      <w:r w:rsidRPr="00896D4F">
        <w:t>j</w:t>
      </w:r>
      <w:r w:rsidRPr="00896D4F">
        <w:t>ningen gått till trots anhörigas uttryckliga begäran.</w:t>
      </w:r>
    </w:p>
    <w:p w:rsidR="009C1C5A" w:rsidRPr="00896D4F" w:rsidRDefault="009C1C5A">
      <w:pPr>
        <w:numPr>
          <w:ilvl w:val="0"/>
          <w:numId w:val="50"/>
        </w:numPr>
        <w:spacing w:before="0" w:line="240" w:lineRule="auto"/>
      </w:pPr>
      <w:r w:rsidRPr="00896D4F">
        <w:t>Överförmyndaren har misslett och otillbörligt påverkat huvudmannen, då hon påstått att den gode mannen inte gjort något fel vid fastighetsaffären och därigenom fått huvudmannen att återta sin ansökan om byte av god man. Påståe</w:t>
      </w:r>
      <w:r w:rsidRPr="00896D4F">
        <w:t>n</w:t>
      </w:r>
      <w:r w:rsidRPr="00896D4F">
        <w:t>det var ogrundat, hon hade ju inte utrett sakförhållandet.</w:t>
      </w:r>
    </w:p>
    <w:p w:rsidR="009C1C5A" w:rsidRPr="00896D4F" w:rsidRDefault="009C1C5A">
      <w:pPr>
        <w:numPr>
          <w:ilvl w:val="0"/>
          <w:numId w:val="50"/>
        </w:numPr>
        <w:spacing w:before="0" w:line="240" w:lineRule="auto"/>
      </w:pPr>
      <w:r w:rsidRPr="00896D4F">
        <w:t>Överförmyndaren har förbigått ett överklagande till tingsrätten utan komme</w:t>
      </w:r>
      <w:r w:rsidRPr="00896D4F">
        <w:t>n</w:t>
      </w:r>
      <w:r w:rsidRPr="00896D4F">
        <w:t>tarer.</w:t>
      </w:r>
    </w:p>
    <w:p w:rsidR="009C1C5A" w:rsidRPr="00896D4F" w:rsidRDefault="009C1C5A">
      <w:pPr>
        <w:pStyle w:val="Rubrik3"/>
      </w:pPr>
      <w:r w:rsidRPr="00896D4F">
        <w:t>Utredning</w:t>
      </w:r>
    </w:p>
    <w:p w:rsidR="009C1C5A" w:rsidRPr="00896D4F" w:rsidRDefault="009C1C5A">
      <w:pPr>
        <w:spacing w:line="240" w:lineRule="auto"/>
      </w:pPr>
      <w:r w:rsidRPr="00896D4F">
        <w:t>Sedan överförmyndarens akt lånats in och granskats har anmälan remitterats till överförmyndaren för yttrande. I remissvaret har överförmyndaren Gunila Ric</w:t>
      </w:r>
      <w:r w:rsidRPr="00896D4F">
        <w:t>k</w:t>
      </w:r>
      <w:r w:rsidRPr="00896D4F">
        <w:t>man anfört bl.a. följande.</w:t>
      </w:r>
    </w:p>
    <w:p w:rsidR="009C1C5A" w:rsidRPr="00896D4F" w:rsidRDefault="009C1C5A">
      <w:pPr>
        <w:pStyle w:val="Citat"/>
      </w:pPr>
      <w:r w:rsidRPr="00896D4F">
        <w:t>Anmälan gäller B.E.A. – – – som fick god man genom tingsrättens beslut 98-11-30</w:t>
      </w:r>
      <w:r w:rsidRPr="00896D4F">
        <w:rPr>
          <w:b/>
        </w:rPr>
        <w:t xml:space="preserve">. </w:t>
      </w:r>
      <w:r w:rsidRPr="00896D4F">
        <w:t>Beslutet innefattade uppdrag att bevaka hans rätt, förvalta hans ege</w:t>
      </w:r>
      <w:r w:rsidRPr="00896D4F">
        <w:t>n</w:t>
      </w:r>
      <w:r w:rsidRPr="00896D4F">
        <w:t>dom och sörja för hans person. Som god man förordnades till en början K-EL., som 99-08-01 ersattes av nuvarande god man M.E. Förordnandet skedde på förslag av B:s syster M.H. Anledningen till bytet var att samarbetssvåri</w:t>
      </w:r>
      <w:r w:rsidRPr="00896D4F">
        <w:t>g</w:t>
      </w:r>
      <w:r w:rsidRPr="00896D4F">
        <w:t>heter uppkommit. Beklagligtvis har så på nytt blivit fallet. Systern begärde 00-07-25 byte av gode mannen, en begäran som jag 2000-08-24 avslog. Mitt beslut överklagades till tingsrätten, som 2000-10-l3 lämnade klagomåle</w:t>
      </w:r>
      <w:r w:rsidRPr="00896D4F">
        <w:t>n utan åtgärd.</w:t>
      </w:r>
    </w:p>
    <w:p w:rsidR="009C1C5A" w:rsidRPr="00896D4F" w:rsidRDefault="009C1C5A">
      <w:pPr>
        <w:pStyle w:val="Citatindrag"/>
        <w:spacing w:line="240" w:lineRule="auto"/>
      </w:pPr>
      <w:r w:rsidRPr="00896D4F">
        <w:t>Jag tar härefter upp de anklagelser, som riktas mot mig i skrivelsen 2000-l0-03 och hänför mig därvid till de åtta punkterna i denna.</w:t>
      </w:r>
    </w:p>
    <w:p w:rsidR="009C1C5A" w:rsidRPr="00896D4F" w:rsidRDefault="009C1C5A">
      <w:pPr>
        <w:pStyle w:val="Citatindrag"/>
        <w:spacing w:line="240" w:lineRule="auto"/>
      </w:pPr>
      <w:r w:rsidRPr="00896D4F">
        <w:t>1. Det har förekommit en gång att makarna H. begärt personligt samma</w:t>
      </w:r>
      <w:r w:rsidRPr="00896D4F">
        <w:t>n</w:t>
      </w:r>
      <w:r w:rsidRPr="00896D4F">
        <w:t>träffande. Det datum det gällde var 2000-02-16. Jag var förhindrad då och me</w:t>
      </w:r>
      <w:r w:rsidRPr="00896D4F">
        <w:t>d</w:t>
      </w:r>
      <w:r w:rsidRPr="00896D4F">
        <w:t xml:space="preserve">delade detta på uppgiven telefon utan att få kontakt. </w:t>
      </w:r>
    </w:p>
    <w:p w:rsidR="009C1C5A" w:rsidRPr="00896D4F" w:rsidRDefault="009C1C5A">
      <w:pPr>
        <w:pStyle w:val="Citatindrag"/>
        <w:spacing w:line="240" w:lineRule="auto"/>
      </w:pPr>
      <w:r w:rsidRPr="00896D4F">
        <w:t>2. Påståendet är svårförståeligt. Som framgår av anmälan har en omfatta</w:t>
      </w:r>
      <w:r w:rsidRPr="00896D4F">
        <w:t>n</w:t>
      </w:r>
      <w:r w:rsidRPr="00896D4F">
        <w:t xml:space="preserve">de korrespondens förekommit mellan oss. Jag anser mig ha besvarat de frågor som ställts på ett sakligt sätt. Av naturliga skäl har jag inte alltid haft tillfälle att skicka svar på dagen. </w:t>
      </w:r>
    </w:p>
    <w:p w:rsidR="009C1C5A" w:rsidRPr="00896D4F" w:rsidRDefault="009C1C5A">
      <w:pPr>
        <w:pStyle w:val="Citatindrag"/>
        <w:spacing w:line="240" w:lineRule="auto"/>
      </w:pPr>
      <w:r w:rsidRPr="00896D4F">
        <w:t>3. Systern har fått det hon begärt och varit intresserad av, nämligen senaste årsräkning. Jag underlät dock att skicka med gode mannens bilaga till denna. Orsaken härtill var att inte ytterligare försämra det infekterade förhållandet mellan gode mannen och systern, vilket ytterst skulle vara till men för h</w:t>
      </w:r>
      <w:r w:rsidRPr="00896D4F">
        <w:t>u</w:t>
      </w:r>
      <w:r w:rsidRPr="00896D4F">
        <w:t xml:space="preserve">vudmannen. Bilagan har numera tillställts systern. – – – </w:t>
      </w:r>
    </w:p>
    <w:p w:rsidR="009C1C5A" w:rsidRPr="00896D4F" w:rsidRDefault="009C1C5A">
      <w:pPr>
        <w:pStyle w:val="Citatindrag"/>
        <w:spacing w:line="240" w:lineRule="auto"/>
      </w:pPr>
      <w:r w:rsidRPr="00896D4F">
        <w:t>4. Såvitt jag kan se finns ingen laglig skyldighet för gode mannen att hålla nära kontakt med huvudmannens släktingar. Det kan däremot i normalfallet inte vara till nackdel att gode mannen har sådana kontakter. Grundorsaken till att det inte fungerar så i detta fall är enligt min uppfattning att släktingarna inte finner sig i att gode mannen har huvudansvaret för B:s person utan själva vill bestämma allt på den punkten.</w:t>
      </w:r>
    </w:p>
    <w:p w:rsidR="009C1C5A" w:rsidRPr="00896D4F" w:rsidRDefault="009C1C5A">
      <w:pPr>
        <w:pStyle w:val="Citatindrag"/>
        <w:spacing w:line="240" w:lineRule="auto"/>
      </w:pPr>
      <w:r w:rsidRPr="00896D4F">
        <w:t>5–6. Gode mannen anmälde 2000-01-04 till mig att B:s fastighet Kryd</w:t>
      </w:r>
      <w:r w:rsidRPr="00896D4F">
        <w:t>d</w:t>
      </w:r>
      <w:r w:rsidRPr="00896D4F">
        <w:t>gården 17 sålts. Samtidigt upplyste hon att hon haft kontakt med systern om försäljningsplanerna och att systerns familj erbjudits köpa fastigheten. Systern var införstådd med försäljningen men tackade nej till erbjudandet om köp. Med hänsyn till den upplysningen ansåg jag mig inte ha någon skyldighet att kommunicera själva köpevillkoren med henne. Försäljningen hade ombesörjts genom Sparba</w:t>
      </w:r>
      <w:r w:rsidRPr="00896D4F">
        <w:t>n</w:t>
      </w:r>
      <w:r w:rsidRPr="00896D4F">
        <w:t>kernas Fastighetsbyrå.</w:t>
      </w:r>
    </w:p>
    <w:p w:rsidR="009C1C5A" w:rsidRPr="00896D4F" w:rsidRDefault="009C1C5A">
      <w:pPr>
        <w:pStyle w:val="Citatindrag"/>
        <w:spacing w:line="240" w:lineRule="auto"/>
      </w:pPr>
      <w:r w:rsidRPr="00896D4F">
        <w:t>7. Sedan B. lämnat in en skrivelse, daterad 2000-06-l8, vari han begärde byte av god man – – –</w:t>
      </w:r>
      <w:r w:rsidRPr="00896D4F">
        <w:t xml:space="preserve"> blev jag uppringd av B:s kontaktman, som meddelade att B. ville träffa mig. Den 3 juli besökte jag honom. Jag pratade med honom om bl.a. fastighetsaffären och sade att jag inte ansåg att gode mannen misskött den. Vid samma tillfälle uttryckte B. mycket starkt att han inte ville byta god man. Han sade sig inte heller känna den som systern föreslagit i M.E:s ställe. </w:t>
      </w:r>
    </w:p>
    <w:p w:rsidR="009C1C5A" w:rsidRPr="00896D4F" w:rsidRDefault="009C1C5A">
      <w:pPr>
        <w:pStyle w:val="Citatindrag"/>
        <w:spacing w:line="240" w:lineRule="auto"/>
      </w:pPr>
      <w:r w:rsidRPr="00896D4F">
        <w:t>8. Den skrivelse, som makarna H. torde åsyfta, är daterad 2000-07-25. När den anlände hade jag semester vilket de fick meddelande om. Den besva</w:t>
      </w:r>
      <w:r w:rsidRPr="00896D4F">
        <w:t>rades av mig genom avslagsbeslut med fullföljdshänvisning 2000-08-24. Tingsrä</w:t>
      </w:r>
      <w:r w:rsidRPr="00896D4F">
        <w:t>t</w:t>
      </w:r>
      <w:r w:rsidRPr="00896D4F">
        <w:t>ten har som framgår av ingressen överprövat beslutet och ej funnit anledning till ändring. Jag anser inte att tidsåtgången för mitt ställningstagandet är orimligt lång.</w:t>
      </w:r>
    </w:p>
    <w:p w:rsidR="009C1C5A" w:rsidRPr="00896D4F" w:rsidRDefault="009C1C5A">
      <w:pPr>
        <w:pStyle w:val="Citatindrag"/>
        <w:spacing w:line="240" w:lineRule="auto"/>
      </w:pPr>
      <w:r w:rsidRPr="00896D4F">
        <w:t>Med ovanstående anser jag mig ha besvarat makarna H:s anklagelser mot mig och överlämnar ärendet för JO:s bedömning.</w:t>
      </w:r>
    </w:p>
    <w:p w:rsidR="009C1C5A" w:rsidRPr="00896D4F" w:rsidRDefault="009C1C5A">
      <w:pPr>
        <w:spacing w:line="240" w:lineRule="auto"/>
      </w:pPr>
      <w:r w:rsidRPr="00896D4F">
        <w:t>M. och M.H. har framfört ytterligare klagomål mot överförmyndaren angåe</w:t>
      </w:r>
      <w:r w:rsidRPr="00896D4F">
        <w:t>n</w:t>
      </w:r>
      <w:r w:rsidRPr="00896D4F">
        <w:t>de fastighetsförsäljningen.</w:t>
      </w:r>
    </w:p>
    <w:p w:rsidR="009C1C5A" w:rsidRPr="00896D4F" w:rsidRDefault="009C1C5A">
      <w:pPr>
        <w:spacing w:line="240" w:lineRule="auto"/>
      </w:pPr>
      <w:r w:rsidRPr="00896D4F">
        <w:t>Ärendet har därefter remitterats på nytt till överförmyndaren. I remissvaret har överförmyndaren Gunila Rickman uppgett bl.a. följande.</w:t>
      </w:r>
    </w:p>
    <w:p w:rsidR="009C1C5A" w:rsidRPr="00896D4F" w:rsidRDefault="009C1C5A">
      <w:pPr>
        <w:pStyle w:val="Citat"/>
      </w:pPr>
      <w:r w:rsidRPr="00896D4F">
        <w:t>Makarna H. har på nytt riktat kritik mot min handläggning av godemansäre</w:t>
      </w:r>
      <w:r w:rsidRPr="00896D4F">
        <w:t>n</w:t>
      </w:r>
      <w:r w:rsidRPr="00896D4F">
        <w:t>det. Vad M.H. har anfört i sin skrivelse betr. försäljningen har jag i och för sig redan svarat på tidigare. Jag upprepar dock vad jag tidigare sagt till dem att mitt ansvar inskränker sig till att medge eller inte medge en försäljning. Hur den genomförs och hur den verkställs är en fråga som faller under gode ma</w:t>
      </w:r>
      <w:r w:rsidRPr="00896D4F">
        <w:t>n</w:t>
      </w:r>
      <w:r w:rsidRPr="00896D4F">
        <w:t>nens förvaltningsansvar. Som M.H. påpekat skall de närmaste släktingarna beredas tillfälle att yttra sig i frågan. Eftersom jag informerades om att systern var helt införstådd med en försäljning o</w:t>
      </w:r>
      <w:r w:rsidRPr="00896D4F">
        <w:t>ch t.o.m. själv erbjudits köpa fasti</w:t>
      </w:r>
      <w:r w:rsidRPr="00896D4F">
        <w:t>g</w:t>
      </w:r>
      <w:r w:rsidRPr="00896D4F">
        <w:t>heten men tackat nej ansåg jag mig inte behöva kommunicera själva köpevil</w:t>
      </w:r>
      <w:r w:rsidRPr="00896D4F">
        <w:t>l</w:t>
      </w:r>
      <w:r w:rsidRPr="00896D4F">
        <w:t>koren med henne. Sakligt sett fanns heller inget att erinra mot försäljningen. Fastigheten hade ju stått tom under cirka ett års tid. Efter moderns död kunde B. inte förväntas leva där ensam med sitt handikapp. Han hade f.ö. rotat sig i sin nya lägenhet och hade ingen längtan tillbaka enligt gode mannen. Försäl</w:t>
      </w:r>
      <w:r w:rsidRPr="00896D4F">
        <w:t>j</w:t>
      </w:r>
      <w:r w:rsidRPr="00896D4F">
        <w:t>ningen skedde med hjälp av mäklare, varför jag inte hade anledning att ifr</w:t>
      </w:r>
      <w:r w:rsidRPr="00896D4F">
        <w:t>å</w:t>
      </w:r>
      <w:r w:rsidRPr="00896D4F">
        <w:t>gasätta prise</w:t>
      </w:r>
      <w:r w:rsidRPr="00896D4F">
        <w:t>t. Att B:s underskrift saknades på kontraktet reagerade jag inte för, eftersom jag kände till hans medicinska status. För giltigheten av försäl</w:t>
      </w:r>
      <w:r w:rsidRPr="00896D4F">
        <w:t>j</w:t>
      </w:r>
      <w:r w:rsidRPr="00896D4F">
        <w:t>ningen är det f.ö. oviktigt att hans underskrift saknades. Däremot var det av vikt att gode mannen fått hans samtycke till den, vilket jag visste var fallet.</w:t>
      </w:r>
    </w:p>
    <w:p w:rsidR="009C1C5A" w:rsidRPr="00896D4F" w:rsidRDefault="009C1C5A">
      <w:pPr>
        <w:pStyle w:val="Citatindrag"/>
        <w:spacing w:line="240" w:lineRule="auto"/>
      </w:pPr>
      <w:r w:rsidRPr="00896D4F">
        <w:t>Vad M.H. anfört i sin skrivelse har jag besvarat i brev till henne. – – –</w:t>
      </w:r>
    </w:p>
    <w:p w:rsidR="009C1C5A" w:rsidRPr="00896D4F" w:rsidRDefault="009C1C5A">
      <w:r w:rsidRPr="00896D4F">
        <w:t>M. och M.H. har kommenterat remissvaret och därvid bl.a. gjort gällande att överförmyndaren medvetet mörklagt handläggningen av försäljningen av villan och att B.A. har förlorat mera än 200 000 kr genom det sätt på vilket fastighetsaffären genomförts.</w:t>
      </w:r>
    </w:p>
    <w:p w:rsidR="009C1C5A" w:rsidRPr="00896D4F" w:rsidRDefault="009C1C5A">
      <w:pPr>
        <w:pStyle w:val="Rubrik3"/>
      </w:pPr>
      <w:r w:rsidRPr="00896D4F">
        <w:t>Bedömning</w:t>
      </w:r>
    </w:p>
    <w:p w:rsidR="009C1C5A" w:rsidRPr="00896D4F" w:rsidRDefault="009C1C5A">
      <w:pPr>
        <w:pStyle w:val="Rubrik4"/>
        <w:spacing w:before="125"/>
      </w:pPr>
      <w:r w:rsidRPr="00896D4F">
        <w:t>Besvarande av frågor m.m.</w:t>
      </w:r>
    </w:p>
    <w:p w:rsidR="009C1C5A" w:rsidRPr="00896D4F" w:rsidRDefault="009C1C5A">
      <w:r w:rsidRPr="00896D4F">
        <w:t>Med anledning av vad M. och M.H. anfört om överförmyndarens underlåte</w:t>
      </w:r>
      <w:r w:rsidRPr="00896D4F">
        <w:t>n</w:t>
      </w:r>
      <w:r w:rsidRPr="00896D4F">
        <w:t>het att besvara brev och ta emot besök vill jag anföra följande.</w:t>
      </w:r>
    </w:p>
    <w:p w:rsidR="009C1C5A" w:rsidRPr="00896D4F" w:rsidRDefault="009C1C5A">
      <w:pPr>
        <w:pStyle w:val="Normaltindrag"/>
      </w:pPr>
      <w:r w:rsidRPr="00896D4F">
        <w:t>Enligt 4 § förvaltningslagen (1986:223) skall frågor från enskilda besvaras så snart som möjligt. Bestämmelsen innebär att en myndighet som fått en förfrågan från en enskild måste lämna någon form av svar och att svaret inte får dröja längre än nödvändigt. Av 5 § förvaltningslagen följer att myndigh</w:t>
      </w:r>
      <w:r w:rsidRPr="00896D4F">
        <w:t>e</w:t>
      </w:r>
      <w:r w:rsidRPr="00896D4F">
        <w:t>ten skall ta emot b</w:t>
      </w:r>
      <w:r w:rsidRPr="00896D4F">
        <w:t>e</w:t>
      </w:r>
      <w:r w:rsidRPr="00896D4F">
        <w:t xml:space="preserve">sök och telefonsamtal från enskilda. </w:t>
      </w:r>
    </w:p>
    <w:p w:rsidR="009C1C5A" w:rsidRPr="00896D4F" w:rsidRDefault="009C1C5A">
      <w:pPr>
        <w:pStyle w:val="Normaltindrag"/>
      </w:pPr>
      <w:r w:rsidRPr="00896D4F">
        <w:t>Överförmyndaren har tillbakavisat M. och M.H:s klagomål i denna del. Jag tror inte att det skulle vara meningsfullt att utreda saken ytterligare. Det sa</w:t>
      </w:r>
      <w:r w:rsidRPr="00896D4F">
        <w:t>k</w:t>
      </w:r>
      <w:r w:rsidRPr="00896D4F">
        <w:t>nas därmed grund för mig att rikta kritik mot överförmyndaren i detta avsee</w:t>
      </w:r>
      <w:r w:rsidRPr="00896D4F">
        <w:t>n</w:t>
      </w:r>
      <w:r w:rsidRPr="00896D4F">
        <w:t>de.</w:t>
      </w:r>
    </w:p>
    <w:p w:rsidR="009C1C5A" w:rsidRPr="00896D4F" w:rsidRDefault="009C1C5A">
      <w:pPr>
        <w:pStyle w:val="Rubrik4"/>
      </w:pPr>
      <w:r w:rsidRPr="00896D4F">
        <w:t>Utlämnande av handlingar</w:t>
      </w:r>
    </w:p>
    <w:p w:rsidR="009C1C5A" w:rsidRPr="00896D4F" w:rsidRDefault="009C1C5A">
      <w:r w:rsidRPr="00896D4F">
        <w:t>Överförmyndarens handläggning av M. och M.H:s begäran om utlämnande av handlingar visar enligt min mening på en häpnadsväckande okunskap om frågor som hänger samman med offentlighetsprincipen. Det finns därför a</w:t>
      </w:r>
      <w:r w:rsidRPr="00896D4F">
        <w:t>n</w:t>
      </w:r>
      <w:r w:rsidRPr="00896D4F">
        <w:t>ledning att inledningsvis redogöra för tillämpliga författningsbestämme</w:t>
      </w:r>
      <w:r w:rsidRPr="00896D4F">
        <w:t>l</w:t>
      </w:r>
      <w:r w:rsidRPr="00896D4F">
        <w:t>ser.</w:t>
      </w:r>
    </w:p>
    <w:p w:rsidR="009C1C5A" w:rsidRPr="00896D4F" w:rsidRDefault="009C1C5A">
      <w:pPr>
        <w:pStyle w:val="Normaltindrag"/>
      </w:pPr>
      <w:r w:rsidRPr="00896D4F">
        <w:t>Grundläggande bestämmelser om allmänna handlingars offentlighet finns i 2 kap. tryckfrihetsförordningen, som också primärt reglerar frågan om utlä</w:t>
      </w:r>
      <w:r w:rsidRPr="00896D4F">
        <w:t>m</w:t>
      </w:r>
      <w:r w:rsidRPr="00896D4F">
        <w:t xml:space="preserve">nande av allmänna handlingar. Enligt 2 kap. 12 § tryckfrihetsförordningen skall allmän handling som får lämnas ut </w:t>
      </w:r>
      <w:r w:rsidRPr="00896D4F">
        <w:rPr>
          <w:rFonts w:ascii="Garamond" w:hAnsi="Garamond"/>
        </w:rPr>
        <w:t>–</w:t>
      </w:r>
      <w:r w:rsidRPr="00896D4F">
        <w:t xml:space="preserve"> som alltså inte innehåller uppgift som omfattas av någon sekretessbestämmelse </w:t>
      </w:r>
      <w:r w:rsidRPr="00896D4F">
        <w:rPr>
          <w:rFonts w:ascii="Garamond" w:hAnsi="Garamond"/>
        </w:rPr>
        <w:t>–</w:t>
      </w:r>
      <w:r w:rsidRPr="00896D4F">
        <w:t xml:space="preserve"> på begäran genast eller så snart det är möjligt tillhandahållas den som önskar ta del av handlingen.  I 2 kap. 13 § anges att den som önskar ta del av handlingen också har rätt att mot fastställd avgift få kopia av handlingen. En begäran om kopia av handlingen skall handläggas skyn</w:t>
      </w:r>
      <w:r w:rsidRPr="00896D4F">
        <w:t>d</w:t>
      </w:r>
      <w:r w:rsidRPr="00896D4F">
        <w:t xml:space="preserve">samt. </w:t>
      </w:r>
    </w:p>
    <w:p w:rsidR="009C1C5A" w:rsidRPr="00896D4F" w:rsidRDefault="009C1C5A">
      <w:pPr>
        <w:pStyle w:val="Normaltindrag"/>
      </w:pPr>
      <w:r w:rsidRPr="00896D4F">
        <w:t>Det är inte möjligt att e</w:t>
      </w:r>
      <w:r w:rsidRPr="00896D4F">
        <w:t>xakt ange när en allmän handling senast skall til</w:t>
      </w:r>
      <w:r w:rsidRPr="00896D4F">
        <w:t>l</w:t>
      </w:r>
      <w:r w:rsidRPr="00896D4F">
        <w:t>handahållas om det inte kan ske genast. Normalt bör besked i en sådan fråga lämnas redan samma dag som den väcktes, men någon eller några dagars fördröjning kan godtas om myndigheten behöver rådrum för att ta ställning till om den efterfrågade handlingen är allmän och offentlig. Ett visst dröjsmål är även ofrånkomligt om framställningen t.ex. avser eller fordrar genomgång av ett omfattande aktmaterial. Vad som kan krävas av en myndighet beror givetvis på oms</w:t>
      </w:r>
      <w:r w:rsidRPr="00896D4F">
        <w:t>tändigheterna i det enskilda fallet.</w:t>
      </w:r>
    </w:p>
    <w:p w:rsidR="009C1C5A" w:rsidRPr="00896D4F" w:rsidRDefault="009C1C5A">
      <w:pPr>
        <w:pStyle w:val="Normaltindrag"/>
      </w:pPr>
      <w:r w:rsidRPr="00896D4F">
        <w:t>Enligt 9 kap. 14 § sekretesslagen (1980:100) gäller sekretess hos överfö</w:t>
      </w:r>
      <w:r w:rsidRPr="00896D4F">
        <w:t>r</w:t>
      </w:r>
      <w:r w:rsidRPr="00896D4F">
        <w:t xml:space="preserve">myndare i ärende enligt föräldrabalken för uppgift om enskilds personliga eller ekonomiska förhållanden, om det inte står klart att uppgiften kan röjas utan att den enskilde lider skada eller men. Utan hinder av sekretessen får uppgift lämnas till enskild enligt vad som föreskrivs i föräldrabalken. </w:t>
      </w:r>
    </w:p>
    <w:p w:rsidR="009C1C5A" w:rsidRPr="00896D4F" w:rsidRDefault="009C1C5A">
      <w:pPr>
        <w:pStyle w:val="Normaltindrag"/>
      </w:pPr>
      <w:r w:rsidRPr="00896D4F">
        <w:t>Av 16 kap. 7 § FB framgår att en omyndig som har fyllt 16 år och den som har god man eller förvaltare har rätt att ta del av de handlingar som rör ställf</w:t>
      </w:r>
      <w:r w:rsidRPr="00896D4F">
        <w:t>ö</w:t>
      </w:r>
      <w:r w:rsidRPr="00896D4F">
        <w:t>reträdarskapet och som förvaras hos överförmyndaren. En sådan rätt har e</w:t>
      </w:r>
      <w:r w:rsidRPr="00896D4F">
        <w:t>n</w:t>
      </w:r>
      <w:r w:rsidRPr="00896D4F">
        <w:t>ligt samma stadgande också den enskildes make eller sambo och närmaste släktingar. Med närmaste släktingar avses främst bröstarvingar, föräldrar och syskon (jfr prop. 1987/88:124 s. 176 angående vissa ändringar i föräldraba</w:t>
      </w:r>
      <w:r w:rsidRPr="00896D4F">
        <w:t>l</w:t>
      </w:r>
      <w:r w:rsidRPr="00896D4F">
        <w:t>ken). Den rätt som en anhörig sålunda har att ta del av handlingar hos öve</w:t>
      </w:r>
      <w:r w:rsidRPr="00896D4F">
        <w:t>r</w:t>
      </w:r>
      <w:r w:rsidRPr="00896D4F">
        <w:t>förmyndaren är inte begränsad i något särskilt avseende. Det tillkommer inte överförmyndaren att pröva om handlingarna lämpligen bör lämnas</w:t>
      </w:r>
      <w:r w:rsidRPr="00896D4F">
        <w:t xml:space="preserve"> ut (jfr JO 1984/85 s. 84).</w:t>
      </w:r>
    </w:p>
    <w:p w:rsidR="009C1C5A" w:rsidRPr="00896D4F" w:rsidRDefault="009C1C5A">
      <w:pPr>
        <w:pStyle w:val="Normaltindrag"/>
      </w:pPr>
      <w:r w:rsidRPr="00896D4F">
        <w:t xml:space="preserve">När en begäran om att få ta del av allmänna handlingar kommer in till överförmyndaren </w:t>
      </w:r>
      <w:r w:rsidRPr="00896D4F">
        <w:rPr>
          <w:rFonts w:ascii="Garamond" w:hAnsi="Garamond"/>
        </w:rPr>
        <w:t>–</w:t>
      </w:r>
      <w:r w:rsidRPr="00896D4F">
        <w:t xml:space="preserve"> skriftligen eller muntligen </w:t>
      </w:r>
      <w:r w:rsidRPr="00896D4F">
        <w:rPr>
          <w:rFonts w:ascii="Garamond" w:hAnsi="Garamond"/>
        </w:rPr>
        <w:t>–</w:t>
      </w:r>
      <w:r w:rsidRPr="00896D4F">
        <w:t xml:space="preserve"> skall således överförmynd</w:t>
      </w:r>
      <w:r w:rsidRPr="00896D4F">
        <w:t>a</w:t>
      </w:r>
      <w:r w:rsidRPr="00896D4F">
        <w:t>ren pröva, i första hand om utlämnande skall ske med stöd av föräldrabalken och, om så inte är fallet, om utlämnande ändå kan ske utan hinder av 9 kap. 14 § sekretesslagen. Om en sådan prövning leder till ett beslut om avslag på begäran att få ta del av handlingen, har sökanden enligt 2 kap. 15 § tryckfr</w:t>
      </w:r>
      <w:r w:rsidRPr="00896D4F">
        <w:t>i</w:t>
      </w:r>
      <w:r w:rsidRPr="00896D4F">
        <w:t>hetsförordningen och 15 kap. 7 § sekretesslagen möjlighet att föra talan mot beslutet. Ett beslut om avslag bör därför sättas upp särskilt och inneh</w:t>
      </w:r>
      <w:r w:rsidRPr="00896D4F">
        <w:t>ålla de skäl som har bestämt utgången (jfr 20 § förvaltningslagen). Att ett beslut som går att överklaga skall förses med fullföljdshänvisning följer av 21 § förval</w:t>
      </w:r>
      <w:r w:rsidRPr="00896D4F">
        <w:t>t</w:t>
      </w:r>
      <w:r w:rsidRPr="00896D4F">
        <w:t>ningslagen. Oavsett vilket regelsystem som skall tillämpas skall en framstäl</w:t>
      </w:r>
      <w:r w:rsidRPr="00896D4F">
        <w:t>l</w:t>
      </w:r>
      <w:r w:rsidRPr="00896D4F">
        <w:t>ning om att få ta del av handlingar behandlas med til</w:t>
      </w:r>
      <w:r w:rsidRPr="00896D4F">
        <w:t>l</w:t>
      </w:r>
      <w:r w:rsidRPr="00896D4F">
        <w:t xml:space="preserve">börlig skyndsamhet. </w:t>
      </w:r>
    </w:p>
    <w:p w:rsidR="009C1C5A" w:rsidRPr="00896D4F" w:rsidRDefault="009C1C5A">
      <w:pPr>
        <w:pStyle w:val="Normaltindrag"/>
      </w:pPr>
      <w:r w:rsidRPr="00896D4F">
        <w:t>Av utredningen framgår att M. och M.H. sedan den 20 mars 2000 vid up</w:t>
      </w:r>
      <w:r w:rsidRPr="00896D4F">
        <w:t>p</w:t>
      </w:r>
      <w:r w:rsidRPr="00896D4F">
        <w:t>repade tillfällen begärt att få ta del av handlingarna i akten rörande M:s bror B.A. Först åtta månader senare fick makarna del av samtliga handlingar i akten. Denna tidsutdräkt är självfallet varken förenlig med tryckfrihetsföror</w:t>
      </w:r>
      <w:r w:rsidRPr="00896D4F">
        <w:t>d</w:t>
      </w:r>
      <w:r w:rsidRPr="00896D4F">
        <w:t>ningens skyndsamhetskrav eller de krav på handläggningen som följer av FB:s regler. Den rätt som en anhörig enligt 16 kap. 7 § FB har att ta del av handlingar hos överförmyndaren är inte begränsad i något särskilt avseende. Överförmyndarens underlåtenhet att låta de anhöriga ta d</w:t>
      </w:r>
      <w:r w:rsidRPr="00896D4F">
        <w:t>el av akten har u</w:t>
      </w:r>
      <w:r w:rsidRPr="00896D4F">
        <w:t>p</w:t>
      </w:r>
      <w:r w:rsidRPr="00896D4F">
        <w:t>penbart varit ägnad att öka deras misstro mot överförmyndaren. Överförmy</w:t>
      </w:r>
      <w:r w:rsidRPr="00896D4F">
        <w:t>n</w:t>
      </w:r>
      <w:r w:rsidRPr="00896D4F">
        <w:t>daren förtjänar mycket allvarlig kritik för sin bristfälliga handläggning av M. och M.H:s fra</w:t>
      </w:r>
      <w:r w:rsidRPr="00896D4F">
        <w:t>m</w:t>
      </w:r>
      <w:r w:rsidRPr="00896D4F">
        <w:t xml:space="preserve">ställningar. </w:t>
      </w:r>
    </w:p>
    <w:p w:rsidR="009C1C5A" w:rsidRPr="00896D4F" w:rsidRDefault="009C1C5A">
      <w:pPr>
        <w:pStyle w:val="Normaltindrag"/>
      </w:pPr>
      <w:r w:rsidRPr="00896D4F">
        <w:t>Jag förutsätter att överförmyndarförvaltningen omgående ser över sina r</w:t>
      </w:r>
      <w:r w:rsidRPr="00896D4F">
        <w:t>u</w:t>
      </w:r>
      <w:r w:rsidRPr="00896D4F">
        <w:t>tiner i nu påtalat hänseende så att handläggningen av framställningar om att få ta del av allmänna handlingar fortsättningsvis sker i överensstämmelse med gällande b</w:t>
      </w:r>
      <w:r w:rsidRPr="00896D4F">
        <w:t>e</w:t>
      </w:r>
      <w:r w:rsidRPr="00896D4F">
        <w:t>stämmelser.</w:t>
      </w:r>
    </w:p>
    <w:p w:rsidR="009C1C5A" w:rsidRPr="00896D4F" w:rsidRDefault="009C1C5A">
      <w:pPr>
        <w:pStyle w:val="Rubrik4"/>
      </w:pPr>
      <w:r w:rsidRPr="00896D4F">
        <w:t>Försäljning av huvudmannens fastighet</w:t>
      </w:r>
    </w:p>
    <w:p w:rsidR="009C1C5A" w:rsidRPr="00896D4F" w:rsidRDefault="009C1C5A">
      <w:pPr>
        <w:spacing w:line="240" w:lineRule="auto"/>
      </w:pPr>
      <w:r w:rsidRPr="00896D4F">
        <w:t>Inledningsvis vill jag framhålla att jag inte uttalar mig i frågan om överfö</w:t>
      </w:r>
      <w:r w:rsidRPr="00896D4F">
        <w:t>r</w:t>
      </w:r>
      <w:r w:rsidRPr="00896D4F">
        <w:t xml:space="preserve">myndarens beslut att lämna tillstånd till försäljningen av fastigheten är riktigt i sak. JO brukar nämligen inte pröva myndigheternas ställningstaganden i de sakfrågor som det ankommer på dem att avgöra. Jag vill även klargöra att gode män inte står under JO:s tillsyn. Jag är därför förhindrad att uttala mig i frågor som rör den gode mannens åtgärder. </w:t>
      </w:r>
    </w:p>
    <w:p w:rsidR="009C1C5A" w:rsidRPr="00896D4F" w:rsidRDefault="009C1C5A">
      <w:pPr>
        <w:pStyle w:val="Normaltindrag"/>
      </w:pPr>
      <w:r w:rsidRPr="00896D4F">
        <w:t xml:space="preserve">För vissa dispositioner av gode män krävs att överförmyndaren lämnar sitt samtycke. I 14 kap. 11 § första stycket 3 föräldrabalken (FB) stadgas sålunda att </w:t>
      </w:r>
      <w:r w:rsidRPr="00896D4F">
        <w:t>god man får överlåta huvudmannens fasta egendom endast med överfö</w:t>
      </w:r>
      <w:r w:rsidRPr="00896D4F">
        <w:t>r</w:t>
      </w:r>
      <w:r w:rsidRPr="00896D4F">
        <w:t xml:space="preserve">myndarens samtycke. Enligt tredje stycket får samtycke lämnas endast om åtgärden är lämplig med hänsyn till egendomens natur samt huvudmannens behov och samlade tillgångar. </w:t>
      </w:r>
    </w:p>
    <w:p w:rsidR="009C1C5A" w:rsidRPr="00896D4F" w:rsidRDefault="009C1C5A">
      <w:pPr>
        <w:pStyle w:val="Normaltindrag"/>
      </w:pPr>
      <w:r w:rsidRPr="00896D4F">
        <w:t>Angående överförmyndarens beslutsunderlag vid handläggningen av ett tillståndsärende gällande försäljning av fastighet vill jag anföra följande (jfr bl.a. JO 1997/98 s. 474). I ansökan om samtycke till försäljning skall anges de skäl som finns för förvärvet. Uppgift bör v</w:t>
      </w:r>
      <w:r w:rsidRPr="00896D4F">
        <w:t>idare lämnas om hur huvudmannen fortsättningsvis löser sin bostadsfråga om fastigheten tidigare utgjort hans bostad. I ansökan bör också anges hur den erhållna likviden skall disponeras. Utredningen om fastighetens värde i form av ett värderingsutlåtande utfärdat av sakkunnig och opartisk person skall i allmänhet förebringas. Villkoren för försäljningen bör anges så fullständigt som möjligt, helst genom att färdigt köpekontrakt eller förslag till sådant inges till överförmyndaren. Överfö</w:t>
      </w:r>
      <w:r w:rsidRPr="00896D4F">
        <w:t>r</w:t>
      </w:r>
      <w:r w:rsidRPr="00896D4F">
        <w:t>myndaren skall ha e</w:t>
      </w:r>
      <w:r w:rsidRPr="00896D4F">
        <w:t>tt sådant beslutsunderlag att han kan se till att priset inte understiger fastighetens värde och att villkoren för betalningen och i övrigt för försäljningen är till huvudmannens fördel. Det är även viktigt att huvu</w:t>
      </w:r>
      <w:r w:rsidRPr="00896D4F">
        <w:t>d</w:t>
      </w:r>
      <w:r w:rsidRPr="00896D4F">
        <w:t>mannens egen inställning såvitt möjligt utrönes. Underlåtenhet att delge ans</w:t>
      </w:r>
      <w:r w:rsidRPr="00896D4F">
        <w:t>ö</w:t>
      </w:r>
      <w:r w:rsidRPr="00896D4F">
        <w:t>kan med denne kan därför inte godtas om det inte är uppenbart att han saknat förmåga att ta ställning till frågan om försäljningen.</w:t>
      </w:r>
    </w:p>
    <w:p w:rsidR="009C1C5A" w:rsidRPr="00896D4F" w:rsidRDefault="009C1C5A">
      <w:pPr>
        <w:pStyle w:val="Normaltindrag"/>
      </w:pPr>
      <w:r w:rsidRPr="00896D4F">
        <w:t>Beträffande frågan om ett eventuellt obligatoriskt krav på utannonsering inför försäljn</w:t>
      </w:r>
      <w:r w:rsidRPr="00896D4F">
        <w:t>ing av en huvudmans fastighet vill jag framhålla följande. La</w:t>
      </w:r>
      <w:r w:rsidRPr="00896D4F">
        <w:t>g</w:t>
      </w:r>
      <w:r w:rsidRPr="00896D4F">
        <w:t xml:space="preserve">stiftningen innehåller inget krav på att fastigheter skall bjudas ut på den öppna marknaden och enligt min mening kan något generellt krav på utannonsering inte ställas upp. Frågan får i stället avgöras med hänsyn till omständigherna i det enskilda fallet. Vid denna bedömning bör hänsyn tas till huvudmannens såväl ekonomiska som övriga personliga omständigheter, vilket innebär att det kan förekomma fall där det inte bör vara enbart frågan om att </w:t>
      </w:r>
      <w:r w:rsidRPr="00896D4F">
        <w:t>erhålla bästa ekonomiska utfall som blir avg</w:t>
      </w:r>
      <w:r w:rsidRPr="00896D4F">
        <w:t>ö</w:t>
      </w:r>
      <w:r w:rsidRPr="00896D4F">
        <w:t>rande.</w:t>
      </w:r>
    </w:p>
    <w:p w:rsidR="009C1C5A" w:rsidRPr="00896D4F" w:rsidRDefault="009C1C5A">
      <w:pPr>
        <w:pStyle w:val="Normaltindrag"/>
      </w:pPr>
      <w:r w:rsidRPr="00896D4F">
        <w:t>I 16 kap. 9 § FB anges att innan överförmyndaren tar ställning till om samtycke skall lämnas till en förvaltningsåtgärd av större vikt, skall huvu</w:t>
      </w:r>
      <w:r w:rsidRPr="00896D4F">
        <w:t>d</w:t>
      </w:r>
      <w:r w:rsidRPr="00896D4F">
        <w:t>mannen samt dennes make eller sambo och närmaste släktingar beredas til</w:t>
      </w:r>
      <w:r w:rsidRPr="00896D4F">
        <w:t>l</w:t>
      </w:r>
      <w:r w:rsidRPr="00896D4F">
        <w:t>fälle att yttra sig, om det kan ske utan avsevärd tidsförlust. Till förvaltning</w:t>
      </w:r>
      <w:r w:rsidRPr="00896D4F">
        <w:t>s</w:t>
      </w:r>
      <w:r w:rsidRPr="00896D4F">
        <w:t>åtgärd av större vikt hör bl.a. överlåtelse av fast egendom (jfr prop. 1993/94:251 s. 283).</w:t>
      </w:r>
    </w:p>
    <w:p w:rsidR="009C1C5A" w:rsidRPr="00896D4F" w:rsidRDefault="009C1C5A">
      <w:pPr>
        <w:pStyle w:val="Normaltindrag"/>
      </w:pPr>
      <w:r w:rsidRPr="00896D4F">
        <w:t>Av utredningen framgår att överförmyndaren inte berett M.H. tillfälle att yttra sig innan beslut om tillstånd meddelades. Utredningen ger visserligen vid handen att hon var införstådd med att den gode mannen skulle komma att sälja fastigheten. Trots det har det ålega</w:t>
      </w:r>
      <w:r w:rsidRPr="00896D4F">
        <w:t>t överförmyndaren att höra henne om hennes inställning till den aktuella försäljningen innan överförmyndaren b</w:t>
      </w:r>
      <w:r w:rsidRPr="00896D4F">
        <w:t>e</w:t>
      </w:r>
      <w:r w:rsidRPr="00896D4F">
        <w:t>handlade frågan om tillstånd. Det är således inte tillräckligt att den gode ma</w:t>
      </w:r>
      <w:r w:rsidRPr="00896D4F">
        <w:t>n</w:t>
      </w:r>
      <w:r w:rsidRPr="00896D4F">
        <w:t>nen varit i kontakt med huvudmannens närmaste släktingar. Jag är därför kritisk till att överförmyndaren inte beredde M.H. tillfälle att yttra sig innan beslut meddel</w:t>
      </w:r>
      <w:r w:rsidRPr="00896D4F">
        <w:t>a</w:t>
      </w:r>
      <w:r w:rsidRPr="00896D4F">
        <w:t>des.</w:t>
      </w:r>
    </w:p>
    <w:p w:rsidR="009C1C5A" w:rsidRPr="00896D4F" w:rsidRDefault="009C1C5A">
      <w:pPr>
        <w:pStyle w:val="Normaltindrag"/>
      </w:pPr>
      <w:r w:rsidRPr="00896D4F">
        <w:t>Det är utrett att köpehandlingarna beträffande fastigheten underställts överförmyndarens prövning. I detta avseende finns således inget att anmärka på</w:t>
      </w:r>
      <w:r w:rsidRPr="00896D4F">
        <w:t>. Överförmyndaren har i sitt remissvar uppgett att försäljningen skedde med hjälp av mäklare, varför hon inte hade anledning att ifrågasätta priset. Utre</w:t>
      </w:r>
      <w:r w:rsidRPr="00896D4F">
        <w:t>d</w:t>
      </w:r>
      <w:r w:rsidRPr="00896D4F">
        <w:t>ningen visar dock att fastighetsmäklarens uppdrag endast har varit att upprätta köpehandlingar vid försäljningen av fastigheten och att mäklaren inte har förmedlat själva försäljningen av fastigheten. Av utredningen framgår vidare att överförmyndaren inte haft tillgång till något värderingsutlåtande om fa</w:t>
      </w:r>
      <w:r w:rsidRPr="00896D4F">
        <w:t>s</w:t>
      </w:r>
      <w:r w:rsidRPr="00896D4F">
        <w:t>tighetens marknadsvärde utfärdat av sakkunnig och o</w:t>
      </w:r>
      <w:r w:rsidRPr="00896D4F">
        <w:t>partisk person. Som framgår ovan saknades även yttranden angåenden försäljningen från huvu</w:t>
      </w:r>
      <w:r w:rsidRPr="00896D4F">
        <w:t>d</w:t>
      </w:r>
      <w:r w:rsidRPr="00896D4F">
        <w:t>mannens närmaste släktingar. Med hänsyn till vad som sålunda framkommit vill jag starkt ifrågasätta om överförmyndaren haft nödvändigt underlag för att kunna ta hänsyn till huvudmannens intre</w:t>
      </w:r>
      <w:r w:rsidRPr="00896D4F">
        <w:t>s</w:t>
      </w:r>
      <w:r w:rsidRPr="00896D4F">
        <w:t xml:space="preserve">sen. </w:t>
      </w:r>
    </w:p>
    <w:p w:rsidR="009C1C5A" w:rsidRPr="00896D4F" w:rsidRDefault="009C1C5A">
      <w:pPr>
        <w:pStyle w:val="Normaltindrag"/>
      </w:pPr>
      <w:r w:rsidRPr="00896D4F">
        <w:t>Utredningen visar enligt min uppfattning att överförmyndaren inte haft tillgång till det beslutsunderlag som bör föreligga inför ett beslut om tillstånd till försäljning. Jag är därför kritisk till överförmyndarens handlägg</w:t>
      </w:r>
      <w:r w:rsidRPr="00896D4F">
        <w:t>ning av den gode mannens begäran om tillstånd till försäljning av huvudmannens fastighet, särskilt mot bakgrund av den skada som huvudmannen uppges ha förorsakats genom överförmynd</w:t>
      </w:r>
      <w:r w:rsidRPr="00896D4F">
        <w:t>a</w:t>
      </w:r>
      <w:r w:rsidRPr="00896D4F">
        <w:t xml:space="preserve">rens bristfälliga handläggning. </w:t>
      </w:r>
    </w:p>
    <w:p w:rsidR="009C1C5A" w:rsidRPr="00896D4F" w:rsidRDefault="009C1C5A">
      <w:pPr>
        <w:pStyle w:val="Rubrik4"/>
      </w:pPr>
      <w:r w:rsidRPr="00896D4F">
        <w:t>Handläggningen av begäran om byte av god man</w:t>
      </w:r>
    </w:p>
    <w:p w:rsidR="009C1C5A" w:rsidRPr="00896D4F" w:rsidRDefault="009C1C5A">
      <w:pPr>
        <w:spacing w:line="240" w:lineRule="auto"/>
      </w:pPr>
      <w:r w:rsidRPr="00896D4F">
        <w:t>Överförmyndaren är ensam behörig att fatta beslut om byte av god man (11 kap. 19 § FB). Om överförmyndaren efter begäran från huvudmannen själv eller dennes närmaste släktingar finner att det inte föreligger skäl till byte av god man skall ett beslut om avslag sättas upp särskilt och innehålla de skäl som har bestämt utgången (20 § förvaltningslagen). Att ett beslut som går att överklaga skall förses med fullföljdshänvisning följer av 21 § förval</w:t>
      </w:r>
      <w:r w:rsidRPr="00896D4F">
        <w:t>t</w:t>
      </w:r>
      <w:r w:rsidRPr="00896D4F">
        <w:t>ningsl</w:t>
      </w:r>
      <w:r w:rsidRPr="00896D4F">
        <w:t>a</w:t>
      </w:r>
      <w:r w:rsidRPr="00896D4F">
        <w:t>gen.</w:t>
      </w:r>
    </w:p>
    <w:p w:rsidR="009C1C5A" w:rsidRPr="00896D4F" w:rsidRDefault="009C1C5A">
      <w:pPr>
        <w:pStyle w:val="Normaltindrag"/>
      </w:pPr>
      <w:r w:rsidRPr="00896D4F">
        <w:t>Frågan inom vilken tidsfrist en förvaltningsmyndighet skall överlämna en skrivelse med överklagande och övriga handlingar i ärendet till överinstansen är inte reglerat i någon författning. Det ligger emellertid i sakens natur att ett överlämnande måste ske utan dröjsmål. Den allmänna regeln i 7 § förval</w:t>
      </w:r>
      <w:r w:rsidRPr="00896D4F">
        <w:t>t</w:t>
      </w:r>
      <w:r w:rsidRPr="00896D4F">
        <w:t>ningslagen om snabb och enkel handläggning m.m. skall vara vägledande även i detta häns</w:t>
      </w:r>
      <w:r w:rsidRPr="00896D4F">
        <w:t>e</w:t>
      </w:r>
      <w:r w:rsidRPr="00896D4F">
        <w:t>ende.</w:t>
      </w:r>
    </w:p>
    <w:p w:rsidR="009C1C5A" w:rsidRPr="00896D4F" w:rsidRDefault="009C1C5A">
      <w:pPr>
        <w:pStyle w:val="Normaltindrag"/>
        <w:rPr>
          <w:b/>
          <w:i/>
        </w:rPr>
      </w:pPr>
      <w:r w:rsidRPr="00896D4F">
        <w:t>M.H:s begäran om byte av god man kom in till överförmyndaren den 18 juni 2000. I ett brev daterat den 5 juli 2000 förklarade överförmyndaren varför hon inte hade för avsikt att byta god man för B.A. Överförmyndaren fattade dock inte något formligt beslut i frågan. Överförmyndarens underl</w:t>
      </w:r>
      <w:r w:rsidRPr="00896D4F">
        <w:t>å</w:t>
      </w:r>
      <w:r w:rsidRPr="00896D4F">
        <w:t>tenhet i nämnt avseende kan inte undgå kritik. M.H:s begäran om omprövning alternativt överklagande kom in till överförmyndaren den 25 juli 2000.  Den 25 augusti 2000 avslog överförmyndaren M.H:s begäran om entledigande av den gode mannen. Beslutet var försett med fullföljdshänvisning. Överfö</w:t>
      </w:r>
      <w:r w:rsidRPr="00896D4F">
        <w:t>r</w:t>
      </w:r>
      <w:r w:rsidRPr="00896D4F">
        <w:t>myndaren överlämnade dock inte överklagandet till tingsrätten. Först den 19 september 2000, efter ett nytt överklagande av M.H., överlämnades öve</w:t>
      </w:r>
      <w:r w:rsidRPr="00896D4F">
        <w:t>r</w:t>
      </w:r>
      <w:r w:rsidRPr="00896D4F">
        <w:t>klagandet till tingsrätten. Denna tid är mot bakgrund av vad jag anfört</w:t>
      </w:r>
      <w:r w:rsidRPr="00896D4F">
        <w:t xml:space="preserve"> ovan för lång. Överförmyndaren kan inte undgå kritik för de</w:t>
      </w:r>
      <w:r w:rsidRPr="00896D4F">
        <w:t>t</w:t>
      </w:r>
      <w:r w:rsidRPr="00896D4F">
        <w:t>ta.</w:t>
      </w:r>
    </w:p>
    <w:p w:rsidR="009C1C5A" w:rsidRPr="00896D4F" w:rsidRDefault="009C1C5A">
      <w:pPr>
        <w:pStyle w:val="Rubrik4"/>
      </w:pPr>
      <w:r w:rsidRPr="00896D4F">
        <w:t>Övrigt</w:t>
      </w:r>
    </w:p>
    <w:p w:rsidR="009C1C5A" w:rsidRPr="00896D4F" w:rsidRDefault="009C1C5A">
      <w:r w:rsidRPr="00896D4F">
        <w:t>I anmälan har M. och M.H. även uttryckt sitt missnöje med att överförmynd</w:t>
      </w:r>
      <w:r w:rsidRPr="00896D4F">
        <w:t>a</w:t>
      </w:r>
      <w:r w:rsidRPr="00896D4F">
        <w:t>ren intagit ståndpunkten att den gode mannen inte är olämplig för sitt up</w:t>
      </w:r>
      <w:r w:rsidRPr="00896D4F">
        <w:t>p</w:t>
      </w:r>
      <w:r w:rsidRPr="00896D4F">
        <w:t>drag. JO brukar inte uttala sig om myndigheternas ställningstaganden i sa</w:t>
      </w:r>
      <w:r w:rsidRPr="00896D4F">
        <w:t>k</w:t>
      </w:r>
      <w:r w:rsidRPr="00896D4F">
        <w:t>frågor, i synnerhet om dessa bygger på lämplighetsöverväganden eller föru</w:t>
      </w:r>
      <w:r w:rsidRPr="00896D4F">
        <w:t>t</w:t>
      </w:r>
      <w:r w:rsidRPr="00896D4F">
        <w:t xml:space="preserve">sätter särskild sakkunskap. Någon anledning att göra undantag från denna princip föreligger inte i detta fall. </w:t>
      </w:r>
    </w:p>
    <w:p w:rsidR="009C1C5A" w:rsidRPr="00896D4F" w:rsidRDefault="009C1C5A">
      <w:pPr>
        <w:spacing w:line="240" w:lineRule="auto"/>
      </w:pPr>
      <w:r w:rsidRPr="00896D4F">
        <w:t xml:space="preserve">Vad som i övrigt förekommit i ärendet föranleder inte någon kommentar från min sida. </w:t>
      </w:r>
    </w:p>
    <w:p w:rsidR="009C1C5A" w:rsidRPr="00896D4F" w:rsidRDefault="009C1C5A">
      <w:pPr>
        <w:pStyle w:val="Rubrik2"/>
      </w:pPr>
      <w:r w:rsidRPr="00896D4F">
        <w:t>Kritik mot en överförmyndare för handläggningen av ett ärende om go</w:t>
      </w:r>
      <w:r w:rsidRPr="00896D4F">
        <w:t>d</w:t>
      </w:r>
      <w:r w:rsidRPr="00896D4F">
        <w:t>manskap m.m.</w:t>
      </w:r>
    </w:p>
    <w:p w:rsidR="009C1C5A" w:rsidRPr="00896D4F" w:rsidRDefault="009C1C5A">
      <w:pPr>
        <w:spacing w:before="0"/>
      </w:pPr>
      <w:r w:rsidRPr="00896D4F">
        <w:t>(Dnr 3555-2000)</w:t>
      </w:r>
    </w:p>
    <w:p w:rsidR="009C1C5A" w:rsidRPr="00896D4F" w:rsidRDefault="009C1C5A">
      <w:r w:rsidRPr="00896D4F">
        <w:t xml:space="preserve">I ett beslut den 7 december 2001 anförde </w:t>
      </w:r>
      <w:r w:rsidRPr="00896D4F">
        <w:rPr>
          <w:i/>
        </w:rPr>
        <w:t xml:space="preserve">JO Pennlöv </w:t>
      </w:r>
      <w:r w:rsidRPr="00896D4F">
        <w:t>följande.</w:t>
      </w:r>
    </w:p>
    <w:p w:rsidR="009C1C5A" w:rsidRPr="00896D4F" w:rsidRDefault="009C1C5A">
      <w:pPr>
        <w:pStyle w:val="Rubrik3"/>
      </w:pPr>
      <w:r w:rsidRPr="00896D4F">
        <w:t>Anmälan m.m.</w:t>
      </w:r>
    </w:p>
    <w:p w:rsidR="009C1C5A" w:rsidRPr="00896D4F" w:rsidRDefault="009C1C5A">
      <w:r w:rsidRPr="00896D4F">
        <w:t xml:space="preserve">A.B., för vilken G.S. varit god man enligt 11 kap. 4 § FB, avled den 18 mars 2000. </w:t>
      </w:r>
    </w:p>
    <w:p w:rsidR="009C1C5A" w:rsidRPr="00896D4F" w:rsidRDefault="009C1C5A">
      <w:r w:rsidRPr="00896D4F">
        <w:t>Dödsbodelägaren S.B. har framfört klagomål mot Överförmyndaren i Vä</w:t>
      </w:r>
      <w:r w:rsidRPr="00896D4F">
        <w:t>s</w:t>
      </w:r>
      <w:r w:rsidRPr="00896D4F">
        <w:t>terås i flera avseenden. Han har därvid ifrågasatt den gode mannens förval</w:t>
      </w:r>
      <w:r w:rsidRPr="00896D4F">
        <w:t>t</w:t>
      </w:r>
      <w:r w:rsidRPr="00896D4F">
        <w:t>ning av huvudmannens egendom och överförmyndarens kontroll av förval</w:t>
      </w:r>
      <w:r w:rsidRPr="00896D4F">
        <w:t>t</w:t>
      </w:r>
      <w:r w:rsidRPr="00896D4F">
        <w:t>ningen. Han har gjort gällande att överförmyndarens bristande tillsyn sann</w:t>
      </w:r>
      <w:r w:rsidRPr="00896D4F">
        <w:t>o</w:t>
      </w:r>
      <w:r w:rsidRPr="00896D4F">
        <w:t>likt me</w:t>
      </w:r>
      <w:r w:rsidRPr="00896D4F">
        <w:t>d</w:t>
      </w:r>
      <w:r w:rsidRPr="00896D4F">
        <w:t xml:space="preserve">fört att A.B. lidit ekonomisk skada. Han har anfört bl.a. följande. </w:t>
      </w:r>
    </w:p>
    <w:p w:rsidR="009C1C5A" w:rsidRPr="00896D4F" w:rsidRDefault="009C1C5A">
      <w:pPr>
        <w:numPr>
          <w:ilvl w:val="0"/>
          <w:numId w:val="51"/>
        </w:numPr>
        <w:spacing w:line="240" w:lineRule="auto"/>
      </w:pPr>
      <w:r w:rsidRPr="00896D4F">
        <w:t>Den gode mannen tog själv initiativ till försäljning av huvudmannens bostadsrätt utan att det förelåg några ekonomiska motiv för avyttring. Försäljningen var inte lämplig med hänsyn till de samlade tillgångarna.</w:t>
      </w:r>
    </w:p>
    <w:p w:rsidR="009C1C5A" w:rsidRPr="00896D4F" w:rsidRDefault="009C1C5A">
      <w:pPr>
        <w:numPr>
          <w:ilvl w:val="0"/>
          <w:numId w:val="51"/>
        </w:numPr>
        <w:spacing w:before="0" w:line="240" w:lineRule="auto"/>
      </w:pPr>
      <w:r w:rsidRPr="00896D4F">
        <w:t xml:space="preserve">Försäljningen skedde utan utannonsering av bostadsrätten och utan något </w:t>
      </w:r>
      <w:r w:rsidRPr="00896D4F">
        <w:br/>
        <w:t xml:space="preserve">värderingsutlåtande. Försäljningspriset blev 30 procent under redovisat </w:t>
      </w:r>
      <w:r w:rsidRPr="00896D4F">
        <w:br/>
        <w:t>ande</w:t>
      </w:r>
      <w:r w:rsidRPr="00896D4F">
        <w:t>l</w:t>
      </w:r>
      <w:r w:rsidRPr="00896D4F">
        <w:t xml:space="preserve">svärde enligt år 1996 årsräkning. </w:t>
      </w:r>
    </w:p>
    <w:p w:rsidR="009C1C5A" w:rsidRPr="00896D4F" w:rsidRDefault="009C1C5A">
      <w:pPr>
        <w:numPr>
          <w:ilvl w:val="0"/>
          <w:numId w:val="51"/>
        </w:numPr>
        <w:spacing w:before="0" w:line="240" w:lineRule="auto"/>
      </w:pPr>
      <w:r w:rsidRPr="00896D4F">
        <w:t>Enligt överlåtelseavtalet finns inget samtycke till försäljningen från öve</w:t>
      </w:r>
      <w:r w:rsidRPr="00896D4F">
        <w:t>r</w:t>
      </w:r>
      <w:r w:rsidRPr="00896D4F">
        <w:t>förmyndaren. Det inhämtades inte heller något yttrande från närmaste släktingar. Årsräkningen för år 1997 är ändå granskad utan anmärkning av överförmy</w:t>
      </w:r>
      <w:r w:rsidRPr="00896D4F">
        <w:t>n</w:t>
      </w:r>
      <w:r w:rsidRPr="00896D4F">
        <w:t xml:space="preserve">daren. </w:t>
      </w:r>
    </w:p>
    <w:p w:rsidR="009C1C5A" w:rsidRPr="00896D4F" w:rsidRDefault="009C1C5A">
      <w:pPr>
        <w:numPr>
          <w:ilvl w:val="0"/>
          <w:numId w:val="51"/>
        </w:numPr>
        <w:spacing w:before="0" w:line="240" w:lineRule="auto"/>
      </w:pPr>
      <w:r w:rsidRPr="00896D4F">
        <w:t>Ingen försäljning av lös egendom eller deponering hos anhöriga har skett. Allt lösöre har magasinerats till en kostnad som motsvarar likviden för bostadsrätten (t.o.m. juli 2000). Någon förteckning har inte upprättats på magasinerat lösöre. Trots detta har årsräkningarna granskats utan a</w:t>
      </w:r>
      <w:r w:rsidRPr="00896D4F">
        <w:t>n</w:t>
      </w:r>
      <w:r w:rsidRPr="00896D4F">
        <w:t>märkning av överfö</w:t>
      </w:r>
      <w:r w:rsidRPr="00896D4F">
        <w:t>r</w:t>
      </w:r>
      <w:r w:rsidRPr="00896D4F">
        <w:t xml:space="preserve">myndaren. </w:t>
      </w:r>
    </w:p>
    <w:p w:rsidR="009C1C5A" w:rsidRPr="00896D4F" w:rsidRDefault="009C1C5A">
      <w:pPr>
        <w:numPr>
          <w:ilvl w:val="0"/>
          <w:numId w:val="51"/>
        </w:numPr>
        <w:spacing w:before="0" w:line="240" w:lineRule="auto"/>
      </w:pPr>
      <w:r w:rsidRPr="00896D4F">
        <w:t>Överförmyndaren har vägrat att lämna ut kopior ur huvudmannens akt. I ett brev daterat den 13 augusti 2000 begärde han att få kopior av bl.a. A.B:s journal enligt 16 kap. 7 § föräldrabalken. I ett svar daterat den 28 augusti 2000 meddelade överförmyndaren att det inte finns någon journal utan bara tjänsteantecknin</w:t>
      </w:r>
      <w:r w:rsidRPr="00896D4F">
        <w:t>g</w:t>
      </w:r>
      <w:r w:rsidRPr="00896D4F">
        <w:t>ar, som inte lämnas ut.</w:t>
      </w:r>
    </w:p>
    <w:p w:rsidR="009C1C5A" w:rsidRPr="00896D4F" w:rsidRDefault="009C1C5A">
      <w:pPr>
        <w:numPr>
          <w:ilvl w:val="0"/>
          <w:numId w:val="51"/>
        </w:numPr>
        <w:spacing w:before="0" w:line="240" w:lineRule="auto"/>
      </w:pPr>
      <w:r w:rsidRPr="00896D4F">
        <w:t>Den gode mannen har bristfälligt redovisat förvaltad egendom. Av år</w:t>
      </w:r>
      <w:r w:rsidRPr="00896D4F">
        <w:t>s</w:t>
      </w:r>
      <w:r w:rsidRPr="00896D4F">
        <w:t>räkningarna framgår inte hur mycket som har använts för den enskildes uppehälle och nytta i övrigt. Årsräkningarna är granskade utan anmär</w:t>
      </w:r>
      <w:r w:rsidRPr="00896D4F">
        <w:t>k</w:t>
      </w:r>
      <w:r w:rsidRPr="00896D4F">
        <w:t>ning av överförmy</w:t>
      </w:r>
      <w:r w:rsidRPr="00896D4F">
        <w:t>n</w:t>
      </w:r>
      <w:r w:rsidRPr="00896D4F">
        <w:t>daren.</w:t>
      </w:r>
    </w:p>
    <w:p w:rsidR="009C1C5A" w:rsidRPr="00896D4F" w:rsidRDefault="009C1C5A">
      <w:pPr>
        <w:pStyle w:val="Rubrik3"/>
      </w:pPr>
      <w:r w:rsidRPr="00896D4F">
        <w:t>Utredning</w:t>
      </w:r>
    </w:p>
    <w:p w:rsidR="009C1C5A" w:rsidRPr="00896D4F" w:rsidRDefault="009C1C5A">
      <w:r w:rsidRPr="00896D4F">
        <w:t>Anmälan har remitterats till Överförmyndaren i Västerås kommun för yttra</w:t>
      </w:r>
      <w:r w:rsidRPr="00896D4F">
        <w:t>n</w:t>
      </w:r>
      <w:r w:rsidRPr="00896D4F">
        <w:t>de. I remissvaret har överförmyndaren Gunila Rickman anfört följande.</w:t>
      </w:r>
    </w:p>
    <w:p w:rsidR="009C1C5A" w:rsidRPr="00896D4F" w:rsidRDefault="009C1C5A">
      <w:pPr>
        <w:pStyle w:val="Citat"/>
      </w:pPr>
      <w:r w:rsidRPr="00896D4F">
        <w:t>Ärendet gäller A.B., som fick god man genom tingsrättens beslut 1991-08-26. G.S. förordnades som god man 1991-10-18 och verkade som sådan fram till huvudmannens död 2000-03-18. Under de första åren av godmanskapet bodde A.B. i egen lägenhet i Brf. Vetterstorp nr 2 i Västerås. 1993-11-30 beviljades hon plats på Rösegården, som är ett gruppboende i egen mindre lägenhet. Hennes bostadsrättslägenhet behölls tills vidare men såldes sommaren 1</w:t>
      </w:r>
      <w:r w:rsidRPr="00896D4F">
        <w:t>997 och utrymdes av gode mannen. Under årens lopp har några anhöriga framfört klagomål mot gode mannen. Tingsrätten har vid två tillfällen – 1994 och 1997 – prövat deras begäran om entledigande men lämnat framställningarna utan bifall.</w:t>
      </w:r>
    </w:p>
    <w:p w:rsidR="009C1C5A" w:rsidRPr="00896D4F" w:rsidRDefault="009C1C5A">
      <w:pPr>
        <w:pStyle w:val="Citat"/>
      </w:pPr>
      <w:r w:rsidRPr="00896D4F">
        <w:t>Gode mannen G.S. avled 2000-10-19.</w:t>
      </w:r>
    </w:p>
    <w:p w:rsidR="009C1C5A" w:rsidRPr="00896D4F" w:rsidRDefault="009C1C5A">
      <w:pPr>
        <w:pStyle w:val="Citat"/>
        <w:spacing w:before="0"/>
      </w:pPr>
      <w:r w:rsidRPr="00896D4F">
        <w:t>Jag vill också påpeka att jag fungerat som överförmyndare enbart sedan 1995-01-01. För tiden dessförinnan var annan person verksam som överförmynd</w:t>
      </w:r>
      <w:r w:rsidRPr="00896D4F">
        <w:t>a</w:t>
      </w:r>
      <w:r w:rsidRPr="00896D4F">
        <w:t>re.</w:t>
      </w:r>
    </w:p>
    <w:p w:rsidR="009C1C5A" w:rsidRPr="00896D4F" w:rsidRDefault="009C1C5A">
      <w:pPr>
        <w:pStyle w:val="Citat"/>
        <w:spacing w:before="0"/>
      </w:pPr>
      <w:r w:rsidRPr="00896D4F">
        <w:t>Vad nedan sägs hänför sig till de sex punkter som S.B. tagit upp i sin skrive</w:t>
      </w:r>
      <w:r w:rsidRPr="00896D4F">
        <w:t>l</w:t>
      </w:r>
      <w:r w:rsidRPr="00896D4F">
        <w:t>se till JO 2000-10-10.</w:t>
      </w:r>
    </w:p>
    <w:p w:rsidR="009C1C5A" w:rsidRPr="00896D4F" w:rsidRDefault="009C1C5A">
      <w:pPr>
        <w:pStyle w:val="Citat"/>
        <w:spacing w:before="0"/>
      </w:pPr>
      <w:r w:rsidRPr="00896D4F">
        <w:t>P. 1–3  Försäljningen har skett utan att jag beretts ta ställning till den. Gode mannen har sålunda inte iakttagit regeln i FB 14:11.</w:t>
      </w:r>
    </w:p>
    <w:p w:rsidR="009C1C5A" w:rsidRPr="00896D4F" w:rsidRDefault="009C1C5A">
      <w:pPr>
        <w:pStyle w:val="Citat"/>
        <w:spacing w:before="0"/>
      </w:pPr>
      <w:r w:rsidRPr="00896D4F">
        <w:t>P. 4  Kritiken rör en fråga, som helt torde falla under gode mannens eget förvaltningsansvar.</w:t>
      </w:r>
    </w:p>
    <w:p w:rsidR="009C1C5A" w:rsidRPr="00896D4F" w:rsidRDefault="009C1C5A">
      <w:pPr>
        <w:pStyle w:val="Citat"/>
        <w:spacing w:before="0"/>
      </w:pPr>
      <w:r w:rsidRPr="00896D4F">
        <w:t>P. 5  Beslutsprotokoll saknas av skäl, som angetts under 1–3 ovan. Överfö</w:t>
      </w:r>
      <w:r w:rsidRPr="00896D4F">
        <w:t>r</w:t>
      </w:r>
      <w:r w:rsidRPr="00896D4F">
        <w:t>myndarens svar till S.B. 2000-08-28 var däremot felaktigt såvitt det avser de av oss förda tjänsteanteckningarna. Felet har rättats till genom att han numera tillställts dessa.</w:t>
      </w:r>
    </w:p>
    <w:p w:rsidR="009C1C5A" w:rsidRPr="00896D4F" w:rsidRDefault="009C1C5A">
      <w:pPr>
        <w:pStyle w:val="Citat"/>
        <w:spacing w:before="0"/>
      </w:pPr>
      <w:r w:rsidRPr="00896D4F">
        <w:t>P. 6  I årsräkningarna upptas under rubriken Utgifter en klumpsumma för de utgifter som avser den enskildes uppehälle. Vad som ingår däri framgår av de verifikationer som gode mannen skall lämna i samband med ingivandet av årsräkningen.</w:t>
      </w:r>
    </w:p>
    <w:p w:rsidR="009C1C5A" w:rsidRPr="00896D4F" w:rsidRDefault="009C1C5A">
      <w:r w:rsidRPr="00896D4F">
        <w:t>S.B. har kommenterat remissvaret och därvid anfört bl.a. följande. Överfö</w:t>
      </w:r>
      <w:r w:rsidRPr="00896D4F">
        <w:t>r</w:t>
      </w:r>
      <w:r w:rsidRPr="00896D4F">
        <w:t>myndarens påstående att hon inte beretts ta ställning till försäljningen öve</w:t>
      </w:r>
      <w:r w:rsidRPr="00896D4F">
        <w:t>r</w:t>
      </w:r>
      <w:r w:rsidRPr="00896D4F">
        <w:t>ensstämmer inte med förda tjänsteanteckningar daterade den 18 juli 1997. Överlåtelsen av bostadsrätten är daterad den 27 juli 1997. Först den 27 okt</w:t>
      </w:r>
      <w:r w:rsidRPr="00896D4F">
        <w:t>o</w:t>
      </w:r>
      <w:r w:rsidRPr="00896D4F">
        <w:t xml:space="preserve">ber 2000 erhöll S.B. en kopia på förda tjänsteanteckningar. </w:t>
      </w:r>
    </w:p>
    <w:p w:rsidR="009C1C5A" w:rsidRPr="00896D4F" w:rsidRDefault="009C1C5A">
      <w:pPr>
        <w:pStyle w:val="Normaltindrag"/>
      </w:pPr>
      <w:r w:rsidRPr="00896D4F">
        <w:t>Efter en förnyad remiss har överförmyndaren Gunila Rickman uppgett bl.a. fö</w:t>
      </w:r>
      <w:r w:rsidRPr="00896D4F">
        <w:t>l</w:t>
      </w:r>
      <w:r w:rsidRPr="00896D4F">
        <w:t xml:space="preserve">jande. </w:t>
      </w:r>
    </w:p>
    <w:p w:rsidR="009C1C5A" w:rsidRPr="00896D4F" w:rsidRDefault="009C1C5A">
      <w:pPr>
        <w:pStyle w:val="Citat"/>
      </w:pPr>
      <w:r w:rsidRPr="00896D4F">
        <w:t>Det är inte ovanligt att underhandskontakter förekommer mellan gode ma</w:t>
      </w:r>
      <w:r w:rsidRPr="00896D4F">
        <w:t>n</w:t>
      </w:r>
      <w:r w:rsidRPr="00896D4F">
        <w:t>nen och överförmyndaren före en försäljning av huvudmannens bostad. Så synes också ha skett i detta fall. Dagboksanteckningarna från den 16 juni och den 18 juli 1997 bekräftar detta. Av anteckningarna kan endast utläsas att en försäljning kunde bli aktuell. Om ett överlåtelseavtal lämnats in för godkä</w:t>
      </w:r>
      <w:r w:rsidRPr="00896D4F">
        <w:t>n</w:t>
      </w:r>
      <w:r w:rsidRPr="00896D4F">
        <w:t>nande skulle det också ha framgått av dagboksbladet. Gode mannen, som f.ö. hade lång erfarenhet av liknande uppdrag, underlät av någon anledning att anmäla den försäljning som enligt senare erhållna uppgifter</w:t>
      </w:r>
      <w:r w:rsidRPr="00896D4F">
        <w:t xml:space="preserve"> skedde den 29 juli 1997. Anteckningen från den 25 augusti 1997 talar om att lägenheten utrymts, däremot inte att den har försålts.</w:t>
      </w:r>
    </w:p>
    <w:p w:rsidR="009C1C5A" w:rsidRPr="00896D4F" w:rsidRDefault="009C1C5A">
      <w:pPr>
        <w:spacing w:line="240" w:lineRule="auto"/>
      </w:pPr>
      <w:r w:rsidRPr="00896D4F">
        <w:t>S.B. har kommenterat remissvaret.</w:t>
      </w:r>
    </w:p>
    <w:p w:rsidR="009C1C5A" w:rsidRPr="00896D4F" w:rsidRDefault="009C1C5A">
      <w:pPr>
        <w:pStyle w:val="Rubrik3"/>
      </w:pPr>
      <w:r w:rsidRPr="00896D4F">
        <w:t>Bedömning</w:t>
      </w:r>
    </w:p>
    <w:p w:rsidR="009C1C5A" w:rsidRPr="00896D4F" w:rsidRDefault="009C1C5A">
      <w:pPr>
        <w:pStyle w:val="Rubrik4"/>
      </w:pPr>
      <w:r w:rsidRPr="00896D4F">
        <w:t>Försäljning av huvudmannens bostadsrätt</w:t>
      </w:r>
    </w:p>
    <w:p w:rsidR="009C1C5A" w:rsidRPr="00896D4F" w:rsidRDefault="009C1C5A">
      <w:r w:rsidRPr="00896D4F">
        <w:t>JO skall enligt de regler som gäller för JO:s verksamhet normalt inte utreda händelser eller förhållanden som ligger mer än två år tillbaka i tiden om det inte finns särskilda skäl för det. Med hänsyn till att S.B. först under 2000, i samband med granskningen av de årsredovisningar som blivit tillsända död</w:t>
      </w:r>
      <w:r w:rsidRPr="00896D4F">
        <w:t>s</w:t>
      </w:r>
      <w:r w:rsidRPr="00896D4F">
        <w:t>boet, fick kännedom om överförmyndarens bristfälliga handläggning har jag funnit a</w:t>
      </w:r>
      <w:r w:rsidRPr="00896D4F">
        <w:t>n</w:t>
      </w:r>
      <w:r w:rsidRPr="00896D4F">
        <w:t>ledning att granska ärendet i sin helhet.</w:t>
      </w:r>
    </w:p>
    <w:p w:rsidR="009C1C5A" w:rsidRPr="00896D4F" w:rsidRDefault="009C1C5A">
      <w:pPr>
        <w:pStyle w:val="Normaltindrag"/>
      </w:pPr>
      <w:r w:rsidRPr="00896D4F">
        <w:t>Inledningsvis vill jag klargöra att gode män inte står under JO:s tillsyn. Jag är därför förhindrad att uttala mig i frågor som rör den gode mannens åtgä</w:t>
      </w:r>
      <w:r w:rsidRPr="00896D4F">
        <w:t>r</w:t>
      </w:r>
      <w:r w:rsidRPr="00896D4F">
        <w:t>der. Min granskning omfattar således endast överförmyndarens handläggning.</w:t>
      </w:r>
    </w:p>
    <w:p w:rsidR="009C1C5A" w:rsidRPr="00896D4F" w:rsidRDefault="009C1C5A">
      <w:pPr>
        <w:pStyle w:val="Normaltindrag"/>
      </w:pPr>
      <w:r w:rsidRPr="00896D4F">
        <w:t>För vissa dispositioner av gode män krävs att överförmyndaren lämnar sitt samtycke. I 14 kap. 11 § första stycket 3 föräldrabalken (FB) stadgas sålunda att för den enskildes räkning en förordnad god man endast med överförmy</w:t>
      </w:r>
      <w:r w:rsidRPr="00896D4F">
        <w:t>n</w:t>
      </w:r>
      <w:r w:rsidRPr="00896D4F">
        <w:t>darens samtycke får sälja eller byta bort fast egendom eller nyttjanderätt till sådan egendom, om det inte gäller byte av bostadslägenhet. Enligt tredje stycket får samtycke lämnas endast om åtgärden är lämplig med hänsyn till egendomens natur samt huvudmannens behov och samlade tillgångar. Med nyttja</w:t>
      </w:r>
      <w:r w:rsidRPr="00896D4F">
        <w:t>n</w:t>
      </w:r>
      <w:r w:rsidRPr="00896D4F">
        <w:t>derätt till fast egendom avses bl.a. bostadsrätt.</w:t>
      </w:r>
    </w:p>
    <w:p w:rsidR="009C1C5A" w:rsidRPr="00896D4F" w:rsidRDefault="009C1C5A">
      <w:pPr>
        <w:pStyle w:val="Normaltindrag"/>
      </w:pPr>
      <w:r w:rsidRPr="00896D4F">
        <w:t>Angående överförmyndarens beslutsunderlag vid handläggningen av ett tillståndsärende gällande försäljning av bostadsrätt vill jag anföra följande (jfr bl.a. J</w:t>
      </w:r>
      <w:r w:rsidRPr="00896D4F">
        <w:t>O 1997/98 s. 474). I ansökan om samtycke till försäljning skall anges de skäl som finns för förvärvet. Uppgift bör vidare lämnas om hur huvudmannen fortsättningsvis löser sin bostadsfråga om bostadsrätten tidigare utgjort hans bostad. I ansökan bör också anges hur den erhållna likviden skall disponeras. Utredningen om bostadsrättens värde i form av ett värderingsutlåtande utfä</w:t>
      </w:r>
      <w:r w:rsidRPr="00896D4F">
        <w:t>r</w:t>
      </w:r>
      <w:r w:rsidRPr="00896D4F">
        <w:t>dat av sakkunnig och opartisk person skall i allmänhet förebringas. Villkoren för försäljningen bör anges så fullständigt som möjlig</w:t>
      </w:r>
      <w:r w:rsidRPr="00896D4F">
        <w:t>t, helst genom att färdigt köpekontrakt eller förslag till sådant inges till överförmyndaren. Överfö</w:t>
      </w:r>
      <w:r w:rsidRPr="00896D4F">
        <w:t>r</w:t>
      </w:r>
      <w:r w:rsidRPr="00896D4F">
        <w:t>myndaren skall ha ett sådant beslutsunderlag att han kan se till att priset inte understiger bostadsrättens värde och att villkoren för betalningen och i övrigt för försäljningen är till huvudmannens fördel. Det är även viktigt att huvu</w:t>
      </w:r>
      <w:r w:rsidRPr="00896D4F">
        <w:t>d</w:t>
      </w:r>
      <w:r w:rsidRPr="00896D4F">
        <w:t>mannens egen inställning såvitt möjligt utrönes. Underlåtenhet att delge ans</w:t>
      </w:r>
      <w:r w:rsidRPr="00896D4F">
        <w:t>ö</w:t>
      </w:r>
      <w:r w:rsidRPr="00896D4F">
        <w:t>kan med denne kan därför inte godtas om det inte är uppenbart att han saknat förmåga att ta ställ</w:t>
      </w:r>
      <w:r w:rsidRPr="00896D4F">
        <w:t>ning till frågan om försäljnin</w:t>
      </w:r>
      <w:r w:rsidRPr="00896D4F">
        <w:t>g</w:t>
      </w:r>
      <w:r w:rsidRPr="00896D4F">
        <w:t xml:space="preserve">en. </w:t>
      </w:r>
    </w:p>
    <w:p w:rsidR="009C1C5A" w:rsidRPr="00896D4F" w:rsidRDefault="009C1C5A">
      <w:pPr>
        <w:pStyle w:val="Normaltindrag"/>
      </w:pPr>
      <w:r w:rsidRPr="00896D4F">
        <w:t>Beträffande frågan om ett eventuellt obligatoriskt krav på utannonsering inför försäljning av en huvudmans bostadsrätt vill jag framhålla följande. Lagstiftningen innehåller inget krav på att bostadsrätter skall bjudas ut på den öppna marknaden, och enligt min mening kan något generellt krav på uta</w:t>
      </w:r>
      <w:r w:rsidRPr="00896D4F">
        <w:t>n</w:t>
      </w:r>
      <w:r w:rsidRPr="00896D4F">
        <w:t>nonsering inte ställas upp. Frågan får i stället avgöras med hänsyn till o</w:t>
      </w:r>
      <w:r w:rsidRPr="00896D4F">
        <w:t>m</w:t>
      </w:r>
      <w:r w:rsidRPr="00896D4F">
        <w:t>ständigheterna i det enskilda fallet. Vid denna bedömning bör hänsyn tas till huvudmannens såväl ekonomiska som övriga personliga omständigheter, vilket innebär att det kan förekomma fall där det inte bör vara enbart frågan om att erhålla bästa ekonomiska utfall som blir avg</w:t>
      </w:r>
      <w:r w:rsidRPr="00896D4F">
        <w:t>ö</w:t>
      </w:r>
      <w:r w:rsidRPr="00896D4F">
        <w:t>rande.</w:t>
      </w:r>
    </w:p>
    <w:p w:rsidR="009C1C5A" w:rsidRPr="00896D4F" w:rsidRDefault="009C1C5A">
      <w:pPr>
        <w:pStyle w:val="Normaltindrag"/>
      </w:pPr>
      <w:r w:rsidRPr="00896D4F">
        <w:t>I 16 kap. 9 § FB anges att innan överförmyndaren tar ställning till om samtycke skall lämnas till en förvaltningsåtgärd av större vikt, skall huvu</w:t>
      </w:r>
      <w:r w:rsidRPr="00896D4F">
        <w:t>d</w:t>
      </w:r>
      <w:r w:rsidRPr="00896D4F">
        <w:t>mannen samt dennes make eller sambo och närmaste släktingar beredas til</w:t>
      </w:r>
      <w:r w:rsidRPr="00896D4F">
        <w:t>l</w:t>
      </w:r>
      <w:r w:rsidRPr="00896D4F">
        <w:t>fälle att yttra sig, om det kan ske utan avsevärd tidsförlust. Till förvaltning</w:t>
      </w:r>
      <w:r w:rsidRPr="00896D4F">
        <w:t>s</w:t>
      </w:r>
      <w:r w:rsidRPr="00896D4F">
        <w:t>åtgärd av större vikt hör bl.a. överlåtelse av fast egendom o.d. (jfr prop. 1993/94:251 s. 283).</w:t>
      </w:r>
    </w:p>
    <w:p w:rsidR="009C1C5A" w:rsidRPr="00896D4F" w:rsidRDefault="009C1C5A">
      <w:pPr>
        <w:pStyle w:val="Normaltindrag"/>
      </w:pPr>
      <w:r w:rsidRPr="00896D4F">
        <w:t>En god mans förvaltning skall granskas av överförmyndaren i första hand med ledning av ingiven förteckning samt års- och sluträkningar. Vid sin til</w:t>
      </w:r>
      <w:r w:rsidRPr="00896D4F">
        <w:t>l</w:t>
      </w:r>
      <w:r w:rsidRPr="00896D4F">
        <w:t>syn skall överförmyndaren särskilt se till att den enskildes tillgångar i skälig omfattning används för hans eller hennes nytta och att tillgångarna i övrigt är placerade så att tillräcklig trygghet finns för deras bestånd och så att de ger skälig avkastning. Det ligger i sakens natur att det vid granskningen bör göras en allmän genomgång av att den gode mannen har följt bestämmelserna i föräldrabalken och andra författningar som reglerar förvaltningen, t.ex. att överförmyndarens samtycke har inhämtats i d</w:t>
      </w:r>
      <w:r w:rsidRPr="00896D4F">
        <w:t>e fall detta har krävts. Av utre</w:t>
      </w:r>
      <w:r w:rsidRPr="00896D4F">
        <w:t>d</w:t>
      </w:r>
      <w:r w:rsidRPr="00896D4F">
        <w:t>ningen framgår att någon ansökan om godkännande av försäljning av bostad</w:t>
      </w:r>
      <w:r w:rsidRPr="00896D4F">
        <w:t>s</w:t>
      </w:r>
      <w:r w:rsidRPr="00896D4F">
        <w:t>rätten inte har inkommit till överförmyndaren och att överförmyndaren go</w:t>
      </w:r>
      <w:r w:rsidRPr="00896D4F">
        <w:t>d</w:t>
      </w:r>
      <w:r w:rsidRPr="00896D4F">
        <w:t>känt årsräkningen för år 1997 utan anmärkning, trots att det av årsräkningen framgår att försäljning av bostadsrätten skett under året. Mot bakgrund av reglerna i 14 kap. 11 § FB är det obegripligt att årsräkningen godkänts utan anmärkning. Överförmyndaren borde vid sin granskning självfallet ha vidtagit åtgärder med anledning av d</w:t>
      </w:r>
      <w:r w:rsidRPr="00896D4F">
        <w:t>en gode mannens försummelse att begära öve</w:t>
      </w:r>
      <w:r w:rsidRPr="00896D4F">
        <w:t>r</w:t>
      </w:r>
      <w:r w:rsidRPr="00896D4F">
        <w:t>förmyndarens godkännande av försäljningen av bostadsrä</w:t>
      </w:r>
      <w:r w:rsidRPr="00896D4F">
        <w:t>t</w:t>
      </w:r>
      <w:r w:rsidRPr="00896D4F">
        <w:t xml:space="preserve">ten. </w:t>
      </w:r>
    </w:p>
    <w:p w:rsidR="009C1C5A" w:rsidRPr="00896D4F" w:rsidRDefault="009C1C5A">
      <w:pPr>
        <w:pStyle w:val="Normaltindrag"/>
      </w:pPr>
      <w:r w:rsidRPr="00896D4F">
        <w:t>Av utredningen framgår vidare att överförmyndaren den 18 juli 1997 fick kännedom om att lägenheten var föremål för försäljning. Överförmyndaren borde då givetvis ha tagit kontakt med den gode mannen för att sätta sig in i vad som pågick. Överförmyndaren borde även ha hört huvudmannens nä</w:t>
      </w:r>
      <w:r w:rsidRPr="00896D4F">
        <w:t>r</w:t>
      </w:r>
      <w:r w:rsidRPr="00896D4F">
        <w:t>maste släktingar om deras inställning till den aktuella försäljnin</w:t>
      </w:r>
      <w:r w:rsidRPr="00896D4F">
        <w:t>g</w:t>
      </w:r>
      <w:r w:rsidRPr="00896D4F">
        <w:t>en.</w:t>
      </w:r>
    </w:p>
    <w:p w:rsidR="009C1C5A" w:rsidRPr="00896D4F" w:rsidRDefault="009C1C5A">
      <w:pPr>
        <w:pStyle w:val="Normaltindrag"/>
      </w:pPr>
      <w:r w:rsidRPr="00896D4F">
        <w:t>Överförmyndarens remissvar tyder på att hon är omedveten om sitt eget ansvar såvitt gäller försäljningen av bostadsrätten. De brister i handläggnin</w:t>
      </w:r>
      <w:r w:rsidRPr="00896D4F">
        <w:t>g</w:t>
      </w:r>
      <w:r w:rsidRPr="00896D4F">
        <w:t>en som förekommit är av mycket allvarlig beskaffenhet. Jag är därför ytterst kritisk till överförmyndarens bristfälliga tillsyn över godmanskapsärendet i den nu aktuella delen, särskilt mot bakgrund av den skada som huvudmannen kan ha förorsakats genom öve</w:t>
      </w:r>
      <w:r w:rsidRPr="00896D4F">
        <w:t>r</w:t>
      </w:r>
      <w:r w:rsidRPr="00896D4F">
        <w:t xml:space="preserve">förmyndarens underlåtenhet att vidta åtgärder. </w:t>
      </w:r>
    </w:p>
    <w:p w:rsidR="009C1C5A" w:rsidRPr="00896D4F" w:rsidRDefault="009C1C5A">
      <w:pPr>
        <w:pStyle w:val="Rubrik4"/>
      </w:pPr>
      <w:r w:rsidRPr="00896D4F">
        <w:t>Överförmyndarens tillsyn i övrigt</w:t>
      </w:r>
    </w:p>
    <w:p w:rsidR="009C1C5A" w:rsidRPr="00896D4F" w:rsidRDefault="009C1C5A">
      <w:pPr>
        <w:spacing w:line="240" w:lineRule="auto"/>
      </w:pPr>
      <w:r w:rsidRPr="00896D4F">
        <w:t>S.B. har i sin anmälan vidare klagat på bl.a. att huvudmannens lösöre magas</w:t>
      </w:r>
      <w:r w:rsidRPr="00896D4F">
        <w:t>i</w:t>
      </w:r>
      <w:r w:rsidRPr="00896D4F">
        <w:t>nerats till en kostnad som motsvarar likviden för bostadsrätten, att ingen fö</w:t>
      </w:r>
      <w:r w:rsidRPr="00896D4F">
        <w:t>r</w:t>
      </w:r>
      <w:r w:rsidRPr="00896D4F">
        <w:t xml:space="preserve">teckning upprättats på magasinerat lösöre och att årsräkningarna trots detta granskats utan anmärkning av överförmyndaren. Överförmyndaren har i sitt remissvar uppgett att kritiken rör en fråga som helt torde falla under gode mannens eget förvaltningsansvar. </w:t>
      </w:r>
    </w:p>
    <w:p w:rsidR="009C1C5A" w:rsidRPr="00896D4F" w:rsidRDefault="009C1C5A">
      <w:pPr>
        <w:spacing w:line="240" w:lineRule="auto"/>
      </w:pPr>
      <w:r w:rsidRPr="00896D4F">
        <w:t>Jag vill i denna del framhålla följa</w:t>
      </w:r>
      <w:r w:rsidRPr="00896D4F">
        <w:t>n</w:t>
      </w:r>
      <w:r w:rsidRPr="00896D4F">
        <w:t>de.</w:t>
      </w:r>
    </w:p>
    <w:p w:rsidR="009C1C5A" w:rsidRPr="00896D4F" w:rsidRDefault="009C1C5A">
      <w:pPr>
        <w:spacing w:line="240" w:lineRule="auto"/>
      </w:pPr>
      <w:r w:rsidRPr="00896D4F">
        <w:t>Överförmyndare skall utöva tillsyn och kontroll över gode män. Detta innebär bl.a. att överförmyndaren skall tillse att gode män med omsorg och nit vårdar huvudmannens rätt och bästa. Vid tillsynen skall överförmyndaren särskilt se till att huvudmannens tillgångar i skälig omfattning har använts till hans nytta och att tillgångarna i övrigt är tryggt placerade och ger en skälig avkastning. Överförmyndarens skyldighet att vidta åtgärder mot en god man är inte i</w:t>
      </w:r>
      <w:r w:rsidRPr="00896D4F">
        <w:t>n</w:t>
      </w:r>
      <w:r w:rsidRPr="00896D4F">
        <w:t>skränkt till vad som framkommit vid granskning av förteckningar, årsrä</w:t>
      </w:r>
      <w:r w:rsidRPr="00896D4F">
        <w:t>k</w:t>
      </w:r>
      <w:r w:rsidRPr="00896D4F">
        <w:t>ningar och sluträkningar. Denna skyldighet kan givetvis aktualiseras genom andra upplysningar som kommit till överförmyndarens känn</w:t>
      </w:r>
      <w:r w:rsidRPr="00896D4F">
        <w:t>e</w:t>
      </w:r>
      <w:r w:rsidRPr="00896D4F">
        <w:t xml:space="preserve">dom. </w:t>
      </w:r>
    </w:p>
    <w:p w:rsidR="009C1C5A" w:rsidRPr="00896D4F" w:rsidRDefault="009C1C5A">
      <w:pPr>
        <w:pStyle w:val="Normaltindrag"/>
      </w:pPr>
      <w:r w:rsidRPr="00896D4F">
        <w:t xml:space="preserve">Om överförmyndaren vid sin granskning eller annars finner anledning att rikta anmärkning mot förvaltningen </w:t>
      </w:r>
      <w:r w:rsidRPr="00896D4F">
        <w:rPr>
          <w:i/>
        </w:rPr>
        <w:t>skall</w:t>
      </w:r>
      <w:r w:rsidRPr="00896D4F">
        <w:rPr>
          <w:b/>
        </w:rPr>
        <w:t xml:space="preserve"> </w:t>
      </w:r>
      <w:r w:rsidRPr="00896D4F">
        <w:t>överförmyndaren vidta erforderliga åtgärder på ett sådant sätt att huvudmannens rätt inte äventyras. Gunila Ric</w:t>
      </w:r>
      <w:r w:rsidRPr="00896D4F">
        <w:t>k</w:t>
      </w:r>
      <w:r w:rsidRPr="00896D4F">
        <w:t>man synes enligt min uppfattning inte ha insett omfattningen av sin tillsyn</w:t>
      </w:r>
      <w:r w:rsidRPr="00896D4F">
        <w:t>s</w:t>
      </w:r>
      <w:r w:rsidRPr="00896D4F">
        <w:t>skyldighet. Anledning för mig att vidta någon ytterligare åtgärd föreligger emellertid inte.</w:t>
      </w:r>
    </w:p>
    <w:p w:rsidR="009C1C5A" w:rsidRPr="00896D4F" w:rsidRDefault="009C1C5A">
      <w:pPr>
        <w:pStyle w:val="Rubrik4"/>
      </w:pPr>
      <w:r w:rsidRPr="00896D4F">
        <w:t>Utlämnande av handlingar</w:t>
      </w:r>
    </w:p>
    <w:p w:rsidR="009C1C5A" w:rsidRPr="00896D4F" w:rsidRDefault="009C1C5A">
      <w:r w:rsidRPr="00896D4F">
        <w:t>När det gäller överförmyndarens handläggning av S.B:s begäran om utlä</w:t>
      </w:r>
      <w:r w:rsidRPr="00896D4F">
        <w:t>m</w:t>
      </w:r>
      <w:r w:rsidRPr="00896D4F">
        <w:t>nande av handlingar finns det anledning att inledningsvis redogöra för ti</w:t>
      </w:r>
      <w:r w:rsidRPr="00896D4F">
        <w:t>l</w:t>
      </w:r>
      <w:r w:rsidRPr="00896D4F">
        <w:t>lämpliga författningsbestä</w:t>
      </w:r>
      <w:r w:rsidRPr="00896D4F">
        <w:t>m</w:t>
      </w:r>
      <w:r w:rsidRPr="00896D4F">
        <w:t>melser.</w:t>
      </w:r>
    </w:p>
    <w:p w:rsidR="009C1C5A" w:rsidRPr="00896D4F" w:rsidRDefault="009C1C5A">
      <w:pPr>
        <w:pStyle w:val="Normaltindrag"/>
      </w:pPr>
      <w:r w:rsidRPr="00896D4F">
        <w:t>Grundläggande bestämmelser om allmänna handlingars offentlighet finns i 2 kap. tryckfrihetsförordningen, som också primärt reglerar frågan om utlä</w:t>
      </w:r>
      <w:r w:rsidRPr="00896D4F">
        <w:t>m</w:t>
      </w:r>
      <w:r w:rsidRPr="00896D4F">
        <w:t xml:space="preserve">nande av allmänna handlingar. Enligt 2 kap. 12 § tryckfrihetsförordningen skall allmän handling som får lämnas ut </w:t>
      </w:r>
      <w:r w:rsidRPr="00896D4F">
        <w:rPr>
          <w:rFonts w:ascii="Garamond" w:hAnsi="Garamond"/>
        </w:rPr>
        <w:t>–</w:t>
      </w:r>
      <w:r w:rsidRPr="00896D4F">
        <w:t xml:space="preserve"> som alltså inte innehåller uppgift som omfattas av någon sekretess</w:t>
      </w:r>
      <w:r w:rsidRPr="00896D4F">
        <w:softHyphen/>
        <w:t>bestäm</w:t>
      </w:r>
      <w:r w:rsidRPr="00896D4F">
        <w:softHyphen/>
        <w:t>mel</w:t>
      </w:r>
      <w:r w:rsidRPr="00896D4F">
        <w:softHyphen/>
        <w:t xml:space="preserve">se </w:t>
      </w:r>
      <w:r w:rsidRPr="00896D4F">
        <w:rPr>
          <w:rFonts w:ascii="Garamond" w:hAnsi="Garamond"/>
        </w:rPr>
        <w:t>–</w:t>
      </w:r>
      <w:r w:rsidRPr="00896D4F">
        <w:t xml:space="preserve"> på begäran genast eller så snart det är möjligt tillhandahållas den som önskar ta del av handlingen.  I 2 kap. 13 § anges att den som önskar ta del av hand</w:t>
      </w:r>
      <w:r w:rsidRPr="00896D4F">
        <w:softHyphen/>
        <w:t>lingen också har rätt att mot fastställd avgift få kopia av handlingen. En begäran om kopia av han</w:t>
      </w:r>
      <w:r w:rsidRPr="00896D4F">
        <w:t>d</w:t>
      </w:r>
      <w:r w:rsidRPr="00896D4F">
        <w:t>lingen skall handläggas skyn</w:t>
      </w:r>
      <w:r w:rsidRPr="00896D4F">
        <w:t>d</w:t>
      </w:r>
      <w:r w:rsidRPr="00896D4F">
        <w:t xml:space="preserve">samt. </w:t>
      </w:r>
    </w:p>
    <w:p w:rsidR="009C1C5A" w:rsidRPr="00896D4F" w:rsidRDefault="009C1C5A">
      <w:pPr>
        <w:pStyle w:val="Normaltindrag"/>
      </w:pPr>
      <w:r w:rsidRPr="00896D4F">
        <w:t>Det är inte möjligt a</w:t>
      </w:r>
      <w:r w:rsidRPr="00896D4F">
        <w:t>tt exakt ange när en allmän handling senast skall til</w:t>
      </w:r>
      <w:r w:rsidRPr="00896D4F">
        <w:t>l</w:t>
      </w:r>
      <w:r w:rsidRPr="00896D4F">
        <w:t>handa</w:t>
      </w:r>
      <w:r w:rsidRPr="00896D4F">
        <w:softHyphen/>
      </w:r>
      <w:r w:rsidRPr="00896D4F">
        <w:softHyphen/>
      </w:r>
      <w:r w:rsidRPr="00896D4F">
        <w:softHyphen/>
        <w:t>hål</w:t>
      </w:r>
      <w:r w:rsidRPr="00896D4F">
        <w:softHyphen/>
        <w:t>las om det inte kan ske genast. Normalt bör besked i en sådan fråga lämnas redan samma dag som den väcktes, men någon eller några dagars fördröjning kan god</w:t>
      </w:r>
      <w:r w:rsidRPr="00896D4F">
        <w:softHyphen/>
        <w:t>tas om myndigheten behöver rådrum för att ta ställning till om den efterfrågade handlingen är allmän och offentlig. Ett visst dröjsmål är även ofrånkomligt om framställningen t.ex. avser eller fordrar genomgång av ett omfattande aktmaterial. Vad som kan krävas av en myndighet beror givetv</w:t>
      </w:r>
      <w:r w:rsidRPr="00896D4F">
        <w:t>is på omständigheterna i det enskilda fallet.</w:t>
      </w:r>
    </w:p>
    <w:p w:rsidR="009C1C5A" w:rsidRPr="00896D4F" w:rsidRDefault="009C1C5A">
      <w:pPr>
        <w:pStyle w:val="Normaltindrag"/>
      </w:pPr>
      <w:r w:rsidRPr="00896D4F">
        <w:t>Enligt 9 kap. 14 § sekretesslagen (1980:100) gäller sekretess hos överfö</w:t>
      </w:r>
      <w:r w:rsidRPr="00896D4F">
        <w:t>r</w:t>
      </w:r>
      <w:r w:rsidRPr="00896D4F">
        <w:t xml:space="preserve">myndare i ärende enligt föräldrabalken för uppgift om enskilds personliga eller ekonomiska förhållanden, om det inte står klart att uppgiften kan röjas utan att den enskilde lider skada eller men. Utan hinder av sekretessen får uppgift lämnas till enskild enligt vad som föreskrivs i föräldrabalken. </w:t>
      </w:r>
    </w:p>
    <w:p w:rsidR="009C1C5A" w:rsidRPr="00896D4F" w:rsidRDefault="009C1C5A">
      <w:pPr>
        <w:pStyle w:val="Normaltindrag"/>
      </w:pPr>
      <w:r w:rsidRPr="00896D4F">
        <w:t>Av 16 kap. 7 § FB framgår att en omyndig som har fyllt 16 år och den som har god man eller förvaltare har rätt att ta del av de handlingar som rör ställf</w:t>
      </w:r>
      <w:r w:rsidRPr="00896D4F">
        <w:t>ö</w:t>
      </w:r>
      <w:r w:rsidRPr="00896D4F">
        <w:t>reträdarskapet och som förvaras hos överförmyndaren. En sådan rätt har e</w:t>
      </w:r>
      <w:r w:rsidRPr="00896D4F">
        <w:t>n</w:t>
      </w:r>
      <w:r w:rsidRPr="00896D4F">
        <w:t>ligt samma stadgande också den enskildes make eller sambo och närmaste släktingar. Med närmaste släktingar avses främst bröstarvingar, föräldrar och syskon (jfr prop. 1987/88:124 s. 176 angående vissa ändringar i föräldraba</w:t>
      </w:r>
      <w:r w:rsidRPr="00896D4F">
        <w:t>l</w:t>
      </w:r>
      <w:r w:rsidRPr="00896D4F">
        <w:t>ken). Den rätt som en anhörig sålunda har att ta del av handlingar hos öve</w:t>
      </w:r>
      <w:r w:rsidRPr="00896D4F">
        <w:t>r</w:t>
      </w:r>
      <w:r w:rsidRPr="00896D4F">
        <w:t>förmyndaren är inte begränsad i något särskilt avseende. Det tillkommer inte överförmyndaren att pröva om handlingarna lämpligen bör lämnas</w:t>
      </w:r>
      <w:r w:rsidRPr="00896D4F">
        <w:t xml:space="preserve"> ut (jfr JO 1984/85 s. 84).</w:t>
      </w:r>
    </w:p>
    <w:p w:rsidR="009C1C5A" w:rsidRPr="00896D4F" w:rsidRDefault="009C1C5A">
      <w:pPr>
        <w:pStyle w:val="Normaltindrag"/>
      </w:pPr>
      <w:r w:rsidRPr="00896D4F">
        <w:t xml:space="preserve">När en begäran om att få ta del av allmänna handlingar kommer in till överförmyndaren </w:t>
      </w:r>
      <w:r w:rsidRPr="00896D4F">
        <w:rPr>
          <w:rFonts w:ascii="Garamond" w:hAnsi="Garamond"/>
        </w:rPr>
        <w:t>–</w:t>
      </w:r>
      <w:r w:rsidRPr="00896D4F">
        <w:t xml:space="preserve"> skriftligen eller muntligen </w:t>
      </w:r>
      <w:r w:rsidRPr="00896D4F">
        <w:rPr>
          <w:rFonts w:ascii="Garamond" w:hAnsi="Garamond"/>
        </w:rPr>
        <w:t>–</w:t>
      </w:r>
      <w:r w:rsidRPr="00896D4F">
        <w:t xml:space="preserve"> skall således överförmynd</w:t>
      </w:r>
      <w:r w:rsidRPr="00896D4F">
        <w:t>a</w:t>
      </w:r>
      <w:r w:rsidRPr="00896D4F">
        <w:t>ren pröva, i första hand om utlämnande skall ske med stöd av föräldrabalken och, om så inte är fallet, om utlämnande ändå kan ske utan hinder av 9 kap. 14 § sekretesslagen. Om en sådan prövning leder till ett beslut om avslag på begäran att få ta del av handlingen, har sökanden enligt 2 kap. 15 § tryckfr</w:t>
      </w:r>
      <w:r w:rsidRPr="00896D4F">
        <w:t>i</w:t>
      </w:r>
      <w:r w:rsidRPr="00896D4F">
        <w:t>hetsförordningen och 15 kap. 7 § sekretesslagen möjlighet att föra talan mot beslutet. Ett beslut om avslag bör därför sättas upp särskilt och inneh</w:t>
      </w:r>
      <w:r w:rsidRPr="00896D4F">
        <w:t>ålla de skäl som har bestämt utgången (jfr 20 § förvaltningslagen [1986:223]). Att ett beslut som går att överklaga skall förses med full</w:t>
      </w:r>
      <w:r w:rsidRPr="00896D4F">
        <w:softHyphen/>
        <w:t>följds</w:t>
      </w:r>
      <w:r w:rsidRPr="00896D4F">
        <w:softHyphen/>
        <w:t xml:space="preserve">hänvisning följer av 21 § förvaltningslagen. Oavsett vilket regelsystem som skall tillämpas skall en framställning om att få ta del av handlingar behandlas med tillbörlig skyndsamhet. </w:t>
      </w:r>
    </w:p>
    <w:p w:rsidR="009C1C5A" w:rsidRPr="00896D4F" w:rsidRDefault="009C1C5A">
      <w:pPr>
        <w:pStyle w:val="Normaltindrag"/>
      </w:pPr>
      <w:r w:rsidRPr="00896D4F">
        <w:t>Av utredningen framgår att S.B. i en skrivelse den 13 augusti 2000 begä</w:t>
      </w:r>
      <w:r w:rsidRPr="00896D4F">
        <w:t>r</w:t>
      </w:r>
      <w:r w:rsidRPr="00896D4F">
        <w:t>de att få kopior av A.B:s journal. Först den 28 augusti 2000 besvarade öve</w:t>
      </w:r>
      <w:r w:rsidRPr="00896D4F">
        <w:t>r</w:t>
      </w:r>
      <w:r w:rsidRPr="00896D4F">
        <w:t>förmyndaren hans framställning och uppgav: ”Det finns ingen journal utan bara tjänsteanteckningar, som ej lämnas ut.” I sitt remissvar har Gunila Ric</w:t>
      </w:r>
      <w:r w:rsidRPr="00896D4F">
        <w:t>k</w:t>
      </w:r>
      <w:r w:rsidRPr="00896D4F">
        <w:t>man uppgett att överförmyndarens svar den 28 augusti 2000 till S.B. var fe</w:t>
      </w:r>
      <w:r w:rsidRPr="00896D4F">
        <w:t>l</w:t>
      </w:r>
      <w:r w:rsidRPr="00896D4F">
        <w:t>aktigt såvitt avser de av myndigheten förda tjänsteanteckningarna och att felet har rättats till genom att han numera tillställts dessa. Av utredningen framgår att S.B. först den 27 oktober 2000 erhöll kopior av</w:t>
      </w:r>
      <w:r w:rsidRPr="00896D4F">
        <w:t xml:space="preserve"> förda tjänsteanteckningar. Denna tidsutdräkt är självfallet varken förenlig med tryckfrihetsförordningens skyndsamhetskrav eller de krav på handläggningen som följer av FB:s regler. Med hänsyn till att den rätt som en anhörig enligt 16 kap. 7 § FB har att ta del av handlingar hos överförmyndaren inte är begränsad i något särskilt avsee</w:t>
      </w:r>
      <w:r w:rsidRPr="00896D4F">
        <w:t>n</w:t>
      </w:r>
      <w:r w:rsidRPr="00896D4F">
        <w:t>de förtjänar överförmyndaren allvarlig kritik för sin bristfälliga handläggning av S.B:s framstäl</w:t>
      </w:r>
      <w:r w:rsidRPr="00896D4F">
        <w:t>l</w:t>
      </w:r>
      <w:r w:rsidRPr="00896D4F">
        <w:t xml:space="preserve">ning. </w:t>
      </w:r>
    </w:p>
    <w:p w:rsidR="009C1C5A" w:rsidRPr="00896D4F" w:rsidRDefault="009C1C5A">
      <w:pPr>
        <w:pStyle w:val="Normaltindrag"/>
      </w:pPr>
      <w:r w:rsidRPr="00896D4F">
        <w:t>Jag förutsätter att överförmyndarförvaltningen omgående ser över sin</w:t>
      </w:r>
      <w:r w:rsidRPr="00896D4F">
        <w:t>a r</w:t>
      </w:r>
      <w:r w:rsidRPr="00896D4F">
        <w:t>u</w:t>
      </w:r>
      <w:r w:rsidRPr="00896D4F">
        <w:t>tiner i nu påtalat hänseende så att handläggningen av framställningar om att få ta del av allmänna handlingar fortsättningsvis sker i överensstämmelse med gällande b</w:t>
      </w:r>
      <w:r w:rsidRPr="00896D4F">
        <w:t>e</w:t>
      </w:r>
      <w:r w:rsidRPr="00896D4F">
        <w:t xml:space="preserve">stämmelser. </w:t>
      </w:r>
    </w:p>
    <w:p w:rsidR="009C1C5A" w:rsidRPr="00896D4F" w:rsidRDefault="009C1C5A">
      <w:pPr>
        <w:pStyle w:val="Rubrik4"/>
      </w:pPr>
      <w:r w:rsidRPr="00896D4F">
        <w:t>Övrigt</w:t>
      </w:r>
    </w:p>
    <w:p w:rsidR="009C1C5A" w:rsidRPr="00896D4F" w:rsidRDefault="009C1C5A">
      <w:r w:rsidRPr="00896D4F">
        <w:t>Vad som i övrigt förekommit i ärendet föranleder inte någon kommentar från min sida.</w:t>
      </w:r>
    </w:p>
    <w:p w:rsidR="009C1C5A" w:rsidRPr="00896D4F" w:rsidRDefault="009C1C5A">
      <w:pPr>
        <w:pStyle w:val="Rubrik2"/>
      </w:pPr>
      <w:r w:rsidRPr="00896D4F">
        <w:t>En överförmyndarnämnds handläggning av ärenden om god man och förva</w:t>
      </w:r>
      <w:r w:rsidRPr="00896D4F">
        <w:t>l</w:t>
      </w:r>
      <w:r w:rsidRPr="00896D4F">
        <w:t>tare</w:t>
      </w:r>
    </w:p>
    <w:p w:rsidR="009C1C5A" w:rsidRPr="00896D4F" w:rsidRDefault="009C1C5A">
      <w:pPr>
        <w:spacing w:before="0"/>
      </w:pPr>
      <w:r w:rsidRPr="00896D4F">
        <w:t>(Dnr 3836-2000)</w:t>
      </w:r>
    </w:p>
    <w:p w:rsidR="009C1C5A" w:rsidRPr="00896D4F" w:rsidRDefault="009C1C5A">
      <w:r w:rsidRPr="00896D4F">
        <w:t xml:space="preserve">I ett beslut den 12 september 2001 anförde </w:t>
      </w:r>
      <w:r w:rsidRPr="00896D4F">
        <w:rPr>
          <w:i/>
        </w:rPr>
        <w:t xml:space="preserve">JO Pennlöv </w:t>
      </w:r>
      <w:r w:rsidRPr="00896D4F">
        <w:t>bl.a. följande.</w:t>
      </w:r>
    </w:p>
    <w:p w:rsidR="009C1C5A" w:rsidRPr="00896D4F" w:rsidRDefault="009C1C5A">
      <w:pPr>
        <w:pStyle w:val="Rubrik3"/>
      </w:pPr>
      <w:r w:rsidRPr="00896D4F">
        <w:t>Anmälan</w:t>
      </w:r>
    </w:p>
    <w:p w:rsidR="009C1C5A" w:rsidRPr="00896D4F" w:rsidRDefault="009C1C5A">
      <w:r w:rsidRPr="00896D4F">
        <w:t>I en anmälan till JO har B.B., ordförande i Intresseföreningen för schizofreni, framfört klagomål i olika avseenden mot Överförmyndarnämnden i Göteborg. Hon har uppgett bl.a. följande. Överförmyndarförvaltningens handläggning</w:t>
      </w:r>
      <w:r w:rsidRPr="00896D4F">
        <w:t>s</w:t>
      </w:r>
      <w:r w:rsidRPr="00896D4F">
        <w:t>tider för ansökningar om god man och förvaltare är alltför långa. Intresseför</w:t>
      </w:r>
      <w:r w:rsidRPr="00896D4F">
        <w:t>e</w:t>
      </w:r>
      <w:r w:rsidRPr="00896D4F">
        <w:t xml:space="preserve">ningen har flera medlemmar som väntat upp till ett år på att få en god man förordnad. Överförmyndarförvaltningen har vidare avslagit ansökningar om godmanskap i sin egen organisation innan det gått till tingsrättens behandling. I andra fall har man motiverat avslag med att vederbörande haft gode män tidigare, där personkemin inte fungerat, och att de därför inte får någon ny god man. Praxis borde naturligtvis vara att godmanskap </w:t>
      </w:r>
      <w:r w:rsidRPr="00896D4F">
        <w:t>och förvaltarskap utgår från klientens önskemål när han eller hon vill ha ett byte på grund av att relationerna inte fungerat som de ska i tidigare anordnanden. B.B. har även gjort gällande att flera gode män lämnat sina uppdrag på grund av ”det kaos som råder på överförmyndarfö</w:t>
      </w:r>
      <w:r w:rsidRPr="00896D4F">
        <w:t>r</w:t>
      </w:r>
      <w:r w:rsidRPr="00896D4F">
        <w:t>valtningen”.</w:t>
      </w:r>
    </w:p>
    <w:p w:rsidR="009C1C5A" w:rsidRPr="00896D4F" w:rsidRDefault="009C1C5A">
      <w:pPr>
        <w:pStyle w:val="Rubrik3"/>
      </w:pPr>
      <w:r w:rsidRPr="00896D4F">
        <w:t>Utredning</w:t>
      </w:r>
    </w:p>
    <w:p w:rsidR="009C1C5A" w:rsidRPr="00896D4F" w:rsidRDefault="009C1C5A">
      <w:r w:rsidRPr="00896D4F">
        <w:t>Anmälan har remitterats till Överförmyndarnämnden i Göteborg för yttrande. I remissvaret har nämnden genom förvaltningschefen Laila Bech Andersson anfört bl.a. följande.</w:t>
      </w:r>
    </w:p>
    <w:p w:rsidR="009C1C5A" w:rsidRPr="00896D4F" w:rsidRDefault="009C1C5A">
      <w:pPr>
        <w:pStyle w:val="Citat"/>
      </w:pPr>
      <w:r w:rsidRPr="00896D4F">
        <w:t>Såvitt får förstås är en av de bärande synpunkterna i B.B:s skrivelse att Öve</w:t>
      </w:r>
      <w:r w:rsidRPr="00896D4F">
        <w:t>r</w:t>
      </w:r>
      <w:r w:rsidRPr="00896D4F">
        <w:t>förmyndarförvaltningens handläggningstid beträffande ansökningar om god man och förvaltare är alltför lång. Enligt förvaltningens mening är det alltid beklagligt när handläggningen av ett ärende drar ut på tiden. Det får dock påpekas att förvaltningens normala handläggningstid avseende nämnda äre</w:t>
      </w:r>
      <w:r w:rsidRPr="00896D4F">
        <w:t>n</w:t>
      </w:r>
      <w:r w:rsidRPr="00896D4F">
        <w:t>den är två till tre månader men att förvaltningens strävan är att förkorta denna så mycket som möjligt. För de fall handläggningen tar längre tid än så är orsaken normalt att hänföra till omständigheter utanför fö</w:t>
      </w:r>
      <w:r w:rsidRPr="00896D4F">
        <w:t>rvaltningens ko</w:t>
      </w:r>
      <w:r w:rsidRPr="00896D4F">
        <w:t>n</w:t>
      </w:r>
      <w:r w:rsidRPr="00896D4F">
        <w:t>troll.</w:t>
      </w:r>
    </w:p>
    <w:p w:rsidR="009C1C5A" w:rsidRPr="00896D4F" w:rsidRDefault="009C1C5A">
      <w:pPr>
        <w:pStyle w:val="Citatindrag"/>
      </w:pPr>
      <w:r w:rsidRPr="00896D4F">
        <w:t>B.B. har vidare anfört att förvaltningen avslår ansökningar i sin egen org</w:t>
      </w:r>
      <w:r w:rsidRPr="00896D4F">
        <w:t>a</w:t>
      </w:r>
      <w:r w:rsidRPr="00896D4F">
        <w:t>nisation, dvs ej överlämnar dessa till rätten för vidare prövning, varvid följa</w:t>
      </w:r>
      <w:r w:rsidRPr="00896D4F">
        <w:t>n</w:t>
      </w:r>
      <w:r w:rsidRPr="00896D4F">
        <w:t>de får anföras. Förvaltningen är, utöver ett fåtal undantagsfall, positiv till de anmälningar om behov av god man eller förvaltare som inkommer till my</w:t>
      </w:r>
      <w:r w:rsidRPr="00896D4F">
        <w:t>n</w:t>
      </w:r>
      <w:r w:rsidRPr="00896D4F">
        <w:t>digheten. Det har dock förekommit något fall där förvaltningen avslagit en anmälan och således inte vidarebefordrat den till rätten för prövning. I detta konkreta fall framstod det dock relativt omgående klart för förvaltningen att ett misstag begåtts varefter beslutet omprövade</w:t>
      </w:r>
      <w:r w:rsidRPr="00896D4F">
        <w:t>s (jfr JO:s dnr 3466-2000) och handlingarna överlämnades till rätten. För förvaltningen förefaller det för övrigt som sannolikt att B.B:s synpunkter har sin huvudsakliga grund i detta enskilda ärende. Vidare har B.B. i skrivelsen anfört att förvaltningen motiv</w:t>
      </w:r>
      <w:r w:rsidRPr="00896D4F">
        <w:t>e</w:t>
      </w:r>
      <w:r w:rsidRPr="00896D4F">
        <w:t>rat avslag med att den enskilde tidigare haft god man och att personkemin inte fungerat. Härvidlag får förvaltningen hänvisa till ovan anförda i vad avser avslag på ansökan samt i övrigt mena att det förhållande att en enskild stö</w:t>
      </w:r>
      <w:r w:rsidRPr="00896D4F">
        <w:t>d</w:t>
      </w:r>
      <w:r w:rsidRPr="00896D4F">
        <w:t>behövande persons åt</w:t>
      </w:r>
      <w:r w:rsidRPr="00896D4F">
        <w:t>erkommande och regelbundna samarbetssvårigheter med ett flertal gode män i följd naturligtvis är en omständighet som skall ligga i bedömning av om ett godmanskap är ändamålsenligt eller ej. För det fall en huvudman och dennes gode man återkommande hamnar i konflikt och detta upprepas med ett antal nya gode män bör det således ifrågasättas hur</w:t>
      </w:r>
      <w:r w:rsidRPr="00896D4F">
        <w:t>u</w:t>
      </w:r>
      <w:r w:rsidRPr="00896D4F">
        <w:t>vida godmanskap rätteligen täcker huvudmannens behov eller om andra sa</w:t>
      </w:r>
      <w:r w:rsidRPr="00896D4F">
        <w:t>m</w:t>
      </w:r>
      <w:r w:rsidRPr="00896D4F">
        <w:t>hälleliga stödformer bör aktualiseras. Förvaltningen får i samband härmed dock påpeka att en råd</w:t>
      </w:r>
      <w:r w:rsidRPr="00896D4F">
        <w:t>ande uppfattning är att det är den enskildes önskan som är utgångspunkten i förevarande fall, dock endast i det fall denna är möjlig att tillfred</w:t>
      </w:r>
      <w:r w:rsidRPr="00896D4F">
        <w:t>s</w:t>
      </w:r>
      <w:r w:rsidRPr="00896D4F">
        <w:t>ställa.</w:t>
      </w:r>
    </w:p>
    <w:p w:rsidR="009C1C5A" w:rsidRPr="00896D4F" w:rsidRDefault="009C1C5A">
      <w:pPr>
        <w:pStyle w:val="Citatindrag"/>
      </w:pPr>
      <w:r w:rsidRPr="00896D4F">
        <w:t>Vad avser B.B:s uppgifter om vittnesmål från gode män som lämnat up</w:t>
      </w:r>
      <w:r w:rsidRPr="00896D4F">
        <w:t>p</w:t>
      </w:r>
      <w:r w:rsidRPr="00896D4F">
        <w:t>drag på grund av ”det kaos som råder på Överförmyndarförvaltningen” får vidare följande anföras. Överförmyndarförvaltningen har, i enlighet med beslut av Göteborgs Överförmyndarnämnd, under år 2000 genomfört en o</w:t>
      </w:r>
      <w:r w:rsidRPr="00896D4F">
        <w:t>m</w:t>
      </w:r>
      <w:r w:rsidRPr="00896D4F">
        <w:t>organisation syftande till att ge förvaltningen ett mer ändamålsenligt och effektivt arbetssätt. Nuvarande organisation innebär att personalen är mer specialiserad på vissa uppgifter än tidigare. I och med att organisationen når en högre kompetensgrad skall en mer rättssäker handläggning och prövn</w:t>
      </w:r>
      <w:r w:rsidRPr="00896D4F">
        <w:t>ing av ärenden ske. Överförmyndarnämnden och dess förvaltning har inför omo</w:t>
      </w:r>
      <w:r w:rsidRPr="00896D4F">
        <w:t>r</w:t>
      </w:r>
      <w:r w:rsidRPr="00896D4F">
        <w:t>ganisationen haft som mål att Göteborgs gode män och förvaltare m m under genomförandet inte skall drabbas negativt. Oaktat vd förvaltningen anser att de flesta ställföreträdare inte påverkats i negativ mening kan det inte uteslutas att ett antal gode män och förvaltare i vissa enskilda fall upplevt omorganis</w:t>
      </w:r>
      <w:r w:rsidRPr="00896D4F">
        <w:t>a</w:t>
      </w:r>
      <w:r w:rsidRPr="00896D4F">
        <w:t>tionen som negativ för egen del. Förvaltningen får regelbundet motta sy</w:t>
      </w:r>
      <w:r w:rsidRPr="00896D4F">
        <w:t>n</w:t>
      </w:r>
      <w:r w:rsidRPr="00896D4F">
        <w:t>punkter från såväl gode män och förvaltare som allmän</w:t>
      </w:r>
      <w:r w:rsidRPr="00896D4F">
        <w:t>het och myndigheter varvid det bör noteras att det huvudsakliga omdömet är att förvaltningens handläggning, service och prövning upplevs som positiv.</w:t>
      </w:r>
    </w:p>
    <w:p w:rsidR="009C1C5A" w:rsidRPr="00896D4F" w:rsidRDefault="009C1C5A">
      <w:r w:rsidRPr="00896D4F">
        <w:t>B.B. har beretts tillfälle att yttra sig över remissvaret, men har inte hörts av.</w:t>
      </w:r>
    </w:p>
    <w:p w:rsidR="009C1C5A" w:rsidRPr="00896D4F" w:rsidRDefault="009C1C5A">
      <w:pPr>
        <w:pStyle w:val="Rubrik3"/>
      </w:pPr>
      <w:r w:rsidRPr="00896D4F">
        <w:t>Bedömning</w:t>
      </w:r>
    </w:p>
    <w:p w:rsidR="009C1C5A" w:rsidRPr="00896D4F" w:rsidRDefault="009C1C5A">
      <w:pPr>
        <w:pStyle w:val="Rubrik4"/>
        <w:spacing w:before="125"/>
      </w:pPr>
      <w:r w:rsidRPr="00896D4F">
        <w:t>Frågan om handläggningstider</w:t>
      </w:r>
    </w:p>
    <w:p w:rsidR="009C1C5A" w:rsidRPr="00896D4F" w:rsidRDefault="009C1C5A">
      <w:r w:rsidRPr="00896D4F">
        <w:t>Enligt 7 § förvaltningslagen (1986:223) skall ärenden, där någon enskild är part, handläggas så enkelt, snabbt och billigt som möjligt utan att säkerheten efte</w:t>
      </w:r>
      <w:r w:rsidRPr="00896D4F">
        <w:t>r</w:t>
      </w:r>
      <w:r w:rsidRPr="00896D4F">
        <w:t xml:space="preserve">sätts. </w:t>
      </w:r>
    </w:p>
    <w:p w:rsidR="009C1C5A" w:rsidRPr="00896D4F" w:rsidRDefault="009C1C5A">
      <w:pPr>
        <w:pStyle w:val="Normaltindrag"/>
      </w:pPr>
      <w:r w:rsidRPr="00896D4F">
        <w:t>Överförmyndarnämnden har i sitt remissvar uppgett att förvaltningens normala handläggningstid avseende ansökningar om god man och förvaltare är två till tre månader, men att förvaltningens strävan är att förkorta denna så mycket som möjligt. Nämnden har vidare uppgett att för de fall handläg</w:t>
      </w:r>
      <w:r w:rsidRPr="00896D4F">
        <w:t>g</w:t>
      </w:r>
      <w:r w:rsidRPr="00896D4F">
        <w:t xml:space="preserve">ningen tar längre tid än så är orsaken normalt att hänföra till omständigheter utanför förvaltningens kontroll. Det som framkommit i ärendet ger inte stöd för kritik mot nämnden. Mot bakgrund av de starka skyddsintressen som gör sig gällande i dessa ärenden vill jag dock understryka vikten av att ärendena handläggs så snabbt som möjligt. </w:t>
      </w:r>
    </w:p>
    <w:p w:rsidR="009C1C5A" w:rsidRPr="00896D4F" w:rsidRDefault="009C1C5A">
      <w:pPr>
        <w:pStyle w:val="Rubrik4"/>
      </w:pPr>
      <w:r w:rsidRPr="00896D4F">
        <w:t xml:space="preserve">Frågan om överförmyndarnämndens rutiner för ansökningar av god man och förvaltare </w:t>
      </w:r>
    </w:p>
    <w:p w:rsidR="009C1C5A" w:rsidRPr="00896D4F" w:rsidRDefault="009C1C5A">
      <w:r w:rsidRPr="00896D4F">
        <w:t>Frågor om förordnande eller entledigande av god man tas enligt 11 kap. 25 § föräldrabalken (FB) upp av tingsrätten i den ort där den som avses med a</w:t>
      </w:r>
      <w:r w:rsidRPr="00896D4F">
        <w:t>n</w:t>
      </w:r>
      <w:r w:rsidRPr="00896D4F">
        <w:t>sökningen har sitt hemvist. Ansökan får enligt 11 kap. 15 § FB göras av bl.a. överförmyndaren, den som ansökningen avser samt av dennes närmaste slä</w:t>
      </w:r>
      <w:r w:rsidRPr="00896D4F">
        <w:t>k</w:t>
      </w:r>
      <w:r w:rsidRPr="00896D4F">
        <w:t xml:space="preserve">tingar. </w:t>
      </w:r>
    </w:p>
    <w:p w:rsidR="009C1C5A" w:rsidRPr="00896D4F" w:rsidRDefault="009C1C5A">
      <w:pPr>
        <w:pStyle w:val="Normaltindrag"/>
      </w:pPr>
      <w:r w:rsidRPr="00896D4F">
        <w:t>Ansökningar till överförmyndare om förordnande av god man är inte något helt sällsynt. Det kan på goda grunder antas att anledningen till att de riktas till överförmyndaren och inte till tingsrätten oftast är att den enskilde inte känner till att det är rätten som beslutar i denna fråga. Om överförmyndaren finner en sådan ansökan befogad överlämnas de</w:t>
      </w:r>
      <w:r w:rsidRPr="00896D4F">
        <w:t>n till rätten med besked om att den biträds av överförmyndaren. I annat fall ankommer det på överförmynd</w:t>
      </w:r>
      <w:r w:rsidRPr="00896D4F">
        <w:t>a</w:t>
      </w:r>
      <w:r w:rsidRPr="00896D4F">
        <w:t>ren att underrätta den enskilde om att hans ansökan inte föranleder någon åtgärd från överförmyndarens sida. Enligt min mening skall överförmyndare i samband därmed underrätta den enskilde om att han kan vända sig till rätten för att få sin sak prövad, om det inte står klart att han redan känner till detta. Överförmyndarens ställningstagande till en ansökan av detta slag, som syftar till att överförmynda</w:t>
      </w:r>
      <w:r w:rsidRPr="00896D4F">
        <w:t>ren hos tingsrätten skall ansöka om anordnande av go</w:t>
      </w:r>
      <w:r w:rsidRPr="00896D4F">
        <w:t>d</w:t>
      </w:r>
      <w:r w:rsidRPr="00896D4F">
        <w:t>manskap, utgör inte ett sådant förvaltningsbeslut som skall förses med ful</w:t>
      </w:r>
      <w:r w:rsidRPr="00896D4F">
        <w:t>l</w:t>
      </w:r>
      <w:r w:rsidRPr="00896D4F">
        <w:t xml:space="preserve">följdshänvisning. </w:t>
      </w:r>
    </w:p>
    <w:p w:rsidR="009C1C5A" w:rsidRPr="00896D4F" w:rsidRDefault="009C1C5A">
      <w:pPr>
        <w:spacing w:line="240" w:lineRule="auto"/>
      </w:pPr>
      <w:r w:rsidRPr="00896D4F">
        <w:t>Mot bakgrund av vad jag nu anfört förutsätter jag att överförmyndarnämnden vidtar åtgärder för en korrekt handläggning av liknande ärenden i framtiden.</w:t>
      </w:r>
    </w:p>
    <w:p w:rsidR="009C1C5A" w:rsidRPr="00896D4F" w:rsidRDefault="009C1C5A">
      <w:pPr>
        <w:spacing w:line="240" w:lineRule="auto"/>
      </w:pPr>
      <w:r w:rsidRPr="00896D4F">
        <w:t>– – –</w:t>
      </w:r>
    </w:p>
    <w:p w:rsidR="009C1C5A" w:rsidRPr="00896D4F" w:rsidRDefault="009C1C5A">
      <w:pPr>
        <w:pStyle w:val="Rubrik2"/>
      </w:pPr>
      <w:r w:rsidRPr="00896D4F">
        <w:t>Kritik mot en överförmyndarnämnd för handläggningen av och tillsynen över ett ärende om godma</w:t>
      </w:r>
      <w:r w:rsidRPr="00896D4F">
        <w:t>n</w:t>
      </w:r>
      <w:r w:rsidRPr="00896D4F">
        <w:t xml:space="preserve">skap  </w:t>
      </w:r>
    </w:p>
    <w:p w:rsidR="009C1C5A" w:rsidRPr="00896D4F" w:rsidRDefault="009C1C5A">
      <w:pPr>
        <w:spacing w:before="0"/>
      </w:pPr>
      <w:r w:rsidRPr="00896D4F">
        <w:t>(Dnr 1893-2001)</w:t>
      </w:r>
    </w:p>
    <w:p w:rsidR="009C1C5A" w:rsidRPr="00896D4F" w:rsidRDefault="009C1C5A">
      <w:r w:rsidRPr="00896D4F">
        <w:t xml:space="preserve">I ett beslut den 13 december 2001 anförde </w:t>
      </w:r>
      <w:r w:rsidRPr="00896D4F">
        <w:rPr>
          <w:i/>
        </w:rPr>
        <w:t xml:space="preserve">JO Pennlöv </w:t>
      </w:r>
      <w:r w:rsidRPr="00896D4F">
        <w:t>följande.</w:t>
      </w:r>
    </w:p>
    <w:p w:rsidR="009C1C5A" w:rsidRPr="00896D4F" w:rsidRDefault="009C1C5A">
      <w:pPr>
        <w:pStyle w:val="Rubrik3"/>
      </w:pPr>
      <w:r w:rsidRPr="00896D4F">
        <w:t>Anmälan</w:t>
      </w:r>
    </w:p>
    <w:p w:rsidR="009C1C5A" w:rsidRPr="00896D4F" w:rsidRDefault="009C1C5A">
      <w:r w:rsidRPr="00896D4F">
        <w:t>Länsstyrelsen i Blekinge län har genom Bengt Almqvist och Anita Möller i en anmälan till JO den 15 maj 2001 mot Överförmyndarnämnden i Karlskrona kom</w:t>
      </w:r>
      <w:r w:rsidRPr="00896D4F">
        <w:softHyphen/>
        <w:t xml:space="preserve">mun anfört följande. </w:t>
      </w:r>
    </w:p>
    <w:p w:rsidR="009C1C5A" w:rsidRPr="00896D4F" w:rsidRDefault="009C1C5A">
      <w:pPr>
        <w:pStyle w:val="Citat"/>
      </w:pPr>
      <w:r w:rsidRPr="00896D4F">
        <w:t>Karlskrona tingsrätt förordnade den 3 oktober 1994 om en god man för A.B, Karlskrona, för att enligt 11 kap. 4 § föräldrabalken sörja för hans egendom och för hans person.</w:t>
      </w:r>
    </w:p>
    <w:p w:rsidR="009C1C5A" w:rsidRPr="00896D4F" w:rsidRDefault="009C1C5A">
      <w:pPr>
        <w:pStyle w:val="Citatindrag"/>
      </w:pPr>
      <w:r w:rsidRPr="00896D4F">
        <w:t>A.B. har i olika omgångar tillskrivit landshövding Ulf Lönnqvist och b</w:t>
      </w:r>
      <w:r w:rsidRPr="00896D4F">
        <w:t>e</w:t>
      </w:r>
      <w:r w:rsidRPr="00896D4F">
        <w:t>gärt bistånd och utredning. A.B. och hans dotter har härvid påtalat att den dåva</w:t>
      </w:r>
      <w:r w:rsidRPr="00896D4F">
        <w:softHyphen/>
        <w:t>rande gode mannen inte haft förmåga att hushålla med ekonomin på ett be</w:t>
      </w:r>
      <w:r w:rsidRPr="00896D4F">
        <w:softHyphen/>
        <w:t>tryggande sätt, till exempel har ett lån om 50 000 kronor t</w:t>
      </w:r>
      <w:r w:rsidRPr="00896D4F">
        <w:t>a</w:t>
      </w:r>
      <w:r w:rsidRPr="00896D4F">
        <w:t>gits vilket bety</w:t>
      </w:r>
      <w:r w:rsidRPr="00896D4F">
        <w:softHyphen/>
        <w:t>der räntor att betala. Dottern har gått igenom räkenskaperna och har kunnat konstatera att det saknas kvitton för omkring 50 000 kronor. A.B. har så</w:t>
      </w:r>
      <w:r w:rsidRPr="00896D4F">
        <w:softHyphen/>
        <w:t>lunda inte fått en tillfredsställande förklaring till vart pengarna tagit vägen och inte heller en ordentlig redovisning av sin ek</w:t>
      </w:r>
      <w:r w:rsidRPr="00896D4F">
        <w:t>o</w:t>
      </w:r>
      <w:r w:rsidRPr="00896D4F">
        <w:t>n</w:t>
      </w:r>
      <w:r w:rsidRPr="00896D4F">
        <w:t>omi.</w:t>
      </w:r>
    </w:p>
    <w:p w:rsidR="009C1C5A" w:rsidRPr="00896D4F" w:rsidRDefault="009C1C5A">
      <w:pPr>
        <w:pStyle w:val="Citatindrag"/>
      </w:pPr>
      <w:r w:rsidRPr="00896D4F">
        <w:t>A.B. har även anmält till polisen att ”en fd god man möjligen förskingrat pengar för honom”.</w:t>
      </w:r>
    </w:p>
    <w:p w:rsidR="009C1C5A" w:rsidRPr="00896D4F" w:rsidRDefault="009C1C5A">
      <w:pPr>
        <w:pStyle w:val="Citatindrag"/>
      </w:pPr>
      <w:r w:rsidRPr="00896D4F">
        <w:t>En polis har samtalat med handläggaren på överförmyndarnämnden, Arne Söderblom, och därefter har ärendet avskrivits.</w:t>
      </w:r>
    </w:p>
    <w:p w:rsidR="009C1C5A" w:rsidRPr="00896D4F" w:rsidRDefault="009C1C5A">
      <w:pPr>
        <w:pStyle w:val="Citatindrag"/>
      </w:pPr>
      <w:r w:rsidRPr="00896D4F">
        <w:t>Länsstyrelsen har gjort tillsynsbesök hos överförmyndarnämnden i februari 2001. Länsstyrelsen har därvid kunnat konstatera, att gode mannen inte lä</w:t>
      </w:r>
      <w:r w:rsidRPr="00896D4F">
        <w:t>m</w:t>
      </w:r>
      <w:r w:rsidRPr="00896D4F">
        <w:t>nat årsräkningar för år 1997 och första halvåret 1998. Öve</w:t>
      </w:r>
      <w:r w:rsidRPr="00896D4F">
        <w:t>r</w:t>
      </w:r>
      <w:r w:rsidRPr="00896D4F">
        <w:t>förmyndar</w:t>
      </w:r>
      <w:r w:rsidRPr="00896D4F">
        <w:softHyphen/>
        <w:t>nämnden har inte heller kunnat lämna den begärda redovisningen för hur A.B:s ekonomi skötts. Dessutom har den senaste gode mannen begärt att bli entledigad och fungerar inte längre som god man. Någon ny god man har emellertid inte förordnats.</w:t>
      </w:r>
    </w:p>
    <w:p w:rsidR="009C1C5A" w:rsidRPr="00896D4F" w:rsidRDefault="009C1C5A">
      <w:pPr>
        <w:pStyle w:val="Citatindrag"/>
      </w:pPr>
      <w:r w:rsidRPr="00896D4F">
        <w:t>Länsstyrelsen anser det vara mycket allvarligt att en huvudman påstår att en god man förskingrat hans medel och att de faktiska förhållandena inte har klarlagts, att årsräkningar inte har lämnats och</w:t>
      </w:r>
      <w:r w:rsidRPr="00896D4F">
        <w:t xml:space="preserve"> att frågan om god man för A.B. inte har lösts.</w:t>
      </w:r>
    </w:p>
    <w:p w:rsidR="009C1C5A" w:rsidRPr="00896D4F" w:rsidRDefault="009C1C5A">
      <w:pPr>
        <w:pStyle w:val="Citatindrag"/>
      </w:pPr>
      <w:r w:rsidRPr="00896D4F">
        <w:t>Länsstyrelsen överlämnar därför ärendet till Justitieombudsmannen för ut</w:t>
      </w:r>
      <w:r w:rsidRPr="00896D4F">
        <w:softHyphen/>
        <w:t xml:space="preserve">redning och eventuellt åtal.    </w:t>
      </w:r>
    </w:p>
    <w:p w:rsidR="009C1C5A" w:rsidRPr="00896D4F" w:rsidRDefault="009C1C5A">
      <w:pPr>
        <w:pStyle w:val="Rubrik3"/>
      </w:pPr>
      <w:r w:rsidRPr="00896D4F">
        <w:t>Utredningen</w:t>
      </w:r>
    </w:p>
    <w:p w:rsidR="009C1C5A" w:rsidRPr="00896D4F" w:rsidRDefault="009C1C5A">
      <w:r w:rsidRPr="00896D4F">
        <w:t xml:space="preserve">Överförmyndarnämndens akt avseende godmanskap för A.B. har lånats in och granskats.  </w:t>
      </w:r>
    </w:p>
    <w:p w:rsidR="009C1C5A" w:rsidRPr="00896D4F" w:rsidRDefault="009C1C5A">
      <w:pPr>
        <w:pStyle w:val="Normaltindrag"/>
      </w:pPr>
      <w:r w:rsidRPr="00896D4F">
        <w:t>Ärendet har därefter remitterats till överförmyndarnämnden, som anfört följande.</w:t>
      </w:r>
    </w:p>
    <w:p w:rsidR="009C1C5A" w:rsidRPr="00896D4F" w:rsidRDefault="009C1C5A">
      <w:pPr>
        <w:pStyle w:val="Citat"/>
      </w:pPr>
      <w:r w:rsidRPr="00896D4F">
        <w:t>Årsräkning för år 1997 och första halvåret 1998 kan förklaras på följande sätt. A.B. fick god man 1994-09-27, vilken begärde sitt entledigande    1995-05-08 med anledning av A.B:s dåliga ekonomi och hans ovilja till godman</w:t>
      </w:r>
      <w:r w:rsidRPr="00896D4F">
        <w:softHyphen/>
        <w:t>skapet. Byte av god man gjordes 1995-08-08. Godmanskapet har hela tiden varit fyllt med konflikter. I slutet av 1996 började A.B:s dotter H.P. alltmer att medve</w:t>
      </w:r>
      <w:r w:rsidRPr="00896D4F">
        <w:t>r</w:t>
      </w:r>
      <w:r w:rsidRPr="00896D4F">
        <w:t>ka genom att betala räkningar åt A.B. innan den gode mannen fick del av dessa.</w:t>
      </w:r>
    </w:p>
    <w:p w:rsidR="009C1C5A" w:rsidRPr="00896D4F" w:rsidRDefault="009C1C5A">
      <w:pPr>
        <w:pStyle w:val="Citatindrag"/>
      </w:pPr>
      <w:r w:rsidRPr="00896D4F">
        <w:t>Vid genomgång av årsräkningen för 1996 var A.B. den gode mannen, dot</w:t>
      </w:r>
      <w:r w:rsidRPr="00896D4F">
        <w:softHyphen/>
        <w:t>tern H.P. och undertecknad närvarande. Inget krav om ytterligare redovis</w:t>
      </w:r>
      <w:r w:rsidRPr="00896D4F">
        <w:softHyphen/>
        <w:t>ning eller något om saknade medel framfördes då. H.P. förklarade vid detta tillfälle att hon önskade överta godmanskapet vilka samtliga ställde sig po</w:t>
      </w:r>
      <w:r w:rsidRPr="00896D4F">
        <w:softHyphen/>
        <w:t>sitiva till. Alla kvitton och handlingar som rörde förvaltningen överlämna</w:t>
      </w:r>
      <w:r w:rsidRPr="00896D4F">
        <w:softHyphen/>
        <w:t>des till H.P. Vid kontroll av samtliga akter upptäcktes att H.P. ej skrivit på något åtagande om att vara god man varvid jag kontaktade henne. Hon upplyste mig då om att A.B. skötte det mesta själv och att hon in</w:t>
      </w:r>
      <w:r w:rsidRPr="00896D4F">
        <w:t>te ville påta sig uppdraget som god man. Vid årsskiftet 97/98 började jag söka efter en ny god man där många tackade nej och ett par stycken efter besök hos A.B. tackade nej även de till uppdraget. Först i juni 1998 kunde ny god man till</w:t>
      </w:r>
      <w:r w:rsidRPr="00896D4F">
        <w:softHyphen/>
        <w:t>sättas, vilken också har begärt sitt entledigande med anledning av att A.B. själv tar ut hela pe</w:t>
      </w:r>
      <w:r w:rsidRPr="00896D4F">
        <w:t>n</w:t>
      </w:r>
      <w:r w:rsidRPr="00896D4F">
        <w:t>sionen och medlen inte räcker till utgifterna. A.B. liksom hans dotter har uttalat missnöje med den gode mannen.</w:t>
      </w:r>
    </w:p>
    <w:p w:rsidR="009C1C5A" w:rsidRPr="00896D4F" w:rsidRDefault="009C1C5A">
      <w:pPr>
        <w:pStyle w:val="Citatindrag"/>
      </w:pPr>
      <w:r w:rsidRPr="00896D4F">
        <w:t>Att misstaget med att H.P. inte förordnades som god man kunde sk</w:t>
      </w:r>
      <w:r w:rsidRPr="00896D4F">
        <w:t>e beror dels på den mänskliga faktorn från min sida, dels på att förvaltningen inte var datoriserad vid den tidpunkten. Numera är hela verksamheten datoriserad och nya bättre rutiner gör att risken för likartade mis</w:t>
      </w:r>
      <w:r w:rsidRPr="00896D4F">
        <w:t>s</w:t>
      </w:r>
      <w:r w:rsidRPr="00896D4F">
        <w:t>tag är eli</w:t>
      </w:r>
      <w:r w:rsidRPr="00896D4F">
        <w:softHyphen/>
        <w:t>minerad. Na</w:t>
      </w:r>
      <w:r w:rsidRPr="00896D4F">
        <w:softHyphen/>
        <w:t>turligtvis hade det varit viktigt att få en ny god man åt A.B. så fort som mö</w:t>
      </w:r>
      <w:r w:rsidRPr="00896D4F">
        <w:t>j</w:t>
      </w:r>
      <w:r w:rsidRPr="00896D4F">
        <w:t>ligt och att detta inte kunnat lösas beror på många olyckliga omständig</w:t>
      </w:r>
      <w:r w:rsidRPr="00896D4F">
        <w:softHyphen/>
        <w:t>heter, vilket jag beklagar.</w:t>
      </w:r>
    </w:p>
    <w:p w:rsidR="009C1C5A" w:rsidRPr="00896D4F" w:rsidRDefault="009C1C5A">
      <w:pPr>
        <w:pStyle w:val="Citatindrag"/>
      </w:pPr>
      <w:r w:rsidRPr="00896D4F">
        <w:t>Påståendet om en brist på 50 000 kronor ser vi allvarligt på. Vid den kon</w:t>
      </w:r>
      <w:r w:rsidRPr="00896D4F">
        <w:softHyphen/>
        <w:t>troll som skedde av medelsförvaltningen såg vi ingen grund för detta påstå</w:t>
      </w:r>
      <w:r w:rsidRPr="00896D4F">
        <w:softHyphen/>
        <w:t>ende. Inte heller länsstyrelsen kunde vid sin revisionskontroll upptäcka nå</w:t>
      </w:r>
      <w:r w:rsidRPr="00896D4F">
        <w:softHyphen/>
        <w:t>got fel och lämnade därför ingen erinran om detta. En förklaring till påståen</w:t>
      </w:r>
      <w:r w:rsidRPr="00896D4F">
        <w:softHyphen/>
        <w:t>det om en brist på 50 000 kronor kan vara ett lån på 25 000 kronor som togs 1997 för att klara A.B:s skulder. Om ej detta gjorts hade Karlskrona Affärs</w:t>
      </w:r>
      <w:r w:rsidRPr="00896D4F">
        <w:softHyphen/>
        <w:t>verk stängt av eldistributionen eftersom skulden var ca 12 000 kronor. Nå</w:t>
      </w:r>
      <w:r w:rsidRPr="00896D4F">
        <w:softHyphen/>
        <w:t>got lån på 50 000 kronor som dottern påstår har ej f</w:t>
      </w:r>
      <w:r w:rsidRPr="00896D4F">
        <w:t>ö</w:t>
      </w:r>
      <w:r w:rsidRPr="00896D4F">
        <w:t>rek</w:t>
      </w:r>
      <w:r w:rsidRPr="00896D4F">
        <w:t xml:space="preserve">ommit.    </w:t>
      </w:r>
    </w:p>
    <w:p w:rsidR="009C1C5A" w:rsidRPr="00896D4F" w:rsidRDefault="009C1C5A">
      <w:r w:rsidRPr="00896D4F">
        <w:t>Länsstyrelsen har beretts tillfälle att yttra sig över remissvaret.</w:t>
      </w:r>
    </w:p>
    <w:p w:rsidR="009C1C5A" w:rsidRPr="00896D4F" w:rsidRDefault="009C1C5A">
      <w:pPr>
        <w:rPr>
          <w:b/>
        </w:rPr>
      </w:pPr>
      <w:r w:rsidRPr="00896D4F">
        <w:t>Handläggaren vid överförmyndarnämnden Arne Söderbom har vid ett telefon</w:t>
      </w:r>
      <w:r w:rsidRPr="00896D4F">
        <w:softHyphen/>
        <w:t>samtal den 22 november 2001 uppgivit att A.B. trots ytterligare påminnelser inte har inkommit till nämnden med en egenhändigt undertecknad begäran om att godmanskapet skall upphöra men inte vill ha kontakt med den gode ma</w:t>
      </w:r>
      <w:r w:rsidRPr="00896D4F">
        <w:t>n</w:t>
      </w:r>
      <w:r w:rsidRPr="00896D4F">
        <w:t>nen samt att situationen vad gäller godmanskapet är oföränd</w:t>
      </w:r>
      <w:r w:rsidRPr="00896D4F">
        <w:softHyphen/>
        <w:t>rad.</w:t>
      </w:r>
    </w:p>
    <w:p w:rsidR="009C1C5A" w:rsidRPr="00896D4F" w:rsidRDefault="009C1C5A">
      <w:pPr>
        <w:pStyle w:val="Rubrik3"/>
      </w:pPr>
      <w:r w:rsidRPr="00896D4F">
        <w:t>Bedömning</w:t>
      </w:r>
    </w:p>
    <w:p w:rsidR="009C1C5A" w:rsidRPr="00896D4F" w:rsidRDefault="009C1C5A">
      <w:r w:rsidRPr="00896D4F">
        <w:t>Av akten framgår att den dåvarande gode mannen inte ingivit någon årsrä</w:t>
      </w:r>
      <w:r w:rsidRPr="00896D4F">
        <w:t>k</w:t>
      </w:r>
      <w:r w:rsidRPr="00896D4F">
        <w:t>ning för 1997 och första halvåret 1998. Den förklaring överförmyndarnäm</w:t>
      </w:r>
      <w:r w:rsidRPr="00896D4F">
        <w:t>n</w:t>
      </w:r>
      <w:r w:rsidRPr="00896D4F">
        <w:t>den har lämnat till varför inga åtgärder vidtagits med anledning av detta – att A.B:s dotter i praktiken men av misstag utan något förordnande hade tagit över den gode man</w:t>
      </w:r>
      <w:r w:rsidRPr="00896D4F">
        <w:softHyphen/>
        <w:t>nens uppdrag – förklarar i och för sig varför den gode mannen inte avkrävts års</w:t>
      </w:r>
      <w:r w:rsidRPr="00896D4F">
        <w:softHyphen/>
        <w:t>räkningar. Om det – vilket förefaller ha varit fallet – i det läget var överförmyn</w:t>
      </w:r>
      <w:r w:rsidRPr="00896D4F">
        <w:softHyphen/>
        <w:t>darnämndens mening att A.B:s dotter skulle bli god man borde nämnden utan dröjsmål ha fattat beslut om e</w:t>
      </w:r>
      <w:r w:rsidRPr="00896D4F">
        <w:t>tt byte av god man och därefter sett till att hon in</w:t>
      </w:r>
      <w:r w:rsidRPr="00896D4F">
        <w:softHyphen/>
        <w:t>kom med förteckning och sedermera årsrä</w:t>
      </w:r>
      <w:r w:rsidRPr="00896D4F">
        <w:t>k</w:t>
      </w:r>
      <w:r w:rsidRPr="00896D4F">
        <w:t>ningar. För sin underlåtenhet i detta avse</w:t>
      </w:r>
      <w:r w:rsidRPr="00896D4F">
        <w:softHyphen/>
        <w:t>ende kan överförmyndarnämnden inte undgå kritik. Med hänsyn till vad över</w:t>
      </w:r>
      <w:r w:rsidRPr="00896D4F">
        <w:softHyphen/>
        <w:t>för</w:t>
      </w:r>
      <w:r w:rsidRPr="00896D4F">
        <w:softHyphen/>
        <w:t>myndarnämnden har anfört om situationen vid genomgången av års</w:t>
      </w:r>
      <w:r w:rsidRPr="00896D4F">
        <w:softHyphen/>
        <w:t>räk</w:t>
      </w:r>
      <w:r w:rsidRPr="00896D4F">
        <w:softHyphen/>
        <w:t>ningen för 1996, och till att H.P. var A.B:s dotter och redan skötte hans eko</w:t>
      </w:r>
      <w:r w:rsidRPr="00896D4F">
        <w:softHyphen/>
        <w:t>nomi i stor ut</w:t>
      </w:r>
      <w:r w:rsidRPr="00896D4F">
        <w:softHyphen/>
        <w:t>sträckning, kan jag dock hysa viss förståelse för att formaliteterna runt hennes tilltänkta förordnande glömdes bort. Oavsett om överförmy</w:t>
      </w:r>
      <w:r w:rsidRPr="00896D4F">
        <w:t>ndarnämnden hade funnit det tillräckligt med att A.B:s dotter var honom behjälplig med ekonomin utan att hon fö</w:t>
      </w:r>
      <w:r w:rsidRPr="00896D4F">
        <w:t>r</w:t>
      </w:r>
      <w:r w:rsidRPr="00896D4F">
        <w:t>ordnades till god man och att godmanskapet alltså borde upphävas, eller a</w:t>
      </w:r>
      <w:r w:rsidRPr="00896D4F">
        <w:t>n</w:t>
      </w:r>
      <w:r w:rsidRPr="00896D4F">
        <w:t>såg att hon skulle vara god man, borde överförmyndarnämnden emellertid ha vidtagit åtgärder för att den dåvarande gode mannens uppdrag skulle upphöra, antingen genom ett byte eller genom att aktualisera frågan om prövning av god</w:t>
      </w:r>
      <w:r w:rsidRPr="00896D4F">
        <w:softHyphen/>
        <w:t>manskapets upphörande. Dessutom borde överförmyndarnämnden, så snart den insett sitt misstag, sjä</w:t>
      </w:r>
      <w:r w:rsidRPr="00896D4F">
        <w:t>lvfallet genast ha avkrävt den gode mannen de icke ingivna årsräkningarna. Att så fortfarande inte skett kan överförmynda</w:t>
      </w:r>
      <w:r w:rsidRPr="00896D4F">
        <w:t>r</w:t>
      </w:r>
      <w:r w:rsidRPr="00896D4F">
        <w:t>nämnden inte undgå allvarlig kritik för. Det saknar i detta sammanhang bet</w:t>
      </w:r>
      <w:r w:rsidRPr="00896D4F">
        <w:t>y</w:t>
      </w:r>
      <w:r w:rsidRPr="00896D4F">
        <w:t>delse att årsredovis</w:t>
      </w:r>
      <w:r w:rsidRPr="00896D4F">
        <w:softHyphen/>
        <w:t>ningarna i det aktuella fallet inte kan förväntas innehålla en ekonomisk redovis</w:t>
      </w:r>
      <w:r w:rsidRPr="00896D4F">
        <w:softHyphen/>
        <w:t>ning av det traditionella slaget. Huruvida överförmy</w:t>
      </w:r>
      <w:r w:rsidRPr="00896D4F">
        <w:t>n</w:t>
      </w:r>
      <w:r w:rsidRPr="00896D4F">
        <w:t>darnämnden har avkrävt den gode mannen årsredovisningar kan däremot ha betydelse för eventuella framtida klagomål på den gode mannens förvaltning och överförmyn</w:t>
      </w:r>
      <w:r w:rsidRPr="00896D4F">
        <w:t>darens tillsyn över densamma.</w:t>
      </w:r>
    </w:p>
    <w:p w:rsidR="009C1C5A" w:rsidRPr="00896D4F" w:rsidRDefault="009C1C5A">
      <w:pPr>
        <w:pStyle w:val="Normaltindrag"/>
      </w:pPr>
      <w:r w:rsidRPr="00896D4F">
        <w:t>Länsstyrelsen har i sin anmälan kritiserat överförmyndarnämnden för att vara pas</w:t>
      </w:r>
      <w:r w:rsidRPr="00896D4F">
        <w:softHyphen/>
        <w:t xml:space="preserve">siv i fråga om det icke fungerande godmanskapet. I detta avseende vill jag anföra följande. </w:t>
      </w:r>
    </w:p>
    <w:p w:rsidR="009C1C5A" w:rsidRPr="00896D4F" w:rsidRDefault="009C1C5A">
      <w:pPr>
        <w:pStyle w:val="Normaltindrag"/>
      </w:pPr>
      <w:r w:rsidRPr="00896D4F">
        <w:t>Av akten framgår att den gode man som förordnades i juni 1998 begärde sitt ent</w:t>
      </w:r>
      <w:r w:rsidRPr="00896D4F">
        <w:softHyphen/>
        <w:t>ledigande i oktober 1999. Vidare framgår att överförmyndarnämnden den 26 ja</w:t>
      </w:r>
      <w:r w:rsidRPr="00896D4F">
        <w:softHyphen/>
        <w:t>nuari 2000 beslutade att tillskriva tingsrätten med en begäran om upphävande av godmanskapet ”när egen ansökan från [A.B.] inkommer till kansliet”. Som skäl angavs att nämnden gjort bedömningen att godmanskapet inte borde bestå. Där</w:t>
      </w:r>
      <w:r w:rsidRPr="00896D4F">
        <w:softHyphen/>
        <w:t>efter har över</w:t>
      </w:r>
      <w:r w:rsidRPr="00896D4F">
        <w:softHyphen/>
        <w:t>förmyndarnämnden vid flera tillfällen fö</w:t>
      </w:r>
      <w:r w:rsidRPr="00896D4F">
        <w:t>r</w:t>
      </w:r>
      <w:r w:rsidRPr="00896D4F">
        <w:t>sökt få A.B. att inkomma med en skrift</w:t>
      </w:r>
      <w:r w:rsidRPr="00896D4F">
        <w:softHyphen/>
        <w:t>lig egenhändigt undertecknad begäran om att godmanskapet skall upphöra, dock utan resultat. Några andra åtg</w:t>
      </w:r>
      <w:r w:rsidRPr="00896D4F">
        <w:t>ärder har överförmyndarnämnden inte vidtagit såvitt framgår av utredningen.</w:t>
      </w:r>
    </w:p>
    <w:p w:rsidR="009C1C5A" w:rsidRPr="00896D4F" w:rsidRDefault="009C1C5A">
      <w:pPr>
        <w:pStyle w:val="Normaltindrag"/>
      </w:pPr>
      <w:r w:rsidRPr="00896D4F">
        <w:t>Jag har varken anledning eller möjlighet att uttala mig i frågan om huruv</w:t>
      </w:r>
      <w:r w:rsidRPr="00896D4F">
        <w:t>i</w:t>
      </w:r>
      <w:r w:rsidRPr="00896D4F">
        <w:t>da A.B. är i behov av god man eller inte. Det är en bedömning som det a</w:t>
      </w:r>
      <w:r w:rsidRPr="00896D4F">
        <w:t>n</w:t>
      </w:r>
      <w:r w:rsidRPr="00896D4F">
        <w:t>kommer på domstol att göra. Däremot anser jag att den situation som uppstått – med en god man som inte kan fullgöra sitt uppdrag till någon del – har tagit alldeles för lång tid att reda upp. Överförmyndarnämnden borde enligt min mening, sedan det visat sig vara svårt att få in en skriftlig begäran från A.B. om godmanskapets upphö</w:t>
      </w:r>
      <w:r w:rsidRPr="00896D4F">
        <w:softHyphen/>
        <w:t>rande, ha omprövat sitt av detta för</w:t>
      </w:r>
      <w:r w:rsidRPr="00896D4F">
        <w:softHyphen/>
        <w:t>hållande villk</w:t>
      </w:r>
      <w:r w:rsidRPr="00896D4F">
        <w:t>o</w:t>
      </w:r>
      <w:r w:rsidRPr="00896D4F">
        <w:t>rade beslut av den 26 januari 2000. Om överförmyndarnä</w:t>
      </w:r>
      <w:r w:rsidRPr="00896D4F">
        <w:t>mnden alltjämt ansåg att frågan om godmanskapets bestånd skulle prövas av tingsrätten borde nämnden ha utnyttjat sin möjlighet en</w:t>
      </w:r>
      <w:r w:rsidRPr="00896D4F">
        <w:softHyphen/>
        <w:t>ligt 11 kap 21 § första stycket och 15 § föräldrabalken att själv ansöka hos tings</w:t>
      </w:r>
      <w:r w:rsidRPr="00896D4F">
        <w:softHyphen/>
        <w:t>rätten om detta. I annat fall borde överförmyndarnämnden, i enlighet med den gode mannens ansökan därom, ha vidtagit åtgärder för att genom</w:t>
      </w:r>
      <w:r w:rsidRPr="00896D4F">
        <w:softHyphen/>
        <w:t xml:space="preserve">föra ett byte av god man. Jag förutsätter att överförmyndarnämnden snarast vidtar åtgärder för att lösa den uppkomna situationen.   </w:t>
      </w:r>
    </w:p>
    <w:p w:rsidR="009C1C5A" w:rsidRPr="00896D4F" w:rsidRDefault="009C1C5A">
      <w:pPr>
        <w:pStyle w:val="Normaltindrag"/>
      </w:pPr>
      <w:r w:rsidRPr="00896D4F">
        <w:t>När det gäller länsstyrels</w:t>
      </w:r>
      <w:r w:rsidRPr="00896D4F">
        <w:t>ens kritik mot att överförmyndarnämnden inte skulle ha vidtagit tillräckliga åtgärder för att utreda A.B:s påstående om att en tidigare god man har förskingrat pengar någon gång under åren 1993–1998 är min bedömning att ytterligare utredning med hänsyn till bl.a. den tid som förflutit inte skulle bringa klarhet i saken och därför vara meningslös. Vad som har framkommit vid min granskning av akten har inte givit mig tillräc</w:t>
      </w:r>
      <w:r w:rsidRPr="00896D4F">
        <w:t>k</w:t>
      </w:r>
      <w:r w:rsidRPr="00896D4F">
        <w:t>lig anledning att kritisera över</w:t>
      </w:r>
      <w:r w:rsidRPr="00896D4F">
        <w:softHyphen/>
        <w:t>förmyndar</w:t>
      </w:r>
      <w:r w:rsidRPr="00896D4F">
        <w:softHyphen/>
        <w:t>nämnden i detta avse</w:t>
      </w:r>
      <w:r w:rsidRPr="00896D4F">
        <w:softHyphen/>
        <w:t xml:space="preserve">ende. </w:t>
      </w:r>
    </w:p>
    <w:p w:rsidR="009C1C5A" w:rsidRPr="00896D4F" w:rsidRDefault="009C1C5A">
      <w:pPr>
        <w:pStyle w:val="Rubrik2"/>
      </w:pPr>
      <w:r w:rsidRPr="00896D4F">
        <w:t>Ett på JO:s in</w:t>
      </w:r>
      <w:r w:rsidRPr="00896D4F">
        <w:t>itiativ upptaget ärende angående en överför-myndarnämnds handläggning av ett ärende om godmanskap</w:t>
      </w:r>
    </w:p>
    <w:p w:rsidR="009C1C5A" w:rsidRPr="00896D4F" w:rsidRDefault="009C1C5A">
      <w:pPr>
        <w:spacing w:before="0"/>
      </w:pPr>
      <w:r w:rsidRPr="00896D4F">
        <w:t>(Dnr 2195-2001)</w:t>
      </w:r>
    </w:p>
    <w:p w:rsidR="009C1C5A" w:rsidRPr="00896D4F" w:rsidRDefault="009C1C5A">
      <w:r w:rsidRPr="00896D4F">
        <w:t xml:space="preserve">I ett beslut den 7 juni 2002 anförde </w:t>
      </w:r>
      <w:r w:rsidRPr="00896D4F">
        <w:rPr>
          <w:i/>
        </w:rPr>
        <w:t>JO Pennlöv</w:t>
      </w:r>
      <w:r w:rsidRPr="00896D4F">
        <w:t xml:space="preserve"> följande.</w:t>
      </w:r>
    </w:p>
    <w:p w:rsidR="009C1C5A" w:rsidRPr="00896D4F" w:rsidRDefault="009C1C5A">
      <w:pPr>
        <w:pStyle w:val="Rubrik3"/>
      </w:pPr>
      <w:r w:rsidRPr="00896D4F">
        <w:t>Initiativet</w:t>
      </w:r>
    </w:p>
    <w:p w:rsidR="009C1C5A" w:rsidRPr="00896D4F" w:rsidRDefault="009C1C5A">
      <w:r w:rsidRPr="00896D4F">
        <w:t>Vid min inspektion den 16 maj 2001 av Överförmyndarnämnden i Älvdalens kommun uppmärksammade jag följande.</w:t>
      </w:r>
    </w:p>
    <w:p w:rsidR="009C1C5A" w:rsidRPr="00896D4F" w:rsidRDefault="009C1C5A">
      <w:pPr>
        <w:pStyle w:val="Normaltindrag"/>
      </w:pPr>
      <w:r w:rsidRPr="00896D4F">
        <w:t>En akt avseende C.E. innehöll dels ett läkarintyg angående behovet av god man, utfärdat den 21 mars 2000, dels ett personbevis den 27 mars 2000. I läkarintyget anförs att C.E. på grund av sjukdom behöver hjälp i olika närm</w:t>
      </w:r>
      <w:r w:rsidRPr="00896D4F">
        <w:t>a</w:t>
      </w:r>
      <w:r w:rsidRPr="00896D4F">
        <w:t>re angivna avseenden. Det framgick inte av akten att det från överförmynda</w:t>
      </w:r>
      <w:r w:rsidRPr="00896D4F">
        <w:t>r</w:t>
      </w:r>
      <w:r w:rsidRPr="00896D4F">
        <w:t>nämndens sida hade vidtagits några åtgärder med anledning av läkarintyget. På förfrågan uppgav nämndens ordförande att han inte kunde dra sig till mi</w:t>
      </w:r>
      <w:r w:rsidRPr="00896D4F">
        <w:t>n</w:t>
      </w:r>
      <w:r w:rsidRPr="00896D4F">
        <w:t>nes vad som hade gjorts i saken.</w:t>
      </w:r>
    </w:p>
    <w:p w:rsidR="009C1C5A" w:rsidRPr="00896D4F" w:rsidRDefault="009C1C5A">
      <w:pPr>
        <w:pStyle w:val="Normaltindrag"/>
      </w:pPr>
      <w:r w:rsidRPr="00896D4F">
        <w:t>Jag beslutade att inom ramen för ett initiativärende granska överförmy</w:t>
      </w:r>
      <w:r w:rsidRPr="00896D4F">
        <w:t>n</w:t>
      </w:r>
      <w:r w:rsidRPr="00896D4F">
        <w:t>darnäm</w:t>
      </w:r>
      <w:r w:rsidRPr="00896D4F">
        <w:t>n</w:t>
      </w:r>
      <w:r w:rsidRPr="00896D4F">
        <w:t xml:space="preserve">dens handläggning. </w:t>
      </w:r>
    </w:p>
    <w:p w:rsidR="009C1C5A" w:rsidRPr="00896D4F" w:rsidRDefault="009C1C5A">
      <w:pPr>
        <w:pStyle w:val="Rubrik3"/>
      </w:pPr>
      <w:r w:rsidRPr="00896D4F">
        <w:t>Utredning</w:t>
      </w:r>
    </w:p>
    <w:p w:rsidR="009C1C5A" w:rsidRPr="00896D4F" w:rsidRDefault="009C1C5A">
      <w:r w:rsidRPr="00896D4F">
        <w:t>Ärendet remitterades till överförmyndarnämnden för utredning och yttrande. I sitt remissvar anförde nämnden bl.a. följande.</w:t>
      </w:r>
    </w:p>
    <w:p w:rsidR="009C1C5A" w:rsidRPr="00896D4F" w:rsidRDefault="009C1C5A">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pPr>
        <w:pStyle w:val="Citat"/>
      </w:pPr>
      <w:r w:rsidRPr="00896D4F">
        <w:t>Det är riktigt att vid inspektionen inte vidtagits några åtgärder i detta ärende. Efter inspektionen har dock kontakt tagits med C.E., varefter ärendet avskr</w:t>
      </w:r>
      <w:r w:rsidRPr="00896D4F">
        <w:t>i</w:t>
      </w:r>
      <w:r w:rsidRPr="00896D4F">
        <w:t>vits från vidare handläggning. Skälet härtill var att det kunde konstateras att det inte förelåg något behov av god man.</w:t>
      </w:r>
    </w:p>
    <w:p w:rsidR="009C1C5A" w:rsidRPr="00896D4F" w:rsidRDefault="009C1C5A">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pPr>
        <w:pStyle w:val="Citat"/>
      </w:pPr>
      <w:r w:rsidRPr="00896D4F">
        <w:t>Avslutningsvis bör framhållas att överförmyndarnämnden har tagit till sig av den kritik som lämnats av JO. Därvid har rutinerna ändrats och förbättrats, vilket innebär att de brister som uppdagats inte skall behöva ske igen. Öve</w:t>
      </w:r>
      <w:r w:rsidRPr="00896D4F">
        <w:t>r</w:t>
      </w:r>
      <w:r w:rsidRPr="00896D4F">
        <w:t>förmyndarnämnden är dock av den uppfattningen att synpunkterna som påt</w:t>
      </w:r>
      <w:r w:rsidRPr="00896D4F">
        <w:t>a</w:t>
      </w:r>
      <w:r w:rsidRPr="00896D4F">
        <w:t>lats i protokollet inte är av den omfattningen att någon berörd part drabbats av någon rättsförlust eller annan ekonomisk skada.</w:t>
      </w:r>
    </w:p>
    <w:p w:rsidR="009C1C5A" w:rsidRPr="00896D4F" w:rsidRDefault="009C1C5A">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pPr>
        <w:pStyle w:val="Rubrik3"/>
      </w:pPr>
      <w:r w:rsidRPr="00896D4F">
        <w:t>Bedömning</w:t>
      </w:r>
    </w:p>
    <w:p w:rsidR="009C1C5A" w:rsidRPr="00896D4F" w:rsidRDefault="009C1C5A">
      <w:r w:rsidRPr="00896D4F">
        <w:t>Överförmyndarnämnden har i sitt remissvar medgett att några åtgärder inte hade vidtagits i ärendet vid tidpunkten för min inspektion. Det är naturligtvis helt oacceptabelt att ett godmansärende lämnas öppet under drygt ett års tid utan att några åtgärder vidtas. Överförmyndarnämnden har brustit i sina rut</w:t>
      </w:r>
      <w:r w:rsidRPr="00896D4F">
        <w:t>i</w:t>
      </w:r>
      <w:r w:rsidRPr="00896D4F">
        <w:t>ner genom att inte följa upp det aktuella ärendet och nämnden kan inte undgå allvarlig kritik för denna underlåtenhet. Jag utgår ifrån att den förbättring av arbetsrutinerna som utlovats i remissvaret har genomförts så att en uppre</w:t>
      </w:r>
      <w:r w:rsidRPr="00896D4F">
        <w:t>p</w:t>
      </w:r>
      <w:r w:rsidRPr="00896D4F">
        <w:t>ning av det inträffade kan un</w:t>
      </w:r>
      <w:r w:rsidRPr="00896D4F">
        <w:t>d</w:t>
      </w:r>
      <w:r w:rsidRPr="00896D4F">
        <w:t>vikas i framtiden.</w:t>
      </w:r>
    </w:p>
    <w:p w:rsidR="009C1C5A" w:rsidRPr="00896D4F" w:rsidRDefault="009C1C5A">
      <w:pPr>
        <w:pStyle w:val="Rubrik2"/>
      </w:pPr>
      <w:r w:rsidRPr="00896D4F">
        <w:t>Kritik mot en överförmyndare för långsam handläggning av en begäran om byte om god man</w:t>
      </w:r>
    </w:p>
    <w:p w:rsidR="009C1C5A" w:rsidRPr="00896D4F" w:rsidRDefault="009C1C5A">
      <w:pPr>
        <w:spacing w:before="0"/>
      </w:pPr>
      <w:r w:rsidRPr="00896D4F">
        <w:t>(Dnr 2450-2001)</w:t>
      </w:r>
    </w:p>
    <w:p w:rsidR="009C1C5A" w:rsidRPr="00896D4F" w:rsidRDefault="009C1C5A">
      <w:r w:rsidRPr="00896D4F">
        <w:t xml:space="preserve">I ett beslut den 14 februari 2002 anförde </w:t>
      </w:r>
      <w:r w:rsidRPr="00896D4F">
        <w:rPr>
          <w:i/>
        </w:rPr>
        <w:t xml:space="preserve">JO Pennlöv </w:t>
      </w:r>
      <w:r w:rsidRPr="00896D4F">
        <w:t>följande.</w:t>
      </w:r>
    </w:p>
    <w:p w:rsidR="009C1C5A" w:rsidRPr="00896D4F" w:rsidRDefault="009C1C5A">
      <w:pPr>
        <w:pStyle w:val="Rubrik3"/>
      </w:pPr>
      <w:r w:rsidRPr="00896D4F">
        <w:t>Anmälan</w:t>
      </w:r>
    </w:p>
    <w:p w:rsidR="009C1C5A" w:rsidRPr="00896D4F" w:rsidRDefault="009C1C5A">
      <w:r w:rsidRPr="00896D4F">
        <w:t>I en anmälan som kom in till JO den 29 juni 2001 har E.N. framfört kla</w:t>
      </w:r>
      <w:r w:rsidRPr="00896D4F">
        <w:softHyphen/>
        <w:t>gomål mot Överförmyndaren i Östersunds kommun. Han har begärt att JO skall granska överförmyndarens tillsyn över och handläggning av vissa frågor rörande hans godmanskap. Han har därvid anfört att han inte är nöjd med sin gode man, att han har försökt få denne utbytt men nekats detta, att överfö</w:t>
      </w:r>
      <w:r w:rsidRPr="00896D4F">
        <w:t>r</w:t>
      </w:r>
      <w:r w:rsidRPr="00896D4F">
        <w:t>myndaren är svår att nå, samt att ”ingenting händer”.</w:t>
      </w:r>
    </w:p>
    <w:p w:rsidR="009C1C5A" w:rsidRPr="00896D4F" w:rsidRDefault="009C1C5A">
      <w:pPr>
        <w:pStyle w:val="Rubrik3"/>
      </w:pPr>
      <w:r w:rsidRPr="00896D4F">
        <w:t>Utredningen</w:t>
      </w:r>
    </w:p>
    <w:p w:rsidR="009C1C5A" w:rsidRPr="00896D4F" w:rsidRDefault="009C1C5A">
      <w:r w:rsidRPr="00896D4F">
        <w:t>Överförmyndarens akt avseende godmanskap för E.N. har lånats in och granskats. Av akten framgår bl.a. följande.</w:t>
      </w:r>
    </w:p>
    <w:p w:rsidR="009C1C5A" w:rsidRPr="00896D4F" w:rsidRDefault="009C1C5A">
      <w:pPr>
        <w:pStyle w:val="Normaltindrag"/>
      </w:pPr>
      <w:r w:rsidRPr="00896D4F">
        <w:t>Den 4 november 1999 inkom E.N:s gode man L.G.E. med en begä</w:t>
      </w:r>
      <w:r w:rsidRPr="00896D4F">
        <w:softHyphen/>
        <w:t>ran om att bli entledigad från uppdraget och anförde samtidigt att han ansåg att E.N. behövde en förvaltare.</w:t>
      </w:r>
    </w:p>
    <w:p w:rsidR="009C1C5A" w:rsidRPr="00896D4F" w:rsidRDefault="009C1C5A">
      <w:pPr>
        <w:pStyle w:val="Normaltindrag"/>
      </w:pPr>
      <w:r w:rsidRPr="00896D4F">
        <w:t>Av ett antal icke diarieförda minneslappar från telefonsamtal som återfinns i akten  framgår vidare följande.</w:t>
      </w:r>
    </w:p>
    <w:p w:rsidR="009C1C5A" w:rsidRPr="00896D4F" w:rsidRDefault="009C1C5A">
      <w:pPr>
        <w:pStyle w:val="Normaltindrag"/>
      </w:pPr>
      <w:r w:rsidRPr="00896D4F">
        <w:t>Den 11 oktober 1999  ringde E.N. till överförmyndaren och uppgav – en</w:t>
      </w:r>
      <w:r w:rsidRPr="00896D4F">
        <w:softHyphen/>
        <w:t>ligt vad som har antecknats – att han inte var nöjd med sin gode man och ville byta men inte hade något förslag på till vem. På samma lapp har överförmy</w:t>
      </w:r>
      <w:r w:rsidRPr="00896D4F">
        <w:t>n</w:t>
      </w:r>
      <w:r w:rsidRPr="00896D4F">
        <w:t>daren den 13 oktober antecknat ”Helge meddelad. Ej åt</w:t>
      </w:r>
      <w:r w:rsidRPr="00896D4F">
        <w:softHyphen/>
        <w:t>gärd”.</w:t>
      </w:r>
    </w:p>
    <w:p w:rsidR="009C1C5A" w:rsidRPr="00896D4F" w:rsidRDefault="009C1C5A">
      <w:pPr>
        <w:pStyle w:val="Normaltindrag"/>
      </w:pPr>
      <w:r w:rsidRPr="00896D4F">
        <w:t>Av en icke daterad minnesanteckning – på vilken en gul post-it-lapp dat</w:t>
      </w:r>
      <w:r w:rsidRPr="00896D4F">
        <w:t>e</w:t>
      </w:r>
      <w:r w:rsidRPr="00896D4F">
        <w:t>rad den 3 maj 2000 sitter fästad – framgår att överförmyndaren har undersökt om en viss manlig person kunde ställa upp som god man för E.N.</w:t>
      </w:r>
    </w:p>
    <w:p w:rsidR="009C1C5A" w:rsidRPr="00896D4F" w:rsidRDefault="009C1C5A">
      <w:pPr>
        <w:pStyle w:val="Normaltindrag"/>
      </w:pPr>
      <w:r w:rsidRPr="00896D4F">
        <w:t>Av en minnesanteckning daterad den 29 maj 2000 framgår att E.N. hade ringt och sagt att han ville ha en ung, kvinnlig god man och att han ”om det inte händer något ... måste vända sig till riksdagen”.</w:t>
      </w:r>
    </w:p>
    <w:p w:rsidR="009C1C5A" w:rsidRPr="00896D4F" w:rsidRDefault="009C1C5A">
      <w:pPr>
        <w:pStyle w:val="Normaltindrag"/>
      </w:pPr>
      <w:r w:rsidRPr="00896D4F">
        <w:t>Den 15 november 2000 har antecknats – uppenbarligen efter ett telefo</w:t>
      </w:r>
      <w:r w:rsidRPr="00896D4F">
        <w:t>n</w:t>
      </w:r>
      <w:r w:rsidRPr="00896D4F">
        <w:t>samtal med E.N. – följande: E.N./ God man L.G. / E.N. vill byta / Hur går det?</w:t>
      </w:r>
    </w:p>
    <w:p w:rsidR="009C1C5A" w:rsidRPr="00896D4F" w:rsidRDefault="009C1C5A">
      <w:pPr>
        <w:pStyle w:val="Normaltindrag"/>
      </w:pPr>
      <w:r w:rsidRPr="00896D4F">
        <w:t>Av anteckningar på nyss nämnda lapp framgår att överförmyn</w:t>
      </w:r>
      <w:r w:rsidRPr="00896D4F">
        <w:softHyphen/>
        <w:t>daren den 9 januari 2001 varit i kontakt med två personer som eventuellt skulle kunna bli ny god man för E.N, varav den första tackade nej och den andra var intre</w:t>
      </w:r>
      <w:r w:rsidRPr="00896D4F">
        <w:t>s</w:t>
      </w:r>
      <w:r w:rsidRPr="00896D4F">
        <w:t>s</w:t>
      </w:r>
      <w:r w:rsidRPr="00896D4F">
        <w:t>e</w:t>
      </w:r>
      <w:r w:rsidRPr="00896D4F">
        <w:t>rad men ville vänta till dess hon gjort årsräkningarna.</w:t>
      </w:r>
    </w:p>
    <w:p w:rsidR="009C1C5A" w:rsidRPr="00896D4F" w:rsidRDefault="009C1C5A">
      <w:pPr>
        <w:pStyle w:val="Normaltindrag"/>
      </w:pPr>
      <w:r w:rsidRPr="00896D4F">
        <w:t>Med anledning av vad som framkommit genom akten har överförmynd</w:t>
      </w:r>
      <w:r w:rsidRPr="00896D4F">
        <w:t>a</w:t>
      </w:r>
      <w:r w:rsidRPr="00896D4F">
        <w:t>ren an</w:t>
      </w:r>
      <w:r w:rsidRPr="00896D4F">
        <w:softHyphen/>
        <w:t>modats att yttra sig över handläggningen och då särskilt i fråga om vilka åtgärder som vidtagits sedan det under senhösten 1999 kommit till över</w:t>
      </w:r>
      <w:r w:rsidRPr="00896D4F">
        <w:softHyphen/>
        <w:t>förmyndarens kän</w:t>
      </w:r>
      <w:r w:rsidRPr="00896D4F">
        <w:softHyphen/>
        <w:t>nedom att såväl E.N. som hans gode man ville att en an</w:t>
      </w:r>
      <w:r w:rsidRPr="00896D4F">
        <w:softHyphen/>
        <w:t xml:space="preserve">nan god man skulle utses. </w:t>
      </w:r>
    </w:p>
    <w:p w:rsidR="009C1C5A" w:rsidRPr="00896D4F" w:rsidRDefault="009C1C5A">
      <w:pPr>
        <w:pStyle w:val="Normaltindrag"/>
      </w:pPr>
      <w:r w:rsidRPr="00896D4F">
        <w:t>Överförmyndaren i Östersunds kommun Jim Nilsson har i ett remissvar dat</w:t>
      </w:r>
      <w:r w:rsidRPr="00896D4F">
        <w:t>e</w:t>
      </w:r>
      <w:r w:rsidRPr="00896D4F">
        <w:t>rat den 28 september 2001 anfört följande.</w:t>
      </w:r>
    </w:p>
    <w:p w:rsidR="009C1C5A" w:rsidRPr="00896D4F" w:rsidRDefault="009C1C5A">
      <w:pPr>
        <w:pStyle w:val="Citat"/>
      </w:pPr>
      <w:r w:rsidRPr="00896D4F">
        <w:t>Efter gode mannens, L.G.E., begäran om entledigande i no</w:t>
      </w:r>
      <w:r w:rsidRPr="00896D4F">
        <w:softHyphen/>
        <w:t>vember 1999 har vi regelbundet haft kontakt med honom i frågan och in</w:t>
      </w:r>
      <w:r w:rsidRPr="00896D4F">
        <w:softHyphen/>
        <w:t>formerat honom om läget; han har sex andra uppdrag hos överförmyndaren, varav tre som god man och tre som förvaltare, varför vi ganska ofta har kontakt med honom. Situationen är nämligen den att vi hittills inte lyckats att få någon yngre kvinna intress</w:t>
      </w:r>
      <w:r w:rsidRPr="00896D4F">
        <w:t>e</w:t>
      </w:r>
      <w:r w:rsidRPr="00896D4F">
        <w:t>rad av att åta sig uppdraget som god man för E.N.</w:t>
      </w:r>
    </w:p>
    <w:p w:rsidR="009C1C5A" w:rsidRPr="00896D4F" w:rsidRDefault="009C1C5A">
      <w:pPr>
        <w:pStyle w:val="Citatindrag"/>
      </w:pPr>
      <w:r w:rsidRPr="00896D4F">
        <w:t>L.G.E. har vid varje tillfälle vi haft kontakt förklarat sig villig att stå kvar som god man till överförmyndaren lyckats hitta en ersätt</w:t>
      </w:r>
      <w:r w:rsidRPr="00896D4F">
        <w:t>are. Dock har han nu förklarat att han inte vill vara kvar längre än till 011231. Tyvärr framgår inte vare sig kontakterna med den gode mannen eller över</w:t>
      </w:r>
      <w:r w:rsidRPr="00896D4F">
        <w:softHyphen/>
        <w:t>förmyndarens flertaliga försök att hitta en ersättare till honom av akten. Detta är naturligtvis inte bra, utan anteckningar skulle ha förts om sam</w:t>
      </w:r>
      <w:r w:rsidRPr="00896D4F">
        <w:t>t</w:t>
      </w:r>
      <w:r w:rsidRPr="00896D4F">
        <w:t>liga åtgärder i akten.</w:t>
      </w:r>
    </w:p>
    <w:p w:rsidR="009C1C5A" w:rsidRPr="00896D4F" w:rsidRDefault="009C1C5A">
      <w:pPr>
        <w:pStyle w:val="Citatindrag"/>
      </w:pPr>
      <w:r w:rsidRPr="00896D4F">
        <w:t>Av akten framgår inte heller i full utsträckning alla de kontakter E.N. haft med överförmyndaren, personalen på överförmyndarexpeditionen och ko</w:t>
      </w:r>
      <w:r w:rsidRPr="00896D4F">
        <w:t>m</w:t>
      </w:r>
      <w:r w:rsidRPr="00896D4F">
        <w:t>munjuristerna angående sitt missnöje med samtliga gode män som hit</w:t>
      </w:r>
      <w:r w:rsidRPr="00896D4F">
        <w:softHyphen/>
        <w:t>tills varit förordnade i ärendet. Vår erfarenhet är att det är svårt för E.N. att a</w:t>
      </w:r>
      <w:r w:rsidRPr="00896D4F">
        <w:t>c</w:t>
      </w:r>
      <w:r w:rsidRPr="00896D4F">
        <w:t>ceptera sin gode man och att detta inte har så mycket att göra med vilken person som är god man.</w:t>
      </w:r>
    </w:p>
    <w:p w:rsidR="009C1C5A" w:rsidRPr="00896D4F" w:rsidRDefault="009C1C5A">
      <w:pPr>
        <w:pStyle w:val="Citatindrag"/>
      </w:pPr>
      <w:r w:rsidRPr="00896D4F">
        <w:t>Vi har under innevarande år vid flera tillfällen haft kontakt med en kvin</w:t>
      </w:r>
      <w:r w:rsidRPr="00896D4F">
        <w:t>n</w:t>
      </w:r>
      <w:r w:rsidRPr="00896D4F">
        <w:t>lig god man och förvaltare i 40-årsåldern med för närvarande sex uppdrag hos överförmyndaren. Hon kan eventuellt tänka sig att ta på sig uppdraget som god man för E.N. från december 2001.</w:t>
      </w:r>
    </w:p>
    <w:p w:rsidR="009C1C5A" w:rsidRPr="00896D4F" w:rsidRDefault="009C1C5A">
      <w:pPr>
        <w:pStyle w:val="Citatindrag"/>
      </w:pPr>
      <w:r w:rsidRPr="00896D4F">
        <w:t>Avslutningsvis kan sägas att ansträngningar verkligen görs av oss för att lösa den uppkomna situationen. Tyvärr har inte dessa ansträngningar doku</w:t>
      </w:r>
      <w:r w:rsidRPr="00896D4F">
        <w:softHyphen/>
        <w:t>menterats i full utsträckning i akten.</w:t>
      </w:r>
    </w:p>
    <w:p w:rsidR="009C1C5A" w:rsidRPr="00896D4F" w:rsidRDefault="009C1C5A">
      <w:r w:rsidRPr="00896D4F">
        <w:t>E.N. har beretts tillfälle att yttra sig över remissvaret.</w:t>
      </w:r>
    </w:p>
    <w:p w:rsidR="009C1C5A" w:rsidRPr="00896D4F" w:rsidRDefault="009C1C5A">
      <w:pPr>
        <w:pStyle w:val="Rubrik3"/>
      </w:pPr>
      <w:r w:rsidRPr="00896D4F">
        <w:t>Bedömning</w:t>
      </w:r>
    </w:p>
    <w:p w:rsidR="009C1C5A" w:rsidRPr="00896D4F" w:rsidRDefault="009C1C5A">
      <w:r w:rsidRPr="00896D4F">
        <w:t>Ett godmanskap bygger på att huvudmannen och den gode mannen kan sa</w:t>
      </w:r>
      <w:r w:rsidRPr="00896D4F">
        <w:t>m</w:t>
      </w:r>
      <w:r w:rsidRPr="00896D4F">
        <w:t>arbeta och att huvudmannen har förtroende för sin gode man. En god man har enligt 11 kap. 19 § föräldrabalken rätt att på begäran bli entledigad. Till dess att en ny god man har utsetts är den gode mannen – om godmanskapet skall bestå – dock enligt samma bestämmelse skyldig att kvarstå. Enligt 21 § skall huvudmannen beredas tillfälle att yttra sig över en god mans begäran om entledigande, om det kan ske.</w:t>
      </w:r>
    </w:p>
    <w:p w:rsidR="009C1C5A" w:rsidRPr="00896D4F" w:rsidRDefault="009C1C5A">
      <w:pPr>
        <w:pStyle w:val="Normaltindrag"/>
      </w:pPr>
      <w:r w:rsidRPr="00896D4F">
        <w:t>Rent generellt vill jag anföra följande. Jag ifrågasätter inte det faktum att det i vissa fall kan vara</w:t>
      </w:r>
      <w:r w:rsidRPr="00896D4F">
        <w:t xml:space="preserve"> svårt för överförmyndaren att få tag i en god man som är villig att åta sig uppdraget och som också kan förmodas passa för detsa</w:t>
      </w:r>
      <w:r w:rsidRPr="00896D4F">
        <w:t>m</w:t>
      </w:r>
      <w:r w:rsidRPr="00896D4F">
        <w:t>ma. Särskilt i sådana fall där huvudmannen tidigare har uttryckt missnöje med en eller flera förutvarande gode män och framställer särskilda krav på den gode mannens egen</w:t>
      </w:r>
      <w:r w:rsidRPr="00896D4F">
        <w:softHyphen/>
        <w:t>skaper kan arbetet med att hitta en ny god man bli tid</w:t>
      </w:r>
      <w:r w:rsidRPr="00896D4F">
        <w:t>s</w:t>
      </w:r>
      <w:r w:rsidRPr="00896D4F">
        <w:t>ödande. Någon tidsgräns inom vilken en ny god man bör vara utsedd kan självfallet inte anges generellt. En omstän</w:t>
      </w:r>
      <w:r w:rsidRPr="00896D4F">
        <w:softHyphen/>
        <w:t>dighet som dock påverkar vilka ansträngnin</w:t>
      </w:r>
      <w:r w:rsidRPr="00896D4F">
        <w:t>gar som måste göras för att få till stånd ett byte är naturligtvis om det finns indikationer på att godmanskapet inte alls fungerar och den gode mannen inte kan utföra sitt uppdrag på ett tillfreds</w:t>
      </w:r>
      <w:r w:rsidRPr="00896D4F">
        <w:softHyphen/>
        <w:t>stäl</w:t>
      </w:r>
      <w:r w:rsidRPr="00896D4F">
        <w:softHyphen/>
        <w:t>lande sätt. I sådana fall kan den situationen uppstå att överförmyndaren i stället bör utreda om go</w:t>
      </w:r>
      <w:r w:rsidRPr="00896D4F">
        <w:t>d</w:t>
      </w:r>
      <w:r w:rsidRPr="00896D4F">
        <w:t>manskapet över huvud taget skall bestå. Kanske kan huvudman</w:t>
      </w:r>
      <w:r w:rsidRPr="00896D4F">
        <w:softHyphen/>
        <w:t xml:space="preserve">nen få hjälp på ett annat men mindre ingripande sätt, kanske bör godmanskapets omfattning omprövas eller kanske bör det utredas om ett förvaltarskap </w:t>
      </w:r>
      <w:r w:rsidRPr="00896D4F">
        <w:t>i stället bör anor</w:t>
      </w:r>
      <w:r w:rsidRPr="00896D4F">
        <w:t>d</w:t>
      </w:r>
      <w:r w:rsidRPr="00896D4F">
        <w:t>nas.</w:t>
      </w:r>
    </w:p>
    <w:p w:rsidR="009C1C5A" w:rsidRPr="00896D4F" w:rsidRDefault="009C1C5A">
      <w:pPr>
        <w:pStyle w:val="Normaltindrag"/>
      </w:pPr>
      <w:r w:rsidRPr="00896D4F">
        <w:t>I det här aktuella fallet har genom utredningen framgått att överförmynd</w:t>
      </w:r>
      <w:r w:rsidRPr="00896D4F">
        <w:t>a</w:t>
      </w:r>
      <w:r w:rsidRPr="00896D4F">
        <w:t>ren re</w:t>
      </w:r>
      <w:r w:rsidRPr="00896D4F">
        <w:softHyphen/>
        <w:t>dan i oktober 1999 visste att E.N. ville byta god man. Vidare har fra</w:t>
      </w:r>
      <w:r w:rsidRPr="00896D4F">
        <w:t>m</w:t>
      </w:r>
      <w:r w:rsidRPr="00896D4F">
        <w:t>gått att överförmyndaren kort därefter erhållit den gode mannens begäran om entledi</w:t>
      </w:r>
      <w:r w:rsidRPr="00896D4F">
        <w:softHyphen/>
        <w:t>gande och informerats om att denne ansåg att godmanskapet inte fu</w:t>
      </w:r>
      <w:r w:rsidRPr="00896D4F">
        <w:t>n</w:t>
      </w:r>
      <w:r w:rsidRPr="00896D4F">
        <w:t>gerade. Trots detta hade vid tiden för överförmyndarens yttrande till JO nä</w:t>
      </w:r>
      <w:r w:rsidRPr="00896D4F">
        <w:t>r</w:t>
      </w:r>
      <w:r w:rsidRPr="00896D4F">
        <w:t>mare två år senare ingen förändring i godmanskapet skett. Jag ifrågasätter i och för sig inte överför</w:t>
      </w:r>
      <w:r w:rsidRPr="00896D4F">
        <w:softHyphen/>
        <w:t>myndarens uppgift att ansträngningar har gjorts från överförmyndarens sida för att hitta en passande god m</w:t>
      </w:r>
      <w:r w:rsidRPr="00896D4F">
        <w:t>an. Mot bakgrund av den gode mannens upp</w:t>
      </w:r>
      <w:r w:rsidRPr="00896D4F">
        <w:softHyphen/>
        <w:t>gift om att godmanskapet inte fungerade och att E.N. vid ett antal tillfällen uttryckligen för</w:t>
      </w:r>
      <w:r w:rsidRPr="00896D4F">
        <w:softHyphen/>
        <w:t>klarat sig inte vara nöjd med sin gode man anser jag dock att överförmyndarens hand</w:t>
      </w:r>
      <w:r w:rsidRPr="00896D4F">
        <w:softHyphen/>
        <w:t>lägg</w:t>
      </w:r>
      <w:r w:rsidRPr="00896D4F">
        <w:softHyphen/>
        <w:t>ningstid avseende frågan om byte av god man har varit alltför lång. Jag utgår från att åtgärder nu har vidtagits för att lösa problemet.</w:t>
      </w:r>
    </w:p>
    <w:p w:rsidR="009C1C5A" w:rsidRPr="00896D4F" w:rsidRDefault="009C1C5A">
      <w:pPr>
        <w:pStyle w:val="Normaltindrag"/>
      </w:pPr>
      <w:r w:rsidRPr="00896D4F">
        <w:t>I övrigt instämmer jag i vad överförmyndaren har anfört om att sådana samtal som överförmyndaren haft med olika personer vid vilka uppgifter av betyde</w:t>
      </w:r>
      <w:r w:rsidRPr="00896D4F">
        <w:t>lse för godmansärendet tillförts detsamma, liksom samt i övrigt samtl</w:t>
      </w:r>
      <w:r w:rsidRPr="00896D4F">
        <w:t>i</w:t>
      </w:r>
      <w:r w:rsidRPr="00896D4F">
        <w:t>ga handläggnings</w:t>
      </w:r>
      <w:r w:rsidRPr="00896D4F">
        <w:softHyphen/>
        <w:t>åtgärder, borde ha nedtecknats i form av tjänste</w:t>
      </w:r>
      <w:r w:rsidRPr="00896D4F">
        <w:softHyphen/>
        <w:t>anteckningar som diarieförts.</w:t>
      </w:r>
    </w:p>
    <w:p w:rsidR="009C1C5A" w:rsidRPr="00896D4F" w:rsidRDefault="009C1C5A">
      <w:pPr>
        <w:pStyle w:val="Rubrik2"/>
      </w:pPr>
      <w:r w:rsidRPr="00896D4F">
        <w:t xml:space="preserve">Initiativärende angående en överförmyndarnämnds dröjsmål med att överlämna överklaganden till tingsrätten  </w:t>
      </w:r>
    </w:p>
    <w:p w:rsidR="009C1C5A" w:rsidRPr="00896D4F" w:rsidRDefault="009C1C5A">
      <w:pPr>
        <w:spacing w:before="0"/>
      </w:pPr>
      <w:r w:rsidRPr="00896D4F">
        <w:t>(Dnr 3473-2001)</w:t>
      </w:r>
    </w:p>
    <w:p w:rsidR="009C1C5A" w:rsidRPr="00896D4F" w:rsidRDefault="009C1C5A">
      <w:r w:rsidRPr="00896D4F">
        <w:t xml:space="preserve">I beslut den 14 januari 2002 anförde </w:t>
      </w:r>
      <w:r w:rsidRPr="00896D4F">
        <w:rPr>
          <w:i/>
        </w:rPr>
        <w:t>JO Pennlöv</w:t>
      </w:r>
      <w:r w:rsidRPr="00896D4F">
        <w:t xml:space="preserve"> följande.</w:t>
      </w:r>
    </w:p>
    <w:p w:rsidR="009C1C5A" w:rsidRPr="00896D4F" w:rsidRDefault="009C1C5A">
      <w:pPr>
        <w:pStyle w:val="Rubrik3"/>
      </w:pPr>
      <w:r w:rsidRPr="00896D4F">
        <w:t>Initiativet</w:t>
      </w:r>
    </w:p>
    <w:p w:rsidR="009C1C5A" w:rsidRPr="00896D4F" w:rsidRDefault="009C1C5A">
      <w:r w:rsidRPr="00896D4F">
        <w:t>I JO:s ärende nr 100-2001 framkom följande. Anmälaren, en god man, hade den 26 januari 2001 inkommit till Överförmyndarnämnden i Göteborgs kommun med ett överklagande av ett arvodesbeslut. Överklagandet överlä</w:t>
      </w:r>
      <w:r w:rsidRPr="00896D4F">
        <w:t>m</w:t>
      </w:r>
      <w:r w:rsidRPr="00896D4F">
        <w:t>nades dock inte till tingsrätten förrän den 19 juni 2001. Förvaltningsjuristen vid Göteborgs överför</w:t>
      </w:r>
      <w:r w:rsidRPr="00896D4F">
        <w:softHyphen/>
        <w:t>myndarförvaltning uppgav vid ett telefonsamtal med en handläggare vid JO-äm</w:t>
      </w:r>
      <w:r w:rsidRPr="00896D4F">
        <w:softHyphen/>
        <w:t xml:space="preserve">betet att arbetssituationen var sådan under våren 2001, att överklaganden blev liggande hos överförmyndarnämnden i stället för att överlämnas till tingsrätten. </w:t>
      </w:r>
    </w:p>
    <w:p w:rsidR="009C1C5A" w:rsidRPr="00896D4F" w:rsidRDefault="009C1C5A">
      <w:r w:rsidRPr="00896D4F">
        <w:t>Med anledning av vad som framkommit beslutade jag att inleda en utredning i saken.</w:t>
      </w:r>
    </w:p>
    <w:p w:rsidR="009C1C5A" w:rsidRPr="00896D4F" w:rsidRDefault="009C1C5A">
      <w:pPr>
        <w:pStyle w:val="Rubrik3"/>
      </w:pPr>
      <w:r w:rsidRPr="00896D4F">
        <w:t>Utredningen</w:t>
      </w:r>
    </w:p>
    <w:p w:rsidR="009C1C5A" w:rsidRPr="00896D4F" w:rsidRDefault="009C1C5A">
      <w:r w:rsidRPr="00896D4F">
        <w:t>Ärendet remitterades till Överförmyndarnämnden i Göteborgs kommun. Fö</w:t>
      </w:r>
      <w:r w:rsidRPr="00896D4F">
        <w:t>r</w:t>
      </w:r>
      <w:r w:rsidRPr="00896D4F">
        <w:t>valt</w:t>
      </w:r>
      <w:r w:rsidRPr="00896D4F">
        <w:softHyphen/>
        <w:t>ningschefen Laila Bech Andersson anförde i remissvar följande.</w:t>
      </w:r>
    </w:p>
    <w:p w:rsidR="009C1C5A" w:rsidRPr="00896D4F" w:rsidRDefault="009C1C5A">
      <w:pPr>
        <w:pStyle w:val="Citat"/>
      </w:pPr>
      <w:r w:rsidRPr="00896D4F">
        <w:t>Överförmyndarförvaltningen genomförde, i enlighet med beslut av Göteborgs överförmyndarnämnd, under år 2000 en omorganisation syftande till att ge för</w:t>
      </w:r>
      <w:r w:rsidRPr="00896D4F">
        <w:softHyphen/>
        <w:t>valtningen ett mer ändamålsenligt och effektivt arbetssätt. Enligt förval</w:t>
      </w:r>
      <w:r w:rsidRPr="00896D4F">
        <w:t>t</w:t>
      </w:r>
      <w:r w:rsidRPr="00896D4F">
        <w:t>ningens mening har syftet uppnåtts i stora delar oaktat arbetet härvidlag är en ständigt på</w:t>
      </w:r>
      <w:r w:rsidRPr="00896D4F">
        <w:softHyphen/>
        <w:t>gående process. Organisationsförändringen har enligt förvaltnin</w:t>
      </w:r>
      <w:r w:rsidRPr="00896D4F">
        <w:t>g</w:t>
      </w:r>
      <w:r w:rsidRPr="00896D4F">
        <w:t>ens mening även inneburit att personalen är mer specialiserad på vissa up</w:t>
      </w:r>
      <w:r w:rsidRPr="00896D4F">
        <w:t>p</w:t>
      </w:r>
      <w:r w:rsidRPr="00896D4F">
        <w:t>gifter än tidigare.</w:t>
      </w:r>
    </w:p>
    <w:p w:rsidR="009C1C5A" w:rsidRPr="00896D4F" w:rsidRDefault="009C1C5A">
      <w:pPr>
        <w:pStyle w:val="Citatindrag"/>
      </w:pPr>
      <w:r w:rsidRPr="00896D4F">
        <w:t>Överförmyndarnämnden och dess förvaltning har inför omorganisationen haft som mål att Göteborgs gode män och förvaltare m.m. under genomföra</w:t>
      </w:r>
      <w:r w:rsidRPr="00896D4F">
        <w:t>n</w:t>
      </w:r>
      <w:r w:rsidRPr="00896D4F">
        <w:t>det inte skall drabbas negativt och menar att de flesta av dessa i huvudsak inte påverkats i negativ mening. I och med att stor tyngd lagts vid att genomföra en stringent och konsekvent granskning av de årsredovisningar som gode män m.m. är skyldiga att inge årsvis samt den därmed följande arvoderingen, blev en konkret följd av om</w:t>
      </w:r>
      <w:r w:rsidRPr="00896D4F">
        <w:softHyphen/>
        <w:t>organisationen emellertid att ett större antal ställför</w:t>
      </w:r>
      <w:r w:rsidRPr="00896D4F">
        <w:t>e</w:t>
      </w:r>
      <w:r w:rsidRPr="00896D4F">
        <w:t>trädare fick förändrade arvo</w:t>
      </w:r>
      <w:r w:rsidRPr="00896D4F">
        <w:softHyphen/>
        <w:t>den under år 2000 jämfört med tidigare år. Av detta följde även att antalet över</w:t>
      </w:r>
      <w:r w:rsidRPr="00896D4F">
        <w:softHyphen/>
        <w:t>klaganden av</w:t>
      </w:r>
      <w:r w:rsidRPr="00896D4F">
        <w:t xml:space="preserve"> arvoden ökade stort under 2000. Enligt det databaserade diariet, vil</w:t>
      </w:r>
      <w:r w:rsidRPr="00896D4F">
        <w:softHyphen/>
        <w:t>ket för övrigt togs i bruk i maj 2000, inkom under maj till december år 2000, ca 170 överklaganden av arvode från gode män, förvaltare och förordnade förmyn</w:t>
      </w:r>
      <w:r w:rsidRPr="00896D4F">
        <w:softHyphen/>
        <w:t>dare. Förvaltningen saknade härvid beredskap att handlägga dessa ärenden på ett snabbt och samtidigt rättssäkert sätt varför en balans av överklaganden dessvärre byggdes upp under år 2000 och särskilt under slutet av samma år. Aktuella balans följde även med in under år 2001. Under vå</w:t>
      </w:r>
      <w:r w:rsidRPr="00896D4F">
        <w:t>ren och sommaren 2001 fick Över</w:t>
      </w:r>
      <w:r w:rsidRPr="00896D4F">
        <w:softHyphen/>
        <w:t>förmyndar-förvaltningen dock tillsatt nödvändiga resurser varför balansen kunde han</w:t>
      </w:r>
      <w:r w:rsidRPr="00896D4F">
        <w:t>d</w:t>
      </w:r>
      <w:r w:rsidRPr="00896D4F">
        <w:t>läggas i sin helhet. Fr.o.m. juli 2001 föreligger därför inte längre någon ba</w:t>
      </w:r>
      <w:r w:rsidRPr="00896D4F">
        <w:softHyphen/>
        <w:t>lans hos förvaltningen beträffande överklaganden av arvoden.</w:t>
      </w:r>
    </w:p>
    <w:p w:rsidR="009C1C5A" w:rsidRPr="00896D4F" w:rsidRDefault="009C1C5A">
      <w:pPr>
        <w:pStyle w:val="Citatindrag"/>
        <w:rPr>
          <w:b/>
        </w:rPr>
      </w:pPr>
      <w:r w:rsidRPr="00896D4F">
        <w:t>Upplysningsvis och för jämförelse får Överförmyndarförvaltningen vidare anföra att det under 2001 och fram till dags dato, enligt förvaltningens diar</w:t>
      </w:r>
      <w:r w:rsidRPr="00896D4F">
        <w:t>i</w:t>
      </w:r>
      <w:r w:rsidRPr="00896D4F">
        <w:t>um inkommit ca 90 överklaganden av arvode till förvaltningen varvid fö</w:t>
      </w:r>
      <w:r w:rsidRPr="00896D4F">
        <w:t>r</w:t>
      </w:r>
      <w:r w:rsidRPr="00896D4F">
        <w:t>klaring härtill för när</w:t>
      </w:r>
      <w:r w:rsidRPr="00896D4F">
        <w:softHyphen/>
        <w:t>varande får lämnas därhän. Överförmyndarförvaltningen har således inte längre den inströmning av överklaganden av arvode som inkom under 2000 och har här</w:t>
      </w:r>
      <w:r w:rsidRPr="00896D4F">
        <w:softHyphen/>
        <w:t>till inarbetat fasta rutiner för handläggningen av överklaganden som bättre passar förval</w:t>
      </w:r>
      <w:r w:rsidRPr="00896D4F">
        <w:t>t</w:t>
      </w:r>
      <w:r w:rsidRPr="00896D4F">
        <w:t xml:space="preserve">ningens nuvarande organisation. </w:t>
      </w:r>
    </w:p>
    <w:p w:rsidR="009C1C5A" w:rsidRPr="00896D4F" w:rsidRDefault="009C1C5A">
      <w:pPr>
        <w:pStyle w:val="Rubrik3"/>
      </w:pPr>
      <w:r w:rsidRPr="00896D4F">
        <w:t>Bedömning</w:t>
      </w:r>
    </w:p>
    <w:p w:rsidR="009C1C5A" w:rsidRPr="00896D4F" w:rsidRDefault="009C1C5A">
      <w:r w:rsidRPr="00896D4F">
        <w:t>Av överförmyndarnämndens remissvar framgår att det under perioden maj t.o.m. december år 2000 inkom 170 överklaganden av arvodesbeslut och att i vart fall en del av dessa inte skickades över till tingsrätten. Hur många öve</w:t>
      </w:r>
      <w:r w:rsidRPr="00896D4F">
        <w:t>r</w:t>
      </w:r>
      <w:r w:rsidRPr="00896D4F">
        <w:t>klaganden som blev liggande, och hur länge, har överförmyndarnämnden inte redogjort för på an</w:t>
      </w:r>
      <w:r w:rsidRPr="00896D4F">
        <w:softHyphen/>
        <w:t>nat sätt än genom användandet av ordet ”balans” i sa</w:t>
      </w:r>
      <w:r w:rsidRPr="00896D4F">
        <w:t>m</w:t>
      </w:r>
      <w:r w:rsidRPr="00896D4F">
        <w:t>manhanget. Klart är att i vart fall ett överklagande inte överlämnades till tingsrätten förrän efter närmare fem månader.</w:t>
      </w:r>
    </w:p>
    <w:p w:rsidR="009C1C5A" w:rsidRPr="00896D4F" w:rsidRDefault="009C1C5A">
      <w:pPr>
        <w:pStyle w:val="Normaltindrag"/>
      </w:pPr>
      <w:r w:rsidRPr="00896D4F">
        <w:t>Av 24 § förvaltningslagen (1986:223) följer att det ankommer på överfö</w:t>
      </w:r>
      <w:r w:rsidRPr="00896D4F">
        <w:t>r</w:t>
      </w:r>
      <w:r w:rsidRPr="00896D4F">
        <w:t>mynda</w:t>
      </w:r>
      <w:r w:rsidRPr="00896D4F">
        <w:softHyphen/>
        <w:t>ren att pröva om ett överklagande av myndighetens beslut har kommit in i rätt tid. Om överklagandet inte skall avvisas på grund av att det kommit in för sent, skall över</w:t>
      </w:r>
      <w:r w:rsidRPr="00896D4F">
        <w:softHyphen/>
        <w:t>förmyndaren enligt 25 § förvaltningslagen överlämna överklagandet och öv</w:t>
      </w:r>
      <w:r w:rsidRPr="00896D4F">
        <w:softHyphen/>
        <w:t xml:space="preserve">riga handlingar i ärendet till tingsrätten. </w:t>
      </w:r>
    </w:p>
    <w:p w:rsidR="009C1C5A" w:rsidRPr="00896D4F" w:rsidRDefault="009C1C5A">
      <w:pPr>
        <w:pStyle w:val="Normaltindrag"/>
      </w:pPr>
      <w:r w:rsidRPr="00896D4F">
        <w:t>Frågan hur snabbt ett överklagande skall översändas till tingsrätten är inte reglerat i lag. Det ligger emellertid i sakens natur att det skall ske utan dröj</w:t>
      </w:r>
      <w:r w:rsidRPr="00896D4F">
        <w:t>s</w:t>
      </w:r>
      <w:r w:rsidRPr="00896D4F">
        <w:t>mål. Så följer även av det allmänna kravet på snabb handläggning i 7 § fö</w:t>
      </w:r>
      <w:r w:rsidRPr="00896D4F">
        <w:t>r</w:t>
      </w:r>
      <w:r w:rsidRPr="00896D4F">
        <w:t>valtningsla</w:t>
      </w:r>
      <w:r w:rsidRPr="00896D4F">
        <w:softHyphen/>
        <w:t>gen. Vik</w:t>
      </w:r>
      <w:r w:rsidRPr="00896D4F">
        <w:softHyphen/>
        <w:t>ten av skyndsamhet liksom att egna eventuella yttranden inte får väsentligt försena hanteringen har framhållits i ett antal JO-beslut. Som regel bör – även med beak</w:t>
      </w:r>
      <w:r w:rsidRPr="00896D4F">
        <w:softHyphen/>
        <w:t>tande av den skyldighet att ompröva beslutet som föreligger enligt 27 § förvalt</w:t>
      </w:r>
      <w:r w:rsidRPr="00896D4F">
        <w:softHyphen/>
        <w:t>ningslagen – överklagandet överlämnas till tings</w:t>
      </w:r>
      <w:r w:rsidRPr="00896D4F">
        <w:softHyphen/>
        <w:t>rätten inom en vecka. Inte heller får den omständigheten att överförmy</w:t>
      </w:r>
      <w:r w:rsidRPr="00896D4F">
        <w:t>n</w:t>
      </w:r>
      <w:r w:rsidRPr="00896D4F">
        <w:t>darnämnden – oaktat det inte föreligger någon sådan</w:t>
      </w:r>
      <w:r w:rsidRPr="00896D4F">
        <w:t xml:space="preserve"> skyldighet – finner det lämpligt att bifoga ett yttrande till tingsrätten medföra att den nu nämnda tiden utsträcks med mer än högst några dagar. </w:t>
      </w:r>
    </w:p>
    <w:p w:rsidR="009C1C5A" w:rsidRPr="00896D4F" w:rsidRDefault="009C1C5A">
      <w:pPr>
        <w:pStyle w:val="Normaltindrag"/>
      </w:pPr>
      <w:r w:rsidRPr="00896D4F">
        <w:t>Mot bakgrund av det nu anförda är det högst anmärkningsvärt att överfö</w:t>
      </w:r>
      <w:r w:rsidRPr="00896D4F">
        <w:t>r</w:t>
      </w:r>
      <w:r w:rsidRPr="00896D4F">
        <w:t>myndar</w:t>
      </w:r>
      <w:r w:rsidRPr="00896D4F">
        <w:softHyphen/>
        <w:t>nämnden dröjt nära fem månader med att överlämna ett överklagande till tings</w:t>
      </w:r>
      <w:r w:rsidRPr="00896D4F">
        <w:softHyphen/>
        <w:t>rätten och över huvud taget låtit balanser av överklaganden uppko</w:t>
      </w:r>
      <w:r w:rsidRPr="00896D4F">
        <w:t>m</w:t>
      </w:r>
      <w:r w:rsidRPr="00896D4F">
        <w:t>ma. Även om överförmyndarnämnden har förklarat att åtgärder har vidtagits för att situationen inte skall uppstå på nytt vittnar vad som anförts i remissv</w:t>
      </w:r>
      <w:r w:rsidRPr="00896D4F">
        <w:t>a</w:t>
      </w:r>
      <w:r w:rsidRPr="00896D4F">
        <w:t>ret sammantaget med den tid under vilken balanserna kvarstod om att my</w:t>
      </w:r>
      <w:r w:rsidRPr="00896D4F">
        <w:t>n</w:t>
      </w:r>
      <w:r w:rsidRPr="00896D4F">
        <w:t>digheten i vart fall tidigare inte förstått vikten av att överlämnandet av öve</w:t>
      </w:r>
      <w:r w:rsidRPr="00896D4F">
        <w:t>r</w:t>
      </w:r>
      <w:r w:rsidRPr="00896D4F">
        <w:t>klaganden sker utan dröjsmål. Jag utgår ifrån att den num</w:t>
      </w:r>
      <w:r w:rsidRPr="00896D4F">
        <w:t>era har gjort det.</w:t>
      </w:r>
    </w:p>
    <w:p w:rsidR="009C1C5A" w:rsidRPr="00896D4F" w:rsidRDefault="009C1C5A">
      <w:pPr>
        <w:rPr>
          <w:sz w:val="23"/>
        </w:rPr>
      </w:pPr>
      <w:r w:rsidRPr="00896D4F">
        <w:rPr>
          <w:sz w:val="23"/>
        </w:rPr>
        <w:t>Ett på JO:s initiativ upptaget ärende angående brister i han</w:t>
      </w:r>
      <w:r w:rsidRPr="00896D4F">
        <w:rPr>
          <w:sz w:val="23"/>
        </w:rPr>
        <w:t>d</w:t>
      </w:r>
      <w:r w:rsidRPr="00896D4F">
        <w:rPr>
          <w:sz w:val="23"/>
        </w:rPr>
        <w:t>lägg</w:t>
      </w:r>
      <w:r w:rsidRPr="00896D4F">
        <w:rPr>
          <w:sz w:val="23"/>
        </w:rPr>
        <w:softHyphen/>
        <w:t xml:space="preserve">ningen av ett ärende om godmanskap  </w:t>
      </w:r>
    </w:p>
    <w:p w:rsidR="009C1C5A" w:rsidRPr="00896D4F" w:rsidRDefault="009C1C5A">
      <w:pPr>
        <w:spacing w:line="240" w:lineRule="auto"/>
      </w:pPr>
      <w:r w:rsidRPr="00896D4F">
        <w:t>(Dnr 4477-2001)</w:t>
      </w:r>
    </w:p>
    <w:p w:rsidR="009C1C5A" w:rsidRPr="00896D4F" w:rsidRDefault="009C1C5A">
      <w:r w:rsidRPr="00896D4F">
        <w:t xml:space="preserve">I ett beslut den 5 april 2002 anförde </w:t>
      </w:r>
      <w:r w:rsidRPr="00896D4F">
        <w:rPr>
          <w:i/>
        </w:rPr>
        <w:t>JO Pennlöv</w:t>
      </w:r>
      <w:r w:rsidRPr="00896D4F">
        <w:t xml:space="preserve"> följande.</w:t>
      </w:r>
    </w:p>
    <w:p w:rsidR="009C1C5A" w:rsidRPr="00896D4F" w:rsidRDefault="009C1C5A">
      <w:pPr>
        <w:pStyle w:val="Rubrik3"/>
      </w:pPr>
      <w:r w:rsidRPr="00896D4F">
        <w:t>Initiativet</w:t>
      </w:r>
    </w:p>
    <w:p w:rsidR="009C1C5A" w:rsidRPr="00896D4F" w:rsidRDefault="009C1C5A">
      <w:r w:rsidRPr="00896D4F">
        <w:t>C.R. drabbades 1976 av en olyckshändelse. Med anledning av de svårigheter olyckan medförde anordnades 1983 på hans egen begäran godmanskap för ho</w:t>
      </w:r>
      <w:r w:rsidRPr="00896D4F">
        <w:softHyphen/>
        <w:t>nom. Överförmyndaren i Västerås har numera tillsyn över godmanskapet.</w:t>
      </w:r>
    </w:p>
    <w:p w:rsidR="009C1C5A" w:rsidRPr="00896D4F" w:rsidRDefault="009C1C5A">
      <w:pPr>
        <w:pStyle w:val="Normaltindrag"/>
      </w:pPr>
      <w:r w:rsidRPr="00896D4F">
        <w:t>Vid min inspektion av Överförmyndaren i Västerås den 20 november 2001 note</w:t>
      </w:r>
      <w:r w:rsidRPr="00896D4F">
        <w:softHyphen/>
        <w:t>rades följande vid granskningen av akten rörande godmanskap för C.R.</w:t>
      </w:r>
    </w:p>
    <w:p w:rsidR="009C1C5A" w:rsidRPr="00896D4F" w:rsidRDefault="009C1C5A">
      <w:pPr>
        <w:pStyle w:val="Normaltindrag"/>
      </w:pPr>
      <w:r w:rsidRPr="00896D4F">
        <w:t>Den 19 januari 2000 godkände överförmyndaren på begäran av den dåv</w:t>
      </w:r>
      <w:r w:rsidRPr="00896D4F">
        <w:t>a</w:t>
      </w:r>
      <w:r w:rsidRPr="00896D4F">
        <w:t>rande gode mannen, C.R:s mor, att C.R. skulle få köpa två bostadsrätter, va</w:t>
      </w:r>
      <w:r w:rsidRPr="00896D4F">
        <w:t>r</w:t>
      </w:r>
      <w:r w:rsidRPr="00896D4F">
        <w:t>av den ena skulle bebos av hans mor, som hade daglig tillsyn över honom, och den andra av honom själv. Det framgick emellertid inte av akten huruvida överförmyndaren inför sitt beslut hade inhämtat C.R:s inställning till köpet av bostadsrätterna eller varför hon inte gjort det.</w:t>
      </w:r>
    </w:p>
    <w:p w:rsidR="009C1C5A" w:rsidRPr="00896D4F" w:rsidRDefault="009C1C5A">
      <w:pPr>
        <w:pStyle w:val="Normaltindrag"/>
      </w:pPr>
      <w:r w:rsidRPr="00896D4F">
        <w:t>Det senaste bytet av god man för C.R. skedde den 8 mars 2000. Bytet skedde på grund av att modern önskade bli entledigad. Till ny god man fö</w:t>
      </w:r>
      <w:r w:rsidRPr="00896D4F">
        <w:t>r</w:t>
      </w:r>
      <w:r w:rsidRPr="00896D4F">
        <w:t>ordnandes C.R:s bror. Av akten framgick dock inte huruvida C.R. i enlighet med 11 kap. 21 § tredje stycket föräldrabalken hade beretts tillfälle att yttra sig över bytet eller var</w:t>
      </w:r>
      <w:r w:rsidRPr="00896D4F">
        <w:softHyphen/>
        <w:t>för han inte kunnat höras.</w:t>
      </w:r>
    </w:p>
    <w:p w:rsidR="009C1C5A" w:rsidRPr="00896D4F" w:rsidRDefault="009C1C5A">
      <w:pPr>
        <w:pStyle w:val="Normaltindrag"/>
      </w:pPr>
      <w:r w:rsidRPr="00896D4F">
        <w:t>I den avgående gode mannens sluträkning daterad den 7 mars 2000, liksom i års</w:t>
      </w:r>
      <w:r w:rsidRPr="00896D4F">
        <w:softHyphen/>
        <w:t>räkningen för 1999, hade den gode mannens underskrift – uppenbarligen efter avgivandet – kompletterats av överförmyndaren genom tillägg av orden ”på heder och samvete”. Räkningarna hade, enligt vad som antecknats, go</w:t>
      </w:r>
      <w:r w:rsidRPr="00896D4F">
        <w:t>d</w:t>
      </w:r>
      <w:r w:rsidRPr="00896D4F">
        <w:t>känts utan an</w:t>
      </w:r>
      <w:r w:rsidRPr="00896D4F">
        <w:softHyphen/>
        <w:t>märkning. Dock hade i rutan avsedd för anmärkning från öve</w:t>
      </w:r>
      <w:r w:rsidRPr="00896D4F">
        <w:t>r</w:t>
      </w:r>
      <w:r w:rsidRPr="00896D4F">
        <w:t>förmyndarens sida antecknats att överförmyndaren fyllt i ”på heder och sa</w:t>
      </w:r>
      <w:r w:rsidRPr="00896D4F">
        <w:t>m</w:t>
      </w:r>
      <w:r w:rsidRPr="00896D4F">
        <w:t>vete”.</w:t>
      </w:r>
    </w:p>
    <w:p w:rsidR="009C1C5A" w:rsidRPr="00896D4F" w:rsidRDefault="009C1C5A">
      <w:pPr>
        <w:pStyle w:val="Normaltindrag"/>
      </w:pPr>
      <w:r w:rsidRPr="00896D4F">
        <w:t>Årsräkningen för år 2000 hade inte heller undertecknats på heder och sam</w:t>
      </w:r>
      <w:r w:rsidRPr="00896D4F">
        <w:softHyphen/>
        <w:t>vete. Den hade – såvitt framgår av akten – återsänts i original till den gode man</w:t>
      </w:r>
      <w:r w:rsidRPr="00896D4F">
        <w:softHyphen/>
        <w:t xml:space="preserve">nen för underskrift med sådan försäkran. </w:t>
      </w:r>
    </w:p>
    <w:p w:rsidR="009C1C5A" w:rsidRPr="00896D4F" w:rsidRDefault="009C1C5A">
      <w:pPr>
        <w:pStyle w:val="Normaltindrag"/>
      </w:pPr>
      <w:r w:rsidRPr="00896D4F">
        <w:t>Med anledning av vad som framkommit beslutade jag att i ett särskilt ärende ut</w:t>
      </w:r>
      <w:r w:rsidRPr="00896D4F">
        <w:softHyphen/>
        <w:t>reda överförmyndarens handläggning av godmansärendet i de här berörda delarna.</w:t>
      </w:r>
    </w:p>
    <w:p w:rsidR="009C1C5A" w:rsidRPr="00896D4F" w:rsidRDefault="009C1C5A">
      <w:pPr>
        <w:pStyle w:val="Rubrik3"/>
      </w:pPr>
      <w:r w:rsidRPr="00896D4F">
        <w:t>Utredningen</w:t>
      </w:r>
    </w:p>
    <w:p w:rsidR="009C1C5A" w:rsidRPr="00896D4F" w:rsidRDefault="009C1C5A">
      <w:r w:rsidRPr="00896D4F">
        <w:t>Överförmyndaren i Västerås anmodades att yttra sig över en promemoria, som innehöll det som redogjorts för ovan.</w:t>
      </w:r>
    </w:p>
    <w:p w:rsidR="009C1C5A" w:rsidRPr="00896D4F" w:rsidRDefault="009C1C5A">
      <w:r w:rsidRPr="00896D4F">
        <w:t xml:space="preserve">I sitt svar anförde överförmyndaren Gunila Rickman följande. </w:t>
      </w:r>
    </w:p>
    <w:p w:rsidR="009C1C5A" w:rsidRPr="00896D4F" w:rsidRDefault="009C1C5A">
      <w:pPr>
        <w:pStyle w:val="Citat"/>
      </w:pPr>
      <w:r w:rsidRPr="00896D4F">
        <w:t>Mitt yttrande har begärts av er med hänvisning till en vid remisshandlingen fogad PM daterad 2002-01-10. Jag har bett nuvarande gode mannen att yttra sig över de frågor som ställs, vilket han gjort i skrivelse 01-28, som bifogas (</w:t>
      </w:r>
      <w:r w:rsidRPr="00896D4F">
        <w:rPr>
          <w:i/>
        </w:rPr>
        <w:t>utelämnad här</w:t>
      </w:r>
      <w:r w:rsidRPr="00896D4F">
        <w:t>). Som framgår av dennes skrivelse har huvudmannen själv signerat köpe</w:t>
      </w:r>
      <w:r w:rsidRPr="00896D4F">
        <w:softHyphen/>
        <w:t>handlingar beträffande bostadsrätterna. Byte av god man har skett inom familjen något som huvudmannen hade kännedom om. Ytterli</w:t>
      </w:r>
      <w:r w:rsidRPr="00896D4F">
        <w:softHyphen/>
        <w:t>gare kommu</w:t>
      </w:r>
      <w:r w:rsidRPr="00896D4F">
        <w:softHyphen/>
        <w:t>nikation ansåg jag inte vara av nöden. Vad gäller bristen på för</w:t>
      </w:r>
      <w:r w:rsidRPr="00896D4F">
        <w:softHyphen/>
        <w:t>säkran i av</w:t>
      </w:r>
      <w:r w:rsidRPr="00896D4F">
        <w:softHyphen/>
        <w:t>gående gode mannens sluträkning resp. nye gode mannens års</w:t>
      </w:r>
      <w:r w:rsidRPr="00896D4F">
        <w:softHyphen/>
        <w:t>räkning för år 2000 har den senare också lämnat en förklaring härtill. Bris</w:t>
      </w:r>
      <w:r w:rsidRPr="00896D4F">
        <w:softHyphen/>
        <w:t>ten i sluträk</w:t>
      </w:r>
      <w:r w:rsidRPr="00896D4F">
        <w:softHyphen/>
        <w:t>ningen upptäcktes av mig vid inlämnandet, varför jag bad gode m</w:t>
      </w:r>
      <w:r w:rsidRPr="00896D4F">
        <w:t>annen att besöka mig för att komplettera räkningen. Så skedde också ge</w:t>
      </w:r>
      <w:r w:rsidRPr="00896D4F">
        <w:softHyphen/>
        <w:t>nom den till</w:t>
      </w:r>
      <w:r w:rsidRPr="00896D4F">
        <w:softHyphen/>
        <w:t>skrift som framgår av sluträkningen. Årsräkningen för år 2000 har på samma sätt ko</w:t>
      </w:r>
      <w:r w:rsidRPr="00896D4F">
        <w:t>m</w:t>
      </w:r>
      <w:r w:rsidRPr="00896D4F">
        <w:t xml:space="preserve">pletterats i efterhand. </w:t>
      </w:r>
    </w:p>
    <w:p w:rsidR="009C1C5A" w:rsidRPr="00896D4F" w:rsidRDefault="009C1C5A">
      <w:pPr>
        <w:pStyle w:val="Citat"/>
      </w:pPr>
      <w:r w:rsidRPr="00896D4F">
        <w:t>– – –</w:t>
      </w:r>
    </w:p>
    <w:p w:rsidR="009C1C5A" w:rsidRPr="00896D4F" w:rsidRDefault="009C1C5A">
      <w:r w:rsidRPr="00896D4F">
        <w:t>Med anledning av – som JO fann det – vissa otydligheter i remissvaret anm</w:t>
      </w:r>
      <w:r w:rsidRPr="00896D4F">
        <w:t>o</w:t>
      </w:r>
      <w:r w:rsidRPr="00896D4F">
        <w:t xml:space="preserve">dades överförmyndaren genom förnyad remiss att besvara följande frågor. </w:t>
      </w:r>
    </w:p>
    <w:p w:rsidR="009C1C5A" w:rsidRPr="00896D4F" w:rsidRDefault="009C1C5A">
      <w:pPr>
        <w:pStyle w:val="Normaltindrag"/>
      </w:pPr>
      <w:r w:rsidRPr="00896D4F">
        <w:t xml:space="preserve">1. Kände överförmyndaren </w:t>
      </w:r>
      <w:r w:rsidRPr="00896D4F">
        <w:rPr>
          <w:i/>
        </w:rPr>
        <w:t xml:space="preserve">vid sitt beslut den 19 januari 2000 </w:t>
      </w:r>
      <w:r w:rsidRPr="00896D4F">
        <w:t>att ge C.R. till</w:t>
      </w:r>
      <w:r w:rsidRPr="00896D4F">
        <w:softHyphen/>
        <w:t>stånd att köpa två bostadsrätter till huruvida C.R. hade samtyckt till detta?</w:t>
      </w:r>
    </w:p>
    <w:p w:rsidR="009C1C5A" w:rsidRPr="00896D4F" w:rsidRDefault="009C1C5A">
      <w:pPr>
        <w:pStyle w:val="Normaltindrag"/>
      </w:pPr>
      <w:r w:rsidRPr="00896D4F">
        <w:t xml:space="preserve">2. Skall överförmyndarens svar på frågan varför C.R. inte hörts i frågan om byte av god man uppfattas som att överförmyndaren </w:t>
      </w:r>
      <w:r w:rsidRPr="00896D4F">
        <w:rPr>
          <w:i/>
        </w:rPr>
        <w:t>visste</w:t>
      </w:r>
      <w:r w:rsidRPr="00896D4F">
        <w:t xml:space="preserve"> att C.R. var medveten om det förestående bytet och inte hade något att erinra mot det, eller som att C.R. inte behövde höras eftersom den tillträdande gode mannen var en honom närstående?</w:t>
      </w:r>
    </w:p>
    <w:p w:rsidR="009C1C5A" w:rsidRPr="00896D4F" w:rsidRDefault="009C1C5A">
      <w:pPr>
        <w:pStyle w:val="Normaltindrag"/>
      </w:pPr>
      <w:r w:rsidRPr="00896D4F">
        <w:t xml:space="preserve">3. </w:t>
      </w:r>
      <w:r w:rsidRPr="00896D4F">
        <w:rPr>
          <w:i/>
        </w:rPr>
        <w:t>Vem</w:t>
      </w:r>
      <w:r w:rsidRPr="00896D4F">
        <w:t xml:space="preserve"> har kompletterat sluträkningen daterad den 7 mars 2000 och årsräk</w:t>
      </w:r>
      <w:r w:rsidRPr="00896D4F">
        <w:softHyphen/>
        <w:t xml:space="preserve">ningen för 1999, överförmyndaren eller den gode mannen? </w:t>
      </w:r>
    </w:p>
    <w:p w:rsidR="009C1C5A" w:rsidRPr="00896D4F" w:rsidRDefault="009C1C5A">
      <w:r w:rsidRPr="00896D4F">
        <w:t>Överförmyndaren besvarade frågorna på följande sätt.</w:t>
      </w:r>
    </w:p>
    <w:p w:rsidR="009C1C5A" w:rsidRPr="00896D4F" w:rsidRDefault="009C1C5A">
      <w:pPr>
        <w:pStyle w:val="Citat"/>
      </w:pPr>
      <w:r w:rsidRPr="00896D4F">
        <w:t>1. Mitt beslut 2000-01-19 föregicks av ett sammanträffande med dåvarande gode mannen (modern), som uppgav att det var sonens bestämda vilja att få bo så nära vattnet som möjligt. Så hade han bott i Kalmar tidigare. De enda lägenheterna i Västerås som motsvarade det kravet var de aktuella.</w:t>
      </w:r>
    </w:p>
    <w:p w:rsidR="009C1C5A" w:rsidRPr="00896D4F" w:rsidRDefault="009C1C5A">
      <w:pPr>
        <w:pStyle w:val="Citat"/>
        <w:spacing w:before="0"/>
      </w:pPr>
      <w:r w:rsidRPr="00896D4F">
        <w:t>2. Med hänsyn till de upplysningar som modern lämnat, visste jag att C.R. var medveten om det förestående bytet och inte hade någon erinran.</w:t>
      </w:r>
    </w:p>
    <w:p w:rsidR="009C1C5A" w:rsidRPr="00896D4F" w:rsidRDefault="009C1C5A">
      <w:pPr>
        <w:pStyle w:val="Citat"/>
        <w:spacing w:before="0"/>
      </w:pPr>
      <w:r w:rsidRPr="00896D4F">
        <w:t>3. Texten ”på heder och samvete” tillfogades av en handläggare på mitt kansli efter samtal med gode mannen.</w:t>
      </w:r>
    </w:p>
    <w:p w:rsidR="009C1C5A" w:rsidRPr="00896D4F" w:rsidRDefault="009C1C5A">
      <w:pPr>
        <w:pStyle w:val="Rubrik3"/>
      </w:pPr>
      <w:r w:rsidRPr="00896D4F">
        <w:t>Bedömning</w:t>
      </w:r>
    </w:p>
    <w:p w:rsidR="009C1C5A" w:rsidRPr="00896D4F" w:rsidRDefault="009C1C5A">
      <w:r w:rsidRPr="00896D4F">
        <w:t xml:space="preserve">Inledningsvis vill jag anföra följande. </w:t>
      </w:r>
    </w:p>
    <w:p w:rsidR="009C1C5A" w:rsidRPr="00896D4F" w:rsidRDefault="009C1C5A">
      <w:r w:rsidRPr="00896D4F">
        <w:t>Enligt föräldrabalkens regler skall en god man omsorgsfullt fullgöra sina skyldig</w:t>
      </w:r>
      <w:r w:rsidRPr="00896D4F">
        <w:softHyphen/>
        <w:t>heter och alltid handla på det sätt som bäst gagnar den enskilde, bl.a. genom att se till att den enskildes medel används för dennes nytta. Anle</w:t>
      </w:r>
      <w:r w:rsidRPr="00896D4F">
        <w:t>d</w:t>
      </w:r>
      <w:r w:rsidRPr="00896D4F">
        <w:t>ningen till att jag har tagit upp detta ärende är dock inte att jag på något sätt ifrågasätter lämpligheten i någon av de aktuella gode männens age</w:t>
      </w:r>
      <w:r w:rsidRPr="00896D4F">
        <w:softHyphen/>
        <w:t>rande gen</w:t>
      </w:r>
      <w:r w:rsidRPr="00896D4F">
        <w:t>t</w:t>
      </w:r>
      <w:r w:rsidRPr="00896D4F">
        <w:t>emot sin huvud</w:t>
      </w:r>
      <w:r w:rsidRPr="00896D4F">
        <w:softHyphen/>
        <w:t>man. JO har nämligen inte tillsyn över gode män. Min tillsyn begränsar sig till att kontrollera huruvida överförmyndaren har utövat sin i lag ålagda tillsyn över de gode män</w:t>
      </w:r>
      <w:r w:rsidRPr="00896D4F">
        <w:softHyphen/>
        <w:t>nen. I den ingår bl</w:t>
      </w:r>
      <w:r w:rsidRPr="00896D4F">
        <w:t>.a. att granska årsräkningar och att se till att ha ett till</w:t>
      </w:r>
      <w:r w:rsidRPr="00896D4F">
        <w:softHyphen/>
        <w:t>räckligt gott underlag inför beslut om samtycke till vissa förvaltningsåtgärder. Mot bak</w:t>
      </w:r>
      <w:r w:rsidRPr="00896D4F">
        <w:softHyphen/>
        <w:t>grund av det nu anförda förefaller det ytterst märk</w:t>
      </w:r>
      <w:r w:rsidRPr="00896D4F">
        <w:softHyphen/>
        <w:t>ligt och dessutom onö</w:t>
      </w:r>
      <w:r w:rsidRPr="00896D4F">
        <w:softHyphen/>
        <w:t>digt att överförmyndaren vid den första anmodan att yttra sig i sin tur anmodade den gode mannen att besvara fråg</w:t>
      </w:r>
      <w:r w:rsidRPr="00896D4F">
        <w:t>e</w:t>
      </w:r>
      <w:r w:rsidRPr="00896D4F">
        <w:t>ställningarna i re</w:t>
      </w:r>
      <w:r w:rsidRPr="00896D4F">
        <w:softHyphen/>
        <w:t>missen och tillställde mig den</w:t>
      </w:r>
      <w:r w:rsidRPr="00896D4F">
        <w:softHyphen/>
        <w:t>nes svar. Det framstår dessu</w:t>
      </w:r>
      <w:r w:rsidRPr="00896D4F">
        <w:t>t</w:t>
      </w:r>
      <w:r w:rsidRPr="00896D4F">
        <w:t>om som olyckligt efter</w:t>
      </w:r>
      <w:r w:rsidRPr="00896D4F">
        <w:softHyphen/>
        <w:t>som den gode mannen uppen</w:t>
      </w:r>
      <w:r w:rsidRPr="00896D4F">
        <w:softHyphen/>
        <w:t>barligen uppfattade förf</w:t>
      </w:r>
      <w:r w:rsidRPr="00896D4F">
        <w:t>a</w:t>
      </w:r>
      <w:r w:rsidRPr="00896D4F">
        <w:t xml:space="preserve">randet som att det i </w:t>
      </w:r>
      <w:r w:rsidRPr="00896D4F">
        <w:t>remissen riktades kritik mot hans och den tidi</w:t>
      </w:r>
      <w:r w:rsidRPr="00896D4F">
        <w:softHyphen/>
        <w:t>gare gode mannens sätt att sköta godmanska</w:t>
      </w:r>
      <w:r w:rsidRPr="00896D4F">
        <w:softHyphen/>
        <w:t>pet.</w:t>
      </w:r>
    </w:p>
    <w:p w:rsidR="009C1C5A" w:rsidRPr="00896D4F" w:rsidRDefault="009C1C5A">
      <w:pPr>
        <w:pStyle w:val="Rubrik4"/>
      </w:pPr>
      <w:r w:rsidRPr="00896D4F">
        <w:t>Frågan om C.R. borde ha beretts tillfälle att yttra sig över bytet av god man</w:t>
      </w:r>
    </w:p>
    <w:p w:rsidR="009C1C5A" w:rsidRPr="00896D4F" w:rsidRDefault="009C1C5A">
      <w:r w:rsidRPr="00896D4F">
        <w:t>Ett ärende om byte av en god man är egentligen två ärenden som företas till ge</w:t>
      </w:r>
      <w:r w:rsidRPr="00896D4F">
        <w:softHyphen/>
        <w:t>mensam handläggning, dels ett entledigande av den avgående gode ma</w:t>
      </w:r>
      <w:r w:rsidRPr="00896D4F">
        <w:t>n</w:t>
      </w:r>
      <w:r w:rsidRPr="00896D4F">
        <w:t>nen, dels ett förordnande av en ny god man. Vid byte av god man måste dä</w:t>
      </w:r>
      <w:r w:rsidRPr="00896D4F">
        <w:t>r</w:t>
      </w:r>
      <w:r w:rsidRPr="00896D4F">
        <w:t>för iakttas såväl de regler som gäller vid entledigande som vid förordnande av god man. Vid för</w:t>
      </w:r>
      <w:r w:rsidRPr="00896D4F">
        <w:softHyphen/>
        <w:t>ordnande av god man gäller enligt 11 kap. 16 § första styc</w:t>
      </w:r>
      <w:r w:rsidRPr="00896D4F">
        <w:t>k</w:t>
      </w:r>
      <w:r w:rsidRPr="00896D4F">
        <w:t>et föräldrabalken att den enskilde skall ges tillfälle att yttra sig, om det kan ske. Något utrymme för att underlåta att bereda huvudmannen tillfälle att yttra sig i de fall det kan ske före</w:t>
      </w:r>
      <w:r w:rsidRPr="00896D4F">
        <w:softHyphen/>
        <w:t xml:space="preserve">faller inte finnas.   </w:t>
      </w:r>
    </w:p>
    <w:p w:rsidR="009C1C5A" w:rsidRPr="00896D4F" w:rsidRDefault="009C1C5A">
      <w:pPr>
        <w:pStyle w:val="Normaltindrag"/>
      </w:pPr>
      <w:r w:rsidRPr="00896D4F">
        <w:t>S</w:t>
      </w:r>
      <w:r w:rsidRPr="00896D4F">
        <w:t>åvitt framgår av överförmyndarens akt finns det ingenting som ger vid handen – tvärtom – att C.R. inte skulle kunna beredas tillfälle att yttra sig. Av utredningen har framgått att överförmyndaren trots det inte beredde C.R. tillfälle att yttra sig, utan utgick ifrån att han inte hade något emot det för</w:t>
      </w:r>
      <w:r w:rsidRPr="00896D4F">
        <w:t>e</w:t>
      </w:r>
      <w:r w:rsidRPr="00896D4F">
        <w:t>slagna bytet av god man på grund av de uppgifter som hon inhämtat av den avgående gode mannen, modern. Ett sådant förfarande står enligt min mening inte i överensstämmelse med lagstift</w:t>
      </w:r>
      <w:r w:rsidRPr="00896D4F">
        <w:softHyphen/>
        <w:t>ningen.</w:t>
      </w:r>
    </w:p>
    <w:p w:rsidR="009C1C5A" w:rsidRPr="00896D4F" w:rsidRDefault="009C1C5A">
      <w:pPr>
        <w:pStyle w:val="Rubrik4"/>
      </w:pPr>
      <w:r w:rsidRPr="00896D4F">
        <w:t>Frågan om över</w:t>
      </w:r>
      <w:r w:rsidRPr="00896D4F">
        <w:t xml:space="preserve">förmyndaren borde ha berett C.R. tillfälle att yttra sig över om samtycke skulle lämnas till förvärv av två bostadsrätter </w:t>
      </w:r>
    </w:p>
    <w:p w:rsidR="009C1C5A" w:rsidRPr="00896D4F" w:rsidRDefault="009C1C5A">
      <w:r w:rsidRPr="00896D4F">
        <w:t>I 16 kap. 9 § föräldrabalken anges att innan överförmyndaren tar ställning till om samtycke skall lämnas till en förvaltningsåtgärd av större vikt, skall h</w:t>
      </w:r>
      <w:r w:rsidRPr="00896D4F">
        <w:t>u</w:t>
      </w:r>
      <w:r w:rsidRPr="00896D4F">
        <w:t>vudmannen samt dennes make eller sambo och närmaste släktingar beredas tillfälle att yttra sig, om det kan ske utan avsevärd tidsförlust. Till förval</w:t>
      </w:r>
      <w:r w:rsidRPr="00896D4F">
        <w:t>t</w:t>
      </w:r>
      <w:r w:rsidRPr="00896D4F">
        <w:t xml:space="preserve">ningsåtgärd av större vikt hör bl.a. överlåtelse av fast egendom o.d. (jfr prop. 1993/94:251 s. 283). </w:t>
      </w:r>
    </w:p>
    <w:p w:rsidR="009C1C5A" w:rsidRPr="00896D4F" w:rsidRDefault="009C1C5A">
      <w:pPr>
        <w:pStyle w:val="Normaltindrag"/>
      </w:pPr>
      <w:r w:rsidRPr="00896D4F">
        <w:t>Genom utredningen har framgått att överförmyndaren inför beslutet att lämna sam</w:t>
      </w:r>
      <w:r w:rsidRPr="00896D4F">
        <w:softHyphen/>
        <w:t>tycke till C.R:s köp av de två bostadsrätterna hade sammanträffat med den dåva</w:t>
      </w:r>
      <w:r w:rsidRPr="00896D4F">
        <w:softHyphen/>
        <w:t>rande gode mannen, modern, som hade uppgivit att det var sonens bestämda vilja att förvärva de aktuella bostadsrätterna. Överförmynd</w:t>
      </w:r>
      <w:r w:rsidRPr="00896D4F">
        <w:t>a</w:t>
      </w:r>
      <w:r w:rsidRPr="00896D4F">
        <w:t>ren har uppenbarligen även i detta sammanhang förlitat sig på en andrahand</w:t>
      </w:r>
      <w:r w:rsidRPr="00896D4F">
        <w:t>s</w:t>
      </w:r>
      <w:r w:rsidRPr="00896D4F">
        <w:t>uppgift om hu</w:t>
      </w:r>
      <w:r w:rsidRPr="00896D4F">
        <w:softHyphen/>
        <w:t>vudmannens inställning från den gode mannen och därför u</w:t>
      </w:r>
      <w:r w:rsidRPr="00896D4F">
        <w:t>n</w:t>
      </w:r>
      <w:r w:rsidRPr="00896D4F">
        <w:t>derlåtit att bereda denne tillfälle att yttra sig. Inte heller förefaller överfö</w:t>
      </w:r>
      <w:r w:rsidRPr="00896D4F">
        <w:t>r</w:t>
      </w:r>
      <w:r w:rsidRPr="00896D4F">
        <w:t>myndaren ha övervägt att bereda C.R:s sys</w:t>
      </w:r>
      <w:r w:rsidRPr="00896D4F">
        <w:softHyphen/>
        <w:t>kon tillfälle att yttra sig öv</w:t>
      </w:r>
      <w:r w:rsidRPr="00896D4F">
        <w:t>er fö</w:t>
      </w:r>
      <w:r w:rsidRPr="00896D4F">
        <w:t>r</w:t>
      </w:r>
      <w:r w:rsidRPr="00896D4F">
        <w:t>värvet. Att underlåtenheten att kommunicera frå</w:t>
      </w:r>
      <w:r w:rsidRPr="00896D4F">
        <w:softHyphen/>
        <w:t>gan skulle ha berott på tid</w:t>
      </w:r>
      <w:r w:rsidRPr="00896D4F">
        <w:t>s</w:t>
      </w:r>
      <w:r w:rsidRPr="00896D4F">
        <w:t>brist har inte påståtts från överförmyndarens sida. Sna</w:t>
      </w:r>
      <w:r w:rsidRPr="00896D4F">
        <w:softHyphen/>
        <w:t>rast framstår det som om överförmyndaren inte känner till föräldrabal</w:t>
      </w:r>
      <w:r w:rsidRPr="00896D4F">
        <w:softHyphen/>
        <w:t>kens regler i det här aktu</w:t>
      </w:r>
      <w:r w:rsidRPr="00896D4F">
        <w:softHyphen/>
        <w:t xml:space="preserve">ella avseendet. </w:t>
      </w:r>
    </w:p>
    <w:p w:rsidR="009C1C5A" w:rsidRPr="00896D4F" w:rsidRDefault="009C1C5A">
      <w:pPr>
        <w:pStyle w:val="Normaltindrag"/>
      </w:pPr>
      <w:r w:rsidRPr="00896D4F">
        <w:t>Det som överförmyndaren vidare har hänvisat till i remissvaret – att C.R. själv skrivit på upplåtelsehandlingarna avseende bostadsrätterna – visar i och för sig att han samtyckte till förvärvet. Det förhållandet saknar dock helt rel</w:t>
      </w:r>
      <w:r w:rsidRPr="00896D4F">
        <w:t>e</w:t>
      </w:r>
      <w:r w:rsidRPr="00896D4F">
        <w:t>vans för be</w:t>
      </w:r>
      <w:r w:rsidRPr="00896D4F">
        <w:softHyphen/>
        <w:t>dömningen av om överförmyndaren inför sitt beslut att lämna samtycke till bo</w:t>
      </w:r>
      <w:r w:rsidRPr="00896D4F">
        <w:softHyphen/>
        <w:t>stadsrättsförvärvet har iakttagit föräldrabalkens regler om kommunikationsskyl</w:t>
      </w:r>
      <w:r w:rsidRPr="00896D4F">
        <w:softHyphen/>
        <w:t xml:space="preserve">dighet i vissa frågor. </w:t>
      </w:r>
    </w:p>
    <w:p w:rsidR="009C1C5A" w:rsidRPr="00896D4F" w:rsidRDefault="009C1C5A">
      <w:pPr>
        <w:pStyle w:val="Normaltindrag"/>
      </w:pPr>
      <w:r w:rsidRPr="00896D4F">
        <w:t>Som framgått ovan har överförmyndaren underlåtit att bereda huvudma</w:t>
      </w:r>
      <w:r w:rsidRPr="00896D4F">
        <w:t>n</w:t>
      </w:r>
      <w:r w:rsidRPr="00896D4F">
        <w:t>nen till</w:t>
      </w:r>
      <w:r w:rsidRPr="00896D4F">
        <w:softHyphen/>
        <w:t>fälle att yttra sig i vad som måste anses vara ytterst viktiga frågor för den enskilde, nämli</w:t>
      </w:r>
      <w:r w:rsidRPr="00896D4F">
        <w:softHyphen/>
        <w:t>gen valet av god man och boende samt en större kapitali</w:t>
      </w:r>
      <w:r w:rsidRPr="00896D4F">
        <w:t>n</w:t>
      </w:r>
      <w:r w:rsidRPr="00896D4F">
        <w:t>vestering. Skälet till underlåtenheten har uppenbarligen varit att överförmy</w:t>
      </w:r>
      <w:r w:rsidRPr="00896D4F">
        <w:t>n</w:t>
      </w:r>
      <w:r w:rsidRPr="00896D4F">
        <w:t>daren ansett att den gode man</w:t>
      </w:r>
      <w:r w:rsidRPr="00896D4F">
        <w:softHyphen/>
        <w:t>nens, i detta fall en närstående, uppgifter om huvudmannens inställ</w:t>
      </w:r>
      <w:r w:rsidRPr="00896D4F">
        <w:softHyphen/>
        <w:t>ning kunde tas för goda. Det är sannolikt ofta en riktig bedömning. Överförmyn</w:t>
      </w:r>
      <w:r w:rsidRPr="00896D4F">
        <w:softHyphen/>
        <w:t>daren får likväl inte göra sådana antaganden om den enskildes inställning i de fall då lagen uttry</w:t>
      </w:r>
      <w:r w:rsidRPr="00896D4F">
        <w:t>ck</w:t>
      </w:r>
      <w:r w:rsidRPr="00896D4F">
        <w:softHyphen/>
        <w:t>ligen föreskriver att denne skall beredas tillfälle att yttra sig. Den enda situation i vilken en överförmyndare kan underlåta att formligen bereda en huvudman tillfälle att yttra sig i de fall då lagen föreskriver att så skall ske torde vara om huvudmannen muntligen eller skriftligen personligen redan framfört sin åsikt i saken i samband med att frågan väcktes.</w:t>
      </w:r>
    </w:p>
    <w:p w:rsidR="009C1C5A" w:rsidRPr="00896D4F" w:rsidRDefault="009C1C5A">
      <w:pPr>
        <w:pStyle w:val="Normaltindrag"/>
      </w:pPr>
      <w:r w:rsidRPr="00896D4F">
        <w:t>Jag vill i detta sammanhang understryka följande. Regler om skyldighet att bereda huvudmannen tillfälle att yttra sig syftar till att skydda den</w:t>
      </w:r>
      <w:r w:rsidRPr="00896D4F">
        <w:t xml:space="preserve"> enskilde. Att iaktta dem utgör därför en huvudbeståndsdel i överförmyndarens tillsyn</w:t>
      </w:r>
      <w:r w:rsidRPr="00896D4F">
        <w:t>s</w:t>
      </w:r>
      <w:r w:rsidRPr="00896D4F">
        <w:t>skyldighet och i realiteten en av ganska få faktiska möjligheter för överfö</w:t>
      </w:r>
      <w:r w:rsidRPr="00896D4F">
        <w:t>r</w:t>
      </w:r>
      <w:r w:rsidRPr="00896D4F">
        <w:t>myndaren att utöva till</w:t>
      </w:r>
      <w:r w:rsidRPr="00896D4F">
        <w:softHyphen/>
        <w:t xml:space="preserve">syn över att en god man handlar för sin huvudmans bästa. Jag ser därför allvarligt på överförmyndarens okunskap och nonchalans i nämnda avseende. </w:t>
      </w:r>
    </w:p>
    <w:p w:rsidR="009C1C5A" w:rsidRPr="00896D4F" w:rsidRDefault="009C1C5A">
      <w:pPr>
        <w:pStyle w:val="Rubrik4"/>
      </w:pPr>
      <w:r w:rsidRPr="00896D4F">
        <w:t>Frågan om möjligheten att efter avgivandet av en årsräkning komplettera den</w:t>
      </w:r>
      <w:r w:rsidRPr="00896D4F">
        <w:softHyphen/>
        <w:t>samma med orden ”på heder och samvete” m.m.</w:t>
      </w:r>
    </w:p>
    <w:p w:rsidR="009C1C5A" w:rsidRPr="00896D4F" w:rsidRDefault="009C1C5A">
      <w:r w:rsidRPr="00896D4F">
        <w:t>Enligt 14 kap. 1, 15 och 18 §§ föräldrabalken skall gode mäns förteckningar, års</w:t>
      </w:r>
      <w:r w:rsidRPr="00896D4F">
        <w:softHyphen/>
        <w:t xml:space="preserve">räkningar och sluträkningar </w:t>
      </w:r>
      <w:r w:rsidRPr="00896D4F">
        <w:rPr>
          <w:i/>
        </w:rPr>
        <w:t>avges</w:t>
      </w:r>
      <w:r w:rsidRPr="00896D4F">
        <w:t xml:space="preserve"> på heder och samvete. Det betyder att de skall skrivas under av den som avger den på heder och samvete. Att så skett har bety</w:t>
      </w:r>
      <w:r w:rsidRPr="00896D4F">
        <w:softHyphen/>
        <w:t xml:space="preserve">delse för ett eventuellt framtida utkrävande av straffansvar av en god man. </w:t>
      </w:r>
    </w:p>
    <w:p w:rsidR="009C1C5A" w:rsidRPr="00896D4F" w:rsidRDefault="009C1C5A">
      <w:pPr>
        <w:pStyle w:val="Normaltindrag"/>
      </w:pPr>
      <w:r w:rsidRPr="00896D4F">
        <w:t>Mot bakgrund av att ovan nämnda redovisningar skall skrivas under på h</w:t>
      </w:r>
      <w:r w:rsidRPr="00896D4F">
        <w:t>e</w:t>
      </w:r>
      <w:r w:rsidRPr="00896D4F">
        <w:t>der och samvete torde möjligheten att i efterhand komplettera med ett sådant intygande vara för</w:t>
      </w:r>
      <w:r w:rsidRPr="00896D4F">
        <w:softHyphen/>
        <w:t>enat med vissa komplikationer. Enligt min mening torde det, om en  redo</w:t>
      </w:r>
      <w:r w:rsidRPr="00896D4F">
        <w:softHyphen/>
        <w:t>visning har avgivits utan sådan försäkran, vara möjligt att komplettera den i det avseendet endast under förutsättning att handlingen därefter undertecknas på nytt. Det får då betrak</w:t>
      </w:r>
      <w:r w:rsidRPr="00896D4F">
        <w:softHyphen/>
        <w:t>tas som att redovisningen avgivits på nytt, denna gång på heder och samvete. Ett sådant förfarande har tillämpats i förevarande ärende såvitt avser årsräkningen</w:t>
      </w:r>
      <w:r w:rsidRPr="00896D4F">
        <w:t xml:space="preserve"> för år 2000, mer om detta nedan. Att däremot </w:t>
      </w:r>
      <w:r w:rsidRPr="00896D4F">
        <w:rPr>
          <w:i/>
        </w:rPr>
        <w:t>någon annan</w:t>
      </w:r>
      <w:r w:rsidRPr="00896D4F">
        <w:t xml:space="preserve"> än den som avgivit en redovisning skulle kunna komp</w:t>
      </w:r>
      <w:r w:rsidRPr="00896D4F">
        <w:softHyphen/>
        <w:t>lettera densamma å dennes vägnar genom att efter unde</w:t>
      </w:r>
      <w:r w:rsidRPr="00896D4F">
        <w:t>r</w:t>
      </w:r>
      <w:r w:rsidRPr="00896D4F">
        <w:t>tecknandet påteckna orden ”på heder och samvete” är mig helt främ</w:t>
      </w:r>
      <w:r w:rsidRPr="00896D4F">
        <w:softHyphen/>
        <w:t xml:space="preserve">mande. </w:t>
      </w:r>
    </w:p>
    <w:p w:rsidR="009C1C5A" w:rsidRPr="00896D4F" w:rsidRDefault="009C1C5A">
      <w:pPr>
        <w:pStyle w:val="Normaltindrag"/>
      </w:pPr>
      <w:r w:rsidRPr="00896D4F">
        <w:t>Överförmyndarens åtgärder med redovisningarna ligger med det ovan a</w:t>
      </w:r>
      <w:r w:rsidRPr="00896D4F">
        <w:t>n</w:t>
      </w:r>
      <w:r w:rsidRPr="00896D4F">
        <w:t>lagda synsättet utanför hennes behö</w:t>
      </w:r>
      <w:r w:rsidRPr="00896D4F">
        <w:softHyphen/>
        <w:t>righet. De kompletteringar hon har gjort är e</w:t>
      </w:r>
      <w:r w:rsidRPr="00896D4F">
        <w:t>n</w:t>
      </w:r>
      <w:r w:rsidRPr="00896D4F">
        <w:t>ligt min mening helt enkelt inte den typen av justeringar en överförmyn</w:t>
      </w:r>
      <w:r w:rsidRPr="00896D4F">
        <w:softHyphen/>
        <w:t>dare kan göra. Som jag ser det har åtgärderna inte heller haft den avsedda effek</w:t>
      </w:r>
      <w:r w:rsidRPr="00896D4F">
        <w:softHyphen/>
        <w:t>ten, dvs. nämnda räkningar har inte genom överförmyndarens skriftliga kompletteringar blivit att betrakta som avgivna på heder och samvete. Av det skälet borde överförmyndaren självfallet inte heller ha godkänt räkningarna, vare sig före eller efter sina egna åtgärder.</w:t>
      </w:r>
    </w:p>
    <w:p w:rsidR="009C1C5A" w:rsidRPr="00896D4F" w:rsidRDefault="009C1C5A">
      <w:pPr>
        <w:pStyle w:val="Normaltindrag"/>
      </w:pPr>
      <w:r w:rsidRPr="00896D4F">
        <w:t>Av utr</w:t>
      </w:r>
      <w:r w:rsidRPr="00896D4F">
        <w:t>edningen har framgått att årsräkningen för år 2000 återsändes i or</w:t>
      </w:r>
      <w:r w:rsidRPr="00896D4F">
        <w:t>i</w:t>
      </w:r>
      <w:r w:rsidRPr="00896D4F">
        <w:t>ginal för att kompletteras av den gode mannen eller, i enlighet med vad som nyss anförts, avges på nytt. En myndighet bör emellertid inte avhända sig ingivna original</w:t>
      </w:r>
      <w:r w:rsidRPr="00896D4F">
        <w:softHyphen/>
        <w:t>handlingar. Ett alternativ hade kunnat vara att skicka en kopia av den ingivna räk</w:t>
      </w:r>
      <w:r w:rsidRPr="00896D4F">
        <w:softHyphen/>
        <w:t>ningen till den gode mannen för nytt under</w:t>
      </w:r>
      <w:r w:rsidRPr="00896D4F">
        <w:softHyphen/>
        <w:t xml:space="preserve">tecknande. </w:t>
      </w:r>
    </w:p>
    <w:p w:rsidR="009C1C5A" w:rsidRPr="00896D4F" w:rsidRDefault="009C1C5A">
      <w:pPr>
        <w:pStyle w:val="Rubrik2"/>
      </w:pPr>
      <w:r w:rsidRPr="00896D4F">
        <w:t>Ett på JO:s initiativ upptaget ärende angående en överförmyndares handläggning av ett ärende om godmanskap</w:t>
      </w:r>
    </w:p>
    <w:p w:rsidR="009C1C5A" w:rsidRPr="00896D4F" w:rsidRDefault="009C1C5A">
      <w:pPr>
        <w:spacing w:before="0" w:line="240" w:lineRule="auto"/>
      </w:pPr>
      <w:r w:rsidRPr="00896D4F">
        <w:t>(Dnr 4478-2001)</w:t>
      </w:r>
    </w:p>
    <w:p w:rsidR="009C1C5A" w:rsidRPr="00896D4F" w:rsidRDefault="009C1C5A">
      <w:pPr>
        <w:spacing w:line="240" w:lineRule="auto"/>
      </w:pPr>
      <w:r w:rsidRPr="00896D4F">
        <w:t xml:space="preserve">I ett beslut den 5 april 2002 anförde </w:t>
      </w:r>
      <w:r w:rsidRPr="00896D4F">
        <w:rPr>
          <w:i/>
        </w:rPr>
        <w:t>JO Pennlöv</w:t>
      </w:r>
      <w:r w:rsidRPr="00896D4F">
        <w:t xml:space="preserve"> följande.</w:t>
      </w:r>
    </w:p>
    <w:p w:rsidR="009C1C5A" w:rsidRPr="00896D4F" w:rsidRDefault="009C1C5A">
      <w:pPr>
        <w:pStyle w:val="Rubrik3"/>
      </w:pPr>
      <w:r w:rsidRPr="00896D4F">
        <w:t>Initiativet</w:t>
      </w:r>
    </w:p>
    <w:p w:rsidR="009C1C5A" w:rsidRPr="00896D4F" w:rsidRDefault="009C1C5A">
      <w:r w:rsidRPr="00896D4F">
        <w:t xml:space="preserve">Vid min inspektion av Överförmyndaren i Västerås den 20 november 2001 uppmärksammades i ett ärende (godmanskap avseende J.A.) bl.a. att ingående balans avseende tillgångar och skulder i en årsräkning inte överensstämde med det närmast föregående årets utgående balans. Jag beslutade att inom ramen för ett initiativärende granska överförmyndarens handläggning av ärendet. </w:t>
      </w:r>
    </w:p>
    <w:p w:rsidR="009C1C5A" w:rsidRPr="00896D4F" w:rsidRDefault="009C1C5A">
      <w:pPr>
        <w:pStyle w:val="Rubrik3"/>
      </w:pPr>
      <w:r w:rsidRPr="00896D4F">
        <w:t>Utredning</w:t>
      </w:r>
    </w:p>
    <w:p w:rsidR="009C1C5A" w:rsidRPr="00896D4F" w:rsidRDefault="009C1C5A">
      <w:r w:rsidRPr="00896D4F">
        <w:t>Överförmyndarens akt i ärendet lånades in och granskades. Av akten fra</w:t>
      </w:r>
      <w:r w:rsidRPr="00896D4F">
        <w:t>m</w:t>
      </w:r>
      <w:r w:rsidRPr="00896D4F">
        <w:t>gick att överförmyndaren efter inspektionen syntes ha gjort vissa justeringar i årsräknin</w:t>
      </w:r>
      <w:r w:rsidRPr="00896D4F">
        <w:t>g</w:t>
      </w:r>
      <w:r w:rsidRPr="00896D4F">
        <w:t xml:space="preserve">ar. </w:t>
      </w:r>
    </w:p>
    <w:p w:rsidR="009C1C5A" w:rsidRPr="00896D4F" w:rsidRDefault="009C1C5A">
      <w:pPr>
        <w:pStyle w:val="Normaltindrag"/>
      </w:pPr>
      <w:r w:rsidRPr="00896D4F">
        <w:t>Överförmyndaren anmodades därefter att redogöra för vilka ändrin</w:t>
      </w:r>
      <w:r w:rsidRPr="00896D4F">
        <w:t>g</w:t>
      </w:r>
      <w:r w:rsidRPr="00896D4F">
        <w:t xml:space="preserve">ar/justeringar som hade gjorts efter JO:s inspektion och anledningen till det. Yttrandet skulle även avse på vilket sätt ändringarna gjorts </w:t>
      </w:r>
      <w:r w:rsidRPr="00896D4F">
        <w:rPr>
          <w:rFonts w:ascii="Garamond" w:hAnsi="Garamond"/>
        </w:rPr>
        <w:t>–</w:t>
      </w:r>
      <w:r w:rsidRPr="00896D4F">
        <w:t xml:space="preserve"> bl.a. använ</w:t>
      </w:r>
      <w:r w:rsidRPr="00896D4F">
        <w:t>d</w:t>
      </w:r>
      <w:r w:rsidRPr="00896D4F">
        <w:t xml:space="preserve">ningen av Tipp-Ex. </w:t>
      </w:r>
    </w:p>
    <w:p w:rsidR="009C1C5A" w:rsidRPr="00896D4F" w:rsidRDefault="009C1C5A">
      <w:r w:rsidRPr="00896D4F">
        <w:t>Överförmyndaren Gunila Rickman anförde i sitt remissvar följande.</w:t>
      </w:r>
    </w:p>
    <w:p w:rsidR="009C1C5A" w:rsidRPr="00896D4F" w:rsidRDefault="009C1C5A">
      <w:pPr>
        <w:pStyle w:val="Citat"/>
      </w:pPr>
      <w:r w:rsidRPr="00896D4F">
        <w:t>Det är riktigt att justeringar gjorts av årsräkningarna för 1999 och 2000 efter JO:s inspektion. Justeringarna framgår med röd skrift på de båda räkningarna. En handläggare på mitt kansli gick igenom alla verifikationer aktuella år. Ingående balans i de båda räkningarna överensstämmer med granskningen. Handläggaren började skriva en förklaring till de genomförda justeringarna i själva årsräkningen men upptäckte att förklaringen inte skulle rymmas där. Hon valde därför att i stället skriva förklaringen på d</w:t>
      </w:r>
      <w:r w:rsidRPr="00896D4F">
        <w:t>en bilaga som fogats till årsräkningen. Samtidigt borttogs texten i årsräkningen.</w:t>
      </w:r>
    </w:p>
    <w:p w:rsidR="009C1C5A" w:rsidRPr="00896D4F" w:rsidRDefault="009C1C5A">
      <w:pPr>
        <w:pStyle w:val="Rubrik3"/>
      </w:pPr>
      <w:r w:rsidRPr="00896D4F">
        <w:t>Bedömning</w:t>
      </w:r>
    </w:p>
    <w:p w:rsidR="009C1C5A" w:rsidRPr="00896D4F" w:rsidRDefault="009C1C5A">
      <w:r w:rsidRPr="00896D4F">
        <w:t>Utredningen visar att överförmyndaren den 28  februari 2000 godkänt årsrä</w:t>
      </w:r>
      <w:r w:rsidRPr="00896D4F">
        <w:t>k</w:t>
      </w:r>
      <w:r w:rsidRPr="00896D4F">
        <w:t>ningen för 1999 utan anmärkning och att hon den 11 november 2001 godkänt årsrä</w:t>
      </w:r>
      <w:r w:rsidRPr="00896D4F">
        <w:t>k</w:t>
      </w:r>
      <w:r w:rsidRPr="00896D4F">
        <w:t xml:space="preserve">ningen för 2000 utan anmärkning.  </w:t>
      </w:r>
    </w:p>
    <w:p w:rsidR="009C1C5A" w:rsidRPr="00896D4F" w:rsidRDefault="009C1C5A">
      <w:pPr>
        <w:pStyle w:val="Normaltindrag"/>
      </w:pPr>
      <w:r w:rsidRPr="00896D4F">
        <w:t>I remissvaret har överförmyndaren uppgett att justeringar gjorts i årsrä</w:t>
      </w:r>
      <w:r w:rsidRPr="00896D4F">
        <w:t>k</w:t>
      </w:r>
      <w:r w:rsidRPr="00896D4F">
        <w:t>ningarna för 1999 och 2000 efter min inspektion så att ingående balans avs</w:t>
      </w:r>
      <w:r w:rsidRPr="00896D4F">
        <w:t>e</w:t>
      </w:r>
      <w:r w:rsidRPr="00896D4F">
        <w:t>ende tillgångar numera överensstämmer med det närmast föregående årets utgående balans. Av utredningen framgår att justeringarna har gjorts med röd skrift på de båda räkningarna och i en bilaga till årsräkningen för 1999. Öve</w:t>
      </w:r>
      <w:r w:rsidRPr="00896D4F">
        <w:t>r</w:t>
      </w:r>
      <w:r w:rsidRPr="00896D4F">
        <w:t>förmyndarens ändringar i årsräkningarna har inte daterats. Inte heller framgår det av dagboksbladet att överförmyndaren justerat årsräkningarna. Av utre</w:t>
      </w:r>
      <w:r w:rsidRPr="00896D4F">
        <w:t>d</w:t>
      </w:r>
      <w:r w:rsidRPr="00896D4F">
        <w:t>ningen framgår vidare att bl.a. överförmyndarens kryssmar</w:t>
      </w:r>
      <w:r w:rsidRPr="00896D4F">
        <w:t>kering att godkä</w:t>
      </w:r>
      <w:r w:rsidRPr="00896D4F">
        <w:t>n</w:t>
      </w:r>
      <w:r w:rsidRPr="00896D4F">
        <w:t>na årsräkningarna utan anmärkning strukits över med en korrigeringsvätska (Tipp-Ex). Årsräkningarna är numera granskade med anmär</w:t>
      </w:r>
      <w:r w:rsidRPr="00896D4F">
        <w:t>k</w:t>
      </w:r>
      <w:r w:rsidRPr="00896D4F">
        <w:t xml:space="preserve">ning. </w:t>
      </w:r>
    </w:p>
    <w:p w:rsidR="009C1C5A" w:rsidRPr="00896D4F" w:rsidRDefault="009C1C5A">
      <w:pPr>
        <w:pStyle w:val="Normaltindrag"/>
      </w:pPr>
      <w:r w:rsidRPr="00896D4F">
        <w:t>Enligt 14 kap. 15 § föräldrabalken skall i årsräkningen  anges den enski</w:t>
      </w:r>
      <w:r w:rsidRPr="00896D4F">
        <w:t>l</w:t>
      </w:r>
      <w:r w:rsidRPr="00896D4F">
        <w:t>des tillgångar och skulder vid början av den tid som räkningen avser. Vidare skall en sammanställning göras av inkomster och utgifter under nämnda tid. I bestämmelsen stadgas också att det av årsräkningen särskilt skall framgå hur mycket som har använts för den enskildes uppehälle eller nytta i övrigt. I överförmyndarens uppgift att granska årsräkningen ingår att noga kontrollera att ställföreträdaren har iakttagit dessa bestämmelser och övriga regler i bl.a. föräldrabalken som gäller för förvaltningen. Dä</w:t>
      </w:r>
      <w:r w:rsidRPr="00896D4F">
        <w:t>rutöver åligger det överfö</w:t>
      </w:r>
      <w:r w:rsidRPr="00896D4F">
        <w:t>r</w:t>
      </w:r>
      <w:r w:rsidRPr="00896D4F">
        <w:t>myndaren att faktiskt rätta felskrivningar och, när så krävs, utreda de fela</w:t>
      </w:r>
      <w:r w:rsidRPr="00896D4F">
        <w:t>k</w:t>
      </w:r>
      <w:r w:rsidRPr="00896D4F">
        <w:t>tigheter och brister han noterar som inte omedelbart kan rättas till utan me</w:t>
      </w:r>
      <w:r w:rsidRPr="00896D4F">
        <w:t>d</w:t>
      </w:r>
      <w:r w:rsidRPr="00896D4F">
        <w:t>verkan av den gode mannen eller förvaltaren. Överförmyndaren måste således inte bara gå igenom årsräkningarna och kontrollera uppgifter mot verifikat och andra handlingar, utan också redovisa vad han funnit vid sin genomgång. Enligt 16 kap. 5 § första stycket föräldrabalken gäller att om överförmyndaren vid sin granskning eller a</w:t>
      </w:r>
      <w:r w:rsidRPr="00896D4F">
        <w:t xml:space="preserve">nnars finner anledning att rikta anmärkning mot förvaltningen, skall ställföreträdaren ges  tillfälle att yttra sig inom den tid som överförmyndaren bestämmer. </w:t>
      </w:r>
    </w:p>
    <w:p w:rsidR="009C1C5A" w:rsidRPr="00896D4F" w:rsidRDefault="009C1C5A">
      <w:pPr>
        <w:pStyle w:val="Normaltindrag"/>
      </w:pPr>
      <w:r w:rsidRPr="00896D4F">
        <w:t>Överförmyndaren har av allt att döma tagit fasta på vad jag anfört efter i</w:t>
      </w:r>
      <w:r w:rsidRPr="00896D4F">
        <w:t>n</w:t>
      </w:r>
      <w:r w:rsidRPr="00896D4F">
        <w:t>spektionen om den bristande överensstämmelsen vad gällde ingående och utgående balans samt företagit en förnyad granskning av de aktuella årsrä</w:t>
      </w:r>
      <w:r w:rsidRPr="00896D4F">
        <w:t>k</w:t>
      </w:r>
      <w:r w:rsidRPr="00896D4F">
        <w:t>ningarna. Det finns inte något hinder mot att överförmyndaren av en eller annan anledning omprövar sitt tidigare ställningstagande till redovisningen i en avgiven årsräkning. Av 27 § förvaltningslagen följer att det i vissa fall av uppenbart felaktiga ställningstaganden föreligger en skyldighet för överfö</w:t>
      </w:r>
      <w:r w:rsidRPr="00896D4F">
        <w:t>r</w:t>
      </w:r>
      <w:r w:rsidRPr="00896D4F">
        <w:t xml:space="preserve">myndaren att företa en omprövning. Eftersom överförmyndaren </w:t>
      </w:r>
      <w:r w:rsidRPr="00896D4F">
        <w:t>vid den för</w:t>
      </w:r>
      <w:r w:rsidRPr="00896D4F">
        <w:t>e</w:t>
      </w:r>
      <w:r w:rsidRPr="00896D4F">
        <w:t>tagna omprövningen fann anledning att rikta anmärkning mot den gode ma</w:t>
      </w:r>
      <w:r w:rsidRPr="00896D4F">
        <w:t>n</w:t>
      </w:r>
      <w:r w:rsidRPr="00896D4F">
        <w:t>nens förvaltning, skulle denne, som framhållits ovan, ha getts tillfälle att yttra sig i s</w:t>
      </w:r>
      <w:r w:rsidRPr="00896D4F">
        <w:t>a</w:t>
      </w:r>
      <w:r w:rsidRPr="00896D4F">
        <w:t>ken. Så skedde dock inte.</w:t>
      </w:r>
    </w:p>
    <w:p w:rsidR="009C1C5A" w:rsidRPr="00896D4F" w:rsidRDefault="009C1C5A">
      <w:pPr>
        <w:pStyle w:val="Normaltindrag"/>
      </w:pPr>
      <w:r w:rsidRPr="00896D4F">
        <w:t>Överförmyndarens omprövning och resultatet av densamma skulle ha dat</w:t>
      </w:r>
      <w:r w:rsidRPr="00896D4F">
        <w:t>e</w:t>
      </w:r>
      <w:r w:rsidRPr="00896D4F">
        <w:t>rats och signerats. Det skulle dessutom självfallet tydligt ha framgått att en omprövning företagits. I detta ligger att ett tidigare ställningstagande inte får döljas på något sätt.  Överförmyndaren förtjänar mycket allvarlig kritik för bristerna i dessa avseenden. Jag finner emellertid inte anledning att gå vidare i saken.</w:t>
      </w:r>
    </w:p>
    <w:p w:rsidR="009C1C5A" w:rsidRPr="00896D4F" w:rsidRDefault="009C1C5A">
      <w:pPr>
        <w:pStyle w:val="Rubrik2"/>
      </w:pPr>
      <w:r w:rsidRPr="00896D4F">
        <w:br w:type="page"/>
        <w:t>Kritik mot en överförmyndare för handläggningen av ett ärende om godmanskap m.m.</w:t>
      </w:r>
    </w:p>
    <w:p w:rsidR="009C1C5A" w:rsidRPr="00896D4F" w:rsidRDefault="009C1C5A">
      <w:pPr>
        <w:spacing w:before="0"/>
      </w:pPr>
      <w:r w:rsidRPr="00896D4F">
        <w:t>(Dnr 4646-2001)</w:t>
      </w:r>
    </w:p>
    <w:p w:rsidR="009C1C5A" w:rsidRPr="00896D4F" w:rsidRDefault="009C1C5A">
      <w:r w:rsidRPr="00896D4F">
        <w:t xml:space="preserve">I ett beslut den 3 maj 2002 anförde </w:t>
      </w:r>
      <w:r w:rsidRPr="00896D4F">
        <w:rPr>
          <w:i/>
        </w:rPr>
        <w:t>JO Pennlöv</w:t>
      </w:r>
      <w:r w:rsidRPr="00896D4F">
        <w:t xml:space="preserve"> följande.</w:t>
      </w:r>
    </w:p>
    <w:p w:rsidR="009C1C5A" w:rsidRPr="00896D4F" w:rsidRDefault="009C1C5A">
      <w:pPr>
        <w:pStyle w:val="Rubrik3"/>
      </w:pPr>
      <w:r w:rsidRPr="00896D4F">
        <w:t>Anmälan</w:t>
      </w:r>
    </w:p>
    <w:p w:rsidR="009C1C5A" w:rsidRPr="00896D4F" w:rsidRDefault="009C1C5A">
      <w:r w:rsidRPr="00896D4F">
        <w:t>I en anmälan, som kom in till JO den 21 december 2001, har A.D. fram</w:t>
      </w:r>
      <w:r w:rsidRPr="00896D4F">
        <w:softHyphen/>
        <w:t>fört kla</w:t>
      </w:r>
      <w:r w:rsidRPr="00896D4F">
        <w:softHyphen/>
        <w:t>gomål mot Överförmyndaren i Västerås och mot en god man. Han har an</w:t>
      </w:r>
      <w:r w:rsidRPr="00896D4F">
        <w:softHyphen/>
        <w:t>fört i huvudsak föl</w:t>
      </w:r>
      <w:r w:rsidRPr="00896D4F">
        <w:softHyphen/>
        <w:t>jande.</w:t>
      </w:r>
    </w:p>
    <w:p w:rsidR="009C1C5A" w:rsidRPr="00896D4F" w:rsidRDefault="009C1C5A">
      <w:pPr>
        <w:pStyle w:val="Normaltindrag"/>
      </w:pPr>
      <w:r w:rsidRPr="00896D4F">
        <w:t>För ett par år sedan anordnades godmanskap för hans mor, E.H, som bor i ett äld</w:t>
      </w:r>
      <w:r w:rsidRPr="00896D4F">
        <w:softHyphen/>
        <w:t>reboende. För ett år sedan byttes den gode mannen ut, utan att E.H. tillfrågades. Den nye gode mannen meddelade att E.H:s lägenhet skulle säljas, trots att E.H. ville ha den kvar för att hennes släktingar skulle kunna bo i den när de hälsar på henne. E.H. ansökte om byte av god man, eftersom hon ansåg att den gode man</w:t>
      </w:r>
      <w:r w:rsidRPr="00896D4F">
        <w:softHyphen/>
        <w:t>nen inte brydde sig om hennes vilja. Överförmyndaren a</w:t>
      </w:r>
      <w:r w:rsidRPr="00896D4F">
        <w:t>v</w:t>
      </w:r>
      <w:r w:rsidRPr="00896D4F">
        <w:t>slog dock hennes begä</w:t>
      </w:r>
      <w:r w:rsidRPr="00896D4F">
        <w:softHyphen/>
        <w:t>ran. Därefter ansökte E.H. hos tingsrätten om att go</w:t>
      </w:r>
      <w:r w:rsidRPr="00896D4F">
        <w:t>d</w:t>
      </w:r>
      <w:r w:rsidRPr="00896D4F">
        <w:t>manskapet skulle upphöra. Överförmyndaren, å sin sida, begärd</w:t>
      </w:r>
      <w:r w:rsidRPr="00896D4F">
        <w:t>e att förvalta</w:t>
      </w:r>
      <w:r w:rsidRPr="00896D4F">
        <w:t>r</w:t>
      </w:r>
      <w:r w:rsidRPr="00896D4F">
        <w:t>skap i stället skulle anordnas för E.H. Som skäl åberopade överförmyndaren att det förelåg en intressekonflikt mellan E.H. och A.D. Frå</w:t>
      </w:r>
      <w:r w:rsidRPr="00896D4F">
        <w:softHyphen/>
        <w:t>gorna om förva</w:t>
      </w:r>
      <w:r w:rsidRPr="00896D4F">
        <w:t>l</w:t>
      </w:r>
      <w:r w:rsidRPr="00896D4F">
        <w:t>tarskap och byte av god man är för när</w:t>
      </w:r>
      <w:r w:rsidRPr="00896D4F">
        <w:softHyphen/>
        <w:t>varande föremål för pröv</w:t>
      </w:r>
      <w:r w:rsidRPr="00896D4F">
        <w:softHyphen/>
        <w:t>ning i hovrä</w:t>
      </w:r>
      <w:r w:rsidRPr="00896D4F">
        <w:t>t</w:t>
      </w:r>
      <w:r w:rsidRPr="00896D4F">
        <w:t>ten.</w:t>
      </w:r>
    </w:p>
    <w:p w:rsidR="009C1C5A" w:rsidRPr="00896D4F" w:rsidRDefault="009C1C5A">
      <w:pPr>
        <w:pStyle w:val="Normaltindrag"/>
      </w:pPr>
      <w:r w:rsidRPr="00896D4F">
        <w:t xml:space="preserve">Den gode mannen har inte skött sitt uppdrag. Bl.a. har aktier avyttrats mot E.H:s vilja och till lägsta möjliga kurs. Brister i självdeklarationer har lett till felaktiga taxeringar och kvarskatt. I november 2001 såldes lägenheten mot E.H:s vilja. Den gode mannen </w:t>
      </w:r>
      <w:r w:rsidRPr="00896D4F">
        <w:t>har, i strid med vad E.H. vill, återkallat den fullmakt som E.H. givit jur. kand. G.H. att föra talan om upphävande av godmanskapet. Den gode mannen har därefter stämt G.H. i syfte att få ful</w:t>
      </w:r>
      <w:r w:rsidRPr="00896D4F">
        <w:t>l</w:t>
      </w:r>
      <w:r w:rsidRPr="00896D4F">
        <w:t>makten kraftlösförklarad.</w:t>
      </w:r>
    </w:p>
    <w:p w:rsidR="009C1C5A" w:rsidRPr="00896D4F" w:rsidRDefault="009C1C5A">
      <w:pPr>
        <w:pStyle w:val="Normaltindrag"/>
      </w:pPr>
      <w:r w:rsidRPr="00896D4F">
        <w:t>När G.H. begärde att få ta del av vissa handlingar rörande E.H, vägrade öve</w:t>
      </w:r>
      <w:r w:rsidRPr="00896D4F">
        <w:t>r</w:t>
      </w:r>
      <w:r w:rsidRPr="00896D4F">
        <w:t>för</w:t>
      </w:r>
      <w:r w:rsidRPr="00896D4F">
        <w:softHyphen/>
        <w:t>myndaren genom beslut att lämna ut dem. A.D. begärde då den 9 no</w:t>
      </w:r>
      <w:r w:rsidRPr="00896D4F">
        <w:softHyphen/>
        <w:t>vember 2001 att få ut de aktuella handling</w:t>
      </w:r>
      <w:r w:rsidRPr="00896D4F">
        <w:softHyphen/>
        <w:t>arna. Först den 27 november expe</w:t>
      </w:r>
      <w:r w:rsidRPr="00896D4F">
        <w:softHyphen/>
        <w:t>dierades handling</w:t>
      </w:r>
      <w:r w:rsidRPr="00896D4F">
        <w:softHyphen/>
        <w:t>arna, dock inte alla. Bl.a. sak</w:t>
      </w:r>
      <w:r w:rsidRPr="00896D4F">
        <w:softHyphen/>
        <w:t>nades årsräkningen för år 2000.</w:t>
      </w:r>
    </w:p>
    <w:p w:rsidR="009C1C5A" w:rsidRPr="00896D4F" w:rsidRDefault="009C1C5A">
      <w:pPr>
        <w:pStyle w:val="Normaltindrag"/>
      </w:pPr>
      <w:r w:rsidRPr="00896D4F">
        <w:t>I en komplettering till anmälan, daterad den 11 januari 2002, har A.D. a</w:t>
      </w:r>
      <w:r w:rsidRPr="00896D4F">
        <w:t>n</w:t>
      </w:r>
      <w:r w:rsidRPr="00896D4F">
        <w:t>fört bl.a. följande.</w:t>
      </w:r>
    </w:p>
    <w:p w:rsidR="009C1C5A" w:rsidRPr="00896D4F" w:rsidRDefault="009C1C5A">
      <w:pPr>
        <w:pStyle w:val="Normaltindrag"/>
      </w:pPr>
      <w:r w:rsidRPr="00896D4F">
        <w:t>Han har nu fått årsräkningen för år 2000. Den är emellertid inte undertec</w:t>
      </w:r>
      <w:r w:rsidRPr="00896D4F">
        <w:t>k</w:t>
      </w:r>
      <w:r w:rsidRPr="00896D4F">
        <w:t>nad av den gode mannen. Den är dessutom inlämnad den 19 november, dvs. drygt åtta månader för sent. Årsredovisningen upptar inte den bostadsrätt som sålts under året och inte heller vissa värdepapper. Årsräkningen har godkänts den 10 decem</w:t>
      </w:r>
      <w:r w:rsidRPr="00896D4F">
        <w:softHyphen/>
        <w:t>ber 2001. Vid den tidpunkten hade överförmyndaren kännedom om såväl bostads</w:t>
      </w:r>
      <w:r w:rsidRPr="00896D4F">
        <w:softHyphen/>
        <w:t>rät</w:t>
      </w:r>
      <w:r w:rsidRPr="00896D4F">
        <w:softHyphen/>
        <w:t>ten som aktieinnehavet.</w:t>
      </w:r>
    </w:p>
    <w:p w:rsidR="009C1C5A" w:rsidRPr="00896D4F" w:rsidRDefault="009C1C5A">
      <w:pPr>
        <w:pStyle w:val="Rubrik3"/>
      </w:pPr>
      <w:r w:rsidRPr="00896D4F">
        <w:t>Utredningen</w:t>
      </w:r>
    </w:p>
    <w:p w:rsidR="009C1C5A" w:rsidRPr="00896D4F" w:rsidRDefault="009C1C5A">
      <w:r w:rsidRPr="00896D4F">
        <w:t>Överförmyndarens akt avseende godmanskap för E.H. har lånats in och granskats. Överförmyndaren har därefter i remiss anmodats att yttra sig över följande om</w:t>
      </w:r>
      <w:r w:rsidRPr="00896D4F">
        <w:softHyphen/>
        <w:t>ständigheter:</w:t>
      </w:r>
    </w:p>
    <w:p w:rsidR="009C1C5A" w:rsidRPr="00896D4F" w:rsidRDefault="009C1C5A">
      <w:r w:rsidRPr="00896D4F">
        <w:t>– vad A.D. i sin anmälan har anfört om handläggningstiden för expe</w:t>
      </w:r>
      <w:r w:rsidRPr="00896D4F">
        <w:softHyphen/>
        <w:t>dieringen av de handlingar han begärt att få ut,</w:t>
      </w:r>
    </w:p>
    <w:p w:rsidR="009C1C5A" w:rsidRPr="00896D4F" w:rsidRDefault="009C1C5A">
      <w:r w:rsidRPr="00896D4F">
        <w:t>– vad A.D. har anfört om att årsräkningen för år 2000 ingivits för sent och inte upptar vissa tillgångar (aktier och en bostadsrätt). Överförmyndaren bör också kommentera det faktum att inte heller årsräkningen för 1999 upptar några sådana tillgångar. Överförmyndaren skall i detta sammanhang ange om någon påminnelse att avge årsräkning för 2000 gjorts, eller om anstånd me</w:t>
      </w:r>
      <w:r w:rsidRPr="00896D4F">
        <w:t>d</w:t>
      </w:r>
      <w:r w:rsidRPr="00896D4F">
        <w:t>givits med avgivandet, samt</w:t>
      </w:r>
    </w:p>
    <w:p w:rsidR="009C1C5A" w:rsidRPr="00896D4F" w:rsidRDefault="009C1C5A">
      <w:r w:rsidRPr="00896D4F">
        <w:t>– vad A.D. har anfört om att den kopia han har erhållit av årsräkningen för år 2000 inte är undertecknad av den dåvarande gode mannen. Det skall i sam</w:t>
      </w:r>
      <w:r w:rsidRPr="00896D4F">
        <w:softHyphen/>
        <w:t>man</w:t>
      </w:r>
      <w:r w:rsidRPr="00896D4F">
        <w:softHyphen/>
        <w:t>hanget påpekas att originalet i akten är undertecknat.</w:t>
      </w:r>
    </w:p>
    <w:p w:rsidR="009C1C5A" w:rsidRPr="00896D4F" w:rsidRDefault="009C1C5A">
      <w:r w:rsidRPr="00896D4F">
        <w:t xml:space="preserve">Överförmyndaren skall därutöver yttra sig </w:t>
      </w:r>
      <w:r w:rsidRPr="00896D4F">
        <w:rPr>
          <w:i/>
        </w:rPr>
        <w:t>dels</w:t>
      </w:r>
      <w:r w:rsidRPr="00896D4F">
        <w:t xml:space="preserve"> över varför årsräkningen för 1999 godkänts utan kommentar trots att – som det ser ut – merparten av up</w:t>
      </w:r>
      <w:r w:rsidRPr="00896D4F">
        <w:t>p</w:t>
      </w:r>
      <w:r w:rsidRPr="00896D4F">
        <w:t>gif</w:t>
      </w:r>
      <w:r w:rsidRPr="00896D4F">
        <w:softHyphen/>
        <w:t xml:space="preserve">terna har fyllts i eller ändrats av överförmyndaren, </w:t>
      </w:r>
      <w:r w:rsidRPr="00896D4F">
        <w:rPr>
          <w:i/>
        </w:rPr>
        <w:t>dels</w:t>
      </w:r>
      <w:r w:rsidRPr="00896D4F">
        <w:t xml:space="preserve"> över ett brev skr</w:t>
      </w:r>
      <w:r w:rsidRPr="00896D4F">
        <w:t>i</w:t>
      </w:r>
      <w:r w:rsidRPr="00896D4F">
        <w:t>vet av en handläg</w:t>
      </w:r>
      <w:r w:rsidRPr="00896D4F">
        <w:softHyphen/>
        <w:t>gare den 21 september 2000, i vilket anges att överförmy</w:t>
      </w:r>
      <w:r w:rsidRPr="00896D4F">
        <w:t>n</w:t>
      </w:r>
      <w:r w:rsidRPr="00896D4F">
        <w:t>daren ”...översänder en kladd på sluträkningen som Du måste renskriva och under</w:t>
      </w:r>
      <w:r w:rsidRPr="00896D4F">
        <w:softHyphen/>
        <w:t>teckna”.</w:t>
      </w:r>
    </w:p>
    <w:p w:rsidR="009C1C5A" w:rsidRPr="00896D4F" w:rsidRDefault="009C1C5A">
      <w:r w:rsidRPr="00896D4F">
        <w:t>Överförmyndaren har i remissvar anfört följande.</w:t>
      </w:r>
    </w:p>
    <w:p w:rsidR="009C1C5A" w:rsidRPr="00896D4F" w:rsidRDefault="009C1C5A">
      <w:pPr>
        <w:pStyle w:val="Citat"/>
      </w:pPr>
      <w:r w:rsidRPr="00896D4F">
        <w:t>Jag vill till en början understryka att ärendet varit exceptionellt komplicerat att handlägga. Som torde framgå av innehållet i akten har gode mannen måst arbeta i en konfliktfylld atmosfär efter</w:t>
      </w:r>
      <w:r w:rsidRPr="00896D4F">
        <w:softHyphen/>
        <w:t>som huvudmannens son satt sig emot att hans mor överhuvudtaget skulle ha god man. Självklart har deras verk</w:t>
      </w:r>
      <w:r w:rsidRPr="00896D4F">
        <w:softHyphen/>
        <w:t>samhet blivit lidande av detta. Samtidigt förhåller det sig ju så att ett god</w:t>
      </w:r>
      <w:r w:rsidRPr="00896D4F">
        <w:softHyphen/>
        <w:t>manskap och senare förvaltarskap var en nödvändighet. De brister som finns i ärendet bör ses i ljuset av vad som nu sagts. Jag hänför mig härefter till de frågor, som ställts i remissen.</w:t>
      </w:r>
    </w:p>
    <w:p w:rsidR="009C1C5A" w:rsidRPr="00896D4F" w:rsidRDefault="009C1C5A">
      <w:pPr>
        <w:pStyle w:val="Citatindrag"/>
      </w:pPr>
      <w:r w:rsidRPr="00896D4F">
        <w:t>A.D:s begäran att få ta del av hand</w:t>
      </w:r>
      <w:r w:rsidRPr="00896D4F">
        <w:softHyphen/>
        <w:t>lingar i akten inkom 01-11-13. Två veckor senare – den 27 november – sän</w:t>
      </w:r>
      <w:r w:rsidRPr="00896D4F">
        <w:softHyphen/>
        <w:t>des handlingarna till ho</w:t>
      </w:r>
      <w:r w:rsidRPr="00896D4F">
        <w:softHyphen/>
        <w:t>nom. Årsrä</w:t>
      </w:r>
      <w:r w:rsidRPr="00896D4F">
        <w:t>k</w:t>
      </w:r>
      <w:r w:rsidRPr="00896D4F">
        <w:t>ningen för år 2000 var då nyligen in</w:t>
      </w:r>
      <w:r w:rsidRPr="00896D4F">
        <w:softHyphen/>
        <w:t>kommen. Den sändes till ho</w:t>
      </w:r>
      <w:r w:rsidRPr="00896D4F">
        <w:softHyphen/>
        <w:t>nom först efter granskningen den 17 december. Med tanke på om</w:t>
      </w:r>
      <w:r w:rsidRPr="00896D4F">
        <w:softHyphen/>
        <w:t>fånget av de handlin</w:t>
      </w:r>
      <w:r w:rsidRPr="00896D4F">
        <w:t>g</w:t>
      </w:r>
      <w:r w:rsidRPr="00896D4F">
        <w:t>ar som måste kopieras, upplever jag inte att hand</w:t>
      </w:r>
      <w:r w:rsidRPr="00896D4F">
        <w:softHyphen/>
        <w:t>lägg</w:t>
      </w:r>
      <w:r w:rsidRPr="00896D4F">
        <w:softHyphen/>
        <w:t>ningstiden på två veckor var oför</w:t>
      </w:r>
      <w:r w:rsidRPr="00896D4F">
        <w:softHyphen/>
        <w:t>svarbart lång.</w:t>
      </w:r>
    </w:p>
    <w:p w:rsidR="009C1C5A" w:rsidRPr="00896D4F" w:rsidRDefault="009C1C5A">
      <w:pPr>
        <w:pStyle w:val="Citatindrag"/>
      </w:pPr>
      <w:r w:rsidRPr="00896D4F">
        <w:t>Som nyss sagts ingavs årsräkningen för år 2000 först den 19 november. Förseningen torde få till</w:t>
      </w:r>
      <w:r w:rsidRPr="00896D4F">
        <w:softHyphen/>
        <w:t>skrivas den turbulens som rådde i gode männens verksamhet (byte skedde ju under hösten) p.g.a. sonens bristande vilja till samarbete. Vid de många kontakter jag hade med dem påminde jag självklart om skyldigheten att avge årsredovisning.</w:t>
      </w:r>
    </w:p>
    <w:p w:rsidR="009C1C5A" w:rsidRPr="00896D4F" w:rsidRDefault="009C1C5A">
      <w:pPr>
        <w:pStyle w:val="Citatindrag"/>
      </w:pPr>
      <w:r w:rsidRPr="00896D4F">
        <w:t>Först under hösten 1999 fick gode mannen kunskap om att huvudman</w:t>
      </w:r>
      <w:r w:rsidRPr="00896D4F">
        <w:softHyphen/>
        <w:t>nen innehade en bostadsrätt. Föreningen kontak</w:t>
      </w:r>
      <w:r w:rsidRPr="00896D4F">
        <w:softHyphen/>
        <w:t>tade då gode mannen eftersom fem månadsavgifter var obetalda. Någon note</w:t>
      </w:r>
      <w:r w:rsidRPr="00896D4F">
        <w:softHyphen/>
        <w:t>ring om inneha</w:t>
      </w:r>
      <w:r w:rsidRPr="00896D4F">
        <w:softHyphen/>
        <w:t>vet gjordes inte i årsredovisningen för detta år, vilket var felaktigt. För</w:t>
      </w:r>
      <w:r w:rsidRPr="00896D4F">
        <w:softHyphen/>
        <w:t>hållandet borde också ha föranlett en anmärkning från min sida. Vad gäller aktieinnehavet lyckades den förste gode mannen inte få grepp på detta under sin verksamhetstid. Först i och med att ny god man tillträtt under hösten 2000 uppnåddes klarhet på den punkten. I gode man</w:t>
      </w:r>
      <w:r w:rsidRPr="00896D4F">
        <w:softHyphen/>
        <w:t>nens förteckning, daterad</w:t>
      </w:r>
      <w:r w:rsidRPr="00896D4F">
        <w:t xml:space="preserve"> den 23 november 2000, finns aktierna upptagna. I årsräkningen finns de dock inte med, vilket jag anmärkte på. Också bo</w:t>
      </w:r>
      <w:r w:rsidRPr="00896D4F">
        <w:softHyphen/>
        <w:t>stads</w:t>
      </w:r>
      <w:r w:rsidRPr="00896D4F">
        <w:softHyphen/>
        <w:t>rätten saknades i uppställningen, vilket dock inte föranledde någon anmärk</w:t>
      </w:r>
      <w:r w:rsidRPr="00896D4F">
        <w:softHyphen/>
        <w:t>ning, vilket borde ha skett.</w:t>
      </w:r>
    </w:p>
    <w:p w:rsidR="009C1C5A" w:rsidRPr="00896D4F" w:rsidRDefault="009C1C5A">
      <w:pPr>
        <w:pStyle w:val="Citatindrag"/>
      </w:pPr>
      <w:r w:rsidRPr="00896D4F">
        <w:t>När årsräkningen för år 2000 ingavs var den inte undertecknad av gode mannen. Detta rättades i efterhand. Kopian som tillställdes A.D. gjordes före kompletteringen.</w:t>
      </w:r>
    </w:p>
    <w:p w:rsidR="009C1C5A" w:rsidRPr="00896D4F" w:rsidRDefault="009C1C5A">
      <w:pPr>
        <w:pStyle w:val="Citatindrag"/>
      </w:pPr>
      <w:r w:rsidRPr="00896D4F">
        <w:t>Valet av den förste gode mannen visade sig vara mindre lyckat. Jag kan bara konstatera att hon inte hade förmåga att hantera den konfliktfyllda situ</w:t>
      </w:r>
      <w:r w:rsidRPr="00896D4F">
        <w:t>a</w:t>
      </w:r>
      <w:r w:rsidRPr="00896D4F">
        <w:t>tion, som uppstod när huvudmannens son ställde sig helt avvisande till henne som god man. Hennes krafter tog mer eller mindre slut, vilket innebar att mitt kansli fick hjälpa till både med att åstadkomma årsräk</w:t>
      </w:r>
      <w:r w:rsidRPr="00896D4F">
        <w:softHyphen/>
        <w:t>ning och sluträkning.</w:t>
      </w:r>
    </w:p>
    <w:p w:rsidR="009C1C5A" w:rsidRPr="00896D4F" w:rsidRDefault="009C1C5A">
      <w:r w:rsidRPr="00896D4F">
        <w:t>A.D. har yttrat sig över remissvaret.</w:t>
      </w:r>
    </w:p>
    <w:p w:rsidR="009C1C5A" w:rsidRPr="00896D4F" w:rsidRDefault="009C1C5A">
      <w:pPr>
        <w:pStyle w:val="Rubrik3"/>
      </w:pPr>
      <w:r w:rsidRPr="00896D4F">
        <w:t>Bedömning</w:t>
      </w:r>
    </w:p>
    <w:p w:rsidR="009C1C5A" w:rsidRPr="00896D4F" w:rsidRDefault="009C1C5A">
      <w:r w:rsidRPr="00896D4F">
        <w:t>Inledningsvis vill jag anföra följande.</w:t>
      </w:r>
    </w:p>
    <w:p w:rsidR="009C1C5A" w:rsidRPr="00896D4F" w:rsidRDefault="009C1C5A">
      <w:r w:rsidRPr="00896D4F">
        <w:t>Jag uttalar mig inte i frågan om huruvida E.H. skall ha god man eller förvalt</w:t>
      </w:r>
      <w:r w:rsidRPr="00896D4F">
        <w:t>a</w:t>
      </w:r>
      <w:r w:rsidRPr="00896D4F">
        <w:t>re eller vem som i så fall skall vara hennes ställföreträdare. Det beror på att det är  be</w:t>
      </w:r>
      <w:r w:rsidRPr="00896D4F">
        <w:softHyphen/>
        <w:t>dömningsfrågor, som därtill kan överklagas. Dessa frågor har i för</w:t>
      </w:r>
      <w:r w:rsidRPr="00896D4F">
        <w:t>e</w:t>
      </w:r>
      <w:r w:rsidRPr="00896D4F">
        <w:t>varande fall också prövats av domstol. JO:s granskning av myndigheter och domstolar är inte avsedd att ersätta den prövning som kan ske i ordinarie ordning. Den begränsar sig i prin</w:t>
      </w:r>
      <w:r w:rsidRPr="00896D4F">
        <w:softHyphen/>
        <w:t>cip till att kontrollera om de som står under JO:s tillsyn har följt lagar och andra författningar i sin verksamhet, såvitt gäller förfarandet. Jag granskar inte heller, a</w:t>
      </w:r>
      <w:r w:rsidRPr="00896D4F">
        <w:t>nnat än indirekt, de aktuella gode män</w:t>
      </w:r>
      <w:r w:rsidRPr="00896D4F">
        <w:softHyphen/>
        <w:t>nens age</w:t>
      </w:r>
      <w:r w:rsidRPr="00896D4F">
        <w:softHyphen/>
        <w:t>rande. Det beror på att jag inte har till</w:t>
      </w:r>
      <w:r w:rsidRPr="00896D4F">
        <w:softHyphen/>
        <w:t>syn över gode män och därmed inte heller befogenhet att kritisera dem. Min till</w:t>
      </w:r>
      <w:r w:rsidRPr="00896D4F">
        <w:softHyphen/>
        <w:t>syn i det här aktuella avseendet in</w:t>
      </w:r>
      <w:r w:rsidRPr="00896D4F">
        <w:softHyphen/>
        <w:t>skränker sig således till att granska hu</w:t>
      </w:r>
      <w:r w:rsidRPr="00896D4F">
        <w:softHyphen/>
        <w:t>ruvida de gode männens eventuellt felaktiga age</w:t>
      </w:r>
      <w:r w:rsidRPr="00896D4F">
        <w:softHyphen/>
        <w:t>rande borde ha upp</w:t>
      </w:r>
      <w:r w:rsidRPr="00896D4F">
        <w:softHyphen/>
        <w:t>täckts av över</w:t>
      </w:r>
      <w:r w:rsidRPr="00896D4F">
        <w:softHyphen/>
        <w:t>förmyndaren och huruvida överförmyndaren därvid brustit i sina enligt lag ålagda skyldig</w:t>
      </w:r>
      <w:r w:rsidRPr="00896D4F">
        <w:softHyphen/>
        <w:t>heter att vidta vissa åtgärder och utöva tillsyn i vidare bemärkelse.</w:t>
      </w:r>
    </w:p>
    <w:p w:rsidR="009C1C5A" w:rsidRPr="00896D4F" w:rsidRDefault="009C1C5A">
      <w:pPr>
        <w:pStyle w:val="Rubrik4"/>
      </w:pPr>
      <w:r w:rsidRPr="00896D4F">
        <w:t xml:space="preserve">Dröjsmål med utlämnande </w:t>
      </w:r>
      <w:r w:rsidRPr="00896D4F">
        <w:t xml:space="preserve">av handlingar </w:t>
      </w:r>
    </w:p>
    <w:p w:rsidR="009C1C5A" w:rsidRPr="00896D4F" w:rsidRDefault="009C1C5A">
      <w:r w:rsidRPr="00896D4F">
        <w:t>Av utredningen har framgått att A.D:s begäran att få ta del av hand</w:t>
      </w:r>
      <w:r w:rsidRPr="00896D4F">
        <w:softHyphen/>
        <w:t>ling</w:t>
      </w:r>
      <w:r w:rsidRPr="00896D4F">
        <w:softHyphen/>
        <w:t>arna i akten rörande E.H. kom in till överförmyndaren den 13 november 2001 och att dessa – undantaget årsräkningen för år 2000 – sändes till honom två vec</w:t>
      </w:r>
      <w:r w:rsidRPr="00896D4F">
        <w:t>k</w:t>
      </w:r>
      <w:r w:rsidRPr="00896D4F">
        <w:t>or senare. Nämnda räkning sändes till honom först den 17 december.</w:t>
      </w:r>
    </w:p>
    <w:p w:rsidR="009C1C5A" w:rsidRPr="00896D4F" w:rsidRDefault="009C1C5A">
      <w:pPr>
        <w:pStyle w:val="Normaltindrag"/>
      </w:pPr>
      <w:r w:rsidRPr="00896D4F">
        <w:t>Av 16 kap. 7 § föräldrabalken framgår att den som har god man, liksom dennes närmaste släktingar, har rätt att ta del av de handlingar som rör ställf</w:t>
      </w:r>
      <w:r w:rsidRPr="00896D4F">
        <w:t>ö</w:t>
      </w:r>
      <w:r w:rsidRPr="00896D4F">
        <w:t>reträdarska</w:t>
      </w:r>
      <w:r w:rsidRPr="00896D4F">
        <w:softHyphen/>
        <w:t>pet som förvaras hos överförmyndaren. En sådan framställning skall behandlas med tillbörlig skyndsamhet.</w:t>
      </w:r>
    </w:p>
    <w:p w:rsidR="009C1C5A" w:rsidRPr="00896D4F" w:rsidRDefault="009C1C5A">
      <w:pPr>
        <w:pStyle w:val="Normaltindrag"/>
      </w:pPr>
      <w:r w:rsidRPr="00896D4F">
        <w:t>Även om det material som A.D. begärde att få ut var tämligen omfat</w:t>
      </w:r>
      <w:r w:rsidRPr="00896D4F">
        <w:softHyphen/>
        <w:t>tande är en handläggningstid på två veckor enligt min mening för lång. Därtill kommer att överförmyndaren borde ha lämnat ut även årsräkningen för år 2000 samtidigt med de övriga handlingarna. Handläggningstiden för utlä</w:t>
      </w:r>
      <w:r w:rsidRPr="00896D4F">
        <w:t>m</w:t>
      </w:r>
      <w:r w:rsidRPr="00896D4F">
        <w:t>nandet av den räkningen kom genom överförmyndarens agerande att överst</w:t>
      </w:r>
      <w:r w:rsidRPr="00896D4F">
        <w:t>i</w:t>
      </w:r>
      <w:r w:rsidRPr="00896D4F">
        <w:t>ga en månad, vilket är än mindre acceptabelt.</w:t>
      </w:r>
    </w:p>
    <w:p w:rsidR="009C1C5A" w:rsidRPr="00896D4F" w:rsidRDefault="009C1C5A">
      <w:pPr>
        <w:pStyle w:val="Rubrik4"/>
      </w:pPr>
      <w:r w:rsidRPr="00896D4F">
        <w:t>Hanteringen av årsräkningen för år 2000</w:t>
      </w:r>
    </w:p>
    <w:p w:rsidR="009C1C5A" w:rsidRPr="00896D4F" w:rsidRDefault="009C1C5A">
      <w:r w:rsidRPr="00896D4F">
        <w:t>Enligt 14 kap. 15 § föräldrabalken skall förordnade gode män före den 1 mars varje år avge årsräkning för föregående år. Enligt 20 § kan överförmyndaren, om den gode mannen anmäler hinder mot att komma in med räkning i tid, medge an</w:t>
      </w:r>
      <w:r w:rsidRPr="00896D4F">
        <w:softHyphen/>
        <w:t>stånd med avgivandet. Överförmyndaren skall i så fall bestämma ny tid för av</w:t>
      </w:r>
      <w:r w:rsidRPr="00896D4F">
        <w:softHyphen/>
        <w:t>lämnan</w:t>
      </w:r>
      <w:r w:rsidRPr="00896D4F">
        <w:softHyphen/>
        <w:t>det. Det beror självfallet på omständigheterna i det enskilda fallet huruvida an</w:t>
      </w:r>
      <w:r w:rsidRPr="00896D4F">
        <w:softHyphen/>
        <w:t>stånd bör ges och hur långt anstånd som i så fall kan acce</w:t>
      </w:r>
      <w:r w:rsidRPr="00896D4F">
        <w:t>p</w:t>
      </w:r>
      <w:r w:rsidRPr="00896D4F">
        <w:t>teras.</w:t>
      </w:r>
    </w:p>
    <w:p w:rsidR="009C1C5A" w:rsidRPr="00896D4F" w:rsidRDefault="009C1C5A">
      <w:pPr>
        <w:pStyle w:val="Normaltindrag"/>
      </w:pPr>
      <w:r w:rsidRPr="00896D4F">
        <w:t>I förevarande fall har årsräkningen för år 2000 kommit in över åtta mån</w:t>
      </w:r>
      <w:r w:rsidRPr="00896D4F">
        <w:t>a</w:t>
      </w:r>
      <w:r w:rsidRPr="00896D4F">
        <w:t>der se</w:t>
      </w:r>
      <w:r w:rsidRPr="00896D4F">
        <w:softHyphen/>
        <w:t>nare än den i lagen angivna tidpunkten. Såvitt framgår av utredningen har över</w:t>
      </w:r>
      <w:r w:rsidRPr="00896D4F">
        <w:softHyphen/>
        <w:t>förmyndaren inte formellt medgivit anstånd och inte heller bestämt någon ny tid för avgivandet av räkningen. Några andra åtgärder än muntliga påminnelser för att få in räkningen har inte heller vidtagits av överförmynd</w:t>
      </w:r>
      <w:r w:rsidRPr="00896D4F">
        <w:t>a</w:t>
      </w:r>
      <w:r w:rsidRPr="00896D4F">
        <w:t>ren. Det framstår vidare som tveksamt att ifrågasättandet av ställföreträda</w:t>
      </w:r>
      <w:r w:rsidRPr="00896D4F">
        <w:t>r</w:t>
      </w:r>
      <w:r w:rsidRPr="00896D4F">
        <w:t>skapet och därmed samman</w:t>
      </w:r>
      <w:r w:rsidRPr="00896D4F">
        <w:softHyphen/>
        <w:t>hängande förhållanden skulle vara skäl att utan ytterligare åtgärder acceptera att årsräkningen inte gavs</w:t>
      </w:r>
      <w:r w:rsidRPr="00896D4F">
        <w:t xml:space="preserve"> in på så lång tid. Enligt min mening borde överförmynda</w:t>
      </w:r>
      <w:r w:rsidRPr="00896D4F">
        <w:softHyphen/>
        <w:t>ren ha vidtagit kraftigare åtgärder för att få in årsräkningen. I vart fall när det stod klart att muntliga påminnelser inte hade någon effekt, borde överförmyndaren ha tagit ställning till om a</w:t>
      </w:r>
      <w:r w:rsidRPr="00896D4F">
        <w:t>n</w:t>
      </w:r>
      <w:r w:rsidRPr="00896D4F">
        <w:t>stånd skulle medges och i få fall bestämt ny tid för avläm</w:t>
      </w:r>
      <w:r w:rsidRPr="00896D4F">
        <w:softHyphen/>
        <w:t>nandet. För sin u</w:t>
      </w:r>
      <w:r w:rsidRPr="00896D4F">
        <w:t>n</w:t>
      </w:r>
      <w:r w:rsidRPr="00896D4F">
        <w:t>derlåtenhet i detta avseende kan överförmyndaren inte undgå viss kritik.</w:t>
      </w:r>
    </w:p>
    <w:p w:rsidR="009C1C5A" w:rsidRPr="00896D4F" w:rsidRDefault="009C1C5A">
      <w:pPr>
        <w:pStyle w:val="Normaltindrag"/>
      </w:pPr>
      <w:r w:rsidRPr="00896D4F">
        <w:t>Årsräkningen för år 2000 var inte undertecknad av den gode mannen när den kom in den 19 november 2001. Överför</w:t>
      </w:r>
      <w:r w:rsidRPr="00896D4F">
        <w:t>myndaren har uppgivit att årsrä</w:t>
      </w:r>
      <w:r w:rsidRPr="00896D4F">
        <w:t>k</w:t>
      </w:r>
      <w:r w:rsidRPr="00896D4F">
        <w:t>ningen komp</w:t>
      </w:r>
      <w:r w:rsidRPr="00896D4F">
        <w:softHyphen/>
        <w:t>letterades med den gode mannens underskrift efter ingivandet. När så skedde framgår inte närmare av utredningen. Överförmyndaren har dock anfört att kompletteringen gjordes efter det att den kopia som skickades till A.D. fram</w:t>
      </w:r>
      <w:r w:rsidRPr="00896D4F">
        <w:softHyphen/>
        <w:t>ställ</w:t>
      </w:r>
      <w:r w:rsidRPr="00896D4F">
        <w:softHyphen/>
        <w:t>des. Att så var fallet framgår också av att den kopia som denne har givit in till JO saknar den gode mannens underskrift. Den innehå</w:t>
      </w:r>
      <w:r w:rsidRPr="00896D4F">
        <w:t>l</w:t>
      </w:r>
      <w:r w:rsidRPr="00896D4F">
        <w:t>ler dock anteckningar av över</w:t>
      </w:r>
      <w:r w:rsidRPr="00896D4F">
        <w:softHyphen/>
        <w:t>förmyndaren, av vilka det framgår att räkningen har granskats och god</w:t>
      </w:r>
      <w:r w:rsidRPr="00896D4F">
        <w:softHyphen/>
        <w:t>kän</w:t>
      </w:r>
      <w:r w:rsidRPr="00896D4F">
        <w:t>ts. Up</w:t>
      </w:r>
      <w:r w:rsidRPr="00896D4F">
        <w:softHyphen/>
        <w:t>penbarligen har överförmyndaren granskat och godkänt räkningen – i det avse</w:t>
      </w:r>
      <w:r w:rsidRPr="00896D4F">
        <w:softHyphen/>
        <w:t>endet helt utan anmärkning – trots att den inte var undertecknad av den gode mannen. Förfarandet är ytterst anmär</w:t>
      </w:r>
      <w:r w:rsidRPr="00896D4F">
        <w:t>k</w:t>
      </w:r>
      <w:r w:rsidRPr="00896D4F">
        <w:t>ningsvärt och självklart helt oacceptabelt.</w:t>
      </w:r>
    </w:p>
    <w:p w:rsidR="009C1C5A" w:rsidRPr="00896D4F" w:rsidRDefault="009C1C5A">
      <w:pPr>
        <w:pStyle w:val="Rubrik4"/>
      </w:pPr>
      <w:r w:rsidRPr="00896D4F">
        <w:t xml:space="preserve">Handläggningen av årsräkningar i övrigt </w:t>
      </w:r>
    </w:p>
    <w:p w:rsidR="009C1C5A" w:rsidRPr="00896D4F" w:rsidRDefault="009C1C5A">
      <w:r w:rsidRPr="00896D4F">
        <w:t>I likhet med vad som anförts i remissvaret anser jag att överförmyndaren brustit  i sin tillsyn genom att inte notera att vissa av huvudmannens tillgångar saknades i de aktuella årsredovisningarna och se till att det rättades till. Jag vill i detta sam</w:t>
      </w:r>
      <w:r w:rsidRPr="00896D4F">
        <w:softHyphen/>
        <w:t>manhang understryka vikten av att överförmyndaren i möjl</w:t>
      </w:r>
      <w:r w:rsidRPr="00896D4F">
        <w:t>i</w:t>
      </w:r>
      <w:r w:rsidRPr="00896D4F">
        <w:t>gaste mån noga kon</w:t>
      </w:r>
      <w:r w:rsidRPr="00896D4F">
        <w:softHyphen/>
        <w:t>trollerar att tillgångar tagits upp i förteckningar och red</w:t>
      </w:r>
      <w:r w:rsidRPr="00896D4F">
        <w:t>o</w:t>
      </w:r>
      <w:r w:rsidRPr="00896D4F">
        <w:t>visningar, eftersom un</w:t>
      </w:r>
      <w:r w:rsidRPr="00896D4F">
        <w:softHyphen/>
        <w:t>derlåtenhet i det avseendet kan öppna möjligheter för oegentligheter från en ställ</w:t>
      </w:r>
      <w:r w:rsidRPr="00896D4F">
        <w:softHyphen/>
        <w:t>företrädares sida.</w:t>
      </w:r>
    </w:p>
    <w:p w:rsidR="009C1C5A" w:rsidRPr="00896D4F" w:rsidRDefault="009C1C5A">
      <w:pPr>
        <w:pStyle w:val="Normaltindrag"/>
      </w:pPr>
      <w:r w:rsidRPr="00896D4F">
        <w:t>Av handlingarna i akten framgår att årsräkningen för 1999 godkänts utan kom</w:t>
      </w:r>
      <w:r w:rsidRPr="00896D4F">
        <w:softHyphen/>
        <w:t>mentar trots att merparten av uppgifterna har fyllts i eller ändrats av öve</w:t>
      </w:r>
      <w:r w:rsidRPr="00896D4F">
        <w:t>r</w:t>
      </w:r>
      <w:r w:rsidRPr="00896D4F">
        <w:t>förmyn</w:t>
      </w:r>
      <w:r w:rsidRPr="00896D4F">
        <w:softHyphen/>
        <w:t>daren. Vidare framgår av handläggarens brev den 21 september 2000, liksom av remissvaret, att samma gode mans sluträkning framställts av han</w:t>
      </w:r>
      <w:r w:rsidRPr="00896D4F">
        <w:t>d</w:t>
      </w:r>
      <w:r w:rsidRPr="00896D4F">
        <w:t>lägga</w:t>
      </w:r>
      <w:r w:rsidRPr="00896D4F">
        <w:softHyphen/>
        <w:t>ren och därefter endast undertecknats av den gode mannen. Överfö</w:t>
      </w:r>
      <w:r w:rsidRPr="00896D4F">
        <w:t>r</w:t>
      </w:r>
      <w:r w:rsidRPr="00896D4F">
        <w:t>myndaren har i denna del anfört att överförmyndarens insats i detta avseende var nödvändig eftersom den gode mannens krafter mer eller mindre tagit slut.</w:t>
      </w:r>
    </w:p>
    <w:p w:rsidR="009C1C5A" w:rsidRPr="00896D4F" w:rsidRDefault="009C1C5A">
      <w:pPr>
        <w:pStyle w:val="Normaltindrag"/>
      </w:pPr>
      <w:r w:rsidRPr="00896D4F">
        <w:t>I princip är det, med hänsyn till att årsredovisningar och slu</w:t>
      </w:r>
      <w:r w:rsidRPr="00896D4F">
        <w:t>träkningar a</w:t>
      </w:r>
      <w:r w:rsidRPr="00896D4F">
        <w:t>v</w:t>
      </w:r>
      <w:r w:rsidRPr="00896D4F">
        <w:t>ges under straffansvar, naturligtvis olämpligt att överförmyndaren framställer så</w:t>
      </w:r>
      <w:r w:rsidRPr="00896D4F">
        <w:softHyphen/>
        <w:t>dana hand</w:t>
      </w:r>
      <w:r w:rsidRPr="00896D4F">
        <w:softHyphen/>
        <w:t>lingar i en god mans ställe. Med hänsyn till de speciella omstä</w:t>
      </w:r>
      <w:r w:rsidRPr="00896D4F">
        <w:t>n</w:t>
      </w:r>
      <w:r w:rsidRPr="00896D4F">
        <w:t>digheter som up</w:t>
      </w:r>
      <w:r w:rsidRPr="00896D4F">
        <w:softHyphen/>
        <w:t>pen</w:t>
      </w:r>
      <w:r w:rsidRPr="00896D4F">
        <w:softHyphen/>
        <w:t>barligen har förelegat i förevarande fall finner jag dock inte tillräckliga skäl att kritisera över</w:t>
      </w:r>
      <w:r w:rsidRPr="00896D4F">
        <w:softHyphen/>
        <w:t>förmyndaren för hennes agerande i detta avseende.</w:t>
      </w:r>
    </w:p>
    <w:p w:rsidR="009C1C5A" w:rsidRPr="00896D4F" w:rsidRDefault="009C1C5A">
      <w:pPr>
        <w:pStyle w:val="Rubrik2"/>
      </w:pPr>
      <w:r w:rsidRPr="00896D4F">
        <w:t>Kritik mot en överförmyndare för handläggningen av ett godman</w:t>
      </w:r>
      <w:r w:rsidRPr="00896D4F">
        <w:t>s</w:t>
      </w:r>
      <w:r w:rsidRPr="00896D4F">
        <w:t>ärende m.m.</w:t>
      </w:r>
    </w:p>
    <w:p w:rsidR="009C1C5A" w:rsidRPr="00896D4F" w:rsidRDefault="009C1C5A">
      <w:pPr>
        <w:spacing w:before="0"/>
      </w:pPr>
      <w:r w:rsidRPr="00896D4F">
        <w:t>(Dnr 247-2002)</w:t>
      </w:r>
    </w:p>
    <w:p w:rsidR="009C1C5A" w:rsidRPr="00896D4F" w:rsidRDefault="009C1C5A">
      <w:r w:rsidRPr="00896D4F">
        <w:t xml:space="preserve">I ett beslut den 10 juni 2002 anförde </w:t>
      </w:r>
      <w:r w:rsidRPr="00896D4F">
        <w:rPr>
          <w:i/>
        </w:rPr>
        <w:t>JO Pennlöv</w:t>
      </w:r>
      <w:r w:rsidRPr="00896D4F">
        <w:t xml:space="preserve"> följande.</w:t>
      </w:r>
    </w:p>
    <w:p w:rsidR="009C1C5A" w:rsidRPr="00896D4F" w:rsidRDefault="009C1C5A">
      <w:pPr>
        <w:pStyle w:val="Rubrik3"/>
      </w:pPr>
      <w:r w:rsidRPr="00896D4F">
        <w:t>Anmälan</w:t>
      </w:r>
    </w:p>
    <w:p w:rsidR="009C1C5A" w:rsidRPr="00896D4F" w:rsidRDefault="009C1C5A">
      <w:r w:rsidRPr="00896D4F">
        <w:t>I en anmälan, som kom in till JO den 18 januari 2002 och kompletterades den 11 februari, har M.W. framfört kritik mot Överförmyndaren i Västerås ang</w:t>
      </w:r>
      <w:r w:rsidRPr="00896D4F">
        <w:t>å</w:t>
      </w:r>
      <w:r w:rsidRPr="00896D4F">
        <w:t>ende handläggningen av ett ärende rörande godmanskap för hennes numera avlidna moster, B.H. Hon har också kritiserat en god man. Hon har anfört bl.a. följande.</w:t>
      </w:r>
    </w:p>
    <w:p w:rsidR="009C1C5A" w:rsidRPr="00896D4F" w:rsidRDefault="009C1C5A">
      <w:pPr>
        <w:pStyle w:val="Normaltindrag"/>
      </w:pPr>
      <w:r w:rsidRPr="00896D4F">
        <w:t>För B.H., som befunnits lida av senil demens, anordnades godmanskap 1995. Un</w:t>
      </w:r>
      <w:r w:rsidRPr="00896D4F">
        <w:softHyphen/>
        <w:t>der godmanskapets första år vidtogs en rad rättsliga åtgärder, bl.a. adopterade B.H. sin egen tidigare bortadopterade biologiska son, skrev ett nytt testamente samt skänkte bort värdepapper värda 400 000 kr och en mängd antikviteter till sonen. Samtidigt uttryckte B.H. vid samtal med sina syskon under denna tid oro för sin ekonomi. Uppenbarligen vidtogs åtgärde</w:t>
      </w:r>
      <w:r w:rsidRPr="00896D4F">
        <w:t>r</w:t>
      </w:r>
      <w:r w:rsidRPr="00896D4F">
        <w:t>na på initiativ av den gode man</w:t>
      </w:r>
      <w:r w:rsidRPr="00896D4F">
        <w:softHyphen/>
        <w:t>nen. M.W. anmälde dessa förhållanden till bl.a. Länssty</w:t>
      </w:r>
      <w:r w:rsidRPr="00896D4F">
        <w:softHyphen/>
        <w:t>relsen i Väst</w:t>
      </w:r>
      <w:r w:rsidRPr="00896D4F">
        <w:softHyphen/>
        <w:t>manlands län, som dock den 2 oktober 2000 bes</w:t>
      </w:r>
      <w:r w:rsidRPr="00896D4F">
        <w:t>lut</w:t>
      </w:r>
      <w:r w:rsidRPr="00896D4F">
        <w:t>a</w:t>
      </w:r>
      <w:r w:rsidRPr="00896D4F">
        <w:t>de att inte vidta några åtgär</w:t>
      </w:r>
      <w:r w:rsidRPr="00896D4F">
        <w:softHyphen/>
        <w:t>der. Vid två till</w:t>
      </w:r>
      <w:r w:rsidRPr="00896D4F">
        <w:softHyphen/>
        <w:t>fällen begärde B.H. skriftligen att få ut sin akt från överförmynda</w:t>
      </w:r>
      <w:r w:rsidRPr="00896D4F">
        <w:softHyphen/>
        <w:t>ren. Hon fick dock inte något svar. B.H. avled i augusti 2001. Dödsboet avträddes till för</w:t>
      </w:r>
      <w:r w:rsidRPr="00896D4F">
        <w:softHyphen/>
        <w:t>valt</w:t>
      </w:r>
      <w:r w:rsidRPr="00896D4F">
        <w:softHyphen/>
        <w:t>ning av boutredningsman. Bou</w:t>
      </w:r>
      <w:r w:rsidRPr="00896D4F">
        <w:t>t</w:t>
      </w:r>
      <w:r w:rsidRPr="00896D4F">
        <w:t>redningsmannen begärde i början av november hos överför</w:t>
      </w:r>
      <w:r w:rsidRPr="00896D4F">
        <w:softHyphen/>
        <w:t>myndaren att få ta del av den gode man</w:t>
      </w:r>
      <w:r w:rsidRPr="00896D4F">
        <w:softHyphen/>
        <w:t>nens årsredovis</w:t>
      </w:r>
      <w:r w:rsidRPr="00896D4F">
        <w:softHyphen/>
        <w:t>ningar. Dessa fick han först i januari 2002.</w:t>
      </w:r>
    </w:p>
    <w:p w:rsidR="009C1C5A" w:rsidRPr="00896D4F" w:rsidRDefault="009C1C5A">
      <w:pPr>
        <w:pStyle w:val="Normaltindrag"/>
      </w:pPr>
      <w:r w:rsidRPr="00896D4F">
        <w:t>Den gode mannen kom helt oförberedd till bouppteckningen den 18 d</w:t>
      </w:r>
      <w:r w:rsidRPr="00896D4F">
        <w:t>e</w:t>
      </w:r>
      <w:r w:rsidRPr="00896D4F">
        <w:t>cember 2001. Hon hade vid tiden för anmälan till JO, trots att hon ombetts därom den 18 december 2001, ännu inte överlämnat kontanter och kopior på årsredovisningar till boutredningsmannen. Inte heller hade hon lämnat ifrån sig handlingar avse</w:t>
      </w:r>
      <w:r w:rsidRPr="00896D4F">
        <w:softHyphen/>
        <w:t>ende B.H. En granskning av årsredovisningarna för åren 1995–2001 visar ett antal ospecificerade och höga utgifter. Därtill har den gode mannen under godman</w:t>
      </w:r>
      <w:r w:rsidRPr="00896D4F">
        <w:softHyphen/>
        <w:t>ska</w:t>
      </w:r>
      <w:r w:rsidRPr="00896D4F">
        <w:softHyphen/>
        <w:t>pet begärt och fått anmärkningsvärt hög e</w:t>
      </w:r>
      <w:r w:rsidRPr="00896D4F">
        <w:t>r</w:t>
      </w:r>
      <w:r w:rsidRPr="00896D4F">
        <w:t>sättning för bilkörning.</w:t>
      </w:r>
    </w:p>
    <w:p w:rsidR="009C1C5A" w:rsidRPr="00896D4F" w:rsidRDefault="009C1C5A">
      <w:pPr>
        <w:pStyle w:val="Rubrik3"/>
      </w:pPr>
      <w:r w:rsidRPr="00896D4F">
        <w:t>Utredningen</w:t>
      </w:r>
    </w:p>
    <w:p w:rsidR="009C1C5A" w:rsidRPr="00896D4F" w:rsidRDefault="009C1C5A">
      <w:r w:rsidRPr="00896D4F">
        <w:t>Överförmyndarens akt avseende godmanskapet för B.H. har lånats in och grans</w:t>
      </w:r>
      <w:r w:rsidRPr="00896D4F">
        <w:softHyphen/>
        <w:t>kats. Överförmyndaren har därefter anmodats att yttra sig över vad M.W. har an</w:t>
      </w:r>
      <w:r w:rsidRPr="00896D4F">
        <w:softHyphen/>
        <w:t>fört om att boutredningsmannen i en skrivelse daterad den 6 november 2001 hos överförmyndaren begärde att få ta del av vissa han</w:t>
      </w:r>
      <w:r w:rsidRPr="00896D4F">
        <w:t>d</w:t>
      </w:r>
      <w:r w:rsidRPr="00896D4F">
        <w:t>lingar, men inte erhöll dessa förrän i januari 2002.</w:t>
      </w:r>
    </w:p>
    <w:p w:rsidR="009C1C5A" w:rsidRPr="00896D4F" w:rsidRDefault="009C1C5A">
      <w:r w:rsidRPr="00896D4F">
        <w:t>Överförmyndaren har i remissvaret anfört följande.</w:t>
      </w:r>
    </w:p>
    <w:p w:rsidR="009C1C5A" w:rsidRPr="00896D4F" w:rsidRDefault="009C1C5A">
      <w:pPr>
        <w:pStyle w:val="Citat"/>
      </w:pPr>
      <w:r w:rsidRPr="00896D4F">
        <w:t>Det är riktigt att boutredningsmannen den 7 november 2001 begärde redovi</w:t>
      </w:r>
      <w:r w:rsidRPr="00896D4F">
        <w:t>s</w:t>
      </w:r>
      <w:r w:rsidRPr="00896D4F">
        <w:t>ningshand</w:t>
      </w:r>
      <w:r w:rsidRPr="00896D4F">
        <w:softHyphen/>
        <w:t>lingar gäl</w:t>
      </w:r>
      <w:r w:rsidRPr="00896D4F">
        <w:softHyphen/>
        <w:t>lande B.H. Eftersom jag visste att sluträkningen skulle avlämnas inom kort avvaktade jag med att verkställa hans begäran. Den 9 november 2001 inkom sluträkningen, som därefter granskades av mitt kansli. Den 5 de</w:t>
      </w:r>
      <w:r w:rsidRPr="00896D4F">
        <w:softHyphen/>
        <w:t>cember 2001 sändes redovisningshandlingarna till den avli</w:t>
      </w:r>
      <w:r w:rsidRPr="00896D4F">
        <w:t>d</w:t>
      </w:r>
      <w:r w:rsidRPr="00896D4F">
        <w:t>nas son U.T. Den 10 december besökte gode mannen M.L. mig. Eftersom hon skulle kontakta boutred</w:t>
      </w:r>
      <w:r w:rsidRPr="00896D4F">
        <w:softHyphen/>
        <w:t>ningsmannen i ett annat ärende åtog hon sig att öve</w:t>
      </w:r>
      <w:r w:rsidRPr="00896D4F">
        <w:t>r</w:t>
      </w:r>
      <w:r w:rsidRPr="00896D4F">
        <w:t>lämna de av honom begärda handlingarna. Uppgiften om att de levere</w:t>
      </w:r>
      <w:r w:rsidRPr="00896D4F">
        <w:softHyphen/>
        <w:t xml:space="preserve">rats </w:t>
      </w:r>
      <w:r w:rsidRPr="00896D4F">
        <w:t>först i janu</w:t>
      </w:r>
      <w:r w:rsidRPr="00896D4F">
        <w:t>a</w:t>
      </w:r>
      <w:r w:rsidRPr="00896D4F">
        <w:t>ri/februari är sålunda felaktig.</w:t>
      </w:r>
    </w:p>
    <w:p w:rsidR="009C1C5A" w:rsidRPr="00896D4F" w:rsidRDefault="009C1C5A">
      <w:pPr>
        <w:pStyle w:val="Citat"/>
      </w:pPr>
      <w:r w:rsidRPr="00896D4F">
        <w:rPr>
          <w:rFonts w:ascii="Garamond" w:hAnsi="Garamond"/>
        </w:rPr>
        <w:t>–</w:t>
      </w:r>
      <w:r w:rsidRPr="00896D4F">
        <w:t xml:space="preserve"> </w:t>
      </w:r>
      <w:r w:rsidRPr="00896D4F">
        <w:rPr>
          <w:rFonts w:ascii="Garamond" w:hAnsi="Garamond"/>
        </w:rPr>
        <w:t>–</w:t>
      </w:r>
      <w:r w:rsidRPr="00896D4F">
        <w:t xml:space="preserve"> </w:t>
      </w:r>
      <w:r w:rsidRPr="00896D4F">
        <w:rPr>
          <w:rFonts w:ascii="Garamond" w:hAnsi="Garamond"/>
        </w:rPr>
        <w:t>–</w:t>
      </w:r>
      <w:r w:rsidRPr="00896D4F">
        <w:t xml:space="preserve"> </w:t>
      </w:r>
    </w:p>
    <w:p w:rsidR="009C1C5A" w:rsidRPr="00896D4F" w:rsidRDefault="009C1C5A">
      <w:r w:rsidRPr="00896D4F">
        <w:t>I ett till remissvaret bilagt yttrande av den gode mannen har denna anfört att hon personligen lämnade handlingarna till boutredningsmannen på dennes kontor den 12 december 2001.</w:t>
      </w:r>
    </w:p>
    <w:p w:rsidR="009C1C5A" w:rsidRPr="00896D4F" w:rsidRDefault="009C1C5A">
      <w:pPr>
        <w:pStyle w:val="Normaltindrag"/>
      </w:pPr>
      <w:r w:rsidRPr="00896D4F">
        <w:t>M.W. har yttrat sig över remissvaret och därvid anfört bl.a. följande. Öve</w:t>
      </w:r>
      <w:r w:rsidRPr="00896D4F">
        <w:t>r</w:t>
      </w:r>
      <w:r w:rsidRPr="00896D4F">
        <w:t>för</w:t>
      </w:r>
      <w:r w:rsidRPr="00896D4F">
        <w:softHyphen/>
        <w:t>myndaren borde inte ha överlämnat handlingarna efter avslutad gransk</w:t>
      </w:r>
      <w:r w:rsidRPr="00896D4F">
        <w:softHyphen/>
        <w:t>ning till B.H:s son, utan till boutredningsmannen, eftersom dödsboet hade avträtts till för</w:t>
      </w:r>
      <w:r w:rsidRPr="00896D4F">
        <w:softHyphen/>
        <w:t>valtning av boutredningsman. Det förefaller vidare märkligt att M.W. i mars 2002 av överförmyndaren förvägrades ta del av vissa hand</w:t>
      </w:r>
      <w:r w:rsidRPr="00896D4F">
        <w:softHyphen/>
        <w:t>lingar med hänvisning till att dessa den 5 december 2001 hade överlämnats till B.H:s son och inte fanns kvar hos överförmyndaren, samtidigt som det finns en antec</w:t>
      </w:r>
      <w:r w:rsidRPr="00896D4F">
        <w:t>k</w:t>
      </w:r>
      <w:r w:rsidRPr="00896D4F">
        <w:t xml:space="preserve">ning på dagboksbladet i akten om att handlingarna </w:t>
      </w:r>
      <w:r w:rsidRPr="00896D4F">
        <w:t>den 10 de</w:t>
      </w:r>
      <w:r w:rsidRPr="00896D4F">
        <w:softHyphen/>
        <w:t>cember kopie</w:t>
      </w:r>
      <w:r w:rsidRPr="00896D4F">
        <w:softHyphen/>
        <w:t>rades för utlämnande till bout</w:t>
      </w:r>
      <w:r w:rsidRPr="00896D4F">
        <w:softHyphen/>
        <w:t>redningsmannen via den gode mannen. De dag</w:t>
      </w:r>
      <w:r w:rsidRPr="00896D4F">
        <w:softHyphen/>
        <w:t>boksanteckningar M.W. på begäran har fått en kopia av från överför</w:t>
      </w:r>
      <w:r w:rsidRPr="00896D4F">
        <w:softHyphen/>
        <w:t>myndaren är kraftigt censurerade. Överför</w:t>
      </w:r>
      <w:r w:rsidRPr="00896D4F">
        <w:softHyphen/>
        <w:t>mynda</w:t>
      </w:r>
      <w:r w:rsidRPr="00896D4F">
        <w:softHyphen/>
        <w:t>rens beslut att inte lämna ut handlin</w:t>
      </w:r>
      <w:r w:rsidRPr="00896D4F">
        <w:t>g</w:t>
      </w:r>
      <w:r w:rsidRPr="00896D4F">
        <w:t>arna och vissa anteckningar till henne har överklagats till Kammarrätten i Stockholm. Den gode mannens sluträkning har inte undertecknats av öve</w:t>
      </w:r>
      <w:r w:rsidRPr="00896D4F">
        <w:t>r</w:t>
      </w:r>
      <w:r w:rsidRPr="00896D4F">
        <w:t>förmyn</w:t>
      </w:r>
      <w:r w:rsidRPr="00896D4F">
        <w:softHyphen/>
        <w:t>daren.</w:t>
      </w:r>
    </w:p>
    <w:p w:rsidR="009C1C5A" w:rsidRPr="00896D4F" w:rsidRDefault="009C1C5A">
      <w:pPr>
        <w:pStyle w:val="Normaltindrag"/>
      </w:pPr>
      <w:r w:rsidRPr="00896D4F">
        <w:t>Genom förnyad remiss har överförmyndaren anmodats att yttra sig över vad M.W. i här refererade avseende</w:t>
      </w:r>
      <w:r w:rsidRPr="00896D4F">
        <w:t>n har anfört i sitt yttrande över remissv</w:t>
      </w:r>
      <w:r w:rsidRPr="00896D4F">
        <w:t>a</w:t>
      </w:r>
      <w:r w:rsidRPr="00896D4F">
        <w:t>ret.</w:t>
      </w:r>
    </w:p>
    <w:p w:rsidR="009C1C5A" w:rsidRPr="00896D4F" w:rsidRDefault="009C1C5A">
      <w:pPr>
        <w:pStyle w:val="Normaltindrag"/>
      </w:pPr>
      <w:r w:rsidRPr="00896D4F">
        <w:t>Överförmyndaren har i yttrande anfört bl.a. att de handlingar som M.W. begärde har överlämnats till B.H:s son och inte längre förvaras hos överfö</w:t>
      </w:r>
      <w:r w:rsidRPr="00896D4F">
        <w:t>r</w:t>
      </w:r>
      <w:r w:rsidRPr="00896D4F">
        <w:t>my</w:t>
      </w:r>
      <w:r w:rsidRPr="00896D4F">
        <w:t>n</w:t>
      </w:r>
      <w:r w:rsidRPr="00896D4F">
        <w:t>daren, samt att de handlingar som lämnades ut efter kopiering till bo</w:t>
      </w:r>
      <w:r w:rsidRPr="00896D4F">
        <w:softHyphen/>
        <w:t>utredningsmannen var andra handlingar som denne begärt för boutredningens skull och vilka fanns i ak</w:t>
      </w:r>
      <w:r w:rsidRPr="00896D4F">
        <w:softHyphen/>
        <w:t>ten. Överförmyndaren har vidare uppgivit att slutr</w:t>
      </w:r>
      <w:r w:rsidRPr="00896D4F">
        <w:t>e</w:t>
      </w:r>
      <w:r w:rsidRPr="00896D4F">
        <w:t>dovis</w:t>
      </w:r>
      <w:r w:rsidRPr="00896D4F">
        <w:softHyphen/>
        <w:t>ningen har granskats av handläggare på överför</w:t>
      </w:r>
      <w:r w:rsidRPr="00896D4F">
        <w:softHyphen/>
        <w:t>myndarens kansli och därefter godkänts av överförmynda</w:t>
      </w:r>
      <w:r w:rsidRPr="00896D4F">
        <w:softHyphen/>
        <w:t>ren, som dock  beklag</w:t>
      </w:r>
      <w:r w:rsidRPr="00896D4F">
        <w:softHyphen/>
        <w:t>ligtvis inte har u</w:t>
      </w:r>
      <w:r w:rsidRPr="00896D4F">
        <w:t>n</w:t>
      </w:r>
      <w:r w:rsidRPr="00896D4F">
        <w:t>dertecknat den</w:t>
      </w:r>
      <w:r w:rsidRPr="00896D4F">
        <w:softHyphen/>
        <w:t>samma.</w:t>
      </w:r>
    </w:p>
    <w:p w:rsidR="009C1C5A" w:rsidRPr="00896D4F" w:rsidRDefault="009C1C5A">
      <w:pPr>
        <w:pStyle w:val="Normaltindrag"/>
      </w:pPr>
      <w:r w:rsidRPr="00896D4F">
        <w:t>M.W. har yttrat sig även över detta remissvar. Hon har också i anslut</w:t>
      </w:r>
      <w:r w:rsidRPr="00896D4F">
        <w:softHyphen/>
        <w:t>ning till yt</w:t>
      </w:r>
      <w:r w:rsidRPr="00896D4F">
        <w:softHyphen/>
        <w:t>terligare en kompletterande skrift bifogat en dom meddelad den 27 maj 2002 av Kammarrätten i Stockholm med anledning av hennes överklagande av över</w:t>
      </w:r>
      <w:r w:rsidRPr="00896D4F">
        <w:softHyphen/>
        <w:t>för</w:t>
      </w:r>
      <w:r w:rsidRPr="00896D4F">
        <w:softHyphen/>
        <w:t>myndarens beslut att inte lämna ut handlingar och anteckningar till henne.</w:t>
      </w:r>
    </w:p>
    <w:p w:rsidR="009C1C5A" w:rsidRPr="00896D4F" w:rsidRDefault="009C1C5A">
      <w:pPr>
        <w:pStyle w:val="Rubrik3"/>
      </w:pPr>
      <w:r w:rsidRPr="00896D4F">
        <w:t>Bedömning</w:t>
      </w:r>
    </w:p>
    <w:p w:rsidR="009C1C5A" w:rsidRPr="00896D4F" w:rsidRDefault="009C1C5A">
      <w:r w:rsidRPr="00896D4F">
        <w:t>JO har inte tillsyn över gode män. Jag saknar därför anledning att uttala mig i an</w:t>
      </w:r>
      <w:r w:rsidRPr="00896D4F">
        <w:softHyphen/>
        <w:t>ledning av M.W:s synpunkter på den gode mannens sätt att sköta godma</w:t>
      </w:r>
      <w:r w:rsidRPr="00896D4F">
        <w:t>n</w:t>
      </w:r>
      <w:r w:rsidRPr="00896D4F">
        <w:t>skapet. Det är bara om en god mans handlande borde ha föranlett åtgärder från överför</w:t>
      </w:r>
      <w:r w:rsidRPr="00896D4F">
        <w:softHyphen/>
        <w:t>myndarens sida, men denne underlåtit att i det avseendet utöva sin tillsyn, som jag kan ha anledning att uttala mig om den gode mannens ag</w:t>
      </w:r>
      <w:r w:rsidRPr="00896D4F">
        <w:t>e</w:t>
      </w:r>
      <w:r w:rsidRPr="00896D4F">
        <w:t>rande.</w:t>
      </w:r>
    </w:p>
    <w:p w:rsidR="009C1C5A" w:rsidRPr="00896D4F" w:rsidRDefault="009C1C5A">
      <w:pPr>
        <w:pStyle w:val="Normaltindrag"/>
        <w:rPr>
          <w:sz w:val="26"/>
        </w:rPr>
      </w:pPr>
      <w:r w:rsidRPr="00896D4F">
        <w:t>Jag vill också påpeka att JO, enligt de regler som gäller för JO:s verksa</w:t>
      </w:r>
      <w:r w:rsidRPr="00896D4F">
        <w:t>m</w:t>
      </w:r>
      <w:r w:rsidRPr="00896D4F">
        <w:t>het, nor</w:t>
      </w:r>
      <w:r w:rsidRPr="00896D4F">
        <w:softHyphen/>
        <w:t>malt inte skall utreda hän</w:t>
      </w:r>
      <w:r w:rsidRPr="00896D4F">
        <w:softHyphen/>
        <w:t>delser eller förhållanden som ligger mer än två år tillbaka i tiden, om det inte finns särskilda skäl för det. När det gäller sådana förhållanden som M.W. har anmärkt på som ligger så långt tillbaka i tiden, och som i och för sig hade kunnat föranleda en utredning, har jag dock inte funnit att det föreligger tillräckliga skäl för någon åtgärd från min sida.</w:t>
      </w:r>
    </w:p>
    <w:p w:rsidR="009C1C5A" w:rsidRPr="00896D4F" w:rsidRDefault="009C1C5A">
      <w:pPr>
        <w:pStyle w:val="Normaltindrag"/>
      </w:pPr>
      <w:r w:rsidRPr="00896D4F">
        <w:t xml:space="preserve">Av handlingarna i ärendet framgår att överförmyndaren genom beslut den 19 mars 2002 avslog M.W:s begäran om att få </w:t>
      </w:r>
      <w:r w:rsidRPr="00896D4F">
        <w:t>ta del av vissa handlingar. Be</w:t>
      </w:r>
      <w:r w:rsidRPr="00896D4F">
        <w:softHyphen/>
        <w:t>slutet har överklagats och prövats av Kammarrätten i Stockholm, som bl.a. har återförvisat målet i den del domstolen funnit att överförmyndaren avslagit M.W:s begäran med hänvisning till att handlingarna inte längre fanns hos överförmyndaren, trots att myndigheten hade kvar kopior av handlingarna. Med hänsyn till att saken kan prövas och också har prövats av domstol saknar jag an</w:t>
      </w:r>
      <w:r w:rsidRPr="00896D4F">
        <w:softHyphen/>
        <w:t>ledning att uttala mig i den</w:t>
      </w:r>
      <w:r w:rsidRPr="00896D4F">
        <w:softHyphen/>
        <w:t>samma. Jag kan dock inte underlåta att påp</w:t>
      </w:r>
      <w:r w:rsidRPr="00896D4F">
        <w:t>e</w:t>
      </w:r>
      <w:r w:rsidRPr="00896D4F">
        <w:t>ka att inte heller JO, vid</w:t>
      </w:r>
      <w:r w:rsidRPr="00896D4F">
        <w:t xml:space="preserve"> inlånandet av akten från överförmyndaren, erhöll några kopior av de årsräkningar som i original hade sänts till B.H:s son. I ljuset av kammarrättens dom framstår detta som ytterst märkligt.</w:t>
      </w:r>
    </w:p>
    <w:p w:rsidR="009C1C5A" w:rsidRPr="00896D4F" w:rsidRDefault="009C1C5A">
      <w:pPr>
        <w:pStyle w:val="Normaltindrag"/>
      </w:pPr>
      <w:r w:rsidRPr="00896D4F">
        <w:t>Av överförmyndarens akt framgår att boutredningsmannen den 7 nove</w:t>
      </w:r>
      <w:r w:rsidRPr="00896D4F">
        <w:t>m</w:t>
      </w:r>
      <w:r w:rsidRPr="00896D4F">
        <w:t>ber 2001 inkom med en skriftlig begäran om att få ta del av vissa handlingar som han be</w:t>
      </w:r>
      <w:r w:rsidRPr="00896D4F">
        <w:softHyphen/>
        <w:t>hövde för boutredningen. Av dagboksanteckningar i akten samt av överförmynda</w:t>
      </w:r>
      <w:r w:rsidRPr="00896D4F">
        <w:softHyphen/>
        <w:t>rens remissvar framgår att de handlingar boutredningsmannen hade begärt lämna</w:t>
      </w:r>
      <w:r w:rsidRPr="00896D4F">
        <w:softHyphen/>
        <w:t>des till dennes kontor, via den gode mannen, först den 12 december 2001, dvs. mer än en månad efter det att boutredningsmannen framställt sin begäran. En så lång handläggningstid är själv</w:t>
      </w:r>
      <w:r w:rsidRPr="00896D4F">
        <w:softHyphen/>
        <w:t>fallet helt oacce</w:t>
      </w:r>
      <w:r w:rsidRPr="00896D4F">
        <w:t>p</w:t>
      </w:r>
      <w:r w:rsidRPr="00896D4F">
        <w:t>tabel.</w:t>
      </w:r>
    </w:p>
    <w:p w:rsidR="009C1C5A" w:rsidRPr="00896D4F" w:rsidRDefault="009C1C5A">
      <w:pPr>
        <w:pStyle w:val="Normaltindrag"/>
      </w:pPr>
      <w:r w:rsidRPr="00896D4F">
        <w:t>Enligt 16 kap. 8 § föräldrabalken skall överförmyndaren</w:t>
      </w:r>
      <w:r w:rsidRPr="00896D4F">
        <w:t>, sedan en god mans slut</w:t>
      </w:r>
      <w:r w:rsidRPr="00896D4F">
        <w:softHyphen/>
        <w:t xml:space="preserve">räkning har granskats, lämna över räkningen samt de förteckningar, årsräkningar m.m. som förvaras hos överförmyndaren till </w:t>
      </w:r>
      <w:r w:rsidRPr="00896D4F">
        <w:rPr>
          <w:i/>
        </w:rPr>
        <w:t>den som är behörig att ta emot redo</w:t>
      </w:r>
      <w:r w:rsidRPr="00896D4F">
        <w:rPr>
          <w:i/>
        </w:rPr>
        <w:softHyphen/>
        <w:t>visning för förvaltningen</w:t>
      </w:r>
      <w:r w:rsidRPr="00896D4F">
        <w:t>. Bestämmelsen har betydelse för regeln i 12 kap. 15 § föräldrabalken, enligt vilken en eventuell talan om sk</w:t>
      </w:r>
      <w:r w:rsidRPr="00896D4F">
        <w:t>a</w:t>
      </w:r>
      <w:r w:rsidRPr="00896D4F">
        <w:t>destånd mot ställföreträda</w:t>
      </w:r>
      <w:r w:rsidRPr="00896D4F">
        <w:softHyphen/>
        <w:t>ren måste väckas inom ett år från det att handlin</w:t>
      </w:r>
      <w:r w:rsidRPr="00896D4F">
        <w:t>g</w:t>
      </w:r>
      <w:r w:rsidRPr="00896D4F">
        <w:t xml:space="preserve">arna överlämnades. Av den förstnämnda regeln följer att om skälet till att ställföreträdarskapet har upphört är att </w:t>
      </w:r>
      <w:r w:rsidRPr="00896D4F">
        <w:t>huvudmannen har avlidit, så skall de nämnda handlingarna tillställas dödsboet. Om ett dödsbo i enlighet med 19 kap. 1 § ärvdabalken har avträtts till förvaltning av boutredningsman, är det boutredningsmannen som handhar förvaltningen och företräder dödsboet gentemot tredje man (19 kap. 1 och 12 §§ ärvdabalken). Vid boutredning</w:t>
      </w:r>
      <w:r w:rsidRPr="00896D4F">
        <w:t>s</w:t>
      </w:r>
      <w:r w:rsidRPr="00896D4F">
        <w:t>mannaförvaltning är boutredningsmannen med andra ord i princip ensam behörig att företräda boet. Det är t.ex. endast i särskilt angivna undantags</w:t>
      </w:r>
      <w:r w:rsidRPr="00896D4F">
        <w:softHyphen/>
        <w:t>fall som en dödsbodelägare i den situ</w:t>
      </w:r>
      <w:r w:rsidRPr="00896D4F">
        <w:t>ationen kan väcka talan för dödsboets räk</w:t>
      </w:r>
      <w:r w:rsidRPr="00896D4F">
        <w:softHyphen/>
        <w:t>ning (19 kap. 12 a § föräldrabalken). De nämnda reglerna leder mig till slu</w:t>
      </w:r>
      <w:r w:rsidRPr="00896D4F">
        <w:t>t</w:t>
      </w:r>
      <w:r w:rsidRPr="00896D4F">
        <w:t>satsen att över</w:t>
      </w:r>
      <w:r w:rsidRPr="00896D4F">
        <w:softHyphen/>
        <w:t>förmyndaren i ett fall där huvudmannen avlidit och dödsboet avträtts till förvalt</w:t>
      </w:r>
      <w:r w:rsidRPr="00896D4F">
        <w:softHyphen/>
        <w:t xml:space="preserve">ning av boutredningsman skall överlämna ställföreträdarens sluträkning och övriga handlingar till </w:t>
      </w:r>
      <w:r w:rsidRPr="00896D4F">
        <w:rPr>
          <w:i/>
        </w:rPr>
        <w:t>bo</w:t>
      </w:r>
      <w:r w:rsidRPr="00896D4F">
        <w:rPr>
          <w:i/>
        </w:rPr>
        <w:softHyphen/>
        <w:t>utredningsmannen</w:t>
      </w:r>
      <w:r w:rsidRPr="00896D4F">
        <w:t xml:space="preserve"> i enlighet med 16 kap. 8 § föräldrabal</w:t>
      </w:r>
      <w:r w:rsidRPr="00896D4F">
        <w:softHyphen/>
        <w:t>ken.</w:t>
      </w:r>
    </w:p>
    <w:p w:rsidR="009C1C5A" w:rsidRPr="00896D4F" w:rsidRDefault="009C1C5A">
      <w:pPr>
        <w:pStyle w:val="Normaltindrag"/>
      </w:pPr>
      <w:r w:rsidRPr="00896D4F">
        <w:t>Av akten framgår att dödsboet efter B.H. avträddes till förvaltning av bou</w:t>
      </w:r>
      <w:r w:rsidRPr="00896D4F">
        <w:t>t</w:t>
      </w:r>
      <w:r w:rsidRPr="00896D4F">
        <w:t>red</w:t>
      </w:r>
      <w:r w:rsidRPr="00896D4F">
        <w:softHyphen/>
        <w:t>ningsman den 14 september 2001. Vidare framgår att överförmyndaren, sedan granskningen av den gode mannens sluträkning avslutats, den 5 d</w:t>
      </w:r>
      <w:r w:rsidRPr="00896D4F">
        <w:t>e</w:t>
      </w:r>
      <w:r w:rsidRPr="00896D4F">
        <w:t>cember 2001 skickade redovisningshandlingar till B.H:s son. Av överförmy</w:t>
      </w:r>
      <w:r w:rsidRPr="00896D4F">
        <w:t>n</w:t>
      </w:r>
      <w:r w:rsidRPr="00896D4F">
        <w:t>darens följebrev framgår att handlingarna översändes till B.H:s son i dennes egenskap av dödsbo</w:t>
      </w:r>
      <w:r w:rsidRPr="00896D4F">
        <w:softHyphen/>
        <w:t xml:space="preserve">delägare, med en erinran om att övriga dödsbodelägare var berättigade att ta del av handlingarna hos honom. Handlingarna skickades med mottagningsbevis och har kvitterats ut av B.H:s son. Att döma av </w:t>
      </w:r>
      <w:r w:rsidRPr="00896D4F">
        <w:t>r</w:t>
      </w:r>
      <w:r w:rsidRPr="00896D4F">
        <w:t>e</w:t>
      </w:r>
      <w:r w:rsidRPr="00896D4F">
        <w:t>missvaret i denna del har överför</w:t>
      </w:r>
      <w:r w:rsidRPr="00896D4F">
        <w:softHyphen/>
        <w:t>myndaren, sannolikt inte ens vid avgi</w:t>
      </w:r>
      <w:r w:rsidRPr="00896D4F">
        <w:softHyphen/>
        <w:t>vandet av remissvaret, uppmärksammat att handlingarna i enlighet med 16 kap. 8 § föräldrabalken borde ha överlämnats till boutredningsmannen sedan sluträk</w:t>
      </w:r>
      <w:r w:rsidRPr="00896D4F">
        <w:softHyphen/>
        <w:t>ningen granskats. Även om boutredningsman</w:t>
      </w:r>
      <w:r w:rsidRPr="00896D4F">
        <w:softHyphen/>
        <w:t>nen möjligen i praktiken, genom att han själv begärde vissa handlingar och så småningom också fick dessa, faktiskt kom att få de handlingar han utan anmodan skulle ha fått enligt 16 kap. 8 § föräldrabalken, kan överför</w:t>
      </w:r>
      <w:r w:rsidRPr="00896D4F">
        <w:softHyphen/>
        <w:t>myndaren inte undgå kr</w:t>
      </w:r>
      <w:r w:rsidRPr="00896D4F">
        <w:t>itik för han</w:t>
      </w:r>
      <w:r w:rsidRPr="00896D4F">
        <w:t>d</w:t>
      </w:r>
      <w:r w:rsidRPr="00896D4F">
        <w:t>läggningen i denna del. Med hän</w:t>
      </w:r>
      <w:r w:rsidRPr="00896D4F">
        <w:softHyphen/>
        <w:t>syn till att slutredovisning enligt nämnda bestämmelse är en förutsättning för att den ettåriga fristen för talerättspre</w:t>
      </w:r>
      <w:r w:rsidRPr="00896D4F">
        <w:softHyphen/>
        <w:t>skription i 12 kap. 15 § föräldrabalken skall börja löpa borde handlingarna nämli</w:t>
      </w:r>
      <w:r w:rsidRPr="00896D4F">
        <w:softHyphen/>
        <w:t>gen ha delgivits boutredningsmannen.</w:t>
      </w:r>
    </w:p>
    <w:p w:rsidR="009C1C5A" w:rsidRPr="00896D4F" w:rsidRDefault="009C1C5A">
      <w:pPr>
        <w:pStyle w:val="Normaltindrag"/>
      </w:pPr>
      <w:r w:rsidRPr="00896D4F">
        <w:t>Genom utredningen har framkommit att överförmyndaren visserligen har granskat den gode mannens sluträkning, men därefter inte dokumenterat sitt ställningsta</w:t>
      </w:r>
      <w:r w:rsidRPr="00896D4F">
        <w:softHyphen/>
        <w:t>gande till räkningen på densamma. För detta förbiseende kan öve</w:t>
      </w:r>
      <w:r w:rsidRPr="00896D4F">
        <w:t>r</w:t>
      </w:r>
      <w:r w:rsidRPr="00896D4F">
        <w:t>förmyndaren inte undgå viss kritik.</w:t>
      </w:r>
    </w:p>
    <w:p w:rsidR="009C1C5A" w:rsidRPr="00896D4F" w:rsidRDefault="009C1C5A">
      <w:pPr>
        <w:pStyle w:val="Normaltindrag"/>
      </w:pPr>
      <w:r w:rsidRPr="00896D4F">
        <w:t>Vad M.W. i övrigt har anfört föranleder, med hänsyn till vad som fra</w:t>
      </w:r>
      <w:r w:rsidRPr="00896D4F">
        <w:t>m</w:t>
      </w:r>
      <w:r w:rsidRPr="00896D4F">
        <w:t>kommit genom överförmyndarens akt i ärendet, inte något uttalande eller några övriga åtgärder från min sida.</w:t>
      </w:r>
    </w:p>
    <w:p w:rsidR="009C1C5A" w:rsidRPr="00896D4F" w:rsidRDefault="009C1C5A">
      <w:pPr>
        <w:pStyle w:val="Rubrik1"/>
      </w:pPr>
      <w:r w:rsidRPr="00896D4F">
        <w:br w:type="page"/>
        <w:t>Övriga kommunalförvaltningsärenden</w:t>
      </w:r>
    </w:p>
    <w:p w:rsidR="009C1C5A" w:rsidRPr="00896D4F" w:rsidRDefault="009C1C5A">
      <w:pPr>
        <w:pStyle w:val="Rubrik2"/>
        <w:spacing w:before="120"/>
      </w:pPr>
      <w:r w:rsidRPr="00896D4F">
        <w:t>En kommunal myndighets rätt att till enskilda överlämna för</w:t>
      </w:r>
      <w:r w:rsidRPr="00896D4F">
        <w:softHyphen/>
        <w:t>valt</w:t>
      </w:r>
      <w:r w:rsidRPr="00896D4F">
        <w:softHyphen/>
        <w:t>ningsuppgifter: att på gator anordna farthinder och sätta upp väg</w:t>
      </w:r>
      <w:r w:rsidRPr="00896D4F">
        <w:softHyphen/>
        <w:t xml:space="preserve">märken härom </w:t>
      </w:r>
    </w:p>
    <w:p w:rsidR="009C1C5A" w:rsidRPr="00896D4F" w:rsidRDefault="009C1C5A">
      <w:pPr>
        <w:spacing w:before="0"/>
      </w:pPr>
      <w:r w:rsidRPr="00896D4F">
        <w:t>(Dnr 3976-1999)</w:t>
      </w:r>
    </w:p>
    <w:p w:rsidR="009C1C5A" w:rsidRPr="00896D4F" w:rsidRDefault="009C1C5A">
      <w:pPr>
        <w:pStyle w:val="Rubrik3"/>
      </w:pPr>
      <w:r w:rsidRPr="00896D4F">
        <w:t>Bakgrund</w:t>
      </w:r>
    </w:p>
    <w:p w:rsidR="009C1C5A" w:rsidRPr="00896D4F" w:rsidRDefault="009C1C5A">
      <w:r w:rsidRPr="00896D4F">
        <w:t>Av de i en anmälan ingående handlingarna framgick bl.a. att Tekniska näm</w:t>
      </w:r>
      <w:r w:rsidRPr="00896D4F">
        <w:t>n</w:t>
      </w:r>
      <w:r w:rsidRPr="00896D4F">
        <w:t>den i Bot</w:t>
      </w:r>
      <w:r w:rsidRPr="00896D4F">
        <w:softHyphen/>
        <w:t>kyrka kommun enligt protokoll den 14 april 1997, § 32, hade besl</w:t>
      </w:r>
      <w:r w:rsidRPr="00896D4F">
        <w:t>u</w:t>
      </w:r>
      <w:r w:rsidRPr="00896D4F">
        <w:t>tat att fast</w:t>
      </w:r>
      <w:r w:rsidRPr="00896D4F">
        <w:softHyphen/>
        <w:t>ställa ”riktlinjer för utplacering av egna tillfälliga farthinder i b</w:t>
      </w:r>
      <w:r w:rsidRPr="00896D4F">
        <w:t>o</w:t>
      </w:r>
      <w:r w:rsidRPr="00896D4F">
        <w:t>stadsområden” enligt följande.</w:t>
      </w:r>
    </w:p>
    <w:p w:rsidR="009C1C5A" w:rsidRPr="00896D4F" w:rsidRDefault="009C1C5A">
      <w:pPr>
        <w:pStyle w:val="Rubrik5"/>
      </w:pPr>
      <w:r w:rsidRPr="00896D4F">
        <w:t>Riktlinjer för tillfälliga farthinder i bostadsområden</w:t>
      </w:r>
    </w:p>
    <w:p w:rsidR="009C1C5A" w:rsidRPr="00896D4F" w:rsidRDefault="009C1C5A">
      <w:pPr>
        <w:pStyle w:val="Citat"/>
      </w:pPr>
      <w:r w:rsidRPr="00896D4F">
        <w:t>Antalet telefonsamtal från föräldrar som kräver åtgärder för att förbättra ba</w:t>
      </w:r>
      <w:r w:rsidRPr="00896D4F">
        <w:t>r</w:t>
      </w:r>
      <w:r w:rsidRPr="00896D4F">
        <w:t>nens säkerhet i trafiken ökar för varje år. Oftast är det fråga om lokalgator och återvändsgator i bostadsområden. Genom</w:t>
      </w:r>
      <w:r w:rsidRPr="00896D4F">
        <w:softHyphen/>
        <w:t>gående är att man vill att 30-skyltar skall sättas upp eller att farthinder av något slag – helst gupp – skall anläggas.</w:t>
      </w:r>
    </w:p>
    <w:p w:rsidR="009C1C5A" w:rsidRPr="00896D4F" w:rsidRDefault="009C1C5A">
      <w:pPr>
        <w:pStyle w:val="Citatindrag"/>
      </w:pPr>
      <w:r w:rsidRPr="00896D4F">
        <w:t>Tekniska förvaltningen anger i tjänsteutlåtande 1997-03-14 bl a att möjli</w:t>
      </w:r>
      <w:r w:rsidRPr="00896D4F">
        <w:t>g</w:t>
      </w:r>
      <w:r w:rsidRPr="00896D4F">
        <w:t>heterna att besluta om hastighetsbegränsning till 30 km/tim i rena bostadso</w:t>
      </w:r>
      <w:r w:rsidRPr="00896D4F">
        <w:t>m</w:t>
      </w:r>
      <w:r w:rsidRPr="00896D4F">
        <w:t>råden är små. Enligt Trafiksäkerhetsverkets, nuvarande Vägverket, reko</w:t>
      </w:r>
      <w:r w:rsidRPr="00896D4F">
        <w:t>m</w:t>
      </w:r>
      <w:r w:rsidRPr="00896D4F">
        <w:t>mendationer skall sådan föreskrift endast utfärdas vid skolor och barn</w:t>
      </w:r>
      <w:r w:rsidRPr="00896D4F">
        <w:softHyphen/>
        <w:t>stugor, där antalet barn på eller vid vägen är större än man har anledning förvänta sig.</w:t>
      </w:r>
    </w:p>
    <w:p w:rsidR="009C1C5A" w:rsidRPr="00896D4F" w:rsidRDefault="009C1C5A">
      <w:pPr>
        <w:pStyle w:val="Citatindrag"/>
      </w:pPr>
      <w:r w:rsidRPr="00896D4F">
        <w:t>Möjligheterna för de boende att få farthinder anlagda genom kommunens försorg är inte heller stora, då antal fordon per timme liksom uppmätt hasti</w:t>
      </w:r>
      <w:r w:rsidRPr="00896D4F">
        <w:t>g</w:t>
      </w:r>
      <w:r w:rsidRPr="00896D4F">
        <w:t>het praktiskt taget aldrig uppgår till sådana nivåer som motiverar anläggande av farthinder.</w:t>
      </w:r>
    </w:p>
    <w:p w:rsidR="009C1C5A" w:rsidRPr="00896D4F" w:rsidRDefault="009C1C5A">
      <w:pPr>
        <w:pStyle w:val="Citatindrag"/>
      </w:pPr>
      <w:r w:rsidRPr="00896D4F">
        <w:t>De boende upplever riskerna mera påtagligt än vad förvaltningen har mö</w:t>
      </w:r>
      <w:r w:rsidRPr="00896D4F">
        <w:t>j</w:t>
      </w:r>
      <w:r w:rsidRPr="00896D4F">
        <w:t>lighet till. Därför har under senare år de boende själva fått placera ut farthi</w:t>
      </w:r>
      <w:r w:rsidRPr="00896D4F">
        <w:t>n</w:t>
      </w:r>
      <w:r w:rsidRPr="00896D4F">
        <w:t>der sommartid i form av blomlådor, ställda i sicksack på lämplig sträcka med varningsmärke ”Avsmalnande väg” i varje ände.</w:t>
      </w:r>
    </w:p>
    <w:p w:rsidR="009C1C5A" w:rsidRPr="00896D4F" w:rsidRDefault="009C1C5A">
      <w:pPr>
        <w:pStyle w:val="Citatindrag"/>
      </w:pPr>
      <w:r w:rsidRPr="00896D4F">
        <w:t>Dessvärre har utformning, placering och skötsel av blomlådorna varierat. Eftersom kommunen har väghållaransvar är det viktigt att tillse att lådorna utformas och placeras på ett tilltalande och trafiksäkert sätt. För att få ett enhetligt utseende på dessa tillfälliga farthinder har tekniska förvalt</w:t>
      </w:r>
      <w:r w:rsidRPr="00896D4F">
        <w:softHyphen/>
        <w:t>ningen utarbetat riktlinjer för utformning, utmärkning och placering enligt följande:</w:t>
      </w:r>
    </w:p>
    <w:p w:rsidR="009C1C5A" w:rsidRPr="00896D4F" w:rsidRDefault="009C1C5A">
      <w:pPr>
        <w:pStyle w:val="PunktlistaNummer"/>
      </w:pPr>
      <w:r w:rsidRPr="00896D4F">
        <w:t>Utplacering skall endast medges på lokalgator och återvändsgator i b</w:t>
      </w:r>
      <w:r w:rsidRPr="00896D4F">
        <w:t>o</w:t>
      </w:r>
      <w:r w:rsidRPr="00896D4F">
        <w:t>stadsområden.</w:t>
      </w:r>
    </w:p>
    <w:p w:rsidR="009C1C5A" w:rsidRPr="00896D4F" w:rsidRDefault="009C1C5A">
      <w:pPr>
        <w:pStyle w:val="PunktlistaNummer"/>
        <w:spacing w:before="0"/>
      </w:pPr>
      <w:r w:rsidRPr="00896D4F">
        <w:t>Blomlådorna skall vara av trä, fyrkantiga, vitmålade, storlek 100 x 100 cm, med självhäftande eller fastspikade reflexer på varje sida.</w:t>
      </w:r>
    </w:p>
    <w:p w:rsidR="009C1C5A" w:rsidRPr="00896D4F" w:rsidRDefault="009C1C5A">
      <w:pPr>
        <w:pStyle w:val="PunktlistaNummer"/>
        <w:spacing w:before="0"/>
      </w:pPr>
      <w:r w:rsidRPr="00896D4F">
        <w:t>Blomlådorna skall placeras på följande avstånd:</w:t>
      </w:r>
    </w:p>
    <w:tbl>
      <w:tblPr>
        <w:tblW w:w="0" w:type="auto"/>
        <w:tblInd w:w="199" w:type="dxa"/>
        <w:tblLayout w:type="fixed"/>
        <w:tblCellMar>
          <w:left w:w="70" w:type="dxa"/>
          <w:right w:w="70" w:type="dxa"/>
        </w:tblCellMar>
        <w:tblLook w:val="00BC" w:firstRow="1" w:lastRow="0" w:firstColumn="1" w:lastColumn="0" w:noHBand="0" w:noVBand="0"/>
      </w:tblPr>
      <w:tblGrid>
        <w:gridCol w:w="1985"/>
        <w:gridCol w:w="3685"/>
      </w:tblGrid>
      <w:tr w:rsidR="00000000" w:rsidRPr="00896D4F">
        <w:tblPrEx>
          <w:tblCellMar>
            <w:top w:w="0" w:type="dxa"/>
            <w:bottom w:w="0" w:type="dxa"/>
          </w:tblCellMar>
        </w:tblPrEx>
        <w:tc>
          <w:tcPr>
            <w:tcW w:w="1985" w:type="dxa"/>
          </w:tcPr>
          <w:p w:rsidR="009C1C5A" w:rsidRPr="00896D4F" w:rsidRDefault="009C1C5A">
            <w:pPr>
              <w:pStyle w:val="Citatindrag"/>
              <w:spacing w:before="125"/>
            </w:pPr>
            <w:r w:rsidRPr="00896D4F">
              <w:t>vägbredd</w:t>
            </w:r>
          </w:p>
        </w:tc>
        <w:tc>
          <w:tcPr>
            <w:tcW w:w="3685" w:type="dxa"/>
          </w:tcPr>
          <w:p w:rsidR="009C1C5A" w:rsidRPr="00896D4F" w:rsidRDefault="009C1C5A">
            <w:pPr>
              <w:pStyle w:val="Citatindrag"/>
              <w:spacing w:before="125"/>
            </w:pPr>
            <w:r w:rsidRPr="00896D4F">
              <w:t>avstånd mellan blomlådorna, ca</w:t>
            </w:r>
          </w:p>
        </w:tc>
      </w:tr>
      <w:tr w:rsidR="00000000" w:rsidRPr="00896D4F">
        <w:tblPrEx>
          <w:tblCellMar>
            <w:top w:w="0" w:type="dxa"/>
            <w:bottom w:w="0" w:type="dxa"/>
          </w:tblCellMar>
        </w:tblPrEx>
        <w:trPr>
          <w:trHeight w:hRule="exact" w:val="200"/>
        </w:trPr>
        <w:tc>
          <w:tcPr>
            <w:tcW w:w="1985" w:type="dxa"/>
          </w:tcPr>
          <w:p w:rsidR="009C1C5A" w:rsidRPr="00896D4F" w:rsidRDefault="009C1C5A">
            <w:pPr>
              <w:pStyle w:val="Citatindrag"/>
              <w:ind w:right="-352" w:firstLine="397"/>
            </w:pPr>
            <w:r w:rsidRPr="00896D4F">
              <w:t>5 m</w:t>
            </w:r>
          </w:p>
        </w:tc>
        <w:tc>
          <w:tcPr>
            <w:tcW w:w="3685" w:type="dxa"/>
          </w:tcPr>
          <w:p w:rsidR="009C1C5A" w:rsidRPr="00896D4F" w:rsidRDefault="009C1C5A">
            <w:pPr>
              <w:pStyle w:val="Citatindrag"/>
              <w:tabs>
                <w:tab w:val="right" w:pos="3899"/>
              </w:tabs>
              <w:ind w:firstLine="397"/>
            </w:pPr>
            <w:r w:rsidRPr="00896D4F">
              <w:t>10 m</w:t>
            </w:r>
          </w:p>
        </w:tc>
      </w:tr>
      <w:tr w:rsidR="00000000" w:rsidRPr="00896D4F">
        <w:tblPrEx>
          <w:tblCellMar>
            <w:top w:w="0" w:type="dxa"/>
            <w:bottom w:w="0" w:type="dxa"/>
          </w:tblCellMar>
        </w:tblPrEx>
        <w:trPr>
          <w:trHeight w:hRule="exact" w:val="200"/>
        </w:trPr>
        <w:tc>
          <w:tcPr>
            <w:tcW w:w="1985" w:type="dxa"/>
          </w:tcPr>
          <w:p w:rsidR="009C1C5A" w:rsidRPr="00896D4F" w:rsidRDefault="009C1C5A">
            <w:pPr>
              <w:pStyle w:val="Citatindrag"/>
              <w:ind w:right="-352" w:firstLine="397"/>
            </w:pPr>
            <w:r w:rsidRPr="00896D4F">
              <w:t>6 m</w:t>
            </w:r>
          </w:p>
        </w:tc>
        <w:tc>
          <w:tcPr>
            <w:tcW w:w="3685" w:type="dxa"/>
          </w:tcPr>
          <w:p w:rsidR="009C1C5A" w:rsidRPr="00896D4F" w:rsidRDefault="009C1C5A">
            <w:pPr>
              <w:pStyle w:val="Citatindrag"/>
              <w:tabs>
                <w:tab w:val="right" w:pos="3899"/>
              </w:tabs>
              <w:ind w:firstLine="397"/>
            </w:pPr>
            <w:r w:rsidRPr="00896D4F">
              <w:t xml:space="preserve">  9 m</w:t>
            </w:r>
          </w:p>
        </w:tc>
      </w:tr>
      <w:tr w:rsidR="00000000" w:rsidRPr="00896D4F">
        <w:tblPrEx>
          <w:tblCellMar>
            <w:top w:w="0" w:type="dxa"/>
            <w:bottom w:w="0" w:type="dxa"/>
          </w:tblCellMar>
        </w:tblPrEx>
        <w:trPr>
          <w:trHeight w:hRule="exact" w:val="200"/>
        </w:trPr>
        <w:tc>
          <w:tcPr>
            <w:tcW w:w="1985" w:type="dxa"/>
          </w:tcPr>
          <w:p w:rsidR="009C1C5A" w:rsidRPr="00896D4F" w:rsidRDefault="009C1C5A">
            <w:pPr>
              <w:pStyle w:val="Citatindrag"/>
              <w:ind w:right="-352" w:firstLine="397"/>
            </w:pPr>
            <w:r w:rsidRPr="00896D4F">
              <w:t xml:space="preserve">7 m </w:t>
            </w:r>
          </w:p>
        </w:tc>
        <w:tc>
          <w:tcPr>
            <w:tcW w:w="3685" w:type="dxa"/>
          </w:tcPr>
          <w:p w:rsidR="009C1C5A" w:rsidRPr="00896D4F" w:rsidRDefault="009C1C5A">
            <w:pPr>
              <w:pStyle w:val="Citatindrag"/>
              <w:tabs>
                <w:tab w:val="right" w:pos="3899"/>
              </w:tabs>
              <w:ind w:firstLine="397"/>
            </w:pPr>
            <w:r w:rsidRPr="00896D4F">
              <w:t xml:space="preserve">  8 m</w:t>
            </w:r>
          </w:p>
        </w:tc>
      </w:tr>
      <w:tr w:rsidR="00000000" w:rsidRPr="00896D4F">
        <w:tblPrEx>
          <w:tblCellMar>
            <w:top w:w="0" w:type="dxa"/>
            <w:bottom w:w="0" w:type="dxa"/>
          </w:tblCellMar>
        </w:tblPrEx>
        <w:trPr>
          <w:trHeight w:hRule="exact" w:val="200"/>
        </w:trPr>
        <w:tc>
          <w:tcPr>
            <w:tcW w:w="1985" w:type="dxa"/>
          </w:tcPr>
          <w:p w:rsidR="009C1C5A" w:rsidRPr="00896D4F" w:rsidRDefault="009C1C5A">
            <w:pPr>
              <w:pStyle w:val="Citatindrag"/>
            </w:pPr>
          </w:p>
        </w:tc>
        <w:tc>
          <w:tcPr>
            <w:tcW w:w="3685" w:type="dxa"/>
          </w:tcPr>
          <w:p w:rsidR="009C1C5A" w:rsidRPr="00896D4F" w:rsidRDefault="009C1C5A">
            <w:pPr>
              <w:pStyle w:val="Citatindrag"/>
            </w:pPr>
          </w:p>
        </w:tc>
      </w:tr>
    </w:tbl>
    <w:p w:rsidR="009C1C5A" w:rsidRPr="00896D4F" w:rsidRDefault="009C1C5A">
      <w:pPr>
        <w:pStyle w:val="PunktlistaNummer"/>
      </w:pPr>
      <w:r w:rsidRPr="00896D4F">
        <w:t>Blomlådorna får endast vara utställda 1 maj –30 september.</w:t>
      </w:r>
    </w:p>
    <w:p w:rsidR="009C1C5A" w:rsidRPr="00896D4F" w:rsidRDefault="009C1C5A">
      <w:pPr>
        <w:pStyle w:val="PunktlistaNummer"/>
        <w:spacing w:before="0"/>
      </w:pPr>
      <w:r w:rsidRPr="00896D4F">
        <w:t>De boende svarar på egen bekostnad för tillverkning, anskaffning, utpl</w:t>
      </w:r>
      <w:r w:rsidRPr="00896D4F">
        <w:t>a</w:t>
      </w:r>
      <w:r w:rsidRPr="00896D4F">
        <w:t>cering och tillsyn av lådor, plantor och varningsmärken efter samråd med väghållningsenheten.</w:t>
      </w:r>
    </w:p>
    <w:p w:rsidR="009C1C5A" w:rsidRPr="00896D4F" w:rsidRDefault="009C1C5A">
      <w:pPr>
        <w:pStyle w:val="PunktlistaNummer"/>
        <w:spacing w:before="0"/>
      </w:pPr>
      <w:r w:rsidRPr="00896D4F">
        <w:t>De boende skall utse kontaktperson, som dels håller kontakt med väghål</w:t>
      </w:r>
      <w:r w:rsidRPr="00896D4F">
        <w:t>l</w:t>
      </w:r>
      <w:r w:rsidRPr="00896D4F">
        <w:t>ningsenheten, dels informerar sina grannar om blomlådeprojektet.</w:t>
      </w:r>
    </w:p>
    <w:p w:rsidR="009C1C5A" w:rsidRPr="00896D4F" w:rsidRDefault="009C1C5A">
      <w:pPr>
        <w:pStyle w:val="PunktlistaNummer"/>
        <w:spacing w:before="0"/>
        <w:ind w:left="284" w:hanging="284"/>
      </w:pPr>
      <w:r w:rsidRPr="00896D4F">
        <w:t>Särskild överenskommelse skall träffas om villkoren för utplacering av blomlådorna.</w:t>
      </w:r>
    </w:p>
    <w:p w:rsidR="009C1C5A" w:rsidRPr="00896D4F" w:rsidRDefault="009C1C5A">
      <w:r w:rsidRPr="00896D4F">
        <w:t>I en inom väghållningsenheten upprättad, odaterad handling, rubricerad ”Utform</w:t>
      </w:r>
      <w:r w:rsidRPr="00896D4F">
        <w:softHyphen/>
        <w:t>ning av tillfälliga farthinder i bostadsområden”, återgavs ovan angi</w:t>
      </w:r>
      <w:r w:rsidRPr="00896D4F">
        <w:t>v</w:t>
      </w:r>
      <w:r w:rsidRPr="00896D4F">
        <w:t>na riktlinjer med några undantag och tillägg, bl.a. följande punkt (en dubbl</w:t>
      </w:r>
      <w:r w:rsidRPr="00896D4F">
        <w:t>e</w:t>
      </w:r>
      <w:r w:rsidRPr="00896D4F">
        <w:t>rad ”5”):</w:t>
      </w:r>
    </w:p>
    <w:p w:rsidR="009C1C5A" w:rsidRPr="00896D4F" w:rsidRDefault="009C1C5A">
      <w:pPr>
        <w:pStyle w:val="Citat"/>
      </w:pPr>
      <w:r w:rsidRPr="00896D4F">
        <w:t>Varningsmärket VMF 1.1.3.1 ”Avsmalnande väg” – – – skall uppsättas i varje ände av den aktuel</w:t>
      </w:r>
      <w:r w:rsidRPr="00896D4F">
        <w:softHyphen/>
        <w:t>la sträckan.</w:t>
      </w:r>
    </w:p>
    <w:p w:rsidR="009C1C5A" w:rsidRPr="00896D4F" w:rsidRDefault="009C1C5A">
      <w:pPr>
        <w:pStyle w:val="Rubrik3"/>
      </w:pPr>
      <w:r w:rsidRPr="00896D4F">
        <w:t>Anmälan</w:t>
      </w:r>
    </w:p>
    <w:p w:rsidR="009C1C5A" w:rsidRPr="00896D4F" w:rsidRDefault="009C1C5A">
      <w:r w:rsidRPr="00896D4F">
        <w:t>I en i slutet av oktober 1999 gjord anmälan till JO ifrågasatte R.K., med hä</w:t>
      </w:r>
      <w:r w:rsidRPr="00896D4F">
        <w:t>n</w:t>
      </w:r>
      <w:r w:rsidRPr="00896D4F">
        <w:t>vis</w:t>
      </w:r>
      <w:r w:rsidRPr="00896D4F">
        <w:softHyphen/>
        <w:t>ning till tekniska nämndens beslut om farthinder och följder härav, om kommunen hade rätt att ”anmana/tillåta kommuninnevånarna bilda medbo</w:t>
      </w:r>
      <w:r w:rsidRPr="00896D4F">
        <w:t>r</w:t>
      </w:r>
      <w:r w:rsidRPr="00896D4F">
        <w:t>gargarde”. Därvid beskrev han trafiksäkerhetsmässiga brister som enligt hans mening hade uppkom</w:t>
      </w:r>
      <w:r w:rsidRPr="00896D4F">
        <w:softHyphen/>
        <w:t>mit, delvis genom att nämndens riktlinjer inte hade efterlevts; bl.a. förekom att väg</w:t>
      </w:r>
      <w:r w:rsidRPr="00896D4F">
        <w:softHyphen/>
        <w:t>märken saknades. I vad han ytterligare anförde reste han frågor om bl.a. an</w:t>
      </w:r>
      <w:r w:rsidRPr="00896D4F">
        <w:softHyphen/>
        <w:t>svar enligt vissa bestäm</w:t>
      </w:r>
      <w:r w:rsidRPr="00896D4F">
        <w:softHyphen/>
        <w:t>melser om rubbande av anordningar för trafiken samt om för</w:t>
      </w:r>
      <w:r w:rsidRPr="00896D4F">
        <w:softHyphen/>
        <w:t>orsakande av fara eller o</w:t>
      </w:r>
      <w:r w:rsidRPr="00896D4F">
        <w:t xml:space="preserve">lägenhet för trafiken på en väg. </w:t>
      </w:r>
    </w:p>
    <w:p w:rsidR="009C1C5A" w:rsidRPr="00896D4F" w:rsidRDefault="009C1C5A">
      <w:pPr>
        <w:pStyle w:val="Rubrik3"/>
      </w:pPr>
      <w:r w:rsidRPr="00896D4F">
        <w:t xml:space="preserve">Utredning </w:t>
      </w:r>
    </w:p>
    <w:p w:rsidR="009C1C5A" w:rsidRPr="00896D4F" w:rsidRDefault="009C1C5A">
      <w:pPr>
        <w:rPr>
          <w:b/>
          <w:sz w:val="20"/>
        </w:rPr>
      </w:pPr>
      <w:r w:rsidRPr="00896D4F">
        <w:t>Genom remiss begärdes av tekniska nämnden yttrande över anmälan mot bak</w:t>
      </w:r>
      <w:r w:rsidRPr="00896D4F">
        <w:softHyphen/>
        <w:t>grund av kommunens ansvar som väg- eller gatuhållare, varvid angavs att – bland annat – 80, 82 och 85 §§ vägmärkesförordningen (1978:1001) var att beakta. Nämn</w:t>
      </w:r>
      <w:r w:rsidRPr="00896D4F">
        <w:softHyphen/>
        <w:t>den svarade genom att överlämna tekniska förvaltningens utl</w:t>
      </w:r>
      <w:r w:rsidRPr="00896D4F">
        <w:t>å</w:t>
      </w:r>
      <w:r w:rsidRPr="00896D4F">
        <w:t>tande i ären</w:t>
      </w:r>
      <w:r w:rsidRPr="00896D4F">
        <w:softHyphen/>
        <w:t>det.</w:t>
      </w:r>
    </w:p>
    <w:p w:rsidR="009C1C5A" w:rsidRPr="00896D4F" w:rsidRDefault="009C1C5A">
      <w:r w:rsidRPr="00896D4F">
        <w:t xml:space="preserve">– – –    </w:t>
      </w:r>
    </w:p>
    <w:p w:rsidR="009C1C5A" w:rsidRPr="00896D4F" w:rsidRDefault="009C1C5A">
      <w:pPr>
        <w:pStyle w:val="Citat"/>
      </w:pPr>
      <w:r w:rsidRPr="00896D4F">
        <w:t>Då många önskemål framförts till förvaltningen från boende om att förbättra trafiksäkerheten så behandlade nämnden 1997-04-14, § 32 riktlinjer för til</w:t>
      </w:r>
      <w:r w:rsidRPr="00896D4F">
        <w:t>l</w:t>
      </w:r>
      <w:r w:rsidRPr="00896D4F">
        <w:t>fälliga farthinder i bostadsområden. Dessa riktlinjer framgår av bifogade handlingar [se Bakgrund ovan; JO:s anm.] Som underlag för dessa riktlinjer har kunskaper inhämtats från andra kommuner som prövat att låta enskilda personer på egen bekostnad få anordna tillfälliga anordningar för att på så sätt skapa ökad trafiksäkerhet under sommarhalvåret. Utformning av anordningar och tillhörande vägmärken följer de regler som finns i vägmärkesförordnin</w:t>
      </w:r>
      <w:r w:rsidRPr="00896D4F">
        <w:t>g</w:t>
      </w:r>
      <w:r w:rsidRPr="00896D4F">
        <w:t xml:space="preserve">en. När ett önskemål blir aktuellt så sker en prövning från </w:t>
      </w:r>
      <w:r w:rsidRPr="00896D4F">
        <w:t>fall till fall. Vad som är väsentligt i de fall kommunen tillstyrker önskemålet är att utformnin</w:t>
      </w:r>
      <w:r w:rsidRPr="00896D4F">
        <w:t>g</w:t>
      </w:r>
      <w:r w:rsidRPr="00896D4F">
        <w:t>en blir korrekt, att berörda grannar tillstyrker förslaget samt att det under hela perioden finns ansvarig person som kommunen kan nå. Efterlevnaden av dessa villkor är väsentliga eftersom kommunen som väghål</w:t>
      </w:r>
      <w:r w:rsidRPr="00896D4F">
        <w:softHyphen/>
        <w:t>lare är ansvarig för trafiksäkerheten på vägarna även om anordningarna bekostas och placeras ut av enskilda personer.</w:t>
      </w:r>
    </w:p>
    <w:p w:rsidR="009C1C5A" w:rsidRPr="00896D4F" w:rsidRDefault="009C1C5A">
      <w:pPr>
        <w:pStyle w:val="Citatindrag"/>
      </w:pPr>
      <w:r w:rsidRPr="00896D4F">
        <w:t>Under de tre sommarperioder som dessa riktlinjer funnits har ett tiotal a</w:t>
      </w:r>
      <w:r w:rsidRPr="00896D4F">
        <w:t>n</w:t>
      </w:r>
      <w:r w:rsidRPr="00896D4F">
        <w:t>sökningar behandlats var</w:t>
      </w:r>
      <w:r w:rsidRPr="00896D4F">
        <w:softHyphen/>
        <w:t>je sommar. Ansökningarna har i de flesta fall berört lokala bostadsgator. De riktlinjer som ställts upp har i huvudsak följts.</w:t>
      </w:r>
    </w:p>
    <w:p w:rsidR="009C1C5A" w:rsidRPr="00896D4F" w:rsidRDefault="009C1C5A">
      <w:pPr>
        <w:pStyle w:val="Citatindrag"/>
      </w:pPr>
      <w:r w:rsidRPr="00896D4F">
        <w:t>Under den gångna sommaren har det visat sig att det vid flertal tillfällen kommit upp anordningar utan förvaltningens kännedom eller tillstånd. Vidare har vid flera tillfällen gällande föreskrifter ej följts. Detta har också i brev framförts till kommunen av R.K. Handläggningen av detta brev på</w:t>
      </w:r>
      <w:r w:rsidRPr="00896D4F">
        <w:softHyphen/>
        <w:t>börjades ca en vecka innan tiden för de tillfälliga tillstånden löpte ut. I tjänsteanteckningar har för</w:t>
      </w:r>
      <w:r w:rsidRPr="00896D4F">
        <w:softHyphen/>
        <w:t>valtningen per telefon försökt meddela R.K. att en generell översyn och ompröv</w:t>
      </w:r>
      <w:r w:rsidRPr="00896D4F">
        <w:softHyphen/>
        <w:t>ning av vill</w:t>
      </w:r>
      <w:r w:rsidRPr="00896D4F">
        <w:softHyphen/>
        <w:t>koren för tillstånden skulle ske via tekniska nämnden under hösten. R.K:s begäran om att få placera blomlådor vid fastigheten Tullinge 21:434 har inte behandlats av skäl som redovisats ovan. Av olika anledningar kunde förvaltningen ej komma i kontakt med den sökande per telefon. Något skriftligt svar har ej lämnat</w:t>
      </w:r>
      <w:r w:rsidRPr="00896D4F">
        <w:t>s. Skälet till detta är att de aktuella fråge</w:t>
      </w:r>
      <w:r w:rsidRPr="00896D4F">
        <w:softHyphen/>
        <w:t>ställningarna vid ett flertal till</w:t>
      </w:r>
      <w:r w:rsidRPr="00896D4F">
        <w:softHyphen/>
        <w:t>fällen har diskuterats med R.K. varför förvaltningen b</w:t>
      </w:r>
      <w:r w:rsidRPr="00896D4F">
        <w:t>e</w:t>
      </w:r>
      <w:r w:rsidRPr="00896D4F">
        <w:t>dömde att ett skriftligt svar ej var nödvän</w:t>
      </w:r>
      <w:r w:rsidRPr="00896D4F">
        <w:softHyphen/>
        <w:t xml:space="preserve">digt. </w:t>
      </w:r>
    </w:p>
    <w:p w:rsidR="009C1C5A" w:rsidRPr="00896D4F" w:rsidRDefault="009C1C5A">
      <w:pPr>
        <w:pStyle w:val="Citatindrag"/>
      </w:pPr>
      <w:r w:rsidRPr="00896D4F">
        <w:t>En utvärdering av de av nämnden godkända riktlinjerna har behandlats vid nämndens samman</w:t>
      </w:r>
      <w:r w:rsidRPr="00896D4F">
        <w:softHyphen/>
        <w:t>träde 1999-11-15, § 82. Förvaltningen konstaterade bl.a. vid utvärderingen att fastighetsägarna över lag ej följde gällande regler och vissa tillfrågade inte kommunen utan arrangerade diverse egna anordningar. Resultatet av detta var att trafiksäkerheten i många fall försämrades. Utvärde</w:t>
      </w:r>
      <w:r w:rsidRPr="00896D4F">
        <w:softHyphen/>
        <w:t xml:space="preserve">ringen av riktlinjerna innebar att nämnden beslöt ”– – – [se nedan; JO:s anm.] – – – ” </w:t>
      </w:r>
    </w:p>
    <w:p w:rsidR="009C1C5A" w:rsidRPr="00896D4F" w:rsidRDefault="009C1C5A">
      <w:r w:rsidRPr="00896D4F">
        <w:t>I nämndens protokoll redovisades utvärderingen, efter en inledning, så som följer.</w:t>
      </w:r>
    </w:p>
    <w:p w:rsidR="009C1C5A" w:rsidRPr="00896D4F" w:rsidRDefault="009C1C5A">
      <w:r w:rsidRPr="00896D4F">
        <w:t xml:space="preserve">– – –    </w:t>
      </w:r>
    </w:p>
    <w:p w:rsidR="009C1C5A" w:rsidRPr="00896D4F" w:rsidRDefault="009C1C5A">
      <w:pPr>
        <w:pStyle w:val="Citat"/>
      </w:pPr>
      <w:r w:rsidRPr="00896D4F">
        <w:t>Under 1999 har överenskommelse tecknats med boende på ett 10-tal v</w:t>
      </w:r>
      <w:r w:rsidRPr="00896D4F">
        <w:t>ä</w:t>
      </w:r>
      <w:r w:rsidRPr="00896D4F">
        <w:t>gar.</w:t>
      </w:r>
    </w:p>
    <w:p w:rsidR="009C1C5A" w:rsidRPr="00896D4F" w:rsidRDefault="009C1C5A">
      <w:pPr>
        <w:pStyle w:val="Citatindrag"/>
      </w:pPr>
      <w:r w:rsidRPr="00896D4F">
        <w:t>Åtgärderna har medverkat till sänkt hastighet vid farthindren, men i övrigt har försöket till över</w:t>
      </w:r>
      <w:r w:rsidRPr="00896D4F">
        <w:softHyphen/>
        <w:t>vägande del givit negativa erfarenheter. Dessa redovisas i tekniska förvaltningens tjänsteutlåtande 1999-10-27.</w:t>
      </w:r>
    </w:p>
    <w:p w:rsidR="009C1C5A" w:rsidRPr="00896D4F" w:rsidRDefault="009C1C5A">
      <w:pPr>
        <w:pStyle w:val="Citatindrag"/>
      </w:pPr>
      <w:r w:rsidRPr="00896D4F">
        <w:t>Förvaltningen som efter försöksperiodens slut inte kan finna att utplace</w:t>
      </w:r>
      <w:r w:rsidRPr="00896D4F">
        <w:t>r</w:t>
      </w:r>
      <w:r w:rsidRPr="00896D4F">
        <w:t>ingen av farthinder i form av blomlådor givit några tydliga positiva effekter föreslår att fartdämpning i stället bör göras per</w:t>
      </w:r>
      <w:r w:rsidRPr="00896D4F">
        <w:softHyphen/>
        <w:t xml:space="preserve">manent av kommunen enligt den plan som ska upprättas efter det att trafiknätsanalys gjorts för kommunen med ”Lugna gatan” som målsättning. </w:t>
      </w:r>
    </w:p>
    <w:p w:rsidR="009C1C5A" w:rsidRPr="00896D4F" w:rsidRDefault="009C1C5A">
      <w:pPr>
        <w:pStyle w:val="Citatindrag"/>
      </w:pPr>
      <w:r w:rsidRPr="00896D4F">
        <w:t>Tekniska nämnden beslutar</w:t>
      </w:r>
    </w:p>
    <w:p w:rsidR="009C1C5A" w:rsidRPr="00896D4F" w:rsidRDefault="009C1C5A">
      <w:pPr>
        <w:pStyle w:val="Citatindrag"/>
      </w:pPr>
      <w:r w:rsidRPr="00896D4F">
        <w:t>att inför kommande år inte tillåta utplacering av egna tillfälliga farthinder annat än i speciellt moti</w:t>
      </w:r>
      <w:r w:rsidRPr="00896D4F">
        <w:softHyphen/>
        <w:t>verade fall.</w:t>
      </w:r>
    </w:p>
    <w:p w:rsidR="009C1C5A" w:rsidRPr="00896D4F" w:rsidRDefault="009C1C5A">
      <w:r w:rsidRPr="00896D4F">
        <w:t xml:space="preserve">R.K. yttrade sig över vad nämnden anfört. </w:t>
      </w:r>
    </w:p>
    <w:p w:rsidR="009C1C5A" w:rsidRPr="00896D4F" w:rsidRDefault="009C1C5A">
      <w:r w:rsidRPr="00896D4F">
        <w:t xml:space="preserve">I ett beslut den 8 januari 2002 anförde </w:t>
      </w:r>
      <w:r w:rsidRPr="00896D4F">
        <w:rPr>
          <w:i/>
        </w:rPr>
        <w:t>JO Berggren</w:t>
      </w:r>
      <w:r w:rsidRPr="00896D4F">
        <w:t xml:space="preserve"> följande.</w:t>
      </w:r>
    </w:p>
    <w:p w:rsidR="009C1C5A" w:rsidRPr="00896D4F" w:rsidRDefault="009C1C5A">
      <w:pPr>
        <w:pStyle w:val="Rubrik3"/>
      </w:pPr>
      <w:r w:rsidRPr="00896D4F">
        <w:t>Bedömning</w:t>
      </w:r>
    </w:p>
    <w:p w:rsidR="009C1C5A" w:rsidRPr="00896D4F" w:rsidRDefault="009C1C5A">
      <w:r w:rsidRPr="00896D4F">
        <w:t>Anmälan har gett anledning att ställa den grundläggande frågan huruvida kommu</w:t>
      </w:r>
      <w:r w:rsidRPr="00896D4F">
        <w:softHyphen/>
        <w:t>nen över huvud taget ägt överlåta till enskilda att på gator anordna farthinder och att sätta upp tillhörande vägmärken. Bakgrunden är bestä</w:t>
      </w:r>
      <w:r w:rsidRPr="00896D4F">
        <w:t>m</w:t>
      </w:r>
      <w:r w:rsidRPr="00896D4F">
        <w:t>melser i regeringsfor</w:t>
      </w:r>
      <w:r w:rsidRPr="00896D4F">
        <w:softHyphen/>
        <w:t>men och kommunallagen (1991:900) om möjligheterna att till enskilda överläm</w:t>
      </w:r>
      <w:r w:rsidRPr="00896D4F">
        <w:softHyphen/>
        <w:t>na förvaltningsuppgifter. En förvaltningsuppgift kan sålunda enligt 11 kap. 6 § tredje stycket regeringsformen överlämnas till b</w:t>
      </w:r>
      <w:r w:rsidRPr="00896D4F">
        <w:t>o</w:t>
      </w:r>
      <w:r w:rsidRPr="00896D4F">
        <w:t>lag, förening, samfällighet, stif</w:t>
      </w:r>
      <w:r w:rsidRPr="00896D4F">
        <w:softHyphen/>
        <w:t>telse, registrerat trossamfund eller någon av dess organisatoriska delar eller till enskild individ. Innefatt</w:t>
      </w:r>
      <w:r w:rsidRPr="00896D4F">
        <w:t>ar uppgiften my</w:t>
      </w:r>
      <w:r w:rsidRPr="00896D4F">
        <w:t>n</w:t>
      </w:r>
      <w:r w:rsidRPr="00896D4F">
        <w:t xml:space="preserve">dighetsutövning, skall det ske med stöd av lag. </w:t>
      </w:r>
    </w:p>
    <w:p w:rsidR="009C1C5A" w:rsidRPr="00896D4F" w:rsidRDefault="009C1C5A">
      <w:pPr>
        <w:pStyle w:val="Normaltindrag"/>
      </w:pPr>
      <w:r w:rsidRPr="00896D4F">
        <w:t>I avsaknad av en närmare reglering har frågor om överlämnande på det kommuna</w:t>
      </w:r>
      <w:r w:rsidRPr="00896D4F">
        <w:softHyphen/>
        <w:t>la området av sådana förvaltningsuppgifter, som inte innefattar myndighetsutöv</w:t>
      </w:r>
      <w:r w:rsidRPr="00896D4F">
        <w:softHyphen/>
        <w:t>ning, varit diskuterade i den juridiska litteraturen (se Marcu</w:t>
      </w:r>
      <w:r w:rsidRPr="00896D4F">
        <w:t>s</w:t>
      </w:r>
      <w:r w:rsidRPr="00896D4F">
        <w:t>son, Offentlig förvalt</w:t>
      </w:r>
      <w:r w:rsidRPr="00896D4F">
        <w:softHyphen/>
        <w:t>ning utanför myndighetsområdet, 1989, bl.a. s. 29 f., 104 f. och 382 f. med hän</w:t>
      </w:r>
      <w:r w:rsidRPr="00896D4F">
        <w:softHyphen/>
        <w:t>visningar). Rättsfall har emellertid förekommit, innebärande att en kommuns skyl</w:t>
      </w:r>
      <w:r w:rsidRPr="00896D4F">
        <w:softHyphen/>
        <w:t xml:space="preserve">dighet enligt en viss lag inte får överlåtas på någon annan (jfr RÅ 1976 ref. 51 och RÅ 1977 ref. 38). </w:t>
      </w:r>
    </w:p>
    <w:p w:rsidR="009C1C5A" w:rsidRPr="00896D4F" w:rsidRDefault="009C1C5A">
      <w:pPr>
        <w:pStyle w:val="Normaltindrag"/>
      </w:pPr>
      <w:r w:rsidRPr="00896D4F">
        <w:t>Bestämmelser har så småningom införts i kommunallagen genom regler om kom</w:t>
      </w:r>
      <w:r w:rsidRPr="00896D4F">
        <w:softHyphen/>
        <w:t>munala företag (bet. 1990/91:KU38 s. 42 f. och 161). Efter en senare utvidgning av tillämpnings</w:t>
      </w:r>
      <w:r w:rsidRPr="00896D4F">
        <w:softHyphen/>
        <w:t>området föreskrivs med allmän räckvidd (prop. 1993/94:188 s. 38 f.) följande i 3 kap. 16 §.</w:t>
      </w:r>
    </w:p>
    <w:p w:rsidR="009C1C5A" w:rsidRPr="00896D4F" w:rsidRDefault="009C1C5A">
      <w:pPr>
        <w:pStyle w:val="Citat"/>
      </w:pPr>
      <w:r w:rsidRPr="00896D4F">
        <w:t>Kommuner och landsting får efter beslut av fullmäktige lämna över vården av en kommunal ange</w:t>
      </w:r>
      <w:r w:rsidRPr="00896D4F">
        <w:softHyphen/>
        <w:t>lägenhet, för vars handhavande särskild ordning inte för</w:t>
      </w:r>
      <w:r w:rsidRPr="00896D4F">
        <w:t>e</w:t>
      </w:r>
      <w:r w:rsidRPr="00896D4F">
        <w:t>skrivits, till ett aktiebolag, ett handels</w:t>
      </w:r>
      <w:r w:rsidRPr="00896D4F">
        <w:softHyphen/>
        <w:t>bolag, en ekonomisk förening, en ideell förening, en stiftelse eller en enskild individ.</w:t>
      </w:r>
    </w:p>
    <w:p w:rsidR="009C1C5A" w:rsidRPr="00896D4F" w:rsidRDefault="009C1C5A">
      <w:pPr>
        <w:pStyle w:val="Citatindrag"/>
      </w:pPr>
      <w:r w:rsidRPr="00896D4F">
        <w:t>Vården av en angelägenhet som innefattar myndighetsutövning får dock enligt 11 kap. 6 § rege</w:t>
      </w:r>
      <w:r w:rsidRPr="00896D4F">
        <w:softHyphen/>
        <w:t>ringsformen överlämnas endast om det finns stöd för det i lag.</w:t>
      </w:r>
    </w:p>
    <w:p w:rsidR="009C1C5A" w:rsidRPr="00896D4F" w:rsidRDefault="009C1C5A">
      <w:r w:rsidRPr="00896D4F">
        <w:t xml:space="preserve">– – –    </w:t>
      </w:r>
    </w:p>
    <w:p w:rsidR="009C1C5A" w:rsidRPr="00896D4F" w:rsidRDefault="009C1C5A">
      <w:r w:rsidRPr="00896D4F">
        <w:t xml:space="preserve">Vad som menas med att en särskild ordning föreskrivits har i någon mån belysts i förarbeten till paragrafen. Regeringen anförde sålunda följande (prop. 1992/93:43 s. 5; se även prop. 1990/91:117 s. 51). </w:t>
      </w:r>
    </w:p>
    <w:p w:rsidR="009C1C5A" w:rsidRPr="00896D4F" w:rsidRDefault="009C1C5A">
      <w:pPr>
        <w:pStyle w:val="Citat"/>
      </w:pPr>
      <w:r w:rsidRPr="00896D4F">
        <w:t>En grundläggande princip är att den verksamhet som överlämnas till priva</w:t>
      </w:r>
      <w:r w:rsidRPr="00896D4F">
        <w:t>t</w:t>
      </w:r>
      <w:r w:rsidRPr="00896D4F">
        <w:t>rättsliga organ skall falla inom den kommunala kompetensen och att risken för kompetensöverskridanden vid verk</w:t>
      </w:r>
      <w:r w:rsidRPr="00896D4F">
        <w:softHyphen/>
        <w:t>samhetens utövande skall vara ringa.</w:t>
      </w:r>
    </w:p>
    <w:p w:rsidR="009C1C5A" w:rsidRPr="00896D4F" w:rsidRDefault="009C1C5A">
      <w:pPr>
        <w:pStyle w:val="Citat"/>
      </w:pPr>
      <w:r w:rsidRPr="00896D4F">
        <w:t xml:space="preserve">– – – </w:t>
      </w:r>
    </w:p>
    <w:p w:rsidR="009C1C5A" w:rsidRPr="00896D4F" w:rsidRDefault="009C1C5A">
      <w:pPr>
        <w:pStyle w:val="Citat"/>
      </w:pPr>
      <w:r w:rsidRPr="00896D4F">
        <w:t>En ytterligare begränsning gäller på de specialreglerade områdena. En ko</w:t>
      </w:r>
      <w:r w:rsidRPr="00896D4F">
        <w:t>m</w:t>
      </w:r>
      <w:r w:rsidRPr="00896D4F">
        <w:t>munal angelägenhet får i princip inte överlåtas till ett särskilt rättssubjekt, om det i en författning har angivits att ett visst kommunalt organ skall handha detta. Detta utesluter dock inte att vissa delar av en special</w:t>
      </w:r>
      <w:r w:rsidRPr="00896D4F">
        <w:softHyphen/>
        <w:t>reglerad uppgift, t.ex. vissa driftsfrågor eller andra verkställighetsuppgifter, kan bedrivas i privat</w:t>
      </w:r>
      <w:r w:rsidRPr="00896D4F">
        <w:softHyphen/>
        <w:t>rättsliga former. Möjligheterna till detta är främst beroende av hur sp</w:t>
      </w:r>
      <w:r w:rsidRPr="00896D4F">
        <w:t>e</w:t>
      </w:r>
      <w:r w:rsidRPr="00896D4F">
        <w:t>ciallagstiftningen är utfor</w:t>
      </w:r>
      <w:r w:rsidRPr="00896D4F">
        <w:softHyphen/>
        <w:t>mad inom det akt</w:t>
      </w:r>
      <w:r w:rsidRPr="00896D4F">
        <w:t>u</w:t>
      </w:r>
      <w:r w:rsidRPr="00896D4F">
        <w:t xml:space="preserve">ella området. </w:t>
      </w:r>
    </w:p>
    <w:p w:rsidR="009C1C5A" w:rsidRPr="00896D4F" w:rsidRDefault="009C1C5A">
      <w:pPr>
        <w:pStyle w:val="Citatindrag"/>
      </w:pPr>
      <w:r w:rsidRPr="00896D4F">
        <w:t>En förvaltningsuppgift som innefattar myndighetsutövn</w:t>
      </w:r>
      <w:r w:rsidRPr="00896D4F">
        <w:t>ing får överlämnas till ett privaträttsligt subjekt bara om det finns lagstöd för detta. Detta följer av 11 kap. 6 § regeringsformen. Också andra författningsbestämmelser kan innebära att ver</w:t>
      </w:r>
      <w:r w:rsidRPr="00896D4F">
        <w:t>k</w:t>
      </w:r>
      <w:r w:rsidRPr="00896D4F">
        <w:t>samheten skall bedrivas i viss form.</w:t>
      </w:r>
    </w:p>
    <w:p w:rsidR="009C1C5A" w:rsidRPr="00896D4F" w:rsidRDefault="009C1C5A">
      <w:r w:rsidRPr="00896D4F">
        <w:t>När det nu gäller förhållandena i ärendet förutsätter jag att kommunen är huvud</w:t>
      </w:r>
      <w:r w:rsidRPr="00896D4F">
        <w:softHyphen/>
        <w:t>man för berörda gator och därmed skall svara för iordningställandet och under</w:t>
      </w:r>
      <w:r w:rsidRPr="00896D4F">
        <w:softHyphen/>
        <w:t>hållet av dessa i enlighet med 6 kap. 26 och 30 §§ plan- och bygglagen (1987:10, PBL). PBL anger inget om möjligheter att till enskilda överlämna sådana uppgif</w:t>
      </w:r>
      <w:r w:rsidRPr="00896D4F">
        <w:softHyphen/>
        <w:t>ter, utom genom bestämmande om själva huvudmannaskapet. I fråga om kommu</w:t>
      </w:r>
      <w:r w:rsidRPr="00896D4F">
        <w:softHyphen/>
        <w:t>nens organiserande av dessa uppgifter anges i det nu berörda avsnittet i lagen inte något närmare. Enligt 1 kap. 7 § gäller emellertid att det i varje kommun skall finnas en eller flera nämnder som sk</w:t>
      </w:r>
      <w:r w:rsidRPr="00896D4F">
        <w:t>all fullgöra komm</w:t>
      </w:r>
      <w:r w:rsidRPr="00896D4F">
        <w:t>u</w:t>
      </w:r>
      <w:r w:rsidRPr="00896D4F">
        <w:t>nens uppgifter inom plan- och byggnadsväsendet och ha det närmaste insee</w:t>
      </w:r>
      <w:r w:rsidRPr="00896D4F">
        <w:t>n</w:t>
      </w:r>
      <w:r w:rsidRPr="00896D4F">
        <w:t>det över byggnadsverksam</w:t>
      </w:r>
      <w:r w:rsidRPr="00896D4F">
        <w:softHyphen/>
        <w:t>heten. (Lydelsen, som tillkommit med nya ko</w:t>
      </w:r>
      <w:r w:rsidRPr="00896D4F">
        <w:t>m</w:t>
      </w:r>
      <w:r w:rsidRPr="00896D4F">
        <w:t>munallagen och därvid inte särskilt motiverats i förarbetena, var ursprungl</w:t>
      </w:r>
      <w:r w:rsidRPr="00896D4F">
        <w:t>i</w:t>
      </w:r>
      <w:r w:rsidRPr="00896D4F">
        <w:t>gen en annan, men ”kommunen” förutsat</w:t>
      </w:r>
      <w:r w:rsidRPr="00896D4F">
        <w:softHyphen/>
        <w:t>tes då vid tillämpningen av ett när</w:t>
      </w:r>
      <w:r w:rsidRPr="00896D4F">
        <w:t>a</w:t>
      </w:r>
      <w:r w:rsidRPr="00896D4F">
        <w:t>liggande avsnitt av 6 kap., om gatukostnader m.m., verka genom en komm</w:t>
      </w:r>
      <w:r w:rsidRPr="00896D4F">
        <w:t>u</w:t>
      </w:r>
      <w:r w:rsidRPr="00896D4F">
        <w:t xml:space="preserve">nal nämnd efter delegation; prop. 1985/86:1 s. 222 och 660.) </w:t>
      </w:r>
    </w:p>
    <w:p w:rsidR="009C1C5A" w:rsidRPr="00896D4F" w:rsidRDefault="009C1C5A">
      <w:pPr>
        <w:pStyle w:val="Normaltindrag"/>
      </w:pPr>
      <w:r w:rsidRPr="00896D4F">
        <w:t>Redan det i 6 kap. PBL angivna får anses innebära att en i kommunall</w:t>
      </w:r>
      <w:r w:rsidRPr="00896D4F">
        <w:t>a</w:t>
      </w:r>
      <w:r w:rsidRPr="00896D4F">
        <w:t>gens me</w:t>
      </w:r>
      <w:r w:rsidRPr="00896D4F">
        <w:softHyphen/>
        <w:t>ning ”särskild ordning” gäller för kommunens gatuhållning. Området är, med ett annat uttryck, ”specialreglerat”, varför enligt lagens ordalydelse sådan förvaltning inte får överlämnas till enskild.</w:t>
      </w:r>
    </w:p>
    <w:p w:rsidR="009C1C5A" w:rsidRPr="00896D4F" w:rsidRDefault="009C1C5A">
      <w:pPr>
        <w:pStyle w:val="Normaltindrag"/>
      </w:pPr>
      <w:r w:rsidRPr="00896D4F">
        <w:t>Vad beträffar den närmare innebörden av uppgifterna med gatuhållning märks att gator m.m. till bredd och utformning i övrigt skall stämma överens med detalj</w:t>
      </w:r>
      <w:r w:rsidRPr="00896D4F">
        <w:softHyphen/>
        <w:t>planen för området; mindre avvikelser får göras, om syftet med planen inte mot</w:t>
      </w:r>
      <w:r w:rsidRPr="00896D4F">
        <w:softHyphen/>
        <w:t>verkas (6 kap. 27 §). I en detaljplan kan bestämmas även ”sådana detaljer som bredd på körbanor, separering av olika trafikslag, b</w:t>
      </w:r>
      <w:r w:rsidRPr="00896D4F">
        <w:t>e</w:t>
      </w:r>
      <w:r w:rsidRPr="00896D4F">
        <w:t>läggning, farthinder, utfarts</w:t>
      </w:r>
      <w:r w:rsidRPr="00896D4F">
        <w:softHyphen/>
        <w:t>begränsningar, plantering, belysning etc.” (Bove</w:t>
      </w:r>
      <w:r w:rsidRPr="00896D4F">
        <w:t>r</w:t>
      </w:r>
      <w:r w:rsidRPr="00896D4F">
        <w:t xml:space="preserve">ket, Boken om detaljplan och områdesbestämmelser, Allmänna råd 1996:1, s. 74; se även s. 75, 90 och 161. Jfr 5 kap. 3 § andra stycket PBL och prop. 1985/86:1 s. 583 f.). </w:t>
      </w:r>
    </w:p>
    <w:p w:rsidR="009C1C5A" w:rsidRPr="00896D4F" w:rsidRDefault="009C1C5A">
      <w:pPr>
        <w:pStyle w:val="Normaltindrag"/>
      </w:pPr>
      <w:r w:rsidRPr="00896D4F">
        <w:t>Av detta framgår att gatuhållning inbegriper åtskil</w:t>
      </w:r>
      <w:r w:rsidRPr="00896D4F">
        <w:t>ligt mer än ren skötsel av gator o.d. Med det senare avser jag sådant som beträffande allmänna v</w:t>
      </w:r>
      <w:r w:rsidRPr="00896D4F">
        <w:t>ä</w:t>
      </w:r>
      <w:r w:rsidRPr="00896D4F">
        <w:t>gar, för vilka staten – genom Vägverket – i allmänhet är väghållare (1, 5 och 6 §§ väglagen, 1971:948), framgår av de relativt utförliga bestämmelserna om i väghållning ingående ”drift av väg”. Däri innefattas t.ex. reparation, renhål</w:t>
      </w:r>
      <w:r w:rsidRPr="00896D4F">
        <w:t>l</w:t>
      </w:r>
      <w:r w:rsidRPr="00896D4F">
        <w:t>ning och under</w:t>
      </w:r>
      <w:r w:rsidRPr="00896D4F">
        <w:softHyphen/>
        <w:t>hållsarbeten (4 och 26 §§ väglagen samt 45 § vägkungörelsen, 1971:954). Mot</w:t>
      </w:r>
      <w:r w:rsidRPr="00896D4F">
        <w:softHyphen/>
        <w:t>svarande åtgärder med gator torde kunna hänföras till vad som enligt nyss åter</w:t>
      </w:r>
      <w:r w:rsidRPr="00896D4F">
        <w:softHyphen/>
        <w:t>givna föra</w:t>
      </w:r>
      <w:r w:rsidRPr="00896D4F">
        <w:t>rbeten till kommunallagen kan överlämnas till e</w:t>
      </w:r>
      <w:r w:rsidRPr="00896D4F">
        <w:t>n</w:t>
      </w:r>
      <w:r w:rsidRPr="00896D4F">
        <w:t xml:space="preserve">skilda (”driftsfrågor eller andra verkställighetsuppgifter”). </w:t>
      </w:r>
    </w:p>
    <w:p w:rsidR="009C1C5A" w:rsidRPr="00896D4F" w:rsidRDefault="009C1C5A">
      <w:pPr>
        <w:pStyle w:val="Normaltindrag"/>
      </w:pPr>
      <w:r w:rsidRPr="00896D4F">
        <w:t>I gatuhållning ingår, enligt vad som alltså följer av planlagstiftningen, n</w:t>
      </w:r>
      <w:r w:rsidRPr="00896D4F">
        <w:t>å</w:t>
      </w:r>
      <w:r w:rsidRPr="00896D4F">
        <w:t>got mera: kvalificerade ställningstaganden till och kontroll av gatornas u</w:t>
      </w:r>
      <w:r w:rsidRPr="00896D4F">
        <w:t>t</w:t>
      </w:r>
      <w:r w:rsidRPr="00896D4F">
        <w:t>formning, t.ex. be</w:t>
      </w:r>
      <w:r w:rsidRPr="00896D4F">
        <w:softHyphen/>
        <w:t>gränsningar i deras användning ”för avsett ändamål” (6 kap. 26 § andra stycket PBL). Att en kommun till enskilda överlämnar sådana centrala, i en författning föreskrivna uppgifter är inte ens enligt kommunall</w:t>
      </w:r>
      <w:r w:rsidRPr="00896D4F">
        <w:t>a</w:t>
      </w:r>
      <w:r w:rsidRPr="00896D4F">
        <w:t>gens ovan återgivna för</w:t>
      </w:r>
      <w:r w:rsidRPr="00896D4F">
        <w:softHyphen/>
        <w:t xml:space="preserve">arbeten tillåtet. </w:t>
      </w:r>
    </w:p>
    <w:p w:rsidR="009C1C5A" w:rsidRPr="00896D4F" w:rsidRDefault="009C1C5A">
      <w:pPr>
        <w:pStyle w:val="Normaltindrag"/>
      </w:pPr>
      <w:r w:rsidRPr="00896D4F">
        <w:t>Nämnden har i det aktuella fallet visserligen fattat ett grundläggande beslut här</w:t>
      </w:r>
      <w:r w:rsidRPr="00896D4F">
        <w:softHyphen/>
        <w:t>vidlag, om ”riktlinjer”. Men enligt dessa har de enskilda fått svara för bl.a. ”ut</w:t>
      </w:r>
      <w:r w:rsidRPr="00896D4F">
        <w:softHyphen/>
        <w:t>placering och tillsyn” av lådor m.m. ”efter samråd med” företrädare för nämnden. Något uppdrag åt t.ex. en anställd att besluta på nämndens vägnar i de enskilda fallen har inte meddelats, såvitt direkt framkommit om handläg</w:t>
      </w:r>
      <w:r w:rsidRPr="00896D4F">
        <w:t>g</w:t>
      </w:r>
      <w:r w:rsidRPr="00896D4F">
        <w:t>ningen i anslut</w:t>
      </w:r>
      <w:r w:rsidRPr="00896D4F">
        <w:softHyphen/>
        <w:t>ning till fastställandet av riktlinjerna (jfr 6 kap. 33, 35 och 37 §§ kommunallagen, om delegering av ärenden inom en nämnd). Däremot uppges i nämndens yttrande till JO att det skulle ha f</w:t>
      </w:r>
      <w:r w:rsidRPr="00896D4F">
        <w:t>örekommit ”ansökningar” och att en prövning skett från fall till fall, något som i och för sig kan tyda på att beslut om utformningen har fattats av nämnden eller av någon på dess vägnar. Av utredningen framgår att nämnden ändå inte haft det inflytande på de faktiska förhållandena som varit nöd</w:t>
      </w:r>
      <w:r w:rsidRPr="00896D4F">
        <w:softHyphen/>
        <w:t xml:space="preserve">vändigt. </w:t>
      </w:r>
    </w:p>
    <w:p w:rsidR="009C1C5A" w:rsidRPr="00896D4F" w:rsidRDefault="009C1C5A">
      <w:pPr>
        <w:pStyle w:val="Normaltindrag"/>
      </w:pPr>
      <w:r w:rsidRPr="00896D4F">
        <w:t>Med hänsyn till det nu angivna är det oklart i vad mån tekniska nämnden – genom beslutet om riktlinjer och efterföljande handläggning – till enskilda överlämnat delar av gatuhållningen. I alla händelser tyd</w:t>
      </w:r>
      <w:r w:rsidRPr="00896D4F">
        <w:t>er inget på att ko</w:t>
      </w:r>
      <w:r w:rsidRPr="00896D4F">
        <w:t>m</w:t>
      </w:r>
      <w:r w:rsidRPr="00896D4F">
        <w:t>munfullmäktige i sammanhanget skulle ha fattat något beslut av det slag som avses i 3 kap. 16 § första stycket kommunallagen, vilket utgör en förutsät</w:t>
      </w:r>
      <w:r w:rsidRPr="00896D4F">
        <w:t>t</w:t>
      </w:r>
      <w:r w:rsidRPr="00896D4F">
        <w:t>ning för en kommunal för</w:t>
      </w:r>
      <w:r w:rsidRPr="00896D4F">
        <w:softHyphen/>
        <w:t xml:space="preserve">valtningsuppgifts överlämnande. </w:t>
      </w:r>
    </w:p>
    <w:p w:rsidR="009C1C5A" w:rsidRPr="00896D4F" w:rsidRDefault="009C1C5A">
      <w:pPr>
        <w:pStyle w:val="Normaltindrag"/>
      </w:pPr>
      <w:r w:rsidRPr="00896D4F">
        <w:t>Vad som enligt riktlinjerna kunde överlämnas till de enskilda inbegrep uppgiften att ombesörja vägmärken om farthindren. Därvidlag blir den närm</w:t>
      </w:r>
      <w:r w:rsidRPr="00896D4F">
        <w:t>a</w:t>
      </w:r>
      <w:r w:rsidRPr="00896D4F">
        <w:t xml:space="preserve">re regleringen i vägmärkesförordningen av intresse. </w:t>
      </w:r>
    </w:p>
    <w:p w:rsidR="009C1C5A" w:rsidRPr="00896D4F" w:rsidRDefault="009C1C5A">
      <w:pPr>
        <w:pStyle w:val="Normaltindrag"/>
      </w:pPr>
      <w:r w:rsidRPr="00896D4F">
        <w:t>Sådana märken som det här gällde (varningsmärke enligt 15 § 1.1.3.1) skall enligt 80 § första stycket sättas upp och underhållas, i fråga om väg som inte är enskild, av den myndighet som handhar väg- eller gatuhållningen. Detsamma gäller för övrigt även andra trafikanordningar som är tänkbara i sammanhanget, såsom ut</w:t>
      </w:r>
      <w:r w:rsidRPr="00896D4F">
        <w:softHyphen/>
        <w:t>märkning av fast hinder enligt 68 §. Vidare skall, med här inte aktuella undantag, kostnader för uppsättning och underhåll b</w:t>
      </w:r>
      <w:r w:rsidRPr="00896D4F">
        <w:t>e</w:t>
      </w:r>
      <w:r w:rsidRPr="00896D4F">
        <w:t>talas av den som svarar för åtgärderna (82 §). Dessa åtgärder får inte utföras av någon annan än den som det åligger att vidta dem, och de får inte heller utföras på annat sätt än som anges i förordning</w:t>
      </w:r>
      <w:r w:rsidRPr="00896D4F">
        <w:softHyphen/>
        <w:t>en eller i föreskrifter som har meddelats med stöd av den (85 §). Förbudet är straff</w:t>
      </w:r>
      <w:r w:rsidRPr="00896D4F">
        <w:softHyphen/>
        <w:t>sanktionerat: Den som uppsåtligen eller av oaktsamhet bryter mot 85 § döms till böter (86 §).</w:t>
      </w:r>
    </w:p>
    <w:p w:rsidR="009C1C5A" w:rsidRPr="00896D4F" w:rsidRDefault="009C1C5A">
      <w:pPr>
        <w:pStyle w:val="Normaltindrag"/>
      </w:pPr>
      <w:r w:rsidRPr="00896D4F">
        <w:t>Spec</w:t>
      </w:r>
      <w:r w:rsidRPr="00896D4F">
        <w:t>ialregleringen av gatuhållningen innebär i denna del således ett u</w:t>
      </w:r>
      <w:r w:rsidRPr="00896D4F">
        <w:t>t</w:t>
      </w:r>
      <w:r w:rsidRPr="00896D4F">
        <w:t>tryckligt förbud mot att annan än ansvarig myndighet utför åtgärderna. Nämndens riktlinjer var inte förenliga med detta förbud och kunde tydligen leda till att enskilda begick straffbelagda förseelser. Dessutom var de oföre</w:t>
      </w:r>
      <w:r w:rsidRPr="00896D4F">
        <w:t>n</w:t>
      </w:r>
      <w:r w:rsidRPr="00896D4F">
        <w:t>liga med förordningens reglering av betalningsansvaret. – Även om den rätt</w:t>
      </w:r>
      <w:r w:rsidRPr="00896D4F">
        <w:t>s</w:t>
      </w:r>
      <w:r w:rsidRPr="00896D4F">
        <w:t>liga regleringen i ärendet i övrigt kan anses på sätt och vis svårgripbar, för</w:t>
      </w:r>
      <w:r w:rsidRPr="00896D4F">
        <w:t>e</w:t>
      </w:r>
      <w:r w:rsidRPr="00896D4F">
        <w:t>ligger i fråga om vägmärkena tydliga be</w:t>
      </w:r>
      <w:r w:rsidRPr="00896D4F">
        <w:softHyphen/>
        <w:t>stämmelser, som nämnden all</w:t>
      </w:r>
      <w:r w:rsidRPr="00896D4F">
        <w:t xml:space="preserve">tså har förbisett eller satt sig över. </w:t>
      </w:r>
    </w:p>
    <w:p w:rsidR="009C1C5A" w:rsidRPr="00896D4F" w:rsidRDefault="009C1C5A">
      <w:pPr>
        <w:pStyle w:val="Normaltindrag"/>
      </w:pPr>
      <w:r w:rsidRPr="00896D4F">
        <w:t>Vägmärken har, jämte sin uppenbara praktiska betydelse, följande särski</w:t>
      </w:r>
      <w:r w:rsidRPr="00896D4F">
        <w:t>l</w:t>
      </w:r>
      <w:r w:rsidRPr="00896D4F">
        <w:t>da rätts</w:t>
      </w:r>
      <w:r w:rsidRPr="00896D4F">
        <w:softHyphen/>
        <w:t>liga innebörd. Vägmärkesförordningen gäller anvisningar för trafik på väg och i terräng genom bl.a. vägmärken – såsom varningsmärken – och vägmarkeringar (1, 3 och 5 §§ vägmärkesförordningen). Enligt 2 kap. 2 § första stycket trafikförord</w:t>
      </w:r>
      <w:r w:rsidRPr="00896D4F">
        <w:softHyphen/>
        <w:t>ningen (1998:1276) skall trafikanter följa anvi</w:t>
      </w:r>
      <w:r w:rsidRPr="00896D4F">
        <w:t>s</w:t>
      </w:r>
      <w:r w:rsidRPr="00896D4F">
        <w:t>ningar för trafiken som meddelas genom bl.a. vägmärken. Brott mot denna bestämmelse medför straff (penning</w:t>
      </w:r>
      <w:r w:rsidRPr="00896D4F">
        <w:softHyphen/>
        <w:t>böter) enligt 14 kap. 3 § 1 a och 6 § 1 a. (Motsvarande bestämmelser var tidigare 7 § första stycket och 164</w:t>
      </w:r>
      <w:r w:rsidRPr="00896D4F">
        <w:t xml:space="preserve"> § första stycket 2 vägtrafikkungörelsen, 1972:603.) Med hänsyn härtill kan det göras gällande att befattning med vägmärken utgör myndighetsutövning, åtminstone i den utsträckning som därvid bestäms att sådana skall sättas upp och var det skall ske (jfr bl.a. 11 § vägmärkesförordningen). Det rör sig här visserligen inte om myndighetsutövning av välkänd typ, såsom medde</w:t>
      </w:r>
      <w:r w:rsidRPr="00896D4F">
        <w:softHyphen/>
        <w:t>lande av tillstånd och förbud. Men åtgärderna har ”indirekta rättsverkningar på det sättet, att de kommer att läggas till grund för senare b</w:t>
      </w:r>
      <w:r w:rsidRPr="00896D4F">
        <w:t>eslut eller kommer att utgöra rätt</w:t>
      </w:r>
      <w:r w:rsidRPr="00896D4F">
        <w:t>s</w:t>
      </w:r>
      <w:r w:rsidRPr="00896D4F">
        <w:t>fakta vid tillämpning av olika rättsregler” (Strömberg, Allmän förvaltnings</w:t>
      </w:r>
      <w:r w:rsidRPr="00896D4F">
        <w:softHyphen/>
        <w:t>rätt, 20 u. 2000 s. 59 f., jfr s. 20; se även Ragnemalm, Förvaltningsproces</w:t>
      </w:r>
      <w:r w:rsidRPr="00896D4F">
        <w:t>s</w:t>
      </w:r>
      <w:r w:rsidRPr="00896D4F">
        <w:t xml:space="preserve">rättens grunder, 7 u. 1992 s. 32). </w:t>
      </w:r>
    </w:p>
    <w:p w:rsidR="009C1C5A" w:rsidRPr="00896D4F" w:rsidRDefault="009C1C5A">
      <w:pPr>
        <w:pStyle w:val="Normaltindrag"/>
      </w:pPr>
      <w:r w:rsidRPr="00896D4F">
        <w:t>I så fall krävs, enligt den inledningsvis angivna grundlagsbestämmelsen, stöd i lag för att överlämna förvaltningsuppgifter som innefattar sådan befat</w:t>
      </w:r>
      <w:r w:rsidRPr="00896D4F">
        <w:t>t</w:t>
      </w:r>
      <w:r w:rsidRPr="00896D4F">
        <w:t>ning med väg</w:t>
      </w:r>
      <w:r w:rsidRPr="00896D4F">
        <w:softHyphen/>
        <w:t>märken. Sådant stöd finns inte i detta fall. Av vad jag ovan sagt följer emellertid att tekniska nämndens förfarande i den nu berörda delen stred mot författning, oberoende av vilken uppfattning man har i frågan om myndi</w:t>
      </w:r>
      <w:r w:rsidRPr="00896D4F">
        <w:t>g</w:t>
      </w:r>
      <w:r w:rsidRPr="00896D4F">
        <w:t>hetsutövning.</w:t>
      </w:r>
    </w:p>
    <w:p w:rsidR="009C1C5A" w:rsidRPr="00896D4F" w:rsidRDefault="009C1C5A">
      <w:r w:rsidRPr="00896D4F">
        <w:t>Vad R.K. anfört i övrigt ger inte tillräcklig anledning till utre</w:t>
      </w:r>
      <w:r w:rsidRPr="00896D4F">
        <w:t>d</w:t>
      </w:r>
      <w:r w:rsidRPr="00896D4F">
        <w:t xml:space="preserve">ning. – – – </w:t>
      </w:r>
    </w:p>
    <w:p w:rsidR="009C1C5A" w:rsidRPr="00896D4F" w:rsidRDefault="009C1C5A">
      <w:r w:rsidRPr="00896D4F">
        <w:t xml:space="preserve">Med den kritik i vissa hänseenden som jag ovan uttalat avslutas ärendet. </w:t>
      </w:r>
    </w:p>
    <w:p w:rsidR="009C1C5A" w:rsidRPr="00896D4F" w:rsidRDefault="009C1C5A">
      <w:pPr>
        <w:pStyle w:val="Rubrik2"/>
      </w:pPr>
      <w:r w:rsidRPr="00896D4F">
        <w:t>Kritik mot en kommun för domstolstrots i ett upphandlingsärende</w:t>
      </w:r>
    </w:p>
    <w:p w:rsidR="009C1C5A" w:rsidRPr="00896D4F" w:rsidRDefault="009C1C5A">
      <w:pPr>
        <w:spacing w:before="0"/>
      </w:pPr>
      <w:r w:rsidRPr="00896D4F">
        <w:t>(Dnr 3497-2000)</w:t>
      </w:r>
    </w:p>
    <w:p w:rsidR="009C1C5A" w:rsidRPr="00896D4F" w:rsidRDefault="009C1C5A">
      <w:pPr>
        <w:pStyle w:val="Rubrik3"/>
      </w:pPr>
      <w:r w:rsidRPr="00896D4F">
        <w:t>Anmälan</w:t>
      </w:r>
    </w:p>
    <w:p w:rsidR="009C1C5A" w:rsidRPr="00896D4F" w:rsidRDefault="009C1C5A">
      <w:r w:rsidRPr="00896D4F">
        <w:t>I en anmälan mot Torsby kommun uppgav Pär Cronhult, Föreningen Den Nya Välfärden, att kommunen gjort sig skyldig till domstolstrots vid tillämp</w:t>
      </w:r>
      <w:r w:rsidRPr="00896D4F">
        <w:softHyphen/>
        <w:t>ning av lagen (1992:1528) om offentlig upphandling. I anmälan framfördes bl.a. följande. Kommunfullmäktige i Torsby kommun beslutade vid sammanträde den 29 april 1999 (§ 54) att godkänna överens</w:t>
      </w:r>
      <w:r w:rsidRPr="00896D4F">
        <w:softHyphen/>
        <w:t>kommelser med föreningen Team Torsby enligt vilka kommunen dels till föreningen skulle upplåta ett markom</w:t>
      </w:r>
      <w:r w:rsidRPr="00896D4F">
        <w:softHyphen/>
        <w:t>råde för uppförande av en simhall, dels från föreningen skulle hyra simhallen med en rätt för kommu</w:t>
      </w:r>
      <w:r w:rsidRPr="00896D4F">
        <w:softHyphen/>
        <w:t>nen att efter hyrestidens utgång lösa si</w:t>
      </w:r>
      <w:r w:rsidRPr="00896D4F">
        <w:t>m</w:t>
      </w:r>
      <w:r w:rsidRPr="00896D4F">
        <w:t>halls</w:t>
      </w:r>
      <w:r w:rsidRPr="00896D4F">
        <w:softHyphen/>
        <w:t xml:space="preserve">byggnaden och inventarierna till restvärde. Någon infordran av </w:t>
      </w:r>
      <w:r w:rsidRPr="00896D4F">
        <w:t>konkurr</w:t>
      </w:r>
      <w:r w:rsidRPr="00896D4F">
        <w:t>e</w:t>
      </w:r>
      <w:r w:rsidRPr="00896D4F">
        <w:t>rande anbud hade inte före</w:t>
      </w:r>
      <w:r w:rsidRPr="00896D4F">
        <w:softHyphen/>
        <w:t>kommit utan avsikten var att ett större byggföretag på föreningens uppdrag skulle uppföra anläggningen. Mot kommun</w:t>
      </w:r>
      <w:r w:rsidRPr="00896D4F">
        <w:softHyphen/>
        <w:t>fullmäktiges beslut anhängiggjordes talan om överpröv</w:t>
      </w:r>
      <w:r w:rsidRPr="00896D4F">
        <w:softHyphen/>
        <w:t>ning enligt lagen om offentlig upphandling och om laglighetsprövning enligt kommunal</w:t>
      </w:r>
      <w:r w:rsidRPr="00896D4F">
        <w:softHyphen/>
        <w:t>lagen (1991:900). Vid överprövning enligt lagen om offentlig upp</w:t>
      </w:r>
      <w:r w:rsidRPr="00896D4F">
        <w:softHyphen/>
        <w:t>handling för</w:t>
      </w:r>
      <w:r w:rsidRPr="00896D4F">
        <w:softHyphen/>
        <w:t xml:space="preserve">ordnade Kammarrätten i Göteborg, i beslut som meddelades den 24 juni 1999, att kommunfullmäktiges beslut tills vidare inte fick verkställas. Vid </w:t>
      </w:r>
      <w:r w:rsidRPr="00896D4F">
        <w:t>tidpunkten för kammarrättens beslut förelåg inte något för kommunen civi</w:t>
      </w:r>
      <w:r w:rsidRPr="00896D4F">
        <w:t>l</w:t>
      </w:r>
      <w:r w:rsidRPr="00896D4F">
        <w:t>rättsligt bindande avtal i upphandlingen. Kammarrätten beslutade sedermera dom i målet, den 8 oktober 1999, och förordnade att, för det fall kommunfull</w:t>
      </w:r>
      <w:r w:rsidRPr="00896D4F">
        <w:softHyphen/>
        <w:t>mäktiges beslut den 29 april 1999 (§ 54/99) vann laga kraft, sim</w:t>
      </w:r>
      <w:r w:rsidRPr="00896D4F">
        <w:softHyphen/>
        <w:t>hallen skulle upp</w:t>
      </w:r>
      <w:r w:rsidRPr="00896D4F">
        <w:softHyphen/>
        <w:t>handlas enligt bestäm</w:t>
      </w:r>
      <w:r w:rsidRPr="00896D4F">
        <w:softHyphen/>
        <w:t>melserna i lagen om offentlig upphandling. Domen vann laga kraft. Trots dom</w:t>
      </w:r>
      <w:r w:rsidRPr="00896D4F">
        <w:softHyphen/>
        <w:t>sto</w:t>
      </w:r>
      <w:r w:rsidRPr="00896D4F">
        <w:softHyphen/>
        <w:t>lens förordnanden har kommunen inte verkställt up</w:t>
      </w:r>
      <w:r w:rsidRPr="00896D4F">
        <w:t>p</w:t>
      </w:r>
      <w:r w:rsidRPr="00896D4F">
        <w:t>hand</w:t>
      </w:r>
      <w:r w:rsidRPr="00896D4F">
        <w:softHyphen/>
        <w:t>ling</w:t>
      </w:r>
      <w:r w:rsidRPr="00896D4F">
        <w:softHyphen/>
        <w:t xml:space="preserve">en. </w:t>
      </w:r>
    </w:p>
    <w:p w:rsidR="009C1C5A" w:rsidRPr="00896D4F" w:rsidRDefault="009C1C5A">
      <w:pPr>
        <w:pStyle w:val="Normaltindrag"/>
      </w:pPr>
      <w:r w:rsidRPr="00896D4F">
        <w:t xml:space="preserve">Till anmälan fogades kopior bl.a. av </w:t>
      </w:r>
      <w:r w:rsidRPr="00896D4F">
        <w:t>kammarrättens beslut om verkställi</w:t>
      </w:r>
      <w:r w:rsidRPr="00896D4F">
        <w:t>g</w:t>
      </w:r>
      <w:r w:rsidRPr="00896D4F">
        <w:t>hetsförbud och dom i målet om överprövning enligt lagen om offentlig up</w:t>
      </w:r>
      <w:r w:rsidRPr="00896D4F">
        <w:t>p</w:t>
      </w:r>
      <w:r w:rsidRPr="00896D4F">
        <w:t>han</w:t>
      </w:r>
      <w:r w:rsidRPr="00896D4F">
        <w:t>d</w:t>
      </w:r>
      <w:r w:rsidRPr="00896D4F">
        <w:t>ling.</w:t>
      </w:r>
    </w:p>
    <w:p w:rsidR="009C1C5A" w:rsidRPr="00896D4F" w:rsidRDefault="009C1C5A">
      <w:pPr>
        <w:pStyle w:val="Rubrik3"/>
      </w:pPr>
      <w:r w:rsidRPr="00896D4F">
        <w:t>Utredning</w:t>
      </w:r>
    </w:p>
    <w:p w:rsidR="009C1C5A" w:rsidRPr="00896D4F" w:rsidRDefault="009C1C5A">
      <w:r w:rsidRPr="00896D4F">
        <w:t>Från Torsby kommun inhämtades bl.a. kopior av de beslut som kommunen hade fattat i ärendet om uppförande av simhallen. Av handlingarna framkom föl</w:t>
      </w:r>
      <w:r w:rsidRPr="00896D4F">
        <w:softHyphen/>
        <w:t>jande.  Kommunfullmäktige beslutade den 29 april 1999 (§ 54) att godkä</w:t>
      </w:r>
      <w:r w:rsidRPr="00896D4F">
        <w:t>n</w:t>
      </w:r>
      <w:r w:rsidRPr="00896D4F">
        <w:t>na upp</w:t>
      </w:r>
      <w:r w:rsidRPr="00896D4F">
        <w:softHyphen/>
        <w:t>rättade förslag till avtal mellan kommunen och Team Torsby under förutsättning att kommun</w:t>
      </w:r>
      <w:r w:rsidRPr="00896D4F">
        <w:softHyphen/>
        <w:t>fullmäktiges beslut vann laga kraft, samt att ko</w:t>
      </w:r>
      <w:r w:rsidRPr="00896D4F">
        <w:t>m</w:t>
      </w:r>
      <w:r w:rsidRPr="00896D4F">
        <w:t>munen skulle finan</w:t>
      </w:r>
      <w:r w:rsidRPr="00896D4F">
        <w:softHyphen/>
        <w:t>siera sin del i projektet, 20 miljoner kronor, genom uppl</w:t>
      </w:r>
      <w:r w:rsidRPr="00896D4F">
        <w:t>å</w:t>
      </w:r>
      <w:r w:rsidRPr="00896D4F">
        <w:t>ning. Efter kammarrättens beslut den 24 juni 1999 om verkställighetsförbud fattade kommunfull</w:t>
      </w:r>
      <w:r w:rsidRPr="00896D4F">
        <w:softHyphen/>
        <w:t>mäktige den 30 sep</w:t>
      </w:r>
      <w:r w:rsidRPr="00896D4F">
        <w:softHyphen/>
        <w:t>tem</w:t>
      </w:r>
      <w:r w:rsidRPr="00896D4F">
        <w:softHyphen/>
        <w:t>ber 1999 (§ 121) ett nytt beslut om att kommu</w:t>
      </w:r>
      <w:r w:rsidRPr="00896D4F">
        <w:softHyphen/>
        <w:t>nens del av projektet skulle finansieras genom upplåni</w:t>
      </w:r>
      <w:r w:rsidRPr="00896D4F">
        <w:t>ng. I ful</w:t>
      </w:r>
      <w:r w:rsidRPr="00896D4F">
        <w:t>l</w:t>
      </w:r>
      <w:r w:rsidRPr="00896D4F">
        <w:t>mäktiges protokoll angavs att fullmäk</w:t>
      </w:r>
      <w:r w:rsidRPr="00896D4F">
        <w:softHyphen/>
        <w:t>tiges beslut den 24 april 1999 om fina</w:t>
      </w:r>
      <w:r w:rsidRPr="00896D4F">
        <w:t>n</w:t>
      </w:r>
      <w:r w:rsidRPr="00896D4F">
        <w:t>sieringen inte kunde verkställas till följd av det av kammar</w:t>
      </w:r>
      <w:r w:rsidRPr="00896D4F">
        <w:softHyphen/>
        <w:t>rätten beslutade verkställighetsförbudet, utan att det fatta</w:t>
      </w:r>
      <w:r w:rsidRPr="00896D4F">
        <w:softHyphen/>
        <w:t>des ett nytt beslut om detta i ful</w:t>
      </w:r>
      <w:r w:rsidRPr="00896D4F">
        <w:t>l</w:t>
      </w:r>
      <w:r w:rsidRPr="00896D4F">
        <w:t>mäktige. Enligt protokollet hade kommunstyrel</w:t>
      </w:r>
      <w:r w:rsidRPr="00896D4F">
        <w:softHyphen/>
        <w:t>sen varit beredande organ i ärendet och det hade behandlats i styrel</w:t>
      </w:r>
      <w:r w:rsidRPr="00896D4F">
        <w:softHyphen/>
        <w:t>sen vid ett sammanträde samma dag (§ 198). Sedan kammarrätten slutligt prövat målet om överprövning enligt lagen om offentlig upphandling anförde kom</w:t>
      </w:r>
      <w:r w:rsidRPr="00896D4F">
        <w:softHyphen/>
        <w:t>mun</w:t>
      </w:r>
      <w:r w:rsidRPr="00896D4F">
        <w:t>styrelsens arbetsutskott i beslut den 14 februari 2000 (§ 37) att kommunfullmäktiges beslut den 29 april 1999 hade vunnit laga kraft och att kommunen därmed var civil</w:t>
      </w:r>
      <w:r w:rsidRPr="00896D4F">
        <w:softHyphen/>
        <w:t>rättsligt bunden av avtalen med Team Torsby samt att det därför inte var möjligt att då göra en upphandling av simhallen, varför utskottet beslutade att lägga ärendet till handlingar</w:t>
      </w:r>
      <w:r w:rsidRPr="00896D4F">
        <w:softHyphen/>
        <w:t>na.</w:t>
      </w:r>
    </w:p>
    <w:p w:rsidR="009C1C5A" w:rsidRPr="00896D4F" w:rsidRDefault="009C1C5A">
      <w:pPr>
        <w:pStyle w:val="Normaltindrag"/>
      </w:pPr>
      <w:r w:rsidRPr="00896D4F">
        <w:t>Från Länsrätten i Värmlands län inhämtades kopia av ett beslut av länsrä</w:t>
      </w:r>
      <w:r w:rsidRPr="00896D4F">
        <w:t>t</w:t>
      </w:r>
      <w:r w:rsidRPr="00896D4F">
        <w:t>ten den 12 november 1999 att avskriva ett mål om laglighets</w:t>
      </w:r>
      <w:r w:rsidRPr="00896D4F">
        <w:softHyphen/>
        <w:t>prövning enligt kommunallagen av kommunfullmäktiges beslut den 29 april 1999 (§ 54), sedan klaganden hade återkallat sitt överklagande. Länsrätten upplyste att avskrivningsbeslutet inte hade överklagats.</w:t>
      </w:r>
    </w:p>
    <w:p w:rsidR="009C1C5A" w:rsidRPr="00896D4F" w:rsidRDefault="009C1C5A">
      <w:pPr>
        <w:pStyle w:val="Normaltindrag"/>
      </w:pPr>
      <w:r w:rsidRPr="00896D4F">
        <w:t>Anmälan remitterades till Kommunstyrelsen i Torsby kommun för upply</w:t>
      </w:r>
      <w:r w:rsidRPr="00896D4F">
        <w:t>s</w:t>
      </w:r>
      <w:r w:rsidRPr="00896D4F">
        <w:t>ningar och yttrande över kommunstyrelsens och arbetsutskottets handläg</w:t>
      </w:r>
      <w:r w:rsidRPr="00896D4F">
        <w:t>g</w:t>
      </w:r>
      <w:r w:rsidRPr="00896D4F">
        <w:t>ning av ärendet om uppförande av simhallen, särskilt i frågan rörande på vilket sätt kammarrättens verkställighetsförbud och dom hade beaktats. Kommunstyrelsen beslutade den 2 april 2001 att ställa sig bakom ett av st</w:t>
      </w:r>
      <w:r w:rsidRPr="00896D4F">
        <w:t>y</w:t>
      </w:r>
      <w:r w:rsidRPr="00896D4F">
        <w:t>relsens ordförande Birgitta Halvarsson och kommunchefen Torkel Birgersson upprättat förslag till yttrande, vari anfördes bl.a. föl</w:t>
      </w:r>
      <w:r w:rsidRPr="00896D4F">
        <w:softHyphen/>
        <w:t>jande.</w:t>
      </w:r>
    </w:p>
    <w:p w:rsidR="009C1C5A" w:rsidRPr="00896D4F" w:rsidRDefault="009C1C5A">
      <w:pPr>
        <w:pStyle w:val="Rubrik4"/>
      </w:pPr>
      <w:r w:rsidRPr="00896D4F">
        <w:t xml:space="preserve">Bakgrund </w:t>
      </w:r>
    </w:p>
    <w:p w:rsidR="009C1C5A" w:rsidRPr="00896D4F" w:rsidRDefault="009C1C5A">
      <w:pPr>
        <w:pStyle w:val="Citat"/>
      </w:pPr>
      <w:r w:rsidRPr="00896D4F">
        <w:t xml:space="preserve">Frågan om byggandet av ett badhus i Torsby har varit på den kommunala agendan under flera decennier men utrymme har inte kunnat anvisas i den kommunala investeringsbudgeten. </w:t>
      </w:r>
    </w:p>
    <w:p w:rsidR="009C1C5A" w:rsidRPr="00896D4F" w:rsidRDefault="009C1C5A">
      <w:pPr>
        <w:pStyle w:val="Citatindrag"/>
      </w:pPr>
      <w:r w:rsidRPr="00896D4F">
        <w:t>Under våren 1998 kom frågan att diskuteras i föreningen Team Torsby, som är en mycket aktiv näringslivsförening med 13 medlemsföretag, och som verkat i Torsby sedan mitten av 1980-talet för att utveckla tä</w:t>
      </w:r>
      <w:r w:rsidRPr="00896D4F">
        <w:t>t</w:t>
      </w:r>
      <w:r w:rsidRPr="00896D4F">
        <w:t xml:space="preserve">orten. </w:t>
      </w:r>
    </w:p>
    <w:p w:rsidR="009C1C5A" w:rsidRPr="00896D4F" w:rsidRDefault="009C1C5A">
      <w:pPr>
        <w:pStyle w:val="Citatindrag"/>
      </w:pPr>
      <w:r w:rsidRPr="00896D4F">
        <w:t>Team Torsby hade då nyligen avslutat ett EU-projekt för ca 6 Mkr som i</w:t>
      </w:r>
      <w:r w:rsidRPr="00896D4F">
        <w:t>n</w:t>
      </w:r>
      <w:r w:rsidRPr="00896D4F">
        <w:t xml:space="preserve">nebar att man uppfört ett Informationscentrum i tätorten. Under detta projekt hade nya lösningar som bygger på en unik samverkan mellan näringsliv och det allmänna kommit att prövas. </w:t>
      </w:r>
    </w:p>
    <w:p w:rsidR="009C1C5A" w:rsidRPr="00896D4F" w:rsidRDefault="009C1C5A">
      <w:pPr>
        <w:pStyle w:val="Citatindrag"/>
      </w:pPr>
      <w:r w:rsidRPr="00896D4F">
        <w:t>Kommunen uppvaktades under våren 1998 av Team Torsby som present</w:t>
      </w:r>
      <w:r w:rsidRPr="00896D4F">
        <w:t>e</w:t>
      </w:r>
      <w:r w:rsidRPr="00896D4F">
        <w:t>rade ett tänkbart upplägg för att uppföra ett badhus i Torsby. Upplägget pr</w:t>
      </w:r>
      <w:r w:rsidRPr="00896D4F">
        <w:t>e</w:t>
      </w:r>
      <w:r w:rsidRPr="00896D4F">
        <w:t>senterades som en utmaning från Team Torsby till kommunen där föreningen tog på sig att bygga och äga ett badhus i Torsby. Finansieringen skulle ske på det sättet att Team Torsby samlade in 12 Mkr från allmänhet och näringsliv. Kommunens prestation skulle vara att stå för ett lån på 20 Mkr till föreningen och att stå för drift och underhåll av badh</w:t>
      </w:r>
      <w:r w:rsidRPr="00896D4F">
        <w:t>u</w:t>
      </w:r>
      <w:r w:rsidRPr="00896D4F">
        <w:t>set.</w:t>
      </w:r>
    </w:p>
    <w:p w:rsidR="009C1C5A" w:rsidRPr="00896D4F" w:rsidRDefault="009C1C5A">
      <w:pPr>
        <w:pStyle w:val="Citatindrag"/>
      </w:pPr>
      <w:r w:rsidRPr="00896D4F">
        <w:t xml:space="preserve">Team Torsby bjöds in till kommunfullmäktiges sammanträde 1998-04-29 och gjorde </w:t>
      </w:r>
      <w:r w:rsidRPr="00896D4F">
        <w:t xml:space="preserve">en grundlig genomgång och beskrivning av hur projektet skulle läggas upp och genomföras. Upplägget som föredrogs var identiskt med det upplägg som fullmäktige beslutade om ett år senare (1999-04-29,   § 59) och som kom att prövas av länsrätt och kammarrätt. </w:t>
      </w:r>
    </w:p>
    <w:p w:rsidR="009C1C5A" w:rsidRPr="00896D4F" w:rsidRDefault="009C1C5A">
      <w:pPr>
        <w:pStyle w:val="Citatindrag"/>
      </w:pPr>
      <w:r w:rsidRPr="00896D4F">
        <w:t xml:space="preserve">Kommunfullmäktige beslutade 1998-04-29, § 67, att ställa sig positiv till projektet och förband sig att ställa upp med sin del av finansieringen på 20 Mkr under förutsättning att Team Torsby klarade av sin del av finansieringen nämligen att samla in 12 </w:t>
      </w:r>
      <w:r w:rsidRPr="00896D4F">
        <w:t>Mkr. Fullmäktiges beslut vann laga kraft i maj 1998.</w:t>
      </w:r>
    </w:p>
    <w:p w:rsidR="009C1C5A" w:rsidRPr="00896D4F" w:rsidRDefault="009C1C5A">
      <w:pPr>
        <w:pStyle w:val="Citatindrag"/>
      </w:pPr>
      <w:r w:rsidRPr="00896D4F">
        <w:t>Efter kommunfullmäktiges beslut 1998 påbörjades ett intensivt arbete från Team Torsbys sida för att klara sin del av finansieringen. – – –</w:t>
      </w:r>
    </w:p>
    <w:p w:rsidR="009C1C5A" w:rsidRPr="00896D4F" w:rsidRDefault="009C1C5A">
      <w:pPr>
        <w:pStyle w:val="Citatindrag"/>
      </w:pPr>
      <w:r w:rsidRPr="00896D4F">
        <w:t>Under senare delen av våren 1999 hade Team Torsby samlat in 12 Mkr och rättsförhållandet mellan Team Torsby och Torsby kommun formaliser</w:t>
      </w:r>
      <w:r w:rsidRPr="00896D4F">
        <w:t>a</w:t>
      </w:r>
      <w:r w:rsidRPr="00896D4F">
        <w:t>des i ett antal avtal som kommunfullmäktige godkände på sitt sammanträde 1999-04-29, § 54.</w:t>
      </w:r>
    </w:p>
    <w:p w:rsidR="009C1C5A" w:rsidRPr="00896D4F" w:rsidRDefault="009C1C5A">
      <w:pPr>
        <w:pStyle w:val="Citatindrag"/>
      </w:pPr>
      <w:r w:rsidRPr="00896D4F">
        <w:t>I omedelbar anslutning till kommunfullmäktiges godkännande träffade Team Torsby ett avtal med Skanska om uppförande av badhusbyggnaden. Detta utformades som ett entreprenadavtal som, vad kommunen känner till, inte var villkorat av att kommunfullmäktiges beslut 1999-04-29 skulle vinna laga kraft.</w:t>
      </w:r>
    </w:p>
    <w:p w:rsidR="009C1C5A" w:rsidRPr="00896D4F" w:rsidRDefault="009C1C5A">
      <w:pPr>
        <w:pStyle w:val="Citatindrag"/>
      </w:pPr>
      <w:r w:rsidRPr="00896D4F">
        <w:t>Byggnationen påbörjades i början av maj 1999 med schaktnings- och grundläggningsarbeten. Projektkostnaden var 32 Mkr (12 Mkr insamlade och 20 Mkr i kommunalt lån) och upparbetades med en linjär förbrukning över byggtiden, 10 månader, dvs drygt 3 Mkr per månad.</w:t>
      </w:r>
    </w:p>
    <w:p w:rsidR="009C1C5A" w:rsidRPr="00896D4F" w:rsidRDefault="009C1C5A">
      <w:pPr>
        <w:pStyle w:val="Citatindrag"/>
      </w:pPr>
      <w:r w:rsidRPr="00896D4F">
        <w:t>Detta innebar att byggarbetena vid tidpunkten för kammarrättens inhib</w:t>
      </w:r>
      <w:r w:rsidRPr="00896D4F">
        <w:t>i</w:t>
      </w:r>
      <w:r w:rsidRPr="00896D4F">
        <w:t>tionsbeslut var i full gång och att ca 6 Mkr redan var nerlagda i pr</w:t>
      </w:r>
      <w:r w:rsidRPr="00896D4F">
        <w:t>o</w:t>
      </w:r>
      <w:r w:rsidRPr="00896D4F">
        <w:t>jektet.</w:t>
      </w:r>
    </w:p>
    <w:p w:rsidR="009C1C5A" w:rsidRPr="00896D4F" w:rsidRDefault="009C1C5A">
      <w:pPr>
        <w:pStyle w:val="Rubrik4"/>
      </w:pPr>
      <w:r w:rsidRPr="00896D4F">
        <w:t>Kommunens upplåningsbeslut</w:t>
      </w:r>
    </w:p>
    <w:p w:rsidR="009C1C5A" w:rsidRPr="00896D4F" w:rsidRDefault="009C1C5A">
      <w:pPr>
        <w:pStyle w:val="Citat"/>
      </w:pPr>
      <w:r w:rsidRPr="00896D4F">
        <w:t>Avtalen med Team Torsby innebar att innan kommunen betalade ut sitt lån på 20 Mkr skulle de 12 Mkr som Team Torsby samlat in användas.</w:t>
      </w:r>
    </w:p>
    <w:p w:rsidR="009C1C5A" w:rsidRPr="00896D4F" w:rsidRDefault="009C1C5A">
      <w:pPr>
        <w:pStyle w:val="Citatindrag"/>
      </w:pPr>
      <w:r w:rsidRPr="00896D4F">
        <w:t>Av beslutet från 1998 följer vidare att kommunen skall finansiera sin del av projektet med 20 Mkr men det framgår inte av beslutet på vilket sätt detta skall ske.</w:t>
      </w:r>
    </w:p>
    <w:p w:rsidR="009C1C5A" w:rsidRPr="00896D4F" w:rsidRDefault="009C1C5A">
      <w:pPr>
        <w:pStyle w:val="Citatindrag"/>
      </w:pPr>
      <w:r w:rsidRPr="00896D4F">
        <w:t>Eftersom kommunens likviditet vid beslutstillfället 1999 inte medgav en finansiering från eget kapital var vi nödsakade att finansiera beloppet genom upplåning.</w:t>
      </w:r>
    </w:p>
    <w:p w:rsidR="009C1C5A" w:rsidRPr="00896D4F" w:rsidRDefault="009C1C5A">
      <w:pPr>
        <w:pStyle w:val="Citatindrag"/>
      </w:pPr>
      <w:r w:rsidRPr="00896D4F">
        <w:t>Efter samråd med Svenska Kommunförbundet var kommunens uppfattning att kommunen är fri att avgöra på vilket sätt vi skall finansiera våra åtaganden och att på vilket sätt detta sker överhuvudtaget inte kan bli föremål för do</w:t>
      </w:r>
      <w:r w:rsidRPr="00896D4F">
        <w:t>m</w:t>
      </w:r>
      <w:r w:rsidRPr="00896D4F">
        <w:t>stolsprövning och att detta skulle klargöras i den dom som förväntades från kammarrätten i början av oktober 1999.</w:t>
      </w:r>
    </w:p>
    <w:p w:rsidR="009C1C5A" w:rsidRPr="00896D4F" w:rsidRDefault="009C1C5A">
      <w:pPr>
        <w:pStyle w:val="Citatindrag"/>
      </w:pPr>
      <w:r w:rsidRPr="00896D4F">
        <w:t>I vårt fall kom finansieringen olyckligtvis att hanteras i samma beslut som avtalen i övrigt.</w:t>
      </w:r>
    </w:p>
    <w:p w:rsidR="009C1C5A" w:rsidRPr="00896D4F" w:rsidRDefault="009C1C5A">
      <w:pPr>
        <w:pStyle w:val="Rubrik4"/>
      </w:pPr>
      <w:r w:rsidRPr="00896D4F">
        <w:t>Vad vi har gjort för att efterleva domen</w:t>
      </w:r>
    </w:p>
    <w:p w:rsidR="009C1C5A" w:rsidRPr="00896D4F" w:rsidRDefault="009C1C5A">
      <w:pPr>
        <w:pStyle w:val="Citat"/>
      </w:pPr>
      <w:r w:rsidRPr="00896D4F">
        <w:t>Under hela processen från det att kammarrätten meddelat sitt inhibitionsbeslut och till arbetsutskottets konstaterande 2000-02-14 har vi haft omfattande kontakter och konsultationer med upphandlingsexpertisen på Svenska Ko</w:t>
      </w:r>
      <w:r w:rsidRPr="00896D4F">
        <w:t>m</w:t>
      </w:r>
      <w:r w:rsidRPr="00896D4F">
        <w:t xml:space="preserve">munförbundet. </w:t>
      </w:r>
    </w:p>
    <w:p w:rsidR="009C1C5A" w:rsidRPr="00896D4F" w:rsidRDefault="009C1C5A">
      <w:pPr>
        <w:pStyle w:val="Citatindrag"/>
      </w:pPr>
      <w:r w:rsidRPr="00896D4F">
        <w:t>Vid dessa kontakter har tydliggjorts de stora problem som finns när det gäller att efterleva kammarrättens dom att handla upp badhuset. Frågan har varit hur ett förfrågningsunderlag skulle utformas som innebär att anbudsg</w:t>
      </w:r>
      <w:r w:rsidRPr="00896D4F">
        <w:t>i</w:t>
      </w:r>
      <w:r w:rsidRPr="00896D4F">
        <w:t>varna skulle räkna på en byggnation som redan var påbörjad och till del fä</w:t>
      </w:r>
      <w:r w:rsidRPr="00896D4F">
        <w:t>r</w:t>
      </w:r>
      <w:r w:rsidRPr="00896D4F">
        <w:t xml:space="preserve">digställd. </w:t>
      </w:r>
    </w:p>
    <w:p w:rsidR="009C1C5A" w:rsidRPr="00896D4F" w:rsidRDefault="009C1C5A">
      <w:pPr>
        <w:pStyle w:val="Citatindrag"/>
      </w:pPr>
      <w:r w:rsidRPr="00896D4F">
        <w:t>Anbudsgivarna skulle alltså räkna på att och lämna anbud på att överta en befintlig och pågående entreprenad vilket var fallet eftersom en stor del av schaktarbetena, grundläggning med gjutningsarbeten redan var färdigställda när kammarrätten meddelade sitt inhibitionsbeslut.</w:t>
      </w:r>
    </w:p>
    <w:p w:rsidR="009C1C5A" w:rsidRPr="00896D4F" w:rsidRDefault="009C1C5A">
      <w:pPr>
        <w:pStyle w:val="Citatindrag"/>
      </w:pPr>
      <w:r w:rsidRPr="00896D4F">
        <w:t>Efter överläggningar med Svenska Kommunförbundet kunde kommunen konstatera att ett sådant förfrågningsunderlag svårligen kunde upprättas öve</w:t>
      </w:r>
      <w:r w:rsidRPr="00896D4F">
        <w:t>r</w:t>
      </w:r>
      <w:r w:rsidRPr="00896D4F">
        <w:t>huvudtaget och i vart fall inte skulle utnyttja konkurrensen på ett meningsfullt sätt.</w:t>
      </w:r>
    </w:p>
    <w:p w:rsidR="009C1C5A" w:rsidRPr="00896D4F" w:rsidRDefault="009C1C5A">
      <w:pPr>
        <w:pStyle w:val="Citatindrag"/>
      </w:pPr>
      <w:r w:rsidRPr="00896D4F">
        <w:t xml:space="preserve">Kommunen hade vid sådana förhållanden ingen annan möjlighet än att genomföra upphandlingen på det sätt som skett. </w:t>
      </w:r>
    </w:p>
    <w:p w:rsidR="009C1C5A" w:rsidRPr="00896D4F" w:rsidRDefault="009C1C5A">
      <w:pPr>
        <w:pStyle w:val="Citatindrag"/>
      </w:pPr>
      <w:r w:rsidRPr="00896D4F">
        <w:t>De anbudsgivare som genom kommunens förfarande inte fått möjlighet att delta i upphandlingen har ändock kunnat utnyttja de möjligheter till sk</w:t>
      </w:r>
      <w:r w:rsidRPr="00896D4F">
        <w:t>a</w:t>
      </w:r>
      <w:r w:rsidRPr="00896D4F">
        <w:t>destånd som LOU anvisar.</w:t>
      </w:r>
    </w:p>
    <w:p w:rsidR="009C1C5A" w:rsidRPr="00896D4F" w:rsidRDefault="009C1C5A">
      <w:r w:rsidRPr="00896D4F">
        <w:t>Per Cronhult kommenterade remissyttrandet och anförde bl.a. följande. Kommunens påstående att byggarbetena vid tidpunkten för kammarrättens inhibitions</w:t>
      </w:r>
      <w:r w:rsidRPr="00896D4F">
        <w:softHyphen/>
        <w:t>beslut var i full gång tillbakavisas. Uppgiften att 6 miljoner kronor hade lagts ner i projek</w:t>
      </w:r>
      <w:r w:rsidRPr="00896D4F">
        <w:softHyphen/>
        <w:t>tet redan i juni 1999 motsägs av en skrivelse den 9 september 1999 från Team Torsby. Av kommunens yttrande synes framgå att kommunen vid tidpunkten för inhibitions</w:t>
      </w:r>
      <w:r w:rsidRPr="00896D4F">
        <w:softHyphen/>
        <w:t>be</w:t>
      </w:r>
      <w:r w:rsidRPr="00896D4F">
        <w:softHyphen/>
        <w:t>slutet spekulerat i att kamma</w:t>
      </w:r>
      <w:r w:rsidRPr="00896D4F">
        <w:t>r</w:t>
      </w:r>
      <w:r w:rsidRPr="00896D4F">
        <w:t>rätten senare skulle ogilla talan om överprövning. Kammar</w:t>
      </w:r>
      <w:r w:rsidRPr="00896D4F">
        <w:softHyphen/>
        <w:t>rättens beslut om inhibition synes därför inte ha hörsam</w:t>
      </w:r>
      <w:r w:rsidRPr="00896D4F">
        <w:softHyphen/>
        <w:t>mats av kommu</w:t>
      </w:r>
      <w:r w:rsidRPr="00896D4F">
        <w:softHyphen/>
        <w:t>nen. När kammarrätten senare, i oktober 1999, slutligen förord</w:t>
      </w:r>
      <w:r w:rsidRPr="00896D4F">
        <w:softHyphen/>
        <w:t>nade att upphand</w:t>
      </w:r>
      <w:r w:rsidRPr="00896D4F">
        <w:softHyphen/>
        <w:t>lingen skul</w:t>
      </w:r>
      <w:r w:rsidRPr="00896D4F">
        <w:t>le göras om hade kommunen genom sin tidigare ohör</w:t>
      </w:r>
      <w:r w:rsidRPr="00896D4F">
        <w:softHyphen/>
        <w:t>samhet satt sig i positionen att det förmodligen skulle innebära vissa kapitalförluster att avbryta förfarandet och göra om upphandlingen. Det bör särskilt uppmärksammas att kommunen försatt sig i den brydsamma situa</w:t>
      </w:r>
      <w:r w:rsidRPr="00896D4F">
        <w:softHyphen/>
        <w:t>tionen utan vare sig ett civilrättsligt binda</w:t>
      </w:r>
      <w:r w:rsidRPr="00896D4F">
        <w:t>n</w:t>
      </w:r>
      <w:r w:rsidRPr="00896D4F">
        <w:t>de avtal eller något lagakraft</w:t>
      </w:r>
      <w:r w:rsidRPr="00896D4F">
        <w:softHyphen/>
        <w:t>vunnet kommu</w:t>
      </w:r>
      <w:r w:rsidRPr="00896D4F">
        <w:softHyphen/>
        <w:t>nalt beslut. Oaktat hur det förhå</w:t>
      </w:r>
      <w:r w:rsidRPr="00896D4F">
        <w:t>l</w:t>
      </w:r>
      <w:r w:rsidRPr="00896D4F">
        <w:t>ler sig med ”de stora problem som fanns när det gällde att efter</w:t>
      </w:r>
      <w:r w:rsidRPr="00896D4F">
        <w:softHyphen/>
        <w:t>leva kamma</w:t>
      </w:r>
      <w:r w:rsidRPr="00896D4F">
        <w:t>r</w:t>
      </w:r>
      <w:r w:rsidRPr="00896D4F">
        <w:t>rättens dom”, som kommunen uttrycker det, har</w:t>
      </w:r>
      <w:r w:rsidRPr="00896D4F">
        <w:t xml:space="preserve"> emel</w:t>
      </w:r>
      <w:r w:rsidRPr="00896D4F">
        <w:softHyphen/>
        <w:t>lertid kommu</w:t>
      </w:r>
      <w:r w:rsidRPr="00896D4F">
        <w:softHyphen/>
        <w:t>nen varit skyldig att efterleva domstolens förordnanden, såväl av</w:t>
      </w:r>
      <w:r w:rsidRPr="00896D4F">
        <w:softHyphen/>
        <w:t>seen</w:t>
      </w:r>
      <w:r w:rsidRPr="00896D4F">
        <w:softHyphen/>
        <w:t>de beslutet om inhibition i juni 1999 som förordnandet i oktober sam</w:t>
      </w:r>
      <w:r w:rsidRPr="00896D4F">
        <w:softHyphen/>
        <w:t>ma år om att upphand</w:t>
      </w:r>
      <w:r w:rsidRPr="00896D4F">
        <w:softHyphen/>
        <w:t>lingen skulle göras om. – Till yttrandet fogades en kopia av den omnämnda skrivelsen från Team Torsby.</w:t>
      </w:r>
    </w:p>
    <w:p w:rsidR="009C1C5A" w:rsidRPr="00896D4F" w:rsidRDefault="009C1C5A">
      <w:r w:rsidRPr="00896D4F">
        <w:t>Från Torsby kommun inhämtades kopia av kommunstyrelsens protokoll från sammanträdet den 30 september 1999 (§ 198), rörande styrelsens beredning inför kom</w:t>
      </w:r>
      <w:r w:rsidRPr="00896D4F">
        <w:softHyphen/>
        <w:t>munfull</w:t>
      </w:r>
      <w:r w:rsidRPr="00896D4F">
        <w:softHyphen/>
        <w:t>mäk</w:t>
      </w:r>
      <w:r w:rsidRPr="00896D4F">
        <w:softHyphen/>
        <w:t>tiges beslut samma dag att på nytt besluta att komm</w:t>
      </w:r>
      <w:r w:rsidRPr="00896D4F">
        <w:t>u</w:t>
      </w:r>
      <w:r w:rsidRPr="00896D4F">
        <w:t>nens del av projektet skulle finan</w:t>
      </w:r>
      <w:r w:rsidRPr="00896D4F">
        <w:softHyphen/>
        <w:t>sieras genom upplåning. Av protokollet framgår att styrelsen beslutade föreslå kommunfullmäktige att fatta beslut med det innehåll som fullmäktige sedermera be</w:t>
      </w:r>
      <w:r w:rsidRPr="00896D4F">
        <w:softHyphen/>
        <w:t>slutade. I styrelsens protokoll angavs, på samma sätt som i protokollet med full</w:t>
      </w:r>
      <w:r w:rsidRPr="00896D4F">
        <w:softHyphen/>
        <w:t>mäktiges beslut, att fullmä</w:t>
      </w:r>
      <w:r w:rsidRPr="00896D4F">
        <w:t>k</w:t>
      </w:r>
      <w:r w:rsidRPr="00896D4F">
        <w:t>tiges beslut om finansieringen inte kunde verkställas till följd av kammarrä</w:t>
      </w:r>
      <w:r w:rsidRPr="00896D4F">
        <w:t>t</w:t>
      </w:r>
      <w:r w:rsidRPr="00896D4F">
        <w:t>tens förordnande om verkställighetsför</w:t>
      </w:r>
      <w:r w:rsidRPr="00896D4F">
        <w:softHyphen/>
        <w:t xml:space="preserve">bud, utan att det fattades </w:t>
      </w:r>
      <w:r w:rsidRPr="00896D4F">
        <w:t xml:space="preserve">ett nytt beslut om detta i fullmäktige. </w:t>
      </w:r>
    </w:p>
    <w:p w:rsidR="009C1C5A" w:rsidRPr="00896D4F" w:rsidRDefault="009C1C5A">
      <w:r w:rsidRPr="00896D4F">
        <w:t xml:space="preserve">I beslut den 17 december 2001 anförde </w:t>
      </w:r>
      <w:r w:rsidRPr="00896D4F">
        <w:rPr>
          <w:i/>
        </w:rPr>
        <w:t>JO Berggren</w:t>
      </w:r>
      <w:r w:rsidRPr="00896D4F">
        <w:t xml:space="preserve"> följande.</w:t>
      </w:r>
    </w:p>
    <w:p w:rsidR="009C1C5A" w:rsidRPr="00896D4F" w:rsidRDefault="009C1C5A">
      <w:r w:rsidRPr="00896D4F">
        <w:t>Ledamöter i kommunfull</w:t>
      </w:r>
      <w:r w:rsidRPr="00896D4F">
        <w:softHyphen/>
        <w:t>mäk</w:t>
      </w:r>
      <w:r w:rsidRPr="00896D4F">
        <w:softHyphen/>
        <w:t>tige står inte under JO:s tillsyn (se 2 § tredje stycket punkt 6 lagen, 1986:765, med instruktion för Riks</w:t>
      </w:r>
      <w:r w:rsidRPr="00896D4F">
        <w:softHyphen/>
      </w:r>
      <w:r w:rsidRPr="00896D4F">
        <w:softHyphen/>
        <w:t>dagens ombud</w:t>
      </w:r>
      <w:r w:rsidRPr="00896D4F">
        <w:t>s</w:t>
      </w:r>
      <w:r w:rsidRPr="00896D4F">
        <w:t>män). På grund härav kan kommunfull</w:t>
      </w:r>
      <w:r w:rsidRPr="00896D4F">
        <w:softHyphen/>
        <w:t>mäk</w:t>
      </w:r>
      <w:r w:rsidRPr="00896D4F">
        <w:softHyphen/>
        <w:t>tiges befattning med ärendet om uppförande av simhallen inte föranleda någon åtgärd från min sida. Grans</w:t>
      </w:r>
      <w:r w:rsidRPr="00896D4F">
        <w:t>k</w:t>
      </w:r>
      <w:r w:rsidRPr="00896D4F">
        <w:t>ningen har därför inriktats  på kommunstyrelsens och arbets</w:t>
      </w:r>
      <w:r w:rsidRPr="00896D4F">
        <w:softHyphen/>
        <w:t>utskottets han</w:t>
      </w:r>
      <w:r w:rsidRPr="00896D4F">
        <w:t>d</w:t>
      </w:r>
      <w:r w:rsidRPr="00896D4F">
        <w:t>läggning.</w:t>
      </w:r>
    </w:p>
    <w:p w:rsidR="009C1C5A" w:rsidRPr="00896D4F" w:rsidRDefault="009C1C5A">
      <w:pPr>
        <w:pStyle w:val="Normaltindrag"/>
      </w:pPr>
      <w:r w:rsidRPr="00896D4F">
        <w:t>Regler om överprövning i allmän förvaltningsdomstol av upphand</w:t>
      </w:r>
      <w:r w:rsidRPr="00896D4F">
        <w:softHyphen/>
        <w:t>lingsärenden finns i 7 kap. lagen om offentlig upphandling. Kammarrätten i Göteborg har i ett sådant mål prövat Torsby kommuns handläggning av pr</w:t>
      </w:r>
      <w:r w:rsidRPr="00896D4F">
        <w:t>o</w:t>
      </w:r>
      <w:r w:rsidRPr="00896D4F">
        <w:t>jektet om uppförande av simhallen. I det interimistiska be</w:t>
      </w:r>
      <w:r w:rsidRPr="00896D4F">
        <w:softHyphen/>
        <w:t>slutet den 24 juni 1999 förordnade kammarrätten att kom</w:t>
      </w:r>
      <w:r w:rsidRPr="00896D4F">
        <w:softHyphen/>
        <w:t>mun</w:t>
      </w:r>
      <w:r w:rsidRPr="00896D4F">
        <w:softHyphen/>
        <w:t>full</w:t>
      </w:r>
      <w:r w:rsidRPr="00896D4F">
        <w:softHyphen/>
        <w:t>mäktiges beslut den 29 april 1999 (§ 54), vilket bl.a. avsåg att kommunens del av projektet skulle finan</w:t>
      </w:r>
      <w:r w:rsidRPr="00896D4F">
        <w:softHyphen/>
        <w:t>sieras genom upplåning, tills vidare inte fick verk</w:t>
      </w:r>
      <w:r w:rsidRPr="00896D4F">
        <w:softHyphen/>
        <w:t>ställas. Vid sitt slutliga avgöran</w:t>
      </w:r>
      <w:r w:rsidRPr="00896D4F">
        <w:softHyphen/>
        <w:t>de av målet den 8 oktober 1999 förordnade kammarr</w:t>
      </w:r>
      <w:r w:rsidRPr="00896D4F">
        <w:t>ätten att, för det fall kom</w:t>
      </w:r>
      <w:r w:rsidRPr="00896D4F">
        <w:softHyphen/>
        <w:t>mun</w:t>
      </w:r>
      <w:r w:rsidRPr="00896D4F">
        <w:softHyphen/>
      </w:r>
      <w:r w:rsidRPr="00896D4F">
        <w:softHyphen/>
        <w:t>fullmäktiges beslut den 29 april 1999 (§ 54) vann laga kraft, simhallen skulle upphandlas enligt bestämmelserna i LOU. Kammarrättens dom vann laga kraft.</w:t>
      </w:r>
    </w:p>
    <w:p w:rsidR="009C1C5A" w:rsidRPr="00896D4F" w:rsidRDefault="009C1C5A">
      <w:pPr>
        <w:pStyle w:val="Normaltindrag"/>
      </w:pPr>
      <w:r w:rsidRPr="00896D4F">
        <w:t>Kommunstyrelsen har i remissen anmodats att lämna upplysningar och yt</w:t>
      </w:r>
      <w:r w:rsidRPr="00896D4F">
        <w:t>t</w:t>
      </w:r>
      <w:r w:rsidRPr="00896D4F">
        <w:t>ra sig om styrelsens och arbets</w:t>
      </w:r>
      <w:r w:rsidRPr="00896D4F">
        <w:softHyphen/>
        <w:t>utskottets handläggning, särskilt i frågan röran</w:t>
      </w:r>
      <w:r w:rsidRPr="00896D4F">
        <w:softHyphen/>
        <w:t>de på vilket sätt kammarrättens verkställighetsförbud och dom har beaktats. Jag kan av yttrandet konstatera att kom</w:t>
      </w:r>
      <w:r w:rsidRPr="00896D4F">
        <w:softHyphen/>
      </w:r>
      <w:r w:rsidRPr="00896D4F">
        <w:softHyphen/>
        <w:t>munstyrelsen inte har lämnat några upplysningar om åtgärder som vidtagits för att efterleva domstolens förord</w:t>
      </w:r>
      <w:r w:rsidRPr="00896D4F">
        <w:softHyphen/>
        <w:t>nanden. Inne</w:t>
      </w:r>
      <w:r w:rsidRPr="00896D4F">
        <w:softHyphen/>
        <w:t>bör</w:t>
      </w:r>
      <w:r w:rsidRPr="00896D4F">
        <w:softHyphen/>
        <w:t>den av det som kommunstyrelsen har anfört är i stället i h</w:t>
      </w:r>
      <w:r w:rsidRPr="00896D4F">
        <w:t>u</w:t>
      </w:r>
      <w:r w:rsidRPr="00896D4F">
        <w:t>vudsak att kommunen an</w:t>
      </w:r>
      <w:r w:rsidRPr="00896D4F">
        <w:softHyphen/>
        <w:t>sett att det av olika skäl fanns svårigheter att följa förordnandena. Kom</w:t>
      </w:r>
      <w:r w:rsidRPr="00896D4F">
        <w:softHyphen/>
        <w:t>mu</w:t>
      </w:r>
      <w:r w:rsidRPr="00896D4F">
        <w:softHyphen/>
        <w:t>nen har läm</w:t>
      </w:r>
      <w:r w:rsidRPr="00896D4F">
        <w:softHyphen/>
        <w:t>nat uppgifter o</w:t>
      </w:r>
      <w:r w:rsidRPr="00896D4F">
        <w:t>m situationen i olika sk</w:t>
      </w:r>
      <w:r w:rsidRPr="00896D4F">
        <w:t>e</w:t>
      </w:r>
      <w:r w:rsidRPr="00896D4F">
        <w:t>den av ärendets hand</w:t>
      </w:r>
      <w:r w:rsidRPr="00896D4F">
        <w:softHyphen/>
        <w:t>läggning, vilka uppgifter anmä</w:t>
      </w:r>
      <w:r w:rsidRPr="00896D4F">
        <w:softHyphen/>
        <w:t xml:space="preserve">laren i vissa avseenden har bestritt. </w:t>
      </w:r>
    </w:p>
    <w:p w:rsidR="009C1C5A" w:rsidRPr="00896D4F" w:rsidRDefault="009C1C5A">
      <w:r w:rsidRPr="00896D4F">
        <w:t xml:space="preserve">Vad som framkommit i ärendet föranleder följande uttalanden. </w:t>
      </w:r>
    </w:p>
    <w:p w:rsidR="009C1C5A" w:rsidRPr="00896D4F" w:rsidRDefault="009C1C5A">
      <w:r w:rsidRPr="00896D4F">
        <w:t>Kommunstyrelsen har ett övergripande ansvar för den kommunala förval</w:t>
      </w:r>
      <w:r w:rsidRPr="00896D4F">
        <w:t>t</w:t>
      </w:r>
      <w:r w:rsidRPr="00896D4F">
        <w:t>ningen (se bl.a. 6 kap. 1 och 2 §§ kommunallagen). Till kom</w:t>
      </w:r>
      <w:r w:rsidRPr="00896D4F">
        <w:softHyphen/>
        <w:t>munstyrelsens särskilda uppgifter hör att bereda och yttra sig i de ärenden som skall han</w:t>
      </w:r>
      <w:r w:rsidRPr="00896D4F">
        <w:t>d</w:t>
      </w:r>
      <w:r w:rsidRPr="00896D4F">
        <w:t>läggas av kommun</w:t>
      </w:r>
      <w:r w:rsidRPr="00896D4F">
        <w:softHyphen/>
        <w:t xml:space="preserve">fullmäktige samt att verkställa fullmäktiges beslut (se 6 kap. 4 § kommunallagen). </w:t>
      </w:r>
    </w:p>
    <w:p w:rsidR="009C1C5A" w:rsidRPr="00896D4F" w:rsidRDefault="009C1C5A">
      <w:pPr>
        <w:pStyle w:val="Normaltindrag"/>
      </w:pPr>
      <w:r w:rsidRPr="00896D4F">
        <w:t>Kommunstyrelsen beslutade den 30 september 1999 föreslå kommunful</w:t>
      </w:r>
      <w:r w:rsidRPr="00896D4F">
        <w:t>l</w:t>
      </w:r>
      <w:r w:rsidRPr="00896D4F">
        <w:t>mäktige att besluta att kommunens del av projektet skulle finansieras genom upp</w:t>
      </w:r>
      <w:r w:rsidRPr="00896D4F">
        <w:softHyphen/>
        <w:t>lå</w:t>
      </w:r>
      <w:r w:rsidRPr="00896D4F">
        <w:softHyphen/>
        <w:t>ning. Kam</w:t>
      </w:r>
      <w:r w:rsidRPr="00896D4F">
        <w:softHyphen/>
        <w:t>mar</w:t>
      </w:r>
      <w:r w:rsidRPr="00896D4F">
        <w:softHyphen/>
        <w:t>rätten hade då genom beslutet den 24 juni 1999 förordnat om verk</w:t>
      </w:r>
      <w:r w:rsidRPr="00896D4F">
        <w:softHyphen/>
        <w:t>ställighets</w:t>
      </w:r>
      <w:r w:rsidRPr="00896D4F">
        <w:softHyphen/>
        <w:t>för</w:t>
      </w:r>
      <w:r w:rsidRPr="00896D4F">
        <w:softHyphen/>
        <w:t>bud beträffande kommunfullmäktiges tidigare beslut om samma sak. Kommun</w:t>
      </w:r>
      <w:r w:rsidRPr="00896D4F">
        <w:softHyphen/>
        <w:t>styrelsens förslag till fullmäktige att fatta ett nytt beslut med likalydande inne</w:t>
      </w:r>
      <w:r w:rsidRPr="00896D4F">
        <w:softHyphen/>
        <w:t>håll har helt klart haft till syfte att möj</w:t>
      </w:r>
      <w:r w:rsidRPr="00896D4F">
        <w:softHyphen/>
        <w:t>liggöra verkstä</w:t>
      </w:r>
      <w:r w:rsidRPr="00896D4F">
        <w:t>l</w:t>
      </w:r>
      <w:r w:rsidRPr="00896D4F">
        <w:t>lighet av ett beslut om finan</w:t>
      </w:r>
      <w:r w:rsidRPr="00896D4F">
        <w:softHyphen/>
        <w:t>sie</w:t>
      </w:r>
      <w:r w:rsidRPr="00896D4F">
        <w:softHyphen/>
        <w:t>ring genom upplåning trots kam</w:t>
      </w:r>
      <w:r w:rsidRPr="00896D4F">
        <w:softHyphen/>
        <w:t>mar</w:t>
      </w:r>
      <w:r w:rsidRPr="00896D4F">
        <w:softHyphen/>
        <w:t>rätt</w:t>
      </w:r>
      <w:r w:rsidRPr="00896D4F">
        <w:softHyphen/>
        <w:t>ens verkställighetsförbud mot ett sådant bes</w:t>
      </w:r>
      <w:r w:rsidRPr="00896D4F">
        <w:t xml:space="preserve">lut. </w:t>
      </w:r>
    </w:p>
    <w:p w:rsidR="009C1C5A" w:rsidRPr="00896D4F" w:rsidRDefault="009C1C5A">
      <w:pPr>
        <w:pStyle w:val="Normaltindrag"/>
      </w:pPr>
      <w:r w:rsidRPr="00896D4F">
        <w:t>Det får givetvis inte förekomma att en kommunal nämnd föreslår full</w:t>
      </w:r>
      <w:r w:rsidRPr="00896D4F">
        <w:softHyphen/>
        <w:t>mäktige att fatta beslut som innebär att ett av domstol meddelat verk</w:t>
      </w:r>
      <w:r w:rsidRPr="00896D4F">
        <w:softHyphen/>
        <w:t>ställig</w:t>
      </w:r>
      <w:r w:rsidRPr="00896D4F">
        <w:softHyphen/>
        <w:t>hets</w:t>
      </w:r>
      <w:r w:rsidRPr="00896D4F">
        <w:softHyphen/>
        <w:t>förbud skall kring</w:t>
      </w:r>
      <w:r w:rsidRPr="00896D4F">
        <w:softHyphen/>
      </w:r>
      <w:r w:rsidRPr="00896D4F">
        <w:softHyphen/>
        <w:t>gås. Kommunstyrelsen har i remissyttrandet framfört att man, trots kammarrättens beslut om verkställig</w:t>
      </w:r>
      <w:r w:rsidRPr="00896D4F">
        <w:softHyphen/>
        <w:t>hetsförbud, ansåg sig fri att avgöra på vilket sätt kommunens åtagan</w:t>
      </w:r>
      <w:r w:rsidRPr="00896D4F">
        <w:softHyphen/>
        <w:t>den skulle finansieras och att frågan hur finansie</w:t>
      </w:r>
      <w:r w:rsidRPr="00896D4F">
        <w:softHyphen/>
        <w:t>ringen skulle ske över huvud taget inte kunde prövas av domst</w:t>
      </w:r>
      <w:r w:rsidRPr="00896D4F">
        <w:t>o</w:t>
      </w:r>
      <w:r w:rsidRPr="00896D4F">
        <w:t>len. Denna upp</w:t>
      </w:r>
      <w:r w:rsidRPr="00896D4F">
        <w:softHyphen/>
        <w:t>fattning har dock själv</w:t>
      </w:r>
      <w:r w:rsidRPr="00896D4F">
        <w:softHyphen/>
      </w:r>
      <w:r w:rsidRPr="00896D4F">
        <w:softHyphen/>
      </w:r>
      <w:r w:rsidRPr="00896D4F">
        <w:softHyphen/>
        <w:t>fallet inte gett styrelsen en rätt att agera i strid mot kammar</w:t>
      </w:r>
      <w:r w:rsidRPr="00896D4F">
        <w:softHyphen/>
        <w:t xml:space="preserve">rättens beslut om </w:t>
      </w:r>
      <w:r w:rsidRPr="00896D4F">
        <w:t>verkställig</w:t>
      </w:r>
      <w:r w:rsidRPr="00896D4F">
        <w:softHyphen/>
        <w:t>hets</w:t>
      </w:r>
      <w:r w:rsidRPr="00896D4F">
        <w:softHyphen/>
        <w:t>förbud. Om kommunen inte kunde acceptera kammarrättens beslut har kom</w:t>
      </w:r>
      <w:r w:rsidRPr="00896D4F">
        <w:softHyphen/>
        <w:t>mu</w:t>
      </w:r>
      <w:r w:rsidRPr="00896D4F">
        <w:softHyphen/>
        <w:t>nens enda möjlighet varit att överklaga det för att försöka åstadkomma en ändring av beslutet. Kommunstyrelsen har sålunda genom sitt agerande gjort sig skyl</w:t>
      </w:r>
      <w:r w:rsidRPr="00896D4F">
        <w:softHyphen/>
        <w:t>dig till ett oriktigt handlande, som enligt min mening är anmärkningsvärt.</w:t>
      </w:r>
    </w:p>
    <w:p w:rsidR="009C1C5A" w:rsidRPr="00896D4F" w:rsidRDefault="009C1C5A">
      <w:pPr>
        <w:pStyle w:val="Normaltindrag"/>
      </w:pPr>
      <w:r w:rsidRPr="00896D4F">
        <w:t>Av utredningen drar jag slutsatsen att kommunen också verkställde det nya beslutet om att finansiering skulle ske genom upplåning. Det finns inte anle</w:t>
      </w:r>
      <w:r w:rsidRPr="00896D4F">
        <w:t>d</w:t>
      </w:r>
      <w:r w:rsidRPr="00896D4F">
        <w:t>ning att anta annat än att ansvaret för detta faller på kommunstyrelsen. Vid verkställighet av kommunfullmäktiges beslut måste det anses åligga ko</w:t>
      </w:r>
      <w:r w:rsidRPr="00896D4F">
        <w:t>m</w:t>
      </w:r>
      <w:r w:rsidRPr="00896D4F">
        <w:t>munstyrel</w:t>
      </w:r>
      <w:r w:rsidRPr="00896D4F">
        <w:softHyphen/>
        <w:t>sen att pröva om beslutet går att verkställa eller inte. Beslut som är rätts</w:t>
      </w:r>
      <w:r w:rsidRPr="00896D4F">
        <w:softHyphen/>
        <w:t>stridiga, såsom i detta fall, skall givetvis inte verkställas. Den felaktighet som kommunstyrelsen gjort sig skyldig till i detta hänseende får betraktas som en följd av dess besluts</w:t>
      </w:r>
      <w:r w:rsidRPr="00896D4F">
        <w:softHyphen/>
        <w:t>för</w:t>
      </w:r>
      <w:r w:rsidRPr="00896D4F">
        <w:softHyphen/>
        <w:t xml:space="preserve">slag till fullmäktige.  </w:t>
      </w:r>
    </w:p>
    <w:p w:rsidR="009C1C5A" w:rsidRPr="00896D4F" w:rsidRDefault="009C1C5A">
      <w:pPr>
        <w:pStyle w:val="Normaltindrag"/>
      </w:pPr>
      <w:r w:rsidRPr="00896D4F">
        <w:t>I kammarrättens dom förordades att, för det fall kommunfullmäktig</w:t>
      </w:r>
      <w:r w:rsidRPr="00896D4F">
        <w:t>es b</w:t>
      </w:r>
      <w:r w:rsidRPr="00896D4F">
        <w:t>e</w:t>
      </w:r>
      <w:r w:rsidRPr="00896D4F">
        <w:t>slut den 29 april 1999 vann laga kraft, simhallen skulle upphandlas enligt bestäm</w:t>
      </w:r>
      <w:r w:rsidRPr="00896D4F">
        <w:softHyphen/>
        <w:t>melserna i lagen om offentlig upphandling. Kommunen överklagade inte kammar</w:t>
      </w:r>
      <w:r w:rsidRPr="00896D4F">
        <w:softHyphen/>
        <w:t>rättens dom utan den vann laga kraft, vilket också kommunful</w:t>
      </w:r>
      <w:r w:rsidRPr="00896D4F">
        <w:t>l</w:t>
      </w:r>
      <w:r w:rsidRPr="00896D4F">
        <w:t>mäkt</w:t>
      </w:r>
      <w:r w:rsidRPr="00896D4F">
        <w:t>i</w:t>
      </w:r>
      <w:r w:rsidRPr="00896D4F">
        <w:t>ges beslut gjor</w:t>
      </w:r>
      <w:r w:rsidRPr="00896D4F">
        <w:softHyphen/>
        <w:t xml:space="preserve">de. </w:t>
      </w:r>
    </w:p>
    <w:p w:rsidR="009C1C5A" w:rsidRPr="00896D4F" w:rsidRDefault="009C1C5A">
      <w:pPr>
        <w:pStyle w:val="Normaltindrag"/>
      </w:pPr>
      <w:r w:rsidRPr="00896D4F">
        <w:t>Vad gäller kom</w:t>
      </w:r>
      <w:r w:rsidRPr="00896D4F">
        <w:softHyphen/>
        <w:t>munens handlägg</w:t>
      </w:r>
      <w:r w:rsidRPr="00896D4F">
        <w:softHyphen/>
        <w:t>ning efter kammarrättens dom framgår av utredningen att någon upp</w:t>
      </w:r>
      <w:r w:rsidRPr="00896D4F">
        <w:softHyphen/>
        <w:t>handling enligt bestämmelserna i lagen om offen</w:t>
      </w:r>
      <w:r w:rsidRPr="00896D4F">
        <w:t>t</w:t>
      </w:r>
      <w:r w:rsidRPr="00896D4F">
        <w:t>lig upp</w:t>
      </w:r>
      <w:r w:rsidRPr="00896D4F">
        <w:softHyphen/>
        <w:t>hand</w:t>
      </w:r>
      <w:r w:rsidRPr="00896D4F">
        <w:softHyphen/>
        <w:t>ling aldrig genomfördes. Kommun</w:t>
      </w:r>
      <w:r w:rsidRPr="00896D4F">
        <w:softHyphen/>
        <w:t>styrel</w:t>
      </w:r>
      <w:r w:rsidRPr="00896D4F">
        <w:softHyphen/>
        <w:t>sens arbetsutskott anförde i beslut den 14 februari 2000 att det då inte var möjligt att göra en upphan</w:t>
      </w:r>
      <w:r w:rsidRPr="00896D4F">
        <w:t>d</w:t>
      </w:r>
      <w:r w:rsidRPr="00896D4F">
        <w:t>ling och lade ären</w:t>
      </w:r>
      <w:r w:rsidRPr="00896D4F">
        <w:softHyphen/>
        <w:t>det till hand</w:t>
      </w:r>
      <w:r w:rsidRPr="00896D4F">
        <w:softHyphen/>
        <w:t>lingarna. På grund av kam</w:t>
      </w:r>
      <w:r w:rsidRPr="00896D4F">
        <w:softHyphen/>
        <w:t>marrättens föror</w:t>
      </w:r>
      <w:r w:rsidRPr="00896D4F">
        <w:t>d</w:t>
      </w:r>
      <w:r w:rsidRPr="00896D4F">
        <w:t>nande i domen har det emellertid ålegat kommu</w:t>
      </w:r>
      <w:r w:rsidRPr="00896D4F">
        <w:softHyphen/>
        <w:t>nen, i första hand kommu</w:t>
      </w:r>
      <w:r w:rsidRPr="00896D4F">
        <w:t>n</w:t>
      </w:r>
      <w:r w:rsidRPr="00896D4F">
        <w:t>styrelsen, att genomföra en upphandling enligt bestämmel</w:t>
      </w:r>
      <w:r w:rsidRPr="00896D4F">
        <w:softHyphen/>
        <w:t>serna i lagen om offe</w:t>
      </w:r>
      <w:r w:rsidRPr="00896D4F">
        <w:t>ntlig upphandling. Vad kom</w:t>
      </w:r>
      <w:r w:rsidRPr="00896D4F">
        <w:softHyphen/>
        <w:t>mu</w:t>
      </w:r>
      <w:r w:rsidRPr="00896D4F">
        <w:softHyphen/>
        <w:t>nen har anfört i remissyttrandet om pra</w:t>
      </w:r>
      <w:r w:rsidRPr="00896D4F">
        <w:t>k</w:t>
      </w:r>
      <w:r w:rsidRPr="00896D4F">
        <w:t>tiska svårigheter att genomföra en sådan upphandling ger inte anledning till något annat ställningstagande från min sida. Jag vill dock påpeka att kom</w:t>
      </w:r>
      <w:r w:rsidRPr="00896D4F">
        <w:softHyphen/>
        <w:t>mun</w:t>
      </w:r>
      <w:r w:rsidRPr="00896D4F">
        <w:softHyphen/>
        <w:t>styrelsen genom att inte följa kam</w:t>
      </w:r>
      <w:r w:rsidRPr="00896D4F">
        <w:softHyphen/>
        <w:t>mar</w:t>
      </w:r>
      <w:r w:rsidRPr="00896D4F">
        <w:softHyphen/>
        <w:t>rättens beslut om verk</w:t>
      </w:r>
      <w:r w:rsidRPr="00896D4F">
        <w:softHyphen/>
        <w:t>ställighets</w:t>
      </w:r>
      <w:r w:rsidRPr="00896D4F">
        <w:softHyphen/>
        <w:t>förbud själv får anses ha försvårat situationen. Vidare vill jag nämna att kommunfullmäktiges beslut den 29 april 1999 att god</w:t>
      </w:r>
      <w:r w:rsidRPr="00896D4F">
        <w:softHyphen/>
        <w:t>känna avtalen med Team Torsby var villkorat av att be</w:t>
      </w:r>
      <w:r w:rsidRPr="00896D4F">
        <w:softHyphen/>
        <w:t>slu</w:t>
      </w:r>
      <w:r w:rsidRPr="00896D4F">
        <w:softHyphen/>
        <w:t xml:space="preserve">tet skulle vinna laga kraft </w:t>
      </w:r>
      <w:r w:rsidRPr="00896D4F">
        <w:t>vilket det, enligt vad utredningen visar, inte gjorde förrän efter kammar</w:t>
      </w:r>
      <w:r w:rsidRPr="00896D4F">
        <w:softHyphen/>
        <w:t>rättens dom i upp</w:t>
      </w:r>
      <w:r w:rsidRPr="00896D4F">
        <w:softHyphen/>
        <w:t xml:space="preserve">handlingsmålet.  </w:t>
      </w:r>
    </w:p>
    <w:p w:rsidR="009C1C5A" w:rsidRPr="00896D4F" w:rsidRDefault="009C1C5A">
      <w:pPr>
        <w:pStyle w:val="Normaltindrag"/>
      </w:pPr>
      <w:r w:rsidRPr="00896D4F">
        <w:t>Sammanfattningsvis kan jag sålunda konstatera att kommunstyrelsen har agerat fel</w:t>
      </w:r>
      <w:r w:rsidRPr="00896D4F">
        <w:softHyphen/>
        <w:t>aktigt i flera avseenden. Att myndigheter på det sätt som påvisats i detta ärende inte respekterar dom</w:t>
      </w:r>
      <w:r w:rsidRPr="00896D4F">
        <w:softHyphen/>
        <w:t>stols</w:t>
      </w:r>
      <w:r w:rsidRPr="00896D4F">
        <w:softHyphen/>
        <w:t>av</w:t>
      </w:r>
      <w:r w:rsidRPr="00896D4F">
        <w:softHyphen/>
        <w:t xml:space="preserve">göranden är allvarligt och strider mot grundläggande krav på offentliga organs uppträdande. </w:t>
      </w:r>
    </w:p>
    <w:p w:rsidR="009C1C5A" w:rsidRPr="00896D4F" w:rsidRDefault="009C1C5A">
      <w:pPr>
        <w:pStyle w:val="Normaltindrag"/>
      </w:pPr>
      <w:r w:rsidRPr="00896D4F">
        <w:t>Även om det med anledning av det inträffade hade varit påkallat att vidta åt</w:t>
      </w:r>
      <w:r w:rsidRPr="00896D4F">
        <w:softHyphen/>
        <w:t>gär</w:t>
      </w:r>
      <w:r w:rsidRPr="00896D4F">
        <w:softHyphen/>
        <w:t>der mot de ledamöter av kommunstyrelsen som medverkat till komm</w:t>
      </w:r>
      <w:r w:rsidRPr="00896D4F">
        <w:t>u</w:t>
      </w:r>
      <w:r w:rsidRPr="00896D4F">
        <w:t>nens oriktiga handlande finns det inga möjligheter härtill.</w:t>
      </w:r>
    </w:p>
    <w:p w:rsidR="009C1C5A" w:rsidRPr="00896D4F" w:rsidRDefault="009C1C5A">
      <w:pPr>
        <w:pStyle w:val="Normaltindrag"/>
      </w:pPr>
      <w:r w:rsidRPr="00896D4F">
        <w:t>Det är sålunda inte möjligt att ingripa med åtal för tjänstefel eftersom b</w:t>
      </w:r>
      <w:r w:rsidRPr="00896D4F">
        <w:t>e</w:t>
      </w:r>
      <w:r w:rsidRPr="00896D4F">
        <w:t>slutsfattan</w:t>
      </w:r>
      <w:r w:rsidRPr="00896D4F">
        <w:softHyphen/>
        <w:t>det i de aktuella frågorna inte är att anse som myndighetsutövning i brotts</w:t>
      </w:r>
      <w:r w:rsidRPr="00896D4F">
        <w:softHyphen/>
        <w:t>bal</w:t>
      </w:r>
      <w:r w:rsidRPr="00896D4F">
        <w:softHyphen/>
        <w:t>kens mening. De förtroendevalda omfattas inte heller av något lagr</w:t>
      </w:r>
      <w:r w:rsidRPr="00896D4F">
        <w:t>e</w:t>
      </w:r>
      <w:r w:rsidRPr="00896D4F">
        <w:t>glerat eller kollektivavtalsreglerat disciplinansvar.</w:t>
      </w:r>
    </w:p>
    <w:p w:rsidR="009C1C5A" w:rsidRPr="00896D4F" w:rsidRDefault="009C1C5A">
      <w:pPr>
        <w:pStyle w:val="Normaltindrag"/>
      </w:pPr>
      <w:r w:rsidRPr="00896D4F">
        <w:t xml:space="preserve">Mot bakgrund av det sagda stannar jag vid den mycket allvarliga kritik som ligger i det ovan anförda. </w:t>
      </w:r>
    </w:p>
    <w:p w:rsidR="009C1C5A" w:rsidRPr="00896D4F" w:rsidRDefault="009C1C5A">
      <w:pPr>
        <w:pStyle w:val="Rubrik2"/>
      </w:pPr>
      <w:r w:rsidRPr="00896D4F">
        <w:t>Allvarlig kritik mot en kommun som genom uppmaningar som saknat rättslig grund under sken av myndighetsutövning utövat påtryckning mot en fastighet</w:t>
      </w:r>
      <w:r w:rsidRPr="00896D4F">
        <w:t>s</w:t>
      </w:r>
      <w:r w:rsidRPr="00896D4F">
        <w:t>ägare</w:t>
      </w:r>
    </w:p>
    <w:p w:rsidR="009C1C5A" w:rsidRPr="00896D4F" w:rsidRDefault="009C1C5A">
      <w:pPr>
        <w:spacing w:before="0"/>
      </w:pPr>
      <w:r w:rsidRPr="00896D4F">
        <w:t>(Dnr 189-2001)</w:t>
      </w:r>
    </w:p>
    <w:p w:rsidR="009C1C5A" w:rsidRPr="00896D4F" w:rsidRDefault="009C1C5A">
      <w:pPr>
        <w:pStyle w:val="Rubrik3"/>
      </w:pPr>
      <w:r w:rsidRPr="00896D4F">
        <w:t xml:space="preserve">Anmälan </w:t>
      </w:r>
    </w:p>
    <w:p w:rsidR="009C1C5A" w:rsidRPr="00896D4F" w:rsidRDefault="009C1C5A">
      <w:r w:rsidRPr="00896D4F">
        <w:t>I en anmälan mot Kommunstyrelsen i Orusts kommun framförde B.E. klag</w:t>
      </w:r>
      <w:r w:rsidRPr="00896D4F">
        <w:t>o</w:t>
      </w:r>
      <w:r w:rsidRPr="00896D4F">
        <w:t>mål mot att kommunen hade hotat att flytta eller riva en byggnad som han ägde. Han uppgav följande. Han köpte fastigheten Mollösund 5:386 i Orusts kommun år 1994. I köpet ingick även en förrådsbyggnad. Det visade sig sen</w:t>
      </w:r>
      <w:r w:rsidRPr="00896D4F">
        <w:t>a</w:t>
      </w:r>
      <w:r w:rsidRPr="00896D4F">
        <w:t>re att en del av denna byggnad var belägen på en angränsande fastighet, Mollösund 5:385, som ägdes av kommunen. B.E. hade kontakter med ko</w:t>
      </w:r>
      <w:r w:rsidRPr="00896D4F">
        <w:t>m</w:t>
      </w:r>
      <w:r w:rsidRPr="00896D4F">
        <w:t>munens dåvarande exploateringsingenjör som meddelade att byggnadens placering inte hade någon betydelse eftersom den låg på kommunal mark. Kommunen sål</w:t>
      </w:r>
      <w:r w:rsidRPr="00896D4F">
        <w:t>de fastigheten Mollösund 5:385 i april 2000. I en skrivelse till B.E. den 3 juli 2000 hotade kommunen att flytta eller riva förrådsbyggnaden på hans bekostnad. Samma hot framförde kommunen i en skrivelse till honom den 17 oktober 2000. Han skrev till kommunen och ifrågasatte dess agerande. Kommunen meddelade att åtgärderna inte hade företagits inom kommunens myndighetsutövande verksamhet. Enligt B.E. rörde det sig om en exekutiv åtgärd och såvitt han kunde förstå skulle en verkställighet kunna utgöra en bro</w:t>
      </w:r>
      <w:r w:rsidRPr="00896D4F">
        <w:t xml:space="preserve">ttslig handling. </w:t>
      </w:r>
    </w:p>
    <w:p w:rsidR="009C1C5A" w:rsidRPr="00896D4F" w:rsidRDefault="009C1C5A">
      <w:pPr>
        <w:pStyle w:val="Normaltindrag"/>
      </w:pPr>
      <w:r w:rsidRPr="00896D4F">
        <w:t>Till anmälan var fogade kopior av skriftväxling mellan B.E. och komm</w:t>
      </w:r>
      <w:r w:rsidRPr="00896D4F">
        <w:t>u</w:t>
      </w:r>
      <w:r w:rsidRPr="00896D4F">
        <w:t>nen. Av handlingarna framgick bl.a. följande. I skrivelsen den 3 juli 2000 meddelade kommunens tekniska enhet, genom en exploateringsingenjör, att fastigheten Mollösund 5:385 hade sålts till en privatperson. B.E. ombads därför att flytta den förrådsbyggnad som stod på fastigheten och som uppgavs inte vara placerad i enlighet med det bygglov som fanns. Det angavs att B.E. borde kunna klara detta före den 1 oktober 2000. Vidare anfördes att ”har uthuset inte flyttats inom denna tidsram ser vi oss nödsakade a</w:t>
      </w:r>
      <w:r w:rsidRPr="00896D4F">
        <w:t>tt flytta eller riva det på Er bekostnad”. I skrivelsen den 17 oktober 2000, undertecknad av exploateringsingenjören, anfördes att kommunen fått tillstånd av den nye ägaren att vidta åtgärder för att få bort byggnaden. Vidare angavs att ”vi kommer att flytta uthuset/garaget på Er bekostnad om Ni inte vidtagit åtgä</w:t>
      </w:r>
      <w:r w:rsidRPr="00896D4F">
        <w:t>r</w:t>
      </w:r>
      <w:r w:rsidRPr="00896D4F">
        <w:t>der före den 1 december 2000”. I en skrivelse den 29 november 2000 anförde kommunens tekniska chef, på uppdrag av kommunchefen, bl.a. att exploat</w:t>
      </w:r>
      <w:r w:rsidRPr="00896D4F">
        <w:t>e</w:t>
      </w:r>
      <w:r w:rsidRPr="00896D4F">
        <w:t>ringsingenjören hade delegation från kommunstyrels</w:t>
      </w:r>
      <w:r w:rsidRPr="00896D4F">
        <w:t>en att ansvara för öve</w:t>
      </w:r>
      <w:r w:rsidRPr="00896D4F">
        <w:t>r</w:t>
      </w:r>
      <w:r w:rsidRPr="00896D4F">
        <w:t>låtelser av mark samt att han inte agerade som någon myndighet utan som kommunens representant som markägare och markfö</w:t>
      </w:r>
      <w:r w:rsidRPr="00896D4F">
        <w:t>r</w:t>
      </w:r>
      <w:r w:rsidRPr="00896D4F">
        <w:t xml:space="preserve">säljare. </w:t>
      </w:r>
    </w:p>
    <w:p w:rsidR="009C1C5A" w:rsidRPr="00896D4F" w:rsidRDefault="009C1C5A">
      <w:pPr>
        <w:pStyle w:val="Rubrik3"/>
      </w:pPr>
      <w:r w:rsidRPr="00896D4F">
        <w:t>Utredning</w:t>
      </w:r>
    </w:p>
    <w:p w:rsidR="009C1C5A" w:rsidRPr="00896D4F" w:rsidRDefault="009C1C5A">
      <w:r w:rsidRPr="00896D4F">
        <w:t>Kommunstyrelsen i Orusts kommun anmodades att göra en utredning och yttra sig avseende vad B.E. hade framfört angående hot om att flytta eller riva bygg</w:t>
      </w:r>
      <w:r w:rsidRPr="00896D4F">
        <w:softHyphen/>
        <w:t xml:space="preserve">naden på hans bekostnad. </w:t>
      </w:r>
    </w:p>
    <w:p w:rsidR="009C1C5A" w:rsidRPr="00896D4F" w:rsidRDefault="009C1C5A">
      <w:r w:rsidRPr="00896D4F">
        <w:t>Kommunstyrelsen beslutade att som eget yttrande översända ett vid kommu</w:t>
      </w:r>
      <w:r w:rsidRPr="00896D4F">
        <w:t>n</w:t>
      </w:r>
      <w:r w:rsidRPr="00896D4F">
        <w:t>styrelsekontoret upprättat yttrande, vari anfördes bl.a. fö</w:t>
      </w:r>
      <w:r w:rsidRPr="00896D4F">
        <w:t>l</w:t>
      </w:r>
      <w:r w:rsidRPr="00896D4F">
        <w:t xml:space="preserve">jande. </w:t>
      </w:r>
    </w:p>
    <w:p w:rsidR="009C1C5A" w:rsidRPr="00896D4F" w:rsidRDefault="009C1C5A">
      <w:pPr>
        <w:pStyle w:val="Citat"/>
      </w:pPr>
      <w:r w:rsidRPr="00896D4F">
        <w:t>Ärendet har utretts av tekniska chefen eftersom handläggningen skett på te</w:t>
      </w:r>
      <w:r w:rsidRPr="00896D4F">
        <w:t>k</w:t>
      </w:r>
      <w:r w:rsidRPr="00896D4F">
        <w:t>niska enheten. Följa</w:t>
      </w:r>
      <w:r w:rsidRPr="00896D4F">
        <w:t>n</w:t>
      </w:r>
      <w:r w:rsidRPr="00896D4F">
        <w:t>de har då framkommit:</w:t>
      </w:r>
    </w:p>
    <w:p w:rsidR="009C1C5A" w:rsidRPr="00896D4F" w:rsidRDefault="009C1C5A">
      <w:pPr>
        <w:pStyle w:val="Citatindrag"/>
      </w:pPr>
      <w:r w:rsidRPr="00896D4F">
        <w:t>Det är riktigt som sökanden anger att det finns ett förråd på hans fastighet som delvis inkräktar på grannfastigheten som tidigare ägdes av kommunen. Byggnaden är inte belägen där den finns inritad i plan. Inför försäljningen av kommunens fastighet upptäcktes felplaceringen och de blivande ägarna b</w:t>
      </w:r>
      <w:r w:rsidRPr="00896D4F">
        <w:t>e</w:t>
      </w:r>
      <w:r w:rsidRPr="00896D4F">
        <w:t>gärde att den skulle tas bort från deras mark.</w:t>
      </w:r>
    </w:p>
    <w:p w:rsidR="009C1C5A" w:rsidRPr="00896D4F" w:rsidRDefault="009C1C5A">
      <w:pPr>
        <w:pStyle w:val="Citatindrag"/>
      </w:pPr>
      <w:r w:rsidRPr="00896D4F">
        <w:t>Sökanden påstår i sin ansökan till JO att nuvarande exploateringsingenj</w:t>
      </w:r>
      <w:r w:rsidRPr="00896D4F">
        <w:t>ö</w:t>
      </w:r>
      <w:r w:rsidRPr="00896D4F">
        <w:t>ren eller förre markingenjören har uttryckt att byggnadens placering inte skulle ha någon betydelse, vilket är felaktigt. – – –</w:t>
      </w:r>
    </w:p>
    <w:p w:rsidR="009C1C5A" w:rsidRPr="00896D4F" w:rsidRDefault="009C1C5A">
      <w:pPr>
        <w:pStyle w:val="Citatindrag"/>
        <w:ind w:firstLine="0"/>
      </w:pPr>
    </w:p>
    <w:p w:rsidR="009C1C5A" w:rsidRPr="00896D4F" w:rsidRDefault="009C1C5A">
      <w:pPr>
        <w:pStyle w:val="Citatindrag"/>
        <w:ind w:firstLine="0"/>
      </w:pPr>
      <w:r w:rsidRPr="00896D4F">
        <w:t>Sökanden underrättades muntligen av exploateringsingenjören om att han skulle avlägsna byggnaden från kommunens mark eftersom fastigheten skulle försäljas. Exploateringsingenjören föreslog även att en överenskommelse om arrende borde träffas med grannen. När köpet avslutades i april 2000 hade sökanden fortfarande inte vidtagit några åtgärder eller hört av sig.</w:t>
      </w:r>
    </w:p>
    <w:p w:rsidR="009C1C5A" w:rsidRPr="00896D4F" w:rsidRDefault="009C1C5A">
      <w:pPr>
        <w:pStyle w:val="Citatindrag"/>
      </w:pPr>
      <w:r w:rsidRPr="00896D4F">
        <w:t>Som säljare uppfattade exploateringsingenjören det som kommunens sak att tillse att byggnaden avlägsnades. Han uppmanades också och till och med befullmäktigades av köparna att avlägsna byggnaden. När fortfarande inge</w:t>
      </w:r>
      <w:r w:rsidRPr="00896D4F">
        <w:t>n</w:t>
      </w:r>
      <w:r w:rsidRPr="00896D4F">
        <w:t>ting hade hänt i juni 2000 sände exploateringsingenjören de av sökanden till JO ingivna breven, daterade 2000-07-03 och 2000-10-17, med anmodan att avlägsna byggnaden vid äventyr av att kommunen i annat fall skulle avlägsna den på sökandens bekostnad.</w:t>
      </w:r>
    </w:p>
    <w:p w:rsidR="009C1C5A" w:rsidRPr="00896D4F" w:rsidRDefault="009C1C5A">
      <w:pPr>
        <w:pStyle w:val="Citatindrag"/>
      </w:pPr>
      <w:r w:rsidRPr="00896D4F">
        <w:t>Kommunen följer gängse regler, också när det gäller exekutiva åtgärder. Även kommunen är berättigad att använda sig av kronofogdemyndighetens tjänster för att få sin rätt, i det här ärendet genom handräc</w:t>
      </w:r>
      <w:r w:rsidRPr="00896D4F">
        <w:t>k</w:t>
      </w:r>
      <w:r w:rsidRPr="00896D4F">
        <w:t>ning.</w:t>
      </w:r>
    </w:p>
    <w:p w:rsidR="009C1C5A" w:rsidRPr="00896D4F" w:rsidRDefault="009C1C5A">
      <w:pPr>
        <w:pStyle w:val="Citatindrag"/>
      </w:pPr>
      <w:r w:rsidRPr="00896D4F">
        <w:t>Vi beklagar om sökanden uppfattar en erinring om skyldigheten att ta bort en byggnad han äger från grannens tomt som ett hot. En överenskommelse mellan grannarna har numera kommit till stånd. – – –</w:t>
      </w:r>
    </w:p>
    <w:p w:rsidR="009C1C5A" w:rsidRPr="00896D4F" w:rsidRDefault="009C1C5A">
      <w:r w:rsidRPr="00896D4F">
        <w:t xml:space="preserve">B.E. kommenterade remissvaret och anförde bl.a. att kommunens skrivelser till honom var utformade på sådant sätt att han hade befogad anledning att utgå från att det var kommunen själv som skulle genomföra den exekutiva åtgärden. </w:t>
      </w:r>
    </w:p>
    <w:p w:rsidR="009C1C5A" w:rsidRPr="00896D4F" w:rsidRDefault="009C1C5A">
      <w:r w:rsidRPr="00896D4F">
        <w:t xml:space="preserve">I beslut den 11 juni 2002 anförde </w:t>
      </w:r>
      <w:r w:rsidRPr="00896D4F">
        <w:rPr>
          <w:i/>
        </w:rPr>
        <w:t>JO Berggren</w:t>
      </w:r>
      <w:r w:rsidRPr="00896D4F">
        <w:t xml:space="preserve"> följande.</w:t>
      </w:r>
    </w:p>
    <w:p w:rsidR="009C1C5A" w:rsidRPr="00896D4F" w:rsidRDefault="009C1C5A">
      <w:r w:rsidRPr="00896D4F">
        <w:t xml:space="preserve">JO:s granskning är av rättslig art och avser främst tillämpningen av gällande förfaranderegler. Jag har mot bakgrund härav inte anledning att uttala mig om huruvida kommunen i ett tidigare skede får anses ha godtagit placeringen av förrådsbyggnaden. Min granskning i ärendet rör enbart kommunens skrivelser till B.E. för att få honom att flytta byggnaden.  </w:t>
      </w:r>
    </w:p>
    <w:p w:rsidR="009C1C5A" w:rsidRPr="00896D4F" w:rsidRDefault="009C1C5A">
      <w:pPr>
        <w:pStyle w:val="Normaltindrag"/>
      </w:pPr>
      <w:r w:rsidRPr="00896D4F">
        <w:t>I skrivelserna anfördes att kommunen skulle komma att flytta eller riva byggnaden på B.E. bekostnad om han inte flyttade den inom angivna tid-rymder. Att flytta eller riva B.E. byggnad hade inneburit att hans besittning till denna rubbades. För att få rubba någons besittning till egendom utan de</w:t>
      </w:r>
      <w:r w:rsidRPr="00896D4F">
        <w:t>n</w:t>
      </w:r>
      <w:r w:rsidRPr="00896D4F">
        <w:t>nes tillstånd förutsätts i normalfallet att det sker en rättslig prövning av om det finns grund för en sådan åtgärd. Detta kan ske hos kronofogdemyndigh</w:t>
      </w:r>
      <w:r w:rsidRPr="00896D4F">
        <w:t>e</w:t>
      </w:r>
      <w:r w:rsidRPr="00896D4F">
        <w:t>ten som första instans genom en ansökan om vanlig eller särskild handräc</w:t>
      </w:r>
      <w:r w:rsidRPr="00896D4F">
        <w:t>k</w:t>
      </w:r>
      <w:r w:rsidRPr="00896D4F">
        <w:t>ning (se 3 och 4 §§ lagen, 1990:746, om betalningsföreläggande och han</w:t>
      </w:r>
      <w:r w:rsidRPr="00896D4F">
        <w:t>d</w:t>
      </w:r>
      <w:r w:rsidRPr="00896D4F">
        <w:t xml:space="preserve">räckning). </w:t>
      </w:r>
    </w:p>
    <w:p w:rsidR="009C1C5A" w:rsidRPr="00896D4F" w:rsidRDefault="009C1C5A">
      <w:r w:rsidRPr="00896D4F">
        <w:t>En kommuns byggnadsnämnd har möjlighet att ingripa vid överträdelser av plan- och bygglagen (1987:10, PBL). Nämnden kan bl.a. förelägga en fasti</w:t>
      </w:r>
      <w:r w:rsidRPr="00896D4F">
        <w:t>g</w:t>
      </w:r>
      <w:r w:rsidRPr="00896D4F">
        <w:t xml:space="preserve">hetsägare att inom viss tid vidta rättelse vid äventyr att åtgärden kan komma att utföras genom nämndens försorg på fastighetsägarens bekostnad. Om föreläggandet inte följs kan nämnden besluta att åtgärden skall utföras (10 kap. 14 och 18 §§ PBL). Nämndens beslut i dessa frågor får överklagas hos länsstyrelsen (13 kap. 2 § PBL). En annan form av ingripande är att nämnden kan ansöka hos kronofogdemyndigheten om särskild handräckning så att rättelse sker (10 kap. 12 och 13 §§ PBL). </w:t>
      </w:r>
    </w:p>
    <w:p w:rsidR="009C1C5A" w:rsidRPr="00896D4F" w:rsidRDefault="009C1C5A">
      <w:pPr>
        <w:pStyle w:val="Normaltindrag"/>
      </w:pPr>
      <w:r w:rsidRPr="00896D4F">
        <w:t>Den som egenmäktigt ingri</w:t>
      </w:r>
      <w:r w:rsidRPr="00896D4F">
        <w:t xml:space="preserve">per i besittningsförhållanden kan drabbas av straff för egenmäktigt förfarande (8 kap. 8 § brottsbalken) eller för självtäkt (8 kap. 9 § brottsbalken).  </w:t>
      </w:r>
    </w:p>
    <w:p w:rsidR="009C1C5A" w:rsidRPr="00896D4F" w:rsidRDefault="009C1C5A">
      <w:pPr>
        <w:pStyle w:val="Normaltindrag"/>
      </w:pPr>
      <w:r w:rsidRPr="00896D4F">
        <w:t>Av utredningen framgår att kommunens åtgärder gentemot B.E. inte u</w:t>
      </w:r>
      <w:r w:rsidRPr="00896D4F">
        <w:t>t</w:t>
      </w:r>
      <w:r w:rsidRPr="00896D4F">
        <w:t xml:space="preserve">gjorde något ingripande enligt PBL. Kommunens hänvändelse till B.E. med uppmaning till denne att ta bort förrådsbyggnaden var i stället en åtgärd av privaträttslig art synbarligen på uppdrag av dem till vilka kommunen överlåtit fastigheten Mollösund 5:385. Uppmaningen hade inte föregåtts av någon rättslig prövning hos kronofogdemyndigheten eller domstol rörande B.E:s skyldighet att avlägsna byggnaden. Kommunens hänvisning i remissvaret till kommunens rätt att använda sig av kronofogdemyndighetens tjänster </w:t>
      </w:r>
      <w:r w:rsidRPr="00896D4F">
        <w:t>är svår att förstå; kommunens besked att rivning eller flyttning kan komma att ske genom kommunens försorg kan omöjligen uppfattas som en upplysning e</w:t>
      </w:r>
      <w:r w:rsidRPr="00896D4F">
        <w:t>n</w:t>
      </w:r>
      <w:r w:rsidRPr="00896D4F">
        <w:t xml:space="preserve">dast om kommunens rättigheter eller avsikter i detta hänseende. Kommunen har således saknat rättsliga möjligheter att vidta de åtgärder som kommunen förutskickat i sina meddelanden till B.E. </w:t>
      </w:r>
    </w:p>
    <w:p w:rsidR="009C1C5A" w:rsidRPr="00896D4F" w:rsidRDefault="009C1C5A">
      <w:pPr>
        <w:pStyle w:val="Normaltindrag"/>
      </w:pPr>
      <w:r w:rsidRPr="00896D4F">
        <w:t>Kommunen har under sken av myndighetsutövning gentemot B.E. utövat påtryckningar mot denne. Detta handlande är enligt min mening utomorden</w:t>
      </w:r>
      <w:r w:rsidRPr="00896D4F">
        <w:t>t</w:t>
      </w:r>
      <w:r w:rsidRPr="00896D4F">
        <w:t>ligt anmärkningsvärt. Jag har övervägt att driva ärendet vidare till en straf</w:t>
      </w:r>
      <w:r w:rsidRPr="00896D4F">
        <w:t>f</w:t>
      </w:r>
      <w:r w:rsidRPr="00896D4F">
        <w:t>rättslig prövning men har slutligen stannat vid den här uttalade mycket al</w:t>
      </w:r>
      <w:r w:rsidRPr="00896D4F">
        <w:t>l</w:t>
      </w:r>
      <w:r w:rsidRPr="00896D4F">
        <w:t>varliga kritiken.</w:t>
      </w:r>
    </w:p>
    <w:p w:rsidR="009C1C5A" w:rsidRPr="00896D4F" w:rsidRDefault="009C1C5A">
      <w:pPr>
        <w:pStyle w:val="Rubrik1"/>
      </w:pPr>
      <w:r w:rsidRPr="00896D4F">
        <w:br w:type="page"/>
        <w:t>Offentlighet och sekretess samt yttrande- och tryckfrihet</w:t>
      </w:r>
    </w:p>
    <w:p w:rsidR="009C1C5A" w:rsidRPr="00896D4F" w:rsidRDefault="009C1C5A">
      <w:pPr>
        <w:pStyle w:val="Rubrik4"/>
        <w:spacing w:before="0"/>
      </w:pPr>
      <w:r w:rsidRPr="00896D4F">
        <w:t>Socialtjänst samt hälso- och sjukvård</w:t>
      </w:r>
    </w:p>
    <w:p w:rsidR="009C1C5A" w:rsidRPr="00896D4F" w:rsidRDefault="009C1C5A">
      <w:pPr>
        <w:pStyle w:val="Rubrik2"/>
        <w:spacing w:before="250"/>
      </w:pPr>
      <w:r w:rsidRPr="00896D4F">
        <w:t>Fråga om ett uttalande av en ledamot av en socialnämnd utgjort kränkning av tjänstemans yttrande- och meddelarfrihet m.m.</w:t>
      </w:r>
    </w:p>
    <w:p w:rsidR="009C1C5A" w:rsidRPr="00896D4F" w:rsidRDefault="009C1C5A">
      <w:pPr>
        <w:spacing w:before="0"/>
      </w:pPr>
      <w:r w:rsidRPr="00896D4F">
        <w:t>(Dnr 1323-2001)</w:t>
      </w:r>
    </w:p>
    <w:p w:rsidR="009C1C5A" w:rsidRPr="00896D4F" w:rsidRDefault="009C1C5A">
      <w:pPr>
        <w:pStyle w:val="Rubrik3"/>
        <w:rPr>
          <w:b w:val="0"/>
        </w:rPr>
      </w:pPr>
      <w:r w:rsidRPr="00896D4F">
        <w:t>Anmälan</w:t>
      </w:r>
    </w:p>
    <w:p w:rsidR="009C1C5A" w:rsidRPr="00896D4F" w:rsidRDefault="009C1C5A">
      <w:r w:rsidRPr="00896D4F">
        <w:rPr>
          <w:spacing w:val="-2"/>
        </w:rPr>
        <w:t>I en anmälan till JO anförde avdelningschefen för äldreomsorgen Ulf Bes</w:t>
      </w:r>
      <w:r w:rsidRPr="00896D4F">
        <w:t>kow, socialförvaltningen i Klippans kommun, bl.a. följande (hänvisningar till bilagor har här utelämnats).</w:t>
      </w:r>
    </w:p>
    <w:p w:rsidR="009C1C5A" w:rsidRPr="00896D4F" w:rsidRDefault="009C1C5A">
      <w:pPr>
        <w:pStyle w:val="Citat"/>
        <w:rPr>
          <w:sz w:val="20"/>
        </w:rPr>
      </w:pPr>
      <w:r w:rsidRPr="00896D4F">
        <w:t>En journalist på NST ringde och frågade mig bl a om de bolagiserade sjukh</w:t>
      </w:r>
      <w:r w:rsidRPr="00896D4F">
        <w:t>u</w:t>
      </w:r>
      <w:r w:rsidRPr="00896D4F">
        <w:t>sens kriterier för utskrivning av medicinskt färdigbehandlade patienter. Inte</w:t>
      </w:r>
      <w:r w:rsidRPr="00896D4F">
        <w:t>r</w:t>
      </w:r>
      <w:r w:rsidRPr="00896D4F">
        <w:t>vjun resulterade i en laddad artikel</w:t>
      </w:r>
      <w:r w:rsidRPr="00896D4F">
        <w:rPr>
          <w:b/>
        </w:rPr>
        <w:t>.</w:t>
      </w:r>
      <w:r w:rsidRPr="00896D4F">
        <w:t xml:space="preserve"> Vid möte i pensionärs</w:t>
      </w:r>
      <w:r w:rsidRPr="00896D4F">
        <w:softHyphen/>
        <w:t>rådet 010306 fick jag beröm vid kaffet, för att jag vågat uttrycka mig i klartext i ett politiskt mycket känsligt ämne.</w:t>
      </w:r>
    </w:p>
    <w:p w:rsidR="009C1C5A" w:rsidRPr="00896D4F" w:rsidRDefault="009C1C5A">
      <w:pPr>
        <w:pStyle w:val="Citatindrag"/>
        <w:rPr>
          <w:sz w:val="20"/>
        </w:rPr>
      </w:pPr>
      <w:r w:rsidRPr="00896D4F">
        <w:t xml:space="preserve">På kvällen var det sammanträde i socialnämnden. Vid mötets början gick andre vice ordf Ingrid Larsson (m) till våldsamt angrepp mot mig, </w:t>
      </w:r>
      <w:r w:rsidRPr="00896D4F">
        <w:rPr>
          <w:i/>
        </w:rPr>
        <w:t>både</w:t>
      </w:r>
      <w:r w:rsidRPr="00896D4F">
        <w:t xml:space="preserve"> med anledning av </w:t>
      </w:r>
      <w:r w:rsidRPr="00896D4F">
        <w:rPr>
          <w:i/>
        </w:rPr>
        <w:t>att</w:t>
      </w:r>
      <w:r w:rsidRPr="00896D4F">
        <w:t xml:space="preserve"> jag uttalat mig och </w:t>
      </w:r>
      <w:r w:rsidRPr="00896D4F">
        <w:rPr>
          <w:i/>
        </w:rPr>
        <w:t>vad</w:t>
      </w:r>
      <w:r w:rsidRPr="00896D4F">
        <w:t xml:space="preserve"> jag framfört i intervjun. Hon fick medhåll av en del andra ledamöter i nämnden, medan dess ordf och socialch</w:t>
      </w:r>
      <w:r w:rsidRPr="00896D4F">
        <w:t>e</w:t>
      </w:r>
      <w:r w:rsidRPr="00896D4F">
        <w:t>fen försökte klargöra rätten för kommunens anställda att meddela sig offen</w:t>
      </w:r>
      <w:r w:rsidRPr="00896D4F">
        <w:t>t</w:t>
      </w:r>
      <w:r w:rsidRPr="00896D4F">
        <w:t>ligt. Jag blev till slut tvungen att åberopa grundlagen för att få ett slut på det hela. Dagen därpå utsattes jag för ett nytt angrepp med anledning av artikeln, den här gången av moderatledaren Bengt Svensson, som gick ut i NST. Han ifrågasatte min befattning, vilket av naturl</w:t>
      </w:r>
      <w:r w:rsidRPr="00896D4F">
        <w:t>iga skäl inte har något att göra med min yttrande- och meddelarfrihet. Hans agerande förstärkte i stället intrycket av att tjänste</w:t>
      </w:r>
      <w:r w:rsidRPr="00896D4F">
        <w:softHyphen/>
        <w:t>männen i Klippans kommun bör vara mycket försiktiga med vad de fra</w:t>
      </w:r>
      <w:r w:rsidRPr="00896D4F">
        <w:t>m</w:t>
      </w:r>
      <w:r w:rsidRPr="00896D4F">
        <w:t>för offentligt.</w:t>
      </w:r>
    </w:p>
    <w:p w:rsidR="009C1C5A" w:rsidRPr="00896D4F" w:rsidRDefault="009C1C5A">
      <w:pPr>
        <w:pStyle w:val="Citatindrag"/>
      </w:pPr>
      <w:r w:rsidRPr="00896D4F">
        <w:t>Ordf i den största pensionärsföreningen, PRO, lämnade emellertid sin syn på saken i en ny artikel i NST. Hans stöd för min uppfattning om hur sjukh</w:t>
      </w:r>
      <w:r w:rsidRPr="00896D4F">
        <w:t>u</w:t>
      </w:r>
      <w:r w:rsidRPr="00896D4F">
        <w:t xml:space="preserve">sen hanterar utskrivningarna av gamla och sjuka ledde till att det politiska drevet mot mig omedelbart avstannade, förmodligen beroende på att omkring var tredje väljare i kommunen är pensionär. Det har nu gått en månad sen den här ovan relaterade händelsen inträffade, men olustkänslan sitter kvar som om det vore igår. Min JO-anmälan gäller i första hand politikern Ingrid Larsson. </w:t>
      </w:r>
    </w:p>
    <w:p w:rsidR="009C1C5A" w:rsidRPr="00896D4F" w:rsidRDefault="009C1C5A">
      <w:pPr>
        <w:pStyle w:val="Citat"/>
      </w:pPr>
      <w:r w:rsidRPr="00896D4F">
        <w:t>– – –</w:t>
      </w:r>
    </w:p>
    <w:p w:rsidR="009C1C5A" w:rsidRPr="00896D4F" w:rsidRDefault="009C1C5A">
      <w:pPr>
        <w:rPr>
          <w:b/>
        </w:rPr>
      </w:pPr>
      <w:r w:rsidRPr="00896D4F">
        <w:t>Ulf Beskow bifogade kopior av den ifrågavarande tidningsartikeln och vissa andra artiklar. Han inkom även med ko</w:t>
      </w:r>
      <w:r w:rsidRPr="00896D4F">
        <w:t>m</w:t>
      </w:r>
      <w:r w:rsidRPr="00896D4F">
        <w:t xml:space="preserve">pletterande skrivelser. </w:t>
      </w:r>
    </w:p>
    <w:p w:rsidR="009C1C5A" w:rsidRPr="00896D4F" w:rsidRDefault="009C1C5A">
      <w:pPr>
        <w:pStyle w:val="Rubrik3"/>
      </w:pPr>
      <w:r w:rsidRPr="00896D4F">
        <w:t>Utredning</w:t>
      </w:r>
    </w:p>
    <w:p w:rsidR="009C1C5A" w:rsidRPr="00896D4F" w:rsidRDefault="009C1C5A">
      <w:r w:rsidRPr="00896D4F">
        <w:t>Protokollet från Socialnämndens i Klippans kommun sammanträde den 6 mars 2001 infordrades och granskades. Den del av protokollet som är av intresse här har följande lydelse (Sn § 26).</w:t>
      </w:r>
    </w:p>
    <w:p w:rsidR="009C1C5A" w:rsidRPr="00896D4F" w:rsidRDefault="009C1C5A">
      <w:pPr>
        <w:rPr>
          <w:sz w:val="20"/>
        </w:rPr>
      </w:pPr>
      <w:r w:rsidRPr="00896D4F">
        <w:t>– – –</w:t>
      </w:r>
    </w:p>
    <w:p w:rsidR="009C1C5A" w:rsidRPr="00896D4F" w:rsidRDefault="009C1C5A">
      <w:pPr>
        <w:pStyle w:val="Citat"/>
        <w:rPr>
          <w:sz w:val="20"/>
        </w:rPr>
      </w:pPr>
      <w:r w:rsidRPr="00896D4F">
        <w:rPr>
          <w:i/>
        </w:rPr>
        <w:t>Ingrid Larsson</w:t>
      </w:r>
      <w:r w:rsidRPr="00896D4F">
        <w:t xml:space="preserve"> har läst en tidningsartikel om äldreomsorgen (handlade om att sjuka äldre skrivs ut för tidigt från sjukhus) och hyste oro för hur brukarna och deras anhöriga skulle uppfatta innehållet i artikeln. </w:t>
      </w:r>
      <w:r w:rsidRPr="00896D4F">
        <w:rPr>
          <w:i/>
        </w:rPr>
        <w:t>Ingrid Larsson</w:t>
      </w:r>
      <w:r w:rsidRPr="00896D4F">
        <w:t xml:space="preserve"> undrar med anledning av denna artikel ”hur många som hade dött i bilar </w:t>
      </w:r>
      <w:r w:rsidRPr="00896D4F">
        <w:rPr>
          <w:sz w:val="20"/>
        </w:rPr>
        <w:t>här i ko</w:t>
      </w:r>
      <w:r w:rsidRPr="00896D4F">
        <w:rPr>
          <w:sz w:val="20"/>
        </w:rPr>
        <w:t>m</w:t>
      </w:r>
      <w:r w:rsidRPr="00896D4F">
        <w:rPr>
          <w:sz w:val="20"/>
        </w:rPr>
        <w:t xml:space="preserve">munen”. </w:t>
      </w:r>
      <w:r w:rsidRPr="00896D4F">
        <w:rPr>
          <w:i/>
          <w:sz w:val="20"/>
        </w:rPr>
        <w:t>Ulf Beskow</w:t>
      </w:r>
      <w:r w:rsidRPr="00896D4F">
        <w:rPr>
          <w:sz w:val="20"/>
        </w:rPr>
        <w:t xml:space="preserve"> svarade direkt att det har ingen gjort i vår kommun. Fortsättningsvis önskade </w:t>
      </w:r>
      <w:r w:rsidRPr="00896D4F">
        <w:rPr>
          <w:i/>
          <w:sz w:val="20"/>
        </w:rPr>
        <w:t>Ingrid Larsson</w:t>
      </w:r>
      <w:r w:rsidRPr="00896D4F">
        <w:rPr>
          <w:sz w:val="20"/>
        </w:rPr>
        <w:t xml:space="preserve"> att vid något särskilt tillfälle få information om delegationsordningen.</w:t>
      </w:r>
    </w:p>
    <w:p w:rsidR="009C1C5A" w:rsidRPr="00896D4F" w:rsidRDefault="009C1C5A">
      <w:pPr>
        <w:pStyle w:val="Citat"/>
      </w:pPr>
      <w:r w:rsidRPr="00896D4F">
        <w:t>Socialnämnden beslutar att notera</w:t>
      </w:r>
      <w:r w:rsidRPr="00896D4F">
        <w:t xml:space="preserve"> informationen</w:t>
      </w:r>
    </w:p>
    <w:p w:rsidR="009C1C5A" w:rsidRPr="00896D4F" w:rsidRDefault="009C1C5A">
      <w:r w:rsidRPr="00896D4F">
        <w:t>Därefter anmodades Socialnämnden i Klippans kommun att göra en utredning och inkomma med yttrande såvitt avsåg den del av anmälan som riktade sig mot Ingrid Larsson. Vid sammanträde den 5 juni 2001 beslutade socialnäm</w:t>
      </w:r>
      <w:r w:rsidRPr="00896D4F">
        <w:t>n</w:t>
      </w:r>
      <w:r w:rsidRPr="00896D4F">
        <w:t>den om remissvar enligt följande (Sn § 76).</w:t>
      </w:r>
    </w:p>
    <w:p w:rsidR="009C1C5A" w:rsidRPr="00896D4F" w:rsidRDefault="009C1C5A">
      <w:pPr>
        <w:pStyle w:val="Citat"/>
        <w:rPr>
          <w:sz w:val="20"/>
        </w:rPr>
      </w:pPr>
      <w:r w:rsidRPr="00896D4F">
        <w:t>Eva Petersen yrkar på följande yttrande; Socialnämnden kan efter utredning konstatera att Ingrid Larsson vid nämndens sammanträde gjort uttalande vari hon uttryckte sin oro för att Klippans invånare fått en felaktig information då hon ansåg att Beskows uttalande givit upphov till obefogad oro bland bruka</w:t>
      </w:r>
      <w:r w:rsidRPr="00896D4F">
        <w:t>r</w:t>
      </w:r>
      <w:r w:rsidRPr="00896D4F">
        <w:t>na. Ordförande m fl ställer sig bakom yrkandet.</w:t>
      </w:r>
    </w:p>
    <w:p w:rsidR="009C1C5A" w:rsidRPr="00896D4F" w:rsidRDefault="009C1C5A">
      <w:pPr>
        <w:pStyle w:val="Citatindrag"/>
      </w:pPr>
      <w:r w:rsidRPr="00896D4F">
        <w:t>Pehr Erlandsson yrkar på följande yttrande; Socialnämnden kan efter u</w:t>
      </w:r>
      <w:r w:rsidRPr="00896D4F">
        <w:t>t</w:t>
      </w:r>
      <w:r w:rsidRPr="00896D4F">
        <w:t xml:space="preserve">redning konstatera att Ingrid Larsson vid socialnämndens sammanträde inte gjort uttalande som torde kunna tolkas som </w:t>
      </w:r>
      <w:r w:rsidRPr="00896D4F">
        <w:rPr>
          <w:i/>
        </w:rPr>
        <w:t>angrepp</w:t>
      </w:r>
      <w:r w:rsidRPr="00896D4F">
        <w:t xml:space="preserve"> på någon tjän</w:t>
      </w:r>
      <w:r w:rsidRPr="00896D4F">
        <w:t>s</w:t>
      </w:r>
      <w:r w:rsidRPr="00896D4F">
        <w:t>teman.</w:t>
      </w:r>
    </w:p>
    <w:p w:rsidR="009C1C5A" w:rsidRPr="00896D4F" w:rsidRDefault="009C1C5A">
      <w:pPr>
        <w:pStyle w:val="Citatindrag"/>
      </w:pPr>
      <w:r w:rsidRPr="00896D4F">
        <w:t>Ordförande yrkar avslag på begäran. Ordförande ställer proposition på fö</w:t>
      </w:r>
      <w:r w:rsidRPr="00896D4F">
        <w:t>r</w:t>
      </w:r>
      <w:r w:rsidRPr="00896D4F">
        <w:t>slagen och finner att socialnämnden beslutar i enlighet med Eva Petersens förslag.</w:t>
      </w:r>
    </w:p>
    <w:p w:rsidR="009C1C5A" w:rsidRPr="00896D4F" w:rsidRDefault="009C1C5A">
      <w:pPr>
        <w:pStyle w:val="Citatindrag"/>
        <w:rPr>
          <w:sz w:val="20"/>
        </w:rPr>
      </w:pPr>
      <w:r w:rsidRPr="00896D4F">
        <w:t>Pehr Erlandsson reserverar sig till förmån för eget förslag.</w:t>
      </w:r>
    </w:p>
    <w:p w:rsidR="009C1C5A" w:rsidRPr="00896D4F" w:rsidRDefault="009C1C5A">
      <w:pPr>
        <w:pStyle w:val="Citatindrag"/>
        <w:rPr>
          <w:sz w:val="20"/>
        </w:rPr>
      </w:pPr>
      <w:r w:rsidRPr="00896D4F">
        <w:t>Socialnämnden beslutar</w:t>
      </w:r>
    </w:p>
    <w:p w:rsidR="009C1C5A" w:rsidRPr="00896D4F" w:rsidRDefault="009C1C5A">
      <w:pPr>
        <w:pStyle w:val="Citatindrag"/>
        <w:rPr>
          <w:sz w:val="20"/>
        </w:rPr>
      </w:pPr>
      <w:r w:rsidRPr="00896D4F">
        <w:t xml:space="preserve">att avge följande utredning och yttrande till Riksdagens ombudsman JO </w:t>
      </w:r>
      <w:r w:rsidRPr="00896D4F">
        <w:br/>
        <w:t>– – –</w:t>
      </w:r>
    </w:p>
    <w:p w:rsidR="009C1C5A" w:rsidRPr="00896D4F" w:rsidRDefault="009C1C5A">
      <w:pPr>
        <w:pStyle w:val="Citat"/>
      </w:pPr>
      <w:r w:rsidRPr="00896D4F">
        <w:t>Socialnämnden kan efter utredning konstatera att Ingrid Larsson vid näm</w:t>
      </w:r>
      <w:r w:rsidRPr="00896D4F">
        <w:t>n</w:t>
      </w:r>
      <w:r w:rsidRPr="00896D4F">
        <w:t>dens sammanträde gjort uttalande vari hon uttryckte sin oro för att Klippans invånare fått en felaktig information då hon ansåg att Beskows uttalande givit upphov till obefogad oro bland brukarna.</w:t>
      </w:r>
    </w:p>
    <w:p w:rsidR="009C1C5A" w:rsidRPr="00896D4F" w:rsidRDefault="009C1C5A">
      <w:pPr>
        <w:pStyle w:val="Citatindrag"/>
      </w:pPr>
      <w:r w:rsidRPr="00896D4F">
        <w:t>Ingrid Larsson och Ulf Beskow deltog ej i diskussionen eller i besl</w:t>
      </w:r>
      <w:r w:rsidRPr="00896D4F">
        <w:t>u</w:t>
      </w:r>
      <w:r w:rsidRPr="00896D4F">
        <w:t>tet.</w:t>
      </w:r>
    </w:p>
    <w:p w:rsidR="009C1C5A" w:rsidRPr="00896D4F" w:rsidRDefault="009C1C5A">
      <w:r w:rsidRPr="00896D4F">
        <w:t>Ulf Beskow yttrade sig över remissvaret.</w:t>
      </w:r>
    </w:p>
    <w:p w:rsidR="009C1C5A" w:rsidRPr="00896D4F" w:rsidRDefault="009C1C5A">
      <w:r w:rsidRPr="00896D4F">
        <w:t xml:space="preserve">I beslut den 27 september 2001 anförde </w:t>
      </w:r>
      <w:r w:rsidRPr="00896D4F">
        <w:rPr>
          <w:i/>
        </w:rPr>
        <w:t>JO André</w:t>
      </w:r>
      <w:r w:rsidRPr="00896D4F">
        <w:t xml:space="preserve"> följande.</w:t>
      </w:r>
    </w:p>
    <w:p w:rsidR="009C1C5A" w:rsidRPr="00896D4F" w:rsidRDefault="009C1C5A">
      <w:pPr>
        <w:pStyle w:val="Rubrik3"/>
      </w:pPr>
      <w:r w:rsidRPr="00896D4F">
        <w:t>Rättslig reglering</w:t>
      </w:r>
    </w:p>
    <w:p w:rsidR="009C1C5A" w:rsidRPr="00896D4F" w:rsidRDefault="009C1C5A">
      <w:r w:rsidRPr="00896D4F">
        <w:t>I 2 kap. 1 § 1 regeringsformen stadgas att varje medborgare gentemot det all</w:t>
      </w:r>
      <w:r w:rsidRPr="00896D4F">
        <w:softHyphen/>
        <w:t>männa är tillförsäkrad yttrandefrihet, varmed avses frihet att i tal, skrift eller bild eller på annat sätt meddela upplysningar samt uttrycka tankar, åsikter och känslor. Begräns</w:t>
      </w:r>
      <w:r w:rsidRPr="00896D4F">
        <w:softHyphen/>
        <w:t>ning av denna rättighet får enligt 2 kap. 12 § regeringsfo</w:t>
      </w:r>
      <w:r w:rsidRPr="00896D4F">
        <w:t>r</w:t>
      </w:r>
      <w:r w:rsidRPr="00896D4F">
        <w:t>men endast ske genom lag eller, i vissa fall, genom annan författning. Genom tryckfrihetsför</w:t>
      </w:r>
      <w:r w:rsidRPr="00896D4F">
        <w:softHyphen/>
        <w:t>ordningens bestämmelser om meddelarfrihet ges yttrandefr</w:t>
      </w:r>
      <w:r w:rsidRPr="00896D4F">
        <w:t>i</w:t>
      </w:r>
      <w:r w:rsidRPr="00896D4F">
        <w:t>heten till viss del ett särskilt skydd. Meddelarfriheten enligt 1 kap. 1 § andra stycket tryckfrihetsför</w:t>
      </w:r>
      <w:r w:rsidRPr="00896D4F">
        <w:softHyphen/>
        <w:t>ordningen innebär</w:t>
      </w:r>
      <w:r w:rsidRPr="00896D4F">
        <w:t xml:space="preserve"> att det står varje medborgare fritt att – med iakttagande av de bestämmelser som är meddelade i tryckfrihets</w:t>
      </w:r>
      <w:r w:rsidRPr="00896D4F">
        <w:softHyphen/>
        <w:t>förordningen till skydd för enskild rätt och allmän säkerhet – i tryckt skrift yttra sina tankar och åsikter, offentlig</w:t>
      </w:r>
      <w:r w:rsidRPr="00896D4F">
        <w:softHyphen/>
        <w:t>göra allmänna handlingar samt med</w:t>
      </w:r>
      <w:r w:rsidRPr="00896D4F">
        <w:softHyphen/>
        <w:t>dela uppgifter och underrättelser i vad ämne som helst. Meddelarskyddet innebär vidare som huvudregel ett förbud för myndighet eller annat all</w:t>
      </w:r>
      <w:r w:rsidRPr="00896D4F">
        <w:softHyphen/>
        <w:t>mänt organ att efterforska en anonym med</w:t>
      </w:r>
      <w:r w:rsidRPr="00896D4F">
        <w:softHyphen/>
        <w:t>delares identitet (3 kap. 4 § tryckfrihets</w:t>
      </w:r>
      <w:r w:rsidRPr="00896D4F">
        <w:softHyphen/>
        <w:t>för</w:t>
      </w:r>
      <w:r w:rsidRPr="00896D4F">
        <w:softHyphen/>
        <w:t>ord</w:t>
      </w:r>
      <w:r w:rsidRPr="00896D4F">
        <w:softHyphen/>
        <w:t xml:space="preserve">ningen).  </w:t>
      </w:r>
    </w:p>
    <w:p w:rsidR="009C1C5A" w:rsidRPr="00896D4F" w:rsidRDefault="009C1C5A">
      <w:pPr>
        <w:pStyle w:val="Normaltindrag"/>
      </w:pPr>
      <w:r w:rsidRPr="00896D4F">
        <w:t>La</w:t>
      </w:r>
      <w:r w:rsidRPr="00896D4F">
        <w:t>gregleringen ger offentligt anställda samma skydd som alla andra me</w:t>
      </w:r>
      <w:r w:rsidRPr="00896D4F">
        <w:t>d</w:t>
      </w:r>
      <w:r w:rsidRPr="00896D4F">
        <w:t>borgare. En offentligt anställd kan således fritt ge uttryck för sin uppfattning, även rörande den egna myndighetens verksamhet. I sekretesslagen (1980:100) finns emellertid regler som begränsar den offentligt anställdes rätt att yttra sig om vad han fått veta i samband med sin tjänst.</w:t>
      </w:r>
    </w:p>
    <w:p w:rsidR="009C1C5A" w:rsidRPr="00896D4F" w:rsidRDefault="009C1C5A">
      <w:pPr>
        <w:pStyle w:val="Normaltindrag"/>
      </w:pPr>
      <w:r w:rsidRPr="00896D4F">
        <w:t>Det skydd för yttrandefriheten som regeringsformen anger är ett skydd gentemot ”det allmänna”. Det allmänna omfattar t.ex. kommunens valda församlingar och f</w:t>
      </w:r>
      <w:r w:rsidRPr="00896D4F">
        <w:t>örvaltningsorgan. Skyddet innebär att en myndighet inte får ingripa mot någon för att han eller hon har använt sig av sin grundlags</w:t>
      </w:r>
      <w:r w:rsidRPr="00896D4F">
        <w:softHyphen/>
        <w:t>skyddade rätt att yttra sig i mass</w:t>
      </w:r>
      <w:r w:rsidRPr="00896D4F">
        <w:softHyphen/>
        <w:t>medier eller på annat sätt ge uttryck för sin upp</w:t>
      </w:r>
      <w:r w:rsidRPr="00896D4F">
        <w:softHyphen/>
        <w:t>fattning. En myndighet får inte heller försöka motarbeta att den anställde använder sig av sina rättigheter. En arbetsgivare får således inte genom gen</w:t>
      </w:r>
      <w:r w:rsidRPr="00896D4F">
        <w:t>e</w:t>
      </w:r>
      <w:r w:rsidRPr="00896D4F">
        <w:t>rella uttalanden eller genom kritik i enskilda fall söka påverka arbetstagaren i fråga om det sätt på vilket denne utnyttjar sin yttrandefrihet</w:t>
      </w:r>
      <w:r w:rsidRPr="00896D4F">
        <w:t>. Undantag gäller bara för det fall ingripandet har stöd i lag. Detta hindrar emellertid inte en myndighet från att bemöta sådana påståenden som myndigheten anser vara felaktiga eller vilseledande. Ett sådant bemötande kan t.ex. ske i samma f</w:t>
      </w:r>
      <w:r w:rsidRPr="00896D4F">
        <w:t>o</w:t>
      </w:r>
      <w:r w:rsidRPr="00896D4F">
        <w:t>rum som den anställde har använt.</w:t>
      </w:r>
    </w:p>
    <w:p w:rsidR="009C1C5A" w:rsidRPr="00896D4F" w:rsidRDefault="009C1C5A">
      <w:pPr>
        <w:pStyle w:val="Rubrik3"/>
      </w:pPr>
      <w:r w:rsidRPr="00896D4F">
        <w:t>Bedömning</w:t>
      </w:r>
    </w:p>
    <w:p w:rsidR="009C1C5A" w:rsidRPr="00896D4F" w:rsidRDefault="009C1C5A">
      <w:r w:rsidRPr="00896D4F">
        <w:t>Såvitt utredningen hos JO visar har socialnämnden och Ulf Beskow olika uppfatt</w:t>
      </w:r>
      <w:r w:rsidRPr="00896D4F">
        <w:softHyphen/>
        <w:t>ningar om Ingrid Larssons yttrande vid sammanträdet den 6 mars 2001. Enligt social</w:t>
      </w:r>
      <w:r w:rsidRPr="00896D4F">
        <w:softHyphen/>
        <w:t>nämnden gjorde Ingrid Larsson uttalanden vari hon u</w:t>
      </w:r>
      <w:r w:rsidRPr="00896D4F">
        <w:t>t</w:t>
      </w:r>
      <w:r w:rsidRPr="00896D4F">
        <w:t>tryckte sin oro för att Klippans invånare hade fått felaktig information. Hon ansåg, enligt social</w:t>
      </w:r>
      <w:r w:rsidRPr="00896D4F">
        <w:softHyphen/>
        <w:t>nämnden, att Ulf Beskows ut</w:t>
      </w:r>
      <w:r w:rsidRPr="00896D4F">
        <w:softHyphen/>
        <w:t>talanden hade gett upphov till obefogad oro bland brukarna. Ulf Beskow har å sin sida anfört att Ingrid Larsson gick till våldsamt angrepp mot honom. Anledningen till hennes ag</w:t>
      </w:r>
      <w:r w:rsidRPr="00896D4F">
        <w:t>e</w:t>
      </w:r>
      <w:r w:rsidRPr="00896D4F">
        <w:t>rande var, enligt Ulf Beskow, inte bara inne</w:t>
      </w:r>
      <w:r w:rsidRPr="00896D4F">
        <w:softHyphen/>
        <w:t>hållet i hans uttalande, ut</w:t>
      </w:r>
      <w:r w:rsidRPr="00896D4F">
        <w:t>an även att han över huvud taget hade uttalat sig. Ulf Beskow har i en komplettering till anmälan också gjort gäl</w:t>
      </w:r>
      <w:r w:rsidRPr="00896D4F">
        <w:softHyphen/>
        <w:t>lande att Ingrid Larsson ifrågasatte hans rätt att yttra sig i massmedia.</w:t>
      </w:r>
    </w:p>
    <w:p w:rsidR="009C1C5A" w:rsidRPr="00896D4F" w:rsidRDefault="009C1C5A">
      <w:pPr>
        <w:pStyle w:val="Normaltindrag"/>
      </w:pPr>
      <w:r w:rsidRPr="00896D4F">
        <w:t>Såväl Ulf Beskow som de ledamöter som beslutade om socialnämndens remissvar till JO (med undantag för Ingrid Larsson) deltog vid sammanträdet den 6 mars 2001. Vad som har framkommit i ärendet har ändå inte gett mig tillräckligt under</w:t>
      </w:r>
      <w:r w:rsidRPr="00896D4F">
        <w:softHyphen/>
        <w:t>lag för att jag skall bilda mig en klar uppfattning om Ingrid Larssons uttalande  och agerande i övrigt vid sammanträdet. Det är inte heller sanno</w:t>
      </w:r>
      <w:r w:rsidRPr="00896D4F">
        <w:softHyphen/>
        <w:t>likt att vidare utred</w:t>
      </w:r>
      <w:r w:rsidRPr="00896D4F">
        <w:softHyphen/>
      </w:r>
      <w:r w:rsidRPr="00896D4F">
        <w:softHyphen/>
        <w:t>ning skulle bringa fullständig klar</w:t>
      </w:r>
      <w:r w:rsidRPr="00896D4F">
        <w:softHyphen/>
        <w:t>het i saken. Jag finner därför inte skäl att vidta någon ytter</w:t>
      </w:r>
      <w:r w:rsidRPr="00896D4F">
        <w:softHyphen/>
        <w:t>ligare åtgärd i anled</w:t>
      </w:r>
      <w:r w:rsidRPr="00896D4F">
        <w:softHyphen/>
        <w:t>ning av klag</w:t>
      </w:r>
      <w:r w:rsidRPr="00896D4F">
        <w:t>o</w:t>
      </w:r>
      <w:r w:rsidRPr="00896D4F">
        <w:t>målen mot Ingrid Larsson. Rent allmänt vill jag dock tillägga att försiktighet alltid är påkallad när en socialnämnd med en anställd diskuterar frågor som har anknytning till vad denne har uttalat i massmedi</w:t>
      </w:r>
      <w:r w:rsidRPr="00896D4F">
        <w:t>a. En sådan fråga får inte tas upp på sådant sätt att den anställde upp</w:t>
      </w:r>
      <w:r w:rsidRPr="00896D4F">
        <w:softHyphen/>
        <w:t xml:space="preserve">fattar det som en kränkning av dennes yttrande- och meddelarfrihet. </w:t>
      </w:r>
    </w:p>
    <w:p w:rsidR="009C1C5A" w:rsidRPr="00896D4F" w:rsidRDefault="009C1C5A">
      <w:r w:rsidRPr="00896D4F">
        <w:t>Vad Ulf Beskow har anfört i övrigt föranleder inte någon åtgärd eller något uttalande från min sida.</w:t>
      </w:r>
    </w:p>
    <w:p w:rsidR="009C1C5A" w:rsidRPr="00896D4F" w:rsidRDefault="009C1C5A">
      <w:r w:rsidRPr="00896D4F">
        <w:t>Ärendet avslutas.</w:t>
      </w:r>
    </w:p>
    <w:p w:rsidR="009C1C5A" w:rsidRPr="00896D4F" w:rsidRDefault="009C1C5A">
      <w:pPr>
        <w:pStyle w:val="Rubrik2"/>
      </w:pPr>
      <w:r w:rsidRPr="00896D4F">
        <w:t>Handläggningen av en begäran om att få en kopia av patientjournal som tidvis varit försvunnen och slutligen förkommit, m.m.</w:t>
      </w:r>
    </w:p>
    <w:p w:rsidR="009C1C5A" w:rsidRPr="00896D4F" w:rsidRDefault="009C1C5A">
      <w:pPr>
        <w:spacing w:before="0"/>
      </w:pPr>
      <w:r w:rsidRPr="00896D4F">
        <w:t>(Dnr 3141-2000)</w:t>
      </w:r>
    </w:p>
    <w:p w:rsidR="009C1C5A" w:rsidRPr="00896D4F" w:rsidRDefault="009C1C5A">
      <w:pPr>
        <w:pStyle w:val="Rubrik3"/>
      </w:pPr>
      <w:r w:rsidRPr="00896D4F">
        <w:t>Anmälan</w:t>
      </w:r>
    </w:p>
    <w:p w:rsidR="009C1C5A" w:rsidRPr="00896D4F" w:rsidRDefault="009C1C5A">
      <w:r w:rsidRPr="00896D4F">
        <w:t>I en anmälan till JO framförde U.S. klagomål mot Norrrlands Universitet</w:t>
      </w:r>
      <w:r w:rsidRPr="00896D4F">
        <w:t>s</w:t>
      </w:r>
      <w:r w:rsidRPr="00896D4F">
        <w:t>sjukhus handläggning av K.S:s begäran om att få kopia av sin patientjournal. I anmälan anfördes i huvudsak följande. Efter en olycka år 1999 har K.S. r</w:t>
      </w:r>
      <w:r w:rsidRPr="00896D4F">
        <w:t>e</w:t>
      </w:r>
      <w:r w:rsidRPr="00896D4F">
        <w:t>gelbundet besökt sjukhuset för behandling. Hennes försäkringsbolag krävde en skadeanmälan för att betala ut den ersättning, som hon var berättigad till, och denna anmälan grundas på uppgifter ur patientjournalen. Vid ett återb</w:t>
      </w:r>
      <w:r w:rsidRPr="00896D4F">
        <w:t>e</w:t>
      </w:r>
      <w:r w:rsidRPr="00896D4F">
        <w:t>sök hos dr Svarvar den 29 maj 2000 begärde K.S. muntligen att få en kopia av samtliga journalanteckningar rörande sin person. Begära</w:t>
      </w:r>
      <w:r w:rsidRPr="00896D4F">
        <w:t>n avslogs med fö</w:t>
      </w:r>
      <w:r w:rsidRPr="00896D4F">
        <w:t>r</w:t>
      </w:r>
      <w:r w:rsidRPr="00896D4F">
        <w:t xml:space="preserve">klaringen att delar av journalen var försvunna och att hon därför inte kunde få en kopia. Den 5 juni 2000 framställde K.S. en skriftlig begäran via fax som inte besvarades. Den 15 juni 2000 var hon på återbesök hos samma läkare och framförde även denna gång en begäran om att få journalkopia och fick då till svar att journalen inte kunde kopieras eftersom det fattades sidor i den. Den 25 juli 2000 besökte K.S. dr Jansson och framförde återigen sin begäran. Journalen var då försvunnen vilket </w:t>
      </w:r>
      <w:r w:rsidRPr="00896D4F">
        <w:t>även ledde till att någon undersökning inte kunde genomföras eftersom läkaren inte hade någon journal att läsa ur. Vid ytterligare ett tillfälle, den 1 augusti 2000, begärde K.S. per telefon att få kopia av journalen. Den sköterska som hon talade med lämnade besked om att journalen var komplett. Den sista kontakten med kliniken hade K.S. den 22 augusti 2000 då hon via telefon frågade en sköterska varför de inte hade skickat skadeanmälan till försäkringsbolaget som utlovat samt påminde om sin egen begäran. H</w:t>
      </w:r>
      <w:r w:rsidRPr="00896D4F">
        <w:t>on fick till svar att journalen återigen var försvunnen. U.S. har även ifrågasatt om hanteringen av K.S:s journal följer reglerna i patien</w:t>
      </w:r>
      <w:r w:rsidRPr="00896D4F">
        <w:t>t</w:t>
      </w:r>
      <w:r w:rsidRPr="00896D4F">
        <w:t>journallagen samt om förutsättningarna för tjänstefel är uppfyllda.</w:t>
      </w:r>
    </w:p>
    <w:p w:rsidR="009C1C5A" w:rsidRPr="00896D4F" w:rsidRDefault="009C1C5A">
      <w:pPr>
        <w:pStyle w:val="Rubrik3"/>
      </w:pPr>
      <w:r w:rsidRPr="00896D4F">
        <w:t>Utredning</w:t>
      </w:r>
    </w:p>
    <w:p w:rsidR="009C1C5A" w:rsidRPr="00896D4F" w:rsidRDefault="009C1C5A">
      <w:r w:rsidRPr="00896D4F">
        <w:t>Anmälan remitterades till Landstinget i Västerbottens län, Hälso- och sju</w:t>
      </w:r>
      <w:r w:rsidRPr="00896D4F">
        <w:t>k</w:t>
      </w:r>
      <w:r w:rsidRPr="00896D4F">
        <w:t>vårds</w:t>
      </w:r>
      <w:r w:rsidRPr="00896D4F">
        <w:softHyphen/>
        <w:t>nämnden för Umeå sjukvårdsdistrikt, för utredning och yttrande. Land</w:t>
      </w:r>
      <w:r w:rsidRPr="00896D4F">
        <w:t>s</w:t>
      </w:r>
      <w:r w:rsidRPr="00896D4F">
        <w:t>tings</w:t>
      </w:r>
      <w:r w:rsidRPr="00896D4F">
        <w:softHyphen/>
        <w:t xml:space="preserve">styrelsens arbetsutskott anförde i remissvar bl.a. följande. </w:t>
      </w:r>
    </w:p>
    <w:p w:rsidR="009C1C5A" w:rsidRPr="00896D4F" w:rsidRDefault="009C1C5A">
      <w:r w:rsidRPr="00896D4F">
        <w:t>– – –</w:t>
      </w:r>
    </w:p>
    <w:p w:rsidR="009C1C5A" w:rsidRPr="00896D4F" w:rsidRDefault="009C1C5A">
      <w:pPr>
        <w:pStyle w:val="Rubrik6"/>
        <w:spacing w:before="125"/>
      </w:pPr>
      <w:r w:rsidRPr="00896D4F">
        <w:t>Utredningen</w:t>
      </w:r>
    </w:p>
    <w:p w:rsidR="009C1C5A" w:rsidRPr="00896D4F" w:rsidRDefault="009C1C5A">
      <w:pPr>
        <w:pStyle w:val="Citat"/>
      </w:pPr>
      <w:r w:rsidRPr="00896D4F">
        <w:t xml:space="preserve">Enligt sökanden framställdes en begäran om </w:t>
      </w:r>
      <w:r w:rsidRPr="00896D4F">
        <w:rPr>
          <w:i/>
        </w:rPr>
        <w:t xml:space="preserve">kopia av patientjournal </w:t>
      </w:r>
      <w:r w:rsidRPr="00896D4F">
        <w:t>redan den 29 maj 2000. I sjukhusets egen utredning finns något besök inte registr</w:t>
      </w:r>
      <w:r w:rsidRPr="00896D4F">
        <w:t>e</w:t>
      </w:r>
      <w:r w:rsidRPr="00896D4F">
        <w:t xml:space="preserve">rat per detta datum. Det första datum där parternas uppgifter överensstämmer, om ett besök vid vilket en framställan gjorts, är den 25 juli 2000. Däremot är uppgifterna motstridiga vad gäller journalens status vid detta tillfälle. Enligt sökanden var journalen förkommen. Enligt kliniken var journalen tillgänglig denna dag samt även den 31 juli då sökanden dagen före ringt och frågat om </w:t>
      </w:r>
      <w:r w:rsidRPr="00896D4F">
        <w:rPr>
          <w:i/>
        </w:rPr>
        <w:t>intyget till förs</w:t>
      </w:r>
      <w:r w:rsidRPr="00896D4F">
        <w:rPr>
          <w:i/>
        </w:rPr>
        <w:t>äkringsbolaget.</w:t>
      </w:r>
    </w:p>
    <w:p w:rsidR="009C1C5A" w:rsidRPr="00896D4F" w:rsidRDefault="009C1C5A">
      <w:pPr>
        <w:pStyle w:val="Citatindrag"/>
      </w:pPr>
      <w:r w:rsidRPr="00896D4F">
        <w:t>Utredningen ger inte svar på frågan om patientjournalen faktiskt varit fö</w:t>
      </w:r>
      <w:r w:rsidRPr="00896D4F">
        <w:t>r</w:t>
      </w:r>
      <w:r w:rsidRPr="00896D4F">
        <w:t>kommen före den 12 september 2000. Anledning till att journalen inte är tillgänglig den 12 september framgår inte heller. I utredningen finns även olika uppgifter om begäran avsett kopia av journalen eller ett särskilt läka</w:t>
      </w:r>
      <w:r w:rsidRPr="00896D4F">
        <w:t>r</w:t>
      </w:r>
      <w:r w:rsidRPr="00896D4F">
        <w:t>intyg.</w:t>
      </w:r>
    </w:p>
    <w:p w:rsidR="009C1C5A" w:rsidRPr="00896D4F" w:rsidRDefault="009C1C5A">
      <w:pPr>
        <w:pStyle w:val="Citatindrag"/>
        <w:rPr>
          <w:u w:val="single"/>
        </w:rPr>
      </w:pPr>
    </w:p>
    <w:p w:rsidR="009C1C5A" w:rsidRPr="00896D4F" w:rsidRDefault="009C1C5A">
      <w:pPr>
        <w:pStyle w:val="Rubrik6"/>
        <w:spacing w:before="125"/>
      </w:pPr>
      <w:r w:rsidRPr="00896D4F">
        <w:t>Gällande regler</w:t>
      </w:r>
    </w:p>
    <w:p w:rsidR="009C1C5A" w:rsidRPr="00896D4F" w:rsidRDefault="009C1C5A">
      <w:pPr>
        <w:pStyle w:val="Citat"/>
      </w:pPr>
      <w:r w:rsidRPr="00896D4F">
        <w:t xml:space="preserve">Följande kan sägas om vad som generellt gäller i landstinget för utlämnande och hantering av patientjournaler. </w:t>
      </w:r>
    </w:p>
    <w:p w:rsidR="009C1C5A" w:rsidRPr="00896D4F" w:rsidRDefault="009C1C5A">
      <w:pPr>
        <w:pStyle w:val="Citatindrag"/>
      </w:pPr>
      <w:r w:rsidRPr="00896D4F">
        <w:t>En begäran om kopia av allmän handling ska enligt tryckfrihetsförordnin</w:t>
      </w:r>
      <w:r w:rsidRPr="00896D4F">
        <w:t>g</w:t>
      </w:r>
      <w:r w:rsidRPr="00896D4F">
        <w:t>en handläggas skyndsamt. Beslut varigenom myndighet avslagit enskilds begäran att få ta del av handling eller lämnat ut handling med förbehåll får enligt sekretesslagen överklagas av sökanden. Sökanden ska därför underrä</w:t>
      </w:r>
      <w:r w:rsidRPr="00896D4F">
        <w:t>t</w:t>
      </w:r>
      <w:r w:rsidRPr="00896D4F">
        <w:t>tas om att han har rätt att begära att myndigheten fattar beslut i frågan.</w:t>
      </w:r>
    </w:p>
    <w:p w:rsidR="009C1C5A" w:rsidRPr="00896D4F" w:rsidRDefault="009C1C5A">
      <w:pPr>
        <w:pStyle w:val="Citatindrag"/>
      </w:pPr>
      <w:r w:rsidRPr="00896D4F">
        <w:t>Patientjournaler inom Västerbottens läns landsting bevaras enligt huvudr</w:t>
      </w:r>
      <w:r w:rsidRPr="00896D4F">
        <w:t>e</w:t>
      </w:r>
      <w:r w:rsidRPr="00896D4F">
        <w:t>geln för all framtid. Enligt patientjournallagen ska varje journalhandling ha</w:t>
      </w:r>
      <w:r w:rsidRPr="00896D4F">
        <w:t>n</w:t>
      </w:r>
      <w:r w:rsidRPr="00896D4F">
        <w:t>teras och förvaras så att obehöriga inte får tillgång till den. Vidare är en ko</w:t>
      </w:r>
      <w:r w:rsidRPr="00896D4F">
        <w:t>r</w:t>
      </w:r>
      <w:r w:rsidRPr="00896D4F">
        <w:t>rekt hantering av patientjournaler en grundläggande förutsättning för att landstinget skall kunna uppfylla kraven på god vård enligt hälso- och sju</w:t>
      </w:r>
      <w:r w:rsidRPr="00896D4F">
        <w:t>k</w:t>
      </w:r>
      <w:r w:rsidRPr="00896D4F">
        <w:t>vårdslagen.</w:t>
      </w:r>
    </w:p>
    <w:p w:rsidR="009C1C5A" w:rsidRPr="00896D4F" w:rsidRDefault="009C1C5A">
      <w:pPr>
        <w:pStyle w:val="Citatindrag"/>
      </w:pPr>
      <w:r w:rsidRPr="00896D4F">
        <w:t>Inom landstinget pågår införande av datoriserad patientjournal. Vid hand- och plastikkirurgen infördes den datoriserade patientjournalen för de nya journaler som upprättas i april detta år (200</w:t>
      </w:r>
      <w:r w:rsidRPr="00896D4F">
        <w:t>0; JO:s anmärkning).</w:t>
      </w:r>
    </w:p>
    <w:p w:rsidR="009C1C5A" w:rsidRPr="00896D4F" w:rsidRDefault="009C1C5A">
      <w:pPr>
        <w:pStyle w:val="Citatindrag"/>
      </w:pPr>
      <w:r w:rsidRPr="00896D4F">
        <w:t>Information om gällande regler ges kontinuerligt i många olika samma</w:t>
      </w:r>
      <w:r w:rsidRPr="00896D4F">
        <w:t>n</w:t>
      </w:r>
      <w:r w:rsidRPr="00896D4F">
        <w:t>hang för att säkerställa personalens kunskaper och rutiner för att förebygga felaktig handläggning och att patientjournaler förkommer. Som ett exempel har sjukvården i länet under lång följd av år haft tillgång till skriften ”Sekretess i vården”. Skriften, som uppdateras regelbundet, är en samma</w:t>
      </w:r>
      <w:r w:rsidRPr="00896D4F">
        <w:t>n</w:t>
      </w:r>
      <w:r w:rsidRPr="00896D4F">
        <w:t>ställning av gällande regler om bl a hantering av allmänna handlingar i sju</w:t>
      </w:r>
      <w:r w:rsidRPr="00896D4F">
        <w:t>k</w:t>
      </w:r>
      <w:r w:rsidRPr="00896D4F">
        <w:t>vården. Den har tagits fram inom Västerbottens läns land</w:t>
      </w:r>
      <w:r w:rsidRPr="00896D4F">
        <w:t>s</w:t>
      </w:r>
      <w:r w:rsidRPr="00896D4F">
        <w:t>ting.</w:t>
      </w:r>
    </w:p>
    <w:p w:rsidR="009C1C5A" w:rsidRPr="00896D4F" w:rsidRDefault="009C1C5A">
      <w:pPr>
        <w:pStyle w:val="Rubrik6"/>
      </w:pPr>
      <w:r w:rsidRPr="00896D4F">
        <w:t>Slutsatser</w:t>
      </w:r>
    </w:p>
    <w:p w:rsidR="009C1C5A" w:rsidRPr="00896D4F" w:rsidRDefault="009C1C5A">
      <w:pPr>
        <w:pStyle w:val="Citat"/>
      </w:pPr>
      <w:r w:rsidRPr="00896D4F">
        <w:t>Landstinget kan för närvarande, mot bakgrund av föreliggande uppgifter i anmälan och utredning, inte uttala sig i ansvarsfrågan. Det finns dock tecken på att handläggningstiden varit alltför lång. Det är i strid mot gällande regler om förvaring att en journal inte är tillgänglig.</w:t>
      </w:r>
    </w:p>
    <w:p w:rsidR="009C1C5A" w:rsidRPr="00896D4F" w:rsidRDefault="009C1C5A">
      <w:pPr>
        <w:pStyle w:val="Citatindrag"/>
      </w:pPr>
      <w:r w:rsidRPr="00896D4F">
        <w:t>De aktuella reglerna är väl kända i sjukvårdsförvaltningarna och det borde därför finnas förutsättningar att klara lagstiftningens krav.</w:t>
      </w:r>
    </w:p>
    <w:p w:rsidR="009C1C5A" w:rsidRPr="00896D4F" w:rsidRDefault="009C1C5A">
      <w:pPr>
        <w:pStyle w:val="Citatindrag"/>
      </w:pPr>
      <w:r w:rsidRPr="00896D4F">
        <w:t>Vad gäller den nu aktuella händelsen har journalen eftersökts under flera månader. Umeå sjukvård genomför nu en genomgång av samtliga vid klin</w:t>
      </w:r>
      <w:r w:rsidRPr="00896D4F">
        <w:t>i</w:t>
      </w:r>
      <w:r w:rsidRPr="00896D4F">
        <w:t>ken arkiverade patientjournaler. Hittills har denna genomgång, som inte a</w:t>
      </w:r>
      <w:r w:rsidRPr="00896D4F">
        <w:t>v</w:t>
      </w:r>
      <w:r w:rsidRPr="00896D4F">
        <w:t>slutats, inneburit att journalen ännu inte återfunnits. Umeå sjukvård kommer så långt som det är möjligt säkerställa att den berörda patienten inte utsätts för ytterligare problem pga av den försvunna journalen. Patienten kommer att erbjudas nytt mottagningsbesök för att genomgå nödvändig undersökning för utfärdande av intyg. Om patienten, oavsett orsak, inte vill besöka kliniken i Umeå, kommer Umeå Sjukvård erbjuda remiss till annan</w:t>
      </w:r>
      <w:r w:rsidRPr="00896D4F">
        <w:t xml:space="preserve"> klinik med motsv</w:t>
      </w:r>
      <w:r w:rsidRPr="00896D4F">
        <w:t>a</w:t>
      </w:r>
      <w:r w:rsidRPr="00896D4F">
        <w:t>rande kompetens.</w:t>
      </w:r>
    </w:p>
    <w:p w:rsidR="009C1C5A" w:rsidRPr="00896D4F" w:rsidRDefault="009C1C5A">
      <w:r w:rsidRPr="00896D4F">
        <w:t>Som bilaga till remissvaret hade fogats en utredning verkställd av verksa</w:t>
      </w:r>
      <w:r w:rsidRPr="00896D4F">
        <w:t>m</w:t>
      </w:r>
      <w:r w:rsidRPr="00896D4F">
        <w:t>hets</w:t>
      </w:r>
      <w:r w:rsidRPr="00896D4F">
        <w:softHyphen/>
        <w:t>chefen vid hand- och plastikkirurgiska kliniken, Inger Mossberg. I denna skrivelse uppgav Inger Mossberg bl.a. följande.</w:t>
      </w:r>
    </w:p>
    <w:p w:rsidR="009C1C5A" w:rsidRPr="00896D4F" w:rsidRDefault="009C1C5A">
      <w:r w:rsidRPr="00896D4F">
        <w:t>– – –</w:t>
      </w:r>
    </w:p>
    <w:p w:rsidR="009C1C5A" w:rsidRPr="00896D4F" w:rsidRDefault="009C1C5A">
      <w:pPr>
        <w:pStyle w:val="Citat"/>
      </w:pPr>
      <w:r w:rsidRPr="00896D4F">
        <w:t>Den 6/4 2000 finns ett registrerat återbesök hos oss. Vi införde datajournal 2000-04-11 varför de två följande journalanteckningarna finns dokumenter</w:t>
      </w:r>
      <w:r w:rsidRPr="00896D4F">
        <w:t>a</w:t>
      </w:r>
      <w:r w:rsidRPr="00896D4F">
        <w:t>de i vårt datasystem.</w:t>
      </w:r>
    </w:p>
    <w:p w:rsidR="009C1C5A" w:rsidRPr="00896D4F" w:rsidRDefault="009C1C5A">
      <w:pPr>
        <w:pStyle w:val="Citatindrag"/>
      </w:pPr>
      <w:r w:rsidRPr="00896D4F">
        <w:t>K.S. kom till vår mottagning 00-07-25. Sannolikt fanns journalen till hands då även om någon sammanfattning av pappersjournalen ej gjordes. Läkarse</w:t>
      </w:r>
      <w:r w:rsidRPr="00896D4F">
        <w:t>k</w:t>
      </w:r>
      <w:r w:rsidRPr="00896D4F">
        <w:t>reterare Eva-Mari Hellgren rapporterar också att hon hade hittat journalen denna dag och lämnat den till Dr Jansson som träffade patie</w:t>
      </w:r>
      <w:r w:rsidRPr="00896D4F">
        <w:t>n</w:t>
      </w:r>
      <w:r w:rsidRPr="00896D4F">
        <w:t>ten.</w:t>
      </w:r>
    </w:p>
    <w:p w:rsidR="009C1C5A" w:rsidRPr="00896D4F" w:rsidRDefault="009C1C5A">
      <w:pPr>
        <w:pStyle w:val="Citatindrag"/>
      </w:pPr>
      <w:r w:rsidRPr="00896D4F">
        <w:t>K.S. ringde 2000-07-30 för att fråga om intyget till försäkringsbolaget. L</w:t>
      </w:r>
      <w:r w:rsidRPr="00896D4F">
        <w:t>ä</w:t>
      </w:r>
      <w:r w:rsidRPr="00896D4F">
        <w:t>karsekreterare Eva-Mari Hellgren fann då journalen i Dr Svarvars låda för diktering och antecknade detta den 31/7 på utlåningsmappen. Någon annan anteckning om vidare utlåning finns inte. 00-09-12 var K.S. hos undertec</w:t>
      </w:r>
      <w:r w:rsidRPr="00896D4F">
        <w:t>k</w:t>
      </w:r>
      <w:r w:rsidRPr="00896D4F">
        <w:t xml:space="preserve">nad. Då fanns inget papper. </w:t>
      </w:r>
    </w:p>
    <w:p w:rsidR="009C1C5A" w:rsidRPr="00896D4F" w:rsidRDefault="009C1C5A">
      <w:r w:rsidRPr="00896D4F">
        <w:t>– – –</w:t>
      </w:r>
    </w:p>
    <w:p w:rsidR="009C1C5A" w:rsidRPr="00896D4F" w:rsidRDefault="009C1C5A">
      <w:r w:rsidRPr="00896D4F">
        <w:t xml:space="preserve">Därefter inhämtades upplysningar per telefon från kanslichefen Birgitta Åström, Västerbottens läns landsting varvid bl.a. följande framkom. </w:t>
      </w:r>
    </w:p>
    <w:p w:rsidR="009C1C5A" w:rsidRPr="00896D4F" w:rsidRDefault="009C1C5A">
      <w:pPr>
        <w:pStyle w:val="Citat"/>
      </w:pPr>
      <w:r w:rsidRPr="00896D4F">
        <w:t>Dr Svarvar var inte i tjänst den 29 maj 2000. Det finns inte någon anteckning om kontakt mellan kliniken och K.S. överhuvudtaget den dagen. Den 25 juli 2000 var K.S. på besök hos Dr Jansson. Halva journalen låg i hans fack den dagen. Den andra halvan av journalen fick han av sekreteraren samma dag efter det att hon hade återfunnit den. K.S. framställde inte någon begäran om att få ta del av kopia av journalen vid besöket hos Dr Jansson. Efter K.S:s besök hos Dr Jansson lades journalen i Dr Svarvars fack. J</w:t>
      </w:r>
      <w:r w:rsidRPr="00896D4F">
        <w:t xml:space="preserve">ournalen är därefter förkommen. </w:t>
      </w:r>
    </w:p>
    <w:p w:rsidR="009C1C5A" w:rsidRPr="00896D4F" w:rsidRDefault="009C1C5A">
      <w:r w:rsidRPr="00896D4F">
        <w:t>Anmälan remitterades därefter på nytt till Landstinget i Västerbottens län för utredning och yttrande. Landstingsstyrelsens arbetsutskott anförde i förnyat remissvar bl.a. följande.</w:t>
      </w:r>
    </w:p>
    <w:p w:rsidR="009C1C5A" w:rsidRPr="00896D4F" w:rsidRDefault="009C1C5A">
      <w:r w:rsidRPr="00896D4F">
        <w:t>– – –</w:t>
      </w:r>
    </w:p>
    <w:p w:rsidR="009C1C5A" w:rsidRPr="00896D4F" w:rsidRDefault="009C1C5A">
      <w:pPr>
        <w:pStyle w:val="Rubrik6"/>
      </w:pPr>
      <w:r w:rsidRPr="00896D4F">
        <w:t>Kopia av patientjournal</w:t>
      </w:r>
    </w:p>
    <w:p w:rsidR="009C1C5A" w:rsidRPr="00896D4F" w:rsidRDefault="009C1C5A">
      <w:pPr>
        <w:pStyle w:val="Citat"/>
      </w:pPr>
      <w:r w:rsidRPr="00896D4F">
        <w:t>Begäran om kopia av patientjournal framfördes till dr Svarvar vid besök fö</w:t>
      </w:r>
      <w:r w:rsidRPr="00896D4F">
        <w:t>r</w:t>
      </w:r>
      <w:r w:rsidRPr="00896D4F">
        <w:t>sta veckan i april 2000. Läkaren utgick vid detta tillfälle från att begäran a</w:t>
      </w:r>
      <w:r w:rsidRPr="00896D4F">
        <w:t>v</w:t>
      </w:r>
      <w:r w:rsidRPr="00896D4F">
        <w:t>såg hela journalen, vilken då inte fanns i sin helhet. Något avslagsbeslut fatt</w:t>
      </w:r>
      <w:r w:rsidRPr="00896D4F">
        <w:t>a</w:t>
      </w:r>
      <w:r w:rsidRPr="00896D4F">
        <w:t>des av detta skäl inte vid detta tillfälle.</w:t>
      </w:r>
    </w:p>
    <w:p w:rsidR="009C1C5A" w:rsidRPr="00896D4F" w:rsidRDefault="009C1C5A">
      <w:pPr>
        <w:pStyle w:val="Citatindrag"/>
      </w:pPr>
      <w:r w:rsidRPr="00896D4F">
        <w:t>Hela journalen fanns tillgänglig först den 25 juli. Enligt dr Jansson som då träffade patienten, framfördes ingen begäran om kopia av patientjournal. Journalen i sin helhet lades i dr Svarvars låda och fanns där den 30 juli. Jou</w:t>
      </w:r>
      <w:r w:rsidRPr="00896D4F">
        <w:t>r</w:t>
      </w:r>
      <w:r w:rsidRPr="00896D4F">
        <w:t>nalen är sedan dess åter förkommen.</w:t>
      </w:r>
    </w:p>
    <w:p w:rsidR="009C1C5A" w:rsidRPr="00896D4F" w:rsidRDefault="009C1C5A">
      <w:pPr>
        <w:pStyle w:val="Rubrik6"/>
      </w:pPr>
      <w:r w:rsidRPr="00896D4F">
        <w:t>Intyg</w:t>
      </w:r>
    </w:p>
    <w:p w:rsidR="009C1C5A" w:rsidRPr="00896D4F" w:rsidRDefault="009C1C5A">
      <w:pPr>
        <w:pStyle w:val="Citat"/>
      </w:pPr>
      <w:r w:rsidRPr="00896D4F">
        <w:t>Begäran om intyg lämnades första gången i början av april. Dr Svarvar skrev inget intyg vid detta tillfälle med motiv att patienten inte hade blanketter med sig.</w:t>
      </w:r>
    </w:p>
    <w:p w:rsidR="009C1C5A" w:rsidRPr="00896D4F" w:rsidRDefault="009C1C5A">
      <w:pPr>
        <w:pStyle w:val="Citatindrag"/>
      </w:pPr>
      <w:r w:rsidRPr="00896D4F">
        <w:t>Efter besöket den 15 juni dikterade dr Svarvar ett intyg till if.skadeför-säkringen.</w:t>
      </w:r>
    </w:p>
    <w:p w:rsidR="009C1C5A" w:rsidRPr="00896D4F" w:rsidRDefault="009C1C5A">
      <w:pPr>
        <w:pStyle w:val="Citatindrag"/>
      </w:pPr>
      <w:r w:rsidRPr="00896D4F">
        <w:t>Den 30 juli ringde patienten med förfrågan om intyget till försäkringsbol</w:t>
      </w:r>
      <w:r w:rsidRPr="00896D4F">
        <w:t>a</w:t>
      </w:r>
      <w:r w:rsidRPr="00896D4F">
        <w:t>get.</w:t>
      </w:r>
    </w:p>
    <w:p w:rsidR="009C1C5A" w:rsidRPr="00896D4F" w:rsidRDefault="009C1C5A">
      <w:pPr>
        <w:pStyle w:val="Citatindrag"/>
      </w:pPr>
      <w:r w:rsidRPr="00896D4F">
        <w:t>Dr Svarvar konstaterade den 1 augusti att intyg inte skrivits ut. Av någon anledning skrevs inget intyg ut vid detta tillfälle heller.</w:t>
      </w:r>
    </w:p>
    <w:p w:rsidR="009C1C5A" w:rsidRPr="00896D4F" w:rsidRDefault="009C1C5A">
      <w:pPr>
        <w:pStyle w:val="Citatindrag"/>
      </w:pPr>
      <w:r w:rsidRPr="00896D4F">
        <w:t>Verksamhetschefen uppmärksammades på frågan i slutet av augusti efte</w:t>
      </w:r>
      <w:r w:rsidRPr="00896D4F">
        <w:t>r</w:t>
      </w:r>
      <w:r w:rsidRPr="00896D4F">
        <w:t>som intyg inte utfärdats och dr Svarvar hade slutat vid kliniken.</w:t>
      </w:r>
    </w:p>
    <w:p w:rsidR="009C1C5A" w:rsidRPr="00896D4F" w:rsidRDefault="009C1C5A">
      <w:pPr>
        <w:pStyle w:val="Citatindrag"/>
      </w:pPr>
      <w:r w:rsidRPr="00896D4F">
        <w:t>Ny tid bokades till den 12 september. Något intyg utfärdades inte heller vid detta besök. Efter detta besök togs förnyad kontakt med patienten som  bl a ledde till en ny besökstid hos en annan läkare inom kliniken för utfä</w:t>
      </w:r>
      <w:r w:rsidRPr="00896D4F">
        <w:t>r</w:t>
      </w:r>
      <w:r w:rsidRPr="00896D4F">
        <w:t>dande av intyg.</w:t>
      </w:r>
    </w:p>
    <w:p w:rsidR="009C1C5A" w:rsidRPr="00896D4F" w:rsidRDefault="009C1C5A">
      <w:pPr>
        <w:pStyle w:val="Citatindrag"/>
      </w:pPr>
      <w:r w:rsidRPr="00896D4F">
        <w:t>Besöket ägde rum den 8 mars 2001. Vid kontakt med denne läkare me</w:t>
      </w:r>
      <w:r w:rsidRPr="00896D4F">
        <w:t>d</w:t>
      </w:r>
      <w:r w:rsidRPr="00896D4F">
        <w:t xml:space="preserve">delar han att han kommer att skriva ut det efterfrågade intyget som inom en vecka kommer att vara såväl försäkringsbolag som patient till handa. </w:t>
      </w:r>
    </w:p>
    <w:p w:rsidR="009C1C5A" w:rsidRPr="00896D4F" w:rsidRDefault="009C1C5A">
      <w:pPr>
        <w:pStyle w:val="Rubrik6"/>
      </w:pPr>
      <w:r w:rsidRPr="00896D4F">
        <w:t>Bedömning</w:t>
      </w:r>
    </w:p>
    <w:p w:rsidR="009C1C5A" w:rsidRPr="00896D4F" w:rsidRDefault="009C1C5A">
      <w:pPr>
        <w:pStyle w:val="Citat"/>
      </w:pPr>
      <w:r w:rsidRPr="00896D4F">
        <w:t>Landstinget kan konstatera att patienten inte erhållit kopia av sin journal. Förutom att del av journalen varit förkommen (och senare hela journalen) har uppenbarligen dialogen mellan patienten och behandlande läkare inte varit tillräckligt tydlig, vilket har lett till att något beslut om att avslå begäran av journalkopia inte har fattats.</w:t>
      </w:r>
    </w:p>
    <w:p w:rsidR="009C1C5A" w:rsidRPr="00896D4F" w:rsidRDefault="009C1C5A">
      <w:r w:rsidRPr="00896D4F">
        <w:t>U.S. kommenterade remissvaren och anförde därvid bl.a. att K.S. uppgivit att hon gjorde sin första framställan den 29 maj 2000 per telefon.</w:t>
      </w:r>
    </w:p>
    <w:p w:rsidR="009C1C5A" w:rsidRPr="00896D4F" w:rsidRDefault="009C1C5A">
      <w:pPr>
        <w:pStyle w:val="Normaltindrag"/>
      </w:pPr>
      <w:r w:rsidRPr="00896D4F">
        <w:t>Den 22 mars 2002 inhämtades upplysningar per telefon från verksamhet</w:t>
      </w:r>
      <w:r w:rsidRPr="00896D4F">
        <w:t>s</w:t>
      </w:r>
      <w:r w:rsidRPr="00896D4F">
        <w:t>chefen Inger Mossberg, Norrlands Universitetssjukhus, varvid följande fra</w:t>
      </w:r>
      <w:r w:rsidRPr="00896D4F">
        <w:t>m</w:t>
      </w:r>
      <w:r w:rsidRPr="00896D4F">
        <w:t>kom.</w:t>
      </w:r>
    </w:p>
    <w:p w:rsidR="009C1C5A" w:rsidRPr="00896D4F" w:rsidRDefault="009C1C5A">
      <w:pPr>
        <w:pStyle w:val="Citat"/>
      </w:pPr>
      <w:r w:rsidRPr="00896D4F">
        <w:t>K.S:s journal har inte kommit till rätta. Det efterfrågade intyget är, enligt en journalanteckning daterad den 9 mars 2001, utfärdat.</w:t>
      </w:r>
    </w:p>
    <w:p w:rsidR="009C1C5A" w:rsidRPr="00896D4F" w:rsidRDefault="009C1C5A">
      <w:r w:rsidRPr="00896D4F">
        <w:t xml:space="preserve">Från Socialstyrelsen inhämtades den 17 april 2002 upplysning om att Catarina Svarvar är verksam utomlands. </w:t>
      </w:r>
    </w:p>
    <w:p w:rsidR="009C1C5A" w:rsidRPr="00896D4F" w:rsidRDefault="009C1C5A">
      <w:r w:rsidRPr="00896D4F">
        <w:t xml:space="preserve">I beslut den 19 april 2002 anförde </w:t>
      </w:r>
      <w:r w:rsidRPr="00896D4F">
        <w:rPr>
          <w:i/>
        </w:rPr>
        <w:t>JO André</w:t>
      </w:r>
      <w:r w:rsidRPr="00896D4F">
        <w:t xml:space="preserve"> följande.</w:t>
      </w:r>
    </w:p>
    <w:p w:rsidR="009C1C5A" w:rsidRPr="00896D4F" w:rsidRDefault="009C1C5A">
      <w:pPr>
        <w:pStyle w:val="Rubrik3"/>
      </w:pPr>
      <w:r w:rsidRPr="00896D4F">
        <w:t>Bedömning</w:t>
      </w:r>
    </w:p>
    <w:p w:rsidR="009C1C5A" w:rsidRPr="00896D4F" w:rsidRDefault="009C1C5A">
      <w:pPr>
        <w:pStyle w:val="Rubrik4"/>
      </w:pPr>
      <w:r w:rsidRPr="00896D4F">
        <w:t>Rättslig reglering</w:t>
      </w:r>
    </w:p>
    <w:p w:rsidR="009C1C5A" w:rsidRPr="00896D4F" w:rsidRDefault="009C1C5A">
      <w:r w:rsidRPr="00896D4F">
        <w:t>Enligt 2 kap. 12 § tryckfrihetsförordningen (TF) skall en allmän handling som får lämnas ut – som alltså inte omfattas av någon sekretessbestämmelse – på begäran genast eller så snart det är möjligt på stället utan avgift tillhandahå</w:t>
      </w:r>
      <w:r w:rsidRPr="00896D4F">
        <w:t>l</w:t>
      </w:r>
      <w:r w:rsidRPr="00896D4F">
        <w:t>las den som önskar ta del av den. Av 2 kap. 13 § framgår att den som önskar ta del av en allmän handling även har rätt att mot fastställd avgift få avskrift eller kopia av handlingen till den del den får lämnas ut. En sådan begäran skall behandlas skyndsamt. JO har i ett flertal beslut uttalat att innebörden härav är att besked i en utlämnandefråga bör lämnas redan samma dag som begäran gjorts. Någon eller några dagars fördröjning kan dock godtas om en sådan fördröjning är nödvändig för att myndigheten ska</w:t>
      </w:r>
      <w:r w:rsidRPr="00896D4F">
        <w:t>ll kunna ta ställning till om den efterfrågade handlingen är allmän och offentlig. Härtill kommer att ett visst dröjsmål är ofrånkomligt om framställningen avser eller fordrar genomgång av ett omfattande material.</w:t>
      </w:r>
    </w:p>
    <w:p w:rsidR="009C1C5A" w:rsidRPr="00896D4F" w:rsidRDefault="009C1C5A">
      <w:pPr>
        <w:pStyle w:val="Normaltindrag"/>
      </w:pPr>
      <w:r w:rsidRPr="00896D4F">
        <w:t>Av 15 kap. 6 § sekretesslagen (1980:100) framgår det att om en begäran om att få ta del av en handling helt eller delvis inte kan tillmötesgås skall den som gjort fram</w:t>
      </w:r>
      <w:r w:rsidRPr="00896D4F">
        <w:softHyphen/>
        <w:t>ställningen underrättas om detta. Han skall också underrättas om att han kan begära att frågan hänskjuts till myndigheten och att beslut av myndigheten krävs för att ett avgörande skall kunna överklagas. Myndigh</w:t>
      </w:r>
      <w:r w:rsidRPr="00896D4F">
        <w:t>e</w:t>
      </w:r>
      <w:r w:rsidRPr="00896D4F">
        <w:t>tens avslagsbeslut får enligt 15 kap. 7 § sekretesslagen överklagas hos ka</w:t>
      </w:r>
      <w:r w:rsidRPr="00896D4F">
        <w:t>m</w:t>
      </w:r>
      <w:r w:rsidRPr="00896D4F">
        <w:t>marrätt. Denna rätt gäller även för det fall myndigheten inte kan efterkomma en beg</w:t>
      </w:r>
      <w:r w:rsidRPr="00896D4F">
        <w:t>ä</w:t>
      </w:r>
      <w:r w:rsidRPr="00896D4F">
        <w:t>ran på grund av att handlingen är förkommen.</w:t>
      </w:r>
    </w:p>
    <w:p w:rsidR="009C1C5A" w:rsidRPr="00896D4F" w:rsidRDefault="009C1C5A">
      <w:pPr>
        <w:pStyle w:val="Normaltindrag"/>
      </w:pPr>
      <w:r w:rsidRPr="00896D4F">
        <w:t>Enligt 14 kap. 4 § sekretesslagen gäller, om inte annat följer av bestä</w:t>
      </w:r>
      <w:r w:rsidRPr="00896D4F">
        <w:t>m</w:t>
      </w:r>
      <w:r w:rsidRPr="00896D4F">
        <w:t>melse i den lagen, sekretess till skydd för enskild inte i förhållande till den enskilde själv. Sekretess inom hälso- och sjukvården kan enligt 7 kap. 3 § sekretesslagen gälla också i förhållande till den vård- eller behandlingsbeh</w:t>
      </w:r>
      <w:r w:rsidRPr="00896D4F">
        <w:t>ö</w:t>
      </w:r>
      <w:r w:rsidRPr="00896D4F">
        <w:t>vande själv i fråga om uppgift om hans hälso</w:t>
      </w:r>
      <w:r w:rsidRPr="00896D4F">
        <w:softHyphen/>
        <w:t xml:space="preserve">tillstånd, om det med hänsyn till ändamålet med vården eller behandlingen är av synnerlig vikt att uppgiften inte lämnas till honom. </w:t>
      </w:r>
    </w:p>
    <w:p w:rsidR="009C1C5A" w:rsidRPr="00896D4F" w:rsidRDefault="009C1C5A">
      <w:pPr>
        <w:pStyle w:val="Normaltindrag"/>
      </w:pPr>
      <w:r w:rsidRPr="00896D4F">
        <w:t>När det gäller hantering av journaler framgår det av 7 § patientjournallagen (1985:562) att varje jo</w:t>
      </w:r>
      <w:r w:rsidRPr="00896D4F">
        <w:t>urnalhandling skall hanteras och förvaras så att obeh</w:t>
      </w:r>
      <w:r w:rsidRPr="00896D4F">
        <w:t>ö</w:t>
      </w:r>
      <w:r w:rsidRPr="00896D4F">
        <w:t>riga inte får tillgång till den. Av paragrafens andra stycke följer att om en journal</w:t>
      </w:r>
      <w:r w:rsidRPr="00896D4F">
        <w:softHyphen/>
        <w:t xml:space="preserve">handling eller en kopia av handlingar har lämnats ut till någon, skall det antecknas i patientjournalen vem som har fått handlingen och när denna har lämnats ut. </w:t>
      </w:r>
    </w:p>
    <w:p w:rsidR="009C1C5A" w:rsidRPr="00896D4F" w:rsidRDefault="009C1C5A">
      <w:pPr>
        <w:pStyle w:val="Rubrik4"/>
      </w:pPr>
      <w:r w:rsidRPr="00896D4F">
        <w:t xml:space="preserve">Patientjournalen </w:t>
      </w:r>
    </w:p>
    <w:p w:rsidR="009C1C5A" w:rsidRPr="00896D4F" w:rsidRDefault="009C1C5A">
      <w:r w:rsidRPr="00896D4F">
        <w:t>Av remissvaren framgår att K.S:s journal var tillgänglig i dess helhet först den 25 juli 2000. Skälet till att delar av den inte varit tillgängliga tidigare har inte närmare berörts. Det kan konstateras att K.S:s journal varit helt förko</w:t>
      </w:r>
      <w:r w:rsidRPr="00896D4F">
        <w:t>m</w:t>
      </w:r>
      <w:r w:rsidRPr="00896D4F">
        <w:t>men sedan sensommaren 2000. Landstingsstyrelsens arbetsutskott har uppgett att det är i strid med gällande regler om förvaring att en journal inte är til</w:t>
      </w:r>
      <w:r w:rsidRPr="00896D4F">
        <w:t>l</w:t>
      </w:r>
      <w:r w:rsidRPr="00896D4F">
        <w:t>gänglig samt har upplyst om att information ges kontinuerligt för att säke</w:t>
      </w:r>
      <w:r w:rsidRPr="00896D4F">
        <w:t>r</w:t>
      </w:r>
      <w:r w:rsidRPr="00896D4F">
        <w:t>ställa personalens kunskaper och rutiner för att förebygga att patientjournaler förkommer. Vidare framgår det att man från sjukhusets sida har eftersökt journalen och att tidigare ansvarig läkare, dr Svarvar som har lämnat sin tjänst vid sjukhuset, utan framgång har sökts för upply</w:t>
      </w:r>
      <w:r w:rsidRPr="00896D4F">
        <w:t>sningar om journalen. Det är mycket otillfreds</w:t>
      </w:r>
      <w:r w:rsidRPr="00896D4F">
        <w:softHyphen/>
        <w:t>ställande att man inte har lyckats få kontakt med dr Svarvar för att utreda saken närmare, och remissvaren ger ingen ytterligare ledning vad gäller orsaken till att journalen har förkommit. Från Socialstyrelsen har jag inhämtat upplysning om att dr Svarvar numera tjänstgör utomlands.</w:t>
      </w:r>
    </w:p>
    <w:p w:rsidR="009C1C5A" w:rsidRPr="00896D4F" w:rsidRDefault="009C1C5A">
      <w:pPr>
        <w:pStyle w:val="Normaltindrag"/>
      </w:pPr>
      <w:r w:rsidRPr="00896D4F">
        <w:t>Det är naturligtvis helt oacceptabelt att en journal inte kan återfinnas, inte minst med hänsyn till patientsäkerheten och till vikten av upprätthållandet av sekretess</w:t>
      </w:r>
      <w:r w:rsidRPr="00896D4F">
        <w:softHyphen/>
        <w:t>en inom hälso- och sjukvården. I förevarande fall har också den enskilda patienten förorsakats besvär eftersom hon inte omedelbart kunnat få ut de handlingar som behövdes i försäkringsärendet. Jag finner dock anle</w:t>
      </w:r>
      <w:r w:rsidRPr="00896D4F">
        <w:t>d</w:t>
      </w:r>
      <w:r w:rsidRPr="00896D4F">
        <w:t>ning utgå från att det inträffade inte har sin grund i bristande rutiner rent g</w:t>
      </w:r>
      <w:r w:rsidRPr="00896D4F">
        <w:t>e</w:t>
      </w:r>
      <w:r w:rsidRPr="00896D4F">
        <w:t>nerellt utan snarare är att hänföra till brister i enskild befattningshavares ha</w:t>
      </w:r>
      <w:r w:rsidRPr="00896D4F">
        <w:t>n</w:t>
      </w:r>
      <w:r w:rsidRPr="00896D4F">
        <w:t>tering av journalen. Även om jag ser mycket allvarligt på den uppkomna situationen, föreligger emellertid enligt min mening inte tillräc</w:t>
      </w:r>
      <w:r w:rsidRPr="00896D4F">
        <w:t>kliga skäl att nu vidta någon ytterligare åtgärd i denna del.</w:t>
      </w:r>
    </w:p>
    <w:p w:rsidR="009C1C5A" w:rsidRPr="00896D4F" w:rsidRDefault="009C1C5A">
      <w:pPr>
        <w:pStyle w:val="Rubrik4"/>
      </w:pPr>
      <w:r w:rsidRPr="00896D4F">
        <w:t>Handläggningen av K.S:s begäran om att få kopia av sin patientjournal</w:t>
      </w:r>
    </w:p>
    <w:p w:rsidR="009C1C5A" w:rsidRPr="00896D4F" w:rsidRDefault="009C1C5A">
      <w:r w:rsidRPr="00896D4F">
        <w:t>När det gäller K.S:s framställan om att få kopia av sin patientjournal föreli</w:t>
      </w:r>
      <w:r w:rsidRPr="00896D4F">
        <w:t>g</w:t>
      </w:r>
      <w:r w:rsidRPr="00896D4F">
        <w:t>ger det motstridiga uppgifter om vilka kontakter som har förekommit mellan K.S. och sjukhuset i denna fråga. U.S. har uppgett att K.S. vid besök hos dr Svarvar den 25 maj 2000 framställde en begäran om att få ta del av journalen. Denna uppgift har senare ändrats till att framställan gjordes per telefon. Sju</w:t>
      </w:r>
      <w:r w:rsidRPr="00896D4F">
        <w:t>k</w:t>
      </w:r>
      <w:r w:rsidRPr="00896D4F">
        <w:t xml:space="preserve">huset har inga uppgifter om att K.S. skulle ha varit i kontakt med sjukhuset denna dag och det är även upplyst att dr Svarvar inte var i tjänst den aktuella dagen. Det synes vara helt klarlagt att K.S. </w:t>
      </w:r>
      <w:r w:rsidRPr="00896D4F">
        <w:t>var på återbesök hos dr Jansson den 25 juli 2000. I det första remissvaret uppgavs att detta var den första tidpunkt där parternas uppgifter överensstämmer, nämligen att det då förekom ett besök vid vilket en framställan gjordes. I det senare remissvaret har up</w:t>
      </w:r>
      <w:r w:rsidRPr="00896D4F">
        <w:t>p</w:t>
      </w:r>
      <w:r w:rsidRPr="00896D4F">
        <w:t>giften dock ändrats på det sättet att dr Jansson har uppgett att K.S. vid detta tillfälle inte framställde någon begäran om att få en kopia av sin journal. Dä</w:t>
      </w:r>
      <w:r w:rsidRPr="00896D4F">
        <w:t>r</w:t>
      </w:r>
      <w:r w:rsidRPr="00896D4F">
        <w:t>emot uppges i detta remissvar att K.S. skall ha gjort en sådan framställan vid besök hos dr</w:t>
      </w:r>
      <w:r w:rsidRPr="00896D4F">
        <w:t xml:space="preserve"> Svarvar i början av april 2000. </w:t>
      </w:r>
    </w:p>
    <w:p w:rsidR="009C1C5A" w:rsidRPr="00896D4F" w:rsidRDefault="009C1C5A">
      <w:pPr>
        <w:pStyle w:val="Normaltindrag"/>
      </w:pPr>
      <w:r w:rsidRPr="00896D4F">
        <w:t>Jag finner det anmärkningsvärt att de besked som lämnats i remissvaren skiljer sig åt på en sådan väsentlig punkt som rörande frågan om huruvida K.S. gjorde en framställan eller ej vid sitt besök hos dr Jansson i juli 2000. Remissvaren kan dock inte tolkas på annat sätt än att K.S. har gjort en fra</w:t>
      </w:r>
      <w:r w:rsidRPr="00896D4F">
        <w:t>m</w:t>
      </w:r>
      <w:r w:rsidRPr="00896D4F">
        <w:t>ställan om att få en kopia av sin journal och att hon, enligt sjukhusets uppfat</w:t>
      </w:r>
      <w:r w:rsidRPr="00896D4F">
        <w:t>t</w:t>
      </w:r>
      <w:r w:rsidRPr="00896D4F">
        <w:t>ning, framförde sin begäran till dr Svarvar i början av april 2000. Remissv</w:t>
      </w:r>
      <w:r w:rsidRPr="00896D4F">
        <w:t>a</w:t>
      </w:r>
      <w:r w:rsidRPr="00896D4F">
        <w:t xml:space="preserve">ren ger inga upplysningar om hur denna framställan har hanterats förutom uppgiften att det varken lämnades ut några handlingar eller fattades något avslagsbeslut eftersom inte hela journalen fanns tillgänglig. </w:t>
      </w:r>
    </w:p>
    <w:p w:rsidR="009C1C5A" w:rsidRPr="00896D4F" w:rsidRDefault="009C1C5A">
      <w:pPr>
        <w:pStyle w:val="Normaltindrag"/>
      </w:pPr>
      <w:r w:rsidRPr="00896D4F">
        <w:t>Regelsystemet i TF och sekretesslagen innebär som redovisats tidigare att en sökande alltid har rätt att skyndsamt få ta del av den efterfrågade</w:t>
      </w:r>
      <w:r w:rsidRPr="00896D4F">
        <w:t xml:space="preserve"> handlin</w:t>
      </w:r>
      <w:r w:rsidRPr="00896D4F">
        <w:t>g</w:t>
      </w:r>
      <w:r w:rsidRPr="00896D4F">
        <w:t>en, antingen genom att den tillhandahålls på stället eller genom att kopia av den lämnas ut. Kan handlingen inte lämnas ut skall sökanden upplysas om att han kan begära att frågan hänskjuts till myndigheten för prövning och att ett beslut av myndigheten är en förutsättning för att utlämnandefrågan skall ku</w:t>
      </w:r>
      <w:r w:rsidRPr="00896D4F">
        <w:t>n</w:t>
      </w:r>
      <w:r w:rsidRPr="00896D4F">
        <w:t>na prövas av domstol.</w:t>
      </w:r>
    </w:p>
    <w:p w:rsidR="009C1C5A" w:rsidRPr="00896D4F" w:rsidRDefault="009C1C5A">
      <w:pPr>
        <w:pStyle w:val="Normaltindrag"/>
      </w:pPr>
      <w:r w:rsidRPr="00896D4F">
        <w:t>En framställan behöver inte vara skriftlig utan kan göras muntligen. Det är dock att rekommendera att anteckna en muntlig framställan i journalen, bl.a. mot bakgrund av best</w:t>
      </w:r>
      <w:r w:rsidRPr="00896D4F">
        <w:t xml:space="preserve">ämmelsen i 7 § andra stycket patientjournallagen om att anteckning skall göras om utlämnad kopia av journalen. </w:t>
      </w:r>
    </w:p>
    <w:p w:rsidR="009C1C5A" w:rsidRPr="00896D4F" w:rsidRDefault="009C1C5A">
      <w:pPr>
        <w:pStyle w:val="Normaltindrag"/>
      </w:pPr>
      <w:r w:rsidRPr="00896D4F">
        <w:t>Eftersom den aktuella framställningen gjordes till dr Svarvar har det ålegat henne att ta ställning i frågan. Det finns ingenting som tyder på att journalen inte kunde lämnas ut på grund av sekretess. Det är därför oklart varför inte i vart fall den del av journalen som fanns tillgänglig lämnades ut. Vidare är det oklart om den aktuella framställningen dokumenterades och om dr Svarvar hade för avs</w:t>
      </w:r>
      <w:r w:rsidRPr="00896D4F">
        <w:t>ikt att lämna ut kopia av journalen så snart den del som saknades kom till rätta. Enligt vad som är upplyst har journalen, efter det att K.S. gjo</w:t>
      </w:r>
      <w:r w:rsidRPr="00896D4F">
        <w:t>r</w:t>
      </w:r>
      <w:r w:rsidRPr="00896D4F">
        <w:t>de sin framställning, funnits tillgänglig i sin helhet. Det har dock inte gått att få klarhet i om K.S. vid ytterligare tillfällen diskuterade denna fråga med dr Svarvar eller vilka ställnings</w:t>
      </w:r>
      <w:r w:rsidRPr="00896D4F">
        <w:softHyphen/>
        <w:t>taganden dr Svarvar gjorde i frågan. Den utre</w:t>
      </w:r>
      <w:r w:rsidRPr="00896D4F">
        <w:t>d</w:t>
      </w:r>
      <w:r w:rsidRPr="00896D4F">
        <w:t>ning som nu föreligger i ärendet talar onekligen med viss styrka för att han</w:t>
      </w:r>
      <w:r w:rsidRPr="00896D4F">
        <w:t>d</w:t>
      </w:r>
      <w:r w:rsidRPr="00896D4F">
        <w:t xml:space="preserve">läggningen inte har skett i enlighet med reglerna </w:t>
      </w:r>
      <w:r w:rsidRPr="00896D4F">
        <w:t>i tryck</w:t>
      </w:r>
      <w:r w:rsidRPr="00896D4F">
        <w:softHyphen/>
        <w:t>frihets</w:t>
      </w:r>
      <w:r w:rsidRPr="00896D4F">
        <w:softHyphen/>
        <w:t>förordningen och sekretess</w:t>
      </w:r>
      <w:r w:rsidRPr="00896D4F">
        <w:softHyphen/>
        <w:t>lagen. Eftersom det inte gått att efterhöra dr Svarvars egen up</w:t>
      </w:r>
      <w:r w:rsidRPr="00896D4F">
        <w:t>p</w:t>
      </w:r>
      <w:r w:rsidRPr="00896D4F">
        <w:t>fattning om vad som förevarit, anser jag mig dock inte ha tillräckligt underlag för att uttala någon egentlig kritik mot hennes handläggning av utlämnande</w:t>
      </w:r>
      <w:r w:rsidRPr="00896D4F">
        <w:softHyphen/>
        <w:t xml:space="preserve">framställan utan begränsar mig till att göra detta påpekande. </w:t>
      </w:r>
    </w:p>
    <w:p w:rsidR="009C1C5A" w:rsidRPr="00896D4F" w:rsidRDefault="009C1C5A">
      <w:pPr>
        <w:pStyle w:val="Normaltindrag"/>
      </w:pPr>
      <w:r w:rsidRPr="00896D4F">
        <w:t>Det har lämnats motstridiga uppgifter om huruvida K.S. framförde en b</w:t>
      </w:r>
      <w:r w:rsidRPr="00896D4F">
        <w:t>e</w:t>
      </w:r>
      <w:r w:rsidRPr="00896D4F">
        <w:t xml:space="preserve">gäran om att få kopia av sin journal till dr Jansson vid besöket den 25 juli 2000. Det är inte sannolikt att vidare utredning skulle bringa klarhet i frågan. Jag finner därför inte skäl att göra något uttalande i denna del. </w:t>
      </w:r>
    </w:p>
    <w:p w:rsidR="009C1C5A" w:rsidRPr="00896D4F" w:rsidRDefault="009C1C5A">
      <w:pPr>
        <w:pStyle w:val="Rubrik4"/>
      </w:pPr>
      <w:r w:rsidRPr="00896D4F">
        <w:t>Handläggningen av K.S:s begäran om ett intyg</w:t>
      </w:r>
    </w:p>
    <w:p w:rsidR="009C1C5A" w:rsidRPr="00896D4F" w:rsidRDefault="009C1C5A">
      <w:r w:rsidRPr="00896D4F">
        <w:t>I anmälan tar U.S. även upp att K.S. avsåg att göra en anmälan till ett försä</w:t>
      </w:r>
      <w:r w:rsidRPr="00896D4F">
        <w:t>k</w:t>
      </w:r>
      <w:r w:rsidRPr="00896D4F">
        <w:t>ringsbolag för att kunna erhålla den skadeersättning hon var berättigad till. Uppgifter ur journalen skulle ligga till grund för denna anmälan. K.S. begärde därvid ett intyg från dr Svarvar, vilket skulle tillställas försäkringsbolaget. I remissvaren redogörs för de uppgifter som finns angående K.S:s begäran om ett intyg men ger inga svar på varför intyget inte utfärdades. Då intyget num</w:t>
      </w:r>
      <w:r w:rsidRPr="00896D4F">
        <w:t>e</w:t>
      </w:r>
      <w:r w:rsidRPr="00896D4F">
        <w:t>ra, i enlighet med vad som har uppgivits per telefon, har utfärdats går jag inte vidare i frågan.</w:t>
      </w:r>
    </w:p>
    <w:p w:rsidR="009C1C5A" w:rsidRPr="00896D4F" w:rsidRDefault="009C1C5A">
      <w:pPr>
        <w:pStyle w:val="Rubrik4"/>
      </w:pPr>
      <w:r w:rsidRPr="00896D4F">
        <w:t>Sammanfattning</w:t>
      </w:r>
    </w:p>
    <w:p w:rsidR="009C1C5A" w:rsidRPr="00896D4F" w:rsidRDefault="009C1C5A">
      <w:r w:rsidRPr="00896D4F">
        <w:t>Jag vill framhålla vikten av att det inom en myndighet finns utarbetade rutiner när det gäller såväl hantering och förvaring av patientjournaler som tilläm</w:t>
      </w:r>
      <w:r w:rsidRPr="00896D4F">
        <w:t>p</w:t>
      </w:r>
      <w:r w:rsidRPr="00896D4F">
        <w:t>ningen av bestämmelserna om allmänna handlingar. Landstingsstyrelsens arbetsutskott har upplyst om vad som generellt gäller inom landstinget ang</w:t>
      </w:r>
      <w:r w:rsidRPr="00896D4F">
        <w:t>å</w:t>
      </w:r>
      <w:r w:rsidRPr="00896D4F">
        <w:t>ende dessa frågor och har även uppgett att reglerna är väl kända i sjukvård</w:t>
      </w:r>
      <w:r w:rsidRPr="00896D4F">
        <w:t>s</w:t>
      </w:r>
      <w:r w:rsidRPr="00896D4F">
        <w:t>förvaltning</w:t>
      </w:r>
      <w:r w:rsidRPr="00896D4F">
        <w:softHyphen/>
        <w:t>arna. Utifrån detta enskilda ärende saknar jag underlag för att bedöma om det likväl finns brister i rutinerna. Jag förutsätter under alla för</w:t>
      </w:r>
      <w:r w:rsidRPr="00896D4F">
        <w:softHyphen/>
        <w:t>hållanden att landstinget fortsätter med kontinuerliga utbildningsinsatser och information till berörd personal angående dessa frågor.</w:t>
      </w:r>
    </w:p>
    <w:p w:rsidR="009C1C5A" w:rsidRPr="00896D4F" w:rsidRDefault="009C1C5A">
      <w:pPr>
        <w:pStyle w:val="Normaltindrag"/>
      </w:pPr>
    </w:p>
    <w:p w:rsidR="009C1C5A" w:rsidRPr="00896D4F" w:rsidRDefault="009C1C5A">
      <w:pPr>
        <w:pStyle w:val="Normaltindrag"/>
        <w:ind w:firstLine="0"/>
      </w:pPr>
      <w:r w:rsidRPr="00896D4F">
        <w:t>–––––––––––</w:t>
      </w:r>
    </w:p>
    <w:p w:rsidR="009C1C5A" w:rsidRPr="00896D4F" w:rsidRDefault="009C1C5A">
      <w:r w:rsidRPr="00896D4F">
        <w:t>Ärendet avslutas med de delvis kritiska uttalanden som ligger i det anförda.</w:t>
      </w:r>
    </w:p>
    <w:p w:rsidR="009C1C5A" w:rsidRPr="00896D4F" w:rsidRDefault="009C1C5A">
      <w:pPr>
        <w:pStyle w:val="Rubrik4"/>
      </w:pPr>
      <w:r w:rsidRPr="00896D4F">
        <w:br w:type="page"/>
        <w:t>Övriga områden</w:t>
      </w:r>
    </w:p>
    <w:p w:rsidR="009C1C5A" w:rsidRPr="00896D4F" w:rsidRDefault="009C1C5A">
      <w:pPr>
        <w:pStyle w:val="Rubrik2"/>
        <w:spacing w:before="250"/>
      </w:pPr>
      <w:r w:rsidRPr="00896D4F">
        <w:t xml:space="preserve">Påstående om sekretessbrott vid utlämnande av handlingar från JO </w:t>
      </w:r>
      <w:r w:rsidRPr="00896D4F">
        <w:rPr>
          <w:rFonts w:ascii="Garamond" w:hAnsi="Garamond"/>
        </w:rPr>
        <w:t>–</w:t>
      </w:r>
      <w:r w:rsidRPr="00896D4F">
        <w:t xml:space="preserve"> Handlingar i en förundersökning, rekvirerade i ett tillsynsärende hos JO och innehållande uppgifter som omfattas av sekretess enligt 9 kap. 17 § första stycket 1 sekretesslagen, har lämnats ut till enskild. En handling som bifogats anmälan i det aktuella ärendet har innehållit delvis samma uppgifter </w:t>
      </w:r>
    </w:p>
    <w:p w:rsidR="009C1C5A" w:rsidRPr="00896D4F" w:rsidRDefault="009C1C5A">
      <w:pPr>
        <w:spacing w:before="0"/>
      </w:pPr>
      <w:r w:rsidRPr="00896D4F">
        <w:t xml:space="preserve">(Dnr Adm 18-2002) </w:t>
      </w:r>
    </w:p>
    <w:p w:rsidR="009C1C5A" w:rsidRPr="00896D4F" w:rsidRDefault="009C1C5A">
      <w:r w:rsidRPr="00896D4F">
        <w:t xml:space="preserve">I ett beslut den 2 april 2002 i ett administrativt ärende föranlett av klagomål mot kanslichefen Kjell Swanström anförde </w:t>
      </w:r>
      <w:r w:rsidRPr="00896D4F">
        <w:rPr>
          <w:i/>
        </w:rPr>
        <w:t>chefsJO Eklundh</w:t>
      </w:r>
      <w:r w:rsidRPr="00896D4F">
        <w:t xml:space="preserve"> följande.</w:t>
      </w:r>
    </w:p>
    <w:p w:rsidR="009C1C5A" w:rsidRPr="00896D4F" w:rsidRDefault="009C1C5A">
      <w:pPr>
        <w:pStyle w:val="Rubrik3"/>
      </w:pPr>
      <w:r w:rsidRPr="00896D4F">
        <w:t>Bakgrund</w:t>
      </w:r>
    </w:p>
    <w:p w:rsidR="009C1C5A" w:rsidRPr="00896D4F" w:rsidRDefault="009C1C5A">
      <w:r w:rsidRPr="00896D4F">
        <w:t>Frågor om utlämnande av handlingar i avgjorda ärenden hos JO prövas i e</w:t>
      </w:r>
      <w:r w:rsidRPr="00896D4F">
        <w:t>n</w:t>
      </w:r>
      <w:r w:rsidRPr="00896D4F">
        <w:t>lighet med vad som föreskrivs i 15 kap. 6 § andra stycket sekretesslagen (1980:100) (SekrL) i första hand av kanslichefen i dennes egenskap av arki</w:t>
      </w:r>
      <w:r w:rsidRPr="00896D4F">
        <w:t>v</w:t>
      </w:r>
      <w:r w:rsidRPr="00896D4F">
        <w:t>ansvarig (se 5 § andra stycket arbetsordningen för Riksdagens ombudsma</w:t>
      </w:r>
      <w:r w:rsidRPr="00896D4F">
        <w:t>n</w:t>
      </w:r>
      <w:r w:rsidRPr="00896D4F">
        <w:t>naexpedition). Beslut av myndigheten i sådana frågor fattas av den justiti</w:t>
      </w:r>
      <w:r w:rsidRPr="00896D4F">
        <w:t>e</w:t>
      </w:r>
      <w:r w:rsidRPr="00896D4F">
        <w:t>ombudsman till vars ansvars</w:t>
      </w:r>
      <w:r w:rsidRPr="00896D4F">
        <w:softHyphen/>
        <w:t>område ärendet hör eller av chefsjustitieo</w:t>
      </w:r>
      <w:r w:rsidRPr="00896D4F">
        <w:t>m</w:t>
      </w:r>
      <w:r w:rsidRPr="00896D4F">
        <w:t xml:space="preserve">budsmannen. </w:t>
      </w:r>
    </w:p>
    <w:p w:rsidR="009C1C5A" w:rsidRPr="00896D4F" w:rsidRDefault="009C1C5A">
      <w:pPr>
        <w:pStyle w:val="Normaltindrag"/>
      </w:pPr>
      <w:r w:rsidRPr="00896D4F">
        <w:t>Någon gång i januari 2001 begärde en person att per post få en kopia av aktbilaga 3 i JO:s  ärende dnr 1574-1993, som hade avgjorts g</w:t>
      </w:r>
      <w:r w:rsidRPr="00896D4F">
        <w:t>enom beslut den 14 maj 1993. I enlighet med gällande handläggningsordning bad reg</w:t>
      </w:r>
      <w:r w:rsidRPr="00896D4F">
        <w:t>i</w:t>
      </w:r>
      <w:r w:rsidRPr="00896D4F">
        <w:t>stratorn kanslichefen Kjell Swanström att göra en sekretessprövning. Några veckor senare begärde en annan person utlämnande av samma handlingar. Framställningen hanterades av registrator på samma sätt. Sekretessprövningen ledde i båda fallen till att handlingarna lämnades ut med vissa uppgifter ut</w:t>
      </w:r>
      <w:r w:rsidRPr="00896D4F">
        <w:t>e</w:t>
      </w:r>
      <w:r w:rsidRPr="00896D4F">
        <w:t xml:space="preserve">slutna. </w:t>
      </w:r>
    </w:p>
    <w:p w:rsidR="009C1C5A" w:rsidRPr="00896D4F" w:rsidRDefault="009C1C5A">
      <w:pPr>
        <w:pStyle w:val="Normaltindrag"/>
      </w:pPr>
      <w:r w:rsidRPr="00896D4F">
        <w:t>Aktbilaga 3 består av vissa handlingar i en förundersökning, vilka JO hade rekvirerat från dåvarande Polismyndigheten i St</w:t>
      </w:r>
      <w:r w:rsidRPr="00896D4F">
        <w:t>ockholm under utredningen av det a</w:t>
      </w:r>
      <w:r w:rsidRPr="00896D4F">
        <w:t>k</w:t>
      </w:r>
      <w:r w:rsidRPr="00896D4F">
        <w:t xml:space="preserve">tuella tillsynsärendet (polisanmälan 1992-12-03, personblad 3 </w:t>
      </w:r>
      <w:r w:rsidRPr="00896D4F">
        <w:br/>
        <w:t>1993-01-19, förhörsdokumentation 1993-01-27, rapport 1992-12-02 om ett hot samt beslut 1993-01-28 att lägga ned förundersökningen).</w:t>
      </w:r>
    </w:p>
    <w:p w:rsidR="009C1C5A" w:rsidRPr="00896D4F" w:rsidRDefault="009C1C5A">
      <w:pPr>
        <w:pStyle w:val="Rubrik3"/>
      </w:pPr>
      <w:r w:rsidRPr="00896D4F">
        <w:t>Er skrivelse</w:t>
      </w:r>
    </w:p>
    <w:p w:rsidR="009C1C5A" w:rsidRPr="00896D4F" w:rsidRDefault="009C1C5A">
      <w:r w:rsidRPr="00896D4F">
        <w:t>I en skrivelse från Er, som är daterad den 23 november 2001 men som kom in till JO den 16 januari 2002, har Ni gjort gällande att Kjell Swanströms utlä</w:t>
      </w:r>
      <w:r w:rsidRPr="00896D4F">
        <w:t>m</w:t>
      </w:r>
      <w:r w:rsidRPr="00896D4F">
        <w:t>nande av de aktuella handlingarna skett i strid med gällande sekretessregler och begärt att frågan om disciplinansvar och åtalsanmälan med anledning av det inträffade skall lämnas över till Riksdagens ansvarsnämnd för prövning. Av Er skrivelse framgår att Ni anser Er ha lidit en allvarlig integritetskrän</w:t>
      </w:r>
      <w:r w:rsidRPr="00896D4F">
        <w:t>k</w:t>
      </w:r>
      <w:r w:rsidRPr="00896D4F">
        <w:t>ning med hänsyn till vissa i handlingarna förekommande uppgifters mycket känsliga art och kvalificerade skyddsvärde. Ni har framhållit att Polismyndi</w:t>
      </w:r>
      <w:r w:rsidRPr="00896D4F">
        <w:t>g</w:t>
      </w:r>
      <w:r w:rsidRPr="00896D4F">
        <w:t>heten i Stockholms län, med hänvisning till 9 kap. 17 §</w:t>
      </w:r>
      <w:r w:rsidRPr="00896D4F">
        <w:t xml:space="preserve"> första stycket 1 se</w:t>
      </w:r>
      <w:r w:rsidRPr="00896D4F">
        <w:t>k</w:t>
      </w:r>
      <w:r w:rsidRPr="00896D4F">
        <w:t xml:space="preserve">retesslagen (1980:100), har avslagit framställningar från de privatpersoner som nämnts ovan om utfående av identiskt samma handlingar som begärts utlämnade från JO. Ni har bifogat kopior av de aktuella besluten. </w:t>
      </w:r>
    </w:p>
    <w:p w:rsidR="009C1C5A" w:rsidRPr="00896D4F" w:rsidRDefault="009C1C5A">
      <w:pPr>
        <w:pStyle w:val="Rubrik3"/>
      </w:pPr>
      <w:r w:rsidRPr="00896D4F">
        <w:t>Yttrande</w:t>
      </w:r>
    </w:p>
    <w:p w:rsidR="009C1C5A" w:rsidRPr="00896D4F" w:rsidRDefault="009C1C5A">
      <w:r w:rsidRPr="00896D4F">
        <w:t xml:space="preserve">På min begäran har Kjell Swanström den 30 januari 2002 avgett ett yttrande i ärendet, som på Er begäran tidigare tillställts Er och som föranlett vissa kommentarer från Er sida i en skrivelse daterad den 24 mars 2002. </w:t>
      </w:r>
    </w:p>
    <w:p w:rsidR="009C1C5A" w:rsidRPr="00896D4F" w:rsidRDefault="009C1C5A">
      <w:pPr>
        <w:pStyle w:val="Normaltindrag"/>
      </w:pPr>
      <w:r w:rsidRPr="00896D4F">
        <w:t>Kjell Swanström har i sitt yttrande bl.a. lämnat följande sakupplysningar om handläggningen av de två utlämnandeäre</w:t>
      </w:r>
      <w:r w:rsidRPr="00896D4F">
        <w:t>n</w:t>
      </w:r>
      <w:r w:rsidRPr="00896D4F">
        <w:t>dena.</w:t>
      </w:r>
    </w:p>
    <w:p w:rsidR="009C1C5A" w:rsidRPr="00896D4F" w:rsidRDefault="009C1C5A">
      <w:pPr>
        <w:pStyle w:val="Normaltindrag"/>
        <w:rPr>
          <w:sz w:val="20"/>
        </w:rPr>
      </w:pPr>
      <w:r w:rsidRPr="00896D4F">
        <w:t>Kjell Swanström gjorde vid den första av de två sekretessprövningarna den bedömningen att det inte fanns skäl att helt vägra att lämna ut handlingarna men att de uppgifter av medicinsk karaktär rörande diagnoser m.m. som fanns i dem skulle uteslutas. Han ansåg däremot inte att det fanns skäl att sekretes</w:t>
      </w:r>
      <w:r w:rsidRPr="00896D4F">
        <w:t>s</w:t>
      </w:r>
      <w:r w:rsidRPr="00896D4F">
        <w:t>belägga uppgiften om Er identitet.</w:t>
      </w:r>
    </w:p>
    <w:p w:rsidR="009C1C5A" w:rsidRPr="00896D4F" w:rsidRDefault="009C1C5A">
      <w:pPr>
        <w:pStyle w:val="Normaltindrag"/>
      </w:pPr>
      <w:r w:rsidRPr="00896D4F">
        <w:t>Sedan Kjell Swanström därefter hade blivit kontaktad av Er och Ni fra</w:t>
      </w:r>
      <w:r w:rsidRPr="00896D4F">
        <w:t>m</w:t>
      </w:r>
      <w:r w:rsidRPr="00896D4F">
        <w:t>fört att Ni ansåg att Er integritet hade blivit kränkt genom utlämnandet, lät Kjell Swanström framställa en avidentifierad version av aktbilaga 3 som til</w:t>
      </w:r>
      <w:r w:rsidRPr="00896D4F">
        <w:t>l</w:t>
      </w:r>
      <w:r w:rsidRPr="00896D4F">
        <w:t>fördes akten. Vidare anbringades en hemligstämpel på originalversionen av aktbilaga 3 samt på aktomslaget, där det bredvid hemligstämpeln anteckn</w:t>
      </w:r>
      <w:r w:rsidRPr="00896D4F">
        <w:t>a</w:t>
      </w:r>
      <w:r w:rsidRPr="00896D4F">
        <w:t>des: ”gäller AB 3. Avidentifierad version kan lämnas ut”. När det andra u</w:t>
      </w:r>
      <w:r w:rsidRPr="00896D4F">
        <w:t>t</w:t>
      </w:r>
      <w:r w:rsidRPr="00896D4F">
        <w:t>lämnandeärendet aktualiserades hos JO, blev resultatet av Kjell Swanströms sekretessprövning att den avidentifierade versionen av aktbila</w:t>
      </w:r>
      <w:r w:rsidRPr="00896D4F">
        <w:t>ga 3 lämnades ut med uteslutande av uppgifterna om medicinska diagnoser m.m.</w:t>
      </w:r>
    </w:p>
    <w:p w:rsidR="009C1C5A" w:rsidRPr="00896D4F" w:rsidRDefault="009C1C5A">
      <w:pPr>
        <w:pStyle w:val="Rubrik3"/>
      </w:pPr>
      <w:r w:rsidRPr="00896D4F">
        <w:t>Bedömning</w:t>
      </w:r>
    </w:p>
    <w:p w:rsidR="009C1C5A" w:rsidRPr="00896D4F" w:rsidRDefault="009C1C5A">
      <w:r w:rsidRPr="00896D4F">
        <w:t>Enligt 22 § första stycket lagen (1994:260) om offentlig anställning (LOA) skall  åtalsanmälan göras bl.a. avseende den som är skäligen misstänkt för att i sin anställning ha begått brott enligt 20 kap. 3 § första stycket brottsbalken (BrB), dvs. uppsåtligt brott mot tys</w:t>
      </w:r>
      <w:r w:rsidRPr="00896D4F">
        <w:t>t</w:t>
      </w:r>
      <w:r w:rsidRPr="00896D4F">
        <w:t xml:space="preserve">nadsplikt. </w:t>
      </w:r>
    </w:p>
    <w:p w:rsidR="009C1C5A" w:rsidRPr="00896D4F" w:rsidRDefault="009C1C5A">
      <w:pPr>
        <w:pStyle w:val="Normaltindrag"/>
      </w:pPr>
      <w:r w:rsidRPr="00896D4F">
        <w:t>Enligt 14 § första stycket LOA får disciplinpåföljd för tjänsteförseelse meddelas en arbetstagare, som uppsåtligen eller av oaktsamhet åsidosätter sina skyldigheter i anställningen. Om felet med hänsyn till samtliga omstä</w:t>
      </w:r>
      <w:r w:rsidRPr="00896D4F">
        <w:t>n</w:t>
      </w:r>
      <w:r w:rsidRPr="00896D4F">
        <w:t>digh</w:t>
      </w:r>
      <w:r w:rsidRPr="00896D4F">
        <w:t>e</w:t>
      </w:r>
      <w:r w:rsidRPr="00896D4F">
        <w:t xml:space="preserve">ter är ringa, får inte någon påföljd meddelas. </w:t>
      </w:r>
    </w:p>
    <w:p w:rsidR="009C1C5A" w:rsidRPr="00896D4F" w:rsidRDefault="009C1C5A">
      <w:pPr>
        <w:pStyle w:val="Normaltindrag"/>
      </w:pPr>
      <w:r w:rsidRPr="00896D4F">
        <w:t>Frågor om åtalsanmälan och disciplinansvar prövas såvitt avser kanslich</w:t>
      </w:r>
      <w:r w:rsidRPr="00896D4F">
        <w:t>e</w:t>
      </w:r>
      <w:r w:rsidRPr="00896D4F">
        <w:t>fen hos Riksdagens ombudsmän av Riksdagens ansvarsnämnd. Det anko</w:t>
      </w:r>
      <w:r w:rsidRPr="00896D4F">
        <w:t>m</w:t>
      </w:r>
      <w:r w:rsidRPr="00896D4F">
        <w:t xml:space="preserve">mer på mig i egenskap av chefsjustitieombudsman att ta ställning till om det i ett visst fall finns anledning att göra anmälan till ansvarsnämnden avseende en sådan åtgärd. </w:t>
      </w:r>
    </w:p>
    <w:p w:rsidR="009C1C5A" w:rsidRPr="00896D4F" w:rsidRDefault="009C1C5A">
      <w:pPr>
        <w:pStyle w:val="Normaltindrag"/>
      </w:pPr>
      <w:r w:rsidRPr="00896D4F">
        <w:t>Det kan inledningsvis konstateras att de två utlämnanden som här är akt</w:t>
      </w:r>
      <w:r w:rsidRPr="00896D4F">
        <w:t>u</w:t>
      </w:r>
      <w:r w:rsidRPr="00896D4F">
        <w:t>ella har föregåtts av en sekretessprövning som resulterat i att handlingarna lämnats ut först sedan vissa uppgifter uteslutits. Det saknas därför under alla omständigheter anledning att anta att det föreligger något uppsåtligt brott mot tystnadsplikt. Någon skyldighet att göra en åtalsanmälan med anledning av det inträffade föreligger således inte, och jag kan därmed inte heller anses vara skyldig att aktualisera en sådan fråga hos Riksdagens a</w:t>
      </w:r>
      <w:r w:rsidRPr="00896D4F">
        <w:t>n</w:t>
      </w:r>
      <w:r w:rsidRPr="00896D4F">
        <w:t>svarsnämnd.</w:t>
      </w:r>
    </w:p>
    <w:p w:rsidR="009C1C5A" w:rsidRPr="00896D4F" w:rsidRDefault="009C1C5A">
      <w:pPr>
        <w:pStyle w:val="Normaltindrag"/>
      </w:pPr>
      <w:r w:rsidRPr="00896D4F">
        <w:t>De föreskrifter som är av intresse för min fortsat</w:t>
      </w:r>
      <w:r w:rsidRPr="00896D4F">
        <w:t>ta bedömning i ärendet åte</w:t>
      </w:r>
      <w:r w:rsidRPr="00896D4F">
        <w:t>r</w:t>
      </w:r>
      <w:r w:rsidRPr="00896D4F">
        <w:t xml:space="preserve">finns i 9 kap. 17 § och 11 kap. 4 § SekrL. </w:t>
      </w:r>
    </w:p>
    <w:p w:rsidR="009C1C5A" w:rsidRPr="00896D4F" w:rsidRDefault="009C1C5A">
      <w:pPr>
        <w:pStyle w:val="Normaltindrag"/>
      </w:pPr>
      <w:r w:rsidRPr="00896D4F">
        <w:t>Enligt 9 kap. 17 § första stycket 1 SekrL gäller sedan den 1 april 1999 se</w:t>
      </w:r>
      <w:r w:rsidRPr="00896D4F">
        <w:t>k</w:t>
      </w:r>
      <w:r w:rsidRPr="00896D4F">
        <w:t>retess med ett s.k. omvänt skaderekvisit för uppgifter om enskildas personliga och ekonomiska förhållanden i utredningar enligt bestämmelserna om föru</w:t>
      </w:r>
      <w:r w:rsidRPr="00896D4F">
        <w:t>n</w:t>
      </w:r>
      <w:r w:rsidRPr="00896D4F">
        <w:t>der</w:t>
      </w:r>
      <w:r w:rsidRPr="00896D4F">
        <w:softHyphen/>
        <w:t>sökning i brottmål. Denna sekretess anses omfatta också uppgifter i polis</w:t>
      </w:r>
      <w:r w:rsidRPr="00896D4F">
        <w:softHyphen/>
        <w:t>anmälningar. Det omvända skaderekvisitet innebär att sekretess gäller, om det inte står klart att uppgiften kan röjas utan att den enskilde eller någon honom närstående lider skada eller men. Presumtionen är således i dessa fall för sekretess, vilket innebär att den myndighet där e</w:t>
      </w:r>
      <w:r w:rsidRPr="00896D4F">
        <w:t>n sådan uppgift finns har mycket begränsade möjligheter att lämna ut den. Före den 1 april 1999 inn</w:t>
      </w:r>
      <w:r w:rsidRPr="00896D4F">
        <w:t>e</w:t>
      </w:r>
      <w:r w:rsidRPr="00896D4F">
        <w:t>höll regeln i stället ett s.k. rakt skaderekvisit, som innebar att sekretess gällde endast om det kunde antas att den enskilde eller någon honom närstående led skada eller men om uppgiften röjdes. Presumtionen var således tidigare för offentlighet.</w:t>
      </w:r>
    </w:p>
    <w:p w:rsidR="009C1C5A" w:rsidRPr="00896D4F" w:rsidRDefault="009C1C5A">
      <w:pPr>
        <w:pStyle w:val="Normaltindrag"/>
      </w:pPr>
      <w:r w:rsidRPr="00896D4F">
        <w:t>Utgångspunkten vid bedömningen av om det föreligger ”men” i sekr</w:t>
      </w:r>
      <w:r w:rsidRPr="00896D4F">
        <w:t>e</w:t>
      </w:r>
      <w:r w:rsidRPr="00896D4F">
        <w:t>tesslagens bemärkelse skall vara den berörda personens egen upplevelse. Bedömningen måste emellertid, enligt vad som uttalas i sekretesslagens f</w:t>
      </w:r>
      <w:r w:rsidRPr="00896D4F">
        <w:t>ö</w:t>
      </w:r>
      <w:r w:rsidRPr="00896D4F">
        <w:t>r</w:t>
      </w:r>
      <w:r w:rsidRPr="00896D4F">
        <w:softHyphen/>
        <w:t>arbeten (prop. 1979/80:2 Del A. s. 83), korrigeras på grundval av gängse värderingar i samhä</w:t>
      </w:r>
      <w:r w:rsidRPr="00896D4F">
        <w:t>l</w:t>
      </w:r>
      <w:r w:rsidRPr="00896D4F">
        <w:t xml:space="preserve">let. </w:t>
      </w:r>
    </w:p>
    <w:p w:rsidR="009C1C5A" w:rsidRPr="00896D4F" w:rsidRDefault="009C1C5A">
      <w:pPr>
        <w:pStyle w:val="Normaltindrag"/>
      </w:pPr>
      <w:r w:rsidRPr="00896D4F">
        <w:t>Om JO i sin tillsynsverksamhet från en myndighet erhåller en uppgift som är sekretessbelagd där, gäller enligt 11 kap. 4 § andra stycket SekrL sekrete</w:t>
      </w:r>
      <w:r w:rsidRPr="00896D4F">
        <w:t>s</w:t>
      </w:r>
      <w:r w:rsidRPr="00896D4F">
        <w:t>sen också hos JO. Om uppgiften förekommer i en handling, t.ex. ett yttrande, som har upprättats med anledning av verksamheten gäller emellertid enligt samma lagrum sekretess hos JO bara i den mån det kan antas att ett allmänt eller enskilt intresse lider avsevärd skada eller betydande men om uppgiften röjs. Om JO i ett tillsyns</w:t>
      </w:r>
      <w:r w:rsidRPr="00896D4F">
        <w:softHyphen/>
        <w:t xml:space="preserve">ärende får in t.ex. en kopia av polisanmälan från en polismyndighet skall frågan om utlämnande av handlingen således också hos JO prövas med utgångspunkt bl.a. i bestämmelserna i 9 </w:t>
      </w:r>
      <w:r w:rsidRPr="00896D4F">
        <w:t>kap. 17 § första stycket SekrL. Det är här fråga om s.k. öve</w:t>
      </w:r>
      <w:r w:rsidRPr="00896D4F">
        <w:t>r</w:t>
      </w:r>
      <w:r w:rsidRPr="00896D4F">
        <w:t>förd eller sekundär sekretess.</w:t>
      </w:r>
    </w:p>
    <w:p w:rsidR="009C1C5A" w:rsidRPr="00896D4F" w:rsidRDefault="009C1C5A">
      <w:pPr>
        <w:pStyle w:val="Normaltindrag"/>
      </w:pPr>
      <w:r w:rsidRPr="00896D4F">
        <w:t>Om JO i sin tillsynsverksamhet däremot erhåller en uppgift från en enskild person – t.ex. i en anmälan eller i en till denna fogad handling – gäller enligt 11 kap. 4 § tredje stycket SekrL sekretess till skydd för en enskilds personliga förhållanden endast i den mån uppgiften skulle ha varit sekretessbelagd hos den myndighet som ärendet får anses avse och det kan antas att den som up</w:t>
      </w:r>
      <w:r w:rsidRPr="00896D4F">
        <w:t>p</w:t>
      </w:r>
      <w:r w:rsidRPr="00896D4F">
        <w:t>giften rör eller någon honom närstående lider betydande men om uppgiften röjs. Lagstiftarens utgångspunkt har här varit att intresset av insyn i JO:s tillsynsverksamhet avseende anmälningar från enskilda är så betydande att den som gör en anmälan till JO får tåla att också sådana av honom lämnade uppgifter som han betraktar som känsliga kommer att bli offentliga (jfr prop. 1979/80:2 Del A s. 298 och prop. 1986/87:160 s. 21). Det är uppenbart att lagstiftarens syfte med regleringen i 11 kap. 4 § tredje styc</w:t>
      </w:r>
      <w:r w:rsidRPr="00896D4F">
        <w:t>ket sekretesslagen inte kan uppnås, om man vid tillämpningen låter tolkningen av rekvisitet ”betydande men” bestämmas uteslutande av den enskildes subjektiva uppl</w:t>
      </w:r>
      <w:r w:rsidRPr="00896D4F">
        <w:t>e</w:t>
      </w:r>
      <w:r w:rsidRPr="00896D4F">
        <w:t>velse i det särskilda fallet. Det får i stället ankomma på den som prövar u</w:t>
      </w:r>
      <w:r w:rsidRPr="00896D4F">
        <w:t>t</w:t>
      </w:r>
      <w:r w:rsidRPr="00896D4F">
        <w:t>lämnandefrågan att med utgångspunkt i gängse värderingar i samhället bed</w:t>
      </w:r>
      <w:r w:rsidRPr="00896D4F">
        <w:t>ö</w:t>
      </w:r>
      <w:r w:rsidRPr="00896D4F">
        <w:t>ma vad som är en rimlig tolkning av rekvisitet med hänsyn bl.a. till intresset av insyn i JO:s klagomålshantering. I de fall där en klagande – vilket inte är ovanligt – till en anmälan mot polisen fog</w:t>
      </w:r>
      <w:r w:rsidRPr="00896D4F">
        <w:t xml:space="preserve">ar en kopia av en polisanmälan leder en sådan bedömning som regel till att uppgifterna i denna anses vara helt öppna. </w:t>
      </w:r>
    </w:p>
    <w:p w:rsidR="009C1C5A" w:rsidRPr="00896D4F" w:rsidRDefault="009C1C5A">
      <w:pPr>
        <w:pStyle w:val="Normaltindrag"/>
      </w:pPr>
      <w:r w:rsidRPr="00896D4F">
        <w:t>Ni har i Er skrift hänvisat till att Polismyndigheten i Stockholms län helt har vägrat att lämna ut de aktuella handlingarna. Som Kjell Swanström har framhållit i sitt yttrande har emellertid varje myndighet att självständigt göra sekretessprövning enligt gällande föreskrifter i sekretesslagen, när en han</w:t>
      </w:r>
      <w:r w:rsidRPr="00896D4F">
        <w:t>d</w:t>
      </w:r>
      <w:r w:rsidRPr="00896D4F">
        <w:t>ling begärs utlämnad. En polismyndighets ställningstaganden till framstäl</w:t>
      </w:r>
      <w:r w:rsidRPr="00896D4F">
        <w:t>l</w:t>
      </w:r>
      <w:r w:rsidRPr="00896D4F">
        <w:t xml:space="preserve">ningar om utlämnande av handlingar hänförliga till en förundersökning är således inte bindande vid en sekretessbedömning hos JO om utlämnande av samma handlingar. </w:t>
      </w:r>
    </w:p>
    <w:p w:rsidR="009C1C5A" w:rsidRPr="00896D4F" w:rsidRDefault="009C1C5A">
      <w:pPr>
        <w:pStyle w:val="Normaltindrag"/>
      </w:pPr>
      <w:r w:rsidRPr="00896D4F">
        <w:t>Det finns anledning att här erinra om att den svenska offentlighetslagstif</w:t>
      </w:r>
      <w:r w:rsidRPr="00896D4F">
        <w:t>t</w:t>
      </w:r>
      <w:r w:rsidRPr="00896D4F">
        <w:t>ningen innebär att sekretess är ett undantag från en grundlagsfäst huvudregel om offentlighet. Om en handling innehåller såväl öppna uppgifter som up</w:t>
      </w:r>
      <w:r w:rsidRPr="00896D4F">
        <w:t>p</w:t>
      </w:r>
      <w:r w:rsidRPr="00896D4F">
        <w:t>gifter som omfattas av sekretess, skall därför en utlämnandefråga handläggas på sådant sätt att de öppna uppgifterna kan lämnas ut. Detta synsätt avspeglas i regeln i 2 kap. 12 § första stycket tredje meningen tryckfrihetsförordningen, där det föreskrivs att en handling, som inte kan tillhandahållas utan att man röjer sådana delar av den som inte får lämnas u</w:t>
      </w:r>
      <w:r w:rsidRPr="00896D4F">
        <w:t>t, i övriga delar skall göras tillgänglig för sökanden i avskrift eller kopia.</w:t>
      </w:r>
    </w:p>
    <w:p w:rsidR="009C1C5A" w:rsidRPr="00896D4F" w:rsidRDefault="009C1C5A">
      <w:pPr>
        <w:pStyle w:val="Normaltindrag"/>
      </w:pPr>
      <w:r w:rsidRPr="00896D4F">
        <w:t>Jag kan mot denna bakgrund inte finna att det kan riktas någon invändning mot Kjell Swanströms förfarande vid det andra utlämnandetillfället att lämna ut kopior av de aktuella handlingarna i avidentifierat skick och med de kän</w:t>
      </w:r>
      <w:r w:rsidRPr="00896D4F">
        <w:t>s</w:t>
      </w:r>
      <w:r w:rsidRPr="00896D4F">
        <w:t>liga medicinska uppgifterna uteslutna. Det får nämligen generellt anses gälla att det inte föreligger någon sådan risk för skada eller men som åsyftas i de sekretessregler som skyddar enskildas förhållanden, om man vid utlämnandet av en handling med uppgifter om förhållanden av detta slag utesluter sådan information som gör det möjligt att hänföra uppgifterna till en viss pe</w:t>
      </w:r>
      <w:r w:rsidRPr="00896D4F">
        <w:t>r</w:t>
      </w:r>
      <w:r w:rsidRPr="00896D4F">
        <w:t>son.</w:t>
      </w:r>
    </w:p>
    <w:p w:rsidR="009C1C5A" w:rsidRPr="00896D4F" w:rsidRDefault="009C1C5A">
      <w:pPr>
        <w:pStyle w:val="Normaltindrag"/>
      </w:pPr>
      <w:r w:rsidRPr="00896D4F">
        <w:t>Det återstår då för mig att ta ställning till hur man skall se på det första u</w:t>
      </w:r>
      <w:r w:rsidRPr="00896D4F">
        <w:t>t</w:t>
      </w:r>
      <w:r w:rsidRPr="00896D4F">
        <w:t>lämnandet, där uppgifterna om Er identitet inte hade tagits bort men väl de känsliga up</w:t>
      </w:r>
      <w:r w:rsidRPr="00896D4F">
        <w:t>p</w:t>
      </w:r>
      <w:r w:rsidRPr="00896D4F">
        <w:t>gifterna om bl.a. en medicinsk diagnos.</w:t>
      </w:r>
    </w:p>
    <w:p w:rsidR="009C1C5A" w:rsidRPr="00896D4F" w:rsidRDefault="009C1C5A">
      <w:pPr>
        <w:pStyle w:val="Normaltindrag"/>
      </w:pPr>
      <w:r w:rsidRPr="00896D4F">
        <w:t>Man kan som huvudregel lägga fast att handlingar innehållande sådana uppgifter om enskildas personliga förhållanden som skyddas av sekretess med omvänt skaderekvisit inte bör lämnas ut annat än i avidentifierat skick. Detta gäller således bl.a. i fråga om sådana uppgifter som avses i 9 kap. 17 § första stycket sekretesslagen. Som Kjell Swanström har framhållit och som också framgå</w:t>
      </w:r>
      <w:r w:rsidRPr="00896D4F">
        <w:t>r av framställningen i det föregående uppvisar emellertid regleringen av sekretess hos JO vissa särdrag som skiljer den från vad som i allmänhet gäller och som måste beaktas i sammanhanget. Som jag tidigare har framhållit är denna reglering föranledd av lagstiftarens önskemål om största möjliga insyn i JO:s tillsynsverksamhet avseende anmälningar från enski</w:t>
      </w:r>
      <w:r w:rsidRPr="00896D4F">
        <w:t>l</w:t>
      </w:r>
      <w:r w:rsidRPr="00896D4F">
        <w:t xml:space="preserve">da. </w:t>
      </w:r>
    </w:p>
    <w:p w:rsidR="009C1C5A" w:rsidRPr="00896D4F" w:rsidRDefault="009C1C5A">
      <w:pPr>
        <w:pStyle w:val="Normaltindrag"/>
      </w:pPr>
      <w:r w:rsidRPr="00896D4F">
        <w:t>Jag har i det föregående nämnt att exempelvis uppgifterna i en kopia av en polisanmälan som bifogas ett klagomål till JO, till följd av bestämmelse</w:t>
      </w:r>
      <w:r w:rsidRPr="00896D4F">
        <w:t>n i 11 kap. 4 § tredje stycket SekrL, som regel i sin helhet bedöms vara offentliga hos JO, medan däremot sekretess enligt 9 kap. 17 § första stycket SekrL följer med en polisanmälan som tillställs JO direkt från en polismyndighet. I de flesta fall vållar reglerna om sekretess hos JO inte några svårigheter i tilläm</w:t>
      </w:r>
      <w:r w:rsidRPr="00896D4F">
        <w:t>p</w:t>
      </w:r>
      <w:r w:rsidRPr="00896D4F">
        <w:t xml:space="preserve">ningen. Lagstiftaren har emellertid inte anvisat någon lösning på det problem som uppkommer om JO i samma ärende får in kopior av samma handling, t.ex. en polisanmälan, dels från anmälaren, dels </w:t>
      </w:r>
      <w:r w:rsidRPr="00896D4F">
        <w:t>från en myndighet där sekr</w:t>
      </w:r>
      <w:r w:rsidRPr="00896D4F">
        <w:t>e</w:t>
      </w:r>
      <w:r w:rsidRPr="00896D4F">
        <w:t>tess gäller för uppgifterna i handlingen. Tolkad enligt sin ordalydelse innebär lagtexten i detta fall att exakt samma uppgifter kan vara helt offentliga när de hämtas från klagandens exemplar men sekretessbelagda när de hämtas från det exemplar som kommer från myndigheten. JO skulle således ha full frihet att lämna ut kopior av det ena exemplaret men vara skyldig att hemlighålla det andra eller i varje fall inte kunna lämna ut det annat än i avidentifierat skick, trots att de til</w:t>
      </w:r>
      <w:r w:rsidRPr="00896D4F">
        <w:t xml:space="preserve">l innehåll och utseende är identiska. </w:t>
      </w:r>
    </w:p>
    <w:p w:rsidR="009C1C5A" w:rsidRPr="00896D4F" w:rsidRDefault="009C1C5A">
      <w:pPr>
        <w:pStyle w:val="Normaltindrag"/>
      </w:pPr>
      <w:r w:rsidRPr="00896D4F">
        <w:t>Ett sådan tolkning av regleringen framstår inte som rimlig. Mot bakgrund av vad lagstiftaren har uttalat om intresset av insyn i JO:s klagomålshantering är det i en situation av det här angivna slaget i stället naturligt att låta frågan om utlämnande av uppgifterna i fråga i sin helhet styras av reglerna i 11 kap. 4 § tredje stycket SekrL.</w:t>
      </w:r>
    </w:p>
    <w:p w:rsidR="009C1C5A" w:rsidRPr="00896D4F" w:rsidRDefault="009C1C5A">
      <w:pPr>
        <w:pStyle w:val="Normaltindrag"/>
      </w:pPr>
      <w:r w:rsidRPr="00896D4F">
        <w:t>Den situation som föreligger i det här aktuella fallet skiljer sig inte särskilt mycket från den nyss beskrivna. Av akten i klagomålsärendet – som avsåg en läkare inom den offentliga sjukvården – framgår nämligen att anmälaren, en förening, hade bifogat en av Er undertecknad skrivelse i vilken Ni hade begärt föreningens hjälp med att göra en JO-anmälan. Denna skrivelse innehöll, om också i mer översiktlig form, väsentligen samma uppgifter om Era personliga förhållanden som de handlingar som sedan infordrad</w:t>
      </w:r>
      <w:r w:rsidRPr="00896D4F">
        <w:t>es från dåvarande Poli</w:t>
      </w:r>
      <w:r w:rsidRPr="00896D4F">
        <w:t>s</w:t>
      </w:r>
      <w:r w:rsidRPr="00896D4F">
        <w:t>myndigheten i Stockholm och som varit aktuella i de nu diskuterade utlä</w:t>
      </w:r>
      <w:r w:rsidRPr="00896D4F">
        <w:t>m</w:t>
      </w:r>
      <w:r w:rsidRPr="00896D4F">
        <w:t>nandeäre</w:t>
      </w:r>
      <w:r w:rsidRPr="00896D4F">
        <w:t>n</w:t>
      </w:r>
      <w:r w:rsidRPr="00896D4F">
        <w:t xml:space="preserve">dena. </w:t>
      </w:r>
    </w:p>
    <w:p w:rsidR="009C1C5A" w:rsidRPr="00896D4F" w:rsidRDefault="009C1C5A">
      <w:pPr>
        <w:pStyle w:val="Normaltindrag"/>
      </w:pPr>
      <w:r w:rsidRPr="00896D4F">
        <w:t>Till följd av regeln i 11 kap. 4 § tredje stycket SekrL kan en sekretessprö</w:t>
      </w:r>
      <w:r w:rsidRPr="00896D4F">
        <w:t>v</w:t>
      </w:r>
      <w:r w:rsidRPr="00896D4F">
        <w:t>ning av den av Er undertecknade skrivelsen förväntas få till resultat att den enda där intagna uppgift som bedöms vara omfattad av sekretess hos JO är uppgiften om en medicinsk diagnos. Det kan parentetiskt nämnas att den underliggande sekretessregel som här kan vara aktuell inte är bestämmelsen om förundersökningssekretess i 9 kap. 17 § första stycket SekrL utan för</w:t>
      </w:r>
      <w:r w:rsidRPr="00896D4F">
        <w:t>e</w:t>
      </w:r>
      <w:r w:rsidRPr="00896D4F">
        <w:t xml:space="preserve">skrifterna om sjukvårdssekretess i 7 kap. 1 § SekrL. Övriga uppgifter i den till anmälan fogade skrivelsen – innefattande bl.a. upplysningar </w:t>
      </w:r>
      <w:r w:rsidRPr="00896D4F">
        <w:t>om Er identitet och om det förhållandet att Ni varit föremål för en polisanmälan av en läkare med vilken Ni tidigare hade haft en patientkontakt – torde vara att bedöma som o</w:t>
      </w:r>
      <w:r w:rsidRPr="00896D4F">
        <w:t>f</w:t>
      </w:r>
      <w:r w:rsidRPr="00896D4F">
        <w:t>fentliga hos JO.</w:t>
      </w:r>
    </w:p>
    <w:p w:rsidR="009C1C5A" w:rsidRPr="00896D4F" w:rsidRDefault="009C1C5A">
      <w:pPr>
        <w:pStyle w:val="Normaltindrag"/>
      </w:pPr>
      <w:r w:rsidRPr="00896D4F">
        <w:t>Det är ofrånkomligt att ställningstagandet i en utlämnandefråga hos JO, även om den som här skall bedömas med utgångspunkt i 9 kap. 17 § första stycket SekrL, kommer att påverkas av det förhållandet att uppgifter som i och för sig kan bedömas vara omfattade av sekretess enligt denna regel är att anse som offentliga när</w:t>
      </w:r>
      <w:r w:rsidRPr="00896D4F">
        <w:t xml:space="preserve"> de finns i en annan handling i samma ärende. Man kan också uttrycka saken så, att skaderekvisitet i 9 kap. 17 § SekrL i en situ</w:t>
      </w:r>
      <w:r w:rsidRPr="00896D4F">
        <w:t>a</w:t>
      </w:r>
      <w:r w:rsidRPr="00896D4F">
        <w:t xml:space="preserve">tion av det här diskuterade slaget skall tolkas med utgångspunkt i lagstiftarens uppfattning, som denna kommer till uttryck i 11 kap. 4 § tredje stycket SekrL, att den som gör en anmälan till JO – eller den i vars intresse en sådan anmälan görs – får anses vara införstådd med att de uppgifter som lämnas i samband med anmälan i stor utsträckning kommer att bli offentliga, även när </w:t>
      </w:r>
      <w:r w:rsidRPr="00896D4F">
        <w:t>de avser pe</w:t>
      </w:r>
      <w:r w:rsidRPr="00896D4F">
        <w:t>r</w:t>
      </w:r>
      <w:r w:rsidRPr="00896D4F">
        <w:t xml:space="preserve">sonliga förhållanden av i den enskildes ögon känslig natur. </w:t>
      </w:r>
    </w:p>
    <w:p w:rsidR="009C1C5A" w:rsidRPr="00896D4F" w:rsidRDefault="009C1C5A">
      <w:pPr>
        <w:pStyle w:val="Normaltindrag"/>
        <w:rPr>
          <w:i/>
        </w:rPr>
      </w:pPr>
      <w:r w:rsidRPr="00896D4F">
        <w:t>Jag kan i detta sammanhang avslutningsvis nämna att Ekosekretessutre</w:t>
      </w:r>
      <w:r w:rsidRPr="00896D4F">
        <w:t>d</w:t>
      </w:r>
      <w:r w:rsidRPr="00896D4F">
        <w:t>ningen i sitt arbete funnit ett liknande problem vad gäller frågan om sekretess enligt 9 kap. 17 § SekrL hos åklagare för sådana uppgifter i hos åklagaren förvarade brottmålsdomar som är offentliga hos domstolarna (SOU 1999:53, s. 248).</w:t>
      </w:r>
    </w:p>
    <w:p w:rsidR="009C1C5A" w:rsidRPr="00896D4F" w:rsidRDefault="009C1C5A">
      <w:pPr>
        <w:pStyle w:val="Normaltindrag"/>
      </w:pPr>
      <w:r w:rsidRPr="00896D4F">
        <w:t>Som framgår av det sagda kan rättsläget vad gäller sekretess hos JO i sit</w:t>
      </w:r>
      <w:r w:rsidRPr="00896D4F">
        <w:t>u</w:t>
      </w:r>
      <w:r w:rsidRPr="00896D4F">
        <w:t>ationer av här diskuterat slag inte anses vara helt klart. Den naturliga u</w:t>
      </w:r>
      <w:r w:rsidRPr="00896D4F">
        <w:t>t</w:t>
      </w:r>
      <w:r w:rsidRPr="00896D4F">
        <w:t xml:space="preserve">gångspunkten vid tillämpningen av reglerna om sekretess hos JO är emellertid lagstiftarens tydligt uttalade avsikt att verksamheten hos JO skall bedrivas under största möjliga öppenhet. Detta synsätt måste därför prägla prövningen av utlämnandefrågor hos JO. </w:t>
      </w:r>
    </w:p>
    <w:p w:rsidR="009C1C5A" w:rsidRPr="00896D4F" w:rsidRDefault="009C1C5A">
      <w:pPr>
        <w:pStyle w:val="Normaltindrag"/>
      </w:pPr>
      <w:r w:rsidRPr="00896D4F">
        <w:t>I sammanhanget bör slutligen också beaktas att det här har varit fråga om utlämnande av handlingar i en nedlagd förundersökning som avsåg händelser som vid tidpunkten för utläm</w:t>
      </w:r>
      <w:r w:rsidRPr="00896D4F">
        <w:t>nandena låg åtta år tillbaka i tiden. Som framgår av förarbetena till sekretesslagen minskar risken för att ett röjande av en up</w:t>
      </w:r>
      <w:r w:rsidRPr="00896D4F">
        <w:t>p</w:t>
      </w:r>
      <w:r w:rsidRPr="00896D4F">
        <w:t xml:space="preserve">gift skall medföra skada eller men normalt med tiden (prop. 1979/80:2 Del A s. 86). </w:t>
      </w:r>
    </w:p>
    <w:p w:rsidR="009C1C5A" w:rsidRPr="00896D4F" w:rsidRDefault="009C1C5A">
      <w:pPr>
        <w:pStyle w:val="Normaltindrag"/>
      </w:pPr>
      <w:r w:rsidRPr="00896D4F">
        <w:t>Kjell Swanström har således vid sin sekretess</w:t>
      </w:r>
      <w:r w:rsidRPr="00896D4F">
        <w:softHyphen/>
        <w:t>prövning ställts inför en rättstillämpningsfråga av komplicerat slag, där det funnits ett icke obetydligt utrymme för olika bedömningar av vilka ingen kan sägas vara felaktig (jfr JO 1996/97 s. 474). Av Kjell Swanströms yttrande framgår att hans beslut i u</w:t>
      </w:r>
      <w:r w:rsidRPr="00896D4F">
        <w:t>t</w:t>
      </w:r>
      <w:r w:rsidRPr="00896D4F">
        <w:t>lämnandefrågan föregåtts av en ingående rättslig analys av de olika aspekter på utlämnandefrågan som aktualiserats i ärendet. Jag kan mot denna bakgrund inte finna annat än att också Kjell Swanströms handläggning av det första av de två utlämnandefall so</w:t>
      </w:r>
      <w:r w:rsidRPr="00896D4F">
        <w:t>m avses med Er skrivelse ligger inom ramen för vad som får anses vara en godtagbar rättstilläm</w:t>
      </w:r>
      <w:r w:rsidRPr="00896D4F">
        <w:t>p</w:t>
      </w:r>
      <w:r w:rsidRPr="00896D4F">
        <w:t xml:space="preserve">ning. </w:t>
      </w:r>
    </w:p>
    <w:p w:rsidR="009C1C5A" w:rsidRPr="00896D4F" w:rsidRDefault="009C1C5A">
      <w:pPr>
        <w:pStyle w:val="Normaltindrag"/>
      </w:pPr>
      <w:r w:rsidRPr="00896D4F">
        <w:t>Det kan sammanfattningsvis konstateras att det enligt min mening saknas anledning att, med anledning av den handläggning som avses med Er skrive</w:t>
      </w:r>
      <w:r w:rsidRPr="00896D4F">
        <w:t>l</w:t>
      </w:r>
      <w:r w:rsidRPr="00896D4F">
        <w:t>se, hos Riksdagens ansvarsnämnd aktualisera någon fråga om åtalsanmälan eller discipl</w:t>
      </w:r>
      <w:r w:rsidRPr="00896D4F">
        <w:t>i</w:t>
      </w:r>
      <w:r w:rsidRPr="00896D4F">
        <w:t>n</w:t>
      </w:r>
      <w:r w:rsidRPr="00896D4F">
        <w:softHyphen/>
      </w:r>
      <w:r w:rsidRPr="00896D4F">
        <w:softHyphen/>
      </w:r>
      <w:r w:rsidRPr="00896D4F">
        <w:softHyphen/>
        <w:t>ansvar.</w:t>
      </w:r>
    </w:p>
    <w:p w:rsidR="009C1C5A" w:rsidRPr="00896D4F" w:rsidRDefault="009C1C5A">
      <w:pPr>
        <w:pStyle w:val="Rubrik2"/>
      </w:pPr>
      <w:r w:rsidRPr="00896D4F">
        <w:t>Fråga om en handling, som av barnomsorgspersonal lagts i de politiska partiernas postfack på en stadsdelsförvaltning, utgjort allmän handling. Även fråga om en barnomsorgschef genom att omhänderta handlingen och genom olika uttalanden kränkt de anställdas yttrandefrihet</w:t>
      </w:r>
    </w:p>
    <w:p w:rsidR="009C1C5A" w:rsidRPr="00896D4F" w:rsidRDefault="009C1C5A">
      <w:pPr>
        <w:spacing w:before="0"/>
      </w:pPr>
      <w:r w:rsidRPr="00896D4F">
        <w:t>(Dnr 963-2000)</w:t>
      </w:r>
    </w:p>
    <w:p w:rsidR="009C1C5A" w:rsidRPr="00896D4F" w:rsidRDefault="009C1C5A">
      <w:pPr>
        <w:pStyle w:val="Rubrik3"/>
      </w:pPr>
      <w:r w:rsidRPr="00896D4F">
        <w:t>Bakgrund</w:t>
      </w:r>
    </w:p>
    <w:p w:rsidR="009C1C5A" w:rsidRPr="00896D4F" w:rsidRDefault="009C1C5A">
      <w:r w:rsidRPr="00896D4F">
        <w:t>Genom beslut i kommunfullmäktige slogs Bromma och Västerleds stadsdel</w:t>
      </w:r>
      <w:r w:rsidRPr="00896D4F">
        <w:t>s</w:t>
      </w:r>
      <w:r w:rsidRPr="00896D4F">
        <w:t>för</w:t>
      </w:r>
      <w:r w:rsidRPr="00896D4F">
        <w:softHyphen/>
        <w:t>valtningar i Stockholms kommun ihop från den 1 juli 1999. Den nya org</w:t>
      </w:r>
      <w:r w:rsidRPr="00896D4F">
        <w:t>a</w:t>
      </w:r>
      <w:r w:rsidRPr="00896D4F">
        <w:t>nisatio</w:t>
      </w:r>
      <w:r w:rsidRPr="00896D4F">
        <w:softHyphen/>
        <w:t>nen fick nam</w:t>
      </w:r>
      <w:r w:rsidRPr="00896D4F">
        <w:softHyphen/>
        <w:t>net Bromma stadsdels</w:t>
      </w:r>
      <w:r w:rsidRPr="00896D4F">
        <w:softHyphen/>
        <w:t>förvaltning. Flertalet av de pedag</w:t>
      </w:r>
      <w:r w:rsidRPr="00896D4F">
        <w:t>o</w:t>
      </w:r>
      <w:r w:rsidRPr="00896D4F">
        <w:t>giska verk</w:t>
      </w:r>
      <w:r w:rsidRPr="00896D4F">
        <w:softHyphen/>
        <w:t>samheter som ingick i sammanslag</w:t>
      </w:r>
      <w:r w:rsidRPr="00896D4F">
        <w:softHyphen/>
        <w:t>ningen hade under 1999 olika organisation och budgetför</w:t>
      </w:r>
      <w:r w:rsidRPr="00896D4F">
        <w:softHyphen/>
        <w:t>utsättningar. Vid den ge</w:t>
      </w:r>
      <w:r w:rsidRPr="00896D4F">
        <w:softHyphen/>
        <w:t>nomgång av det ekon</w:t>
      </w:r>
      <w:r w:rsidRPr="00896D4F">
        <w:t>o</w:t>
      </w:r>
      <w:r w:rsidRPr="00896D4F">
        <w:t>miska läget, som skedde i samband med sammanslag</w:t>
      </w:r>
      <w:r w:rsidRPr="00896D4F">
        <w:softHyphen/>
        <w:t>ningen, framkom bl.a. att det ekonomiska ut</w:t>
      </w:r>
      <w:r w:rsidRPr="00896D4F">
        <w:softHyphen/>
        <w:t>fallet för barnomsor</w:t>
      </w:r>
      <w:r w:rsidRPr="00896D4F">
        <w:softHyphen/>
        <w:t>gen visade ett ne</w:t>
      </w:r>
      <w:r w:rsidRPr="00896D4F">
        <w:softHyphen/>
        <w:t>gativt resultat för 1999. Beslut gällande nedskär</w:t>
      </w:r>
      <w:r w:rsidRPr="00896D4F">
        <w:softHyphen/>
        <w:t>ning/omorganisation inom barnomso</w:t>
      </w:r>
      <w:r w:rsidRPr="00896D4F">
        <w:t>rgen a</w:t>
      </w:r>
      <w:r w:rsidRPr="00896D4F">
        <w:t>n</w:t>
      </w:r>
      <w:r w:rsidRPr="00896D4F">
        <w:t>togs vid ett sammanträde den 16 de</w:t>
      </w:r>
      <w:r w:rsidRPr="00896D4F">
        <w:softHyphen/>
        <w:t>cember 1999. Efter ett möte som hölls med föreståndare/förskolechefer i Bromma den 20 oktober 1999, vid vilken tid</w:t>
      </w:r>
      <w:r w:rsidRPr="00896D4F">
        <w:softHyphen/>
        <w:t>punkt de exakta planerna för nedskärning</w:t>
      </w:r>
      <w:r w:rsidRPr="00896D4F">
        <w:softHyphen/>
        <w:t>arna/omorganisationen inom barnom</w:t>
      </w:r>
      <w:r w:rsidRPr="00896D4F">
        <w:softHyphen/>
        <w:t>sorgen inte var kända för dem, kom före</w:t>
      </w:r>
      <w:r w:rsidRPr="00896D4F">
        <w:softHyphen/>
        <w:t>stån</w:t>
      </w:r>
      <w:r w:rsidRPr="00896D4F">
        <w:softHyphen/>
        <w:t>dare/förskolechefer öve</w:t>
      </w:r>
      <w:r w:rsidRPr="00896D4F">
        <w:t>r</w:t>
      </w:r>
      <w:r w:rsidRPr="00896D4F">
        <w:t>ens om att skriftligen ge sin syn på vad ytterli</w:t>
      </w:r>
      <w:r w:rsidRPr="00896D4F">
        <w:softHyphen/>
        <w:t>gare ned</w:t>
      </w:r>
      <w:r w:rsidRPr="00896D4F">
        <w:softHyphen/>
        <w:t>skär</w:t>
      </w:r>
      <w:r w:rsidRPr="00896D4F">
        <w:softHyphen/>
        <w:t>ningar skulle få för konsekven</w:t>
      </w:r>
      <w:r w:rsidRPr="00896D4F">
        <w:softHyphen/>
        <w:t>ser för barnom</w:t>
      </w:r>
      <w:r w:rsidRPr="00896D4F">
        <w:softHyphen/>
        <w:t>sorgen. Den skrivelse som upp</w:t>
      </w:r>
      <w:r w:rsidRPr="00896D4F">
        <w:softHyphen/>
        <w:t>rätta</w:t>
      </w:r>
      <w:r w:rsidRPr="00896D4F">
        <w:softHyphen/>
        <w:t>des i anledning härav kom att benämnas ”föreståndarbrevet”.</w:t>
      </w:r>
    </w:p>
    <w:p w:rsidR="009C1C5A" w:rsidRPr="00896D4F" w:rsidRDefault="009C1C5A">
      <w:pPr>
        <w:pStyle w:val="Rubrik3"/>
      </w:pPr>
      <w:r w:rsidRPr="00896D4F">
        <w:t>Anmäla</w:t>
      </w:r>
      <w:r w:rsidRPr="00896D4F">
        <w:t>n</w:t>
      </w:r>
    </w:p>
    <w:p w:rsidR="009C1C5A" w:rsidRPr="00896D4F" w:rsidRDefault="009C1C5A">
      <w:r w:rsidRPr="00896D4F">
        <w:t>Ett antal föräldrarepresentanter för förskolorna i Bromma (anmälarna) fra</w:t>
      </w:r>
      <w:r w:rsidRPr="00896D4F">
        <w:t>m</w:t>
      </w:r>
      <w:r w:rsidRPr="00896D4F">
        <w:t>förde genom F.H. i en anmälan, som inkom till JO den 10 mars 2000, klag</w:t>
      </w:r>
      <w:r w:rsidRPr="00896D4F">
        <w:t>o</w:t>
      </w:r>
      <w:r w:rsidRPr="00896D4F">
        <w:t>mål mot barnomsorgschefen M.H-L., Bromma stadsdelsförvaltning i Stock</w:t>
      </w:r>
      <w:r w:rsidRPr="00896D4F">
        <w:softHyphen/>
        <w:t>holms kommun. I anmälan gjordes gällande att M.H-L.</w:t>
      </w:r>
    </w:p>
    <w:p w:rsidR="009C1C5A" w:rsidRPr="00896D4F" w:rsidRDefault="009C1C5A">
      <w:pPr>
        <w:pStyle w:val="PunktlistaTankstreck"/>
      </w:pPr>
      <w:r w:rsidRPr="00896D4F">
        <w:t>olovligen hade berett sig tillgång till post avsedd för annan och därigenom  hindrat förskolecheferna för förskolorna i Bromma från att fritt uttrycka sina åsikter,</w:t>
      </w:r>
    </w:p>
    <w:p w:rsidR="009C1C5A" w:rsidRPr="00896D4F" w:rsidRDefault="009C1C5A">
      <w:pPr>
        <w:pStyle w:val="PunktlistaTankstreck"/>
      </w:pPr>
      <w:r w:rsidRPr="00896D4F">
        <w:t>undanhållit allmän handling genom att handling som inkommit till fö</w:t>
      </w:r>
      <w:r w:rsidRPr="00896D4F">
        <w:t>r</w:t>
      </w:r>
      <w:r w:rsidRPr="00896D4F">
        <w:t>valt</w:t>
      </w:r>
      <w:r w:rsidRPr="00896D4F">
        <w:softHyphen/>
        <w:t>ningen inte hade diarieförts eller hållits ordnad på annat sätt så att den o</w:t>
      </w:r>
      <w:r w:rsidRPr="00896D4F">
        <w:t>m</w:t>
      </w:r>
      <w:r w:rsidRPr="00896D4F">
        <w:t>gå</w:t>
      </w:r>
      <w:r w:rsidRPr="00896D4F">
        <w:softHyphen/>
        <w:t>ende kunde göras tillgänglig vid en begäran om utlämning,</w:t>
      </w:r>
    </w:p>
    <w:p w:rsidR="009C1C5A" w:rsidRPr="00896D4F" w:rsidRDefault="009C1C5A">
      <w:pPr>
        <w:pStyle w:val="PunktlistaTankstreck"/>
      </w:pPr>
      <w:r w:rsidRPr="00896D4F">
        <w:t>genom sin chefsställning vid ett flertal tillfällen dels hade försökt att hindra anställda från att fritt uttrycka sina åsikter, dels hade försökt att på ett otill</w:t>
      </w:r>
      <w:r w:rsidRPr="00896D4F">
        <w:softHyphen/>
        <w:t>bör</w:t>
      </w:r>
      <w:r w:rsidRPr="00896D4F">
        <w:softHyphen/>
        <w:t>ligt sätt påverka dem att inte uttrycka sina åsikter.</w:t>
      </w:r>
    </w:p>
    <w:p w:rsidR="009C1C5A" w:rsidRPr="00896D4F" w:rsidRDefault="009C1C5A">
      <w:r w:rsidRPr="00896D4F">
        <w:t>Anmälarna anförde i huvudsak följande.</w:t>
      </w:r>
    </w:p>
    <w:p w:rsidR="009C1C5A" w:rsidRPr="00896D4F" w:rsidRDefault="009C1C5A">
      <w:pPr>
        <w:pStyle w:val="Rubrik4"/>
      </w:pPr>
      <w:r w:rsidRPr="00896D4F">
        <w:t>Föreståndarbrevet</w:t>
      </w:r>
    </w:p>
    <w:p w:rsidR="009C1C5A" w:rsidRPr="00896D4F" w:rsidRDefault="009C1C5A">
      <w:r w:rsidRPr="00896D4F">
        <w:t>Föreståndarbrevet lades i kuvert och adresserades till ”Samtliga politiska partier i Bromma stadsdelsförvaltning”. En föreståndare/förskolechef avlä</w:t>
      </w:r>
      <w:r w:rsidRPr="00896D4F">
        <w:t>m</w:t>
      </w:r>
      <w:r w:rsidRPr="00896D4F">
        <w:t>nade brevet till de politiska partiernas postfack på förvaltningskontoret. Fö</w:t>
      </w:r>
      <w:r w:rsidRPr="00896D4F">
        <w:t>r</w:t>
      </w:r>
      <w:r w:rsidRPr="00896D4F">
        <w:t>skoleföreståndaren lade även ett exemplar av brevet på M.H-L:s skrivbord. Efter det att M.H-L. hade läst brevet tog hon bort de brev som hade lagts i de politiska partiernas post</w:t>
      </w:r>
      <w:r w:rsidRPr="00896D4F">
        <w:softHyphen/>
        <w:t>fack. M.H-L. avstod också från att diarieföra eller på annat sätt registrera hand</w:t>
      </w:r>
      <w:r w:rsidRPr="00896D4F">
        <w:softHyphen/>
        <w:t>lingen som inkommen till förvaltningen, vilket borde ha skett då det inte var up</w:t>
      </w:r>
      <w:r w:rsidRPr="00896D4F">
        <w:softHyphen/>
        <w:t>penbart att den var av ringa betydelse för myndi</w:t>
      </w:r>
      <w:r w:rsidRPr="00896D4F">
        <w:t>g</w:t>
      </w:r>
      <w:r w:rsidRPr="00896D4F">
        <w:t>heten.</w:t>
      </w:r>
    </w:p>
    <w:p w:rsidR="009C1C5A" w:rsidRPr="00896D4F" w:rsidRDefault="009C1C5A">
      <w:pPr>
        <w:pStyle w:val="Rubrik4"/>
      </w:pPr>
      <w:r w:rsidRPr="00896D4F">
        <w:t>Hindrande av yttrandefriheten</w:t>
      </w:r>
    </w:p>
    <w:p w:rsidR="009C1C5A" w:rsidRPr="00896D4F" w:rsidRDefault="009C1C5A">
      <w:r w:rsidRPr="00896D4F">
        <w:t>M.H-L. meddelade under ett möte med föreståndarna/förskolecheferna den 27 oktober 1999 att de hade gjort fel, när de hade skickat föreståndarbrevet till de politiska partierna, detta då alla former av synpunkter rörande förskol</w:t>
      </w:r>
      <w:r w:rsidRPr="00896D4F">
        <w:t>e</w:t>
      </w:r>
      <w:r w:rsidRPr="00896D4F">
        <w:t>verksam</w:t>
      </w:r>
      <w:r w:rsidRPr="00896D4F">
        <w:softHyphen/>
        <w:t>heten endast skulle framföras till henne. M.H-L. förklarade i sa</w:t>
      </w:r>
      <w:r w:rsidRPr="00896D4F">
        <w:t>m</w:t>
      </w:r>
      <w:r w:rsidRPr="00896D4F">
        <w:t>band därmed också att det var därför som hon hade tagit bort de brev som skulle ha vidarebe</w:t>
      </w:r>
      <w:r w:rsidRPr="00896D4F">
        <w:softHyphen/>
        <w:t xml:space="preserve">fordrats till partierna. </w:t>
      </w:r>
    </w:p>
    <w:p w:rsidR="009C1C5A" w:rsidRPr="00896D4F" w:rsidRDefault="009C1C5A">
      <w:pPr>
        <w:pStyle w:val="Normaltindrag"/>
      </w:pPr>
      <w:r w:rsidRPr="00896D4F">
        <w:t>En timme före varje sammanträde i Bromma stadsdelsnämnd hålls ”öppet forum” i avsikt att medborgare skall få diskutera frågor med politikerna. Vid ett sådant tillfälle den 27 januari 2000 yttrade sig förskolelärare från en av Brommas för</w:t>
      </w:r>
      <w:r w:rsidRPr="00896D4F">
        <w:softHyphen/>
        <w:t>skolor. Dagarna efter detta möte informerades personalen vid denna förskola från avdel</w:t>
      </w:r>
      <w:r w:rsidRPr="00896D4F">
        <w:softHyphen/>
        <w:t>ningsledningen via förskolechefen om att de som tjänstemän inte hade rätt att yttra sig på ”öppet forum” och att det hade varit fel av dem att besöka stads</w:t>
      </w:r>
      <w:r w:rsidRPr="00896D4F">
        <w:softHyphen/>
        <w:t>delsnämndens möte samt att kritik och andra sy</w:t>
      </w:r>
      <w:r w:rsidRPr="00896D4F">
        <w:t>n</w:t>
      </w:r>
      <w:r w:rsidRPr="00896D4F">
        <w:t>punkter skulle gå tjänstevägen.</w:t>
      </w:r>
    </w:p>
    <w:p w:rsidR="009C1C5A" w:rsidRPr="00896D4F" w:rsidRDefault="009C1C5A">
      <w:r w:rsidRPr="00896D4F">
        <w:t>Till anmälan fogades bl.a. en kopia av föreståndarbrevet.</w:t>
      </w:r>
    </w:p>
    <w:p w:rsidR="009C1C5A" w:rsidRPr="00896D4F" w:rsidRDefault="009C1C5A">
      <w:pPr>
        <w:pStyle w:val="Rubrik3"/>
      </w:pPr>
      <w:r w:rsidRPr="00896D4F">
        <w:t>Utredning</w:t>
      </w:r>
    </w:p>
    <w:p w:rsidR="009C1C5A" w:rsidRPr="00896D4F" w:rsidRDefault="009C1C5A">
      <w:r w:rsidRPr="00896D4F">
        <w:t xml:space="preserve">Anmälan remitterades till Bromma stadsdelsnämnd i Stockholms kommun som anmodades att inkomma med utredning och yttrande över vad som hade framförts i anmälan. Stadsdelsnämnden överlämnade som sitt remissvar en vid Bromma stadsdelsförvaltning upprättad tjänsteskrivelse. I denna anfördes bl.a. följande. </w:t>
      </w:r>
    </w:p>
    <w:p w:rsidR="009C1C5A" w:rsidRPr="00896D4F" w:rsidRDefault="009C1C5A">
      <w:pPr>
        <w:rPr>
          <w:i/>
        </w:rPr>
      </w:pPr>
      <w:r w:rsidRPr="00896D4F">
        <w:t>– – –</w:t>
      </w:r>
    </w:p>
    <w:p w:rsidR="009C1C5A" w:rsidRPr="00896D4F" w:rsidRDefault="009C1C5A">
      <w:pPr>
        <w:pStyle w:val="Citat"/>
        <w:rPr>
          <w:b/>
        </w:rPr>
      </w:pPr>
      <w:r w:rsidRPr="00896D4F">
        <w:rPr>
          <w:b/>
        </w:rPr>
        <w:t>Förvaltningens utredning och yttrande</w:t>
      </w:r>
    </w:p>
    <w:p w:rsidR="009C1C5A" w:rsidRPr="00896D4F" w:rsidRDefault="009C1C5A">
      <w:pPr>
        <w:pStyle w:val="Citat"/>
      </w:pPr>
      <w:r w:rsidRPr="00896D4F">
        <w:t>Ärendet har beretts inom ekonomiavdelningen efter hörande av barn- och ungdomsavdelningen. Med anledning av anmälan får förvaltningen anföra följande. Anmälan är indelad i två händelser. Förvaltningen kommenterar därför händelserna var för sig.</w:t>
      </w:r>
    </w:p>
    <w:p w:rsidR="009C1C5A" w:rsidRPr="00896D4F" w:rsidRDefault="009C1C5A">
      <w:pPr>
        <w:pStyle w:val="Citat"/>
        <w:rPr>
          <w:i/>
        </w:rPr>
      </w:pPr>
      <w:r w:rsidRPr="00896D4F">
        <w:rPr>
          <w:i/>
        </w:rPr>
        <w:t>Utredning</w:t>
      </w:r>
    </w:p>
    <w:p w:rsidR="009C1C5A" w:rsidRPr="00896D4F" w:rsidRDefault="009C1C5A">
      <w:pPr>
        <w:pStyle w:val="Citat"/>
      </w:pPr>
      <w:r w:rsidRPr="00896D4F">
        <w:rPr>
          <w:b/>
        </w:rPr>
        <w:t>Händelse 1 – ”föreståndarbrevet”</w:t>
      </w:r>
    </w:p>
    <w:p w:rsidR="009C1C5A" w:rsidRPr="00896D4F" w:rsidRDefault="009C1C5A">
      <w:r w:rsidRPr="00896D4F">
        <w:t>– – –</w:t>
      </w:r>
    </w:p>
    <w:p w:rsidR="009C1C5A" w:rsidRPr="00896D4F" w:rsidRDefault="009C1C5A">
      <w:pPr>
        <w:pStyle w:val="Citat"/>
        <w:rPr>
          <w:i/>
        </w:rPr>
      </w:pPr>
      <w:r w:rsidRPr="00896D4F">
        <w:rPr>
          <w:i/>
        </w:rPr>
        <w:t>Post avsedd för annan/yttrandefrihet</w:t>
      </w:r>
    </w:p>
    <w:p w:rsidR="009C1C5A" w:rsidRPr="00896D4F" w:rsidRDefault="009C1C5A">
      <w:pPr>
        <w:pStyle w:val="Citat"/>
      </w:pPr>
      <w:r w:rsidRPr="00896D4F">
        <w:t>En inom barn- och ungdomsavdelningen anställd förskoleföreståndare lade den 21 oktober 1999 ”föreståndarbrevet” i en av förvaltningens korgar för utgående post i korridoren i de dåvarande förvaltningslokalerna på Gustav</w:t>
      </w:r>
      <w:r w:rsidRPr="00896D4F">
        <w:t>s</w:t>
      </w:r>
      <w:r w:rsidRPr="00896D4F">
        <w:t>lundsvägen 26. Brevet bestod av en maskinskriven text som avslu</w:t>
      </w:r>
      <w:r w:rsidRPr="00896D4F">
        <w:softHyphen/>
        <w:t>tades med ett maskinskrivet "Samtliga förskoleföreståndare" utan egenhän</w:t>
      </w:r>
      <w:r w:rsidRPr="00896D4F">
        <w:softHyphen/>
        <w:t>digt tecknade under</w:t>
      </w:r>
      <w:r w:rsidRPr="00896D4F">
        <w:softHyphen/>
        <w:t>skrifter. Brevet innehöll en historisk beskrivning och en genomgång av de svårigheter som före</w:t>
      </w:r>
      <w:r w:rsidRPr="00896D4F">
        <w:softHyphen/>
        <w:t>ståndare upplevde att bedriva en till</w:t>
      </w:r>
      <w:r w:rsidRPr="00896D4F">
        <w:softHyphen/>
        <w:t>fredsställande förskoleverksamhet inom dåvarande ekono</w:t>
      </w:r>
      <w:r w:rsidRPr="00896D4F">
        <w:softHyphen/>
        <w:t>miska ramar.</w:t>
      </w:r>
    </w:p>
    <w:p w:rsidR="009C1C5A" w:rsidRPr="00896D4F" w:rsidRDefault="009C1C5A">
      <w:pPr>
        <w:pStyle w:val="Citatindrag"/>
      </w:pPr>
      <w:r w:rsidRPr="00896D4F">
        <w:t>Politikerna saknade egna postfack, "inkorgar", till skillnad mot vad anm</w:t>
      </w:r>
      <w:r w:rsidRPr="00896D4F">
        <w:t>ä</w:t>
      </w:r>
      <w:r w:rsidRPr="00896D4F">
        <w:t>la</w:t>
      </w:r>
      <w:r w:rsidRPr="00896D4F">
        <w:softHyphen/>
        <w:t>ren uppger. Brevet lämnades även på avdelningschefens stol. Br</w:t>
      </w:r>
      <w:r w:rsidRPr="00896D4F">
        <w:t>e</w:t>
      </w:r>
      <w:r w:rsidRPr="00896D4F">
        <w:t>vet be</w:t>
      </w:r>
      <w:r w:rsidRPr="00896D4F">
        <w:softHyphen/>
        <w:t>dömdes av barn- och ungdomsavdelningen vara ett internt arbetsmaterial som underlag för fortsatta samtal inom avdelningen.</w:t>
      </w:r>
    </w:p>
    <w:p w:rsidR="009C1C5A" w:rsidRPr="00896D4F" w:rsidRDefault="009C1C5A">
      <w:pPr>
        <w:pStyle w:val="Citatindrag"/>
      </w:pPr>
      <w:r w:rsidRPr="00896D4F">
        <w:t>Efter att brevet lagts på avdelningschefens stol hade avdelningens u</w:t>
      </w:r>
      <w:r w:rsidRPr="00896D4F">
        <w:t>t</w:t>
      </w:r>
      <w:r w:rsidRPr="00896D4F">
        <w:t>red</w:t>
      </w:r>
      <w:r w:rsidRPr="00896D4F">
        <w:softHyphen/>
        <w:t>ningssekreterare samma dag telefonsamtal med såväl den förskolef</w:t>
      </w:r>
      <w:r w:rsidRPr="00896D4F">
        <w:t>ö</w:t>
      </w:r>
      <w:r w:rsidRPr="00896D4F">
        <w:t>restån</w:t>
      </w:r>
      <w:r w:rsidRPr="00896D4F">
        <w:softHyphen/>
        <w:t>dare som lagt brevet där, som med en annan förskoleföreståndare anställd inom avdelningen. Dels överenskoms i samtalen att brevet och dess innehåll lämpligen och bäst först borde diskuteras med närmaste chefer, dels uppgav en av för</w:t>
      </w:r>
      <w:r w:rsidRPr="00896D4F">
        <w:softHyphen/>
        <w:t>skoleföreståndarna att hon inte alls uppfattat att brevet skulle sän</w:t>
      </w:r>
      <w:r w:rsidRPr="00896D4F">
        <w:softHyphen/>
        <w:t>das ut till de politiska partierna. Det framkom också under samtalen att det fanns andra synpunkter på verksamheten bland före</w:t>
      </w:r>
      <w:r w:rsidRPr="00896D4F">
        <w:softHyphen/>
        <w:t>stånda</w:t>
      </w:r>
      <w:r w:rsidRPr="00896D4F">
        <w:t>rna som inte fanns med i brevet och att det heller inte var samtliga föreståndare som fullt ut ställde sig bakom de synpunkter som fanns med i brevet eller ens hade för</w:t>
      </w:r>
      <w:r w:rsidRPr="00896D4F">
        <w:softHyphen/>
        <w:t>stått att brevet av förfat</w:t>
      </w:r>
      <w:r w:rsidRPr="00896D4F">
        <w:softHyphen/>
        <w:t>taren var avsett att spridas till de politiska partierna.</w:t>
      </w:r>
    </w:p>
    <w:p w:rsidR="009C1C5A" w:rsidRPr="00896D4F" w:rsidRDefault="009C1C5A">
      <w:pPr>
        <w:pStyle w:val="Citatindrag"/>
      </w:pPr>
      <w:r w:rsidRPr="00896D4F">
        <w:t>Samma dag, den 21 oktober 1999, kallade också avdelningschefen till ett möte till den 27 oktober 1999 med förskoleföreståndarna och deras närmaste chefer.</w:t>
      </w:r>
    </w:p>
    <w:p w:rsidR="009C1C5A" w:rsidRPr="00896D4F" w:rsidRDefault="009C1C5A">
      <w:pPr>
        <w:pStyle w:val="Citatindrag"/>
      </w:pPr>
      <w:r w:rsidRPr="00896D4F">
        <w:t>Mot den bakgrunden överenskoms i telefonsamtalet mellan utre</w:t>
      </w:r>
      <w:r w:rsidRPr="00896D4F">
        <w:t>d</w:t>
      </w:r>
      <w:r w:rsidRPr="00896D4F">
        <w:t>ningssek</w:t>
      </w:r>
      <w:r w:rsidRPr="00896D4F">
        <w:softHyphen/>
        <w:t>reteraren och den för</w:t>
      </w:r>
      <w:r w:rsidRPr="00896D4F">
        <w:softHyphen/>
        <w:t>skoleföreståndare som lagt brevet i avde</w:t>
      </w:r>
      <w:r w:rsidRPr="00896D4F">
        <w:t>l</w:t>
      </w:r>
      <w:r w:rsidRPr="00896D4F">
        <w:t>ningens post</w:t>
      </w:r>
      <w:r w:rsidRPr="00896D4F">
        <w:softHyphen/>
        <w:t>utkorg att brevet inte skulle sändas ut innan man tillsammans fått möjlighet att diskutera frågorna i brevet inom avdelningen. Dock konstatera</w:t>
      </w:r>
      <w:r w:rsidRPr="00896D4F">
        <w:softHyphen/>
        <w:t>des i sa</w:t>
      </w:r>
      <w:r w:rsidRPr="00896D4F">
        <w:t>m</w:t>
      </w:r>
      <w:r w:rsidRPr="00896D4F">
        <w:t>talet att brevet redan givits spridning till nämndens ordförande och till föräl</w:t>
      </w:r>
      <w:r w:rsidRPr="00896D4F">
        <w:t>d</w:t>
      </w:r>
      <w:r w:rsidRPr="00896D4F">
        <w:t>rarådet via postens ordinarie distribution.</w:t>
      </w:r>
    </w:p>
    <w:p w:rsidR="009C1C5A" w:rsidRPr="00896D4F" w:rsidRDefault="009C1C5A">
      <w:pPr>
        <w:pStyle w:val="Citatindrag"/>
      </w:pPr>
      <w:r w:rsidRPr="00896D4F">
        <w:t>Den 26 oktober 1999 informerade avdelningschefen vid nämndens förmöte till ordinarie samman</w:t>
      </w:r>
      <w:r w:rsidRPr="00896D4F">
        <w:softHyphen/>
        <w:t>träde, samtliga partier om brevet och dess innehåll samt hur frågan hade hanterats och att resurs</w:t>
      </w:r>
      <w:r w:rsidRPr="00896D4F">
        <w:softHyphen/>
        <w:t>situationen m.m. skulle komma att diskuteras dagen därpå tillsammans med samtliga förskoleföre</w:t>
      </w:r>
      <w:r w:rsidRPr="00896D4F">
        <w:softHyphen/>
        <w:t>ståndare. En särskild referensgrupp skulle också bildas inom förskoleverksamheten til</w:t>
      </w:r>
      <w:r w:rsidRPr="00896D4F">
        <w:t>l</w:t>
      </w:r>
      <w:r w:rsidRPr="00896D4F">
        <w:t>sammans med avdelningschefen. Nämndens ordförande bekräftade på fö</w:t>
      </w:r>
      <w:r w:rsidRPr="00896D4F">
        <w:t>r</w:t>
      </w:r>
      <w:r w:rsidRPr="00896D4F">
        <w:t>mötet att hon redan hade fått brevet till sin hemadress. Avdelningschefen hade också en kontakt med föräldrarådets kontaktperson och redogjorde då för samma saker so</w:t>
      </w:r>
      <w:r w:rsidRPr="00896D4F">
        <w:t>m tidigare redovisats för nämnden.</w:t>
      </w:r>
    </w:p>
    <w:p w:rsidR="009C1C5A" w:rsidRPr="00896D4F" w:rsidRDefault="009C1C5A">
      <w:pPr>
        <w:pStyle w:val="Citatindrag"/>
      </w:pPr>
      <w:r w:rsidRPr="00896D4F">
        <w:t>Vid mötet den 27 oktober 1999 diskuteras dels arbetsgången inom förvalt</w:t>
      </w:r>
      <w:r w:rsidRPr="00896D4F">
        <w:softHyphen/>
        <w:t>ningen, dels det allvar</w:t>
      </w:r>
      <w:r w:rsidRPr="00896D4F">
        <w:softHyphen/>
        <w:t>liga budgetläget inom förskoleverksamheten. I sam</w:t>
      </w:r>
      <w:r w:rsidRPr="00896D4F">
        <w:softHyphen/>
        <w:t>band med detta möte bildades en referensgrupp (avdelningschefen, sek</w:t>
      </w:r>
      <w:r w:rsidRPr="00896D4F">
        <w:softHyphen/>
        <w:t>tionschef för förskoleverksamheten, en rektor, en biträdande rektor samt två föreståndare från gamla Bromma och två från Västerled) för att diskutera en förändrad organisa</w:t>
      </w:r>
      <w:r w:rsidRPr="00896D4F">
        <w:softHyphen/>
        <w:t>tion inom delar av förskolan. Möten med referensgruppen hölls sedan den 2 november 1999 och 8 november 1999. Den 17 november 1999 hade avdelningschefen ett möte med samtliga föreståndare och den 2</w:t>
      </w:r>
      <w:r w:rsidRPr="00896D4F">
        <w:t>3 november ett nytt möte med referensgruppen. Den 13 december 1999 hade avdelning</w:t>
      </w:r>
      <w:r w:rsidRPr="00896D4F">
        <w:t>s</w:t>
      </w:r>
      <w:r w:rsidRPr="00896D4F">
        <w:t>chefen ånyo ett möte med samtliga föreståndare.</w:t>
      </w:r>
    </w:p>
    <w:p w:rsidR="009C1C5A" w:rsidRPr="00896D4F" w:rsidRDefault="009C1C5A">
      <w:pPr>
        <w:pStyle w:val="Citat"/>
        <w:spacing w:before="250"/>
        <w:rPr>
          <w:i/>
        </w:rPr>
      </w:pPr>
      <w:r w:rsidRPr="00896D4F">
        <w:rPr>
          <w:i/>
        </w:rPr>
        <w:t>Undanhållande av allmän handling</w:t>
      </w:r>
    </w:p>
    <w:p w:rsidR="009C1C5A" w:rsidRPr="00896D4F" w:rsidRDefault="009C1C5A">
      <w:pPr>
        <w:pStyle w:val="Citat"/>
      </w:pPr>
      <w:r w:rsidRPr="00896D4F">
        <w:t>Det brev som i anmälan kallas föreståndarbrevet, var ett brev till alla politi</w:t>
      </w:r>
      <w:r w:rsidRPr="00896D4F">
        <w:softHyphen/>
        <w:t>ker i Bromma stads</w:t>
      </w:r>
      <w:r w:rsidRPr="00896D4F">
        <w:softHyphen/>
        <w:t>delsnämnd som sades komma från alla förskoleförestån</w:t>
      </w:r>
      <w:r w:rsidRPr="00896D4F">
        <w:softHyphen/>
        <w:t>dare. Detta brev låg på avdelningschefens stol den 21 oktober 1999.</w:t>
      </w:r>
    </w:p>
    <w:p w:rsidR="009C1C5A" w:rsidRPr="00896D4F" w:rsidRDefault="009C1C5A">
      <w:pPr>
        <w:pStyle w:val="Citatindrag"/>
      </w:pPr>
      <w:r w:rsidRPr="00896D4F">
        <w:t>Den 29 oktober 1999 kom ytterligare ett brev, bilaga 1, (</w:t>
      </w:r>
      <w:r w:rsidRPr="00896D4F">
        <w:rPr>
          <w:i/>
        </w:rPr>
        <w:t xml:space="preserve">här utelämnad JO:s anm.) </w:t>
      </w:r>
      <w:r w:rsidRPr="00896D4F">
        <w:t>till avdelnings</w:t>
      </w:r>
      <w:r w:rsidRPr="00896D4F">
        <w:softHyphen/>
        <w:t>chefen från några inom förskoleföreståndargruppen som meddelade att de inte helt stod bakom innehållet i det förra brevet.</w:t>
      </w:r>
    </w:p>
    <w:p w:rsidR="009C1C5A" w:rsidRPr="00896D4F" w:rsidRDefault="009C1C5A">
      <w:pPr>
        <w:pStyle w:val="Citatindrag"/>
      </w:pPr>
      <w:r w:rsidRPr="00896D4F">
        <w:t>De två breven som lämnats mellan olika anställda inom samma avdelning – förskoleföreståndarna till sin avdelningschef – har av avdelningen ansetts som internt arbetsmate</w:t>
      </w:r>
      <w:r w:rsidRPr="00896D4F">
        <w:softHyphen/>
        <w:t>rial. Arbetsmaterial i ett icke slutfört ärende är inte allmän handling och behöver därför inte diarie</w:t>
      </w:r>
      <w:r w:rsidRPr="00896D4F">
        <w:softHyphen/>
        <w:t>föras.</w:t>
      </w:r>
    </w:p>
    <w:p w:rsidR="009C1C5A" w:rsidRPr="00896D4F" w:rsidRDefault="009C1C5A">
      <w:pPr>
        <w:pStyle w:val="Citatindrag"/>
      </w:pPr>
      <w:r w:rsidRPr="00896D4F">
        <w:t>Barn- och ungdomsavdelningens bedömning var i oktober när breven kom till avdelningschefen att de inte heller kunde anses som inkomna handlingar som skulle diarieföras eftersom breven inte ens var korrespondens mellan olika verksamhetsgrenar inom samma förvaltning, utan inom en och samma verksamhetsavdelning.</w:t>
      </w:r>
    </w:p>
    <w:p w:rsidR="009C1C5A" w:rsidRPr="00896D4F" w:rsidRDefault="009C1C5A">
      <w:pPr>
        <w:pStyle w:val="Citatindrag"/>
      </w:pPr>
      <w:r w:rsidRPr="00896D4F">
        <w:t>Eftersom handlingen inte ansågs som allmän handling hade handlingen inte lämnats till registrator för diarieföring och nämndsekreteraren kunde därför inte hitta handlingen i registraturet när den efterfrågades.</w:t>
      </w:r>
    </w:p>
    <w:p w:rsidR="009C1C5A" w:rsidRPr="00896D4F" w:rsidRDefault="009C1C5A">
      <w:pPr>
        <w:pStyle w:val="Citatindrag"/>
      </w:pPr>
      <w:r w:rsidRPr="00896D4F">
        <w:t>Det första brevet sändes direkt av någon, av förvaltningen okänd person, till nämndens ordföran</w:t>
      </w:r>
      <w:r w:rsidRPr="00896D4F">
        <w:softHyphen/>
        <w:t>des hemadress och inte via nämndsekreterare eller regist</w:t>
      </w:r>
      <w:r w:rsidRPr="00896D4F">
        <w:softHyphen/>
        <w:t>rator. Av brevhuvudet framgår att brevet även sändes externt, dvs. till för</w:t>
      </w:r>
      <w:r w:rsidRPr="00896D4F">
        <w:softHyphen/>
        <w:t>skolornas föräldraråd. Förvaltningen känner inte till vem som skickade bre</w:t>
      </w:r>
      <w:r w:rsidRPr="00896D4F">
        <w:softHyphen/>
        <w:t>vet, men i och med att det sändes externt borde avsändaren av brevet ha sett till att brevet diariefördes innan det expedierades till föräldrarådet.</w:t>
      </w:r>
    </w:p>
    <w:p w:rsidR="009C1C5A" w:rsidRPr="00896D4F" w:rsidRDefault="009C1C5A">
      <w:pPr>
        <w:pStyle w:val="Citatindrag"/>
        <w:rPr>
          <w:i/>
        </w:rPr>
      </w:pPr>
      <w:r w:rsidRPr="00896D4F">
        <w:t>Oaktat att brevet inte bedömdes vara allmän handling var innehållet i br</w:t>
      </w:r>
      <w:r w:rsidRPr="00896D4F">
        <w:t>e</w:t>
      </w:r>
      <w:r w:rsidRPr="00896D4F">
        <w:t>vet inte okänt för politi</w:t>
      </w:r>
      <w:r w:rsidRPr="00896D4F">
        <w:softHyphen/>
        <w:t>kerna. Stadsdelsdirektören informerade på gruppledar</w:t>
      </w:r>
      <w:r w:rsidRPr="00896D4F">
        <w:softHyphen/>
        <w:t>möte i oktober gruppledarna för de olika partierna om innehållet i breven. Likaså vid nämndens förmöte den 26 oktober 1999, med hela nämnden in</w:t>
      </w:r>
      <w:r w:rsidRPr="00896D4F">
        <w:softHyphen/>
        <w:t>bju</w:t>
      </w:r>
      <w:r w:rsidRPr="00896D4F">
        <w:softHyphen/>
        <w:t>den för att få information om kvartalsrapporten, i</w:t>
      </w:r>
      <w:r w:rsidRPr="00896D4F">
        <w:t>n</w:t>
      </w:r>
      <w:r w:rsidRPr="00896D4F">
        <w:t>formerade avdelnings</w:t>
      </w:r>
      <w:r w:rsidRPr="00896D4F">
        <w:softHyphen/>
        <w:t>che</w:t>
      </w:r>
      <w:r w:rsidRPr="00896D4F">
        <w:softHyphen/>
        <w:t>fen om brevets innehåll samt om hanteringen av detta. På budgetkonfe</w:t>
      </w:r>
      <w:r w:rsidRPr="00896D4F">
        <w:softHyphen/>
        <w:t>rens 10–11 november 1999 med ledningsgrupp och hela nämnden informe</w:t>
      </w:r>
      <w:r w:rsidRPr="00896D4F">
        <w:softHyphen/>
        <w:t>rades och diskuterades arbete med budget och verksam</w:t>
      </w:r>
      <w:r w:rsidRPr="00896D4F">
        <w:softHyphen/>
        <w:t>hetsplan för år 20</w:t>
      </w:r>
      <w:r w:rsidRPr="00896D4F">
        <w:t>00. Där redovisade avdelningschefen bl.a. hur planeringsarbetet med försko</w:t>
      </w:r>
      <w:r w:rsidRPr="00896D4F">
        <w:softHyphen/>
        <w:t>lornas partiella omorganisation fortlöpte. Därefter har politikerna fortlö</w:t>
      </w:r>
      <w:r w:rsidRPr="00896D4F">
        <w:softHyphen/>
        <w:t>pande fått information i ärendet av såväl stadsdelsdirektör som avdelnings</w:t>
      </w:r>
      <w:r w:rsidRPr="00896D4F">
        <w:softHyphen/>
        <w:t>chef.</w:t>
      </w:r>
    </w:p>
    <w:p w:rsidR="009C1C5A" w:rsidRPr="00896D4F" w:rsidRDefault="009C1C5A">
      <w:pPr>
        <w:pStyle w:val="Citat"/>
        <w:rPr>
          <w:i/>
        </w:rPr>
      </w:pPr>
      <w:r w:rsidRPr="00896D4F">
        <w:rPr>
          <w:i/>
        </w:rPr>
        <w:t>Slutsats</w:t>
      </w:r>
    </w:p>
    <w:p w:rsidR="009C1C5A" w:rsidRPr="00896D4F" w:rsidRDefault="009C1C5A">
      <w:pPr>
        <w:pStyle w:val="Citat"/>
        <w:rPr>
          <w:b/>
        </w:rPr>
      </w:pPr>
      <w:r w:rsidRPr="00896D4F">
        <w:t>Förvaltningen bestrider mot ovanstående bakgrund anmälarens på</w:t>
      </w:r>
      <w:r w:rsidRPr="00896D4F">
        <w:softHyphen/>
        <w:t>ståenden om att avdelningsche</w:t>
      </w:r>
      <w:r w:rsidRPr="00896D4F">
        <w:softHyphen/>
        <w:t>fen olovligen har berett sig tillgång till post avsett för annan, uppsåtligt förhindrat informations</w:t>
      </w:r>
      <w:r w:rsidRPr="00896D4F">
        <w:softHyphen/>
        <w:t>spridning inom nämnd och förvalt</w:t>
      </w:r>
      <w:r w:rsidRPr="00896D4F">
        <w:softHyphen/>
        <w:t>ning och avsiktligt undanhållit allmän handling.</w:t>
      </w:r>
    </w:p>
    <w:p w:rsidR="009C1C5A" w:rsidRPr="00896D4F" w:rsidRDefault="009C1C5A">
      <w:pPr>
        <w:pStyle w:val="Citat"/>
        <w:spacing w:before="250"/>
        <w:rPr>
          <w:b/>
        </w:rPr>
      </w:pPr>
      <w:r w:rsidRPr="00896D4F">
        <w:rPr>
          <w:b/>
        </w:rPr>
        <w:t>Händelse 2– hindrande av yttrandefriheten</w:t>
      </w:r>
    </w:p>
    <w:p w:rsidR="009C1C5A" w:rsidRPr="00896D4F" w:rsidRDefault="009C1C5A">
      <w:r w:rsidRPr="00896D4F">
        <w:t>– – –</w:t>
      </w:r>
    </w:p>
    <w:p w:rsidR="009C1C5A" w:rsidRPr="00896D4F" w:rsidRDefault="009C1C5A">
      <w:pPr>
        <w:pStyle w:val="Citat"/>
        <w:rPr>
          <w:i/>
        </w:rPr>
      </w:pPr>
      <w:r w:rsidRPr="00896D4F">
        <w:rPr>
          <w:i/>
        </w:rPr>
        <w:t xml:space="preserve">Öppet forum </w:t>
      </w:r>
    </w:p>
    <w:p w:rsidR="009C1C5A" w:rsidRPr="00896D4F" w:rsidRDefault="009C1C5A">
      <w:pPr>
        <w:pStyle w:val="Citat"/>
      </w:pPr>
      <w:r w:rsidRPr="00896D4F">
        <w:t>På s.k. öppet forum innan varje nämnd har självklart både medborgare och anställda möjlighet att ställa frågor till nämnden eller i övrigt meddela sig med politikerna i nämnden, även om öppet forum främst är a</w:t>
      </w:r>
      <w:r w:rsidRPr="00896D4F">
        <w:t>v</w:t>
      </w:r>
      <w:r w:rsidRPr="00896D4F">
        <w:t>sett för med</w:t>
      </w:r>
      <w:r w:rsidRPr="00896D4F">
        <w:softHyphen/>
        <w:t>borgarna som då har sin enda möjlighet att komma till tals med samtliga nämndens politiker i alla de frågor som rör medborgarna. Frågorna kan röra allt från sandning och snöröjning, bibliotekens öppe</w:t>
      </w:r>
      <w:r w:rsidRPr="00896D4F">
        <w:t>t</w:t>
      </w:r>
      <w:r w:rsidRPr="00896D4F">
        <w:t>tider, vården inom äld</w:t>
      </w:r>
      <w:r w:rsidRPr="00896D4F">
        <w:softHyphen/>
        <w:t>reomsorgen, frågor som rör barnomsorg och skola till ekonomiska fördel</w:t>
      </w:r>
      <w:r w:rsidRPr="00896D4F">
        <w:softHyphen/>
        <w:t>ningsfrågor. En enda timme är en kort tid för alla de områden som de olika grupperna av medborgare vill diskutera och det får närmast anses vara en artighetsfråga att de anställda inte upptar alltför stor</w:t>
      </w:r>
      <w:r w:rsidRPr="00896D4F">
        <w:t xml:space="preserve"> del av timmen, eftersom de anställda har långt fler tillfällen att föra fram sina åsikter till politikerna i nämnden än vad medborgarna har och även har andra kanaler, exempelvis sina fackliga företrädare, som de kan utnyttja för att få fram sina åsikter. Formerna för de anställdas medinfl</w:t>
      </w:r>
      <w:r w:rsidRPr="00896D4F">
        <w:t>y</w:t>
      </w:r>
      <w:r w:rsidRPr="00896D4F">
        <w:t>tande är reglerat i medbestämmandela</w:t>
      </w:r>
      <w:r w:rsidRPr="00896D4F">
        <w:softHyphen/>
        <w:t>gen.</w:t>
      </w:r>
    </w:p>
    <w:p w:rsidR="009C1C5A" w:rsidRPr="00896D4F" w:rsidRDefault="009C1C5A">
      <w:pPr>
        <w:pStyle w:val="Citatindrag"/>
      </w:pPr>
      <w:r w:rsidRPr="00896D4F">
        <w:t xml:space="preserve">Anmälaren påstår att avdelningschefen försökt hindra </w:t>
      </w:r>
      <w:r w:rsidRPr="00896D4F">
        <w:rPr>
          <w:i/>
        </w:rPr>
        <w:t>medborgare</w:t>
      </w:r>
      <w:r w:rsidRPr="00896D4F">
        <w:t xml:space="preserve"> från att fritt yttra sig och ut</w:t>
      </w:r>
      <w:r w:rsidRPr="00896D4F">
        <w:softHyphen/>
        <w:t>trycka åsikter. Oaktat att här aktuell förskollärare är bo</w:t>
      </w:r>
      <w:r w:rsidRPr="00896D4F">
        <w:softHyphen/>
        <w:t>satt i området, så uttryckte sig förskollära</w:t>
      </w:r>
      <w:r w:rsidRPr="00896D4F">
        <w:softHyphen/>
        <w:t>ren på öppet forum i sin egenskap av anställd och inte som medborgare.</w:t>
      </w:r>
    </w:p>
    <w:p w:rsidR="009C1C5A" w:rsidRPr="00896D4F" w:rsidRDefault="009C1C5A">
      <w:pPr>
        <w:pStyle w:val="Citatindrag"/>
        <w:rPr>
          <w:i/>
        </w:rPr>
      </w:pPr>
      <w:r w:rsidRPr="00896D4F">
        <w:t>Det var med hänsyn till ovanstående som avdelningschefen ifrågasatte lämpligheten i att de an</w:t>
      </w:r>
      <w:r w:rsidRPr="00896D4F">
        <w:softHyphen/>
        <w:t>ställda upptar tid på öppet forum. Avdelningschefen framhöll att det finns andra fora för persona</w:t>
      </w:r>
      <w:r w:rsidRPr="00896D4F">
        <w:softHyphen/>
        <w:t>len att föra fram sina åsikter. Förvaltningen bestrider anmälarens anklagelser att avdelningschefen hindrat att kritik från de anställda sprids till politikerna.</w:t>
      </w:r>
    </w:p>
    <w:p w:rsidR="009C1C5A" w:rsidRPr="00896D4F" w:rsidRDefault="009C1C5A">
      <w:pPr>
        <w:pStyle w:val="Citat"/>
      </w:pPr>
      <w:r w:rsidRPr="00896D4F">
        <w:rPr>
          <w:i/>
        </w:rPr>
        <w:t>Medbestämmandelagen och samråd med arbetstagare</w:t>
      </w:r>
    </w:p>
    <w:p w:rsidR="009C1C5A" w:rsidRPr="00896D4F" w:rsidRDefault="009C1C5A">
      <w:pPr>
        <w:pStyle w:val="Citat"/>
        <w:rPr>
          <w:i/>
        </w:rPr>
      </w:pPr>
      <w:r w:rsidRPr="00896D4F">
        <w:t>Rutinmässigt förfarande enligt MBL genomfördes med de fackliga org</w:t>
      </w:r>
      <w:r w:rsidRPr="00896D4F">
        <w:t>a</w:t>
      </w:r>
      <w:r w:rsidRPr="00896D4F">
        <w:t>ni</w:t>
      </w:r>
      <w:r w:rsidRPr="00896D4F">
        <w:softHyphen/>
        <w:t>sationerna gällande här aktuell omorganisation och förslag till VP 2000. Dels har information lämnats till förvaltnings</w:t>
      </w:r>
      <w:r w:rsidRPr="00896D4F">
        <w:softHyphen/>
        <w:t>gruppen enligt 19 § MBL vid två tillfällen, 26 november 1999 och 3 december 1999, dels har förhand</w:t>
      </w:r>
      <w:r w:rsidRPr="00896D4F">
        <w:softHyphen/>
        <w:t>lingar enligt 11 § MBL ägt rum vid två tillfällen, den 7 och 8 december 1999. I till för</w:t>
      </w:r>
      <w:r w:rsidRPr="00896D4F">
        <w:softHyphen/>
        <w:t>handlingsprotokoll av den 8 december 1999 bilagda erin</w:t>
      </w:r>
      <w:r w:rsidRPr="00896D4F">
        <w:softHyphen/>
        <w:t>ringar, bilaga 2 (</w:t>
      </w:r>
      <w:r w:rsidRPr="00896D4F">
        <w:rPr>
          <w:i/>
        </w:rPr>
        <w:t>här utelämnad JO:s anm.)</w:t>
      </w:r>
      <w:r w:rsidRPr="00896D4F">
        <w:t>, uttalar dels Kommunal och Lärarförbundet til</w:t>
      </w:r>
      <w:r w:rsidRPr="00896D4F">
        <w:t>l</w:t>
      </w:r>
      <w:r w:rsidRPr="00896D4F">
        <w:t>sammans, dels Kommunal, Lärarförbundet, LR, SKTF, SACO o</w:t>
      </w:r>
      <w:r w:rsidRPr="00896D4F">
        <w:t>ch Vård</w:t>
      </w:r>
      <w:r w:rsidRPr="00896D4F">
        <w:softHyphen/>
        <w:t>förbundet till</w:t>
      </w:r>
      <w:r w:rsidRPr="00896D4F">
        <w:softHyphen/>
        <w:t>sammans, sin syn på föreslagen omorganisation av för</w:t>
      </w:r>
      <w:r w:rsidRPr="00896D4F">
        <w:softHyphen/>
        <w:t>skoleverksamheten i Bromma. MBL-protokollet bilades förslag till VP 2000 när det förelades nämnden inför deras beslut.</w:t>
      </w:r>
    </w:p>
    <w:p w:rsidR="009C1C5A" w:rsidRPr="00896D4F" w:rsidRDefault="009C1C5A">
      <w:pPr>
        <w:pStyle w:val="Citat"/>
      </w:pPr>
      <w:r w:rsidRPr="00896D4F">
        <w:rPr>
          <w:i/>
        </w:rPr>
        <w:t>Facklig representation vid nämndsammanträdet</w:t>
      </w:r>
    </w:p>
    <w:p w:rsidR="009C1C5A" w:rsidRPr="00896D4F" w:rsidRDefault="009C1C5A">
      <w:pPr>
        <w:pStyle w:val="Citat"/>
      </w:pPr>
      <w:r w:rsidRPr="00896D4F">
        <w:t>Vid nämndsammanträdena har de fackliga företrädarna alltid rätt att närvara och att yttra sig. Den 16 december 1999, när beslut fattades om VP 2000, var fackliga representanter från Kommunal, TCO, Lärarförbundet och SACO närvarande, bilaga 3 (</w:t>
      </w:r>
      <w:r w:rsidRPr="00896D4F">
        <w:rPr>
          <w:i/>
        </w:rPr>
        <w:t>här utelämnad JO:s anm.)</w:t>
      </w:r>
      <w:r w:rsidRPr="00896D4F">
        <w:t>.</w:t>
      </w:r>
    </w:p>
    <w:p w:rsidR="009C1C5A" w:rsidRPr="00896D4F" w:rsidRDefault="009C1C5A">
      <w:pPr>
        <w:pStyle w:val="Citatindrag"/>
      </w:pPr>
      <w:r w:rsidRPr="00896D4F">
        <w:t>De fackliga företrädarna var också närvarande vid förmöte 14 december 1999, då nämnden fick en genomgång av VP 2000, med möjlighet för poli</w:t>
      </w:r>
      <w:r w:rsidRPr="00896D4F">
        <w:softHyphen/>
        <w:t>tikerna att ställa frågor till de fackliga representan</w:t>
      </w:r>
      <w:r w:rsidRPr="00896D4F">
        <w:softHyphen/>
        <w:t>terna.</w:t>
      </w:r>
    </w:p>
    <w:p w:rsidR="009C1C5A" w:rsidRPr="00896D4F" w:rsidRDefault="009C1C5A">
      <w:pPr>
        <w:pStyle w:val="Citat"/>
      </w:pPr>
      <w:r w:rsidRPr="00896D4F">
        <w:rPr>
          <w:i/>
        </w:rPr>
        <w:t>Slutsats</w:t>
      </w:r>
    </w:p>
    <w:p w:rsidR="009C1C5A" w:rsidRPr="00896D4F" w:rsidRDefault="009C1C5A">
      <w:pPr>
        <w:pStyle w:val="Citat"/>
      </w:pPr>
      <w:r w:rsidRPr="00896D4F">
        <w:t>Förvaltningen bestrider mot ovanstående bakgrund anmälarens påståenden om att avdelningsche</w:t>
      </w:r>
      <w:r w:rsidRPr="00896D4F">
        <w:softHyphen/>
        <w:t>fen sökt påverka de anställda att inte delta i den poli</w:t>
      </w:r>
      <w:r w:rsidRPr="00896D4F">
        <w:softHyphen/>
        <w:t>tiska debatten genom sina generella uttalanden och genom sin kritik samt försökt hindra medborgare (anställda) från att fritt yttra sig och u</w:t>
      </w:r>
      <w:r w:rsidRPr="00896D4F">
        <w:t>t</w:t>
      </w:r>
      <w:r w:rsidRPr="00896D4F">
        <w:t>trycka sina åsikter.</w:t>
      </w:r>
    </w:p>
    <w:p w:rsidR="009C1C5A" w:rsidRPr="00896D4F" w:rsidRDefault="009C1C5A">
      <w:pPr>
        <w:pStyle w:val="Citatindrag"/>
        <w:rPr>
          <w:i/>
        </w:rPr>
      </w:pPr>
      <w:r w:rsidRPr="00896D4F">
        <w:t>Tvärtom har barn- och ungdomsavdelningens arbete en inriktning mot del</w:t>
      </w:r>
      <w:r w:rsidRPr="00896D4F">
        <w:softHyphen/>
        <w:t>tagande och engagemang hos såväl personal inom verksamheterna som hos verksamheternas brukare, föräldrarna. Förskole</w:t>
      </w:r>
      <w:r w:rsidRPr="00896D4F">
        <w:softHyphen/>
        <w:t>föreståndarna har exempel</w:t>
      </w:r>
      <w:r w:rsidRPr="00896D4F">
        <w:softHyphen/>
        <w:t>vis själva bjudit in politiker till studiebesök i sina verksamheter och möten me</w:t>
      </w:r>
      <w:r w:rsidRPr="00896D4F">
        <w:t>l</w:t>
      </w:r>
      <w:r w:rsidRPr="00896D4F">
        <w:t>lan barn- och ungdomsavdelningen och föräldrarådet sker återkom</w:t>
      </w:r>
      <w:r w:rsidRPr="00896D4F">
        <w:softHyphen/>
        <w:t>mande. Möten med personalens fackliga företrädare pågår regelbundet inom ramen för samverkansavtalet.</w:t>
      </w:r>
    </w:p>
    <w:p w:rsidR="009C1C5A" w:rsidRPr="00896D4F" w:rsidRDefault="009C1C5A">
      <w:pPr>
        <w:pStyle w:val="Citat"/>
        <w:rPr>
          <w:b/>
        </w:rPr>
      </w:pPr>
      <w:r w:rsidRPr="00896D4F">
        <w:rPr>
          <w:b/>
        </w:rPr>
        <w:t>Yttrande</w:t>
      </w:r>
    </w:p>
    <w:p w:rsidR="009C1C5A" w:rsidRPr="00896D4F" w:rsidRDefault="009C1C5A">
      <w:pPr>
        <w:pStyle w:val="Citat"/>
      </w:pPr>
      <w:r w:rsidRPr="00896D4F">
        <w:t>Förvaltningen bestrider anmälarens anklagelser med hänvisning till ova</w:t>
      </w:r>
      <w:r w:rsidRPr="00896D4F">
        <w:t>n</w:t>
      </w:r>
      <w:r w:rsidRPr="00896D4F">
        <w:t>stå</w:t>
      </w:r>
      <w:r w:rsidRPr="00896D4F">
        <w:softHyphen/>
        <w:t>ende och åberopar och överlämnar härmed föreliggande utredning och ytt</w:t>
      </w:r>
      <w:r w:rsidRPr="00896D4F">
        <w:softHyphen/>
        <w:t>rande till JO.</w:t>
      </w:r>
    </w:p>
    <w:p w:rsidR="009C1C5A" w:rsidRPr="00896D4F" w:rsidRDefault="009C1C5A">
      <w:r w:rsidRPr="00896D4F">
        <w:t>Anmälarna yttrade sig över remissvaret och anförde bl.a. följande. Ett brev till ett politiskt parti kan inte anses utgöra ett internt arbetsmaterial vid en ko</w:t>
      </w:r>
      <w:r w:rsidRPr="00896D4F">
        <w:t>m</w:t>
      </w:r>
      <w:r w:rsidRPr="00896D4F">
        <w:t>munal förvaltning. Föreståndarbrevet torde därför ha varit en upprättad han</w:t>
      </w:r>
      <w:r w:rsidRPr="00896D4F">
        <w:t>d</w:t>
      </w:r>
      <w:r w:rsidRPr="00896D4F">
        <w:t>ling och borde därför, eftersom så inte hade skett tidigare, ha diarieförts när M.H-L. upp</w:t>
      </w:r>
      <w:r w:rsidRPr="00896D4F">
        <w:softHyphen/>
        <w:t>täckte det på sin stol. Brevet torde vidare ha ansetts som inko</w:t>
      </w:r>
      <w:r w:rsidRPr="00896D4F">
        <w:t>m</w:t>
      </w:r>
      <w:r w:rsidRPr="00896D4F">
        <w:t>met till förvalt</w:t>
      </w:r>
      <w:r w:rsidRPr="00896D4F">
        <w:softHyphen/>
        <w:t>ningen då det ankom till nämndens ordförandes hemadress, varför denne borde ha diariefört brevet eller kontrollerat om det redan var diariefört.</w:t>
      </w:r>
    </w:p>
    <w:p w:rsidR="009C1C5A" w:rsidRPr="00896D4F" w:rsidRDefault="009C1C5A">
      <w:pPr>
        <w:pStyle w:val="Normaltindrag"/>
      </w:pPr>
      <w:r w:rsidRPr="00896D4F">
        <w:t xml:space="preserve">Anmälarna hemställde i sitt yttrande över remissvaret även att JO skulle granska om M.H-L. hade talat osanning då hon </w:t>
      </w:r>
      <w:r w:rsidRPr="00896D4F">
        <w:t>vid ett antal tillfällen hade lämnat andra versioner än den som hade uppgetts till JO om anledningen till varför breven till partierna hade tagits bort från postfacket och inte diarieförts. Anmälarna begärde också att utred</w:t>
      </w:r>
      <w:r w:rsidRPr="00896D4F">
        <w:softHyphen/>
        <w:t>ningssekretera</w:t>
      </w:r>
      <w:r w:rsidRPr="00896D4F">
        <w:softHyphen/>
        <w:t>ren B.H:s agerande vid de telefonsamtal som han hade den 21 oktober 1999 med två försko</w:t>
      </w:r>
      <w:r w:rsidRPr="00896D4F">
        <w:softHyphen/>
        <w:t>leföreståndare, vid vilka man överens</w:t>
      </w:r>
      <w:r w:rsidRPr="00896D4F">
        <w:softHyphen/>
        <w:t>kom att ta bort föreståndarbreven till de po</w:t>
      </w:r>
      <w:r w:rsidRPr="00896D4F">
        <w:softHyphen/>
        <w:t>litiska partierna från postfacket, skulle granskas.</w:t>
      </w:r>
    </w:p>
    <w:p w:rsidR="009C1C5A" w:rsidRPr="00896D4F" w:rsidRDefault="009C1C5A">
      <w:r w:rsidRPr="00896D4F">
        <w:t xml:space="preserve">I beslut den 15 mars 2002 anförde </w:t>
      </w:r>
      <w:r w:rsidRPr="00896D4F">
        <w:rPr>
          <w:i/>
        </w:rPr>
        <w:t>JO André</w:t>
      </w:r>
      <w:r w:rsidRPr="00896D4F">
        <w:t xml:space="preserve"> följande.</w:t>
      </w:r>
    </w:p>
    <w:p w:rsidR="009C1C5A" w:rsidRPr="00896D4F" w:rsidRDefault="009C1C5A">
      <w:pPr>
        <w:pStyle w:val="Rubrik3"/>
        <w:rPr>
          <w:b w:val="0"/>
        </w:rPr>
      </w:pPr>
      <w:r w:rsidRPr="00896D4F">
        <w:t>Bedömning</w:t>
      </w:r>
    </w:p>
    <w:p w:rsidR="009C1C5A" w:rsidRPr="00896D4F" w:rsidRDefault="009C1C5A">
      <w:pPr>
        <w:pStyle w:val="Rubrik4"/>
        <w:spacing w:before="125"/>
      </w:pPr>
      <w:r w:rsidRPr="00896D4F">
        <w:t>Hanteringen av det s.k. föreståndarbrevet</w:t>
      </w:r>
    </w:p>
    <w:p w:rsidR="009C1C5A" w:rsidRPr="00896D4F" w:rsidRDefault="009C1C5A">
      <w:r w:rsidRPr="00896D4F">
        <w:t>När en allmän handling har kommit in till eller upprättats hos myndighet skall handlingen enligt 15 kap. 1 § sekretesslagen (1980:100) registreras utan dröjsmål, om det inte är uppenbart att den är av ringa betydelse för myndi</w:t>
      </w:r>
      <w:r w:rsidRPr="00896D4F">
        <w:t>g</w:t>
      </w:r>
      <w:r w:rsidRPr="00896D4F">
        <w:t>hetens verksam</w:t>
      </w:r>
      <w:r w:rsidRPr="00896D4F">
        <w:softHyphen/>
        <w:t>het. I fråga om allmänna handlingar, för vilka sekretess inte gäller, får dock regist</w:t>
      </w:r>
      <w:r w:rsidRPr="00896D4F">
        <w:softHyphen/>
        <w:t>rering underlåtas om handlingarna hålls så ordnade att det utan svårighet kan fast</w:t>
      </w:r>
      <w:r w:rsidRPr="00896D4F">
        <w:softHyphen/>
        <w:t>ställas om handling har kommit in eller har upprä</w:t>
      </w:r>
      <w:r w:rsidRPr="00896D4F">
        <w:t>t</w:t>
      </w:r>
      <w:r w:rsidRPr="00896D4F">
        <w:t xml:space="preserve">tats. </w:t>
      </w:r>
    </w:p>
    <w:p w:rsidR="009C1C5A" w:rsidRPr="00896D4F" w:rsidRDefault="009C1C5A">
      <w:pPr>
        <w:pStyle w:val="Normaltindrag"/>
      </w:pPr>
      <w:r w:rsidRPr="00896D4F">
        <w:t>En handling är enligt 2 kap. 3 § tryckfrihetsförordningen (TF) allmän om den för</w:t>
      </w:r>
      <w:r w:rsidRPr="00896D4F">
        <w:softHyphen/>
        <w:t>varas hos en myndighet och enligt 6 eller 7 § är att anse som inko</w:t>
      </w:r>
      <w:r w:rsidRPr="00896D4F">
        <w:t>m</w:t>
      </w:r>
      <w:r w:rsidRPr="00896D4F">
        <w:t>men till eller upprättad hos myndigheten. I 6 § sägs att handlingen anses i</w:t>
      </w:r>
      <w:r w:rsidRPr="00896D4F">
        <w:t>n</w:t>
      </w:r>
      <w:r w:rsidRPr="00896D4F">
        <w:t>kommen till myn</w:t>
      </w:r>
      <w:r w:rsidRPr="00896D4F">
        <w:softHyphen/>
        <w:t>dighet när den anlänt till myndigheten eller kommit behörig befattningshavare till handa. I 7 § sägs bl.a. att handling anses upprättad när den har expedierats.</w:t>
      </w:r>
    </w:p>
    <w:p w:rsidR="009C1C5A" w:rsidRPr="00896D4F" w:rsidRDefault="009C1C5A">
      <w:pPr>
        <w:pStyle w:val="Normaltindrag"/>
      </w:pPr>
      <w:r w:rsidRPr="00896D4F">
        <w:t>Nämnden har för sin del gjort den be</w:t>
      </w:r>
      <w:r w:rsidRPr="00896D4F">
        <w:softHyphen/>
        <w:t>dömningen att föreståndarbrevet u</w:t>
      </w:r>
      <w:r w:rsidRPr="00896D4F">
        <w:t>t</w:t>
      </w:r>
      <w:r w:rsidRPr="00896D4F">
        <w:t>gjorde internt arbetsmaterial inom myn</w:t>
      </w:r>
      <w:r w:rsidRPr="00896D4F">
        <w:softHyphen/>
        <w:t>digheten. Med den utgångspunkten blev brevet, som nämnden har anfört i remissvaret, att anse som allmän han</w:t>
      </w:r>
      <w:r w:rsidRPr="00896D4F">
        <w:t>d</w:t>
      </w:r>
      <w:r w:rsidRPr="00896D4F">
        <w:t>ling i och med att en ko</w:t>
      </w:r>
      <w:r w:rsidRPr="00896D4F">
        <w:softHyphen/>
        <w:t>pia av det översändes till föräldrarådet. Som nämnden har anfört borde av</w:t>
      </w:r>
      <w:r w:rsidRPr="00896D4F">
        <w:softHyphen/>
        <w:t>sändaren av brevet därför ha sett till att det blev diariefört. Det finns inte skäl för mig att göra någon annan bedömning i denna fråga. Jag finner emellertid inte an</w:t>
      </w:r>
      <w:r w:rsidRPr="00896D4F">
        <w:softHyphen/>
        <w:t>led</w:t>
      </w:r>
      <w:r w:rsidRPr="00896D4F">
        <w:softHyphen/>
        <w:t xml:space="preserve">ning att rikta någon kritik mot nämnden för den underlåtna </w:t>
      </w:r>
      <w:r w:rsidRPr="00896D4F">
        <w:t>diarieföringen då det åle</w:t>
      </w:r>
      <w:r w:rsidRPr="00896D4F">
        <w:softHyphen/>
        <w:t>gat den tjänsteman som skickade iväg brevet att se till att det blev diarie</w:t>
      </w:r>
      <w:r w:rsidRPr="00896D4F">
        <w:softHyphen/>
        <w:t>fört. Jag vill dock erinra nämnden om att det åligger denna att se till att det finns så</w:t>
      </w:r>
      <w:r w:rsidRPr="00896D4F">
        <w:softHyphen/>
        <w:t>dana rutiner att tjänstemännen känner till att skrivelser som skickas externt i före</w:t>
      </w:r>
      <w:r w:rsidRPr="00896D4F">
        <w:softHyphen/>
        <w:t>kom</w:t>
      </w:r>
      <w:r w:rsidRPr="00896D4F">
        <w:softHyphen/>
        <w:t xml:space="preserve">mande fall skall diarieföras. </w:t>
      </w:r>
    </w:p>
    <w:p w:rsidR="009C1C5A" w:rsidRPr="00896D4F" w:rsidRDefault="009C1C5A">
      <w:pPr>
        <w:pStyle w:val="Normaltindrag"/>
      </w:pPr>
      <w:r w:rsidRPr="00896D4F">
        <w:t>När det sedan gäller klagomålen mot hur M.H-L. har hanterat den kopia av före</w:t>
      </w:r>
      <w:r w:rsidRPr="00896D4F">
        <w:softHyphen/>
        <w:t>ståndarbrevet som hon erhöll vill jag säga följande. Det har i utredningen inte fram</w:t>
      </w:r>
      <w:r w:rsidRPr="00896D4F">
        <w:softHyphen/>
        <w:t>kommit annat än att M.H-L. var av den uppfattningen att det var föreståndare för förskolorna i Bromma som stod bakom brevet och som hade överlämnat en kopia av det för kännedom till henne. Mot bakgrund härav har M.H-L. inte haft an</w:t>
      </w:r>
      <w:r w:rsidRPr="00896D4F">
        <w:softHyphen/>
        <w:t>led</w:t>
      </w:r>
      <w:r w:rsidRPr="00896D4F">
        <w:softHyphen/>
        <w:t>ning att utgå från annat än att den kännedomskopia som hon erhöll ut</w:t>
      </w:r>
      <w:r w:rsidRPr="00896D4F">
        <w:softHyphen/>
        <w:t>gjorde internt arbetsmaterial. Det har därför inte funnits skäl för henne att diarie</w:t>
      </w:r>
      <w:r w:rsidRPr="00896D4F">
        <w:softHyphen/>
        <w:t>föra bre</w:t>
      </w:r>
      <w:r w:rsidRPr="00896D4F">
        <w:softHyphen/>
        <w:t>vet i samband med att hon m</w:t>
      </w:r>
      <w:r w:rsidRPr="00896D4F">
        <w:t>ottog det. Inte heller har det ålegat henne att efter</w:t>
      </w:r>
      <w:r w:rsidRPr="00896D4F">
        <w:softHyphen/>
        <w:t>forska huruvida avsändarna diarieförde brevet då det översändes till föräld</w:t>
      </w:r>
      <w:r w:rsidRPr="00896D4F">
        <w:softHyphen/>
        <w:t>rarådet. Med hänsyn till det anförda finns det inte skäl för mig att rikta nå</w:t>
      </w:r>
      <w:r w:rsidRPr="00896D4F">
        <w:softHyphen/>
        <w:t>gon kri</w:t>
      </w:r>
      <w:r w:rsidRPr="00896D4F">
        <w:softHyphen/>
        <w:t>tik mot M.H-L:s agerande i nu aktuellt avsee</w:t>
      </w:r>
      <w:r w:rsidRPr="00896D4F">
        <w:t>n</w:t>
      </w:r>
      <w:r w:rsidRPr="00896D4F">
        <w:t>de.</w:t>
      </w:r>
    </w:p>
    <w:p w:rsidR="009C1C5A" w:rsidRPr="00896D4F" w:rsidRDefault="009C1C5A">
      <w:pPr>
        <w:pStyle w:val="Normaltindrag"/>
      </w:pPr>
      <w:r w:rsidRPr="00896D4F">
        <w:t>Anmälarna har vidare uppgett att föreståndarbrevet torde ha utgjort en till förvalt</w:t>
      </w:r>
      <w:r w:rsidRPr="00896D4F">
        <w:softHyphen/>
        <w:t>ningen inkommen handling vid den tidpunkt då brevet ankom till nämndordför</w:t>
      </w:r>
      <w:r w:rsidRPr="00896D4F">
        <w:softHyphen/>
        <w:t>andens hemadress och att hon där</w:t>
      </w:r>
      <w:r w:rsidRPr="00896D4F">
        <w:softHyphen/>
        <w:t>för borde ha lämnat det för diarieföring alterna</w:t>
      </w:r>
      <w:r w:rsidRPr="00896D4F">
        <w:softHyphen/>
        <w:t>tivt kontrollerat om det redan var diariefört. Eftersom avsän</w:t>
      </w:r>
      <w:r w:rsidRPr="00896D4F">
        <w:softHyphen/>
        <w:t>darna i brevet utgivit sig för att vara föreståndare/förskolechefer för förskolorna inom förvalt</w:t>
      </w:r>
      <w:r w:rsidRPr="00896D4F">
        <w:softHyphen/>
        <w:t>ningen har inte heller nämn</w:t>
      </w:r>
      <w:r w:rsidRPr="00896D4F">
        <w:softHyphen/>
        <w:t>dens ordförande haft anledning att utgå från annat än att det var fråga om en ”intern” försändelse för hennes kännedom. Mot den bakgrunden blir bedöm</w:t>
      </w:r>
      <w:r w:rsidRPr="00896D4F">
        <w:softHyphen/>
        <w:t>ningen i denna de</w:t>
      </w:r>
      <w:r w:rsidRPr="00896D4F">
        <w:t>l densamma som jag har gjort beträf</w:t>
      </w:r>
      <w:r w:rsidRPr="00896D4F">
        <w:softHyphen/>
        <w:t>fande den kopia av bre</w:t>
      </w:r>
      <w:r w:rsidRPr="00896D4F">
        <w:softHyphen/>
        <w:t>vet som lades på M.H-L:s tjäns</w:t>
      </w:r>
      <w:r w:rsidRPr="00896D4F">
        <w:softHyphen/>
        <w:t xml:space="preserve">terum. Det finns därför inte heller skäl att rikta någon kritik mot nämndordföranden. </w:t>
      </w:r>
    </w:p>
    <w:p w:rsidR="009C1C5A" w:rsidRPr="00896D4F" w:rsidRDefault="009C1C5A">
      <w:pPr>
        <w:pStyle w:val="Rubrik4"/>
      </w:pPr>
      <w:r w:rsidRPr="00896D4F">
        <w:t>Hindrande av yttrandefriheten</w:t>
      </w:r>
    </w:p>
    <w:p w:rsidR="009C1C5A" w:rsidRPr="00896D4F" w:rsidRDefault="009C1C5A">
      <w:r w:rsidRPr="00896D4F">
        <w:t>I 2 kap. 1 § regeringsformen (RF) stadgas att varje medborgare gentemot det all</w:t>
      </w:r>
      <w:r w:rsidRPr="00896D4F">
        <w:softHyphen/>
        <w:t>männa är tillförsäkrad yttrandefrihet, dvs. frihet att i tal, skrift eller bild eller på annat sätt meddela upplysningar samt uttrycka tankar, åsikter och känslor. Begränsning av yttrandefriheten får enligt 2 kap. 12 § RF ske genom lag. Någon så</w:t>
      </w:r>
      <w:r w:rsidRPr="00896D4F">
        <w:softHyphen/>
        <w:t>dan begränsning är dock inte aktuell i förevarande fall.</w:t>
      </w:r>
    </w:p>
    <w:p w:rsidR="009C1C5A" w:rsidRPr="00896D4F" w:rsidRDefault="009C1C5A">
      <w:pPr>
        <w:pStyle w:val="Normaltindrag"/>
      </w:pPr>
      <w:r w:rsidRPr="00896D4F">
        <w:t>Lagregleringen ger offentligt anställda samma skydd som andra medborg</w:t>
      </w:r>
      <w:r w:rsidRPr="00896D4F">
        <w:t>a</w:t>
      </w:r>
      <w:r w:rsidRPr="00896D4F">
        <w:t>re. En offentligt anställd kan således fritt ge uttryck för sin uppfattning, även rörande den egna myndighetens verksamhet. Det finns emellertid regler i sekretesslagen (1980:100) som begränsar den offentligt anställdes rätt att yttra sig om vad han fått veta i samband med sin tjänst. Dessa regler saknar dock intresse här.</w:t>
      </w:r>
    </w:p>
    <w:p w:rsidR="009C1C5A" w:rsidRPr="00896D4F" w:rsidRDefault="009C1C5A">
      <w:pPr>
        <w:pStyle w:val="Normaltindrag"/>
      </w:pPr>
      <w:r w:rsidRPr="00896D4F">
        <w:t>Det skydd för yttrandefriheten som regeringsformen anger är ett skydd gentemot ”det allmänna”. Detta innefattar t.ex. kommunernas valda försa</w:t>
      </w:r>
      <w:r w:rsidRPr="00896D4F">
        <w:t>m</w:t>
      </w:r>
      <w:r w:rsidRPr="00896D4F">
        <w:t>lingar och förvaltningsorgan. Skyddet innebär bl.a. att personer i chefsstäl</w:t>
      </w:r>
      <w:r w:rsidRPr="00896D4F">
        <w:t>l</w:t>
      </w:r>
      <w:r w:rsidRPr="00896D4F">
        <w:t>ning inom den of</w:t>
      </w:r>
      <w:r w:rsidRPr="00896D4F">
        <w:softHyphen/>
        <w:t>fentliga förvaltningen inte får ingripa vare sig formellt eller informellt mot en tjänsteman hos myndigheten för att han eller hon använt sig av sin grundlags</w:t>
      </w:r>
      <w:r w:rsidRPr="00896D4F">
        <w:softHyphen/>
        <w:t>skyddade rätt att yttra sig i massmedia eller på annat sätt ge uttryck för sin upp</w:t>
      </w:r>
      <w:r w:rsidRPr="00896D4F">
        <w:softHyphen/>
        <w:t>fattning, t.ex. genom att delta i den politiska debatten. En chefstjänsteman bör inte heller uttala sig eller agera på ett sätt som kan up</w:t>
      </w:r>
      <w:r w:rsidRPr="00896D4F">
        <w:t>p</w:t>
      </w:r>
      <w:r w:rsidRPr="00896D4F">
        <w:t>fattas som försök att förmå den anst</w:t>
      </w:r>
      <w:r w:rsidRPr="00896D4F">
        <w:t xml:space="preserve">ällde att avhålla sig från att använda sig av sina rättigheter. </w:t>
      </w:r>
    </w:p>
    <w:p w:rsidR="009C1C5A" w:rsidRPr="00896D4F" w:rsidRDefault="009C1C5A">
      <w:pPr>
        <w:pStyle w:val="Normaltindrag"/>
      </w:pPr>
      <w:r w:rsidRPr="00896D4F">
        <w:t>Vad först gäller hanteringen av föreståndarbrevet har anmälarna gjort gä</w:t>
      </w:r>
      <w:r w:rsidRPr="00896D4F">
        <w:t>l</w:t>
      </w:r>
      <w:r w:rsidRPr="00896D4F">
        <w:t>lande att M.H-L. olovligen skulle ha berett sig till</w:t>
      </w:r>
      <w:r w:rsidRPr="00896D4F">
        <w:softHyphen/>
        <w:t>gång till post avsedd för annan och att hon därigenom hindrat förskolecheferna från att fritt uttrycka sina åsikter. Nämn</w:t>
      </w:r>
      <w:r w:rsidRPr="00896D4F">
        <w:softHyphen/>
        <w:t>den har i denna del anfört att överens</w:t>
      </w:r>
      <w:r w:rsidRPr="00896D4F">
        <w:softHyphen/>
        <w:t>kom</w:t>
      </w:r>
      <w:r w:rsidRPr="00896D4F">
        <w:softHyphen/>
        <w:t>melse träffades om att förestån</w:t>
      </w:r>
      <w:r w:rsidRPr="00896D4F">
        <w:softHyphen/>
        <w:t>darbrevet inte skulle expedieras till politikerna förrän innehå</w:t>
      </w:r>
      <w:r w:rsidRPr="00896D4F">
        <w:t>l</w:t>
      </w:r>
      <w:r w:rsidRPr="00896D4F">
        <w:t>let i detta hade dis</w:t>
      </w:r>
      <w:r w:rsidRPr="00896D4F">
        <w:softHyphen/>
        <w:t>kuterats inom avdelningen. Uppgift står således mot up</w:t>
      </w:r>
      <w:r w:rsidRPr="00896D4F">
        <w:t>p</w:t>
      </w:r>
      <w:r w:rsidRPr="00896D4F">
        <w:t>gift. Jag tror inte att yt</w:t>
      </w:r>
      <w:r w:rsidRPr="00896D4F">
        <w:softHyphen/>
        <w:t>terligare utredningsåtgärder från min sida skulle bringa klarhet i saken. Med hän</w:t>
      </w:r>
      <w:r w:rsidRPr="00896D4F">
        <w:softHyphen/>
        <w:t xml:space="preserve">syn härtill </w:t>
      </w:r>
      <w:r w:rsidRPr="00896D4F">
        <w:t>föranleder klagomålen i nu berört avse</w:t>
      </w:r>
      <w:r w:rsidRPr="00896D4F">
        <w:softHyphen/>
        <w:t>ende inte någon vidare åtgärd eller något uttalande från min sida.</w:t>
      </w:r>
    </w:p>
    <w:p w:rsidR="009C1C5A" w:rsidRPr="00896D4F" w:rsidRDefault="009C1C5A">
      <w:pPr>
        <w:pStyle w:val="Normaltindrag"/>
      </w:pPr>
      <w:r w:rsidRPr="00896D4F">
        <w:t>Vad härefter gäller den kritik som har framförts i anmälan mot M.H-L:s agerande mot personal vid en förskola i Bromma, såvitt jag uppfattat det efter ”öppet forum” den 27 januari 2000, har nämnden i remissvaret vidgått att M.H-L. har ifrå</w:t>
      </w:r>
      <w:r w:rsidRPr="00896D4F">
        <w:softHyphen/>
        <w:t>gasatt det lämpliga i att anställda upptar tid på ”öppet forum”. Anledningen härtill var enligt vad som har uppgetts i remissvaret dels att det för personalen fanns andra vägar att föra fram åsikter, dels att ”öppet forum” endast pågår under en timme och att det under denna tid är många frågor som skall behandlas. Nämn</w:t>
      </w:r>
      <w:r w:rsidRPr="00896D4F">
        <w:softHyphen/>
        <w:t>den har vidare förklarat att an</w:t>
      </w:r>
      <w:r w:rsidRPr="00896D4F">
        <w:softHyphen/>
        <w:t>ställda, även om ”öppet forum” främst är avsett för medbor</w:t>
      </w:r>
      <w:r w:rsidRPr="00896D4F">
        <w:softHyphen/>
        <w:t>garna, självklart har möj</w:t>
      </w:r>
      <w:r w:rsidRPr="00896D4F">
        <w:softHyphen/>
        <w:t>lighet att ställa frågor till nämnden eller i övrigt meddela sig med poli</w:t>
      </w:r>
      <w:r w:rsidRPr="00896D4F">
        <w:t>ti</w:t>
      </w:r>
      <w:r w:rsidRPr="00896D4F">
        <w:softHyphen/>
        <w:t>kerna vid dessa m</w:t>
      </w:r>
      <w:r w:rsidRPr="00896D4F">
        <w:t>ö</w:t>
      </w:r>
      <w:r w:rsidRPr="00896D4F">
        <w:t>ten.</w:t>
      </w:r>
    </w:p>
    <w:p w:rsidR="009C1C5A" w:rsidRPr="00896D4F" w:rsidRDefault="009C1C5A">
      <w:pPr>
        <w:pStyle w:val="Normaltindrag"/>
      </w:pPr>
      <w:r w:rsidRPr="00896D4F">
        <w:t>Såsom jag anfört ovan har jag uppfattat saken så att M.H-L:s agerande i anled</w:t>
      </w:r>
      <w:r w:rsidRPr="00896D4F">
        <w:softHyphen/>
        <w:t>ning av att en förskolelärare yttrat sig vid ”öppet forum” skett i ef</w:t>
      </w:r>
      <w:r w:rsidRPr="00896D4F">
        <w:softHyphen/>
        <w:t>terhand. Som framgår av det ovan anförda får en chefstjänsteman inte söka påverka anställda i fråga om det sätt på vilket dessa utnyttjar sin yttrandefrihet eller söka påverka dem att av</w:t>
      </w:r>
      <w:r w:rsidRPr="00896D4F">
        <w:softHyphen/>
        <w:t>hålla sig från att delta i den politiska debatten. Nämnden har, med hänsyn till de förklaringar som har lämnats i remissvaret till M.H-L:s uttalanden, bestritt att hon skulle ha hindrat att kritik från anstäl</w:t>
      </w:r>
      <w:r w:rsidRPr="00896D4F">
        <w:t>l</w:t>
      </w:r>
      <w:r w:rsidRPr="00896D4F">
        <w:t>da skulle ha spritts till politikerna. Ut</w:t>
      </w:r>
      <w:r w:rsidRPr="00896D4F">
        <w:softHyphen/>
        <w:t>red</w:t>
      </w:r>
      <w:r w:rsidRPr="00896D4F">
        <w:softHyphen/>
        <w:t>ningen i nu berört avseende ger vi</w:t>
      </w:r>
      <w:r w:rsidRPr="00896D4F">
        <w:t>s</w:t>
      </w:r>
      <w:r w:rsidRPr="00896D4F">
        <w:t>serligen inte stöd för något annat än att M.H-L. genom sitt agerande därvid har anvisat alternativa möjligheter för de an</w:t>
      </w:r>
      <w:r w:rsidRPr="00896D4F">
        <w:softHyphen/>
        <w:t>ställda att uttrycka sin mening. Som framgått ovan kan emellertid redan en chefstjänstemans kritik mot det sätt, på vilken en anställd framfört sina åsikter, innefatta en kränk</w:t>
      </w:r>
      <w:r w:rsidRPr="00896D4F">
        <w:softHyphen/>
        <w:t>ning av den anställdes yttrandefrihet. Försiktighet är därför all</w:t>
      </w:r>
      <w:r w:rsidRPr="00896D4F">
        <w:softHyphen/>
        <w:t>tid påkallad när en person i chefsställning diskuterar frågor som rör detta område med de anställda. En sådan f</w:t>
      </w:r>
      <w:r w:rsidRPr="00896D4F">
        <w:t>råga får inte tas upp på sådant sätt att den anställde uppfattar det som en kränk</w:t>
      </w:r>
      <w:r w:rsidRPr="00896D4F">
        <w:softHyphen/>
        <w:t>ning av dennes yttrandefrihet.</w:t>
      </w:r>
    </w:p>
    <w:p w:rsidR="009C1C5A" w:rsidRPr="00896D4F" w:rsidRDefault="009C1C5A">
      <w:pPr>
        <w:pStyle w:val="Normaltindrag"/>
      </w:pPr>
      <w:r w:rsidRPr="00896D4F">
        <w:t>Såvitt framkommit i ärendet uppfattade de anställda det som att M.H-L. kritise</w:t>
      </w:r>
      <w:r w:rsidRPr="00896D4F">
        <w:softHyphen/>
        <w:t>rade dem för att de framförde sina åsikter på ett annat sätt än det som M.H-L. an</w:t>
      </w:r>
      <w:r w:rsidRPr="00896D4F">
        <w:softHyphen/>
        <w:t>såg som lämpligast och att hon härigenom även sökt att hindra dem från att delta i den politiska debatten. Redan av den anledningen måste M.H-L:s handlingssätt betraktas som en sådan otillbörlig påverkan som utgör en kränkning av de anställ</w:t>
      </w:r>
      <w:r w:rsidRPr="00896D4F">
        <w:softHyphen/>
        <w:t>das yttrandefrihet.</w:t>
      </w:r>
    </w:p>
    <w:p w:rsidR="009C1C5A" w:rsidRPr="00896D4F" w:rsidRDefault="009C1C5A">
      <w:pPr>
        <w:pStyle w:val="Normaltindrag"/>
      </w:pPr>
      <w:r w:rsidRPr="00896D4F">
        <w:t>Klagomålen mot hur M.H-L. skulle ha uttalat sig vid ett möte med för</w:t>
      </w:r>
      <w:r w:rsidRPr="00896D4F">
        <w:softHyphen/>
        <w:t>skoleche</w:t>
      </w:r>
      <w:r w:rsidRPr="00896D4F">
        <w:softHyphen/>
        <w:t>ferna för förskolorna i Bromma den 27 oktober 1999  har nämnden inte yttrat  sig över i remissvaret, vilket enligt min mening är märkligt. Jag finner dock inte anledning att inhämta något kompletterande yttrande från nämnden i den de</w:t>
      </w:r>
      <w:r w:rsidRPr="00896D4F">
        <w:softHyphen/>
        <w:t>len. Anledning härtill är att klagomålen i nu aktuellt avs</w:t>
      </w:r>
      <w:r w:rsidRPr="00896D4F">
        <w:t>e</w:t>
      </w:r>
      <w:r w:rsidRPr="00896D4F">
        <w:t>ende rör samma frågor som de som jag har behandlat ovan. Jag nöjer mig därför med att hänvisa till vad jag där har anfört. Jag vill emellertid påpeka att, för det fall det förhåller sig på det sätt som anmälar</w:t>
      </w:r>
      <w:r w:rsidRPr="00896D4F">
        <w:t>na har uppgett i a</w:t>
      </w:r>
      <w:r w:rsidRPr="00896D4F">
        <w:t>n</w:t>
      </w:r>
      <w:r w:rsidRPr="00896D4F">
        <w:t>mälan, M.H-L:s agerande har utgjort en kränkning av förskoleförestånda</w:t>
      </w:r>
      <w:r w:rsidRPr="00896D4F">
        <w:t>r</w:t>
      </w:r>
      <w:r w:rsidRPr="00896D4F">
        <w:t>nas/förskolechefernas yttrandefrihet.</w:t>
      </w:r>
    </w:p>
    <w:p w:rsidR="009C1C5A" w:rsidRPr="00896D4F" w:rsidRDefault="009C1C5A">
      <w:pPr>
        <w:pStyle w:val="Rubrik4"/>
      </w:pPr>
      <w:r w:rsidRPr="00896D4F">
        <w:t>Övrigt</w:t>
      </w:r>
    </w:p>
    <w:p w:rsidR="009C1C5A" w:rsidRPr="00896D4F" w:rsidRDefault="009C1C5A">
      <w:r w:rsidRPr="00896D4F">
        <w:t>Vad som i övrigt har förekommit i detta ärende föranleder inte något uttala</w:t>
      </w:r>
      <w:r w:rsidRPr="00896D4F">
        <w:t>n</w:t>
      </w:r>
      <w:r w:rsidRPr="00896D4F">
        <w:t>de eller någon annan åtgärd från min sida.</w:t>
      </w:r>
    </w:p>
    <w:p w:rsidR="009C1C5A" w:rsidRPr="00896D4F" w:rsidRDefault="009C1C5A">
      <w:r w:rsidRPr="00896D4F">
        <w:t>_______________</w:t>
      </w:r>
    </w:p>
    <w:p w:rsidR="009C1C5A" w:rsidRPr="00896D4F" w:rsidRDefault="009C1C5A">
      <w:pPr>
        <w:spacing w:before="250"/>
      </w:pPr>
      <w:r w:rsidRPr="00896D4F">
        <w:t>Ärendet avslutas med den kritik som ligger i det ovan anförda.</w:t>
      </w:r>
    </w:p>
    <w:p w:rsidR="009C1C5A" w:rsidRPr="00896D4F" w:rsidRDefault="009C1C5A">
      <w:pPr>
        <w:pStyle w:val="Rubrik2"/>
      </w:pPr>
      <w:r w:rsidRPr="00896D4F">
        <w:br w:type="page"/>
        <w:t>Fråga om vissa tjänstemän vid en barn-, kultur- och utbildningsnämnd i en kommun hade kränkt anställdas meddelar- och yttrandefrihet m.m.</w:t>
      </w:r>
    </w:p>
    <w:p w:rsidR="009C1C5A" w:rsidRPr="00896D4F" w:rsidRDefault="009C1C5A">
      <w:pPr>
        <w:spacing w:before="0"/>
      </w:pPr>
      <w:r w:rsidRPr="00896D4F">
        <w:t xml:space="preserve">(Dnr 2062-2000) </w:t>
      </w:r>
    </w:p>
    <w:p w:rsidR="009C1C5A" w:rsidRPr="00896D4F" w:rsidRDefault="009C1C5A">
      <w:pPr>
        <w:pStyle w:val="Rubrik3"/>
      </w:pPr>
      <w:r w:rsidRPr="00896D4F">
        <w:t xml:space="preserve">Anmälan </w:t>
      </w:r>
    </w:p>
    <w:p w:rsidR="009C1C5A" w:rsidRPr="00896D4F" w:rsidRDefault="009C1C5A">
      <w:r w:rsidRPr="00896D4F">
        <w:t>I en anmälan till JO framförde Ö.E. klagomål mot rektor Håkan Abrahamsson vid dåvarande Ramsele rektorsområde i Sollefteå kommun och barn-, kultur-  och utbildnings</w:t>
      </w:r>
      <w:r w:rsidRPr="00896D4F">
        <w:softHyphen/>
        <w:t>nämndens (BKU-nämnden) förvaltningschef Inger Norman i kommunen. Klagomålen avsåg bl.a. otillåten efterforskning av vilka anställ</w:t>
      </w:r>
      <w:r w:rsidRPr="00896D4F">
        <w:softHyphen/>
        <w:t>da som hade lämnat vissa uppgifter till skol</w:t>
      </w:r>
      <w:r w:rsidRPr="00896D4F">
        <w:softHyphen/>
        <w:t xml:space="preserve">förvaltningen. </w:t>
      </w:r>
    </w:p>
    <w:p w:rsidR="009C1C5A" w:rsidRPr="00896D4F" w:rsidRDefault="009C1C5A">
      <w:r w:rsidRPr="00896D4F">
        <w:t>Ö.E. anförde bl.a. följande.</w:t>
      </w:r>
    </w:p>
    <w:p w:rsidR="009C1C5A" w:rsidRPr="00896D4F" w:rsidRDefault="009C1C5A">
      <w:r w:rsidRPr="00896D4F">
        <w:t>Under våren 1999 erhöll Inger Norman ett anonymt brev i form av en lista med rubriken ”Lärare i Ramsele rektorsområde som blivit illa behandlade” (i fort</w:t>
      </w:r>
      <w:r w:rsidRPr="00896D4F">
        <w:softHyphen/>
        <w:t>sättningen benämnd ”lärarlistan”, JO:s anm.). Lärarlistan innehöll huvu</w:t>
      </w:r>
      <w:r w:rsidRPr="00896D4F">
        <w:t>d</w:t>
      </w:r>
      <w:r w:rsidRPr="00896D4F">
        <w:t>sakligen namn på lärare som hade slutat sina anställningar inom Ramsele rektorsområde under åren 1993–1999. Inger Norman försökte att ta reda på vem som hade lämnat upp</w:t>
      </w:r>
      <w:r w:rsidRPr="00896D4F">
        <w:softHyphen/>
        <w:t>gifterna till lärarlistan. Hon kontak</w:t>
      </w:r>
      <w:r w:rsidRPr="00896D4F">
        <w:softHyphen/>
        <w:t>tade där</w:t>
      </w:r>
      <w:r w:rsidRPr="00896D4F">
        <w:softHyphen/>
        <w:t xml:space="preserve">vid bl.a. M.B., ombud för Lärarnas Riksförbund vid Ramsele skola läsåret 1998/99, och K.N., Lärarförbundets ombud vid skolan. </w:t>
      </w:r>
    </w:p>
    <w:p w:rsidR="009C1C5A" w:rsidRPr="00896D4F" w:rsidRDefault="009C1C5A">
      <w:pPr>
        <w:pStyle w:val="Normaltindrag"/>
      </w:pPr>
      <w:r w:rsidRPr="00896D4F">
        <w:t>Lördagen den 12 juni 1999 framgick av en tidningsartikel att Lärarförbu</w:t>
      </w:r>
      <w:r w:rsidRPr="00896D4F">
        <w:t>n</w:t>
      </w:r>
      <w:r w:rsidRPr="00896D4F">
        <w:t>det ville att kommunstyrelsen skulle utreda situationen vid Ramsele skola. I artikeln på</w:t>
      </w:r>
      <w:r w:rsidRPr="00896D4F">
        <w:softHyphen/>
        <w:t>pekades att lärarna slutade ”på löpande band” och att man måste göra något åt detta. Söndagen den 13 juni 1999 kontaktade Inger Norman dåvarande ord</w:t>
      </w:r>
      <w:r w:rsidRPr="00896D4F">
        <w:softHyphen/>
        <w:t>föranden för Lärarförbundets lokalavdelning i Sollefteå, P-E.G. Syftet med kontakten var att ta reda på vilka som lämnat uppgifter till den lista (lärar</w:t>
      </w:r>
      <w:r w:rsidRPr="00896D4F">
        <w:softHyphen/>
        <w:t>listan) som nämndes i artikeln. Måndagen den 14 juni 1999 ko</w:t>
      </w:r>
      <w:r w:rsidRPr="00896D4F">
        <w:t>n</w:t>
      </w:r>
      <w:r w:rsidRPr="00896D4F">
        <w:t xml:space="preserve">taktade Håkan Abrahamsson P-E.G. i samma syfte. </w:t>
      </w:r>
    </w:p>
    <w:p w:rsidR="009C1C5A" w:rsidRPr="00896D4F" w:rsidRDefault="009C1C5A">
      <w:pPr>
        <w:pStyle w:val="Normaltindrag"/>
      </w:pPr>
      <w:r w:rsidRPr="00896D4F">
        <w:t>Ö.E. anför</w:t>
      </w:r>
      <w:r w:rsidRPr="00896D4F">
        <w:t>de vidare bl.a. följande. Håkan Abrahamsson och Inger Norman har skrämt personer till tystnad. K.N. har på olika sätt blivit utsatt för mob</w:t>
      </w:r>
      <w:r w:rsidRPr="00896D4F">
        <w:t>b</w:t>
      </w:r>
      <w:r w:rsidRPr="00896D4F">
        <w:t>ning av skolledningen. Skol</w:t>
      </w:r>
      <w:r w:rsidRPr="00896D4F">
        <w:softHyphen/>
        <w:t>ledningen har fortsatt att utsätta vissa personer för trakasserier, trots att Yrkesinspektionen (numera Arbetsmiljöinspek</w:t>
      </w:r>
      <w:r w:rsidRPr="00896D4F">
        <w:softHyphen/>
        <w:t>tionen) har besökt rektorsområdet med anledning av psyko</w:t>
      </w:r>
      <w:r w:rsidRPr="00896D4F">
        <w:softHyphen/>
        <w:t>sociala problem som skolle</w:t>
      </w:r>
      <w:r w:rsidRPr="00896D4F">
        <w:t>d</w:t>
      </w:r>
      <w:r w:rsidRPr="00896D4F">
        <w:t xml:space="preserve">ningen redan tidigare hade orsakat bland de anställda. </w:t>
      </w:r>
    </w:p>
    <w:p w:rsidR="009C1C5A" w:rsidRPr="00896D4F" w:rsidRDefault="009C1C5A">
      <w:pPr>
        <w:pStyle w:val="Normaltindrag"/>
      </w:pPr>
      <w:r w:rsidRPr="00896D4F">
        <w:t>Anmälan till JO omfattade även klagomål mot bl.a. handläggningen av en skrivelse f</w:t>
      </w:r>
      <w:r w:rsidRPr="00896D4F">
        <w:t>rån Ramsele-Edsele föräldraförening, daterad den 28 april 1999. Föreningen hade, enligt Ö.E., skickat skrivelsen till bl.a. BKU-nämnden, nämndens ord</w:t>
      </w:r>
      <w:r w:rsidRPr="00896D4F">
        <w:softHyphen/>
        <w:t xml:space="preserve">förande Michael Lund, Inger Norman och Håkan Abrahamsson. Enligt Ö.E. hade föreningen inte erhållit något svar.   </w:t>
      </w:r>
    </w:p>
    <w:p w:rsidR="009C1C5A" w:rsidRPr="00896D4F" w:rsidRDefault="009C1C5A">
      <w:pPr>
        <w:pStyle w:val="Normaltindrag"/>
      </w:pPr>
      <w:r w:rsidRPr="00896D4F">
        <w:t>Till anmälan fogades vissa handlingar, bl.a. en beskrivning av hur Håkan Abrahamsson hade behandlat en nyanställd lärare, vissa tidningsartiklar, den i anmälan omtalade lärarlistan samt Yrkesinspektionens (num</w:t>
      </w:r>
      <w:r w:rsidRPr="00896D4F">
        <w:t>e</w:t>
      </w:r>
      <w:r w:rsidRPr="00896D4F">
        <w:t>ra Arbetsmiljö</w:t>
      </w:r>
      <w:r w:rsidRPr="00896D4F">
        <w:softHyphen/>
        <w:t>inspektionen), Härnösands distrikt, inspektionsmeddelande den 8 november 1999 (beteckning 22-2597 och dnr 99/786). Ö.E. gav även in kassettband med uppta</w:t>
      </w:r>
      <w:r w:rsidRPr="00896D4F">
        <w:t>g</w:t>
      </w:r>
      <w:r w:rsidRPr="00896D4F">
        <w:t>ningar från vissa radiointervjuer.</w:t>
      </w:r>
    </w:p>
    <w:p w:rsidR="009C1C5A" w:rsidRPr="00896D4F" w:rsidRDefault="009C1C5A">
      <w:pPr>
        <w:pStyle w:val="Rubrik3"/>
        <w:rPr>
          <w:b w:val="0"/>
        </w:rPr>
      </w:pPr>
      <w:r w:rsidRPr="00896D4F">
        <w:t>Utredning</w:t>
      </w:r>
    </w:p>
    <w:p w:rsidR="009C1C5A" w:rsidRPr="00896D4F" w:rsidRDefault="009C1C5A">
      <w:r w:rsidRPr="00896D4F">
        <w:t>Barn-, kultur- och utbildningsnämnden i Sollefteå kommun anmodades att in</w:t>
      </w:r>
      <w:r w:rsidRPr="00896D4F">
        <w:softHyphen/>
        <w:t>komma med utredning och yttrande över det som anfördes i anmälan.</w:t>
      </w:r>
    </w:p>
    <w:p w:rsidR="009C1C5A" w:rsidRPr="00896D4F" w:rsidRDefault="009C1C5A">
      <w:pPr>
        <w:pStyle w:val="Normaltindrag"/>
      </w:pPr>
      <w:r w:rsidRPr="00896D4F">
        <w:t xml:space="preserve">Under remisstiden inkom skrivelser från Ö.E. och P-E.G.  </w:t>
      </w:r>
    </w:p>
    <w:p w:rsidR="009C1C5A" w:rsidRPr="00896D4F" w:rsidRDefault="009C1C5A">
      <w:pPr>
        <w:pStyle w:val="Normaltindrag"/>
      </w:pPr>
      <w:r w:rsidRPr="00896D4F">
        <w:t>I beslut den 28 september 2000 hänvisade nämnden till en tjänstemannau</w:t>
      </w:r>
      <w:r w:rsidRPr="00896D4F">
        <w:t>t</w:t>
      </w:r>
      <w:r w:rsidRPr="00896D4F">
        <w:t>re</w:t>
      </w:r>
      <w:r w:rsidRPr="00896D4F">
        <w:t>d</w:t>
      </w:r>
      <w:r w:rsidRPr="00896D4F">
        <w:t xml:space="preserve">ning och anförde följande. </w:t>
      </w:r>
    </w:p>
    <w:p w:rsidR="009C1C5A" w:rsidRPr="00896D4F" w:rsidRDefault="009C1C5A">
      <w:pPr>
        <w:pStyle w:val="Citat"/>
      </w:pPr>
      <w:r w:rsidRPr="00896D4F">
        <w:t>Barn-, kultur- och utbildningsnämnden godtar utredningens resultat. Som en följd därav beslutar nämnden:</w:t>
      </w:r>
    </w:p>
    <w:p w:rsidR="009C1C5A" w:rsidRPr="00896D4F" w:rsidRDefault="009C1C5A">
      <w:pPr>
        <w:pStyle w:val="PunktlistaBomb"/>
        <w:numPr>
          <w:ilvl w:val="0"/>
          <w:numId w:val="1"/>
        </w:numPr>
        <w:tabs>
          <w:tab w:val="clear" w:pos="360"/>
        </w:tabs>
        <w:spacing w:line="200" w:lineRule="exact"/>
      </w:pPr>
      <w:r w:rsidRPr="00896D4F">
        <w:t xml:space="preserve">Att uppdra åt </w:t>
      </w:r>
      <w:r w:rsidRPr="00896D4F">
        <w:rPr>
          <w:sz w:val="20"/>
        </w:rPr>
        <w:t>förvaltningschefen</w:t>
      </w:r>
      <w:r w:rsidRPr="00896D4F">
        <w:t xml:space="preserve"> att göra en uppföljning på Ramsele gamla rektorsområde i enlighet med de områden Yrkesinspektionen fann vara i behov av åtgärder. Uppföljningen skall utföras under våren 2001 och red</w:t>
      </w:r>
      <w:r w:rsidRPr="00896D4F">
        <w:t>o</w:t>
      </w:r>
      <w:r w:rsidRPr="00896D4F">
        <w:t>visas till nämnden.</w:t>
      </w:r>
    </w:p>
    <w:p w:rsidR="009C1C5A" w:rsidRPr="00896D4F" w:rsidRDefault="009C1C5A">
      <w:pPr>
        <w:pStyle w:val="PunktlistaBomb"/>
        <w:numPr>
          <w:ilvl w:val="0"/>
          <w:numId w:val="1"/>
        </w:numPr>
        <w:tabs>
          <w:tab w:val="clear" w:pos="360"/>
        </w:tabs>
        <w:spacing w:before="0" w:line="200" w:lineRule="exact"/>
        <w:rPr>
          <w:sz w:val="20"/>
        </w:rPr>
      </w:pPr>
      <w:r w:rsidRPr="00896D4F">
        <w:rPr>
          <w:sz w:val="20"/>
        </w:rPr>
        <w:t xml:space="preserve">Att </w:t>
      </w:r>
      <w:r w:rsidRPr="00896D4F">
        <w:t>årligen</w:t>
      </w:r>
      <w:r w:rsidRPr="00896D4F">
        <w:rPr>
          <w:sz w:val="20"/>
        </w:rPr>
        <w:t xml:space="preserve"> lägga fast </w:t>
      </w:r>
      <w:r w:rsidRPr="00896D4F">
        <w:t>skriftliga</w:t>
      </w:r>
      <w:r w:rsidRPr="00896D4F">
        <w:rPr>
          <w:sz w:val="20"/>
        </w:rPr>
        <w:t xml:space="preserve"> rutiner kring nämndens ärendebere</w:t>
      </w:r>
      <w:r w:rsidRPr="00896D4F">
        <w:rPr>
          <w:sz w:val="20"/>
        </w:rPr>
        <w:t>d</w:t>
      </w:r>
      <w:r w:rsidRPr="00896D4F">
        <w:rPr>
          <w:sz w:val="20"/>
        </w:rPr>
        <w:t>ning, och ärendehantering.</w:t>
      </w:r>
    </w:p>
    <w:p w:rsidR="009C1C5A" w:rsidRPr="00896D4F" w:rsidRDefault="009C1C5A">
      <w:pPr>
        <w:pStyle w:val="PunktlistaBomb"/>
        <w:numPr>
          <w:ilvl w:val="0"/>
          <w:numId w:val="1"/>
        </w:numPr>
        <w:tabs>
          <w:tab w:val="clear" w:pos="360"/>
        </w:tabs>
        <w:spacing w:before="0" w:line="200" w:lineRule="exact"/>
        <w:rPr>
          <w:sz w:val="20"/>
        </w:rPr>
      </w:pPr>
      <w:r w:rsidRPr="00896D4F">
        <w:rPr>
          <w:sz w:val="20"/>
        </w:rPr>
        <w:t xml:space="preserve">Att </w:t>
      </w:r>
      <w:r w:rsidRPr="00896D4F">
        <w:t>anordna</w:t>
      </w:r>
      <w:r w:rsidRPr="00896D4F">
        <w:rPr>
          <w:sz w:val="20"/>
        </w:rPr>
        <w:t xml:space="preserve"> utbildning </w:t>
      </w:r>
      <w:r w:rsidRPr="00896D4F">
        <w:t>kring</w:t>
      </w:r>
      <w:r w:rsidRPr="00896D4F">
        <w:rPr>
          <w:sz w:val="20"/>
        </w:rPr>
        <w:t xml:space="preserve"> föregående punkt samt registrering av handlingar/diarieföring och protokollshantering.</w:t>
      </w:r>
    </w:p>
    <w:p w:rsidR="009C1C5A" w:rsidRPr="00896D4F" w:rsidRDefault="009C1C5A">
      <w:pPr>
        <w:pStyle w:val="PunktlistaBomb"/>
        <w:numPr>
          <w:ilvl w:val="0"/>
          <w:numId w:val="1"/>
        </w:numPr>
        <w:tabs>
          <w:tab w:val="clear" w:pos="360"/>
        </w:tabs>
        <w:spacing w:before="0" w:line="200" w:lineRule="exact"/>
        <w:rPr>
          <w:sz w:val="20"/>
        </w:rPr>
      </w:pPr>
      <w:r w:rsidRPr="00896D4F">
        <w:rPr>
          <w:sz w:val="20"/>
        </w:rPr>
        <w:t xml:space="preserve">Att </w:t>
      </w:r>
      <w:r w:rsidRPr="00896D4F">
        <w:t>förvaltningschef</w:t>
      </w:r>
      <w:r w:rsidRPr="00896D4F">
        <w:rPr>
          <w:sz w:val="20"/>
        </w:rPr>
        <w:t xml:space="preserve"> skall till nämnden redovisa förändrade rutiner gä</w:t>
      </w:r>
      <w:r w:rsidRPr="00896D4F">
        <w:rPr>
          <w:sz w:val="20"/>
        </w:rPr>
        <w:t>l</w:t>
      </w:r>
      <w:r w:rsidRPr="00896D4F">
        <w:rPr>
          <w:sz w:val="20"/>
        </w:rPr>
        <w:t xml:space="preserve">lande </w:t>
      </w:r>
      <w:r w:rsidRPr="00896D4F">
        <w:t>posthantering</w:t>
      </w:r>
      <w:r w:rsidRPr="00896D4F">
        <w:rPr>
          <w:sz w:val="20"/>
        </w:rPr>
        <w:t>, registrering och diarieföring. Dessa skall redovisas när förändringen av centrala förvaltningens organisation träder i full kraft.</w:t>
      </w:r>
    </w:p>
    <w:p w:rsidR="009C1C5A" w:rsidRPr="00896D4F" w:rsidRDefault="009C1C5A">
      <w:pPr>
        <w:pStyle w:val="Citat"/>
        <w:rPr>
          <w:sz w:val="20"/>
        </w:rPr>
      </w:pPr>
      <w:r w:rsidRPr="00896D4F">
        <w:t>Ordföranden Michael Lund deltog ej i beslutet på grund av jäv.</w:t>
      </w:r>
    </w:p>
    <w:p w:rsidR="009C1C5A" w:rsidRPr="00896D4F" w:rsidRDefault="009C1C5A">
      <w:r w:rsidRPr="00896D4F">
        <w:t>Den tjänstemannautredning som nämnden hänvisade till hade utförts av utr</w:t>
      </w:r>
      <w:r w:rsidRPr="00896D4F">
        <w:t>e</w:t>
      </w:r>
      <w:r w:rsidRPr="00896D4F">
        <w:t>daren Birgitta Orrebo. I utredningen redovisades inledningsvis för uppdraget m.m. samt</w:t>
      </w:r>
      <w:r w:rsidRPr="00896D4F">
        <w:rPr>
          <w:i/>
        </w:rPr>
        <w:t xml:space="preserve"> </w:t>
      </w:r>
      <w:r w:rsidRPr="00896D4F">
        <w:t>anfördes därefter</w:t>
      </w:r>
      <w:r w:rsidRPr="00896D4F">
        <w:rPr>
          <w:i/>
        </w:rPr>
        <w:t xml:space="preserve"> </w:t>
      </w:r>
      <w:r w:rsidRPr="00896D4F">
        <w:t>följande (hänvisningar till bilagor har här ut</w:t>
      </w:r>
      <w:r w:rsidRPr="00896D4F">
        <w:t>e</w:t>
      </w:r>
      <w:r w:rsidRPr="00896D4F">
        <w:t>lämnats).</w:t>
      </w:r>
    </w:p>
    <w:p w:rsidR="009C1C5A" w:rsidRPr="00896D4F" w:rsidRDefault="009C1C5A">
      <w:pPr>
        <w:rPr>
          <w:b/>
          <w:sz w:val="20"/>
        </w:rPr>
      </w:pPr>
      <w:r w:rsidRPr="00896D4F">
        <w:rPr>
          <w:b/>
          <w:sz w:val="20"/>
        </w:rPr>
        <w:t>– – –</w:t>
      </w:r>
    </w:p>
    <w:p w:rsidR="009C1C5A" w:rsidRPr="00896D4F" w:rsidRDefault="009C1C5A">
      <w:pPr>
        <w:pStyle w:val="Rubrik4"/>
        <w:spacing w:before="125"/>
        <w:rPr>
          <w:sz w:val="19"/>
        </w:rPr>
      </w:pPr>
      <w:r w:rsidRPr="00896D4F">
        <w:rPr>
          <w:sz w:val="19"/>
        </w:rPr>
        <w:t>Anmälningspunkt: efterforskning av källa</w:t>
      </w:r>
    </w:p>
    <w:p w:rsidR="009C1C5A" w:rsidRPr="00896D4F" w:rsidRDefault="009C1C5A">
      <w:pPr>
        <w:pStyle w:val="Citat"/>
        <w:rPr>
          <w:sz w:val="20"/>
        </w:rPr>
      </w:pPr>
      <w:r w:rsidRPr="00896D4F">
        <w:t xml:space="preserve">Ursprunget till denna anmälningspunkt är en skrivelse i form av en lista med rubrik ”Lärare i Ramseles rektorsområde som blivit illa behandlade” som under våren -99 skickades </w:t>
      </w:r>
      <w:r w:rsidRPr="00896D4F">
        <w:rPr>
          <w:i/>
        </w:rPr>
        <w:t>anonymt</w:t>
      </w:r>
      <w:r w:rsidRPr="00896D4F">
        <w:t xml:space="preserve"> till ett flertal personer. Den skrivelse som inkommit till justitieombudsmannen är daterad juni -99 </w:t>
      </w:r>
      <w:r w:rsidRPr="00896D4F">
        <w:rPr>
          <w:sz w:val="20"/>
        </w:rPr>
        <w:t>men det finns också en tidigare skrivelse som är daterad maj -99. Samtliga intervjuade, föru</w:t>
      </w:r>
      <w:r w:rsidRPr="00896D4F">
        <w:rPr>
          <w:sz w:val="20"/>
        </w:rPr>
        <w:t>t</w:t>
      </w:r>
      <w:r w:rsidRPr="00896D4F">
        <w:rPr>
          <w:sz w:val="20"/>
        </w:rPr>
        <w:t>om nämndsekreteraren, uppger att de har sett skrivelsen före tidningsart</w:t>
      </w:r>
      <w:r w:rsidRPr="00896D4F">
        <w:rPr>
          <w:sz w:val="20"/>
        </w:rPr>
        <w:t>i</w:t>
      </w:r>
      <w:r w:rsidRPr="00896D4F">
        <w:rPr>
          <w:sz w:val="20"/>
        </w:rPr>
        <w:t xml:space="preserve">kel den 12 juni -99. </w:t>
      </w:r>
      <w:r w:rsidRPr="00896D4F">
        <w:t>Förvalt</w:t>
      </w:r>
      <w:r w:rsidRPr="00896D4F">
        <w:softHyphen/>
        <w:t>nings</w:t>
      </w:r>
      <w:r w:rsidRPr="00896D4F">
        <w:softHyphen/>
      </w:r>
      <w:r w:rsidRPr="00896D4F">
        <w:softHyphen/>
        <w:t>chefen uppger att hon har ställt frågan till de fackliga företrä</w:t>
      </w:r>
      <w:r w:rsidRPr="00896D4F">
        <w:softHyphen/>
        <w:t>darna om Lärar</w:t>
      </w:r>
      <w:r w:rsidRPr="00896D4F">
        <w:softHyphen/>
        <w:t>förbundet ställer sig bakom den anonyma skr</w:t>
      </w:r>
      <w:r w:rsidRPr="00896D4F">
        <w:t>i</w:t>
      </w:r>
      <w:r w:rsidRPr="00896D4F">
        <w:t>velsen.</w:t>
      </w:r>
    </w:p>
    <w:p w:rsidR="009C1C5A" w:rsidRPr="00896D4F" w:rsidRDefault="009C1C5A">
      <w:pPr>
        <w:pStyle w:val="Citatindrag"/>
        <w:rPr>
          <w:sz w:val="20"/>
        </w:rPr>
      </w:pPr>
      <w:r w:rsidRPr="00896D4F">
        <w:t>K.N. uppger att hon i egenskap av facklig förtroendeman blivit tillfrå</w:t>
      </w:r>
      <w:r w:rsidRPr="00896D4F">
        <w:t>gad av förvalt</w:t>
      </w:r>
      <w:r w:rsidRPr="00896D4F">
        <w:softHyphen/>
        <w:t>nings</w:t>
      </w:r>
      <w:r w:rsidRPr="00896D4F">
        <w:softHyphen/>
        <w:t>chefen om hon ställer sig bakom den anonyma skrivelsen och att diskussioner kring skrivelsen fördes under våren, troligtvis under senvåren 1999.</w:t>
      </w:r>
    </w:p>
    <w:p w:rsidR="009C1C5A" w:rsidRPr="00896D4F" w:rsidRDefault="009C1C5A">
      <w:pPr>
        <w:pStyle w:val="Citatindrag"/>
        <w:rPr>
          <w:sz w:val="20"/>
        </w:rPr>
      </w:pPr>
      <w:r w:rsidRPr="00896D4F">
        <w:t>P-E.G. uppger att både förvaltningschef och rektor frågat om P-E.G., i egenskap av facklig förtroendeman, kände till vilka som för</w:t>
      </w:r>
      <w:r w:rsidRPr="00896D4F">
        <w:softHyphen/>
        <w:t>fattat skrivelsen. P-E.G. är dock osäker på tid</w:t>
      </w:r>
      <w:r w:rsidRPr="00896D4F">
        <w:softHyphen/>
        <w:t>punkt för när frågan om skri</w:t>
      </w:r>
      <w:r w:rsidRPr="00896D4F">
        <w:softHyphen/>
        <w:t>velsen stäl</w:t>
      </w:r>
      <w:r w:rsidRPr="00896D4F">
        <w:t>l</w:t>
      </w:r>
      <w:r w:rsidRPr="00896D4F">
        <w:t>des.</w:t>
      </w:r>
    </w:p>
    <w:p w:rsidR="009C1C5A" w:rsidRPr="00896D4F" w:rsidRDefault="009C1C5A">
      <w:pPr>
        <w:pStyle w:val="Citatindrag"/>
        <w:rPr>
          <w:sz w:val="20"/>
        </w:rPr>
      </w:pPr>
      <w:r w:rsidRPr="00896D4F">
        <w:t>Rektor uppger att skrivelsen har diskuterats i olika sammanhang, och att man spekulerat i vem/vilka som kan ha författat den, men att han inte har bedrivit aktiv efterforskning.</w:t>
      </w:r>
    </w:p>
    <w:p w:rsidR="009C1C5A" w:rsidRPr="00896D4F" w:rsidRDefault="009C1C5A">
      <w:pPr>
        <w:pStyle w:val="Citatindrag"/>
        <w:rPr>
          <w:sz w:val="20"/>
        </w:rPr>
      </w:pPr>
      <w:r w:rsidRPr="00896D4F">
        <w:t>Den 10 juni -99 lämnade Lärarförbundet, genom dåvarande ordföra</w:t>
      </w:r>
      <w:r w:rsidRPr="00896D4F">
        <w:t>n</w:t>
      </w:r>
      <w:r w:rsidRPr="00896D4F">
        <w:t xml:space="preserve">de </w:t>
      </w:r>
      <w:r w:rsidRPr="00896D4F">
        <w:br/>
        <w:t>P-E.G., in en skrivelse till kommunstyrelsen angående lärar</w:t>
      </w:r>
      <w:r w:rsidRPr="00896D4F">
        <w:softHyphen/>
        <w:t>situationen i Ra</w:t>
      </w:r>
      <w:r w:rsidRPr="00896D4F">
        <w:t>m</w:t>
      </w:r>
      <w:r w:rsidRPr="00896D4F">
        <w:t>sele. Enligt anmälan har Lärar</w:t>
      </w:r>
      <w:r w:rsidRPr="00896D4F">
        <w:softHyphen/>
        <w:t>förbundet lämnat in en lista på lärare som slutat vid Ramsele skola. Detta förnekas av P-E.G.</w:t>
      </w:r>
    </w:p>
    <w:p w:rsidR="009C1C5A" w:rsidRPr="00896D4F" w:rsidRDefault="009C1C5A">
      <w:pPr>
        <w:pStyle w:val="Citatindrag"/>
        <w:rPr>
          <w:sz w:val="20"/>
        </w:rPr>
      </w:pPr>
      <w:r w:rsidRPr="00896D4F">
        <w:t>Den 11 juni -99 fick förvaltningschefen i uppdrag från kommunle</w:t>
      </w:r>
      <w:r w:rsidRPr="00896D4F">
        <w:t>d</w:t>
      </w:r>
      <w:r w:rsidRPr="00896D4F">
        <w:t>nings</w:t>
      </w:r>
      <w:r w:rsidRPr="00896D4F">
        <w:softHyphen/>
        <w:t>kontorets ärendebered</w:t>
      </w:r>
      <w:r w:rsidRPr="00896D4F">
        <w:softHyphen/>
        <w:t>ningsgrupp att utreda och handlägga denna skrivelse. Förvaltningschefen diskuterade uppdraget med närmaste chef för Ramsele skola, rektor Håkan Abrahamsson. Förvaltningschefen kon</w:t>
      </w:r>
      <w:r w:rsidRPr="00896D4F">
        <w:softHyphen/>
        <w:t xml:space="preserve">taktade också </w:t>
      </w:r>
      <w:r w:rsidRPr="00896D4F">
        <w:br/>
        <w:t>P-E.G. i samband med ovan nämnda utredning.</w:t>
      </w:r>
    </w:p>
    <w:p w:rsidR="009C1C5A" w:rsidRPr="00896D4F" w:rsidRDefault="009C1C5A">
      <w:pPr>
        <w:pStyle w:val="Citatindrag"/>
        <w:rPr>
          <w:b/>
          <w:sz w:val="20"/>
        </w:rPr>
      </w:pPr>
      <w:r w:rsidRPr="00896D4F">
        <w:t>Förvaltningschef och Rektor förnekar att de har försökt efterforska vilka som lämnat uppgifter till tidningsartikel den 12 juni 1999. Det som kan ha skapat otydligheter är att uppdraget från kommun</w:t>
      </w:r>
      <w:r w:rsidRPr="00896D4F">
        <w:softHyphen/>
        <w:t>ledningskontorets ären</w:t>
      </w:r>
      <w:r w:rsidRPr="00896D4F">
        <w:softHyphen/>
        <w:t>de</w:t>
      </w:r>
      <w:r w:rsidRPr="00896D4F">
        <w:softHyphen/>
        <w:t>beredningsgrupp att utreda och handlägga Lärarförbundets skrivelse samma</w:t>
      </w:r>
      <w:r w:rsidRPr="00896D4F">
        <w:t>n</w:t>
      </w:r>
      <w:r w:rsidRPr="00896D4F">
        <w:t>faller med datum för tidningsartikeln.</w:t>
      </w:r>
    </w:p>
    <w:p w:rsidR="009C1C5A" w:rsidRPr="00896D4F" w:rsidRDefault="009C1C5A">
      <w:pPr>
        <w:pStyle w:val="Rubrik4"/>
        <w:spacing w:before="125"/>
      </w:pPr>
      <w:r w:rsidRPr="00896D4F">
        <w:rPr>
          <w:sz w:val="19"/>
        </w:rPr>
        <w:t>Anmälningspunkt: hot och trakasserier</w:t>
      </w:r>
    </w:p>
    <w:p w:rsidR="009C1C5A" w:rsidRPr="00896D4F" w:rsidRDefault="009C1C5A">
      <w:pPr>
        <w:pStyle w:val="Citat"/>
        <w:rPr>
          <w:sz w:val="20"/>
        </w:rPr>
      </w:pPr>
      <w:r w:rsidRPr="00896D4F">
        <w:t>Enligt anmälan skall förvaltningschef och rektor ha skrämt ”personer” till tystnad. Rektor anmäls dessutom för trakasserier av personal.</w:t>
      </w:r>
    </w:p>
    <w:p w:rsidR="009C1C5A" w:rsidRPr="00896D4F" w:rsidRDefault="009C1C5A">
      <w:pPr>
        <w:pStyle w:val="Citatindrag"/>
        <w:rPr>
          <w:sz w:val="20"/>
        </w:rPr>
      </w:pPr>
      <w:r w:rsidRPr="00896D4F">
        <w:t>Förvaltningschefen förnekar att detta har förekommit.</w:t>
      </w:r>
    </w:p>
    <w:p w:rsidR="009C1C5A" w:rsidRPr="00896D4F" w:rsidRDefault="009C1C5A">
      <w:pPr>
        <w:pStyle w:val="Citatindrag"/>
        <w:rPr>
          <w:sz w:val="20"/>
        </w:rPr>
      </w:pPr>
      <w:r w:rsidRPr="00896D4F">
        <w:t>Rektor nekar till att ha skrämt eller trakasserat personal.</w:t>
      </w:r>
    </w:p>
    <w:p w:rsidR="009C1C5A" w:rsidRPr="00896D4F" w:rsidRDefault="009C1C5A">
      <w:pPr>
        <w:pStyle w:val="Citat"/>
        <w:rPr>
          <w:b/>
          <w:sz w:val="20"/>
        </w:rPr>
      </w:pPr>
      <w:r w:rsidRPr="00896D4F">
        <w:t>Kommentar: I YI:s inspektionsrapport framgår att den psykosociala ar</w:t>
      </w:r>
      <w:r w:rsidRPr="00896D4F">
        <w:softHyphen/>
        <w:t>betsmiljön inte var god under aktuell tidsperiod. Några personer på skolan upplevde sig vara utsatta av både medarbetare och skolledning. Y</w:t>
      </w:r>
      <w:r w:rsidRPr="00896D4F">
        <w:t>r</w:t>
      </w:r>
      <w:r w:rsidRPr="00896D4F">
        <w:t>kes</w:t>
      </w:r>
      <w:r w:rsidRPr="00896D4F">
        <w:softHyphen/>
        <w:t>inspek</w:t>
      </w:r>
      <w:r w:rsidRPr="00896D4F">
        <w:softHyphen/>
        <w:t>tionen påbörjade inspektion hösten -99 och redovisade resul</w:t>
      </w:r>
      <w:r w:rsidRPr="00896D4F">
        <w:softHyphen/>
        <w:t xml:space="preserve">tatet </w:t>
      </w:r>
      <w:r w:rsidRPr="00896D4F">
        <w:rPr>
          <w:sz w:val="20"/>
        </w:rPr>
        <w:t>i inspe</w:t>
      </w:r>
      <w:r w:rsidRPr="00896D4F">
        <w:rPr>
          <w:sz w:val="20"/>
        </w:rPr>
        <w:t>k</w:t>
      </w:r>
      <w:r w:rsidRPr="00896D4F">
        <w:rPr>
          <w:sz w:val="20"/>
        </w:rPr>
        <w:t>tionsmeddelande 1999-11-08. Områden som skulle åtgärdas var: förde</w:t>
      </w:r>
      <w:r w:rsidRPr="00896D4F">
        <w:rPr>
          <w:sz w:val="20"/>
        </w:rPr>
        <w:t>l</w:t>
      </w:r>
      <w:r w:rsidRPr="00896D4F">
        <w:rPr>
          <w:sz w:val="20"/>
        </w:rPr>
        <w:t>ning av arbets</w:t>
      </w:r>
      <w:r w:rsidRPr="00896D4F">
        <w:rPr>
          <w:sz w:val="20"/>
        </w:rPr>
        <w:softHyphen/>
        <w:t>uppgifter till chefer/arbetsledare, arbetsbelastning, inflyta</w:t>
      </w:r>
      <w:r w:rsidRPr="00896D4F">
        <w:rPr>
          <w:sz w:val="20"/>
        </w:rPr>
        <w:t>n</w:t>
      </w:r>
      <w:r w:rsidRPr="00896D4F">
        <w:rPr>
          <w:sz w:val="20"/>
        </w:rPr>
        <w:t>de/delaktighet/lojalitet samt stöd. (Arbete med åtgärdande av dessa omr</w:t>
      </w:r>
      <w:r w:rsidRPr="00896D4F">
        <w:rPr>
          <w:sz w:val="20"/>
        </w:rPr>
        <w:t>å</w:t>
      </w:r>
      <w:r w:rsidRPr="00896D4F">
        <w:rPr>
          <w:sz w:val="20"/>
        </w:rPr>
        <w:t>den har inletts.)</w:t>
      </w:r>
    </w:p>
    <w:p w:rsidR="009C1C5A" w:rsidRPr="00896D4F" w:rsidRDefault="009C1C5A">
      <w:pPr>
        <w:pStyle w:val="Rubrik4"/>
        <w:spacing w:before="125"/>
      </w:pPr>
      <w:r w:rsidRPr="00896D4F">
        <w:rPr>
          <w:sz w:val="19"/>
        </w:rPr>
        <w:t>Anmälningspunkt: ärendehandläggning</w:t>
      </w:r>
    </w:p>
    <w:p w:rsidR="009C1C5A" w:rsidRPr="00896D4F" w:rsidRDefault="009C1C5A">
      <w:pPr>
        <w:pStyle w:val="Citat"/>
        <w:rPr>
          <w:sz w:val="20"/>
        </w:rPr>
      </w:pPr>
      <w:r w:rsidRPr="00896D4F">
        <w:t>Efter en granskning av diarieförda handlingar och postlista kan det kon</w:t>
      </w:r>
      <w:r w:rsidRPr="00896D4F">
        <w:softHyphen/>
        <w:t>stateras att den anonyma skrivelsen inte finns registrerad. Den finns inte i diariet och ingen av de anmälda har heller kvar skrivelsen. Den som är an</w:t>
      </w:r>
      <w:r w:rsidRPr="00896D4F">
        <w:softHyphen/>
        <w:t>svarig för posthantering och diarieföring har inte sett den. Förvalt</w:t>
      </w:r>
      <w:r w:rsidRPr="00896D4F">
        <w:softHyphen/>
        <w:t>nings</w:t>
      </w:r>
      <w:r w:rsidRPr="00896D4F">
        <w:softHyphen/>
      </w:r>
      <w:r w:rsidRPr="00896D4F">
        <w:softHyphen/>
        <w:t>chef, ordförande och rektor, vilka alla har haft skrivelsen, anger att de inte tänkt på att kontrol</w:t>
      </w:r>
      <w:r w:rsidRPr="00896D4F">
        <w:softHyphen/>
        <w:t xml:space="preserve">lera att den blivit diarieförd eller registrerad. </w:t>
      </w:r>
    </w:p>
    <w:p w:rsidR="009C1C5A" w:rsidRPr="00896D4F" w:rsidRDefault="009C1C5A">
      <w:pPr>
        <w:pStyle w:val="Citatindrag"/>
        <w:rPr>
          <w:i/>
          <w:sz w:val="20"/>
        </w:rPr>
      </w:pPr>
      <w:r w:rsidRPr="00896D4F">
        <w:t>Den skrivelse som är daterad 1999-04-28 och ställd till berörda parter an</w:t>
      </w:r>
      <w:r w:rsidRPr="00896D4F">
        <w:softHyphen/>
        <w:t>gående lärar/skol</w:t>
      </w:r>
      <w:r w:rsidRPr="00896D4F">
        <w:softHyphen/>
        <w:t>situationen i Ramsele är registrerad i BKU-förvalt</w:t>
      </w:r>
      <w:r w:rsidRPr="00896D4F">
        <w:softHyphen/>
        <w:t>ningens diarium 1999-08-20 men instämplad 1999-08-12. Arbetsutskottet uppdrog 1999-08-12 (ej den 26:e som står i anmälan) till Håkan Abrahamsson att ta fram förslag på svar till skrivelsen. Förslaget redovisa</w:t>
      </w:r>
      <w:r w:rsidRPr="00896D4F">
        <w:softHyphen/>
        <w:t>des i nämnden 1999-08-26 och nämnden beslutade att uppdra till ordfö</w:t>
      </w:r>
      <w:r w:rsidRPr="00896D4F">
        <w:softHyphen/>
        <w:t xml:space="preserve">rande Michael Lund och vice ordförande Mona Westerlund att besvara skrivelsen. Skrivelsen besvarades 2000-03-26. Enligt Lund och Westerlund så uppfattade de att de </w:t>
      </w:r>
      <w:r w:rsidRPr="00896D4F">
        <w:t>redan svarat på dessa frågor under ett möte den 3 augusti i Ramsele med föräldrar till barn på Ramsele skola. De uppger även att de vid detta möte mottog skrivelsen.</w:t>
      </w:r>
    </w:p>
    <w:p w:rsidR="009C1C5A" w:rsidRPr="00896D4F" w:rsidRDefault="009C1C5A">
      <w:pPr>
        <w:pStyle w:val="Rubrik4"/>
        <w:spacing w:before="125"/>
        <w:rPr>
          <w:i w:val="0"/>
          <w:sz w:val="20"/>
        </w:rPr>
      </w:pPr>
      <w:r w:rsidRPr="00896D4F">
        <w:rPr>
          <w:sz w:val="19"/>
        </w:rPr>
        <w:t>Förändringar sedan 1999</w:t>
      </w:r>
    </w:p>
    <w:p w:rsidR="009C1C5A" w:rsidRPr="00896D4F" w:rsidRDefault="009C1C5A">
      <w:pPr>
        <w:pStyle w:val="Citat"/>
        <w:rPr>
          <w:sz w:val="20"/>
        </w:rPr>
      </w:pPr>
      <w:r w:rsidRPr="00896D4F">
        <w:t>I oktober 1999 fattade BKU-nämnden beslut om förändring av ledning</w:t>
      </w:r>
      <w:r w:rsidRPr="00896D4F">
        <w:t>s</w:t>
      </w:r>
      <w:r w:rsidRPr="00896D4F">
        <w:t>or</w:t>
      </w:r>
      <w:r w:rsidRPr="00896D4F">
        <w:softHyphen/>
        <w:t>ganisationen. Den nya organisationen trädde i kraft 2000-07-01. Tidigare fanns det på Ramsele skola en rektor och en biträdande rektor. Föränd</w:t>
      </w:r>
      <w:r w:rsidRPr="00896D4F">
        <w:softHyphen/>
        <w:t xml:space="preserve">ringen innebar bl.a. att skolan fick endast </w:t>
      </w:r>
      <w:r w:rsidRPr="00896D4F">
        <w:rPr>
          <w:i/>
        </w:rPr>
        <w:t xml:space="preserve">en </w:t>
      </w:r>
      <w:r w:rsidRPr="00896D4F">
        <w:t>rektor. En förhoppning är att detta skall eliminera några av de otydligheter Yrkesinspektionen har pekat på. Håkan Abrahamsson är numera rektor på ett annat rektor</w:t>
      </w:r>
      <w:r w:rsidRPr="00896D4F">
        <w:t>s</w:t>
      </w:r>
      <w:r w:rsidRPr="00896D4F">
        <w:t>område.</w:t>
      </w:r>
    </w:p>
    <w:p w:rsidR="009C1C5A" w:rsidRPr="00896D4F" w:rsidRDefault="009C1C5A">
      <w:pPr>
        <w:pStyle w:val="Citatindrag"/>
        <w:rPr>
          <w:b/>
          <w:sz w:val="20"/>
        </w:rPr>
      </w:pPr>
      <w:r w:rsidRPr="00896D4F">
        <w:t>Under hösten -99 och våren -00 har man arbetat med en förändrad o</w:t>
      </w:r>
      <w:r w:rsidRPr="00896D4F">
        <w:t>r</w:t>
      </w:r>
      <w:r w:rsidRPr="00896D4F">
        <w:t>gani</w:t>
      </w:r>
      <w:r w:rsidRPr="00896D4F">
        <w:softHyphen/>
        <w:t>sation och förändring av den centrala förvaltningens verksamhet. I augusti -00 lades det fast en organisation som skall gälla under ett år. En del i den nya organisationen innebär att det ges tydligare uppdrag och bättre förut</w:t>
      </w:r>
      <w:r w:rsidRPr="00896D4F">
        <w:softHyphen/>
        <w:t>sättningar för professionella rutiner vad gäller nämndsadministrationen, post</w:t>
      </w:r>
      <w:r w:rsidRPr="00896D4F">
        <w:softHyphen/>
        <w:t>hantering, registrering och diarieföring. I samband med detta gavs sär</w:t>
      </w:r>
      <w:r w:rsidRPr="00896D4F">
        <w:softHyphen/>
        <w:t>skilt uppdrag till utredaren att utarbeta funktionella rutiner gällande post</w:t>
      </w:r>
      <w:r w:rsidRPr="00896D4F">
        <w:softHyphen/>
        <w:t>hantering, registrering och diarieföring. Dessa ska b</w:t>
      </w:r>
      <w:r w:rsidRPr="00896D4F">
        <w:t>örja gälla från och med att förändring av centrala förvaltningens organisation träder i full kraft.</w:t>
      </w:r>
    </w:p>
    <w:p w:rsidR="009C1C5A" w:rsidRPr="00896D4F" w:rsidRDefault="009C1C5A">
      <w:pPr>
        <w:pStyle w:val="Rubrik4"/>
        <w:spacing w:before="125"/>
        <w:rPr>
          <w:sz w:val="19"/>
        </w:rPr>
      </w:pPr>
      <w:r w:rsidRPr="00896D4F">
        <w:rPr>
          <w:sz w:val="19"/>
        </w:rPr>
        <w:t>Resultat</w:t>
      </w:r>
    </w:p>
    <w:p w:rsidR="009C1C5A" w:rsidRPr="00896D4F" w:rsidRDefault="009C1C5A">
      <w:pPr>
        <w:pStyle w:val="Rubrik4"/>
        <w:spacing w:before="125"/>
        <w:rPr>
          <w:i w:val="0"/>
          <w:sz w:val="19"/>
        </w:rPr>
      </w:pPr>
      <w:r w:rsidRPr="00896D4F">
        <w:rPr>
          <w:i w:val="0"/>
          <w:sz w:val="19"/>
        </w:rPr>
        <w:t xml:space="preserve">Utredningen: </w:t>
      </w:r>
    </w:p>
    <w:p w:rsidR="009C1C5A" w:rsidRPr="00896D4F" w:rsidRDefault="009C1C5A">
      <w:pPr>
        <w:pStyle w:val="PunktlistaBomb"/>
        <w:spacing w:line="200" w:lineRule="exact"/>
      </w:pPr>
      <w:r w:rsidRPr="00896D4F">
        <w:t>kan ej visa att förvaltningschef och rektor har efterforskat källa,</w:t>
      </w:r>
    </w:p>
    <w:p w:rsidR="009C1C5A" w:rsidRPr="00896D4F" w:rsidRDefault="009C1C5A">
      <w:pPr>
        <w:pStyle w:val="PunktlistaBomb"/>
        <w:spacing w:before="0" w:line="200" w:lineRule="exact"/>
      </w:pPr>
      <w:r w:rsidRPr="00896D4F">
        <w:t>kan varken stödja eller avfärda att det förekommit hot och trakasser</w:t>
      </w:r>
      <w:r w:rsidRPr="00896D4F">
        <w:t>i</w:t>
      </w:r>
      <w:r w:rsidRPr="00896D4F">
        <w:t>er,</w:t>
      </w:r>
    </w:p>
    <w:p w:rsidR="009C1C5A" w:rsidRPr="00896D4F" w:rsidRDefault="009C1C5A">
      <w:pPr>
        <w:pStyle w:val="PunktlistaBomb"/>
        <w:numPr>
          <w:ilvl w:val="0"/>
          <w:numId w:val="1"/>
        </w:numPr>
        <w:tabs>
          <w:tab w:val="clear" w:pos="360"/>
        </w:tabs>
        <w:spacing w:before="0" w:line="200" w:lineRule="exact"/>
      </w:pPr>
      <w:r w:rsidRPr="00896D4F">
        <w:t>visar på att det var brister i ärendehandläggningen. Brister har konsta</w:t>
      </w:r>
      <w:r w:rsidRPr="00896D4F">
        <w:softHyphen/>
        <w:t>terats på följande punkter; handlingar ej blivit inregistrerade, diariefö</w:t>
      </w:r>
      <w:r w:rsidRPr="00896D4F">
        <w:softHyphen/>
        <w:t>ring har ej varit tillfredsställande, skrivelser ej besvarade inom rimlig tid, det saknas dokumentation i BKU-nämndens protokoll att ärendet har diskut</w:t>
      </w:r>
      <w:r w:rsidRPr="00896D4F">
        <w:t>e</w:t>
      </w:r>
      <w:r w:rsidRPr="00896D4F">
        <w:t>rats.</w:t>
      </w:r>
    </w:p>
    <w:p w:rsidR="009C1C5A" w:rsidRPr="00896D4F" w:rsidRDefault="009C1C5A">
      <w:r w:rsidRPr="00896D4F">
        <w:t>Ö.E. yttrade sig över remissvaret. Till yttrandet hade han fogat bl.a. ett yt</w:t>
      </w:r>
      <w:r w:rsidRPr="00896D4F">
        <w:t>t</w:t>
      </w:r>
      <w:r w:rsidRPr="00896D4F">
        <w:t xml:space="preserve">rande från P-E.G.    </w:t>
      </w:r>
    </w:p>
    <w:p w:rsidR="009C1C5A" w:rsidRPr="00896D4F" w:rsidRDefault="009C1C5A">
      <w:pPr>
        <w:pStyle w:val="Normaltindrag"/>
      </w:pPr>
      <w:r w:rsidRPr="00896D4F">
        <w:t>Ö.E. inkom med komplet</w:t>
      </w:r>
      <w:r w:rsidRPr="00896D4F">
        <w:softHyphen/>
        <w:t xml:space="preserve">terande skrivelser. </w:t>
      </w:r>
    </w:p>
    <w:p w:rsidR="009C1C5A" w:rsidRPr="00896D4F" w:rsidRDefault="009C1C5A">
      <w:r w:rsidRPr="00896D4F">
        <w:t xml:space="preserve">I beslut den 6 december 2001 anförde </w:t>
      </w:r>
      <w:r w:rsidRPr="00896D4F">
        <w:rPr>
          <w:i/>
        </w:rPr>
        <w:t xml:space="preserve">JO André </w:t>
      </w:r>
      <w:r w:rsidRPr="00896D4F">
        <w:t>bl.a. följande.</w:t>
      </w:r>
    </w:p>
    <w:p w:rsidR="009C1C5A" w:rsidRPr="00896D4F" w:rsidRDefault="009C1C5A">
      <w:pPr>
        <w:pStyle w:val="Rubrik3"/>
      </w:pPr>
      <w:r w:rsidRPr="00896D4F">
        <w:t xml:space="preserve">Bedömning </w:t>
      </w:r>
    </w:p>
    <w:p w:rsidR="009C1C5A" w:rsidRPr="00896D4F" w:rsidRDefault="009C1C5A">
      <w:pPr>
        <w:pStyle w:val="Rubrik4"/>
        <w:spacing w:before="125"/>
      </w:pPr>
      <w:r w:rsidRPr="00896D4F">
        <w:t>Brott mot efterforskningsförbudet eller annan kränkning av yttrande- och meddelar</w:t>
      </w:r>
      <w:r w:rsidRPr="00896D4F">
        <w:softHyphen/>
        <w:t>friheten?</w:t>
      </w:r>
    </w:p>
    <w:p w:rsidR="009C1C5A" w:rsidRPr="00896D4F" w:rsidRDefault="009C1C5A">
      <w:r w:rsidRPr="00896D4F">
        <w:t>I 2 kap. 1 § 1 regeringsformen stadgas att varje medborgare gentemot det all</w:t>
      </w:r>
      <w:r w:rsidRPr="00896D4F">
        <w:softHyphen/>
        <w:t>männa är tillförsäkrad yttrandefrihet, varmed avses frihet att i tal, skrift eller bild eller på annat sätt meddela upplysningar samt uttrycka tankar, åsikter och känslor. Begräns</w:t>
      </w:r>
      <w:r w:rsidRPr="00896D4F">
        <w:softHyphen/>
        <w:t>ning av denna rättighet får enligt 2 kap. 12 § regeringsfo</w:t>
      </w:r>
      <w:r w:rsidRPr="00896D4F">
        <w:t>r</w:t>
      </w:r>
      <w:r w:rsidRPr="00896D4F">
        <w:t>men endast ske genom lag eller, i vissa fall, genom annan författning. Genom tryckfrihetsför</w:t>
      </w:r>
      <w:r w:rsidRPr="00896D4F">
        <w:softHyphen/>
        <w:t>ordningens bestämmelser om meddelarfrihet ges yttrandefr</w:t>
      </w:r>
      <w:r w:rsidRPr="00896D4F">
        <w:t>i</w:t>
      </w:r>
      <w:r w:rsidRPr="00896D4F">
        <w:t>heten till viss del ett särskilt skydd. Meddelarfriheten enligt 1 kap. 1 § andra stycket tryckfrihetsför</w:t>
      </w:r>
      <w:r w:rsidRPr="00896D4F">
        <w:softHyphen/>
        <w:t>ordningen innebär</w:t>
      </w:r>
      <w:r w:rsidRPr="00896D4F">
        <w:t xml:space="preserve"> att det står varje medborgare fritt att – med iakttagande av de bestämmelser som är meddelade i tryckfrihets</w:t>
      </w:r>
      <w:r w:rsidRPr="00896D4F">
        <w:softHyphen/>
        <w:t>förordningen till skydd för enskild rätt och allmän säkerhet – i tryckt skrift yttra sina tankar och åsikter, offentlig</w:t>
      </w:r>
      <w:r w:rsidRPr="00896D4F">
        <w:softHyphen/>
        <w:t>göra allmänna handlingar samt med</w:t>
      </w:r>
      <w:r w:rsidRPr="00896D4F">
        <w:softHyphen/>
        <w:t>dela uppgifter och underrättelser i vad ämne som helst. Meddelarfriheten omfattar även anskaffande av uppgifter m.m. som är avsedda att offentlig</w:t>
      </w:r>
      <w:r w:rsidRPr="00896D4F">
        <w:softHyphen/>
        <w:t>göras i tryckt skrift. Av 3 kap. 4 § tryckfrihetsförordningen framgår vidare att som huvu</w:t>
      </w:r>
      <w:r w:rsidRPr="00896D4F">
        <w:t>d</w:t>
      </w:r>
      <w:r w:rsidRPr="00896D4F">
        <w:t>regel föreli</w:t>
      </w:r>
      <w:r w:rsidRPr="00896D4F">
        <w:t>gger ett förbud för myndighet eller annat all</w:t>
      </w:r>
      <w:r w:rsidRPr="00896D4F">
        <w:softHyphen/>
        <w:t>mänt organ att efte</w:t>
      </w:r>
      <w:r w:rsidRPr="00896D4F">
        <w:t>r</w:t>
      </w:r>
      <w:r w:rsidRPr="00896D4F">
        <w:t>forska en anonym med</w:t>
      </w:r>
      <w:r w:rsidRPr="00896D4F">
        <w:softHyphen/>
        <w:t>delares identitet. Otillåten efter</w:t>
      </w:r>
      <w:r w:rsidRPr="00896D4F">
        <w:softHyphen/>
        <w:t>forskning är, om den skett upp</w:t>
      </w:r>
      <w:r w:rsidRPr="00896D4F">
        <w:softHyphen/>
        <w:t>såtligen, straffbar enligt 3 kap. 5 § andra stycket tryckfri</w:t>
      </w:r>
      <w:r w:rsidRPr="00896D4F">
        <w:softHyphen/>
        <w:t>hetsförord</w:t>
      </w:r>
      <w:r w:rsidRPr="00896D4F">
        <w:softHyphen/>
        <w:t>ningen och straffet är enligt samma bestämmelse böter eller fängelse i högst ett år. Inskränkning av de anställdas yttrande- och meddelar</w:t>
      </w:r>
      <w:r w:rsidRPr="00896D4F">
        <w:softHyphen/>
        <w:t>frihet kan vara att bedöma som ett tjänstefel enligt 20 kap. 1 § brotts</w:t>
      </w:r>
      <w:r w:rsidRPr="00896D4F">
        <w:softHyphen/>
        <w:t>balken.</w:t>
      </w:r>
    </w:p>
    <w:p w:rsidR="009C1C5A" w:rsidRPr="00896D4F" w:rsidRDefault="009C1C5A">
      <w:pPr>
        <w:pStyle w:val="Normaltindrag"/>
      </w:pPr>
      <w:r w:rsidRPr="00896D4F">
        <w:t>Lagregleringen ger offentligt anställda samma skydd som alla andra me</w:t>
      </w:r>
      <w:r w:rsidRPr="00896D4F">
        <w:t>d</w:t>
      </w:r>
      <w:r w:rsidRPr="00896D4F">
        <w:t>borgare. En offentligt anställd kan således fritt ge uttryck för sin uppfattning, även rörande den egna myndighetens verksamhet. I sekretesslagen (1980:100) finns emellertid regler som begränsar den offentligt anställdes rätt att yttra sig om vad han fått veta i samband med sin tjänst.</w:t>
      </w:r>
    </w:p>
    <w:p w:rsidR="009C1C5A" w:rsidRPr="00896D4F" w:rsidRDefault="009C1C5A">
      <w:pPr>
        <w:pStyle w:val="Normaltindrag"/>
      </w:pPr>
      <w:r w:rsidRPr="00896D4F">
        <w:t>Det skydd för yttrandefriheten som regeringsformen anger är ett skydd gentemot ”det allmänna”. Det allmänna omfattar t.ex. kommunens valda församlingar och förvaltningsorgan. Skyddet innebär att en myndighet inte får ingripa</w:t>
      </w:r>
      <w:r w:rsidRPr="00896D4F">
        <w:t xml:space="preserve"> mot någon för att han eller hon har använt sig av sin grundlags</w:t>
      </w:r>
      <w:r w:rsidRPr="00896D4F">
        <w:softHyphen/>
        <w:t>skyddade rätt att yttra sig i mass</w:t>
      </w:r>
      <w:r w:rsidRPr="00896D4F">
        <w:softHyphen/>
        <w:t>medier eller på annat sätt ge uttryck för sin upp</w:t>
      </w:r>
      <w:r w:rsidRPr="00896D4F">
        <w:softHyphen/>
        <w:t>fattning. En myndighet får inte heller försöka motarbeta att den anställde använder sig av sina rättigheter. En arbetsgivare får således inte genom gen</w:t>
      </w:r>
      <w:r w:rsidRPr="00896D4F">
        <w:t>e</w:t>
      </w:r>
      <w:r w:rsidRPr="00896D4F">
        <w:t>rella uttalanden eller genom kritik i enskilda fall söka påverka arbetstagaren i fråga om det sätt på vilket denne utnyttjar sin yttrandefrihet. Undantag gäller bara för det fall ingripandet har stöd i lag. Det</w:t>
      </w:r>
      <w:r w:rsidRPr="00896D4F">
        <w:t>ta hindrar emellertid inte en myndighet från att bemöta sådana påståenden som myndigheten anser vara felaktiga eller vilseledande. Ett sådant bemötande kan t.ex. ske i samma f</w:t>
      </w:r>
      <w:r w:rsidRPr="00896D4F">
        <w:t>o</w:t>
      </w:r>
      <w:r w:rsidRPr="00896D4F">
        <w:t>rum som den anställde har använt.</w:t>
      </w:r>
    </w:p>
    <w:p w:rsidR="009C1C5A" w:rsidRPr="00896D4F" w:rsidRDefault="009C1C5A">
      <w:pPr>
        <w:pStyle w:val="Normaltindrag"/>
      </w:pPr>
      <w:r w:rsidRPr="00896D4F">
        <w:t>I det följande behandlar jag först de delar av anmälan som avser otillåten efter</w:t>
      </w:r>
      <w:r w:rsidRPr="00896D4F">
        <w:softHyphen/>
        <w:t xml:space="preserve">forskning och kränkning av meddelarfriheten. Därefter behandlar jag frågan om det har förekommit någon annan kränkning av yttrandefriheten. </w:t>
      </w:r>
    </w:p>
    <w:p w:rsidR="009C1C5A" w:rsidRPr="00896D4F" w:rsidRDefault="009C1C5A">
      <w:pPr>
        <w:pStyle w:val="Normaltindrag"/>
      </w:pPr>
      <w:r w:rsidRPr="00896D4F">
        <w:t xml:space="preserve">Som redan har framgått avser </w:t>
      </w:r>
      <w:r w:rsidRPr="00896D4F">
        <w:rPr>
          <w:i/>
        </w:rPr>
        <w:t>meddelarfriheten</w:t>
      </w:r>
      <w:r w:rsidRPr="00896D4F">
        <w:t xml:space="preserve"> meddelanden och anska</w:t>
      </w:r>
      <w:r w:rsidRPr="00896D4F">
        <w:t>f</w:t>
      </w:r>
      <w:r w:rsidRPr="00896D4F">
        <w:t xml:space="preserve">fande av uppgifter m.m. som är avsedda att offentliggöras i tryckt skrift. </w:t>
      </w:r>
      <w:r w:rsidRPr="00896D4F">
        <w:rPr>
          <w:i/>
        </w:rPr>
        <w:t>Fö</w:t>
      </w:r>
      <w:r w:rsidRPr="00896D4F">
        <w:rPr>
          <w:i/>
        </w:rPr>
        <w:t>r</w:t>
      </w:r>
      <w:r w:rsidRPr="00896D4F">
        <w:rPr>
          <w:i/>
        </w:rPr>
        <w:t>budet mot efter</w:t>
      </w:r>
      <w:r w:rsidRPr="00896D4F">
        <w:rPr>
          <w:i/>
        </w:rPr>
        <w:softHyphen/>
        <w:t xml:space="preserve">forskning </w:t>
      </w:r>
      <w:r w:rsidRPr="00896D4F">
        <w:t>av upp</w:t>
      </w:r>
      <w:r w:rsidRPr="00896D4F">
        <w:softHyphen/>
        <w:t>gifts</w:t>
      </w:r>
      <w:r w:rsidRPr="00896D4F">
        <w:softHyphen/>
        <w:t>lämnare avser framställning som införts eller varit avsedd att införas i tryckt skrift. Enligt anmälaren har efterfors</w:t>
      </w:r>
      <w:r w:rsidRPr="00896D4F">
        <w:t>k</w:t>
      </w:r>
      <w:r w:rsidRPr="00896D4F">
        <w:t>ning skett i syfte att försöka ta reda på vilka som har lämnat uppgifter till skolförvaltningen. Syftet med lärarlistan tycks närmast ha varit att ge skolle</w:t>
      </w:r>
      <w:r w:rsidRPr="00896D4F">
        <w:t>d</w:t>
      </w:r>
      <w:r w:rsidRPr="00896D4F">
        <w:t>ningen och kommunen såsom skolhuvudman upp</w:t>
      </w:r>
      <w:r w:rsidRPr="00896D4F">
        <w:softHyphen/>
        <w:t>lysningar om det missnöje som fanns h</w:t>
      </w:r>
      <w:r w:rsidRPr="00896D4F">
        <w:t>os vissa anställda och f.d. anställda (främst lärare) inom då</w:t>
      </w:r>
      <w:r w:rsidRPr="00896D4F">
        <w:softHyphen/>
        <w:t>varande Ramsele rektorsområde. Utred</w:t>
      </w:r>
      <w:r w:rsidRPr="00896D4F">
        <w:softHyphen/>
        <w:t>ningen hos JO visar inte att syftet med upprättande av lärarlistan ursprungligen skulle ha varit offent</w:t>
      </w:r>
      <w:r w:rsidRPr="00896D4F">
        <w:softHyphen/>
        <w:t>lig</w:t>
      </w:r>
      <w:r w:rsidRPr="00896D4F">
        <w:softHyphen/>
        <w:t>görande i tryckt skrift. Vad som har förekommit i tiden före tidnings</w:t>
      </w:r>
      <w:r w:rsidRPr="00896D4F">
        <w:softHyphen/>
        <w:t>artikeln den 12 juni 1999 i Västernorrlands Allehanda (där lärarlistan omnämndes) kan följ</w:t>
      </w:r>
      <w:r w:rsidRPr="00896D4F">
        <w:softHyphen/>
        <w:t>aktligen inte utgöra någon kränkning av meddelarfriheten eller brott mot efterforsk</w:t>
      </w:r>
      <w:r w:rsidRPr="00896D4F">
        <w:softHyphen/>
        <w:t>nings</w:t>
      </w:r>
      <w:r w:rsidRPr="00896D4F">
        <w:softHyphen/>
        <w:t xml:space="preserve">förbudet. </w:t>
      </w:r>
    </w:p>
    <w:p w:rsidR="009C1C5A" w:rsidRPr="00896D4F" w:rsidRDefault="009C1C5A">
      <w:pPr>
        <w:pStyle w:val="Normaltindrag"/>
      </w:pPr>
      <w:r w:rsidRPr="00896D4F">
        <w:t>Tidningsartikeln den 12 juni 1999 har rubri</w:t>
      </w:r>
      <w:r w:rsidRPr="00896D4F">
        <w:t>ken ”Fortsatt skolbråk i Ra</w:t>
      </w:r>
      <w:r w:rsidRPr="00896D4F">
        <w:t>m</w:t>
      </w:r>
      <w:r w:rsidRPr="00896D4F">
        <w:t>sele”. I artikeln nämndes bl.a. att 17 lärare hade lämnat skolan sedan 1993 enligt en skrivelse som hade sammanställts av personal på skolan (lärarlistan). Enligt anmälaren kontaktades P-E.G. av såväl Inger Norman som Håkan Abrahamsson i tiden efter att tidningsartikeln hade publicerats. Syftet med kontakterna var, enligt anmälaren, att ta reda på vilka som stod bakom lära</w:t>
      </w:r>
      <w:r w:rsidRPr="00896D4F">
        <w:t>r</w:t>
      </w:r>
      <w:r w:rsidRPr="00896D4F">
        <w:t>listan. Enligt remissvaret har P-E.G. uppgett att både Inger Norman och H</w:t>
      </w:r>
      <w:r w:rsidRPr="00896D4F">
        <w:t>å</w:t>
      </w:r>
      <w:r w:rsidRPr="00896D4F">
        <w:t>kan Abrahamsson frågade honom, i h</w:t>
      </w:r>
      <w:r w:rsidRPr="00896D4F">
        <w:t xml:space="preserve">ans egenskap av facklig förtroendeman, om han kände till vilka som hade författat lärarlistan. P-E.G. var dock osäker i frågan om vid vilken tidpunkt frågorna ställdes. </w:t>
      </w:r>
    </w:p>
    <w:p w:rsidR="009C1C5A" w:rsidRPr="00896D4F" w:rsidRDefault="009C1C5A">
      <w:pPr>
        <w:pStyle w:val="Normaltindrag"/>
      </w:pPr>
      <w:r w:rsidRPr="00896D4F">
        <w:t>I en senare skrivelse, ingiven till JO och åberopad av an</w:t>
      </w:r>
      <w:r w:rsidRPr="00896D4F">
        <w:softHyphen/>
        <w:t xml:space="preserve">mälaren, har </w:t>
      </w:r>
      <w:r w:rsidRPr="00896D4F">
        <w:br/>
        <w:t>P-E.G. uppgett att han kontaktades av Inger Norman den 11 juni 1999, dvs. dagen före publiceringen av tidningsartikeln. Det finns inte något som tyder på att Inger Norman då kände till tidnings</w:t>
      </w:r>
      <w:r w:rsidRPr="00896D4F">
        <w:softHyphen/>
        <w:t>artikeln. Enligt remissvaret har Inger Norman uppgett att hon kontaktade P-E.G. på grund av att hon hade erhållit ett uppdrag från kommunstyrelsen att besvara en skrivelse från Lära</w:t>
      </w:r>
      <w:r w:rsidRPr="00896D4F">
        <w:t>r</w:t>
      </w:r>
      <w:r w:rsidRPr="00896D4F">
        <w:t>förbundet angående lärarsitu</w:t>
      </w:r>
      <w:r w:rsidRPr="00896D4F">
        <w:t>a</w:t>
      </w:r>
      <w:r w:rsidRPr="00896D4F">
        <w:t xml:space="preserve">tionen vid Ramsele skola. </w:t>
      </w:r>
    </w:p>
    <w:p w:rsidR="009C1C5A" w:rsidRPr="00896D4F" w:rsidRDefault="009C1C5A">
      <w:pPr>
        <w:pStyle w:val="Normaltindrag"/>
      </w:pPr>
      <w:r w:rsidRPr="00896D4F">
        <w:t>När det gäller Håkan Abrahamsson har P-E.G. i den nämnda skrivels</w:t>
      </w:r>
      <w:r w:rsidRPr="00896D4F">
        <w:t>en till JO uppgett att han, två dagar efter det att tidnings</w:t>
      </w:r>
      <w:r w:rsidRPr="00896D4F">
        <w:softHyphen/>
        <w:t>artikeln var införd, fick ett telefon</w:t>
      </w:r>
      <w:r w:rsidRPr="00896D4F">
        <w:softHyphen/>
        <w:t>samtal där Håkan Abrahamsson påtalade att lärarsituationen i Ramsele aldrig hade varit så bra som den då var. I skrivelsen nämner P-E.G. inte något om vid vilken tidpunkt Håkan Abrahamsson skulle ha frågat om han kände till vilka som hade författat lärarlistan.</w:t>
      </w:r>
    </w:p>
    <w:p w:rsidR="009C1C5A" w:rsidRPr="00896D4F" w:rsidRDefault="009C1C5A">
      <w:pPr>
        <w:pStyle w:val="Normaltindrag"/>
      </w:pPr>
      <w:r w:rsidRPr="00896D4F">
        <w:t>Vad som har framkommit föranleder inte något antagande om att Inger Norman eller Håkan Abrahamsson skulle ha kränkt meddelarfriheten eller brutit mot e</w:t>
      </w:r>
      <w:r w:rsidRPr="00896D4F">
        <w:t>fterforsk</w:t>
      </w:r>
      <w:r w:rsidRPr="00896D4F">
        <w:softHyphen/>
        <w:t>nings</w:t>
      </w:r>
      <w:r w:rsidRPr="00896D4F">
        <w:softHyphen/>
        <w:t xml:space="preserve">förbudet i anslutning till den tidningsartikel som publicerades den 12 juni 1999. </w:t>
      </w:r>
    </w:p>
    <w:p w:rsidR="009C1C5A" w:rsidRPr="00896D4F" w:rsidRDefault="009C1C5A">
      <w:pPr>
        <w:pStyle w:val="Normaltindrag"/>
      </w:pPr>
      <w:r w:rsidRPr="00896D4F">
        <w:t xml:space="preserve">Det kvarstår att bedöma om det kan ha förekommit någon annan </w:t>
      </w:r>
      <w:r w:rsidRPr="00896D4F">
        <w:rPr>
          <w:i/>
        </w:rPr>
        <w:t>kränkning av yttrande</w:t>
      </w:r>
      <w:r w:rsidRPr="00896D4F">
        <w:rPr>
          <w:i/>
        </w:rPr>
        <w:softHyphen/>
        <w:t>friheten</w:t>
      </w:r>
      <w:r w:rsidRPr="00896D4F">
        <w:t xml:space="preserve">. </w:t>
      </w:r>
    </w:p>
    <w:p w:rsidR="009C1C5A" w:rsidRPr="00896D4F" w:rsidRDefault="009C1C5A">
      <w:pPr>
        <w:pStyle w:val="Normaltindrag"/>
      </w:pPr>
      <w:r w:rsidRPr="00896D4F">
        <w:t>Enligt remissvaret har Inger Norman uppgett att hon ställde frågor till de fack</w:t>
      </w:r>
      <w:r w:rsidRPr="00896D4F">
        <w:softHyphen/>
        <w:t>liga ombuden om ”Lärarförbundet” ställde sig bakom den anonyma skr</w:t>
      </w:r>
      <w:r w:rsidRPr="00896D4F">
        <w:t>i</w:t>
      </w:r>
      <w:r w:rsidRPr="00896D4F">
        <w:t>velsen. Håkan Abrahamsson har, enligt remissvaret, uppgett att skrivelsen diskuterades i olika sammanhang och att man spekulerade i vilka som kunde ha författat den. Någon aktiv efterforskning var det, enligt Håkan Abraham</w:t>
      </w:r>
      <w:r w:rsidRPr="00896D4F">
        <w:t>s</w:t>
      </w:r>
      <w:r w:rsidRPr="00896D4F">
        <w:t xml:space="preserve">son, inte frågan om. </w:t>
      </w:r>
    </w:p>
    <w:p w:rsidR="009C1C5A" w:rsidRPr="00896D4F" w:rsidRDefault="009C1C5A">
      <w:pPr>
        <w:pStyle w:val="Normaltindrag"/>
      </w:pPr>
      <w:r w:rsidRPr="00896D4F">
        <w:t>Lärarlistan, rubricerad ”Lärare i Ramseles rektorsområde som blivit illa behand</w:t>
      </w:r>
      <w:r w:rsidRPr="00896D4F">
        <w:softHyphen/>
        <w:t>lade”, inne</w:t>
      </w:r>
      <w:r w:rsidRPr="00896D4F">
        <w:softHyphen/>
        <w:t>håller en beskrivning av vissa händelser och förhållanden med an</w:t>
      </w:r>
      <w:r w:rsidRPr="00896D4F">
        <w:softHyphen/>
        <w:t>givande av lärare och vissa andra anställda. Skolledningen och ko</w:t>
      </w:r>
      <w:r w:rsidRPr="00896D4F">
        <w:t>m</w:t>
      </w:r>
      <w:r w:rsidRPr="00896D4F">
        <w:t>munen, såsom skolhuvudman, har givetvis ett ansvar för den psykosociala arbetsmiljön och för att undervisningen fungerar. Det föreligger därför nä</w:t>
      </w:r>
      <w:r w:rsidRPr="00896D4F">
        <w:t>r</w:t>
      </w:r>
      <w:r w:rsidRPr="00896D4F">
        <w:t>mast en skyldighet att ta reda på om upp</w:t>
      </w:r>
      <w:r w:rsidRPr="00896D4F">
        <w:softHyphen/>
        <w:t>gifter om missförhållanden inom ett rektorsområde är korrekta eller inte. Med anledning härav finns det ett u</w:t>
      </w:r>
      <w:r w:rsidRPr="00896D4F">
        <w:t>t</w:t>
      </w:r>
      <w:r w:rsidRPr="00896D4F">
        <w:t>rymme för en rektor eller en förvalt</w:t>
      </w:r>
      <w:r w:rsidRPr="00896D4F">
        <w:softHyphen/>
        <w:t>ningschef att ta kontakt med de f</w:t>
      </w:r>
      <w:r w:rsidRPr="00896D4F">
        <w:t>ackliga representanterna för att efter</w:t>
      </w:r>
      <w:r w:rsidRPr="00896D4F">
        <w:softHyphen/>
        <w:t>höra om fack</w:t>
      </w:r>
      <w:r w:rsidRPr="00896D4F">
        <w:softHyphen/>
        <w:t>förbunden ställer sig bakom den kritik som har framförts i en anonym skrivelse av före</w:t>
      </w:r>
      <w:r w:rsidRPr="00896D4F">
        <w:softHyphen/>
        <w:t>varande slag. Vidare måste det finnas en möjlighet att kontakta de namngivna personerna i syfte att utreda om det föreligger sådana miss</w:t>
      </w:r>
      <w:r w:rsidRPr="00896D4F">
        <w:softHyphen/>
      </w:r>
      <w:r w:rsidRPr="00896D4F">
        <w:softHyphen/>
        <w:t>förhållanden som har beskrivits. Frågo</w:t>
      </w:r>
      <w:r w:rsidRPr="00896D4F">
        <w:t>r</w:t>
      </w:r>
      <w:r w:rsidRPr="00896D4F">
        <w:t>na får emel</w:t>
      </w:r>
      <w:r w:rsidRPr="00896D4F">
        <w:softHyphen/>
        <w:t>lertid inte ställas på sådant sätt att de anställda upp</w:t>
      </w:r>
      <w:r w:rsidRPr="00896D4F">
        <w:softHyphen/>
        <w:t>lever det som att arbets</w:t>
      </w:r>
      <w:r w:rsidRPr="00896D4F">
        <w:softHyphen/>
      </w:r>
      <w:r w:rsidRPr="00896D4F">
        <w:softHyphen/>
        <w:t>givaren försöker motarbeta att de an</w:t>
      </w:r>
      <w:r w:rsidRPr="00896D4F">
        <w:softHyphen/>
        <w:t>vänder sig av sin grundlag</w:t>
      </w:r>
      <w:r w:rsidRPr="00896D4F">
        <w:t>s</w:t>
      </w:r>
      <w:r w:rsidRPr="00896D4F">
        <w:t xml:space="preserve">skyddade yttrandefrihet. </w:t>
      </w:r>
    </w:p>
    <w:p w:rsidR="009C1C5A" w:rsidRPr="00896D4F" w:rsidRDefault="009C1C5A">
      <w:pPr>
        <w:pStyle w:val="Normaltindrag"/>
      </w:pPr>
      <w:r w:rsidRPr="00896D4F">
        <w:t>Av utredning</w:t>
      </w:r>
      <w:r w:rsidRPr="00896D4F">
        <w:t>en framgår att M.B. och K.N. uppfattade det som att Inger Normans kontakt med dem inte enbart skedde i syfte att utröna om de fack</w:t>
      </w:r>
      <w:r w:rsidRPr="00896D4F">
        <w:softHyphen/>
        <w:t>liga organisationerna stod bakom den i lärar</w:t>
      </w:r>
      <w:r w:rsidRPr="00896D4F">
        <w:softHyphen/>
        <w:t>listan framförda kritiken. Enligt dem frågade Inger Norman även om de själva stod bakom den ingivna listan. M.B. har dessutom uppgett att Inger Norman frågade om det som stod i listan om henne stämde. Det är inte uteslutet att M.B. och K.N. uppfattade Inger Normans kontakt på ett negativt sätt. Såvitt utredningen hos JO visar har emel</w:t>
      </w:r>
      <w:r w:rsidRPr="00896D4F">
        <w:t>lertid Inger Normans kontakter gentemot M.B. eller K.N. inte varit såd</w:t>
      </w:r>
      <w:r w:rsidRPr="00896D4F">
        <w:t>a</w:t>
      </w:r>
      <w:r w:rsidRPr="00896D4F">
        <w:t>na att de kan anses utgöra någon kränkning av de senares yttrandefrihet.</w:t>
      </w:r>
    </w:p>
    <w:p w:rsidR="009C1C5A" w:rsidRPr="00896D4F" w:rsidRDefault="009C1C5A">
      <w:pPr>
        <w:pStyle w:val="Normaltindrag"/>
      </w:pPr>
      <w:r w:rsidRPr="00896D4F">
        <w:t>När det gäller Inger Normans och Håkan Abrahamssons ko</w:t>
      </w:r>
      <w:r w:rsidRPr="00896D4F">
        <w:t>n</w:t>
      </w:r>
      <w:r w:rsidRPr="00896D4F">
        <w:t xml:space="preserve">takter med </w:t>
      </w:r>
      <w:r w:rsidRPr="00896D4F">
        <w:br/>
        <w:t>P-E.G. får jag hänvisa till den redovisning som redan har lämnats. Vad som har framkommit i den delen kan inte anses utgöra kränk</w:t>
      </w:r>
      <w:r w:rsidRPr="00896D4F">
        <w:softHyphen/>
        <w:t xml:space="preserve">ning av någon persons yttrandefrihet. </w:t>
      </w:r>
    </w:p>
    <w:p w:rsidR="009C1C5A" w:rsidRPr="00896D4F" w:rsidRDefault="009C1C5A">
      <w:pPr>
        <w:pStyle w:val="Rubrik4"/>
      </w:pPr>
      <w:r w:rsidRPr="00896D4F">
        <w:t>Diarieföring</w:t>
      </w:r>
    </w:p>
    <w:p w:rsidR="009C1C5A" w:rsidRPr="00896D4F" w:rsidRDefault="009C1C5A">
      <w:r w:rsidRPr="00896D4F">
        <w:t>För att allmänheten skall kunna utnyttja sin rätt att ta del av allmänna han</w:t>
      </w:r>
      <w:r w:rsidRPr="00896D4F">
        <w:t>d</w:t>
      </w:r>
      <w:r w:rsidRPr="00896D4F">
        <w:t>lingar och ges möjlighet till insyn i myndigheternas verksamhet är det viktigt att man kan få veta vilka handlingar som finns hos en myndighet. Själv</w:t>
      </w:r>
      <w:r w:rsidRPr="00896D4F">
        <w:softHyphen/>
        <w:t>fallet är det även av stor praktisk betydelse för myndighetens eget arbete att han</w:t>
      </w:r>
      <w:r w:rsidRPr="00896D4F">
        <w:t>d</w:t>
      </w:r>
      <w:r w:rsidRPr="00896D4F">
        <w:t>lingarna hålls ordnade. Det är därför nödvändigt att myndig</w:t>
      </w:r>
      <w:r w:rsidRPr="00896D4F">
        <w:softHyphen/>
        <w:t>heterna registrerar allmänna hand</w:t>
      </w:r>
      <w:r w:rsidRPr="00896D4F">
        <w:softHyphen/>
        <w:t>lingar eller i vart fall ordnar dem så att det går att konstatera vilka allmänna handlingar som finns. Reglerna om registrering m.m. finns i 15 kap. sekretess</w:t>
      </w:r>
      <w:r w:rsidRPr="00896D4F">
        <w:softHyphen/>
        <w:t>lagen (1980:100).</w:t>
      </w:r>
    </w:p>
    <w:p w:rsidR="009C1C5A" w:rsidRPr="00896D4F" w:rsidRDefault="009C1C5A">
      <w:pPr>
        <w:pStyle w:val="Normaltindrag"/>
      </w:pPr>
      <w:r w:rsidRPr="00896D4F">
        <w:t xml:space="preserve">Enligt </w:t>
      </w:r>
      <w:r w:rsidRPr="00896D4F">
        <w:t>huvudregeln i 15 kap. 1 § första stycket sekretesslagen skall al</w:t>
      </w:r>
      <w:r w:rsidRPr="00896D4F">
        <w:t>l</w:t>
      </w:r>
      <w:r w:rsidRPr="00896D4F">
        <w:t>männa handlingar som inkommit till eller upprättats hos en myndighet reg</w:t>
      </w:r>
      <w:r w:rsidRPr="00896D4F">
        <w:t>i</w:t>
      </w:r>
      <w:r w:rsidRPr="00896D4F">
        <w:t>streras utan dröjsmål. Emellertid får, i fråga om allmänna handlingar för vilka sekretess inte gäller, registrering underlåtas om handlingarna i stället hålls så ordnade att det utan svårighet kan fastställas om en handling inkommit eller upprättats. En ovill</w:t>
      </w:r>
      <w:r w:rsidRPr="00896D4F">
        <w:softHyphen/>
        <w:t>korlig registreringsskyldighet gäller således bara för han</w:t>
      </w:r>
      <w:r w:rsidRPr="00896D4F">
        <w:t>d</w:t>
      </w:r>
      <w:r w:rsidRPr="00896D4F">
        <w:t>lingar för vilka sekretess gäller. När det gäller allmä</w:t>
      </w:r>
      <w:r w:rsidRPr="00896D4F">
        <w:t>nna handlingar som inte omfattas av sekretess kan myndigheterna välja mellan att antingen registrera dem eller hålla dem så ordnade att det utan svårighet kan fastställas om han</w:t>
      </w:r>
      <w:r w:rsidRPr="00896D4F">
        <w:t>d</w:t>
      </w:r>
      <w:r w:rsidRPr="00896D4F">
        <w:t>lingarna har inkommit eller upp</w:t>
      </w:r>
      <w:r w:rsidRPr="00896D4F">
        <w:softHyphen/>
        <w:t>rättats. Vilket tillvägagångssätt som är att föredra ankommer det på myndig</w:t>
      </w:r>
      <w:r w:rsidRPr="00896D4F">
        <w:softHyphen/>
        <w:t>heten att avgöra. Det måste dock framhållas att, när myndigheten har bestämt sig för ett visst system – registrering eller ”bara” ordnad förvaring – det är nödvän</w:t>
      </w:r>
      <w:r w:rsidRPr="00896D4F">
        <w:softHyphen/>
        <w:t>digt att systemet tillämpas på ett ko</w:t>
      </w:r>
      <w:r w:rsidRPr="00896D4F">
        <w:t>n</w:t>
      </w:r>
      <w:r w:rsidRPr="00896D4F">
        <w:t>sekvent sätt.</w:t>
      </w:r>
    </w:p>
    <w:p w:rsidR="009C1C5A" w:rsidRPr="00896D4F" w:rsidRDefault="009C1C5A">
      <w:pPr>
        <w:pStyle w:val="Normaltindrag"/>
      </w:pPr>
      <w:r w:rsidRPr="00896D4F">
        <w:t>Från huvudr</w:t>
      </w:r>
      <w:r w:rsidRPr="00896D4F">
        <w:t>egeln i 15 kap. 1 § sekretesslagen görs ett generellt undantag i fråga om allmänna handlingar som uppenbarligen är av ringa betydelse för myndig</w:t>
      </w:r>
      <w:r w:rsidRPr="00896D4F">
        <w:softHyphen/>
        <w:t xml:space="preserve">hetens verksamhet. Handlingar av sådant slag behöver inte registreras och inte heller hållas lättillgängliga på det sätt som anvisas som ett alternativ till registrering beträffande icke sekretessbelagda handlingar. </w:t>
      </w:r>
    </w:p>
    <w:p w:rsidR="009C1C5A" w:rsidRPr="00896D4F" w:rsidRDefault="009C1C5A">
      <w:pPr>
        <w:pStyle w:val="Normaltindrag"/>
      </w:pPr>
      <w:r w:rsidRPr="00896D4F">
        <w:t xml:space="preserve">Bestämmelsen i 15 kap. 1 § sekretesslagen om att allmän handling skall registreras utan dröjsmål är inte definierad i bestämda tidstermer. Det ligger </w:t>
      </w:r>
      <w:r w:rsidRPr="00896D4F">
        <w:t>emellertid i sakens natur att registreringen skall ske så snart det är praktiskt möjligt. När det gäller handlingar som inkommer till en myndighet med post ligger det närmast till hands att registrering följer i omedelbar anslutning till själva postöppningen. Vad avser handlingar som inges till myndigheten på annat sätt är det önskvärt att registrering sker fortlöpande. Under alla omstä</w:t>
      </w:r>
      <w:r w:rsidRPr="00896D4F">
        <w:t>n</w:t>
      </w:r>
      <w:r w:rsidRPr="00896D4F">
        <w:t xml:space="preserve">digheter måste registrering ske senast påföljande arbetsdag. Det är således inte godtagbart att en myndighet dröjer flera </w:t>
      </w:r>
      <w:r w:rsidRPr="00896D4F">
        <w:t>dagar med att registrera allmä</w:t>
      </w:r>
      <w:r w:rsidRPr="00896D4F">
        <w:t>n</w:t>
      </w:r>
      <w:r w:rsidRPr="00896D4F">
        <w:t xml:space="preserve">na handlingar. </w:t>
      </w:r>
    </w:p>
    <w:p w:rsidR="009C1C5A" w:rsidRPr="00896D4F" w:rsidRDefault="009C1C5A">
      <w:pPr>
        <w:pStyle w:val="Normaltindrag"/>
      </w:pPr>
      <w:r w:rsidRPr="00896D4F">
        <w:t>Skrivelsen från Ramsele-Edsele föräldraförening var daterad den 28 april 1999 och (enligt sändlista) adresserad till BKU-nämnden, Inger Norman, berörda fackliga organisationer, Håkan Abrahamsson, Gudrun Wickström (biträdande områdeschef) och Ulla-Britt Andrén (biträdande rektor). Näm</w:t>
      </w:r>
      <w:r w:rsidRPr="00896D4F">
        <w:t>n</w:t>
      </w:r>
      <w:r w:rsidRPr="00896D4F">
        <w:t>den har i sitt remissvar uppgett att skrivelsen var ”instämplad” den 12 augusti 1999 och registrerad i barn-, kultur- och utbildnings</w:t>
      </w:r>
      <w:r w:rsidRPr="00896D4F">
        <w:softHyphen/>
        <w:t>förvaltningens (BKU-förvaltningen) diarium den 20 augusti 1999. BKU-nämndens ordförande Michael Lund och vice ord</w:t>
      </w:r>
      <w:r w:rsidRPr="00896D4F">
        <w:softHyphen/>
        <w:t>förande Mona Westerlund har, enligt remissvaret, uppgett att de mottog skrivelsen vid ett föräldramöte den 3 augusti 1999. Enligt ett ”intyg” som anmälaren har gett in och åberopat skickades skrive</w:t>
      </w:r>
      <w:r w:rsidRPr="00896D4F">
        <w:t>l</w:t>
      </w:r>
      <w:r w:rsidRPr="00896D4F">
        <w:t>sen den 28 eller 29 april 1999. Det är inte sanno</w:t>
      </w:r>
      <w:r w:rsidRPr="00896D4F">
        <w:softHyphen/>
        <w:t>likt att vidare</w:t>
      </w:r>
      <w:r w:rsidRPr="00896D4F">
        <w:t xml:space="preserve"> utredning skulle bringa klarhet i frågan. Jag kan dock konstatera att även om man utgår från att skrivelsen för första gången lämnades till Michael Lund och Mona Weste</w:t>
      </w:r>
      <w:r w:rsidRPr="00896D4F">
        <w:t>r</w:t>
      </w:r>
      <w:r w:rsidRPr="00896D4F">
        <w:t>lund den 3 augusti 1999, borde den ha registrerats senast påföljande arbet</w:t>
      </w:r>
      <w:r w:rsidRPr="00896D4F">
        <w:t>s</w:t>
      </w:r>
      <w:r w:rsidRPr="00896D4F">
        <w:t>dag. Skrivelsen kom dock att registreras först den 20 augusti 1999.</w:t>
      </w:r>
    </w:p>
    <w:p w:rsidR="009C1C5A" w:rsidRPr="00896D4F" w:rsidRDefault="009C1C5A">
      <w:r w:rsidRPr="00896D4F">
        <w:t>Av remissvaret framgår även att lärarlistan hade getts in till förvaltningen utan att ha registrerats.</w:t>
      </w:r>
    </w:p>
    <w:p w:rsidR="009C1C5A" w:rsidRPr="00896D4F" w:rsidRDefault="009C1C5A">
      <w:pPr>
        <w:pStyle w:val="Rubrik4"/>
      </w:pPr>
      <w:r w:rsidRPr="00896D4F">
        <w:t>Handläggningen av föräldraföreningens skrivelse i övrigt</w:t>
      </w:r>
    </w:p>
    <w:p w:rsidR="009C1C5A" w:rsidRPr="00896D4F" w:rsidRDefault="009C1C5A">
      <w:r w:rsidRPr="00896D4F">
        <w:t>I 4 § förvaltningslagen (1986:223) finns det regler om myndigheternas al</w:t>
      </w:r>
      <w:r w:rsidRPr="00896D4F">
        <w:t>l</w:t>
      </w:r>
      <w:r w:rsidRPr="00896D4F">
        <w:t>männa service</w:t>
      </w:r>
      <w:r w:rsidRPr="00896D4F">
        <w:softHyphen/>
        <w:t>skyldighet. Enligt den paragrafen skall varje myndighet lämna upplys</w:t>
      </w:r>
      <w:r w:rsidRPr="00896D4F">
        <w:softHyphen/>
        <w:t>ningar, vägled</w:t>
      </w:r>
      <w:r w:rsidRPr="00896D4F">
        <w:softHyphen/>
        <w:t>ning, råd och annan sådan hjälp till enskilda i frågor som rör myn</w:t>
      </w:r>
      <w:r w:rsidRPr="00896D4F">
        <w:softHyphen/>
        <w:t>dig</w:t>
      </w:r>
      <w:r w:rsidRPr="00896D4F">
        <w:softHyphen/>
        <w:t>hetens verksamhet. Hjälpen skall lämnas i den utsträckning som är lämplig med hänsyn till frågans art, den enskildes behov av hjälp och my</w:t>
      </w:r>
      <w:r w:rsidRPr="00896D4F">
        <w:t>n</w:t>
      </w:r>
      <w:r w:rsidRPr="00896D4F">
        <w:t>digheternas verksamhet. Frågor från enskilda skall besvaras så snart som möjligt. Service</w:t>
      </w:r>
      <w:r w:rsidRPr="00896D4F">
        <w:softHyphen/>
        <w:t>skyldigheten är emellertid inte obegränsad, utan myndig</w:t>
      </w:r>
      <w:r w:rsidRPr="00896D4F">
        <w:softHyphen/>
        <w:t>heten avgör själv i vilken utsträckning det kan vara lämp</w:t>
      </w:r>
      <w:r w:rsidRPr="00896D4F">
        <w:t xml:space="preserve">ligt att ge svar och i vilken form svar på frågor skall ges. Någon form av svar bör dock normalt utgå och svaret får inte dröja längre än nödvändigt. </w:t>
      </w:r>
    </w:p>
    <w:p w:rsidR="009C1C5A" w:rsidRPr="00896D4F" w:rsidRDefault="009C1C5A">
      <w:pPr>
        <w:pStyle w:val="Normaltindrag"/>
      </w:pPr>
      <w:r w:rsidRPr="00896D4F">
        <w:t>I förevarande fall har nämnden uppgett att ordföranden Michael Lund och vice ordföranden Mona Westerlund uppfattade det som att de redan hade besvarat de frågor som ställs i föräldraföreningens skrivelse vid ett föräldr</w:t>
      </w:r>
      <w:r w:rsidRPr="00896D4F">
        <w:t>a</w:t>
      </w:r>
      <w:r w:rsidRPr="00896D4F">
        <w:t>möte den 3 augusti 1999. Samtidigt anges i remissvaret att nämnden den 26 augusti 1999 beslutade att uppdra till Michael Lund och Mona Westerlund att besvara skrivelsen. Ett skriftligt svar i enlighet med nämndens beslut kom först den 26 mars 2000. Som Michael Lund och Mona Westerlund själva har skrivit i sitt svar till föräldraföreningen har handläggningen inte skett med erforderlig skyn</w:t>
      </w:r>
      <w:r w:rsidRPr="00896D4F">
        <w:t>d</w:t>
      </w:r>
      <w:r w:rsidRPr="00896D4F">
        <w:t xml:space="preserve">samhet. </w:t>
      </w:r>
    </w:p>
    <w:p w:rsidR="009C1C5A" w:rsidRPr="00896D4F" w:rsidRDefault="009C1C5A">
      <w:pPr>
        <w:spacing w:before="0"/>
      </w:pPr>
      <w:r w:rsidRPr="00896D4F">
        <w:t>________</w:t>
      </w:r>
    </w:p>
    <w:p w:rsidR="009C1C5A" w:rsidRPr="00896D4F" w:rsidRDefault="009C1C5A">
      <w:r w:rsidRPr="00896D4F">
        <w:t xml:space="preserve">Ärendet avslutas med den kritik som följer av det anförda i de delar som rör diarieföring och handläggningen av föräldraföreningens skrivelse. </w:t>
      </w:r>
    </w:p>
    <w:p w:rsidR="009C1C5A" w:rsidRPr="00896D4F" w:rsidRDefault="009C1C5A">
      <w:pPr>
        <w:pStyle w:val="Rubrik2"/>
      </w:pPr>
      <w:r w:rsidRPr="00896D4F">
        <w:t>Fråga om meddelarfrihet rått för uppgifter som en yrkesinspektör fått kännedom om i samband med inspektion av ett s.k. korttidshem</w:t>
      </w:r>
    </w:p>
    <w:p w:rsidR="009C1C5A" w:rsidRPr="00896D4F" w:rsidRDefault="009C1C5A">
      <w:pPr>
        <w:spacing w:before="0"/>
      </w:pPr>
      <w:r w:rsidRPr="00896D4F">
        <w:t>(Dnr 2673-1999)</w:t>
      </w:r>
    </w:p>
    <w:p w:rsidR="009C1C5A" w:rsidRPr="00896D4F" w:rsidRDefault="009C1C5A">
      <w:pPr>
        <w:pStyle w:val="Rubrik3"/>
      </w:pPr>
      <w:r w:rsidRPr="00896D4F">
        <w:t>Anmälan</w:t>
      </w:r>
    </w:p>
    <w:p w:rsidR="009C1C5A" w:rsidRPr="00896D4F" w:rsidRDefault="009C1C5A">
      <w:r w:rsidRPr="00896D4F">
        <w:t>Martin Johansson, ordförande i Socialnämnden i Sundsvalls kommun, klag</w:t>
      </w:r>
      <w:r w:rsidRPr="00896D4F">
        <w:t>a</w:t>
      </w:r>
      <w:r w:rsidRPr="00896D4F">
        <w:t>de till JO på att en yrkesinspektör vid Yrkesinspektionen i Härnösands distrikt (numera Arbetsmiljöverket) inför medierna uttalat sig om en autistisk pojkes boendeförhållanden i ett s.k. korttidshem, drivet av Sundsvalls kommun. Av en tidningsartikel, fogad till anmälan, framgår att inspektören också lämnat vissa uppgifter om bl.a. pojkens beteende och om hur lång tid han vistats i hemmet. Martin Johansson uppgav i anmälan att uttalandena ur barnets och föräldrarnas perspektiv var integritetskänsliga och u</w:t>
      </w:r>
      <w:r w:rsidRPr="00896D4F">
        <w:t>ppfattades som kränka</w:t>
      </w:r>
      <w:r w:rsidRPr="00896D4F">
        <w:t>n</w:t>
      </w:r>
      <w:r w:rsidRPr="00896D4F">
        <w:t>de. Han önskade att JO särskilt skulle granska ”om skyddet för den enskilde mot att yrkesinspektörer gör omdömeslösa och kränkande uttalanden är til</w:t>
      </w:r>
      <w:r w:rsidRPr="00896D4F">
        <w:t>l</w:t>
      </w:r>
      <w:r w:rsidRPr="00896D4F">
        <w:t>fyllest i vår lagstiftning”.</w:t>
      </w:r>
    </w:p>
    <w:p w:rsidR="009C1C5A" w:rsidRPr="00896D4F" w:rsidRDefault="009C1C5A">
      <w:pPr>
        <w:pStyle w:val="Normaltindrag"/>
      </w:pPr>
      <w:r w:rsidRPr="00896D4F">
        <w:t>Av anmälan med bilagor framgick att yrkesinspektören den 4 juni 1999 genomförde en inspektion i det ifrågavarande korttidshemmet. Syftet med inspektionen var att kontrollera hur arbetsmiljökraven uppfylldes på arbet</w:t>
      </w:r>
      <w:r w:rsidRPr="00896D4F">
        <w:t>s</w:t>
      </w:r>
      <w:r w:rsidRPr="00896D4F">
        <w:t>platsen.</w:t>
      </w:r>
    </w:p>
    <w:p w:rsidR="009C1C5A" w:rsidRPr="00896D4F" w:rsidRDefault="009C1C5A">
      <w:pPr>
        <w:pStyle w:val="Rubrik3"/>
      </w:pPr>
      <w:r w:rsidRPr="00896D4F">
        <w:t>Utredning</w:t>
      </w:r>
    </w:p>
    <w:p w:rsidR="009C1C5A" w:rsidRPr="00896D4F" w:rsidRDefault="009C1C5A">
      <w:r w:rsidRPr="00896D4F">
        <w:t>Ärendet remitterades till dåvarande Arbetarskyddsstyrelsen och Socialstyre</w:t>
      </w:r>
      <w:r w:rsidRPr="00896D4F">
        <w:t>l</w:t>
      </w:r>
      <w:r w:rsidRPr="00896D4F">
        <w:t>sen. I remissen angavs följande.</w:t>
      </w:r>
    </w:p>
    <w:p w:rsidR="009C1C5A" w:rsidRPr="00896D4F" w:rsidRDefault="009C1C5A">
      <w:pPr>
        <w:pStyle w:val="Citat"/>
      </w:pPr>
      <w:r w:rsidRPr="00896D4F">
        <w:t>I ärendet aktualiseras bl.a. frågan om vilka sekretessbestämmelser som är tillämpliga på yrkesinspektörens iakttagelser och vilka konsekvenser sekr</w:t>
      </w:r>
      <w:r w:rsidRPr="00896D4F">
        <w:t>e</w:t>
      </w:r>
      <w:r w:rsidRPr="00896D4F">
        <w:t xml:space="preserve">tessregleringen får för frågan om meddelarfrihet kan anses råda eller inte. </w:t>
      </w:r>
    </w:p>
    <w:p w:rsidR="009C1C5A" w:rsidRPr="00896D4F" w:rsidRDefault="009C1C5A">
      <w:r w:rsidRPr="00896D4F">
        <w:t xml:space="preserve">Remissinstanserna ombads att yttra sig i detta hänseende.  </w:t>
      </w:r>
    </w:p>
    <w:p w:rsidR="009C1C5A" w:rsidRPr="00896D4F" w:rsidRDefault="009C1C5A">
      <w:r w:rsidRPr="00896D4F">
        <w:t xml:space="preserve">Arbetarskyddsstyrelsen anförde i sitt remissvar följande. </w:t>
      </w:r>
    </w:p>
    <w:p w:rsidR="009C1C5A" w:rsidRPr="00896D4F" w:rsidRDefault="009C1C5A">
      <w:pPr>
        <w:pStyle w:val="Citat"/>
      </w:pPr>
      <w:r w:rsidRPr="00896D4F">
        <w:t>Enligt Arbetarskyddsstyrelsens uppfattning är det sekretessbestämmelserna i 7 kap. 8 § sekretesslagen (1980:100) som skall tillämpas när en yrkes</w:t>
      </w:r>
      <w:r w:rsidRPr="00896D4F">
        <w:softHyphen/>
        <w:t>inspek</w:t>
      </w:r>
      <w:r w:rsidRPr="00896D4F">
        <w:softHyphen/>
        <w:t>tör i sin tjänsteutövning gör iakttagelser om enskildas pe</w:t>
      </w:r>
      <w:r w:rsidRPr="00896D4F">
        <w:t>r</w:t>
      </w:r>
      <w:r w:rsidRPr="00896D4F">
        <w:t>sonliga för</w:t>
      </w:r>
      <w:r w:rsidRPr="00896D4F">
        <w:softHyphen/>
        <w:t xml:space="preserve">hållanden. Bestämmelserna i 7 kap. 1 gäller inom hälso- och sjukvården, annan medicinsk verksamhet samt verksamhet som innefattar omprövning av beslut i eller särskild tillsyn över hälso- och sjukvård. Yrkesinspektionen utövar inte sådan verksamhet. </w:t>
      </w:r>
    </w:p>
    <w:p w:rsidR="009C1C5A" w:rsidRPr="00896D4F" w:rsidRDefault="009C1C5A">
      <w:pPr>
        <w:pStyle w:val="Citatindrag"/>
      </w:pPr>
      <w:r w:rsidRPr="00896D4F">
        <w:t>Att olika sekretessbestämmelser gäller hos olika myndigheter, även för samma handlingar eller samma uppgifter, är en avsedd konsekvens av sekr</w:t>
      </w:r>
      <w:r w:rsidRPr="00896D4F">
        <w:t>e</w:t>
      </w:r>
      <w:r w:rsidRPr="00896D4F">
        <w:t>tesslagen. Jfr t.ex. sid. 72–78 i propositionen 1979/80:2 och sid. 32–34 i No</w:t>
      </w:r>
      <w:r w:rsidRPr="00896D4F">
        <w:t>r</w:t>
      </w:r>
      <w:r w:rsidRPr="00896D4F">
        <w:t>stedts kommentar till sekretesslagen (Corell m.fl., tredje uppl</w:t>
      </w:r>
      <w:r w:rsidRPr="00896D4F">
        <w:t>a</w:t>
      </w:r>
      <w:r w:rsidRPr="00896D4F">
        <w:t>gan 1992).</w:t>
      </w:r>
    </w:p>
    <w:p w:rsidR="009C1C5A" w:rsidRPr="00896D4F" w:rsidRDefault="009C1C5A">
      <w:pPr>
        <w:pStyle w:val="Citatindrag"/>
      </w:pPr>
      <w:r w:rsidRPr="00896D4F">
        <w:t>Inom Yrkesinspektionens verksamhet gäller ingen tystnadsplikt, som följer av 7 kap. 1 § sekretesslagen. Den inskränkning i meddelarskyddet, som anges i 16 kap. 1 § sekretesslagen för situationer där tystnadsplikt följer av 7 kap. 1 § är därför enligt styrelsens uppfattning inte tillämplig inom denna ver</w:t>
      </w:r>
      <w:r w:rsidRPr="00896D4F">
        <w:t>k</w:t>
      </w:r>
      <w:r w:rsidRPr="00896D4F">
        <w:t>samhet. Sekretessen enligt 7 kap. 8 § är inte intagen i uppräkningen i 16 kap. 1 § sekretesslagen. I Yrkesinspektionens ver</w:t>
      </w:r>
      <w:r w:rsidRPr="00896D4F">
        <w:t>k</w:t>
      </w:r>
      <w:r w:rsidRPr="00896D4F">
        <w:t>samhet bör därför vanlig med</w:t>
      </w:r>
      <w:r w:rsidRPr="00896D4F">
        <w:softHyphen/>
        <w:t>delarfrihet enligt tryckfrihetsförordningen och yttrandefrihets</w:t>
      </w:r>
      <w:r w:rsidRPr="00896D4F">
        <w:softHyphen/>
        <w:t>grund</w:t>
      </w:r>
      <w:r w:rsidRPr="00896D4F">
        <w:softHyphen/>
        <w:t xml:space="preserve">lagen gälla. </w:t>
      </w:r>
    </w:p>
    <w:p w:rsidR="009C1C5A" w:rsidRPr="00896D4F" w:rsidRDefault="009C1C5A">
      <w:r w:rsidRPr="00896D4F">
        <w:t xml:space="preserve">Socialstyrelsen anförde bl.a. följande. </w:t>
      </w:r>
    </w:p>
    <w:p w:rsidR="009C1C5A" w:rsidRPr="00896D4F" w:rsidRDefault="009C1C5A">
      <w:pPr>
        <w:pStyle w:val="Citat"/>
      </w:pPr>
      <w:r w:rsidRPr="00896D4F">
        <w:t>I frågan om vilka sekretessbestämmelser som är tillämpliga på yrkesi</w:t>
      </w:r>
      <w:r w:rsidRPr="00896D4F">
        <w:t>n</w:t>
      </w:r>
      <w:r w:rsidRPr="00896D4F">
        <w:t>spek</w:t>
      </w:r>
      <w:r w:rsidRPr="00896D4F">
        <w:softHyphen/>
        <w:t>törens iakttagelser bör följande framhållas.</w:t>
      </w:r>
    </w:p>
    <w:p w:rsidR="009C1C5A" w:rsidRPr="00896D4F" w:rsidRDefault="009C1C5A">
      <w:pPr>
        <w:pStyle w:val="Citatindrag"/>
      </w:pPr>
      <w:r w:rsidRPr="00896D4F">
        <w:t>Sekretess för uppgifter i Yrkesinspektionens verksamhet regleras i första hand genom 7 kap. 8 § sekretesslagen (1980:100). Det är dock oklart i vad mån lagrummet reglerar just den situation som är aktuell i ärendet.</w:t>
      </w:r>
    </w:p>
    <w:p w:rsidR="009C1C5A" w:rsidRPr="00896D4F" w:rsidRDefault="009C1C5A">
      <w:pPr>
        <w:pStyle w:val="Citatindrag"/>
      </w:pPr>
      <w:r w:rsidRPr="00896D4F">
        <w:t>Enligt Socialstyrelsens uppfattning är det mycket som talar för att 7 kap. 8 § sekretesslagen inte enbart tar sikte på arbetstagare och arbetsgivare utan även på uppgifter om dem som bor på korttidshemmet. Begreppet ”enskild” är ganska vitt och utgångspunkten måste vara att alla de uppgifter om hälso</w:t>
      </w:r>
      <w:r w:rsidRPr="00896D4F">
        <w:softHyphen/>
        <w:t>tillstånd och andra personliga förhållanden som framkommer genom Yrkes</w:t>
      </w:r>
      <w:r w:rsidRPr="00896D4F">
        <w:softHyphen/>
        <w:t>inspektionens granskningsverksamhet är belagda med sekretess enligt denna paragraf.</w:t>
      </w:r>
    </w:p>
    <w:p w:rsidR="009C1C5A" w:rsidRPr="00896D4F" w:rsidRDefault="009C1C5A">
      <w:pPr>
        <w:pStyle w:val="Citatindrag"/>
      </w:pPr>
      <w:r w:rsidRPr="00896D4F">
        <w:t>Verksamheten vid korttidshemmet är en sådan verksamhet som avses e</w:t>
      </w:r>
      <w:r w:rsidRPr="00896D4F">
        <w:t>n</w:t>
      </w:r>
      <w:r w:rsidRPr="00896D4F">
        <w:t>ligt 7 kap. 4 § 3 stycket sekretesslagen, och de sekretessregler som äger sin giltighet i sådan verksamhet framgår av 7 kap. 4 § 1 stycket sekretessl</w:t>
      </w:r>
      <w:r w:rsidRPr="00896D4F">
        <w:t>a</w:t>
      </w:r>
      <w:r w:rsidRPr="00896D4F">
        <w:t>gen.</w:t>
      </w:r>
    </w:p>
    <w:p w:rsidR="009C1C5A" w:rsidRPr="00896D4F" w:rsidRDefault="009C1C5A">
      <w:pPr>
        <w:pStyle w:val="Citatindrag"/>
      </w:pPr>
      <w:r w:rsidRPr="00896D4F">
        <w:t>Eftersom Socialstyrelsen primärt anser att 7 kap. 8 § sekretesslagen är till</w:t>
      </w:r>
      <w:r w:rsidRPr="00896D4F">
        <w:softHyphen/>
        <w:t>lämplig gäller meddelarfrihet enligt 16 kap. 1 § sekretesslagen för upp</w:t>
      </w:r>
      <w:r w:rsidRPr="00896D4F">
        <w:softHyphen/>
        <w:t>gifterna.</w:t>
      </w:r>
    </w:p>
    <w:p w:rsidR="009C1C5A" w:rsidRPr="00896D4F" w:rsidRDefault="009C1C5A">
      <w:pPr>
        <w:pStyle w:val="Citatindrag"/>
      </w:pPr>
      <w:r w:rsidRPr="00896D4F">
        <w:t>Att yrkesinspektören mot den bakgrunden valt att gå ut i massmedia är en bedömningsfråga som det är svårt att ha någon bestämd uppfattning om. I vart fall var det inte otillåtet.</w:t>
      </w:r>
    </w:p>
    <w:p w:rsidR="009C1C5A" w:rsidRPr="00896D4F" w:rsidRDefault="009C1C5A">
      <w:pPr>
        <w:pStyle w:val="Citatindrag"/>
      </w:pPr>
      <w:r w:rsidRPr="00896D4F">
        <w:t>Om paragrafen inte bedöms tillämplig i detta fall bör initiativ till lagän</w:t>
      </w:r>
      <w:r w:rsidRPr="00896D4F">
        <w:t>d</w:t>
      </w:r>
      <w:r w:rsidRPr="00896D4F">
        <w:t>ring tas i syfte att tillförsäkra skydd för uppgifter om hälsotillstånd och per</w:t>
      </w:r>
      <w:r w:rsidRPr="00896D4F">
        <w:softHyphen/>
        <w:t>son</w:t>
      </w:r>
      <w:r w:rsidRPr="00896D4F">
        <w:softHyphen/>
        <w:t>liga förhållanden för de boende vid institutioner av liknande slag.</w:t>
      </w:r>
    </w:p>
    <w:p w:rsidR="009C1C5A" w:rsidRPr="00896D4F" w:rsidRDefault="009C1C5A">
      <w:pPr>
        <w:pStyle w:val="Citatindrag"/>
      </w:pPr>
      <w:r w:rsidRPr="00896D4F">
        <w:t>Med den tolkning Socialstyrelsen gjort uppkommer inte frågan om r</w:t>
      </w:r>
      <w:r w:rsidRPr="00896D4F">
        <w:t>e</w:t>
      </w:r>
      <w:r w:rsidRPr="00896D4F">
        <w:t>glering i avtal om tystnad</w:t>
      </w:r>
      <w:r w:rsidRPr="00896D4F">
        <w:t>s</w:t>
      </w:r>
      <w:r w:rsidRPr="00896D4F">
        <w:t>plikt.</w:t>
      </w:r>
    </w:p>
    <w:p w:rsidR="009C1C5A" w:rsidRPr="00896D4F" w:rsidRDefault="009C1C5A">
      <w:r w:rsidRPr="00896D4F">
        <w:t xml:space="preserve">Martin Johansson kommenterade remissvaren. </w:t>
      </w:r>
    </w:p>
    <w:p w:rsidR="009C1C5A" w:rsidRPr="00896D4F" w:rsidRDefault="009C1C5A">
      <w:r w:rsidRPr="00896D4F">
        <w:t xml:space="preserve">I beslut den 5 november 2001 anförde </w:t>
      </w:r>
      <w:r w:rsidRPr="00896D4F">
        <w:rPr>
          <w:i/>
        </w:rPr>
        <w:t>JO Berggren</w:t>
      </w:r>
      <w:r w:rsidRPr="00896D4F">
        <w:t xml:space="preserve"> följande.</w:t>
      </w:r>
    </w:p>
    <w:p w:rsidR="009C1C5A" w:rsidRPr="00896D4F" w:rsidRDefault="009C1C5A">
      <w:r w:rsidRPr="00896D4F">
        <w:t>Varje medborgare är gentemot det allmänna tillförsäkrad yttrandefrihet, med vilket avses frihet att i tal, skrift eller bild eller på annat sätt meddela upply</w:t>
      </w:r>
      <w:r w:rsidRPr="00896D4F">
        <w:t>s</w:t>
      </w:r>
      <w:r w:rsidRPr="00896D4F">
        <w:t>ningar samt uttrycka tankar, åsikter och känslor (2 kap 1 § 1 regeringsformen, RF). Denna rättighet får dock, med hänsyn till vissa preciserade ändamål, begränsas genom lag (2 kap. 12 och 13 §§ RF). Bestämmelser om tystnad</w:t>
      </w:r>
      <w:r w:rsidRPr="00896D4F">
        <w:t>s</w:t>
      </w:r>
      <w:r w:rsidRPr="00896D4F">
        <w:t>plikt i det allmä</w:t>
      </w:r>
      <w:r w:rsidRPr="00896D4F">
        <w:t>n</w:t>
      </w:r>
      <w:r w:rsidRPr="00896D4F">
        <w:t xml:space="preserve">nas verksamhet finns i sekretesslagen (1980:100). </w:t>
      </w:r>
    </w:p>
    <w:p w:rsidR="009C1C5A" w:rsidRPr="00896D4F" w:rsidRDefault="009C1C5A">
      <w:pPr>
        <w:pStyle w:val="Normaltindrag"/>
      </w:pPr>
      <w:r w:rsidRPr="00896D4F">
        <w:t>Verksamhet som bedrivs enligt lagstiftningen om stöd och service till vissa funktionshindrade skall vid tillämpningen av sekretesslagen jämställas med socialtjänst (7 kap. 4 § tredje stycket sekretesslagen).  I sådan ve</w:t>
      </w:r>
      <w:r w:rsidRPr="00896D4F">
        <w:t xml:space="preserve">rksamhet råder sekretess för uppgift om enskilds personliga förhållanden, om det inte står klart att uppgiften kan röjas utan att den enskilde eller någon honom närstående lider men (första stycket). Presumtionen är således för sekretess.  </w:t>
      </w:r>
    </w:p>
    <w:p w:rsidR="009C1C5A" w:rsidRPr="00896D4F" w:rsidRDefault="009C1C5A">
      <w:pPr>
        <w:pStyle w:val="Normaltindrag"/>
      </w:pPr>
      <w:r w:rsidRPr="00896D4F">
        <w:t>Hos Arbetsmiljöverket, och liksom tidigare hos Yrkesinspektionen, kan bestämmelserna i  7 kap. 8 § och 8 kap. 2 § sekretesslagen bli tillämpliga. I detta ärende är det främst bestämmelsen i 7 kap. 8 § som är aktuell. Där för</w:t>
      </w:r>
      <w:r w:rsidRPr="00896D4F">
        <w:t>e</w:t>
      </w:r>
      <w:r w:rsidRPr="00896D4F">
        <w:t>skrivs att sekretess gäller hos myndighet som har till särskild uppgift att verka för arbetarskydd i ärende enligt lagstiftningen om bl.a. arbetsmiljön, för up</w:t>
      </w:r>
      <w:r w:rsidRPr="00896D4F">
        <w:t>p</w:t>
      </w:r>
      <w:r w:rsidRPr="00896D4F">
        <w:t>gift om enskilds hälsotillstånd eller andra personliga förhållanden, om det kan antas att den enskilde lider men om uppgiften röjs. Skaderekvisitet är här rakt, vilket innebär en presumtion för o</w:t>
      </w:r>
      <w:r w:rsidRPr="00896D4F">
        <w:t>f</w:t>
      </w:r>
      <w:r w:rsidRPr="00896D4F">
        <w:t xml:space="preserve">fentlighet. </w:t>
      </w:r>
    </w:p>
    <w:p w:rsidR="009C1C5A" w:rsidRPr="00896D4F" w:rsidRDefault="009C1C5A">
      <w:pPr>
        <w:pStyle w:val="Normaltindrag"/>
      </w:pPr>
      <w:r w:rsidRPr="00896D4F">
        <w:t>Friheten att yttra sig i massmedier är emellertid större än vad som gäller för yttrandefriheten i övrigt. Enligt 1 kap. 1 § tredje stycket try</w:t>
      </w:r>
      <w:r w:rsidRPr="00896D4F">
        <w:t>ckfrihetsfö</w:t>
      </w:r>
      <w:r w:rsidRPr="00896D4F">
        <w:t>r</w:t>
      </w:r>
      <w:r w:rsidRPr="00896D4F">
        <w:t>ordningen (TF) har var och en rätt att meddela uppgifter i vilket ämne som helst till författare, utgivare eller nyhetsbyrå, om syftet är att uppgifterna skall offentliggöras i tryckt skrift. En reglering motsvarande TF:s finns i yttrand</w:t>
      </w:r>
      <w:r w:rsidRPr="00896D4F">
        <w:t>e</w:t>
      </w:r>
      <w:r w:rsidRPr="00896D4F">
        <w:t>frihetsgrundlagen (YGL) för lämnande av uppgifter till radio och television. Bestämmelserna gäller även den som är offentligt anställd.</w:t>
      </w:r>
    </w:p>
    <w:p w:rsidR="009C1C5A" w:rsidRPr="00896D4F" w:rsidRDefault="009C1C5A">
      <w:pPr>
        <w:pStyle w:val="Normaltindrag"/>
      </w:pPr>
      <w:r w:rsidRPr="00896D4F">
        <w:t>Meddelarfriheten enligt TF och YGL är dock inte helt obegränsad. I 16 kap. sekretesslagen finns en uppräkning av de tystnadspl</w:t>
      </w:r>
      <w:r w:rsidRPr="00896D4F">
        <w:t>iktsföreskrifter som har företräde framför meddelarfriheten. I uppräkningen återfinns b</w:t>
      </w:r>
      <w:r w:rsidRPr="00896D4F">
        <w:t>e</w:t>
      </w:r>
      <w:r w:rsidRPr="00896D4F">
        <w:t>stämmelsen i 7 kap. 4 § sekretesslagen, med vissa undantag som inte är akt</w:t>
      </w:r>
      <w:r w:rsidRPr="00896D4F">
        <w:t>u</w:t>
      </w:r>
      <w:r w:rsidRPr="00896D4F">
        <w:t>ella här, men däremot inte bestämmelsen i 7 kap. 8 §. Således föreligger me</w:t>
      </w:r>
      <w:r w:rsidRPr="00896D4F">
        <w:t>d</w:t>
      </w:r>
      <w:r w:rsidRPr="00896D4F">
        <w:t xml:space="preserve">delarfrihet såvitt avser Arbetsmiljöverkets verksamhet i motsats till vad som gäller inom verksamhet som bedrivs enligt lagstiftningen om stöd och service till vissa funktionshindrade. </w:t>
      </w:r>
    </w:p>
    <w:p w:rsidR="009C1C5A" w:rsidRPr="00896D4F" w:rsidRDefault="009C1C5A">
      <w:pPr>
        <w:pStyle w:val="Normaltindrag"/>
      </w:pPr>
      <w:r w:rsidRPr="00896D4F">
        <w:t>Frågan är då vilken sekretessbestämmelse som är tillämplig när det gäller uppgifter som</w:t>
      </w:r>
      <w:r w:rsidRPr="00896D4F">
        <w:t xml:space="preserve"> en tjänsteman vid Arbetsmiljöverket får i samband med i</w:t>
      </w:r>
      <w:r w:rsidRPr="00896D4F">
        <w:t>n</w:t>
      </w:r>
      <w:r w:rsidRPr="00896D4F">
        <w:t>spektionsverksamhet vid, som i detta fall, ett hem där verksamhet enligt la</w:t>
      </w:r>
      <w:r w:rsidRPr="00896D4F">
        <w:t>g</w:t>
      </w:r>
      <w:r w:rsidRPr="00896D4F">
        <w:t>stiftningen om stöd och service till vissa funktionshindrade bedrivs.</w:t>
      </w:r>
    </w:p>
    <w:p w:rsidR="009C1C5A" w:rsidRPr="00896D4F" w:rsidRDefault="009C1C5A">
      <w:pPr>
        <w:pStyle w:val="Normaltindrag"/>
      </w:pPr>
      <w:r w:rsidRPr="00896D4F">
        <w:t>I 13 kap. sekretesslagen behandlas överföring av sekretess i vissa fall. I 1 § föreskrivs att om en myndighet i verksamhet, som avser tillsyn eller revision, från någon annan myndighet får en uppgift som är sekretessbelagd där, gäller sekretessen också hos den mottagande myndigheten. I 6 § anges emellertid a</w:t>
      </w:r>
      <w:r w:rsidRPr="00896D4F">
        <w:t>tt bestämmelsen i 1 § inte tillämpas, om en sekretessbestämmelse till skydd för samma intresse ändå är tillämplig på uppgiften hos den mottagande myndi</w:t>
      </w:r>
      <w:r w:rsidRPr="00896D4F">
        <w:t>g</w:t>
      </w:r>
      <w:r w:rsidRPr="00896D4F">
        <w:t>heten. I samband med sekretesslagens tillkomst uttalades (prop. 1979/80:2, del A, s. 319 f.) att den mottagande myndigheten i sådant fall får hålla sig enbart till den ”egna” sekretessregeln, oavsett om denna ger starkare eller svagare sekretess än den sekretessregel som gällde för uppgiften hos den myndighet varifrån den har inhämtats. Enligt departementsch</w:t>
      </w:r>
      <w:r w:rsidRPr="00896D4F">
        <w:t xml:space="preserve">efen talade praktiska skäl för denna regel. Som förutsättning skulle dock gälla att båda sekretessreglerna skyddar samma huvudintresse. Där så inte är fallet gäller 1 §, nämligen den överlämnande myndighetens sekretessbestämmelse är tillämplig även hos den mottagande myndigheten. </w:t>
      </w:r>
    </w:p>
    <w:p w:rsidR="009C1C5A" w:rsidRPr="00896D4F" w:rsidRDefault="009C1C5A">
      <w:pPr>
        <w:pStyle w:val="Normaltindrag"/>
      </w:pPr>
      <w:r w:rsidRPr="00896D4F">
        <w:t>Såväl den sekretess som gäller för verksamhet enligt lagstiftningen om stöd och service till vissa funktionshindrade som den som gäller för Arbet</w:t>
      </w:r>
      <w:r w:rsidRPr="00896D4F">
        <w:t>s</w:t>
      </w:r>
      <w:r w:rsidRPr="00896D4F">
        <w:t>mil</w:t>
      </w:r>
      <w:r w:rsidRPr="00896D4F">
        <w:softHyphen/>
        <w:t>jö</w:t>
      </w:r>
      <w:r w:rsidRPr="00896D4F">
        <w:softHyphen/>
        <w:t>verkets verksamhet, avser att skydda enskildas personliga för</w:t>
      </w:r>
      <w:r w:rsidRPr="00896D4F">
        <w:softHyphen/>
        <w:t>hållan</w:t>
      </w:r>
      <w:r w:rsidRPr="00896D4F">
        <w:softHyphen/>
        <w:t>den. Frå</w:t>
      </w:r>
      <w:r w:rsidRPr="00896D4F">
        <w:softHyphen/>
        <w:t>gan är då om uttrycket ”enskild” inbegriper samma personkrets i de båda be</w:t>
      </w:r>
      <w:r w:rsidRPr="00896D4F">
        <w:softHyphen/>
        <w:t>stämmel</w:t>
      </w:r>
      <w:r w:rsidRPr="00896D4F">
        <w:softHyphen/>
        <w:t xml:space="preserve">serna. </w:t>
      </w:r>
    </w:p>
    <w:p w:rsidR="009C1C5A" w:rsidRPr="00896D4F" w:rsidRDefault="009C1C5A">
      <w:pPr>
        <w:pStyle w:val="Normaltindrag"/>
      </w:pPr>
      <w:r w:rsidRPr="00896D4F">
        <w:t>Bestämmelsen om socialtjänstsekretess skall skydda uppgifter om de pe</w:t>
      </w:r>
      <w:r w:rsidRPr="00896D4F">
        <w:t>r</w:t>
      </w:r>
      <w:r w:rsidRPr="00896D4F">
        <w:t>soner som får vård och stöd. I samband med införandet av bestämmelsen i 7 kap. 8 § var det främst ett skydd för uppgifter om arbetstagarnas förhålla</w:t>
      </w:r>
      <w:r w:rsidRPr="00896D4F">
        <w:t>n</w:t>
      </w:r>
      <w:r w:rsidRPr="00896D4F">
        <w:t>den som diskuterades. I propositionen (Del A, s. 193) anfördes i anslutning härtill att ”med enskild åsyftas här inte bara arbetstagare utan även arbetsg</w:t>
      </w:r>
      <w:r w:rsidRPr="00896D4F">
        <w:t>i</w:t>
      </w:r>
      <w:r w:rsidRPr="00896D4F">
        <w:t xml:space="preserve">vare”. </w:t>
      </w:r>
    </w:p>
    <w:p w:rsidR="009C1C5A" w:rsidRPr="00896D4F" w:rsidRDefault="009C1C5A">
      <w:pPr>
        <w:pStyle w:val="Normaltindrag"/>
      </w:pPr>
      <w:r w:rsidRPr="00896D4F">
        <w:t>Något klart uttalande i frågan om huruvida också de personer som, utan att vara arbetsgivare eller arbetstagare, vistas på en plats som är föremål för arbetsmiljöinspektion skall omfattas av sekretess</w:t>
      </w:r>
      <w:r w:rsidRPr="00896D4F">
        <w:t>en i 7 kap. 8 § finns inte i förarbetena. Enligt min uppfattning talar, då inte vare sig lagtextens ordal</w:t>
      </w:r>
      <w:r w:rsidRPr="00896D4F">
        <w:t>y</w:t>
      </w:r>
      <w:r w:rsidRPr="00896D4F">
        <w:t>delse eller förarbetena ger tydligt uttryck för annat, övervägande skäl för att sekretessen i 7 kap. 8 § även omfattar uppgifter om denna tredje kategori av personer. Denna uppfattning har även Socialstyrelsen och dåvarande Arbeta</w:t>
      </w:r>
      <w:r w:rsidRPr="00896D4F">
        <w:t>r</w:t>
      </w:r>
      <w:r w:rsidRPr="00896D4F">
        <w:t>skyddsstyrelsen gett uttryck för.</w:t>
      </w:r>
    </w:p>
    <w:p w:rsidR="009C1C5A" w:rsidRPr="00896D4F" w:rsidRDefault="009C1C5A">
      <w:pPr>
        <w:pStyle w:val="Normaltindrag"/>
      </w:pPr>
      <w:r w:rsidRPr="00896D4F">
        <w:t>I enlighet med detta resonemang har det således rått frihet för yrkesi</w:t>
      </w:r>
      <w:r w:rsidRPr="00896D4F">
        <w:t>n</w:t>
      </w:r>
      <w:r w:rsidRPr="00896D4F">
        <w:t>spektören att lämna sekretesskyddade uppgifter som hon fått kännedom om i sin inspektionsverksamhet till representanter för massmedierna. Jag driver därför inte ärendet vidare mot inspektören.</w:t>
      </w:r>
    </w:p>
    <w:p w:rsidR="009C1C5A" w:rsidRPr="00896D4F" w:rsidRDefault="009C1C5A">
      <w:pPr>
        <w:pStyle w:val="Normaltindrag"/>
      </w:pPr>
      <w:r w:rsidRPr="00896D4F">
        <w:t>Martin Johansson har i sin kommentar till remissvaret förklarat bl.a. att sekretesskyddet för boende på institutioner är otillräckligt, om uppgifter som lämnas till yrkesinspektionen kan vidarebefordras till massmedierna samt att, för det fall JO gör samma bedömning som remissinstanserna, det finns skäl för socialnäm</w:t>
      </w:r>
      <w:r w:rsidRPr="00896D4F">
        <w:t>nder i landet att vara restriktiva med att släppa in yrkesinspekt</w:t>
      </w:r>
      <w:r w:rsidRPr="00896D4F">
        <w:t>ö</w:t>
      </w:r>
      <w:r w:rsidRPr="00896D4F">
        <w:t xml:space="preserve">rer i verksamhet som rör enskilda. </w:t>
      </w:r>
    </w:p>
    <w:p w:rsidR="009C1C5A" w:rsidRPr="00896D4F" w:rsidRDefault="009C1C5A">
      <w:pPr>
        <w:pStyle w:val="Normaltindrag"/>
      </w:pPr>
      <w:r w:rsidRPr="00896D4F">
        <w:t>Anmälarens synpunkter väcker frågan om meddelarfriheten bör begränsas för uppgifter som omfattas av sekretess enligt 7 kap. 8 § sekretesslagen.</w:t>
      </w:r>
    </w:p>
    <w:p w:rsidR="009C1C5A" w:rsidRPr="00896D4F" w:rsidRDefault="009C1C5A">
      <w:pPr>
        <w:pStyle w:val="Normaltindrag"/>
      </w:pPr>
      <w:r w:rsidRPr="00896D4F">
        <w:t>Meddelarfriheten har sin grund i att de vanliga sekretessreglerna ger u</w:t>
      </w:r>
      <w:r w:rsidRPr="00896D4F">
        <w:t>t</w:t>
      </w:r>
      <w:r w:rsidRPr="00896D4F">
        <w:t>tryck för ganska allmänna avvägningar mellan insyns- och sekretessintressena på de berörda områdena. Detta innebär att önskemålet om insyn i ett särskilt fall kan vara starkare än det sekretessintresse som har föranlett den aktuella sekretessregeln. Det kan vidare förhålla sig så att en regel om skydd t.ex. för ett särskilt intresse ibland på ett olämpligt sätt hindrar insyn i en myndighets sätt att fullgöra sina uppgifter. Offentlighetsprincipen skulle inte förverkligas fullt ut, om de offentliga funktion</w:t>
      </w:r>
      <w:r w:rsidRPr="00896D4F">
        <w:t>ärerna i situationer av nu nämnt slag skulle vara förhindrade att bidra till den allmänna debatten. Reglerna om meddela</w:t>
      </w:r>
      <w:r w:rsidRPr="00896D4F">
        <w:t>r</w:t>
      </w:r>
      <w:r w:rsidRPr="00896D4F">
        <w:t>frihet är avsedda att motverka sådana icke önskade resultat av sekretessr</w:t>
      </w:r>
      <w:r w:rsidRPr="00896D4F">
        <w:t>e</w:t>
      </w:r>
      <w:r w:rsidRPr="00896D4F">
        <w:t>gleringen (prop. Del A, s. 104 f.).</w:t>
      </w:r>
    </w:p>
    <w:p w:rsidR="009C1C5A" w:rsidRPr="00896D4F" w:rsidRDefault="009C1C5A">
      <w:pPr>
        <w:pStyle w:val="Normaltindrag"/>
      </w:pPr>
      <w:r w:rsidRPr="00896D4F">
        <w:t>Det bör vidare framhållas att meddelarfriheten inte betyder att de offentl</w:t>
      </w:r>
      <w:r w:rsidRPr="00896D4F">
        <w:t>i</w:t>
      </w:r>
      <w:r w:rsidRPr="00896D4F">
        <w:t>ga funktionärerna är skyldiga att lämna uppgifter till t.ex. pressen om känsliga förhållanden. Innebörden är i stället att det allmänna har överlåtit åt den e</w:t>
      </w:r>
      <w:r w:rsidRPr="00896D4F">
        <w:t>n</w:t>
      </w:r>
      <w:r w:rsidRPr="00896D4F">
        <w:t>skilde tjänstemannen att, utan risk för repressalier, själv bedöma om det är önskvärt eller försvarligt att förmedla vissa uppgifter för offentliggörande. Man räknar med att han därvid beaktar de skyddsintressen som gällande se</w:t>
      </w:r>
      <w:r w:rsidRPr="00896D4F">
        <w:t>k</w:t>
      </w:r>
      <w:r w:rsidRPr="00896D4F">
        <w:t>retessregel värnar om och att han bedömer hur informationsmottagaren ko</w:t>
      </w:r>
      <w:r w:rsidRPr="00896D4F">
        <w:t>m</w:t>
      </w:r>
      <w:r w:rsidRPr="00896D4F">
        <w:t>mer att handskas med uppgifterna. (Regner m.fl., Sek</w:t>
      </w:r>
      <w:r w:rsidRPr="00896D4F">
        <w:t xml:space="preserve">retesslagen, 16:2) </w:t>
      </w:r>
    </w:p>
    <w:p w:rsidR="009C1C5A" w:rsidRPr="00896D4F" w:rsidRDefault="009C1C5A">
      <w:pPr>
        <w:pStyle w:val="Normaltindrag"/>
      </w:pPr>
      <w:r w:rsidRPr="00896D4F">
        <w:t>I den promemoria som låg till grund för införandet av sekretess för enski</w:t>
      </w:r>
      <w:r w:rsidRPr="00896D4F">
        <w:t>l</w:t>
      </w:r>
      <w:r w:rsidRPr="00896D4F">
        <w:t>das personliga förhållanden i ärenden om bl.a. arbetarskydd (Handlingsse</w:t>
      </w:r>
      <w:r w:rsidRPr="00896D4F">
        <w:t>k</w:t>
      </w:r>
      <w:r w:rsidRPr="00896D4F">
        <w:t>retess och tystnadsplikt, Ds Ju 1977:11), föreslogs inte en begränsad medd</w:t>
      </w:r>
      <w:r w:rsidRPr="00896D4F">
        <w:t>e</w:t>
      </w:r>
      <w:r w:rsidRPr="00896D4F">
        <w:t>larfrihet i denna typ av ärenden. Under remissbehandlingen framfördes eme</w:t>
      </w:r>
      <w:r w:rsidRPr="00896D4F">
        <w:t>l</w:t>
      </w:r>
      <w:r w:rsidRPr="00896D4F">
        <w:t>lertid från några remissinstanser den åsikten att tystnadsplikt borde geno</w:t>
      </w:r>
      <w:r w:rsidRPr="00896D4F">
        <w:t>m</w:t>
      </w:r>
      <w:r w:rsidRPr="00896D4F">
        <w:t xml:space="preserve">bryta meddelarfriheten i dessa ärenden (prop. Del B, bilaga 2, s. 527 f.). Bland annat anfördes att det var svårt att förstå varför personliga uppgifter av t.ex. medicinsk karaktär skulle behandlas annorlunda inom </w:t>
      </w:r>
      <w:r w:rsidRPr="00896D4F">
        <w:t>arbetarskyddet än vad som gällde inom hälso- och sjukvården där meddelarfriheten föreslogs vara begränsad. Tillräckliga skäl att gå ifrån promemorieförslaget ansågs emelle</w:t>
      </w:r>
      <w:r w:rsidRPr="00896D4F">
        <w:t>r</w:t>
      </w:r>
      <w:r w:rsidRPr="00896D4F">
        <w:t>tid inte föreligga (prop. Del A s. 366).</w:t>
      </w:r>
    </w:p>
    <w:p w:rsidR="009C1C5A" w:rsidRPr="00896D4F" w:rsidRDefault="009C1C5A">
      <w:pPr>
        <w:pStyle w:val="Normaltindrag"/>
      </w:pPr>
      <w:r w:rsidRPr="00896D4F">
        <w:t>Som tidigare nämnts var motivet för bestämmelsen i 7 kap. 8 § att man önskade införa ett skydd för känsliga uppgifter om arbetstagarna. Även up</w:t>
      </w:r>
      <w:r w:rsidRPr="00896D4F">
        <w:t>p</w:t>
      </w:r>
      <w:r w:rsidRPr="00896D4F">
        <w:t>gifter om arbetsgivarnas personliga förhållanden skulle skyddas. Frågan om skydd för känsliga uppgifter om andra personer som vistas inom en inspekt</w:t>
      </w:r>
      <w:r w:rsidRPr="00896D4F">
        <w:t>e</w:t>
      </w:r>
      <w:r w:rsidRPr="00896D4F">
        <w:t>rad verksamhet var över huvud taget inte föremål för överväganden. Det torde emellertid inte vara ovanligt att arbetsmiljöinspektioner görs vid sjukhus och andra inrättningar för vård och stöd inom vars verksamhet uppgifter om e</w:t>
      </w:r>
      <w:r w:rsidRPr="00896D4F">
        <w:t>n</w:t>
      </w:r>
      <w:r w:rsidRPr="00896D4F">
        <w:t>skilda omfattas av sekretess enligt 7 kap. 1 och 4 §§. Inom dessa områden är meddelarfriheten huvudsakligen begränsad. Detta talar en</w:t>
      </w:r>
      <w:r w:rsidRPr="00896D4F">
        <w:t>ligt min mening för att man kanske bör överväga om inte meddelarfriheten skall begränsas även för uppgifter om ”tredje man” som en tjänsteman får del av i samband med ett arbetsmiljöärende.  Som en jämförelse kan nämnas sekretessbestämmelserna för tillsynsverksamhet enligt  8 kap. 6 och 7 §§ där tystnadsplikten geno</w:t>
      </w:r>
      <w:r w:rsidRPr="00896D4F">
        <w:t>m</w:t>
      </w:r>
      <w:r w:rsidRPr="00896D4F">
        <w:t>bryter meddelarfriheten vad gäller uppgifter om den som den inspekterade trätt i förbindelse med. En begränsning i meddelarfriheten bör dock komma till stånd endast om mycket starka skäl talar f</w:t>
      </w:r>
      <w:r w:rsidRPr="00896D4F">
        <w:t>ör det. Frågan bör lämpligen beaktas inom ramen för den pågående översynen av sekretesslagen (dir. 1998:32).</w:t>
      </w:r>
    </w:p>
    <w:p w:rsidR="009C1C5A" w:rsidRPr="00896D4F" w:rsidRDefault="009C1C5A">
      <w:pPr>
        <w:pStyle w:val="Normaltindrag"/>
      </w:pPr>
      <w:r w:rsidRPr="00896D4F">
        <w:t>Jag översänder en kopia av detta beslut till Regeringskansliet (Justitied</w:t>
      </w:r>
      <w:r w:rsidRPr="00896D4F">
        <w:t>e</w:t>
      </w:r>
      <w:r w:rsidRPr="00896D4F">
        <w:t>partementet) och till Offentlighets- och sekretesskommittén (Ju 1999:06).</w:t>
      </w:r>
    </w:p>
    <w:p w:rsidR="009C1C5A" w:rsidRPr="00896D4F" w:rsidRDefault="009C1C5A">
      <w:pPr>
        <w:pStyle w:val="Normaltindrag"/>
      </w:pPr>
      <w:r w:rsidRPr="00896D4F">
        <w:t xml:space="preserve">Med dessa uttalanden avslutas ärendet. </w:t>
      </w:r>
    </w:p>
    <w:p w:rsidR="009C1C5A" w:rsidRPr="00896D4F" w:rsidRDefault="009C1C5A">
      <w:pPr>
        <w:pStyle w:val="Rubrik2"/>
      </w:pPr>
      <w:r w:rsidRPr="00896D4F">
        <w:t>Uttalanden om att kommunala bolag lämpligen bör lämna fullföljdshänvisning till beslut att avslå begäran om utlämnande av allmänna handlingar. Även fråga om rutiner för diarieföring m.m.</w:t>
      </w:r>
    </w:p>
    <w:p w:rsidR="009C1C5A" w:rsidRPr="00896D4F" w:rsidRDefault="009C1C5A">
      <w:pPr>
        <w:spacing w:before="0"/>
      </w:pPr>
      <w:r w:rsidRPr="00896D4F">
        <w:t>(Dnr 1384-2000)</w:t>
      </w:r>
    </w:p>
    <w:p w:rsidR="009C1C5A" w:rsidRPr="00896D4F" w:rsidRDefault="009C1C5A">
      <w:pPr>
        <w:pStyle w:val="Rubrik3"/>
      </w:pPr>
      <w:r w:rsidRPr="00896D4F">
        <w:t>Anmälan</w:t>
      </w:r>
    </w:p>
    <w:p w:rsidR="009C1C5A" w:rsidRPr="00896D4F" w:rsidRDefault="009C1C5A">
      <w:r w:rsidRPr="00896D4F">
        <w:t>I en anmälan begärde Jan Lindkvist, journalist vid tidningen Transportarbet</w:t>
      </w:r>
      <w:r w:rsidRPr="00896D4F">
        <w:t>a</w:t>
      </w:r>
      <w:r w:rsidRPr="00896D4F">
        <w:t>ren, att JO skulle granska det sätt på vilket det kommunala bolaget Falke</w:t>
      </w:r>
      <w:r w:rsidRPr="00896D4F">
        <w:t>n</w:t>
      </w:r>
      <w:r w:rsidRPr="00896D4F">
        <w:t>bergs Terminal AB hade handlagt ett ärende om handlings</w:t>
      </w:r>
      <w:r w:rsidRPr="00896D4F">
        <w:softHyphen/>
        <w:t>utläm</w:t>
      </w:r>
      <w:r w:rsidRPr="00896D4F">
        <w:softHyphen/>
        <w:t>nande. Jan Lindkvist framförde följande. Han hade till Falkenbergs Terminal AB skickat en begäran om att få ta del av allmänna handlingar som rörde avtalsför</w:t>
      </w:r>
      <w:r w:rsidRPr="00896D4F">
        <w:softHyphen/>
        <w:t>bindelser och korrespondens mellan bolaget och G&amp;A Shipping Services AB. Falkenbergs Terminal AB:s VD Tommy Kärrhage hade tidigare per telefon uppgett att det inte fanns några sådana handlingar inkomna eller upprättad</w:t>
      </w:r>
      <w:r w:rsidRPr="00896D4F">
        <w:t>e. Eftersom Jan Lindkvist misstrodde uppgiften hade han ändå begärt skriftligen att få ta del av handlingarna. Han hade också, för det fall bolaget ansåg att handlingar</w:t>
      </w:r>
      <w:r w:rsidRPr="00896D4F">
        <w:softHyphen/>
        <w:t>na var sekretess</w:t>
      </w:r>
      <w:r w:rsidRPr="00896D4F">
        <w:softHyphen/>
        <w:t>skyddade, begärt att få uppgift om diarienummer och diarieblad beträffande  hand</w:t>
      </w:r>
      <w:r w:rsidRPr="00896D4F">
        <w:softHyphen/>
        <w:t>ling</w:t>
      </w:r>
      <w:r w:rsidRPr="00896D4F">
        <w:softHyphen/>
        <w:t>arna och ett skriftligt beslut med ful</w:t>
      </w:r>
      <w:r w:rsidRPr="00896D4F">
        <w:t>l</w:t>
      </w:r>
      <w:r w:rsidRPr="00896D4F">
        <w:t>följds</w:t>
      </w:r>
      <w:r w:rsidRPr="00896D4F">
        <w:softHyphen/>
        <w:t>hänvisning.</w:t>
      </w:r>
    </w:p>
    <w:p w:rsidR="009C1C5A" w:rsidRPr="00896D4F" w:rsidRDefault="009C1C5A">
      <w:pPr>
        <w:pStyle w:val="Normaltindrag"/>
      </w:pPr>
      <w:r w:rsidRPr="00896D4F">
        <w:t>Jan Lindkvist ifrågasatte vidare om bolaget höll sina handlingar ordnade på ett sådant sätt att allmänheten kunde ta del av dem samt uppgav att bolaget inte förde något register över</w:t>
      </w:r>
      <w:r w:rsidRPr="00896D4F">
        <w:t xml:space="preserve"> sina allmänna handlingar. </w:t>
      </w:r>
    </w:p>
    <w:p w:rsidR="009C1C5A" w:rsidRPr="00896D4F" w:rsidRDefault="009C1C5A">
      <w:pPr>
        <w:pStyle w:val="Normaltindrag"/>
      </w:pPr>
      <w:r w:rsidRPr="00896D4F">
        <w:t>Till anmälan fogades kopior bl.a. av Jan Lindkvists skriftliga begäran om handlings</w:t>
      </w:r>
      <w:r w:rsidRPr="00896D4F">
        <w:softHyphen/>
        <w:t>utläm</w:t>
      </w:r>
      <w:r w:rsidRPr="00896D4F">
        <w:softHyphen/>
        <w:t>nande, daterad den 5 april 2000, och en skrivelse den 6 april 2000 där bolaget besvarade framställningen. I bolagets skrivelse angavs bl.a. att handlingarna inte skulle komma att lämnas ut eftersom de var sekretess</w:t>
      </w:r>
      <w:r w:rsidRPr="00896D4F">
        <w:softHyphen/>
        <w:t xml:space="preserve">belagda. </w:t>
      </w:r>
    </w:p>
    <w:p w:rsidR="009C1C5A" w:rsidRPr="00896D4F" w:rsidRDefault="009C1C5A">
      <w:pPr>
        <w:pStyle w:val="Rubrik3"/>
      </w:pPr>
      <w:r w:rsidRPr="00896D4F">
        <w:t>Utredning</w:t>
      </w:r>
    </w:p>
    <w:p w:rsidR="009C1C5A" w:rsidRPr="00896D4F" w:rsidRDefault="009C1C5A">
      <w:r w:rsidRPr="00896D4F">
        <w:t>Anmälan remitterades till Falkenbergs Terminal AB för utredning och yttra</w:t>
      </w:r>
      <w:r w:rsidRPr="00896D4F">
        <w:t>n</w:t>
      </w:r>
      <w:r w:rsidRPr="00896D4F">
        <w:t>de.</w:t>
      </w:r>
    </w:p>
    <w:p w:rsidR="009C1C5A" w:rsidRPr="00896D4F" w:rsidRDefault="009C1C5A">
      <w:r w:rsidRPr="00896D4F">
        <w:t>I yttrande anförde bolaget följande.</w:t>
      </w:r>
    </w:p>
    <w:p w:rsidR="009C1C5A" w:rsidRPr="00896D4F" w:rsidRDefault="009C1C5A">
      <w:pPr>
        <w:pStyle w:val="Citat"/>
        <w:rPr>
          <w:sz w:val="20"/>
        </w:rPr>
      </w:pPr>
      <w:r w:rsidRPr="00896D4F">
        <w:t>Falkenbergs Terminal AB (FTAB) gör bedömningen att FTAB håller sina allmänna handlingar på ett sådant sätt att allmänheten kan ta del av dem. FTAB har inte en sådan omfattande mängd ärenden och dokument som mot</w:t>
      </w:r>
      <w:r w:rsidRPr="00896D4F">
        <w:t>i</w:t>
      </w:r>
      <w:r w:rsidRPr="00896D4F">
        <w:t>verar ett datoriserat diariesystem. FTAB följer den undantagsregel som 15 kap 1 § sekretesslagstiftningen medger. I den aktuella typen av ärende läggs det alltid upp en akt. All korrespondens och alla avtal som härrör till ärendet läggs in i tidsföljd i denna akt. Respektive handläggare ansvarar för akten. Efter avslutad affär eller projekt arkiveras akten. I det fallet allmänh</w:t>
      </w:r>
      <w:r w:rsidRPr="00896D4F">
        <w:t>e</w:t>
      </w:r>
      <w:r w:rsidRPr="00896D4F">
        <w:t>ten vill ta del av handlingarna görs en sekretessbedömning. Om utfallet vid denna bedömning blir att handlingarna skall sekretessb</w:t>
      </w:r>
      <w:r w:rsidRPr="00896D4F">
        <w:t>eläggas, diarieförs handlingarna, handlingarna hemligstämplas och lämplig sekretessbestämme</w:t>
      </w:r>
      <w:r w:rsidRPr="00896D4F">
        <w:t>l</w:t>
      </w:r>
      <w:r w:rsidRPr="00896D4F">
        <w:t>se anges. Detta skall meddelas vid förfrågan.</w:t>
      </w:r>
    </w:p>
    <w:p w:rsidR="009C1C5A" w:rsidRPr="00896D4F" w:rsidRDefault="009C1C5A">
      <w:pPr>
        <w:pStyle w:val="Citatindrag"/>
        <w:rPr>
          <w:sz w:val="20"/>
        </w:rPr>
      </w:pPr>
      <w:r w:rsidRPr="00896D4F">
        <w:t>I det aktuella fallet har journalisten Jan Lindkvist ringt till flera olika medarbetare och ställt frågor angående FTAB:s sätt att hålla allmänna han</w:t>
      </w:r>
      <w:r w:rsidRPr="00896D4F">
        <w:t>d</w:t>
      </w:r>
      <w:r w:rsidRPr="00896D4F">
        <w:t>lingar samt korrespondens och avtal mellan FTAB och G&amp;A Shipping Serv</w:t>
      </w:r>
      <w:r w:rsidRPr="00896D4F">
        <w:t>i</w:t>
      </w:r>
      <w:r w:rsidRPr="00896D4F">
        <w:t>ces (Holding) AB (G&amp;A SS AB). Lindkvist har fått vårt diariesystem förkl</w:t>
      </w:r>
      <w:r w:rsidRPr="00896D4F">
        <w:t>a</w:t>
      </w:r>
      <w:r w:rsidRPr="00896D4F">
        <w:t>rat för sig och att det är FTAB:s VD Tommy Kärrhage som ansvarar för de</w:t>
      </w:r>
      <w:r w:rsidRPr="00896D4F">
        <w:t>n</w:t>
      </w:r>
      <w:r w:rsidRPr="00896D4F">
        <w:t>na affär. I det fall Jan Lindkvist har presenterat sig som journalist har han blivit hänvisad till FTAB:s VD Tommy Kärrhage eftersom denne svarar för alla mediekontakter från företagsledningens sida.</w:t>
      </w:r>
    </w:p>
    <w:p w:rsidR="009C1C5A" w:rsidRPr="00896D4F" w:rsidRDefault="009C1C5A">
      <w:pPr>
        <w:pStyle w:val="Citatindrag"/>
        <w:rPr>
          <w:sz w:val="20"/>
        </w:rPr>
      </w:pPr>
      <w:r w:rsidRPr="00896D4F">
        <w:t>Jan Lindkvist skriver i sin anmälan att VD Tommy Kärrhage uppgivit att det inte finns några hand</w:t>
      </w:r>
      <w:r w:rsidRPr="00896D4F">
        <w:t>lingar som rör avtalsförbindelser och korrespondens mellan FTAB och G&amp;A SS AB. Detta är felaktigt. Tommy Kärrhage har till Jan Lindkvist per telefon uppgivit att det inte finns några muntliga eller skriftliga avtalsförbindelser mellan FTAB och G&amp;A SS AB därför att det inte existerar några sådana. Tommy Kärrhage har aldrig förnekat att det skulle finnas korrespondens mellan de bägge företagen. Tommy Kärrhage bekräftar dessutom korrespondensens existens muntligen vid telefonsamtal den 5/4 samt genom brev till</w:t>
      </w:r>
      <w:r w:rsidRPr="00896D4F">
        <w:t xml:space="preserve"> Jan Lindkvist daterat 6/5 2000.</w:t>
      </w:r>
    </w:p>
    <w:p w:rsidR="009C1C5A" w:rsidRPr="00896D4F" w:rsidRDefault="009C1C5A">
      <w:pPr>
        <w:pStyle w:val="Citatindrag"/>
        <w:rPr>
          <w:sz w:val="20"/>
        </w:rPr>
      </w:pPr>
      <w:r w:rsidRPr="00896D4F">
        <w:t>Den 5/4 2000 erhöll FTAB en skriftlig begäran från Jan Lindkvist om att ta del av allmänna handlingar upprättade vid FTAB. Samma datum den 5/4 hemligstämplades de handlingar som Jan Lindkvist önskade ta del av, detta meddelades muntligt per telefon.</w:t>
      </w:r>
    </w:p>
    <w:p w:rsidR="009C1C5A" w:rsidRPr="00896D4F" w:rsidRDefault="009C1C5A">
      <w:pPr>
        <w:pStyle w:val="Citatindrag"/>
        <w:rPr>
          <w:sz w:val="20"/>
        </w:rPr>
      </w:pPr>
      <w:r w:rsidRPr="00896D4F">
        <w:t>Den 6/4 2000 meddelades Jan Lindkvist skriftligen att handlingarna he</w:t>
      </w:r>
      <w:r w:rsidRPr="00896D4F">
        <w:t>m</w:t>
      </w:r>
      <w:r w:rsidRPr="00896D4F">
        <w:t>ligstämplats. Tyvärr missade FTAB att hänvisa till vilka paragrafer i sekr</w:t>
      </w:r>
      <w:r w:rsidRPr="00896D4F">
        <w:t>e</w:t>
      </w:r>
      <w:r w:rsidRPr="00896D4F">
        <w:t>tesslagen som ligger till grund för detta beslut, nämligen 6 kap § 1, 2 samt 6 kap § 5, 7. Beträffande besvärshänvisning framgår det av sekretesslagen kap 15 § 7 att det, i detta fall, är Lindkvists sak att överklaga till kammarrä</w:t>
      </w:r>
      <w:r w:rsidRPr="00896D4F">
        <w:t>t</w:t>
      </w:r>
      <w:r w:rsidRPr="00896D4F">
        <w:t>ten.</w:t>
      </w:r>
    </w:p>
    <w:p w:rsidR="009C1C5A" w:rsidRPr="00896D4F" w:rsidRDefault="009C1C5A">
      <w:pPr>
        <w:pStyle w:val="Citatindrag"/>
        <w:rPr>
          <w:sz w:val="20"/>
        </w:rPr>
      </w:pPr>
      <w:r w:rsidRPr="00896D4F">
        <w:t>Vad gäller diarieförteckningen över de hemligstämplade handlingarna kunde inte denna sammanställas under vecka 14 pga tillfällig underbema</w:t>
      </w:r>
      <w:r w:rsidRPr="00896D4F">
        <w:t>n</w:t>
      </w:r>
      <w:r w:rsidRPr="00896D4F">
        <w:t>ning samt VD:s semester. I början av vecka 15 fick FTAB kännedom om att Jan Lindkvist JO-anmält FTAB, och uppfattade då frågan som överspelad eftersom den lyfts till en högre nivå. En uppfattning som verkar ha delats av Jan Lindkvist eftersom denne inte överhuvudtaget fört frågan på tal vid sa</w:t>
      </w:r>
      <w:r w:rsidRPr="00896D4F">
        <w:t>m</w:t>
      </w:r>
      <w:r w:rsidRPr="00896D4F">
        <w:t>tal med Tommy Kärrhage eller vid Jan Lindkvists besök vid FTAB efter vecka 15.</w:t>
      </w:r>
    </w:p>
    <w:p w:rsidR="009C1C5A" w:rsidRPr="00896D4F" w:rsidRDefault="009C1C5A">
      <w:pPr>
        <w:pStyle w:val="Citatindrag"/>
      </w:pPr>
      <w:r w:rsidRPr="00896D4F">
        <w:t>FTAB granskar för närvarande sina rutiner vad gäller diarieföring för att se om något kan förbättras.</w:t>
      </w:r>
    </w:p>
    <w:p w:rsidR="009C1C5A" w:rsidRPr="00896D4F" w:rsidRDefault="009C1C5A">
      <w:r w:rsidRPr="00896D4F">
        <w:t>Jan Lindkvist kommenterade remissyttrandet och framförde ytterligare kl</w:t>
      </w:r>
      <w:r w:rsidRPr="00896D4F">
        <w:t>a</w:t>
      </w:r>
      <w:r w:rsidRPr="00896D4F">
        <w:t>gomål mot bolaget.</w:t>
      </w:r>
    </w:p>
    <w:p w:rsidR="009C1C5A" w:rsidRPr="00896D4F" w:rsidRDefault="009C1C5A">
      <w:r w:rsidRPr="00896D4F">
        <w:t xml:space="preserve">I beslut den 11 oktober 2001 anförde </w:t>
      </w:r>
      <w:r w:rsidRPr="00896D4F">
        <w:rPr>
          <w:i/>
        </w:rPr>
        <w:t>JO Berggren</w:t>
      </w:r>
      <w:r w:rsidRPr="00896D4F">
        <w:t xml:space="preserve"> följande.</w:t>
      </w:r>
    </w:p>
    <w:p w:rsidR="009C1C5A" w:rsidRPr="00896D4F" w:rsidRDefault="009C1C5A">
      <w:pPr>
        <w:pStyle w:val="Rubrik3"/>
      </w:pPr>
      <w:r w:rsidRPr="00896D4F">
        <w:t>Rättslig reglering</w:t>
      </w:r>
    </w:p>
    <w:p w:rsidR="009C1C5A" w:rsidRPr="00896D4F" w:rsidRDefault="009C1C5A">
      <w:r w:rsidRPr="00896D4F">
        <w:t>Grundläggande regler om allmänna handlingars offentlighet finns i 2 kap. tryckfrihetsförordningen (TF). Kapitlet reglerar även primärt frågan om u</w:t>
      </w:r>
      <w:r w:rsidRPr="00896D4F">
        <w:t>t</w:t>
      </w:r>
      <w:r w:rsidRPr="00896D4F">
        <w:t>lämnande av all</w:t>
      </w:r>
      <w:r w:rsidRPr="00896D4F">
        <w:softHyphen/>
        <w:t>männa handlingar. Enligt 1 kap. 9 § första stycket sek</w:t>
      </w:r>
      <w:r w:rsidRPr="00896D4F">
        <w:softHyphen/>
        <w:t>retessla</w:t>
      </w:r>
      <w:r w:rsidRPr="00896D4F">
        <w:softHyphen/>
        <w:t>gen (1980:100) skall vad som föreskrivs i TF om rätt att ta del av handlingar hos myndighet i til</w:t>
      </w:r>
      <w:r w:rsidRPr="00896D4F">
        <w:softHyphen/>
      </w:r>
      <w:r w:rsidRPr="00896D4F">
        <w:t>lämpliga delar också gälla handlingar hos bl.a. aktiebolag där kommuner utövar ett rättsligt bestäm</w:t>
      </w:r>
      <w:r w:rsidRPr="00896D4F">
        <w:softHyphen/>
        <w:t>mande inflytande. Sådana bolag skall vid tillämpningen av sekretesslagen jäm</w:t>
      </w:r>
      <w:r w:rsidRPr="00896D4F">
        <w:softHyphen/>
        <w:t xml:space="preserve">ställas med myndighet. </w:t>
      </w:r>
    </w:p>
    <w:p w:rsidR="009C1C5A" w:rsidRPr="00896D4F" w:rsidRDefault="009C1C5A">
      <w:pPr>
        <w:pStyle w:val="Normaltindrag"/>
      </w:pPr>
      <w:r w:rsidRPr="00896D4F">
        <w:t>Enligt 2 kap. 12 § TF skall en allmän handling som får lämnas ut – som alltså inte omfattas av någon sekre</w:t>
      </w:r>
      <w:r w:rsidRPr="00896D4F">
        <w:softHyphen/>
        <w:t>tessbe</w:t>
      </w:r>
      <w:r w:rsidRPr="00896D4F">
        <w:softHyphen/>
        <w:t>stämmelse – på begäran ”genast eller så snart det är möjligt” på stället utan avgift tillhandahållas den som önskar ta del av handlingen. Av 2 kap. 13 § TF fram</w:t>
      </w:r>
      <w:r w:rsidRPr="00896D4F">
        <w:softHyphen/>
        <w:t>går vidare att den som önskar ta del av en all</w:t>
      </w:r>
      <w:r w:rsidRPr="00896D4F">
        <w:softHyphen/>
        <w:t>män handling även har rätt att mot fastställd avgift få avskrift eller kopia av hand</w:t>
      </w:r>
      <w:r w:rsidRPr="00896D4F">
        <w:softHyphen/>
        <w:t>lingen till den del den får lämnas ut. En sådan begä</w:t>
      </w:r>
      <w:r w:rsidRPr="00896D4F">
        <w:softHyphen/>
        <w:t xml:space="preserve">ran skall behandlas skyndsamt. </w:t>
      </w:r>
    </w:p>
    <w:p w:rsidR="009C1C5A" w:rsidRPr="00896D4F" w:rsidRDefault="009C1C5A">
      <w:pPr>
        <w:pStyle w:val="Normaltindrag"/>
      </w:pPr>
      <w:r w:rsidRPr="00896D4F">
        <w:t>Om en framställning om att få ta del av en handling inte kan tillmötesgås fullt ut, skall den som begär hand</w:t>
      </w:r>
      <w:r w:rsidRPr="00896D4F">
        <w:softHyphen/>
        <w:t>lingen underrättas om detta. Han skall också enligt 15 kap. 6 § andra stycket sekretesslagen un</w:t>
      </w:r>
      <w:r w:rsidRPr="00896D4F">
        <w:softHyphen/>
        <w:t>derrättas om att han kan begära att frågan hänskjuts till myndigheten och att ett formligt beslut av myndighe</w:t>
      </w:r>
      <w:r w:rsidRPr="00896D4F">
        <w:softHyphen/>
        <w:t>ten krävs för att ett avgörande skall kunna överklagas. Mot my</w:t>
      </w:r>
      <w:r w:rsidRPr="00896D4F">
        <w:t>n</w:t>
      </w:r>
      <w:r w:rsidRPr="00896D4F">
        <w:t>dighetens avslagsbeslut får sökanden enligt 15 kap. 7 § sekretess</w:t>
      </w:r>
      <w:r w:rsidRPr="00896D4F">
        <w:softHyphen/>
        <w:t>lagen föra talan, beträffande kommunala bolags beslut hos kammarrätt. Om beslut har meddelats av ett kommunalt bolag tillämpas bestämmelserna i 23–25 §§ och 30 § första meninge</w:t>
      </w:r>
      <w:r w:rsidRPr="00896D4F">
        <w:t xml:space="preserve">n förvaltningslagen (1986:223) om överklagande. </w:t>
      </w:r>
    </w:p>
    <w:p w:rsidR="009C1C5A" w:rsidRPr="00896D4F" w:rsidRDefault="009C1C5A">
      <w:pPr>
        <w:pStyle w:val="Normaltindrag"/>
      </w:pPr>
      <w:r w:rsidRPr="00896D4F">
        <w:t>Enligt 15 kap. 1 § sekretesslagen skall allmänna handlingar som har kom</w:t>
      </w:r>
      <w:r w:rsidRPr="00896D4F">
        <w:softHyphen/>
        <w:t>mit in till eller upprättats hos en myndighet registreras utan dröjsmål. Eme</w:t>
      </w:r>
      <w:r w:rsidRPr="00896D4F">
        <w:t>l</w:t>
      </w:r>
      <w:r w:rsidRPr="00896D4F">
        <w:t>ler</w:t>
      </w:r>
      <w:r w:rsidRPr="00896D4F">
        <w:softHyphen/>
      </w:r>
      <w:r w:rsidRPr="00896D4F">
        <w:softHyphen/>
        <w:t>tid får, i fråga om allmänna handlingar för vilka sekretess inte gäller, reg</w:t>
      </w:r>
      <w:r w:rsidRPr="00896D4F">
        <w:t>i</w:t>
      </w:r>
      <w:r w:rsidRPr="00896D4F">
        <w:t>strering underlåtas om handlingarna i stället hålls så ordnade att det utan sv</w:t>
      </w:r>
      <w:r w:rsidRPr="00896D4F">
        <w:t>å</w:t>
      </w:r>
      <w:r w:rsidRPr="00896D4F">
        <w:t>righet kan fastställas om en handling har kommit in eller upprättats. En ovil</w:t>
      </w:r>
      <w:r w:rsidRPr="00896D4F">
        <w:t>l</w:t>
      </w:r>
      <w:r w:rsidRPr="00896D4F">
        <w:t>korlig registre</w:t>
      </w:r>
      <w:r w:rsidRPr="00896D4F">
        <w:softHyphen/>
        <w:t>rings</w:t>
      </w:r>
      <w:r w:rsidRPr="00896D4F">
        <w:softHyphen/>
        <w:t>skyldighet omfattar således bara handlingar för vilka se</w:t>
      </w:r>
      <w:r w:rsidRPr="00896D4F">
        <w:t>k</w:t>
      </w:r>
      <w:r w:rsidRPr="00896D4F">
        <w:t>retess gäller. När det gäller andra hand</w:t>
      </w:r>
      <w:r w:rsidRPr="00896D4F">
        <w:softHyphen/>
        <w:t>lingar har myndigheten att själv avgöra om registrering skall ske eller det</w:t>
      </w:r>
      <w:r w:rsidRPr="00896D4F">
        <w:t xml:space="preserve"> alterna</w:t>
      </w:r>
      <w:r w:rsidRPr="00896D4F">
        <w:softHyphen/>
        <w:t>tiva tillvägagångssättet skall väljas. Det förutsätts att, sedan myn</w:t>
      </w:r>
      <w:r w:rsidRPr="00896D4F">
        <w:softHyphen/>
        <w:t>dig</w:t>
      </w:r>
      <w:r w:rsidRPr="00896D4F">
        <w:softHyphen/>
        <w:t>heten i fråga om handlingar av ett visst slag bestämt sig för ettdera sättet, detta i praktiken tillämpas konsekvent.</w:t>
      </w:r>
    </w:p>
    <w:p w:rsidR="009C1C5A" w:rsidRPr="00896D4F" w:rsidRDefault="009C1C5A">
      <w:pPr>
        <w:pStyle w:val="Normaltindrag"/>
      </w:pPr>
      <w:r w:rsidRPr="00896D4F">
        <w:t>Enligt 15 kap. 2 § sekretesslagen skall, beträffande handling som registr</w:t>
      </w:r>
      <w:r w:rsidRPr="00896D4F">
        <w:t>e</w:t>
      </w:r>
      <w:r w:rsidRPr="00896D4F">
        <w:t>ras enligt 1 §, av registret framgå datum då handlingen kom in eller upprätt</w:t>
      </w:r>
      <w:r w:rsidRPr="00896D4F">
        <w:t>a</w:t>
      </w:r>
      <w:r w:rsidRPr="00896D4F">
        <w:t>des, diarienummer eller annan beteckning som har åsatts handlingen, i för</w:t>
      </w:r>
      <w:r w:rsidRPr="00896D4F">
        <w:t>e</w:t>
      </w:r>
      <w:r w:rsidRPr="00896D4F">
        <w:t>kommande fall från vem handlingen har kommit in eller till vem den har expedi</w:t>
      </w:r>
      <w:r w:rsidRPr="00896D4F">
        <w:t>e</w:t>
      </w:r>
      <w:r w:rsidRPr="00896D4F">
        <w:t xml:space="preserve">rats samt i korthet vad handlingen rör. </w:t>
      </w:r>
    </w:p>
    <w:p w:rsidR="009C1C5A" w:rsidRPr="00896D4F" w:rsidRDefault="009C1C5A">
      <w:pPr>
        <w:pStyle w:val="Rubrik3"/>
      </w:pPr>
      <w:r w:rsidRPr="00896D4F">
        <w:t>Bedömning</w:t>
      </w:r>
    </w:p>
    <w:p w:rsidR="009C1C5A" w:rsidRPr="00896D4F" w:rsidRDefault="009C1C5A">
      <w:r w:rsidRPr="00896D4F">
        <w:t>Jan Lindkvist och bolaget har redovisat olika uppfattningar om vad som för</w:t>
      </w:r>
      <w:r w:rsidRPr="00896D4F">
        <w:t>e</w:t>
      </w:r>
      <w:r w:rsidRPr="00896D4F">
        <w:t xml:space="preserve">kom vid Jan Lindkvists muntliga begäran om utlämnande av handlingar. Det är inte sannolikt att ytterligare utredning skulle kunna bringa klarhet i saken och jag går därför inte vidare i denna del.    </w:t>
      </w:r>
    </w:p>
    <w:p w:rsidR="009C1C5A" w:rsidRPr="00896D4F" w:rsidRDefault="009C1C5A">
      <w:pPr>
        <w:pStyle w:val="Normaltindrag"/>
      </w:pPr>
      <w:r w:rsidRPr="00896D4F">
        <w:t>I det föregående har jag redogjort för vilka av förvaltningslagens bestä</w:t>
      </w:r>
      <w:r w:rsidRPr="00896D4F">
        <w:t>m</w:t>
      </w:r>
      <w:r w:rsidRPr="00896D4F">
        <w:t>melser om ärendehandläggning som har gjorts tillämpliga beträffande ko</w:t>
      </w:r>
      <w:r w:rsidRPr="00896D4F">
        <w:t>m</w:t>
      </w:r>
      <w:r w:rsidRPr="00896D4F">
        <w:t>munala bolags handläggning av ärenden om handlingsutlämnande. Av red</w:t>
      </w:r>
      <w:r w:rsidRPr="00896D4F">
        <w:t>o</w:t>
      </w:r>
      <w:r w:rsidRPr="00896D4F">
        <w:t>görelsen följer att det för de kommu</w:t>
      </w:r>
      <w:r w:rsidRPr="00896D4F">
        <w:softHyphen/>
        <w:t>nala bolagen inte finns någon förfat</w:t>
      </w:r>
      <w:r w:rsidRPr="00896D4F">
        <w:t>t</w:t>
      </w:r>
      <w:r w:rsidRPr="00896D4F">
        <w:t>ningsbestämd skyldighet att lämna fullföljds</w:t>
      </w:r>
      <w:r w:rsidRPr="00896D4F">
        <w:softHyphen/>
        <w:t>hänvis</w:t>
      </w:r>
      <w:r w:rsidRPr="00896D4F">
        <w:softHyphen/>
        <w:t xml:space="preserve">ning till ett beslut att avslå en begäran om </w:t>
      </w:r>
      <w:r w:rsidRPr="00896D4F">
        <w:softHyphen/>
        <w:t>utläm</w:t>
      </w:r>
      <w:r w:rsidRPr="00896D4F">
        <w:softHyphen/>
        <w:t>nande av en allmän handling (jfr 21 § andra stycket förvaltningslagen). Jag kan därför inte kritisera bola</w:t>
      </w:r>
      <w:r w:rsidRPr="00896D4F">
        <w:softHyphen/>
        <w:t>get för att det inte lämn</w:t>
      </w:r>
      <w:r w:rsidRPr="00896D4F">
        <w:t>a</w:t>
      </w:r>
      <w:r w:rsidRPr="00896D4F">
        <w:t xml:space="preserve">de någon sådan hänvisning i anslutning till sitt skriftliga </w:t>
      </w:r>
      <w:r w:rsidRPr="00896D4F">
        <w:t>besked den 6 april 2000 till Jan Lindkvist. Det skedda ger mig emellertid anledning anmärka att kommunala bolag ändå lämpligen bör lämna en sådan hän</w:t>
      </w:r>
      <w:r w:rsidRPr="00896D4F">
        <w:softHyphen/>
        <w:t>visning. En sådan ordning ligger i linje med en av utgångspunkterna för lagstift</w:t>
      </w:r>
      <w:r w:rsidRPr="00896D4F">
        <w:softHyphen/>
        <w:t>ningen på omr</w:t>
      </w:r>
      <w:r w:rsidRPr="00896D4F">
        <w:t>å</w:t>
      </w:r>
      <w:r w:rsidRPr="00896D4F">
        <w:t>det, nämligen att det ligger nära till hands att enskilda organ som har offent</w:t>
      </w:r>
      <w:r w:rsidRPr="00896D4F">
        <w:softHyphen/>
        <w:t>liga förvaltningsuppgifter analogt tillämpar förvaltningslagens bestäm</w:t>
      </w:r>
      <w:r w:rsidRPr="00896D4F">
        <w:softHyphen/>
        <w:t xml:space="preserve">melser (se prop. 1988/89:66 s. 15). </w:t>
      </w:r>
    </w:p>
    <w:p w:rsidR="009C1C5A" w:rsidRPr="00896D4F" w:rsidRDefault="009C1C5A">
      <w:pPr>
        <w:pStyle w:val="Normaltindrag"/>
      </w:pPr>
      <w:r w:rsidRPr="00896D4F">
        <w:t>Tilläggas kan att det av bolagets skrivelse den 6 april 2000 till Jan Lin</w:t>
      </w:r>
      <w:r w:rsidRPr="00896D4F">
        <w:t>d</w:t>
      </w:r>
      <w:r w:rsidRPr="00896D4F">
        <w:t>kvist uttryckligen borde ha framgått att skrivelsen utgjorde bolagets beslut i utlä</w:t>
      </w:r>
      <w:r w:rsidRPr="00896D4F">
        <w:t>m</w:t>
      </w:r>
      <w:r w:rsidRPr="00896D4F">
        <w:t>nande</w:t>
      </w:r>
      <w:r w:rsidRPr="00896D4F">
        <w:softHyphen/>
        <w:t xml:space="preserve">frågan. </w:t>
      </w:r>
    </w:p>
    <w:p w:rsidR="009C1C5A" w:rsidRPr="00896D4F" w:rsidRDefault="009C1C5A">
      <w:pPr>
        <w:pStyle w:val="Normaltindrag"/>
      </w:pPr>
      <w:r w:rsidRPr="00896D4F">
        <w:t>Bolaget har i remissyttrandet beskrivit sina rutiner i fråga om registrering av allmänna handlingar. Av yttrandet framgår bl.a. att bolaget, när en han</w:t>
      </w:r>
      <w:r w:rsidRPr="00896D4F">
        <w:t>d</w:t>
      </w:r>
      <w:r w:rsidRPr="00896D4F">
        <w:t>ling kommer in eller upprättas, lägger den till akten i ärendet och att diarief</w:t>
      </w:r>
      <w:r w:rsidRPr="00896D4F">
        <w:t>ö</w:t>
      </w:r>
      <w:r w:rsidRPr="00896D4F">
        <w:t>ring av en hand</w:t>
      </w:r>
      <w:r w:rsidRPr="00896D4F">
        <w:softHyphen/>
        <w:t xml:space="preserve">ling som innehåller uppgifter som omfattas av sekretess sker först i samband med att handlingen har begärts utlämnad. </w:t>
      </w:r>
    </w:p>
    <w:p w:rsidR="009C1C5A" w:rsidRPr="00896D4F" w:rsidRDefault="009C1C5A">
      <w:pPr>
        <w:pStyle w:val="Normaltindrag"/>
      </w:pPr>
      <w:r w:rsidRPr="00896D4F">
        <w:t>Såsom jag har redogjort för tidigare gäller den ovillkorliga skyldigheten att registrera allmänna handlingar endast handlingar som omfattas av sekretess. Sådana hand</w:t>
      </w:r>
      <w:r w:rsidRPr="00896D4F">
        <w:softHyphen/>
        <w:t>lingar skall registreras utan dröjsmål. Registrering skall sålunda ske så snart det är praktiskt möjligt, normalt samma dag som – eller senast dagen efter – handlingen kom in eller upprättades. Bolagets rutiner, att diari</w:t>
      </w:r>
      <w:r w:rsidRPr="00896D4F">
        <w:t>e</w:t>
      </w:r>
      <w:r w:rsidRPr="00896D4F">
        <w:t>föra handling</w:t>
      </w:r>
      <w:r w:rsidRPr="00896D4F">
        <w:softHyphen/>
        <w:t>ar först i samband med att de begärs utlämnade och då bedöms omfattas av sekre</w:t>
      </w:r>
      <w:r w:rsidRPr="00896D4F">
        <w:softHyphen/>
        <w:t>tess, står således i strid med bestämmelserna i sekretessl</w:t>
      </w:r>
      <w:r w:rsidRPr="00896D4F">
        <w:t>a</w:t>
      </w:r>
      <w:r w:rsidRPr="00896D4F">
        <w:t xml:space="preserve">gen och kan leda till att handlingar registreras alltför sent eller att de över huvud taget inte registreras. </w:t>
      </w:r>
    </w:p>
    <w:p w:rsidR="009C1C5A" w:rsidRPr="00896D4F" w:rsidRDefault="009C1C5A">
      <w:pPr>
        <w:pStyle w:val="Normaltindrag"/>
      </w:pPr>
      <w:r w:rsidRPr="00896D4F">
        <w:t>Bolaget har i remissyttran</w:t>
      </w:r>
      <w:r w:rsidRPr="00896D4F">
        <w:t>det anfört att man ser över sina rutiner för diari</w:t>
      </w:r>
      <w:r w:rsidRPr="00896D4F">
        <w:t>e</w:t>
      </w:r>
      <w:r w:rsidRPr="00896D4F">
        <w:t>f</w:t>
      </w:r>
      <w:r w:rsidRPr="00896D4F">
        <w:t>ö</w:t>
      </w:r>
      <w:r w:rsidRPr="00896D4F">
        <w:t xml:space="preserve">ring. Jag förutsätter att bolaget i detta arbete följer vad jag har uttalat.  </w:t>
      </w:r>
    </w:p>
    <w:p w:rsidR="009C1C5A" w:rsidRPr="00896D4F" w:rsidRDefault="009C1C5A">
      <w:pPr>
        <w:pStyle w:val="Normaltindrag"/>
      </w:pPr>
      <w:r w:rsidRPr="00896D4F">
        <w:t xml:space="preserve">Av utredningen framgår vidare att bolaget inte lämnade den efterfrågade diarieförteckningen till Jan Lindkvist. Bolaget har anfört att man uppfattade frågan som överspelad då han hade gjort en anmälan till JO. Att Jan Lindkvist gjort en JO-anmälan har emellertid helt saknat betydelse i fråga om bolagets skyldighet att handlägga Jan Lindkvists begäran.  </w:t>
      </w:r>
    </w:p>
    <w:p w:rsidR="009C1C5A" w:rsidRPr="00896D4F" w:rsidRDefault="009C1C5A">
      <w:pPr>
        <w:pStyle w:val="Normaltindrag"/>
      </w:pPr>
      <w:r w:rsidRPr="00896D4F">
        <w:t>Vad som har kommit fram i övrigt föranleder inte någon åtgärd eller något uttalande av mig.</w:t>
      </w:r>
    </w:p>
    <w:p w:rsidR="009C1C5A" w:rsidRPr="00896D4F" w:rsidRDefault="009C1C5A">
      <w:r w:rsidRPr="00896D4F">
        <w:t>Med den allvarliga kritik som ligger i det ovan sagda avslutar jag ärendet.</w:t>
      </w:r>
    </w:p>
    <w:p w:rsidR="009C1C5A" w:rsidRPr="00896D4F" w:rsidRDefault="009C1C5A">
      <w:pPr>
        <w:pStyle w:val="Rubrik2"/>
      </w:pPr>
      <w:r w:rsidRPr="00896D4F">
        <w:t>Rutiner för hantering av postförsändelser till en kommun som adresserats till en a</w:t>
      </w:r>
      <w:r w:rsidRPr="00896D4F">
        <w:t>n</w:t>
      </w:r>
      <w:r w:rsidRPr="00896D4F">
        <w:t>ställd personligen</w:t>
      </w:r>
    </w:p>
    <w:p w:rsidR="009C1C5A" w:rsidRPr="00896D4F" w:rsidRDefault="009C1C5A">
      <w:pPr>
        <w:spacing w:before="0"/>
      </w:pPr>
      <w:r w:rsidRPr="00896D4F">
        <w:t>(Dnr 2022-2000)</w:t>
      </w:r>
    </w:p>
    <w:p w:rsidR="009C1C5A" w:rsidRPr="00896D4F" w:rsidRDefault="009C1C5A">
      <w:pPr>
        <w:pStyle w:val="Rubrik3"/>
      </w:pPr>
      <w:r w:rsidRPr="00896D4F">
        <w:t>Anmälan</w:t>
      </w:r>
    </w:p>
    <w:p w:rsidR="009C1C5A" w:rsidRPr="00896D4F" w:rsidRDefault="009C1C5A">
      <w:r w:rsidRPr="00896D4F">
        <w:t>I en anmälan mot Västerås kommun anförde Anna-Lena Allgårdh bl.a. fö</w:t>
      </w:r>
      <w:r w:rsidRPr="00896D4F">
        <w:t>l</w:t>
      </w:r>
      <w:r w:rsidRPr="00896D4F">
        <w:t>jande. Hon är anställd av kommunen och är fackligt ombud på sin arbetsplats. På arbetsplatsen öppnar arbetsgivaren all post, även om hennes namn står först i adressen. Det har stört henne eftersom post av facklig och även av helt privat art sänds till henne. Kommunen har utfärdat regler för posthanteringen på arbetsplatserna. Där kan man läsa att registrator eller chef har rätt att öppna all post. Hon undrar om kommunens handlande överensstämmer med de lagar och regler som gäller på omr</w:t>
      </w:r>
      <w:r w:rsidRPr="00896D4F">
        <w:t>å</w:t>
      </w:r>
      <w:r w:rsidRPr="00896D4F">
        <w:t>det.</w:t>
      </w:r>
    </w:p>
    <w:p w:rsidR="009C1C5A" w:rsidRPr="00896D4F" w:rsidRDefault="009C1C5A">
      <w:pPr>
        <w:pStyle w:val="Normaltindrag"/>
      </w:pPr>
      <w:r w:rsidRPr="00896D4F">
        <w:t>Till anmälan h</w:t>
      </w:r>
      <w:r w:rsidRPr="00896D4F">
        <w:t>ar fogats en kopia av ett informationsblad med rubriken I</w:t>
      </w:r>
      <w:r w:rsidRPr="00896D4F">
        <w:t>n</w:t>
      </w:r>
      <w:r w:rsidRPr="00896D4F">
        <w:t>formation om offentlighetsprincipens tillämpning inom proAros. I första stycket på an</w:t>
      </w:r>
      <w:r w:rsidRPr="00896D4F">
        <w:t>d</w:t>
      </w:r>
      <w:r w:rsidRPr="00896D4F">
        <w:t>ra sidan står följande antecknat.</w:t>
      </w:r>
    </w:p>
    <w:p w:rsidR="009C1C5A" w:rsidRPr="00896D4F" w:rsidRDefault="009C1C5A">
      <w:pPr>
        <w:pStyle w:val="Citat"/>
      </w:pPr>
      <w:r w:rsidRPr="00896D4F">
        <w:t>Handlingar som kommit in eller upprättats skall omedelbart registreras. St</w:t>
      </w:r>
      <w:r w:rsidRPr="00896D4F">
        <w:t>y</w:t>
      </w:r>
      <w:r w:rsidRPr="00896D4F">
        <w:t>relsen för proAros har beslutat att post till proAros ska hanteras på område</w:t>
      </w:r>
      <w:r w:rsidRPr="00896D4F">
        <w:t>s</w:t>
      </w:r>
      <w:r w:rsidRPr="00896D4F">
        <w:t xml:space="preserve">kontoren. Det är alltså där man då måste avgöra vad som är allmän handling. För att kunna avgöra om det rör sig om en allmän handling har registrator eller områdeschef rätt att öppna brev – ingen annan. </w:t>
      </w:r>
    </w:p>
    <w:p w:rsidR="009C1C5A" w:rsidRPr="00896D4F" w:rsidRDefault="009C1C5A">
      <w:pPr>
        <w:pStyle w:val="Rubrik3"/>
      </w:pPr>
      <w:r w:rsidRPr="00896D4F">
        <w:t>Utredning</w:t>
      </w:r>
    </w:p>
    <w:p w:rsidR="009C1C5A" w:rsidRPr="00896D4F" w:rsidRDefault="009C1C5A">
      <w:r w:rsidRPr="00896D4F">
        <w:t>Efter remiss till Kommunstyrelsen i Västerås kommun anförde styrelsen bl.a. fö</w:t>
      </w:r>
      <w:r w:rsidRPr="00896D4F">
        <w:t>l</w:t>
      </w:r>
      <w:r w:rsidRPr="00896D4F">
        <w:t>jande.</w:t>
      </w:r>
    </w:p>
    <w:p w:rsidR="009C1C5A" w:rsidRPr="00896D4F" w:rsidRDefault="009C1C5A">
      <w:pPr>
        <w:pStyle w:val="Citat"/>
      </w:pPr>
      <w:r w:rsidRPr="00896D4F">
        <w:t>Anna-Lena Allgårdh är anställd vid en gymnasieskola inom Västerås stads utförarorganisation, proAros, som är en egen myndighet.</w:t>
      </w:r>
    </w:p>
    <w:p w:rsidR="009C1C5A" w:rsidRPr="00896D4F" w:rsidRDefault="009C1C5A">
      <w:pPr>
        <w:pStyle w:val="Citatindrag"/>
      </w:pPr>
      <w:r w:rsidRPr="00896D4F">
        <w:t>ProAros är den största enskilda förvaltningen inom Västerås stad, med ci</w:t>
      </w:r>
      <w:r w:rsidRPr="00896D4F">
        <w:t>r</w:t>
      </w:r>
      <w:r w:rsidRPr="00896D4F">
        <w:t>ka 9 000 medarbetare verksamma inom bl.a. omsorg, skola och individ och familj. Organisatoriskt består proAros av 11 områden, som antingen betjänar vissa stadsdelar eller hela staden, beroende på typ av verksa</w:t>
      </w:r>
      <w:r w:rsidRPr="00896D4F">
        <w:t>m</w:t>
      </w:r>
      <w:r w:rsidRPr="00896D4F">
        <w:t>het.</w:t>
      </w:r>
    </w:p>
    <w:p w:rsidR="009C1C5A" w:rsidRPr="00896D4F" w:rsidRDefault="009C1C5A">
      <w:pPr>
        <w:pStyle w:val="Citatindrag"/>
      </w:pPr>
      <w:r w:rsidRPr="00896D4F">
        <w:t>Områdena är i sin tur indelade i cirka 135 enheter. En enhet kan bestå av flera olika verksamheter, t.ex. skola, förskola och fritidshem.</w:t>
      </w:r>
    </w:p>
    <w:p w:rsidR="009C1C5A" w:rsidRPr="00896D4F" w:rsidRDefault="009C1C5A">
      <w:pPr>
        <w:pStyle w:val="Citatindrag"/>
      </w:pPr>
      <w:r w:rsidRPr="00896D4F">
        <w:t>Registreringen av handlingar och posthanteringen finns på 17 olika platser; proAros ledningskontor, områdeskontoren samt på vissa av de större enhete</w:t>
      </w:r>
      <w:r w:rsidRPr="00896D4F">
        <w:t>r</w:t>
      </w:r>
      <w:r w:rsidRPr="00896D4F">
        <w:t>na (gymnasieskolorna).</w:t>
      </w:r>
    </w:p>
    <w:p w:rsidR="009C1C5A" w:rsidRPr="00896D4F" w:rsidRDefault="009C1C5A">
      <w:pPr>
        <w:pStyle w:val="Citatindrag"/>
      </w:pPr>
      <w:r w:rsidRPr="00896D4F">
        <w:t>Denna organisation har proAros ansett som lämplig av flera skäl, bl.a. b</w:t>
      </w:r>
      <w:r w:rsidRPr="00896D4F">
        <w:t>e</w:t>
      </w:r>
      <w:r w:rsidRPr="00896D4F">
        <w:t>roende på att det både är ekonomiskt försvarbart och kompetensmässigt mö</w:t>
      </w:r>
      <w:r w:rsidRPr="00896D4F">
        <w:t>j</w:t>
      </w:r>
      <w:r w:rsidRPr="00896D4F">
        <w:t>ligt att ha speciell registratorspersonal på r</w:t>
      </w:r>
      <w:r w:rsidRPr="00896D4F">
        <w:t>e</w:t>
      </w:r>
      <w:r w:rsidRPr="00896D4F">
        <w:t>spektive plats.</w:t>
      </w:r>
    </w:p>
    <w:p w:rsidR="009C1C5A" w:rsidRPr="00896D4F" w:rsidRDefault="009C1C5A">
      <w:pPr>
        <w:pStyle w:val="Citatindrag"/>
      </w:pPr>
      <w:r w:rsidRPr="00896D4F">
        <w:t>Registratorerna samarbetar i ett nätverk som leds av registratorn på le</w:t>
      </w:r>
      <w:r w:rsidRPr="00896D4F">
        <w:t>d</w:t>
      </w:r>
      <w:r w:rsidRPr="00896D4F">
        <w:t>ningskontoret.</w:t>
      </w:r>
    </w:p>
    <w:p w:rsidR="009C1C5A" w:rsidRPr="00896D4F" w:rsidRDefault="009C1C5A">
      <w:pPr>
        <w:pStyle w:val="Citatindrag"/>
      </w:pPr>
      <w:r w:rsidRPr="00896D4F">
        <w:t>På nätverksträffarna diskuteras bl.a. tillämpningen av offentlighetsprinc</w:t>
      </w:r>
      <w:r w:rsidRPr="00896D4F">
        <w:t>i</w:t>
      </w:r>
      <w:r w:rsidRPr="00896D4F">
        <w:t>pen. De senaste två åren har framför allt e-postfrågorna varit särskilt aktuella. Kommunstyrelsen har tagit fram regler och riktlinjer för e-posthanteringen. ProAros har därefter spridit information om offentlighetsprincipens tilläm</w:t>
      </w:r>
      <w:r w:rsidRPr="00896D4F">
        <w:t>p</w:t>
      </w:r>
      <w:r w:rsidRPr="00896D4F">
        <w:t>ning inom proAros och tagit fram särskilda e-post riktlinjer för proAros.</w:t>
      </w:r>
    </w:p>
    <w:p w:rsidR="009C1C5A" w:rsidRPr="00896D4F" w:rsidRDefault="009C1C5A">
      <w:pPr>
        <w:pStyle w:val="Citatindrag"/>
      </w:pPr>
      <w:r w:rsidRPr="00896D4F">
        <w:t>Med tanke på proAros starkt decentraliserade organisation, där medarb</w:t>
      </w:r>
      <w:r w:rsidRPr="00896D4F">
        <w:t>e</w:t>
      </w:r>
      <w:r w:rsidRPr="00896D4F">
        <w:t>tarna finns på cirka 300 adresser, och på posthanteringens och registraturens uppbyggnad, har proAros beslutat att inkomna handlingar öppnas av reg</w:t>
      </w:r>
      <w:r w:rsidRPr="00896D4F">
        <w:t>i</w:t>
      </w:r>
      <w:r w:rsidRPr="00896D4F">
        <w:t>strator.</w:t>
      </w:r>
    </w:p>
    <w:p w:rsidR="009C1C5A" w:rsidRPr="00896D4F" w:rsidRDefault="009C1C5A">
      <w:pPr>
        <w:pStyle w:val="Citatindrag"/>
      </w:pPr>
      <w:r w:rsidRPr="00896D4F">
        <w:t>ProAros betonar starkt öppenhetens och offentlighetsprincipens vikt, bland annat i sin interna information till medarbetarna. På grund av ledigheter och att postgång till vissa enheter endast sker ett fåtal gånger i veckan skulle det annars finnas en uppenbar risk att registrering av allmänna handlingar inte gjordes med den skyndsamhet som är önskvärd.</w:t>
      </w:r>
      <w:r w:rsidRPr="00896D4F">
        <w:t xml:space="preserve"> Inom t.ex. individ- och f</w:t>
      </w:r>
      <w:r w:rsidRPr="00896D4F">
        <w:t>a</w:t>
      </w:r>
      <w:r w:rsidRPr="00896D4F">
        <w:t>miljeverksamheten har anmälningar tidigare blivit liggande oöppnade p.g.a. att man uppfattat adresseringen såsom i</w:t>
      </w:r>
      <w:r w:rsidRPr="00896D4F">
        <w:t>n</w:t>
      </w:r>
      <w:r w:rsidRPr="00896D4F">
        <w:t>nehållande privat post.</w:t>
      </w:r>
    </w:p>
    <w:p w:rsidR="009C1C5A" w:rsidRPr="00896D4F" w:rsidRDefault="009C1C5A">
      <w:pPr>
        <w:pStyle w:val="Citatindrag"/>
      </w:pPr>
      <w:r w:rsidRPr="00896D4F">
        <w:t>De rekommendationer som givits för privatadresserad post är att registrator helst bör få ett skriftligt samtycke i form av fullmakt från medarbetarna. Detta är emellertid inget absolut krav.</w:t>
      </w:r>
    </w:p>
    <w:p w:rsidR="009C1C5A" w:rsidRPr="00896D4F" w:rsidRDefault="009C1C5A">
      <w:pPr>
        <w:pStyle w:val="Citatindrag"/>
      </w:pPr>
      <w:r w:rsidRPr="00896D4F">
        <w:t>I fullmakten betonas att grundtanken är att post som kommer till en arbet</w:t>
      </w:r>
      <w:r w:rsidRPr="00896D4F">
        <w:t>s</w:t>
      </w:r>
      <w:r w:rsidRPr="00896D4F">
        <w:t>plats inte är privat men att det å andra sidan inte är tillåtet att uppsåtligen öppna post som innehåller rent privata medd</w:t>
      </w:r>
      <w:r w:rsidRPr="00896D4F">
        <w:t>e</w:t>
      </w:r>
      <w:r w:rsidRPr="00896D4F">
        <w:t>landen.</w:t>
      </w:r>
    </w:p>
    <w:p w:rsidR="009C1C5A" w:rsidRPr="00896D4F" w:rsidRDefault="009C1C5A">
      <w:pPr>
        <w:pStyle w:val="Citatindrag"/>
      </w:pPr>
      <w:r w:rsidRPr="00896D4F">
        <w:t>På den nu aktuella gymnasieskolan har registratorn inte krävt fullmakter från personalen utan istället gett muntlig information.</w:t>
      </w:r>
    </w:p>
    <w:p w:rsidR="009C1C5A" w:rsidRPr="00896D4F" w:rsidRDefault="009C1C5A">
      <w:pPr>
        <w:pStyle w:val="Citatindrag"/>
      </w:pPr>
      <w:r w:rsidRPr="00896D4F">
        <w:t>Finns ingen fullmakt försöker registrator i görligaste mån hantera det så praktiskt som möjligt och med gott omdöme. I en del fall kan det innebära att registrator öppnar privatadresserad post tillsammans med vederbörande medarbetare och låter denne omedelbart göra bedömningen om det är en allmän handling eller ej. Naturligtvis inträffar det enstaka gånger att privat post som av registrator uppfattas som tjänstepost av misstag öppnas. För att undvika detta uppmanar man sina medarbetare att se till att de f</w:t>
      </w:r>
      <w:r w:rsidRPr="00896D4F">
        <w:t xml:space="preserve">år privat post skickad till sina bostadsadresser. </w:t>
      </w:r>
    </w:p>
    <w:p w:rsidR="009C1C5A" w:rsidRPr="00896D4F" w:rsidRDefault="009C1C5A">
      <w:pPr>
        <w:pStyle w:val="Citatindrag"/>
      </w:pPr>
      <w:r w:rsidRPr="00896D4F">
        <w:t>Det är självfallet önskvärt med ett klargörande från JO med rekommend</w:t>
      </w:r>
      <w:r w:rsidRPr="00896D4F">
        <w:t>a</w:t>
      </w:r>
      <w:r w:rsidRPr="00896D4F">
        <w:t>tioner om vilka administrativa rutiner som är nödvändiga för att undvika att misstag begås.</w:t>
      </w:r>
    </w:p>
    <w:p w:rsidR="009C1C5A" w:rsidRPr="00896D4F" w:rsidRDefault="009C1C5A">
      <w:r w:rsidRPr="00896D4F">
        <w:t>Anna-Lena Allgårdh kommenterade remissvaret och kompletterade anmälan med ett brev den 7 mars 2001 från registratorn på hennes arbetsplats. Brevet har fö</w:t>
      </w:r>
      <w:r w:rsidRPr="00896D4F">
        <w:t>l</w:t>
      </w:r>
      <w:r w:rsidRPr="00896D4F">
        <w:t>jande lydelse.</w:t>
      </w:r>
    </w:p>
    <w:p w:rsidR="009C1C5A" w:rsidRPr="00896D4F" w:rsidRDefault="009C1C5A">
      <w:r w:rsidRPr="00896D4F">
        <w:t>– – –</w:t>
      </w:r>
    </w:p>
    <w:p w:rsidR="009C1C5A" w:rsidRPr="00896D4F" w:rsidRDefault="009C1C5A">
      <w:pPr>
        <w:pStyle w:val="Rubrik3"/>
      </w:pPr>
      <w:r w:rsidRPr="00896D4F">
        <w:t>Angående fullmakt för öppning av post som är adresserad till dig</w:t>
      </w:r>
    </w:p>
    <w:p w:rsidR="009C1C5A" w:rsidRPr="00896D4F" w:rsidRDefault="009C1C5A">
      <w:pPr>
        <w:pStyle w:val="Citat"/>
      </w:pPr>
      <w:r w:rsidRPr="00896D4F">
        <w:t>Då du inte har lämnat fullmakt till mig för öppning av post förutsätter jag att du varje dag kommer till mig för att själv öppna ev. post.</w:t>
      </w:r>
    </w:p>
    <w:p w:rsidR="009C1C5A" w:rsidRPr="00896D4F" w:rsidRDefault="009C1C5A">
      <w:r w:rsidRPr="00896D4F">
        <w:t xml:space="preserve">– – –  </w:t>
      </w:r>
    </w:p>
    <w:p w:rsidR="009C1C5A" w:rsidRPr="00896D4F" w:rsidRDefault="009C1C5A">
      <w:r w:rsidRPr="00896D4F">
        <w:t xml:space="preserve">I beslut den 16 november 2001 anförde </w:t>
      </w:r>
      <w:r w:rsidRPr="00896D4F">
        <w:rPr>
          <w:i/>
        </w:rPr>
        <w:t>JO Berggren</w:t>
      </w:r>
      <w:r w:rsidRPr="00896D4F">
        <w:t xml:space="preserve"> följande.</w:t>
      </w:r>
    </w:p>
    <w:p w:rsidR="009C1C5A" w:rsidRPr="00896D4F" w:rsidRDefault="009C1C5A">
      <w:r w:rsidRPr="00896D4F">
        <w:t>Mot bakgrund av bestämmelserna i tryckfrihetsförordningen och sekretessl</w:t>
      </w:r>
      <w:r w:rsidRPr="00896D4F">
        <w:t>a</w:t>
      </w:r>
      <w:r w:rsidRPr="00896D4F">
        <w:t xml:space="preserve">gen om allmänna handlingars offentlighet och om registrering av sådana handlingar är det angeläget att handlingar som kommer in till en myndighet så snart som möjligt blir omhändertagna. En försändelse som är adresserad till en tjänsteman får således inte bli liggande oöppnad om tjänstemannen av någon anledning inte är närvarande. Jag noterar att kommunen eftersträvar en snabb registrering av allmänna handlingar. Å andra sidan får man inte bortse från möjligheten att försändelsen inte rör tjänsten utan en </w:t>
      </w:r>
      <w:r w:rsidRPr="00896D4F">
        <w:t>mottagares rent privata angelägenheter. Brytandet av försändelsen kan därför komma i ko</w:t>
      </w:r>
      <w:r w:rsidRPr="00896D4F">
        <w:t>n</w:t>
      </w:r>
      <w:r w:rsidRPr="00896D4F">
        <w:t>flikt med intresset att slå vakt om privatlivets helgd, jfr också bestämmelsen i 4 kap. 9 § brottsbalken om intrång i fö</w:t>
      </w:r>
      <w:r w:rsidRPr="00896D4F">
        <w:t>r</w:t>
      </w:r>
      <w:r w:rsidRPr="00896D4F">
        <w:t>var.</w:t>
      </w:r>
    </w:p>
    <w:p w:rsidR="009C1C5A" w:rsidRPr="00896D4F" w:rsidRDefault="009C1C5A">
      <w:pPr>
        <w:pStyle w:val="Normaltindrag"/>
      </w:pPr>
      <w:r w:rsidRPr="00896D4F">
        <w:t xml:space="preserve">För att en myndighet skall kunna komma till rätta med de problem som kan uppstå beträffande personadresserad post är det lämpligt att de anställda ger fullmakt till någon annan vid myndigheten att öppna post med personlig adress. Myndigheten kan dock inte </w:t>
      </w:r>
      <w:r w:rsidRPr="00896D4F">
        <w:rPr>
          <w:i/>
        </w:rPr>
        <w:t>kräva</w:t>
      </w:r>
      <w:r w:rsidRPr="00896D4F">
        <w:t xml:space="preserve"> att samtliga anställda skall ge ful</w:t>
      </w:r>
      <w:r w:rsidRPr="00896D4F">
        <w:t>l</w:t>
      </w:r>
      <w:r w:rsidRPr="00896D4F">
        <w:t>makt till registrator eller någon annan.</w:t>
      </w:r>
    </w:p>
    <w:p w:rsidR="009C1C5A" w:rsidRPr="00896D4F" w:rsidRDefault="009C1C5A">
      <w:pPr>
        <w:pStyle w:val="Normaltindrag"/>
      </w:pPr>
      <w:r w:rsidRPr="00896D4F">
        <w:t>Om en anställd väljer att inte lämna fullmakt får posten inte öppnas av myndigheten utan skall vidarebefordras till den anställde. I en stor organis</w:t>
      </w:r>
      <w:r w:rsidRPr="00896D4F">
        <w:t>a</w:t>
      </w:r>
      <w:r w:rsidRPr="00896D4F">
        <w:t>tion där detta kan ta flera dagar får det anses lämpligare att registratorn ko</w:t>
      </w:r>
      <w:r w:rsidRPr="00896D4F">
        <w:t>n</w:t>
      </w:r>
      <w:r w:rsidRPr="00896D4F">
        <w:t>taktar den anställde, som då får hämta posten på poststället. Om det skulle visa sig att försändelsen innehåller allmänna handlingar är det den anställdes ansvar att se till att handlingarna utan dröjsmål diarieförs. Särskilda åtgärder måste vidtas under perioder då någon anställd p.g.a. semester eller annars är borta en längre tid. I första hand får fullmakt utfärdas för denna tid. Andra åtgärder som ligger nära till hands är a</w:t>
      </w:r>
      <w:r w:rsidRPr="00896D4F">
        <w:t>tt i det enskilda fallet inhämta medg</w:t>
      </w:r>
      <w:r w:rsidRPr="00896D4F">
        <w:t>i</w:t>
      </w:r>
      <w:r w:rsidRPr="00896D4F">
        <w:t>vande att öppna posten eller att som en sista åtgärd återinkalla tjänstemannen i tjänst. (Se även beslut i JO:s ämbetsberättelse 1982/83 s. 248.)</w:t>
      </w:r>
    </w:p>
    <w:p w:rsidR="009C1C5A" w:rsidRPr="00896D4F" w:rsidRDefault="009C1C5A">
      <w:r w:rsidRPr="00896D4F">
        <w:t>Jag förutsätter att rutinerna ses över med beaktande av det nu sagda.</w:t>
      </w:r>
    </w:p>
    <w:p w:rsidR="009C1C5A" w:rsidRPr="00896D4F" w:rsidRDefault="009C1C5A">
      <w:pPr>
        <w:pStyle w:val="Rubrik2"/>
      </w:pPr>
      <w:r w:rsidRPr="00896D4F">
        <w:t>Rutiner för hantering av elektronisk post (e-post); bl.a. fråga om myndighetens tillgång till befattningshavares e-post under tid som denne är frånvarande</w:t>
      </w:r>
    </w:p>
    <w:p w:rsidR="009C1C5A" w:rsidRPr="00896D4F" w:rsidRDefault="009C1C5A">
      <w:pPr>
        <w:spacing w:before="0"/>
      </w:pPr>
      <w:r w:rsidRPr="00896D4F">
        <w:t>(Dnr 2668-2000)</w:t>
      </w:r>
    </w:p>
    <w:p w:rsidR="009C1C5A" w:rsidRPr="00896D4F" w:rsidRDefault="009C1C5A">
      <w:pPr>
        <w:pStyle w:val="Rubrik3"/>
      </w:pPr>
      <w:r w:rsidRPr="00896D4F">
        <w:t>Anmälan</w:t>
      </w:r>
    </w:p>
    <w:p w:rsidR="009C1C5A" w:rsidRPr="00896D4F" w:rsidRDefault="009C1C5A">
      <w:r w:rsidRPr="00896D4F">
        <w:t>I en anmälan till JO ifrågasatte Eva Nilzon (TV4 Sundsvall) Sunds</w:t>
      </w:r>
      <w:r w:rsidRPr="00896D4F">
        <w:softHyphen/>
        <w:t>valls kom</w:t>
      </w:r>
      <w:r w:rsidRPr="00896D4F">
        <w:softHyphen/>
        <w:t>muns rutiner för hantering av e-post. Hon uppgav i huvudsak följande. Ko</w:t>
      </w:r>
      <w:r w:rsidRPr="00896D4F">
        <w:t>m</w:t>
      </w:r>
      <w:r w:rsidRPr="00896D4F">
        <w:t>munens ruti</w:t>
      </w:r>
      <w:r w:rsidRPr="00896D4F">
        <w:softHyphen/>
      </w:r>
      <w:r w:rsidRPr="00896D4F">
        <w:softHyphen/>
        <w:t>ner ställer till problem i samband med tjänstemäns och politikers semes</w:t>
      </w:r>
      <w:r w:rsidRPr="00896D4F">
        <w:softHyphen/>
        <w:t>ter och annan frånvaro. Deras e-post och de datalagrade för</w:t>
      </w:r>
      <w:r w:rsidRPr="00896D4F">
        <w:softHyphen/>
        <w:t>teckningarna över in- och utgående sådan post kan då vara otillgängliga under flera veckor i sträck. Hon uppmärk</w:t>
      </w:r>
      <w:r w:rsidRPr="00896D4F">
        <w:softHyphen/>
        <w:t>sammade detta när hon fick del av kom</w:t>
      </w:r>
      <w:r w:rsidRPr="00896D4F">
        <w:softHyphen/>
        <w:t>mun</w:t>
      </w:r>
      <w:r w:rsidRPr="00896D4F">
        <w:softHyphen/>
        <w:t>styrelsens ytt</w:t>
      </w:r>
      <w:r w:rsidRPr="00896D4F">
        <w:softHyphen/>
        <w:t>rande till Kammar</w:t>
      </w:r>
      <w:r w:rsidRPr="00896D4F">
        <w:softHyphen/>
        <w:t>rätten i Sund</w:t>
      </w:r>
      <w:r w:rsidRPr="00896D4F">
        <w:softHyphen/>
        <w:t>svall i ett mål om ut</w:t>
      </w:r>
      <w:r w:rsidRPr="00896D4F">
        <w:softHyphen/>
        <w:t>lämnande av handlingar ut</w:t>
      </w:r>
      <w:r w:rsidRPr="00896D4F">
        <w:softHyphen/>
        <w:t>gö</w:t>
      </w:r>
      <w:r w:rsidRPr="00896D4F">
        <w:softHyphen/>
        <w:t>rande e-post</w:t>
      </w:r>
      <w:r w:rsidRPr="00896D4F">
        <w:softHyphen/>
        <w:t>meddelan</w:t>
      </w:r>
      <w:r w:rsidRPr="00896D4F">
        <w:softHyphen/>
        <w:t xml:space="preserve">den. </w:t>
      </w:r>
    </w:p>
    <w:p w:rsidR="009C1C5A" w:rsidRPr="00896D4F" w:rsidRDefault="009C1C5A">
      <w:pPr>
        <w:pStyle w:val="Normaltindrag"/>
      </w:pPr>
      <w:r w:rsidRPr="00896D4F">
        <w:t>Ev</w:t>
      </w:r>
      <w:r w:rsidRPr="00896D4F">
        <w:t>a Nilzon bifogade det omnämnda yttrandet av kommunstyrelsen, daterat den 25 juli 2000. Av yttrandet framgick bl.a. följande. Kammarrätten hade i protokoll den 10 juli 2000 anmodat kommun</w:t>
      </w:r>
      <w:r w:rsidRPr="00896D4F">
        <w:softHyphen/>
        <w:t>styrelsen att komplettera utre</w:t>
      </w:r>
      <w:r w:rsidRPr="00896D4F">
        <w:t>d</w:t>
      </w:r>
      <w:r w:rsidRPr="00896D4F">
        <w:t>ningen med kopior av de i målet ak</w:t>
      </w:r>
      <w:r w:rsidRPr="00896D4F">
        <w:softHyphen/>
        <w:t>tuella e-postmed</w:t>
      </w:r>
      <w:r w:rsidRPr="00896D4F">
        <w:softHyphen/>
        <w:t>delandena. Kommunst</w:t>
      </w:r>
      <w:r w:rsidRPr="00896D4F">
        <w:t>y</w:t>
      </w:r>
      <w:r w:rsidRPr="00896D4F">
        <w:t>relsen anförde i yttrandet att vissa av dessa med</w:t>
      </w:r>
      <w:r w:rsidRPr="00896D4F">
        <w:softHyphen/>
        <w:t>delan</w:t>
      </w:r>
      <w:r w:rsidRPr="00896D4F">
        <w:softHyphen/>
        <w:t>den inte var tillgängliga för kopiering inom den tid som kammar</w:t>
      </w:r>
      <w:r w:rsidRPr="00896D4F">
        <w:softHyphen/>
        <w:t>rätten angett som sluttid, med anle</w:t>
      </w:r>
      <w:r w:rsidRPr="00896D4F">
        <w:t>d</w:t>
      </w:r>
      <w:r w:rsidRPr="00896D4F">
        <w:t>ning av att de berörda tjänstemännen och politikerna hade semester</w:t>
      </w:r>
      <w:r w:rsidRPr="00896D4F">
        <w:t>. De skulle återkomma den 7 respektive den 20 augus</w:t>
      </w:r>
      <w:r w:rsidRPr="00896D4F">
        <w:softHyphen/>
        <w:t>ti 2000 och kom</w:t>
      </w:r>
      <w:r w:rsidRPr="00896D4F">
        <w:softHyphen/>
        <w:t>mun</w:t>
      </w:r>
      <w:r w:rsidRPr="00896D4F">
        <w:softHyphen/>
        <w:t xml:space="preserve">styrelsen skulle kunna komplettera utredningen inom en vecka efter det att de återkommit. </w:t>
      </w:r>
    </w:p>
    <w:p w:rsidR="009C1C5A" w:rsidRPr="00896D4F" w:rsidRDefault="009C1C5A">
      <w:pPr>
        <w:pStyle w:val="Rubrik3"/>
      </w:pPr>
      <w:r w:rsidRPr="00896D4F">
        <w:t>Utredning</w:t>
      </w:r>
    </w:p>
    <w:p w:rsidR="009C1C5A" w:rsidRPr="00896D4F" w:rsidRDefault="009C1C5A">
      <w:r w:rsidRPr="00896D4F">
        <w:t>Anmälan remitterades till kommunstyrelsen för utredning och yttrande.</w:t>
      </w:r>
    </w:p>
    <w:p w:rsidR="009C1C5A" w:rsidRPr="00896D4F" w:rsidRDefault="009C1C5A">
      <w:r w:rsidRPr="00896D4F">
        <w:t>Kommunstyrelsen beslutade att avge yttrande i enlighet med ett vid kommu</w:t>
      </w:r>
      <w:r w:rsidRPr="00896D4F">
        <w:t>n</w:t>
      </w:r>
      <w:r w:rsidRPr="00896D4F">
        <w:t>styrel</w:t>
      </w:r>
      <w:r w:rsidRPr="00896D4F">
        <w:softHyphen/>
      </w:r>
      <w:r w:rsidRPr="00896D4F">
        <w:softHyphen/>
      </w:r>
      <w:r w:rsidRPr="00896D4F">
        <w:softHyphen/>
        <w:t>se</w:t>
      </w:r>
      <w:r w:rsidRPr="00896D4F">
        <w:softHyphen/>
        <w:t>kontoret upprättat förslag till yttrande, vari anfördes bl.a. följande.</w:t>
      </w:r>
    </w:p>
    <w:p w:rsidR="009C1C5A" w:rsidRPr="00896D4F" w:rsidRDefault="009C1C5A">
      <w:pPr>
        <w:pStyle w:val="Rubrik4"/>
      </w:pPr>
      <w:r w:rsidRPr="00896D4F">
        <w:t>Kammarrättens mål nr 1993- -1996-00</w:t>
      </w:r>
    </w:p>
    <w:p w:rsidR="009C1C5A" w:rsidRPr="00896D4F" w:rsidRDefault="009C1C5A">
      <w:pPr>
        <w:pStyle w:val="Citat"/>
      </w:pPr>
      <w:r w:rsidRPr="00896D4F">
        <w:t>Eva Nilzon, TV 4 Sundsvall, besökte tjänstemän och politiker inom Sund</w:t>
      </w:r>
      <w:r w:rsidRPr="00896D4F">
        <w:t>s</w:t>
      </w:r>
      <w:r w:rsidRPr="00896D4F">
        <w:t>valls kommun och bad att få titta på förteckningar över inkommande och utgående elektronisk post – vilket hon fick. (I vart fall har inte framkommit annat än att de gjordes tillgängliga för henne.)</w:t>
      </w:r>
    </w:p>
    <w:p w:rsidR="009C1C5A" w:rsidRPr="00896D4F" w:rsidRDefault="009C1C5A">
      <w:pPr>
        <w:pStyle w:val="Citatindrag"/>
      </w:pPr>
      <w:r w:rsidRPr="00896D4F">
        <w:t>Härefter återkom Eva Nilzon med begäran om att få kopia av fem stycken e-postmeddelanden som hade skickats av och tillställts olika politiker och tjänstemän – inom kommunstyrelsen och dess förvaltning. Eva Nilzon förvä</w:t>
      </w:r>
      <w:r w:rsidRPr="00896D4F">
        <w:t>g</w:t>
      </w:r>
      <w:r w:rsidRPr="00896D4F">
        <w:t>rades rätt att ta del av dessa meddelanden, med hänvisning till att de efterfr</w:t>
      </w:r>
      <w:r w:rsidRPr="00896D4F">
        <w:t>å</w:t>
      </w:r>
      <w:r w:rsidRPr="00896D4F">
        <w:t>gade e-postmeddelandena inte var allmänna handlingar. Hon tillställdes 2000-06-22 fyra beslut av kommunstyrelsen (fattade med stöd av delegation) med nämnda innehåll.</w:t>
      </w:r>
    </w:p>
    <w:p w:rsidR="009C1C5A" w:rsidRPr="00896D4F" w:rsidRDefault="009C1C5A">
      <w:pPr>
        <w:pStyle w:val="Citatindrag"/>
      </w:pPr>
      <w:r w:rsidRPr="00896D4F">
        <w:t>Eva Nilzon överklagade de fyra besluten till kammarrätten. Kammarrätten hemställde för sin prövning om att kommunstyrelsen skulle komplettera u</w:t>
      </w:r>
      <w:r w:rsidRPr="00896D4F">
        <w:t>t</w:t>
      </w:r>
      <w:r w:rsidRPr="00896D4F">
        <w:t>redningen med kopior av e-postmeddelandena samt med yttrande. Ett yttrande ingavs till kammarrätten 2000-07-26 och detta yttrande över</w:t>
      </w:r>
      <w:r w:rsidRPr="00896D4F">
        <w:softHyphen/>
        <w:t>ens</w:t>
      </w:r>
      <w:r w:rsidRPr="00896D4F">
        <w:softHyphen/>
        <w:t>stämmer med den handling som Eva Nilzon bilagt sin anmälan. Ett kompletterande ytt</w:t>
      </w:r>
      <w:r w:rsidRPr="00896D4F">
        <w:softHyphen/>
        <w:t>rande ingavs till kammarrätten 2000-08-25.</w:t>
      </w:r>
    </w:p>
    <w:p w:rsidR="009C1C5A" w:rsidRPr="00896D4F" w:rsidRDefault="009C1C5A">
      <w:r w:rsidRPr="00896D4F">
        <w:t>– – –</w:t>
      </w:r>
    </w:p>
    <w:p w:rsidR="009C1C5A" w:rsidRPr="00896D4F" w:rsidRDefault="009C1C5A">
      <w:pPr>
        <w:pStyle w:val="Rubrik4"/>
      </w:pPr>
      <w:r w:rsidRPr="00896D4F">
        <w:t>Sundsvalls kommuns rutiner ifråga om hantering av e-post</w:t>
      </w:r>
    </w:p>
    <w:p w:rsidR="009C1C5A" w:rsidRPr="00896D4F" w:rsidRDefault="009C1C5A">
      <w:pPr>
        <w:pStyle w:val="Citat"/>
      </w:pPr>
      <w:r w:rsidRPr="00896D4F">
        <w:t>Sundsvalls kommuns rutiner ifråga om hur den elektroniska posten ska hant</w:t>
      </w:r>
      <w:r w:rsidRPr="00896D4F">
        <w:t>e</w:t>
      </w:r>
      <w:r w:rsidRPr="00896D4F">
        <w:t>ras finns tillgängliga för anställda och berörda förtroendevalda såsom dok</w:t>
      </w:r>
      <w:r w:rsidRPr="00896D4F">
        <w:t>u</w:t>
      </w:r>
      <w:r w:rsidRPr="00896D4F">
        <w:t>ment i det kommunala intranätet. Rutinernas innehåll kan sammanfattas i följande tre punkter.</w:t>
      </w:r>
    </w:p>
    <w:p w:rsidR="009C1C5A" w:rsidRPr="00896D4F" w:rsidRDefault="009C1C5A">
      <w:pPr>
        <w:pStyle w:val="PunktlistaTankstreck"/>
      </w:pPr>
      <w:r w:rsidRPr="00896D4F">
        <w:t>Handlingar som inkommer till eller expedieras från myndigheten genom tekniskt hjälpmedel ska hanteras på samma sätt som handlingar som i</w:t>
      </w:r>
      <w:r w:rsidRPr="00896D4F">
        <w:t>n</w:t>
      </w:r>
      <w:r w:rsidRPr="00896D4F">
        <w:t>kommer eller expedieras med post, d v s utifrån han</w:t>
      </w:r>
      <w:r w:rsidRPr="00896D4F">
        <w:t>d</w:t>
      </w:r>
      <w:r w:rsidRPr="00896D4F">
        <w:t>lingens innehåll.</w:t>
      </w:r>
    </w:p>
    <w:p w:rsidR="009C1C5A" w:rsidRPr="00896D4F" w:rsidRDefault="009C1C5A">
      <w:pPr>
        <w:pStyle w:val="PunktlistaTankstreck"/>
      </w:pPr>
      <w:r w:rsidRPr="00896D4F">
        <w:t>Allmänna handlingar som inkommer till eller expedieras från enskild tjänsteman eller politiker såsom e-post ska tas ut i papperskopia och reg</w:t>
      </w:r>
      <w:r w:rsidRPr="00896D4F">
        <w:t>i</w:t>
      </w:r>
      <w:r w:rsidRPr="00896D4F">
        <w:t>streras utan fördröjning.</w:t>
      </w:r>
    </w:p>
    <w:p w:rsidR="009C1C5A" w:rsidRPr="00896D4F" w:rsidRDefault="009C1C5A">
      <w:pPr>
        <w:pStyle w:val="PunktlistaTankstreck"/>
      </w:pPr>
      <w:r w:rsidRPr="00896D4F">
        <w:t>När tjänsteman (och sådan förtroendevald som ska vara tillgänglig genom e-post) avser vara frånvarande p g a semester eller annan anledning och då inte själv ska öppna sin e-post ska vederbörande lägga in ett frånvarome</w:t>
      </w:r>
      <w:r w:rsidRPr="00896D4F">
        <w:t>d</w:t>
      </w:r>
      <w:r w:rsidRPr="00896D4F">
        <w:t>delande i datorn (den s k frånvarohanteraren). Den som vill skicka ett e-postmeddelande till den tjänstemannen/politikern erhåller då med autom</w:t>
      </w:r>
      <w:r w:rsidRPr="00896D4F">
        <w:t>a</w:t>
      </w:r>
      <w:r w:rsidRPr="00896D4F">
        <w:t>tik den information som lagts in, d v s regelmässigt information om när vederbörande återkommer. Även annan information som bedöms lämplig, exempelvis vilken person som man istäl</w:t>
      </w:r>
      <w:r w:rsidRPr="00896D4F">
        <w:softHyphen/>
        <w:t>let bör vända sig till, kan samtidigt läggas in i samma meddelande.</w:t>
      </w:r>
    </w:p>
    <w:p w:rsidR="009C1C5A" w:rsidRPr="00896D4F" w:rsidRDefault="009C1C5A">
      <w:pPr>
        <w:pStyle w:val="Citat"/>
      </w:pPr>
      <w:r w:rsidRPr="00896D4F">
        <w:t>Ifrågavarande rutiner innebär att det inte bör finnas någon risk för att allmä</w:t>
      </w:r>
      <w:r w:rsidRPr="00896D4F">
        <w:t>n</w:t>
      </w:r>
      <w:r w:rsidRPr="00896D4F">
        <w:t>na handlingar ska bli liggande otillgängliga i någons dator. Att en tjänsteman är frånvarande innebär inte heller att allmänheten är förhindrad att ge in en allmän handling till den kommunala myndigheten. Tilläggas kan att det vid sjukdom är ett vanligt förfarande att kod lämnas till en annan tjänsteman för inmatning av lämpligt frånvaromeddelande. Den som har en dator hemma har också möjlighet att hemi</w:t>
      </w:r>
      <w:r w:rsidRPr="00896D4F">
        <w:softHyphen/>
        <w:t>från själv kontrollera innehållet i den e-post som inkommer till datorn på arbet</w:t>
      </w:r>
      <w:r w:rsidRPr="00896D4F">
        <w:t>s</w:t>
      </w:r>
      <w:r w:rsidRPr="00896D4F">
        <w:t>platsen.</w:t>
      </w:r>
    </w:p>
    <w:p w:rsidR="009C1C5A" w:rsidRPr="00896D4F" w:rsidRDefault="009C1C5A">
      <w:pPr>
        <w:pStyle w:val="Rubrik4"/>
      </w:pPr>
      <w:r w:rsidRPr="00896D4F">
        <w:t>Kommentarer me</w:t>
      </w:r>
      <w:r w:rsidRPr="00896D4F">
        <w:t>d anledning av kritiska synpunkter från Eva Nilzon</w:t>
      </w:r>
    </w:p>
    <w:p w:rsidR="009C1C5A" w:rsidRPr="00896D4F" w:rsidRDefault="009C1C5A">
      <w:pPr>
        <w:pStyle w:val="Citat"/>
      </w:pPr>
      <w:r w:rsidRPr="00896D4F">
        <w:t>Om det vore så att allmänna handlingar inte skulle vara tillgängliga på grund av någon tjänstemans (eller politikers) semester, sjukdom eller annan frånvaro så skulle detta inte vara en acceptabel situa</w:t>
      </w:r>
      <w:r w:rsidRPr="00896D4F">
        <w:softHyphen/>
        <w:t>tion. Med de rutiner som gäller finns dock inte anledning anta att allmänna handlingar inte är och görs til</w:t>
      </w:r>
      <w:r w:rsidRPr="00896D4F">
        <w:t>l</w:t>
      </w:r>
      <w:r w:rsidRPr="00896D4F">
        <w:t>gängliga på det sätt som offentlighetsprincipen förutsätter. Eva Nilzon har heller inte, var</w:t>
      </w:r>
      <w:r w:rsidRPr="00896D4F">
        <w:softHyphen/>
        <w:t>ken enligt kommunstyrelsens mening eller enligt vad som framkommer av hennes anmälan, för</w:t>
      </w:r>
      <w:r w:rsidRPr="00896D4F">
        <w:softHyphen/>
        <w:t>vägrats ta del av någon allmän handling. Om utgången i det pågående kammarrättsmålet mot kommunstyrelsen mot kommunstyrelsens förmodan skulle visa att något av de aktuella e-postmeddelandena skulle utgöra allmän handling</w:t>
      </w:r>
      <w:r w:rsidRPr="00896D4F">
        <w:t xml:space="preserve"> så finns emellertid anle</w:t>
      </w:r>
      <w:r w:rsidRPr="00896D4F">
        <w:t>d</w:t>
      </w:r>
      <w:r w:rsidRPr="00896D4F">
        <w:t>ning för kommunen att ompröva nu gällande rutiner.</w:t>
      </w:r>
    </w:p>
    <w:p w:rsidR="009C1C5A" w:rsidRPr="00896D4F" w:rsidRDefault="009C1C5A">
      <w:r w:rsidRPr="00896D4F">
        <w:t>– – –</w:t>
      </w:r>
    </w:p>
    <w:p w:rsidR="009C1C5A" w:rsidRPr="00896D4F" w:rsidRDefault="009C1C5A">
      <w:r w:rsidRPr="00896D4F">
        <w:t>Eva Nilzon kommenterade remissvaret och framförde bl.a. följande. Han</w:t>
      </w:r>
      <w:r w:rsidRPr="00896D4F">
        <w:t>d</w:t>
      </w:r>
      <w:r w:rsidRPr="00896D4F">
        <w:t>läggning</w:t>
      </w:r>
      <w:r w:rsidRPr="00896D4F">
        <w:softHyphen/>
        <w:t>en i kammarrätten av hennes överklagande hade försenats med över en månad på grund av att kommunens rutiner gjorde att e-postmeddelanden som kommit in till enskilda befattningshavare inte var tillgängliga för andra. Det var troligt att kommunen diarieförde allmänna handlingar på ett korrekt sätt. Problem upp</w:t>
      </w:r>
      <w:r w:rsidRPr="00896D4F">
        <w:softHyphen/>
        <w:t>står dock när någon enskild gör gällande att en handling är allmän och beslut i saken över</w:t>
      </w:r>
      <w:r w:rsidRPr="00896D4F">
        <w:softHyphen/>
        <w:t>klagas.</w:t>
      </w:r>
    </w:p>
    <w:p w:rsidR="009C1C5A" w:rsidRPr="00896D4F" w:rsidRDefault="009C1C5A">
      <w:r w:rsidRPr="00896D4F">
        <w:t xml:space="preserve">I beslut den 22 januari 2002 anförde </w:t>
      </w:r>
      <w:r w:rsidRPr="00896D4F">
        <w:rPr>
          <w:i/>
        </w:rPr>
        <w:t>JO Berggren</w:t>
      </w:r>
      <w:r w:rsidRPr="00896D4F">
        <w:t xml:space="preserve"> följande.</w:t>
      </w:r>
    </w:p>
    <w:p w:rsidR="009C1C5A" w:rsidRPr="00896D4F" w:rsidRDefault="009C1C5A">
      <w:r w:rsidRPr="00896D4F">
        <w:t>Till bemötande av vad Eva Nilzon framfört i anmälan beträffande tillgängli</w:t>
      </w:r>
      <w:r w:rsidRPr="00896D4F">
        <w:t>g</w:t>
      </w:r>
      <w:r w:rsidRPr="00896D4F">
        <w:t>heten till e-post</w:t>
      </w:r>
      <w:r w:rsidRPr="00896D4F">
        <w:softHyphen/>
        <w:t>meddelanden hos tjänstemän och förtroendevalda har kom</w:t>
      </w:r>
      <w:r w:rsidRPr="00896D4F">
        <w:softHyphen/>
        <w:t>mun</w:t>
      </w:r>
      <w:r w:rsidRPr="00896D4F">
        <w:softHyphen/>
        <w:t>styrel</w:t>
      </w:r>
      <w:r w:rsidRPr="00896D4F">
        <w:softHyphen/>
      </w:r>
      <w:r w:rsidRPr="00896D4F">
        <w:softHyphen/>
      </w:r>
      <w:r w:rsidRPr="00896D4F">
        <w:softHyphen/>
        <w:t>sen, såsom jag uppfattat vad styrelsen framfört, ansett att kommun</w:t>
      </w:r>
      <w:r w:rsidRPr="00896D4F">
        <w:softHyphen/>
        <w:t>förvalt</w:t>
      </w:r>
      <w:r w:rsidRPr="00896D4F">
        <w:softHyphen/>
        <w:t>ningen i princip inte behö</w:t>
      </w:r>
      <w:r w:rsidRPr="00896D4F">
        <w:softHyphen/>
        <w:t>ver ha tillgång till andra e-post</w:t>
      </w:r>
      <w:r w:rsidRPr="00896D4F">
        <w:softHyphen/>
        <w:t>meddelanden än sådana som utgör all</w:t>
      </w:r>
      <w:r w:rsidRPr="00896D4F">
        <w:softHyphen/>
        <w:t>männa hand</w:t>
      </w:r>
      <w:r w:rsidRPr="00896D4F">
        <w:softHyphen/>
        <w:t>lingar. Kommunstyrelsen fäster i yttrandet också avseen</w:t>
      </w:r>
      <w:r w:rsidRPr="00896D4F">
        <w:softHyphen/>
        <w:t>de vid att befattnings</w:t>
      </w:r>
      <w:r w:rsidRPr="00896D4F">
        <w:softHyphen/>
        <w:t>havar</w:t>
      </w:r>
      <w:r w:rsidRPr="00896D4F">
        <w:softHyphen/>
        <w:t>na vid fall av frånvaro använder sig av automa</w:t>
      </w:r>
      <w:r w:rsidRPr="00896D4F">
        <w:softHyphen/>
        <w:t>tiska svarsmeddelanden som anger att de är frånvaran</w:t>
      </w:r>
      <w:r w:rsidRPr="00896D4F">
        <w:softHyphen/>
        <w:t xml:space="preserve">de. </w:t>
      </w:r>
    </w:p>
    <w:p w:rsidR="009C1C5A" w:rsidRPr="00896D4F" w:rsidRDefault="009C1C5A">
      <w:pPr>
        <w:pStyle w:val="Normaltindrag"/>
      </w:pPr>
      <w:r w:rsidRPr="00896D4F">
        <w:t>De i ärendet aktuella rättsfrågorna ger mig anlednin</w:t>
      </w:r>
      <w:r w:rsidRPr="00896D4F">
        <w:t xml:space="preserve">g att redogöra för de grundläggande bestämmelserna om allmänna handlingar. </w:t>
      </w:r>
    </w:p>
    <w:p w:rsidR="009C1C5A" w:rsidRPr="00896D4F" w:rsidRDefault="009C1C5A">
      <w:pPr>
        <w:pStyle w:val="Normaltindrag"/>
      </w:pPr>
      <w:r w:rsidRPr="00896D4F">
        <w:t>Enligt 2 kap. 3 § första stycket tryckfrihetsförordningen (TF) är en han</w:t>
      </w:r>
      <w:r w:rsidRPr="00896D4F">
        <w:t>d</w:t>
      </w:r>
      <w:r w:rsidRPr="00896D4F">
        <w:t>ling allmän om den förvaras hos myndighet och enligt 6 eller 7 § är att anse som inkom</w:t>
      </w:r>
      <w:r w:rsidRPr="00896D4F">
        <w:softHyphen/>
        <w:t>m</w:t>
      </w:r>
      <w:r w:rsidRPr="00896D4F">
        <w:softHyphen/>
        <w:t xml:space="preserve">en till eller upprättad hos myndigheten. </w:t>
      </w:r>
    </w:p>
    <w:p w:rsidR="009C1C5A" w:rsidRPr="00896D4F" w:rsidRDefault="009C1C5A">
      <w:pPr>
        <w:pStyle w:val="Normaltindrag"/>
      </w:pPr>
      <w:r w:rsidRPr="00896D4F">
        <w:t>Med handling förstås enligt 2 kap. 3 § första stycket TF inte endast ko</w:t>
      </w:r>
      <w:r w:rsidRPr="00896D4F">
        <w:t>n</w:t>
      </w:r>
      <w:r w:rsidRPr="00896D4F">
        <w:t>ventio</w:t>
      </w:r>
      <w:r w:rsidRPr="00896D4F">
        <w:softHyphen/>
        <w:t>nella handlingar på papper, utan även upptagning som kan läsas, a</w:t>
      </w:r>
      <w:r w:rsidRPr="00896D4F">
        <w:t>v</w:t>
      </w:r>
      <w:r w:rsidRPr="00896D4F">
        <w:t>lyssnas eller på annat sätt uppfattas endast med tekniska hjälpmedel. Av par</w:t>
      </w:r>
      <w:r w:rsidRPr="00896D4F">
        <w:t>a</w:t>
      </w:r>
      <w:r w:rsidRPr="00896D4F">
        <w:t>grafens andra stycke fram</w:t>
      </w:r>
      <w:r w:rsidRPr="00896D4F">
        <w:softHyphen/>
        <w:t xml:space="preserve">går att en sådan upptagning anses </w:t>
      </w:r>
      <w:r w:rsidRPr="00896D4F">
        <w:rPr>
          <w:i/>
        </w:rPr>
        <w:t>förvarad</w:t>
      </w:r>
      <w:r w:rsidRPr="00896D4F">
        <w:t xml:space="preserve"> hos myndighet, om upptag</w:t>
      </w:r>
      <w:r w:rsidRPr="00896D4F">
        <w:softHyphen/>
        <w:t>ningen är tillgänglig för myndigheten med tekniskt hjälpmedel som myn</w:t>
      </w:r>
      <w:r w:rsidRPr="00896D4F">
        <w:softHyphen/>
        <w:t>digheten själv utnyttjar för överföring i sådan form att den kan läsas, avlyss</w:t>
      </w:r>
      <w:r w:rsidRPr="00896D4F">
        <w:softHyphen/>
        <w:t>nas eller på annat sätt uppfattas. Detta gäller dock ej upptagning som ingår i personregister, om myndigheten enligt l</w:t>
      </w:r>
      <w:r w:rsidRPr="00896D4F">
        <w:t>ag eller fö</w:t>
      </w:r>
      <w:r w:rsidRPr="00896D4F">
        <w:t>r</w:t>
      </w:r>
      <w:r w:rsidRPr="00896D4F">
        <w:t>ordning eller särskilt beslut, som grundar sig på lag, sak</w:t>
      </w:r>
      <w:r w:rsidRPr="00896D4F">
        <w:softHyphen/>
        <w:t>nar befogenhet att göra överföringen.</w:t>
      </w:r>
    </w:p>
    <w:p w:rsidR="009C1C5A" w:rsidRPr="00896D4F" w:rsidRDefault="009C1C5A">
      <w:pPr>
        <w:pStyle w:val="Normaltindrag"/>
      </w:pPr>
      <w:r w:rsidRPr="00896D4F">
        <w:t xml:space="preserve">Enligt huvudregeln i 2 kap. 6 § TF anses en handling vara </w:t>
      </w:r>
      <w:r w:rsidRPr="00896D4F">
        <w:rPr>
          <w:i/>
        </w:rPr>
        <w:t>inkommen</w:t>
      </w:r>
      <w:r w:rsidRPr="00896D4F">
        <w:t xml:space="preserve"> då den har anlänt till myndigheten eller kommit behörig befattningshavare till handa. I fråga om en upptagning som avses i 2 kap. 3 § första stycket TF gäller i stället att den anses inkommen till myndighet när annan har gjort den tillgänglig för myndigheten på det sätt som anges i 2 kap. 3 § andra stycket TF. </w:t>
      </w:r>
    </w:p>
    <w:p w:rsidR="009C1C5A" w:rsidRPr="00896D4F" w:rsidRDefault="009C1C5A">
      <w:pPr>
        <w:pStyle w:val="Normaltindrag"/>
      </w:pPr>
      <w:r w:rsidRPr="00896D4F">
        <w:t>En hand</w:t>
      </w:r>
      <w:r w:rsidRPr="00896D4F">
        <w:softHyphen/>
        <w:t>ling som är adresserad direkt till t.ex. en förtroendevald är en al</w:t>
      </w:r>
      <w:r w:rsidRPr="00896D4F">
        <w:t>l</w:t>
      </w:r>
      <w:r w:rsidRPr="00896D4F">
        <w:t>män hand</w:t>
      </w:r>
      <w:r w:rsidRPr="00896D4F">
        <w:softHyphen/>
      </w:r>
      <w:r w:rsidRPr="00896D4F">
        <w:softHyphen/>
        <w:t>ling, om handlingen gäller ärende eller annan fråga som ankommer på myndig</w:t>
      </w:r>
      <w:r w:rsidRPr="00896D4F">
        <w:softHyphen/>
        <w:t>heten och ej är avsedd för mottagaren endast som innehavare av annan ställ</w:t>
      </w:r>
      <w:r w:rsidRPr="00896D4F">
        <w:softHyphen/>
        <w:t>ning, se 2 kap. 4 § TF.</w:t>
      </w:r>
    </w:p>
    <w:p w:rsidR="009C1C5A" w:rsidRPr="00896D4F" w:rsidRDefault="009C1C5A">
      <w:pPr>
        <w:pStyle w:val="Normaltindrag"/>
      </w:pPr>
      <w:r w:rsidRPr="00896D4F">
        <w:t>Av dessa bestämmelser följer att ett e-postmeddelande som har kommit in till en befattningshavare i dennes e-postbrevlåda hos myndig</w:t>
      </w:r>
      <w:r w:rsidRPr="00896D4F">
        <w:softHyphen/>
        <w:t>heten kan utgöra en allmän hand</w:t>
      </w:r>
      <w:r w:rsidRPr="00896D4F">
        <w:softHyphen/>
        <w:t>ling om de angivna förutsätt</w:t>
      </w:r>
      <w:r w:rsidRPr="00896D4F">
        <w:softHyphen/>
        <w:t>ningarna är uppfyllda. Att befatt</w:t>
      </w:r>
      <w:r w:rsidRPr="00896D4F">
        <w:softHyphen/>
        <w:t>nings</w:t>
      </w:r>
      <w:r w:rsidRPr="00896D4F">
        <w:softHyphen/>
        <w:t>havaren, när med</w:t>
      </w:r>
      <w:r w:rsidRPr="00896D4F">
        <w:softHyphen/>
        <w:t>delan</w:t>
      </w:r>
      <w:r w:rsidRPr="00896D4F">
        <w:softHyphen/>
        <w:t>det kommer in, är frånvarande p.g.a. semester eller av något annat skäl saknar betydelse för bedömningen av om meddela</w:t>
      </w:r>
      <w:r w:rsidRPr="00896D4F">
        <w:t>n</w:t>
      </w:r>
      <w:r w:rsidRPr="00896D4F">
        <w:t>det skall anses utgöra en all</w:t>
      </w:r>
      <w:r w:rsidRPr="00896D4F">
        <w:softHyphen/>
        <w:t>män hand</w:t>
      </w:r>
      <w:r w:rsidRPr="00896D4F">
        <w:softHyphen/>
        <w:t>ling. Den omständigheten att den som har skickat medde</w:t>
      </w:r>
      <w:r w:rsidRPr="00896D4F">
        <w:softHyphen/>
        <w:t>landet får ett svarsmedde</w:t>
      </w:r>
      <w:r w:rsidRPr="00896D4F">
        <w:softHyphen/>
        <w:t>lan</w:t>
      </w:r>
      <w:r w:rsidRPr="00896D4F">
        <w:softHyphen/>
        <w:t>de som anger att befattningsh</w:t>
      </w:r>
      <w:r w:rsidRPr="00896D4F">
        <w:t>a</w:t>
      </w:r>
      <w:r w:rsidRPr="00896D4F">
        <w:t>varen inte är när</w:t>
      </w:r>
      <w:r w:rsidRPr="00896D4F">
        <w:softHyphen/>
        <w:t>varan</w:t>
      </w:r>
      <w:r w:rsidRPr="00896D4F">
        <w:softHyphen/>
        <w:t>de ändrar inte heller det för</w:t>
      </w:r>
      <w:r w:rsidRPr="00896D4F">
        <w:softHyphen/>
        <w:t>hållandet att det inkomna medde</w:t>
      </w:r>
      <w:r w:rsidRPr="00896D4F">
        <w:softHyphen/>
        <w:t>lan</w:t>
      </w:r>
      <w:r w:rsidRPr="00896D4F">
        <w:softHyphen/>
        <w:t>det kan utgöra en allmän</w:t>
      </w:r>
      <w:r w:rsidRPr="00896D4F">
        <w:t xml:space="preserve"> handling. Myndigheten måste således ha tillgång till e-postmeddelanden som kommer in till en befattningshavare när han eller hon är frånvarande.</w:t>
      </w:r>
    </w:p>
    <w:p w:rsidR="009C1C5A" w:rsidRPr="00896D4F" w:rsidRDefault="009C1C5A">
      <w:pPr>
        <w:pStyle w:val="Normaltindrag"/>
      </w:pPr>
      <w:r w:rsidRPr="00896D4F">
        <w:t>Även om några nya e-postmeddelanden inte har kommit in till en befat</w:t>
      </w:r>
      <w:r w:rsidRPr="00896D4F">
        <w:t>t</w:t>
      </w:r>
      <w:r w:rsidRPr="00896D4F">
        <w:t>ningshavare under dennes frånvaro kan en enskild vilja på</w:t>
      </w:r>
      <w:r w:rsidRPr="00896D4F">
        <w:softHyphen/>
        <w:t>kalla prövning av om ett med</w:t>
      </w:r>
      <w:r w:rsidRPr="00896D4F">
        <w:softHyphen/>
      </w:r>
      <w:r w:rsidRPr="00896D4F">
        <w:softHyphen/>
      </w:r>
      <w:r w:rsidRPr="00896D4F">
        <w:softHyphen/>
      </w:r>
      <w:r w:rsidRPr="00896D4F">
        <w:softHyphen/>
      </w:r>
      <w:r w:rsidRPr="00896D4F">
        <w:softHyphen/>
        <w:t>delande som tidigare har skickats från eller kommit in till befat</w:t>
      </w:r>
      <w:r w:rsidRPr="00896D4F">
        <w:t>t</w:t>
      </w:r>
      <w:r w:rsidRPr="00896D4F">
        <w:t>ningshavarens e-postlåda utgör en allmän handling. En sådan prövning skall ske skyndsamt (se 2 kap. 12 och 13 §§ TF) och för pröv</w:t>
      </w:r>
      <w:r w:rsidRPr="00896D4F">
        <w:softHyphen/>
        <w:t>ningen for</w:t>
      </w:r>
      <w:r w:rsidRPr="00896D4F">
        <w:softHyphen/>
        <w:t>d</w:t>
      </w:r>
      <w:r w:rsidRPr="00896D4F">
        <w:softHyphen/>
        <w:t>ras give</w:t>
      </w:r>
      <w:r w:rsidRPr="00896D4F">
        <w:t>t</w:t>
      </w:r>
      <w:r w:rsidRPr="00896D4F">
        <w:t>vis att hand</w:t>
      </w:r>
      <w:r w:rsidRPr="00896D4F">
        <w:softHyphen/>
      </w:r>
      <w:r w:rsidRPr="00896D4F">
        <w:softHyphen/>
        <w:t>ling</w:t>
      </w:r>
      <w:r w:rsidRPr="00896D4F">
        <w:softHyphen/>
        <w:t>en är till</w:t>
      </w:r>
      <w:r w:rsidRPr="00896D4F">
        <w:softHyphen/>
        <w:t xml:space="preserve">gänglig för myndigheten. </w:t>
      </w:r>
    </w:p>
    <w:p w:rsidR="009C1C5A" w:rsidRPr="00896D4F" w:rsidRDefault="009C1C5A">
      <w:pPr>
        <w:pStyle w:val="Normaltindrag"/>
      </w:pPr>
      <w:r w:rsidRPr="00896D4F">
        <w:t>Datalagrade förteckningar över in- och ut</w:t>
      </w:r>
      <w:r w:rsidRPr="00896D4F">
        <w:softHyphen/>
        <w:t>gåen</w:t>
      </w:r>
      <w:r w:rsidRPr="00896D4F">
        <w:softHyphen/>
        <w:t>de e-post</w:t>
      </w:r>
      <w:r w:rsidRPr="00896D4F">
        <w:softHyphen/>
        <w:t>med</w:t>
      </w:r>
      <w:r w:rsidRPr="00896D4F">
        <w:softHyphen/>
        <w:t>delan</w:t>
      </w:r>
      <w:r w:rsidRPr="00896D4F">
        <w:softHyphen/>
        <w:t>den (e-post</w:t>
      </w:r>
      <w:r w:rsidRPr="00896D4F">
        <w:softHyphen/>
        <w:t>logg) hos myndigheters tjänstemän m.fl. utgör i sig all</w:t>
      </w:r>
      <w:r w:rsidRPr="00896D4F">
        <w:softHyphen/>
        <w:t>männa hand</w:t>
      </w:r>
      <w:r w:rsidRPr="00896D4F">
        <w:softHyphen/>
        <w:t>lingar e</w:t>
      </w:r>
      <w:r w:rsidRPr="00896D4F">
        <w:t>n</w:t>
      </w:r>
      <w:r w:rsidRPr="00896D4F">
        <w:t>ligt TF (se RÅ 1998 ref. 44, JO 2001/02 s. 460). Myndigheter måste så</w:t>
      </w:r>
      <w:r w:rsidRPr="00896D4F">
        <w:softHyphen/>
        <w:t>ledes ha tillgång även till dessa för</w:t>
      </w:r>
      <w:r w:rsidRPr="00896D4F">
        <w:softHyphen/>
        <w:t>teck</w:t>
      </w:r>
      <w:r w:rsidRPr="00896D4F">
        <w:softHyphen/>
        <w:t>ningar.</w:t>
      </w:r>
    </w:p>
    <w:p w:rsidR="009C1C5A" w:rsidRPr="00896D4F" w:rsidRDefault="009C1C5A">
      <w:pPr>
        <w:pStyle w:val="Normaltindrag"/>
      </w:pPr>
      <w:r w:rsidRPr="00896D4F">
        <w:t>Det nu anförda innebär sammanfattningsvis att om befattningshavare har egna e-post</w:t>
      </w:r>
      <w:r w:rsidRPr="00896D4F">
        <w:softHyphen/>
        <w:t>adresser hos en myndighet, måste myndigheten ha rutiner som tillfö</w:t>
      </w:r>
      <w:r w:rsidRPr="00896D4F">
        <w:t>r</w:t>
      </w:r>
      <w:r w:rsidRPr="00896D4F">
        <w:t>säkrar att såväl innehållet i befattningshavarens e-postbrevlåda som e-postloggen är tillgäng</w:t>
      </w:r>
      <w:r w:rsidRPr="00896D4F">
        <w:softHyphen/>
        <w:t>ligt för myndigheten även under befattningshavarens frånvaro. Myndigheters rätt att ta del av vanliga postförsändelser som adre</w:t>
      </w:r>
      <w:r w:rsidRPr="00896D4F">
        <w:t>s</w:t>
      </w:r>
      <w:r w:rsidRPr="00896D4F">
        <w:t>serats direkt till befattnings</w:t>
      </w:r>
      <w:r w:rsidRPr="00896D4F">
        <w:softHyphen/>
        <w:t>havare grun</w:t>
      </w:r>
      <w:r w:rsidRPr="00896D4F">
        <w:softHyphen/>
        <w:t>das normalt på fullmakt från befat</w:t>
      </w:r>
      <w:r w:rsidRPr="00896D4F">
        <w:t>t</w:t>
      </w:r>
      <w:r w:rsidRPr="00896D4F">
        <w:t xml:space="preserve">ningshavaren. Ett sådant system är lämpligt även beträffande e-post. </w:t>
      </w:r>
    </w:p>
    <w:p w:rsidR="009C1C5A" w:rsidRPr="00896D4F" w:rsidRDefault="009C1C5A">
      <w:pPr>
        <w:pStyle w:val="Normaltindrag"/>
      </w:pPr>
      <w:r w:rsidRPr="00896D4F">
        <w:t>När det gäller rutinerna hos Kommunstyrelsen i Sundsvalls kommun kan jag a</w:t>
      </w:r>
      <w:r w:rsidRPr="00896D4F">
        <w:t>v vad som framkommit kon</w:t>
      </w:r>
      <w:r w:rsidRPr="00896D4F">
        <w:softHyphen/>
        <w:t>statera att de i vart fall inte uppfyllde samtl</w:t>
      </w:r>
      <w:r w:rsidRPr="00896D4F">
        <w:t>i</w:t>
      </w:r>
      <w:r w:rsidRPr="00896D4F">
        <w:t>ga de krav som jag nyss har redogjort för. Utred</w:t>
      </w:r>
      <w:r w:rsidRPr="00896D4F">
        <w:softHyphen/>
        <w:t>ning</w:t>
      </w:r>
      <w:r w:rsidRPr="00896D4F">
        <w:softHyphen/>
        <w:t>en visar att de e-post</w:t>
      </w:r>
      <w:r w:rsidRPr="00896D4F">
        <w:softHyphen/>
        <w:t>meddelan</w:t>
      </w:r>
      <w:r w:rsidRPr="00896D4F">
        <w:softHyphen/>
        <w:t>den som kam</w:t>
      </w:r>
      <w:r w:rsidRPr="00896D4F">
        <w:softHyphen/>
        <w:t>marrätten efterfrågade från kommunstyrelsen inte var till</w:t>
      </w:r>
      <w:r w:rsidRPr="00896D4F">
        <w:softHyphen/>
        <w:t>gäng</w:t>
      </w:r>
      <w:r w:rsidRPr="00896D4F">
        <w:softHyphen/>
      </w:r>
      <w:r w:rsidRPr="00896D4F">
        <w:softHyphen/>
        <w:t>liga under flera veckor p.g.a. befatt</w:t>
      </w:r>
      <w:r w:rsidRPr="00896D4F">
        <w:softHyphen/>
        <w:t>ningshavarnas ledig</w:t>
      </w:r>
      <w:r w:rsidRPr="00896D4F">
        <w:softHyphen/>
        <w:t>heter. Styrelsen bör därför, om så inte redan har skett, se över sina rutiner i det nu aktuella häns</w:t>
      </w:r>
      <w:r w:rsidRPr="00896D4F">
        <w:t>e</w:t>
      </w:r>
      <w:r w:rsidRPr="00896D4F">
        <w:t xml:space="preserve">endet. </w:t>
      </w:r>
    </w:p>
    <w:p w:rsidR="009C1C5A" w:rsidRPr="00896D4F" w:rsidRDefault="009C1C5A">
      <w:r w:rsidRPr="00896D4F">
        <w:t>Med dessa besked avslutas ärendet.</w:t>
      </w:r>
    </w:p>
    <w:p w:rsidR="009C1C5A" w:rsidRPr="00896D4F" w:rsidRDefault="009C1C5A">
      <w:pPr>
        <w:pStyle w:val="Rubrik2"/>
      </w:pPr>
      <w:r w:rsidRPr="00896D4F">
        <w:br w:type="page"/>
        <w:t>Ett kommunalt bolags handläggning av en begäran om uppgifter och om kopior av handlingar. Även fråga om bolagets avgiftsdebitering vid utlämnande av kopior av allmänna handlingar</w:t>
      </w:r>
    </w:p>
    <w:p w:rsidR="009C1C5A" w:rsidRPr="00896D4F" w:rsidRDefault="009C1C5A">
      <w:pPr>
        <w:spacing w:before="0"/>
      </w:pPr>
      <w:r w:rsidRPr="00896D4F">
        <w:t>(Dnr 3452-2000)</w:t>
      </w:r>
    </w:p>
    <w:p w:rsidR="009C1C5A" w:rsidRPr="00896D4F" w:rsidRDefault="009C1C5A">
      <w:pPr>
        <w:pStyle w:val="Rubrik3"/>
      </w:pPr>
      <w:r w:rsidRPr="00896D4F">
        <w:t>Anmälan</w:t>
      </w:r>
    </w:p>
    <w:p w:rsidR="009C1C5A" w:rsidRPr="00896D4F" w:rsidRDefault="009C1C5A">
      <w:r w:rsidRPr="00896D4F">
        <w:t>I skrivelser till JO anmälde Inge Eklund det kommunala bolaget Växjöhem AB och uppgav bl.a. följande. Han hade i brev till bolaget ställt frågor och begärt vis</w:t>
      </w:r>
      <w:r w:rsidRPr="00896D4F">
        <w:softHyphen/>
        <w:t>sa upp</w:t>
      </w:r>
      <w:r w:rsidRPr="00896D4F">
        <w:softHyphen/>
        <w:t>gifter. Bolagets svar var brist</w:t>
      </w:r>
      <w:r w:rsidRPr="00896D4F">
        <w:softHyphen/>
        <w:t>fälliga och han hade inte fått samt</w:t>
      </w:r>
      <w:r w:rsidRPr="00896D4F">
        <w:softHyphen/>
        <w:t>liga de uppgifter han efterfrågat. Han hade också i brev begärt kopior av allmänna handlingar. Bolaget, som ansåg att handlingarna inte kunde läm</w:t>
      </w:r>
      <w:r w:rsidRPr="00896D4F">
        <w:softHyphen/>
        <w:t>nas ut, hade inte be</w:t>
      </w:r>
      <w:r w:rsidRPr="00896D4F">
        <w:softHyphen/>
        <w:t>svarat hans begäran skyndsamt och inte heller upplyst om möjligheterna att över</w:t>
      </w:r>
      <w:r w:rsidRPr="00896D4F">
        <w:softHyphen/>
        <w:t>klaga.</w:t>
      </w:r>
    </w:p>
    <w:p w:rsidR="009C1C5A" w:rsidRPr="00896D4F" w:rsidRDefault="009C1C5A">
      <w:pPr>
        <w:pStyle w:val="Normaltindrag"/>
      </w:pPr>
      <w:r w:rsidRPr="00896D4F">
        <w:t>Inge Eklund bifogade kopior av skriftväxlingen mellan honom och bol</w:t>
      </w:r>
      <w:r w:rsidRPr="00896D4F">
        <w:t>a</w:t>
      </w:r>
      <w:r w:rsidRPr="00896D4F">
        <w:t>get. Av handlingarna framgick att han i flera brev till bolaget under au</w:t>
      </w:r>
      <w:r w:rsidRPr="00896D4F">
        <w:softHyphen/>
        <w:t>gus</w:t>
      </w:r>
      <w:r w:rsidRPr="00896D4F">
        <w:softHyphen/>
      </w:r>
      <w:r w:rsidRPr="00896D4F">
        <w:softHyphen/>
        <w:t>ti och september 2000 hade ställt frågor och begärt uppgifter rörande en hyres</w:t>
      </w:r>
      <w:r w:rsidRPr="00896D4F">
        <w:softHyphen/>
        <w:t>höjning samt att bolaget lämnat skriftliga svar på breven. I ett brev den 16 september 2000 begärde han att få kopior av betyg m.m. som enhetschefen Roland Håkansson hade refererat till för sin anställning samt kopia på dennes avtal om lön, förmåner och pension. Bolagets verkställande direktör Sture Larsson besvara</w:t>
      </w:r>
      <w:r w:rsidRPr="00896D4F">
        <w:softHyphen/>
        <w:t>de hans begä</w:t>
      </w:r>
      <w:r w:rsidRPr="00896D4F">
        <w:softHyphen/>
        <w:t>ran i en skrivelse den 2</w:t>
      </w:r>
      <w:r w:rsidRPr="00896D4F">
        <w:t>8 september 2000 och anförde att personliga upp</w:t>
      </w:r>
      <w:r w:rsidRPr="00896D4F">
        <w:softHyphen/>
        <w:t>gifter om anställda inte är offent</w:t>
      </w:r>
      <w:r w:rsidRPr="00896D4F">
        <w:softHyphen/>
        <w:t>liga och att ett utlämnande skulle kränka en</w:t>
      </w:r>
      <w:r w:rsidRPr="00896D4F">
        <w:softHyphen/>
        <w:t xml:space="preserve">skild persons integritet. </w:t>
      </w:r>
    </w:p>
    <w:p w:rsidR="009C1C5A" w:rsidRPr="00896D4F" w:rsidRDefault="009C1C5A">
      <w:pPr>
        <w:pStyle w:val="Rubrik3"/>
      </w:pPr>
      <w:r w:rsidRPr="00896D4F">
        <w:t>Utredning</w:t>
      </w:r>
    </w:p>
    <w:p w:rsidR="009C1C5A" w:rsidRPr="00896D4F" w:rsidRDefault="009C1C5A">
      <w:r w:rsidRPr="00896D4F">
        <w:t>Bolaget anmodades att göra en utredning och yttra sig avseende vad Inge Eklund anfört om handläggningen av hans till anmälan fogade skrivelser. Yttrandet skulle behandla dels handläggningen av hans frågor med begäran om upplysningar, dels om bolaget hade handlagt hans begäran om handling</w:t>
      </w:r>
      <w:r w:rsidRPr="00896D4F">
        <w:t>s</w:t>
      </w:r>
      <w:r w:rsidRPr="00896D4F">
        <w:t>utlämnande i enlighet med tryckfrihetsförordningens och sekretesslagens (1980:100) bestämmelser.</w:t>
      </w:r>
    </w:p>
    <w:p w:rsidR="009C1C5A" w:rsidRPr="00896D4F" w:rsidRDefault="009C1C5A">
      <w:pPr>
        <w:pStyle w:val="Normaltindrag"/>
      </w:pPr>
      <w:r w:rsidRPr="00896D4F">
        <w:t>Som svar på remissen gav bolaget in en av SABO AB upprättad promem</w:t>
      </w:r>
      <w:r w:rsidRPr="00896D4F">
        <w:t>o</w:t>
      </w:r>
      <w:r w:rsidRPr="00896D4F">
        <w:t>ria vari anfördes bl.a. följande.</w:t>
      </w:r>
    </w:p>
    <w:p w:rsidR="009C1C5A" w:rsidRPr="00896D4F" w:rsidRDefault="009C1C5A">
      <w:pPr>
        <w:pStyle w:val="Citat"/>
      </w:pPr>
      <w:r w:rsidRPr="00896D4F">
        <w:t>Handlingar som rör företagets verksamhet såsom avtal med leverantörer eller som rör företagets hyresgäster eller personal behandlas med särskild försi</w:t>
      </w:r>
      <w:r w:rsidRPr="00896D4F">
        <w:t>k</w:t>
      </w:r>
      <w:r w:rsidRPr="00896D4F">
        <w:t>tighet för att skada ej skall uppkomma. Vid bedömningen skall sekretessl</w:t>
      </w:r>
      <w:r w:rsidRPr="00896D4F">
        <w:t>a</w:t>
      </w:r>
      <w:r w:rsidRPr="00896D4F">
        <w:t>gens bestämmelser följas.</w:t>
      </w:r>
    </w:p>
    <w:p w:rsidR="009C1C5A" w:rsidRPr="00896D4F" w:rsidRDefault="009C1C5A">
      <w:pPr>
        <w:pStyle w:val="Citatindrag"/>
      </w:pPr>
      <w:r w:rsidRPr="00896D4F">
        <w:t>– – – När det är fråga om att lämna ut uppgifter ur en handling krävs – – – att den som efterfrågar uppgiften på något sätt preciserar vilken handling han vill ha uppgift ur t ex vad beslutade styrelsen i en viss fråga på sitt styrels</w:t>
      </w:r>
      <w:r w:rsidRPr="00896D4F">
        <w:t>e</w:t>
      </w:r>
      <w:r w:rsidRPr="00896D4F">
        <w:t>sammanträde. Som ovan angivits har bolaget ingen allmän upp</w:t>
      </w:r>
      <w:r w:rsidRPr="00896D4F">
        <w:softHyphen/>
        <w:t>gifts</w:t>
      </w:r>
      <w:r w:rsidRPr="00896D4F">
        <w:softHyphen/>
        <w:t>skyldighet eller skyldighet att göra sammanställningar som inte redan finns.</w:t>
      </w:r>
    </w:p>
    <w:p w:rsidR="009C1C5A" w:rsidRPr="00896D4F" w:rsidRDefault="009C1C5A">
      <w:pPr>
        <w:pStyle w:val="Citatindrag"/>
      </w:pPr>
      <w:r w:rsidRPr="00896D4F">
        <w:t>De omständigheter som föranlett anmälan till JO föranleder följande kommentarer.</w:t>
      </w:r>
    </w:p>
    <w:p w:rsidR="009C1C5A" w:rsidRPr="00896D4F" w:rsidRDefault="009C1C5A">
      <w:pPr>
        <w:pStyle w:val="Citatindrag"/>
      </w:pPr>
      <w:r w:rsidRPr="00896D4F">
        <w:t>Framställningar om uppgifter och handlingar har gjorts direkt till verkstä</w:t>
      </w:r>
      <w:r w:rsidRPr="00896D4F">
        <w:t>l</w:t>
      </w:r>
      <w:r w:rsidRPr="00896D4F">
        <w:t>lande direktören som besvarat frågorna samt beslutat att inte lämna ut han</w:t>
      </w:r>
      <w:r w:rsidRPr="00896D4F">
        <w:t>d</w:t>
      </w:r>
      <w:r w:rsidRPr="00896D4F">
        <w:t>lingar ur en personalakt. Han har varit behörig att fatta det avslagsbeslut det varit fråga om. Hans beslut har kunnat överklagas till kammar</w:t>
      </w:r>
      <w:r w:rsidRPr="00896D4F">
        <w:softHyphen/>
        <w:t xml:space="preserve">rätten. Någon skyldighet att lämna besvärshänvisning finns inte för bolaget. </w:t>
      </w:r>
    </w:p>
    <w:p w:rsidR="009C1C5A" w:rsidRPr="00896D4F" w:rsidRDefault="009C1C5A">
      <w:pPr>
        <w:pStyle w:val="Citatindrag"/>
      </w:pPr>
      <w:r w:rsidRPr="00896D4F">
        <w:t>De frågor som framställts bl a genom brev den 15 september 2000 rör främst förhållanden hänförliga till hyressättningen för bolagets bostadsläge</w:t>
      </w:r>
      <w:r w:rsidRPr="00896D4F">
        <w:t>n</w:t>
      </w:r>
      <w:r w:rsidRPr="00896D4F">
        <w:t>heter. Hyran fastställs genom förhandlingar med hyresgästföreningen. Till grund för förhandlingar ligger oftast ett s k förhandlingsunderlag där bolaget redogör för kostnaden, planerat underhåll och andra åtgärder i bolagets fö</w:t>
      </w:r>
      <w:r w:rsidRPr="00896D4F">
        <w:t>r</w:t>
      </w:r>
      <w:r w:rsidRPr="00896D4F">
        <w:t>valtning. Detta underlag som är en upprättad handling är enligt bolaget belagt med sekretess enligt 6 kap 1 § sekretesslagen då det redovisar bolagets affärs- och driftsförhållanden och ett utlämnande skulle vara till skada för bolaget och till fördel för andra som bedriver konkurre</w:t>
      </w:r>
      <w:r w:rsidRPr="00896D4F">
        <w:t>rande verksamhet. Resultatet av förhandlingarna som dock sällan överensstämmer med förhandlingsu</w:t>
      </w:r>
      <w:r w:rsidRPr="00896D4F">
        <w:t>n</w:t>
      </w:r>
      <w:r w:rsidRPr="00896D4F">
        <w:t>derlaget är dock alltid offentligt. Detta resul</w:t>
      </w:r>
      <w:r w:rsidRPr="00896D4F">
        <w:softHyphen/>
        <w:t>tat har lämnats ut.</w:t>
      </w:r>
    </w:p>
    <w:p w:rsidR="009C1C5A" w:rsidRPr="00896D4F" w:rsidRDefault="009C1C5A">
      <w:pPr>
        <w:pStyle w:val="Citatindrag"/>
      </w:pPr>
      <w:r w:rsidRPr="00896D4F">
        <w:t>De uppgifter som efterfrågas är emellertid inte resultatet utan de värd</w:t>
      </w:r>
      <w:r w:rsidRPr="00896D4F">
        <w:t>e</w:t>
      </w:r>
      <w:r w:rsidRPr="00896D4F">
        <w:t>ringar som lett fram till resul</w:t>
      </w:r>
      <w:r w:rsidRPr="00896D4F">
        <w:softHyphen/>
        <w:t>tatet. Genom brev den 17 augusti, 9 september och 28 september 2000 har bolagets verkställa</w:t>
      </w:r>
      <w:r w:rsidRPr="00896D4F">
        <w:softHyphen/>
        <w:t>nde direk</w:t>
      </w:r>
      <w:r w:rsidRPr="00896D4F">
        <w:softHyphen/>
        <w:t>tör besvarat de fra</w:t>
      </w:r>
      <w:r w:rsidRPr="00896D4F">
        <w:t>m</w:t>
      </w:r>
      <w:r w:rsidRPr="00896D4F">
        <w:t>ställda frågorna. Det är här inte fråga om uppgifter ur handlingen hos bolaget utan om upplysningar som går utöver vad lagen föreskriver, men som det i och för sig är naturligt för ett kommunalt bolag att lämna ut.</w:t>
      </w:r>
    </w:p>
    <w:p w:rsidR="009C1C5A" w:rsidRPr="00896D4F" w:rsidRDefault="009C1C5A">
      <w:r w:rsidRPr="00896D4F">
        <w:t>– – –</w:t>
      </w:r>
    </w:p>
    <w:p w:rsidR="009C1C5A" w:rsidRPr="00896D4F" w:rsidRDefault="009C1C5A">
      <w:pPr>
        <w:pStyle w:val="Citat"/>
      </w:pPr>
      <w:r w:rsidRPr="00896D4F">
        <w:t>Slutligen har anmälaren begärt att få ut samtliga handlingar ur personalakten för Roland Håkansson. Vid bostadsförvaltning förekommer det att det up</w:t>
      </w:r>
      <w:r w:rsidRPr="00896D4F">
        <w:t>p</w:t>
      </w:r>
      <w:r w:rsidRPr="00896D4F">
        <w:t>kommer problem i de personliga relationerna mellan personal och hyresgä</w:t>
      </w:r>
      <w:r w:rsidRPr="00896D4F">
        <w:t>s</w:t>
      </w:r>
      <w:r w:rsidRPr="00896D4F">
        <w:t>ter. Detta kan föranleda att en hyresgäst vidtar åtgärder för att chika</w:t>
      </w:r>
      <w:r w:rsidRPr="00896D4F">
        <w:softHyphen/>
        <w:t>nera eller trakassera den hos bostadsföretaget anställde. Bolaget bedömer att det här föreligger en sådan situation. Bolaget vill skydda sina anställda mot denna typ av aktioner, som av bolaget be</w:t>
      </w:r>
      <w:r w:rsidRPr="00896D4F">
        <w:softHyphen/>
        <w:t>döms som en form av ofredande. Av samma skäl lämnar bolaget inte heller ut bostadsadre</w:t>
      </w:r>
      <w:r w:rsidRPr="00896D4F">
        <w:t>s</w:t>
      </w:r>
      <w:r w:rsidRPr="00896D4F">
        <w:t>sen till sina anställda.</w:t>
      </w:r>
    </w:p>
    <w:p w:rsidR="009C1C5A" w:rsidRPr="00896D4F" w:rsidRDefault="009C1C5A">
      <w:r w:rsidRPr="00896D4F">
        <w:t>Bolagets verkställande direktör Sture Larsson tillade följ</w:t>
      </w:r>
      <w:r w:rsidRPr="00896D4F">
        <w:t xml:space="preserve">ande. </w:t>
      </w:r>
    </w:p>
    <w:p w:rsidR="009C1C5A" w:rsidRPr="00896D4F" w:rsidRDefault="009C1C5A">
      <w:pPr>
        <w:pStyle w:val="Citat"/>
      </w:pPr>
      <w:r w:rsidRPr="00896D4F">
        <w:t>I Växjöhems personalakt för Roland Håkansson finns inga handlingar rörande be</w:t>
      </w:r>
      <w:r w:rsidRPr="00896D4F">
        <w:softHyphen/>
        <w:t>tyg, intyg från kurser el dylikt. Sådana handlingar kan således inte lämnas ut. Hand</w:t>
      </w:r>
      <w:r w:rsidRPr="00896D4F">
        <w:softHyphen/>
        <w:t>lingar rörande anställningen såsom anställningsbevis, löneuppgift och pensionsförmåner kommer att överlämnas till Inge Eklund.</w:t>
      </w:r>
    </w:p>
    <w:p w:rsidR="009C1C5A" w:rsidRPr="00896D4F" w:rsidRDefault="009C1C5A">
      <w:r w:rsidRPr="00896D4F">
        <w:t>Inge Eklund kommenterade remissvaret samt gav in handlingar rörande vad som senare förekommit vid hans kontakter med bolaget. Han uppgav bl.a. att bolaget då hade skickat kopior av handlingar till honom och tagit ut avgift för dessa. Av de handlingar som Inge Eklund gett in framgick att avgift hade</w:t>
      </w:r>
      <w:r w:rsidRPr="00896D4F">
        <w:t xml:space="preserve"> tagits ut med 10 kr per sida med stöd av ett av bolagets styrelse den 18 april 2000 fattat beslut om ”avgift för utläm</w:t>
      </w:r>
      <w:r w:rsidRPr="00896D4F">
        <w:softHyphen/>
        <w:t>nande av handlingar”. Inge Eklund önskade att JO skulle gran</w:t>
      </w:r>
      <w:r w:rsidRPr="00896D4F">
        <w:softHyphen/>
        <w:t>ska om avgiften var skälig.</w:t>
      </w:r>
    </w:p>
    <w:p w:rsidR="009C1C5A" w:rsidRPr="00896D4F" w:rsidRDefault="009C1C5A">
      <w:r w:rsidRPr="00896D4F">
        <w:t xml:space="preserve">Hos JO upprättades en promemoria vari anfördes bl.a. följande. </w:t>
      </w:r>
    </w:p>
    <w:p w:rsidR="009C1C5A" w:rsidRPr="00896D4F" w:rsidRDefault="009C1C5A">
      <w:pPr>
        <w:pStyle w:val="Citat"/>
      </w:pPr>
      <w:r w:rsidRPr="00896D4F">
        <w:t xml:space="preserve">Av 2 kap. 13 § tryckfrihetsförordningen (TF) framgår att den som önskar ta del av en allmän handling även har rätt att mot fastställd avgift få avskrift eller kopia av handlingen till den del den får lämnas ut. </w:t>
      </w:r>
    </w:p>
    <w:p w:rsidR="009C1C5A" w:rsidRPr="00896D4F" w:rsidRDefault="009C1C5A">
      <w:pPr>
        <w:pStyle w:val="Citatindrag"/>
      </w:pPr>
      <w:r w:rsidRPr="00896D4F">
        <w:t>I fråga om avgifter för kopior av allmänna handlingar hos bl.a. myndigh</w:t>
      </w:r>
      <w:r w:rsidRPr="00896D4F">
        <w:t>e</w:t>
      </w:r>
      <w:r w:rsidRPr="00896D4F">
        <w:t>ter under regeringen fram</w:t>
      </w:r>
      <w:r w:rsidRPr="00896D4F">
        <w:softHyphen/>
      </w:r>
      <w:r w:rsidRPr="00896D4F">
        <w:softHyphen/>
        <w:t>går av 16 § avgiftsförordningen (1992:191) följa</w:t>
      </w:r>
      <w:r w:rsidRPr="00896D4F">
        <w:t>n</w:t>
      </w:r>
      <w:r w:rsidRPr="00896D4F">
        <w:t>de. Om en beställning omfattar tio sidor eller mer, skall avgift tas ut för kop</w:t>
      </w:r>
      <w:r w:rsidRPr="00896D4F">
        <w:t>i</w:t>
      </w:r>
      <w:r w:rsidRPr="00896D4F">
        <w:t xml:space="preserve">orna. Avgiften för en beställning av tio sidor är 50 kr. För varje sida därutöver är avgiften 2 kr. Dessa föreskrifter är inte formellt tillämpliga på kommunala bolags uttag av avgifter för kopior av allmänna handlingar. </w:t>
      </w:r>
    </w:p>
    <w:p w:rsidR="009C1C5A" w:rsidRPr="00896D4F" w:rsidRDefault="009C1C5A">
      <w:pPr>
        <w:pStyle w:val="Citatindrag"/>
      </w:pPr>
      <w:r w:rsidRPr="00896D4F">
        <w:t xml:space="preserve">Av rättspraxis framgår att en myndighet saknar möjlighet att av den som begär kopia av handlingar betinga sig ersättning för kostnad </w:t>
      </w:r>
      <w:r w:rsidRPr="00896D4F">
        <w:t>för framtagande och åter</w:t>
      </w:r>
      <w:r w:rsidRPr="00896D4F">
        <w:softHyphen/>
        <w:t>ställande av handlingarna (RÅ 85 2:9). JO har ansett att de öve</w:t>
      </w:r>
      <w:r w:rsidRPr="00896D4F">
        <w:t>r</w:t>
      </w:r>
      <w:r w:rsidRPr="00896D4F">
        <w:t>väganden som lett fram till denna praxis har relevans även för de kommunala bolag som har att tillämpa TF:s regler om rätten att ta del av allmänna han</w:t>
      </w:r>
      <w:r w:rsidRPr="00896D4F">
        <w:t>d</w:t>
      </w:r>
      <w:r w:rsidRPr="00896D4F">
        <w:t>lingar (JO:s äm</w:t>
      </w:r>
      <w:r w:rsidRPr="00896D4F">
        <w:softHyphen/>
        <w:t>bets</w:t>
      </w:r>
      <w:r w:rsidRPr="00896D4F">
        <w:softHyphen/>
      </w:r>
      <w:r w:rsidRPr="00896D4F">
        <w:softHyphen/>
        <w:t>berättel</w:t>
      </w:r>
      <w:r w:rsidRPr="00896D4F">
        <w:softHyphen/>
        <w:t>se 1996/97 s. 497).</w:t>
      </w:r>
    </w:p>
    <w:p w:rsidR="009C1C5A" w:rsidRPr="00896D4F" w:rsidRDefault="009C1C5A">
      <w:pPr>
        <w:pStyle w:val="Citatindrag"/>
      </w:pPr>
      <w:r w:rsidRPr="00896D4F">
        <w:t xml:space="preserve">Mot denna bakgrund bör Växjöhem AB anmodas att yttra sig angående bolagets uttag av avgift för kopior av allmänna handlingar och grunderna för beräkningen av avgiften. </w:t>
      </w:r>
    </w:p>
    <w:p w:rsidR="009C1C5A" w:rsidRPr="00896D4F" w:rsidRDefault="009C1C5A">
      <w:r w:rsidRPr="00896D4F">
        <w:t xml:space="preserve">Bolaget anmodades att yttra sig enligt promemorian. </w:t>
      </w:r>
    </w:p>
    <w:p w:rsidR="009C1C5A" w:rsidRPr="00896D4F" w:rsidRDefault="009C1C5A">
      <w:r w:rsidRPr="00896D4F">
        <w:t xml:space="preserve">I yttrandet anförde verkställande direktören Sture Larsson följande. </w:t>
      </w:r>
    </w:p>
    <w:p w:rsidR="009C1C5A" w:rsidRPr="00896D4F" w:rsidRDefault="009C1C5A">
      <w:pPr>
        <w:pStyle w:val="Citat"/>
      </w:pPr>
      <w:r w:rsidRPr="00896D4F">
        <w:t>Avgiften beslutades av bolagets styrelse den 18 april 2000. Till grund för beslutet låg ingen särskild beräkning utan avgiften fastställdes till vad styre</w:t>
      </w:r>
      <w:r w:rsidRPr="00896D4F">
        <w:t>l</w:t>
      </w:r>
      <w:r w:rsidRPr="00896D4F">
        <w:t>sen ansåg skäligt. Det har inte heller i efter</w:t>
      </w:r>
      <w:r w:rsidRPr="00896D4F">
        <w:softHyphen/>
        <w:t xml:space="preserve">hand gjorts någon beräkning av vad en kopia kostar inklusive arbete. </w:t>
      </w:r>
    </w:p>
    <w:p w:rsidR="009C1C5A" w:rsidRPr="00896D4F" w:rsidRDefault="009C1C5A">
      <w:pPr>
        <w:pStyle w:val="Citatindrag"/>
      </w:pPr>
      <w:r w:rsidRPr="00896D4F">
        <w:t xml:space="preserve">JO har i sin 2001-03-29 upprättade promemoria redovisat dels innehållet i avgiftsförordningen, dels rättspraxis såsom denna framgår av ett rättsfall (RÅ85 2:9). </w:t>
      </w:r>
    </w:p>
    <w:p w:rsidR="009C1C5A" w:rsidRPr="00896D4F" w:rsidRDefault="009C1C5A">
      <w:pPr>
        <w:pStyle w:val="Citatindrag"/>
      </w:pPr>
      <w:r w:rsidRPr="00896D4F">
        <w:t>Växjöhem vill för sin del först framhålla att avgiftsförordningens bestä</w:t>
      </w:r>
      <w:r w:rsidRPr="00896D4F">
        <w:t>m</w:t>
      </w:r>
      <w:r w:rsidRPr="00896D4F">
        <w:t>melser inte gäller för Väx</w:t>
      </w:r>
      <w:r w:rsidRPr="00896D4F">
        <w:softHyphen/>
      </w:r>
      <w:r w:rsidRPr="00896D4F">
        <w:softHyphen/>
      </w:r>
      <w:r w:rsidRPr="00896D4F">
        <w:softHyphen/>
      </w:r>
      <w:r w:rsidRPr="00896D4F">
        <w:softHyphen/>
        <w:t>jö</w:t>
      </w:r>
      <w:r w:rsidRPr="00896D4F">
        <w:softHyphen/>
        <w:t>hem och inte ens kan anses vägledande för bol</w:t>
      </w:r>
      <w:r w:rsidRPr="00896D4F">
        <w:t>a</w:t>
      </w:r>
      <w:r w:rsidRPr="00896D4F">
        <w:t xml:space="preserve">get. Inte heller angivet rättsfall är enligt Växjöhem relevant. </w:t>
      </w:r>
    </w:p>
    <w:p w:rsidR="009C1C5A" w:rsidRPr="00896D4F" w:rsidRDefault="009C1C5A">
      <w:pPr>
        <w:pStyle w:val="Citatindrag"/>
      </w:pPr>
      <w:r w:rsidRPr="00896D4F">
        <w:t>En viktig skillnad mellan å ena sidan staten och kommunerna och å andra sidan kommunala bostads</w:t>
      </w:r>
      <w:r w:rsidRPr="00896D4F">
        <w:softHyphen/>
        <w:t>företag som Växjöhem är att de förstnämnda är skattefinansierade medan Växjöhems intäkter utgörs av hyror från enskilda hyresgäster. En annan skillnad är att bostadsbolagen verkar på en kon</w:t>
      </w:r>
      <w:r w:rsidRPr="00896D4F">
        <w:softHyphen/>
      </w:r>
      <w:r w:rsidRPr="00896D4F">
        <w:softHyphen/>
      </w:r>
      <w:r w:rsidRPr="00896D4F">
        <w:softHyphen/>
      </w:r>
      <w:r w:rsidRPr="00896D4F">
        <w:softHyphen/>
        <w:t>kurrensutsatt marknad vilket innebär att bostadsbolagen för att konkurrensen inte skall bli rub</w:t>
      </w:r>
      <w:r w:rsidRPr="00896D4F">
        <w:softHyphen/>
        <w:t xml:space="preserve">bad bör ha rätt att ta ut ersättning för sina kostnader. </w:t>
      </w:r>
    </w:p>
    <w:p w:rsidR="009C1C5A" w:rsidRPr="00896D4F" w:rsidRDefault="009C1C5A">
      <w:pPr>
        <w:pStyle w:val="Citatindrag"/>
      </w:pPr>
      <w:r w:rsidRPr="00896D4F">
        <w:t>Mot denna bakgrund är det inte bara rimligt utan också önskvärt att kos</w:t>
      </w:r>
      <w:r w:rsidRPr="00896D4F">
        <w:t>t</w:t>
      </w:r>
      <w:r w:rsidRPr="00896D4F">
        <w:t xml:space="preserve">naden för en kopia åsätts sitt verkliga värde inklusive kostnaden för arbetet. Med en realistisk kostnadsberäkning torde 10 kr per kopia framstå som en låg avgift och inte heller avskräcka någon. </w:t>
      </w:r>
    </w:p>
    <w:p w:rsidR="009C1C5A" w:rsidRPr="00896D4F" w:rsidRDefault="009C1C5A">
      <w:r w:rsidRPr="00896D4F">
        <w:t>Inge Eklund kommenterade yttrandet.</w:t>
      </w:r>
    </w:p>
    <w:p w:rsidR="009C1C5A" w:rsidRPr="00896D4F" w:rsidRDefault="009C1C5A">
      <w:pPr>
        <w:pStyle w:val="Rubrik3"/>
        <w:rPr>
          <w:b w:val="0"/>
        </w:rPr>
      </w:pPr>
      <w:r w:rsidRPr="00896D4F">
        <w:rPr>
          <w:b w:val="0"/>
        </w:rPr>
        <w:t xml:space="preserve">I beslut den 13 mars 2002 anförde </w:t>
      </w:r>
      <w:r w:rsidRPr="00896D4F">
        <w:rPr>
          <w:b w:val="0"/>
          <w:i/>
        </w:rPr>
        <w:t>JO Berggren</w:t>
      </w:r>
      <w:r w:rsidRPr="00896D4F">
        <w:rPr>
          <w:b w:val="0"/>
        </w:rPr>
        <w:t xml:space="preserve"> följande.</w:t>
      </w:r>
    </w:p>
    <w:p w:rsidR="009C1C5A" w:rsidRPr="00896D4F" w:rsidRDefault="009C1C5A">
      <w:pPr>
        <w:pStyle w:val="Rubrik4"/>
      </w:pPr>
      <w:r w:rsidRPr="00896D4F">
        <w:t>Allmänt om JO:s granskning samt reglerna om handlingsutlämnande m.m.</w:t>
      </w:r>
    </w:p>
    <w:p w:rsidR="009C1C5A" w:rsidRPr="00896D4F" w:rsidRDefault="009C1C5A">
      <w:r w:rsidRPr="00896D4F">
        <w:t>JO:s granskning är av rättslig art och avser främst tillämp</w:t>
      </w:r>
      <w:r w:rsidRPr="00896D4F">
        <w:softHyphen/>
        <w:t>ningen av gällande förfaranderegler. JO brukar inte pröva myndigheternas ställningstaganden i sakfrågor.</w:t>
      </w:r>
    </w:p>
    <w:p w:rsidR="009C1C5A" w:rsidRPr="00896D4F" w:rsidRDefault="009C1C5A">
      <w:pPr>
        <w:pStyle w:val="Normaltindrag"/>
      </w:pPr>
      <w:r w:rsidRPr="00896D4F">
        <w:t>JO:s tillsynskompetens beträffande kommunala bolag är begränsad och rör i huvud</w:t>
      </w:r>
      <w:r w:rsidRPr="00896D4F">
        <w:softHyphen/>
      </w:r>
      <w:r w:rsidRPr="00896D4F">
        <w:softHyphen/>
        <w:t>sak tillämpningen av regel</w:t>
      </w:r>
      <w:r w:rsidRPr="00896D4F">
        <w:softHyphen/>
        <w:t>verket om utlämnande av allmänna han</w:t>
      </w:r>
      <w:r w:rsidRPr="00896D4F">
        <w:t>d</w:t>
      </w:r>
      <w:r w:rsidRPr="00896D4F">
        <w:t>lingar och utfående av uppgifter ur allmänna hand</w:t>
      </w:r>
      <w:r w:rsidRPr="00896D4F">
        <w:softHyphen/>
        <w:t xml:space="preserve">lingar. </w:t>
      </w:r>
    </w:p>
    <w:p w:rsidR="009C1C5A" w:rsidRPr="00896D4F" w:rsidRDefault="009C1C5A">
      <w:pPr>
        <w:pStyle w:val="Normaltindrag"/>
      </w:pPr>
      <w:r w:rsidRPr="00896D4F">
        <w:t>Grundläggande regler om allmänna handlingars offentlighet finns i 2 kap. tryckfrihetsförordningen (TF). Kapitlet reglerar även primärt frågan om u</w:t>
      </w:r>
      <w:r w:rsidRPr="00896D4F">
        <w:t>t</w:t>
      </w:r>
      <w:r w:rsidRPr="00896D4F">
        <w:t>lämnande av all</w:t>
      </w:r>
      <w:r w:rsidRPr="00896D4F">
        <w:softHyphen/>
        <w:t>männa handlingar. Enligt 1 kap. 9 § första stycket sek</w:t>
      </w:r>
      <w:r w:rsidRPr="00896D4F">
        <w:softHyphen/>
        <w:t>retessla</w:t>
      </w:r>
      <w:r w:rsidRPr="00896D4F">
        <w:softHyphen/>
        <w:t>gen skall vad som föreskrivs i TF om rätt att ta del av handlingar hos my</w:t>
      </w:r>
      <w:r w:rsidRPr="00896D4F">
        <w:t>n</w:t>
      </w:r>
      <w:r w:rsidRPr="00896D4F">
        <w:t>dighet i tillämpliga delar också gälla handlingar hos bl.a. aktiebolag där kommuner utövar ett rättsligt be</w:t>
      </w:r>
      <w:r w:rsidRPr="00896D4F">
        <w:softHyphen/>
        <w:t>stäm</w:t>
      </w:r>
      <w:r w:rsidRPr="00896D4F">
        <w:softHyphen/>
      </w:r>
      <w:r w:rsidRPr="00896D4F">
        <w:softHyphen/>
        <w:t>mande inflytande. Sådana bolag skall vid tillämpningen av sekretesslagen jäm</w:t>
      </w:r>
      <w:r w:rsidRPr="00896D4F">
        <w:softHyphen/>
        <w:t xml:space="preserve">ställas med myndigheter. </w:t>
      </w:r>
    </w:p>
    <w:p w:rsidR="009C1C5A" w:rsidRPr="00896D4F" w:rsidRDefault="009C1C5A">
      <w:pPr>
        <w:pStyle w:val="Normaltindrag"/>
      </w:pPr>
      <w:r w:rsidRPr="00896D4F">
        <w:t>Enligt 2 kap. 12 § TF skall en allmän handling som får lämnas ut – som alltså inte omfattas av någon sekre</w:t>
      </w:r>
      <w:r w:rsidRPr="00896D4F">
        <w:softHyphen/>
        <w:t>tessbe</w:t>
      </w:r>
      <w:r w:rsidRPr="00896D4F">
        <w:softHyphen/>
        <w:t>stämmelse – på begäran ”genast eller så snart det är möjligt” på stället utan avgift tillhandahållas den som önskar ta del av handlingen. Av 2 kap. 13 § TF fram</w:t>
      </w:r>
      <w:r w:rsidRPr="00896D4F">
        <w:softHyphen/>
        <w:t>går vidare att den som önskar ta del av en all</w:t>
      </w:r>
      <w:r w:rsidRPr="00896D4F">
        <w:softHyphen/>
        <w:t>män handling även har rätt att mot fastställd avgift få avskrift eller kopia av hand</w:t>
      </w:r>
      <w:r w:rsidRPr="00896D4F">
        <w:softHyphen/>
        <w:t>lingen till den del den får lämnas ut. En sådan begä</w:t>
      </w:r>
      <w:r w:rsidRPr="00896D4F">
        <w:softHyphen/>
        <w:t>ran skall behandlas skyndsamt. Besked i en utlämnandefråga bör normalt läm</w:t>
      </w:r>
      <w:r w:rsidRPr="00896D4F">
        <w:softHyphen/>
        <w:t>nas redan samma dag som en begä</w:t>
      </w:r>
      <w:r w:rsidRPr="00896D4F">
        <w:softHyphen/>
        <w:t>ran har gjorts. Någon eller några dagars för</w:t>
      </w:r>
      <w:r w:rsidRPr="00896D4F">
        <w:softHyphen/>
        <w:t>dröjni</w:t>
      </w:r>
      <w:r w:rsidRPr="00896D4F">
        <w:t>ng kan dock godtas om en sådan fördröjning är nödvändig för att myndighe</w:t>
      </w:r>
      <w:r w:rsidRPr="00896D4F">
        <w:softHyphen/>
        <w:t>ten skall kunna ta ställning till om den efterfrågade hand</w:t>
      </w:r>
      <w:r w:rsidRPr="00896D4F">
        <w:softHyphen/>
        <w:t>lingen är allmän och of</w:t>
      </w:r>
      <w:r w:rsidRPr="00896D4F">
        <w:softHyphen/>
        <w:t>fentlig. Härtill kommer att ett visst dröjsmål är ofrånkomligt om framstäl</w:t>
      </w:r>
      <w:r w:rsidRPr="00896D4F">
        <w:t>l</w:t>
      </w:r>
      <w:r w:rsidRPr="00896D4F">
        <w:t>ningen avser eller fordrar genom</w:t>
      </w:r>
      <w:r w:rsidRPr="00896D4F">
        <w:softHyphen/>
        <w:t xml:space="preserve">gång av ett omfattande material. </w:t>
      </w:r>
    </w:p>
    <w:p w:rsidR="009C1C5A" w:rsidRPr="00896D4F" w:rsidRDefault="009C1C5A">
      <w:pPr>
        <w:pStyle w:val="Normaltindrag"/>
      </w:pPr>
      <w:r w:rsidRPr="00896D4F">
        <w:t>Det finns inga formkrav för en begäran att få ta del av en allmän handling. Som en allmän förutsättning för att en myndighet skall vara skyldig att bistå all</w:t>
      </w:r>
      <w:r w:rsidRPr="00896D4F">
        <w:softHyphen/>
        <w:t>mänheten i enlig</w:t>
      </w:r>
      <w:r w:rsidRPr="00896D4F">
        <w:softHyphen/>
        <w:t>het med vad som redovisats ovan gäller emellertid att den som önskar få ut en handling kan precisera vilken handling som avses eller i vart fall kan lämna så detaljerade upplysningar om handlingens innehåll att myndighe</w:t>
      </w:r>
      <w:r w:rsidRPr="00896D4F">
        <w:softHyphen/>
        <w:t>ten utan större svårigheter kan identifiera den. Myndigheten måste således få klart för sig vilken eller vilka handlingar som avses. Den har å andra sidan i viss ut</w:t>
      </w:r>
      <w:r w:rsidRPr="00896D4F">
        <w:softHyphen/>
        <w:t>sträckning skyldighet att efterforska en oklart preciserad handling. Om myndighe</w:t>
      </w:r>
      <w:r w:rsidRPr="00896D4F">
        <w:softHyphen/>
        <w:t xml:space="preserve">ten, när den får en begäran </w:t>
      </w:r>
      <w:r w:rsidRPr="00896D4F">
        <w:t>om utfående av allmänna handlingar, inte direkt får klart för sig vilka handlingar som avses, bör my</w:t>
      </w:r>
      <w:r w:rsidRPr="00896D4F">
        <w:t>n</w:t>
      </w:r>
      <w:r w:rsidRPr="00896D4F">
        <w:t>dig</w:t>
      </w:r>
      <w:r w:rsidRPr="00896D4F">
        <w:softHyphen/>
        <w:t>heten så snart som möjligt lämna sökanden en underrättelse härom så att denne får tillfälle att komplettera eller precisera sin framställning. Myndi</w:t>
      </w:r>
      <w:r w:rsidRPr="00896D4F">
        <w:t>g</w:t>
      </w:r>
      <w:r w:rsidRPr="00896D4F">
        <w:t xml:space="preserve">heten är också skyldig att i en inte obetydlig utsträckning bistå sökanden genom att, t.ex. med hjälp av sina register, leta fram sådana handlingar som han begär. </w:t>
      </w:r>
    </w:p>
    <w:p w:rsidR="009C1C5A" w:rsidRPr="00896D4F" w:rsidRDefault="009C1C5A">
      <w:pPr>
        <w:pStyle w:val="Normaltindrag"/>
      </w:pPr>
      <w:r w:rsidRPr="00896D4F">
        <w:t xml:space="preserve">Enligt 2 kap. 14 § tredje stycket TF får en myndighet inte på grund av att någon begär att få </w:t>
      </w:r>
      <w:r w:rsidRPr="00896D4F">
        <w:t>ta del av en allmän handling efterforska vem han är eller vilket syfte han har med sin begäran i större utsträckning än som behövs för att myndigheten skall kunna pröva om hinder föreligger mot att handlingen läm</w:t>
      </w:r>
      <w:r w:rsidRPr="00896D4F">
        <w:softHyphen/>
        <w:t>nas ut.</w:t>
      </w:r>
    </w:p>
    <w:p w:rsidR="009C1C5A" w:rsidRPr="00896D4F" w:rsidRDefault="009C1C5A">
      <w:pPr>
        <w:pStyle w:val="Normaltindrag"/>
        <w:rPr>
          <w:b/>
        </w:rPr>
      </w:pPr>
      <w:r w:rsidRPr="00896D4F">
        <w:t>Om en framställning om att få ta del av en handling inte kan tillmötesgås fullt ut, skall den som begär hand</w:t>
      </w:r>
      <w:r w:rsidRPr="00896D4F">
        <w:softHyphen/>
        <w:t>lingen underrättas om detta. Han skall också enligt 15 kap. 6 § andra stycket sekretesslagen un</w:t>
      </w:r>
      <w:r w:rsidRPr="00896D4F">
        <w:softHyphen/>
        <w:t>derrättas om att han kan begära att frågan hänskjuts till myndigheten och att ett formligt beslut av myndighe</w:t>
      </w:r>
      <w:r w:rsidRPr="00896D4F">
        <w:softHyphen/>
        <w:t>ten krävs för att ett avgörande skall kunna överklagas. Mot my</w:t>
      </w:r>
      <w:r w:rsidRPr="00896D4F">
        <w:t>n</w:t>
      </w:r>
      <w:r w:rsidRPr="00896D4F">
        <w:t>dighetens avslagsbeslut får sökanden enligt 15 kap. 7 § sekretess</w:t>
      </w:r>
      <w:r w:rsidRPr="00896D4F">
        <w:softHyphen/>
        <w:t>lagen föra talan, beträffande kommunala bolags be</w:t>
      </w:r>
      <w:r w:rsidRPr="00896D4F">
        <w:softHyphen/>
      </w:r>
      <w:r w:rsidRPr="00896D4F">
        <w:softHyphen/>
      </w:r>
      <w:r w:rsidRPr="00896D4F">
        <w:softHyphen/>
      </w:r>
      <w:r w:rsidRPr="00896D4F">
        <w:softHyphen/>
      </w:r>
      <w:r w:rsidRPr="00896D4F">
        <w:softHyphen/>
      </w:r>
      <w:r w:rsidRPr="00896D4F">
        <w:softHyphen/>
      </w:r>
      <w:r w:rsidRPr="00896D4F">
        <w:softHyphen/>
        <w:t xml:space="preserve">slut hos kammarrätt. Om beslut har meddelats av ett kommunalt bolag tillämpas bestämmelserna i 23–25 §§ och 30 § första </w:t>
      </w:r>
      <w:r w:rsidRPr="00896D4F">
        <w:t>meningen förvalt</w:t>
      </w:r>
      <w:r w:rsidRPr="00896D4F">
        <w:softHyphen/>
        <w:t xml:space="preserve">ningslagen (1986:223) om överklagande. </w:t>
      </w:r>
    </w:p>
    <w:p w:rsidR="009C1C5A" w:rsidRPr="00896D4F" w:rsidRDefault="009C1C5A">
      <w:pPr>
        <w:pStyle w:val="Normaltindrag"/>
      </w:pPr>
      <w:r w:rsidRPr="00896D4F">
        <w:t>En begäran om handlingsutlämnande skall dock inte förväxlas med en b</w:t>
      </w:r>
      <w:r w:rsidRPr="00896D4F">
        <w:t>e</w:t>
      </w:r>
      <w:r w:rsidRPr="00896D4F">
        <w:t>gäran om att få uppgift ur allmän handling. Förfarandet vid en begäran av sistnämnda slag regleras i 15 kap. 4 § första stycket sekretesslagen. Enligt detta lagrum skall myndighet på begäran av enskild lämna uppgift ur allmän handling som för</w:t>
      </w:r>
      <w:r w:rsidRPr="00896D4F">
        <w:softHyphen/>
        <w:t>varas hos myndigheten i den mån hinder inte möter på grund av bestämmelse om se</w:t>
      </w:r>
      <w:r w:rsidRPr="00896D4F">
        <w:t>k</w:t>
      </w:r>
      <w:r w:rsidRPr="00896D4F">
        <w:t xml:space="preserve">retess eller av hänsyn till arbetets behöriga gång. </w:t>
      </w:r>
    </w:p>
    <w:p w:rsidR="009C1C5A" w:rsidRPr="00896D4F" w:rsidRDefault="009C1C5A">
      <w:pPr>
        <w:pStyle w:val="Rubrik4"/>
      </w:pPr>
      <w:r w:rsidRPr="00896D4F">
        <w:t>Handläggningen av Inge Eklunds begäran om uppgifter och begäran om kopior av handlingar</w:t>
      </w:r>
    </w:p>
    <w:p w:rsidR="009C1C5A" w:rsidRPr="00896D4F" w:rsidRDefault="009C1C5A">
      <w:pPr>
        <w:tabs>
          <w:tab w:val="left" w:pos="284"/>
          <w:tab w:val="left" w:pos="3686"/>
          <w:tab w:val="left" w:pos="5387"/>
          <w:tab w:val="left" w:pos="8222"/>
        </w:tabs>
      </w:pPr>
      <w:r w:rsidRPr="00896D4F">
        <w:t xml:space="preserve">Inge Eklund har i breven till bolaget ställt en rad frågor och begärt uppgifter samt, i brevet den 16 september 2000, begärt kopior av handlingar. </w:t>
      </w:r>
    </w:p>
    <w:p w:rsidR="009C1C5A" w:rsidRPr="00896D4F" w:rsidRDefault="009C1C5A">
      <w:pPr>
        <w:pStyle w:val="Normaltindrag"/>
      </w:pPr>
      <w:r w:rsidRPr="00896D4F">
        <w:t>Som har berörts i det föregående omfattas kommunala bolag av skyldi</w:t>
      </w:r>
      <w:r w:rsidRPr="00896D4F">
        <w:t>g</w:t>
      </w:r>
      <w:r w:rsidRPr="00896D4F">
        <w:t>heten enligt 15 kap. 4 § sekretesslagen att lämna uppgift ur allmänna han</w:t>
      </w:r>
      <w:r w:rsidRPr="00896D4F">
        <w:t>d</w:t>
      </w:r>
      <w:r w:rsidRPr="00896D4F">
        <w:t>lingar. Kommu</w:t>
      </w:r>
      <w:r w:rsidRPr="00896D4F">
        <w:softHyphen/>
        <w:t>nala bolag har därutöver inte någon författningsbestämd sky</w:t>
      </w:r>
      <w:r w:rsidRPr="00896D4F">
        <w:t>l</w:t>
      </w:r>
      <w:r w:rsidRPr="00896D4F">
        <w:t>dighet att svara på frågor motsvarande bestämmelsen i 4 § förvaltningslagen.</w:t>
      </w:r>
    </w:p>
    <w:p w:rsidR="009C1C5A" w:rsidRPr="00896D4F" w:rsidRDefault="009C1C5A">
      <w:pPr>
        <w:pStyle w:val="Normaltindrag"/>
      </w:pPr>
      <w:r w:rsidRPr="00896D4F">
        <w:t>En begäran om utfående av uppgift ur allmän handling föreligger när n</w:t>
      </w:r>
      <w:r w:rsidRPr="00896D4F">
        <w:t>å</w:t>
      </w:r>
      <w:r w:rsidRPr="00896D4F">
        <w:t>gon begär att få en uppgift som finns i en allmän handling hos myndigheten (se JO 1991/92 s. 418). Beträffande en sådan begäran kan inte, som bolaget synes anse, ställas upp nå</w:t>
      </w:r>
      <w:r w:rsidRPr="00896D4F">
        <w:softHyphen/>
        <w:t>got absolut krav på att den som begär en uppgift kan precisera i vilken handling den finns. I likhet med vad som gäller avseende framställ</w:t>
      </w:r>
      <w:r w:rsidRPr="00896D4F">
        <w:softHyphen/>
        <w:t>ning</w:t>
      </w:r>
      <w:r w:rsidRPr="00896D4F">
        <w:softHyphen/>
        <w:t>ar om handlings</w:t>
      </w:r>
      <w:r w:rsidRPr="00896D4F">
        <w:softHyphen/>
        <w:t>ut</w:t>
      </w:r>
      <w:r w:rsidRPr="00896D4F">
        <w:softHyphen/>
        <w:t>läm</w:t>
      </w:r>
      <w:r w:rsidRPr="00896D4F">
        <w:softHyphen/>
        <w:t>nan</w:t>
      </w:r>
      <w:r w:rsidRPr="00896D4F">
        <w:softHyphen/>
        <w:t>de är en myndighet skyldig att bl.a. efterforska uppgifter i en oklart pre</w:t>
      </w:r>
      <w:r w:rsidRPr="00896D4F">
        <w:softHyphen/>
        <w:t>ci</w:t>
      </w:r>
      <w:r w:rsidRPr="00896D4F">
        <w:softHyphen/>
        <w:t>serad hand</w:t>
      </w:r>
      <w:r w:rsidRPr="00896D4F">
        <w:softHyphen/>
      </w:r>
      <w:r w:rsidRPr="00896D4F">
        <w:softHyphen/>
      </w:r>
      <w:r w:rsidRPr="00896D4F">
        <w:softHyphen/>
      </w:r>
      <w:r w:rsidRPr="00896D4F">
        <w:softHyphen/>
        <w:t>ling. En sådan skyldighet måste enligt min mening även gälla för kom</w:t>
      </w:r>
      <w:r w:rsidRPr="00896D4F">
        <w:softHyphen/>
        <w:t>mu</w:t>
      </w:r>
      <w:r w:rsidRPr="00896D4F">
        <w:t>nala bolag. Enligt 15 kap. 4 § första stycket sekretesslagen har dock myndig</w:t>
      </w:r>
      <w:r w:rsidRPr="00896D4F">
        <w:softHyphen/>
        <w:t>heter, och kommu</w:t>
      </w:r>
      <w:r w:rsidRPr="00896D4F">
        <w:softHyphen/>
        <w:t>nala bolag, rätt att avslå en framställ</w:t>
      </w:r>
      <w:r w:rsidRPr="00896D4F">
        <w:softHyphen/>
        <w:t>ning enligt bestämmelsen om bety</w:t>
      </w:r>
      <w:r w:rsidRPr="00896D4F">
        <w:softHyphen/>
        <w:t>dande hin</w:t>
      </w:r>
      <w:r w:rsidRPr="00896D4F">
        <w:softHyphen/>
      </w:r>
      <w:r w:rsidRPr="00896D4F">
        <w:softHyphen/>
      </w:r>
      <w:r w:rsidRPr="00896D4F">
        <w:softHyphen/>
        <w:t>der m</w:t>
      </w:r>
      <w:r w:rsidRPr="00896D4F">
        <w:t>ö</w:t>
      </w:r>
      <w:r w:rsidRPr="00896D4F">
        <w:t>ter på grund av arbetets be</w:t>
      </w:r>
      <w:r w:rsidRPr="00896D4F">
        <w:softHyphen/>
        <w:t xml:space="preserve">höriga gång. </w:t>
      </w:r>
    </w:p>
    <w:p w:rsidR="009C1C5A" w:rsidRPr="00896D4F" w:rsidRDefault="009C1C5A">
      <w:pPr>
        <w:pStyle w:val="Normaltindrag"/>
      </w:pPr>
      <w:r w:rsidRPr="00896D4F">
        <w:t>Av vad bolaget anfört i remissvaret beträffande handläggningen av Inge Eklunds begäran om uppgifter drar jag slutsatsen att de begärda uppgifterna inte fanns i någon allmän handling hos bolaget. Vid sådant förhållande har denna begäran inte utgjort någon begäran om utfående av uppgift</w:t>
      </w:r>
      <w:r w:rsidRPr="00896D4F">
        <w:t xml:space="preserve"> ur allmän handling. Vad Inge Eklund anfört i denna del ger därför inte anledning till någon ytterligare åtgärd eller något uttalande av mig.</w:t>
      </w:r>
    </w:p>
    <w:p w:rsidR="009C1C5A" w:rsidRPr="00896D4F" w:rsidRDefault="009C1C5A">
      <w:pPr>
        <w:pStyle w:val="Normaltindrag"/>
      </w:pPr>
      <w:r w:rsidRPr="00896D4F">
        <w:t>Handläggningen av Inge Eklunds begäran om kopior av handlingar föran</w:t>
      </w:r>
      <w:r w:rsidRPr="00896D4F">
        <w:softHyphen/>
        <w:t xml:space="preserve">leder följande påpekanden. </w:t>
      </w:r>
    </w:p>
    <w:p w:rsidR="009C1C5A" w:rsidRPr="00896D4F" w:rsidRDefault="009C1C5A">
      <w:pPr>
        <w:pStyle w:val="Normaltindrag"/>
      </w:pPr>
      <w:r w:rsidRPr="00896D4F">
        <w:t>Till bemötande av Inge Eklunds begäran har bolaget i skrivelsen den 28 september 2000 anfört endast att personliga uppgifter om anställda inte är offentliga och att ett utlämnande skulle kränka enskild persons integritet. I yttrandet till JO har bolaget anfört att vissa av de av Inge Eklund begärda handlingarna inte fanns hos bolaget samt att man skulle lämna ut de övriga begärda handlingarna, vilket seder</w:t>
      </w:r>
      <w:r w:rsidRPr="00896D4F">
        <w:softHyphen/>
        <w:t>mera skedde. Givetvis skulle bolaget redan när det besvarade framställ</w:t>
      </w:r>
      <w:r w:rsidRPr="00896D4F">
        <w:softHyphen/>
        <w:t>ningen ha upplyst Inge Eklund om att vissa av de begärda handling</w:t>
      </w:r>
      <w:r w:rsidRPr="00896D4F">
        <w:softHyphen/>
        <w:t>arna inte fanns hos bola</w:t>
      </w:r>
      <w:r w:rsidRPr="00896D4F">
        <w:softHyphen/>
        <w:t>get. Vad som förekommit i denna del ger mig också anledning att ifrågasätta om bolaget till grund för sitt stäl</w:t>
      </w:r>
      <w:r w:rsidRPr="00896D4F">
        <w:t>l</w:t>
      </w:r>
      <w:r w:rsidRPr="00896D4F">
        <w:t>ningstagande i skrivelsen den 28 september 2000 gjor</w:t>
      </w:r>
      <w:r w:rsidRPr="00896D4F">
        <w:softHyphen/>
        <w:t>de en egentlig prövning, dvs. först kontrollerade vilka av de begärda handling</w:t>
      </w:r>
      <w:r w:rsidRPr="00896D4F">
        <w:softHyphen/>
        <w:t>arna som fanns hos bol</w:t>
      </w:r>
      <w:r w:rsidRPr="00896D4F">
        <w:t>a</w:t>
      </w:r>
      <w:r w:rsidRPr="00896D4F">
        <w:t>get och sedan tog ställning till om dessa handlingar ut</w:t>
      </w:r>
      <w:r w:rsidRPr="00896D4F">
        <w:softHyphen/>
        <w:t>gjor</w:t>
      </w:r>
      <w:r w:rsidRPr="00896D4F">
        <w:softHyphen/>
        <w:t>de allmänna han</w:t>
      </w:r>
      <w:r w:rsidRPr="00896D4F">
        <w:t>d</w:t>
      </w:r>
      <w:r w:rsidRPr="00896D4F">
        <w:t>linga</w:t>
      </w:r>
      <w:r w:rsidRPr="00896D4F">
        <w:t>r samt om det fanns hinder att lämna ut dem med hänsyn till någon b</w:t>
      </w:r>
      <w:r w:rsidRPr="00896D4F">
        <w:t>e</w:t>
      </w:r>
      <w:r w:rsidRPr="00896D4F">
        <w:t xml:space="preserve">stämmelse i sekretesslagen. De olika besked som bolaget har lämnat i saken kan tyda på att så inte skedde eller att </w:t>
      </w:r>
      <w:r w:rsidRPr="00896D4F">
        <w:softHyphen/>
        <w:t>prövningen i vart fall inte var tillräc</w:t>
      </w:r>
      <w:r w:rsidRPr="00896D4F">
        <w:t>k</w:t>
      </w:r>
      <w:r w:rsidRPr="00896D4F">
        <w:t>ligt grund</w:t>
      </w:r>
      <w:r w:rsidRPr="00896D4F">
        <w:softHyphen/>
      </w:r>
      <w:r w:rsidRPr="00896D4F">
        <w:softHyphen/>
        <w:t xml:space="preserve">lig. Jag finner dock inte anledning att gå vidare i frågan. </w:t>
      </w:r>
    </w:p>
    <w:p w:rsidR="009C1C5A" w:rsidRPr="00896D4F" w:rsidRDefault="009C1C5A">
      <w:pPr>
        <w:pStyle w:val="Normaltindrag"/>
      </w:pPr>
      <w:r w:rsidRPr="00896D4F">
        <w:t>I bolagets skrivelse den 28 september 2000 till Inge Eklund anges inte att den utgjorde ett beslut i ärendet om handlingsutlämnande. Jag vill därför påtala att det av ett beslut uttryck</w:t>
      </w:r>
      <w:r w:rsidRPr="00896D4F">
        <w:softHyphen/>
        <w:t xml:space="preserve">ligen bör framgå att det utgör ett beslut. </w:t>
      </w:r>
    </w:p>
    <w:p w:rsidR="009C1C5A" w:rsidRPr="00896D4F" w:rsidRDefault="009C1C5A">
      <w:pPr>
        <w:pStyle w:val="Normaltindrag"/>
      </w:pPr>
      <w:r w:rsidRPr="00896D4F">
        <w:t>För kommunala bolag finns inte någon författningsbestämd skyldighet att lämna fullföljds</w:t>
      </w:r>
      <w:r w:rsidRPr="00896D4F">
        <w:softHyphen/>
        <w:t>hänvis</w:t>
      </w:r>
      <w:r w:rsidRPr="00896D4F">
        <w:softHyphen/>
        <w:t xml:space="preserve">ning till ett beslut att avslå en begäran om </w:t>
      </w:r>
      <w:r w:rsidRPr="00896D4F">
        <w:softHyphen/>
        <w:t>utläm</w:t>
      </w:r>
      <w:r w:rsidRPr="00896D4F">
        <w:softHyphen/>
        <w:t>nande av en handling (jfr 21 § andra stycket förvaltningslagen). Jag kan därför inte kritisera bola</w:t>
      </w:r>
      <w:r w:rsidRPr="00896D4F">
        <w:softHyphen/>
        <w:t>get för att det inte lämnade någon sådan hänvisning i anslutning till sitt skriftliga be</w:t>
      </w:r>
      <w:r w:rsidRPr="00896D4F">
        <w:softHyphen/>
        <w:t>sked den 28 september 2000 till Inge Eklund. Det skedda ger mig emellertid an</w:t>
      </w:r>
      <w:r w:rsidRPr="00896D4F">
        <w:softHyphen/>
        <w:t>led</w:t>
      </w:r>
      <w:r w:rsidRPr="00896D4F">
        <w:softHyphen/>
        <w:t>ning anmärka att kommunala bolag ändå lämpligen bör lämna en sådan hän</w:t>
      </w:r>
      <w:r w:rsidRPr="00896D4F">
        <w:softHyphen/>
        <w:t>vis</w:t>
      </w:r>
      <w:r w:rsidRPr="00896D4F">
        <w:softHyphen/>
        <w:t>ning. En sådan ordning ligger i linje med en av utgångspunkterna för lagstift</w:t>
      </w:r>
      <w:r w:rsidRPr="00896D4F">
        <w:softHyphen/>
        <w:t>ning</w:t>
      </w:r>
      <w:r w:rsidRPr="00896D4F">
        <w:softHyphen/>
        <w:t>en på området, nämligen</w:t>
      </w:r>
      <w:r w:rsidRPr="00896D4F">
        <w:t xml:space="preserve"> att det ligger nära till hands att enskilda organ som har offen</w:t>
      </w:r>
      <w:r w:rsidRPr="00896D4F">
        <w:softHyphen/>
        <w:t>tliga förvaltningsuppgifter analogt tillämpar förvaltningslagens bestäm</w:t>
      </w:r>
      <w:r w:rsidRPr="00896D4F">
        <w:softHyphen/>
        <w:t xml:space="preserve">melser (se prop. 1988/89:66 s. 15). </w:t>
      </w:r>
    </w:p>
    <w:p w:rsidR="009C1C5A" w:rsidRPr="00896D4F" w:rsidRDefault="009C1C5A">
      <w:pPr>
        <w:pStyle w:val="Normaltindrag"/>
      </w:pPr>
      <w:r w:rsidRPr="00896D4F">
        <w:t>Av utredningen framgår inte när Inge Eklunds begäran om handlings</w:t>
      </w:r>
      <w:r w:rsidRPr="00896D4F">
        <w:softHyphen/>
        <w:t>utläm</w:t>
      </w:r>
      <w:r w:rsidRPr="00896D4F">
        <w:softHyphen/>
        <w:t>nande kom in till bolaget. Det finns därför inte tillräckligt underlag för mig att göra något uttalande avseende handläggningstiden. Jag finner inte skäl att gå vidare i denna fråga utan nöjer mig med att erinra om det krav på skyndsam</w:t>
      </w:r>
      <w:r w:rsidRPr="00896D4F">
        <w:softHyphen/>
        <w:t>het som gäller för handläggningen av framställningar om han</w:t>
      </w:r>
      <w:r w:rsidRPr="00896D4F">
        <w:t>d</w:t>
      </w:r>
      <w:r w:rsidRPr="00896D4F">
        <w:t>lingsutlämna</w:t>
      </w:r>
      <w:r w:rsidRPr="00896D4F">
        <w:t>n</w:t>
      </w:r>
      <w:r w:rsidRPr="00896D4F">
        <w:t>de.</w:t>
      </w:r>
    </w:p>
    <w:p w:rsidR="009C1C5A" w:rsidRPr="00896D4F" w:rsidRDefault="009C1C5A">
      <w:pPr>
        <w:pStyle w:val="Rubrik4"/>
      </w:pPr>
      <w:r w:rsidRPr="00896D4F">
        <w:t>Bolagets uttag av avgift för kopior av allmänna handlingar</w:t>
      </w:r>
    </w:p>
    <w:p w:rsidR="009C1C5A" w:rsidRPr="00896D4F" w:rsidRDefault="009C1C5A">
      <w:r w:rsidRPr="00896D4F">
        <w:t>Som förut anförts har enligt 2 kap. 13 § TF den som önskar ta del av en all</w:t>
      </w:r>
      <w:r w:rsidRPr="00896D4F">
        <w:softHyphen/>
        <w:t>män handling även rätt att mot fastställd avgift få avskrift eller kopia av hand</w:t>
      </w:r>
      <w:r w:rsidRPr="00896D4F">
        <w:softHyphen/>
        <w:t xml:space="preserve">lingen till den del den får lämnas ut. </w:t>
      </w:r>
    </w:p>
    <w:p w:rsidR="009C1C5A" w:rsidRPr="00896D4F" w:rsidRDefault="009C1C5A">
      <w:pPr>
        <w:pStyle w:val="Normaltindrag"/>
      </w:pPr>
      <w:r w:rsidRPr="00896D4F">
        <w:t>Av utredningen framgår att det för bolaget finns en giltig taxa, som har b</w:t>
      </w:r>
      <w:r w:rsidRPr="00896D4F">
        <w:t>e</w:t>
      </w:r>
      <w:r w:rsidRPr="00896D4F">
        <w:t>slutats av bolagets styrelse, enligt vilken avgift skall tas ut med 10 kr per kopia. Bolaget har i remissyttrandet anfört att man inte har gjort någon sä</w:t>
      </w:r>
      <w:r w:rsidRPr="00896D4F">
        <w:t>r</w:t>
      </w:r>
      <w:r w:rsidRPr="00896D4F">
        <w:t>skild beräk</w:t>
      </w:r>
      <w:r w:rsidRPr="00896D4F">
        <w:softHyphen/>
        <w:t>ning av avgiften utan fastställt den till ett belopp som ansågs sk</w:t>
      </w:r>
      <w:r w:rsidRPr="00896D4F">
        <w:t>ä</w:t>
      </w:r>
      <w:r w:rsidRPr="00896D4F">
        <w:t>ligt. Enligt bolagets uppfattning är det rimligt att kostnaden för kopior även inkluderar kostnaden för arbetet.</w:t>
      </w:r>
    </w:p>
    <w:p w:rsidR="009C1C5A" w:rsidRPr="00896D4F" w:rsidRDefault="009C1C5A">
      <w:pPr>
        <w:pStyle w:val="Normaltindrag"/>
      </w:pPr>
      <w:r w:rsidRPr="00896D4F">
        <w:t>För statliga myndigheter är avgifterna för kopior av allmänna handlingar fastställda i avgiftsförordningen (1992:191). Enligt 16 § förordningen skall avgift tas ut o</w:t>
      </w:r>
      <w:r w:rsidRPr="00896D4F">
        <w:t>m en be</w:t>
      </w:r>
      <w:r w:rsidRPr="00896D4F">
        <w:softHyphen/>
        <w:t>ställ</w:t>
      </w:r>
      <w:r w:rsidRPr="00896D4F">
        <w:softHyphen/>
      </w:r>
      <w:r w:rsidRPr="00896D4F">
        <w:softHyphen/>
        <w:t>ning omfattar tio sidor eller mer. Avgiften för en beställning av tio sidor är 50 kr och för varje sida därutöver är avgiften 2 kr. För myndigheter på det kommunala området saknas särskilda regler motsv</w:t>
      </w:r>
      <w:r w:rsidRPr="00896D4F">
        <w:t>a</w:t>
      </w:r>
      <w:r w:rsidRPr="00896D4F">
        <w:t>rande bestämmelserna i av</w:t>
      </w:r>
      <w:r w:rsidRPr="00896D4F">
        <w:softHyphen/>
        <w:t>gifts</w:t>
      </w:r>
      <w:r w:rsidRPr="00896D4F">
        <w:softHyphen/>
        <w:t>förordningen. Varje kommun får därför själv fastställa de avgifter som skall tas ut. Inget hinder möter dock mot att avgifts</w:t>
      </w:r>
      <w:r w:rsidRPr="00896D4F">
        <w:softHyphen/>
        <w:t>förordningens regler får tjäna till vägledning vid avgiftssättningen. Att det finns en beslutad taxa är en för</w:t>
      </w:r>
      <w:r w:rsidRPr="00896D4F">
        <w:softHyphen/>
        <w:t>utsätt</w:t>
      </w:r>
      <w:r w:rsidRPr="00896D4F">
        <w:softHyphen/>
        <w:t>ning för att avgift</w:t>
      </w:r>
      <w:r w:rsidRPr="00896D4F">
        <w:t xml:space="preserve"> skall kunna tas ut (se JO 1989/90 s. 392). Om en kom</w:t>
      </w:r>
      <w:r w:rsidRPr="00896D4F">
        <w:softHyphen/>
        <w:t>mun tar ut avgifter för kopior av allmänna handlingar är den bunden av den inom kommunalrätten gällande självkos</w:t>
      </w:r>
      <w:r w:rsidRPr="00896D4F">
        <w:t>t</w:t>
      </w:r>
      <w:r w:rsidRPr="00896D4F">
        <w:t>nadsprincipen enligt 8 kap. 3 c § kom</w:t>
      </w:r>
      <w:r w:rsidRPr="00896D4F">
        <w:softHyphen/>
        <w:t>munal</w:t>
      </w:r>
      <w:r w:rsidRPr="00896D4F">
        <w:softHyphen/>
        <w:t xml:space="preserve">lagen (1991:900). </w:t>
      </w:r>
    </w:p>
    <w:p w:rsidR="009C1C5A" w:rsidRPr="00896D4F" w:rsidRDefault="009C1C5A">
      <w:pPr>
        <w:pStyle w:val="Normaltindrag"/>
      </w:pPr>
      <w:r w:rsidRPr="00896D4F">
        <w:t>Även kommunala bolag måste beakta all</w:t>
      </w:r>
      <w:r w:rsidRPr="00896D4F">
        <w:softHyphen/>
        <w:t>männa kommunalrättsliga grund</w:t>
      </w:r>
      <w:r w:rsidRPr="00896D4F">
        <w:softHyphen/>
        <w:t>satser t.ex. självkostnadsprincipen (se Bohlin, Kommunalrättens grunder, 3 u. 2000, s. 62 f.). Det ligger också i sakens natur att kommunala bolag, liksom myndigheter, vid bestämmande av avgifter för kopior av allmänna handlingar tar hän</w:t>
      </w:r>
      <w:r w:rsidRPr="00896D4F">
        <w:softHyphen/>
        <w:t>syn till syftet med handlingsoffentligheten – som är en del av offen</w:t>
      </w:r>
      <w:r w:rsidRPr="00896D4F">
        <w:t>t</w:t>
      </w:r>
      <w:r w:rsidRPr="00896D4F">
        <w:t>lighetsprinci</w:t>
      </w:r>
      <w:r w:rsidRPr="00896D4F">
        <w:softHyphen/>
        <w:t>pen – och till den rätts</w:t>
      </w:r>
      <w:r w:rsidRPr="00896D4F">
        <w:softHyphen/>
        <w:t xml:space="preserve">praxis som finns på området. </w:t>
      </w:r>
    </w:p>
    <w:p w:rsidR="009C1C5A" w:rsidRPr="00896D4F" w:rsidRDefault="009C1C5A">
      <w:pPr>
        <w:pStyle w:val="Normaltindrag"/>
      </w:pPr>
      <w:r w:rsidRPr="00896D4F">
        <w:t>I 2 kap. 1 § TF anges att handlingsoffentligheten är avsedd att främja ett fritt menings</w:t>
      </w:r>
      <w:r w:rsidRPr="00896D4F">
        <w:softHyphen/>
        <w:t>utbyte och en allsidig upplysning. Den har stor betydelse från bl.a. rättssäkerhets</w:t>
      </w:r>
      <w:r w:rsidRPr="00896D4F">
        <w:softHyphen/>
        <w:t>synpunkt; genom att myndigheternas åtgärder är föremål för allmän insyn får all</w:t>
      </w:r>
      <w:r w:rsidRPr="00896D4F">
        <w:softHyphen/>
        <w:t>mänheten möjligheter att kontrollera deras handläg</w:t>
      </w:r>
      <w:r w:rsidRPr="00896D4F">
        <w:t>g</w:t>
      </w:r>
      <w:r w:rsidRPr="00896D4F">
        <w:t>nings</w:t>
      </w:r>
      <w:r w:rsidRPr="00896D4F">
        <w:softHyphen/>
        <w:t>rutiner och effektivitet m.m., vilket skapar vissa garantier för att my</w:t>
      </w:r>
      <w:r w:rsidRPr="00896D4F">
        <w:t>n</w:t>
      </w:r>
      <w:r w:rsidRPr="00896D4F">
        <w:t>digheterna inte missbrukar sin makt. Det är enligt min mening uppen</w:t>
      </w:r>
      <w:r w:rsidRPr="00896D4F">
        <w:softHyphen/>
        <w:t>bart att en avgift för kopior av all</w:t>
      </w:r>
      <w:r w:rsidRPr="00896D4F">
        <w:softHyphen/>
        <w:t>män</w:t>
      </w:r>
      <w:r w:rsidRPr="00896D4F">
        <w:softHyphen/>
        <w:t>na handlingar inte bör sättas alltför högt. En för hög avgift medför att enskilda av</w:t>
      </w:r>
      <w:r w:rsidRPr="00896D4F">
        <w:softHyphen/>
        <w:t>håller sig från att be</w:t>
      </w:r>
      <w:r w:rsidRPr="00896D4F">
        <w:softHyphen/>
        <w:t>s</w:t>
      </w:r>
      <w:r w:rsidRPr="00896D4F">
        <w:t>tälla kopior av allmänna handlingar vilket direkt motverkar syftet med offentlig</w:t>
      </w:r>
      <w:r w:rsidRPr="00896D4F">
        <w:softHyphen/>
        <w:t>hetsprincipen.</w:t>
      </w:r>
    </w:p>
    <w:p w:rsidR="009C1C5A" w:rsidRPr="00896D4F" w:rsidRDefault="009C1C5A">
      <w:pPr>
        <w:pStyle w:val="Normaltindrag"/>
      </w:pPr>
      <w:r w:rsidRPr="00896D4F">
        <w:t>Till grund för bestämmandet av avgifter för kopior av allmänna handlingar får dessutom läggas endast vissa typer av kostnader, nämligen maskin- och papperskostnader. Hän</w:t>
      </w:r>
      <w:r w:rsidRPr="00896D4F">
        <w:softHyphen/>
      </w:r>
      <w:r w:rsidRPr="00896D4F">
        <w:softHyphen/>
        <w:t>syn får således inte tas till kostnader för hand</w:t>
      </w:r>
      <w:r w:rsidRPr="00896D4F">
        <w:softHyphen/>
        <w:t>lingens framtagande och åter</w:t>
      </w:r>
      <w:r w:rsidRPr="00896D4F">
        <w:softHyphen/>
        <w:t>ställande (se RÅ85 2:9). JO har i anslutning till det a</w:t>
      </w:r>
      <w:r w:rsidRPr="00896D4F">
        <w:t>v</w:t>
      </w:r>
      <w:r w:rsidRPr="00896D4F">
        <w:t>görandet uttalat att de över</w:t>
      </w:r>
      <w:r w:rsidRPr="00896D4F">
        <w:softHyphen/>
        <w:t>väganden som lett fram till denna praxis har rel</w:t>
      </w:r>
      <w:r w:rsidRPr="00896D4F">
        <w:t>e</w:t>
      </w:r>
      <w:r w:rsidRPr="00896D4F">
        <w:t>vans även för de kom</w:t>
      </w:r>
      <w:r w:rsidRPr="00896D4F">
        <w:softHyphen/>
        <w:t>mu</w:t>
      </w:r>
      <w:r w:rsidRPr="00896D4F">
        <w:softHyphen/>
      </w:r>
      <w:r w:rsidRPr="00896D4F">
        <w:softHyphen/>
        <w:t>nala bolag som har att tillämpa TF:s regler om rätten att ta del av allmänna hand</w:t>
      </w:r>
      <w:r w:rsidRPr="00896D4F">
        <w:softHyphen/>
        <w:t>lingar (JO 1996/97 s. 497).</w:t>
      </w:r>
    </w:p>
    <w:p w:rsidR="009C1C5A" w:rsidRPr="00896D4F" w:rsidRDefault="009C1C5A">
      <w:pPr>
        <w:pStyle w:val="Normaltindrag"/>
      </w:pPr>
      <w:r w:rsidRPr="00896D4F">
        <w:t xml:space="preserve">Mot bakgrund av det anförda kan jag konstatera att bolaget i avgiften för kopiorna inte borde ha inkluderat kostnaden för arbetet. </w:t>
      </w:r>
    </w:p>
    <w:p w:rsidR="009C1C5A" w:rsidRPr="00896D4F" w:rsidRDefault="009C1C5A">
      <w:pPr>
        <w:pStyle w:val="Normaltindrag"/>
      </w:pPr>
      <w:r w:rsidRPr="00896D4F">
        <w:t>Med dessa uttalanden avslutar jag ärendet.</w:t>
      </w:r>
    </w:p>
    <w:p w:rsidR="009C1C5A" w:rsidRPr="00896D4F" w:rsidRDefault="009C1C5A">
      <w:pPr>
        <w:pStyle w:val="Rubrik2"/>
      </w:pPr>
      <w:r w:rsidRPr="00896D4F">
        <w:t>Kritik mot en kommunstyrelse som vägrat lämna ut allmänna handlingar med hänvisning till en av domstol fastställd förlikning</w:t>
      </w:r>
    </w:p>
    <w:p w:rsidR="009C1C5A" w:rsidRPr="00896D4F" w:rsidRDefault="009C1C5A">
      <w:pPr>
        <w:spacing w:before="0"/>
      </w:pPr>
      <w:r w:rsidRPr="00896D4F">
        <w:t>(Dnr 841-2001)</w:t>
      </w:r>
    </w:p>
    <w:p w:rsidR="009C1C5A" w:rsidRPr="00896D4F" w:rsidRDefault="009C1C5A">
      <w:pPr>
        <w:pStyle w:val="Rubrik3"/>
      </w:pPr>
      <w:r w:rsidRPr="00896D4F">
        <w:t>Anmälan</w:t>
      </w:r>
    </w:p>
    <w:p w:rsidR="009C1C5A" w:rsidRPr="00896D4F" w:rsidRDefault="009C1C5A">
      <w:r w:rsidRPr="00896D4F">
        <w:t>I en anmälan mot Kommunstyrelsen i Säffle kommun framförde AC.P. fö</w:t>
      </w:r>
      <w:r w:rsidRPr="00896D4F">
        <w:t>l</w:t>
      </w:r>
      <w:r w:rsidRPr="00896D4F">
        <w:t>jande. Hon hade i ett brev den 22 februari 2001 till ekonomichefen i Säffle kommun begärt att få kopior av allmänna handlingar. Kommunchefen Joel Nyström besvarade brevet i en skrivelse där han förklarade att kommunen inte skulle komma att lämna ut några handlingar till henne på grund av en dom den 17 februari 2000 i Arvika tingsrätt. AC.P. var inte part i det målet.  Hon ifrågasatte om kommunen hade rätt att vägra lämna ut de begärda han</w:t>
      </w:r>
      <w:r w:rsidRPr="00896D4F">
        <w:t>d</w:t>
      </w:r>
      <w:r w:rsidRPr="00896D4F">
        <w:t>lingarna till henne. Vidare ifråga</w:t>
      </w:r>
      <w:r w:rsidRPr="00896D4F">
        <w:softHyphen/>
        <w:t>satte hon om kom</w:t>
      </w:r>
      <w:r w:rsidRPr="00896D4F">
        <w:softHyphen/>
        <w:t xml:space="preserve">munen skulle ha </w:t>
      </w:r>
      <w:r w:rsidRPr="00896D4F">
        <w:t>rätt till det även om hon hade varit part i målet i ting</w:t>
      </w:r>
      <w:r w:rsidRPr="00896D4F">
        <w:t>s</w:t>
      </w:r>
      <w:r w:rsidRPr="00896D4F">
        <w:t>rätten.</w:t>
      </w:r>
    </w:p>
    <w:p w:rsidR="009C1C5A" w:rsidRPr="00896D4F" w:rsidRDefault="009C1C5A">
      <w:pPr>
        <w:pStyle w:val="Rubrik3"/>
      </w:pPr>
      <w:r w:rsidRPr="00896D4F">
        <w:t>Utredning</w:t>
      </w:r>
    </w:p>
    <w:p w:rsidR="009C1C5A" w:rsidRPr="00896D4F" w:rsidRDefault="009C1C5A">
      <w:r w:rsidRPr="00896D4F">
        <w:t>Efter remiss anförde Kommunstyrelsen i Säffle kommun i huvudsak följande.</w:t>
      </w:r>
    </w:p>
    <w:p w:rsidR="009C1C5A" w:rsidRPr="00896D4F" w:rsidRDefault="009C1C5A">
      <w:pPr>
        <w:pStyle w:val="Normaltindrag"/>
      </w:pPr>
      <w:r w:rsidRPr="00896D4F">
        <w:t>Kommunchefen har med hänvisning till en förlikningsdom i Arvika ting</w:t>
      </w:r>
      <w:r w:rsidRPr="00896D4F">
        <w:t>s</w:t>
      </w:r>
      <w:r w:rsidRPr="00896D4F">
        <w:t>rätt vägrat lämna ut allmänna handlingar till AC.P.  Domen avser en fastställd förlikning i en tvist mellan kommunen och L.P., AC.P:s make. I domen anses samtliga mellanhavanden som slutligt reglerade. Kommunchefen anser detta innefatta även AC.P:s begäran om handling</w:t>
      </w:r>
      <w:r w:rsidRPr="00896D4F">
        <w:t>s</w:t>
      </w:r>
      <w:r w:rsidRPr="00896D4F">
        <w:t>utläm</w:t>
      </w:r>
      <w:r w:rsidRPr="00896D4F">
        <w:softHyphen/>
        <w:t xml:space="preserve">nande.  </w:t>
      </w:r>
    </w:p>
    <w:p w:rsidR="009C1C5A" w:rsidRPr="00896D4F" w:rsidRDefault="009C1C5A">
      <w:pPr>
        <w:pStyle w:val="Normaltindrag"/>
      </w:pPr>
      <w:r w:rsidRPr="00896D4F">
        <w:t>Ursprungligen härrör ärendet från en misslyckad företagsetablering i Säffle kommun. L.P. stämde därefter kommunen på mångmiljonbelopp. Kommu</w:t>
      </w:r>
      <w:r w:rsidRPr="00896D4F">
        <w:softHyphen/>
        <w:t>nens representanter bedömde att han inte hade någon som helst möjlighet att vinna målet. För att slippa bl.a. offentlig ”badwill” genom kommande event</w:t>
      </w:r>
      <w:r w:rsidRPr="00896D4F">
        <w:t>u</w:t>
      </w:r>
      <w:r w:rsidRPr="00896D4F">
        <w:t>ella överklagan</w:t>
      </w:r>
      <w:r w:rsidRPr="00896D4F">
        <w:softHyphen/>
        <w:t>den till högre instans gick kommunen ändå med på att betala 75 000 kr i ett för allt. I förlikningen stipuleras också ”... är samtliga såväl ekonomiska som rättsliga krav mellan parterna slutligt reglerade, varför pa</w:t>
      </w:r>
      <w:r w:rsidRPr="00896D4F">
        <w:t>r</w:t>
      </w:r>
      <w:r w:rsidRPr="00896D4F">
        <w:t xml:space="preserve">terna förbinder sig att inte framgent framställa några ytterligare krav mot varandra av vad slag det vara må”. </w:t>
      </w:r>
    </w:p>
    <w:p w:rsidR="009C1C5A" w:rsidRPr="00896D4F" w:rsidRDefault="009C1C5A">
      <w:pPr>
        <w:pStyle w:val="Normaltindrag"/>
      </w:pPr>
      <w:r w:rsidRPr="00896D4F">
        <w:t>Kommunstyrelsen</w:t>
      </w:r>
      <w:r w:rsidRPr="00896D4F">
        <w:t xml:space="preserve"> anser att kommunchefen har bedömt saken korrekt när han vägrat att lämna ut handlingar till AC.P. </w:t>
      </w:r>
    </w:p>
    <w:p w:rsidR="009C1C5A" w:rsidRPr="00896D4F" w:rsidRDefault="009C1C5A">
      <w:pPr>
        <w:pStyle w:val="Normaltindrag"/>
      </w:pPr>
      <w:r w:rsidRPr="00896D4F">
        <w:t>AC.P. kommenterade remissvaret och anförde bl.a. att Säffle kommun e</w:t>
      </w:r>
      <w:r w:rsidRPr="00896D4F">
        <w:t>n</w:t>
      </w:r>
      <w:r w:rsidRPr="00896D4F">
        <w:t>ligt hennes mening medvetet brutit mot tryckfrihetsförordningen (TF). Hon begärde att JO skulle ålägga kommunen att tillställa henne de begärda han</w:t>
      </w:r>
      <w:r w:rsidRPr="00896D4F">
        <w:t>d</w:t>
      </w:r>
      <w:r w:rsidRPr="00896D4F">
        <w:t>lingarna.</w:t>
      </w:r>
    </w:p>
    <w:p w:rsidR="009C1C5A" w:rsidRPr="00896D4F" w:rsidRDefault="009C1C5A">
      <w:r w:rsidRPr="00896D4F">
        <w:t xml:space="preserve">I beslut den 22 oktober 2001 anförde </w:t>
      </w:r>
      <w:r w:rsidRPr="00896D4F">
        <w:rPr>
          <w:i/>
        </w:rPr>
        <w:t>JO Berggren</w:t>
      </w:r>
      <w:r w:rsidRPr="00896D4F">
        <w:t xml:space="preserve"> följande.</w:t>
      </w:r>
    </w:p>
    <w:p w:rsidR="009C1C5A" w:rsidRPr="00896D4F" w:rsidRDefault="009C1C5A">
      <w:r w:rsidRPr="00896D4F">
        <w:t>Rätten att ta del av allmänna handlingar regleras primärt i TF, som är en av grundlagarna. Regelverket om handlingsutlämnande innebär att en begä</w:t>
      </w:r>
      <w:r w:rsidRPr="00896D4F">
        <w:softHyphen/>
        <w:t>ran om utfående av en handling kan avslås i princip endast med hänvisning till omständig</w:t>
      </w:r>
      <w:r w:rsidRPr="00896D4F">
        <w:softHyphen/>
        <w:t>heter som har att göra med den begärda handlingen eller dess inn</w:t>
      </w:r>
      <w:r w:rsidRPr="00896D4F">
        <w:t>e</w:t>
      </w:r>
      <w:r w:rsidRPr="00896D4F">
        <w:t>håll; att hand</w:t>
      </w:r>
      <w:r w:rsidRPr="00896D4F">
        <w:softHyphen/>
        <w:t>lingen inte finns hos myndigheten, att den inte utgör en allmän handling eller – om hand</w:t>
      </w:r>
      <w:r w:rsidRPr="00896D4F">
        <w:softHyphen/>
        <w:t>lingen är allmän – att den innehåller uppgifter för vilka sekretess gäller. I fråga om begränsningar i rätten att ta del av allmänna handlingar krävs att de an</w:t>
      </w:r>
      <w:r w:rsidRPr="00896D4F">
        <w:softHyphen/>
        <w:t>ges i lag (se 2 kap. 2 § andra stycket TF). Beträ</w:t>
      </w:r>
      <w:r w:rsidRPr="00896D4F">
        <w:t>f</w:t>
      </w:r>
      <w:r w:rsidRPr="00896D4F">
        <w:t>fande handläggningen av fram</w:t>
      </w:r>
      <w:r w:rsidRPr="00896D4F">
        <w:softHyphen/>
        <w:t>ställ</w:t>
      </w:r>
      <w:r w:rsidRPr="00896D4F">
        <w:softHyphen/>
        <w:t>ningar o</w:t>
      </w:r>
      <w:r w:rsidRPr="00896D4F">
        <w:t xml:space="preserve">m handlingsutlämnande gäller ett skyndsamhetskrav (se 2 kap. 12 och 13 §§ TF). </w:t>
      </w:r>
    </w:p>
    <w:p w:rsidR="009C1C5A" w:rsidRPr="00896D4F" w:rsidRDefault="009C1C5A">
      <w:pPr>
        <w:pStyle w:val="Normaltindrag"/>
      </w:pPr>
      <w:r w:rsidRPr="00896D4F">
        <w:t>Kommunchefen i Säffle kommun Joel Nyström har vägrat att lämna ut de av AC.P. begärda handlingarna med hänvisning till en av domstol fastställd förlikning i en ekonomisk tvist mellan kommunen AC.P:s make. I remissyt</w:t>
      </w:r>
      <w:r w:rsidRPr="00896D4F">
        <w:t>t</w:t>
      </w:r>
      <w:r w:rsidRPr="00896D4F">
        <w:t>ra</w:t>
      </w:r>
      <w:r w:rsidRPr="00896D4F">
        <w:t>n</w:t>
      </w:r>
      <w:r w:rsidRPr="00896D4F">
        <w:t>det har kommunstyrelsen ställt sig bakom kommun</w:t>
      </w:r>
      <w:r w:rsidRPr="00896D4F">
        <w:softHyphen/>
      </w:r>
      <w:r w:rsidRPr="00896D4F">
        <w:softHyphen/>
      </w:r>
      <w:r w:rsidRPr="00896D4F">
        <w:softHyphen/>
        <w:t xml:space="preserve">chefens handläggning. </w:t>
      </w:r>
    </w:p>
    <w:p w:rsidR="009C1C5A" w:rsidRPr="00896D4F" w:rsidRDefault="009C1C5A">
      <w:pPr>
        <w:pStyle w:val="Normaltindrag"/>
      </w:pPr>
      <w:r w:rsidRPr="00896D4F">
        <w:t>I den offentligrättsliga lagstiftningen regleras som nämnts frågan om o</w:t>
      </w:r>
      <w:r w:rsidRPr="00896D4F">
        <w:t>f</w:t>
      </w:r>
      <w:r w:rsidRPr="00896D4F">
        <w:t>fentlighet och sekretess för uppgifter hos myndigheterna. Myn</w:t>
      </w:r>
      <w:r w:rsidRPr="00896D4F">
        <w:softHyphen/>
        <w:t>dig</w:t>
      </w:r>
      <w:r w:rsidRPr="00896D4F">
        <w:softHyphen/>
        <w:t>heterna kan inte genom civilrättsliga överenskommelser disponera över denna reglering och de bör därför inte heller träffa avtal med denna inriktning. Det sagda innebär att kommunen i det nu aktuella fallet, oavsett innebörden av förlik</w:t>
      </w:r>
      <w:r w:rsidRPr="00896D4F">
        <w:softHyphen/>
        <w:t>ningsavtalet i detta hänseende, haft att pröva AC.P:s framställning mot re</w:t>
      </w:r>
      <w:r w:rsidRPr="00896D4F">
        <w:t>g</w:t>
      </w:r>
      <w:r w:rsidRPr="00896D4F">
        <w:t>lerna i TF och sekretess</w:t>
      </w:r>
      <w:r w:rsidRPr="00896D4F">
        <w:softHyphen/>
        <w:t>lagen (1980:100) och, om hinder inte förelåg enligt dessa lagar, lämna ut de efterfrågade handlingarna. I an</w:t>
      </w:r>
      <w:r w:rsidRPr="00896D4F">
        <w:t>nat fall har AC.P.  haft rätt till ett beslut som kunnat överklagas.</w:t>
      </w:r>
    </w:p>
    <w:p w:rsidR="009C1C5A" w:rsidRPr="00896D4F" w:rsidRDefault="009C1C5A">
      <w:pPr>
        <w:pStyle w:val="Normaltindrag"/>
      </w:pPr>
      <w:r w:rsidRPr="00896D4F">
        <w:t>Jag är kritisk till kommunens handläggning av ärendet och förutsätter att kommunen snarast kommer att behandla AC.P:s begäran om hand</w:t>
      </w:r>
      <w:r w:rsidRPr="00896D4F">
        <w:softHyphen/>
        <w:t>lings</w:t>
      </w:r>
      <w:r w:rsidRPr="00896D4F">
        <w:softHyphen/>
      </w:r>
      <w:r w:rsidRPr="00896D4F">
        <w:softHyphen/>
        <w:t xml:space="preserve">utlämnande i enlighet med gällande regelverk. JO har dock inte möjlighet att ålägga en myndighet att vidta åtgärder. </w:t>
      </w:r>
    </w:p>
    <w:p w:rsidR="009C1C5A" w:rsidRPr="00896D4F" w:rsidRDefault="009C1C5A">
      <w:pPr>
        <w:pStyle w:val="Normaltindrag"/>
      </w:pPr>
      <w:r w:rsidRPr="00896D4F">
        <w:t>Med dessa uttalanden avslutas ärendet.</w:t>
      </w:r>
    </w:p>
    <w:p w:rsidR="009C1C5A" w:rsidRPr="00896D4F" w:rsidRDefault="009C1C5A">
      <w:pPr>
        <w:pStyle w:val="Rubrik2"/>
      </w:pPr>
      <w:r w:rsidRPr="00896D4F">
        <w:t>Krav på personligt besök och kontant betalning får ej ställas då någon begär kop</w:t>
      </w:r>
      <w:r w:rsidRPr="00896D4F">
        <w:t>i</w:t>
      </w:r>
      <w:r w:rsidRPr="00896D4F">
        <w:t>or av allmänna handlingar</w:t>
      </w:r>
    </w:p>
    <w:p w:rsidR="009C1C5A" w:rsidRPr="00896D4F" w:rsidRDefault="009C1C5A">
      <w:pPr>
        <w:spacing w:before="0"/>
      </w:pPr>
      <w:r w:rsidRPr="00896D4F">
        <w:t>(Dnr 3313-2001)</w:t>
      </w:r>
    </w:p>
    <w:p w:rsidR="009C1C5A" w:rsidRPr="00896D4F" w:rsidRDefault="009C1C5A">
      <w:pPr>
        <w:pStyle w:val="Rubrik3"/>
      </w:pPr>
      <w:r w:rsidRPr="00896D4F">
        <w:t>Initiativet</w:t>
      </w:r>
    </w:p>
    <w:p w:rsidR="009C1C5A" w:rsidRPr="00896D4F" w:rsidRDefault="009C1C5A">
      <w:r w:rsidRPr="00896D4F">
        <w:t>I artiklar i Svenska Dagbladet den 16 och 17 augusti 2001 redovisades brister i myndigheters tillämpning av offentlighetsprincipen. Bland annat uppgavs att miljöförvaltningen i Stockholms kommun kräver personligt besök om någon vill få ut papper från myndigheten. Miljöförvaltningens administrative chef Bengt Andersson uppgavs ha sagt följande: ”För att få se i vårt diarium och våra handlingar skall detta göras på plats. Undantag från regeln och kravet på kontant betalning för k</w:t>
      </w:r>
      <w:r w:rsidRPr="00896D4F">
        <w:t>o</w:t>
      </w:r>
      <w:r w:rsidRPr="00896D4F">
        <w:t>pior gör vi för handikappade.”</w:t>
      </w:r>
    </w:p>
    <w:p w:rsidR="009C1C5A" w:rsidRPr="00896D4F" w:rsidRDefault="009C1C5A">
      <w:pPr>
        <w:pStyle w:val="Normaltindrag"/>
      </w:pPr>
      <w:r w:rsidRPr="00896D4F">
        <w:t>Med anledning av uppgifterna i artiklarna beslutade JO Berggren att inleda utre</w:t>
      </w:r>
      <w:r w:rsidRPr="00896D4F">
        <w:t>d</w:t>
      </w:r>
      <w:r w:rsidRPr="00896D4F">
        <w:t>ning.</w:t>
      </w:r>
    </w:p>
    <w:p w:rsidR="009C1C5A" w:rsidRPr="00896D4F" w:rsidRDefault="009C1C5A">
      <w:pPr>
        <w:pStyle w:val="Rubrik3"/>
      </w:pPr>
      <w:r w:rsidRPr="00896D4F">
        <w:t>Utredning</w:t>
      </w:r>
    </w:p>
    <w:p w:rsidR="009C1C5A" w:rsidRPr="00896D4F" w:rsidRDefault="009C1C5A">
      <w:r w:rsidRPr="00896D4F">
        <w:t>Miljö- och hälsoskyddsnämnden i Stockholms kommun anmodades att yttra sig. Av yttrandet skulle framgå om det fanns någon rättslig grund för den begränsning av myndighetens tillgänglighet och service som redovisades i artikeln.</w:t>
      </w:r>
    </w:p>
    <w:p w:rsidR="009C1C5A" w:rsidRPr="00896D4F" w:rsidRDefault="009C1C5A">
      <w:pPr>
        <w:pStyle w:val="Normaltindrag"/>
      </w:pPr>
      <w:r w:rsidRPr="00896D4F">
        <w:t>Miljö- och hälsoskyddsnämnden överlämnade som sitt yttrande ett tjänst</w:t>
      </w:r>
      <w:r w:rsidRPr="00896D4F">
        <w:t>e</w:t>
      </w:r>
      <w:r w:rsidRPr="00896D4F">
        <w:t>utlåtande från miljöförvaltningen, vari lämnas en kortfattad redogörelse för den händelse som omnämns i tidningsartikeln samt en redovisning av hur förvaltningen tillä</w:t>
      </w:r>
      <w:r w:rsidRPr="00896D4F">
        <w:t>m</w:t>
      </w:r>
      <w:r w:rsidRPr="00896D4F">
        <w:t xml:space="preserve">par aktuella bestämmelser. </w:t>
      </w:r>
    </w:p>
    <w:p w:rsidR="009C1C5A" w:rsidRPr="00896D4F" w:rsidRDefault="009C1C5A">
      <w:r w:rsidRPr="00896D4F">
        <w:t xml:space="preserve">I beslut den 29 januari 2002 anförde </w:t>
      </w:r>
      <w:r w:rsidRPr="00896D4F">
        <w:rPr>
          <w:i/>
        </w:rPr>
        <w:t>JO Berggren</w:t>
      </w:r>
      <w:r w:rsidRPr="00896D4F">
        <w:t xml:space="preserve"> följande.</w:t>
      </w:r>
    </w:p>
    <w:p w:rsidR="009C1C5A" w:rsidRPr="00896D4F" w:rsidRDefault="009C1C5A">
      <w:r w:rsidRPr="00896D4F">
        <w:t>Av det i tidningsartikeln återgivna uttalandet kunde den slutsatsen dras att allmänhetens tillgänglighet till allmänna handlingar hos nämnden gjorts ber</w:t>
      </w:r>
      <w:r w:rsidRPr="00896D4F">
        <w:t>o</w:t>
      </w:r>
      <w:r w:rsidRPr="00896D4F">
        <w:t>ende av att de som önskar ta del av handlingarna personligen besöker näm</w:t>
      </w:r>
      <w:r w:rsidRPr="00896D4F">
        <w:t>n</w:t>
      </w:r>
      <w:r w:rsidRPr="00896D4F">
        <w:t>dens kansli. I enlighet med vad jag utvecklar i det följande är en sådan or</w:t>
      </w:r>
      <w:r w:rsidRPr="00896D4F">
        <w:t>d</w:t>
      </w:r>
      <w:r w:rsidRPr="00896D4F">
        <w:t>ning inte förenlig med reglerna om den s.k. offentlighetsprincipen. Tidning</w:t>
      </w:r>
      <w:r w:rsidRPr="00896D4F">
        <w:t>s</w:t>
      </w:r>
      <w:r w:rsidRPr="00896D4F">
        <w:t>uttalandet har inte berörts i remissvaret på annat sätt än genom uppgiften att det inte upprätthålls något besökskrav eller annan inskränkning i tillgängli</w:t>
      </w:r>
      <w:r w:rsidRPr="00896D4F">
        <w:t>g</w:t>
      </w:r>
      <w:r w:rsidRPr="00896D4F">
        <w:t>heten för att få ut en handling. Av svaret får dock anses framgå att klara fra</w:t>
      </w:r>
      <w:r w:rsidRPr="00896D4F">
        <w:t>m</w:t>
      </w:r>
      <w:r w:rsidRPr="00896D4F">
        <w:t xml:space="preserve">ställningar per post eller telefon med önskemål om </w:t>
      </w:r>
      <w:r w:rsidRPr="00896D4F">
        <w:t>kopior behandlas skyn</w:t>
      </w:r>
      <w:r w:rsidRPr="00896D4F">
        <w:t>d</w:t>
      </w:r>
      <w:r w:rsidRPr="00896D4F">
        <w:t>samt medan förvaltningen regelmässigt föreslår sökanden att besöka myndi</w:t>
      </w:r>
      <w:r w:rsidRPr="00896D4F">
        <w:t>g</w:t>
      </w:r>
      <w:r w:rsidRPr="00896D4F">
        <w:t>heten om han har svårt att precisera sina önskemål om handlingar eller det annars uppkommer svårigheter att identifiera han</w:t>
      </w:r>
      <w:r w:rsidRPr="00896D4F">
        <w:t>d</w:t>
      </w:r>
      <w:r w:rsidRPr="00896D4F">
        <w:t>lingarna.</w:t>
      </w:r>
    </w:p>
    <w:p w:rsidR="009C1C5A" w:rsidRPr="00896D4F" w:rsidRDefault="009C1C5A">
      <w:pPr>
        <w:pStyle w:val="Normaltindrag"/>
      </w:pPr>
      <w:r w:rsidRPr="00896D4F">
        <w:t>Vad som förekommit i ärendet ger anledning till följande redovisning och bedö</w:t>
      </w:r>
      <w:r w:rsidRPr="00896D4F">
        <w:t>m</w:t>
      </w:r>
      <w:r w:rsidRPr="00896D4F">
        <w:t>ning av mig.</w:t>
      </w:r>
    </w:p>
    <w:p w:rsidR="009C1C5A" w:rsidRPr="00896D4F" w:rsidRDefault="009C1C5A">
      <w:pPr>
        <w:pStyle w:val="Rubrik3"/>
      </w:pPr>
      <w:r w:rsidRPr="00896D4F">
        <w:t>Rättslig reglering</w:t>
      </w:r>
    </w:p>
    <w:p w:rsidR="009C1C5A" w:rsidRPr="00896D4F" w:rsidRDefault="009C1C5A">
      <w:r w:rsidRPr="00896D4F">
        <w:t>Grundläggande bestämmelser om allmänna handlingars offentlighet finns i 2 kap. tryckfrihetsförordningen (TF). Kapitlet reglerar primärt även frågor om sådana handlingars utlämnande.</w:t>
      </w:r>
    </w:p>
    <w:p w:rsidR="009C1C5A" w:rsidRPr="00896D4F" w:rsidRDefault="009C1C5A">
      <w:pPr>
        <w:pStyle w:val="Normaltindrag"/>
      </w:pPr>
      <w:r w:rsidRPr="00896D4F">
        <w:t>En begäran om att få ta del av en allmän handling skall enligt 2 kap. 14 § TF göras hos den myndighet som förvarar handlingen. Svarar viss befat</w:t>
      </w:r>
      <w:r w:rsidRPr="00896D4F">
        <w:t>t</w:t>
      </w:r>
      <w:r w:rsidRPr="00896D4F">
        <w:t>ningshavare vid myndigheten enligt arbetsordning eller särskilt beslut för vården av handlingen, ankommer det enligt 15 kap. 6 § sekretesslagen (1980:100) på denne att i första hand pröva frågan om handlingens utlämna</w:t>
      </w:r>
      <w:r w:rsidRPr="00896D4F">
        <w:t>n</w:t>
      </w:r>
      <w:r w:rsidRPr="00896D4F">
        <w:t>de till enskild.</w:t>
      </w:r>
    </w:p>
    <w:p w:rsidR="009C1C5A" w:rsidRPr="00896D4F" w:rsidRDefault="009C1C5A">
      <w:pPr>
        <w:pStyle w:val="Normaltindrag"/>
      </w:pPr>
      <w:r w:rsidRPr="00896D4F">
        <w:t>Enligt 2 kap. 12 § TF skall en allmän handling som får lämnas ut – och som alltså inte omfattas av någon sekretessbestämmelse – på begäran genast eller så snart det är möjligt på stället utan avgift tillhandahållas den som ön</w:t>
      </w:r>
      <w:r w:rsidRPr="00896D4F">
        <w:t>s</w:t>
      </w:r>
      <w:r w:rsidRPr="00896D4F">
        <w:t>kar ta del av den. Av 2 kap. 13 § TF framgår vidare att den som önskar ta del av en allmän handling även har rätt att mot fastställd avgift få avskrift eller kopia av handlingen. En sådan begäran skall behandlas skyndsamt. JO har i ett flertal beslut uttalat att besked i en utlämnandefråga normalt bör lämnas redan samma dag som begäran har gjorts. Någon eller några dagars fördrö</w:t>
      </w:r>
      <w:r w:rsidRPr="00896D4F">
        <w:t>j</w:t>
      </w:r>
      <w:r w:rsidRPr="00896D4F">
        <w:t>ning kan dock godtas om en sådan fördröjning är nödvändig för att myndi</w:t>
      </w:r>
      <w:r w:rsidRPr="00896D4F">
        <w:t>g</w:t>
      </w:r>
      <w:r w:rsidRPr="00896D4F">
        <w:t>heten skall kunna ta ställning till om den efterfrågade h</w:t>
      </w:r>
      <w:r w:rsidRPr="00896D4F">
        <w:t>andlingen är allmän och offentlig. Härtill kommer att ett visst dröjsmål är ofrånkomligt om fra</w:t>
      </w:r>
      <w:r w:rsidRPr="00896D4F">
        <w:t>m</w:t>
      </w:r>
      <w:r w:rsidRPr="00896D4F">
        <w:t>ställningen avser eller fordrar genomgång av ett omfattande m</w:t>
      </w:r>
      <w:r w:rsidRPr="00896D4F">
        <w:t>a</w:t>
      </w:r>
      <w:r w:rsidRPr="00896D4F">
        <w:t>terial.</w:t>
      </w:r>
    </w:p>
    <w:p w:rsidR="009C1C5A" w:rsidRPr="00896D4F" w:rsidRDefault="009C1C5A">
      <w:pPr>
        <w:pStyle w:val="Normaltindrag"/>
      </w:pPr>
      <w:r w:rsidRPr="00896D4F">
        <w:t>Om en framställning om att få ta del av en handling inte kan tillmötesgås fullt ut skall den som begär handlingen underrättas härom. Han skall också enligt 15 kap. 6 § sekretesslagen underrättas om att han kan begära att frågan hänskjuts till myndigheten och att ett formligt beslut av myndigheten krävs för att ett avgörande skall kunna överklag</w:t>
      </w:r>
      <w:r w:rsidRPr="00896D4F">
        <w:t xml:space="preserve">as. </w:t>
      </w:r>
    </w:p>
    <w:p w:rsidR="009C1C5A" w:rsidRPr="00896D4F" w:rsidRDefault="009C1C5A">
      <w:pPr>
        <w:pStyle w:val="Normaltindrag"/>
      </w:pPr>
      <w:r w:rsidRPr="00896D4F">
        <w:t>Mot myndighetens avslagsbeslut får sökanden enligt 15 kap. 7 § sekr</w:t>
      </w:r>
      <w:r w:rsidRPr="00896D4F">
        <w:t>e</w:t>
      </w:r>
      <w:r w:rsidRPr="00896D4F">
        <w:t>tesslagen föra talan. Att ett beslut som går att överklaga skall förses med en anvisning om hur det kan överklagas följer av 21 § förvaltningslagen (1986:223).</w:t>
      </w:r>
    </w:p>
    <w:p w:rsidR="009C1C5A" w:rsidRPr="00896D4F" w:rsidRDefault="009C1C5A">
      <w:pPr>
        <w:pStyle w:val="Normaltindrag"/>
      </w:pPr>
      <w:r w:rsidRPr="00896D4F">
        <w:t>Som en allmän förutsättning för att en myndighet skall vara skyldig att b</w:t>
      </w:r>
      <w:r w:rsidRPr="00896D4F">
        <w:t>i</w:t>
      </w:r>
      <w:r w:rsidRPr="00896D4F">
        <w:t>stå allmänheten i enlighet med vad som redovisats ovan gäller emellertid att den som önskar få ut en handling kan precisera vilken handling som avses eller i vart fall kan lämna så detaljerade upplysningar om handlingens inn</w:t>
      </w:r>
      <w:r w:rsidRPr="00896D4F">
        <w:t>e</w:t>
      </w:r>
      <w:r w:rsidRPr="00896D4F">
        <w:t>håll att myndigheten utan större svårigheter kan identifiera denna. Myndi</w:t>
      </w:r>
      <w:r w:rsidRPr="00896D4F">
        <w:t>g</w:t>
      </w:r>
      <w:r w:rsidRPr="00896D4F">
        <w:t>heten måste således få klart för sig vilken eller vilka handlingar som avses. Den har å andra sidan i viss utsträckning skyldighet att efterforska en oklart preciserad handling. Om myndigheten, när den får en beg</w:t>
      </w:r>
      <w:r w:rsidRPr="00896D4F">
        <w:t>äran om utfående av allmänna handlingar, inte direkt får klart för sig vilka handlingar som avses, får det anses ankomma på myndigheten att så snart som möjligt lämna söka</w:t>
      </w:r>
      <w:r w:rsidRPr="00896D4F">
        <w:t>n</w:t>
      </w:r>
      <w:r w:rsidRPr="00896D4F">
        <w:t>den en underrättelse härom så att denne får tillfälle att komplettera eller prec</w:t>
      </w:r>
      <w:r w:rsidRPr="00896D4F">
        <w:t>i</w:t>
      </w:r>
      <w:r w:rsidRPr="00896D4F">
        <w:t>sera sin framställning. Myndigheten är också skyldig att i en inte obetydlig utsträckning bistå sökanden genom att t.ex. med hjälp av sina register leta fram sådana handlingar som han begär. Om myndigheten, trots sådana a</w:t>
      </w:r>
      <w:r w:rsidRPr="00896D4F">
        <w:t>n</w:t>
      </w:r>
      <w:r w:rsidRPr="00896D4F">
        <w:t>strängningar som nu sagts, kommer fra</w:t>
      </w:r>
      <w:r w:rsidRPr="00896D4F">
        <w:t>m till att det inte går att finna de han</w:t>
      </w:r>
      <w:r w:rsidRPr="00896D4F">
        <w:t>d</w:t>
      </w:r>
      <w:r w:rsidRPr="00896D4F">
        <w:t>lingar som sökanden vill se, är myndigheten skyldig att erbjuda sökanden ett avslagsb</w:t>
      </w:r>
      <w:r w:rsidRPr="00896D4F">
        <w:t>e</w:t>
      </w:r>
      <w:r w:rsidRPr="00896D4F">
        <w:t>slut på sätt som jag nyss har nämnt.</w:t>
      </w:r>
    </w:p>
    <w:p w:rsidR="009C1C5A" w:rsidRPr="00896D4F" w:rsidRDefault="009C1C5A">
      <w:pPr>
        <w:pStyle w:val="Rubrik3"/>
      </w:pPr>
      <w:r w:rsidRPr="00896D4F">
        <w:t>Bedömning</w:t>
      </w:r>
    </w:p>
    <w:p w:rsidR="009C1C5A" w:rsidRPr="00896D4F" w:rsidRDefault="009C1C5A">
      <w:r w:rsidRPr="00896D4F">
        <w:t xml:space="preserve">Enligt vad som uppgetts i remissvaret föreslår förvaltningen regelmässigt att den enskilde besöker myndigheten och där tar del av handlingarna i de fall någon har svårt att precisera sina önskemål om vilka handlingar som avses. </w:t>
      </w:r>
    </w:p>
    <w:p w:rsidR="009C1C5A" w:rsidRPr="00896D4F" w:rsidRDefault="009C1C5A">
      <w:pPr>
        <w:pStyle w:val="Normaltindrag"/>
      </w:pPr>
      <w:r w:rsidRPr="00896D4F">
        <w:t>Svaret ger intryck av att myndigheten inte på det sätt som nämnts bistår sökanden i identifieringen av efterfrågade handlingar. Självklart kan myndi</w:t>
      </w:r>
      <w:r w:rsidRPr="00896D4F">
        <w:t>g</w:t>
      </w:r>
      <w:r w:rsidRPr="00896D4F">
        <w:t>heten upplysa en sökande om att han själv kan söka efter handlingen i t.ex. myndighetens diarium, men något krav på detta kan inte ställas. Om myndi</w:t>
      </w:r>
      <w:r w:rsidRPr="00896D4F">
        <w:t>g</w:t>
      </w:r>
      <w:r w:rsidRPr="00896D4F">
        <w:t>heten trots ansträngningar inte kan identifiera handlingarna som efterfrågas får framställningen avslås.</w:t>
      </w:r>
    </w:p>
    <w:p w:rsidR="009C1C5A" w:rsidRPr="00896D4F" w:rsidRDefault="009C1C5A">
      <w:pPr>
        <w:pStyle w:val="Normaltindrag"/>
      </w:pPr>
      <w:r w:rsidRPr="00896D4F">
        <w:t>Remissvaret tyder även på att förvaltningen helst ser att avgiften för kopior av handlingar erläggs kontant vid besök hos myndigheten. Det måste dock understrykas att en sökande alltid har rätt att få de efterfrågade handlingarna sända till sig. Anledningen</w:t>
      </w:r>
      <w:r w:rsidRPr="00896D4F">
        <w:t xml:space="preserve"> till att någon begär kopior av allmänna handlingar kan ju många gånger vara att personen i fråga har svårt att bege sig till my</w:t>
      </w:r>
      <w:r w:rsidRPr="00896D4F">
        <w:t>n</w:t>
      </w:r>
      <w:r w:rsidRPr="00896D4F">
        <w:t>digheten där handlingen förvaras. Svårigheten behöver inte bestå i ett fysiskt handikapp utan t.ex. avståndet kan också utgöra hinder. I de fall avgift skall tas ut för kopiorna kan de översändas mot postförskott.</w:t>
      </w:r>
    </w:p>
    <w:p w:rsidR="009C1C5A" w:rsidRPr="00896D4F" w:rsidRDefault="009C1C5A">
      <w:pPr>
        <w:pStyle w:val="Normaltindrag"/>
      </w:pPr>
      <w:r w:rsidRPr="00896D4F">
        <w:t>Med dessa besked avslutar jag ärendet.</w:t>
      </w:r>
    </w:p>
    <w:p w:rsidR="009C1C5A" w:rsidRPr="00896D4F" w:rsidRDefault="009C1C5A">
      <w:pPr>
        <w:pStyle w:val="Rubrik1"/>
      </w:pPr>
      <w:r w:rsidRPr="00896D4F">
        <w:br w:type="page"/>
        <w:t>Remissyttranden</w:t>
      </w:r>
    </w:p>
    <w:p w:rsidR="009C1C5A" w:rsidRPr="00896D4F" w:rsidRDefault="009C1C5A">
      <w:pPr>
        <w:pStyle w:val="Rubrik2"/>
        <w:spacing w:before="250"/>
      </w:pPr>
      <w:r w:rsidRPr="00896D4F">
        <w:t>Remiss av betänkandet (SOU 2001:97) Regler för Riksrevisionen</w:t>
      </w:r>
    </w:p>
    <w:p w:rsidR="009C1C5A" w:rsidRPr="00896D4F" w:rsidRDefault="009C1C5A">
      <w:pPr>
        <w:spacing w:before="0"/>
      </w:pPr>
      <w:r w:rsidRPr="00896D4F">
        <w:t>(Dnr 4581-2001)</w:t>
      </w:r>
    </w:p>
    <w:p w:rsidR="009C1C5A" w:rsidRPr="00896D4F" w:rsidRDefault="009C1C5A">
      <w:r w:rsidRPr="00896D4F">
        <w:t xml:space="preserve">I ett lagstiftningsärende avseende skapandet av den nya myndigheten under riksdagen, Riksrevisionen, avgav </w:t>
      </w:r>
      <w:r w:rsidRPr="00896D4F">
        <w:rPr>
          <w:i/>
        </w:rPr>
        <w:t>chefsJO Eklundh</w:t>
      </w:r>
      <w:r w:rsidRPr="00896D4F">
        <w:t xml:space="preserve"> den 1 mars 2002 följande yttrande till Regeringskansliet, Finansdepartementet.</w:t>
      </w:r>
    </w:p>
    <w:p w:rsidR="009C1C5A" w:rsidRPr="00896D4F" w:rsidRDefault="009C1C5A">
      <w:pPr>
        <w:pStyle w:val="PunktlistaNummer"/>
        <w:numPr>
          <w:ilvl w:val="0"/>
          <w:numId w:val="0"/>
        </w:numPr>
        <w:spacing w:before="250"/>
        <w:rPr>
          <w:b/>
          <w:sz w:val="21"/>
        </w:rPr>
      </w:pPr>
      <w:r w:rsidRPr="00896D4F">
        <w:rPr>
          <w:b/>
          <w:sz w:val="21"/>
        </w:rPr>
        <w:t>Bakgrund samt avgränsning av yttrandet</w:t>
      </w:r>
    </w:p>
    <w:p w:rsidR="009C1C5A" w:rsidRPr="00896D4F" w:rsidRDefault="009C1C5A">
      <w:r w:rsidRPr="00896D4F">
        <w:t>Under den pågående processen avseende reformering av den statliga revisi</w:t>
      </w:r>
      <w:r w:rsidRPr="00896D4F">
        <w:t>o</w:t>
      </w:r>
      <w:r w:rsidRPr="00896D4F">
        <w:t>nen har jag tidigare yttrat mig dels den 14 oktober 2000 till riksdagens ko</w:t>
      </w:r>
      <w:r w:rsidRPr="00896D4F">
        <w:t>n</w:t>
      </w:r>
      <w:r w:rsidRPr="00896D4F">
        <w:t>stitutions</w:t>
      </w:r>
      <w:r w:rsidRPr="00896D4F">
        <w:softHyphen/>
        <w:t>utskott över Riksdagskommitténs rapport Riksdagen och den statliga revisio</w:t>
      </w:r>
      <w:r w:rsidRPr="00896D4F">
        <w:softHyphen/>
        <w:t>nen, dels den 11 maj 2001 till Justitiedepartementet över depart</w:t>
      </w:r>
      <w:r w:rsidRPr="00896D4F">
        <w:t>e</w:t>
      </w:r>
      <w:r w:rsidRPr="00896D4F">
        <w:t>mentspromemo</w:t>
      </w:r>
      <w:r w:rsidRPr="00896D4F">
        <w:softHyphen/>
        <w:t>rian (Ds 2001-11) Riksrevisionen – ändringar i regeringsfo</w:t>
      </w:r>
      <w:r w:rsidRPr="00896D4F">
        <w:t>r</w:t>
      </w:r>
      <w:r w:rsidRPr="00896D4F">
        <w:t>men. Som bakgrund till de synpunkter som jag nu framför vill jag hänvisa till vad jag anfört i dessa båda ytt</w:t>
      </w:r>
      <w:r w:rsidRPr="00896D4F">
        <w:softHyphen/>
        <w:t>randen.</w:t>
      </w:r>
    </w:p>
    <w:p w:rsidR="009C1C5A" w:rsidRPr="00896D4F" w:rsidRDefault="009C1C5A">
      <w:pPr>
        <w:pStyle w:val="Normaltindrag"/>
      </w:pPr>
      <w:r w:rsidRPr="00896D4F">
        <w:t>Jag kommer i det följande väsentligen att uppehålla mig vid de delar av betänkan</w:t>
      </w:r>
      <w:r w:rsidRPr="00896D4F">
        <w:softHyphen/>
        <w:t>det och utredarens författningsförslag som rör frågor av betydelse för riksreviso</w:t>
      </w:r>
      <w:r w:rsidRPr="00896D4F">
        <w:softHyphen/>
        <w:t>rernas oberoende, frågor om den organisatoriska modellen för den nya revi</w:t>
      </w:r>
      <w:r w:rsidRPr="00896D4F">
        <w:softHyphen/>
        <w:t>sionsmyndigheten samt frågor om förhållandet mellan olika organ inom myndig</w:t>
      </w:r>
      <w:r w:rsidRPr="00896D4F">
        <w:softHyphen/>
        <w:t>heten, främst riksrevisorerna å ena sidan och styrelsen å den andra. Däremot fin</w:t>
      </w:r>
      <w:r w:rsidRPr="00896D4F">
        <w:softHyphen/>
        <w:t xml:space="preserve">ner jag inte anledning för JO att anlägga synpunkter på de förslag som rör rent revisionstekniska frågor. </w:t>
      </w:r>
    </w:p>
    <w:p w:rsidR="009C1C5A" w:rsidRPr="00896D4F" w:rsidRDefault="009C1C5A">
      <w:pPr>
        <w:pStyle w:val="Normaltindrag"/>
      </w:pPr>
      <w:r w:rsidRPr="00896D4F">
        <w:t>Jag har i detta ärende haft tillgång till proposition 2001/02:73 med förslag till ändrad ly</w:t>
      </w:r>
      <w:r w:rsidRPr="00896D4F">
        <w:t>delse av 12 kap. 7 § regeringsformen, som i väsentlig mån skiljer sig från för</w:t>
      </w:r>
      <w:r w:rsidRPr="00896D4F">
        <w:softHyphen/>
        <w:t>slaget i den nyss nämnda departementspromemorian. Jag har även haft tillgång till kommit</w:t>
      </w:r>
      <w:r w:rsidRPr="00896D4F">
        <w:softHyphen/>
        <w:t>tédirektiven 2001:31 (Finansdepartementet) avseende de organisatoriska frågorna kring bildandet av den nya revisionsmyndigheten under riksdagen. Såväl i direkti</w:t>
      </w:r>
      <w:r w:rsidRPr="00896D4F">
        <w:softHyphen/>
        <w:t>ven som i den nämnda propositionen behan</w:t>
      </w:r>
      <w:r w:rsidRPr="00896D4F">
        <w:t>d</w:t>
      </w:r>
      <w:r w:rsidRPr="00896D4F">
        <w:t>las frågor som hänger intimt samman med övervägandena i det remitterade betänkandet. Jag anser mig därför oförhind</w:t>
      </w:r>
      <w:r w:rsidRPr="00896D4F">
        <w:softHyphen/>
        <w:t>rad att i detta yttrande äv</w:t>
      </w:r>
      <w:r w:rsidRPr="00896D4F">
        <w:t>en fra</w:t>
      </w:r>
      <w:r w:rsidRPr="00896D4F">
        <w:t>m</w:t>
      </w:r>
      <w:r w:rsidRPr="00896D4F">
        <w:t>föra vissa synpunkter på förslaget till grundlags</w:t>
      </w:r>
      <w:r w:rsidRPr="00896D4F">
        <w:softHyphen/>
        <w:t>reglering och på de nämnda direktivens innehåll.</w:t>
      </w:r>
    </w:p>
    <w:p w:rsidR="009C1C5A" w:rsidRPr="00896D4F" w:rsidRDefault="009C1C5A">
      <w:pPr>
        <w:pStyle w:val="Rubrik3"/>
      </w:pPr>
      <w:r w:rsidRPr="00896D4F">
        <w:t>Riksrevisionens organisatoriska uppbyggnad; förhållandet mellan riksrevisorerna och styrelsen; riksrevisorernas oberoende</w:t>
      </w:r>
    </w:p>
    <w:p w:rsidR="009C1C5A" w:rsidRPr="00896D4F" w:rsidRDefault="009C1C5A">
      <w:pPr>
        <w:pStyle w:val="Rubrik4"/>
      </w:pPr>
      <w:r w:rsidRPr="00896D4F">
        <w:t>Allmänna synpunkter på den organisatoriska modellen och revisorernas själv</w:t>
      </w:r>
      <w:r w:rsidRPr="00896D4F">
        <w:softHyphen/>
        <w:t>ständighet</w:t>
      </w:r>
    </w:p>
    <w:p w:rsidR="009C1C5A" w:rsidRPr="00896D4F" w:rsidRDefault="009C1C5A">
      <w:r w:rsidRPr="00896D4F">
        <w:t>Utredaren har haft att utgå från den av riksdagen beslutade organisatoriska mo</w:t>
      </w:r>
      <w:r w:rsidRPr="00896D4F">
        <w:softHyphen/>
        <w:t>dellen för Riksrevisionen, vilken är unik för svensk statsförvaltning. Å ena sidan skall myndigheten ledas av tre självständiga riksrevisorer, som är av riksdagen valda tjänstemän. Å andra sidan skall det vid myndigheten finnas en styrelse, som likaledes väljs av riksdagen och som består av riksdagsled</w:t>
      </w:r>
      <w:r w:rsidRPr="00896D4F">
        <w:t>a</w:t>
      </w:r>
      <w:r w:rsidRPr="00896D4F">
        <w:t>möter eller före detta riksdagsledamöter. Konstruktionen är inte oproblem</w:t>
      </w:r>
      <w:r w:rsidRPr="00896D4F">
        <w:t>a</w:t>
      </w:r>
      <w:r w:rsidRPr="00896D4F">
        <w:t>tisk  mot bakgrund av intres</w:t>
      </w:r>
      <w:r w:rsidRPr="00896D4F">
        <w:softHyphen/>
        <w:t>set att garantera riks</w:t>
      </w:r>
      <w:r w:rsidRPr="00896D4F">
        <w:softHyphen/>
        <w:t xml:space="preserve">revisorernas självständighet. </w:t>
      </w:r>
    </w:p>
    <w:p w:rsidR="009C1C5A" w:rsidRPr="00896D4F" w:rsidRDefault="009C1C5A">
      <w:pPr>
        <w:pStyle w:val="Normaltindrag"/>
      </w:pPr>
      <w:r w:rsidRPr="00896D4F">
        <w:t>Av central betydelse för förtroendet för den statl</w:t>
      </w:r>
      <w:r w:rsidRPr="00896D4F">
        <w:t>iga revisionen är att rik</w:t>
      </w:r>
      <w:r w:rsidRPr="00896D4F">
        <w:t>s</w:t>
      </w:r>
      <w:r w:rsidRPr="00896D4F">
        <w:t>reviso</w:t>
      </w:r>
      <w:r w:rsidRPr="00896D4F">
        <w:softHyphen/>
        <w:t>rerna åtnjuter fullständigt  oberoende i förhållande till dem som skall granskas och långtgående självständighet i förhållande till uppdragsgivaren, riksdagen. Jag de</w:t>
      </w:r>
      <w:r w:rsidRPr="00896D4F">
        <w:softHyphen/>
        <w:t>lar den i Åke Dahlbergs särskilda yttrande framförda up</w:t>
      </w:r>
      <w:r w:rsidRPr="00896D4F">
        <w:t>p</w:t>
      </w:r>
      <w:r w:rsidRPr="00896D4F">
        <w:t>fattningen (s. 246 f.) att riksreviso</w:t>
      </w:r>
      <w:r w:rsidRPr="00896D4F">
        <w:softHyphen/>
        <w:t>rernas relation till riksdagen, oaktat deras långtgående självständighet även i för</w:t>
      </w:r>
      <w:r w:rsidRPr="00896D4F">
        <w:softHyphen/>
        <w:t>hållande till riksdagen, rimligen ko</w:t>
      </w:r>
      <w:r w:rsidRPr="00896D4F">
        <w:t>m</w:t>
      </w:r>
      <w:r w:rsidRPr="00896D4F">
        <w:t>mer att vara annorlunda än relatio</w:t>
      </w:r>
      <w:r w:rsidRPr="00896D4F">
        <w:softHyphen/>
        <w:t>nen till granskningsobjekten, varför 1 § andra stycket i försl</w:t>
      </w:r>
      <w:r w:rsidRPr="00896D4F">
        <w:t>aget till lag om revi</w:t>
      </w:r>
      <w:r w:rsidRPr="00896D4F">
        <w:softHyphen/>
        <w:t>sion av statlig verksamhet m.m. (for</w:t>
      </w:r>
      <w:r w:rsidRPr="00896D4F">
        <w:t>t</w:t>
      </w:r>
      <w:r w:rsidRPr="00896D4F">
        <w:t>sättningsvis revisionslagen) fått en mindre lyckad utformning. Riksrevisore</w:t>
      </w:r>
      <w:r w:rsidRPr="00896D4F">
        <w:t>r</w:t>
      </w:r>
      <w:r w:rsidRPr="00896D4F">
        <w:t>nas självständighet omfattar vad som brukar be</w:t>
      </w:r>
      <w:r w:rsidRPr="00896D4F">
        <w:softHyphen/>
        <w:t>tecknas som det revisionella oberoendets kärna, dvs. rätten att själv välja gransk</w:t>
      </w:r>
      <w:r w:rsidRPr="00896D4F">
        <w:softHyphen/>
        <w:t>ningsobjekt, att självstä</w:t>
      </w:r>
      <w:r w:rsidRPr="00896D4F">
        <w:t>n</w:t>
      </w:r>
      <w:r w:rsidRPr="00896D4F">
        <w:t>digt bedriva granskningen och att obun</w:t>
      </w:r>
      <w:r w:rsidRPr="00896D4F">
        <w:softHyphen/>
        <w:t>det formulera re</w:t>
      </w:r>
      <w:r w:rsidRPr="00896D4F">
        <w:softHyphen/>
        <w:t>sultaten av grans</w:t>
      </w:r>
      <w:r w:rsidRPr="00896D4F">
        <w:t>k</w:t>
      </w:r>
      <w:r w:rsidRPr="00896D4F">
        <w:t>ningen. Det är av synnerlig vikt att ingen oklar</w:t>
      </w:r>
      <w:r w:rsidRPr="00896D4F">
        <w:softHyphen/>
        <w:t>het tillåts råda om att det är riksrevisorerna personligen som genom författningsfö</w:t>
      </w:r>
      <w:r w:rsidRPr="00896D4F">
        <w:softHyphen/>
        <w:t>re</w:t>
      </w:r>
      <w:r w:rsidRPr="00896D4F">
        <w:softHyphen/>
        <w:t>skrifter ga</w:t>
      </w:r>
      <w:r w:rsidRPr="00896D4F">
        <w:softHyphen/>
        <w:t>ranteras denna självständighet, inte institutionen Riksrevisionen som sådan, vilken ju inkluderar den parlamentariskt sammansatta styrelsen. Härvidlag lämnar såväl författningsförslagen som de resonerande delarna av betänkandet en del ö</w:t>
      </w:r>
      <w:r w:rsidRPr="00896D4F">
        <w:t>v</w:t>
      </w:r>
      <w:r w:rsidRPr="00896D4F">
        <w:t>rigt att önska vad gäller stringens, eftersom begreppen ”Riksrevisionen” och ”myndigheten” växelvis används i olika betydelser, ibland som en benämning på institutionen som sådan, ibland för att beteckna styrelsen och slutligen i vissa fall som en benämning på riksrevisorer</w:t>
      </w:r>
      <w:r w:rsidRPr="00896D4F">
        <w:t>na. Exempelvis torde termen Riksrevisionen i 1 § revisionslagen och i 1–3 §§ förslaget till lag med i</w:t>
      </w:r>
      <w:r w:rsidRPr="00896D4F">
        <w:t>n</w:t>
      </w:r>
      <w:r w:rsidRPr="00896D4F">
        <w:t>struktion för Riksrevisio</w:t>
      </w:r>
      <w:r w:rsidRPr="00896D4F">
        <w:softHyphen/>
        <w:t>nen (fortsättningsvis instruktionen) beteckna my</w:t>
      </w:r>
      <w:r w:rsidRPr="00896D4F">
        <w:t>n</w:t>
      </w:r>
      <w:r w:rsidRPr="00896D4F">
        <w:t>digheten som sådan, i förslaget till tilläggsbestämmelse till 3 kap. 8 § 3 rik</w:t>
      </w:r>
      <w:r w:rsidRPr="00896D4F">
        <w:t>s</w:t>
      </w:r>
      <w:r w:rsidRPr="00896D4F">
        <w:t>dagsordningen liksom i 12 § revi</w:t>
      </w:r>
      <w:r w:rsidRPr="00896D4F">
        <w:softHyphen/>
        <w:t>sions</w:t>
      </w:r>
      <w:r w:rsidRPr="00896D4F">
        <w:softHyphen/>
        <w:t>lagen styrelsen, och i 2 och 3 §§ rev</w:t>
      </w:r>
      <w:r w:rsidRPr="00896D4F">
        <w:t>i</w:t>
      </w:r>
      <w:r w:rsidRPr="00896D4F">
        <w:t>sionslagen riksrevisorerna.</w:t>
      </w:r>
    </w:p>
    <w:p w:rsidR="009C1C5A" w:rsidRPr="00896D4F" w:rsidRDefault="009C1C5A">
      <w:pPr>
        <w:pStyle w:val="Normaltindrag"/>
      </w:pPr>
      <w:r w:rsidRPr="00896D4F">
        <w:t>Riksrevisorernas självständighet i förhållande till riksdagen hade enligt min me</w:t>
      </w:r>
      <w:r w:rsidRPr="00896D4F">
        <w:softHyphen/>
        <w:t>ning på ett mindre problematiskt sätt kunnat garanteras inom ramen för en mera konventionell organisatorisk modell för myndigheten. Ett närli</w:t>
      </w:r>
      <w:r w:rsidRPr="00896D4F">
        <w:t>g</w:t>
      </w:r>
      <w:r w:rsidRPr="00896D4F">
        <w:t>gande alternativ hade kunnat vara att ledningsfunktionen odelat anförtrotts riksrevisorerna och den roll för parlamentarisk insyn i verksamheten som tillkommer den inom myndig</w:t>
      </w:r>
      <w:r w:rsidRPr="00896D4F">
        <w:softHyphen/>
        <w:t>heten verkande styrelsen i stället hade lagts på ett organ inom riksdagen, till vilket riksrevisorerna haft att rapportera och som de även haft att hålla fortlöpande in</w:t>
      </w:r>
      <w:r w:rsidRPr="00896D4F">
        <w:softHyphen/>
        <w:t>formerade om gransknings</w:t>
      </w:r>
      <w:r w:rsidRPr="00896D4F">
        <w:t>planer och påg</w:t>
      </w:r>
      <w:r w:rsidRPr="00896D4F">
        <w:t>å</w:t>
      </w:r>
      <w:r w:rsidRPr="00896D4F">
        <w:t xml:space="preserve">ende verksamhet. </w:t>
      </w:r>
    </w:p>
    <w:p w:rsidR="009C1C5A" w:rsidRPr="00896D4F" w:rsidRDefault="009C1C5A">
      <w:pPr>
        <w:pStyle w:val="Normaltindrag"/>
        <w:rPr>
          <w:i/>
        </w:rPr>
      </w:pPr>
      <w:r w:rsidRPr="00896D4F">
        <w:t>Modellen med en i Riksrevisionen integrerad styrelse, som trots sin b</w:t>
      </w:r>
      <w:r w:rsidRPr="00896D4F">
        <w:t>e</w:t>
      </w:r>
      <w:r w:rsidRPr="00896D4F">
        <w:t>nämning inte leder myndigheten, är emellertid beslutad av riksdagen. Utred</w:t>
      </w:r>
      <w:r w:rsidRPr="00896D4F">
        <w:t>a</w:t>
      </w:r>
      <w:r w:rsidRPr="00896D4F">
        <w:t>ren har enligt sina direktiv haft att lägga detta beslut till grund  för sina fö</w:t>
      </w:r>
      <w:r w:rsidRPr="00896D4F">
        <w:t>r</w:t>
      </w:r>
      <w:r w:rsidRPr="00896D4F">
        <w:t>slag till lagstiftning. Jag anser det vara synnerligen angeläget att styrelsens uppgifter och befogenheter inom ramen för den sålunda fastlagda modellen regleras på ett sådant sätt att riks</w:t>
      </w:r>
      <w:r w:rsidRPr="00896D4F">
        <w:softHyphen/>
        <w:t>revisorernas självständighet med avseende på det revisionella oberoendets kärna inte äventyras eller kan komma att ifråg</w:t>
      </w:r>
      <w:r w:rsidRPr="00896D4F">
        <w:t>a</w:t>
      </w:r>
      <w:r w:rsidRPr="00896D4F">
        <w:t>sättas. Detta synsätt delas uppenbarligen av</w:t>
      </w:r>
      <w:r w:rsidRPr="00896D4F">
        <w:t xml:space="preserve"> regeringen som i propositionen avseende ny grundlagsreglering beto</w:t>
      </w:r>
      <w:r w:rsidRPr="00896D4F">
        <w:softHyphen/>
        <w:t>nar att den stora vikt som måste läggas vid myndighetens (riksrevisorernas, min anm.) själv</w:t>
      </w:r>
      <w:r w:rsidRPr="00896D4F">
        <w:softHyphen/>
        <w:t>ständighet i den granskande verksamheten bör anges särskilt. Inte minst viktigt är detta enligt departementschefen, till följd av myndighetens speci</w:t>
      </w:r>
      <w:r w:rsidRPr="00896D4F">
        <w:softHyphen/>
        <w:t>ella konstruktion, för förhållandet mellan revisorerna och myndighetens styrelse (prop. 2001/02:73 s. 13). Departementschefen drar slutsatsen att Riksrevisionens styrelse skall om</w:t>
      </w:r>
      <w:r w:rsidRPr="00896D4F">
        <w:softHyphen/>
        <w:t>nämnas särskilt i reger</w:t>
      </w:r>
      <w:r w:rsidRPr="00896D4F">
        <w:t xml:space="preserve">ingsformen, som bör innehålla en </w:t>
      </w:r>
      <w:r w:rsidRPr="00896D4F">
        <w:rPr>
          <w:i/>
        </w:rPr>
        <w:t>uttöm</w:t>
      </w:r>
      <w:r w:rsidRPr="00896D4F">
        <w:rPr>
          <w:i/>
        </w:rPr>
        <w:softHyphen/>
        <w:t>mande</w:t>
      </w:r>
      <w:r w:rsidRPr="00896D4F">
        <w:t xml:space="preserve"> (min kursi</w:t>
      </w:r>
      <w:r w:rsidRPr="00896D4F">
        <w:softHyphen/>
        <w:t>vering) uppräkning av styrelsens uppgifter, detta för att klargöra de e</w:t>
      </w:r>
      <w:r w:rsidRPr="00896D4F">
        <w:t>x</w:t>
      </w:r>
      <w:r w:rsidRPr="00896D4F">
        <w:t>akta grän</w:t>
      </w:r>
      <w:r w:rsidRPr="00896D4F">
        <w:softHyphen/>
        <w:t>serna för dess ansvarsområde och sålunda garantera riksrevisorer</w:t>
      </w:r>
      <w:r w:rsidRPr="00896D4F">
        <w:softHyphen/>
        <w:t xml:space="preserve">nas självständiga ställning (a.prop. s. 12). I förslaget till ny lydelse av 12 kap. 7 § tredje stycket regeringsformen anges styrelsens uppgift vara att </w:t>
      </w:r>
      <w:r w:rsidRPr="00896D4F">
        <w:rPr>
          <w:i/>
        </w:rPr>
        <w:t>följa grans</w:t>
      </w:r>
      <w:r w:rsidRPr="00896D4F">
        <w:rPr>
          <w:i/>
        </w:rPr>
        <w:t>k</w:t>
      </w:r>
      <w:r w:rsidRPr="00896D4F">
        <w:rPr>
          <w:i/>
        </w:rPr>
        <w:t>nings</w:t>
      </w:r>
      <w:r w:rsidRPr="00896D4F">
        <w:rPr>
          <w:i/>
        </w:rPr>
        <w:softHyphen/>
        <w:t>verksamheten, lämna de förslag och redogörelser till riksdagen som riksrevisorer</w:t>
      </w:r>
      <w:r w:rsidRPr="00896D4F">
        <w:rPr>
          <w:i/>
        </w:rPr>
        <w:softHyphen/>
        <w:t>nas gransk</w:t>
      </w:r>
      <w:r w:rsidRPr="00896D4F">
        <w:rPr>
          <w:i/>
        </w:rPr>
        <w:softHyphen/>
        <w:t>nings</w:t>
      </w:r>
      <w:r w:rsidRPr="00896D4F">
        <w:rPr>
          <w:i/>
        </w:rPr>
        <w:softHyphen/>
        <w:t>rapporter kan ge anledning till samt att</w:t>
      </w:r>
      <w:r w:rsidRPr="00896D4F">
        <w:rPr>
          <w:i/>
        </w:rPr>
        <w:t xml:space="preserve"> besluta om förslag till an</w:t>
      </w:r>
      <w:r w:rsidRPr="00896D4F">
        <w:rPr>
          <w:i/>
        </w:rPr>
        <w:softHyphen/>
        <w:t>slag på statsbud</w:t>
      </w:r>
      <w:r w:rsidRPr="00896D4F">
        <w:rPr>
          <w:i/>
        </w:rPr>
        <w:softHyphen/>
        <w:t>geten och om årsredovisning för myndigh</w:t>
      </w:r>
      <w:r w:rsidRPr="00896D4F">
        <w:rPr>
          <w:i/>
        </w:rPr>
        <w:t>e</w:t>
      </w:r>
      <w:r w:rsidRPr="00896D4F">
        <w:rPr>
          <w:i/>
        </w:rPr>
        <w:t xml:space="preserve">ten. </w:t>
      </w:r>
    </w:p>
    <w:p w:rsidR="009C1C5A" w:rsidRPr="00896D4F" w:rsidRDefault="009C1C5A">
      <w:pPr>
        <w:pStyle w:val="Rubrik4"/>
      </w:pPr>
      <w:r w:rsidRPr="00896D4F">
        <w:t>Styrelsens yttranden över förslagen till granskningsplaner</w:t>
      </w:r>
    </w:p>
    <w:p w:rsidR="009C1C5A" w:rsidRPr="00896D4F" w:rsidRDefault="009C1C5A">
      <w:r w:rsidRPr="00896D4F">
        <w:t>10 och 11 §§ instruktionen innehåller förslag till föreskrifter rörande styre</w:t>
      </w:r>
      <w:r w:rsidRPr="00896D4F">
        <w:t>l</w:t>
      </w:r>
      <w:r w:rsidRPr="00896D4F">
        <w:t>sens befogenheter och uppgifter. Förslaget ansluter i stora drag till upprä</w:t>
      </w:r>
      <w:r w:rsidRPr="00896D4F">
        <w:t>k</w:t>
      </w:r>
      <w:r w:rsidRPr="00896D4F">
        <w:t>ningen i  förslaget till grundlagsreglering. Därutöver tillkommer emellertid – i enlig</w:t>
      </w:r>
      <w:r w:rsidRPr="00896D4F">
        <w:softHyphen/>
        <w:t>het med riksdagens på betänkande 2000/01:KU8 baserade beslut – att styrelsen skall ha till uppgift att besluta om yttrande till riksrevisorerna över gransknings</w:t>
      </w:r>
      <w:r w:rsidRPr="00896D4F">
        <w:softHyphen/>
        <w:t>plan (11 § första stycket 2 instruktionen). Ett sådant förslag i</w:t>
      </w:r>
      <w:r w:rsidRPr="00896D4F">
        <w:t>n</w:t>
      </w:r>
      <w:r w:rsidRPr="00896D4F">
        <w:t>gick redan i Riksdagskommit</w:t>
      </w:r>
      <w:r w:rsidRPr="00896D4F">
        <w:softHyphen/>
        <w:t>téns rapport (1999/2000:RS1) Riksdagen och den statliga revisionen, och jag av</w:t>
      </w:r>
      <w:r w:rsidRPr="00896D4F">
        <w:softHyphen/>
        <w:t>styrkte det i m</w:t>
      </w:r>
      <w:r w:rsidRPr="00896D4F">
        <w:t>itt yttrande till konstitution</w:t>
      </w:r>
      <w:r w:rsidRPr="00896D4F">
        <w:t>s</w:t>
      </w:r>
      <w:r w:rsidRPr="00896D4F">
        <w:t>utskottet med hänvisning till farhågor för att en sådan ordning kan leda till att den revisionella granskningens oberoende kan komma att ifrågasättas, även om riksrevisorerna formellt inte är bundna av styrelsens i sådana yttranden framförda synpunkter. Jag vidhåller min uppfatt</w:t>
      </w:r>
      <w:r w:rsidRPr="00896D4F">
        <w:softHyphen/>
        <w:t>ning och avstyrker utredarens förslag i denna del. Förslaget harmonierar enligt min uppfattning dåligt med förslaget till grundlagsreglering, eftersom styrelsens upp</w:t>
      </w:r>
      <w:r w:rsidRPr="00896D4F">
        <w:softHyphen/>
        <w:t>gift att ”följa grans</w:t>
      </w:r>
      <w:r w:rsidRPr="00896D4F">
        <w:t>k</w:t>
      </w:r>
      <w:r w:rsidRPr="00896D4F">
        <w:t>ningsverksamh</w:t>
      </w:r>
      <w:r w:rsidRPr="00896D4F">
        <w:t>eten” knappast kan anses innefatta befo</w:t>
      </w:r>
      <w:r w:rsidRPr="00896D4F">
        <w:softHyphen/>
        <w:t>genhet att be</w:t>
      </w:r>
      <w:r w:rsidRPr="00896D4F">
        <w:softHyphen/>
        <w:t>sluta om yttranden till riksrevisorerna över deras granskning</w:t>
      </w:r>
      <w:r w:rsidRPr="00896D4F">
        <w:t>s</w:t>
      </w:r>
      <w:r w:rsidRPr="00896D4F">
        <w:t xml:space="preserve">planer. </w:t>
      </w:r>
    </w:p>
    <w:p w:rsidR="009C1C5A" w:rsidRPr="00896D4F" w:rsidRDefault="009C1C5A">
      <w:pPr>
        <w:pStyle w:val="Rubrik4"/>
        <w:rPr>
          <w:i w:val="0"/>
        </w:rPr>
      </w:pPr>
      <w:r w:rsidRPr="00896D4F">
        <w:t>Beslut om årsredovisning</w:t>
      </w:r>
    </w:p>
    <w:p w:rsidR="009C1C5A" w:rsidRPr="00896D4F" w:rsidRDefault="009C1C5A">
      <w:r w:rsidRPr="00896D4F">
        <w:t>I mitt yttrande över Riksdagskommitténs rapport ställde jag mig negativ även till förslaget att styrelsen skall fastställa Riksrevisionens årsredovisning. Av de skäl som jag då anförde anser jag fortfarande att detta är en mindre lämp</w:t>
      </w:r>
      <w:r w:rsidRPr="00896D4F">
        <w:softHyphen/>
        <w:t>lig ordning och att årsredovisning och delårsrapporter hellre borde beslutas av den riksrevisor som ansvarar för myndighetens administrativa ledning (efter samråd med kolle</w:t>
      </w:r>
      <w:r w:rsidRPr="00896D4F">
        <w:softHyphen/>
        <w:t>gerna) och avrapporteras till styrelsen. Jag konstaterar emellertid att rollfördel</w:t>
      </w:r>
      <w:r w:rsidRPr="00896D4F">
        <w:softHyphen/>
        <w:t>ningen enligt riksdagens beslut skall vara den att st</w:t>
      </w:r>
      <w:r w:rsidRPr="00896D4F">
        <w:t>y</w:t>
      </w:r>
      <w:r w:rsidRPr="00896D4F">
        <w:t>relsen beslutar om årsredo</w:t>
      </w:r>
      <w:r w:rsidRPr="00896D4F">
        <w:softHyphen/>
        <w:t>visning och att förslaget till grund</w:t>
      </w:r>
      <w:r w:rsidRPr="00896D4F">
        <w:softHyphen/>
        <w:t>lagsreglering ger styrelsen denna uppgift. Efter</w:t>
      </w:r>
      <w:r w:rsidRPr="00896D4F">
        <w:softHyphen/>
        <w:t>som denna fråga är av ringa betydelse för rik</w:t>
      </w:r>
      <w:r w:rsidRPr="00896D4F">
        <w:t>s</w:t>
      </w:r>
      <w:r w:rsidRPr="00896D4F">
        <w:t>revisorernas självständighet finner jag in</w:t>
      </w:r>
      <w:r w:rsidRPr="00896D4F">
        <w:t>te anledning att ytterligare uppehålla mig vid 11 § första stycket 3 instruk</w:t>
      </w:r>
      <w:r w:rsidRPr="00896D4F">
        <w:softHyphen/>
        <w:t>tionen.</w:t>
      </w:r>
    </w:p>
    <w:p w:rsidR="009C1C5A" w:rsidRPr="00896D4F" w:rsidRDefault="009C1C5A">
      <w:pPr>
        <w:pStyle w:val="Rubrik4"/>
        <w:rPr>
          <w:i w:val="0"/>
        </w:rPr>
      </w:pPr>
      <w:r w:rsidRPr="00896D4F">
        <w:t>Remissförfarande avseende granskningsrapporter</w:t>
      </w:r>
    </w:p>
    <w:p w:rsidR="009C1C5A" w:rsidRPr="00896D4F" w:rsidRDefault="009C1C5A">
      <w:r w:rsidRPr="00896D4F">
        <w:t>Styrelsens huvuduppgift skall enligt förslaget till grundlagsreglering vara att be</w:t>
      </w:r>
      <w:r w:rsidRPr="00896D4F">
        <w:softHyphen/>
        <w:t>sluta om för</w:t>
      </w:r>
      <w:r w:rsidRPr="00896D4F">
        <w:softHyphen/>
        <w:t>slag och redogörelser till riksdagen med anledning av riksrev</w:t>
      </w:r>
      <w:r w:rsidRPr="00896D4F">
        <w:t>i</w:t>
      </w:r>
      <w:r w:rsidRPr="00896D4F">
        <w:t>sorernas beslut i granskningsärenden, dvs. att dra politiska slutsatser av de resultat av granskningen som respektive riksrevisor obundet och slutgiltigt formulerat i sin gransknings</w:t>
      </w:r>
      <w:r w:rsidRPr="00896D4F">
        <w:softHyphen/>
        <w:t>rapport och med ledning av dessa slutsatser föra upp frågor på riksda</w:t>
      </w:r>
      <w:r w:rsidRPr="00896D4F">
        <w:softHyphen/>
        <w:t>gens agenda. I betänkandet föreslås (s. 140) att styrelsen som ett led i denna pro</w:t>
      </w:r>
      <w:r w:rsidRPr="00896D4F">
        <w:softHyphen/>
        <w:t xml:space="preserve">cess skall ha möjlighet att remittera riksrevisorernas granskningsrapporter innan den tar ställning </w:t>
      </w:r>
      <w:r w:rsidRPr="00896D4F">
        <w:t>till frågan om en rapport bör föranleda en redogörelse eller ett förslag till riksdagen. Utredaren hänvisar till att Riksdagens revisorer i viss ut</w:t>
      </w:r>
      <w:r w:rsidRPr="00896D4F">
        <w:softHyphen/>
        <w:t>sträckning tillämpar ett sådant förfarande i dag. Vidare anförs att ingen författ</w:t>
      </w:r>
      <w:r w:rsidRPr="00896D4F">
        <w:softHyphen/>
        <w:t>ningsreglering behövs vad gäller styrelsens möjlighet att remittera grans</w:t>
      </w:r>
      <w:r w:rsidRPr="00896D4F">
        <w:t>k</w:t>
      </w:r>
      <w:r w:rsidRPr="00896D4F">
        <w:t>nings</w:t>
      </w:r>
      <w:r w:rsidRPr="00896D4F">
        <w:softHyphen/>
        <w:t xml:space="preserve">rapporter. </w:t>
      </w:r>
    </w:p>
    <w:p w:rsidR="009C1C5A" w:rsidRPr="00896D4F" w:rsidRDefault="009C1C5A">
      <w:pPr>
        <w:pStyle w:val="Normaltindrag"/>
      </w:pPr>
      <w:r w:rsidRPr="00896D4F">
        <w:t>Den föreslagna ordningen är ägnad att framkalla allvarliga farhågor för oklarhet om ansvars- och rollfördelningen mellan riksrevisorerna och styre</w:t>
      </w:r>
      <w:r w:rsidRPr="00896D4F">
        <w:t>l</w:t>
      </w:r>
      <w:r w:rsidRPr="00896D4F">
        <w:t>sen vad gäller granskningen och granskningsrapporterna. Uttryck som ”den fortsatta bered</w:t>
      </w:r>
      <w:r w:rsidRPr="00896D4F">
        <w:softHyphen/>
        <w:t>ningen av rapporten” och tal om styrelsens möjlighet att göra ”tillägg m.m. till en rapport” förstärker dessa farhågor. Det bör inte få råda någon som helst oklarhet om att Riksrevisionens granskning är avslutad i och med att vederbörande riks</w:t>
      </w:r>
      <w:r w:rsidRPr="00896D4F">
        <w:softHyphen/>
        <w:t>revisor inom respektive ansvarsområde har fastställt och offentliggjort Riksrevi</w:t>
      </w:r>
      <w:r w:rsidRPr="00896D4F">
        <w:softHyphen/>
        <w:t>sio</w:t>
      </w:r>
      <w:r w:rsidRPr="00896D4F">
        <w:softHyphen/>
        <w:t>nens rapport. I konstitutionsutskottets betänka</w:t>
      </w:r>
      <w:r w:rsidRPr="00896D4F">
        <w:t>n</w:t>
      </w:r>
      <w:r w:rsidRPr="00896D4F">
        <w:t>de (2000/01:KU8) betonades att styrelsen inte</w:t>
      </w:r>
      <w:r w:rsidRPr="00896D4F">
        <w:t xml:space="preserve"> deltar i själva revisionsproce</w:t>
      </w:r>
      <w:r w:rsidRPr="00896D4F">
        <w:t>s</w:t>
      </w:r>
      <w:r w:rsidRPr="00896D4F">
        <w:t>sen och inte heller i utformningen av revisionsrapporterna. Styrelsens uppgift är enbart att dra eventuella politiska slut</w:t>
      </w:r>
      <w:r w:rsidRPr="00896D4F">
        <w:softHyphen/>
        <w:t>satser av granskningens resultat, sådant det slutgiltigt redovisats i granskningsrap</w:t>
      </w:r>
      <w:r w:rsidRPr="00896D4F">
        <w:softHyphen/>
        <w:t>porten och att med ledning av dessa slutsatser ta ställning till frågan om eventu</w:t>
      </w:r>
      <w:r w:rsidRPr="00896D4F">
        <w:softHyphen/>
        <w:t>ella förslag och redogörelser till riksdagen. Den föreslagna ordningen med remiss</w:t>
      </w:r>
      <w:r w:rsidRPr="00896D4F">
        <w:softHyphen/>
        <w:t>för</w:t>
      </w:r>
      <w:r w:rsidRPr="00896D4F">
        <w:softHyphen/>
        <w:t>farande i styrelsens regi före dess ställningstagande kan medföra att förtroendet för riksrevisore</w:t>
      </w:r>
      <w:r w:rsidRPr="00896D4F">
        <w:t>r</w:t>
      </w:r>
      <w:r w:rsidRPr="00896D4F">
        <w:t>nas s</w:t>
      </w:r>
      <w:r w:rsidRPr="00896D4F">
        <w:t>jälvständighet skadas. Jag avstyrker därför be</w:t>
      </w:r>
      <w:r w:rsidRPr="00896D4F">
        <w:softHyphen/>
        <w:t>stämt detta förslag. Jag vill tillägga att jämförelsen med Riksdagens revisorers i dag tilläm</w:t>
      </w:r>
      <w:r w:rsidRPr="00896D4F">
        <w:softHyphen/>
        <w:t>pade remitt</w:t>
      </w:r>
      <w:r w:rsidRPr="00896D4F">
        <w:t>e</w:t>
      </w:r>
      <w:r w:rsidRPr="00896D4F">
        <w:t>ringspraxis inte är adekvat, eftersom det i den hos Riksda</w:t>
      </w:r>
      <w:r w:rsidRPr="00896D4F">
        <w:softHyphen/>
        <w:t>gens reviso</w:t>
      </w:r>
      <w:r w:rsidRPr="00896D4F">
        <w:softHyphen/>
        <w:t>rer ti</w:t>
      </w:r>
      <w:r w:rsidRPr="00896D4F">
        <w:t>l</w:t>
      </w:r>
      <w:r w:rsidRPr="00896D4F">
        <w:t xml:space="preserve">lämpade ordningen är fråga om ett led i </w:t>
      </w:r>
      <w:r w:rsidRPr="00896D4F">
        <w:rPr>
          <w:i/>
        </w:rPr>
        <w:t>de ansvariga revisorer</w:t>
      </w:r>
      <w:r w:rsidRPr="00896D4F">
        <w:rPr>
          <w:i/>
        </w:rPr>
        <w:softHyphen/>
        <w:t>nas</w:t>
      </w:r>
      <w:r w:rsidRPr="00896D4F">
        <w:t xml:space="preserve"> egen be</w:t>
      </w:r>
      <w:r w:rsidRPr="00896D4F">
        <w:softHyphen/>
        <w:t>re</w:t>
      </w:r>
      <w:r w:rsidRPr="00896D4F">
        <w:t>d</w:t>
      </w:r>
      <w:r w:rsidRPr="00896D4F">
        <w:t>ning av granskningsärendet inför deras slutliga rapport.</w:t>
      </w:r>
    </w:p>
    <w:p w:rsidR="009C1C5A" w:rsidRPr="00896D4F" w:rsidRDefault="009C1C5A">
      <w:pPr>
        <w:pStyle w:val="Rubrik4"/>
      </w:pPr>
      <w:r w:rsidRPr="00896D4F">
        <w:t>Rapportering till riksdagen</w:t>
      </w:r>
    </w:p>
    <w:p w:rsidR="009C1C5A" w:rsidRPr="00896D4F" w:rsidRDefault="009C1C5A">
      <w:r w:rsidRPr="00896D4F">
        <w:t>Enligt 12 § revisionslagen skall granskningsrapporterna från effektivitetsrev</w:t>
      </w:r>
      <w:r w:rsidRPr="00896D4F">
        <w:t>i</w:t>
      </w:r>
      <w:r w:rsidRPr="00896D4F">
        <w:t>sio</w:t>
      </w:r>
      <w:r w:rsidRPr="00896D4F">
        <w:softHyphen/>
        <w:t>nen lämnas till regeringen och, om Riksrevisionen beslutar det, till riksd</w:t>
      </w:r>
      <w:r w:rsidRPr="00896D4F">
        <w:t>a</w:t>
      </w:r>
      <w:r w:rsidRPr="00896D4F">
        <w:t>gen. Av författningskommentaren (s. 223) framgår att med benämningen Riksrevisionen här avses styrelsen. I sammanhanget hänvisas till 11 § första stycket 1 instruktio</w:t>
      </w:r>
      <w:r w:rsidRPr="00896D4F">
        <w:softHyphen/>
        <w:t>nen</w:t>
      </w:r>
      <w:r w:rsidRPr="00896D4F">
        <w:rPr>
          <w:i/>
        </w:rPr>
        <w:t xml:space="preserve"> </w:t>
      </w:r>
      <w:r w:rsidRPr="00896D4F">
        <w:t>som handlar om de förslag och redogörelser till rik</w:t>
      </w:r>
      <w:r w:rsidRPr="00896D4F">
        <w:t>s</w:t>
      </w:r>
      <w:r w:rsidRPr="00896D4F">
        <w:t>dagen i anledning av riks</w:t>
      </w:r>
      <w:r w:rsidRPr="00896D4F">
        <w:softHyphen/>
        <w:t>revisorernas beslut i bl.a. granskningsärenden avs</w:t>
      </w:r>
      <w:r w:rsidRPr="00896D4F">
        <w:t>e</w:t>
      </w:r>
      <w:r w:rsidRPr="00896D4F">
        <w:t>ende effekti</w:t>
      </w:r>
      <w:r w:rsidRPr="00896D4F">
        <w:softHyphen/>
        <w:t xml:space="preserve">vitetsrevisionen som styrelsen har att besluta om. </w:t>
      </w:r>
    </w:p>
    <w:p w:rsidR="009C1C5A" w:rsidRPr="00896D4F" w:rsidRDefault="009C1C5A">
      <w:pPr>
        <w:pStyle w:val="Normaltindrag"/>
      </w:pPr>
      <w:r w:rsidRPr="00896D4F">
        <w:t>Utredaren synes här ha blandat ihop två olika saker, nämligen å ena</w:t>
      </w:r>
      <w:r w:rsidRPr="00896D4F">
        <w:t xml:space="preserve"> sidan de granskningsrapporter som respektive riksrevisor (eller efter delegation en tjänste</w:t>
      </w:r>
      <w:r w:rsidRPr="00896D4F">
        <w:softHyphen/>
        <w:t>man vid revisionen) levererar när ett granskningsärende avslutats och å andra si</w:t>
      </w:r>
      <w:r w:rsidRPr="00896D4F">
        <w:softHyphen/>
        <w:t>dan de redogörelser och förslag som styrelsen finner anledning att tillställa riksda</w:t>
      </w:r>
      <w:r w:rsidRPr="00896D4F">
        <w:softHyphen/>
        <w:t>gen på grundval av styrelsens politiska slutsatser grundade på granskningsrap</w:t>
      </w:r>
      <w:r w:rsidRPr="00896D4F">
        <w:softHyphen/>
        <w:t>porternas innehåll. Det bör enligt min mening ankomma på vederbörande riksrevi</w:t>
      </w:r>
      <w:r w:rsidRPr="00896D4F">
        <w:softHyphen/>
        <w:t>sor att avgöra huru</w:t>
      </w:r>
      <w:r w:rsidRPr="00896D4F">
        <w:softHyphen/>
        <w:t>vida en granskningsrapport efter avslutad effektivitetsrevision skall lämnas</w:t>
      </w:r>
      <w:r w:rsidRPr="00896D4F">
        <w:t xml:space="preserve"> inte bara till regeringen utan också till riksdagen, medan frågan om even</w:t>
      </w:r>
      <w:r w:rsidRPr="00896D4F">
        <w:softHyphen/>
        <w:t>tuella redo</w:t>
      </w:r>
      <w:r w:rsidRPr="00896D4F">
        <w:softHyphen/>
        <w:t>görelser eller förslag i anle</w:t>
      </w:r>
      <w:r w:rsidRPr="00896D4F">
        <w:t>d</w:t>
      </w:r>
      <w:r w:rsidRPr="00896D4F">
        <w:t>ning av granskningsrapportens inne</w:t>
      </w:r>
      <w:r w:rsidRPr="00896D4F">
        <w:softHyphen/>
        <w:t>håll skall vara en angelägenhet för styre</w:t>
      </w:r>
      <w:r w:rsidRPr="00896D4F">
        <w:t>l</w:t>
      </w:r>
      <w:r w:rsidRPr="00896D4F">
        <w:t>sen. 12 § revisionslagen föreslås ändras så att detta tydligt framgår av lagte</w:t>
      </w:r>
      <w:r w:rsidRPr="00896D4F">
        <w:t>x</w:t>
      </w:r>
      <w:r w:rsidRPr="00896D4F">
        <w:t>ten.</w:t>
      </w:r>
    </w:p>
    <w:p w:rsidR="009C1C5A" w:rsidRPr="00896D4F" w:rsidRDefault="009C1C5A">
      <w:pPr>
        <w:pStyle w:val="Rubrik4"/>
        <w:rPr>
          <w:i w:val="0"/>
        </w:rPr>
      </w:pPr>
      <w:r w:rsidRPr="00896D4F">
        <w:t>Bedömning av granskningens resultat</w:t>
      </w:r>
    </w:p>
    <w:p w:rsidR="009C1C5A" w:rsidRPr="00896D4F" w:rsidRDefault="009C1C5A">
      <w:r w:rsidRPr="00896D4F">
        <w:t>Som nämnts ingår i det revisionella oberoendets kärna den revisionsansvar</w:t>
      </w:r>
      <w:r w:rsidRPr="00896D4F">
        <w:t>i</w:t>
      </w:r>
      <w:r w:rsidRPr="00896D4F">
        <w:t xml:space="preserve">ges rätt att självständigt formulera resultaten av en genomförd granskning. Det sker vanligen genom publiceringen av en granskningsrapport. I förslaget till ny lydelse av 12 kap. 7 § andra stycket regeringsformen (prop. </w:t>
      </w:r>
      <w:r w:rsidRPr="00896D4F">
        <w:rPr>
          <w:spacing w:val="-8"/>
        </w:rPr>
        <w:t>2001/02:73)</w:t>
      </w:r>
      <w:r w:rsidRPr="00896D4F">
        <w:t xml:space="preserve"> har tagits in en bestämmelse av innebörd att riksrevisorerna självständigt bedömer resultatet av sin granskning. Bestämmelsen kommenteras på s. 14 i propositionen, där bl.a. följande anförs:</w:t>
      </w:r>
    </w:p>
    <w:p w:rsidR="009C1C5A" w:rsidRPr="00896D4F" w:rsidRDefault="009C1C5A">
      <w:pPr>
        <w:pStyle w:val="Citat"/>
      </w:pPr>
      <w:r w:rsidRPr="00896D4F">
        <w:t>Såvitt avser bedömningen av de resultat som granskningen leder fram till är riksrevisore</w:t>
      </w:r>
      <w:r w:rsidRPr="00896D4F">
        <w:t>rna helt självständiga, såväl i förhållande till den kommande rev</w:t>
      </w:r>
      <w:r w:rsidRPr="00896D4F">
        <w:t>i</w:t>
      </w:r>
      <w:r w:rsidRPr="00896D4F">
        <w:t>sionslagens bestämmelser som till granskningsobjekten, styrelsen och andra.  – – – Det är i de angivna avseendena – val av revi</w:t>
      </w:r>
      <w:r w:rsidRPr="00896D4F">
        <w:softHyphen/>
        <w:t>sionsobjekt, granskningens bedrivande och bedömningen av granskningens resultat – som den nya my</w:t>
      </w:r>
      <w:r w:rsidRPr="00896D4F">
        <w:t>n</w:t>
      </w:r>
      <w:r w:rsidRPr="00896D4F">
        <w:t>dighetens självständiga ställning på olika sätt gestaltar sig.</w:t>
      </w:r>
    </w:p>
    <w:p w:rsidR="009C1C5A" w:rsidRPr="00896D4F" w:rsidRDefault="009C1C5A">
      <w:r w:rsidRPr="00896D4F">
        <w:t>Att bedöma granskningens resultat är emellertid något helt annat än att fo</w:t>
      </w:r>
      <w:r w:rsidRPr="00896D4F">
        <w:t>r</w:t>
      </w:r>
      <w:r w:rsidRPr="00896D4F">
        <w:t>mulera gransk</w:t>
      </w:r>
      <w:r w:rsidRPr="00896D4F">
        <w:softHyphen/>
        <w:t>ningens resultat, exempelvis i en rapport. Bedömningen av resultaten, vil</w:t>
      </w:r>
      <w:r w:rsidRPr="00896D4F">
        <w:softHyphen/>
        <w:t>ken kan innefatta förslag till förändringar av regelverk, rutiner, organisation och resursal</w:t>
      </w:r>
      <w:r w:rsidRPr="00896D4F">
        <w:softHyphen/>
        <w:t>lokering m.m.  är en politisk och inte en revisionell uppgift, och den bör därför inte ankomma på riksrevisorerna utan på rappo</w:t>
      </w:r>
      <w:r w:rsidRPr="00896D4F">
        <w:t>r</w:t>
      </w:r>
      <w:r w:rsidRPr="00896D4F">
        <w:t>ternas mottagare, i första hand riksda</w:t>
      </w:r>
      <w:r w:rsidRPr="00896D4F">
        <w:softHyphen/>
        <w:t>gen och regeringen. Med den för riksr</w:t>
      </w:r>
      <w:r w:rsidRPr="00896D4F">
        <w:t>e</w:t>
      </w:r>
      <w:r w:rsidRPr="00896D4F">
        <w:t>visionen valda organisatoriska modellen finns det även inom myndigheten ett organ som har till uppgift att be</w:t>
      </w:r>
      <w:r w:rsidRPr="00896D4F">
        <w:softHyphen/>
        <w:t>döma och dra sl</w:t>
      </w:r>
      <w:r w:rsidRPr="00896D4F">
        <w:t>utsatser av resultaten, näml</w:t>
      </w:r>
      <w:r w:rsidRPr="00896D4F">
        <w:t>i</w:t>
      </w:r>
      <w:r w:rsidRPr="00896D4F">
        <w:t>gen styrelsen. Dess bedömningar för</w:t>
      </w:r>
      <w:r w:rsidRPr="00896D4F">
        <w:softHyphen/>
        <w:t>utsätts leda till att förslag och redogöre</w:t>
      </w:r>
      <w:r w:rsidRPr="00896D4F">
        <w:t>l</w:t>
      </w:r>
      <w:r w:rsidRPr="00896D4F">
        <w:t>ser i en del fall tillställs riksdagen med anledning av riks</w:t>
      </w:r>
      <w:r w:rsidRPr="00896D4F">
        <w:softHyphen/>
        <w:t>revisorernas beslut i granskningsärenden (11 § 1 instruktionen).</w:t>
      </w:r>
    </w:p>
    <w:p w:rsidR="009C1C5A" w:rsidRPr="00896D4F" w:rsidRDefault="009C1C5A">
      <w:pPr>
        <w:pStyle w:val="Normaltindrag"/>
      </w:pPr>
      <w:r w:rsidRPr="00896D4F">
        <w:t>Av anförda skäl anser jag att sista meningen i 12 kap. 7 § andra stycket r</w:t>
      </w:r>
      <w:r w:rsidRPr="00896D4F">
        <w:t>e</w:t>
      </w:r>
      <w:r w:rsidRPr="00896D4F">
        <w:t>gerings</w:t>
      </w:r>
      <w:r w:rsidRPr="00896D4F">
        <w:softHyphen/>
        <w:t>formen bör ges följande lydelse:</w:t>
      </w:r>
    </w:p>
    <w:p w:rsidR="009C1C5A" w:rsidRPr="00896D4F" w:rsidRDefault="009C1C5A">
      <w:pPr>
        <w:spacing w:before="0"/>
        <w:rPr>
          <w:i/>
        </w:rPr>
      </w:pPr>
      <w:r w:rsidRPr="00896D4F">
        <w:rPr>
          <w:i/>
        </w:rPr>
        <w:t>De formulerar självständigt resultatet av sin granskning.</w:t>
      </w:r>
    </w:p>
    <w:p w:rsidR="009C1C5A" w:rsidRPr="00896D4F" w:rsidRDefault="009C1C5A">
      <w:pPr>
        <w:pStyle w:val="Rubrik3"/>
      </w:pPr>
      <w:r w:rsidRPr="00896D4F">
        <w:t>Beslut om granskningsplaner</w:t>
      </w:r>
    </w:p>
    <w:p w:rsidR="009C1C5A" w:rsidRPr="00896D4F" w:rsidRDefault="009C1C5A">
      <w:pPr>
        <w:pStyle w:val="Sidfot"/>
        <w:tabs>
          <w:tab w:val="clear" w:pos="9072"/>
        </w:tabs>
      </w:pPr>
      <w:r w:rsidRPr="00896D4F">
        <w:t>En betydelsefull komponent i det revisionella oberoendet är revisorns rätt att själv välja granskningsobjekt. Denna rätt beskärs enligt min mening på ett oac</w:t>
      </w:r>
      <w:r w:rsidRPr="00896D4F">
        <w:softHyphen/>
        <w:t>ceptabelt sätt om något annat organ fastställer granskningsplanen. Sedan fördel</w:t>
      </w:r>
      <w:r w:rsidRPr="00896D4F">
        <w:softHyphen/>
        <w:t>ningen av granskningsområden mellan de tre riksrevisorerna fastställts bör det därför vara en angelägenhet för envar av riksrevisorerna att inom sitt ansvarsom</w:t>
      </w:r>
      <w:r w:rsidRPr="00896D4F">
        <w:softHyphen/>
        <w:t>råde självstän</w:t>
      </w:r>
      <w:r w:rsidRPr="00896D4F">
        <w:softHyphen/>
        <w:t>digt besluta om granskningsplan. På denna punkt är förslagen och resonemangen i betänkandet motsägelsefulla. I 4 § instrukti</w:t>
      </w:r>
      <w:r w:rsidRPr="00896D4F">
        <w:t>o</w:t>
      </w:r>
      <w:r w:rsidRPr="00896D4F">
        <w:t>nen fastslås att riks</w:t>
      </w:r>
      <w:r w:rsidRPr="00896D4F">
        <w:softHyphen/>
        <w:t>revisorerna ge</w:t>
      </w:r>
      <w:r w:rsidRPr="00896D4F">
        <w:softHyphen/>
        <w:t>mensamt beslutar om granskningsplan. I författningskommentaren anges (s. 227) efter hänvisning</w:t>
      </w:r>
      <w:r w:rsidRPr="00896D4F">
        <w:t xml:space="preserve"> till avsnitt 4.2 i betänkandet, att paragrafen följer av riksdagens beslut att riksrevisorerna beslutar gemensamt i alla frågor som om</w:t>
      </w:r>
      <w:r w:rsidRPr="00896D4F">
        <w:softHyphen/>
        <w:t>fattas av 4 § om inte annat särskilt föreskrivs, samt att bl.a. val av gransknings</w:t>
      </w:r>
      <w:r w:rsidRPr="00896D4F">
        <w:softHyphen/>
        <w:t>objekt inte skall omfattas av b</w:t>
      </w:r>
      <w:r w:rsidRPr="00896D4F">
        <w:t>e</w:t>
      </w:r>
      <w:r w:rsidRPr="00896D4F">
        <w:t>stämmelsen. I avsnitt 4.2 anförs slutligen – med hänvisning till samma utt</w:t>
      </w:r>
      <w:r w:rsidRPr="00896D4F">
        <w:t>a</w:t>
      </w:r>
      <w:r w:rsidRPr="00896D4F">
        <w:t>landen av konstitutionsutskottet som åberopas i författ</w:t>
      </w:r>
      <w:r w:rsidRPr="00896D4F">
        <w:softHyphen/>
        <w:t>ningskommenta</w:t>
      </w:r>
      <w:r w:rsidRPr="00896D4F">
        <w:softHyphen/>
        <w:t>ren – att det enligt riksdagsbeslutet anses ankomma på varje riks</w:t>
      </w:r>
      <w:r w:rsidRPr="00896D4F">
        <w:softHyphen/>
        <w:t>revisor att besluta om granskningsplan (s. 114). D</w:t>
      </w:r>
      <w:r w:rsidRPr="00896D4F">
        <w:t>etta sägs följa av att var och en av riksrevis</w:t>
      </w:r>
      <w:r w:rsidRPr="00896D4F">
        <w:t>o</w:t>
      </w:r>
      <w:r w:rsidRPr="00896D4F">
        <w:t>rerna skall ha en särskild beslutanderätt i fråga om de revisionsären</w:t>
      </w:r>
      <w:r w:rsidRPr="00896D4F">
        <w:softHyphen/>
        <w:t xml:space="preserve">den som han eller hon svarar för. </w:t>
      </w:r>
    </w:p>
    <w:p w:rsidR="009C1C5A" w:rsidRPr="00896D4F" w:rsidRDefault="009C1C5A">
      <w:pPr>
        <w:pStyle w:val="Normaltindrag"/>
      </w:pPr>
      <w:r w:rsidRPr="00896D4F">
        <w:t>Min slutsats är att den föreslagna lagtexten i 4 § instruktionen inte har stöd i det som anförs på s. 114 i betänkandet, och att författningskommentaren i sig är mot</w:t>
      </w:r>
      <w:r w:rsidRPr="00896D4F">
        <w:softHyphen/>
        <w:t>sägelsefull. 4 § instruktionen bör omarbetas, så att det klart framgår att beslut om granskningsplan inom ett granskningsområde som enligt fas</w:t>
      </w:r>
      <w:r w:rsidRPr="00896D4F">
        <w:t>t</w:t>
      </w:r>
      <w:r w:rsidRPr="00896D4F">
        <w:t>ställd fördelning är anförtrott en riksrevisor är en angelägenhet för denna riksrevisor ensam. För att tillgodose önskemål om enhetlighet och heltäcka</w:t>
      </w:r>
      <w:r w:rsidRPr="00896D4F">
        <w:t>n</w:t>
      </w:r>
      <w:r w:rsidRPr="00896D4F">
        <w:t>de revisionsinsatser inom hela det statliga området bör riksrevisorerna dä</w:t>
      </w:r>
      <w:r w:rsidRPr="00896D4F">
        <w:t>r</w:t>
      </w:r>
      <w:r w:rsidRPr="00896D4F">
        <w:t>emot samråda inbördes, innan gransk</w:t>
      </w:r>
      <w:r w:rsidRPr="00896D4F">
        <w:softHyphen/>
        <w:t>ningspla</w:t>
      </w:r>
      <w:r w:rsidRPr="00896D4F">
        <w:softHyphen/>
        <w:t>nerna fastställs. En lämplig ordning synes vara att det ankommer på den av riksre</w:t>
      </w:r>
      <w:r w:rsidRPr="00896D4F">
        <w:softHyphen/>
        <w:t>visorerna som h</w:t>
      </w:r>
      <w:r w:rsidRPr="00896D4F">
        <w:t xml:space="preserve">ar det administrativa ledningsansvaret att se till att sådant samråd kommer till stånd. </w:t>
      </w:r>
    </w:p>
    <w:p w:rsidR="009C1C5A" w:rsidRPr="00896D4F" w:rsidRDefault="009C1C5A">
      <w:pPr>
        <w:pStyle w:val="Normaltindrag"/>
      </w:pPr>
      <w:r w:rsidRPr="00896D4F">
        <w:t>Det kan finnas skäl att i denna fråga göra en jämförelse med den hos JO tilläm</w:t>
      </w:r>
      <w:r w:rsidRPr="00896D4F">
        <w:softHyphen/>
        <w:t>pade ordningen. Varje justitieombudsman avgör självständigt vilka tillsynsutred</w:t>
      </w:r>
      <w:r w:rsidRPr="00896D4F">
        <w:softHyphen/>
        <w:t>ningar som skall initieras och genomföras inom det egna i arbet</w:t>
      </w:r>
      <w:r w:rsidRPr="00896D4F">
        <w:t>s</w:t>
      </w:r>
      <w:r w:rsidRPr="00896D4F">
        <w:t>ordningen defini</w:t>
      </w:r>
      <w:r w:rsidRPr="00896D4F">
        <w:softHyphen/>
        <w:t>erade ansvarsområdet. Chefsjustitieombudsmannen bestä</w:t>
      </w:r>
      <w:r w:rsidRPr="00896D4F">
        <w:t>m</w:t>
      </w:r>
      <w:r w:rsidRPr="00896D4F">
        <w:t>mer emellertid inrikt</w:t>
      </w:r>
      <w:r w:rsidRPr="00896D4F">
        <w:softHyphen/>
        <w:t>ningen i stort av verksamheten. En applicering hos JO av den princip som knäsätts i 4 § in</w:t>
      </w:r>
      <w:r w:rsidRPr="00896D4F">
        <w:softHyphen/>
        <w:t>struktionen skulle innebära att de fyra just</w:t>
      </w:r>
      <w:r w:rsidRPr="00896D4F">
        <w:t>i</w:t>
      </w:r>
      <w:r w:rsidRPr="00896D4F">
        <w:t>tieombudsmännen genom majo</w:t>
      </w:r>
      <w:r w:rsidRPr="00896D4F">
        <w:softHyphen/>
        <w:t>ritets</w:t>
      </w:r>
      <w:r w:rsidRPr="00896D4F">
        <w:softHyphen/>
        <w:t>beslut skulle fastställa en övergripande plan för inriktningen av en enskild justi</w:t>
      </w:r>
      <w:r w:rsidRPr="00896D4F">
        <w:softHyphen/>
        <w:t>tieombudsmans tillsyn</w:t>
      </w:r>
      <w:r w:rsidRPr="00896D4F">
        <w:t>sverksamhet inom dennes eget ansvarsområde. En så</w:t>
      </w:r>
      <w:r w:rsidRPr="00896D4F">
        <w:softHyphen/>
        <w:t>dan ordning skulle innebära en helt oacceptabel inskränkning av justitieombud</w:t>
      </w:r>
      <w:r w:rsidRPr="00896D4F">
        <w:t>s</w:t>
      </w:r>
      <w:r w:rsidRPr="00896D4F">
        <w:softHyphen/>
        <w:t>män</w:t>
      </w:r>
      <w:r w:rsidRPr="00896D4F">
        <w:softHyphen/>
        <w:t>nens oberoende.</w:t>
      </w:r>
    </w:p>
    <w:p w:rsidR="009C1C5A" w:rsidRPr="00896D4F" w:rsidRDefault="009C1C5A">
      <w:pPr>
        <w:pStyle w:val="Rubrik3"/>
      </w:pPr>
      <w:r w:rsidRPr="00896D4F">
        <w:t>Den administrativa ledningen</w:t>
      </w:r>
    </w:p>
    <w:p w:rsidR="009C1C5A" w:rsidRPr="00896D4F" w:rsidRDefault="009C1C5A">
      <w:pPr>
        <w:pStyle w:val="Sidfot"/>
        <w:tabs>
          <w:tab w:val="clear" w:pos="9072"/>
        </w:tabs>
      </w:pPr>
      <w:r w:rsidRPr="00896D4F">
        <w:t>Beslutet att Riksrevisionen skall ledas av ett kollegium av tre riksrevisorer i stället för, som Riksdagskommittén ursprungligen föreslog, av en riksrevisor medför att frågor rörande myndighetens administrativa ledning blir mer ko</w:t>
      </w:r>
      <w:r w:rsidRPr="00896D4F">
        <w:t>m</w:t>
      </w:r>
      <w:r w:rsidRPr="00896D4F">
        <w:t>plicerade. Detta har uppmärksammats av både konstitutionsutskottet och utredaren. Utskottet an</w:t>
      </w:r>
      <w:r w:rsidRPr="00896D4F">
        <w:softHyphen/>
        <w:t>förde i sitt betänkande (2000/01:KU8 s. 18) att det kan ifrågasättas om administ</w:t>
      </w:r>
      <w:r w:rsidRPr="00896D4F">
        <w:softHyphen/>
        <w:t>rativa frågor skall avgöras kollegialt eller av endast en av riksrevisorerna med stöd av delegationsmöjlighet. Utskottet pekade också på möjligheten att en av de tre tjänsterna inrättas som en chefstjänst i enlighet med vad som gäller för Riksda</w:t>
      </w:r>
      <w:r w:rsidRPr="00896D4F">
        <w:softHyphen/>
        <w:t>gens ombudsmän. Utskottet anförde att formerna för beslutsfattande i administra</w:t>
      </w:r>
      <w:r w:rsidRPr="00896D4F">
        <w:softHyphen/>
        <w:t>tiva fråg</w:t>
      </w:r>
      <w:r w:rsidRPr="00896D4F">
        <w:t>or borde övervägas nä</w:t>
      </w:r>
      <w:r w:rsidRPr="00896D4F">
        <w:t>r</w:t>
      </w:r>
      <w:r w:rsidRPr="00896D4F">
        <w:t>mare i det fortsatta utredningsarbetet.</w:t>
      </w:r>
    </w:p>
    <w:p w:rsidR="009C1C5A" w:rsidRPr="00896D4F" w:rsidRDefault="009C1C5A">
      <w:pPr>
        <w:pStyle w:val="Normaltindrag"/>
      </w:pPr>
      <w:r w:rsidRPr="00896D4F">
        <w:br w:type="page"/>
        <w:t>Utredaren har stannat för en modell som kan sägas vara en kompromiss mellan olika tänkbara lösningar. Utgångspunkten är att den administrativa ledningen (bortsett från frågor om budgetunderlag samt fastställande av år</w:t>
      </w:r>
      <w:r w:rsidRPr="00896D4F">
        <w:t>s</w:t>
      </w:r>
      <w:r w:rsidRPr="00896D4F">
        <w:t>redovisning och  delårsrapporter, vilka skall avgöras av styrelsen) skall utövas av de tre riksrevi</w:t>
      </w:r>
      <w:r w:rsidRPr="00896D4F">
        <w:softHyphen/>
        <w:t>so</w:t>
      </w:r>
      <w:r w:rsidRPr="00896D4F">
        <w:softHyphen/>
        <w:t>rerna kollegialt, i fall av meningsskiljaktigheter genom majoritetsbeslut. Beslu</w:t>
      </w:r>
      <w:r w:rsidRPr="00896D4F">
        <w:softHyphen/>
        <w:t>tanderätten förutsätts dock i betydande omfattning delegeras till en av riksreviso</w:t>
      </w:r>
      <w:r w:rsidRPr="00896D4F">
        <w:softHyphen/>
        <w:t>rerna, som redan vid valet har utsetts av riksd</w:t>
      </w:r>
      <w:r w:rsidRPr="00896D4F">
        <w:t>a</w:t>
      </w:r>
      <w:r w:rsidRPr="00896D4F">
        <w:t>gen att svara för den administrativa ledningen av myndigheten (8 kap. 11 § andra stycket riksdagsordningen i föresla</w:t>
      </w:r>
      <w:r w:rsidRPr="00896D4F">
        <w:softHyphen/>
        <w:t>gen ny lydelse samt 6 § instrukti</w:t>
      </w:r>
      <w:r w:rsidRPr="00896D4F">
        <w:t>o</w:t>
      </w:r>
      <w:r w:rsidRPr="00896D4F">
        <w:t>nen). Föreskrifterna om delegering skall infl</w:t>
      </w:r>
      <w:r w:rsidRPr="00896D4F">
        <w:t>yta i den av riksrevisorerna gemensamt beslutade arbetsordningen. Beslutanderätt i administrativa frågor förutsätts även kunna delegeras till annan tjänsteman vid myndigheten än den riksrevisor som svarar för den administrativa ledningen. Be</w:t>
      </w:r>
      <w:r w:rsidRPr="00896D4F">
        <w:softHyphen/>
        <w:t>slut om förde</w:t>
      </w:r>
      <w:r w:rsidRPr="00896D4F">
        <w:t>l</w:t>
      </w:r>
      <w:r w:rsidRPr="00896D4F">
        <w:t>ningen mellan riksrevisorerna av granskningsområden samt om verksamh</w:t>
      </w:r>
      <w:r w:rsidRPr="00896D4F">
        <w:t>e</w:t>
      </w:r>
      <w:r w:rsidRPr="00896D4F">
        <w:t>tens inriktning och organisation skall enligt förslaget alltid fattas av riksrev</w:t>
      </w:r>
      <w:r w:rsidRPr="00896D4F">
        <w:t>i</w:t>
      </w:r>
      <w:r w:rsidRPr="00896D4F">
        <w:t xml:space="preserve">sorerna gemensamt liksom beslut om fastställande av arbetsordning. </w:t>
      </w:r>
    </w:p>
    <w:p w:rsidR="009C1C5A" w:rsidRPr="00896D4F" w:rsidRDefault="009C1C5A">
      <w:pPr>
        <w:pStyle w:val="Normaltindrag"/>
      </w:pPr>
      <w:r w:rsidRPr="00896D4F">
        <w:t>Den föreslagna lösningen ger ett split</w:t>
      </w:r>
      <w:r w:rsidRPr="00896D4F">
        <w:t>trat och svåröverskådligt intryck. I sitt sär</w:t>
      </w:r>
      <w:r w:rsidRPr="00896D4F">
        <w:softHyphen/>
        <w:t>skilda yttrande hävdar Åke Dahlberg (s. 245 f.) att förslaget är otil</w:t>
      </w:r>
      <w:r w:rsidRPr="00896D4F">
        <w:t>l</w:t>
      </w:r>
      <w:r w:rsidRPr="00896D4F">
        <w:t>räckligt analy</w:t>
      </w:r>
      <w:r w:rsidRPr="00896D4F">
        <w:softHyphen/>
        <w:t>serat och att frågan hur de administrativa ledningsuppgifterna skall organiseras borde ha blivit föremål för mera ingående överväganden. Jag delar denna uppfatt</w:t>
      </w:r>
      <w:r w:rsidRPr="00896D4F">
        <w:softHyphen/>
        <w:t>ning men är inte beredd att ansluta mig till Åke Dah</w:t>
      </w:r>
      <w:r w:rsidRPr="00896D4F">
        <w:t>l</w:t>
      </w:r>
      <w:r w:rsidRPr="00896D4F">
        <w:t>bergs slutsatser. Jag anser i stället att det finns goda skäl att pröva en modell som innebär att de administrativa ledningsfunktio</w:t>
      </w:r>
      <w:r w:rsidRPr="00896D4F">
        <w:softHyphen/>
        <w:t>nerna (bortsett från de fr</w:t>
      </w:r>
      <w:r w:rsidRPr="00896D4F">
        <w:t>å</w:t>
      </w:r>
      <w:r w:rsidRPr="00896D4F">
        <w:t xml:space="preserve">gor som </w:t>
      </w:r>
      <w:r w:rsidRPr="00896D4F">
        <w:t>tillhör styrelsens kompetens</w:t>
      </w:r>
      <w:r w:rsidRPr="00896D4F">
        <w:softHyphen/>
        <w:t>område) primärt tillkommer en av rik</w:t>
      </w:r>
      <w:r w:rsidRPr="00896D4F">
        <w:t>s</w:t>
      </w:r>
      <w:r w:rsidRPr="00896D4F">
        <w:t>revisorerna som genom riksdagens beslut givits detta chefsansvar. Denne skall givetvis förutsättas samråda ingående med sina kolleger i alla frågor av större eller mera principiell betydelse. Vidare bör han/hon ha vid</w:t>
      </w:r>
      <w:r w:rsidRPr="00896D4F">
        <w:softHyphen/>
        <w:t>sträckta möjligheter att delegera beslutanderätten i administrativa ärenden till an</w:t>
      </w:r>
      <w:r w:rsidRPr="00896D4F">
        <w:softHyphen/>
        <w:t>nan tjänsteman inom myndigheten, eftersom det är angeläget att alla riksreviso</w:t>
      </w:r>
      <w:r w:rsidRPr="00896D4F">
        <w:softHyphen/>
        <w:t>rerna, inbegr</w:t>
      </w:r>
      <w:r w:rsidRPr="00896D4F">
        <w:t>i</w:t>
      </w:r>
      <w:r w:rsidRPr="00896D4F">
        <w:t>pet den som ansvarar för den administrativa ledning</w:t>
      </w:r>
      <w:r w:rsidRPr="00896D4F">
        <w:t>en, hu</w:t>
      </w:r>
      <w:r w:rsidRPr="00896D4F">
        <w:softHyphen/>
        <w:t>vudsakligen ägnar sig åt revision och inte i onödigt stor omfattning tyngs av ad</w:t>
      </w:r>
      <w:r w:rsidRPr="00896D4F">
        <w:softHyphen/>
        <w:t>ministrativa gö</w:t>
      </w:r>
      <w:r w:rsidRPr="00896D4F">
        <w:t>r</w:t>
      </w:r>
      <w:r w:rsidRPr="00896D4F">
        <w:t xml:space="preserve">omål. </w:t>
      </w:r>
    </w:p>
    <w:p w:rsidR="009C1C5A" w:rsidRPr="00896D4F" w:rsidRDefault="009C1C5A">
      <w:pPr>
        <w:pStyle w:val="Normaltindrag"/>
      </w:pPr>
      <w:r w:rsidRPr="00896D4F">
        <w:t>Med den sålunda skisserade alternativa modellen skulle ansvarsförhålla</w:t>
      </w:r>
      <w:r w:rsidRPr="00896D4F">
        <w:t>n</w:t>
      </w:r>
      <w:r w:rsidRPr="00896D4F">
        <w:t>dena bli betydligt enklare och mera överskådliga. Vidare skulle man komma ifrån den kollegiala beslutmodellen med majoritetsbeslut inom en grupp av tre personer, en modell som enligt min uppfattning lämpar sig mindre väl för beslutsfattande i administrativa angelägenheter inom en myndighet.</w:t>
      </w:r>
    </w:p>
    <w:p w:rsidR="009C1C5A" w:rsidRPr="00896D4F" w:rsidRDefault="009C1C5A">
      <w:pPr>
        <w:pStyle w:val="Rubrik3"/>
      </w:pPr>
      <w:r w:rsidRPr="00896D4F">
        <w:t>De enskilda riksrevisorernas förslagsrätt</w:t>
      </w:r>
    </w:p>
    <w:p w:rsidR="009C1C5A" w:rsidRPr="00896D4F" w:rsidRDefault="009C1C5A">
      <w:r w:rsidRPr="00896D4F">
        <w:t>I författningskommentaren (s. 205) uppges ändringen i 3 kap. 8 § fjärde stycket riksdagsordningen syfta till att klargöra att var och en av riksrevis</w:t>
      </w:r>
      <w:r w:rsidRPr="00896D4F">
        <w:t>o</w:t>
      </w:r>
      <w:r w:rsidRPr="00896D4F">
        <w:t>rerna vid til</w:t>
      </w:r>
      <w:r w:rsidRPr="00896D4F">
        <w:softHyphen/>
      </w:r>
      <w:r w:rsidRPr="00896D4F">
        <w:t xml:space="preserve">lämpning av paragrafens första stycke skall anses vara ett sådant ”annat organ” som omnämns i första stycket. Första stycket skall sålunda gälla var och en av riksrevisorerna, som därmed får rätt att väcka förslag hos riksdagen i frågor som rör ”organets” kompetens, organisation, personal eller verksamhetsformer. </w:t>
      </w:r>
    </w:p>
    <w:p w:rsidR="009C1C5A" w:rsidRPr="00896D4F" w:rsidRDefault="009C1C5A">
      <w:pPr>
        <w:pStyle w:val="Normaltindrag"/>
      </w:pPr>
      <w:r w:rsidRPr="00896D4F">
        <w:t>Enligt den föreslagna lagtextens ordalydelse är emellertid tillämpligheten på riks</w:t>
      </w:r>
      <w:r w:rsidRPr="00896D4F">
        <w:softHyphen/>
        <w:t>revisorerna individuellt inte begränsad till första stycket utan omfattar även andra och tredje styckena. Vad gäller tredje stycket, som behandlar redogörelser till riksdagen från organ som helt eller delvis utses  av riksdagen synes en sådan regel knappast förenlig med den kompetensfördelning mellan riksrevisorerna och sty</w:t>
      </w:r>
      <w:r w:rsidRPr="00896D4F">
        <w:softHyphen/>
        <w:t>relsen som skall gälla enligt instruktionen, där det i 11 § föreskrivs att det är sty</w:t>
      </w:r>
      <w:r w:rsidRPr="00896D4F">
        <w:softHyphen/>
        <w:t>relsen som beslutar om förslag och redogörelser till riksdagen med anledning av riksrevisorernas be</w:t>
      </w:r>
      <w:r w:rsidRPr="00896D4F">
        <w:t>slut i bl.a. granskning</w:t>
      </w:r>
      <w:r w:rsidRPr="00896D4F">
        <w:t>s</w:t>
      </w:r>
      <w:r w:rsidRPr="00896D4F">
        <w:t>ärenden avseende effektivitetsrevisio</w:t>
      </w:r>
      <w:r w:rsidRPr="00896D4F">
        <w:softHyphen/>
        <w:t xml:space="preserve">nen. </w:t>
      </w:r>
    </w:p>
    <w:p w:rsidR="009C1C5A" w:rsidRPr="00896D4F" w:rsidRDefault="009C1C5A">
      <w:pPr>
        <w:pStyle w:val="Normaltindrag"/>
      </w:pPr>
      <w:r w:rsidRPr="00896D4F">
        <w:t>Det är angeläget att denna diskrepans mellan lagtextens ordalydelse och motiv</w:t>
      </w:r>
      <w:r w:rsidRPr="00896D4F">
        <w:softHyphen/>
        <w:t>uttalandet undanröjs och att regleringen i sin helhet utformas så att tolknings</w:t>
      </w:r>
      <w:r w:rsidRPr="00896D4F">
        <w:softHyphen/>
        <w:t>svårigheter på grund av motsägande regler i olika författningar un</w:t>
      </w:r>
      <w:r w:rsidRPr="00896D4F">
        <w:t>d</w:t>
      </w:r>
      <w:r w:rsidRPr="00896D4F">
        <w:t xml:space="preserve">viks. </w:t>
      </w:r>
    </w:p>
    <w:p w:rsidR="009C1C5A" w:rsidRPr="00896D4F" w:rsidRDefault="009C1C5A">
      <w:pPr>
        <w:pStyle w:val="Rubrik3"/>
      </w:pPr>
      <w:r w:rsidRPr="00896D4F">
        <w:t>Direktiven till utredningen angående organisatoriska frågor</w:t>
      </w:r>
    </w:p>
    <w:p w:rsidR="009C1C5A" w:rsidRPr="00896D4F" w:rsidRDefault="009C1C5A">
      <w:r w:rsidRPr="00896D4F">
        <w:t>Som nämnts har jag tagit del av regeringens kommittédirektiv (2001:31) Bi</w:t>
      </w:r>
      <w:r w:rsidRPr="00896D4F">
        <w:t>l</w:t>
      </w:r>
      <w:r w:rsidRPr="00896D4F">
        <w:t>dan</w:t>
      </w:r>
      <w:r w:rsidRPr="00896D4F">
        <w:softHyphen/>
        <w:t>det av Riksrevisionen. En särskild utredare ges där uppdraget att utreda de organi</w:t>
      </w:r>
      <w:r w:rsidRPr="00896D4F">
        <w:softHyphen/>
        <w:t>satoriska frågorna kring bildandet av den nya revisionsmyndigheten under riksda</w:t>
      </w:r>
      <w:r w:rsidRPr="00896D4F">
        <w:softHyphen/>
        <w:t>gen. Utredaren skall dels lämna förslag till riktlinjer för den nya myndighetens organisation, dels vidta nödvändiga förberedelser inför bilda</w:t>
      </w:r>
      <w:r w:rsidRPr="00896D4F">
        <w:t>n</w:t>
      </w:r>
      <w:r w:rsidRPr="00896D4F">
        <w:t>det. Beträffande tidsplanen sägs i direktiven att inriktningen är att den nya organisationen bör kunna inleda sin verksamhet den 1 januari 2003 och att utredaren skall lämna förslag till tidpunkt för i</w:t>
      </w:r>
      <w:r w:rsidRPr="00896D4F">
        <w:t>nrättandet. Utredningen pågår.</w:t>
      </w:r>
    </w:p>
    <w:p w:rsidR="009C1C5A" w:rsidRPr="00896D4F" w:rsidRDefault="009C1C5A">
      <w:pPr>
        <w:pStyle w:val="Normaltindrag"/>
      </w:pPr>
      <w:r w:rsidRPr="00896D4F">
        <w:t>Direktiven ger utredaren omfattande uppgifter och befogenheter, inte bara vad gäller att ge förslag av organisatorisk karaktär, utan även att vidta de förberedande åtgärder som krävs för att den nya revisionsmyndigheten skall kunna verka från den tidpunkt som utredaren föreslår (s. 6). Inom utredarens uppdrag ligger sålunda bl.a. att skapa en verksamhetsplan för myndigheten under det första verksamhets</w:t>
      </w:r>
      <w:r w:rsidRPr="00896D4F">
        <w:softHyphen/>
        <w:t>året, att lägga upp redovisningsplaner för my</w:t>
      </w:r>
      <w:r w:rsidRPr="00896D4F">
        <w:t>n</w:t>
      </w:r>
      <w:r w:rsidRPr="00896D4F">
        <w:t>dighetens verksamhet och sluta nödvändiga avtal för verksamheten inklusive lokaler. Vidare ankommer det på  utredaren ”att fatta beslut om bemanning enligt de föreskrifter som regeringen senare kommer att meddela liksom att fatta beslut om att även i övrigt utöva ar</w:t>
      </w:r>
      <w:r w:rsidRPr="00896D4F">
        <w:softHyphen/>
        <w:t>betsgivarens befogenheter”.</w:t>
      </w:r>
    </w:p>
    <w:p w:rsidR="009C1C5A" w:rsidRPr="00896D4F" w:rsidRDefault="009C1C5A">
      <w:pPr>
        <w:pStyle w:val="Normaltindrag"/>
      </w:pPr>
      <w:r w:rsidRPr="00896D4F">
        <w:t>Dessa synnerligen långtgående direktiv väcker starka betänkligheter från konsti</w:t>
      </w:r>
      <w:r w:rsidRPr="00896D4F">
        <w:softHyphen/>
        <w:t>tutionell synpunkt. Det förefaller som om direktiven vad avser förbere</w:t>
      </w:r>
      <w:r w:rsidRPr="00896D4F">
        <w:softHyphen/>
        <w:t>dande åt</w:t>
      </w:r>
      <w:r w:rsidRPr="00896D4F">
        <w:softHyphen/>
        <w:t>gärder utformats utan närmare analys av den konstitutionella betyde</w:t>
      </w:r>
      <w:r w:rsidRPr="00896D4F">
        <w:t>l</w:t>
      </w:r>
      <w:r w:rsidRPr="00896D4F">
        <w:t>sen av det förhållandet att den nya revisionsmyndigheten skall vara en my</w:t>
      </w:r>
      <w:r w:rsidRPr="00896D4F">
        <w:t>n</w:t>
      </w:r>
      <w:r w:rsidRPr="00896D4F">
        <w:t xml:space="preserve">dighet under riksdagen och inte under regeringen. </w:t>
      </w:r>
    </w:p>
    <w:p w:rsidR="009C1C5A" w:rsidRPr="00896D4F" w:rsidRDefault="009C1C5A">
      <w:pPr>
        <w:pStyle w:val="Normaltindrag"/>
      </w:pPr>
      <w:r w:rsidRPr="00896D4F">
        <w:t>Enligt 11 kap. 6 § första stycket regeringsformen (RF) lyder förvaltning</w:t>
      </w:r>
      <w:r w:rsidRPr="00896D4F">
        <w:t>s</w:t>
      </w:r>
      <w:r w:rsidRPr="00896D4F">
        <w:t>myndig</w:t>
      </w:r>
      <w:r w:rsidRPr="00896D4F">
        <w:softHyphen/>
        <w:t>heterna under regeringen, om de inte enligt regeringsformen eller annan lag är myndigheter under riksdagen. Regeringens rätt att meddela d</w:t>
      </w:r>
      <w:r w:rsidRPr="00896D4F">
        <w:t>i</w:t>
      </w:r>
      <w:r w:rsidRPr="00896D4F">
        <w:t>rektiv av olika slag till förvaltningsmyndigheterna är således begränsad till att avse myndigheter som inte är myndigheter under riksdagen (se prop. 1973:90 s. 397). Härav följer att regeringen inte heller kan utöva någon arbetsgivarroll i förhållande till andra myndigheter än sådana som lyder under regeringen. Regeringen är vidare till följd av reglerna i 8 kap.</w:t>
      </w:r>
      <w:r w:rsidRPr="00896D4F">
        <w:t xml:space="preserve"> 13 § RF förhindrad att meddela föreskrifter som avser riksda</w:t>
      </w:r>
      <w:r w:rsidRPr="00896D4F">
        <w:softHyphen/>
        <w:t>gens myndigh</w:t>
      </w:r>
      <w:r w:rsidRPr="00896D4F">
        <w:t>e</w:t>
      </w:r>
      <w:r w:rsidRPr="00896D4F">
        <w:t xml:space="preserve">ter. </w:t>
      </w:r>
    </w:p>
    <w:p w:rsidR="009C1C5A" w:rsidRPr="00896D4F" w:rsidRDefault="009C1C5A">
      <w:pPr>
        <w:pStyle w:val="Normaltindrag"/>
      </w:pPr>
      <w:r w:rsidRPr="00896D4F">
        <w:t>Det är således enligt min mening inte förenligt med regeringsformens r</w:t>
      </w:r>
      <w:r w:rsidRPr="00896D4F">
        <w:t>e</w:t>
      </w:r>
      <w:r w:rsidRPr="00896D4F">
        <w:t>glering av funktionsfördelningen mellan riksdagen och regeringen att en utr</w:t>
      </w:r>
      <w:r w:rsidRPr="00896D4F">
        <w:t>e</w:t>
      </w:r>
      <w:r w:rsidRPr="00896D4F">
        <w:t>dare på uppdrag av regeringen fattar sådana beslut som anges i direktiven beträffande en myndig</w:t>
      </w:r>
      <w:r w:rsidRPr="00896D4F">
        <w:softHyphen/>
        <w:t>het under riksdagen, som ju inte står i något som helst subordinationsförhållande till regeringen. Det kan i själva verket med fog hävdas att på regeringens uppdrag fattade beslut t.ex. om tillsättningen av tjänster vid Riksrevisionen i rättsligt hän</w:t>
      </w:r>
      <w:r w:rsidRPr="00896D4F">
        <w:softHyphen/>
        <w:t>seende blir att betrakta som nullit</w:t>
      </w:r>
      <w:r w:rsidRPr="00896D4F">
        <w:t>e</w:t>
      </w:r>
      <w:r w:rsidRPr="00896D4F">
        <w:t>ter. Vidare gäller att eventuella föreskrifter av ar</w:t>
      </w:r>
      <w:r w:rsidRPr="00896D4F">
        <w:t>betsordningskaraktär besl</w:t>
      </w:r>
      <w:r w:rsidRPr="00896D4F">
        <w:t>u</w:t>
      </w:r>
      <w:r w:rsidRPr="00896D4F">
        <w:t>tade i sådan ordning inte får tillämpas (11 kap. 14 § RF). Det torde inte heller vara möjligt för utredaren att med för Riksrevisionen bidande verkan träffa civilrättsliga avtal av olika slag, eftersom myndigheter un</w:t>
      </w:r>
      <w:r w:rsidRPr="00896D4F">
        <w:softHyphen/>
        <w:t>der riksdagen är självständiga rättssubjekt som faller utanför området för rege</w:t>
      </w:r>
      <w:r w:rsidRPr="00896D4F">
        <w:softHyphen/>
        <w:t>ringens befoge</w:t>
      </w:r>
      <w:r w:rsidRPr="00896D4F">
        <w:t>n</w:t>
      </w:r>
      <w:r w:rsidRPr="00896D4F">
        <w:t>het att förfoga över statens medel (se 9 kap. 8 § regeringsformen och NJA 1959 s. 385). Att en av regeringen tillsatt utredare skall fatta ett antal beslut angående bemanning</w:t>
      </w:r>
      <w:r w:rsidRPr="00896D4F">
        <w:t>, verksamhetsplan, eko</w:t>
      </w:r>
      <w:r w:rsidRPr="00896D4F">
        <w:softHyphen/>
        <w:t>nomi och avtal, vilka blir bi</w:t>
      </w:r>
      <w:r w:rsidRPr="00896D4F">
        <w:t>n</w:t>
      </w:r>
      <w:r w:rsidRPr="00896D4F">
        <w:softHyphen/>
        <w:t>dande för den nya myndigheten under riksdagen under lång tid efter dess tillbli</w:t>
      </w:r>
      <w:r w:rsidRPr="00896D4F">
        <w:softHyphen/>
        <w:t>velse, framstår också i rent sakligt hänseende som oa</w:t>
      </w:r>
      <w:r w:rsidRPr="00896D4F">
        <w:t>c</w:t>
      </w:r>
      <w:r w:rsidRPr="00896D4F">
        <w:t xml:space="preserve">ceptabelt. </w:t>
      </w:r>
    </w:p>
    <w:p w:rsidR="009C1C5A" w:rsidRPr="00896D4F" w:rsidRDefault="009C1C5A">
      <w:pPr>
        <w:pStyle w:val="Normaltindrag"/>
      </w:pPr>
      <w:r w:rsidRPr="00896D4F">
        <w:t>Det ligger nära till hands att anta att de extensiva direktiven, som utformats i en</w:t>
      </w:r>
      <w:r w:rsidRPr="00896D4F">
        <w:softHyphen/>
        <w:t>lighet med vad som normalt gäller inför inrättandet av en ny statlig my</w:t>
      </w:r>
      <w:r w:rsidRPr="00896D4F">
        <w:t>n</w:t>
      </w:r>
      <w:r w:rsidRPr="00896D4F">
        <w:t>dighet, befunnits nödvändiga för att man skall kunna hålla den snäva tidspl</w:t>
      </w:r>
      <w:r w:rsidRPr="00896D4F">
        <w:t>a</w:t>
      </w:r>
      <w:r w:rsidRPr="00896D4F">
        <w:t>nen för refor</w:t>
      </w:r>
      <w:r w:rsidRPr="00896D4F">
        <w:softHyphen/>
        <w:t>men. Ambitionen är som nämnts att Riksrevisionen skall kunna inleda sin verk</w:t>
      </w:r>
      <w:r w:rsidRPr="00896D4F">
        <w:softHyphen/>
        <w:t>samhet den 1 januari 2003. Samtidigt gäller att de för reformen fundamentala änd</w:t>
      </w:r>
      <w:r w:rsidRPr="00896D4F">
        <w:softHyphen/>
        <w:t>ringarna i regeringsformen (prop. 2001/02:73) av konstit</w:t>
      </w:r>
      <w:r w:rsidRPr="00896D4F">
        <w:t>u</w:t>
      </w:r>
      <w:r w:rsidRPr="00896D4F">
        <w:t>tionella skäl inte kan beslutas slutgiltigt av riksda</w:t>
      </w:r>
      <w:r w:rsidRPr="00896D4F">
        <w:softHyphen/>
        <w:t>gen förrän efter det att den samlats efter valet den 15 september 2002. Eftersom</w:t>
      </w:r>
      <w:r w:rsidRPr="00896D4F">
        <w:t xml:space="preserve"> riksdagen av naturliga skäl i motsats till regeringen inte har tillgång till någon etablerad rutin för inrättandet av nya myndigheter, framstår den tid som står till buds från det att riksdagen fattat de nödvändiga besluten (in</w:t>
      </w:r>
      <w:r w:rsidRPr="00896D4F">
        <w:softHyphen/>
        <w:t>begripet val av riksrevisorer och utseende av styrelse) fram till den 1 januari 2003 som alltför knapp för att myndigheten skall kunna byggas upp under konstitutio</w:t>
      </w:r>
      <w:r w:rsidRPr="00896D4F">
        <w:softHyphen/>
        <w:t>nellt oantastliga fo</w:t>
      </w:r>
      <w:r w:rsidRPr="00896D4F">
        <w:t>r</w:t>
      </w:r>
      <w:r w:rsidRPr="00896D4F">
        <w:t>mer. Jag anser därför att tidpunkten för den nya myndighetens påbörjande av sin verksamhet bör sen</w:t>
      </w:r>
      <w:r w:rsidRPr="00896D4F">
        <w:t>areläggas. Detta kan lämpligen göras genom en öve</w:t>
      </w:r>
      <w:r w:rsidRPr="00896D4F">
        <w:t>r</w:t>
      </w:r>
      <w:r w:rsidRPr="00896D4F">
        <w:t>gångsbestämmelse till ändringarna i regeringsformen av innebörd exem</w:t>
      </w:r>
      <w:r w:rsidRPr="00896D4F">
        <w:softHyphen/>
        <w:t>pelvis att Riksdagens revisorer kvarstår som ett riksdagens kontrollorgan vid sidan av Riksrevisionen fram till en viss angiven tidpunkt när Riksrevisionen skall börja sin ver</w:t>
      </w:r>
      <w:r w:rsidRPr="00896D4F">
        <w:t>k</w:t>
      </w:r>
      <w:r w:rsidRPr="00896D4F">
        <w:t>samhet.</w:t>
      </w:r>
    </w:p>
    <w:p w:rsidR="009C1C5A" w:rsidRPr="00896D4F" w:rsidRDefault="009C1C5A">
      <w:pPr>
        <w:pStyle w:val="Rubrik3"/>
      </w:pPr>
      <w:r w:rsidRPr="00896D4F">
        <w:t>Sammanfattning</w:t>
      </w:r>
    </w:p>
    <w:p w:rsidR="009C1C5A" w:rsidRPr="00896D4F" w:rsidRDefault="009C1C5A">
      <w:pPr>
        <w:numPr>
          <w:ilvl w:val="0"/>
          <w:numId w:val="53"/>
        </w:numPr>
      </w:pPr>
      <w:r w:rsidRPr="00896D4F">
        <w:t>Relationen mellan riksrevisorerna och styrelsen bör regleras på sådant sätt att det klart och otvetydigt framgår att riksrevisorerna självständigt och utan på</w:t>
      </w:r>
      <w:r w:rsidRPr="00896D4F">
        <w:softHyphen/>
        <w:t>verkan från styrelsen ansvarar för hela granskningsprocessen från beslut om gransknings</w:t>
      </w:r>
      <w:r w:rsidRPr="00896D4F">
        <w:softHyphen/>
        <w:t>plan till publicering av slutgiltig granskning</w:t>
      </w:r>
      <w:r w:rsidRPr="00896D4F">
        <w:t>s</w:t>
      </w:r>
      <w:r w:rsidRPr="00896D4F">
        <w:t>rapport.</w:t>
      </w:r>
    </w:p>
    <w:p w:rsidR="009C1C5A" w:rsidRPr="00896D4F" w:rsidRDefault="009C1C5A">
      <w:pPr>
        <w:numPr>
          <w:ilvl w:val="0"/>
          <w:numId w:val="53"/>
        </w:numPr>
        <w:spacing w:before="0"/>
      </w:pPr>
      <w:r w:rsidRPr="00896D4F">
        <w:t>Styrelsen bör inte ha till uppgift att yttra sig över förslag till grans</w:t>
      </w:r>
      <w:r w:rsidRPr="00896D4F">
        <w:t>k</w:t>
      </w:r>
      <w:r w:rsidRPr="00896D4F">
        <w:t>ningspla</w:t>
      </w:r>
      <w:r w:rsidRPr="00896D4F">
        <w:softHyphen/>
        <w:t>ner.</w:t>
      </w:r>
    </w:p>
    <w:p w:rsidR="009C1C5A" w:rsidRPr="00896D4F" w:rsidRDefault="009C1C5A">
      <w:pPr>
        <w:numPr>
          <w:ilvl w:val="0"/>
          <w:numId w:val="53"/>
        </w:numPr>
        <w:spacing w:before="0"/>
      </w:pPr>
      <w:r w:rsidRPr="00896D4F">
        <w:t>Det bör inte förekomma att styrelsen remitterar och bearbetar grans</w:t>
      </w:r>
      <w:r w:rsidRPr="00896D4F">
        <w:t>k</w:t>
      </w:r>
      <w:r w:rsidRPr="00896D4F">
        <w:t>ning</w:t>
      </w:r>
      <w:r w:rsidRPr="00896D4F">
        <w:t>s</w:t>
      </w:r>
      <w:r w:rsidRPr="00896D4F">
        <w:t>rap</w:t>
      </w:r>
      <w:r w:rsidRPr="00896D4F">
        <w:softHyphen/>
        <w:t>porterna före eventuella förslag och redogörelser till riksdagen.</w:t>
      </w:r>
    </w:p>
    <w:p w:rsidR="009C1C5A" w:rsidRPr="00896D4F" w:rsidRDefault="009C1C5A">
      <w:pPr>
        <w:numPr>
          <w:ilvl w:val="0"/>
          <w:numId w:val="53"/>
        </w:numPr>
        <w:spacing w:before="0"/>
      </w:pPr>
      <w:r w:rsidRPr="00896D4F">
        <w:t>Frågan huruvida en granskningsrapport avseende effektivitetsrevision skall lämnas inte bara till regeringen utan även till riksdagen bör vara en angelä</w:t>
      </w:r>
      <w:r w:rsidRPr="00896D4F">
        <w:softHyphen/>
        <w:t>genhet för vederbörande riksrevisor, inte för styrelsen.</w:t>
      </w:r>
    </w:p>
    <w:p w:rsidR="009C1C5A" w:rsidRPr="00896D4F" w:rsidRDefault="009C1C5A">
      <w:pPr>
        <w:numPr>
          <w:ilvl w:val="0"/>
          <w:numId w:val="53"/>
        </w:numPr>
        <w:spacing w:before="0"/>
      </w:pPr>
      <w:r w:rsidRPr="00896D4F">
        <w:t>Vederbörande riksrevisor bör inom sitt granskningsområde självständigt be</w:t>
      </w:r>
      <w:r w:rsidRPr="00896D4F">
        <w:softHyphen/>
        <w:t>sluta om granskningsplan. I samband med fastställande av grans</w:t>
      </w:r>
      <w:r w:rsidRPr="00896D4F">
        <w:t>k</w:t>
      </w:r>
      <w:r w:rsidRPr="00896D4F">
        <w:t>ningsplaner bör samråd förekomma mellan riksrevisorerna.</w:t>
      </w:r>
    </w:p>
    <w:p w:rsidR="009C1C5A" w:rsidRPr="00896D4F" w:rsidRDefault="009C1C5A">
      <w:pPr>
        <w:numPr>
          <w:ilvl w:val="0"/>
          <w:numId w:val="53"/>
        </w:numPr>
        <w:spacing w:before="0"/>
      </w:pPr>
      <w:r w:rsidRPr="00896D4F">
        <w:t xml:space="preserve">Uppgiften att </w:t>
      </w:r>
      <w:r w:rsidRPr="00896D4F">
        <w:rPr>
          <w:i/>
        </w:rPr>
        <w:t>bedöma</w:t>
      </w:r>
      <w:r w:rsidRPr="00896D4F">
        <w:t xml:space="preserve"> granskningens resultat bör inte ankomma på rik</w:t>
      </w:r>
      <w:r w:rsidRPr="00896D4F">
        <w:t>s</w:t>
      </w:r>
      <w:r w:rsidRPr="00896D4F">
        <w:t>reviso</w:t>
      </w:r>
      <w:r w:rsidRPr="00896D4F">
        <w:softHyphen/>
        <w:t>rerna utan på riksdagen och regeringen och, inom riksrevisionen, på styre</w:t>
      </w:r>
      <w:r w:rsidRPr="00896D4F">
        <w:t>l</w:t>
      </w:r>
      <w:r w:rsidRPr="00896D4F">
        <w:t>sen.</w:t>
      </w:r>
    </w:p>
    <w:p w:rsidR="009C1C5A" w:rsidRPr="00896D4F" w:rsidRDefault="009C1C5A">
      <w:pPr>
        <w:numPr>
          <w:ilvl w:val="0"/>
          <w:numId w:val="53"/>
        </w:numPr>
        <w:spacing w:before="0"/>
      </w:pPr>
      <w:r w:rsidRPr="00896D4F">
        <w:t>Den administrativa ledningen av myndigheten bör ankomma på den riksrevi</w:t>
      </w:r>
      <w:r w:rsidRPr="00896D4F">
        <w:softHyphen/>
        <w:t>sor som riksdagen har givit denna uppgift. Delegeringsmöjligh</w:t>
      </w:r>
      <w:r w:rsidRPr="00896D4F">
        <w:t>e</w:t>
      </w:r>
      <w:r w:rsidRPr="00896D4F">
        <w:t>terna bör vara vidsträckta. I administrativa ärenden av stor eller princip</w:t>
      </w:r>
      <w:r w:rsidRPr="00896D4F">
        <w:t>i</w:t>
      </w:r>
      <w:r w:rsidRPr="00896D4F">
        <w:t>ell betydelse bör den administrativt ansvariga riksrevisorn samråda med sina kolleger.</w:t>
      </w:r>
    </w:p>
    <w:p w:rsidR="009C1C5A" w:rsidRPr="00896D4F" w:rsidRDefault="009C1C5A">
      <w:pPr>
        <w:numPr>
          <w:ilvl w:val="0"/>
          <w:numId w:val="54"/>
        </w:numPr>
        <w:spacing w:before="0"/>
      </w:pPr>
      <w:r w:rsidRPr="00896D4F">
        <w:t>Direktiven till utredningen om de organisatoriska frågorna bör ses över med uppmärksamhet på konstitutionella aspekter på det förhållandet att den nya riksrevisionen skall vara en myndighet under riksdagen.</w:t>
      </w:r>
    </w:p>
    <w:p w:rsidR="009C1C5A" w:rsidRPr="00896D4F" w:rsidRDefault="009C1C5A">
      <w:pPr>
        <w:pStyle w:val="Sidfot"/>
        <w:tabs>
          <w:tab w:val="clear" w:pos="9072"/>
        </w:tabs>
      </w:pPr>
      <w:r w:rsidRPr="00896D4F">
        <w:t>Med anledning av att jag sett mig föranlåten att i detta yttrande anföra vissa syn</w:t>
      </w:r>
      <w:r w:rsidRPr="00896D4F">
        <w:softHyphen/>
        <w:t>punkter även på de i proposition 2001/02:73 föreslagna grundlagsändrin</w:t>
      </w:r>
      <w:r w:rsidRPr="00896D4F">
        <w:t>g</w:t>
      </w:r>
      <w:r w:rsidRPr="00896D4F">
        <w:t>arna och på regeringens kommittédirektiv 2001:31 kommer jag att översända ett exemplar av yttrandet till riksdagens konstitutionsutskott.</w:t>
      </w:r>
    </w:p>
    <w:p w:rsidR="009C1C5A" w:rsidRPr="00896D4F" w:rsidRDefault="009C1C5A">
      <w:pPr>
        <w:sectPr w:rsidR="00000000" w:rsidRPr="00896D4F">
          <w:headerReference w:type="even" r:id="rId15"/>
          <w:headerReference w:type="default" r:id="rId16"/>
          <w:footerReference w:type="even" r:id="rId17"/>
          <w:footerReference w:type="default" r:id="rId18"/>
          <w:headerReference w:type="first" r:id="rId19"/>
          <w:footerReference w:type="first" r:id="rId20"/>
          <w:pgSz w:w="11906" w:h="16838" w:code="9"/>
          <w:pgMar w:top="3969" w:right="4649" w:bottom="1106" w:left="1304" w:header="57" w:footer="57" w:gutter="0"/>
          <w:cols w:space="720"/>
          <w:titlePg/>
        </w:sectPr>
      </w:pPr>
    </w:p>
    <w:p w:rsidR="009C1C5A" w:rsidRPr="00896D4F" w:rsidRDefault="009C1C5A">
      <w:pPr>
        <w:pStyle w:val="Rubrik1"/>
        <w:spacing w:before="0"/>
        <w:rPr>
          <w:sz w:val="28"/>
        </w:rPr>
      </w:pPr>
      <w:r w:rsidRPr="00896D4F">
        <w:t xml:space="preserve">Lag (1986:765) med instruktion för Riksdagens </w:t>
      </w:r>
      <w:r w:rsidRPr="00896D4F">
        <w:rPr>
          <w:sz w:val="28"/>
        </w:rPr>
        <w:t>ombudsmän;</w:t>
      </w:r>
    </w:p>
    <w:p w:rsidR="009C1C5A" w:rsidRPr="00896D4F" w:rsidRDefault="009C1C5A">
      <w:r w:rsidRPr="00896D4F">
        <w:t>utfärdad den 13 november 1986, ändrad senast den 31 maj 2000 genom SFS 2000:424.</w:t>
      </w:r>
    </w:p>
    <w:p w:rsidR="009C1C5A" w:rsidRPr="00896D4F" w:rsidRDefault="009C1C5A">
      <w:r w:rsidRPr="00896D4F">
        <w:t>Enligt riksdagens beslut föreskrivs följande.</w:t>
      </w:r>
    </w:p>
    <w:p w:rsidR="009C1C5A" w:rsidRPr="00896D4F" w:rsidRDefault="009C1C5A">
      <w:pPr>
        <w:pStyle w:val="Rubrik3"/>
      </w:pPr>
      <w:r w:rsidRPr="00896D4F">
        <w:t>Uppgifter</w:t>
      </w:r>
    </w:p>
    <w:p w:rsidR="009C1C5A" w:rsidRPr="00896D4F" w:rsidRDefault="009C1C5A">
      <w:r w:rsidRPr="00896D4F">
        <w:t>1 § Riksdagens ombudsmän är enligt 8 kap. 10 § riksdagsordningen fyra, en chefsjustitieombudsman och tre justitieombudsmän. Härutöver kan finnas en eller flera ställföreträdande ombudsmän.</w:t>
      </w:r>
    </w:p>
    <w:p w:rsidR="009C1C5A" w:rsidRPr="00896D4F" w:rsidRDefault="009C1C5A">
      <w:pPr>
        <w:pStyle w:val="Normaltindrag"/>
      </w:pPr>
      <w:r w:rsidRPr="00896D4F">
        <w:t>Chefsjustitieombudsmannen och justitieombudsmännen har i den omfat</w:t>
      </w:r>
      <w:r w:rsidRPr="00896D4F">
        <w:t>t</w:t>
      </w:r>
      <w:r w:rsidRPr="00896D4F">
        <w:t>ning som anges i 2 § tillsyn över att de som utövar offentlig verksamhet e</w:t>
      </w:r>
      <w:r w:rsidRPr="00896D4F">
        <w:t>f</w:t>
      </w:r>
      <w:r w:rsidRPr="00896D4F">
        <w:t>terlever lagar och andra författningar samt i övrigt ful</w:t>
      </w:r>
      <w:r w:rsidRPr="00896D4F">
        <w:t>l</w:t>
      </w:r>
      <w:r w:rsidRPr="00896D4F">
        <w:t xml:space="preserve">gör sina åligganden. </w:t>
      </w:r>
    </w:p>
    <w:p w:rsidR="009C1C5A" w:rsidRPr="00896D4F" w:rsidRDefault="009C1C5A">
      <w:r w:rsidRPr="00896D4F">
        <w:t>2 §  Under ombudsmännens tillsyn står</w:t>
      </w:r>
    </w:p>
    <w:p w:rsidR="009C1C5A" w:rsidRPr="00896D4F" w:rsidRDefault="009C1C5A">
      <w:r w:rsidRPr="00896D4F">
        <w:t>1. statliga och kommunala myndigheter,</w:t>
      </w:r>
    </w:p>
    <w:p w:rsidR="009C1C5A" w:rsidRPr="00896D4F" w:rsidRDefault="009C1C5A">
      <w:pPr>
        <w:spacing w:before="0"/>
      </w:pPr>
      <w:r w:rsidRPr="00896D4F">
        <w:t>2. tjänstemän och andra befattningshavare vid dessa myndigheter,</w:t>
      </w:r>
    </w:p>
    <w:p w:rsidR="009C1C5A" w:rsidRPr="00896D4F" w:rsidRDefault="009C1C5A">
      <w:pPr>
        <w:spacing w:before="0"/>
      </w:pPr>
      <w:r w:rsidRPr="00896D4F">
        <w:t>3. annan som innehar tjänst eller uppdrag, varmed följer myndighetsutövning, såvitt avser denna hans verksamhet,</w:t>
      </w:r>
    </w:p>
    <w:p w:rsidR="009C1C5A" w:rsidRPr="00896D4F" w:rsidRDefault="009C1C5A">
      <w:pPr>
        <w:spacing w:before="0"/>
      </w:pPr>
      <w:r w:rsidRPr="00896D4F">
        <w:t>4. tjänstemän och uppdragstagare i statliga affärsverk, när de för verkens räkning fullgör uppdrag i sådana aktiebolag där staten genom verken utövar ett bestämmande inflytande.</w:t>
      </w:r>
    </w:p>
    <w:p w:rsidR="009C1C5A" w:rsidRPr="00896D4F" w:rsidRDefault="009C1C5A">
      <w:pPr>
        <w:pStyle w:val="Normaltindrag"/>
      </w:pPr>
      <w:r w:rsidRPr="00896D4F">
        <w:t>I fråga om befattningshavare vid försvarsmakten omfattar tillsynen dock endast befäl av lägst fänriks grad och dem som innehar motsvarande tjänst</w:t>
      </w:r>
      <w:r w:rsidRPr="00896D4F">
        <w:t>e</w:t>
      </w:r>
      <w:r w:rsidRPr="00896D4F">
        <w:t>ställning.</w:t>
      </w:r>
    </w:p>
    <w:p w:rsidR="009C1C5A" w:rsidRPr="00896D4F" w:rsidRDefault="009C1C5A">
      <w:pPr>
        <w:pStyle w:val="Normaltindrag"/>
      </w:pPr>
      <w:r w:rsidRPr="00896D4F">
        <w:t>Ombudsmännens tillsyn omfattar ej</w:t>
      </w:r>
    </w:p>
    <w:p w:rsidR="009C1C5A" w:rsidRPr="00896D4F" w:rsidRDefault="009C1C5A">
      <w:pPr>
        <w:spacing w:before="0"/>
      </w:pPr>
      <w:r w:rsidRPr="00896D4F">
        <w:t>1. riksdagens ledamöter,</w:t>
      </w:r>
    </w:p>
    <w:p w:rsidR="009C1C5A" w:rsidRPr="00896D4F" w:rsidRDefault="009C1C5A">
      <w:pPr>
        <w:spacing w:before="0"/>
      </w:pPr>
      <w:r w:rsidRPr="00896D4F">
        <w:t>2. riksdagsstyrelsen, riksdagens valprövningsnämnd, riksdagens besvär</w:t>
      </w:r>
      <w:r w:rsidRPr="00896D4F">
        <w:t>s</w:t>
      </w:r>
      <w:r w:rsidRPr="00896D4F">
        <w:t>nämnd eller kammarse</w:t>
      </w:r>
      <w:r w:rsidRPr="00896D4F">
        <w:t>k</w:t>
      </w:r>
      <w:r w:rsidRPr="00896D4F">
        <w:t>reteraren,</w:t>
      </w:r>
    </w:p>
    <w:p w:rsidR="009C1C5A" w:rsidRPr="00896D4F" w:rsidRDefault="009C1C5A">
      <w:pPr>
        <w:spacing w:before="0"/>
      </w:pPr>
      <w:r w:rsidRPr="00896D4F">
        <w:t>3. riksbanksfullmäktige samt ledamöter av direktionen i Riksbanken, utom såvitt avser deltagande i utövning av Riksbankens beslutanderätt enligt lagen (1992:1602) om valuta- och kreditreglering,</w:t>
      </w:r>
    </w:p>
    <w:p w:rsidR="009C1C5A" w:rsidRPr="00896D4F" w:rsidRDefault="009C1C5A">
      <w:pPr>
        <w:spacing w:before="0"/>
      </w:pPr>
      <w:r w:rsidRPr="00896D4F">
        <w:t>4. regeringen eller statsråd,</w:t>
      </w:r>
    </w:p>
    <w:p w:rsidR="009C1C5A" w:rsidRPr="00896D4F" w:rsidRDefault="009C1C5A">
      <w:pPr>
        <w:spacing w:before="0"/>
      </w:pPr>
      <w:r w:rsidRPr="00896D4F">
        <w:t>5. justitiekanslern samt</w:t>
      </w:r>
    </w:p>
    <w:p w:rsidR="009C1C5A" w:rsidRPr="00896D4F" w:rsidRDefault="009C1C5A">
      <w:pPr>
        <w:spacing w:before="0"/>
      </w:pPr>
      <w:r w:rsidRPr="00896D4F">
        <w:t>6. ledamöter av beslutande kommunala församlin</w:t>
      </w:r>
      <w:r w:rsidRPr="00896D4F">
        <w:t>g</w:t>
      </w:r>
      <w:r w:rsidRPr="00896D4F">
        <w:t>ar.</w:t>
      </w:r>
    </w:p>
    <w:p w:rsidR="009C1C5A" w:rsidRPr="00896D4F" w:rsidRDefault="009C1C5A">
      <w:pPr>
        <w:pStyle w:val="Normaltindrag"/>
      </w:pPr>
      <w:r w:rsidRPr="00896D4F">
        <w:t>Ombudsmännen står ej under tillsyn av varandra. Med befattningshavare förstås i denna lag, om inte annat framgår av sammanhanget, person som står under ombudsmännens tillsyn.</w:t>
      </w:r>
    </w:p>
    <w:p w:rsidR="009C1C5A" w:rsidRPr="00896D4F" w:rsidRDefault="009C1C5A">
      <w:r w:rsidRPr="00896D4F">
        <w:t>3 § Ombudsmännen skall särskilt tillse att domstolar och förvaltningsmy</w:t>
      </w:r>
      <w:r w:rsidRPr="00896D4F">
        <w:t>n</w:t>
      </w:r>
      <w:r w:rsidRPr="00896D4F">
        <w:t>digheter i sin verksamhet iakttager regeringsformens bud om saklighet och opartiskhet och att medborgarnas grundläggande fri- och rättigheter ej träds för när i den offentliga verksamheten.</w:t>
      </w:r>
    </w:p>
    <w:p w:rsidR="009C1C5A" w:rsidRPr="00896D4F" w:rsidRDefault="009C1C5A">
      <w:pPr>
        <w:pStyle w:val="Normaltindrag"/>
      </w:pPr>
      <w:r w:rsidRPr="00896D4F">
        <w:t>Vid tillsyn över kommunala myndigheter skall ombudsman beakta de fo</w:t>
      </w:r>
      <w:r w:rsidRPr="00896D4F">
        <w:t>r</w:t>
      </w:r>
      <w:r w:rsidRPr="00896D4F">
        <w:t>mer i vilka den kommunala självstyrelsen utövas.</w:t>
      </w:r>
    </w:p>
    <w:p w:rsidR="009C1C5A" w:rsidRPr="00896D4F" w:rsidRDefault="009C1C5A">
      <w:r w:rsidRPr="00896D4F">
        <w:t>4 § Ombudsmännen skall verka för att brister i lagstiftningen avhjälps. Up</w:t>
      </w:r>
      <w:r w:rsidRPr="00896D4F">
        <w:t>p</w:t>
      </w:r>
      <w:r w:rsidRPr="00896D4F">
        <w:t>kommer under tillsynsverksamheten anledning att väcka fråga om förfat</w:t>
      </w:r>
      <w:r w:rsidRPr="00896D4F">
        <w:t>t</w:t>
      </w:r>
      <w:r w:rsidRPr="00896D4F">
        <w:t>ningsändring eller annan åtgärd från statens sida, får ombudsman göra fra</w:t>
      </w:r>
      <w:r w:rsidRPr="00896D4F">
        <w:t>m</w:t>
      </w:r>
      <w:r w:rsidRPr="00896D4F">
        <w:t>ställning i ämnet till rik</w:t>
      </w:r>
      <w:r w:rsidRPr="00896D4F">
        <w:t>s</w:t>
      </w:r>
      <w:r w:rsidRPr="00896D4F">
        <w:t>dagen eller regeringen.</w:t>
      </w:r>
    </w:p>
    <w:p w:rsidR="009C1C5A" w:rsidRPr="00896D4F" w:rsidRDefault="009C1C5A">
      <w:pPr>
        <w:pStyle w:val="Normaltindrag"/>
      </w:pPr>
      <w:r w:rsidRPr="00896D4F">
        <w:t>Justitieombudsman skall samråda med chefsjustitieombudsmannen innan han gör framställning enligt första stycket.</w:t>
      </w:r>
    </w:p>
    <w:p w:rsidR="009C1C5A" w:rsidRPr="00896D4F" w:rsidRDefault="009C1C5A">
      <w:r w:rsidRPr="00896D4F">
        <w:t>5 § Ombudsmännens tillsyn bedrivs genom prövning av klagomål från al</w:t>
      </w:r>
      <w:r w:rsidRPr="00896D4F">
        <w:t>l</w:t>
      </w:r>
      <w:r w:rsidRPr="00896D4F">
        <w:t>mänheten samt genom inspektioner och andra undersökningar, som ombud</w:t>
      </w:r>
      <w:r w:rsidRPr="00896D4F">
        <w:t>s</w:t>
      </w:r>
      <w:r w:rsidRPr="00896D4F">
        <w:t>männen finner påkallade.</w:t>
      </w:r>
    </w:p>
    <w:p w:rsidR="009C1C5A" w:rsidRPr="00896D4F" w:rsidRDefault="009C1C5A">
      <w:pPr>
        <w:pStyle w:val="Normaltindrag"/>
      </w:pPr>
      <w:r w:rsidRPr="00896D4F">
        <w:t>Justitieombudsman skall samråda med chefsjustitieombudsmannen om i</w:t>
      </w:r>
      <w:r w:rsidRPr="00896D4F">
        <w:t>n</w:t>
      </w:r>
      <w:r w:rsidRPr="00896D4F">
        <w:t>spektioner och andra undersökningar, som han avser att genomföra.</w:t>
      </w:r>
    </w:p>
    <w:p w:rsidR="009C1C5A" w:rsidRPr="00896D4F" w:rsidRDefault="009C1C5A">
      <w:r w:rsidRPr="00896D4F">
        <w:t>6 § Ombudsman avgör ärende genom beslut, vari han får uttala sig om hur</w:t>
      </w:r>
      <w:r w:rsidRPr="00896D4F">
        <w:t>u</w:t>
      </w:r>
      <w:r w:rsidRPr="00896D4F">
        <w:t>vida åtgärd av myndighet eller befattningshavare strider mot lag eller annan författning eller annars är felaktig eller olämplig. Ombudsman får även göra sådana uttalanden som avser att främja enhetlig och ändamålsenlig rättstill-lämpning.</w:t>
      </w:r>
    </w:p>
    <w:p w:rsidR="009C1C5A" w:rsidRPr="00896D4F" w:rsidRDefault="009C1C5A">
      <w:pPr>
        <w:pStyle w:val="Normaltindrag"/>
      </w:pPr>
      <w:r w:rsidRPr="00896D4F">
        <w:t>Ombudsman får som särskild åklagare väcka åtal mot befattningshavare som genom att åsidosätta vad som åligger honom i tjänsten eller uppdraget har begått annan brottslig gärning än tryckfrihetsbrott eller yttrandefrihet</w:t>
      </w:r>
      <w:r w:rsidRPr="00896D4F">
        <w:t>s</w:t>
      </w:r>
      <w:r w:rsidRPr="00896D4F">
        <w:t>brott. Ger utredningen i ärende ombudsman anledning anta att sådan brottslig gärning begåtts, tillämpas vad som föreskrivs i lag om förundersökning, åtal och åtalsunderlåtelse samt om allmän åklagares befogenheter i övrigt i fråga om brott under allmänt åtal. I mål som har väckts vid tingsrätt bör talan ful</w:t>
      </w:r>
      <w:r w:rsidRPr="00896D4F">
        <w:t>l</w:t>
      </w:r>
      <w:r w:rsidRPr="00896D4F">
        <w:t>följas till Högsta domstolen endast om synnerliga skäl fö</w:t>
      </w:r>
      <w:r w:rsidRPr="00896D4F">
        <w:t>r</w:t>
      </w:r>
      <w:r w:rsidRPr="00896D4F">
        <w:t>anleder det.</w:t>
      </w:r>
    </w:p>
    <w:p w:rsidR="009C1C5A" w:rsidRPr="00896D4F" w:rsidRDefault="009C1C5A">
      <w:pPr>
        <w:pStyle w:val="Normaltindrag"/>
      </w:pPr>
      <w:r w:rsidRPr="00896D4F">
        <w:t>Om befattningshavare genom att åsidosätta vad som åligger honom i tjänsten eller uppdraget gjort sig skyldig till fel, som kan beiv</w:t>
      </w:r>
      <w:r w:rsidRPr="00896D4F">
        <w:t>ras genom d</w:t>
      </w:r>
      <w:r w:rsidRPr="00896D4F">
        <w:t>i</w:t>
      </w:r>
      <w:r w:rsidRPr="00896D4F">
        <w:t>sciplinärt förfarande, får ombudsman göra anmälan till den som har befoge</w:t>
      </w:r>
      <w:r w:rsidRPr="00896D4F">
        <w:t>n</w:t>
      </w:r>
      <w:r w:rsidRPr="00896D4F">
        <w:t>het att besluta om disciplinpåföljd. Om den som är legitimerad eller annars behörig att utöva yrke inom hälso- och sjukvården, tandvården eller detal</w:t>
      </w:r>
      <w:r w:rsidRPr="00896D4F">
        <w:t>j</w:t>
      </w:r>
      <w:r w:rsidRPr="00896D4F">
        <w:t>handeln med läkemedel eller yrke som veterinär har varit grovt oskicklig vid utövningen av sitt yrke eller på annat sätt visat sig uppenbart olämplig att utöva detta, får ombudsman göra anmälan till den som har befogenhet att besluta om återkallelse av legitimationen eller be</w:t>
      </w:r>
      <w:r w:rsidRPr="00896D4F">
        <w:t>hörigheten. Motsvarande anmälan får göras i fråga om begränsning av sådan legitimerad yrkesutövares behörighet, om denne har missbrukat sin behörighet på något annat sätt. Om den som är legitimerad yrkesutövare inom hälso- och sjukvården, tandvården eller detaljhandeln med läkemedel varit oskicklig vid utövning av sitt yrke eller på annat sätt visat sig olämplig att utöva yrket, får ombudsman göra anmälan i fråga om prövotid till den som har befogenhet att besluta dä</w:t>
      </w:r>
      <w:r w:rsidRPr="00896D4F">
        <w:t>r</w:t>
      </w:r>
      <w:r w:rsidRPr="00896D4F">
        <w:t>om.</w:t>
      </w:r>
    </w:p>
    <w:p w:rsidR="009C1C5A" w:rsidRPr="00896D4F" w:rsidRDefault="009C1C5A">
      <w:pPr>
        <w:pStyle w:val="Normaltindrag"/>
      </w:pPr>
      <w:r w:rsidRPr="00896D4F">
        <w:t>Anser ombudsman det vara påkallat at</w:t>
      </w:r>
      <w:r w:rsidRPr="00896D4F">
        <w:t>t befattningshavare avskedas eller avstängs från sin tjänst på grund av brottslig gärning eller grov eller upprepad tjänsteförseelse, får han göra anmälan härom till den som har befogenhet att besluta om sådan å</w:t>
      </w:r>
      <w:r w:rsidRPr="00896D4F">
        <w:t>t</w:t>
      </w:r>
      <w:r w:rsidRPr="00896D4F">
        <w:t>gärd.</w:t>
      </w:r>
    </w:p>
    <w:p w:rsidR="009C1C5A" w:rsidRPr="00896D4F" w:rsidRDefault="009C1C5A">
      <w:pPr>
        <w:pStyle w:val="Normaltindrag"/>
      </w:pPr>
      <w:r w:rsidRPr="00896D4F">
        <w:t>När ombudsman har gjort anmälan i ett sådant ärende som avses i tredje eller fjärde stycket skall han i ärendet få tillfälle att komplettera egen utre</w:t>
      </w:r>
      <w:r w:rsidRPr="00896D4F">
        <w:t>d</w:t>
      </w:r>
      <w:r w:rsidRPr="00896D4F">
        <w:t>ning och att yttra sig över utredning som har tillförts ärendet av någon annan samt att närvara, om muntligt förhör hålls. Vad som nu sagts gäller dock inte ärenden om avstängning.</w:t>
      </w:r>
    </w:p>
    <w:p w:rsidR="009C1C5A" w:rsidRPr="00896D4F" w:rsidRDefault="009C1C5A">
      <w:r w:rsidRPr="00896D4F">
        <w:t>7 § Har myndighet meddelat beslut mot befattningshavare i ärende om ti</w:t>
      </w:r>
      <w:r w:rsidRPr="00896D4F">
        <w:t>l</w:t>
      </w:r>
      <w:r w:rsidRPr="00896D4F">
        <w:t>lämpningen av särskilda bestämmelser för tjänstemän i lag eller annan fö</w:t>
      </w:r>
      <w:r w:rsidRPr="00896D4F">
        <w:t>r</w:t>
      </w:r>
      <w:r w:rsidRPr="00896D4F">
        <w:t>fattning om disciplinansvar eller om avskedande eller avstängning från tjän</w:t>
      </w:r>
      <w:r w:rsidRPr="00896D4F">
        <w:t>s</w:t>
      </w:r>
      <w:r w:rsidRPr="00896D4F">
        <w:t>ten på grund av brottslig gärning eller tjänsteförseelse, får ombudsman föra talan vid domstol om ändring i beslutet. Detsamma gäller i fråga om myndi</w:t>
      </w:r>
      <w:r w:rsidRPr="00896D4F">
        <w:t>g</w:t>
      </w:r>
      <w:r w:rsidRPr="00896D4F">
        <w:t>hets beslut i ärende om disciplinansvar mot den som tillhör hälso- och sju</w:t>
      </w:r>
      <w:r w:rsidRPr="00896D4F">
        <w:t>k</w:t>
      </w:r>
      <w:r w:rsidRPr="00896D4F">
        <w:t>vårdspersonalen eller är veterinär, krigsman eller disciplinansvarig enligt lagen (1994:1811) om disciplinansvar inom totalförsvaret, m.</w:t>
      </w:r>
      <w:r w:rsidRPr="00896D4F">
        <w:t>m. samt i fråga om myndighets beslut i ärende om prövotid eller  sådan behörighetsfråga som avses i 6 § tredje stycket. Närmare bestämmelser om sådan talan meddelas i lag eller annan författning.</w:t>
      </w:r>
    </w:p>
    <w:p w:rsidR="009C1C5A" w:rsidRPr="00896D4F" w:rsidRDefault="009C1C5A">
      <w:pPr>
        <w:pStyle w:val="Normaltindrag"/>
      </w:pPr>
      <w:r w:rsidRPr="00896D4F">
        <w:t>Har befattningshavare enligt vad därom är föreskrivet sökt ändring vid domstol i beslut som avses i första stycket och har beslutet tillkommit efter anmälan av ombudsman, företräder ombudsmannen det allmänna som befat</w:t>
      </w:r>
      <w:r w:rsidRPr="00896D4F">
        <w:t>t</w:t>
      </w:r>
      <w:r w:rsidRPr="00896D4F">
        <w:t>ningshavarens motpart i tvisten. Detsamma gäller, om ombudsmannen har sökt ändring i beslutet.</w:t>
      </w:r>
    </w:p>
    <w:p w:rsidR="009C1C5A" w:rsidRPr="00896D4F" w:rsidRDefault="009C1C5A">
      <w:pPr>
        <w:pStyle w:val="Normaltindrag"/>
      </w:pPr>
      <w:r w:rsidRPr="00896D4F">
        <w:t>Vad i lag eller annan författning är föreskrivet om arbetsgivare skall i fråga om tvister som avses i denna paragraf äga motsvarande tillämpning på o</w:t>
      </w:r>
      <w:r w:rsidRPr="00896D4F">
        <w:t>m</w:t>
      </w:r>
      <w:r w:rsidRPr="00896D4F">
        <w:t>budsman. Bestämmelserna i 4 kap. 7 § och 5 kap. 1 § första stycket lagen (1974:371) om rättegången i arbetstvister skall dock ej tillämpas i fråga om tvist i vilken ombudsman för talan.</w:t>
      </w:r>
    </w:p>
    <w:p w:rsidR="009C1C5A" w:rsidRPr="00896D4F" w:rsidRDefault="009C1C5A">
      <w:r w:rsidRPr="00896D4F">
        <w:t>8 § Ombudsman bör ej ingripa mot lägre befattningshavare utan självständiga befogenheter, om det inte finns särskilda skäl för ett ingripande.</w:t>
      </w:r>
    </w:p>
    <w:p w:rsidR="009C1C5A" w:rsidRPr="00896D4F" w:rsidRDefault="009C1C5A">
      <w:r w:rsidRPr="00896D4F">
        <w:t>9 § Om ombudsmans befogenhet att väcka åtal mot ledamot av Högsta do</w:t>
      </w:r>
      <w:r w:rsidRPr="00896D4F">
        <w:t>m</w:t>
      </w:r>
      <w:r w:rsidRPr="00896D4F">
        <w:t>stolen eller Regeringsrätten samt talan om skiljande eller avstängning av sådan ledamot från tjänsten eller skyldighet för ledamot att undergå läkaru</w:t>
      </w:r>
      <w:r w:rsidRPr="00896D4F">
        <w:t>n</w:t>
      </w:r>
      <w:r w:rsidRPr="00896D4F">
        <w:t>dersökning föreskrivs i rege</w:t>
      </w:r>
      <w:r w:rsidRPr="00896D4F">
        <w:t>r</w:t>
      </w:r>
      <w:r w:rsidRPr="00896D4F">
        <w:t>ingsformen.</w:t>
      </w:r>
    </w:p>
    <w:p w:rsidR="009C1C5A" w:rsidRPr="00896D4F" w:rsidRDefault="009C1C5A">
      <w:r w:rsidRPr="00896D4F">
        <w:t>10 § Ombudsman är skyldig att väcka och utföra åtal som konstitutionsu</w:t>
      </w:r>
      <w:r w:rsidRPr="00896D4F">
        <w:t>t</w:t>
      </w:r>
      <w:r w:rsidRPr="00896D4F">
        <w:t>skottet enligt 12 kap. 3 § regeringsformen har beslutat mot statsråd samt åtal som riksdagsutskott enligt vad som är föreskrivet har beslutat mot befat</w:t>
      </w:r>
      <w:r w:rsidRPr="00896D4F">
        <w:t>t</w:t>
      </w:r>
      <w:r w:rsidRPr="00896D4F">
        <w:t>ningshavare hos riksdagen eller dess organ, dock ej åtal mot ombudsman.</w:t>
      </w:r>
    </w:p>
    <w:p w:rsidR="009C1C5A" w:rsidRPr="00896D4F" w:rsidRDefault="009C1C5A">
      <w:pPr>
        <w:pStyle w:val="Normaltindrag"/>
      </w:pPr>
      <w:r w:rsidRPr="00896D4F">
        <w:t>Ombudsman är även skyldig att biträda utskott med förundersökningen mot befattningshavare som nämns i första stycket.</w:t>
      </w:r>
    </w:p>
    <w:p w:rsidR="009C1C5A" w:rsidRPr="00896D4F" w:rsidRDefault="009C1C5A">
      <w:r w:rsidRPr="00896D4F">
        <w:t>11 § Ombudsmännen skall årligen senast den 15 november tillställa riksdagen en tryckt ämbetsberättelse avseende tiden den 1 juli närmast föregående år– den 30 juni innevarande år. Berättelsen skall innehålla redogörelse för de åtgärder som vidtagits med stöd av 4 § första stycket och 6 § andra–fjärde styckena och 7 § samt för andra viktigare beslut som ombudsmännen har meddelat. Berättelsen skall även uppta en översikt över verksamheten i övrigt.</w:t>
      </w:r>
    </w:p>
    <w:p w:rsidR="009C1C5A" w:rsidRPr="00896D4F" w:rsidRDefault="009C1C5A">
      <w:pPr>
        <w:pStyle w:val="Rubrik3"/>
      </w:pPr>
      <w:r w:rsidRPr="00896D4F">
        <w:t>Organisation</w:t>
      </w:r>
    </w:p>
    <w:p w:rsidR="009C1C5A" w:rsidRPr="00896D4F" w:rsidRDefault="009C1C5A">
      <w:r w:rsidRPr="00896D4F">
        <w:t>12 § Enligt 8 kap. 10 § riksdagsordningen är chefsjustitieombudsmannen administrativ chef och bestämmer inriktningen  i stort av verksamheten. Han skall i arbetsordning meddela bestämmelser om organisationen av verksa</w:t>
      </w:r>
      <w:r w:rsidRPr="00896D4F">
        <w:t>m</w:t>
      </w:r>
      <w:r w:rsidRPr="00896D4F">
        <w:t>heten och förde</w:t>
      </w:r>
      <w:r w:rsidRPr="00896D4F">
        <w:t>l</w:t>
      </w:r>
      <w:r w:rsidRPr="00896D4F">
        <w:t>ningen av ärendena mellan ombudsmännen.</w:t>
      </w:r>
    </w:p>
    <w:p w:rsidR="009C1C5A" w:rsidRPr="00896D4F" w:rsidRDefault="009C1C5A">
      <w:pPr>
        <w:pStyle w:val="Normaltindrag"/>
      </w:pPr>
      <w:r w:rsidRPr="00896D4F">
        <w:t>Chefsjustitieombudsmannen svarar för att intern revision av myndigheten sker.</w:t>
      </w:r>
    </w:p>
    <w:p w:rsidR="009C1C5A" w:rsidRPr="00896D4F" w:rsidRDefault="009C1C5A">
      <w:r w:rsidRPr="00896D4F">
        <w:t>13 § För verksamheten skall finnas en expedition (ombudsmannaexpediti</w:t>
      </w:r>
      <w:r w:rsidRPr="00896D4F">
        <w:t>o</w:t>
      </w:r>
      <w:r w:rsidRPr="00896D4F">
        <w:t>nen). Vid denna är anställda en kanslichef samt byråchefer och övriga tjän</w:t>
      </w:r>
      <w:r w:rsidRPr="00896D4F">
        <w:t>s</w:t>
      </w:r>
      <w:r w:rsidRPr="00896D4F">
        <w:t>temän enligt personalförteckning. I mån av behov och tillgång på medel får chefsjustitieombudsmannen anlita annan personal samt experter och sakku</w:t>
      </w:r>
      <w:r w:rsidRPr="00896D4F">
        <w:t>n</w:t>
      </w:r>
      <w:r w:rsidRPr="00896D4F">
        <w:t>niga. Chefsjustitieombudsmannen bestämmer om personalens tjänstgöring.</w:t>
      </w:r>
    </w:p>
    <w:p w:rsidR="009C1C5A" w:rsidRPr="00896D4F" w:rsidRDefault="009C1C5A">
      <w:pPr>
        <w:pStyle w:val="Normaltindrag"/>
      </w:pPr>
      <w:r w:rsidRPr="00896D4F">
        <w:t>Kanslichefen skall under chefsjustitieombudsmannen leda arbetet inom ombudsmannaexpeditionen och i övrigt lämna ombudsmännen erforderligt biträde.</w:t>
      </w:r>
    </w:p>
    <w:p w:rsidR="009C1C5A" w:rsidRPr="00896D4F" w:rsidRDefault="009C1C5A">
      <w:r w:rsidRPr="00896D4F">
        <w:t>14 § För arbetet inom ombudsmannaexpeditionen meddelar chefsjustitieo</w:t>
      </w:r>
      <w:r w:rsidRPr="00896D4F">
        <w:t>m</w:t>
      </w:r>
      <w:r w:rsidRPr="00896D4F">
        <w:t>budsmannen de råd och anvisningar som behövs utöver denna instruktion och vad som föreskrivs i arbetsordningen.</w:t>
      </w:r>
    </w:p>
    <w:p w:rsidR="009C1C5A" w:rsidRPr="00896D4F" w:rsidRDefault="009C1C5A">
      <w:pPr>
        <w:pStyle w:val="Normaltindrag"/>
      </w:pPr>
      <w:r w:rsidRPr="00896D4F">
        <w:t>Chefsjustitieombudsmannen skall samråda med konstitutionsutskottet i o</w:t>
      </w:r>
      <w:r w:rsidRPr="00896D4F">
        <w:t>r</w:t>
      </w:r>
      <w:r w:rsidRPr="00896D4F">
        <w:t>ganisationsfrågor av stö</w:t>
      </w:r>
      <w:r w:rsidRPr="00896D4F">
        <w:t>r</w:t>
      </w:r>
      <w:r w:rsidRPr="00896D4F">
        <w:t>re vikt.</w:t>
      </w:r>
    </w:p>
    <w:p w:rsidR="009C1C5A" w:rsidRPr="00896D4F" w:rsidRDefault="009C1C5A">
      <w:pPr>
        <w:pStyle w:val="Normaltindrag"/>
      </w:pPr>
      <w:r w:rsidRPr="00896D4F">
        <w:t>Innan justitieombudsman påkallar samråd med konstitutionsutskottet skall han ha samrått med chefsj</w:t>
      </w:r>
      <w:r w:rsidRPr="00896D4F">
        <w:t>u</w:t>
      </w:r>
      <w:r w:rsidRPr="00896D4F">
        <w:t>stitieombudsmannen.</w:t>
      </w:r>
    </w:p>
    <w:p w:rsidR="009C1C5A" w:rsidRPr="00896D4F" w:rsidRDefault="009C1C5A">
      <w:r w:rsidRPr="00896D4F">
        <w:t>15 § Chefsjustitieombudsmannen får oberoende av vad som följer av arbet</w:t>
      </w:r>
      <w:r w:rsidRPr="00896D4F">
        <w:t>s</w:t>
      </w:r>
      <w:r w:rsidRPr="00896D4F">
        <w:t>ordning genom särskilt beslut föreskriva att visst ärende eller grupp av äre</w:t>
      </w:r>
      <w:r w:rsidRPr="00896D4F">
        <w:t>n</w:t>
      </w:r>
      <w:r w:rsidRPr="00896D4F">
        <w:t>den skall hänskjutas till honom eller någon av de andra ombudsmännen.</w:t>
      </w:r>
    </w:p>
    <w:p w:rsidR="009C1C5A" w:rsidRPr="00896D4F" w:rsidRDefault="009C1C5A">
      <w:pPr>
        <w:pStyle w:val="Normaltindrag"/>
      </w:pPr>
      <w:r w:rsidRPr="00896D4F">
        <w:t>Chefsjustitieombudsmannen får vidare i arbetsordning eller genom särskilt beslut bemyndiga tjänsteman vid ombudsmannaexpeditionen att vidtaga å</w:t>
      </w:r>
      <w:r w:rsidRPr="00896D4F">
        <w:t>t</w:t>
      </w:r>
      <w:r w:rsidRPr="00896D4F">
        <w:t>gärd för ärendes beredande, tjänsteman att verkställa inspektion, dock utan rätt att därvid framställa anmärkning eller göra annat uttalande på ombud</w:t>
      </w:r>
      <w:r w:rsidRPr="00896D4F">
        <w:t>s</w:t>
      </w:r>
      <w:r w:rsidRPr="00896D4F">
        <w:t>mans vägnar, samt kanslichef att besluta i administrativa frågor, dock ej om anställande av byr</w:t>
      </w:r>
      <w:r w:rsidRPr="00896D4F">
        <w:t>å</w:t>
      </w:r>
      <w:r w:rsidRPr="00896D4F">
        <w:t>chef.</w:t>
      </w:r>
    </w:p>
    <w:p w:rsidR="009C1C5A" w:rsidRPr="00896D4F" w:rsidRDefault="009C1C5A">
      <w:pPr>
        <w:pStyle w:val="Normaltindrag"/>
      </w:pPr>
      <w:r w:rsidRPr="00896D4F">
        <w:t xml:space="preserve">Chefsjustitieombudsmannen beslutar om ställföreträdande ombudsmans tjänstgöring som ombudsman. Ställföreträdande ombudsman får tas i anspråk för tjänstgöring om någon ombudsman på grund av en längre tids sjukdom blir förhindrad att utöva sin tjänst eller det </w:t>
      </w:r>
      <w:r w:rsidRPr="00896D4F">
        <w:t>av annat särskilt skäl föreligger behov av ställföreträdande ombudsmans tjänstgöring.</w:t>
      </w:r>
    </w:p>
    <w:p w:rsidR="009C1C5A" w:rsidRPr="00896D4F" w:rsidRDefault="009C1C5A">
      <w:r w:rsidRPr="00896D4F">
        <w:t>16 § När chefsjustitieombudsmannen har semester eller är hindrad att utöva sin tjänst skall den av de andra ombudsmännen som varit ombudsman längst tid tjänstgöra i hans ställe. Om två eller flera varit ombudsmän lika länge, har den äldste av dem för</w:t>
      </w:r>
      <w:r w:rsidRPr="00896D4F">
        <w:t>e</w:t>
      </w:r>
      <w:r w:rsidRPr="00896D4F">
        <w:t>träde.</w:t>
      </w:r>
    </w:p>
    <w:p w:rsidR="009C1C5A" w:rsidRPr="00896D4F" w:rsidRDefault="009C1C5A">
      <w:pPr>
        <w:pStyle w:val="Rubrik3"/>
      </w:pPr>
      <w:r w:rsidRPr="00896D4F">
        <w:t>Om klagomål</w:t>
      </w:r>
    </w:p>
    <w:p w:rsidR="009C1C5A" w:rsidRPr="00896D4F" w:rsidRDefault="009C1C5A">
      <w:r w:rsidRPr="00896D4F">
        <w:t>17 § Klagomål bör anföras skriftligen. I klagoskriften bör anges den myndi</w:t>
      </w:r>
      <w:r w:rsidRPr="00896D4F">
        <w:t>g</w:t>
      </w:r>
      <w:r w:rsidRPr="00896D4F">
        <w:t>het som klagomålet vänder sig mot, den åtgärd som klagomålet avser, ti</w:t>
      </w:r>
      <w:r w:rsidRPr="00896D4F">
        <w:t>d</w:t>
      </w:r>
      <w:r w:rsidRPr="00896D4F">
        <w:t>punkten för åtgärden samt klagandens namn och adress. Innehar klaganden handling, som är av betydelse för ärendets utredande och bedömande, bör den bifogas.</w:t>
      </w:r>
    </w:p>
    <w:p w:rsidR="009C1C5A" w:rsidRPr="00896D4F" w:rsidRDefault="009C1C5A">
      <w:pPr>
        <w:pStyle w:val="Normaltindrag"/>
      </w:pPr>
      <w:r w:rsidRPr="00896D4F">
        <w:t>Den som är berövad sin frihet får sända skrift till ombudsmännen utan hi</w:t>
      </w:r>
      <w:r w:rsidRPr="00896D4F">
        <w:t>n</w:t>
      </w:r>
      <w:r w:rsidRPr="00896D4F">
        <w:t>der av de inskränkningar i rätten att sända brev och andra handlingar som gäller för honom.</w:t>
      </w:r>
    </w:p>
    <w:p w:rsidR="009C1C5A" w:rsidRPr="00896D4F" w:rsidRDefault="009C1C5A">
      <w:pPr>
        <w:pStyle w:val="Normaltindrag"/>
      </w:pPr>
      <w:r w:rsidRPr="00896D4F">
        <w:t>På klagandens begäran skall på expeditionen utfärdas bevis att hans klag</w:t>
      </w:r>
      <w:r w:rsidRPr="00896D4F">
        <w:t>o</w:t>
      </w:r>
      <w:r w:rsidRPr="00896D4F">
        <w:t>skrift inkommit dit.</w:t>
      </w:r>
    </w:p>
    <w:p w:rsidR="009C1C5A" w:rsidRPr="00896D4F" w:rsidRDefault="009C1C5A">
      <w:pPr>
        <w:pStyle w:val="Rubrik3"/>
      </w:pPr>
      <w:r w:rsidRPr="00896D4F">
        <w:t>Allmänna bestämmelser om handläggningen</w:t>
      </w:r>
    </w:p>
    <w:p w:rsidR="009C1C5A" w:rsidRPr="00896D4F" w:rsidRDefault="009C1C5A">
      <w:r w:rsidRPr="00896D4F">
        <w:t>18 § Om ett ärende är av sådan beskaffenhet att det lämpligen kan utredas och prövas av någon annan myndighet än ombudsmännen och om myndigheten inte tidigare har prövat saken, får ombudsman överlämna ärendet till denna myndighet för handläggning. Endast ärende som väckts genom klagomål får överlämnas till Justitiekanslern och endast efter överenskommelse med de</w:t>
      </w:r>
      <w:r w:rsidRPr="00896D4F">
        <w:t>n</w:t>
      </w:r>
      <w:r w:rsidRPr="00896D4F">
        <w:t>ne.</w:t>
      </w:r>
    </w:p>
    <w:p w:rsidR="009C1C5A" w:rsidRPr="00896D4F" w:rsidRDefault="009C1C5A">
      <w:pPr>
        <w:pStyle w:val="Normaltindrag"/>
      </w:pPr>
      <w:r w:rsidRPr="00896D4F">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handläggning.</w:t>
      </w:r>
    </w:p>
    <w:p w:rsidR="009C1C5A" w:rsidRPr="00896D4F" w:rsidRDefault="009C1C5A">
      <w:r w:rsidRPr="00896D4F">
        <w:t>19 § Ombudsman bör skyndsamt lämna klaganden besked om huruvida kl</w:t>
      </w:r>
      <w:r w:rsidRPr="00896D4F">
        <w:t>a</w:t>
      </w:r>
      <w:r w:rsidRPr="00896D4F">
        <w:t>gomålet avvisas, avskrivs från handläggning, överlämnas till annan e</w:t>
      </w:r>
      <w:r w:rsidRPr="00896D4F">
        <w:t>n</w:t>
      </w:r>
      <w:r w:rsidRPr="00896D4F">
        <w:t>ligt 18 § eller upptas till utredning.</w:t>
      </w:r>
    </w:p>
    <w:p w:rsidR="009C1C5A" w:rsidRPr="00896D4F" w:rsidRDefault="009C1C5A">
      <w:r w:rsidRPr="00896D4F">
        <w:t>20 § Ombudsman bör ej till utredning uppta förhållanden, som ligger mer än två år tillbaka i tiden, om ej särskilda skäl föreligger.</w:t>
      </w:r>
    </w:p>
    <w:p w:rsidR="009C1C5A" w:rsidRPr="00896D4F" w:rsidRDefault="009C1C5A">
      <w:r w:rsidRPr="00896D4F">
        <w:t>21 § Ombudsman skall verkställa de utredningsåtgärder som fordras för prö</w:t>
      </w:r>
      <w:r w:rsidRPr="00896D4F">
        <w:t>v</w:t>
      </w:r>
      <w:r w:rsidRPr="00896D4F">
        <w:t>ning av klagomål och andra ärenden.</w:t>
      </w:r>
    </w:p>
    <w:p w:rsidR="009C1C5A" w:rsidRPr="00896D4F" w:rsidRDefault="009C1C5A">
      <w:pPr>
        <w:pStyle w:val="Normaltindrag"/>
      </w:pPr>
      <w:r w:rsidRPr="00896D4F">
        <w:t>När ombudsman enligt regeringsformens föreskrifter begär upplysningar och yttranden i andra ärenden än dem där han har beslutat att inleda förunde</w:t>
      </w:r>
      <w:r w:rsidRPr="00896D4F">
        <w:t>r</w:t>
      </w:r>
      <w:r w:rsidRPr="00896D4F">
        <w:t>sökning, får han förelägga vite om högst 10 000 kronor. Ombudsman får utdöma försuttet vite.</w:t>
      </w:r>
    </w:p>
    <w:p w:rsidR="009C1C5A" w:rsidRPr="00896D4F" w:rsidRDefault="009C1C5A">
      <w:pPr>
        <w:pStyle w:val="Normaltindrag"/>
      </w:pPr>
      <w:r w:rsidRPr="00896D4F">
        <w:t>Kan det misstänkas att befattningshavare som omfattas av bestämmelserna om disciplinansvar i lagen (1994:260) om offentlig anställning har gjort sig skyldig till tjänsteförseelse, för vilken disciplinpåföljd bör åläggas, och kan det befaras att en skriftlig underrättelse enligt 17 § nämnda lag inte kan til</w:t>
      </w:r>
      <w:r w:rsidRPr="00896D4F">
        <w:t>l</w:t>
      </w:r>
      <w:r w:rsidRPr="00896D4F">
        <w:t>ställas honom inom två år efter förseelsen, får ombudsman utfärda motsv</w:t>
      </w:r>
      <w:r w:rsidRPr="00896D4F">
        <w:t>a</w:t>
      </w:r>
      <w:r w:rsidRPr="00896D4F">
        <w:t>rande underrättelse. Vad som nu har sagts gäller även för den som omfattas av bestämmelser om disciplinansvar och om motsvarande underrättelse i någon annan förfat</w:t>
      </w:r>
      <w:r w:rsidRPr="00896D4F">
        <w:t>t</w:t>
      </w:r>
      <w:r w:rsidRPr="00896D4F">
        <w:t>ning.</w:t>
      </w:r>
    </w:p>
    <w:p w:rsidR="009C1C5A" w:rsidRPr="00896D4F" w:rsidRDefault="009C1C5A">
      <w:pPr>
        <w:pStyle w:val="Normaltindrag"/>
      </w:pPr>
      <w:r w:rsidRPr="00896D4F">
        <w:t>När ombudsman är närvarande vid domstols eller myndighets överläg</w:t>
      </w:r>
      <w:r w:rsidRPr="00896D4F">
        <w:t>g</w:t>
      </w:r>
      <w:r w:rsidRPr="00896D4F">
        <w:t>ningar har han ej rätt att yttra sin mening.</w:t>
      </w:r>
    </w:p>
    <w:p w:rsidR="009C1C5A" w:rsidRPr="00896D4F" w:rsidRDefault="009C1C5A">
      <w:r w:rsidRPr="00896D4F">
        <w:t>22 § Ombudsman får uppdra åt annan att leda förundersökning som han har beslutat och att väcka och utföra åtal som han har beslutat, om inte åtgärden avser ledamot av Högsta domstolen eller R</w:t>
      </w:r>
      <w:r w:rsidRPr="00896D4F">
        <w:t>e</w:t>
      </w:r>
      <w:r w:rsidRPr="00896D4F">
        <w:t>geringsrätten.</w:t>
      </w:r>
    </w:p>
    <w:p w:rsidR="009C1C5A" w:rsidRPr="00896D4F" w:rsidRDefault="009C1C5A">
      <w:pPr>
        <w:pStyle w:val="Normaltindrag"/>
      </w:pPr>
      <w:r w:rsidRPr="00896D4F">
        <w:t>Beslut att överklaga dom eller beslut till högre rätt får inte fattas av annan än ombudsman.</w:t>
      </w:r>
    </w:p>
    <w:p w:rsidR="009C1C5A" w:rsidRPr="00896D4F" w:rsidRDefault="009C1C5A">
      <w:pPr>
        <w:pStyle w:val="Normaltindrag"/>
      </w:pPr>
      <w:r w:rsidRPr="00896D4F">
        <w:t>I fall som avses i 7 § får ombudsman förordna tjänsteman vid ombud</w:t>
      </w:r>
      <w:r w:rsidRPr="00896D4F">
        <w:t>s</w:t>
      </w:r>
      <w:r w:rsidRPr="00896D4F">
        <w:t>mannaexpeditionen att föra talan på ombudsmannens vägnar.</w:t>
      </w:r>
    </w:p>
    <w:p w:rsidR="009C1C5A" w:rsidRPr="00896D4F" w:rsidRDefault="009C1C5A">
      <w:pPr>
        <w:pStyle w:val="Normaltindrag"/>
      </w:pPr>
      <w:r w:rsidRPr="00896D4F">
        <w:t>I ärende som avses i 6 § tredje eller fjärde stycket får ombudsman bemy</w:t>
      </w:r>
      <w:r w:rsidRPr="00896D4F">
        <w:t>n</w:t>
      </w:r>
      <w:r w:rsidRPr="00896D4F">
        <w:t>diga tjänsteman vid ombudsmannaexpeditionen att vidta behövliga handläg</w:t>
      </w:r>
      <w:r w:rsidRPr="00896D4F">
        <w:t>g</w:t>
      </w:r>
      <w:r w:rsidRPr="00896D4F">
        <w:t>ningsåtgärder.</w:t>
      </w:r>
    </w:p>
    <w:p w:rsidR="009C1C5A" w:rsidRPr="00896D4F" w:rsidRDefault="009C1C5A">
      <w:r w:rsidRPr="00896D4F">
        <w:t>23 § Ärende avgörs efter föredragning, som ankommer på tjänsteman vid ombudsmannaexpeditionen eller särskilt utsedd föredragande. Beslut att avv</w:t>
      </w:r>
      <w:r w:rsidRPr="00896D4F">
        <w:t>i</w:t>
      </w:r>
      <w:r w:rsidRPr="00896D4F">
        <w:t>sa ärende eller avskriva ärende från handläggning kan dock fattas utan för</w:t>
      </w:r>
      <w:r w:rsidRPr="00896D4F">
        <w:t>e</w:t>
      </w:r>
      <w:r w:rsidRPr="00896D4F">
        <w:t>dragning. Ombudsman kan också avgöra annat ärende utan föredragning, om särskilda skäl föranleder det.</w:t>
      </w:r>
    </w:p>
    <w:p w:rsidR="009C1C5A" w:rsidRPr="00896D4F" w:rsidRDefault="009C1C5A">
      <w:pPr>
        <w:pStyle w:val="Normaltindrag"/>
      </w:pPr>
      <w:r w:rsidRPr="00896D4F">
        <w:t>En handling som har getts in till Riksdagens ombudsmän i ett ärende, får inte återlämnas förrän ärendet avgjorts. Om originalhandlingen i ett sådant fall inte finns hos någon myndighet, får återlämnandet förenas med villkor om att bestyrkt kopia av handlingen ges in.</w:t>
      </w:r>
    </w:p>
    <w:p w:rsidR="009C1C5A" w:rsidRPr="00896D4F" w:rsidRDefault="009C1C5A">
      <w:r w:rsidRPr="00896D4F">
        <w:t>24 § Diarier skall föras över samtliga ärenden och däri vidtagna åtgärder.</w:t>
      </w:r>
    </w:p>
    <w:p w:rsidR="009C1C5A" w:rsidRPr="00896D4F" w:rsidRDefault="009C1C5A">
      <w:pPr>
        <w:pStyle w:val="Normaltindrag"/>
      </w:pPr>
      <w:r w:rsidRPr="00896D4F">
        <w:t>I fråga om varje beslut skall vid ombudsmannaexpeditionen finnas han</w:t>
      </w:r>
      <w:r w:rsidRPr="00896D4F">
        <w:t>d</w:t>
      </w:r>
      <w:r w:rsidRPr="00896D4F">
        <w:t>ling, som utvisar vem som har fattat beslutet och vem som har varit för</w:t>
      </w:r>
      <w:r w:rsidRPr="00896D4F">
        <w:t>e</w:t>
      </w:r>
      <w:r w:rsidRPr="00896D4F">
        <w:t>dragande samt beslutets dag och innehåll. Registratur skall hållas över särskilt uppsatta beslut.</w:t>
      </w:r>
    </w:p>
    <w:p w:rsidR="009C1C5A" w:rsidRPr="00896D4F" w:rsidRDefault="009C1C5A">
      <w:pPr>
        <w:pStyle w:val="Normaltindrag"/>
      </w:pPr>
      <w:r w:rsidRPr="00896D4F">
        <w:t>Protokoll förs vid inspektioner och när protokoll fordras av annan orsak.</w:t>
      </w:r>
    </w:p>
    <w:p w:rsidR="009C1C5A" w:rsidRPr="00896D4F" w:rsidRDefault="009C1C5A">
      <w:pPr>
        <w:pStyle w:val="Rubrik3"/>
      </w:pPr>
      <w:r w:rsidRPr="00896D4F">
        <w:t>Övriga bestämmelser</w:t>
      </w:r>
    </w:p>
    <w:p w:rsidR="009C1C5A" w:rsidRPr="00896D4F" w:rsidRDefault="009C1C5A">
      <w:r w:rsidRPr="00896D4F">
        <w:t>25 § Samtidigt som ämbetsberättelsen lämnas till riksdagen skall diarier, protokoll och registratur för den tid berättelsen avser lämnas till konstit</w:t>
      </w:r>
      <w:r w:rsidRPr="00896D4F">
        <w:t>u</w:t>
      </w:r>
      <w:r w:rsidRPr="00896D4F">
        <w:t>tionsu</w:t>
      </w:r>
      <w:r w:rsidRPr="00896D4F">
        <w:t>t</w:t>
      </w:r>
      <w:r w:rsidRPr="00896D4F">
        <w:t>skottet.</w:t>
      </w:r>
    </w:p>
    <w:p w:rsidR="009C1C5A" w:rsidRPr="00896D4F" w:rsidRDefault="009C1C5A">
      <w:r w:rsidRPr="00896D4F">
        <w:t>26 § Ombudsmannaexpeditionen skall hållas öppen för allmänheten under tid som chefsjustitieo</w:t>
      </w:r>
      <w:r w:rsidRPr="00896D4F">
        <w:t>m</w:t>
      </w:r>
      <w:r w:rsidRPr="00896D4F">
        <w:t>budsmannen bestämmer.</w:t>
      </w:r>
    </w:p>
    <w:p w:rsidR="009C1C5A" w:rsidRPr="00896D4F" w:rsidRDefault="009C1C5A">
      <w:r w:rsidRPr="00896D4F">
        <w:t>27 § Expedition skall utfärdas utan avgift om ej särskild anledning föranleder till annat. Skall avgift utgå skall den bestämmas med ledning av de regler som gäller för statliga myndigheter i allmänhet.</w:t>
      </w:r>
    </w:p>
    <w:p w:rsidR="009C1C5A" w:rsidRPr="00896D4F" w:rsidRDefault="009C1C5A">
      <w:pPr>
        <w:pStyle w:val="Normaltindrag"/>
      </w:pPr>
      <w:r w:rsidRPr="00896D4F">
        <w:t>Avgiftsbeslut får ej överklagas.</w:t>
      </w:r>
    </w:p>
    <w:p w:rsidR="009C1C5A" w:rsidRPr="00896D4F" w:rsidRDefault="009C1C5A">
      <w:r w:rsidRPr="00896D4F">
        <w:t>28 § Chefsjustitieombudsmannen tillsätter tjänster vid ombudsmannaexped</w:t>
      </w:r>
      <w:r w:rsidRPr="00896D4F">
        <w:t>i</w:t>
      </w:r>
      <w:r w:rsidRPr="00896D4F">
        <w:t>tionen och antar personal i övrigt, i den mån han inte enligt 15 § överlåter dessa uppgifter på kanslichefen.</w:t>
      </w:r>
    </w:p>
    <w:p w:rsidR="009C1C5A" w:rsidRPr="00896D4F" w:rsidRDefault="009C1C5A">
      <w:r w:rsidRPr="00896D4F">
        <w:t>29 § Om överklagande av beslut som gäller tjänstetillsättning eller eljest rör tjänsteman vid expeditionen, föreskrivs i lagen (1989:186) om överklagande av administrativa beslut av riksdagsförvaltningen och riksdagens myndigh</w:t>
      </w:r>
      <w:r w:rsidRPr="00896D4F">
        <w:t>e</w:t>
      </w:r>
      <w:r w:rsidRPr="00896D4F">
        <w:t>ter.</w:t>
      </w:r>
    </w:p>
    <w:p w:rsidR="009C1C5A" w:rsidRPr="00896D4F" w:rsidRDefault="009C1C5A">
      <w:pPr>
        <w:pStyle w:val="Normaltindrag"/>
        <w:sectPr w:rsidR="00000000" w:rsidRPr="00896D4F">
          <w:headerReference w:type="even" r:id="rId21"/>
          <w:headerReference w:type="default" r:id="rId22"/>
          <w:headerReference w:type="first" r:id="rId23"/>
          <w:pgSz w:w="11906" w:h="16838" w:code="9"/>
          <w:pgMar w:top="3969" w:right="4649" w:bottom="1106" w:left="1304" w:header="57" w:footer="57" w:gutter="0"/>
          <w:cols w:space="720"/>
        </w:sectPr>
      </w:pPr>
    </w:p>
    <w:p w:rsidR="009C1C5A" w:rsidRPr="00896D4F" w:rsidRDefault="009C1C5A">
      <w:pPr>
        <w:pStyle w:val="Rubrik1"/>
        <w:spacing w:before="0"/>
      </w:pPr>
      <w:r w:rsidRPr="00896D4F">
        <w:t>Arbetsordning för riksdagens ombudsmanna</w:t>
      </w:r>
      <w:r w:rsidRPr="00896D4F">
        <w:softHyphen/>
        <w:t>expedition</w:t>
      </w:r>
    </w:p>
    <w:p w:rsidR="009C1C5A" w:rsidRPr="00896D4F" w:rsidRDefault="009C1C5A">
      <w:r w:rsidRPr="00896D4F">
        <w:t>Fastställd den 19 mars 1993 att gälla tills vidare; med ändringar t.o.m. den 30 juni 2002.</w:t>
      </w:r>
      <w:r w:rsidRPr="00896D4F">
        <w:tab/>
      </w:r>
    </w:p>
    <w:p w:rsidR="009C1C5A" w:rsidRPr="00896D4F" w:rsidRDefault="009C1C5A">
      <w:pPr>
        <w:jc w:val="center"/>
      </w:pPr>
      <w:r w:rsidRPr="00896D4F">
        <w:t>§ 1</w:t>
      </w:r>
    </w:p>
    <w:p w:rsidR="009C1C5A" w:rsidRPr="00896D4F" w:rsidRDefault="009C1C5A">
      <w:r w:rsidRPr="00896D4F">
        <w:t>Justitieombudsmännens tillsyn är uppdelad i fyra ansvarsområden. Vad varje ansvars</w:t>
      </w:r>
      <w:r w:rsidRPr="00896D4F">
        <w:softHyphen/>
        <w:t xml:space="preserve">område omfattar framgår av </w:t>
      </w:r>
      <w:r w:rsidRPr="00896D4F">
        <w:rPr>
          <w:i/>
        </w:rPr>
        <w:t>bilaga</w:t>
      </w:r>
      <w:r w:rsidRPr="00896D4F">
        <w:t xml:space="preserve"> till denna arbetsordning.</w:t>
      </w:r>
    </w:p>
    <w:p w:rsidR="009C1C5A" w:rsidRPr="00896D4F" w:rsidRDefault="009C1C5A">
      <w:r w:rsidRPr="00896D4F">
        <w:t>Ombudsmännen har följande ansvarsområden:</w:t>
      </w:r>
    </w:p>
    <w:p w:rsidR="009C1C5A" w:rsidRPr="00896D4F" w:rsidRDefault="009C1C5A">
      <w:r w:rsidRPr="00896D4F">
        <w:t>ChefsJO Claes Eklundh</w:t>
      </w:r>
      <w:r w:rsidRPr="00896D4F">
        <w:tab/>
      </w:r>
      <w:r w:rsidRPr="00896D4F">
        <w:tab/>
        <w:t>Ansvarsområde 1</w:t>
      </w:r>
    </w:p>
    <w:p w:rsidR="009C1C5A" w:rsidRPr="00896D4F" w:rsidRDefault="009C1C5A">
      <w:r w:rsidRPr="00896D4F">
        <w:t>JO Jan Pennlöv</w:t>
      </w:r>
      <w:r w:rsidRPr="00896D4F">
        <w:tab/>
      </w:r>
      <w:r w:rsidRPr="00896D4F">
        <w:tab/>
      </w:r>
      <w:r w:rsidRPr="00896D4F">
        <w:tab/>
        <w:t>Ansvarsområde 2</w:t>
      </w:r>
    </w:p>
    <w:p w:rsidR="009C1C5A" w:rsidRPr="00896D4F" w:rsidRDefault="009C1C5A">
      <w:r w:rsidRPr="00896D4F">
        <w:t>JO Kerstin André</w:t>
      </w:r>
      <w:r w:rsidRPr="00896D4F">
        <w:tab/>
      </w:r>
      <w:r w:rsidRPr="00896D4F">
        <w:tab/>
        <w:t xml:space="preserve">Ansvarsområde 3 </w:t>
      </w:r>
    </w:p>
    <w:p w:rsidR="009C1C5A" w:rsidRPr="00896D4F" w:rsidRDefault="009C1C5A">
      <w:r w:rsidRPr="00896D4F">
        <w:t>JO Nils-Olof Berggren</w:t>
      </w:r>
      <w:r w:rsidRPr="00896D4F">
        <w:tab/>
      </w:r>
      <w:r w:rsidRPr="00896D4F">
        <w:tab/>
        <w:t>Ansvarsområde 4</w:t>
      </w:r>
    </w:p>
    <w:p w:rsidR="009C1C5A" w:rsidRPr="00896D4F" w:rsidRDefault="009C1C5A">
      <w:r w:rsidRPr="00896D4F">
        <w:t>Ombudsmännen tar inom sina respektive ansvarsområden de initiativ som de finner på</w:t>
      </w:r>
      <w:r w:rsidRPr="00896D4F">
        <w:softHyphen/>
        <w:t>kallade. Justitieombudsmännen skall samråda med chefsjustitieo</w:t>
      </w:r>
      <w:r w:rsidRPr="00896D4F">
        <w:t>m</w:t>
      </w:r>
      <w:r w:rsidRPr="00896D4F">
        <w:t>budsmannen i fråga om inspektioner och andra undersökningar som de avser att genomföra. Ombudsmännen samråder även i övrigt i den utsträckning som befinns erforderlig.</w:t>
      </w:r>
    </w:p>
    <w:p w:rsidR="009C1C5A" w:rsidRPr="00896D4F" w:rsidRDefault="009C1C5A">
      <w:pPr>
        <w:jc w:val="center"/>
      </w:pPr>
      <w:r w:rsidRPr="00896D4F">
        <w:t>§ 2</w:t>
      </w:r>
    </w:p>
    <w:p w:rsidR="009C1C5A" w:rsidRPr="00896D4F" w:rsidRDefault="009C1C5A">
      <w:r w:rsidRPr="00896D4F">
        <w:t>Ett ärende som berör mer än ett ansvarsområde handläggs av den ombudsman till vars ansvarsområde ärendet huvudsakligen hör. I tveksamma fall bestä</w:t>
      </w:r>
      <w:r w:rsidRPr="00896D4F">
        <w:t>m</w:t>
      </w:r>
      <w:r w:rsidRPr="00896D4F">
        <w:t>mer chefsjustitie</w:t>
      </w:r>
      <w:r w:rsidRPr="00896D4F">
        <w:softHyphen/>
        <w:t>ombudsmannen vem som skall handlägga ärendet. Har äre</w:t>
      </w:r>
      <w:r w:rsidRPr="00896D4F">
        <w:t>n</w:t>
      </w:r>
      <w:r w:rsidRPr="00896D4F">
        <w:t>den som tillhör olika ansvars</w:t>
      </w:r>
      <w:r w:rsidRPr="00896D4F">
        <w:softHyphen/>
        <w:t>områden nära samband med varandra, bestä</w:t>
      </w:r>
      <w:r w:rsidRPr="00896D4F">
        <w:t>m</w:t>
      </w:r>
      <w:r w:rsidRPr="00896D4F">
        <w:t>mer chefsjustitieombudsmannen vem som skall handlägga ärendena. Om en justitieombudsman på grund av jäv eller av annan anledning inte kan han</w:t>
      </w:r>
      <w:r w:rsidRPr="00896D4F">
        <w:t>d</w:t>
      </w:r>
      <w:r w:rsidRPr="00896D4F">
        <w:t>lägga ett ärende som hör till hans eller hennes ansvarsom</w:t>
      </w:r>
      <w:r w:rsidRPr="00896D4F">
        <w:softHyphen/>
        <w:t>råde, bestämmer chefsjustitieombudsmannen vem som skall överta ärendet.</w:t>
      </w:r>
    </w:p>
    <w:p w:rsidR="009C1C5A" w:rsidRPr="00896D4F" w:rsidRDefault="009C1C5A">
      <w:pPr>
        <w:pStyle w:val="Normaltindrag"/>
      </w:pPr>
      <w:r w:rsidRPr="00896D4F">
        <w:t>Om befogenhet för chefsjustitieombudsmannen att bestämma att ett visst ärende eller en viss grup</w:t>
      </w:r>
      <w:r w:rsidRPr="00896D4F">
        <w:t>p av ärenden skall hänskjutas till honom eller någon annan justitieombuds</w:t>
      </w:r>
      <w:r w:rsidRPr="00896D4F">
        <w:softHyphen/>
        <w:t>man oberoende av fastställda ansvarsområden före</w:t>
      </w:r>
      <w:r w:rsidRPr="00896D4F">
        <w:softHyphen/>
        <w:t>skrivs i 15 § första stycket lagen (1986:765) med instruktion för Riksdagens o</w:t>
      </w:r>
      <w:r w:rsidRPr="00896D4F">
        <w:t>m</w:t>
      </w:r>
      <w:r w:rsidRPr="00896D4F">
        <w:t>budsmän (instruktionen).</w:t>
      </w:r>
    </w:p>
    <w:p w:rsidR="009C1C5A" w:rsidRPr="00896D4F" w:rsidRDefault="009C1C5A">
      <w:pPr>
        <w:jc w:val="center"/>
      </w:pPr>
      <w:r w:rsidRPr="00896D4F">
        <w:t>§ 3</w:t>
      </w:r>
    </w:p>
    <w:p w:rsidR="009C1C5A" w:rsidRPr="00896D4F" w:rsidRDefault="009C1C5A">
      <w:r w:rsidRPr="00896D4F">
        <w:t>När chefsjustitieombudsmannen är förhindrad att utöva sin tjänst på grund av sjukdom, semester eller någon annan omständighet inträder i hans ställe den justitieombudsman som anges i 16 § första stycket instruktionen. Vid ledighet för en ombudsman förestås dennes ansvarsområde av chefsjustitieombud</w:t>
      </w:r>
      <w:r w:rsidRPr="00896D4F">
        <w:t>s</w:t>
      </w:r>
      <w:r w:rsidRPr="00896D4F">
        <w:t>mannen eller den ombudsman som chefsjustitieombudsmannen utser.</w:t>
      </w:r>
    </w:p>
    <w:p w:rsidR="009C1C5A" w:rsidRPr="00896D4F" w:rsidRDefault="009C1C5A">
      <w:pPr>
        <w:jc w:val="center"/>
      </w:pPr>
      <w:r w:rsidRPr="00896D4F">
        <w:br w:type="page"/>
        <w:t>§ 4</w:t>
      </w:r>
    </w:p>
    <w:p w:rsidR="009C1C5A" w:rsidRPr="00896D4F" w:rsidRDefault="009C1C5A">
      <w:r w:rsidRPr="00896D4F">
        <w:t>För beredning av klago- och initiativärenden samt lagstiftningsremisser biträds ombudsmännen av en kanslichef, byråchefer, avdelningsdirektörer, områdesansvariga föredragande samt föredragande med tidsbegränsad a</w:t>
      </w:r>
      <w:r w:rsidRPr="00896D4F">
        <w:t>n</w:t>
      </w:r>
      <w:r w:rsidRPr="00896D4F">
        <w:t>ställning. För byråcheferna fastställer chefsjustitieombudsmannen sakomr</w:t>
      </w:r>
      <w:r w:rsidRPr="00896D4F">
        <w:t>å</w:t>
      </w:r>
      <w:r w:rsidRPr="00896D4F">
        <w:t>den.</w:t>
      </w:r>
    </w:p>
    <w:p w:rsidR="009C1C5A" w:rsidRPr="00896D4F" w:rsidRDefault="009C1C5A">
      <w:pPr>
        <w:pStyle w:val="Normaltindrag"/>
      </w:pPr>
      <w:r w:rsidRPr="00896D4F">
        <w:t>Hos varje ombudsman finns inrättat ett ärendekansli.</w:t>
      </w:r>
    </w:p>
    <w:p w:rsidR="009C1C5A" w:rsidRPr="00896D4F" w:rsidRDefault="009C1C5A">
      <w:pPr>
        <w:pStyle w:val="Normaltindrag"/>
      </w:pPr>
      <w:r w:rsidRPr="00896D4F">
        <w:t>Chefsjustitieombudsmannen biträds också av en administrativ enhet samt annan per</w:t>
      </w:r>
      <w:r w:rsidRPr="00896D4F">
        <w:softHyphen/>
        <w:t>sonal för särskilda uppgifter i den omfattning han bestämmer. I den administrativa enhe</w:t>
      </w:r>
      <w:r w:rsidRPr="00896D4F">
        <w:softHyphen/>
        <w:t>ten ingår personal för biträde med ekonomi- och persona</w:t>
      </w:r>
      <w:r w:rsidRPr="00896D4F">
        <w:t>l</w:t>
      </w:r>
      <w:r w:rsidRPr="00896D4F">
        <w:t>administrativa ärenden, intendenturfrågor och registrering samt expedition</w:t>
      </w:r>
      <w:r w:rsidRPr="00896D4F">
        <w:t>s</w:t>
      </w:r>
      <w:r w:rsidRPr="00896D4F">
        <w:t>assistenter och lokalvårdare.</w:t>
      </w:r>
    </w:p>
    <w:p w:rsidR="009C1C5A" w:rsidRPr="00896D4F" w:rsidRDefault="009C1C5A">
      <w:pPr>
        <w:pStyle w:val="Normaltindrag"/>
      </w:pPr>
      <w:r w:rsidRPr="00896D4F">
        <w:t>Inom ombudsmannaexpeditionen finns även ett bibliotek.</w:t>
      </w:r>
    </w:p>
    <w:p w:rsidR="009C1C5A" w:rsidRPr="00896D4F" w:rsidRDefault="009C1C5A">
      <w:pPr>
        <w:pStyle w:val="Normaltindrag"/>
      </w:pPr>
      <w:r w:rsidRPr="00896D4F">
        <w:t>Arbetsuppgifterna för personalen inom ärendekanslierna och administrat</w:t>
      </w:r>
      <w:r w:rsidRPr="00896D4F">
        <w:t>i</w:t>
      </w:r>
      <w:r w:rsidRPr="00896D4F">
        <w:t>va enheten samt för biblioteksansvarig tjänsteman framgår av särskilda b</w:t>
      </w:r>
      <w:r w:rsidRPr="00896D4F">
        <w:t>e</w:t>
      </w:r>
      <w:r w:rsidRPr="00896D4F">
        <w:t>skri</w:t>
      </w:r>
      <w:r w:rsidRPr="00896D4F">
        <w:t>v</w:t>
      </w:r>
      <w:r w:rsidRPr="00896D4F">
        <w:t>ningar.</w:t>
      </w:r>
    </w:p>
    <w:p w:rsidR="009C1C5A" w:rsidRPr="00896D4F" w:rsidRDefault="009C1C5A">
      <w:pPr>
        <w:jc w:val="center"/>
      </w:pPr>
      <w:r w:rsidRPr="00896D4F">
        <w:t>§ 5</w:t>
      </w:r>
    </w:p>
    <w:p w:rsidR="009C1C5A" w:rsidRPr="00896D4F" w:rsidRDefault="009C1C5A">
      <w:r w:rsidRPr="00896D4F">
        <w:t>Kanslichefen utför särskilda utredningar efter beslut av chefsjustitieombud</w:t>
      </w:r>
      <w:r w:rsidRPr="00896D4F">
        <w:t>s</w:t>
      </w:r>
      <w:r w:rsidRPr="00896D4F">
        <w:t>mannen, bereder ärenden som tilldelas honom och biträder ombudsmännen i övrigt enligt chefsjustitieombudsmannens bestämmande.</w:t>
      </w:r>
    </w:p>
    <w:p w:rsidR="009C1C5A" w:rsidRPr="00896D4F" w:rsidRDefault="009C1C5A">
      <w:pPr>
        <w:pStyle w:val="Normaltindrag"/>
      </w:pPr>
      <w:r w:rsidRPr="00896D4F">
        <w:t>Den administrativa enheten är underställd kanslichefen. Denne är vidare data-, arkiv- och utbildningsansvarig samt ansvarig för expeditionens lokaler och inventarier.</w:t>
      </w:r>
    </w:p>
    <w:p w:rsidR="009C1C5A" w:rsidRPr="00896D4F" w:rsidRDefault="009C1C5A">
      <w:pPr>
        <w:pStyle w:val="Normaltindrag"/>
      </w:pPr>
      <w:r w:rsidRPr="00896D4F">
        <w:t>Kanslichefen får i de ärenden som handläggs av honom besluta om remi</w:t>
      </w:r>
      <w:r w:rsidRPr="00896D4F">
        <w:t>s</w:t>
      </w:r>
      <w:r w:rsidRPr="00896D4F">
        <w:t>ser och an</w:t>
      </w:r>
      <w:r w:rsidRPr="00896D4F">
        <w:softHyphen/>
        <w:t>nat utredningsförfarande. Han får också på uppdrag av en ombud</w:t>
      </w:r>
      <w:r w:rsidRPr="00896D4F">
        <w:t>s</w:t>
      </w:r>
      <w:r w:rsidRPr="00896D4F">
        <w:t>man verkställa in</w:t>
      </w:r>
      <w:r w:rsidRPr="00896D4F">
        <w:softHyphen/>
        <w:t>spektion, dock utan rätt att vid denna framställa anmär</w:t>
      </w:r>
      <w:r w:rsidRPr="00896D4F">
        <w:t>k</w:t>
      </w:r>
      <w:r w:rsidRPr="00896D4F">
        <w:t>ningar eller göra sådana uttalan</w:t>
      </w:r>
      <w:r w:rsidRPr="00896D4F">
        <w:softHyphen/>
        <w:t>den som åsyftas i 6 § första stycket instrukti</w:t>
      </w:r>
      <w:r w:rsidRPr="00896D4F">
        <w:t>o</w:t>
      </w:r>
      <w:r w:rsidRPr="00896D4F">
        <w:t>nen.</w:t>
      </w:r>
    </w:p>
    <w:p w:rsidR="009C1C5A" w:rsidRPr="00896D4F" w:rsidRDefault="009C1C5A">
      <w:r w:rsidRPr="00896D4F">
        <w:t>Kanslichefen får vidare</w:t>
      </w:r>
    </w:p>
    <w:p w:rsidR="009C1C5A" w:rsidRPr="00896D4F" w:rsidRDefault="009C1C5A">
      <w:pPr>
        <w:pStyle w:val="Normaltindrag"/>
      </w:pPr>
      <w:r w:rsidRPr="00896D4F">
        <w:t>besluta i samtliga personalfrågor (anställningar, entlediganden etc.) beträ</w:t>
      </w:r>
      <w:r w:rsidRPr="00896D4F">
        <w:t>f</w:t>
      </w:r>
      <w:r w:rsidRPr="00896D4F">
        <w:t>fa</w:t>
      </w:r>
      <w:r w:rsidRPr="00896D4F">
        <w:t>n</w:t>
      </w:r>
      <w:r w:rsidRPr="00896D4F">
        <w:t>de om</w:t>
      </w:r>
      <w:r w:rsidRPr="00896D4F">
        <w:softHyphen/>
        <w:t>budsmannaexpeditionens personal, dock inte om</w:t>
      </w:r>
    </w:p>
    <w:p w:rsidR="009C1C5A" w:rsidRPr="00896D4F" w:rsidRDefault="009C1C5A">
      <w:pPr>
        <w:pStyle w:val="Normaltindrag"/>
      </w:pPr>
      <w:r w:rsidRPr="00896D4F">
        <w:t>1. skiljande från anställning på grund av personliga förhållanden om det inte är fråga om provanställning</w:t>
      </w:r>
    </w:p>
    <w:p w:rsidR="009C1C5A" w:rsidRPr="00896D4F" w:rsidRDefault="009C1C5A">
      <w:pPr>
        <w:pStyle w:val="Normaltindrag"/>
      </w:pPr>
      <w:r w:rsidRPr="00896D4F">
        <w:t>2. disciplinansvar</w:t>
      </w:r>
    </w:p>
    <w:p w:rsidR="009C1C5A" w:rsidRPr="00896D4F" w:rsidRDefault="009C1C5A">
      <w:pPr>
        <w:pStyle w:val="Normaltindrag"/>
      </w:pPr>
      <w:r w:rsidRPr="00896D4F">
        <w:t>3. åtalsanmälan</w:t>
      </w:r>
    </w:p>
    <w:p w:rsidR="009C1C5A" w:rsidRPr="00896D4F" w:rsidRDefault="009C1C5A">
      <w:pPr>
        <w:pStyle w:val="Normaltindrag"/>
      </w:pPr>
      <w:r w:rsidRPr="00896D4F">
        <w:t>4. avstängning eller läkarundersökning</w:t>
      </w:r>
    </w:p>
    <w:p w:rsidR="009C1C5A" w:rsidRPr="00896D4F" w:rsidRDefault="009C1C5A">
      <w:pPr>
        <w:pStyle w:val="Normaltindrag"/>
      </w:pPr>
      <w:r w:rsidRPr="00896D4F">
        <w:t>5. anställning och entledigande av byråchefer samt områdesansvariga för</w:t>
      </w:r>
      <w:r w:rsidRPr="00896D4F">
        <w:t>e</w:t>
      </w:r>
      <w:r w:rsidRPr="00896D4F">
        <w:t>dragande</w:t>
      </w:r>
    </w:p>
    <w:p w:rsidR="009C1C5A" w:rsidRPr="00896D4F" w:rsidRDefault="009C1C5A">
      <w:pPr>
        <w:pStyle w:val="Normaltindrag"/>
      </w:pPr>
      <w:r w:rsidRPr="00896D4F">
        <w:t>företräda Riksdagens ombudsmän i förhandlingar med personalorganis</w:t>
      </w:r>
      <w:r w:rsidRPr="00896D4F">
        <w:t>a</w:t>
      </w:r>
      <w:r w:rsidRPr="00896D4F">
        <w:t>tionerna med tillämpning av samtliga gällande avtal och andra bestämmelser för riksdagen och dess verk</w:t>
      </w:r>
    </w:p>
    <w:p w:rsidR="009C1C5A" w:rsidRPr="00896D4F" w:rsidRDefault="009C1C5A">
      <w:pPr>
        <w:pStyle w:val="Normaltindrag"/>
      </w:pPr>
      <w:r w:rsidRPr="00896D4F">
        <w:t>besluta om semester och tjänstledighet för personalen vid ombudsmann</w:t>
      </w:r>
      <w:r w:rsidRPr="00896D4F">
        <w:t>a</w:t>
      </w:r>
      <w:r w:rsidRPr="00896D4F">
        <w:t>expeditionen, dock ej för sig själv; ansökningar om tjänstledighet för längre tid än en månad skall dock överlämnas till chefsjustitieombudsmannen för beslut</w:t>
      </w:r>
    </w:p>
    <w:p w:rsidR="009C1C5A" w:rsidRPr="00896D4F" w:rsidRDefault="009C1C5A">
      <w:pPr>
        <w:pStyle w:val="Normaltindrag"/>
      </w:pPr>
      <w:r w:rsidRPr="00896D4F">
        <w:t>förordna vikarie för personal som beviljats semester eller tjänstledighet</w:t>
      </w:r>
    </w:p>
    <w:p w:rsidR="009C1C5A" w:rsidRPr="00896D4F" w:rsidRDefault="009C1C5A">
      <w:pPr>
        <w:pStyle w:val="Normaltindrag"/>
      </w:pPr>
      <w:r w:rsidRPr="00896D4F">
        <w:t>attestera fakturor och utbetalningsorder, bokföringsorder m.m. i det statliga redovis</w:t>
      </w:r>
      <w:r w:rsidRPr="00896D4F">
        <w:softHyphen/>
        <w:t>ningssystemet</w:t>
      </w:r>
    </w:p>
    <w:p w:rsidR="009C1C5A" w:rsidRPr="00896D4F" w:rsidRDefault="009C1C5A">
      <w:pPr>
        <w:pStyle w:val="Normaltindrag"/>
      </w:pPr>
      <w:r w:rsidRPr="00896D4F">
        <w:t>inventera kontantkassa</w:t>
      </w:r>
    </w:p>
    <w:p w:rsidR="009C1C5A" w:rsidRPr="00896D4F" w:rsidRDefault="009C1C5A">
      <w:pPr>
        <w:pStyle w:val="Normaltindrag"/>
      </w:pPr>
      <w:r w:rsidRPr="00896D4F">
        <w:t>underteckna tjänstgöringsuppgifter, anställningsbevis och tjänstekort</w:t>
      </w:r>
    </w:p>
    <w:p w:rsidR="009C1C5A" w:rsidRPr="00896D4F" w:rsidRDefault="009C1C5A">
      <w:pPr>
        <w:pStyle w:val="Normaltindrag"/>
      </w:pPr>
      <w:r w:rsidRPr="00896D4F">
        <w:t>besluta om utanordningar till extra föredragande och andra uppdragstagare</w:t>
      </w:r>
    </w:p>
    <w:p w:rsidR="009C1C5A" w:rsidRPr="00896D4F" w:rsidRDefault="009C1C5A">
      <w:pPr>
        <w:pStyle w:val="Normaltindrag"/>
      </w:pPr>
      <w:r w:rsidRPr="00896D4F">
        <w:t>kvittera ut rekommenderad post till ombudsmannaexpeditionen</w:t>
      </w:r>
    </w:p>
    <w:p w:rsidR="009C1C5A" w:rsidRPr="00896D4F" w:rsidRDefault="009C1C5A">
      <w:pPr>
        <w:pStyle w:val="Normaltindrag"/>
      </w:pPr>
      <w:r w:rsidRPr="00896D4F">
        <w:t>ombesörja månads- och årsstatistik.</w:t>
      </w:r>
    </w:p>
    <w:p w:rsidR="009C1C5A" w:rsidRPr="00896D4F" w:rsidRDefault="009C1C5A">
      <w:pPr>
        <w:jc w:val="center"/>
      </w:pPr>
      <w:r w:rsidRPr="00896D4F">
        <w:t>§ 6</w:t>
      </w:r>
    </w:p>
    <w:p w:rsidR="009C1C5A" w:rsidRPr="00896D4F" w:rsidRDefault="009C1C5A">
      <w:r w:rsidRPr="00896D4F">
        <w:t>Byråcheferna skall var och en inom sitt sakområde i samråd med berörda ombudsmän fördela ärendena på föredragande. De får vidare besluta om r</w:t>
      </w:r>
      <w:r w:rsidRPr="00896D4F">
        <w:t>e</w:t>
      </w:r>
      <w:r w:rsidRPr="00896D4F">
        <w:t>misser och annat utred</w:t>
      </w:r>
      <w:r w:rsidRPr="00896D4F">
        <w:softHyphen/>
        <w:t>ningsförfarande, handlägga frågor rörande efterskrifter i avgjorda ärenden samt på upp</w:t>
      </w:r>
      <w:r w:rsidRPr="00896D4F">
        <w:softHyphen/>
        <w:t>drag av vederbörande ombudsman verkställa inspektion, dock utan rätt att vid denna framställa anmärkningar eller göra sådana uttalanden som åsyftas i 6 § första stycket instruktionen.</w:t>
      </w:r>
    </w:p>
    <w:p w:rsidR="009C1C5A" w:rsidRPr="00896D4F" w:rsidRDefault="009C1C5A">
      <w:pPr>
        <w:pStyle w:val="Normaltindrag"/>
      </w:pPr>
      <w:r w:rsidRPr="00896D4F">
        <w:t>Byråcheferna skall – förutom att bereda egna ärenden – se till att ärendena blir hand</w:t>
      </w:r>
      <w:r w:rsidRPr="00896D4F">
        <w:softHyphen/>
        <w:t>lagda på ett tillfredsställande sätt och med den skyndsamhet som krävs. De har också ansvar för redigeringen av referat och notiser som skall publiceras i JO:s ämbetsberät</w:t>
      </w:r>
      <w:r w:rsidRPr="00896D4F">
        <w:softHyphen/>
        <w:t>telse.</w:t>
      </w:r>
    </w:p>
    <w:p w:rsidR="009C1C5A" w:rsidRPr="00896D4F" w:rsidRDefault="009C1C5A">
      <w:pPr>
        <w:pStyle w:val="Normaltindrag"/>
      </w:pPr>
      <w:r w:rsidRPr="00896D4F">
        <w:t>Om ett ärende är av större vikt bör det handläggas av en byråchef.</w:t>
      </w:r>
    </w:p>
    <w:p w:rsidR="009C1C5A" w:rsidRPr="00896D4F" w:rsidRDefault="009C1C5A">
      <w:pPr>
        <w:jc w:val="center"/>
      </w:pPr>
      <w:r w:rsidRPr="00896D4F">
        <w:t>§ 7</w:t>
      </w:r>
    </w:p>
    <w:p w:rsidR="009C1C5A" w:rsidRPr="00896D4F" w:rsidRDefault="009C1C5A">
      <w:r w:rsidRPr="00896D4F">
        <w:t>Föredragandena får i de ärenden de tilldelats inhämta underhandsupplysnin</w:t>
      </w:r>
      <w:r w:rsidRPr="00896D4F">
        <w:t>g</w:t>
      </w:r>
      <w:r w:rsidRPr="00896D4F">
        <w:t>ar, infordra de handlingar som kan finnas rörande saken samt överlämna handlingar till klaganden för yttrande. De får även, efter särskilt bemyndiga</w:t>
      </w:r>
      <w:r w:rsidRPr="00896D4F">
        <w:t>n</w:t>
      </w:r>
      <w:r w:rsidRPr="00896D4F">
        <w:t>de av vederbörande ombudsman, handlägga frågor rörande efterskrifter i avgjorda ärenden. Områdesansvariga föredragande får därutöver efter särskilt bemyndigande av vederbörande justitieombudsman besluta om remisser och annat utredningsförfarande samt på uppdrag av vederbörande justitieo</w:t>
      </w:r>
      <w:r w:rsidRPr="00896D4F">
        <w:t>m</w:t>
      </w:r>
      <w:r w:rsidRPr="00896D4F">
        <w:t>budsman verkställa inspektion, dock utan rätt att vid denna framställa a</w:t>
      </w:r>
      <w:r w:rsidRPr="00896D4F">
        <w:t>n</w:t>
      </w:r>
      <w:r w:rsidRPr="00896D4F">
        <w:t>m</w:t>
      </w:r>
      <w:r w:rsidRPr="00896D4F">
        <w:t>ärkningar eller göra sådana uttalanden som åsyftas i 6 § första stycket i</w:t>
      </w:r>
      <w:r w:rsidRPr="00896D4F">
        <w:t>n</w:t>
      </w:r>
      <w:r w:rsidRPr="00896D4F">
        <w:t xml:space="preserve">struktionen. </w:t>
      </w:r>
    </w:p>
    <w:p w:rsidR="009C1C5A" w:rsidRPr="00896D4F" w:rsidRDefault="009C1C5A">
      <w:pPr>
        <w:pStyle w:val="Normaltindrag"/>
      </w:pPr>
      <w:r w:rsidRPr="00896D4F">
        <w:t>Vid tilldelningen av ärenden skall hänsyn tas till de olika föredragandenas särskilda kunskaper och erfarenheter. En jämn arbetsfördelning mellan för</w:t>
      </w:r>
      <w:r w:rsidRPr="00896D4F">
        <w:t>e</w:t>
      </w:r>
      <w:r w:rsidRPr="00896D4F">
        <w:t>dragandena skall ef</w:t>
      </w:r>
      <w:r w:rsidRPr="00896D4F">
        <w:softHyphen/>
        <w:t>tersträvas. I den mån områdesansvarig föredragande finns inom ett sakområde bör denne handlägga ärenden av större vikt inom omr</w:t>
      </w:r>
      <w:r w:rsidRPr="00896D4F">
        <w:t>å</w:t>
      </w:r>
      <w:r w:rsidRPr="00896D4F">
        <w:t>det.</w:t>
      </w:r>
    </w:p>
    <w:p w:rsidR="009C1C5A" w:rsidRPr="00896D4F" w:rsidRDefault="009C1C5A">
      <w:pPr>
        <w:pStyle w:val="Normaltindrag"/>
      </w:pPr>
      <w:r w:rsidRPr="00896D4F">
        <w:t>Varje föredragande skall om möjligt ges tillfälle att handlägga för honom eller henne nya ärendetyper.</w:t>
      </w:r>
    </w:p>
    <w:p w:rsidR="009C1C5A" w:rsidRPr="00896D4F" w:rsidRDefault="009C1C5A">
      <w:pPr>
        <w:jc w:val="center"/>
      </w:pPr>
      <w:r w:rsidRPr="00896D4F">
        <w:t>§ 8</w:t>
      </w:r>
    </w:p>
    <w:p w:rsidR="009C1C5A" w:rsidRPr="00896D4F" w:rsidRDefault="009C1C5A">
      <w:r w:rsidRPr="00896D4F">
        <w:t>En ombudsmans slutliga beslut skrivs ut i ett exemplar, som skall undertec</w:t>
      </w:r>
      <w:r w:rsidRPr="00896D4F">
        <w:t>k</w:t>
      </w:r>
      <w:r w:rsidRPr="00896D4F">
        <w:t>nas av om</w:t>
      </w:r>
      <w:r w:rsidRPr="00896D4F">
        <w:softHyphen/>
        <w:t>budsmannen och ingå i registraturet.</w:t>
      </w:r>
    </w:p>
    <w:p w:rsidR="009C1C5A" w:rsidRPr="00896D4F" w:rsidRDefault="009C1C5A">
      <w:pPr>
        <w:pStyle w:val="Normaltindrag"/>
      </w:pPr>
      <w:r w:rsidRPr="00896D4F">
        <w:t xml:space="preserve"> Utgående expeditioner framställs genom fotokopiering. En expedition skall alltid sändas till klaganden och, i förekommande fall, till myndigheter och tjänstemän som yttrat sig i ärendet eller som beslutet särskilt rör. En fot</w:t>
      </w:r>
      <w:r w:rsidRPr="00896D4F">
        <w:t>o</w:t>
      </w:r>
      <w:r w:rsidRPr="00896D4F">
        <w:t>kopia av beslutet fogas till ak</w:t>
      </w:r>
      <w:r w:rsidRPr="00896D4F">
        <w:softHyphen/>
        <w:t>ten i ärendet.</w:t>
      </w:r>
    </w:p>
    <w:p w:rsidR="009C1C5A" w:rsidRPr="00896D4F" w:rsidRDefault="009C1C5A">
      <w:pPr>
        <w:pStyle w:val="Normaltindrag"/>
      </w:pPr>
      <w:r w:rsidRPr="00896D4F">
        <w:t>Utgående expeditioner av beslut som inte avser ärendets avslutande u</w:t>
      </w:r>
      <w:r w:rsidRPr="00896D4F">
        <w:t>n</w:t>
      </w:r>
      <w:r w:rsidRPr="00896D4F">
        <w:t>dertecknas av den som fattat beslutet eller av annan på uppdrag av den b</w:t>
      </w:r>
      <w:r w:rsidRPr="00896D4F">
        <w:t>e</w:t>
      </w:r>
      <w:r w:rsidRPr="00896D4F">
        <w:t>sluta</w:t>
      </w:r>
      <w:r w:rsidRPr="00896D4F">
        <w:t>n</w:t>
      </w:r>
      <w:r w:rsidRPr="00896D4F">
        <w:t>de.</w:t>
      </w:r>
    </w:p>
    <w:p w:rsidR="009C1C5A" w:rsidRPr="00896D4F" w:rsidRDefault="009C1C5A">
      <w:pPr>
        <w:jc w:val="center"/>
      </w:pPr>
      <w:r w:rsidRPr="00896D4F">
        <w:t>§ 9</w:t>
      </w:r>
    </w:p>
    <w:p w:rsidR="009C1C5A" w:rsidRPr="00896D4F" w:rsidRDefault="009C1C5A">
      <w:r w:rsidRPr="00896D4F">
        <w:t>För bibliotekets ledning finns en biblioteksnämnd, i vilken ingår en ombud</w:t>
      </w:r>
      <w:r w:rsidRPr="00896D4F">
        <w:t>s</w:t>
      </w:r>
      <w:r w:rsidRPr="00896D4F">
        <w:t>man, kansli</w:t>
      </w:r>
      <w:r w:rsidRPr="00896D4F">
        <w:softHyphen/>
        <w:t>chefen och biblioteksansvarig tjänsteman. Den ombudsman som skall ingå i nämnden utses av chefsjustitieombudsmannen.</w:t>
      </w:r>
    </w:p>
    <w:p w:rsidR="009C1C5A" w:rsidRPr="00896D4F" w:rsidRDefault="009C1C5A">
      <w:pPr>
        <w:pStyle w:val="Normaltindrag"/>
      </w:pPr>
      <w:r w:rsidRPr="00896D4F">
        <w:t>Biblioteksnämnden beslutar i frågor om förvärv till biblioteket inom ramen för i JO:s internbudget anvisade medel samt har i övrigt överinseende över bibliotekets verksam</w:t>
      </w:r>
      <w:r w:rsidRPr="00896D4F">
        <w:softHyphen/>
        <w:t>het.</w:t>
      </w:r>
    </w:p>
    <w:p w:rsidR="009C1C5A" w:rsidRPr="00896D4F" w:rsidRDefault="009C1C5A">
      <w:pPr>
        <w:jc w:val="center"/>
      </w:pPr>
      <w:r w:rsidRPr="00896D4F">
        <w:t>§ 10</w:t>
      </w:r>
    </w:p>
    <w:p w:rsidR="009C1C5A" w:rsidRPr="00896D4F" w:rsidRDefault="009C1C5A">
      <w:r w:rsidRPr="00896D4F">
        <w:t>Personalen på registratorsexpeditionen biträder – utöver arbetsuppgifter enligt den sär</w:t>
      </w:r>
      <w:r w:rsidRPr="00896D4F">
        <w:softHyphen/>
        <w:t>skilda arbetsbeskrivningen – med utlämnande av handlingar till my</w:t>
      </w:r>
      <w:r w:rsidRPr="00896D4F">
        <w:t>n</w:t>
      </w:r>
      <w:r w:rsidRPr="00896D4F">
        <w:t>digheter, massme</w:t>
      </w:r>
      <w:r w:rsidRPr="00896D4F">
        <w:softHyphen/>
        <w:t>dier och allmänhet och lämnar erforderliga upplysningar med ledning av uppgifter ur datoriserade register och databaser, registratur, protokoll samt övriga inom expeditionen tillgängliga handlingar.</w:t>
      </w:r>
    </w:p>
    <w:p w:rsidR="009C1C5A" w:rsidRPr="00896D4F" w:rsidRDefault="009C1C5A">
      <w:pPr>
        <w:jc w:val="center"/>
      </w:pPr>
      <w:r w:rsidRPr="00896D4F">
        <w:t>§ 11</w:t>
      </w:r>
    </w:p>
    <w:p w:rsidR="009C1C5A" w:rsidRPr="00896D4F" w:rsidRDefault="009C1C5A">
      <w:r w:rsidRPr="00896D4F">
        <w:t>Fråga om utlämnande av allmän handling avgörs på myndighetens vägnar av den justi</w:t>
      </w:r>
      <w:r w:rsidRPr="00896D4F">
        <w:softHyphen/>
        <w:t>tieombudsman, till vars ansvarsområde ärendet hör, eller av chefsj</w:t>
      </w:r>
      <w:r w:rsidRPr="00896D4F">
        <w:t>u</w:t>
      </w:r>
      <w:r w:rsidRPr="00896D4F">
        <w:t>stitieombudsman</w:t>
      </w:r>
      <w:r w:rsidRPr="00896D4F">
        <w:softHyphen/>
        <w:t>nen.</w:t>
      </w:r>
    </w:p>
    <w:p w:rsidR="009C1C5A" w:rsidRPr="00896D4F" w:rsidRDefault="009C1C5A">
      <w:pPr>
        <w:jc w:val="center"/>
      </w:pPr>
      <w:r w:rsidRPr="00896D4F">
        <w:t>§ 12</w:t>
      </w:r>
    </w:p>
    <w:p w:rsidR="009C1C5A" w:rsidRPr="00896D4F" w:rsidRDefault="009C1C5A">
      <w:r w:rsidRPr="00896D4F">
        <w:t>Säkerhets- och beredskapsfrågor handläggs under chefsjustitieombudsmannen av en befattningshavare inom ombudsmannaexpeditionen med särskilt up</w:t>
      </w:r>
      <w:r w:rsidRPr="00896D4F">
        <w:t>p</w:t>
      </w:r>
      <w:r w:rsidRPr="00896D4F">
        <w:t>drag att vara säker</w:t>
      </w:r>
      <w:r w:rsidRPr="00896D4F">
        <w:softHyphen/>
        <w:t>hetsansvarig.</w:t>
      </w:r>
    </w:p>
    <w:p w:rsidR="009C1C5A" w:rsidRPr="00896D4F" w:rsidRDefault="009C1C5A">
      <w:pPr>
        <w:jc w:val="center"/>
      </w:pPr>
      <w:r w:rsidRPr="00896D4F">
        <w:t>§ 13</w:t>
      </w:r>
    </w:p>
    <w:p w:rsidR="009C1C5A" w:rsidRPr="00896D4F" w:rsidRDefault="009C1C5A">
      <w:r w:rsidRPr="00896D4F">
        <w:t>Ombudsmännen tar emot besök av allmänheten efter överenskommelse i varje särskilt fall.</w:t>
      </w:r>
    </w:p>
    <w:p w:rsidR="009C1C5A" w:rsidRPr="00896D4F" w:rsidRDefault="009C1C5A">
      <w:pPr>
        <w:jc w:val="center"/>
      </w:pPr>
      <w:r w:rsidRPr="00896D4F">
        <w:t>§ 14</w:t>
      </w:r>
    </w:p>
    <w:p w:rsidR="009C1C5A" w:rsidRPr="00896D4F" w:rsidRDefault="009C1C5A">
      <w:r w:rsidRPr="00896D4F">
        <w:t>Registratorsexpeditionen hålls öppen för allmänheten måndag–fredag klockan 09.00–12.00 och klockan 13.00–15.00, om inte annat bestämts i särskilt fall.</w:t>
      </w:r>
    </w:p>
    <w:p w:rsidR="009C1C5A" w:rsidRPr="00896D4F" w:rsidRDefault="009C1C5A">
      <w:pPr>
        <w:pStyle w:val="Rubrik3"/>
      </w:pPr>
      <w:r w:rsidRPr="00896D4F">
        <w:t>Ansvarsområde 1</w:t>
      </w:r>
    </w:p>
    <w:p w:rsidR="009C1C5A" w:rsidRPr="00896D4F" w:rsidRDefault="009C1C5A">
      <w:r w:rsidRPr="00896D4F">
        <w:t>Allmänna domstolar (dock ej förmynderskapsärenden och ej heller miljödo</w:t>
      </w:r>
      <w:r w:rsidRPr="00896D4F">
        <w:t>m</w:t>
      </w:r>
      <w:r w:rsidRPr="00896D4F">
        <w:t>stolar enligt 20 kap. miljöbalken), Arbetsdomstolen, arrendenämnder och hyresnämnder, Domstolsverket.</w:t>
      </w:r>
    </w:p>
    <w:p w:rsidR="009C1C5A" w:rsidRPr="00896D4F" w:rsidRDefault="009C1C5A">
      <w:r w:rsidRPr="00896D4F">
        <w:t xml:space="preserve">Allmänna åklagare; Ekobrottsmyndigheten; Skattemyndigheternas enheter för </w:t>
      </w:r>
    </w:p>
    <w:p w:rsidR="009C1C5A" w:rsidRPr="00896D4F" w:rsidRDefault="009C1C5A">
      <w:pPr>
        <w:pStyle w:val="Brdtextmedindrag"/>
        <w:spacing w:before="0"/>
        <w:ind w:left="0"/>
      </w:pPr>
      <w:r w:rsidRPr="00896D4F">
        <w:t>brottsutredning enligt lagen (1997:1024) om skattemyndigheters medverkan i brottsutredningar.</w:t>
      </w:r>
    </w:p>
    <w:p w:rsidR="009C1C5A" w:rsidRPr="00896D4F" w:rsidRDefault="009C1C5A">
      <w:r w:rsidRPr="00896D4F">
        <w:t>Polisväsendet (dock ej utlänningsärenden).</w:t>
      </w:r>
    </w:p>
    <w:p w:rsidR="009C1C5A" w:rsidRPr="00896D4F" w:rsidRDefault="009C1C5A">
      <w:r w:rsidRPr="00896D4F">
        <w:t>Ärenden rörande JO:s kompetensområde, skrifter med oklara yrkanden.</w:t>
      </w:r>
    </w:p>
    <w:p w:rsidR="009C1C5A" w:rsidRPr="00896D4F" w:rsidRDefault="009C1C5A">
      <w:pPr>
        <w:pStyle w:val="Rubrik3"/>
      </w:pPr>
      <w:r w:rsidRPr="00896D4F">
        <w:t>Ansvarsområde 2</w:t>
      </w:r>
    </w:p>
    <w:p w:rsidR="009C1C5A" w:rsidRPr="00896D4F" w:rsidRDefault="009C1C5A">
      <w:r w:rsidRPr="00896D4F">
        <w:t>Försvarsväsendet, vapenfri tjänst och övriga till myndigheter under Försvar</w:t>
      </w:r>
      <w:r w:rsidRPr="00896D4F">
        <w:t>s</w:t>
      </w:r>
      <w:r w:rsidRPr="00896D4F">
        <w:t>departementet hörande ären</w:t>
      </w:r>
      <w:r w:rsidRPr="00896D4F">
        <w:softHyphen/>
        <w:t>den som inte tillhör ansvarsområde 4.</w:t>
      </w:r>
    </w:p>
    <w:p w:rsidR="009C1C5A" w:rsidRPr="00896D4F" w:rsidRDefault="009C1C5A">
      <w:pPr>
        <w:pStyle w:val="Normaltindrag"/>
      </w:pPr>
      <w:r w:rsidRPr="00896D4F">
        <w:t>Exekutionsväsendet.</w:t>
      </w:r>
    </w:p>
    <w:p w:rsidR="009C1C5A" w:rsidRPr="00896D4F" w:rsidRDefault="009C1C5A">
      <w:pPr>
        <w:pStyle w:val="Normaltindrag"/>
      </w:pPr>
      <w:r w:rsidRPr="00896D4F">
        <w:t>Kriminalvården.</w:t>
      </w:r>
    </w:p>
    <w:p w:rsidR="009C1C5A" w:rsidRPr="00896D4F" w:rsidRDefault="009C1C5A">
      <w:pPr>
        <w:pStyle w:val="Normaltindrag"/>
      </w:pPr>
      <w:r w:rsidRPr="00896D4F">
        <w:t>Inkomst- och förmögenhetsskatt, mervärdesskatt, skattekontroll (dock ej skattemyndigheternas enheter för brottsutredning enligt lagen [1997:1024] om skattemyndigheters medverkan i brottsutredningar), uppbörd.</w:t>
      </w:r>
    </w:p>
    <w:p w:rsidR="009C1C5A" w:rsidRPr="00896D4F" w:rsidRDefault="009C1C5A">
      <w:pPr>
        <w:pStyle w:val="Normaltindrag"/>
      </w:pPr>
      <w:r w:rsidRPr="00896D4F">
        <w:t>Punktskatter och prisregleringsavgifter, vägtrafikskatt, hundskatt, arvs- och gåvoskatt, expeditionsavgifter, tullväsendet, Finansinspektionen, folkbokf</w:t>
      </w:r>
      <w:r w:rsidRPr="00896D4F">
        <w:t>ö</w:t>
      </w:r>
      <w:r w:rsidRPr="00896D4F">
        <w:t>ring (inkl. namnären</w:t>
      </w:r>
      <w:r w:rsidRPr="00896D4F">
        <w:softHyphen/>
        <w:t>den); övriga till Finansdepartementet och myndigheter därunder hörande ärenden som ej tillhör annat ansvarsom</w:t>
      </w:r>
      <w:r w:rsidRPr="00896D4F">
        <w:softHyphen/>
        <w:t>råde.</w:t>
      </w:r>
    </w:p>
    <w:p w:rsidR="009C1C5A" w:rsidRPr="00896D4F" w:rsidRDefault="009C1C5A">
      <w:pPr>
        <w:pStyle w:val="Normaltindrag"/>
      </w:pPr>
      <w:r w:rsidRPr="00896D4F">
        <w:t>Allmän försäkring (sjuk-, pensions-, föräldra- och arbetsskadeförsäkring, inkomst</w:t>
      </w:r>
      <w:r w:rsidRPr="00896D4F">
        <w:softHyphen/>
        <w:t>prövade förmåner, barnbidrag, bidragsförskott samt familjebidrag och andra värnplikts</w:t>
      </w:r>
      <w:r w:rsidRPr="00896D4F">
        <w:softHyphen/>
        <w:t>förmåner).</w:t>
      </w:r>
    </w:p>
    <w:p w:rsidR="009C1C5A" w:rsidRPr="00896D4F" w:rsidRDefault="009C1C5A">
      <w:pPr>
        <w:pStyle w:val="Normaltindrag"/>
      </w:pPr>
      <w:r w:rsidRPr="00896D4F">
        <w:t>Förmynderskapsärenden (bl.a. överförmyndare och överförmyndarnäm</w:t>
      </w:r>
      <w:r w:rsidRPr="00896D4F">
        <w:t>n</w:t>
      </w:r>
      <w:r w:rsidRPr="00896D4F">
        <w:t>der).</w:t>
      </w:r>
    </w:p>
    <w:p w:rsidR="009C1C5A" w:rsidRPr="00896D4F" w:rsidRDefault="009C1C5A">
      <w:pPr>
        <w:pStyle w:val="Rubrik3"/>
      </w:pPr>
      <w:r w:rsidRPr="00896D4F">
        <w:t>Ansvarsområde 3</w:t>
      </w:r>
    </w:p>
    <w:p w:rsidR="009C1C5A" w:rsidRPr="00896D4F" w:rsidRDefault="009C1C5A">
      <w:r w:rsidRPr="00896D4F">
        <w:t>Tillämpningen av socialtjänstlagen, lagen med särskilda bestämmelser om vård av unga (LVU) och lagen om vård av miss</w:t>
      </w:r>
      <w:r w:rsidRPr="00896D4F">
        <w:softHyphen/>
        <w:t>brukare i vissa fall (LVM).</w:t>
      </w:r>
    </w:p>
    <w:p w:rsidR="009C1C5A" w:rsidRPr="00896D4F" w:rsidRDefault="009C1C5A">
      <w:pPr>
        <w:pStyle w:val="Normaltindrag"/>
      </w:pPr>
      <w:r w:rsidRPr="00896D4F">
        <w:t>Hälso- och sjukvård, tillämpningen av lagen om stöd och service åt vissa funktionshindrade, övrig omsorgsverksamhet; rättsmedi</w:t>
      </w:r>
      <w:r w:rsidRPr="00896D4F">
        <w:softHyphen/>
        <w:t>cinska under</w:t>
      </w:r>
      <w:r w:rsidRPr="00896D4F">
        <w:softHyphen/>
        <w:t>sökningsväsendet, rättspsykiatriska undersökningsväsendet; tandvården, l</w:t>
      </w:r>
      <w:r w:rsidRPr="00896D4F">
        <w:t>ä</w:t>
      </w:r>
      <w:r w:rsidRPr="00896D4F">
        <w:t>kemedel.</w:t>
      </w:r>
    </w:p>
    <w:p w:rsidR="009C1C5A" w:rsidRPr="00896D4F" w:rsidRDefault="009C1C5A">
      <w:pPr>
        <w:pStyle w:val="Normaltindrag"/>
      </w:pPr>
      <w:r w:rsidRPr="00896D4F">
        <w:t>Övriga till myndigheter under Socialdepartementet hörande ärenden utom ärenden rörande allmän för</w:t>
      </w:r>
      <w:r w:rsidRPr="00896D4F">
        <w:softHyphen/>
        <w:t>säkring och övriga socialförsäkringar, hälsoskydd samt serveringstillstånd.</w:t>
      </w:r>
    </w:p>
    <w:p w:rsidR="009C1C5A" w:rsidRPr="00896D4F" w:rsidRDefault="009C1C5A">
      <w:pPr>
        <w:pStyle w:val="Normaltindrag"/>
      </w:pPr>
      <w:r w:rsidRPr="00896D4F">
        <w:t>Utbildningsväsendet och övriga till myndigheter under Utbildningsdepa</w:t>
      </w:r>
      <w:r w:rsidRPr="00896D4F">
        <w:t>r</w:t>
      </w:r>
      <w:r w:rsidRPr="00896D4F">
        <w:t xml:space="preserve">tementet hörande ärenden.      </w:t>
      </w:r>
    </w:p>
    <w:p w:rsidR="009C1C5A" w:rsidRPr="00896D4F" w:rsidRDefault="009C1C5A">
      <w:pPr>
        <w:pStyle w:val="Rubrik3"/>
      </w:pPr>
      <w:r w:rsidRPr="00896D4F">
        <w:t>Ansvarsområde 4</w:t>
      </w:r>
    </w:p>
    <w:p w:rsidR="009C1C5A" w:rsidRPr="00896D4F" w:rsidRDefault="009C1C5A">
      <w:r w:rsidRPr="00896D4F">
        <w:t>Förvaltningsdomstolar.</w:t>
      </w:r>
    </w:p>
    <w:p w:rsidR="009C1C5A" w:rsidRPr="00896D4F" w:rsidRDefault="009C1C5A">
      <w:pPr>
        <w:pStyle w:val="Normaltindrag"/>
      </w:pPr>
      <w:r w:rsidRPr="00896D4F">
        <w:t>Rättshjälp, Brottsoffermyndigheten, nådeärenden; övriga till Justitied</w:t>
      </w:r>
      <w:r w:rsidRPr="00896D4F">
        <w:t>e</w:t>
      </w:r>
      <w:r w:rsidRPr="00896D4F">
        <w:t>partementet hörande ärenden som ej tillhör annat ansvarsom</w:t>
      </w:r>
      <w:r w:rsidRPr="00896D4F">
        <w:softHyphen/>
        <w:t>råde.</w:t>
      </w:r>
    </w:p>
    <w:p w:rsidR="009C1C5A" w:rsidRPr="00896D4F" w:rsidRDefault="009C1C5A">
      <w:pPr>
        <w:pStyle w:val="Normaltindrag"/>
      </w:pPr>
      <w:r w:rsidRPr="00896D4F">
        <w:t>Arbetsmarknaden; arbetslöshetsförsäkring, etnisk diskriminering, Ka</w:t>
      </w:r>
      <w:r w:rsidRPr="00896D4F">
        <w:t>m</w:t>
      </w:r>
      <w:r w:rsidRPr="00896D4F">
        <w:t xml:space="preserve">markollegiet, Ungdomsstyrelsen. </w:t>
      </w:r>
    </w:p>
    <w:p w:rsidR="009C1C5A" w:rsidRPr="00896D4F" w:rsidRDefault="009C1C5A">
      <w:pPr>
        <w:pStyle w:val="Normaltindrag"/>
      </w:pPr>
      <w:r w:rsidRPr="00896D4F">
        <w:t>Plan- och byggnadsväsendet, lantmäteri- och kartväsendet.</w:t>
      </w:r>
    </w:p>
    <w:p w:rsidR="009C1C5A" w:rsidRPr="00896D4F" w:rsidRDefault="009C1C5A">
      <w:pPr>
        <w:pStyle w:val="Normaltindrag"/>
      </w:pPr>
      <w:r w:rsidRPr="00896D4F">
        <w:t>Icke specialreglerad kommunalförvaltning.</w:t>
      </w:r>
    </w:p>
    <w:p w:rsidR="009C1C5A" w:rsidRPr="00896D4F" w:rsidRDefault="009C1C5A">
      <w:pPr>
        <w:pStyle w:val="Normaltindrag"/>
      </w:pPr>
      <w:r w:rsidRPr="00896D4F">
        <w:t>Kommunikationsväsendet (affärsverken, vägar, trafik, körkort, fordonsr</w:t>
      </w:r>
      <w:r w:rsidRPr="00896D4F">
        <w:t>e</w:t>
      </w:r>
      <w:r w:rsidRPr="00896D4F">
        <w:t xml:space="preserve">gistrering, bilprovning). </w:t>
      </w:r>
    </w:p>
    <w:p w:rsidR="009C1C5A" w:rsidRPr="00896D4F" w:rsidRDefault="009C1C5A">
      <w:pPr>
        <w:pStyle w:val="Normaltindrag"/>
      </w:pPr>
      <w:r w:rsidRPr="00896D4F">
        <w:t>Miljödomstolar enligt 20 kap. miljöbalken, jord- och skogsbruk, jordfö</w:t>
      </w:r>
      <w:r w:rsidRPr="00896D4F">
        <w:t>r</w:t>
      </w:r>
      <w:r w:rsidRPr="00896D4F">
        <w:t>värv, naturvård, miljö- och hälsoskydd, djurskydd, jakt, fiske, rennäring, veterinärväsendet, livsmedelskontroll samt övriga till myndigheter under Jordbruksd</w:t>
      </w:r>
      <w:r w:rsidRPr="00896D4F">
        <w:t>e</w:t>
      </w:r>
      <w:r w:rsidRPr="00896D4F">
        <w:t>par</w:t>
      </w:r>
      <w:r w:rsidRPr="00896D4F">
        <w:softHyphen/>
        <w:t>tementet respektive Miljödepartementet hörande ärenden.</w:t>
      </w:r>
    </w:p>
    <w:p w:rsidR="009C1C5A" w:rsidRPr="00896D4F" w:rsidRDefault="009C1C5A">
      <w:pPr>
        <w:pStyle w:val="Normaltindrag"/>
      </w:pPr>
      <w:r w:rsidRPr="00896D4F">
        <w:t>Konsumentskydd, marknadsföring, pris- och konkurrensförhållanden inom närings</w:t>
      </w:r>
      <w:r w:rsidRPr="00896D4F">
        <w:softHyphen/>
        <w:t>livet, prisreglering, aktiebolag, handelsbolag, firmaskydd, handelsr</w:t>
      </w:r>
      <w:r w:rsidRPr="00896D4F">
        <w:t>e</w:t>
      </w:r>
      <w:r w:rsidRPr="00896D4F">
        <w:t>gister, patent, varu</w:t>
      </w:r>
      <w:r w:rsidRPr="00896D4F">
        <w:softHyphen/>
        <w:t>märken, mönster och övriga till myndigheter under Nä</w:t>
      </w:r>
      <w:r w:rsidRPr="00896D4F">
        <w:t>r</w:t>
      </w:r>
      <w:r w:rsidRPr="00896D4F">
        <w:t>ingsdepartementet hörande ärenden.</w:t>
      </w:r>
    </w:p>
    <w:p w:rsidR="009C1C5A" w:rsidRPr="00896D4F" w:rsidRDefault="009C1C5A">
      <w:pPr>
        <w:pStyle w:val="Normaltindrag"/>
      </w:pPr>
      <w:r w:rsidRPr="00896D4F">
        <w:t>Utlänningsärenden inklusive medborgarskapsfrågor och ärenden rörande invandrares in</w:t>
      </w:r>
      <w:r w:rsidRPr="00896D4F">
        <w:softHyphen/>
        <w:t>tegration.</w:t>
      </w:r>
    </w:p>
    <w:p w:rsidR="009C1C5A" w:rsidRPr="00896D4F" w:rsidRDefault="009C1C5A">
      <w:pPr>
        <w:pStyle w:val="Normaltindrag"/>
      </w:pPr>
      <w:r w:rsidRPr="00896D4F">
        <w:t>Räddningstjänst, ordningslagens tillämpning, lotterier och spel, serve</w:t>
      </w:r>
      <w:r w:rsidRPr="00896D4F">
        <w:softHyphen/>
        <w:t>ringstillstånd, bilskrotning.</w:t>
      </w:r>
    </w:p>
    <w:p w:rsidR="009C1C5A" w:rsidRPr="00896D4F" w:rsidRDefault="009C1C5A">
      <w:pPr>
        <w:pStyle w:val="Normaltindrag"/>
      </w:pPr>
      <w:r w:rsidRPr="00896D4F">
        <w:t xml:space="preserve">Övriga vid länsstyrelser handlagda ärenden som ej tillhör ansvarsområde 2 eller 3. </w:t>
      </w:r>
    </w:p>
    <w:p w:rsidR="009C1C5A" w:rsidRPr="00896D4F" w:rsidRDefault="009C1C5A">
      <w:pPr>
        <w:pStyle w:val="Normaltindrag"/>
      </w:pPr>
      <w:r w:rsidRPr="00896D4F">
        <w:t>Bostadsväsendet (bostadsförsörjning, bostadsbidrag utanför socialförsä</w:t>
      </w:r>
      <w:r w:rsidRPr="00896D4F">
        <w:t>k</w:t>
      </w:r>
      <w:r w:rsidRPr="00896D4F">
        <w:t>ringssystemets ram).</w:t>
      </w:r>
    </w:p>
    <w:p w:rsidR="009C1C5A" w:rsidRPr="00896D4F" w:rsidRDefault="009C1C5A">
      <w:pPr>
        <w:pStyle w:val="Normaltindrag"/>
      </w:pPr>
      <w:r w:rsidRPr="00896D4F">
        <w:t xml:space="preserve">Begravningsväsendet, statsbidrag till trossamfund. </w:t>
      </w:r>
    </w:p>
    <w:p w:rsidR="009C1C5A" w:rsidRPr="00896D4F" w:rsidRDefault="009C1C5A">
      <w:pPr>
        <w:pStyle w:val="Normaltindrag"/>
      </w:pPr>
      <w:r w:rsidRPr="00896D4F">
        <w:t>Till myndigheter under Kulturdepartementet hö</w:t>
      </w:r>
      <w:r w:rsidRPr="00896D4F">
        <w:softHyphen/>
        <w:t>rande områden.</w:t>
      </w:r>
    </w:p>
    <w:p w:rsidR="009C1C5A" w:rsidRPr="00896D4F" w:rsidRDefault="009C1C5A">
      <w:pPr>
        <w:pStyle w:val="Normaltindrag"/>
      </w:pPr>
      <w:r w:rsidRPr="00896D4F">
        <w:t>Utrikesförvaltningen och övriga till myndigheter under Utrikesdepart</w:t>
      </w:r>
      <w:r w:rsidRPr="00896D4F">
        <w:t>e</w:t>
      </w:r>
      <w:r w:rsidRPr="00896D4F">
        <w:t>mentet hörande ärenden.</w:t>
      </w:r>
    </w:p>
    <w:p w:rsidR="009C1C5A" w:rsidRPr="00896D4F" w:rsidRDefault="009C1C5A">
      <w:pPr>
        <w:pStyle w:val="Normaltindrag"/>
      </w:pPr>
      <w:r w:rsidRPr="00896D4F">
        <w:t>Riksdagsförvaltningen, riksdagens verk, allmänna val.</w:t>
      </w:r>
    </w:p>
    <w:p w:rsidR="009C1C5A" w:rsidRPr="00896D4F" w:rsidRDefault="009C1C5A">
      <w:pPr>
        <w:pStyle w:val="Normaltindrag"/>
      </w:pPr>
      <w:r w:rsidRPr="00896D4F">
        <w:t>Övriga ärenden som inte är hänförliga till något av ansvarsområdena 1–3.</w:t>
      </w:r>
    </w:p>
    <w:p w:rsidR="009C1C5A" w:rsidRPr="00896D4F" w:rsidRDefault="009C1C5A">
      <w:pPr>
        <w:jc w:val="center"/>
      </w:pPr>
      <w:r w:rsidRPr="00896D4F">
        <w:tab/>
        <w:t>-----------------------------------</w:t>
      </w:r>
      <w:r w:rsidRPr="00896D4F">
        <w:tab/>
      </w:r>
      <w:r w:rsidRPr="00896D4F">
        <w:tab/>
      </w:r>
    </w:p>
    <w:p w:rsidR="009C1C5A" w:rsidRPr="00896D4F" w:rsidRDefault="009C1C5A">
      <w:pPr>
        <w:pStyle w:val="Normaltindrag"/>
      </w:pPr>
      <w:r w:rsidRPr="00896D4F">
        <w:t>Personalärenden, ärenden angående tryckfrihet, yttrandefrihet, offentlighet och sekretess samt remisser från riksdagen och från Regeringskansliet förd</w:t>
      </w:r>
      <w:r w:rsidRPr="00896D4F">
        <w:t>e</w:t>
      </w:r>
      <w:r w:rsidRPr="00896D4F">
        <w:t>las på de ansvarsområden där de från saklig synpunkt hör hemma.</w:t>
      </w:r>
    </w:p>
    <w:p w:rsidR="009C1C5A" w:rsidRPr="00896D4F" w:rsidRDefault="009C1C5A">
      <w:pPr>
        <w:pStyle w:val="Normaltindrag"/>
      </w:pPr>
    </w:p>
    <w:p w:rsidR="009C1C5A" w:rsidRPr="00896D4F" w:rsidRDefault="009C1C5A">
      <w:pPr>
        <w:pStyle w:val="Normaltindrag"/>
        <w:sectPr w:rsidR="00000000" w:rsidRPr="00896D4F">
          <w:headerReference w:type="even" r:id="rId24"/>
          <w:headerReference w:type="default" r:id="rId25"/>
          <w:pgSz w:w="11906" w:h="16838" w:code="9"/>
          <w:pgMar w:top="3969" w:right="4649" w:bottom="1106" w:left="1304" w:header="57" w:footer="57" w:gutter="0"/>
          <w:cols w:space="720"/>
        </w:sectPr>
      </w:pPr>
    </w:p>
    <w:p w:rsidR="009C1C5A" w:rsidRPr="00896D4F" w:rsidRDefault="009C1C5A">
      <w:pPr>
        <w:pStyle w:val="Rubrik1"/>
        <w:spacing w:before="0"/>
      </w:pPr>
      <w:r w:rsidRPr="00896D4F">
        <w:t>Personalorganisationen</w:t>
      </w:r>
    </w:p>
    <w:p w:rsidR="009C1C5A" w:rsidRPr="00896D4F" w:rsidRDefault="009C1C5A">
      <w:pPr>
        <w:pStyle w:val="Rubrik3"/>
        <w:spacing w:before="0"/>
      </w:pPr>
      <w:r w:rsidRPr="00896D4F">
        <w:t>Riksdagens ombudsmäns kansli</w:t>
      </w:r>
    </w:p>
    <w:p w:rsidR="009C1C5A" w:rsidRPr="00896D4F" w:rsidRDefault="009C1C5A">
      <w:r w:rsidRPr="00896D4F">
        <w:t>Kanslichefen Kjell Swanström</w:t>
      </w:r>
    </w:p>
    <w:p w:rsidR="009C1C5A" w:rsidRPr="00896D4F" w:rsidRDefault="009C1C5A">
      <w:r w:rsidRPr="00896D4F">
        <w:t>Byråchefen Sven Börjeson (t.o.m. 30 september 2001; tjl)</w:t>
      </w:r>
    </w:p>
    <w:p w:rsidR="009C1C5A" w:rsidRPr="00896D4F" w:rsidRDefault="009C1C5A">
      <w:r w:rsidRPr="00896D4F">
        <w:t>Byråchefen Jörgen Buhre</w:t>
      </w:r>
    </w:p>
    <w:p w:rsidR="009C1C5A" w:rsidRPr="00896D4F" w:rsidRDefault="009C1C5A">
      <w:r w:rsidRPr="00896D4F">
        <w:t>Byråchefen Christer Sjöstedt</w:t>
      </w:r>
    </w:p>
    <w:p w:rsidR="009C1C5A" w:rsidRPr="00896D4F" w:rsidRDefault="009C1C5A">
      <w:r w:rsidRPr="00896D4F">
        <w:t>Byråchefen Albert Johnson</w:t>
      </w:r>
    </w:p>
    <w:p w:rsidR="009C1C5A" w:rsidRPr="00896D4F" w:rsidRDefault="009C1C5A">
      <w:r w:rsidRPr="00896D4F">
        <w:t>Byråchefen Carina Hedbom Blomkvist</w:t>
      </w:r>
    </w:p>
    <w:p w:rsidR="009C1C5A" w:rsidRPr="00896D4F" w:rsidRDefault="009C1C5A">
      <w:r w:rsidRPr="00896D4F">
        <w:t>Byråchefen Owe Hultin</w:t>
      </w:r>
    </w:p>
    <w:p w:rsidR="009C1C5A" w:rsidRPr="00896D4F" w:rsidRDefault="009C1C5A">
      <w:r w:rsidRPr="00896D4F">
        <w:t>Byråchefen Carl-Gustaf Tryblom</w:t>
      </w:r>
    </w:p>
    <w:p w:rsidR="009C1C5A" w:rsidRPr="00896D4F" w:rsidRDefault="009C1C5A">
      <w:r w:rsidRPr="00896D4F">
        <w:t>Byråchefen Timo Manninen (utlandstjänstgöring t.o.m. 3 oktober 2001)</w:t>
      </w:r>
    </w:p>
    <w:p w:rsidR="009C1C5A" w:rsidRPr="00896D4F" w:rsidRDefault="009C1C5A">
      <w:r w:rsidRPr="00896D4F">
        <w:t xml:space="preserve">Byråchefen Agneta Lundgren </w:t>
      </w:r>
    </w:p>
    <w:p w:rsidR="009C1C5A" w:rsidRPr="00896D4F" w:rsidRDefault="009C1C5A">
      <w:r w:rsidRPr="00896D4F">
        <w:t xml:space="preserve">Enhetschefen, ekonomi- och personaladministrativa frågor Ylva Fryklund </w:t>
      </w:r>
    </w:p>
    <w:p w:rsidR="009C1C5A" w:rsidRPr="00896D4F" w:rsidRDefault="009C1C5A">
      <w:r w:rsidRPr="00896D4F">
        <w:t>Enhetschefen, internationella frågor, Marianne von der Esch</w:t>
      </w:r>
    </w:p>
    <w:p w:rsidR="009C1C5A" w:rsidRPr="00896D4F" w:rsidRDefault="009C1C5A">
      <w:r w:rsidRPr="00896D4F">
        <w:t xml:space="preserve">Områdesansvariga föredraganden Lia von Sivers </w:t>
      </w:r>
    </w:p>
    <w:p w:rsidR="009C1C5A" w:rsidRPr="00896D4F" w:rsidRDefault="009C1C5A">
      <w:r w:rsidRPr="00896D4F">
        <w:t>Avdelningsdirektören Lars Kinnander</w:t>
      </w:r>
    </w:p>
    <w:p w:rsidR="009C1C5A" w:rsidRPr="00896D4F" w:rsidRDefault="009C1C5A">
      <w:r w:rsidRPr="00896D4F">
        <w:t>Avdelningsdirektören Rolf Andersson</w:t>
      </w:r>
    </w:p>
    <w:p w:rsidR="009C1C5A" w:rsidRPr="00896D4F" w:rsidRDefault="009C1C5A">
      <w:pPr>
        <w:pStyle w:val="Normaltindrag"/>
      </w:pPr>
      <w:r w:rsidRPr="00896D4F">
        <w:t>Som föredragande med heltidstjänstgöring har vidare under 2001/02 tjänstgjort: kammaråklagaren Gunnar Jonasson (t.o.m. 16 september 2001), hovrättsassessorn Helén Törnqvist (t.o.m. 28 februari 2002; tjl. 1 september 2001–28 februari 2002), hovrättsassessorn Erik Lindberg (tf. byråchef t.o.m. 3 oktober 2001), hovrättsassessorn Eva Melander (fr.o.m. 1 september 2001; tjl. fr.o.m. 9 april 2002), hovrättsassessorn Malou Lindblom, hovrättsasse</w:t>
      </w:r>
      <w:r w:rsidRPr="00896D4F">
        <w:t>s</w:t>
      </w:r>
      <w:r w:rsidRPr="00896D4F">
        <w:t>sorn Rakel Granditsky Hökeberg, handläggaren Vibeke Elm (fr.o.m. 5 n</w:t>
      </w:r>
      <w:r w:rsidRPr="00896D4F">
        <w:t>o</w:t>
      </w:r>
      <w:r w:rsidRPr="00896D4F">
        <w:t>vember 2001), hovrättsassessorn Caroline Hindmarsh (fr.o.m. 8 april 2002),  kammarrättsassessorn Karin Nilsson Edin, kammarrättsassessorn Dan Johan</w:t>
      </w:r>
      <w:r w:rsidRPr="00896D4F">
        <w:t>s</w:t>
      </w:r>
      <w:r w:rsidRPr="00896D4F">
        <w:t>son, hovrättsassessorn Irja Hed, kammarrättsassessorn Caroline Dyrefors Grufman, ka</w:t>
      </w:r>
      <w:r w:rsidRPr="00896D4F">
        <w:t>m</w:t>
      </w:r>
      <w:r w:rsidRPr="00896D4F">
        <w:t>marrättsassessorn Minnaliisa Lundblad, hovrättsassessorn Nils-Erik Elfstadius, hovrättsassessorn Ulrika Åkerdahl (tjl. fr.o.m. 22 oktober 2001), hovrättsassessorn Åsa Widmark, kammarrättsassessorn Stefan Axel</w:t>
      </w:r>
      <w:r w:rsidRPr="00896D4F">
        <w:t>s</w:t>
      </w:r>
      <w:r w:rsidRPr="00896D4F">
        <w:t>s</w:t>
      </w:r>
      <w:r w:rsidRPr="00896D4F">
        <w:t>on, hovrättsassessorn Christina Fleur, kammarrättsassessorn Marie Wessling (fr.o.m. 8 oktober 2001), regeringsrättssekreteraren Gunnar Gustafson (fr.o.m. 22 oktober 2001), hovrättsassessorn Linn Pantzar (fr.o.m. 13 maj 2002), ho</w:t>
      </w:r>
      <w:r w:rsidRPr="00896D4F">
        <w:t>v</w:t>
      </w:r>
      <w:r w:rsidRPr="00896D4F">
        <w:t>rättsassessorn Marianne Trägårdh (t.o.m. 30 april 2002), kammarrättsasse</w:t>
      </w:r>
      <w:r w:rsidRPr="00896D4F">
        <w:t>s</w:t>
      </w:r>
      <w:r w:rsidRPr="00896D4F">
        <w:t>sorn Magnus Schultzberg (t.o.m. 31 mars 2002), hovrättsassessorn Thomas Lindstam, hovrättsassessorn Anna-Lisa Stoican, kammarrättsassessorn Pär Hemmingsson och hovrättsassessorn Charlotte Wikner De Geer (fr.o.m</w:t>
      </w:r>
      <w:r w:rsidRPr="00896D4F">
        <w:t>. 1 septe</w:t>
      </w:r>
      <w:r w:rsidRPr="00896D4F">
        <w:t>m</w:t>
      </w:r>
      <w:r w:rsidRPr="00896D4F">
        <w:t>ber 2001).</w:t>
      </w:r>
    </w:p>
    <w:p w:rsidR="009C1C5A" w:rsidRPr="00896D4F" w:rsidRDefault="009C1C5A">
      <w:pPr>
        <w:pStyle w:val="Normaltindrag"/>
        <w:sectPr w:rsidR="00000000" w:rsidRPr="00896D4F">
          <w:headerReference w:type="even" r:id="rId26"/>
          <w:pgSz w:w="11906" w:h="16838" w:code="9"/>
          <w:pgMar w:top="3969" w:right="4649" w:bottom="1106" w:left="1304" w:header="57" w:footer="57" w:gutter="0"/>
          <w:cols w:space="720"/>
        </w:sectPr>
      </w:pPr>
    </w:p>
    <w:p w:rsidR="009C1C5A" w:rsidRPr="00896D4F" w:rsidRDefault="009C1C5A">
      <w:pPr>
        <w:pStyle w:val="Rubrik1"/>
        <w:tabs>
          <w:tab w:val="clear" w:pos="284"/>
          <w:tab w:val="clear" w:pos="624"/>
          <w:tab w:val="clear" w:pos="1021"/>
          <w:tab w:val="clear" w:pos="1474"/>
          <w:tab w:val="clear" w:pos="1985"/>
          <w:tab w:val="clear" w:pos="2268"/>
          <w:tab w:val="clear" w:pos="2552"/>
          <w:tab w:val="clear" w:pos="2835"/>
        </w:tabs>
        <w:spacing w:before="0"/>
        <w:jc w:val="center"/>
      </w:pPr>
      <w:r w:rsidRPr="00896D4F">
        <w:t>SAKREGISTER</w:t>
      </w:r>
    </w:p>
    <w:p w:rsidR="009C1C5A" w:rsidRPr="00896D4F" w:rsidRDefault="009C1C5A">
      <w:pPr>
        <w:pStyle w:val="Rubrik1"/>
        <w:tabs>
          <w:tab w:val="clear" w:pos="284"/>
          <w:tab w:val="clear" w:pos="624"/>
          <w:tab w:val="clear" w:pos="1021"/>
          <w:tab w:val="clear" w:pos="1474"/>
          <w:tab w:val="clear" w:pos="1985"/>
          <w:tab w:val="clear" w:pos="2268"/>
          <w:tab w:val="clear" w:pos="2552"/>
          <w:tab w:val="clear" w:pos="2835"/>
        </w:tabs>
        <w:spacing w:before="0"/>
        <w:jc w:val="center"/>
      </w:pPr>
      <w:r w:rsidRPr="00896D4F">
        <w:t>till</w:t>
      </w:r>
    </w:p>
    <w:p w:rsidR="009C1C5A" w:rsidRPr="00896D4F" w:rsidRDefault="009C1C5A">
      <w:pPr>
        <w:pStyle w:val="Rubrik1"/>
        <w:tabs>
          <w:tab w:val="clear" w:pos="284"/>
          <w:tab w:val="clear" w:pos="624"/>
          <w:tab w:val="clear" w:pos="1021"/>
          <w:tab w:val="clear" w:pos="1474"/>
          <w:tab w:val="clear" w:pos="1985"/>
          <w:tab w:val="clear" w:pos="2268"/>
          <w:tab w:val="clear" w:pos="2552"/>
          <w:tab w:val="clear" w:pos="2835"/>
        </w:tabs>
        <w:spacing w:before="0"/>
        <w:jc w:val="center"/>
      </w:pPr>
      <w:r w:rsidRPr="00896D4F">
        <w:t>justitieombudsmännens ämbetsberättelser 1999/2000–2002/2003</w:t>
      </w:r>
    </w:p>
    <w:p w:rsidR="009C1C5A" w:rsidRPr="00896D4F" w:rsidRDefault="009C1C5A">
      <w:r w:rsidRPr="00896D4F">
        <w:t xml:space="preserve">Ett alfabetiskt sakregister till JO:s ämbetsberättelser 1967–1975/76 finns fogat som bilaga 3 (s. 557) till ämbetsberättelsen 1975/76 och har även tryckts separat. I ingressen till detta register har lämnats upplysningar om register till tidigare ämbetsberättelser. </w:t>
      </w:r>
    </w:p>
    <w:p w:rsidR="009C1C5A" w:rsidRPr="00896D4F" w:rsidRDefault="009C1C5A">
      <w:pPr>
        <w:pStyle w:val="Normaltindrag"/>
      </w:pPr>
      <w:r w:rsidRPr="00896D4F">
        <w:t>Ett alfabetiskt sakregister till JO:s ämbetsberättelser 1976/77–1988/89 finns fogat som bilaga 4 (s. 437) till ä</w:t>
      </w:r>
      <w:r w:rsidRPr="00896D4F">
        <w:t>m</w:t>
      </w:r>
      <w:r w:rsidRPr="00896D4F">
        <w:t xml:space="preserve">betsberättelsen 1988/89. </w:t>
      </w:r>
    </w:p>
    <w:p w:rsidR="009C1C5A" w:rsidRPr="00896D4F" w:rsidRDefault="009C1C5A">
      <w:pPr>
        <w:pStyle w:val="Normaltindrag"/>
      </w:pPr>
      <w:r w:rsidRPr="00896D4F">
        <w:t>Ett alfabetiskt sakregister till JO:s ämbetsberättelser 1989/90–1993/94 finns fogat som bilaga 4 (s. 534) till ä</w:t>
      </w:r>
      <w:r w:rsidRPr="00896D4F">
        <w:t>m</w:t>
      </w:r>
      <w:r w:rsidRPr="00896D4F">
        <w:t>betsberättelsen 1993/94.</w:t>
      </w:r>
    </w:p>
    <w:p w:rsidR="009C1C5A" w:rsidRPr="00896D4F" w:rsidRDefault="009C1C5A">
      <w:pPr>
        <w:pStyle w:val="Normaltindrag"/>
      </w:pPr>
      <w:r w:rsidRPr="00896D4F">
        <w:t>Ett alfabetiskt sakregister till JO:s ämbetsberättelser 1994/95–1998/99 finns fogat som bilaga 4 (s. 564) till ä</w:t>
      </w:r>
      <w:r w:rsidRPr="00896D4F">
        <w:t>m</w:t>
      </w:r>
      <w:r w:rsidRPr="00896D4F">
        <w:t>betsberättelsen 1998/99.</w:t>
      </w:r>
    </w:p>
    <w:p w:rsidR="009C1C5A" w:rsidRPr="00896D4F" w:rsidRDefault="009C1C5A">
      <w:pPr>
        <w:pStyle w:val="Hemstlbyline"/>
        <w:keepNext w:val="0"/>
        <w:keepLines w:val="0"/>
      </w:pPr>
      <w:r w:rsidRPr="00896D4F">
        <w:t>______________________</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Adoption</w:t>
      </w:r>
    </w:p>
    <w:p w:rsidR="009C1C5A" w:rsidRPr="00896D4F" w:rsidRDefault="009C1C5A">
      <w:pPr>
        <w:pStyle w:val="PunktlistaTankstreck"/>
      </w:pPr>
      <w:r w:rsidRPr="00896D4F">
        <w:t>fråga om handläggares förslag till beslut i ett s.k. adoptionsärende bör redov</w:t>
      </w:r>
      <w:r w:rsidRPr="00896D4F">
        <w:t>i</w:t>
      </w:r>
      <w:r w:rsidRPr="00896D4F">
        <w:t xml:space="preserve">sas i socialnämndens adoptionsutredning 01/02: </w:t>
      </w:r>
    </w:p>
    <w:p w:rsidR="009C1C5A" w:rsidRPr="00896D4F" w:rsidRDefault="009C1C5A">
      <w:pPr>
        <w:pStyle w:val="PunktlistaTankstreck"/>
      </w:pPr>
      <w:r w:rsidRPr="00896D4F">
        <w:t>fråga om handläggares förslag till beslut i ett s.k. adoptionsärende bör redov</w:t>
      </w:r>
      <w:r w:rsidRPr="00896D4F">
        <w:t>i</w:t>
      </w:r>
      <w:r w:rsidRPr="00896D4F">
        <w:t>sas i socialnämndens adoptionsutredning 01/02: 279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Allmänna handlingar</w:t>
      </w:r>
    </w:p>
    <w:p w:rsidR="009C1C5A" w:rsidRPr="00896D4F" w:rsidRDefault="009C1C5A">
      <w:pPr>
        <w:pStyle w:val="Rubrik4"/>
        <w:tabs>
          <w:tab w:val="clear" w:pos="1474"/>
          <w:tab w:val="clear" w:pos="1985"/>
          <w:tab w:val="clear" w:pos="2268"/>
          <w:tab w:val="clear" w:pos="2552"/>
          <w:tab w:val="clear" w:pos="2835"/>
        </w:tabs>
        <w:spacing w:before="120"/>
        <w:rPr>
          <w:b/>
        </w:rPr>
      </w:pPr>
      <w:r w:rsidRPr="00896D4F">
        <w:t>Fråga om handling är allmän eller ej</w:t>
      </w:r>
    </w:p>
    <w:p w:rsidR="009C1C5A" w:rsidRPr="00896D4F" w:rsidRDefault="009C1C5A">
      <w:pPr>
        <w:pStyle w:val="PunktlistaTankstreck"/>
      </w:pPr>
      <w:r w:rsidRPr="00896D4F">
        <w:t>fråga om lämpligheten av att vid tillsättning av kommunal chefstjänst ge</w:t>
      </w:r>
      <w:r w:rsidRPr="00896D4F">
        <w:softHyphen/>
        <w:t xml:space="preserve">nom konsultmedverkan utfärda löfte om konfidentiell handläggning 99/00:403 </w:t>
      </w:r>
    </w:p>
    <w:p w:rsidR="009C1C5A" w:rsidRPr="00896D4F" w:rsidRDefault="009C1C5A">
      <w:pPr>
        <w:pStyle w:val="PunktlistaTankstreck"/>
      </w:pPr>
      <w:r w:rsidRPr="00896D4F">
        <w:t>kritik mot Statens institut för regionalforskning för handläggningen av en framställan om att få ta del av en handling; bl.a. fråga om när en handling skall anses allmän 99/00:413</w:t>
      </w:r>
    </w:p>
    <w:p w:rsidR="009C1C5A" w:rsidRPr="00896D4F" w:rsidRDefault="009C1C5A">
      <w:pPr>
        <w:pStyle w:val="PunktlistaTankstreck"/>
      </w:pPr>
      <w:r w:rsidRPr="00896D4F">
        <w:t>fråga om uppgifter i upptagningar för ADB varit tillgängliga på sådant sätt att de utgjort allmän handling 00/01:557</w:t>
      </w:r>
    </w:p>
    <w:p w:rsidR="009C1C5A" w:rsidRPr="00896D4F" w:rsidRDefault="009C1C5A">
      <w:pPr>
        <w:pStyle w:val="PunktlistaTankstreck"/>
      </w:pPr>
      <w:r w:rsidRPr="00896D4F">
        <w:t>fråga om en handling från barnomsorgspersonal som lagts i de politiska partiernas postfack på en stadsdelsförvaltning utgjort allmän handling 02/03:470</w:t>
      </w:r>
    </w:p>
    <w:p w:rsidR="009C1C5A" w:rsidRPr="00896D4F" w:rsidRDefault="009C1C5A">
      <w:pPr>
        <w:pStyle w:val="Rubrik4"/>
        <w:tabs>
          <w:tab w:val="clear" w:pos="1474"/>
          <w:tab w:val="clear" w:pos="1985"/>
          <w:tab w:val="clear" w:pos="2268"/>
          <w:tab w:val="clear" w:pos="2552"/>
          <w:tab w:val="clear" w:pos="2835"/>
        </w:tabs>
      </w:pPr>
      <w:r w:rsidRPr="00896D4F">
        <w:t>Fråga om utlämnande av allmän handling eller uppgifter därur</w:t>
      </w:r>
    </w:p>
    <w:p w:rsidR="009C1C5A" w:rsidRPr="00896D4F" w:rsidRDefault="009C1C5A">
      <w:pPr>
        <w:pStyle w:val="PunktlistaTankstreck"/>
        <w:rPr>
          <w:b/>
        </w:rPr>
      </w:pPr>
      <w:r w:rsidRPr="00896D4F">
        <w:t>fråga om utlämnande av handling kan ej prövas enligt 23 kap. 18 § första stycket rättegångsbalken när den som begärt att få ut handlingen avförts som misstänkt 99/00:392</w:t>
      </w:r>
    </w:p>
    <w:p w:rsidR="009C1C5A" w:rsidRPr="00896D4F" w:rsidRDefault="009C1C5A">
      <w:pPr>
        <w:pStyle w:val="PunktlistaTankstreck"/>
      </w:pPr>
      <w:r w:rsidRPr="00896D4F">
        <w:t xml:space="preserve">långsam handläggning inom försvarsmakten av begäran om att få ta del av allmänna handlingar 99/00:396 </w:t>
      </w:r>
    </w:p>
    <w:p w:rsidR="009C1C5A" w:rsidRPr="00896D4F" w:rsidRDefault="009C1C5A">
      <w:pPr>
        <w:pStyle w:val="PunktlistaTankstreck"/>
      </w:pPr>
      <w:r w:rsidRPr="00896D4F">
        <w:t>kritik mot en skattemyndighet för långsam handläggning av en begäran om att få kopior av handlingar, bl.a. fråga om begäran grundats på tryck</w:t>
      </w:r>
      <w:r w:rsidRPr="00896D4F">
        <w:softHyphen/>
        <w:t>fri</w:t>
      </w:r>
      <w:r w:rsidRPr="00896D4F">
        <w:softHyphen/>
        <w:t>hetsförordningens eller förvaltningsl</w:t>
      </w:r>
      <w:r w:rsidRPr="00896D4F">
        <w:t>a</w:t>
      </w:r>
      <w:r w:rsidRPr="00896D4F">
        <w:t>gens bestämmelser 99/00:400</w:t>
      </w:r>
    </w:p>
    <w:p w:rsidR="009C1C5A" w:rsidRPr="00896D4F" w:rsidRDefault="009C1C5A">
      <w:pPr>
        <w:pStyle w:val="PunktlistaTankstreck"/>
      </w:pPr>
      <w:r w:rsidRPr="00896D4F">
        <w:t>skyndsamhetskrav beträffande uppgift som inte finns 99/00:381</w:t>
      </w:r>
    </w:p>
    <w:p w:rsidR="009C1C5A" w:rsidRPr="00896D4F" w:rsidRDefault="009C1C5A">
      <w:pPr>
        <w:pStyle w:val="PunktlistaTankstreck"/>
      </w:pPr>
      <w:r w:rsidRPr="00896D4F">
        <w:t>bristande kontroll 99/00:384</w:t>
      </w:r>
    </w:p>
    <w:p w:rsidR="009C1C5A" w:rsidRPr="00896D4F" w:rsidRDefault="009C1C5A">
      <w:pPr>
        <w:pStyle w:val="PunktlistaTankstreck"/>
      </w:pPr>
      <w:r w:rsidRPr="00896D4F">
        <w:t>allvarlig kritik mot Luleå tekniska universitet för handläggningen av en begäran om att få ta del av en allmän handling och för det sätt på vilket universitet handlagt JO:s r</w:t>
      </w:r>
      <w:r w:rsidRPr="00896D4F">
        <w:t>e</w:t>
      </w:r>
      <w:r w:rsidRPr="00896D4F">
        <w:t>miss 99/00:356</w:t>
      </w:r>
    </w:p>
    <w:p w:rsidR="009C1C5A" w:rsidRPr="00896D4F" w:rsidRDefault="009C1C5A">
      <w:pPr>
        <w:pStyle w:val="PunktlistaTankstreck"/>
      </w:pPr>
      <w:r w:rsidRPr="00896D4F">
        <w:t>fråga om utlämnande av allmänna handlingar hos byggnadsnämnd 99/00:362</w:t>
      </w:r>
    </w:p>
    <w:p w:rsidR="009C1C5A" w:rsidRPr="00896D4F" w:rsidRDefault="009C1C5A">
      <w:pPr>
        <w:pStyle w:val="PunktlistaTankstreck"/>
      </w:pPr>
      <w:r w:rsidRPr="00896D4F">
        <w:t>kommunalt bolags skyldighet att expediera allmänna handlingar 99/00:405</w:t>
      </w:r>
    </w:p>
    <w:p w:rsidR="009C1C5A" w:rsidRPr="00896D4F" w:rsidRDefault="009C1C5A">
      <w:pPr>
        <w:pStyle w:val="PunktlistaTankstreck"/>
      </w:pPr>
      <w:r w:rsidRPr="00896D4F">
        <w:t>kritik mot kommunalt fastighetsbolag för handläggningen av en begäran att få ta del av allmä</w:t>
      </w:r>
      <w:r w:rsidRPr="00896D4F">
        <w:t>n</w:t>
      </w:r>
      <w:r w:rsidRPr="00896D4F">
        <w:t>na handlingar 99/00:409</w:t>
      </w:r>
    </w:p>
    <w:p w:rsidR="009C1C5A" w:rsidRPr="00896D4F" w:rsidRDefault="009C1C5A">
      <w:pPr>
        <w:pStyle w:val="PunktlistaTankstreck"/>
      </w:pPr>
      <w:r w:rsidRPr="00896D4F">
        <w:t xml:space="preserve">Försvarsmaktens handläggning av en otillräckligt preciserad begäran om kopior på allmänna handlingar 00/01:572 </w:t>
      </w:r>
    </w:p>
    <w:p w:rsidR="009C1C5A" w:rsidRPr="00896D4F" w:rsidRDefault="009C1C5A">
      <w:pPr>
        <w:pStyle w:val="PunktlistaTankstreck"/>
      </w:pPr>
      <w:r w:rsidRPr="00896D4F">
        <w:t>skattemyndighets handläggning av en begäran om utlämnande av allmän handling och uppgifter ur sådan handling; bl.a. fråga om uppgifter kunnat göras tillgängliga genom en s.k. potentiell han</w:t>
      </w:r>
      <w:r w:rsidRPr="00896D4F">
        <w:t>d</w:t>
      </w:r>
      <w:r w:rsidRPr="00896D4F">
        <w:t>ling 00/01:567</w:t>
      </w:r>
    </w:p>
    <w:p w:rsidR="009C1C5A" w:rsidRPr="00896D4F" w:rsidRDefault="009C1C5A">
      <w:pPr>
        <w:pStyle w:val="PunktlistaTankstreck"/>
      </w:pPr>
      <w:r w:rsidRPr="00896D4F">
        <w:t>handläggningen av en begäran om utlämnande av allmän handling. Kritik mot Husie stadsdelsfullmäktige för att sökanden avkrävts identitets</w:t>
      </w:r>
      <w:r w:rsidRPr="00896D4F">
        <w:softHyphen/>
        <w:t xml:space="preserve">uppgift. </w:t>
      </w:r>
    </w:p>
    <w:p w:rsidR="009C1C5A" w:rsidRPr="00896D4F" w:rsidRDefault="009C1C5A">
      <w:pPr>
        <w:pStyle w:val="PunktlistaTankstreck"/>
      </w:pPr>
      <w:r w:rsidRPr="00896D4F">
        <w:t>Fråga om efterforskningsförbudet i 2 kap. 14 § tredje stycket tryckfri</w:t>
      </w:r>
      <w:r w:rsidRPr="00896D4F">
        <w:softHyphen/>
        <w:t>hetsförordningen (TF) överträtts 00/01:578</w:t>
      </w:r>
    </w:p>
    <w:p w:rsidR="009C1C5A" w:rsidRPr="00896D4F" w:rsidRDefault="009C1C5A">
      <w:pPr>
        <w:pStyle w:val="PunktlistaTankstreck"/>
        <w:rPr>
          <w:caps/>
        </w:rPr>
      </w:pPr>
      <w:r w:rsidRPr="00896D4F">
        <w:t xml:space="preserve">uttalande rörande av sjukhus utfärdade </w:t>
      </w:r>
      <w:r w:rsidRPr="00896D4F">
        <w:rPr>
          <w:i/>
        </w:rPr>
        <w:t>Riktlinjer för utlämnande av löne</w:t>
      </w:r>
      <w:r w:rsidRPr="00896D4F">
        <w:rPr>
          <w:i/>
        </w:rPr>
        <w:softHyphen/>
        <w:t>uppgift</w:t>
      </w:r>
      <w:r w:rsidRPr="00896D4F">
        <w:t>. Fråga om rik</w:t>
      </w:r>
      <w:r w:rsidRPr="00896D4F">
        <w:t>t</w:t>
      </w:r>
      <w:r w:rsidRPr="00896D4F">
        <w:t>linjerna stått i strid med det s.k. efterforsknings</w:t>
      </w:r>
      <w:r w:rsidRPr="00896D4F">
        <w:softHyphen/>
        <w:t>förbudet i 2 kap. 14 § tryckfrihetsförordningen (TF) 00/01:527</w:t>
      </w:r>
    </w:p>
    <w:p w:rsidR="009C1C5A" w:rsidRPr="00896D4F" w:rsidRDefault="009C1C5A">
      <w:pPr>
        <w:pStyle w:val="PunktlistaTankstreck"/>
      </w:pPr>
      <w:r w:rsidRPr="00896D4F">
        <w:t>ett på JO:s initiativ upptaget ärende mot Kriminalvårdsmyndigheten Ör</w:t>
      </w:r>
      <w:r w:rsidRPr="00896D4F">
        <w:t>e</w:t>
      </w:r>
      <w:r w:rsidRPr="00896D4F">
        <w:t>bro, anstalten Hinseberg och Kriminalvårdsmyndigheten Kumla (sjuk</w:t>
      </w:r>
      <w:r w:rsidRPr="00896D4F">
        <w:softHyphen/>
        <w:t>vårdsavdelningarna) angående hanteringen av vissa sekretess</w:t>
      </w:r>
      <w:r w:rsidRPr="00896D4F">
        <w:softHyphen/>
        <w:t xml:space="preserve">belagda handlingar 00/01:518 </w:t>
      </w:r>
    </w:p>
    <w:p w:rsidR="009C1C5A" w:rsidRPr="00896D4F" w:rsidRDefault="009C1C5A">
      <w:pPr>
        <w:pStyle w:val="PunktlistaTankstreck"/>
      </w:pPr>
      <w:r w:rsidRPr="00896D4F">
        <w:t>fråga om den formella hanteringen av en begäran med stöd av tryckfri</w:t>
      </w:r>
      <w:r w:rsidRPr="00896D4F">
        <w:softHyphen/>
        <w:t>hets</w:t>
      </w:r>
      <w:r w:rsidRPr="00896D4F">
        <w:softHyphen/>
        <w:t>förordningen att få ta del av uppgifter som funnits i upptagningar för ADB 00/01:557</w:t>
      </w:r>
    </w:p>
    <w:p w:rsidR="009C1C5A" w:rsidRPr="00896D4F" w:rsidRDefault="009C1C5A">
      <w:pPr>
        <w:pStyle w:val="PunktlistaTankstreck"/>
      </w:pPr>
      <w:r w:rsidRPr="00896D4F">
        <w:t>handläggningen av en begäran om utfående av allmänna handlingar som inte förvarades hos myndigheten m.m. 00/01:552</w:t>
      </w:r>
    </w:p>
    <w:p w:rsidR="009C1C5A" w:rsidRPr="00896D4F" w:rsidRDefault="009C1C5A">
      <w:pPr>
        <w:pStyle w:val="PunktlistaTankstreck"/>
      </w:pPr>
      <w:r w:rsidRPr="00896D4F">
        <w:t>Pliktverkets handläggning av en begäran om att få ut vissa uppgifter 01/02:444</w:t>
      </w:r>
    </w:p>
    <w:p w:rsidR="009C1C5A" w:rsidRPr="00896D4F" w:rsidRDefault="009C1C5A">
      <w:pPr>
        <w:pStyle w:val="PunktlistaTankstreck"/>
      </w:pPr>
      <w:r w:rsidRPr="00896D4F">
        <w:t>handläggningen av en begäran att få ut ett mycket stort antal allmänna handlingar; även fråga om materialet bort sekretessprövas fortlöpande 01/02:478</w:t>
      </w:r>
    </w:p>
    <w:p w:rsidR="009C1C5A" w:rsidRPr="00896D4F" w:rsidRDefault="009C1C5A">
      <w:pPr>
        <w:pStyle w:val="PunktlistaTankstreck"/>
      </w:pPr>
      <w:r w:rsidRPr="00896D4F">
        <w:t>lantmäterimyndighets avgiftsdebitering vid utlämnande av kopior av al</w:t>
      </w:r>
      <w:r w:rsidRPr="00896D4F">
        <w:t>l</w:t>
      </w:r>
      <w:r w:rsidRPr="00896D4F">
        <w:t>mä</w:t>
      </w:r>
      <w:r w:rsidRPr="00896D4F">
        <w:t>n</w:t>
      </w:r>
      <w:r w:rsidRPr="00896D4F">
        <w:t>na handlingar 01/02:473</w:t>
      </w:r>
    </w:p>
    <w:p w:rsidR="009C1C5A" w:rsidRPr="00896D4F" w:rsidRDefault="009C1C5A">
      <w:pPr>
        <w:pStyle w:val="PunktlistaTankstreck"/>
      </w:pPr>
      <w:r w:rsidRPr="00896D4F">
        <w:t>påstående om sekretessbrott vid utlämnande av handlingar i ett tillsyn</w:t>
      </w:r>
      <w:r w:rsidRPr="00896D4F">
        <w:t>s</w:t>
      </w:r>
      <w:r w:rsidRPr="00896D4F">
        <w:t>ärende hos JO 02/03:465</w:t>
      </w:r>
    </w:p>
    <w:p w:rsidR="009C1C5A" w:rsidRPr="00896D4F" w:rsidRDefault="009C1C5A">
      <w:pPr>
        <w:pStyle w:val="PunktlistaTankstreck"/>
      </w:pPr>
      <w:r w:rsidRPr="00896D4F">
        <w:t>handläggningen av en begäran om att få en kopia av patientjournal som tidvis varit försvunnen och slutligen förkommit m.m. 02/03:458</w:t>
      </w:r>
    </w:p>
    <w:p w:rsidR="009C1C5A" w:rsidRPr="00896D4F" w:rsidRDefault="009C1C5A">
      <w:pPr>
        <w:pStyle w:val="PunktlistaTankstreck"/>
      </w:pPr>
      <w:r w:rsidRPr="00896D4F">
        <w:t>ett kommunalt bolags handläggning av en begäran om uppgifter och om kopior av handlingar. Även fråga om bolagets avgiftsdebitering vid utlä</w:t>
      </w:r>
      <w:r w:rsidRPr="00896D4F">
        <w:t>m</w:t>
      </w:r>
      <w:r w:rsidRPr="00896D4F">
        <w:t>nande av kopior av allmänna handlingar 02/03:501</w:t>
      </w:r>
    </w:p>
    <w:p w:rsidR="009C1C5A" w:rsidRPr="00896D4F" w:rsidRDefault="009C1C5A">
      <w:pPr>
        <w:pStyle w:val="PunktlistaTankstreck"/>
      </w:pPr>
      <w:r w:rsidRPr="00896D4F">
        <w:t>krav på personligt besök och kontant betalning får ej ställas då någon b</w:t>
      </w:r>
      <w:r w:rsidRPr="00896D4F">
        <w:t>e</w:t>
      </w:r>
      <w:r w:rsidRPr="00896D4F">
        <w:t>gär kopior av allmänna handlingar 02/03:509</w:t>
      </w:r>
    </w:p>
    <w:p w:rsidR="009C1C5A" w:rsidRPr="00896D4F" w:rsidRDefault="009C1C5A">
      <w:pPr>
        <w:pStyle w:val="PunktlistaTankstreck"/>
      </w:pPr>
      <w:r w:rsidRPr="00896D4F">
        <w:t>kritik mot en kommunstyrelse som vägrat lämna ut allmänna handlingar med hänvisning till en av domstol fastställd förlikning 02/03:507</w:t>
      </w:r>
    </w:p>
    <w:p w:rsidR="009C1C5A" w:rsidRPr="00896D4F" w:rsidRDefault="009C1C5A">
      <w:pPr>
        <w:pStyle w:val="Rubrik4"/>
        <w:tabs>
          <w:tab w:val="clear" w:pos="1474"/>
          <w:tab w:val="clear" w:pos="1985"/>
          <w:tab w:val="clear" w:pos="2268"/>
          <w:tab w:val="clear" w:pos="2552"/>
          <w:tab w:val="clear" w:pos="2835"/>
        </w:tabs>
      </w:pPr>
      <w:r w:rsidRPr="00896D4F">
        <w:t>Övriga frågor</w:t>
      </w:r>
    </w:p>
    <w:p w:rsidR="009C1C5A" w:rsidRPr="00896D4F" w:rsidRDefault="009C1C5A">
      <w:pPr>
        <w:pStyle w:val="PunktlistaTankstreck"/>
      </w:pPr>
      <w:r w:rsidRPr="00896D4F">
        <w:t>uttalanden rörande omfattningen av allmänhetens möjligheter att per tel</w:t>
      </w:r>
      <w:r w:rsidRPr="00896D4F">
        <w:t>e</w:t>
      </w:r>
      <w:r w:rsidRPr="00896D4F">
        <w:t>fon komma i direkt kontakt med en myndighets tjänstemän; särskilt fråga om skyldigheten att lämna ut tjänstemännens direktnummer 00/01:529</w:t>
      </w:r>
    </w:p>
    <w:p w:rsidR="009C1C5A" w:rsidRPr="00896D4F" w:rsidRDefault="009C1C5A">
      <w:pPr>
        <w:pStyle w:val="PunktlistaTankstreck"/>
        <w:rPr>
          <w:b/>
        </w:rPr>
      </w:pPr>
      <w:r w:rsidRPr="00896D4F">
        <w:t>uttalanden rörande socialnämnds handläggning av inkomna handlingar, särskilt fråga om diarieföring av anmälan enligt 71 a § socialtjänstlagen (</w:t>
      </w:r>
      <w:r w:rsidRPr="00896D4F">
        <w:rPr>
          <w:i/>
        </w:rPr>
        <w:t>lex Sara</w:t>
      </w:r>
      <w:r w:rsidRPr="00896D4F">
        <w:t>) 00/01:522</w:t>
      </w:r>
    </w:p>
    <w:p w:rsidR="009C1C5A" w:rsidRPr="00896D4F" w:rsidRDefault="009C1C5A">
      <w:pPr>
        <w:pStyle w:val="PunktlistaTankstreck"/>
      </w:pPr>
      <w:r w:rsidRPr="00896D4F">
        <w:t>kommunala nämnder har inte registrerat (diariefört) allmänna handlingar i ärenden om färdtjänst. Fråga om registreringsskyldighet föreligger 00/01:560</w:t>
      </w:r>
    </w:p>
    <w:p w:rsidR="009C1C5A" w:rsidRPr="00896D4F" w:rsidRDefault="009C1C5A">
      <w:pPr>
        <w:pStyle w:val="PunktlistaTankstreck"/>
      </w:pPr>
      <w:r w:rsidRPr="00896D4F">
        <w:t>en landstingsdirektörs åtgärd att gallra uppgifter i en förteckning över in- och utgående elektronisk post (e-postlogg) har inte ansetts strida mot gä</w:t>
      </w:r>
      <w:r w:rsidRPr="00896D4F">
        <w:t>l</w:t>
      </w:r>
      <w:r w:rsidRPr="00896D4F">
        <w:t>lande regler 01/02:460</w:t>
      </w:r>
    </w:p>
    <w:p w:rsidR="009C1C5A" w:rsidRPr="00896D4F" w:rsidRDefault="009C1C5A">
      <w:pPr>
        <w:pStyle w:val="PunktlistaTankstreck"/>
      </w:pPr>
      <w:r w:rsidRPr="00896D4F">
        <w:t>rutiner för hantering av elektronisk post (e-post); bl.a. fråga om myndi</w:t>
      </w:r>
      <w:r w:rsidRPr="00896D4F">
        <w:t>g</w:t>
      </w:r>
      <w:r w:rsidRPr="00896D4F">
        <w:t>hetens tillgång till befattningshavares e-post under tid som denne är frå</w:t>
      </w:r>
      <w:r w:rsidRPr="00896D4F">
        <w:t>n</w:t>
      </w:r>
      <w:r w:rsidRPr="00896D4F">
        <w:t>varande 02/03:497</w:t>
      </w:r>
    </w:p>
    <w:p w:rsidR="009C1C5A" w:rsidRPr="00896D4F" w:rsidRDefault="009C1C5A">
      <w:pPr>
        <w:pStyle w:val="PunktlistaTankstreck"/>
      </w:pPr>
      <w:r w:rsidRPr="00896D4F">
        <w:t>rutiner för hantering av postförsändelser till en kommun som adresserats till en anställd perso</w:t>
      </w:r>
      <w:r w:rsidRPr="00896D4F">
        <w:t>n</w:t>
      </w:r>
      <w:r w:rsidRPr="00896D4F">
        <w:t>ligen 02/03:495</w:t>
      </w:r>
    </w:p>
    <w:p w:rsidR="009C1C5A" w:rsidRPr="00896D4F" w:rsidRDefault="009C1C5A">
      <w:pPr>
        <w:pStyle w:val="PunktlistaTankstreck"/>
      </w:pPr>
      <w:r w:rsidRPr="00896D4F">
        <w:t>uttalanden om att kommunala bolag lämpligen bör lämna fullföljdshänvi</w:t>
      </w:r>
      <w:r w:rsidRPr="00896D4F">
        <w:t>s</w:t>
      </w:r>
      <w:r w:rsidRPr="00896D4F">
        <w:t>ning till beslut att avslå begäran om utlämnande av allmänna handlingar. Även fråga om rutiner för diarief</w:t>
      </w:r>
      <w:r w:rsidRPr="00896D4F">
        <w:t>ö</w:t>
      </w:r>
      <w:r w:rsidRPr="00896D4F">
        <w:t>ring m.m. 02/03:491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Anmälan</w:t>
      </w:r>
    </w:p>
    <w:p w:rsidR="009C1C5A" w:rsidRPr="00896D4F" w:rsidRDefault="009C1C5A">
      <w:pPr>
        <w:pStyle w:val="PunktlistaTankstreck"/>
      </w:pPr>
      <w:r w:rsidRPr="00896D4F">
        <w:t>kritik mot en länsstyrelse för att styrelsen vidtagit åtgärder med anledning av en anonym anmälan i ett körkortsärende 99/00:218</w:t>
      </w:r>
    </w:p>
    <w:p w:rsidR="009C1C5A" w:rsidRPr="00896D4F" w:rsidRDefault="009C1C5A">
      <w:pPr>
        <w:pStyle w:val="PunktlistaTankstreck"/>
      </w:pPr>
      <w:r w:rsidRPr="00896D4F">
        <w:t>fråga om skyldighet för Barnombudsmannen att göra anmälan till socia</w:t>
      </w:r>
      <w:r w:rsidRPr="00896D4F">
        <w:t>l</w:t>
      </w:r>
      <w:r w:rsidRPr="00896D4F">
        <w:t>nämnd på grund av anonyma skrivelser enligt vilka det kunde misstänkas att några flickor hade blivit könsstympade; även fråga om det på grund av sekretess förelåg hinder för Barnombudsmannen att göra en polisanmälan i anledning av de i skrivelserna lämn</w:t>
      </w:r>
      <w:r w:rsidRPr="00896D4F">
        <w:t>a</w:t>
      </w:r>
      <w:r w:rsidRPr="00896D4F">
        <w:t>de uppgifterna 02/03:170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Anmälningsskyldighet</w:t>
      </w:r>
    </w:p>
    <w:p w:rsidR="009C1C5A" w:rsidRPr="00896D4F" w:rsidRDefault="009C1C5A">
      <w:pPr>
        <w:pStyle w:val="Rubrik4"/>
        <w:tabs>
          <w:tab w:val="clear" w:pos="1474"/>
          <w:tab w:val="clear" w:pos="1985"/>
          <w:tab w:val="clear" w:pos="2268"/>
          <w:tab w:val="clear" w:pos="2552"/>
          <w:tab w:val="clear" w:pos="2835"/>
        </w:tabs>
        <w:spacing w:before="120"/>
      </w:pPr>
      <w:r w:rsidRPr="00896D4F">
        <w:t>Enligt 71 § socialtjänstlagen (1980:620)</w:t>
      </w:r>
    </w:p>
    <w:p w:rsidR="009C1C5A" w:rsidRPr="00896D4F" w:rsidRDefault="009C1C5A">
      <w:pPr>
        <w:pStyle w:val="PunktlistaTankstreck"/>
      </w:pPr>
      <w:r w:rsidRPr="00896D4F">
        <w:t>kritik mot barn- och grundskolenämnd för dröjsmål med fullgörande av anmälningsskyldigheten 01/02:376</w:t>
      </w:r>
    </w:p>
    <w:p w:rsidR="009C1C5A" w:rsidRPr="00896D4F" w:rsidRDefault="009C1C5A">
      <w:pPr>
        <w:pStyle w:val="PunktlistaTankstreck"/>
      </w:pPr>
      <w:r w:rsidRPr="00896D4F">
        <w:t>initiativärende; kritik mot en stadsdelsnämnd för underlåtenhet att fullgöra anmälningsskyldigh</w:t>
      </w:r>
      <w:r w:rsidRPr="00896D4F">
        <w:t>e</w:t>
      </w:r>
      <w:r w:rsidRPr="00896D4F">
        <w:t xml:space="preserve">ten 01/02:400 </w:t>
      </w:r>
    </w:p>
    <w:p w:rsidR="009C1C5A" w:rsidRPr="00896D4F" w:rsidRDefault="009C1C5A">
      <w:pPr>
        <w:pStyle w:val="Rubrik4"/>
        <w:tabs>
          <w:tab w:val="clear" w:pos="1474"/>
          <w:tab w:val="clear" w:pos="1985"/>
          <w:tab w:val="clear" w:pos="2268"/>
          <w:tab w:val="clear" w:pos="2552"/>
          <w:tab w:val="clear" w:pos="2835"/>
        </w:tabs>
      </w:pPr>
      <w:r w:rsidRPr="00896D4F">
        <w:t>Enligt 14 kap. 1 § socialtjänstlagen (2001:453)</w:t>
      </w:r>
    </w:p>
    <w:p w:rsidR="009C1C5A" w:rsidRPr="00896D4F" w:rsidRDefault="009C1C5A">
      <w:pPr>
        <w:pStyle w:val="PunktlistaTankstreck"/>
      </w:pPr>
      <w:r w:rsidRPr="00896D4F">
        <w:t>kritik mot barn- och ungdomspsykiatrisk verksamhet för under</w:t>
      </w:r>
      <w:r w:rsidRPr="00896D4F">
        <w:softHyphen/>
        <w:t>låtenhet att, vid misstanke om att ett barn utsatts för sexuella övergrepp, anmäla saken till socialnämnden. – Även fråga om skyldighet att underrätta vårdnadsh</w:t>
      </w:r>
      <w:r w:rsidRPr="00896D4F">
        <w:t>a</w:t>
      </w:r>
      <w:r w:rsidRPr="00896D4F">
        <w:t>vare 02/03:290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Arbetslöshetsförsäkring</w:t>
      </w:r>
    </w:p>
    <w:p w:rsidR="009C1C5A" w:rsidRPr="00896D4F" w:rsidRDefault="009C1C5A">
      <w:pPr>
        <w:pStyle w:val="PunktlistaTankstreck"/>
      </w:pPr>
      <w:r w:rsidRPr="00896D4F">
        <w:t>kritik mot en arbetslöshetskassa för utebliven verkställighet av en läns</w:t>
      </w:r>
      <w:r w:rsidRPr="00896D4F">
        <w:softHyphen/>
        <w:t>rättsdom 00/01:252</w:t>
      </w:r>
    </w:p>
    <w:p w:rsidR="009C1C5A" w:rsidRPr="00896D4F" w:rsidRDefault="009C1C5A">
      <w:pPr>
        <w:pStyle w:val="PunktlistaTankstreck"/>
      </w:pPr>
      <w:r w:rsidRPr="00896D4F">
        <w:t>överenskommelse har träffats om återbetalning av felaktigt utgiven a</w:t>
      </w:r>
      <w:r w:rsidRPr="00896D4F">
        <w:t>r</w:t>
      </w:r>
      <w:r w:rsidRPr="00896D4F">
        <w:t>bets</w:t>
      </w:r>
      <w:r w:rsidRPr="00896D4F">
        <w:softHyphen/>
        <w:t>löshetsersättning genom avräkning vid senare utbetalning av arbet</w:t>
      </w:r>
      <w:r w:rsidRPr="00896D4F">
        <w:t>s</w:t>
      </w:r>
      <w:r w:rsidRPr="00896D4F">
        <w:t>lös</w:t>
      </w:r>
      <w:r w:rsidRPr="00896D4F">
        <w:softHyphen/>
        <w:t>hetsersättning. – Fråga om kvittningsöverenskommelsen kunde betecknas som frivillig. Även fråga om arbetslöshetskassans ansvar att beakta den återbetalningsskyldiges sociala situation 00/01:247</w:t>
      </w:r>
    </w:p>
    <w:p w:rsidR="009C1C5A" w:rsidRPr="00896D4F" w:rsidRDefault="009C1C5A">
      <w:pPr>
        <w:pStyle w:val="PunktlistaTankstreck"/>
      </w:pPr>
      <w:r w:rsidRPr="00896D4F">
        <w:t>på JO:s initiativ upptagen fråga om huruvida vissa arbetslöshetskassor överlämnat uppgifter som innefattar myndighetsutövning till fackförbund 01/02:187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Arbetsmarknad</w:t>
      </w:r>
    </w:p>
    <w:p w:rsidR="009C1C5A" w:rsidRPr="00896D4F" w:rsidRDefault="009C1C5A">
      <w:pPr>
        <w:pStyle w:val="PunktlistaTankstreck"/>
      </w:pPr>
      <w:r w:rsidRPr="00896D4F">
        <w:t>kritik mot arbetsförmedlings tillämpning av urvalskriterier vid inskrivning av arbetssökande 99/00:206</w:t>
      </w:r>
    </w:p>
    <w:p w:rsidR="009C1C5A" w:rsidRPr="00896D4F" w:rsidRDefault="009C1C5A">
      <w:pPr>
        <w:pStyle w:val="PunktlistaTankstreck"/>
      </w:pPr>
      <w:r w:rsidRPr="00896D4F">
        <w:t>en arbetsförmedling bör regelbundet förvissa sig om att de grundläggande uppgifterna i arbet</w:t>
      </w:r>
      <w:r w:rsidRPr="00896D4F">
        <w:t>s</w:t>
      </w:r>
      <w:r w:rsidRPr="00896D4F">
        <w:t>förmedlingsregistret är korrekta 00/01:242</w:t>
      </w:r>
    </w:p>
    <w:p w:rsidR="009C1C5A" w:rsidRPr="00896D4F" w:rsidRDefault="009C1C5A">
      <w:pPr>
        <w:pStyle w:val="PunktlistaTankstreck"/>
      </w:pPr>
      <w:r w:rsidRPr="00896D4F">
        <w:t>fråga om myndighetsutövning och därmed kommuniceringsskyldighet förelegat hos Arbetsmarknadsstyrelsen i ett ärende rörande åtalsanmälan 00/01:237</w:t>
      </w:r>
    </w:p>
    <w:p w:rsidR="009C1C5A" w:rsidRPr="00896D4F" w:rsidRDefault="009C1C5A">
      <w:pPr>
        <w:pStyle w:val="PunktlistaTankstreck"/>
      </w:pPr>
      <w:r w:rsidRPr="00896D4F">
        <w:t>kan en arbetsförmedling kräva att en sökande skall skriva på svenska? Även fråga om formulerin</w:t>
      </w:r>
      <w:r w:rsidRPr="00896D4F">
        <w:t>g</w:t>
      </w:r>
      <w:r w:rsidRPr="00896D4F">
        <w:t>en av ett sådant krav 00/01:245</w:t>
      </w:r>
    </w:p>
    <w:p w:rsidR="009C1C5A" w:rsidRPr="00896D4F" w:rsidRDefault="009C1C5A">
      <w:pPr>
        <w:pStyle w:val="PunktlistaTankstreck"/>
      </w:pPr>
      <w:r w:rsidRPr="00896D4F">
        <w:t>lämpligheten av att en länsarbetsnämnd i förväg ger företag möjlighet att efterge sekretess i ärenden om varsel enligt lagen (1974:13) om vissa a</w:t>
      </w:r>
      <w:r w:rsidRPr="00896D4F">
        <w:t>n</w:t>
      </w:r>
      <w:r w:rsidRPr="00896D4F">
        <w:t>ställningsfrämjande å</w:t>
      </w:r>
      <w:r w:rsidRPr="00896D4F">
        <w:t>t</w:t>
      </w:r>
      <w:r w:rsidRPr="00896D4F">
        <w:t>gärder 00/01:564</w:t>
      </w:r>
    </w:p>
    <w:p w:rsidR="009C1C5A" w:rsidRPr="00896D4F" w:rsidRDefault="009C1C5A">
      <w:pPr>
        <w:pStyle w:val="PunktlistaTankstreck"/>
      </w:pPr>
      <w:r w:rsidRPr="00896D4F">
        <w:t>på JO:s initiativ upptagen fråga om bemyndiga</w:t>
      </w:r>
      <w:r w:rsidRPr="00896D4F">
        <w:t>n</w:t>
      </w:r>
      <w:r w:rsidRPr="00896D4F">
        <w:t>de förelegat för Arbets</w:t>
      </w:r>
      <w:r w:rsidRPr="00896D4F">
        <w:softHyphen/>
        <w:t>marknadsstyrelsen att utfärda vissa föreskrifter till förordningen (1987:405) om den arbetsmarknadspolitiska verksamheten 00/01:234</w:t>
      </w:r>
    </w:p>
    <w:p w:rsidR="009C1C5A" w:rsidRPr="00896D4F" w:rsidRDefault="009C1C5A">
      <w:pPr>
        <w:pStyle w:val="PunktlistaTankstreck"/>
      </w:pPr>
      <w:r w:rsidRPr="00896D4F">
        <w:t>fråga bl.a. om en handläggare vid en arbetsförmedling brutit mot tystnad</w:t>
      </w:r>
      <w:r w:rsidRPr="00896D4F">
        <w:t>s</w:t>
      </w:r>
      <w:r w:rsidRPr="00896D4F">
        <w:t>plikten 01/02:466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Asylärenden</w:t>
      </w:r>
    </w:p>
    <w:p w:rsidR="009C1C5A" w:rsidRPr="00896D4F" w:rsidRDefault="009C1C5A">
      <w:pPr>
        <w:pStyle w:val="PunktlistaTankstreck"/>
      </w:pPr>
      <w:r w:rsidRPr="00896D4F">
        <w:t>fråga om skyldighet för en svensk ambassad att ta emot asylansökningar och sända dem vidare till behörig beslutsfattare 00/01:256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Avgift</w:t>
      </w:r>
    </w:p>
    <w:p w:rsidR="009C1C5A" w:rsidRPr="00896D4F" w:rsidRDefault="009C1C5A">
      <w:pPr>
        <w:pStyle w:val="PunktlistaTankstreck"/>
      </w:pPr>
      <w:r w:rsidRPr="00896D4F">
        <w:t>barnomsorgsavgift; verkan av att den som är gift med men inte samman</w:t>
      </w:r>
      <w:r w:rsidRPr="00896D4F">
        <w:softHyphen/>
        <w:t>bor med ett barns förälder inte har lämnat uppgift om sin inkomst 99/00:286</w:t>
      </w:r>
    </w:p>
    <w:p w:rsidR="009C1C5A" w:rsidRPr="00896D4F" w:rsidRDefault="009C1C5A">
      <w:pPr>
        <w:pStyle w:val="PunktlistaTankstreck"/>
      </w:pPr>
      <w:r w:rsidRPr="00896D4F">
        <w:t>kommunalt bolags skyldighet att expediera allmänna handlingar 99/00:405</w:t>
      </w:r>
    </w:p>
    <w:p w:rsidR="009C1C5A" w:rsidRPr="00896D4F" w:rsidRDefault="009C1C5A">
      <w:pPr>
        <w:pStyle w:val="PunktlistaTankstreck"/>
      </w:pPr>
      <w:r w:rsidRPr="00896D4F">
        <w:t>kritik mot en byggnadsnämnd som betraktat ett privat företags be</w:t>
      </w:r>
      <w:r w:rsidRPr="00896D4F">
        <w:softHyphen/>
        <w:t>stridande av kostnaderna för ett extra nämndsammanträde såsom uttagande av avgift enligt 11 kap. 5 § första stycket plan- och bygglagen (1987:10) 99/00:366</w:t>
      </w:r>
    </w:p>
    <w:p w:rsidR="009C1C5A" w:rsidRPr="00896D4F" w:rsidRDefault="009C1C5A">
      <w:pPr>
        <w:pStyle w:val="PunktlistaTankstreck"/>
      </w:pPr>
      <w:r w:rsidRPr="00896D4F">
        <w:t>kritik mot kommunal vuxenutbildning (komvux) bl.a. för att utan rättsligt stöd ta ut avgifter av eleverna för stenciler 00/01:456</w:t>
      </w:r>
    </w:p>
    <w:p w:rsidR="009C1C5A" w:rsidRPr="00896D4F" w:rsidRDefault="009C1C5A">
      <w:pPr>
        <w:pStyle w:val="PunktlistaTankstreck"/>
      </w:pPr>
      <w:r w:rsidRPr="00896D4F">
        <w:t>lantmäterimyndighets avgiftsdebitering vid utlämnande av kopior av al</w:t>
      </w:r>
      <w:r w:rsidRPr="00896D4F">
        <w:t>l</w:t>
      </w:r>
      <w:r w:rsidRPr="00896D4F">
        <w:t>mä</w:t>
      </w:r>
      <w:r w:rsidRPr="00896D4F">
        <w:t>n</w:t>
      </w:r>
      <w:r w:rsidRPr="00896D4F">
        <w:t>na handlingar 01/02:473</w:t>
      </w:r>
    </w:p>
    <w:p w:rsidR="009C1C5A" w:rsidRPr="00896D4F" w:rsidRDefault="009C1C5A">
      <w:pPr>
        <w:pStyle w:val="PunktlistaTankstreck"/>
      </w:pPr>
      <w:r w:rsidRPr="00896D4F">
        <w:t>ett kommunalt bolags avgiftsdebitering vid utlämnande av kopior av al</w:t>
      </w:r>
      <w:r w:rsidRPr="00896D4F">
        <w:t>l</w:t>
      </w:r>
      <w:r w:rsidRPr="00896D4F">
        <w:t>männa handlingar 02/03:501</w:t>
      </w:r>
    </w:p>
    <w:p w:rsidR="009C1C5A" w:rsidRPr="00896D4F" w:rsidRDefault="009C1C5A">
      <w:pPr>
        <w:pStyle w:val="PunktlistaTankstreck"/>
      </w:pPr>
      <w:r w:rsidRPr="00896D4F">
        <w:t>krav på personligt besök och kontant betalning får ej ställas då någon b</w:t>
      </w:r>
      <w:r w:rsidRPr="00896D4F">
        <w:t>e</w:t>
      </w:r>
      <w:r w:rsidRPr="00896D4F">
        <w:t>gär kopior av allmänna handlingar 02/03:509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Avhysning</w:t>
      </w:r>
    </w:p>
    <w:p w:rsidR="009C1C5A" w:rsidRPr="00896D4F" w:rsidRDefault="009C1C5A">
      <w:pPr>
        <w:pStyle w:val="PunktlistaTankstreck"/>
      </w:pPr>
      <w:r w:rsidRPr="00896D4F">
        <w:t>kronofogdemyndighet har ej prövat begäran om anstånd 01/02:165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Avskiljning</w:t>
      </w:r>
    </w:p>
    <w:p w:rsidR="009C1C5A" w:rsidRPr="00896D4F" w:rsidRDefault="009C1C5A">
      <w:pPr>
        <w:pStyle w:val="PunktlistaTankstreck"/>
      </w:pPr>
      <w:r w:rsidRPr="00896D4F">
        <w:t>fråga om det utan stöd i lag förekommit avskiljning av intagna vid ett sä</w:t>
      </w:r>
      <w:r w:rsidRPr="00896D4F">
        <w:t>r</w:t>
      </w:r>
      <w:r w:rsidRPr="00896D4F">
        <w:t>skilt ungdomshem 02/03:222</w:t>
      </w:r>
    </w:p>
    <w:p w:rsidR="009C1C5A" w:rsidRPr="00896D4F" w:rsidRDefault="009C1C5A"/>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Avslutande av ärenden</w:t>
      </w:r>
    </w:p>
    <w:p w:rsidR="009C1C5A" w:rsidRPr="00896D4F" w:rsidRDefault="009C1C5A">
      <w:pPr>
        <w:pStyle w:val="PunktlistaTankstreck"/>
      </w:pPr>
      <w:r w:rsidRPr="00896D4F">
        <w:t>kritik mot en kommunal nämnd för att den avslutat ett skadeståndsärende hos kommunen utan att ge besked om kommunens inställning till sk</w:t>
      </w:r>
      <w:r w:rsidRPr="00896D4F">
        <w:t>a</w:t>
      </w:r>
      <w:r w:rsidRPr="00896D4F">
        <w:t>deståndsy</w:t>
      </w:r>
      <w:r w:rsidRPr="00896D4F">
        <w:t>r</w:t>
      </w:r>
      <w:r w:rsidRPr="00896D4F">
        <w:t>kandet 01/02:423</w:t>
      </w:r>
    </w:p>
    <w:p w:rsidR="009C1C5A" w:rsidRPr="00896D4F" w:rsidRDefault="009C1C5A">
      <w:pPr>
        <w:pStyle w:val="PunktlistaTankstreck"/>
      </w:pPr>
      <w:r w:rsidRPr="00896D4F">
        <w:t>handläggning av klag</w:t>
      </w:r>
      <w:r w:rsidRPr="00896D4F">
        <w:t>o</w:t>
      </w:r>
      <w:r w:rsidRPr="00896D4F">
        <w:t>målsärenden 02/03:357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Barnombudsmannen</w:t>
      </w:r>
    </w:p>
    <w:p w:rsidR="009C1C5A" w:rsidRPr="00896D4F" w:rsidRDefault="009C1C5A">
      <w:pPr>
        <w:pStyle w:val="PunktlistaTankstreck"/>
      </w:pPr>
      <w:r w:rsidRPr="00896D4F">
        <w:t>fråga om skyldighet för Barnombudsmannen att göra anmälan till socia</w:t>
      </w:r>
      <w:r w:rsidRPr="00896D4F">
        <w:t>l</w:t>
      </w:r>
      <w:r w:rsidRPr="00896D4F">
        <w:t>nämnd på grund av anonyma skrivelser enligt vilka det kunde misstänkas att några flickor hade blivit könsstympade; även fråga om det på grund av sekretess förelåg hinder för Barnombudsmannen att göra en polisanmälan i anledning av de i skrivelserna lämn</w:t>
      </w:r>
      <w:r w:rsidRPr="00896D4F">
        <w:t>a</w:t>
      </w:r>
      <w:r w:rsidRPr="00896D4F">
        <w:t>de uppgifterna 02/03:170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Bemyndigande</w:t>
      </w:r>
    </w:p>
    <w:p w:rsidR="009C1C5A" w:rsidRPr="00896D4F" w:rsidRDefault="009C1C5A">
      <w:pPr>
        <w:pStyle w:val="PunktlistaTankstreck"/>
      </w:pPr>
      <w:r w:rsidRPr="00896D4F">
        <w:t>på JO:s initiativ upptagen fråga om bemyndiga</w:t>
      </w:r>
      <w:r w:rsidRPr="00896D4F">
        <w:t>n</w:t>
      </w:r>
      <w:r w:rsidRPr="00896D4F">
        <w:t>de förelegat för Arbets</w:t>
      </w:r>
      <w:r w:rsidRPr="00896D4F">
        <w:softHyphen/>
        <w:t>marknadsstyrelsen att utfärda vissa föreskrifter till förordningen (1987:405) om den arbetsmarknadspolitiska verksamheten 00/01:234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Beslag</w:t>
      </w:r>
    </w:p>
    <w:p w:rsidR="009C1C5A" w:rsidRPr="00896D4F" w:rsidRDefault="009C1C5A">
      <w:pPr>
        <w:pStyle w:val="PunktlistaTankstreck"/>
      </w:pPr>
      <w:r w:rsidRPr="00896D4F">
        <w:t>fråga om utformningen av polismyndighets up</w:t>
      </w:r>
      <w:r w:rsidRPr="00896D4F">
        <w:t>p</w:t>
      </w:r>
      <w:r w:rsidRPr="00896D4F">
        <w:t>drag till Statens kriminal</w:t>
      </w:r>
      <w:r w:rsidRPr="00896D4F">
        <w:softHyphen/>
        <w:t>tekniska laboratorium avseende analys och förstöring av misstänkt nark</w:t>
      </w:r>
      <w:r w:rsidRPr="00896D4F">
        <w:t>o</w:t>
      </w:r>
      <w:r w:rsidRPr="00896D4F">
        <w:t>tika 99/00:141</w:t>
      </w:r>
    </w:p>
    <w:p w:rsidR="009C1C5A" w:rsidRPr="00896D4F" w:rsidRDefault="009C1C5A">
      <w:pPr>
        <w:pStyle w:val="PunktlistaTankstreck"/>
      </w:pPr>
      <w:r w:rsidRPr="00896D4F">
        <w:t>kritik mot en tingsrätt för att den låtit ett beslag bestå efter det att åtalet ogi</w:t>
      </w:r>
      <w:r w:rsidRPr="00896D4F">
        <w:t>l</w:t>
      </w:r>
      <w:r w:rsidRPr="00896D4F">
        <w:t>lats 01/02:40</w:t>
      </w:r>
    </w:p>
    <w:p w:rsidR="009C1C5A" w:rsidRPr="00896D4F" w:rsidRDefault="009C1C5A">
      <w:pPr>
        <w:pStyle w:val="PunktlistaTankstreck"/>
      </w:pPr>
      <w:r w:rsidRPr="00896D4F">
        <w:t>kritik mot en polismyndighet för att ett beslag hade skett inom ramen för en utredning enligt 23 kap. 22 § rättegångsbalken 01/02:95</w:t>
      </w:r>
    </w:p>
    <w:p w:rsidR="009C1C5A" w:rsidRPr="00896D4F" w:rsidRDefault="009C1C5A">
      <w:pPr>
        <w:pStyle w:val="PunktlistaTankstreck"/>
      </w:pPr>
      <w:r w:rsidRPr="00896D4F">
        <w:t>kritik mor en polismyndighet för handläggningen av ett ärende rörande utlämnande av en i beslag tagen moped sedan förundersökningen lagts ned; också fråga om grunden för nedläggningen av förundersökningen 02/03:102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Beslut</w:t>
      </w:r>
    </w:p>
    <w:p w:rsidR="009C1C5A" w:rsidRPr="00896D4F" w:rsidRDefault="009C1C5A">
      <w:pPr>
        <w:pStyle w:val="PunktlistaTankstreck"/>
        <w:rPr>
          <w:b/>
        </w:rPr>
      </w:pPr>
      <w:r w:rsidRPr="00896D4F">
        <w:t>fråga om förvaltningsdomstols skyldighet att fatta ett formellt beslut med anledning av en begäran att få utskrifter av vittnesförhör 99/00:201</w:t>
      </w:r>
    </w:p>
    <w:p w:rsidR="009C1C5A" w:rsidRPr="00896D4F" w:rsidRDefault="009C1C5A">
      <w:pPr>
        <w:pStyle w:val="PunktlistaTankstreck"/>
      </w:pPr>
      <w:r w:rsidRPr="00896D4F">
        <w:t>fråga om omprövning av ett länsstyrelsebeslut angående tillstånd till jakt på mink då beslutet enligt föreskrift i jaktförordningen inte fick över</w:t>
      </w:r>
      <w:r w:rsidRPr="00896D4F">
        <w:softHyphen/>
        <w:t>klagas, m.m. 99/00:339</w:t>
      </w:r>
    </w:p>
    <w:p w:rsidR="009C1C5A" w:rsidRPr="00896D4F" w:rsidRDefault="009C1C5A">
      <w:pPr>
        <w:pStyle w:val="PunktlistaTankstreck"/>
      </w:pPr>
      <w:r w:rsidRPr="00896D4F">
        <w:t>kritik mot arbetsförmedlings tillämpning av urvalskriterier vid inskrivning av arbetssökande 99/00:206</w:t>
      </w:r>
    </w:p>
    <w:p w:rsidR="009C1C5A" w:rsidRPr="00896D4F" w:rsidRDefault="009C1C5A">
      <w:pPr>
        <w:pStyle w:val="PunktlistaTankstreck"/>
      </w:pPr>
      <w:r w:rsidRPr="00896D4F">
        <w:t>byggnadsnämnd har vidhållit ett krav på avgift enligt plan- och bygg</w:t>
      </w:r>
      <w:r w:rsidRPr="00896D4F">
        <w:softHyphen/>
        <w:t>lagen, på annan grund än vad länsstyrelsen vid överprövning underkänt och för ett tillstånd som inte utgjort förhandsbesked eller någon annan i lagen för</w:t>
      </w:r>
      <w:r w:rsidRPr="00896D4F">
        <w:t>e</w:t>
      </w:r>
      <w:r w:rsidRPr="00896D4F">
        <w:t>skriven form av beslut. Serviceskyldighet med avseende på ansökningar om sådant tillstånd 00/01:484</w:t>
      </w:r>
    </w:p>
    <w:p w:rsidR="009C1C5A" w:rsidRPr="00896D4F" w:rsidRDefault="009C1C5A">
      <w:pPr>
        <w:pStyle w:val="PunktlistaTankstreck"/>
      </w:pPr>
      <w:r w:rsidRPr="00896D4F">
        <w:t>fråga huruvida ett vid kontrollbesiktning av fordon meddelat beslut be</w:t>
      </w:r>
      <w:r w:rsidRPr="00896D4F">
        <w:softHyphen/>
        <w:t>höver innehålla upplysning om ett alternativ till vad som genom beslutet förelagts fordonsägaren – med hänsyn till u</w:t>
      </w:r>
      <w:r w:rsidRPr="00896D4F">
        <w:t>t</w:t>
      </w:r>
      <w:r w:rsidRPr="00896D4F">
        <w:t>formningen av regerings</w:t>
      </w:r>
      <w:r w:rsidRPr="00896D4F">
        <w:softHyphen/>
        <w:t>författningen på omr</w:t>
      </w:r>
      <w:r w:rsidRPr="00896D4F">
        <w:t>å</w:t>
      </w:r>
      <w:r w:rsidRPr="00896D4F">
        <w:t>det och till föreskrifter i övrigt 00/01:476</w:t>
      </w:r>
    </w:p>
    <w:p w:rsidR="009C1C5A" w:rsidRPr="00896D4F" w:rsidRDefault="009C1C5A">
      <w:pPr>
        <w:pStyle w:val="PunktlistaTankstreck"/>
      </w:pPr>
      <w:r w:rsidRPr="00896D4F">
        <w:t>fråga om en länsrätts beslut att inte pröva eventuella framtida yrkanden m.m. 00/01:232</w:t>
      </w:r>
    </w:p>
    <w:p w:rsidR="009C1C5A" w:rsidRPr="00896D4F" w:rsidRDefault="009C1C5A">
      <w:pPr>
        <w:pStyle w:val="PunktlistaTankstreck"/>
      </w:pPr>
      <w:r w:rsidRPr="00896D4F">
        <w:t>kritik mot Veterinära ansvarsnämnden för att i ett beslut ha kritiserat an</w:t>
      </w:r>
      <w:r w:rsidRPr="00896D4F">
        <w:softHyphen/>
        <w:t>mälarna 00/01:425</w:t>
      </w:r>
    </w:p>
    <w:p w:rsidR="009C1C5A" w:rsidRPr="00896D4F" w:rsidRDefault="009C1C5A">
      <w:pPr>
        <w:pStyle w:val="PunktlistaTankstreck"/>
      </w:pPr>
      <w:r w:rsidRPr="00896D4F">
        <w:t>olämpligheten av att en myndighet i beslutsliknande former tolkar (”förtydligar”) egna beslut 00/01:490</w:t>
      </w:r>
    </w:p>
    <w:p w:rsidR="009C1C5A" w:rsidRPr="00896D4F" w:rsidRDefault="009C1C5A">
      <w:pPr>
        <w:pStyle w:val="PunktlistaTankstreck"/>
      </w:pPr>
      <w:r w:rsidRPr="00896D4F">
        <w:t>en djurförsöksetisk nämnds handläggning vid beslutsfattande per capsulam 01/02:367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Beslutsunderrättelse</w:t>
      </w:r>
    </w:p>
    <w:p w:rsidR="009C1C5A" w:rsidRPr="00896D4F" w:rsidRDefault="009C1C5A">
      <w:pPr>
        <w:pStyle w:val="PunktlistaTankstreck"/>
      </w:pPr>
      <w:r w:rsidRPr="00896D4F">
        <w:t xml:space="preserve">kritik mot en överförmyndarnämnd för underlåtenhet att underrätta den underårige om beslut om arvode till förmyndare 99/00:368 </w:t>
      </w:r>
    </w:p>
    <w:p w:rsidR="009C1C5A" w:rsidRPr="00896D4F" w:rsidRDefault="009C1C5A">
      <w:pPr>
        <w:pStyle w:val="PunktlistaTankstreck"/>
      </w:pPr>
      <w:r w:rsidRPr="00896D4F">
        <w:t>fråga om delgivning av beslut då en kommunal nämnd har godtagit en advokat som ombud i ett ärende enligt miljöskyddslagen men inte krävt att han företedde fullmakt, m.m. 99/00:336</w:t>
      </w:r>
    </w:p>
    <w:p w:rsidR="009C1C5A" w:rsidRPr="00896D4F" w:rsidRDefault="009C1C5A">
      <w:pPr>
        <w:pStyle w:val="PunktlistaTankstreck"/>
      </w:pPr>
      <w:r w:rsidRPr="00896D4F">
        <w:t>fråga om länsrätt bort sakpröva ett överklagande av ett beslutsmeddelande 99/00:184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Betalningsanmärkning</w:t>
      </w:r>
    </w:p>
    <w:p w:rsidR="009C1C5A" w:rsidRPr="00896D4F" w:rsidRDefault="009C1C5A">
      <w:pPr>
        <w:pStyle w:val="PunktlistaTankstreck"/>
      </w:pPr>
      <w:r w:rsidRPr="00896D4F">
        <w:t>Post- och telestyrelsen sökte vid indrivning av en fordran verkställighet av en icke lagakraftvunnen, senare upphävd, dom utan att ånyo kräva beta</w:t>
      </w:r>
      <w:r w:rsidRPr="00896D4F">
        <w:t>l</w:t>
      </w:r>
      <w:r w:rsidRPr="00896D4F">
        <w:t>ning, vilket ledde till registrering för betalningsförsummelse (betalning</w:t>
      </w:r>
      <w:r w:rsidRPr="00896D4F">
        <w:t>s</w:t>
      </w:r>
      <w:r w:rsidRPr="00896D4F">
        <w:t>anmärkning). Förfarandet har prövats enligt såväl regler om utsökning och personlig integritet som en allmän proportionalitetsprincip 02/03:385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Betalningsföreläggande</w:t>
      </w:r>
    </w:p>
    <w:p w:rsidR="009C1C5A" w:rsidRPr="00896D4F" w:rsidRDefault="009C1C5A">
      <w:pPr>
        <w:pStyle w:val="PunktlistaTankstreck"/>
      </w:pPr>
      <w:r w:rsidRPr="00896D4F">
        <w:t>föreläggande delgivet med fel person 02/03:162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Bevakning</w:t>
      </w:r>
    </w:p>
    <w:p w:rsidR="009C1C5A" w:rsidRPr="00896D4F" w:rsidRDefault="009C1C5A">
      <w:pPr>
        <w:pStyle w:val="PunktlistaTankstreck"/>
      </w:pPr>
      <w:r w:rsidRPr="00896D4F">
        <w:t>frågor huruvida tågmästares och väktares agerande mot en resenär innebär myndighetsutövning 01/02:481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spacing w:line="250" w:lineRule="atLeast"/>
        <w:ind w:left="227" w:hanging="227"/>
        <w:jc w:val="both"/>
      </w:pPr>
      <w:r w:rsidRPr="00896D4F">
        <w:t>Bevisupptagning</w:t>
      </w:r>
    </w:p>
    <w:p w:rsidR="009C1C5A" w:rsidRPr="00896D4F" w:rsidRDefault="009C1C5A">
      <w:pPr>
        <w:pStyle w:val="PunktlistaTankstreck"/>
      </w:pPr>
      <w:r w:rsidRPr="00896D4F">
        <w:t>handläggningen av en förundersökning angående mord under vilken bl.a. bevisupptagning skett vid domstol med ett ”anonymt” vittne 02/03:67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Brevkontroll</w:t>
      </w:r>
    </w:p>
    <w:p w:rsidR="009C1C5A" w:rsidRPr="00896D4F" w:rsidRDefault="009C1C5A">
      <w:pPr>
        <w:pStyle w:val="PunktlistaTankstreck"/>
      </w:pPr>
      <w:r w:rsidRPr="00896D4F">
        <w:t>kritik mot rättspsykiatrisk enhet för genomförandet av ytliga kropps</w:t>
      </w:r>
      <w:r w:rsidRPr="00896D4F">
        <w:softHyphen/>
        <w:t>besiktningar och kontroll av brevförsändelser. Även kritik för under</w:t>
      </w:r>
      <w:r w:rsidRPr="00896D4F">
        <w:softHyphen/>
        <w:t>låtenhet att dokumentera dessa tvångsåtgärder i patientjournalen 00/01:346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Brottmål</w:t>
      </w:r>
    </w:p>
    <w:p w:rsidR="009C1C5A" w:rsidRPr="00896D4F" w:rsidRDefault="009C1C5A">
      <w:pPr>
        <w:pStyle w:val="PunktlistaTankstreck"/>
      </w:pPr>
      <w:r w:rsidRPr="00896D4F">
        <w:t>bristfällig redovisning av bevisvärderingen i dom där den tilltalade dömts mot sitt nekande 99/00:55</w:t>
      </w:r>
    </w:p>
    <w:p w:rsidR="009C1C5A" w:rsidRPr="00896D4F" w:rsidRDefault="009C1C5A">
      <w:pPr>
        <w:pStyle w:val="PunktlistaTankstreck"/>
      </w:pPr>
      <w:r w:rsidRPr="00896D4F">
        <w:t>kritik mot en tingsrätt för att den låtit ett beslag bestå efter det att åtalet ogi</w:t>
      </w:r>
      <w:r w:rsidRPr="00896D4F">
        <w:t>l</w:t>
      </w:r>
      <w:r w:rsidRPr="00896D4F">
        <w:t>lats 01/02:40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Brottsanmälan</w:t>
      </w:r>
    </w:p>
    <w:p w:rsidR="009C1C5A" w:rsidRPr="00896D4F" w:rsidRDefault="009C1C5A">
      <w:pPr>
        <w:pStyle w:val="PunktlistaTankstreck"/>
      </w:pPr>
      <w:r w:rsidRPr="00896D4F">
        <w:t>handläggningen hos Riksåklagaren av anmälningar som innehöll påståe</w:t>
      </w:r>
      <w:r w:rsidRPr="00896D4F">
        <w:t>n</w:t>
      </w:r>
      <w:r w:rsidRPr="00896D4F">
        <w:t>den att domare och åkl</w:t>
      </w:r>
      <w:r w:rsidRPr="00896D4F">
        <w:t>a</w:t>
      </w:r>
      <w:r w:rsidRPr="00896D4F">
        <w:t>gare gjort sig skyldiga till brott 01/02:120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Bygglov</w:t>
      </w:r>
    </w:p>
    <w:p w:rsidR="009C1C5A" w:rsidRPr="00896D4F" w:rsidRDefault="009C1C5A">
      <w:pPr>
        <w:pStyle w:val="PunktlistaTankstreck"/>
      </w:pPr>
      <w:r w:rsidRPr="00896D4F">
        <w:t>kritik mot byggnadsnämnd i fråga om kommun</w:t>
      </w:r>
      <w:r w:rsidRPr="00896D4F">
        <w:t>i</w:t>
      </w:r>
      <w:r w:rsidRPr="00896D4F">
        <w:t>cering 99/00:362</w:t>
      </w:r>
    </w:p>
    <w:p w:rsidR="009C1C5A" w:rsidRPr="00896D4F" w:rsidRDefault="009C1C5A">
      <w:pPr>
        <w:pStyle w:val="PunktlistaTankstreck"/>
      </w:pPr>
      <w:r w:rsidRPr="00896D4F">
        <w:t>kritik mot byggnadsnämnd som låtit ett privat företag bestrida kost</w:t>
      </w:r>
      <w:r w:rsidRPr="00896D4F">
        <w:softHyphen/>
        <w:t>naderna för ett extra nämn</w:t>
      </w:r>
      <w:r w:rsidRPr="00896D4F">
        <w:t>d</w:t>
      </w:r>
      <w:r w:rsidRPr="00896D4F">
        <w:t>sammanträde 99/00:366</w:t>
      </w:r>
    </w:p>
    <w:p w:rsidR="009C1C5A" w:rsidRPr="00896D4F" w:rsidRDefault="009C1C5A">
      <w:pPr>
        <w:pStyle w:val="PunktlistaTankstreck"/>
      </w:pPr>
      <w:r w:rsidRPr="00896D4F">
        <w:t>byggnadsnämnd har meddelat beslut på felaktiga grunder och avvikit från vad som gällt för dess prövning 00/01:481</w:t>
      </w:r>
    </w:p>
    <w:p w:rsidR="009C1C5A" w:rsidRPr="00896D4F" w:rsidRDefault="009C1C5A">
      <w:pPr>
        <w:pStyle w:val="PunktlistaTankstreck"/>
      </w:pPr>
      <w:r w:rsidRPr="00896D4F">
        <w:t>tiden för överklagande av förvaltningsbeslut 00/01:495</w:t>
      </w:r>
    </w:p>
    <w:p w:rsidR="009C1C5A" w:rsidRPr="00896D4F" w:rsidRDefault="009C1C5A">
      <w:pPr>
        <w:pStyle w:val="PunktlistaTankstreck"/>
      </w:pPr>
      <w:r w:rsidRPr="00896D4F">
        <w:t>utrymmet för villkor i beslut om lov enligt plan- och bygglagen (1987:10, PBL)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Byggnadsnämnd</w:t>
      </w:r>
    </w:p>
    <w:p w:rsidR="009C1C5A" w:rsidRPr="00896D4F" w:rsidRDefault="009C1C5A">
      <w:pPr>
        <w:pStyle w:val="PunktlistaTankstreck"/>
      </w:pPr>
      <w:r w:rsidRPr="00896D4F">
        <w:t>kritik mot byggnadsnämnd i fråga om kommun</w:t>
      </w:r>
      <w:r w:rsidRPr="00896D4F">
        <w:t>i</w:t>
      </w:r>
      <w:r w:rsidRPr="00896D4F">
        <w:t>cering 99/00:362</w:t>
      </w:r>
    </w:p>
    <w:p w:rsidR="009C1C5A" w:rsidRPr="00896D4F" w:rsidRDefault="009C1C5A">
      <w:pPr>
        <w:pStyle w:val="PunktlistaTankstreck"/>
      </w:pPr>
      <w:r w:rsidRPr="00896D4F">
        <w:t>kritik mot byggnadsnämnd som låtit ett privat företag bestrida kost</w:t>
      </w:r>
      <w:r w:rsidRPr="00896D4F">
        <w:softHyphen/>
        <w:t>naderna för ett extra nämn</w:t>
      </w:r>
      <w:r w:rsidRPr="00896D4F">
        <w:t>d</w:t>
      </w:r>
      <w:r w:rsidRPr="00896D4F">
        <w:t>sammanträde 99/00:366</w:t>
      </w:r>
    </w:p>
    <w:p w:rsidR="009C1C5A" w:rsidRPr="00896D4F" w:rsidRDefault="009C1C5A">
      <w:pPr>
        <w:pStyle w:val="PunktlistaTankstreck"/>
      </w:pPr>
      <w:r w:rsidRPr="00896D4F">
        <w:t>byggnadsnämnd har meddelat beslut på felaktiga grunder och avvikit från vad som gällt för dess prövning 00/01:481</w:t>
      </w:r>
    </w:p>
    <w:p w:rsidR="009C1C5A" w:rsidRPr="00896D4F" w:rsidRDefault="009C1C5A">
      <w:pPr>
        <w:pStyle w:val="PunktlistaTankstreck"/>
      </w:pPr>
      <w:r w:rsidRPr="00896D4F">
        <w:t>tiden för överklagande av förvaltningsbeslut 00/01:495</w:t>
      </w:r>
    </w:p>
    <w:p w:rsidR="009C1C5A" w:rsidRPr="00896D4F" w:rsidRDefault="009C1C5A">
      <w:pPr>
        <w:pStyle w:val="PunktlistaTankstreck"/>
      </w:pPr>
      <w:r w:rsidRPr="00896D4F">
        <w:t>vidhållande av ett krav på avgift enligt plan- och bygglagen, på annan grund än vad länsstyrelsen vid överprövning underkänt och för ett till</w:t>
      </w:r>
      <w:r w:rsidRPr="00896D4F">
        <w:softHyphen/>
        <w:t>stånd som inte utgjort förhandsbesked eller någon annan i lagen före</w:t>
      </w:r>
      <w:r w:rsidRPr="00896D4F">
        <w:softHyphen/>
        <w:t>skriven form av beslut. Serviceskyldighet med avseende på ansökningar om sådant tillstånd 00/01:484</w:t>
      </w:r>
    </w:p>
    <w:p w:rsidR="009C1C5A" w:rsidRPr="00896D4F" w:rsidRDefault="009C1C5A">
      <w:pPr>
        <w:pStyle w:val="PunktlistaTankstreck"/>
      </w:pPr>
      <w:r w:rsidRPr="00896D4F">
        <w:t>fråga om skyldighet för en byggnadsnämnd att följa upp ett lagakraftvu</w:t>
      </w:r>
      <w:r w:rsidRPr="00896D4F">
        <w:t>n</w:t>
      </w:r>
      <w:r w:rsidRPr="00896D4F">
        <w:t>net rivningsföreläggande 01/02:407</w:t>
      </w:r>
    </w:p>
    <w:p w:rsidR="009C1C5A" w:rsidRPr="00896D4F" w:rsidRDefault="009C1C5A">
      <w:pPr>
        <w:pStyle w:val="PunktlistaTankstreck"/>
      </w:pPr>
      <w:r w:rsidRPr="00896D4F">
        <w:t>frågor om dels förfarandet vid ändringar av en kommunal myndighets beslut genom självrättelse, dels utrymmet för villkor i beslut om lov enligt plan- och bygglagen (1987:10, PBL)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Delegation</w:t>
      </w:r>
    </w:p>
    <w:p w:rsidR="009C1C5A" w:rsidRPr="00896D4F" w:rsidRDefault="009C1C5A">
      <w:pPr>
        <w:pStyle w:val="PunktlistaTankstreck"/>
      </w:pPr>
      <w:r w:rsidRPr="00896D4F">
        <w:t>fråga om en socialnämnds möjlighet att till en tjänsteman delegera rätten att överklaga domar och beslut som meddelats av en länsrätt 02/03:284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Delgivning</w:t>
      </w:r>
    </w:p>
    <w:p w:rsidR="009C1C5A" w:rsidRPr="00896D4F" w:rsidRDefault="009C1C5A">
      <w:pPr>
        <w:pStyle w:val="PunktlistaTankstreck"/>
      </w:pPr>
      <w:r w:rsidRPr="00896D4F">
        <w:t>med fåmansbolag under semestertid 99/00:164</w:t>
      </w:r>
    </w:p>
    <w:p w:rsidR="009C1C5A" w:rsidRPr="00896D4F" w:rsidRDefault="009C1C5A">
      <w:pPr>
        <w:pStyle w:val="PunktlistaTankstreck"/>
      </w:pPr>
      <w:r w:rsidRPr="00896D4F">
        <w:t>fråga om delgivning av beslut då en kommunal nämnd har godtagit en advokat som ombud i ett ärende enligt miljöskyddslagen men inte krävt att han företedde fullmakt, m.m. 99/00:336</w:t>
      </w:r>
    </w:p>
    <w:p w:rsidR="009C1C5A" w:rsidRPr="00896D4F" w:rsidRDefault="009C1C5A">
      <w:pPr>
        <w:pStyle w:val="PunktlistaTankstreck"/>
      </w:pPr>
      <w:r w:rsidRPr="00896D4F">
        <w:t>offentliggörande av namnuppgifter i kungörelsedelgivning rörande mål om bistånd enligt 6 g § socialtjänstlagen (1980:620) 99/00:191</w:t>
      </w:r>
    </w:p>
    <w:p w:rsidR="009C1C5A" w:rsidRPr="00896D4F" w:rsidRDefault="009C1C5A">
      <w:pPr>
        <w:pStyle w:val="PunktlistaTankstreck"/>
      </w:pPr>
      <w:r w:rsidRPr="00896D4F">
        <w:t>fråga om förutsättningar förelåg att förordna god man i ett faderskapsmål 00/01:40</w:t>
      </w:r>
    </w:p>
    <w:p w:rsidR="009C1C5A" w:rsidRPr="00896D4F" w:rsidRDefault="009C1C5A">
      <w:pPr>
        <w:pStyle w:val="PunktlistaTankstreck"/>
      </w:pPr>
      <w:r w:rsidRPr="00896D4F">
        <w:t>fråga om beslut i biståndsärenden får delges med den enskilde genom att denne anmodas att hämta beslutet hos myndigheten 01/02:272</w:t>
      </w:r>
    </w:p>
    <w:p w:rsidR="009C1C5A" w:rsidRPr="00896D4F" w:rsidRDefault="009C1C5A">
      <w:pPr>
        <w:pStyle w:val="PunktlistaTankstreck"/>
      </w:pPr>
      <w:r w:rsidRPr="00896D4F">
        <w:t>kritik mot Statens jordbruksverk för att ha verkställt ett beslut om destru</w:t>
      </w:r>
      <w:r w:rsidRPr="00896D4F">
        <w:t>k</w:t>
      </w:r>
      <w:r w:rsidRPr="00896D4F">
        <w:t>tion av nötkreatur i</w:t>
      </w:r>
      <w:r w:rsidRPr="00896D4F">
        <w:t>n</w:t>
      </w:r>
      <w:r w:rsidRPr="00896D4F">
        <w:t>nan det delgetts djurägaren 02/03:344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Demonstration</w:t>
      </w:r>
    </w:p>
    <w:p w:rsidR="009C1C5A" w:rsidRPr="00896D4F" w:rsidRDefault="009C1C5A">
      <w:pPr>
        <w:pStyle w:val="PunktlistaTankstreck"/>
      </w:pPr>
      <w:r w:rsidRPr="00896D4F">
        <w:t>kritik mot en polismyndighet för vissa ingripanden i samband med en allmän sammankomst 00/01:75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Detaljplan</w:t>
      </w:r>
    </w:p>
    <w:p w:rsidR="009C1C5A" w:rsidRPr="00896D4F" w:rsidRDefault="009C1C5A">
      <w:pPr>
        <w:pStyle w:val="PunktlistaTankstreck"/>
      </w:pPr>
      <w:r w:rsidRPr="00896D4F">
        <w:t>en kommunal myndighets rätt att till enskilda överlämna förvaltningsup</w:t>
      </w:r>
      <w:r w:rsidRPr="00896D4F">
        <w:t>p</w:t>
      </w:r>
      <w:r w:rsidRPr="00896D4F">
        <w:t>gifter: att på gator anordna farthinder och sätta upp vägmärken härom 02/03:440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Diarieföring</w:t>
      </w:r>
    </w:p>
    <w:p w:rsidR="009C1C5A" w:rsidRPr="00896D4F" w:rsidRDefault="009C1C5A">
      <w:pPr>
        <w:pStyle w:val="PunktlistaTankstreck"/>
      </w:pPr>
      <w:r w:rsidRPr="00896D4F">
        <w:t>kommunala nämnder har inte registrerat (diariefört) allmänna handlingar i ärenden om färdtjänst. Fråga om registreringsskyldighet föreligger 00/01:560</w:t>
      </w:r>
    </w:p>
    <w:p w:rsidR="009C1C5A" w:rsidRPr="00896D4F" w:rsidRDefault="009C1C5A">
      <w:pPr>
        <w:pStyle w:val="PunktlistaTankstreck"/>
      </w:pPr>
      <w:r w:rsidRPr="00896D4F">
        <w:t>fråga om verkan av en överenskommelse mellan en polismyndighet och en åklagarmyndighet innebärande att underrättelser om att åklagare beslutat att inte inleda förundersökning skall expedieras genom polismyndighetens försorg m.m. 01/02:132</w:t>
      </w:r>
    </w:p>
    <w:p w:rsidR="009C1C5A" w:rsidRPr="00896D4F" w:rsidRDefault="009C1C5A">
      <w:pPr>
        <w:pStyle w:val="PunktlistaTankstreck"/>
      </w:pPr>
      <w:r w:rsidRPr="00896D4F">
        <w:t>kritik mot en polismyndighet för dröjsmål med diarieföring och besvara</w:t>
      </w:r>
      <w:r w:rsidRPr="00896D4F">
        <w:t>n</w:t>
      </w:r>
      <w:r w:rsidRPr="00896D4F">
        <w:t>de av ett till myndigh</w:t>
      </w:r>
      <w:r w:rsidRPr="00896D4F">
        <w:t>e</w:t>
      </w:r>
      <w:r w:rsidRPr="00896D4F">
        <w:t>ten inkommet e-postmeddelande 02/03:147</w:t>
      </w:r>
    </w:p>
    <w:p w:rsidR="009C1C5A" w:rsidRPr="00896D4F" w:rsidRDefault="009C1C5A">
      <w:pPr>
        <w:pStyle w:val="PunktlistaTankstreck"/>
      </w:pPr>
      <w:r w:rsidRPr="00896D4F">
        <w:t xml:space="preserve">rutiner för diarieföring hos ett kommunalt bolag 02/03:491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Disciplinansvar</w:t>
      </w:r>
    </w:p>
    <w:p w:rsidR="009C1C5A" w:rsidRPr="00896D4F" w:rsidRDefault="009C1C5A">
      <w:pPr>
        <w:pStyle w:val="PunktlistaTankstreck"/>
      </w:pPr>
      <w:r w:rsidRPr="00896D4F">
        <w:t>disciplinansvar för en närpolischef som hade fattat ett beslut om husrann</w:t>
      </w:r>
      <w:r w:rsidRPr="00896D4F">
        <w:softHyphen/>
        <w:t>sakan utan att ha beh</w:t>
      </w:r>
      <w:r w:rsidRPr="00896D4F">
        <w:t>ö</w:t>
      </w:r>
      <w:r w:rsidRPr="00896D4F">
        <w:t>righet till det 99/00:57</w:t>
      </w:r>
    </w:p>
    <w:p w:rsidR="009C1C5A" w:rsidRPr="00896D4F" w:rsidRDefault="009C1C5A">
      <w:pPr>
        <w:pStyle w:val="PunktlistaTankstreck"/>
      </w:pPr>
      <w:r w:rsidRPr="00896D4F">
        <w:t>för en rådman som utan laga stöd beslutat om fortsatt tvångsvård i ett mål enligt lagen (1991:1128) om psykiatrisk tvångsvård 99/00:193</w:t>
      </w:r>
    </w:p>
    <w:p w:rsidR="009C1C5A" w:rsidRPr="00896D4F" w:rsidRDefault="009C1C5A">
      <w:pPr>
        <w:pStyle w:val="PunktlistaTankstreck"/>
      </w:pPr>
      <w:r w:rsidRPr="00896D4F">
        <w:t>disciplinansvar för en överläkare vars felaktiga journalanteckningar lett till beslut om återintagning av patient till sjukvårdsinrättning oaktat stöd hä</w:t>
      </w:r>
      <w:r w:rsidRPr="00896D4F">
        <w:t>r</w:t>
      </w:r>
      <w:r w:rsidRPr="00896D4F">
        <w:t>för saknats i bestämmelserna i lagen (1991:1128) om psykiatrisk tvång</w:t>
      </w:r>
      <w:r w:rsidRPr="00896D4F">
        <w:t>s</w:t>
      </w:r>
      <w:r w:rsidRPr="00896D4F">
        <w:t>vård 00/01:353</w:t>
      </w:r>
    </w:p>
    <w:p w:rsidR="009C1C5A" w:rsidRPr="00896D4F" w:rsidRDefault="009C1C5A">
      <w:pPr>
        <w:pStyle w:val="PunktlistaTankstreck"/>
      </w:pPr>
      <w:r w:rsidRPr="00896D4F">
        <w:t>disciplinansvar för en tjänsteman hos Statens Kriminaltekniska laborator</w:t>
      </w:r>
      <w:r w:rsidRPr="00896D4F">
        <w:t>i</w:t>
      </w:r>
      <w:r w:rsidRPr="00896D4F">
        <w:t>um med anledning av felvägning av narkotika 01/02:177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Dispens</w:t>
      </w:r>
    </w:p>
    <w:p w:rsidR="009C1C5A" w:rsidRPr="00896D4F" w:rsidRDefault="009C1C5A">
      <w:pPr>
        <w:pStyle w:val="PunktlistaTankstreck"/>
      </w:pPr>
      <w:r w:rsidRPr="00896D4F">
        <w:t>kan en länsstyrelse med stöd av 23 § jaktförordningen (1987:905) bevilja generella undantag från förbudet att medföra skjutvapen vid färd med motordrivet fordon i terräng 99/00:220</w:t>
      </w:r>
    </w:p>
    <w:p w:rsidR="009C1C5A" w:rsidRPr="00896D4F" w:rsidRDefault="009C1C5A">
      <w:pPr>
        <w:pStyle w:val="Rubrik3"/>
      </w:pPr>
      <w:r w:rsidRPr="00896D4F">
        <w:t>Djurskydd</w:t>
      </w:r>
    </w:p>
    <w:p w:rsidR="009C1C5A" w:rsidRPr="00896D4F" w:rsidRDefault="009C1C5A">
      <w:pPr>
        <w:pStyle w:val="PunktlistaTankstreck"/>
      </w:pPr>
      <w:r w:rsidRPr="00896D4F">
        <w:t>en kommuns samverkan med en annan kommun inom djurskyddsområdet har inte ansetts ha stöd i lag 02/03:355</w:t>
      </w:r>
    </w:p>
    <w:p w:rsidR="009C1C5A" w:rsidRPr="00896D4F" w:rsidRDefault="009C1C5A">
      <w:pPr>
        <w:pStyle w:val="PunktlistaTankstreck"/>
      </w:pPr>
      <w:r w:rsidRPr="00896D4F">
        <w:t>Statens jordbruksverks handläggning av ett ärende rörande destruktion av nötkreatur; bl.a. tillämpning av EG-förordningar 02/03:344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Dokumentation</w:t>
      </w:r>
    </w:p>
    <w:p w:rsidR="009C1C5A" w:rsidRPr="00896D4F" w:rsidRDefault="009C1C5A">
      <w:pPr>
        <w:pStyle w:val="PunktlistaTankstreck"/>
      </w:pPr>
      <w:r w:rsidRPr="00896D4F">
        <w:t>fråga om polisens handlande i samband med anvisning av färdväg för chartrad buss med hemvändande fotbollssupportrar samt dokumenta</w:t>
      </w:r>
      <w:r w:rsidRPr="00896D4F">
        <w:softHyphen/>
        <w:t>tionen av ingripandet 00/01:110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Dokumentationsskyldighet</w:t>
      </w:r>
    </w:p>
    <w:p w:rsidR="009C1C5A" w:rsidRPr="00896D4F" w:rsidRDefault="009C1C5A">
      <w:pPr>
        <w:pStyle w:val="PunktlistaTankstreck"/>
      </w:pPr>
      <w:r w:rsidRPr="00896D4F">
        <w:t>kritik mot rättspsykiatrisk enhet för genomförandet av ytliga kropps-besiktningar och kontroll av brevförsändelser. Även kritik för under</w:t>
      </w:r>
      <w:r w:rsidRPr="00896D4F">
        <w:softHyphen/>
        <w:t>låtenhet att dokumentera dessa tvångsåtgärder i patientjournalen 00/01:346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Domare</w:t>
      </w:r>
    </w:p>
    <w:p w:rsidR="009C1C5A" w:rsidRPr="00896D4F" w:rsidRDefault="009C1C5A">
      <w:pPr>
        <w:pStyle w:val="PunktlistaTankstreck"/>
      </w:pPr>
      <w:r w:rsidRPr="00896D4F">
        <w:t>disciplinansvar för en rådman vid länsrätt som utan laga stöd beslutat om fortsatt tvångsvård i ett mål enligt lagen (1991:1128) om psykiatrisk tvångsvård 99/00:193</w:t>
      </w:r>
    </w:p>
    <w:p w:rsidR="009C1C5A" w:rsidRPr="00896D4F" w:rsidRDefault="009C1C5A">
      <w:pPr>
        <w:pStyle w:val="PunktlistaTankstreck"/>
      </w:pPr>
      <w:r w:rsidRPr="00896D4F">
        <w:t>åtal mot en domare med anledning av hans handläggning av ett antal tvi</w:t>
      </w:r>
      <w:r w:rsidRPr="00896D4F">
        <w:t>s</w:t>
      </w:r>
      <w:r w:rsidRPr="00896D4F">
        <w:t>temål 00/01:34 + bilaga</w:t>
      </w:r>
    </w:p>
    <w:p w:rsidR="009C1C5A" w:rsidRPr="00896D4F" w:rsidRDefault="009C1C5A">
      <w:pPr>
        <w:pStyle w:val="PunktlistaTankstreck"/>
      </w:pPr>
      <w:r w:rsidRPr="00896D4F">
        <w:t>en rådman vägrade att hålla häktningsförhandling med hänvisning till att åklagaren inte hade tillhandahållit rätten något skriftligt utrednings</w:t>
      </w:r>
      <w:r w:rsidRPr="00896D4F">
        <w:softHyphen/>
        <w:t>material 00/01:55</w:t>
      </w:r>
    </w:p>
    <w:p w:rsidR="009C1C5A" w:rsidRPr="00896D4F" w:rsidRDefault="009C1C5A">
      <w:pPr>
        <w:pStyle w:val="PunktlistaTankstreck"/>
      </w:pPr>
      <w:r w:rsidRPr="00896D4F">
        <w:t>handläggningen hos Riksåklagaren av anmälningar som innehöll påståe</w:t>
      </w:r>
      <w:r w:rsidRPr="00896D4F">
        <w:t>n</w:t>
      </w:r>
      <w:r w:rsidRPr="00896D4F">
        <w:t>den att domare och åkl</w:t>
      </w:r>
      <w:r w:rsidRPr="00896D4F">
        <w:t>a</w:t>
      </w:r>
      <w:r w:rsidRPr="00896D4F">
        <w:t>gare gjort sig skyldiga till brott 01/02:120</w:t>
      </w:r>
    </w:p>
    <w:p w:rsidR="009C1C5A" w:rsidRPr="00896D4F" w:rsidRDefault="009C1C5A">
      <w:pPr>
        <w:pStyle w:val="PunktlistaTankstreck"/>
      </w:pPr>
      <w:r w:rsidRPr="00896D4F">
        <w:t>ett åtal mot en rådman för tjänstefel bestående i att han i tre fall inte haft kanslidomar färdigställda på utsatta tider har ogillats med hänvisning till att gärningarna fick anses vara ringa 02/03:34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Domslut</w:t>
      </w:r>
    </w:p>
    <w:p w:rsidR="009C1C5A" w:rsidRPr="00896D4F" w:rsidRDefault="009C1C5A">
      <w:pPr>
        <w:pStyle w:val="PunktlistaTankstreck"/>
      </w:pPr>
      <w:r w:rsidRPr="00896D4F">
        <w:t>en tingsrätts handläggning av ett mål om umgängesrätt m.m. där svaran</w:t>
      </w:r>
      <w:r w:rsidRPr="00896D4F">
        <w:softHyphen/>
        <w:t>den hade s.k. fingerade personuppgifter 00/01:36</w:t>
      </w:r>
    </w:p>
    <w:p w:rsidR="009C1C5A" w:rsidRPr="00896D4F" w:rsidRDefault="009C1C5A">
      <w:pPr>
        <w:pStyle w:val="PunktlistaTankstreck"/>
      </w:pPr>
      <w:r w:rsidRPr="00896D4F">
        <w:t>en tingsrätts hantering av s.k. skyddade personuppgifter vilka erhållits från en part i ett förenklat tvistemål (FT-mål) 00/01:44</w:t>
      </w:r>
    </w:p>
    <w:p w:rsidR="009C1C5A" w:rsidRPr="00896D4F" w:rsidRDefault="009C1C5A">
      <w:pPr>
        <w:pStyle w:val="PunktlistaTankstreck"/>
      </w:pPr>
      <w:r w:rsidRPr="00896D4F">
        <w:t>en tingsrätts hantering av s.k. skyddade personuppgifter vilka erhållits från en part i ett familjemål 00/01:50</w:t>
      </w:r>
    </w:p>
    <w:p w:rsidR="009C1C5A" w:rsidRPr="00896D4F" w:rsidRDefault="009C1C5A">
      <w:pPr>
        <w:pStyle w:val="PunktlistaTankstreck"/>
      </w:pPr>
      <w:r w:rsidRPr="00896D4F">
        <w:t>utformningen av domslutet i en tvistemålsdom efter återvinning av en tredskodom 01/02:31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Domstol</w:t>
      </w:r>
    </w:p>
    <w:p w:rsidR="009C1C5A" w:rsidRPr="00896D4F" w:rsidRDefault="009C1C5A">
      <w:pPr>
        <w:pStyle w:val="PunktlistaTankstreck"/>
      </w:pPr>
      <w:r w:rsidRPr="00896D4F">
        <w:t>frågan om ett häktningsbeslut borde ha hävts när åtalet kom att avse andra brott än de som låg till grund för häktningen 99/00:32</w:t>
      </w:r>
    </w:p>
    <w:p w:rsidR="009C1C5A" w:rsidRPr="00896D4F" w:rsidRDefault="009C1C5A">
      <w:pPr>
        <w:pStyle w:val="PunktlistaTankstreck"/>
      </w:pPr>
      <w:r w:rsidRPr="00896D4F">
        <w:t>långsam handläggning av en fråga om rätt</w:t>
      </w:r>
      <w:r w:rsidRPr="00896D4F">
        <w:t>e</w:t>
      </w:r>
      <w:r w:rsidRPr="00896D4F">
        <w:t>gångshinder 99/00:44</w:t>
      </w:r>
    </w:p>
    <w:p w:rsidR="009C1C5A" w:rsidRPr="00896D4F" w:rsidRDefault="009C1C5A">
      <w:pPr>
        <w:pStyle w:val="PunktlistaTankstreck"/>
      </w:pPr>
      <w:r w:rsidRPr="00896D4F">
        <w:t>Domstolsverket har till samtliga kammar- och länsrätter distribuerat en vid Riksskatteverket upprättad promemoria med begäran om förtur av vissa mål 99/00:48</w:t>
      </w:r>
    </w:p>
    <w:p w:rsidR="009C1C5A" w:rsidRPr="00896D4F" w:rsidRDefault="009C1C5A">
      <w:pPr>
        <w:pStyle w:val="PunktlistaTankstreck"/>
      </w:pPr>
      <w:r w:rsidRPr="00896D4F">
        <w:t>en tingsrätts handläggning av ett tvistemål efter det att parterna hade fö</w:t>
      </w:r>
      <w:r w:rsidRPr="00896D4F">
        <w:t>r</w:t>
      </w:r>
      <w:r w:rsidRPr="00896D4F">
        <w:t>likts 99/00:51</w:t>
      </w:r>
    </w:p>
    <w:p w:rsidR="009C1C5A" w:rsidRPr="00896D4F" w:rsidRDefault="009C1C5A">
      <w:pPr>
        <w:pStyle w:val="PunktlistaTankstreck"/>
      </w:pPr>
      <w:r w:rsidRPr="00896D4F">
        <w:t>bristfällig redovisning av bevisvärderingen i dom där den tilltalade dömts mot sitt nekande 99/00:55</w:t>
      </w:r>
    </w:p>
    <w:p w:rsidR="009C1C5A" w:rsidRPr="00896D4F" w:rsidRDefault="009C1C5A">
      <w:pPr>
        <w:pStyle w:val="PunktlistaTankstreck"/>
        <w:rPr>
          <w:b/>
        </w:rPr>
      </w:pPr>
      <w:r w:rsidRPr="00896D4F">
        <w:t>ett på JO:s initiativ upptaget ärende mot en länsrätt angående fråga om upprepade anstånd i ett mål rörande bistånd enligt socialtjänstlagen 99/00:199</w:t>
      </w:r>
    </w:p>
    <w:p w:rsidR="009C1C5A" w:rsidRPr="00896D4F" w:rsidRDefault="009C1C5A">
      <w:pPr>
        <w:pStyle w:val="PunktlistaTankstreck"/>
      </w:pPr>
      <w:r w:rsidRPr="00896D4F">
        <w:t>fråga angående offentliggörande av integritetskänsliga uppgifter i en dom, då muntlig förhandling hållits inom stängda dörrar 99/00:175</w:t>
      </w:r>
    </w:p>
    <w:p w:rsidR="009C1C5A" w:rsidRPr="00896D4F" w:rsidRDefault="009C1C5A">
      <w:pPr>
        <w:pStyle w:val="PunktlistaTankstreck"/>
      </w:pPr>
      <w:r w:rsidRPr="00896D4F">
        <w:t>fråga om handläggning i kammarrätt och Regeringsrätten av en begäran att få utskrifter av vittne</w:t>
      </w:r>
      <w:r w:rsidRPr="00896D4F">
        <w:t>s</w:t>
      </w:r>
      <w:r w:rsidRPr="00896D4F">
        <w:t>förhör 99/00:201</w:t>
      </w:r>
    </w:p>
    <w:p w:rsidR="009C1C5A" w:rsidRPr="00896D4F" w:rsidRDefault="009C1C5A">
      <w:pPr>
        <w:pStyle w:val="PunktlistaTankstreck"/>
      </w:pPr>
      <w:r w:rsidRPr="00896D4F">
        <w:t>fråga om länsrätt bort sakpröva ett överklagande av ett beslutsmeddelande 99/00:184</w:t>
      </w:r>
    </w:p>
    <w:p w:rsidR="009C1C5A" w:rsidRPr="00896D4F" w:rsidRDefault="009C1C5A">
      <w:pPr>
        <w:pStyle w:val="PunktlistaTankstreck"/>
      </w:pPr>
      <w:r w:rsidRPr="00896D4F">
        <w:t>fråga om en länsrätt bort ta upp en viss skrivelse som ett överklagande; även fråga om innehållet i en skrivelse från domstolen 99/00:188</w:t>
      </w:r>
    </w:p>
    <w:p w:rsidR="009C1C5A" w:rsidRPr="00896D4F" w:rsidRDefault="009C1C5A">
      <w:pPr>
        <w:pStyle w:val="PunktlistaTankstreck"/>
      </w:pPr>
      <w:r w:rsidRPr="00896D4F">
        <w:t>kritik mot en länsrätt för att muntlig förhandling hållits i ett mål enligt lagen (1991:1128) om psykiatrisk tvångsvård (LPT) i parts utevaro och utan att något offentligt biträde förordnats 99/00:180</w:t>
      </w:r>
    </w:p>
    <w:p w:rsidR="009C1C5A" w:rsidRPr="00896D4F" w:rsidRDefault="009C1C5A">
      <w:pPr>
        <w:pStyle w:val="PunktlistaTankstreck"/>
      </w:pPr>
      <w:r w:rsidRPr="00896D4F">
        <w:t>kritik mot kammarrätt för dröjsmål med han</w:t>
      </w:r>
      <w:r w:rsidRPr="00896D4F">
        <w:t>d</w:t>
      </w:r>
      <w:r w:rsidRPr="00896D4F">
        <w:t>läggningen av ett inhibi</w:t>
      </w:r>
      <w:r w:rsidRPr="00896D4F">
        <w:softHyphen/>
        <w:t>tionsyrkande 99/00:173</w:t>
      </w:r>
    </w:p>
    <w:p w:rsidR="009C1C5A" w:rsidRPr="00896D4F" w:rsidRDefault="009C1C5A">
      <w:pPr>
        <w:pStyle w:val="PunktlistaTankstreck"/>
      </w:pPr>
      <w:r w:rsidRPr="00896D4F">
        <w:t>på JO:s initiativ upptagen fråga om förutsättning förelegat att vidta själv</w:t>
      </w:r>
      <w:r w:rsidRPr="00896D4F">
        <w:softHyphen/>
        <w:t>rättelse med stöd av 32 § förvaltningsprocesslagen (1971:291) 99/00:204</w:t>
      </w:r>
    </w:p>
    <w:p w:rsidR="009C1C5A" w:rsidRPr="00896D4F" w:rsidRDefault="009C1C5A">
      <w:pPr>
        <w:pStyle w:val="PunktlistaTankstreck"/>
      </w:pPr>
      <w:r w:rsidRPr="00896D4F">
        <w:t>en tingsrätts handläggning av ett mål om umgängesrätt m.m. där svaranden hade s.k. fingerade personuppgifter 00/01:36</w:t>
      </w:r>
    </w:p>
    <w:p w:rsidR="009C1C5A" w:rsidRPr="00896D4F" w:rsidRDefault="009C1C5A">
      <w:pPr>
        <w:pStyle w:val="PunktlistaTankstreck"/>
      </w:pPr>
      <w:r w:rsidRPr="00896D4F">
        <w:t>fråga om förutsättningar förelåg att förordna god man i ett faderskapsmål 00/01:40</w:t>
      </w:r>
    </w:p>
    <w:p w:rsidR="009C1C5A" w:rsidRPr="00896D4F" w:rsidRDefault="009C1C5A">
      <w:pPr>
        <w:pStyle w:val="PunktlistaTankstreck"/>
      </w:pPr>
      <w:r w:rsidRPr="00896D4F">
        <w:t>en tingsrätts hantering av s.k. skyddade personuppgifter vilka erhållits från en part i ett förenklat tvistemål (FT-mål) 00/01:44</w:t>
      </w:r>
    </w:p>
    <w:p w:rsidR="009C1C5A" w:rsidRPr="00896D4F" w:rsidRDefault="009C1C5A">
      <w:pPr>
        <w:pStyle w:val="PunktlistaTankstreck"/>
      </w:pPr>
      <w:r w:rsidRPr="00896D4F">
        <w:t>en tingsrätts hantering av s.k. skyddade personuppgifter vilka erhållits från en part i ett familjemål 00/01:50</w:t>
      </w:r>
    </w:p>
    <w:p w:rsidR="009C1C5A" w:rsidRPr="00896D4F" w:rsidRDefault="009C1C5A">
      <w:pPr>
        <w:pStyle w:val="PunktlistaTankstreck"/>
      </w:pPr>
      <w:r w:rsidRPr="00896D4F">
        <w:t>en rådman vägrade att hålla häktningsförhandling med hänvisning till att åklagaren inte hade tillhandahållit rätten något skriftligt utredningsmaterial 00/01:55</w:t>
      </w:r>
    </w:p>
    <w:p w:rsidR="009C1C5A" w:rsidRPr="00896D4F" w:rsidRDefault="009C1C5A">
      <w:pPr>
        <w:pStyle w:val="PunktlistaTankstreck"/>
      </w:pPr>
      <w:r w:rsidRPr="00896D4F">
        <w:t>fråga om en länsrätts beslut att inte pröva eventuella framtida yrkanden m.m. 00/01:232</w:t>
      </w:r>
    </w:p>
    <w:p w:rsidR="009C1C5A" w:rsidRPr="00896D4F" w:rsidRDefault="009C1C5A">
      <w:pPr>
        <w:pStyle w:val="PunktlistaTankstreck"/>
      </w:pPr>
      <w:r w:rsidRPr="00896D4F">
        <w:t>utformningen av domslutet i en tvistemålsdom efter återvinning av en tredskodom 01/02:31</w:t>
      </w:r>
    </w:p>
    <w:p w:rsidR="009C1C5A" w:rsidRPr="00896D4F" w:rsidRDefault="009C1C5A">
      <w:pPr>
        <w:pStyle w:val="PunktlistaTankstreck"/>
      </w:pPr>
      <w:r w:rsidRPr="00896D4F">
        <w:t>kritik mot en tingsrätt för att den låtit ett beslag bestå efter det att åtalet ogi</w:t>
      </w:r>
      <w:r w:rsidRPr="00896D4F">
        <w:t>l</w:t>
      </w:r>
      <w:r w:rsidRPr="00896D4F">
        <w:t>lats 01/02:40</w:t>
      </w:r>
    </w:p>
    <w:p w:rsidR="009C1C5A" w:rsidRPr="00896D4F" w:rsidRDefault="009C1C5A">
      <w:pPr>
        <w:pStyle w:val="PunktlistaTankstreck"/>
      </w:pPr>
      <w:r w:rsidRPr="00896D4F">
        <w:t>fråga om tillämpningen av rättegångsbalkens bestämmelse om förbud mot  fotografering i rättssal 01/02:46</w:t>
      </w:r>
    </w:p>
    <w:p w:rsidR="009C1C5A" w:rsidRPr="00896D4F" w:rsidRDefault="009C1C5A">
      <w:pPr>
        <w:pStyle w:val="PunktlistaTankstreck"/>
      </w:pPr>
      <w:r w:rsidRPr="00896D4F">
        <w:t>långsam handläggning av ett dispositivt tvistemål vid en tingsrätt 01/02:48</w:t>
      </w:r>
    </w:p>
    <w:p w:rsidR="009C1C5A" w:rsidRPr="00896D4F" w:rsidRDefault="009C1C5A">
      <w:pPr>
        <w:pStyle w:val="PunktlistaTankstreck"/>
      </w:pPr>
      <w:r w:rsidRPr="00896D4F">
        <w:t>fråga om en länsrätts avgörande av mål innan den för klaganden beviljade anståndstiden löpt ut 01/02:174</w:t>
      </w:r>
    </w:p>
    <w:p w:rsidR="009C1C5A" w:rsidRPr="00896D4F" w:rsidRDefault="009C1C5A">
      <w:pPr>
        <w:pStyle w:val="PunktlistaTankstreck"/>
      </w:pPr>
      <w:r w:rsidRPr="00896D4F">
        <w:t>kritik mot en domare för handläggningen av ett inhibitionsyrkande, bl.a. för felaktiga muntliga besked som lämnades till klaganden i anslutning till yrka</w:t>
      </w:r>
      <w:r w:rsidRPr="00896D4F">
        <w:t>n</w:t>
      </w:r>
      <w:r w:rsidRPr="00896D4F">
        <w:t>det 01/02:172</w:t>
      </w:r>
    </w:p>
    <w:p w:rsidR="009C1C5A" w:rsidRPr="00896D4F" w:rsidRDefault="009C1C5A">
      <w:pPr>
        <w:pStyle w:val="PunktlistaTankstreck"/>
      </w:pPr>
      <w:r w:rsidRPr="00896D4F">
        <w:t>handläggningen av en förundersökning angående mord under vilken bl.a. bevisupptagning skett vid domstol med ett ”anonymt” vittne 02/03:67</w:t>
      </w:r>
    </w:p>
    <w:p w:rsidR="009C1C5A" w:rsidRPr="00896D4F" w:rsidRDefault="009C1C5A">
      <w:pPr>
        <w:pStyle w:val="PunktlistaTankstreck"/>
      </w:pPr>
      <w:r w:rsidRPr="00896D4F">
        <w:t>handläggningen av ett mål om vårdnad av barn m.m. 02/03:40</w:t>
      </w:r>
    </w:p>
    <w:p w:rsidR="009C1C5A" w:rsidRPr="00896D4F" w:rsidRDefault="009C1C5A">
      <w:pPr>
        <w:pStyle w:val="PunktlistaTankstreck"/>
      </w:pPr>
      <w:r w:rsidRPr="00896D4F">
        <w:t>en tingsrätt hade förvägrat allmänheten tillträde till en byggnad där rätt</w:t>
      </w:r>
      <w:r w:rsidRPr="00896D4F">
        <w:t>e</w:t>
      </w:r>
      <w:r w:rsidRPr="00896D4F">
        <w:t>gång pågick 02/03:54</w:t>
      </w:r>
    </w:p>
    <w:p w:rsidR="009C1C5A" w:rsidRPr="00896D4F" w:rsidRDefault="009C1C5A">
      <w:pPr>
        <w:pStyle w:val="PunktlistaTankstreck"/>
      </w:pPr>
      <w:r w:rsidRPr="00896D4F">
        <w:t>en länsrätt har vid en muntlig förhandling som var offentlig tillfrågat åh</w:t>
      </w:r>
      <w:r w:rsidRPr="00896D4F">
        <w:t>ö</w:t>
      </w:r>
      <w:r w:rsidRPr="00896D4F">
        <w:t>rare om namn och a</w:t>
      </w:r>
      <w:r w:rsidRPr="00896D4F">
        <w:t>n</w:t>
      </w:r>
      <w:r w:rsidRPr="00896D4F">
        <w:t>tecknat uppgifterna i protokollet 02/03:168</w:t>
      </w:r>
    </w:p>
    <w:p w:rsidR="009C1C5A" w:rsidRPr="00896D4F" w:rsidRDefault="009C1C5A">
      <w:pPr>
        <w:pStyle w:val="Rubrik3"/>
      </w:pPr>
      <w:r w:rsidRPr="00896D4F">
        <w:t>Domstolstrots</w:t>
      </w:r>
    </w:p>
    <w:p w:rsidR="009C1C5A" w:rsidRPr="00896D4F" w:rsidRDefault="009C1C5A">
      <w:pPr>
        <w:pStyle w:val="PunktlistaTankstreck"/>
      </w:pPr>
      <w:r w:rsidRPr="00896D4F">
        <w:t>kritik mot en kommun för domstolstrots i ett upphandlingsärende 02/03:446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Domstolsverket</w:t>
      </w:r>
    </w:p>
    <w:p w:rsidR="009C1C5A" w:rsidRPr="00896D4F" w:rsidRDefault="009C1C5A">
      <w:pPr>
        <w:pStyle w:val="PunktlistaTankstreck"/>
      </w:pPr>
      <w:r w:rsidRPr="00896D4F">
        <w:t>Domstolsverket har till samtliga kammar- och länsrätter distribuerat en vid Riksskatteverket upprättad promemoria med begäran om förtur av vissa mål 99/00:48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Dröjsmål</w:t>
      </w:r>
    </w:p>
    <w:p w:rsidR="009C1C5A" w:rsidRPr="00896D4F" w:rsidRDefault="009C1C5A">
      <w:pPr>
        <w:pStyle w:val="PunktlistaTankstreck"/>
        <w:rPr>
          <w:b/>
        </w:rPr>
      </w:pPr>
      <w:r w:rsidRPr="00896D4F">
        <w:t>ett på JO:s initiativ upptaget ärende mot en länsrätt angående fråga om upprepade anstånd i ett mål rörande bistånd enligt socialtjänstlagen 99/00:199</w:t>
      </w:r>
    </w:p>
    <w:p w:rsidR="009C1C5A" w:rsidRPr="00896D4F" w:rsidRDefault="009C1C5A">
      <w:pPr>
        <w:pStyle w:val="PunktlistaTankstreck"/>
      </w:pPr>
      <w:r w:rsidRPr="00896D4F">
        <w:t>kritik mot kammarrätt för dröjsmål med handläggningen av ett inhib</w:t>
      </w:r>
      <w:r w:rsidRPr="00896D4F">
        <w:t>i</w:t>
      </w:r>
      <w:r w:rsidRPr="00896D4F">
        <w:t>tions</w:t>
      </w:r>
      <w:r w:rsidRPr="00896D4F">
        <w:softHyphen/>
        <w:t>yrkande 99/00:173</w:t>
      </w:r>
    </w:p>
    <w:p w:rsidR="009C1C5A" w:rsidRPr="00896D4F" w:rsidRDefault="009C1C5A">
      <w:pPr>
        <w:pStyle w:val="PunktlistaTankstreck"/>
      </w:pPr>
      <w:r w:rsidRPr="00896D4F">
        <w:t>Statens invandrarverks handläggning av ärenden om dagersättning enligt lagen (1994:137) om mottagande av asylsökande m.fl. – Fråga om tid</w:t>
      </w:r>
      <w:r w:rsidRPr="00896D4F">
        <w:softHyphen/>
        <w:t>punkt för utbetalning av ersättningen 99/00:211</w:t>
      </w:r>
    </w:p>
    <w:p w:rsidR="009C1C5A" w:rsidRPr="00896D4F" w:rsidRDefault="009C1C5A">
      <w:pPr>
        <w:pStyle w:val="PunktlistaTankstreck"/>
      </w:pPr>
      <w:r w:rsidRPr="00896D4F">
        <w:t>dröjsmål med att fatta beslut i ärende om hand</w:t>
      </w:r>
      <w:r w:rsidRPr="00896D4F">
        <w:t>i</w:t>
      </w:r>
      <w:r w:rsidRPr="00896D4F">
        <w:t>kappersättning 00/01:396</w:t>
      </w:r>
    </w:p>
    <w:p w:rsidR="009C1C5A" w:rsidRPr="00896D4F" w:rsidRDefault="009C1C5A">
      <w:pPr>
        <w:pStyle w:val="PunktlistaTankstreck"/>
      </w:pPr>
      <w:r w:rsidRPr="00896D4F">
        <w:t>försäkringskassas dröj</w:t>
      </w:r>
      <w:r w:rsidRPr="00896D4F">
        <w:t>s</w:t>
      </w:r>
      <w:r w:rsidRPr="00896D4F">
        <w:t>mål med expediering av beslut 00/01:403</w:t>
      </w:r>
    </w:p>
    <w:p w:rsidR="009C1C5A" w:rsidRPr="00896D4F" w:rsidRDefault="009C1C5A">
      <w:pPr>
        <w:pStyle w:val="PunktlistaTankstreck"/>
      </w:pPr>
      <w:r w:rsidRPr="00896D4F">
        <w:t>försäkringskassas långsamma handläggning av omprövningsärende 00/01:409</w:t>
      </w:r>
    </w:p>
    <w:p w:rsidR="009C1C5A" w:rsidRPr="00896D4F" w:rsidRDefault="009C1C5A">
      <w:pPr>
        <w:pStyle w:val="PunktlistaTankstreck"/>
      </w:pPr>
      <w:r w:rsidRPr="00896D4F">
        <w:t>försäkringskassas dröjsmål med verkställighet av länsrätts dom 00/01:399</w:t>
      </w:r>
    </w:p>
    <w:p w:rsidR="009C1C5A" w:rsidRPr="00896D4F" w:rsidRDefault="009C1C5A">
      <w:pPr>
        <w:pStyle w:val="PunktlistaTankstreck"/>
      </w:pPr>
      <w:r w:rsidRPr="00896D4F">
        <w:t>Riksförsäkringsverkets dröjsmål att ändra Al</w:t>
      </w:r>
      <w:r w:rsidRPr="00896D4F">
        <w:t>l</w:t>
      </w:r>
      <w:r w:rsidRPr="00896D4F">
        <w:t>männa råd 00/01:419</w:t>
      </w:r>
    </w:p>
    <w:p w:rsidR="009C1C5A" w:rsidRPr="00896D4F" w:rsidRDefault="009C1C5A">
      <w:pPr>
        <w:pStyle w:val="PunktlistaTankstreck"/>
      </w:pPr>
      <w:r w:rsidRPr="00896D4F">
        <w:t>en miljö- och samhällsbyggnadsnämnd har dröjt med att översända ett överklagande till länsst</w:t>
      </w:r>
      <w:r w:rsidRPr="00896D4F">
        <w:t>y</w:t>
      </w:r>
      <w:r w:rsidRPr="00896D4F">
        <w:t>relsen 02/03:359</w:t>
      </w:r>
    </w:p>
    <w:p w:rsidR="009C1C5A" w:rsidRPr="00896D4F" w:rsidRDefault="009C1C5A">
      <w:pPr>
        <w:pStyle w:val="PunktlistaTankstreck"/>
      </w:pPr>
      <w:r w:rsidRPr="00896D4F">
        <w:t>kritik mot en miljö- och hälsoskyddsnämnd för långsam handläggning av ett ärende rörande bullerstörningar från ett nöjesfält (Gröna Lund) 02/03:348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 xml:space="preserve">Etableringstillstånd </w:t>
      </w:r>
    </w:p>
    <w:p w:rsidR="009C1C5A" w:rsidRPr="00896D4F" w:rsidRDefault="009C1C5A">
      <w:pPr>
        <w:pStyle w:val="PunktlistaTankstreck"/>
      </w:pPr>
      <w:r w:rsidRPr="00896D4F">
        <w:t>handläggningen av en ansökan om förlängning av etableringstillstånd för sjukgymnast 99/00:289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Europakonventionen</w:t>
      </w:r>
    </w:p>
    <w:p w:rsidR="009C1C5A" w:rsidRPr="00896D4F" w:rsidRDefault="009C1C5A">
      <w:pPr>
        <w:pStyle w:val="PunktlistaTankstreck"/>
      </w:pPr>
      <w:r w:rsidRPr="00896D4F">
        <w:t>handläggningen av en förundersökning angående mord under vilken bl.a. bevisupptagning skett vid domstol med ett ”anonymt” vittne 02/03:67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Exekution</w:t>
      </w:r>
    </w:p>
    <w:p w:rsidR="009C1C5A" w:rsidRPr="00896D4F" w:rsidRDefault="009C1C5A">
      <w:pPr>
        <w:pStyle w:val="PunktlistaTankstreck"/>
      </w:pPr>
      <w:r w:rsidRPr="00896D4F">
        <w:t>rätt till ränta på utmätta medel 02/03:164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Faderskap</w:t>
      </w:r>
    </w:p>
    <w:p w:rsidR="009C1C5A" w:rsidRPr="00896D4F" w:rsidRDefault="009C1C5A">
      <w:pPr>
        <w:pStyle w:val="PunktlistaTankstreck"/>
      </w:pPr>
      <w:r w:rsidRPr="00896D4F">
        <w:t>fråga om socialnämnds ansvar för att faderskapet till ett barn klarläggs när det, efter att nämnden godkänt viss mans bekräftelse av faderskapet, kom fram att modern vid barnets födelse var gift med en annan man 01/02:286</w:t>
      </w:r>
    </w:p>
    <w:p w:rsidR="009C1C5A" w:rsidRPr="00896D4F" w:rsidRDefault="009C1C5A">
      <w:pPr>
        <w:pStyle w:val="PunktlistaTankstreck"/>
      </w:pPr>
      <w:r w:rsidRPr="00896D4F">
        <w:t xml:space="preserve">passiv handläggning av ett ärende angående fastställande av faderskap 01/02:290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Folkbokföring</w:t>
      </w:r>
    </w:p>
    <w:p w:rsidR="009C1C5A" w:rsidRPr="00896D4F" w:rsidRDefault="009C1C5A">
      <w:pPr>
        <w:pStyle w:val="PunktlistaTankstreck"/>
      </w:pPr>
      <w:r w:rsidRPr="00896D4F">
        <w:t>underlåtenhet att kommunicera inhämtade up</w:t>
      </w:r>
      <w:r w:rsidRPr="00896D4F">
        <w:t>p</w:t>
      </w:r>
      <w:r w:rsidRPr="00896D4F">
        <w:t>gifter 00/01:283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Fordonskontroll</w:t>
      </w:r>
    </w:p>
    <w:p w:rsidR="009C1C5A" w:rsidRPr="00896D4F" w:rsidRDefault="009C1C5A">
      <w:pPr>
        <w:pStyle w:val="PunktlistaTankstreck"/>
      </w:pPr>
      <w:r w:rsidRPr="00896D4F">
        <w:t>fråga om skyldighet för Aktiebolaget Svensk Bilprovning att vid ko</w:t>
      </w:r>
      <w:r w:rsidRPr="00896D4F">
        <w:t>n</w:t>
      </w:r>
      <w:r w:rsidRPr="00896D4F">
        <w:t>troll</w:t>
      </w:r>
      <w:r w:rsidRPr="00896D4F">
        <w:softHyphen/>
        <w:t>besiktningsförrättningar upplysa om ett alternativ till att efterkomma före</w:t>
      </w:r>
      <w:r w:rsidRPr="00896D4F">
        <w:softHyphen/>
        <w:t>lägganden (provning vid verkstad av särskilt slag) – med hänsyn till ut</w:t>
      </w:r>
      <w:r w:rsidRPr="00896D4F">
        <w:softHyphen/>
        <w:t>formningen av regeringsförfattningen på området och till föreskrifter i ö</w:t>
      </w:r>
      <w:r w:rsidRPr="00896D4F">
        <w:t>v</w:t>
      </w:r>
      <w:r w:rsidRPr="00896D4F">
        <w:t>rigt 00/01:476</w:t>
      </w:r>
    </w:p>
    <w:p w:rsidR="009C1C5A" w:rsidRPr="00896D4F" w:rsidRDefault="009C1C5A">
      <w:pPr>
        <w:pStyle w:val="PunktlistaTankstreck"/>
      </w:pPr>
      <w:r w:rsidRPr="00896D4F">
        <w:t>fråga om rättsliga förutsättningar förelegat för ett beslut om husrannsakan i transportmedel 01/02:130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Fotografering</w:t>
      </w:r>
    </w:p>
    <w:p w:rsidR="009C1C5A" w:rsidRPr="00896D4F" w:rsidRDefault="009C1C5A">
      <w:pPr>
        <w:pStyle w:val="PunktlistaTankstreck"/>
      </w:pPr>
      <w:r w:rsidRPr="00896D4F">
        <w:t>fråga om tillämpning av rättegångsbalkens bestämmelse om förbud mot fot</w:t>
      </w:r>
      <w:r w:rsidRPr="00896D4F">
        <w:t>o</w:t>
      </w:r>
      <w:r w:rsidRPr="00896D4F">
        <w:t>grafering i rättssal 01/02:46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Fullföljdshänvisning</w:t>
      </w:r>
    </w:p>
    <w:p w:rsidR="009C1C5A" w:rsidRPr="00896D4F" w:rsidRDefault="009C1C5A">
      <w:pPr>
        <w:pStyle w:val="PunktlistaTankstreck"/>
      </w:pPr>
      <w:r w:rsidRPr="00896D4F">
        <w:t>det är fel att ange att ett beslut om avslag på en ansökan om bistånd enligt 6 g § SoL inte kan överklagas eftersom beslutet kan bli föremål för prö</w:t>
      </w:r>
      <w:r w:rsidRPr="00896D4F">
        <w:t>v</w:t>
      </w:r>
      <w:r w:rsidRPr="00896D4F">
        <w:t>ning enligt reglerna om laglighetsprövning i 10 kap. kommunallagen 99/00:235</w:t>
      </w:r>
    </w:p>
    <w:p w:rsidR="009C1C5A" w:rsidRPr="00896D4F" w:rsidRDefault="009C1C5A">
      <w:pPr>
        <w:pStyle w:val="PunktlistaTankstreck"/>
      </w:pPr>
      <w:r w:rsidRPr="00896D4F">
        <w:t>fråga om delgivning av beslut då en kommunal nämnd har godtagit en advokat som ombud i ett ärende enligt miljöskyddslagen men inte krävt att han företedde fullmakt, m.m. 99/00:336</w:t>
      </w:r>
    </w:p>
    <w:p w:rsidR="009C1C5A" w:rsidRPr="00896D4F" w:rsidRDefault="009C1C5A">
      <w:pPr>
        <w:pStyle w:val="PunktlistaTankstreck"/>
      </w:pPr>
      <w:r w:rsidRPr="00896D4F">
        <w:t>uttalanden om att kommunala bolag lämpligen bör lämna fullföljdshänvi</w:t>
      </w:r>
      <w:r w:rsidRPr="00896D4F">
        <w:t>s</w:t>
      </w:r>
      <w:r w:rsidRPr="00896D4F">
        <w:t>ning till beslut att avslå begäran om utlämnande av allmänna handlingar 02/03:491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Fullmakt</w:t>
      </w:r>
    </w:p>
    <w:p w:rsidR="009C1C5A" w:rsidRPr="00896D4F" w:rsidRDefault="009C1C5A">
      <w:pPr>
        <w:pStyle w:val="PunktlistaTankstreck"/>
      </w:pPr>
      <w:r w:rsidRPr="00896D4F">
        <w:t>fråga om delgivning av beslut då en kommunal nämnd har godtagit en advokat som ombud i ett ärende enligt miljöskyddslagen men inte krävt att han företedde fullmakt, m.m. 99/00:336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Funktionshindrade</w:t>
      </w:r>
    </w:p>
    <w:p w:rsidR="009C1C5A" w:rsidRPr="00896D4F" w:rsidRDefault="009C1C5A">
      <w:pPr>
        <w:pStyle w:val="PunktlistaTankstreck"/>
      </w:pPr>
      <w:r w:rsidRPr="00896D4F">
        <w:t>fråga om tillämpningen av bestämmelsen om tillståndsplikt enligt 23 § första stycket lagen (1993:387) om stöd och service till vissa funktions</w:t>
      </w:r>
      <w:r w:rsidRPr="00896D4F">
        <w:softHyphen/>
        <w:t>hindrade (LSS) vid i</w:t>
      </w:r>
      <w:r w:rsidRPr="00896D4F">
        <w:t>n</w:t>
      </w:r>
      <w:r w:rsidRPr="00896D4F">
        <w:t>satser enligt 9 § 9 LSS 01/02:308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Färdtjänst</w:t>
      </w:r>
    </w:p>
    <w:p w:rsidR="009C1C5A" w:rsidRPr="00896D4F" w:rsidRDefault="009C1C5A">
      <w:pPr>
        <w:pStyle w:val="PunktlistaTankstreck"/>
      </w:pPr>
      <w:r w:rsidRPr="00896D4F">
        <w:t>kommunala nämnder har inte registrerat (diariefört) allmänna handlingar i ärenden om färdtjänst. Fråga om registreringsskyldighet föreligger 00/01:560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Förhandlingsoffentlighet</w:t>
      </w:r>
    </w:p>
    <w:p w:rsidR="009C1C5A" w:rsidRPr="00896D4F" w:rsidRDefault="009C1C5A">
      <w:pPr>
        <w:pStyle w:val="PunktlistaTankstreck"/>
      </w:pPr>
      <w:r w:rsidRPr="00896D4F">
        <w:t>en tingsrätt hade förvägrat allmänheten tillträde till en byggnad där rätt</w:t>
      </w:r>
      <w:r w:rsidRPr="00896D4F">
        <w:t>e</w:t>
      </w:r>
      <w:r w:rsidRPr="00896D4F">
        <w:t>gång pågick 02/03:54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Förhandsbesked</w:t>
      </w:r>
    </w:p>
    <w:p w:rsidR="009C1C5A" w:rsidRPr="00896D4F" w:rsidRDefault="009C1C5A">
      <w:pPr>
        <w:pStyle w:val="PunktlistaTankstreck"/>
      </w:pPr>
      <w:r w:rsidRPr="00896D4F">
        <w:t>byggnadsnämnd har vidhållit ett krav på avgift enligt plan- och bygglagen, på annan grund än vad länsstyrelsen vid överprövning underkänt och för ett tillstånd som inte utgjort förhandsbesked eller någon annan i lagen före</w:t>
      </w:r>
      <w:r w:rsidRPr="00896D4F">
        <w:softHyphen/>
        <w:t>skriven form av beslut. Serviceskyldighet med avseende på ansökningar om sådant tillstånd 00/01:484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Förhör</w:t>
      </w:r>
    </w:p>
    <w:p w:rsidR="009C1C5A" w:rsidRPr="00896D4F" w:rsidRDefault="009C1C5A">
      <w:pPr>
        <w:pStyle w:val="PunktlistaTankstreck"/>
      </w:pPr>
      <w:r w:rsidRPr="00896D4F">
        <w:t>kritik mot en polismy</w:t>
      </w:r>
      <w:r w:rsidRPr="00896D4F">
        <w:t>n</w:t>
      </w:r>
      <w:r w:rsidRPr="00896D4F">
        <w:t>dighet för att förhörsledare i samband med för</w:t>
      </w:r>
      <w:r w:rsidRPr="00896D4F">
        <w:softHyphen/>
        <w:t>undersökning mot två 15-åringar åsidosatt regler av grundläggande bet</w:t>
      </w:r>
      <w:r w:rsidRPr="00896D4F">
        <w:t>y</w:t>
      </w:r>
      <w:r w:rsidRPr="00896D4F">
        <w:t>delse för underårigas rättssäke</w:t>
      </w:r>
      <w:r w:rsidRPr="00896D4F">
        <w:t>r</w:t>
      </w:r>
      <w:r w:rsidRPr="00896D4F">
        <w:t>het 99/00:78</w:t>
      </w:r>
    </w:p>
    <w:p w:rsidR="009C1C5A" w:rsidRPr="00896D4F" w:rsidRDefault="009C1C5A">
      <w:pPr>
        <w:pStyle w:val="PunktlistaTankstreck"/>
      </w:pPr>
      <w:r w:rsidRPr="00896D4F">
        <w:t xml:space="preserve">fråga om fullgörande av skyldighet att underrätta vårdnadshavare enligt </w:t>
      </w:r>
      <w:r w:rsidRPr="00896D4F">
        <w:br/>
        <w:t>5 § lagen (1964:167)med särskilda bestämmelser om unga lagöverträdare 99/00:118</w:t>
      </w:r>
    </w:p>
    <w:p w:rsidR="009C1C5A" w:rsidRPr="00896D4F" w:rsidRDefault="009C1C5A">
      <w:pPr>
        <w:pStyle w:val="PunktlistaTankstreck"/>
      </w:pPr>
      <w:r w:rsidRPr="00896D4F">
        <w:t>fråga om tillämpningen av 23 kap. 21 § andra stycket rättegångsbalken angående skyldigheten att, innan förhöret avslutas, låta den som hörs bl.a. granska uppteckning av u</w:t>
      </w:r>
      <w:r w:rsidRPr="00896D4F">
        <w:t>t</w:t>
      </w:r>
      <w:r w:rsidRPr="00896D4F">
        <w:t>sagan 99/00:143</w:t>
      </w:r>
    </w:p>
    <w:p w:rsidR="009C1C5A" w:rsidRPr="00896D4F" w:rsidRDefault="009C1C5A">
      <w:pPr>
        <w:pStyle w:val="PunktlistaTankstreck"/>
      </w:pPr>
      <w:r w:rsidRPr="00896D4F">
        <w:t>kritik mot en polismyndighet för att ha inlett utredning enligt 31 § lagen (1964:167) med särskilda bestämmelser för unga lagöverträdare (LUL) mot barn under 15 år samt fråga om underrättelseskyldighet enligt nämnda lag och förhör med barn 00/01:90</w:t>
      </w:r>
    </w:p>
    <w:p w:rsidR="009C1C5A" w:rsidRPr="00896D4F" w:rsidRDefault="009C1C5A">
      <w:pPr>
        <w:pStyle w:val="PunktlistaTankstreck"/>
      </w:pPr>
      <w:r w:rsidRPr="00896D4F">
        <w:t>åklagares handläggning av en förundersökning om misshandel där måls</w:t>
      </w:r>
      <w:r w:rsidRPr="00896D4F">
        <w:softHyphen/>
        <w:t>äganden pekat ut en poli</w:t>
      </w:r>
      <w:r w:rsidRPr="00896D4F">
        <w:t>s</w:t>
      </w:r>
      <w:r w:rsidRPr="00896D4F">
        <w:t>man som gärningsman 00/01:100</w:t>
      </w:r>
    </w:p>
    <w:p w:rsidR="009C1C5A" w:rsidRPr="00896D4F" w:rsidRDefault="009C1C5A">
      <w:pPr>
        <w:pStyle w:val="PunktlistaTankstreck"/>
      </w:pPr>
      <w:r w:rsidRPr="00896D4F">
        <w:t>i ärenden om påstådda brott av polismän har åklagare föranstaltat om fö</w:t>
      </w:r>
      <w:r w:rsidRPr="00896D4F">
        <w:t>r</w:t>
      </w:r>
      <w:r w:rsidRPr="00896D4F">
        <w:t>hör med bl.a. utpekad gärningsman innan beslut i frågan om inledande av fö</w:t>
      </w:r>
      <w:r w:rsidRPr="00896D4F">
        <w:t>r</w:t>
      </w:r>
      <w:r w:rsidRPr="00896D4F">
        <w:t>undersökning fattats 00/01:178</w:t>
      </w:r>
    </w:p>
    <w:p w:rsidR="009C1C5A" w:rsidRPr="00896D4F" w:rsidRDefault="009C1C5A">
      <w:pPr>
        <w:pStyle w:val="PunktlistaTankstreck"/>
      </w:pPr>
      <w:r w:rsidRPr="00896D4F">
        <w:t>möjligheten att inhämta skriftliga berättelser från målsägande och vittnen 00/01:201</w:t>
      </w:r>
    </w:p>
    <w:p w:rsidR="009C1C5A" w:rsidRPr="00896D4F" w:rsidRDefault="009C1C5A">
      <w:pPr>
        <w:pStyle w:val="PunktlistaTankstreck"/>
      </w:pPr>
      <w:r w:rsidRPr="00896D4F">
        <w:t>kritik mot en förhörsledare för att denne under ett förhör lät en person, som var misstänkt och häktad i det ärende som förhöret avsåg, i alltför stor o</w:t>
      </w:r>
      <w:r w:rsidRPr="00896D4F">
        <w:t>m</w:t>
      </w:r>
      <w:r w:rsidRPr="00896D4F">
        <w:t>fattning ställa frågor till en annan i samma ärende misstänkt person 02/03:142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Förolämpning</w:t>
      </w:r>
    </w:p>
    <w:p w:rsidR="009C1C5A" w:rsidRPr="00896D4F" w:rsidRDefault="009C1C5A">
      <w:pPr>
        <w:pStyle w:val="PunktlistaTankstreck"/>
      </w:pPr>
      <w:r w:rsidRPr="00896D4F">
        <w:t>fråga om tillämpningen av bestämmelserna i 20 kap. 5 § brottsbalken vid prövning av om förundersökning skulle inledas med anledning av en p</w:t>
      </w:r>
      <w:r w:rsidRPr="00896D4F">
        <w:t>o</w:t>
      </w:r>
      <w:r w:rsidRPr="00896D4F">
        <w:t>lis</w:t>
      </w:r>
      <w:r w:rsidRPr="00896D4F">
        <w:softHyphen/>
        <w:t>anmälan om förolämpning i vilken det påstods att gärningen inträffat i samband med utövningen av anställningen vid en polismyndighet 00/01:184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Förskola</w:t>
      </w:r>
    </w:p>
    <w:p w:rsidR="009C1C5A" w:rsidRPr="00896D4F" w:rsidRDefault="009C1C5A">
      <w:pPr>
        <w:pStyle w:val="PunktlistaTankstreck"/>
      </w:pPr>
      <w:r w:rsidRPr="00896D4F">
        <w:t>hur skall en begäran om omplacering av barn i förskolan hanteras om e</w:t>
      </w:r>
      <w:r w:rsidRPr="00896D4F">
        <w:t>n</w:t>
      </w:r>
      <w:r w:rsidRPr="00896D4F">
        <w:t>dast en av vårdnadshavarna står bakom framställningen om byte av för</w:t>
      </w:r>
      <w:r w:rsidRPr="00896D4F">
        <w:softHyphen/>
        <w:t>skola 99/00:283</w:t>
      </w:r>
    </w:p>
    <w:p w:rsidR="009C1C5A" w:rsidRPr="00896D4F" w:rsidRDefault="009C1C5A">
      <w:pPr>
        <w:pStyle w:val="PunktlistaTankstreck"/>
      </w:pPr>
      <w:r w:rsidRPr="00896D4F">
        <w:t>barnomsorgsavgift; verkan av att den som är gift med men inte sammanbor med ett barns förälder inte har lämnat uppgift om sin inkomst 99/00:286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Förundersökning</w:t>
      </w:r>
    </w:p>
    <w:p w:rsidR="009C1C5A" w:rsidRPr="00896D4F" w:rsidRDefault="009C1C5A">
      <w:pPr>
        <w:pStyle w:val="PunktlistaTankstreck"/>
      </w:pPr>
      <w:r w:rsidRPr="00896D4F">
        <w:t>kritik mot en polismy</w:t>
      </w:r>
      <w:r w:rsidRPr="00896D4F">
        <w:t>n</w:t>
      </w:r>
      <w:r w:rsidRPr="00896D4F">
        <w:t>dighet för att förhörsledare i samband med för</w:t>
      </w:r>
      <w:r w:rsidRPr="00896D4F">
        <w:softHyphen/>
        <w:t>undersökning mot två 15-åringar åsidosatt regler av grundläggande bet</w:t>
      </w:r>
      <w:r w:rsidRPr="00896D4F">
        <w:t>y</w:t>
      </w:r>
      <w:r w:rsidRPr="00896D4F">
        <w:t>delse för underårigas rättssäke</w:t>
      </w:r>
      <w:r w:rsidRPr="00896D4F">
        <w:t>r</w:t>
      </w:r>
      <w:r w:rsidRPr="00896D4F">
        <w:t>het 99/00:78</w:t>
      </w:r>
    </w:p>
    <w:p w:rsidR="009C1C5A" w:rsidRPr="00896D4F" w:rsidRDefault="009C1C5A">
      <w:pPr>
        <w:pStyle w:val="PunktlistaTankstreck"/>
      </w:pPr>
      <w:r w:rsidRPr="00896D4F">
        <w:t>beslut om rättsmedicinsk obduktion kan fattas utan att förundersökning har inletts; uttalanden om möjligheten att inhämta yttranden från en myndighet under en s.k. förutredning dvs. utan att förundersökning har inletts 99/00:85</w:t>
      </w:r>
    </w:p>
    <w:p w:rsidR="009C1C5A" w:rsidRPr="00896D4F" w:rsidRDefault="009C1C5A">
      <w:pPr>
        <w:pStyle w:val="PunktlistaTankstreck"/>
      </w:pPr>
      <w:r w:rsidRPr="00896D4F">
        <w:t>uttalanden om lagligheten av att under en förundersökning i hemlighet vide</w:t>
      </w:r>
      <w:r w:rsidRPr="00896D4F">
        <w:t>o</w:t>
      </w:r>
      <w:r w:rsidRPr="00896D4F">
        <w:t>filma en person som var intagen i häkte 99/00:91</w:t>
      </w:r>
    </w:p>
    <w:p w:rsidR="009C1C5A" w:rsidRPr="00896D4F" w:rsidRDefault="009C1C5A">
      <w:pPr>
        <w:pStyle w:val="PunktlistaTankstreck"/>
      </w:pPr>
      <w:r w:rsidRPr="00896D4F">
        <w:t>fråga om när polismyndighet skall ta kontakt med åklagare för att bereda denne tillfälle att överta förundersökningsledarskap och därmed sa</w:t>
      </w:r>
      <w:r w:rsidRPr="00896D4F">
        <w:t>m</w:t>
      </w:r>
      <w:r w:rsidRPr="00896D4F">
        <w:t>man</w:t>
      </w:r>
      <w:r w:rsidRPr="00896D4F">
        <w:softHyphen/>
        <w:t>hängande frågor om användande av tvångsmedel (i fallet s.k. personell husrannsakan i samband med en gisslansituation) 99/00:114</w:t>
      </w:r>
    </w:p>
    <w:p w:rsidR="009C1C5A" w:rsidRPr="00896D4F" w:rsidRDefault="009C1C5A">
      <w:pPr>
        <w:pStyle w:val="PunktlistaTankstreck"/>
      </w:pPr>
      <w:r w:rsidRPr="00896D4F">
        <w:t xml:space="preserve">fråga om fullgörande av skyldighet att underrätta vårdnadshavare enligt </w:t>
      </w:r>
      <w:r w:rsidRPr="00896D4F">
        <w:br/>
        <w:t>5 § lagen (1964:167) med särskilda bestämmelser om unga lagöverträdare 99/00:118</w:t>
      </w:r>
    </w:p>
    <w:p w:rsidR="009C1C5A" w:rsidRPr="00896D4F" w:rsidRDefault="009C1C5A">
      <w:pPr>
        <w:pStyle w:val="PunktlistaTankstreck"/>
      </w:pPr>
      <w:r w:rsidRPr="00896D4F">
        <w:t>under utredningen i ett klagoärende hos JO konstaterade en överåklagare i ett remissvar att det fanns anledning anta att en kammaråklagare hade gjort sig skyldig till tjänstefel. Med anledning av detta konstaterande över</w:t>
      </w:r>
      <w:r w:rsidRPr="00896D4F">
        <w:softHyphen/>
        <w:t>lämnades ärendet till Riksåklagaren 99/00:120</w:t>
      </w:r>
    </w:p>
    <w:p w:rsidR="009C1C5A" w:rsidRPr="00896D4F" w:rsidRDefault="009C1C5A">
      <w:pPr>
        <w:pStyle w:val="PunktlistaTankstreck"/>
      </w:pPr>
      <w:r w:rsidRPr="00896D4F">
        <w:t>kritik mot en åklagare för att denne inte omgående tog ställning till om för</w:t>
      </w:r>
      <w:r w:rsidRPr="00896D4F">
        <w:softHyphen/>
        <w:t>undersökning skulle inledas i ett ärende om påstådd misshandel och tjän</w:t>
      </w:r>
      <w:r w:rsidRPr="00896D4F">
        <w:t>s</w:t>
      </w:r>
      <w:r w:rsidRPr="00896D4F">
        <w:t>tefel 99/00:122</w:t>
      </w:r>
    </w:p>
    <w:p w:rsidR="009C1C5A" w:rsidRPr="00896D4F" w:rsidRDefault="009C1C5A">
      <w:pPr>
        <w:pStyle w:val="PunktlistaTankstreck"/>
      </w:pPr>
      <w:r w:rsidRPr="00896D4F">
        <w:t>fråga om tillämpningen av 23 kap. 21 § andra stycket rättegångsbalken angående skyldigheten att, innan förhöret avslutas, låta den som hörs bl.a. granska uppteckning av u</w:t>
      </w:r>
      <w:r w:rsidRPr="00896D4F">
        <w:t>t</w:t>
      </w:r>
      <w:r w:rsidRPr="00896D4F">
        <w:t>sagan 99/00:143</w:t>
      </w:r>
    </w:p>
    <w:p w:rsidR="009C1C5A" w:rsidRPr="00896D4F" w:rsidRDefault="009C1C5A">
      <w:pPr>
        <w:pStyle w:val="PunktlistaTankstreck"/>
      </w:pPr>
      <w:r w:rsidRPr="00896D4F">
        <w:t>möjligheten för en polismyndighet att lägga ned en förundersökning med motiveringen ”brott kan ej styrkas” 00/01:62</w:t>
      </w:r>
    </w:p>
    <w:p w:rsidR="009C1C5A" w:rsidRPr="00896D4F" w:rsidRDefault="009C1C5A">
      <w:pPr>
        <w:pStyle w:val="PunktlistaTankstreck"/>
      </w:pPr>
      <w:r w:rsidRPr="00896D4F">
        <w:t>handläggningen av framställningar om utredningsåtgärder efter det att en brottmålsdom vunnit laga kraft 00/01:69</w:t>
      </w:r>
    </w:p>
    <w:p w:rsidR="009C1C5A" w:rsidRPr="00896D4F" w:rsidRDefault="009C1C5A">
      <w:pPr>
        <w:pStyle w:val="PunktlistaTankstreck"/>
      </w:pPr>
      <w:r w:rsidRPr="00896D4F">
        <w:t>åklagares handläggning av en förundersökning om misshandel där måls</w:t>
      </w:r>
      <w:r w:rsidRPr="00896D4F">
        <w:softHyphen/>
        <w:t>äganden pekat ut en poli</w:t>
      </w:r>
      <w:r w:rsidRPr="00896D4F">
        <w:t>s</w:t>
      </w:r>
      <w:r w:rsidRPr="00896D4F">
        <w:t>man som gärningsman 00/01:100</w:t>
      </w:r>
    </w:p>
    <w:p w:rsidR="009C1C5A" w:rsidRPr="00896D4F" w:rsidRDefault="009C1C5A">
      <w:pPr>
        <w:pStyle w:val="PunktlistaTankstreck"/>
      </w:pPr>
      <w:r w:rsidRPr="00896D4F">
        <w:t>en rådman vägrade att hålla häktningsförhandling med hänvisning till att åklagaren inte hade tillhandahållit rätten något skriftligt utredningsmaterial 00/01:55</w:t>
      </w:r>
    </w:p>
    <w:p w:rsidR="009C1C5A" w:rsidRPr="00896D4F" w:rsidRDefault="009C1C5A">
      <w:pPr>
        <w:pStyle w:val="PunktlistaTankstreck"/>
      </w:pPr>
      <w:r w:rsidRPr="00896D4F">
        <w:t>uttalanden om principerna för fördelningen inom en åklagarmyndighet av anmälningar mot poli</w:t>
      </w:r>
      <w:r w:rsidRPr="00896D4F">
        <w:t>s</w:t>
      </w:r>
      <w:r w:rsidRPr="00896D4F">
        <w:t>män 00/01:106</w:t>
      </w:r>
    </w:p>
    <w:p w:rsidR="009C1C5A" w:rsidRPr="00896D4F" w:rsidRDefault="009C1C5A">
      <w:pPr>
        <w:pStyle w:val="PunktlistaTankstreck"/>
      </w:pPr>
      <w:r w:rsidRPr="00896D4F">
        <w:t>fråga om rättsenligheten av polisens spaningsmetod att använda en inköpt motorcykel av märket Harley-Davidson som ”lockbete” i brottsutredningar samt vissa uttalanden om de problem som kan uppkomma till följd av sk</w:t>
      </w:r>
      <w:r w:rsidRPr="00896D4F">
        <w:t>a</w:t>
      </w:r>
      <w:r w:rsidRPr="00896D4F">
        <w:t>dor på eller vållade av ett polisen tillhörigt motorfordon som är försäkrat 00/01:118</w:t>
      </w:r>
    </w:p>
    <w:p w:rsidR="009C1C5A" w:rsidRPr="00896D4F" w:rsidRDefault="009C1C5A">
      <w:pPr>
        <w:pStyle w:val="PunktlistaTankstreck"/>
      </w:pPr>
      <w:r w:rsidRPr="00896D4F">
        <w:t>”snattefonen” – polisens användning av förenklad utredning vid butiks</w:t>
      </w:r>
      <w:r w:rsidRPr="00896D4F">
        <w:softHyphen/>
        <w:t>snatterier 00/01:137</w:t>
      </w:r>
    </w:p>
    <w:p w:rsidR="009C1C5A" w:rsidRPr="00896D4F" w:rsidRDefault="009C1C5A">
      <w:pPr>
        <w:pStyle w:val="PunktlistaTankstreck"/>
      </w:pPr>
      <w:r w:rsidRPr="00896D4F">
        <w:t>i ärenden om påstådda brott av polismän har åklagare föranstaltat om fö</w:t>
      </w:r>
      <w:r w:rsidRPr="00896D4F">
        <w:t>r</w:t>
      </w:r>
      <w:r w:rsidRPr="00896D4F">
        <w:t>hör med bl.a. utpekad gärningsman innan beslut i frågan om inledande av fö</w:t>
      </w:r>
      <w:r w:rsidRPr="00896D4F">
        <w:t>r</w:t>
      </w:r>
      <w:r w:rsidRPr="00896D4F">
        <w:t>undersökning fattats 00/01:178</w:t>
      </w:r>
    </w:p>
    <w:p w:rsidR="009C1C5A" w:rsidRPr="00896D4F" w:rsidRDefault="009C1C5A">
      <w:pPr>
        <w:pStyle w:val="PunktlistaTankstreck"/>
      </w:pPr>
      <w:r w:rsidRPr="00896D4F">
        <w:t>fråga om tillämpningen av bestämmelserna i 20 kap. 5 § brottsbalken vid prövning av om förundersökning skulle inledas med anledning av en p</w:t>
      </w:r>
      <w:r w:rsidRPr="00896D4F">
        <w:t>o</w:t>
      </w:r>
      <w:r w:rsidRPr="00896D4F">
        <w:t>lis</w:t>
      </w:r>
      <w:r w:rsidRPr="00896D4F">
        <w:softHyphen/>
        <w:t>anmälan om förolämpning i vilken det påstods att gärningen inträffat i samband med utövningen av anställningen vid en polismyndighet 00/01:184</w:t>
      </w:r>
    </w:p>
    <w:p w:rsidR="009C1C5A" w:rsidRPr="00896D4F" w:rsidRDefault="009C1C5A">
      <w:pPr>
        <w:pStyle w:val="PunktlistaTankstreck"/>
      </w:pPr>
      <w:r w:rsidRPr="00896D4F">
        <w:t>handläggningen av en förundersökning med anledning av en polisrapport i vilken uppgavs att ett statsråd hade gjort sig skyldig till olovlig körning 00/01:190</w:t>
      </w:r>
    </w:p>
    <w:p w:rsidR="009C1C5A" w:rsidRPr="00896D4F" w:rsidRDefault="009C1C5A">
      <w:pPr>
        <w:pStyle w:val="PunktlistaTankstreck"/>
      </w:pPr>
      <w:r w:rsidRPr="00896D4F">
        <w:t>handläggningen hos överåklagare av en anmälan mot en kammaråklagare för försummelser i tjänsten 00/01:197</w:t>
      </w:r>
    </w:p>
    <w:p w:rsidR="009C1C5A" w:rsidRPr="00896D4F" w:rsidRDefault="009C1C5A">
      <w:pPr>
        <w:pStyle w:val="PunktlistaTankstreck"/>
      </w:pPr>
      <w:r w:rsidRPr="00896D4F">
        <w:t>möjligheten att inhämta skriftliga berättelser från målsägande och vittnen 00/01:201</w:t>
      </w:r>
    </w:p>
    <w:p w:rsidR="009C1C5A" w:rsidRPr="00896D4F" w:rsidRDefault="009C1C5A">
      <w:pPr>
        <w:pStyle w:val="PunktlistaTankstreck"/>
      </w:pPr>
      <w:r w:rsidRPr="00896D4F">
        <w:t>kritik mot en polismyndighet för ett ingripande mot deltagare i en musi</w:t>
      </w:r>
      <w:r w:rsidRPr="00896D4F">
        <w:t>k</w:t>
      </w:r>
      <w:r w:rsidRPr="00896D4F">
        <w:t>fest vilket bl.a. inneburit att dessa tagits med till en polisstation för kroppsb</w:t>
      </w:r>
      <w:r w:rsidRPr="00896D4F">
        <w:t>e</w:t>
      </w:r>
      <w:r w:rsidRPr="00896D4F">
        <w:t>siktning 01/02:76</w:t>
      </w:r>
    </w:p>
    <w:p w:rsidR="009C1C5A" w:rsidRPr="00896D4F" w:rsidRDefault="009C1C5A">
      <w:pPr>
        <w:pStyle w:val="PunktlistaTankstreck"/>
      </w:pPr>
      <w:r w:rsidRPr="00896D4F">
        <w:t>frågor om protokollering vid förundersökningar, delgivning av brotts-misstanke per telefon och användandet av civilanställd personal för utre</w:t>
      </w:r>
      <w:r w:rsidRPr="00896D4F">
        <w:t>d</w:t>
      </w:r>
      <w:r w:rsidRPr="00896D4F">
        <w:t>ningar av butikstillgrepp 01/02:91</w:t>
      </w:r>
    </w:p>
    <w:p w:rsidR="009C1C5A" w:rsidRPr="00896D4F" w:rsidRDefault="009C1C5A">
      <w:pPr>
        <w:pStyle w:val="PunktlistaTankstreck"/>
      </w:pPr>
      <w:r w:rsidRPr="00896D4F">
        <w:t>polisens användning av skriftliga berättelser från misstänkta i snatteriu</w:t>
      </w:r>
      <w:r w:rsidRPr="00896D4F">
        <w:t>t</w:t>
      </w:r>
      <w:r w:rsidRPr="00896D4F">
        <w:t>redningar 01/02:103</w:t>
      </w:r>
    </w:p>
    <w:p w:rsidR="009C1C5A" w:rsidRPr="00896D4F" w:rsidRDefault="009C1C5A">
      <w:pPr>
        <w:pStyle w:val="PunktlistaTankstreck"/>
      </w:pPr>
      <w:r w:rsidRPr="00896D4F">
        <w:t>en åklagares beslut om personell husrannsakan för eftersökande av en för mord misstänkt person, trots att något annat tvångsmedelsbeslut inte des</w:t>
      </w:r>
      <w:r w:rsidRPr="00896D4F">
        <w:t>s</w:t>
      </w:r>
      <w:r w:rsidRPr="00896D4F">
        <w:t>förinnan hade fattats beträffande den efte</w:t>
      </w:r>
      <w:r w:rsidRPr="00896D4F">
        <w:t>r</w:t>
      </w:r>
      <w:r w:rsidRPr="00896D4F">
        <w:t>sökte 01/02:113</w:t>
      </w:r>
    </w:p>
    <w:p w:rsidR="009C1C5A" w:rsidRPr="00896D4F" w:rsidRDefault="009C1C5A">
      <w:pPr>
        <w:pStyle w:val="PunktlistaTankstreck"/>
      </w:pPr>
      <w:r w:rsidRPr="00896D4F">
        <w:t>handläggningen hos Riksåklagaren av anmälningar som innehöll påståe</w:t>
      </w:r>
      <w:r w:rsidRPr="00896D4F">
        <w:t>n</w:t>
      </w:r>
      <w:r w:rsidRPr="00896D4F">
        <w:t>den att domare och åkl</w:t>
      </w:r>
      <w:r w:rsidRPr="00896D4F">
        <w:t>a</w:t>
      </w:r>
      <w:r w:rsidRPr="00896D4F">
        <w:t>gare gjort sig skyldiga till brott 01/02:120</w:t>
      </w:r>
    </w:p>
    <w:p w:rsidR="009C1C5A" w:rsidRPr="00896D4F" w:rsidRDefault="009C1C5A">
      <w:pPr>
        <w:pStyle w:val="PunktlistaTankstreck"/>
      </w:pPr>
      <w:r w:rsidRPr="00896D4F">
        <w:t>fråga om verkan av en överenskommelse mellan en polismyndighet och en åklagarmyndighet innebärande att underrättelser om att åklagare beslutat att inte inleda förundersökning skall expedieras genom polismyndighetens försorg m.m. 01/02:132</w:t>
      </w:r>
    </w:p>
    <w:p w:rsidR="009C1C5A" w:rsidRPr="00896D4F" w:rsidRDefault="009C1C5A">
      <w:pPr>
        <w:pStyle w:val="PunktlistaTankstreck"/>
      </w:pPr>
      <w:r w:rsidRPr="00896D4F">
        <w:t>kritik mot en polismyndighet för handläggningen av ett ärende rörande utlämnande av en i beslag tagen moped sedan förundersökningen lagts ned; också fråga om grunden för nedläggningen av förundersökningen 02/03:102</w:t>
      </w:r>
    </w:p>
    <w:p w:rsidR="009C1C5A" w:rsidRPr="00896D4F" w:rsidRDefault="009C1C5A">
      <w:pPr>
        <w:pStyle w:val="PunktlistaTankstreck"/>
      </w:pPr>
      <w:r w:rsidRPr="00896D4F">
        <w:t>handläggningen av förundersökningar efter det att åklagares ställningst</w:t>
      </w:r>
      <w:r w:rsidRPr="00896D4F">
        <w:t>a</w:t>
      </w:r>
      <w:r w:rsidRPr="00896D4F">
        <w:t>gande varit föremål för överprövning m.m. 02/03:107</w:t>
      </w:r>
    </w:p>
    <w:p w:rsidR="009C1C5A" w:rsidRPr="00896D4F" w:rsidRDefault="009C1C5A">
      <w:pPr>
        <w:pStyle w:val="PunktlistaTankstreck"/>
      </w:pPr>
      <w:r w:rsidRPr="00896D4F">
        <w:t>Riksåklagarens han</w:t>
      </w:r>
      <w:r w:rsidRPr="00896D4F">
        <w:t>d</w:t>
      </w:r>
      <w:r w:rsidRPr="00896D4F">
        <w:t>läggning av det s.k. Omso Vallo-fallet 02/03:116</w:t>
      </w:r>
    </w:p>
    <w:p w:rsidR="009C1C5A" w:rsidRPr="00896D4F" w:rsidRDefault="009C1C5A">
      <w:pPr>
        <w:pStyle w:val="PunktlistaTankstreck"/>
      </w:pPr>
      <w:r w:rsidRPr="00896D4F">
        <w:t>kritik mot en polismyndighet för att den i ett fall inte hade vidtagit til</w:t>
      </w:r>
      <w:r w:rsidRPr="00896D4F">
        <w:t>l</w:t>
      </w:r>
      <w:r w:rsidRPr="00896D4F">
        <w:t>räckliga utredningsåtgärder innan den beslutat att lägga ned en förunde</w:t>
      </w:r>
      <w:r w:rsidRPr="00896D4F">
        <w:t>r</w:t>
      </w:r>
      <w:r w:rsidRPr="00896D4F">
        <w:t>sökning samt att den i ett annat fall beslutat att inte inleda förundersökning trots att det fanns anledning att anta att brott hade förövats 02/03:139</w:t>
      </w:r>
    </w:p>
    <w:p w:rsidR="009C1C5A" w:rsidRPr="00896D4F" w:rsidRDefault="009C1C5A">
      <w:pPr>
        <w:pStyle w:val="PunktlistaTankstreck"/>
      </w:pPr>
      <w:r w:rsidRPr="00896D4F">
        <w:t>kritik mot en förhörsledare för att denne under ett förhör lät en person, som var misstänkt och häktad i det ärende som förhöret avsåg, i alltför stor o</w:t>
      </w:r>
      <w:r w:rsidRPr="00896D4F">
        <w:t>m</w:t>
      </w:r>
      <w:r w:rsidRPr="00896D4F">
        <w:t>fattning ställa frågor till en annan i samma ärende misstänkt person 02/03:142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Förutredning</w:t>
      </w:r>
    </w:p>
    <w:p w:rsidR="009C1C5A" w:rsidRPr="00896D4F" w:rsidRDefault="009C1C5A">
      <w:pPr>
        <w:pStyle w:val="PunktlistaTankstreck"/>
      </w:pPr>
      <w:r w:rsidRPr="00896D4F">
        <w:t>i ärenden om påstådda brott av polismän har åklagare föranstaltat om fö</w:t>
      </w:r>
      <w:r w:rsidRPr="00896D4F">
        <w:t>r</w:t>
      </w:r>
      <w:r w:rsidRPr="00896D4F">
        <w:t>hör med bl.a. utpekad gärningsman innan beslut i frågan om inledande av fö</w:t>
      </w:r>
      <w:r w:rsidRPr="00896D4F">
        <w:t>r</w:t>
      </w:r>
      <w:r w:rsidRPr="00896D4F">
        <w:t>undersökning fattats 00/01:178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Förvaltningslagen (FL)</w:t>
      </w:r>
    </w:p>
    <w:p w:rsidR="009C1C5A" w:rsidRPr="00896D4F" w:rsidRDefault="009C1C5A">
      <w:pPr>
        <w:pStyle w:val="PunktlistaTankstreck"/>
      </w:pPr>
      <w:r w:rsidRPr="00896D4F">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9C1C5A" w:rsidRPr="00896D4F" w:rsidRDefault="009C1C5A">
      <w:pPr>
        <w:pStyle w:val="PunktlistaTankstreck"/>
      </w:pPr>
      <w:r w:rsidRPr="00896D4F">
        <w:t>fråga om polismyndighets skyldighet att låta översätta innehållet i en u</w:t>
      </w:r>
      <w:r w:rsidRPr="00896D4F">
        <w:t>n</w:t>
      </w:r>
      <w:r w:rsidRPr="00896D4F">
        <w:t>derrättelse (angående hävt beslag) som sänts till en polsk medborgare i Polen 99/00:127</w:t>
      </w:r>
    </w:p>
    <w:p w:rsidR="009C1C5A" w:rsidRPr="00896D4F" w:rsidRDefault="009C1C5A">
      <w:pPr>
        <w:pStyle w:val="PunktlistaTankstreck"/>
      </w:pPr>
      <w:r w:rsidRPr="00896D4F">
        <w:t>fråga om polismyndighet ägt rätt att vilandeförklara en ansökan om vissa ändringar i ett tillstånd att handla med vapen i avvaktan på domstols</w:t>
      </w:r>
      <w:r w:rsidRPr="00896D4F">
        <w:softHyphen/>
        <w:t>avgörande avseende polismyndighetens dessförinnan fattade beslut att återkalla handelstillståndet 99/00:133</w:t>
      </w:r>
    </w:p>
    <w:p w:rsidR="009C1C5A" w:rsidRPr="00896D4F" w:rsidRDefault="009C1C5A">
      <w:pPr>
        <w:pStyle w:val="PunktlistaTankstreck"/>
      </w:pPr>
      <w:r w:rsidRPr="00896D4F">
        <w:t xml:space="preserve">dröjsmål med att skriftligen underrätta en intagen i kriminalvårdsanstalt om ett beslut 99/00:155 </w:t>
      </w:r>
    </w:p>
    <w:p w:rsidR="009C1C5A" w:rsidRPr="00896D4F" w:rsidRDefault="009C1C5A">
      <w:pPr>
        <w:pStyle w:val="PunktlistaTankstreck"/>
      </w:pPr>
      <w:r w:rsidRPr="00896D4F">
        <w:t>fråga om myndighets skyldighet att låta översätta en på utländskt språk författad överklagand</w:t>
      </w:r>
      <w:r w:rsidRPr="00896D4F">
        <w:t>e</w:t>
      </w:r>
      <w:r w:rsidRPr="00896D4F">
        <w:t>skrift till svenska 99/00:216</w:t>
      </w:r>
    </w:p>
    <w:p w:rsidR="009C1C5A" w:rsidRPr="00896D4F" w:rsidRDefault="009C1C5A">
      <w:pPr>
        <w:pStyle w:val="PunktlistaTankstreck"/>
      </w:pPr>
      <w:r w:rsidRPr="00896D4F">
        <w:t>fråga om omprövning av ett länsstyrelsebeslut angående tillstånd till jakt på mink då beslutet enligt föreskrift i jaktförordningen inte fick över</w:t>
      </w:r>
      <w:r w:rsidRPr="00896D4F">
        <w:softHyphen/>
        <w:t>klagas, m.m. 99/00:339</w:t>
      </w:r>
    </w:p>
    <w:p w:rsidR="009C1C5A" w:rsidRPr="00896D4F" w:rsidRDefault="009C1C5A">
      <w:pPr>
        <w:pStyle w:val="PunktlistaTankstreck"/>
      </w:pPr>
      <w:r w:rsidRPr="00896D4F">
        <w:t>kriminalvårdsanstalts rutiner för delgivning av b</w:t>
      </w:r>
      <w:r w:rsidRPr="00896D4F">
        <w:t>e</w:t>
      </w:r>
      <w:r w:rsidRPr="00896D4F">
        <w:t>slut 00/01:222</w:t>
      </w:r>
    </w:p>
    <w:p w:rsidR="009C1C5A" w:rsidRPr="00896D4F" w:rsidRDefault="009C1C5A">
      <w:pPr>
        <w:pStyle w:val="PunktlistaTankstreck"/>
      </w:pPr>
      <w:r w:rsidRPr="00896D4F">
        <w:t>kritik mot en överförmyndare för underlåtenhet att kommunicera ett arvodesyrkande med död</w:t>
      </w:r>
      <w:r w:rsidRPr="00896D4F">
        <w:t>s</w:t>
      </w:r>
      <w:r w:rsidRPr="00896D4F">
        <w:t>bo m.m. 00/01:498</w:t>
      </w:r>
    </w:p>
    <w:p w:rsidR="009C1C5A" w:rsidRPr="00896D4F" w:rsidRDefault="009C1C5A">
      <w:pPr>
        <w:pStyle w:val="PunktlistaTankstreck"/>
      </w:pPr>
      <w:r w:rsidRPr="00896D4F">
        <w:t>handläggningen av ett ärende avseende journalförstöring – fråga om Soc</w:t>
      </w:r>
      <w:r w:rsidRPr="00896D4F">
        <w:t>i</w:t>
      </w:r>
      <w:r w:rsidRPr="00896D4F">
        <w:t>alstyrelsen haft att pröva en ny framställan i samma sak oaktat det först avgjorda ärendet var föremål för överprö</w:t>
      </w:r>
      <w:r w:rsidRPr="00896D4F">
        <w:t>v</w:t>
      </w:r>
      <w:r w:rsidRPr="00896D4F">
        <w:t>ning i domstol 00/01:349</w:t>
      </w:r>
    </w:p>
    <w:p w:rsidR="009C1C5A" w:rsidRPr="00896D4F" w:rsidRDefault="009C1C5A">
      <w:pPr>
        <w:pStyle w:val="PunktlistaTankstreck"/>
      </w:pPr>
      <w:r w:rsidRPr="00896D4F">
        <w:t>ett på JO:s initiativ upptaget ärende mot institutionen för lingvistik vid Uppsala universitet angående strykning av tidigare meddelade kurspoäng utan att höra studenterna 00/01:434</w:t>
      </w:r>
    </w:p>
    <w:p w:rsidR="009C1C5A" w:rsidRPr="00896D4F" w:rsidRDefault="009C1C5A">
      <w:pPr>
        <w:pStyle w:val="PunktlistaTankstreck"/>
      </w:pPr>
      <w:r w:rsidRPr="00896D4F">
        <w:t>kritik mot barn- och grundskolenämnd för underlåtenhet att individuellt pröva en elevs rätt till fortsatt skolskjuts m.m. 00/01:459</w:t>
      </w:r>
    </w:p>
    <w:p w:rsidR="009C1C5A" w:rsidRPr="00896D4F" w:rsidRDefault="009C1C5A">
      <w:pPr>
        <w:pStyle w:val="PunktlistaTankstreck"/>
      </w:pPr>
      <w:r w:rsidRPr="00896D4F">
        <w:t>uttalanden rörande omfattningen av allmänhetens möjligheter att per tel</w:t>
      </w:r>
      <w:r w:rsidRPr="00896D4F">
        <w:t>e</w:t>
      </w:r>
      <w:r w:rsidRPr="00896D4F">
        <w:t>fon komma i direkt kontakt med en myndighets tjänstemän; särskilt fråga om skyldigheten att lämna ut tjänstemännens direktnummer 00/01:529</w:t>
      </w:r>
    </w:p>
    <w:p w:rsidR="009C1C5A" w:rsidRPr="00896D4F" w:rsidRDefault="009C1C5A">
      <w:pPr>
        <w:pStyle w:val="PunktlistaTankstreck"/>
      </w:pPr>
      <w:r w:rsidRPr="00896D4F">
        <w:t>fråga om myndighetsutövning och därmed kommuniceringsskyldighet förelegat hos Arbetsmarknadsstyrelsen i ett ärende rörande åtalsanmälan 00/01:237</w:t>
      </w:r>
    </w:p>
    <w:p w:rsidR="009C1C5A" w:rsidRPr="00896D4F" w:rsidRDefault="009C1C5A">
      <w:pPr>
        <w:pStyle w:val="PunktlistaTankstreck"/>
      </w:pPr>
      <w:r w:rsidRPr="00896D4F">
        <w:t>fråga rörande myndigheters skyldighet att vara tillgängliga via elektronisk post (e-post) 00/01:510</w:t>
      </w:r>
    </w:p>
    <w:p w:rsidR="009C1C5A" w:rsidRPr="00896D4F" w:rsidRDefault="009C1C5A">
      <w:pPr>
        <w:pStyle w:val="PunktlistaTankstreck"/>
      </w:pPr>
      <w:r w:rsidRPr="00896D4F">
        <w:t>kan en arbetsförmedling kräva att en sökande skall skriva på svenska? Även fråga om formulerin</w:t>
      </w:r>
      <w:r w:rsidRPr="00896D4F">
        <w:t>g</w:t>
      </w:r>
      <w:r w:rsidRPr="00896D4F">
        <w:t>en av ett sådant krav 00/01:245</w:t>
      </w:r>
    </w:p>
    <w:p w:rsidR="009C1C5A" w:rsidRPr="00896D4F" w:rsidRDefault="009C1C5A">
      <w:pPr>
        <w:pStyle w:val="PunktlistaTankstreck"/>
      </w:pPr>
      <w:r w:rsidRPr="00896D4F">
        <w:t>tiden för överklagande av förvaltningsbeslut 00/01:495</w:t>
      </w:r>
    </w:p>
    <w:p w:rsidR="009C1C5A" w:rsidRPr="00896D4F" w:rsidRDefault="009C1C5A">
      <w:pPr>
        <w:pStyle w:val="PunktlistaTankstreck"/>
      </w:pPr>
      <w:r w:rsidRPr="00896D4F">
        <w:t>fråga om sökandens rätt att i ett biståndsärende få lämna uppgifter muntligt 01/02:294</w:t>
      </w:r>
    </w:p>
    <w:p w:rsidR="009C1C5A" w:rsidRPr="00896D4F" w:rsidRDefault="009C1C5A">
      <w:pPr>
        <w:pStyle w:val="PunktlistaTankstreck"/>
      </w:pPr>
      <w:r w:rsidRPr="00896D4F">
        <w:t>en djurförsöksetisk nämnds handläggning vid beslutsfattande per capsulam 01/02:367</w:t>
      </w:r>
    </w:p>
    <w:p w:rsidR="009C1C5A" w:rsidRPr="00896D4F" w:rsidRDefault="009C1C5A">
      <w:pPr>
        <w:pStyle w:val="PunktlistaTankstreck"/>
      </w:pPr>
      <w:r w:rsidRPr="00896D4F">
        <w:t>handläggning av frågor om jäv för ledamot av djurförsöksetisk nämnd 01/02:361</w:t>
      </w:r>
    </w:p>
    <w:p w:rsidR="009C1C5A" w:rsidRPr="00896D4F" w:rsidRDefault="009C1C5A">
      <w:pPr>
        <w:pStyle w:val="PunktlistaTankstreck"/>
      </w:pPr>
      <w:r w:rsidRPr="00896D4F">
        <w:t>vidarebefordran av en skrivelse från en enskild till ledamöter i kommunala nämnder på deras hemadresser har inte ansetts omfattas av serviceskyldi</w:t>
      </w:r>
      <w:r w:rsidRPr="00896D4F">
        <w:t>g</w:t>
      </w:r>
      <w:r w:rsidRPr="00896D4F">
        <w:t>heten enligt fö</w:t>
      </w:r>
      <w:r w:rsidRPr="00896D4F">
        <w:t>r</w:t>
      </w:r>
      <w:r w:rsidRPr="00896D4F">
        <w:t>valtningslagen 01/02:425</w:t>
      </w:r>
    </w:p>
    <w:p w:rsidR="009C1C5A" w:rsidRPr="00896D4F" w:rsidRDefault="009C1C5A">
      <w:pPr>
        <w:pStyle w:val="PunktlistaTankstreck"/>
      </w:pPr>
      <w:r w:rsidRPr="00896D4F">
        <w:t>kritik mot en polismyndighet för dröjsmål med diarieföring och besvara</w:t>
      </w:r>
      <w:r w:rsidRPr="00896D4F">
        <w:t>n</w:t>
      </w:r>
      <w:r w:rsidRPr="00896D4F">
        <w:t>de av ett till myndigh</w:t>
      </w:r>
      <w:r w:rsidRPr="00896D4F">
        <w:t>e</w:t>
      </w:r>
      <w:r w:rsidRPr="00896D4F">
        <w:t>ten inkommet e-postmeddelande 02/03:147</w:t>
      </w:r>
    </w:p>
    <w:p w:rsidR="009C1C5A" w:rsidRPr="00896D4F" w:rsidRDefault="009C1C5A">
      <w:pPr>
        <w:pStyle w:val="PunktlistaTankstreck"/>
      </w:pPr>
      <w:r w:rsidRPr="00896D4F">
        <w:t>handläggningen av ett återkravsärende; bl.a. fråga om Centrala studi</w:t>
      </w:r>
      <w:r w:rsidRPr="00896D4F">
        <w:t>e</w:t>
      </w:r>
      <w:r w:rsidRPr="00896D4F">
        <w:t>stöds</w:t>
      </w:r>
      <w:r w:rsidRPr="00896D4F">
        <w:softHyphen/>
        <w:t>nämn</w:t>
      </w:r>
      <w:r w:rsidRPr="00896D4F">
        <w:softHyphen/>
        <w:t>den (CSN) varit förhindrad att ompröva ett beslut i av</w:t>
      </w:r>
      <w:r w:rsidRPr="00896D4F">
        <w:softHyphen/>
        <w:t>vaktan på Regeringsrättens prövning av en begäran om rättsprövning av beslutet 02/03:377</w:t>
      </w:r>
    </w:p>
    <w:p w:rsidR="009C1C5A" w:rsidRPr="00896D4F" w:rsidRDefault="009C1C5A">
      <w:pPr>
        <w:pStyle w:val="PunktlistaTankstreck"/>
      </w:pPr>
      <w:r w:rsidRPr="00896D4F">
        <w:t>handläggningen vid prövning av behandlingsförslag enligt 10 § tand</w:t>
      </w:r>
      <w:r w:rsidRPr="00896D4F">
        <w:softHyphen/>
        <w:t>vårds</w:t>
      </w:r>
      <w:r w:rsidRPr="00896D4F">
        <w:softHyphen/>
        <w:t>förordningen (1998:1338). Bl.a. fråga om omprövning av förhandsbedö</w:t>
      </w:r>
      <w:r w:rsidRPr="00896D4F">
        <w:t>m</w:t>
      </w:r>
      <w:r w:rsidRPr="00896D4F">
        <w:t>ningen 02/03:294</w:t>
      </w:r>
    </w:p>
    <w:p w:rsidR="009C1C5A" w:rsidRPr="00896D4F" w:rsidRDefault="009C1C5A">
      <w:pPr>
        <w:pStyle w:val="PunktlistaTankstreck"/>
      </w:pPr>
      <w:r w:rsidRPr="00896D4F">
        <w:t>fråga bl.a. om handläggningen av en ansökan om bistånd när socialnäm</w:t>
      </w:r>
      <w:r w:rsidRPr="00896D4F">
        <w:t>n</w:t>
      </w:r>
      <w:r w:rsidRPr="00896D4F">
        <w:t>den nyligen hade prövat frågan 02/03:218</w:t>
      </w:r>
    </w:p>
    <w:p w:rsidR="009C1C5A" w:rsidRPr="00896D4F" w:rsidRDefault="009C1C5A">
      <w:pPr>
        <w:pStyle w:val="PunktlistaTankstreck"/>
      </w:pPr>
      <w:r w:rsidRPr="00896D4F">
        <w:t>fråga om en socialnämnd var skyldig att kommunicera ett läkarutlåtande som kom in till nämnden i ett LVU-ärende efter att länsrätten hade hållit förhandling i målet angåe</w:t>
      </w:r>
      <w:r w:rsidRPr="00896D4F">
        <w:t>n</w:t>
      </w:r>
      <w:r w:rsidRPr="00896D4F">
        <w:t>de vård enligt LVU 02/03:287</w:t>
      </w:r>
    </w:p>
    <w:p w:rsidR="009C1C5A" w:rsidRPr="00896D4F" w:rsidRDefault="009C1C5A">
      <w:pPr>
        <w:pStyle w:val="PunktlistaTankstreck"/>
      </w:pPr>
      <w:r w:rsidRPr="00896D4F">
        <w:t>en byggnadsnämnds hantering av ett överklagande som getts in innan beslutet meddelats 02/03:396</w:t>
      </w:r>
    </w:p>
    <w:p w:rsidR="009C1C5A" w:rsidRPr="00896D4F" w:rsidRDefault="009C1C5A">
      <w:pPr>
        <w:pStyle w:val="PunktlistaTankstreck"/>
      </w:pPr>
      <w:r w:rsidRPr="00896D4F">
        <w:t>en miljö- och samhällsbyggnadsnämnd har dröjt med att översända ett överklagande till länsst</w:t>
      </w:r>
      <w:r w:rsidRPr="00896D4F">
        <w:t>y</w:t>
      </w:r>
      <w:r w:rsidRPr="00896D4F">
        <w:t>relsen 02/03:359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Förvaltningsprocess</w:t>
      </w:r>
    </w:p>
    <w:p w:rsidR="009C1C5A" w:rsidRPr="00896D4F" w:rsidRDefault="009C1C5A">
      <w:pPr>
        <w:pStyle w:val="PunktlistaTankstreck"/>
        <w:rPr>
          <w:b/>
        </w:rPr>
      </w:pPr>
      <w:r w:rsidRPr="00896D4F">
        <w:t>ett på JO:s initiativ upptaget ärende mot en länsrätt angående fråga om upprepade anstånd i ett mål rörande bistånd enligt socialtjänstlagen 99/00:199</w:t>
      </w:r>
    </w:p>
    <w:p w:rsidR="009C1C5A" w:rsidRPr="00896D4F" w:rsidRDefault="009C1C5A">
      <w:pPr>
        <w:pStyle w:val="PunktlistaTankstreck"/>
      </w:pPr>
      <w:r w:rsidRPr="00896D4F">
        <w:t>fråga angående offentliggörande av integritetskänsliga uppgifter i en dom, då muntlig förhandling hållits inom stängda dörrar 99/00:175</w:t>
      </w:r>
    </w:p>
    <w:p w:rsidR="009C1C5A" w:rsidRPr="00896D4F" w:rsidRDefault="009C1C5A">
      <w:pPr>
        <w:pStyle w:val="PunktlistaTankstreck"/>
      </w:pPr>
      <w:r w:rsidRPr="00896D4F">
        <w:t>kritik mot kammarrätt för dröjsmål med handläggningen av ett inhib</w:t>
      </w:r>
      <w:r w:rsidRPr="00896D4F">
        <w:t>i</w:t>
      </w:r>
      <w:r w:rsidRPr="00896D4F">
        <w:t>tions</w:t>
      </w:r>
      <w:r w:rsidRPr="00896D4F">
        <w:softHyphen/>
        <w:t>yrkande 99/00:173</w:t>
      </w:r>
    </w:p>
    <w:p w:rsidR="009C1C5A" w:rsidRPr="00896D4F" w:rsidRDefault="009C1C5A">
      <w:pPr>
        <w:pStyle w:val="PunktlistaTankstreck"/>
      </w:pPr>
      <w:r w:rsidRPr="00896D4F">
        <w:t>kritik mot en länsrätt för att muntlig förhandling hållits i ett mål enligt lagen (1991:1128) om psykiatrisk tvångsvård (LPT) i parts utevaro och utan att något offentligt biträde förordnats 99/00:180</w:t>
      </w:r>
    </w:p>
    <w:p w:rsidR="009C1C5A" w:rsidRPr="00896D4F" w:rsidRDefault="009C1C5A">
      <w:pPr>
        <w:pStyle w:val="PunktlistaTankstreck"/>
      </w:pPr>
      <w:r w:rsidRPr="00896D4F">
        <w:t>på JO:s initiativ upptagen fråga om förutsättning förelegat att vidta själv</w:t>
      </w:r>
      <w:r w:rsidRPr="00896D4F">
        <w:softHyphen/>
        <w:t>rättelse med stöd av 32 § förvaltningsprocesslagen (1971:291) 99/00:204</w:t>
      </w:r>
    </w:p>
    <w:p w:rsidR="009C1C5A" w:rsidRPr="00896D4F" w:rsidRDefault="009C1C5A">
      <w:pPr>
        <w:pStyle w:val="PunktlistaTankstreck"/>
      </w:pPr>
      <w:r w:rsidRPr="00896D4F">
        <w:t>fråga om en länsrätts beslut att inte pröva eventuella framtida yrkanden m.m. 00/01:232</w:t>
      </w:r>
    </w:p>
    <w:p w:rsidR="009C1C5A" w:rsidRPr="00896D4F" w:rsidRDefault="009C1C5A">
      <w:pPr>
        <w:pStyle w:val="PunktlistaTankstreck"/>
      </w:pPr>
      <w:r w:rsidRPr="00896D4F">
        <w:t>fråga om en länsrätts avgörande av mål innan den för klaganden beviljade anståndstiden löpt ut 01/02:174</w:t>
      </w:r>
    </w:p>
    <w:p w:rsidR="009C1C5A" w:rsidRPr="00896D4F" w:rsidRDefault="009C1C5A">
      <w:pPr>
        <w:pStyle w:val="PunktlistaTankstreck"/>
      </w:pPr>
      <w:r w:rsidRPr="00896D4F">
        <w:t>kritik mot en domare för handläggningen av ett inhibitionsyrkande, bl.a. för felaktiga muntliga besked som lämnades till klaganden i anslutning till yrka</w:t>
      </w:r>
      <w:r w:rsidRPr="00896D4F">
        <w:t>n</w:t>
      </w:r>
      <w:r w:rsidRPr="00896D4F">
        <w:t>det 01/02:172</w:t>
      </w:r>
    </w:p>
    <w:p w:rsidR="009C1C5A" w:rsidRPr="00896D4F" w:rsidRDefault="009C1C5A">
      <w:pPr>
        <w:pStyle w:val="PunktlistaTankstreck"/>
      </w:pPr>
      <w:r w:rsidRPr="00896D4F">
        <w:t>en länsrätt har vid en muntlig förhandling som var offentlig tillfrågat åh</w:t>
      </w:r>
      <w:r w:rsidRPr="00896D4F">
        <w:t>ö</w:t>
      </w:r>
      <w:r w:rsidRPr="00896D4F">
        <w:t>rare om namn och a</w:t>
      </w:r>
      <w:r w:rsidRPr="00896D4F">
        <w:t>n</w:t>
      </w:r>
      <w:r w:rsidRPr="00896D4F">
        <w:t>tecknat uppgifterna i protokollet 02/03:168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Förvaltningsrättsliga principer</w:t>
      </w:r>
    </w:p>
    <w:p w:rsidR="009C1C5A" w:rsidRPr="00896D4F" w:rsidRDefault="009C1C5A">
      <w:pPr>
        <w:pStyle w:val="PunktlistaTankstreck"/>
      </w:pPr>
      <w:r w:rsidRPr="00896D4F">
        <w:t>en kommunal nämnds krav på särskild bevisning för beviljande av dispens från kommunens renhållningsordning har ansetts oförenligt med förval</w:t>
      </w:r>
      <w:r w:rsidRPr="00896D4F">
        <w:t>t</w:t>
      </w:r>
      <w:r w:rsidRPr="00896D4F">
        <w:t>ningsrättsliga principer om bevisprövning 01/02:430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Föräldrabalken</w:t>
      </w:r>
    </w:p>
    <w:p w:rsidR="009C1C5A" w:rsidRPr="00896D4F" w:rsidRDefault="009C1C5A">
      <w:pPr>
        <w:pStyle w:val="PunktlistaTankstreck"/>
        <w:rPr>
          <w:b/>
        </w:rPr>
      </w:pPr>
      <w:r w:rsidRPr="00896D4F">
        <w:t>polisbefäls instruktioner till underlydande polismän i samband med ett ingripande föranlett av en vårdnadstvist; även fråga om polismännens upp</w:t>
      </w:r>
      <w:r w:rsidRPr="00896D4F">
        <w:softHyphen/>
        <w:t>trädande på platsen för i</w:t>
      </w:r>
      <w:r w:rsidRPr="00896D4F">
        <w:t>n</w:t>
      </w:r>
      <w:r w:rsidRPr="00896D4F">
        <w:t>gripandet 99/00:135</w:t>
      </w:r>
    </w:p>
    <w:p w:rsidR="009C1C5A" w:rsidRPr="00896D4F" w:rsidRDefault="009C1C5A">
      <w:pPr>
        <w:pStyle w:val="PunktlistaTankstreck"/>
      </w:pPr>
      <w:r w:rsidRPr="00896D4F">
        <w:t>fråga om en socialnämnds handläggning när domstol förordnat att en fö</w:t>
      </w:r>
      <w:r w:rsidRPr="00896D4F">
        <w:t>r</w:t>
      </w:r>
      <w:r w:rsidRPr="00896D4F">
        <w:t>älders umgänge med barn skall utövas i närvaro av en kontaktperson som utses av socialnämnden; även fråga bl.a. om det på grund av jäv förelåg hinder för en tjänsteman att fatta beslut angående entledigande av en ko</w:t>
      </w:r>
      <w:r w:rsidRPr="00896D4F">
        <w:t>n</w:t>
      </w:r>
      <w:r w:rsidRPr="00896D4F">
        <w:t>taktperson när en berörd förälder var anställd vid samma förvaltning som tjänstemannen 02/03:252</w:t>
      </w:r>
    </w:p>
    <w:p w:rsidR="009C1C5A" w:rsidRPr="00896D4F" w:rsidRDefault="009C1C5A">
      <w:pPr>
        <w:pStyle w:val="PunktlistaTankstreck"/>
      </w:pPr>
      <w:r w:rsidRPr="00896D4F">
        <w:t>fråga om två avtal angående umgänge med barn var utformade så att soc</w:t>
      </w:r>
      <w:r w:rsidRPr="00896D4F">
        <w:t>i</w:t>
      </w:r>
      <w:r w:rsidRPr="00896D4F">
        <w:t>alnämnden bort godkä</w:t>
      </w:r>
      <w:r w:rsidRPr="00896D4F">
        <w:t>n</w:t>
      </w:r>
      <w:r w:rsidRPr="00896D4F">
        <w:t>na dem 02/03:283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Gatuhållning</w:t>
      </w:r>
    </w:p>
    <w:p w:rsidR="009C1C5A" w:rsidRPr="00896D4F" w:rsidRDefault="009C1C5A">
      <w:pPr>
        <w:pStyle w:val="PunktlistaTankstreck"/>
      </w:pPr>
      <w:r w:rsidRPr="00896D4F">
        <w:t>en kommunal myndighets rätt att till enskilda överlämna förvaltningsup</w:t>
      </w:r>
      <w:r w:rsidRPr="00896D4F">
        <w:t>p</w:t>
      </w:r>
      <w:r w:rsidRPr="00896D4F">
        <w:t>gifter: att på gator anordna farthinder och sätta upp vägmärken härom 02/03:440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God man</w:t>
      </w:r>
    </w:p>
    <w:p w:rsidR="009C1C5A" w:rsidRPr="00896D4F" w:rsidRDefault="009C1C5A">
      <w:pPr>
        <w:pStyle w:val="PunktlistaTankstreck"/>
      </w:pPr>
      <w:r w:rsidRPr="00896D4F">
        <w:t>fråga om förutsättningar förelåg att förordna god man i ett faderskapsmål 00/01:40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Grundlagsfrågor</w:t>
      </w:r>
    </w:p>
    <w:p w:rsidR="009C1C5A" w:rsidRPr="00896D4F" w:rsidRDefault="009C1C5A">
      <w:pPr>
        <w:pStyle w:val="PunktlistaTankstreck"/>
      </w:pPr>
      <w:r w:rsidRPr="00896D4F">
        <w:t>kritik mot ordförande i gymnasienämnd för åtgärder som denne vidtagit mot nämndsekreterare för uttalanden i lokalpressen 99/00:424</w:t>
      </w:r>
    </w:p>
    <w:p w:rsidR="009C1C5A" w:rsidRPr="00896D4F" w:rsidRDefault="009C1C5A">
      <w:pPr>
        <w:pStyle w:val="PunktlistaTankstreck"/>
      </w:pPr>
      <w:r w:rsidRPr="00896D4F">
        <w:t>tjänstemän vid en förvaltning har i ett diskussionsunderlag, skrivet på för</w:t>
      </w:r>
      <w:r w:rsidRPr="00896D4F">
        <w:softHyphen/>
        <w:t>valtningens papper, framfört vissa åsikter. Diskussionsunderlaget har, utan förvaltningens kännedom, överlämnats av tjänstemännen till ett statsråd och även delats ut till</w:t>
      </w:r>
      <w:r w:rsidRPr="00896D4F">
        <w:rPr>
          <w:rFonts w:ascii="Garamond" w:hAnsi="Garamond"/>
        </w:rPr>
        <w:t xml:space="preserve"> </w:t>
      </w:r>
      <w:r w:rsidRPr="00896D4F">
        <w:t>deltagare vid en konferens. Kritik har riktats mot chefen för förvaltningen avseende de åtgärder som vidtagits mot tjänste</w:t>
      </w:r>
      <w:r w:rsidRPr="00896D4F">
        <w:softHyphen/>
        <w:t>männen i anledning av det inträffade 99/00:429</w:t>
      </w:r>
    </w:p>
    <w:p w:rsidR="009C1C5A" w:rsidRPr="00896D4F" w:rsidRDefault="009C1C5A">
      <w:pPr>
        <w:pStyle w:val="PunktlistaTankstreck"/>
      </w:pPr>
      <w:r w:rsidRPr="00896D4F">
        <w:t>fråga om rektor genom att neka politiskt ungdomsförbund att bedriva verk</w:t>
      </w:r>
      <w:r w:rsidRPr="00896D4F">
        <w:softHyphen/>
        <w:t>samhet i skola handlat grundlagsstridigt 99/00:418</w:t>
      </w:r>
    </w:p>
    <w:p w:rsidR="009C1C5A" w:rsidRPr="00896D4F" w:rsidRDefault="009C1C5A">
      <w:pPr>
        <w:pStyle w:val="PunktlistaTankstreck"/>
      </w:pPr>
      <w:r w:rsidRPr="00896D4F">
        <w:t>rektor har förbjudit pe</w:t>
      </w:r>
      <w:r w:rsidRPr="00896D4F">
        <w:t>r</w:t>
      </w:r>
      <w:r w:rsidRPr="00896D4F">
        <w:t>sonalen att använda skolans interna postdistri</w:t>
      </w:r>
      <w:r w:rsidRPr="00896D4F">
        <w:softHyphen/>
        <w:t>bueringssystem (postfack) för utdelning av privata meddelanden. – Fråga om skolan har rätt att ingripa mot spridning av politisk propaganda som läggs i postfacken 99/00:422</w:t>
      </w:r>
    </w:p>
    <w:p w:rsidR="009C1C5A" w:rsidRPr="00896D4F" w:rsidRDefault="009C1C5A">
      <w:pPr>
        <w:pStyle w:val="PunktlistaTankstreck"/>
      </w:pPr>
      <w:r w:rsidRPr="00896D4F">
        <w:t>att en byggnadsnämnd låtit ett privat företag bestrida kostnaderna för ett extra nämndsammanträde har ansetts strida mot 1 kap. 9 § regeringsformen 99/00:366</w:t>
      </w:r>
    </w:p>
    <w:p w:rsidR="009C1C5A" w:rsidRPr="00896D4F" w:rsidRDefault="009C1C5A">
      <w:pPr>
        <w:pStyle w:val="PunktlistaTankstreck"/>
      </w:pPr>
      <w:r w:rsidRPr="00896D4F">
        <w:t>kritik mot rättspsykiatrisk enhet för genomförandet av ytliga kropps</w:t>
      </w:r>
      <w:r w:rsidRPr="00896D4F">
        <w:softHyphen/>
        <w:t>besiktningar och kontroll av brevförsändelser. Även kritik för under</w:t>
      </w:r>
      <w:r w:rsidRPr="00896D4F">
        <w:softHyphen/>
        <w:t>låtenhet att dokumentera dessa tvångsåtgärder i patientjournalen 00/01:346</w:t>
      </w:r>
    </w:p>
    <w:p w:rsidR="009C1C5A" w:rsidRPr="00896D4F" w:rsidRDefault="009C1C5A">
      <w:pPr>
        <w:pStyle w:val="PunktlistaTankstreck"/>
        <w:rPr>
          <w:caps/>
        </w:rPr>
      </w:pPr>
      <w:r w:rsidRPr="00896D4F">
        <w:t xml:space="preserve">uttalande rörande av sjukhus utfärdade </w:t>
      </w:r>
      <w:r w:rsidRPr="00896D4F">
        <w:rPr>
          <w:i/>
        </w:rPr>
        <w:t>Riktlinjer för utlämnande av löne</w:t>
      </w:r>
      <w:r w:rsidRPr="00896D4F">
        <w:rPr>
          <w:i/>
        </w:rPr>
        <w:softHyphen/>
        <w:t>uppgift</w:t>
      </w:r>
      <w:r w:rsidRPr="00896D4F">
        <w:t>. Fråga om rik</w:t>
      </w:r>
      <w:r w:rsidRPr="00896D4F">
        <w:t>t</w:t>
      </w:r>
      <w:r w:rsidRPr="00896D4F">
        <w:t>linjerna stått i strid med det s.k. efterforsknings</w:t>
      </w:r>
      <w:r w:rsidRPr="00896D4F">
        <w:softHyphen/>
        <w:t>förbudet i 2 kap. 14 § tryckfrihetsförordningen (TF) 00/01: 527</w:t>
      </w:r>
    </w:p>
    <w:p w:rsidR="009C1C5A" w:rsidRPr="00896D4F" w:rsidRDefault="009C1C5A">
      <w:pPr>
        <w:pStyle w:val="PunktlistaTankstreck"/>
        <w:rPr>
          <w:caps/>
        </w:rPr>
      </w:pPr>
      <w:r w:rsidRPr="00896D4F">
        <w:t>förvaltningschef har utfärdat riktlinjer rörande lärares och elevers konta</w:t>
      </w:r>
      <w:r w:rsidRPr="00896D4F">
        <w:t>k</w:t>
      </w:r>
      <w:r w:rsidRPr="00896D4F">
        <w:t>ter med massmedia. – Fråga om förvaltningschefen härigenom kränkt den e</w:t>
      </w:r>
      <w:r w:rsidRPr="00896D4F">
        <w:t>n</w:t>
      </w:r>
      <w:r w:rsidRPr="00896D4F">
        <w:t>skildes meddelar- och yttrandefrihet 00/01:581</w:t>
      </w:r>
    </w:p>
    <w:p w:rsidR="009C1C5A" w:rsidRPr="00896D4F" w:rsidRDefault="009C1C5A">
      <w:pPr>
        <w:pStyle w:val="PunktlistaTankstreck"/>
      </w:pPr>
      <w:r w:rsidRPr="00896D4F">
        <w:t xml:space="preserve">handläggningen av en begäran om utlämnande av allmän handling. Kritik mot Husie stadsdelsfullmäktige för att sökanden avkrävts identitetsuppgift. </w:t>
      </w:r>
    </w:p>
    <w:p w:rsidR="009C1C5A" w:rsidRPr="00896D4F" w:rsidRDefault="009C1C5A">
      <w:pPr>
        <w:pStyle w:val="PunktlistaTankstreck"/>
      </w:pPr>
      <w:r w:rsidRPr="00896D4F">
        <w:t>fråga om efterforskningsförbudet i 2 kap. 14 § tredje stycket tryckfri</w:t>
      </w:r>
      <w:r w:rsidRPr="00896D4F">
        <w:softHyphen/>
        <w:t xml:space="preserve">hetsförordningen (TF) överträtts 00/01:578 </w:t>
      </w:r>
    </w:p>
    <w:p w:rsidR="009C1C5A" w:rsidRPr="00896D4F" w:rsidRDefault="009C1C5A">
      <w:pPr>
        <w:pStyle w:val="PunktlistaTankstreck"/>
      </w:pPr>
      <w:r w:rsidRPr="00896D4F">
        <w:t>åtal mot en tjänsteman för brott mot efterforskningsförbudet i 2 kap. 4 och 5 §§ yttrandefrihet</w:t>
      </w:r>
      <w:r w:rsidRPr="00896D4F">
        <w:t>s</w:t>
      </w:r>
      <w:r w:rsidRPr="00896D4F">
        <w:t>grundlagen 00/01:542</w:t>
      </w:r>
    </w:p>
    <w:p w:rsidR="009C1C5A" w:rsidRPr="00896D4F" w:rsidRDefault="009C1C5A">
      <w:pPr>
        <w:pStyle w:val="PunktlistaTankstreck"/>
      </w:pPr>
      <w:r w:rsidRPr="00896D4F">
        <w:t>I en grundskola omhändertog personal en s.k. laserpenna, tillhörig en elev. Pennan återlämnades först efter nära ett och ett halvt år. – Fråga om de rättsliga grunderna för omhändertagandet. Även kritik för dröjsmålet med att återlämna pennan 01/02:380</w:t>
      </w:r>
    </w:p>
    <w:p w:rsidR="009C1C5A" w:rsidRPr="00896D4F" w:rsidRDefault="009C1C5A">
      <w:pPr>
        <w:pStyle w:val="PunktlistaTankstreck"/>
      </w:pPr>
      <w:r w:rsidRPr="00896D4F">
        <w:t>fråga om anlitande av privata rättssubjekt som utredare inom  socialtjän</w:t>
      </w:r>
      <w:r w:rsidRPr="00896D4F">
        <w:t>s</w:t>
      </w:r>
      <w:r w:rsidRPr="00896D4F">
        <w:t>ten 01/02:250</w:t>
      </w:r>
    </w:p>
    <w:p w:rsidR="009C1C5A" w:rsidRPr="00896D4F" w:rsidRDefault="009C1C5A">
      <w:pPr>
        <w:pStyle w:val="PunktlistaTankstreck"/>
      </w:pPr>
      <w:r w:rsidRPr="00896D4F">
        <w:t>användning av ett folkbiblioteks dator för sökningar på Internet, bl.a. fråga om ett bibliotek får bestämma regler om vilken information som får hä</w:t>
      </w:r>
      <w:r w:rsidRPr="00896D4F">
        <w:t>m</w:t>
      </w:r>
      <w:r w:rsidRPr="00896D4F">
        <w:t>tas in och kontrollera att reglerna följs 01/02:469</w:t>
      </w:r>
    </w:p>
    <w:p w:rsidR="009C1C5A" w:rsidRPr="00896D4F" w:rsidRDefault="009C1C5A">
      <w:pPr>
        <w:pStyle w:val="PunktlistaTankstreck"/>
      </w:pPr>
      <w:r w:rsidRPr="00896D4F">
        <w:t>fråga om meddelarfrihet rått för uppgifter som en yrkesinspektör fått kä</w:t>
      </w:r>
      <w:r w:rsidRPr="00896D4F">
        <w:t>n</w:t>
      </w:r>
      <w:r w:rsidRPr="00896D4F">
        <w:t>nedom om i samband med inspektion av ett s.k. korttidshem 02/03:486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Handläggningstid</w:t>
      </w:r>
    </w:p>
    <w:p w:rsidR="009C1C5A" w:rsidRPr="00896D4F" w:rsidRDefault="009C1C5A">
      <w:pPr>
        <w:pStyle w:val="PunktlistaTankstreck"/>
      </w:pPr>
      <w:r w:rsidRPr="00896D4F">
        <w:t>handläggningen av en ansökan om förlängning av etableringstillstånd för sjukgymnast 99/00:289</w:t>
      </w:r>
    </w:p>
    <w:p w:rsidR="009C1C5A" w:rsidRPr="00896D4F" w:rsidRDefault="009C1C5A">
      <w:pPr>
        <w:pStyle w:val="PunktlistaTankstreck"/>
      </w:pPr>
      <w:r w:rsidRPr="00896D4F">
        <w:t>kritik mot kammarrätt för dröjsmål med handläggningen av ett inhib</w:t>
      </w:r>
      <w:r w:rsidRPr="00896D4F">
        <w:t>i</w:t>
      </w:r>
      <w:r w:rsidRPr="00896D4F">
        <w:t>tions</w:t>
      </w:r>
      <w:r w:rsidRPr="00896D4F">
        <w:softHyphen/>
        <w:t>yrkande 99/00:173</w:t>
      </w:r>
    </w:p>
    <w:p w:rsidR="009C1C5A" w:rsidRPr="00896D4F" w:rsidRDefault="009C1C5A">
      <w:pPr>
        <w:pStyle w:val="PunktlistaTankstreck"/>
      </w:pPr>
      <w:r w:rsidRPr="00896D4F">
        <w:t>kritik mot en miljö- och hälsoskyddsnämnd för långsam handläggning av ett ärende rörande bullerstörningar från ett nöjesfält (Gröna Lund) 02/03:348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Handräckning</w:t>
      </w:r>
    </w:p>
    <w:p w:rsidR="009C1C5A" w:rsidRPr="00896D4F" w:rsidRDefault="009C1C5A">
      <w:pPr>
        <w:pStyle w:val="PunktlistaTankstreck"/>
      </w:pPr>
      <w:r w:rsidRPr="00896D4F">
        <w:t>företrädare för socialnämnd bör som regel närvara vid polishandräckning enligt 43 § 2 lagen (1990:52) med särskilda bestämmelser om vård av unga 99/00:270</w:t>
      </w:r>
    </w:p>
    <w:p w:rsidR="009C1C5A" w:rsidRPr="00896D4F" w:rsidRDefault="009C1C5A">
      <w:pPr>
        <w:pStyle w:val="PunktlistaTankstreck"/>
      </w:pPr>
      <w:r w:rsidRPr="00896D4F">
        <w:t>polisens handläggning av en begäran om handräckning enligt lagen (1991:1128) om psykiatrisk tvångsvård samt uttalanden om polisens mö</w:t>
      </w:r>
      <w:r w:rsidRPr="00896D4F">
        <w:t>j</w:t>
      </w:r>
      <w:r w:rsidRPr="00896D4F">
        <w:t>ligheter att överlämna uppdrag till Kriminalvårdens Transporttjänst 00/01:95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Husrannsakan</w:t>
      </w:r>
    </w:p>
    <w:p w:rsidR="009C1C5A" w:rsidRPr="00896D4F" w:rsidRDefault="009C1C5A">
      <w:pPr>
        <w:pStyle w:val="PunktlistaTankstreck"/>
      </w:pPr>
      <w:r w:rsidRPr="00896D4F">
        <w:t>disciplinansvar för en närpolischef som hade fattat ett beslut om husrann</w:t>
      </w:r>
      <w:r w:rsidRPr="00896D4F">
        <w:softHyphen/>
        <w:t>sakan utan att ha beh</w:t>
      </w:r>
      <w:r w:rsidRPr="00896D4F">
        <w:t>ö</w:t>
      </w:r>
      <w:r w:rsidRPr="00896D4F">
        <w:t>righet till det 99/00:57</w:t>
      </w:r>
    </w:p>
    <w:p w:rsidR="009C1C5A" w:rsidRPr="00896D4F" w:rsidRDefault="009C1C5A">
      <w:pPr>
        <w:pStyle w:val="PunktlistaTankstreck"/>
      </w:pPr>
      <w:r w:rsidRPr="00896D4F">
        <w:t>personal vid ett häkte har låtit en polisman undersöka en häktads egendom, som förvarades i ett låst värdeskåp 99/00:148</w:t>
      </w:r>
    </w:p>
    <w:p w:rsidR="009C1C5A" w:rsidRPr="00896D4F" w:rsidRDefault="009C1C5A">
      <w:pPr>
        <w:pStyle w:val="PunktlistaTankstreck"/>
      </w:pPr>
      <w:r w:rsidRPr="00896D4F">
        <w:t>en åklagares beslut om personell husrannsakan för eftersökande av en för mord misstänkt person, trots att något annat tvångsmedelsbeslut inte des</w:t>
      </w:r>
      <w:r w:rsidRPr="00896D4F">
        <w:t>s</w:t>
      </w:r>
      <w:r w:rsidRPr="00896D4F">
        <w:t>förinnan hade fattats beträffande den efte</w:t>
      </w:r>
      <w:r w:rsidRPr="00896D4F">
        <w:t>r</w:t>
      </w:r>
      <w:r w:rsidRPr="00896D4F">
        <w:t>sökte 01/02:113</w:t>
      </w:r>
    </w:p>
    <w:p w:rsidR="009C1C5A" w:rsidRPr="00896D4F" w:rsidRDefault="009C1C5A">
      <w:pPr>
        <w:pStyle w:val="PunktlistaTankstreck"/>
      </w:pPr>
      <w:r w:rsidRPr="00896D4F">
        <w:t>fråga om rättsliga förutsättningar förelegat för ett beslut om husrannsakan i transportmedel 01/02:130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Häktning</w:t>
      </w:r>
    </w:p>
    <w:p w:rsidR="009C1C5A" w:rsidRPr="00896D4F" w:rsidRDefault="009C1C5A">
      <w:pPr>
        <w:pStyle w:val="PunktlistaTankstreck"/>
      </w:pPr>
      <w:r w:rsidRPr="00896D4F">
        <w:t>frågan om ett häktningsbeslut borde ha hävts när åtalet kom att avse andra brott än de som låg till grund för häktningen 99/00:32</w:t>
      </w:r>
    </w:p>
    <w:p w:rsidR="009C1C5A" w:rsidRPr="00896D4F" w:rsidRDefault="009C1C5A">
      <w:pPr>
        <w:pStyle w:val="PunktlistaTankstreck"/>
      </w:pPr>
      <w:r w:rsidRPr="00896D4F">
        <w:t>en rådman vägrade att hålla häktningsförhandling med hänvisning till att åklagaren inte hade tillhandahållit rätten något skriftligt utredningsmaterial 00/01:55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Hälso- och sjukvård</w:t>
      </w:r>
    </w:p>
    <w:p w:rsidR="009C1C5A" w:rsidRPr="00896D4F" w:rsidRDefault="009C1C5A">
      <w:pPr>
        <w:pStyle w:val="PunktlistaTankstreck"/>
      </w:pPr>
      <w:r w:rsidRPr="00896D4F">
        <w:t>kritik mot en överläkare för det sätt på vilket en psykiskt utvecklingsstörd pojke återförts till sjukhus enligt bestämmelserna i lagen (1991:1128) om psykiatrisk tvångsvård (LPT). Även fråga om omfatt</w:t>
      </w:r>
      <w:r w:rsidRPr="00896D4F">
        <w:softHyphen/>
        <w:t>ningen av polisens skyldighet att lämna handräckningsbiträde enligt 47 § LPT 00/01:339</w:t>
      </w:r>
    </w:p>
    <w:p w:rsidR="009C1C5A" w:rsidRPr="00896D4F" w:rsidRDefault="009C1C5A">
      <w:pPr>
        <w:pStyle w:val="PunktlistaTankstreck"/>
      </w:pPr>
      <w:r w:rsidRPr="00896D4F">
        <w:t>handläggningen av ett ärende avseende journalförstöring – fråga om Soc</w:t>
      </w:r>
      <w:r w:rsidRPr="00896D4F">
        <w:t>i</w:t>
      </w:r>
      <w:r w:rsidRPr="00896D4F">
        <w:t>alstyrelsen haft att pröva en ny framställan i samma sak oaktat det först avgjorda ärendet var föremål för överprö</w:t>
      </w:r>
      <w:r w:rsidRPr="00896D4F">
        <w:t>v</w:t>
      </w:r>
      <w:r w:rsidRPr="00896D4F">
        <w:t>ning i domstol 00/01:349</w:t>
      </w:r>
    </w:p>
    <w:p w:rsidR="009C1C5A" w:rsidRPr="00896D4F" w:rsidRDefault="009C1C5A">
      <w:pPr>
        <w:pStyle w:val="PunktlistaTankstreck"/>
      </w:pPr>
      <w:r w:rsidRPr="00896D4F">
        <w:t>ett på JO:s initiativ upptaget ärende mot Kriminalvårdsmyndigheten Ör</w:t>
      </w:r>
      <w:r w:rsidRPr="00896D4F">
        <w:t>e</w:t>
      </w:r>
      <w:r w:rsidRPr="00896D4F">
        <w:t>bro, anstalten Hinseberg, och Kriminalvårdsmyndigheten Kumla (sjuk</w:t>
      </w:r>
      <w:r w:rsidRPr="00896D4F">
        <w:softHyphen/>
        <w:t>vårdsavdelningarna) angående hanteringen av vissa sekretessbelagda handlingar 00/01:518</w:t>
      </w:r>
    </w:p>
    <w:p w:rsidR="009C1C5A" w:rsidRPr="00896D4F" w:rsidRDefault="009C1C5A">
      <w:pPr>
        <w:pStyle w:val="PunktlistaTankstreck"/>
      </w:pPr>
      <w:r w:rsidRPr="00896D4F">
        <w:t>handläggningen av ett tillsynsärende; fråga om en legitimerad psykolog som avgivit två sakkunnigyttranden stått under socialstyrelsens tillsyn 01/02:299</w:t>
      </w:r>
    </w:p>
    <w:p w:rsidR="009C1C5A" w:rsidRPr="00896D4F" w:rsidRDefault="009C1C5A">
      <w:pPr>
        <w:pStyle w:val="PunktlistaTankstreck"/>
      </w:pPr>
      <w:r w:rsidRPr="00896D4F">
        <w:t>kritik mot barn- och ungdomspsykiatrisk verksamhet för under</w:t>
      </w:r>
      <w:r w:rsidRPr="00896D4F">
        <w:softHyphen/>
        <w:t>låtenhet att, vid misstanke om att ett barn utsatts för sexuella övergrepp, anmäla saken till socialnämnden. – Även fråga om skyldighet att underrätta vårdnadsh</w:t>
      </w:r>
      <w:r w:rsidRPr="00896D4F">
        <w:t>a</w:t>
      </w:r>
      <w:r w:rsidRPr="00896D4F">
        <w:t>vare 02/03:290</w:t>
      </w:r>
    </w:p>
    <w:p w:rsidR="009C1C5A" w:rsidRPr="00896D4F" w:rsidRDefault="009C1C5A">
      <w:pPr>
        <w:pStyle w:val="PunktlistaTankstreck"/>
      </w:pPr>
      <w:r w:rsidRPr="00896D4F">
        <w:t>handläggningen vid prövning av behandlingsförslag enligt 10 § tandvård</w:t>
      </w:r>
      <w:r w:rsidRPr="00896D4F">
        <w:t>s</w:t>
      </w:r>
      <w:r w:rsidRPr="00896D4F">
        <w:t>förord</w:t>
      </w:r>
      <w:r w:rsidRPr="00896D4F">
        <w:softHyphen/>
        <w:t>ningen (1998:1338). Bl.a. fråga om beslut i sådana ärenden kan överklagas 02/03:294</w:t>
      </w:r>
    </w:p>
    <w:p w:rsidR="009C1C5A" w:rsidRPr="00896D4F" w:rsidRDefault="009C1C5A">
      <w:pPr>
        <w:pStyle w:val="PunktlistaTankstreck"/>
      </w:pPr>
      <w:r w:rsidRPr="00896D4F">
        <w:t>fråga om förutsättningarna för enhet inom hälso- och sjukvården att kva</w:t>
      </w:r>
      <w:r w:rsidRPr="00896D4F">
        <w:t>r</w:t>
      </w:r>
      <w:r w:rsidRPr="00896D4F">
        <w:t>hålla en patient som är föremål för vård enligt lagen (1988:870) om vård av missbrukare i vissa fall, LVM 02/03:301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Hämtning till förhör</w:t>
      </w:r>
    </w:p>
    <w:p w:rsidR="009C1C5A" w:rsidRPr="00896D4F" w:rsidRDefault="009C1C5A">
      <w:pPr>
        <w:pStyle w:val="PunktlistaTankstreck"/>
      </w:pPr>
      <w:r w:rsidRPr="00896D4F">
        <w:t>en polismyndighets handläggning av en mordutredning med barn inbla</w:t>
      </w:r>
      <w:r w:rsidRPr="00896D4F">
        <w:t>n</w:t>
      </w:r>
      <w:r w:rsidRPr="00896D4F">
        <w:t>dade 01/02:51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Indrivning</w:t>
      </w:r>
    </w:p>
    <w:p w:rsidR="009C1C5A" w:rsidRPr="00896D4F" w:rsidRDefault="009C1C5A">
      <w:pPr>
        <w:pStyle w:val="PunktlistaTankstreck"/>
      </w:pPr>
      <w:r w:rsidRPr="00896D4F">
        <w:t>Post- och telestyrelsen sökte vid indrivning av en fordran verkställighet av en icke lagakraftvunnen, senare upphävd, dom utan att ånyo kräva beta</w:t>
      </w:r>
      <w:r w:rsidRPr="00896D4F">
        <w:t>l</w:t>
      </w:r>
      <w:r w:rsidRPr="00896D4F">
        <w:t>ning, vilket ledde till registrering för betalningsförsummelse (betalning</w:t>
      </w:r>
      <w:r w:rsidRPr="00896D4F">
        <w:t>s</w:t>
      </w:r>
      <w:r w:rsidRPr="00896D4F">
        <w:t>anmärkning). Förfarandet har prövats enligt såväl regler om utsökning och personlig integritet som en allmän proportionalitetsprincip 02/03:385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Internutredning</w:t>
      </w:r>
    </w:p>
    <w:p w:rsidR="009C1C5A" w:rsidRPr="00896D4F" w:rsidRDefault="009C1C5A">
      <w:pPr>
        <w:pStyle w:val="PunktlistaTankstreck"/>
      </w:pPr>
      <w:r w:rsidRPr="00896D4F">
        <w:t>skrivelse till Justitiedepartementet med synpunkter med anledning av iakttagelser gjorda under inspektioner vid vissa av polisens internutre</w:t>
      </w:r>
      <w:r w:rsidRPr="00896D4F">
        <w:t>d</w:t>
      </w:r>
      <w:r w:rsidRPr="00896D4F">
        <w:t>ningse</w:t>
      </w:r>
      <w:r w:rsidRPr="00896D4F">
        <w:t>n</w:t>
      </w:r>
      <w:r w:rsidRPr="00896D4F">
        <w:t>heter m.m. 00/01:204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Jakt</w:t>
      </w:r>
    </w:p>
    <w:p w:rsidR="009C1C5A" w:rsidRPr="00896D4F" w:rsidRDefault="009C1C5A">
      <w:pPr>
        <w:pStyle w:val="PunktlistaTankstreck"/>
      </w:pPr>
      <w:r w:rsidRPr="00896D4F">
        <w:t>kan en länsstyrelse med stöd av 23 § jaktförordningen (1987:905) bevilja generella undantag från förbudet att medföra skjutvapen vid färd med motordrivet fordon i terräng 99/00:220</w:t>
      </w:r>
    </w:p>
    <w:p w:rsidR="009C1C5A" w:rsidRPr="00896D4F" w:rsidRDefault="009C1C5A">
      <w:pPr>
        <w:pStyle w:val="PunktlistaTankstreck"/>
      </w:pPr>
      <w:r w:rsidRPr="00896D4F">
        <w:t>fråga huruvida en länsstyrelse överlämnat förvaltningsuppgifter som inne</w:t>
      </w:r>
      <w:r w:rsidRPr="00896D4F">
        <w:softHyphen/>
        <w:t>fattar myndighetsutövning till en jägarorganisation 00/01:269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JO</w:t>
      </w:r>
    </w:p>
    <w:p w:rsidR="009C1C5A" w:rsidRPr="00896D4F" w:rsidRDefault="009C1C5A">
      <w:pPr>
        <w:pStyle w:val="PunktlistaTankstreck"/>
      </w:pPr>
      <w:r w:rsidRPr="00896D4F">
        <w:t>under utredningen i ett klagoärende hos JO konstaterade en överåklagare i ett remissvar att det fanns anledning anta att en kammaråklagare hade gjort sig skyldig till tjänstefel. Med anledning av detta konstaterande över</w:t>
      </w:r>
      <w:r w:rsidRPr="00896D4F">
        <w:softHyphen/>
        <w:t>lämnades ärendet till Riksåklagaren 99/00:120</w:t>
      </w:r>
    </w:p>
    <w:p w:rsidR="009C1C5A" w:rsidRPr="00896D4F" w:rsidRDefault="009C1C5A">
      <w:pPr>
        <w:pStyle w:val="PunktlistaTankstreck"/>
      </w:pPr>
      <w:r w:rsidRPr="00896D4F">
        <w:t>allvarlig kritik mot Luleå tekniska universitet för handläggningen av en begäran om att få ta del av en allmän handling och för det sätt på vilket universitet handlagt JO:s r</w:t>
      </w:r>
      <w:r w:rsidRPr="00896D4F">
        <w:t>e</w:t>
      </w:r>
      <w:r w:rsidRPr="00896D4F">
        <w:t>miss 99/00:356</w:t>
      </w:r>
    </w:p>
    <w:p w:rsidR="009C1C5A" w:rsidRPr="00896D4F" w:rsidRDefault="009C1C5A">
      <w:pPr>
        <w:pStyle w:val="PunktlistaTankstreck"/>
      </w:pPr>
      <w:r w:rsidRPr="00896D4F">
        <w:t>på JO:s initiativ upptagen fråga om förutsättning förelegat att vidta själv</w:t>
      </w:r>
      <w:r w:rsidRPr="00896D4F">
        <w:softHyphen/>
        <w:t>rättelse med stöd av 32 § förvaltningsprocesslagen (1971:291) 99/00:204</w:t>
      </w:r>
    </w:p>
    <w:p w:rsidR="009C1C5A" w:rsidRPr="00896D4F" w:rsidRDefault="009C1C5A">
      <w:pPr>
        <w:pStyle w:val="PunktlistaTankstreck"/>
      </w:pPr>
      <w:r w:rsidRPr="00896D4F">
        <w:t>JO:s tillsyn över Aktiebolaget Svensk Bilprovning beträffande frånvaron av viss service – upplysningar om alternativ fullgörelse – vilken inte enligt föreskrifter om innehållet i beslut (föreläggande vid förrättning) behöver lämnas 00/01:476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JO:s tillsynskompetens</w:t>
      </w:r>
    </w:p>
    <w:p w:rsidR="009C1C5A" w:rsidRPr="00896D4F" w:rsidRDefault="009C1C5A">
      <w:pPr>
        <w:pStyle w:val="PunktlistaTankstreck"/>
      </w:pPr>
      <w:r w:rsidRPr="00896D4F">
        <w:t>anmälan mot biskopen i Stockholms stift. – Fråga om räckvidden av JO:s tillsynskompetens 00/01:585</w:t>
      </w:r>
    </w:p>
    <w:p w:rsidR="009C1C5A" w:rsidRPr="00896D4F" w:rsidRDefault="009C1C5A">
      <w:pPr>
        <w:pStyle w:val="PunktlistaTankstreck"/>
      </w:pPr>
      <w:r w:rsidRPr="00896D4F">
        <w:t>JO:s tillsyn över Statens järnvägar, efter bolagisering av huvuddelen av dess verksamhet. Frågor huruvida tågmästares och väktares agerande mot en resenär innebär my</w:t>
      </w:r>
      <w:r w:rsidRPr="00896D4F">
        <w:t>n</w:t>
      </w:r>
      <w:r w:rsidRPr="00896D4F">
        <w:t>dighetsutövning 01/02:481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Jäv</w:t>
      </w:r>
    </w:p>
    <w:p w:rsidR="009C1C5A" w:rsidRPr="00896D4F" w:rsidRDefault="009C1C5A">
      <w:pPr>
        <w:pStyle w:val="PunktlistaTankstreck"/>
      </w:pPr>
      <w:r w:rsidRPr="00896D4F">
        <w:t>fråga om jäv för överfö</w:t>
      </w:r>
      <w:r w:rsidRPr="00896D4F">
        <w:t>r</w:t>
      </w:r>
      <w:r w:rsidRPr="00896D4F">
        <w:t>myndare 00/01:501</w:t>
      </w:r>
    </w:p>
    <w:p w:rsidR="009C1C5A" w:rsidRPr="00896D4F" w:rsidRDefault="009C1C5A">
      <w:pPr>
        <w:pStyle w:val="PunktlistaTankstreck"/>
      </w:pPr>
      <w:r w:rsidRPr="00896D4F">
        <w:t>handläggningen av en invändning om jäv i ett s.k. barnavårdsärende 01/02:296</w:t>
      </w:r>
    </w:p>
    <w:p w:rsidR="009C1C5A" w:rsidRPr="00896D4F" w:rsidRDefault="009C1C5A">
      <w:pPr>
        <w:pStyle w:val="PunktlistaTankstreck"/>
      </w:pPr>
      <w:r w:rsidRPr="00896D4F">
        <w:t>fråga om jäv för rektor som överlämnat förslag till lönesättning för lärare, däribland hans hustru 01/02:388</w:t>
      </w:r>
    </w:p>
    <w:p w:rsidR="009C1C5A" w:rsidRPr="00896D4F" w:rsidRDefault="009C1C5A">
      <w:pPr>
        <w:pStyle w:val="PunktlistaTankstreck"/>
      </w:pPr>
      <w:r w:rsidRPr="00896D4F">
        <w:t>handläggning av frågor om jäv för ledamot av djurförsöksetisk nämnd 01/02:361</w:t>
      </w:r>
    </w:p>
    <w:p w:rsidR="009C1C5A" w:rsidRPr="00896D4F" w:rsidRDefault="009C1C5A">
      <w:pPr>
        <w:pStyle w:val="PunktlistaTankstreck"/>
      </w:pPr>
      <w:r w:rsidRPr="00896D4F">
        <w:t>fråga om en socialnämnds handläggning när domstol förordnat att en fö</w:t>
      </w:r>
      <w:r w:rsidRPr="00896D4F">
        <w:t>r</w:t>
      </w:r>
      <w:r w:rsidRPr="00896D4F">
        <w:t>älders umgänge med barn skall utövas i närvaro av en kontaktperson som utses av socialnämnden; även fråga bl.a. om det på grund av jäv förelåg hinder för en tjänsteman att fatta beslut angående entledigande av en ko</w:t>
      </w:r>
      <w:r w:rsidRPr="00896D4F">
        <w:t>n</w:t>
      </w:r>
      <w:r w:rsidRPr="00896D4F">
        <w:t>taktperson när en berörd förälder var anställd vid samma förvaltning som tjänstemannen 02/03:252</w:t>
      </w:r>
    </w:p>
    <w:p w:rsidR="009C1C5A" w:rsidRPr="00896D4F" w:rsidRDefault="009C1C5A">
      <w:pPr>
        <w:pStyle w:val="PunktlistaTankstreck"/>
      </w:pPr>
      <w:r w:rsidRPr="00896D4F">
        <w:t>fråga om det på grund av jäv förelåg hinder för en ledamot i en socia</w:t>
      </w:r>
      <w:r w:rsidRPr="00896D4F">
        <w:t>l</w:t>
      </w:r>
      <w:r w:rsidRPr="00896D4F">
        <w:t>nämnd att delta i ett beslut om svar på ett brev 02/03:285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Kommunallagen</w:t>
      </w:r>
    </w:p>
    <w:p w:rsidR="009C1C5A" w:rsidRPr="00896D4F" w:rsidRDefault="009C1C5A">
      <w:pPr>
        <w:pStyle w:val="PunktlistaTankstreck"/>
      </w:pPr>
      <w:r w:rsidRPr="00896D4F">
        <w:t>i ett sammanträdesprotokoll från en kommunal nämnd bör tiden och pla</w:t>
      </w:r>
      <w:r w:rsidRPr="00896D4F">
        <w:t>t</w:t>
      </w:r>
      <w:r w:rsidRPr="00896D4F">
        <w:t>sen för justeringen av protokollet anges 99/00:373</w:t>
      </w:r>
    </w:p>
    <w:p w:rsidR="009C1C5A" w:rsidRPr="00896D4F" w:rsidRDefault="009C1C5A">
      <w:pPr>
        <w:pStyle w:val="PunktlistaTankstreck"/>
      </w:pPr>
      <w:r w:rsidRPr="00896D4F">
        <w:t>fråga om jäv för överfö</w:t>
      </w:r>
      <w:r w:rsidRPr="00896D4F">
        <w:t>r</w:t>
      </w:r>
      <w:r w:rsidRPr="00896D4F">
        <w:t>myndare 00/01:501</w:t>
      </w:r>
    </w:p>
    <w:p w:rsidR="009C1C5A" w:rsidRPr="00896D4F" w:rsidRDefault="009C1C5A">
      <w:pPr>
        <w:pStyle w:val="PunktlistaTankstreck"/>
      </w:pPr>
      <w:r w:rsidRPr="00896D4F">
        <w:t>fråga om jäv för rektor som överlämnat förslag till lönesättning för lärare, däribland hans hustru 01/02:388</w:t>
      </w:r>
    </w:p>
    <w:p w:rsidR="009C1C5A" w:rsidRPr="00896D4F" w:rsidRDefault="009C1C5A">
      <w:pPr>
        <w:pStyle w:val="PunktlistaTankstreck"/>
      </w:pPr>
      <w:r w:rsidRPr="00896D4F">
        <w:t>formerna för rättelse av uppgifter i protokoll från ett kommunalt utskotts sammanträde 01/02:422</w:t>
      </w:r>
    </w:p>
    <w:p w:rsidR="009C1C5A" w:rsidRPr="00896D4F" w:rsidRDefault="009C1C5A">
      <w:pPr>
        <w:pStyle w:val="PunktlistaTankstreck"/>
      </w:pPr>
      <w:r w:rsidRPr="00896D4F">
        <w:t>om särskilda protokoll förs vid sammanträden i kommunala utskott bör kommunallagens föreskrifter om protokollföring vid nämndsammanträden tillämpas. Även fråga bl.a. om ett fattat beslut hade redovisats på ett ko</w:t>
      </w:r>
      <w:r w:rsidRPr="00896D4F">
        <w:t>r</w:t>
      </w:r>
      <w:r w:rsidRPr="00896D4F">
        <w:t>rekt sätt 01/02:427</w:t>
      </w:r>
    </w:p>
    <w:p w:rsidR="009C1C5A" w:rsidRPr="00896D4F" w:rsidRDefault="009C1C5A">
      <w:pPr>
        <w:pStyle w:val="PunktlistaTankstreck"/>
      </w:pPr>
      <w:r w:rsidRPr="00896D4F">
        <w:t>handläggningen vid prövning av behandlingsförslag enligt 10 § tan</w:t>
      </w:r>
      <w:r w:rsidRPr="00896D4F">
        <w:t>d</w:t>
      </w:r>
      <w:r w:rsidRPr="00896D4F">
        <w:t>vårds</w:t>
      </w:r>
      <w:r w:rsidRPr="00896D4F">
        <w:softHyphen/>
        <w:t>förord</w:t>
      </w:r>
      <w:r w:rsidRPr="00896D4F">
        <w:softHyphen/>
        <w:t>ningen (1998:1338). Bl.a. fråga om förutsättningarna att överklaga beslut i ärendet 02/03:294</w:t>
      </w:r>
    </w:p>
    <w:p w:rsidR="009C1C5A" w:rsidRPr="00896D4F" w:rsidRDefault="009C1C5A">
      <w:pPr>
        <w:pStyle w:val="PunktlistaTankstreck"/>
      </w:pPr>
      <w:r w:rsidRPr="00896D4F">
        <w:t>fråga om en socialnämnds möjlighet att till en tjänsteman delegera rätten att överklaga domar och beslut som meddelats av en länsrätt 02/03:284</w:t>
      </w:r>
    </w:p>
    <w:p w:rsidR="009C1C5A" w:rsidRPr="00896D4F" w:rsidRDefault="009C1C5A">
      <w:pPr>
        <w:pStyle w:val="PunktlistaTankstreck"/>
      </w:pPr>
      <w:r w:rsidRPr="00896D4F">
        <w:t>en byggnadsnämnds hantering av ett överklagande som getts in innan beslutet meddelats 02/03:396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Kommunicering</w:t>
      </w:r>
    </w:p>
    <w:p w:rsidR="009C1C5A" w:rsidRPr="00896D4F" w:rsidRDefault="009C1C5A">
      <w:pPr>
        <w:pStyle w:val="PunktlistaTankstreck"/>
      </w:pPr>
      <w:r w:rsidRPr="00896D4F">
        <w:t>handläggningen av en ansökan om förlängning av etableringstillstånd för sjukgymnast 99/00:289</w:t>
      </w:r>
    </w:p>
    <w:p w:rsidR="009C1C5A" w:rsidRPr="00896D4F" w:rsidRDefault="009C1C5A">
      <w:pPr>
        <w:pStyle w:val="PunktlistaTankstreck"/>
      </w:pPr>
      <w:r w:rsidRPr="00896D4F">
        <w:t>kritik mot byggnadsnämnd i fråga om kommun</w:t>
      </w:r>
      <w:r w:rsidRPr="00896D4F">
        <w:t>i</w:t>
      </w:r>
      <w:r w:rsidRPr="00896D4F">
        <w:t xml:space="preserve">cering 99/00:362 </w:t>
      </w:r>
    </w:p>
    <w:p w:rsidR="009C1C5A" w:rsidRPr="00896D4F" w:rsidRDefault="009C1C5A">
      <w:pPr>
        <w:pStyle w:val="PunktlistaTankstreck"/>
      </w:pPr>
      <w:r w:rsidRPr="00896D4F">
        <w:t>under</w:t>
      </w:r>
      <w:r w:rsidRPr="00896D4F">
        <w:softHyphen/>
        <w:t>låtenhet att kommunicera inhämtade up</w:t>
      </w:r>
      <w:r w:rsidRPr="00896D4F">
        <w:t>p</w:t>
      </w:r>
      <w:r w:rsidRPr="00896D4F">
        <w:t>gifter i ett folkbokförings</w:t>
      </w:r>
      <w:r w:rsidRPr="00896D4F">
        <w:softHyphen/>
        <w:t>ärende 00/01:283</w:t>
      </w:r>
    </w:p>
    <w:p w:rsidR="009C1C5A" w:rsidRPr="00896D4F" w:rsidRDefault="009C1C5A">
      <w:pPr>
        <w:pStyle w:val="PunktlistaTankstreck"/>
      </w:pPr>
      <w:r w:rsidRPr="00896D4F">
        <w:t>i ärende om förtidspe</w:t>
      </w:r>
      <w:r w:rsidRPr="00896D4F">
        <w:t>n</w:t>
      </w:r>
      <w:r w:rsidRPr="00896D4F">
        <w:t>sion/sjukbidrag 00/01:380</w:t>
      </w:r>
    </w:p>
    <w:p w:rsidR="009C1C5A" w:rsidRPr="00896D4F" w:rsidRDefault="009C1C5A">
      <w:pPr>
        <w:pStyle w:val="PunktlistaTankstreck"/>
      </w:pPr>
      <w:r w:rsidRPr="00896D4F">
        <w:t>i ärende om bostadsb</w:t>
      </w:r>
      <w:r w:rsidRPr="00896D4F">
        <w:t>i</w:t>
      </w:r>
      <w:r w:rsidRPr="00896D4F">
        <w:t>drag 00/01:391</w:t>
      </w:r>
    </w:p>
    <w:p w:rsidR="009C1C5A" w:rsidRPr="00896D4F" w:rsidRDefault="009C1C5A">
      <w:pPr>
        <w:pStyle w:val="PunktlistaTankstreck"/>
      </w:pPr>
      <w:r w:rsidRPr="00896D4F">
        <w:t>försäkringskassas utformning av en kommunic</w:t>
      </w:r>
      <w:r w:rsidRPr="00896D4F">
        <w:t>e</w:t>
      </w:r>
      <w:r w:rsidRPr="00896D4F">
        <w:t xml:space="preserve">ringsskrivelse 00/01:392 </w:t>
      </w:r>
    </w:p>
    <w:p w:rsidR="009C1C5A" w:rsidRPr="00896D4F" w:rsidRDefault="009C1C5A">
      <w:pPr>
        <w:pStyle w:val="PunktlistaTankstreck"/>
      </w:pPr>
      <w:r w:rsidRPr="00896D4F">
        <w:t>fråga om myndighetsutövning och därmed kommuniceringsskyldighet förelegat hos Arbetsmarknadsstyrelsen i ett ärende rörande åtalsanmälan 00/01:237</w:t>
      </w:r>
    </w:p>
    <w:p w:rsidR="009C1C5A" w:rsidRPr="00896D4F" w:rsidRDefault="009C1C5A">
      <w:pPr>
        <w:pStyle w:val="PunktlistaTankstreck"/>
      </w:pPr>
      <w:r w:rsidRPr="00896D4F">
        <w:t>bl.a. fråga om kommun</w:t>
      </w:r>
      <w:r w:rsidRPr="00896D4F">
        <w:t>i</w:t>
      </w:r>
      <w:r w:rsidRPr="00896D4F">
        <w:t xml:space="preserve">cering i ett tillsynsärende 01/02:299 </w:t>
      </w:r>
    </w:p>
    <w:p w:rsidR="009C1C5A" w:rsidRPr="00896D4F" w:rsidRDefault="009C1C5A">
      <w:pPr>
        <w:pStyle w:val="PunktlistaTankstreck"/>
      </w:pPr>
      <w:r w:rsidRPr="00896D4F">
        <w:t>kommunicering i ett ärende om återkallelse av serveringstillstånd. Fristen för yttrande över ett mindre tillskott till utredningen 01/02:167</w:t>
      </w:r>
    </w:p>
    <w:p w:rsidR="009C1C5A" w:rsidRPr="00896D4F" w:rsidRDefault="009C1C5A">
      <w:pPr>
        <w:pStyle w:val="PunktlistaTankstreck"/>
      </w:pPr>
      <w:r w:rsidRPr="00896D4F">
        <w:t>fråga om en socialnämnd var skyldig att kommunicera ett läkarutlåtande som kom in till nämnden i ett LVU-ärende efter att länsrätten hade hållit förhandling i målet angåe</w:t>
      </w:r>
      <w:r w:rsidRPr="00896D4F">
        <w:t>n</w:t>
      </w:r>
      <w:r w:rsidRPr="00896D4F">
        <w:t>de vård enligt LVU 02/03:287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Kriminalvård</w:t>
      </w:r>
    </w:p>
    <w:p w:rsidR="009C1C5A" w:rsidRPr="00896D4F" w:rsidRDefault="009C1C5A">
      <w:pPr>
        <w:pStyle w:val="Rubrik4"/>
        <w:tabs>
          <w:tab w:val="clear" w:pos="1474"/>
          <w:tab w:val="clear" w:pos="1985"/>
          <w:tab w:val="clear" w:pos="2268"/>
          <w:tab w:val="clear" w:pos="2552"/>
          <w:tab w:val="clear" w:pos="2835"/>
        </w:tabs>
        <w:spacing w:before="120"/>
      </w:pPr>
      <w:r w:rsidRPr="00896D4F">
        <w:t xml:space="preserve">Beräkning av strafftid </w:t>
      </w:r>
    </w:p>
    <w:p w:rsidR="009C1C5A" w:rsidRPr="00896D4F" w:rsidRDefault="009C1C5A">
      <w:pPr>
        <w:pStyle w:val="PunktlistaTankstreck"/>
      </w:pPr>
      <w:r w:rsidRPr="00896D4F">
        <w:t>handläggningen av ett ärende om beräkning av strafftid 99/00:152</w:t>
      </w:r>
    </w:p>
    <w:p w:rsidR="009C1C5A" w:rsidRPr="00896D4F" w:rsidRDefault="009C1C5A">
      <w:pPr>
        <w:pStyle w:val="Rubrik4"/>
        <w:tabs>
          <w:tab w:val="clear" w:pos="1474"/>
          <w:tab w:val="clear" w:pos="1985"/>
          <w:tab w:val="clear" w:pos="2268"/>
          <w:tab w:val="clear" w:pos="2552"/>
          <w:tab w:val="clear" w:pos="2835"/>
        </w:tabs>
      </w:pPr>
      <w:r w:rsidRPr="00896D4F">
        <w:t>Brevgranskning</w:t>
      </w:r>
    </w:p>
    <w:p w:rsidR="009C1C5A" w:rsidRPr="00896D4F" w:rsidRDefault="009C1C5A">
      <w:pPr>
        <w:pStyle w:val="PunktlistaTankstreck"/>
      </w:pPr>
      <w:r w:rsidRPr="00896D4F">
        <w:t>granskning av brev mellan intagen i kriminalvårdsanstalt och advokat 01/02:153</w:t>
      </w:r>
    </w:p>
    <w:p w:rsidR="009C1C5A" w:rsidRPr="00896D4F" w:rsidRDefault="009C1C5A">
      <w:pPr>
        <w:pStyle w:val="PunktlistaTankstreck"/>
      </w:pPr>
      <w:r w:rsidRPr="00896D4F">
        <w:t>kritik mot en kriminalvårdsmyndighet för att ha granskat ett brev från JO till en intagen 02/03:151</w:t>
      </w:r>
    </w:p>
    <w:p w:rsidR="009C1C5A" w:rsidRPr="00896D4F" w:rsidRDefault="009C1C5A">
      <w:pPr>
        <w:pStyle w:val="PunktlistaTankstreck"/>
      </w:pPr>
      <w:r w:rsidRPr="00896D4F">
        <w:t xml:space="preserve">uttalanden om en kriminalvårdsmyndighets granskning av inkommande och utgående post 02/03:155   </w:t>
      </w:r>
    </w:p>
    <w:p w:rsidR="009C1C5A" w:rsidRPr="00896D4F" w:rsidRDefault="009C1C5A">
      <w:pPr>
        <w:pStyle w:val="Rubrik4"/>
        <w:tabs>
          <w:tab w:val="clear" w:pos="1474"/>
          <w:tab w:val="clear" w:pos="1985"/>
          <w:tab w:val="clear" w:pos="2268"/>
          <w:tab w:val="clear" w:pos="2552"/>
          <w:tab w:val="clear" w:pos="2835"/>
        </w:tabs>
      </w:pPr>
      <w:r w:rsidRPr="00896D4F">
        <w:t>Frigång</w:t>
      </w:r>
    </w:p>
    <w:p w:rsidR="009C1C5A" w:rsidRPr="00896D4F" w:rsidRDefault="009C1C5A">
      <w:pPr>
        <w:pStyle w:val="PunktlistaTankstreck"/>
      </w:pPr>
      <w:r w:rsidRPr="00896D4F">
        <w:t>kritik mot en kriminalvårdsmyndighet för ett beslut om frigång 99/00:160</w:t>
      </w:r>
    </w:p>
    <w:p w:rsidR="009C1C5A" w:rsidRPr="00896D4F" w:rsidRDefault="009C1C5A">
      <w:pPr>
        <w:pStyle w:val="Rubrik4"/>
        <w:tabs>
          <w:tab w:val="clear" w:pos="1474"/>
          <w:tab w:val="clear" w:pos="1985"/>
          <w:tab w:val="clear" w:pos="2268"/>
          <w:tab w:val="clear" w:pos="2552"/>
          <w:tab w:val="clear" w:pos="2835"/>
        </w:tabs>
      </w:pPr>
      <w:r w:rsidRPr="00896D4F">
        <w:t>Fritidsaktiviteter</w:t>
      </w:r>
    </w:p>
    <w:p w:rsidR="009C1C5A" w:rsidRPr="00896D4F" w:rsidRDefault="009C1C5A">
      <w:pPr>
        <w:pStyle w:val="PunktlistaTankstreck"/>
      </w:pPr>
      <w:r w:rsidRPr="00896D4F">
        <w:t>uttalanden om indragning av vissa TV-kanaler i en kriminalvårdsanstalt 01/02:150</w:t>
      </w:r>
    </w:p>
    <w:p w:rsidR="009C1C5A" w:rsidRPr="00896D4F" w:rsidRDefault="009C1C5A">
      <w:pPr>
        <w:pStyle w:val="Rubrik4"/>
        <w:tabs>
          <w:tab w:val="clear" w:pos="1474"/>
          <w:tab w:val="clear" w:pos="1985"/>
          <w:tab w:val="clear" w:pos="2268"/>
          <w:tab w:val="clear" w:pos="2552"/>
          <w:tab w:val="clear" w:pos="2835"/>
        </w:tabs>
        <w:rPr>
          <w:b/>
        </w:rPr>
      </w:pPr>
      <w:r w:rsidRPr="00896D4F">
        <w:t>Husrannsakan</w:t>
      </w:r>
    </w:p>
    <w:p w:rsidR="009C1C5A" w:rsidRPr="00896D4F" w:rsidRDefault="009C1C5A">
      <w:pPr>
        <w:pStyle w:val="PunktlistaTankstreck"/>
        <w:rPr>
          <w:b/>
        </w:rPr>
      </w:pPr>
      <w:r w:rsidRPr="00896D4F">
        <w:t>personal vid ett häkte har låtit en polisman undersöka en häktads egendom, som förvarades i ett låst värdeskåp 99/00:148</w:t>
      </w:r>
    </w:p>
    <w:p w:rsidR="009C1C5A" w:rsidRPr="00896D4F" w:rsidRDefault="009C1C5A">
      <w:pPr>
        <w:pStyle w:val="Rubrik4"/>
        <w:tabs>
          <w:tab w:val="clear" w:pos="1474"/>
          <w:tab w:val="clear" w:pos="1985"/>
          <w:tab w:val="clear" w:pos="2268"/>
          <w:tab w:val="clear" w:pos="2552"/>
          <w:tab w:val="clear" w:pos="2835"/>
        </w:tabs>
      </w:pPr>
      <w:r w:rsidRPr="00896D4F">
        <w:t>Permission</w:t>
      </w:r>
    </w:p>
    <w:p w:rsidR="009C1C5A" w:rsidRPr="00896D4F" w:rsidRDefault="009C1C5A">
      <w:pPr>
        <w:pStyle w:val="PunktlistaTankstreck"/>
      </w:pPr>
      <w:r w:rsidRPr="00896D4F">
        <w:t>omfattningen av utevistelser som beviljats en i</w:t>
      </w:r>
      <w:r w:rsidRPr="00896D4F">
        <w:t>n</w:t>
      </w:r>
      <w:r w:rsidRPr="00896D4F">
        <w:t xml:space="preserve">tagen 01/02:145  </w:t>
      </w:r>
    </w:p>
    <w:p w:rsidR="009C1C5A" w:rsidRPr="00896D4F" w:rsidRDefault="009C1C5A">
      <w:pPr>
        <w:pStyle w:val="Rubrik4"/>
        <w:tabs>
          <w:tab w:val="clear" w:pos="1474"/>
          <w:tab w:val="clear" w:pos="1985"/>
          <w:tab w:val="clear" w:pos="2268"/>
          <w:tab w:val="clear" w:pos="2552"/>
          <w:tab w:val="clear" w:pos="2835"/>
        </w:tabs>
      </w:pPr>
      <w:r w:rsidRPr="00896D4F">
        <w:t>Urinprovstagning</w:t>
      </w:r>
    </w:p>
    <w:p w:rsidR="009C1C5A" w:rsidRPr="00896D4F" w:rsidRDefault="009C1C5A">
      <w:pPr>
        <w:pStyle w:val="PunktlistaTankstreck"/>
      </w:pPr>
      <w:r w:rsidRPr="00896D4F">
        <w:t>uttalanden om tillvägagångssättet vid visitation och urinprovstagning på en kvinnlig intagen 00/01:218</w:t>
      </w:r>
    </w:p>
    <w:p w:rsidR="009C1C5A" w:rsidRPr="00896D4F" w:rsidRDefault="009C1C5A">
      <w:pPr>
        <w:pStyle w:val="Rubrik4"/>
        <w:tabs>
          <w:tab w:val="clear" w:pos="1474"/>
          <w:tab w:val="clear" w:pos="1985"/>
          <w:tab w:val="clear" w:pos="2268"/>
          <w:tab w:val="clear" w:pos="2552"/>
          <w:tab w:val="clear" w:pos="2835"/>
        </w:tabs>
      </w:pPr>
      <w:r w:rsidRPr="00896D4F">
        <w:t>Övriga frågor</w:t>
      </w:r>
    </w:p>
    <w:p w:rsidR="009C1C5A" w:rsidRPr="00896D4F" w:rsidRDefault="009C1C5A">
      <w:pPr>
        <w:pStyle w:val="PunktlistaTankstreck"/>
      </w:pPr>
      <w:r w:rsidRPr="00896D4F">
        <w:t>dröjsmål med att skriftligen underrätta en intagen om ett beslut 99/00:155</w:t>
      </w:r>
    </w:p>
    <w:p w:rsidR="009C1C5A" w:rsidRPr="00896D4F" w:rsidRDefault="009C1C5A">
      <w:pPr>
        <w:pStyle w:val="PunktlistaTankstreck"/>
      </w:pPr>
      <w:r w:rsidRPr="00896D4F">
        <w:t>uttalanden om möjligh</w:t>
      </w:r>
      <w:r w:rsidRPr="00896D4F">
        <w:t>e</w:t>
      </w:r>
      <w:r w:rsidRPr="00896D4F">
        <w:t>terna för en intagen, som är medlem i en motor</w:t>
      </w:r>
      <w:r w:rsidRPr="00896D4F">
        <w:softHyphen/>
        <w:t>cykelklubb, att bära viss klädsel under en bevakad permi</w:t>
      </w:r>
      <w:r w:rsidRPr="00896D4F">
        <w:t>s</w:t>
      </w:r>
      <w:r w:rsidRPr="00896D4F">
        <w:t xml:space="preserve">sion 99/00:157 </w:t>
      </w:r>
    </w:p>
    <w:p w:rsidR="009C1C5A" w:rsidRPr="00896D4F" w:rsidRDefault="009C1C5A">
      <w:pPr>
        <w:pStyle w:val="PunktlistaTankstreck"/>
      </w:pPr>
      <w:r w:rsidRPr="00896D4F">
        <w:t>rutiner för delgivning av beslut 00/01:222</w:t>
      </w:r>
    </w:p>
    <w:p w:rsidR="009C1C5A" w:rsidRPr="00896D4F" w:rsidRDefault="009C1C5A">
      <w:pPr>
        <w:pStyle w:val="PunktlistaTankstreck"/>
      </w:pPr>
      <w:r w:rsidRPr="00896D4F">
        <w:t>en intagens rätt att samtala enskilt med sin offentlige försvarare 00/01:223</w:t>
      </w:r>
    </w:p>
    <w:p w:rsidR="009C1C5A" w:rsidRPr="00896D4F" w:rsidRDefault="009C1C5A">
      <w:pPr>
        <w:pStyle w:val="PunktlistaTankstreck"/>
      </w:pPr>
      <w:r w:rsidRPr="00896D4F">
        <w:t>fråga om lämpligheten av ett påverkansprogram för intagna dömda för ekonomiska brott 00/01:225</w:t>
      </w:r>
    </w:p>
    <w:p w:rsidR="009C1C5A" w:rsidRPr="00896D4F" w:rsidRDefault="009C1C5A">
      <w:pPr>
        <w:pStyle w:val="PunktlistaTankstreck"/>
      </w:pPr>
      <w:r w:rsidRPr="00896D4F">
        <w:t>bristfällig utredning i ett ärende om förordnande av övervakare 01/02:140</w:t>
      </w:r>
    </w:p>
    <w:p w:rsidR="009C1C5A" w:rsidRPr="00896D4F" w:rsidRDefault="009C1C5A">
      <w:pPr>
        <w:pStyle w:val="PunktlistaTankstreck"/>
      </w:pPr>
      <w:r w:rsidRPr="00896D4F">
        <w:t>underlåtenhet att lämna information om en intagen till polisen m.fl. 01/02:142</w:t>
      </w:r>
    </w:p>
    <w:p w:rsidR="009C1C5A" w:rsidRPr="00896D4F" w:rsidRDefault="009C1C5A">
      <w:pPr>
        <w:pStyle w:val="PunktlistaTankstreck"/>
      </w:pPr>
      <w:r w:rsidRPr="00896D4F">
        <w:t>öppnande av en postförsändelse adresserad till en anställd personligen 01/02:144</w:t>
      </w:r>
    </w:p>
    <w:p w:rsidR="009C1C5A" w:rsidRPr="00896D4F" w:rsidRDefault="009C1C5A">
      <w:pPr>
        <w:pStyle w:val="PunktlistaTankstreck"/>
      </w:pPr>
      <w:r w:rsidRPr="00896D4F">
        <w:t>beläggningssituationen inom kriminalvården 01/02:155</w:t>
      </w:r>
    </w:p>
    <w:p w:rsidR="009C1C5A" w:rsidRPr="00896D4F" w:rsidRDefault="009C1C5A">
      <w:pPr>
        <w:pStyle w:val="PunktlistaTankstreck"/>
      </w:pPr>
      <w:r w:rsidRPr="00896D4F">
        <w:t>förhållandena för sexualbrottsdömda inom krim</w:t>
      </w:r>
      <w:r w:rsidRPr="00896D4F">
        <w:t>i</w:t>
      </w:r>
      <w:r w:rsidRPr="00896D4F">
        <w:t>nalvården 01/02:162</w:t>
      </w:r>
    </w:p>
    <w:p w:rsidR="009C1C5A" w:rsidRPr="00896D4F" w:rsidRDefault="009C1C5A">
      <w:pPr>
        <w:pStyle w:val="PunktlistaTankstreck"/>
      </w:pPr>
      <w:r w:rsidRPr="00896D4F">
        <w:t>ett på JO:s initiativ upptaget ärende angående möjligheterna för intagna i kriminalvårdsanstalt att studera 02/03:153</w:t>
      </w:r>
    </w:p>
    <w:p w:rsidR="009C1C5A" w:rsidRPr="00896D4F" w:rsidRDefault="009C1C5A">
      <w:pPr>
        <w:pStyle w:val="PunktlistaTankstreck"/>
      </w:pPr>
      <w:r w:rsidRPr="00896D4F">
        <w:t>fråga om en kriminalvårdsmyndighet borde ha fattat ett formellt beslut att omhänderta en intagens egendom 02/03:160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Kroppsbesiktning</w:t>
      </w:r>
    </w:p>
    <w:p w:rsidR="009C1C5A" w:rsidRPr="00896D4F" w:rsidRDefault="009C1C5A">
      <w:pPr>
        <w:pStyle w:val="PunktlistaTankstreck"/>
      </w:pPr>
      <w:r w:rsidRPr="00896D4F">
        <w:t>kritik mot rättspsykiatrisk enhet för genomförandet av ytliga kropps</w:t>
      </w:r>
      <w:r w:rsidRPr="00896D4F">
        <w:softHyphen/>
        <w:t>besiktningar och kontroll av brevförsändelser. Även kritik för under</w:t>
      </w:r>
      <w:r w:rsidRPr="00896D4F">
        <w:softHyphen/>
        <w:t>låtenhet att dokumentera dessa tvångsåtgärder i patientjournalen 00/01:346</w:t>
      </w:r>
    </w:p>
    <w:p w:rsidR="009C1C5A" w:rsidRPr="00896D4F" w:rsidRDefault="009C1C5A">
      <w:pPr>
        <w:pStyle w:val="PunktlistaTankstreck"/>
      </w:pPr>
      <w:r w:rsidRPr="00896D4F">
        <w:t>kritik mot en polismyndighet för ett ingripande mot deltagare i en musi</w:t>
      </w:r>
      <w:r w:rsidRPr="00896D4F">
        <w:t>k</w:t>
      </w:r>
      <w:r w:rsidRPr="00896D4F">
        <w:t>fest vilket bl.a. inneburit att dessa tagits med till en polisstation för kroppsb</w:t>
      </w:r>
      <w:r w:rsidRPr="00896D4F">
        <w:t>e</w:t>
      </w:r>
      <w:r w:rsidRPr="00896D4F">
        <w:t>siktning 01/02:76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Kyrkliga frågor</w:t>
      </w:r>
    </w:p>
    <w:p w:rsidR="009C1C5A" w:rsidRPr="00896D4F" w:rsidRDefault="009C1C5A">
      <w:pPr>
        <w:pStyle w:val="PunktlistaTankstreck"/>
      </w:pPr>
      <w:r w:rsidRPr="00896D4F">
        <w:t>fråga om riktigheten av att justeringen av protokoll förda vid sammanträde med kyrkorådets arbetsutskott inte tillkännages på pastoratets anslagstavla 00/01:479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Könsstympning</w:t>
      </w:r>
    </w:p>
    <w:p w:rsidR="009C1C5A" w:rsidRPr="00896D4F" w:rsidRDefault="009C1C5A">
      <w:pPr>
        <w:pStyle w:val="PunktlistaTankstreck"/>
      </w:pPr>
      <w:r w:rsidRPr="00896D4F">
        <w:t>fråga om skyldighet för Barnombudsmannen att göra anmälan till socia</w:t>
      </w:r>
      <w:r w:rsidRPr="00896D4F">
        <w:t>l</w:t>
      </w:r>
      <w:r w:rsidRPr="00896D4F">
        <w:t>nämnd på grund av anonyma skrivelser enligt vilka det kunde misstänkas att några flickor hade blivit könsstympade; även fråga om det på grund av sekretess förelåg hinder för Barnombudsmannen att göra en polisanmälan i anledning av de i skrivelserna lämn</w:t>
      </w:r>
      <w:r w:rsidRPr="00896D4F">
        <w:t>a</w:t>
      </w:r>
      <w:r w:rsidRPr="00896D4F">
        <w:t>de uppgifterna 02/03:170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Körkort</w:t>
      </w:r>
    </w:p>
    <w:p w:rsidR="009C1C5A" w:rsidRPr="00896D4F" w:rsidRDefault="009C1C5A">
      <w:pPr>
        <w:pStyle w:val="PunktlistaTankstreck"/>
      </w:pPr>
      <w:r w:rsidRPr="00896D4F">
        <w:t>kritik mot en länsstyrelse för att styrelsen vidtagit åtgärder med anledning av en anonym anmälan i ett körkortsärende 99/00:218</w:t>
      </w:r>
    </w:p>
    <w:p w:rsidR="009C1C5A" w:rsidRPr="00896D4F" w:rsidRDefault="009C1C5A">
      <w:pPr>
        <w:pStyle w:val="PunktlistaTankstreck"/>
      </w:pPr>
      <w:r w:rsidRPr="00896D4F">
        <w:t>kritik mot en länsstyrelse för att i ett körkortsärende ha begärt läkarintyg avseende personlighetsfö</w:t>
      </w:r>
      <w:r w:rsidRPr="00896D4F">
        <w:t>r</w:t>
      </w:r>
      <w:r w:rsidRPr="00896D4F">
        <w:t>ändring 01/02:196</w:t>
      </w:r>
    </w:p>
    <w:p w:rsidR="009C1C5A" w:rsidRPr="00896D4F" w:rsidRDefault="009C1C5A">
      <w:pPr>
        <w:pStyle w:val="PunktlistaTankstreck"/>
      </w:pPr>
      <w:r w:rsidRPr="00896D4F">
        <w:t>förfarandet för återfående av körkort efter återkallelse 02/03:389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Körkortsingripande</w:t>
      </w:r>
    </w:p>
    <w:p w:rsidR="009C1C5A" w:rsidRPr="00896D4F" w:rsidRDefault="009C1C5A">
      <w:pPr>
        <w:pStyle w:val="PunktlistaTankstreck"/>
      </w:pPr>
      <w:r w:rsidRPr="00896D4F">
        <w:t>fråga om den s.k. söndagsregelns tillämpning på den 48-timmarsfrist som gäller för att sända handlingarna i ett beslut om ett omedelbart omhände</w:t>
      </w:r>
      <w:r w:rsidRPr="00896D4F">
        <w:t>r</w:t>
      </w:r>
      <w:r w:rsidRPr="00896D4F">
        <w:t>tagande av ett kö</w:t>
      </w:r>
      <w:r w:rsidRPr="00896D4F">
        <w:t>r</w:t>
      </w:r>
      <w:r w:rsidRPr="00896D4F">
        <w:t>kort till länsstyrelsen 01/02:66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Lantmäteriet</w:t>
      </w:r>
    </w:p>
    <w:p w:rsidR="009C1C5A" w:rsidRPr="00896D4F" w:rsidRDefault="009C1C5A">
      <w:pPr>
        <w:pStyle w:val="PunktlistaTankstreck"/>
      </w:pPr>
      <w:r w:rsidRPr="00896D4F">
        <w:t>olämpligheten av att en myndighet i beslutsliknande former tolkar (”förtydligar”) egna beslut 00/01:490</w:t>
      </w:r>
    </w:p>
    <w:p w:rsidR="009C1C5A" w:rsidRPr="00896D4F" w:rsidRDefault="009C1C5A">
      <w:pPr>
        <w:pStyle w:val="PunktlistaTankstreck"/>
      </w:pPr>
      <w:r w:rsidRPr="00896D4F">
        <w:t>lantmäterimyndighets avgiftsdebitering vid utlämnande av kopior av al</w:t>
      </w:r>
      <w:r w:rsidRPr="00896D4F">
        <w:t>l</w:t>
      </w:r>
      <w:r w:rsidRPr="00896D4F">
        <w:t>mä</w:t>
      </w:r>
      <w:r w:rsidRPr="00896D4F">
        <w:t>n</w:t>
      </w:r>
      <w:r w:rsidRPr="00896D4F">
        <w:t>na handlingar 01/02:473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Legalitetsprincipen</w:t>
      </w:r>
    </w:p>
    <w:p w:rsidR="009C1C5A" w:rsidRPr="00896D4F" w:rsidRDefault="009C1C5A">
      <w:pPr>
        <w:pStyle w:val="PunktlistaTankstreck"/>
      </w:pPr>
      <w:r w:rsidRPr="00896D4F">
        <w:t>polisens handläggning av en begäran om handräckning enligt lagen (1991:1128) om psykiatrisk tvångsvård samt uttalanden om polisens mö</w:t>
      </w:r>
      <w:r w:rsidRPr="00896D4F">
        <w:t>j</w:t>
      </w:r>
      <w:r w:rsidRPr="00896D4F">
        <w:t>ligheter att överlämna uppdrag till Kriminalvårdens Transporttjänst 00/01:95</w:t>
      </w:r>
    </w:p>
    <w:p w:rsidR="009C1C5A" w:rsidRPr="00896D4F" w:rsidRDefault="009C1C5A">
      <w:pPr>
        <w:pStyle w:val="PunktlistaTankstreck"/>
      </w:pPr>
      <w:r w:rsidRPr="00896D4F">
        <w:t>initiativärende mot Statens ansvarsnämnd beträffande grunderna för ett beslut om avstängning av en kammaråklagare från arbetet 02/03:182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Långsam handläggning</w:t>
      </w:r>
    </w:p>
    <w:p w:rsidR="009C1C5A" w:rsidRPr="00896D4F" w:rsidRDefault="009C1C5A">
      <w:pPr>
        <w:pStyle w:val="PunktlistaTankstreck"/>
      </w:pPr>
      <w:r w:rsidRPr="00896D4F">
        <w:t>fråga om polismyndighet ägt rätt att vilandeförklara en ansökan om vissa ändringar i ett tillstånd att handla med vapen i avvaktan på domstols</w:t>
      </w:r>
      <w:r w:rsidRPr="00896D4F">
        <w:softHyphen/>
        <w:t>avgörande avseende polismyndighetens dessförinnan fattade beslut att återkalla handelstillståndet 99/00:133</w:t>
      </w:r>
    </w:p>
    <w:p w:rsidR="009C1C5A" w:rsidRPr="00896D4F" w:rsidRDefault="009C1C5A">
      <w:pPr>
        <w:pStyle w:val="PunktlistaTankstreck"/>
      </w:pPr>
      <w:r w:rsidRPr="00896D4F">
        <w:t>kritik mot kammarrätt för dröjsmål med handläggningen av ett inhibitio</w:t>
      </w:r>
      <w:r w:rsidRPr="00896D4F">
        <w:t>n</w:t>
      </w:r>
      <w:r w:rsidRPr="00896D4F">
        <w:t>sy</w:t>
      </w:r>
      <w:r w:rsidRPr="00896D4F">
        <w:t>r</w:t>
      </w:r>
      <w:r w:rsidRPr="00896D4F">
        <w:t>kande 99/00:173</w:t>
      </w:r>
    </w:p>
    <w:p w:rsidR="009C1C5A" w:rsidRPr="00896D4F" w:rsidRDefault="009C1C5A">
      <w:pPr>
        <w:pStyle w:val="PunktlistaTankstreck"/>
      </w:pPr>
      <w:r w:rsidRPr="00896D4F">
        <w:t>handläggningen hos överåklagare av en anmälan mot en kammaråklagare för försummelser i tjänsten 00/01:197</w:t>
      </w:r>
    </w:p>
    <w:p w:rsidR="009C1C5A" w:rsidRPr="00896D4F" w:rsidRDefault="009C1C5A">
      <w:pPr>
        <w:pStyle w:val="PunktlistaTankstreck"/>
      </w:pPr>
      <w:r w:rsidRPr="00896D4F">
        <w:t>kritik mot en polismyndighet för långsam handläggning av ärenden vid dess internutredningse</w:t>
      </w:r>
      <w:r w:rsidRPr="00896D4F">
        <w:t>n</w:t>
      </w:r>
      <w:r w:rsidRPr="00896D4F">
        <w:t>het 00/01:173</w:t>
      </w:r>
    </w:p>
    <w:p w:rsidR="009C1C5A" w:rsidRPr="00896D4F" w:rsidRDefault="009C1C5A">
      <w:pPr>
        <w:pStyle w:val="PunktlistaTankstreck"/>
      </w:pPr>
      <w:r w:rsidRPr="00896D4F">
        <w:t>långsam handläggning av ett dispositivt tvistemål vid en tingsrätt 01/02:48</w:t>
      </w:r>
    </w:p>
    <w:p w:rsidR="009C1C5A" w:rsidRPr="00896D4F" w:rsidRDefault="009C1C5A">
      <w:pPr>
        <w:pStyle w:val="PunktlistaTankstreck"/>
      </w:pPr>
      <w:r w:rsidRPr="00896D4F">
        <w:t>kritik mot en åklagare för bl.a. långsam handläggning av ungdomsärenden 01/02:70</w:t>
      </w:r>
    </w:p>
    <w:p w:rsidR="009C1C5A" w:rsidRPr="00896D4F" w:rsidRDefault="009C1C5A">
      <w:pPr>
        <w:pStyle w:val="PunktlistaTankstreck"/>
      </w:pPr>
      <w:r w:rsidRPr="00896D4F">
        <w:t>kritik mot en polismyndighet för handläggningen av ärenden vid en krim</w:t>
      </w:r>
      <w:r w:rsidRPr="00896D4F">
        <w:t>i</w:t>
      </w:r>
      <w:r w:rsidRPr="00896D4F">
        <w:t>na</w:t>
      </w:r>
      <w:r w:rsidRPr="00896D4F">
        <w:t>l</w:t>
      </w:r>
      <w:r w:rsidRPr="00896D4F">
        <w:t>avdelning 01/02:134</w:t>
      </w:r>
    </w:p>
    <w:p w:rsidR="009C1C5A" w:rsidRPr="00896D4F" w:rsidRDefault="009C1C5A">
      <w:pPr>
        <w:pStyle w:val="PunktlistaTankstreck"/>
      </w:pPr>
      <w:r w:rsidRPr="00896D4F">
        <w:t>kritik mot en kommundelsnämnd för dröjsmål med att fatta beslut i ett ärende rörande särskilt stöd till en skolelev 01/02:383</w:t>
      </w:r>
    </w:p>
    <w:p w:rsidR="009C1C5A" w:rsidRPr="00896D4F" w:rsidRDefault="009C1C5A">
      <w:pPr>
        <w:pStyle w:val="PunktlistaTankstreck"/>
      </w:pPr>
      <w:r w:rsidRPr="00896D4F">
        <w:t>handläggningen av ett mål om vårdnad av barn m.m. 02/03:40</w:t>
      </w:r>
    </w:p>
    <w:p w:rsidR="009C1C5A" w:rsidRPr="00896D4F" w:rsidRDefault="009C1C5A">
      <w:pPr>
        <w:pStyle w:val="PunktlistaTankstreck"/>
      </w:pPr>
      <w:r w:rsidRPr="00896D4F">
        <w:t>en miljö- och samhällsbyggnadsnämnd har dröjt med att översända ett överklagande till länsstyrelsen 02/03:359</w:t>
      </w:r>
    </w:p>
    <w:p w:rsidR="009C1C5A" w:rsidRPr="00896D4F" w:rsidRDefault="009C1C5A">
      <w:pPr>
        <w:pStyle w:val="PunktlistaTankstreck"/>
      </w:pPr>
      <w:r w:rsidRPr="00896D4F">
        <w:t>kritik mot en miljö- och hälsoskyddsnämnd för långsam handläggning av ett ärende rörande bullerstörningar från ett nöjesfält (Gröna Lund) 02/03:348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Länsstyrelse</w:t>
      </w:r>
    </w:p>
    <w:p w:rsidR="009C1C5A" w:rsidRPr="00896D4F" w:rsidRDefault="009C1C5A">
      <w:pPr>
        <w:pStyle w:val="PunktlistaTankstreck"/>
      </w:pPr>
      <w:r w:rsidRPr="00896D4F">
        <w:t>kan en länsstyrelse med stöd av 23 § jaktförordningen (1987:905) bevilja generella undantag från förbudet att medföra skjutvapen vid färd med motordrivet fordon i terräng 99/00:220</w:t>
      </w:r>
    </w:p>
    <w:p w:rsidR="009C1C5A" w:rsidRPr="00896D4F" w:rsidRDefault="009C1C5A">
      <w:pPr>
        <w:pStyle w:val="PunktlistaTankstreck"/>
      </w:pPr>
      <w:r w:rsidRPr="00896D4F">
        <w:t>fråga om det förelegat skäl för en länsstyrelse att kritisera en socialnämnd för att nämnden bl.a. inte verkat för att i ett visst fall få tillstånd s.k. sa</w:t>
      </w:r>
      <w:r w:rsidRPr="00896D4F">
        <w:t>m</w:t>
      </w:r>
      <w:r w:rsidRPr="00896D4F">
        <w:t>arbetssamtal 02/03:279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Meddelarfrihet</w:t>
      </w:r>
    </w:p>
    <w:p w:rsidR="009C1C5A" w:rsidRPr="00896D4F" w:rsidRDefault="009C1C5A">
      <w:pPr>
        <w:pStyle w:val="PunktlistaTankstreck"/>
      </w:pPr>
      <w:r w:rsidRPr="00896D4F">
        <w:t>ifrågasatt brott mot 99/00:387</w:t>
      </w:r>
    </w:p>
    <w:p w:rsidR="009C1C5A" w:rsidRPr="00896D4F" w:rsidRDefault="009C1C5A">
      <w:pPr>
        <w:pStyle w:val="PunktlistaTankstreck"/>
        <w:rPr>
          <w:caps/>
        </w:rPr>
      </w:pPr>
      <w:r w:rsidRPr="00896D4F">
        <w:t>förvaltningschef har utfärdat riktlinjer rörande lärares och elevers konta</w:t>
      </w:r>
      <w:r w:rsidRPr="00896D4F">
        <w:t>k</w:t>
      </w:r>
      <w:r w:rsidRPr="00896D4F">
        <w:t>ter med massmedia. – Fråga om förvaltningschefen härigenom kränkt den e</w:t>
      </w:r>
      <w:r w:rsidRPr="00896D4F">
        <w:t>n</w:t>
      </w:r>
      <w:r w:rsidRPr="00896D4F">
        <w:t>skildes meddelar- och yttrandefrihet 00/01:581</w:t>
      </w:r>
    </w:p>
    <w:p w:rsidR="009C1C5A" w:rsidRPr="00896D4F" w:rsidRDefault="009C1C5A">
      <w:pPr>
        <w:pStyle w:val="PunktlistaTankstreck"/>
      </w:pPr>
      <w:r w:rsidRPr="00896D4F">
        <w:t>åtal mot en tjänsteman för brott mot efterforskningsförbudet i 2 kap. 4 och 5 §§ yttrandefrihet</w:t>
      </w:r>
      <w:r w:rsidRPr="00896D4F">
        <w:t>s</w:t>
      </w:r>
      <w:r w:rsidRPr="00896D4F">
        <w:t>grundlagen 00/01:542</w:t>
      </w:r>
    </w:p>
    <w:p w:rsidR="009C1C5A" w:rsidRPr="00896D4F" w:rsidRDefault="009C1C5A">
      <w:pPr>
        <w:pStyle w:val="PunktlistaTankstreck"/>
      </w:pPr>
      <w:r w:rsidRPr="00896D4F">
        <w:t>fråga om meddelarfrihet rått för uppgifter som en yrkesinspektör fått kä</w:t>
      </w:r>
      <w:r w:rsidRPr="00896D4F">
        <w:t>n</w:t>
      </w:r>
      <w:r w:rsidRPr="00896D4F">
        <w:t>nedom om i samband med inspektion av ett s.k. korttidshem 02/03:486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Militära ärenden</w:t>
      </w:r>
    </w:p>
    <w:p w:rsidR="009C1C5A" w:rsidRPr="00896D4F" w:rsidRDefault="009C1C5A">
      <w:pPr>
        <w:pStyle w:val="PunktlistaTankstreck"/>
      </w:pPr>
      <w:r w:rsidRPr="00896D4F">
        <w:t>kränkande särbehandling av en värnpliktig 00/01:259</w:t>
      </w:r>
    </w:p>
    <w:p w:rsidR="009C1C5A" w:rsidRPr="00896D4F" w:rsidRDefault="009C1C5A">
      <w:pPr>
        <w:pStyle w:val="PunktlistaTankstreck"/>
      </w:pPr>
      <w:r w:rsidRPr="00896D4F">
        <w:t>handläggningen av ett ärende rörande ändring av vitsord 00/01:260</w:t>
      </w:r>
    </w:p>
    <w:p w:rsidR="009C1C5A" w:rsidRPr="00896D4F" w:rsidRDefault="009C1C5A">
      <w:pPr>
        <w:pStyle w:val="PunktlistaTankstreck"/>
      </w:pPr>
      <w:r w:rsidRPr="00896D4F">
        <w:t>Försvarsmakten har med en militär helikopter deltagit i polisens spaning efter misstänkta vapentj</w:t>
      </w:r>
      <w:r w:rsidRPr="00896D4F">
        <w:t>u</w:t>
      </w:r>
      <w:r w:rsidRPr="00896D4F">
        <w:t>var; fråga om rättsenligheten härav 00/01:262</w:t>
      </w:r>
    </w:p>
    <w:p w:rsidR="009C1C5A" w:rsidRPr="00896D4F" w:rsidRDefault="009C1C5A">
      <w:pPr>
        <w:pStyle w:val="PunktlistaTankstreck"/>
      </w:pPr>
      <w:r w:rsidRPr="00896D4F">
        <w:t>ifrågasatt inskränkning av yttrandefriheten för chef i Försvarsmakten 00/01:575</w:t>
      </w:r>
    </w:p>
    <w:p w:rsidR="009C1C5A" w:rsidRPr="00896D4F" w:rsidRDefault="009C1C5A">
      <w:pPr>
        <w:pStyle w:val="PunktlistaTankstreck"/>
      </w:pPr>
      <w:r w:rsidRPr="00896D4F">
        <w:t>fråga om militära chefers ansvar i samband med ett ”prov” vid vilket yngre värnpliktiga tvingats äta hundmat 01/02:191</w:t>
      </w:r>
    </w:p>
    <w:p w:rsidR="009C1C5A" w:rsidRPr="00896D4F" w:rsidRDefault="009C1C5A">
      <w:pPr>
        <w:pStyle w:val="PunktlistaTankstreck"/>
      </w:pPr>
      <w:r w:rsidRPr="00896D4F">
        <w:t>Försvarsmaktens me</w:t>
      </w:r>
      <w:r w:rsidRPr="00896D4F">
        <w:t>d</w:t>
      </w:r>
      <w:r w:rsidRPr="00896D4F">
        <w:t>verkan i polisiär verksamhet 01/02:193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Miljöskydd</w:t>
      </w:r>
    </w:p>
    <w:p w:rsidR="009C1C5A" w:rsidRPr="00896D4F" w:rsidRDefault="009C1C5A">
      <w:pPr>
        <w:pStyle w:val="PunktlistaTankstreck"/>
      </w:pPr>
      <w:r w:rsidRPr="00896D4F">
        <w:t>kritik mot en miljönämnd för passivitet och otydlighet i ett ärende rörande tillsyn av ett sågverk 99/00:341</w:t>
      </w:r>
    </w:p>
    <w:p w:rsidR="009C1C5A" w:rsidRPr="00896D4F" w:rsidRDefault="009C1C5A">
      <w:pPr>
        <w:pStyle w:val="PunktlistaTankstreck"/>
      </w:pPr>
      <w:r w:rsidRPr="00896D4F">
        <w:t>miljö- och hälsoskyddsnämnds skyldigheter som tillsynsmyndighet när kommunen ansetts ansv</w:t>
      </w:r>
      <w:r w:rsidRPr="00896D4F">
        <w:t>a</w:t>
      </w:r>
      <w:r w:rsidRPr="00896D4F">
        <w:t>rig för nedskräpning i naturen 99/00:345</w:t>
      </w:r>
    </w:p>
    <w:p w:rsidR="009C1C5A" w:rsidRPr="00896D4F" w:rsidRDefault="009C1C5A">
      <w:pPr>
        <w:pStyle w:val="PunktlistaTankstreck"/>
      </w:pPr>
      <w:r w:rsidRPr="00896D4F">
        <w:t>tillsynsmyndighets skyldighet att utreda och fatta beslut vid klagomål om överträdelser av villkor i täkttillstånd 00/01:422</w:t>
      </w:r>
    </w:p>
    <w:p w:rsidR="009C1C5A" w:rsidRPr="00896D4F" w:rsidRDefault="009C1C5A">
      <w:pPr>
        <w:pStyle w:val="PunktlistaTankstreck"/>
      </w:pPr>
      <w:r w:rsidRPr="00896D4F">
        <w:t>anmälan till åklagare för brott mot det inom strandskyddsområde gällande nybyggnadsförbudet: Utrymmet för bedömning av gärningens allvar och av uppsåt m.m. Brottets beteckning e</w:t>
      </w:r>
      <w:r w:rsidRPr="00896D4F">
        <w:t>n</w:t>
      </w:r>
      <w:r w:rsidRPr="00896D4F">
        <w:t>ligt miljöbalken 01/02:359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Motivering av beslut</w:t>
      </w:r>
    </w:p>
    <w:p w:rsidR="009C1C5A" w:rsidRPr="00896D4F" w:rsidRDefault="009C1C5A">
      <w:pPr>
        <w:pStyle w:val="PunktlistaTankstreck"/>
      </w:pPr>
      <w:r w:rsidRPr="00896D4F">
        <w:t>möjligheten för en polismyndighet att lägga ned en förundersökning med motiveringen ”brott kan ej styrkas” 00/01:62</w:t>
      </w:r>
    </w:p>
    <w:p w:rsidR="009C1C5A" w:rsidRPr="00896D4F" w:rsidRDefault="009C1C5A">
      <w:pPr>
        <w:pStyle w:val="PunktlistaTankstreck"/>
      </w:pPr>
      <w:r w:rsidRPr="00896D4F">
        <w:t>kritik mot en skattemyndighet för utformningen av en beslutsmotivering 01/02:199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Myndighetsutövning</w:t>
      </w:r>
    </w:p>
    <w:p w:rsidR="009C1C5A" w:rsidRPr="00896D4F" w:rsidRDefault="009C1C5A">
      <w:pPr>
        <w:pStyle w:val="PunktlistaTankstreck"/>
      </w:pPr>
      <w:r w:rsidRPr="00896D4F">
        <w:t>fråga huruvida en länsstyrelse överlämnat förvaltningsuppgifter som inne</w:t>
      </w:r>
      <w:r w:rsidRPr="00896D4F">
        <w:softHyphen/>
        <w:t>fattar myndighetsutövning till en jägarorganisation 00/01:269</w:t>
      </w:r>
    </w:p>
    <w:p w:rsidR="009C1C5A" w:rsidRPr="00896D4F" w:rsidRDefault="009C1C5A">
      <w:pPr>
        <w:pStyle w:val="PunktlistaTankstreck"/>
      </w:pPr>
      <w:r w:rsidRPr="00896D4F">
        <w:t>fråga om myndighetsutövning och därmed kommuniceringsskyldighet förelegat hos Arbetsmarknadsstyrelsen i ett ärende rörande åtalsanmälan 00/01:237</w:t>
      </w:r>
    </w:p>
    <w:p w:rsidR="009C1C5A" w:rsidRPr="00896D4F" w:rsidRDefault="009C1C5A">
      <w:pPr>
        <w:pStyle w:val="PunktlistaTankstreck"/>
      </w:pPr>
      <w:r w:rsidRPr="00896D4F">
        <w:t>vid Aktiebolaget Svensk Bilprovnings förrättningar för kontrollbesiktning saknas viss service – upplysningar om alternativ fullgörelse – vilken inte enligt föreskrifter om innehållet i beslut (föreläggande) behöver lämnas 00/01:476</w:t>
      </w:r>
    </w:p>
    <w:p w:rsidR="009C1C5A" w:rsidRPr="00896D4F" w:rsidRDefault="009C1C5A">
      <w:pPr>
        <w:pStyle w:val="PunktlistaTankstreck"/>
      </w:pPr>
      <w:r w:rsidRPr="00896D4F">
        <w:t>fråga om anlitande av privata rättssubjekt som utredare inom socialtjänsten 01/02:250</w:t>
      </w:r>
    </w:p>
    <w:p w:rsidR="009C1C5A" w:rsidRPr="00896D4F" w:rsidRDefault="009C1C5A">
      <w:pPr>
        <w:pStyle w:val="PunktlistaTankstreck"/>
      </w:pPr>
      <w:r w:rsidRPr="00896D4F">
        <w:t>frågor huruvida tågmästares och väktares agerande mot en resenär innebär myndighetsutövning 01/02:481</w:t>
      </w:r>
    </w:p>
    <w:p w:rsidR="009C1C5A" w:rsidRPr="00896D4F" w:rsidRDefault="009C1C5A">
      <w:pPr>
        <w:pStyle w:val="PunktlistaTankstreck"/>
      </w:pPr>
      <w:r w:rsidRPr="00896D4F">
        <w:t>parkeringsövervakning är en förvaltningsuppgift som innefattar myndi</w:t>
      </w:r>
      <w:r w:rsidRPr="00896D4F">
        <w:t>g</w:t>
      </w:r>
      <w:r w:rsidRPr="00896D4F">
        <w:t>hetsutövning – meddelande av parkeringsanmärkning (påförande av fe</w:t>
      </w:r>
      <w:r w:rsidRPr="00896D4F">
        <w:t>l</w:t>
      </w:r>
      <w:r w:rsidRPr="00896D4F">
        <w:t>parkeringsavgift) – och i lag finns stöd för att överlämna den till personal hos bevakningsföretag 01/02:405</w:t>
      </w:r>
    </w:p>
    <w:p w:rsidR="009C1C5A" w:rsidRPr="00896D4F" w:rsidRDefault="009C1C5A">
      <w:pPr>
        <w:pStyle w:val="PunktlistaTankstreck"/>
      </w:pPr>
      <w:r w:rsidRPr="00896D4F">
        <w:t>på JO:s initiativ upptagen fråga om huruvida vissa arbetslöshetskassor överlämnat uppgifter som innefattar myndighetsutövning till fackförbund 01/02:187</w:t>
      </w:r>
    </w:p>
    <w:p w:rsidR="009C1C5A" w:rsidRPr="00896D4F" w:rsidRDefault="009C1C5A">
      <w:pPr>
        <w:pStyle w:val="PunktlistaTankstreck"/>
      </w:pPr>
      <w:r w:rsidRPr="00896D4F">
        <w:t>allvarlig kritik mot en kommun som genom uppmaningar som saknat rättslig grund under sken av myndighetsutövning utövat påtryckning mot en fa</w:t>
      </w:r>
      <w:r w:rsidRPr="00896D4F">
        <w:t>s</w:t>
      </w:r>
      <w:r w:rsidRPr="00896D4F">
        <w:t>tighetsägare 02/03:452</w:t>
      </w:r>
    </w:p>
    <w:p w:rsidR="009C1C5A" w:rsidRPr="00896D4F" w:rsidRDefault="009C1C5A">
      <w:pPr>
        <w:pStyle w:val="PunktlistaTankstreck"/>
      </w:pPr>
      <w:r w:rsidRPr="00896D4F">
        <w:t>en kommunal myndighets rätt att till enskilda överlämna förvaltningsup</w:t>
      </w:r>
      <w:r w:rsidRPr="00896D4F">
        <w:t>p</w:t>
      </w:r>
      <w:r w:rsidRPr="00896D4F">
        <w:t>gifter: att på gator anordna farthinder och sätta upp vägmärken härom. Även en fråga om myndighetsutövning 02/03:440</w:t>
      </w:r>
    </w:p>
    <w:p w:rsidR="009C1C5A" w:rsidRPr="00896D4F" w:rsidRDefault="009C1C5A">
      <w:pPr>
        <w:pStyle w:val="PunktlistaTankstreck"/>
      </w:pPr>
      <w:r w:rsidRPr="00896D4F">
        <w:t>en kommunal nämnd har uppdragit åt en advokat att biträda kommunen i ett ärende rörande inrättande av en allmän vattenanläggning. Bl.a. fråga om de uppgifter som överlämnats till advokaten innefattar myndighetsut</w:t>
      </w:r>
      <w:r w:rsidRPr="00896D4F">
        <w:softHyphen/>
        <w:t>övning 02/03:352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Namnuppgift</w:t>
      </w:r>
    </w:p>
    <w:p w:rsidR="009C1C5A" w:rsidRPr="00896D4F" w:rsidRDefault="009C1C5A">
      <w:pPr>
        <w:pStyle w:val="PunktlistaTankstreck"/>
      </w:pPr>
      <w:r w:rsidRPr="00896D4F">
        <w:t>offentliggörande av namnuppgifter i kungörelsedelgivning rörande mål om bistånd enligt 6 g § socia</w:t>
      </w:r>
      <w:r w:rsidRPr="00896D4F">
        <w:t>l</w:t>
      </w:r>
      <w:r w:rsidRPr="00896D4F">
        <w:t>tjänstlagen 99/00:191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Naturvårdslagen</w:t>
      </w:r>
    </w:p>
    <w:p w:rsidR="009C1C5A" w:rsidRPr="00896D4F" w:rsidRDefault="009C1C5A">
      <w:pPr>
        <w:pStyle w:val="PunktlistaTankstreck"/>
      </w:pPr>
      <w:r w:rsidRPr="00896D4F">
        <w:t>miljö- och hälsoskyddsnämnds skyldigheter som tillsynsmyndighet när kommunen ansetts ansv</w:t>
      </w:r>
      <w:r w:rsidRPr="00896D4F">
        <w:t>a</w:t>
      </w:r>
      <w:r w:rsidRPr="00896D4F">
        <w:t>rig för nedskräpning i naturen 99/00:345</w:t>
      </w:r>
    </w:p>
    <w:p w:rsidR="009C1C5A" w:rsidRPr="00896D4F" w:rsidRDefault="009C1C5A">
      <w:pPr>
        <w:pStyle w:val="Rubrik3"/>
      </w:pPr>
      <w:r w:rsidRPr="00896D4F">
        <w:t>Nummerpresentation</w:t>
      </w:r>
    </w:p>
    <w:p w:rsidR="009C1C5A" w:rsidRPr="00896D4F" w:rsidRDefault="009C1C5A">
      <w:pPr>
        <w:pStyle w:val="PunktlistaTankstreck"/>
      </w:pPr>
      <w:r w:rsidRPr="00896D4F">
        <w:t>nummerpresentation när myndigheter kontaktas per telefon. Hänsyn till den enskildes rätt till skydd av anonymitet m.m. 02/03:393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Objektivitetsprincipen</w:t>
      </w:r>
    </w:p>
    <w:p w:rsidR="009C1C5A" w:rsidRPr="00896D4F" w:rsidRDefault="009C1C5A">
      <w:pPr>
        <w:pStyle w:val="PunktlistaTankstreck"/>
      </w:pPr>
      <w:r w:rsidRPr="00896D4F">
        <w:t>kritik mot polischef för dennes agerande i samband med en brottsutredning där han själv var må</w:t>
      </w:r>
      <w:r w:rsidRPr="00896D4F">
        <w:t>l</w:t>
      </w:r>
      <w:r w:rsidRPr="00896D4F">
        <w:t>sägande 99/00:111</w:t>
      </w:r>
    </w:p>
    <w:p w:rsidR="009C1C5A" w:rsidRPr="00896D4F" w:rsidRDefault="009C1C5A">
      <w:pPr>
        <w:pStyle w:val="PunktlistaTankstreck"/>
      </w:pPr>
      <w:r w:rsidRPr="00896D4F">
        <w:t>handläggningen av framställningar om utredningsåtgärder efter det att en brottmålsdom vunnit laga kraft 00/01:69</w:t>
      </w:r>
    </w:p>
    <w:p w:rsidR="009C1C5A" w:rsidRPr="00896D4F" w:rsidRDefault="009C1C5A">
      <w:pPr>
        <w:pStyle w:val="PunktlistaTankstreck"/>
      </w:pPr>
      <w:r w:rsidRPr="00896D4F">
        <w:t>åklagares handläggning av en förundersökning om misshandel där måls</w:t>
      </w:r>
      <w:r w:rsidRPr="00896D4F">
        <w:softHyphen/>
        <w:t>äganden pekat ut en poli</w:t>
      </w:r>
      <w:r w:rsidRPr="00896D4F">
        <w:t>s</w:t>
      </w:r>
      <w:r w:rsidRPr="00896D4F">
        <w:t>man som gärningsman 00/01:100</w:t>
      </w:r>
    </w:p>
    <w:p w:rsidR="009C1C5A" w:rsidRPr="00896D4F" w:rsidRDefault="009C1C5A">
      <w:pPr>
        <w:pStyle w:val="PunktlistaTankstreck"/>
      </w:pPr>
      <w:r w:rsidRPr="00896D4F">
        <w:t>handläggningen av en förundersökning med anledning av en polisrapport i vilken uppgavs att ett statsråd hade gjort sig skyldig till olovlig körning 00/01:190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Offentligt biträde</w:t>
      </w:r>
    </w:p>
    <w:p w:rsidR="009C1C5A" w:rsidRPr="00896D4F" w:rsidRDefault="009C1C5A">
      <w:pPr>
        <w:pStyle w:val="PunktlistaTankstreck"/>
        <w:rPr>
          <w:b/>
        </w:rPr>
      </w:pPr>
      <w:r w:rsidRPr="00896D4F">
        <w:t>socialnämnds skyldighet att verka för att ett offentligt biträde utses när ett ingripande enligt LVU blir aktuellt 99/00:264</w:t>
      </w:r>
    </w:p>
    <w:p w:rsidR="009C1C5A" w:rsidRPr="00896D4F" w:rsidRDefault="009C1C5A">
      <w:pPr>
        <w:pStyle w:val="PunktlistaTankstreck"/>
      </w:pPr>
      <w:r w:rsidRPr="00896D4F">
        <w:t>kritik mot en länsrätt för att muntlig förhandling hållits i ett mål enligt lagen (1991:1128) om psykiatrisk tvångsvård (LPT) i parts utevaro och utan att något offentligt biträde förordnats 99/00:180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Omprövning av beslut</w:t>
      </w:r>
    </w:p>
    <w:p w:rsidR="009C1C5A" w:rsidRPr="00896D4F" w:rsidRDefault="009C1C5A">
      <w:pPr>
        <w:pStyle w:val="PunktlistaTankstreck"/>
      </w:pPr>
      <w:r w:rsidRPr="00896D4F">
        <w:t>fråga om omprövning av ett länsstyrelsebeslut angående tillstånd till jakt på mink då beslutet enligt föreskrift i jaktförordningen inte fick över</w:t>
      </w:r>
      <w:r w:rsidRPr="00896D4F">
        <w:softHyphen/>
        <w:t>klagas, m.m. 99/00:339</w:t>
      </w:r>
    </w:p>
    <w:p w:rsidR="009C1C5A" w:rsidRPr="00896D4F" w:rsidRDefault="009C1C5A">
      <w:pPr>
        <w:pStyle w:val="PunktlistaTankstreck"/>
      </w:pPr>
      <w:r w:rsidRPr="00896D4F">
        <w:t>förfarandet vid ändringar av en kommunal myndighets beslut genom själ</w:t>
      </w:r>
      <w:r w:rsidRPr="00896D4F">
        <w:t>v</w:t>
      </w:r>
      <w:r w:rsidRPr="00896D4F">
        <w:t>rättelse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Ordningslagen</w:t>
      </w:r>
    </w:p>
    <w:p w:rsidR="009C1C5A" w:rsidRPr="00896D4F" w:rsidRDefault="009C1C5A">
      <w:pPr>
        <w:pStyle w:val="PunktlistaTankstreck"/>
      </w:pPr>
      <w:r w:rsidRPr="00896D4F">
        <w:t>kritik mot en polismyndighet för vissa ingripanden i samband med en allmän sammankomst 00/01:75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Parkeringsövervakning</w:t>
      </w:r>
    </w:p>
    <w:p w:rsidR="009C1C5A" w:rsidRPr="00896D4F" w:rsidRDefault="009C1C5A">
      <w:pPr>
        <w:pStyle w:val="PunktlistaTankstreck"/>
      </w:pPr>
      <w:r w:rsidRPr="00896D4F">
        <w:t>parkeringsövervakning är en förvaltningsuppgift som innefattar myndi</w:t>
      </w:r>
      <w:r w:rsidRPr="00896D4F">
        <w:t>g</w:t>
      </w:r>
      <w:r w:rsidRPr="00896D4F">
        <w:t>hetsutövning – meddelande av parkeringsanmärkning (påförande av fe</w:t>
      </w:r>
      <w:r w:rsidRPr="00896D4F">
        <w:t>l</w:t>
      </w:r>
      <w:r w:rsidRPr="00896D4F">
        <w:t>parkeringsavgift) – och i lag finns stöd för att överlämna den till personal hos bevakningsföretag 01/02:405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Partsinsyn</w:t>
      </w:r>
    </w:p>
    <w:p w:rsidR="009C1C5A" w:rsidRPr="00896D4F" w:rsidRDefault="009C1C5A">
      <w:pPr>
        <w:pStyle w:val="PunktlistaTankstreck"/>
        <w:rPr>
          <w:b/>
        </w:rPr>
      </w:pPr>
      <w:r w:rsidRPr="00896D4F">
        <w:t>begäran att få del av betalningsanmaningar, vilka inte fanns i kronofog</w:t>
      </w:r>
      <w:r w:rsidRPr="00896D4F">
        <w:softHyphen/>
        <w:t>demyndighets akt 99/00:166</w:t>
      </w:r>
    </w:p>
    <w:p w:rsidR="009C1C5A" w:rsidRPr="00896D4F" w:rsidRDefault="009C1C5A">
      <w:pPr>
        <w:pStyle w:val="PunktlistaTankstreck"/>
      </w:pPr>
      <w:r w:rsidRPr="00896D4F">
        <w:t>hos försäkringskassa 99/00:300</w:t>
      </w:r>
    </w:p>
    <w:p w:rsidR="009C1C5A" w:rsidRPr="00896D4F" w:rsidRDefault="009C1C5A">
      <w:pPr>
        <w:pStyle w:val="PunktlistaTankstreck"/>
      </w:pPr>
      <w:r w:rsidRPr="00896D4F">
        <w:t>skyndsamhetskrav hos försäkringskassa 99/00:332</w:t>
      </w:r>
    </w:p>
    <w:p w:rsidR="009C1C5A" w:rsidRPr="00896D4F" w:rsidRDefault="009C1C5A">
      <w:pPr>
        <w:pStyle w:val="PunktlistaTankstreck"/>
      </w:pPr>
      <w:r w:rsidRPr="00896D4F">
        <w:t>fråga om rätt till partsinsyn under handläggningen av en vårdnadsutredning 00/01:317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Personlig integritet</w:t>
      </w:r>
    </w:p>
    <w:p w:rsidR="009C1C5A" w:rsidRPr="00896D4F" w:rsidRDefault="009C1C5A">
      <w:pPr>
        <w:pStyle w:val="PunktlistaTankstreck"/>
      </w:pPr>
      <w:r w:rsidRPr="00896D4F">
        <w:t>en arbetsförmedling bör regelbundet förvissa sig om att de grundläggande uppgifterna i arbetsfö</w:t>
      </w:r>
      <w:r w:rsidRPr="00896D4F">
        <w:t>r</w:t>
      </w:r>
      <w:r w:rsidRPr="00896D4F">
        <w:t>medlingsregistret är korrekta 00/01:242</w:t>
      </w:r>
    </w:p>
    <w:p w:rsidR="009C1C5A" w:rsidRPr="00896D4F" w:rsidRDefault="009C1C5A">
      <w:pPr>
        <w:pStyle w:val="PunktlistaTankstreck"/>
      </w:pPr>
      <w:r w:rsidRPr="00896D4F">
        <w:t>nummerpresentation när myndigheter kontaktas per telefon. Hänsyn till den enskildes rätt till skydd av anonymitet m.m. 02/03:393</w:t>
      </w:r>
    </w:p>
    <w:p w:rsidR="009C1C5A" w:rsidRPr="00896D4F" w:rsidRDefault="009C1C5A">
      <w:pPr>
        <w:pStyle w:val="PunktlistaTankstreck"/>
      </w:pPr>
      <w:r w:rsidRPr="00896D4F">
        <w:t>Post- och telestyrelsen sökte vid indrivning av en fordran verkställighet av en icke lagakraftvunnen, senare upphävd, dom utan att ånyo kräva beta</w:t>
      </w:r>
      <w:r w:rsidRPr="00896D4F">
        <w:t>l</w:t>
      </w:r>
      <w:r w:rsidRPr="00896D4F">
        <w:t>ning, vilket ledde till registrering för betalningsförsummelse (betalning</w:t>
      </w:r>
      <w:r w:rsidRPr="00896D4F">
        <w:t>s</w:t>
      </w:r>
      <w:r w:rsidRPr="00896D4F">
        <w:t>anmärkning). Förfarandet har prövats enligt såväl regler om utsökning och personlig integritet som en allmän proportionalitetsprincip 02/03:385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Personuppgifter</w:t>
      </w:r>
    </w:p>
    <w:p w:rsidR="009C1C5A" w:rsidRPr="00896D4F" w:rsidRDefault="009C1C5A">
      <w:pPr>
        <w:pStyle w:val="PunktlistaTankstreck"/>
      </w:pPr>
      <w:r w:rsidRPr="00896D4F">
        <w:t>en tingsrätts handläggning av ett mål om umgängesrätt m.m. där svaranden hade s.k. fingerade personuppgifter 00/01:36</w:t>
      </w:r>
    </w:p>
    <w:p w:rsidR="009C1C5A" w:rsidRPr="00896D4F" w:rsidRDefault="009C1C5A">
      <w:pPr>
        <w:pStyle w:val="PunktlistaTankstreck"/>
      </w:pPr>
      <w:r w:rsidRPr="00896D4F">
        <w:t>en tingsrätts hantering av s.k. skyddade personuppgifter vilka erhållits från en part i ett förenklat tvistemål (FT-mål) 00/01:44</w:t>
      </w:r>
    </w:p>
    <w:p w:rsidR="009C1C5A" w:rsidRPr="00896D4F" w:rsidRDefault="009C1C5A">
      <w:pPr>
        <w:pStyle w:val="PunktlistaTankstreck"/>
      </w:pPr>
      <w:r w:rsidRPr="00896D4F">
        <w:t>en tingsrätts hantering av s.k. skyddade personuppgifter vilka erhållits från en part i ett familjemål 00/01:50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Plan- och bygglagen</w:t>
      </w:r>
    </w:p>
    <w:p w:rsidR="009C1C5A" w:rsidRPr="00896D4F" w:rsidRDefault="009C1C5A">
      <w:pPr>
        <w:pStyle w:val="PunktlistaTankstreck"/>
      </w:pPr>
      <w:r w:rsidRPr="00896D4F">
        <w:t>byggnadsnämnd har vidhållit ett krav på avgift enligt plan- och bygglagen, på annan grund än vad länsstyrelsen vid överprövning underkänt och för ett tillstånd som inte utgjort förhandsbesked eller någon annan i lagen före</w:t>
      </w:r>
      <w:r w:rsidRPr="00896D4F">
        <w:softHyphen/>
        <w:t>skriven form av beslut. Serviceskyldighet med avseende på ansökningar om sådant tillstånd 00/01:484</w:t>
      </w:r>
    </w:p>
    <w:p w:rsidR="009C1C5A" w:rsidRPr="00896D4F" w:rsidRDefault="009C1C5A">
      <w:pPr>
        <w:pStyle w:val="PunktlistaTankstreck"/>
      </w:pPr>
      <w:r w:rsidRPr="00896D4F">
        <w:t>fråga om skyldighet för en byggnadsnämnd att följa upp ett lagakraftvu</w:t>
      </w:r>
      <w:r w:rsidRPr="00896D4F">
        <w:t>n</w:t>
      </w:r>
      <w:r w:rsidRPr="00896D4F">
        <w:t>net rivningsföreläggande 01/02:407</w:t>
      </w:r>
    </w:p>
    <w:p w:rsidR="009C1C5A" w:rsidRPr="00896D4F" w:rsidRDefault="009C1C5A">
      <w:pPr>
        <w:pStyle w:val="PunktlistaTankstreck"/>
      </w:pPr>
      <w:r w:rsidRPr="00896D4F">
        <w:t>en byggnadsnämnds hantering av ett överklagande som getts in innan beslutet meddelats 02/03:396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Polisförordningen</w:t>
      </w:r>
    </w:p>
    <w:p w:rsidR="009C1C5A" w:rsidRPr="00896D4F" w:rsidRDefault="009C1C5A">
      <w:pPr>
        <w:pStyle w:val="PunktlistaTankstreck"/>
      </w:pPr>
      <w:r w:rsidRPr="00896D4F">
        <w:t>kritik mot en polismyndighet för långsam handläggning av ärenden vid dess internutredningse</w:t>
      </w:r>
      <w:r w:rsidRPr="00896D4F">
        <w:t>n</w:t>
      </w:r>
      <w:r w:rsidRPr="00896D4F">
        <w:t>het 00/01:173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Polislagen</w:t>
      </w:r>
    </w:p>
    <w:p w:rsidR="009C1C5A" w:rsidRPr="00896D4F" w:rsidRDefault="009C1C5A">
      <w:pPr>
        <w:pStyle w:val="PunktlistaTankstreck"/>
        <w:rPr>
          <w:b/>
        </w:rPr>
      </w:pPr>
      <w:r w:rsidRPr="00896D4F">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9C1C5A" w:rsidRPr="00896D4F" w:rsidRDefault="009C1C5A">
      <w:pPr>
        <w:pStyle w:val="PunktlistaTankstreck"/>
      </w:pPr>
      <w:r w:rsidRPr="00896D4F">
        <w:t>kritik mot en polismyndighet för vissa ingripanden i samband med en allmän sammankomst 00/01:75</w:t>
      </w:r>
    </w:p>
    <w:p w:rsidR="009C1C5A" w:rsidRPr="00896D4F" w:rsidRDefault="009C1C5A">
      <w:pPr>
        <w:pStyle w:val="PunktlistaTankstreck"/>
      </w:pPr>
      <w:r w:rsidRPr="00896D4F">
        <w:t>fråga om rättsenligheten av polisens spaningsmetod att använda en inköpt motorcykel av märket Harley-Davidson som ”lockbete” i brottsutredningar samt vissa uttalanden om de problem som kan uppkomma till följd av sk</w:t>
      </w:r>
      <w:r w:rsidRPr="00896D4F">
        <w:t>a</w:t>
      </w:r>
      <w:r w:rsidRPr="00896D4F">
        <w:t>dor på eller vållade av ett polisen tillhörigt motorfordon som är försäkrat 00/01:118</w:t>
      </w:r>
    </w:p>
    <w:p w:rsidR="009C1C5A" w:rsidRPr="00896D4F" w:rsidRDefault="009C1C5A">
      <w:pPr>
        <w:pStyle w:val="PunktlistaTankstreck"/>
      </w:pPr>
      <w:r w:rsidRPr="00896D4F">
        <w:t>fråga om polisens handlande i samband med anvisning av färdväg för chartrad buss med hemvändande fotbollssupportrar samt dokumentationen av ingripandet 00/01:110</w:t>
      </w:r>
    </w:p>
    <w:p w:rsidR="009C1C5A" w:rsidRPr="00896D4F" w:rsidRDefault="009C1C5A">
      <w:pPr>
        <w:pStyle w:val="PunktlistaTankstreck"/>
      </w:pPr>
      <w:r w:rsidRPr="00896D4F">
        <w:t>kritik mot en polismyndighet för ett ingripande mot deltagare i en musi</w:t>
      </w:r>
      <w:r w:rsidRPr="00896D4F">
        <w:t>k</w:t>
      </w:r>
      <w:r w:rsidRPr="00896D4F">
        <w:t>fest vilket bl.a. inneburit att dessa tagits med till en polisstation för kroppsb</w:t>
      </w:r>
      <w:r w:rsidRPr="00896D4F">
        <w:t>e</w:t>
      </w:r>
      <w:r w:rsidRPr="00896D4F">
        <w:t xml:space="preserve">siktning 01/02:76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Polismyndighet</w:t>
      </w:r>
    </w:p>
    <w:p w:rsidR="009C1C5A" w:rsidRPr="00896D4F" w:rsidRDefault="009C1C5A">
      <w:pPr>
        <w:pStyle w:val="PunktlistaTankstreck"/>
      </w:pPr>
      <w:r w:rsidRPr="00896D4F">
        <w:t>disciplinansvar för en närpolischef som hade fattat ett beslut om hus</w:t>
      </w:r>
      <w:r w:rsidRPr="00896D4F">
        <w:softHyphen/>
        <w:t>rannsakan utan att ha beh</w:t>
      </w:r>
      <w:r w:rsidRPr="00896D4F">
        <w:t>ö</w:t>
      </w:r>
      <w:r w:rsidRPr="00896D4F">
        <w:t>righet till det 99/00:57</w:t>
      </w:r>
    </w:p>
    <w:p w:rsidR="009C1C5A" w:rsidRPr="00896D4F" w:rsidRDefault="009C1C5A">
      <w:pPr>
        <w:pStyle w:val="PunktlistaTankstreck"/>
      </w:pPr>
      <w:r w:rsidRPr="00896D4F">
        <w:t>fråga om rättsenligheten av polismyndighets beslut att med åberopande av 22 § första stycket 2 polislagen (1984:387) – numera 23 § första stycket 2 polislagen – spärra av motorcykelorganisationen Hells Angels lokaler i Hasslarp och Malmö; även fråga om överklagbarheten av sådant beslut 99/00:60</w:t>
      </w:r>
    </w:p>
    <w:p w:rsidR="009C1C5A" w:rsidRPr="00896D4F" w:rsidRDefault="009C1C5A">
      <w:pPr>
        <w:pStyle w:val="PunktlistaTankstreck"/>
      </w:pPr>
      <w:r w:rsidRPr="00896D4F">
        <w:t>kritik mot en polismy</w:t>
      </w:r>
      <w:r w:rsidRPr="00896D4F">
        <w:t>n</w:t>
      </w:r>
      <w:r w:rsidRPr="00896D4F">
        <w:t>dighet för att förhörsledare i samband med för</w:t>
      </w:r>
      <w:r w:rsidRPr="00896D4F">
        <w:softHyphen/>
        <w:t>undersökning mot två 15-åringar åsidosatt regler av grundläggande bet</w:t>
      </w:r>
      <w:r w:rsidRPr="00896D4F">
        <w:t>y</w:t>
      </w:r>
      <w:r w:rsidRPr="00896D4F">
        <w:t>delse för underårigas rättssäke</w:t>
      </w:r>
      <w:r w:rsidRPr="00896D4F">
        <w:t>r</w:t>
      </w:r>
      <w:r w:rsidRPr="00896D4F">
        <w:t>het 99/00:78</w:t>
      </w:r>
    </w:p>
    <w:p w:rsidR="009C1C5A" w:rsidRPr="00896D4F" w:rsidRDefault="009C1C5A">
      <w:pPr>
        <w:pStyle w:val="PunktlistaTankstreck"/>
      </w:pPr>
      <w:r w:rsidRPr="00896D4F">
        <w:t>uttalanden om lagligheten av att under en förundersökning i hemlighet vide</w:t>
      </w:r>
      <w:r w:rsidRPr="00896D4F">
        <w:t>o</w:t>
      </w:r>
      <w:r w:rsidRPr="00896D4F">
        <w:t>filma en person som var intagen i häkte 99/00:91</w:t>
      </w:r>
    </w:p>
    <w:p w:rsidR="009C1C5A" w:rsidRPr="00896D4F" w:rsidRDefault="009C1C5A">
      <w:pPr>
        <w:pStyle w:val="PunktlistaTankstreck"/>
      </w:pPr>
      <w:r w:rsidRPr="00896D4F">
        <w:t>fråga om när polismyndighet skall ta kontakt med åklagare för att bereda denne tillfälle att överta förundersökningsledarskap och därmed sa</w:t>
      </w:r>
      <w:r w:rsidRPr="00896D4F">
        <w:t>m</w:t>
      </w:r>
      <w:r w:rsidRPr="00896D4F">
        <w:t>man</w:t>
      </w:r>
      <w:r w:rsidRPr="00896D4F">
        <w:softHyphen/>
        <w:t>hängande frågor om användande av tvångsmedel (i fallet s.k. personell husrannsakan i samband med en gisslansituation) 99/00:114</w:t>
      </w:r>
    </w:p>
    <w:p w:rsidR="009C1C5A" w:rsidRPr="00896D4F" w:rsidRDefault="009C1C5A">
      <w:pPr>
        <w:pStyle w:val="PunktlistaTankstreck"/>
      </w:pPr>
      <w:r w:rsidRPr="00896D4F">
        <w:t xml:space="preserve">fråga om fullgörande av skyldighet att underrätta vårdnadshavare enligt </w:t>
      </w:r>
      <w:r w:rsidRPr="00896D4F">
        <w:br/>
        <w:t>5 § lagen (1964:167) med särskilda bestämmelser om unga lagöverträdare 99/00:118</w:t>
      </w:r>
    </w:p>
    <w:p w:rsidR="009C1C5A" w:rsidRPr="00896D4F" w:rsidRDefault="009C1C5A">
      <w:pPr>
        <w:pStyle w:val="PunktlistaTankstreck"/>
      </w:pPr>
      <w:r w:rsidRPr="00896D4F">
        <w:t>fråga om polismyndighets skyldighet att låta översätta innehållet i en u</w:t>
      </w:r>
      <w:r w:rsidRPr="00896D4F">
        <w:t>n</w:t>
      </w:r>
      <w:r w:rsidRPr="00896D4F">
        <w:t>derrättelse (angående hävt beslag) som sänts till en polsk medborgare i Polen 99/00:127</w:t>
      </w:r>
    </w:p>
    <w:p w:rsidR="009C1C5A" w:rsidRPr="00896D4F" w:rsidRDefault="009C1C5A">
      <w:pPr>
        <w:pStyle w:val="PunktlistaTankstreck"/>
      </w:pPr>
      <w:r w:rsidRPr="00896D4F">
        <w:t>fråga om polismyndighet ägt rätt att vilandeförklara en ansökan om vissa ändringar i ett tillstånd att handla med vapen i avvaktan på domstolsav</w:t>
      </w:r>
      <w:r w:rsidRPr="00896D4F">
        <w:softHyphen/>
        <w:t>görande avseende polismy</w:t>
      </w:r>
      <w:r w:rsidRPr="00896D4F">
        <w:t>n</w:t>
      </w:r>
      <w:r w:rsidRPr="00896D4F">
        <w:t>dighetens dessförinnan fattade beslut att åter</w:t>
      </w:r>
      <w:r w:rsidRPr="00896D4F">
        <w:softHyphen/>
        <w:t>kalla handelstillståndet 99/00:133</w:t>
      </w:r>
    </w:p>
    <w:p w:rsidR="009C1C5A" w:rsidRPr="00896D4F" w:rsidRDefault="009C1C5A">
      <w:pPr>
        <w:pStyle w:val="PunktlistaTankstreck"/>
        <w:rPr>
          <w:b/>
        </w:rPr>
      </w:pPr>
      <w:r w:rsidRPr="00896D4F">
        <w:t>polisbefäls instruktioner till underlydande polismän i samband med ett ingripande föranlett av en vårdnadstvist; även fråga om polismännens upp</w:t>
      </w:r>
      <w:r w:rsidRPr="00896D4F">
        <w:softHyphen/>
        <w:t>trädande på platsen för i</w:t>
      </w:r>
      <w:r w:rsidRPr="00896D4F">
        <w:t>n</w:t>
      </w:r>
      <w:r w:rsidRPr="00896D4F">
        <w:t>gripandet 99/00:135</w:t>
      </w:r>
    </w:p>
    <w:p w:rsidR="009C1C5A" w:rsidRPr="00896D4F" w:rsidRDefault="009C1C5A">
      <w:pPr>
        <w:pStyle w:val="PunktlistaTankstreck"/>
      </w:pPr>
      <w:r w:rsidRPr="00896D4F">
        <w:t>fråga om utformningen av polismyndighets uppdrag till Statens kriminal</w:t>
      </w:r>
      <w:r w:rsidRPr="00896D4F">
        <w:softHyphen/>
        <w:t>tekniska laboratorium avseende analys och förstöring av misstänkt nark</w:t>
      </w:r>
      <w:r w:rsidRPr="00896D4F">
        <w:t>o</w:t>
      </w:r>
      <w:r w:rsidRPr="00896D4F">
        <w:t>tika 99/00:141</w:t>
      </w:r>
    </w:p>
    <w:p w:rsidR="009C1C5A" w:rsidRPr="00896D4F" w:rsidRDefault="009C1C5A">
      <w:pPr>
        <w:pStyle w:val="PunktlistaTankstreck"/>
      </w:pPr>
      <w:r w:rsidRPr="00896D4F">
        <w:t>fråga om tillämpningen av 23 kap. 21 § andra stycket rättegångsbalken angående skyldigheten att, innan förhöret avslutas, låta den som hörs bl.a. granska uppteckning av u</w:t>
      </w:r>
      <w:r w:rsidRPr="00896D4F">
        <w:t>t</w:t>
      </w:r>
      <w:r w:rsidRPr="00896D4F">
        <w:t>sagan 99/00:143</w:t>
      </w:r>
    </w:p>
    <w:p w:rsidR="009C1C5A" w:rsidRPr="00896D4F" w:rsidRDefault="009C1C5A">
      <w:pPr>
        <w:pStyle w:val="PunktlistaTankstreck"/>
        <w:rPr>
          <w:b/>
        </w:rPr>
      </w:pPr>
      <w:r w:rsidRPr="00896D4F">
        <w:t>fråga om utlämnande av handling kan ej prövas enligt 23 kap. 18 § första stycket rättegångsbalken när den som begärt att få ut handlingen avförts som misstänkt 99/00:392</w:t>
      </w:r>
    </w:p>
    <w:p w:rsidR="009C1C5A" w:rsidRPr="00896D4F" w:rsidRDefault="009C1C5A">
      <w:pPr>
        <w:pStyle w:val="PunktlistaTankstreck"/>
      </w:pPr>
      <w:r w:rsidRPr="00896D4F">
        <w:t>uttalande angående vissa oreglerade rutiner vid polismyndighet gällande til</w:t>
      </w:r>
      <w:r w:rsidRPr="00896D4F">
        <w:t>l</w:t>
      </w:r>
      <w:r w:rsidRPr="00896D4F">
        <w:t>stånd för besökande att följa med i polisens tjänstefordon 99/00:145</w:t>
      </w:r>
    </w:p>
    <w:p w:rsidR="009C1C5A" w:rsidRPr="00896D4F" w:rsidRDefault="009C1C5A">
      <w:pPr>
        <w:pStyle w:val="PunktlistaTankstreck"/>
      </w:pPr>
      <w:r w:rsidRPr="00896D4F">
        <w:t>möjligheten för en polismyndighet att lägga ned en förundersökning med motiveringen ”brott kan ej styrkas” 00/01:62</w:t>
      </w:r>
    </w:p>
    <w:p w:rsidR="009C1C5A" w:rsidRPr="00896D4F" w:rsidRDefault="009C1C5A">
      <w:pPr>
        <w:pStyle w:val="PunktlistaTankstreck"/>
      </w:pPr>
      <w:r w:rsidRPr="00896D4F">
        <w:t>kritik mot en polismyndighet för vissa ingripanden i samband med en allmän sammankomst 00/01:75</w:t>
      </w:r>
    </w:p>
    <w:p w:rsidR="009C1C5A" w:rsidRPr="00896D4F" w:rsidRDefault="009C1C5A">
      <w:pPr>
        <w:pStyle w:val="PunktlistaTankstreck"/>
      </w:pPr>
      <w:r w:rsidRPr="00896D4F">
        <w:t>kritik mot en polismyndighet för att ha inlett utredning enligt 31 § lagen (1964:167) med särskilda bestämmelser för unga lagöverträdare (LUL) mot barn under 15 år samt fråga om underrättelseskyldighet enligt nämnda lag och förhör med barn 00/01:90</w:t>
      </w:r>
    </w:p>
    <w:p w:rsidR="009C1C5A" w:rsidRPr="00896D4F" w:rsidRDefault="009C1C5A">
      <w:pPr>
        <w:pStyle w:val="PunktlistaTankstreck"/>
      </w:pPr>
      <w:r w:rsidRPr="00896D4F">
        <w:t>polisens handläggning av en begäran om handräckning enligt lagen (1991:1128) om psykiatrisk tvångsvård samt uttalanden om polisens mö</w:t>
      </w:r>
      <w:r w:rsidRPr="00896D4F">
        <w:t>j</w:t>
      </w:r>
      <w:r w:rsidRPr="00896D4F">
        <w:t>ligheter att överlämna uppdrag till Kriminalvårdens Transporttjänst 00/01:95</w:t>
      </w:r>
    </w:p>
    <w:p w:rsidR="009C1C5A" w:rsidRPr="00896D4F" w:rsidRDefault="009C1C5A">
      <w:pPr>
        <w:pStyle w:val="PunktlistaTankstreck"/>
      </w:pPr>
      <w:r w:rsidRPr="00896D4F">
        <w:t>fråga om rättsenligheten av polisens spaningsmetod att använda en inköpt motorcykel av märket Harley-Davidson som ”lockbete” i brottsutredningar samt vissa uttalanden om de problem som kan uppkomma till följd av sk</w:t>
      </w:r>
      <w:r w:rsidRPr="00896D4F">
        <w:t>a</w:t>
      </w:r>
      <w:r w:rsidRPr="00896D4F">
        <w:t>dor på eller vållade av ett polisen tillhörigt motorfordon som är försäkrat 00/01:118</w:t>
      </w:r>
    </w:p>
    <w:p w:rsidR="009C1C5A" w:rsidRPr="00896D4F" w:rsidRDefault="009C1C5A">
      <w:pPr>
        <w:pStyle w:val="PunktlistaTankstreck"/>
      </w:pPr>
      <w:r w:rsidRPr="00896D4F">
        <w:t xml:space="preserve">fråga om polisens handlande i samband med anvisning av färdväg för chartrad buss med hemvändande fotbollssupportrar samt dokumentationen av ingripandet 00/01:110 </w:t>
      </w:r>
    </w:p>
    <w:p w:rsidR="009C1C5A" w:rsidRPr="00896D4F" w:rsidRDefault="009C1C5A">
      <w:pPr>
        <w:pStyle w:val="PunktlistaTankstreck"/>
      </w:pPr>
      <w:r w:rsidRPr="00896D4F">
        <w:t>kritik mot en polismyndighet för långsam handläggning av ärenden vid dess internutredningse</w:t>
      </w:r>
      <w:r w:rsidRPr="00896D4F">
        <w:t>n</w:t>
      </w:r>
      <w:r w:rsidRPr="00896D4F">
        <w:t>het 00/01:173</w:t>
      </w:r>
    </w:p>
    <w:p w:rsidR="009C1C5A" w:rsidRPr="00896D4F" w:rsidRDefault="009C1C5A">
      <w:pPr>
        <w:pStyle w:val="PunktlistaTankstreck"/>
      </w:pPr>
      <w:r w:rsidRPr="00896D4F">
        <w:t>möjligheten att inhämta skriftliga berättelser från målsägande och vittnen 00/01:201</w:t>
      </w:r>
    </w:p>
    <w:p w:rsidR="009C1C5A" w:rsidRPr="00896D4F" w:rsidRDefault="009C1C5A">
      <w:pPr>
        <w:pStyle w:val="PunktlistaTankstreck"/>
      </w:pPr>
      <w:r w:rsidRPr="00896D4F">
        <w:t>”snattefonen” – polisens användning av förenklad utredning vid butiks</w:t>
      </w:r>
      <w:r w:rsidRPr="00896D4F">
        <w:softHyphen/>
        <w:t>snatterier 00/01:137</w:t>
      </w:r>
    </w:p>
    <w:p w:rsidR="009C1C5A" w:rsidRPr="00896D4F" w:rsidRDefault="009C1C5A">
      <w:pPr>
        <w:pStyle w:val="PunktlistaTankstreck"/>
      </w:pPr>
      <w:r w:rsidRPr="00896D4F">
        <w:t>skrivelse till Justitiedepartementet med synpunkter med anledning av iakttagelser gjorda under inspektioner vid vissa av polisens internutre</w:t>
      </w:r>
      <w:r w:rsidRPr="00896D4F">
        <w:t>d</w:t>
      </w:r>
      <w:r w:rsidRPr="00896D4F">
        <w:t>ningse</w:t>
      </w:r>
      <w:r w:rsidRPr="00896D4F">
        <w:t>n</w:t>
      </w:r>
      <w:r w:rsidRPr="00896D4F">
        <w:t>heter m.m. 00/01:204</w:t>
      </w:r>
    </w:p>
    <w:p w:rsidR="009C1C5A" w:rsidRPr="00896D4F" w:rsidRDefault="009C1C5A">
      <w:pPr>
        <w:pStyle w:val="PunktlistaTankstreck"/>
      </w:pPr>
      <w:r w:rsidRPr="00896D4F">
        <w:t>en polismyndighets handläggning av en mordutredning med barn inbla</w:t>
      </w:r>
      <w:r w:rsidRPr="00896D4F">
        <w:t>n</w:t>
      </w:r>
      <w:r w:rsidRPr="00896D4F">
        <w:t>dade 01/02:51</w:t>
      </w:r>
    </w:p>
    <w:p w:rsidR="009C1C5A" w:rsidRPr="00896D4F" w:rsidRDefault="009C1C5A">
      <w:pPr>
        <w:pStyle w:val="PunktlistaTankstreck"/>
      </w:pPr>
      <w:r w:rsidRPr="00896D4F">
        <w:t>fråga om den s.k. söndagsregelns tillämpning på den 48-timmarsfrist som gäller för att sända handlingarna i ett beslut om ett omedelbart omhände</w:t>
      </w:r>
      <w:r w:rsidRPr="00896D4F">
        <w:t>r</w:t>
      </w:r>
      <w:r w:rsidRPr="00896D4F">
        <w:t>tagande av ett kö</w:t>
      </w:r>
      <w:r w:rsidRPr="00896D4F">
        <w:t>r</w:t>
      </w:r>
      <w:r w:rsidRPr="00896D4F">
        <w:t>kort till länsstyrelsen 01/02:66</w:t>
      </w:r>
    </w:p>
    <w:p w:rsidR="009C1C5A" w:rsidRPr="00896D4F" w:rsidRDefault="009C1C5A">
      <w:pPr>
        <w:pStyle w:val="PunktlistaTankstreck"/>
      </w:pPr>
      <w:r w:rsidRPr="00896D4F">
        <w:t>kritik mot en polismyndighet för ett ingripande mot deltagare i en musi</w:t>
      </w:r>
      <w:r w:rsidRPr="00896D4F">
        <w:t>k</w:t>
      </w:r>
      <w:r w:rsidRPr="00896D4F">
        <w:t>fest vilket bl.a. inneburit att dessa tagits med till en polisstation för kropps</w:t>
      </w:r>
      <w:r w:rsidRPr="00896D4F">
        <w:softHyphen/>
        <w:t>b</w:t>
      </w:r>
      <w:r w:rsidRPr="00896D4F">
        <w:t>e</w:t>
      </w:r>
      <w:r w:rsidRPr="00896D4F">
        <w:t>siktning 01/02:76</w:t>
      </w:r>
    </w:p>
    <w:p w:rsidR="009C1C5A" w:rsidRPr="00896D4F" w:rsidRDefault="009C1C5A">
      <w:pPr>
        <w:pStyle w:val="PunktlistaTankstreck"/>
      </w:pPr>
      <w:r w:rsidRPr="00896D4F">
        <w:t>frågor om protokollering vid förundersökningar, delgivning av brotts</w:t>
      </w:r>
      <w:r w:rsidRPr="00896D4F">
        <w:softHyphen/>
        <w:t>miss</w:t>
      </w:r>
      <w:r w:rsidRPr="00896D4F">
        <w:softHyphen/>
        <w:t>tanke per telefon och användandet av civilanställd personal för utredningar av butikstillgrepp 01/02:91</w:t>
      </w:r>
    </w:p>
    <w:p w:rsidR="009C1C5A" w:rsidRPr="00896D4F" w:rsidRDefault="009C1C5A">
      <w:pPr>
        <w:pStyle w:val="PunktlistaTankstreck"/>
      </w:pPr>
      <w:r w:rsidRPr="00896D4F">
        <w:t>kritik mot en polismyndighet för att ett beslag hade skett inom ramen för en utredning enligt 23 kap. 22 § rättegångsbalken 01/02:95</w:t>
      </w:r>
    </w:p>
    <w:p w:rsidR="009C1C5A" w:rsidRPr="00896D4F" w:rsidRDefault="009C1C5A">
      <w:pPr>
        <w:pStyle w:val="PunktlistaTankstreck"/>
      </w:pPr>
      <w:r w:rsidRPr="00896D4F">
        <w:t>polisens användning av skriftliga berättelser från misstänkta i snatteriu</w:t>
      </w:r>
      <w:r w:rsidRPr="00896D4F">
        <w:t>t</w:t>
      </w:r>
      <w:r w:rsidRPr="00896D4F">
        <w:t>redningar 01/02:103</w:t>
      </w:r>
    </w:p>
    <w:p w:rsidR="009C1C5A" w:rsidRPr="00896D4F" w:rsidRDefault="009C1C5A">
      <w:pPr>
        <w:pStyle w:val="PunktlistaTankstreck"/>
      </w:pPr>
      <w:r w:rsidRPr="00896D4F">
        <w:t>fråga om rättsliga förutsättningar förelegat för ett beslut om husrannsakan i transportmedel 01/02:130</w:t>
      </w:r>
    </w:p>
    <w:p w:rsidR="009C1C5A" w:rsidRPr="00896D4F" w:rsidRDefault="009C1C5A">
      <w:pPr>
        <w:pStyle w:val="PunktlistaTankstreck"/>
      </w:pPr>
      <w:r w:rsidRPr="00896D4F">
        <w:t>fråga om verkan av en överenskommelse mellan en polismyndighet och en åklagarmyndighet innebärande att underrättelser om att åklagare beslutat att inte inleda förundersökning skall expedieras genom polismyndighetens försorg m.m. 01/02:132</w:t>
      </w:r>
    </w:p>
    <w:p w:rsidR="009C1C5A" w:rsidRPr="00896D4F" w:rsidRDefault="009C1C5A">
      <w:pPr>
        <w:pStyle w:val="PunktlistaTankstreck"/>
      </w:pPr>
      <w:r w:rsidRPr="00896D4F">
        <w:t>kritik mot en polismyndighet för handläggningen av ärenden vid en krim</w:t>
      </w:r>
      <w:r w:rsidRPr="00896D4F">
        <w:t>i</w:t>
      </w:r>
      <w:r w:rsidRPr="00896D4F">
        <w:t>na</w:t>
      </w:r>
      <w:r w:rsidRPr="00896D4F">
        <w:t>l</w:t>
      </w:r>
      <w:r w:rsidRPr="00896D4F">
        <w:t>avdelning 01/02:134</w:t>
      </w:r>
    </w:p>
    <w:p w:rsidR="009C1C5A" w:rsidRPr="00896D4F" w:rsidRDefault="009C1C5A">
      <w:pPr>
        <w:pStyle w:val="PunktlistaTankstreck"/>
      </w:pPr>
      <w:r w:rsidRPr="00896D4F">
        <w:t>skrivelse till Justitiedepartementet med anledning av iakttagelser gjorda under inspektioner av den brottsutredande verksamheten vid ett antal p</w:t>
      </w:r>
      <w:r w:rsidRPr="00896D4F">
        <w:t>o</w:t>
      </w:r>
      <w:r w:rsidRPr="00896D4F">
        <w:t>lismy</w:t>
      </w:r>
      <w:r w:rsidRPr="00896D4F">
        <w:t>n</w:t>
      </w:r>
      <w:r w:rsidRPr="00896D4F">
        <w:t>digheter 02/03:98</w:t>
      </w:r>
    </w:p>
    <w:p w:rsidR="009C1C5A" w:rsidRPr="00896D4F" w:rsidRDefault="009C1C5A">
      <w:pPr>
        <w:pStyle w:val="PunktlistaTankstreck"/>
      </w:pPr>
      <w:r w:rsidRPr="00896D4F">
        <w:t>kritik mot en polismyndighet för handläggningen av ett ärende rörande utlämnande av en i beslag tagen moped sedan förundersökningen lagts ned; också fråga om grunden för nedläggningen av förundersökningen 02/03:102</w:t>
      </w:r>
    </w:p>
    <w:p w:rsidR="009C1C5A" w:rsidRPr="00896D4F" w:rsidRDefault="009C1C5A">
      <w:pPr>
        <w:pStyle w:val="PunktlistaTankstreck"/>
      </w:pPr>
      <w:r w:rsidRPr="00896D4F">
        <w:t>kritik mot en polismyndighet för att den i ett fall inte hade vidtagit til</w:t>
      </w:r>
      <w:r w:rsidRPr="00896D4F">
        <w:t>l</w:t>
      </w:r>
      <w:r w:rsidRPr="00896D4F">
        <w:t>räckliga utredningsåtgärder innan den beslutat att lägga ned en förunde</w:t>
      </w:r>
      <w:r w:rsidRPr="00896D4F">
        <w:t>r</w:t>
      </w:r>
      <w:r w:rsidRPr="00896D4F">
        <w:t>sökning samt att den i ett annat fall beslutat att inte inleda förundersökning trots att det fanns anledning att anta att brott hade förövats 02/03:139</w:t>
      </w:r>
    </w:p>
    <w:p w:rsidR="009C1C5A" w:rsidRPr="00896D4F" w:rsidRDefault="009C1C5A">
      <w:pPr>
        <w:pStyle w:val="PunktlistaTankstreck"/>
      </w:pPr>
      <w:r w:rsidRPr="00896D4F">
        <w:t>kritik mot en polismyndighet för dröjsmål med diarieföring och besvara</w:t>
      </w:r>
      <w:r w:rsidRPr="00896D4F">
        <w:t>n</w:t>
      </w:r>
      <w:r w:rsidRPr="00896D4F">
        <w:t>de av ett till myndigh</w:t>
      </w:r>
      <w:r w:rsidRPr="00896D4F">
        <w:t>e</w:t>
      </w:r>
      <w:r w:rsidRPr="00896D4F">
        <w:t>ten inkommet e-postmeddelande 02/03:147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Postöppning</w:t>
      </w:r>
    </w:p>
    <w:p w:rsidR="009C1C5A" w:rsidRPr="00896D4F" w:rsidRDefault="009C1C5A">
      <w:pPr>
        <w:pStyle w:val="PunktlistaTankstreck"/>
      </w:pPr>
      <w:r w:rsidRPr="00896D4F">
        <w:t>öppnande vid en kriminalvårdsmyndighet av en postförsändelse adresserad till en anställd pe</w:t>
      </w:r>
      <w:r w:rsidRPr="00896D4F">
        <w:t>r</w:t>
      </w:r>
      <w:r w:rsidRPr="00896D4F">
        <w:t>sonligen 01/02:144</w:t>
      </w:r>
    </w:p>
    <w:p w:rsidR="009C1C5A" w:rsidRPr="00896D4F" w:rsidRDefault="009C1C5A">
      <w:pPr>
        <w:pStyle w:val="PunktlistaTankstreck"/>
      </w:pPr>
      <w:r w:rsidRPr="00896D4F">
        <w:t>rutiner för hantering av elektronisk post (e-post); bl.a. fråga om myndi</w:t>
      </w:r>
      <w:r w:rsidRPr="00896D4F">
        <w:t>g</w:t>
      </w:r>
      <w:r w:rsidRPr="00896D4F">
        <w:t>hetens tillgång till befattningshavares e-post under tid som denne är frå</w:t>
      </w:r>
      <w:r w:rsidRPr="00896D4F">
        <w:t>n</w:t>
      </w:r>
      <w:r w:rsidRPr="00896D4F">
        <w:t>varande 02/03:497</w:t>
      </w:r>
    </w:p>
    <w:p w:rsidR="009C1C5A" w:rsidRPr="00896D4F" w:rsidRDefault="009C1C5A">
      <w:pPr>
        <w:pStyle w:val="PunktlistaTankstreck"/>
      </w:pPr>
      <w:r w:rsidRPr="00896D4F">
        <w:t>rutiner för hantering av postförsändelser till en kommun som adresserats till en anställd personligen 02/03:495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Proportionalitetsprincipen</w:t>
      </w:r>
    </w:p>
    <w:p w:rsidR="009C1C5A" w:rsidRPr="00896D4F" w:rsidRDefault="009C1C5A">
      <w:pPr>
        <w:pStyle w:val="PunktlistaTankstreck"/>
      </w:pPr>
      <w:r w:rsidRPr="00896D4F">
        <w:t>Post- och telestyrelsen sökte vid indrivning av en fordran verkställighet av en icke lagakraftvunnen, senare upphävd, dom utan att ånyo kräva beta</w:t>
      </w:r>
      <w:r w:rsidRPr="00896D4F">
        <w:t>l</w:t>
      </w:r>
      <w:r w:rsidRPr="00896D4F">
        <w:t>ning, vilket ledde till registrering för betalningsförsummelse (betalning</w:t>
      </w:r>
      <w:r w:rsidRPr="00896D4F">
        <w:t>s</w:t>
      </w:r>
      <w:r w:rsidRPr="00896D4F">
        <w:t>anmärkning). Förfarandet har prövats enligt såväl regler om utsökning och personlig integritet som en allmän proportionalitetsprincip 02/03:385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Protokoll</w:t>
      </w:r>
    </w:p>
    <w:p w:rsidR="009C1C5A" w:rsidRPr="00896D4F" w:rsidRDefault="009C1C5A">
      <w:pPr>
        <w:pStyle w:val="PunktlistaTankstreck"/>
      </w:pPr>
      <w:r w:rsidRPr="00896D4F">
        <w:t>i ett sammanträdesprotokoll från en kommunal nämnd bör tiden och pla</w:t>
      </w:r>
      <w:r w:rsidRPr="00896D4F">
        <w:t>t</w:t>
      </w:r>
      <w:r w:rsidRPr="00896D4F">
        <w:t>sen för justeringen av protokollet anges 99/00:373</w:t>
      </w:r>
    </w:p>
    <w:p w:rsidR="009C1C5A" w:rsidRPr="00896D4F" w:rsidRDefault="009C1C5A">
      <w:pPr>
        <w:pStyle w:val="PunktlistaTankstreck"/>
      </w:pPr>
      <w:r w:rsidRPr="00896D4F">
        <w:t>fråga om riktigheten av att justeringen av protokoll förda vid sammanträde med kyrkorådets arbetsutskott inte tillkännages på pastoratets anslagstavla 00/01:479</w:t>
      </w:r>
    </w:p>
    <w:p w:rsidR="009C1C5A" w:rsidRPr="00896D4F" w:rsidRDefault="009C1C5A">
      <w:pPr>
        <w:pStyle w:val="PunktlistaTankstreck"/>
      </w:pPr>
      <w:r w:rsidRPr="00896D4F">
        <w:t>frågor om protokollering vid förundersökningar, delgivning av brotts-misstanke per telefon och användandet av civilanställd personal för utre</w:t>
      </w:r>
      <w:r w:rsidRPr="00896D4F">
        <w:t>d</w:t>
      </w:r>
      <w:r w:rsidRPr="00896D4F">
        <w:t>ningar av butikstillgrepp 01/02:91</w:t>
      </w:r>
    </w:p>
    <w:p w:rsidR="009C1C5A" w:rsidRPr="00896D4F" w:rsidRDefault="009C1C5A">
      <w:pPr>
        <w:pStyle w:val="PunktlistaTankstreck"/>
      </w:pPr>
      <w:r w:rsidRPr="00896D4F">
        <w:t>formerna för rättelse av uppgifter i protokoll från ett kommunalt utskotts sammanträde 01/02:422</w:t>
      </w:r>
    </w:p>
    <w:p w:rsidR="009C1C5A" w:rsidRPr="00896D4F" w:rsidRDefault="009C1C5A">
      <w:pPr>
        <w:pStyle w:val="PunktlistaTankstreck"/>
      </w:pPr>
      <w:r w:rsidRPr="00896D4F">
        <w:t>om särskilda protokoll förs vid sammanträden i kommunala utskott bör kommunallagens föreskrifter om protokollföring vid nämndsammanträden tillämpas. Även fråga bl.a. om ett fattat beslut hade redovisats på ett ko</w:t>
      </w:r>
      <w:r w:rsidRPr="00896D4F">
        <w:t>r</w:t>
      </w:r>
      <w:r w:rsidRPr="00896D4F">
        <w:t>rekt sätt 01/02:427</w:t>
      </w:r>
    </w:p>
    <w:p w:rsidR="009C1C5A" w:rsidRPr="00896D4F" w:rsidRDefault="009C1C5A">
      <w:pPr>
        <w:pStyle w:val="PunktlistaTankstreck"/>
      </w:pPr>
      <w:r w:rsidRPr="00896D4F">
        <w:t>förfarandet vid ändringar av en kommunal myndighets beslut genom själ</w:t>
      </w:r>
      <w:r w:rsidRPr="00896D4F">
        <w:t>v</w:t>
      </w:r>
      <w:r w:rsidRPr="00896D4F">
        <w:t>rättelse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Provokation</w:t>
      </w:r>
    </w:p>
    <w:p w:rsidR="009C1C5A" w:rsidRPr="00896D4F" w:rsidRDefault="009C1C5A">
      <w:pPr>
        <w:pStyle w:val="PunktlistaTankstreck"/>
      </w:pPr>
      <w:r w:rsidRPr="00896D4F">
        <w:t>fråga om rättsenligheten av polisens spaningsmetod att använda en inköpt motorcykel av märket Harley-Davidson som ”lockbete” i brottsutredningar samt vissa uttalanden om de problem som kan uppkomma till följd av sk</w:t>
      </w:r>
      <w:r w:rsidRPr="00896D4F">
        <w:t>a</w:t>
      </w:r>
      <w:r w:rsidRPr="00896D4F">
        <w:t>dor på eller vållade av ett polisen tillhörigt motorfordon som är försäkrat 00/01:118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Psykiatrisk tvångsvård</w:t>
      </w:r>
    </w:p>
    <w:p w:rsidR="009C1C5A" w:rsidRPr="00896D4F" w:rsidRDefault="009C1C5A">
      <w:pPr>
        <w:pStyle w:val="PunktlistaTankstreck"/>
      </w:pPr>
      <w:r w:rsidRPr="00896D4F">
        <w:t>kritik mot en länsrätt för att muntlig förhandling hållits i ett mål enligt lagen (1991:1128) om psykiatrisk tvångsvård (LPT) i parts utevaro och utan att något offentligt biträde förordnats 99/00:180</w:t>
      </w:r>
    </w:p>
    <w:p w:rsidR="009C1C5A" w:rsidRPr="00896D4F" w:rsidRDefault="009C1C5A">
      <w:pPr>
        <w:pStyle w:val="PunktlistaTankstreck"/>
      </w:pPr>
      <w:r w:rsidRPr="00896D4F">
        <w:t>kritik mot rättspsykiatrisk enhet för genomförandet av ytliga kropps</w:t>
      </w:r>
      <w:r w:rsidRPr="00896D4F">
        <w:softHyphen/>
        <w:t>besiktningar och kontroll av brevförsändelser. Även kritik för under</w:t>
      </w:r>
      <w:r w:rsidRPr="00896D4F">
        <w:softHyphen/>
        <w:t>låtenhet att dokumentera dessa tvångsåtgärder i patientjournalen 00/01:346</w:t>
      </w:r>
    </w:p>
    <w:p w:rsidR="009C1C5A" w:rsidRPr="00896D4F" w:rsidRDefault="009C1C5A">
      <w:pPr>
        <w:pStyle w:val="PunktlistaTankstreck"/>
        <w:rPr>
          <w:b/>
        </w:rPr>
      </w:pPr>
      <w:r w:rsidRPr="00896D4F">
        <w:t>kritik mot en överläkare för det sätt på vilket en psykiskt utvecklingsstörd pojke återförts till sjukhus enligt bestämmelserna i lagen (1991:1128) om psykiatrisk tvångsvård (LPT). Även fråga om omfatt</w:t>
      </w:r>
      <w:r w:rsidRPr="00896D4F">
        <w:softHyphen/>
        <w:t>ningen av polisens skyldighet att lämna handräckningsbiträde enligt 47 § LPT 00/01:339</w:t>
      </w:r>
    </w:p>
    <w:p w:rsidR="009C1C5A" w:rsidRPr="00896D4F" w:rsidRDefault="009C1C5A">
      <w:pPr>
        <w:pStyle w:val="PunktlistaTankstreck"/>
      </w:pPr>
      <w:r w:rsidRPr="00896D4F">
        <w:t>uttalanden rörande förutsättningarna att inom ramen för vård enligt b</w:t>
      </w:r>
      <w:r w:rsidRPr="00896D4F">
        <w:t>e</w:t>
      </w:r>
      <w:r w:rsidRPr="00896D4F">
        <w:t>stämmelserna i lagen (1991:1129) om rättspsykiatrisk vård omhänderta patients bankkort (minutenkort). Kritik för underlåtenhet att dokumentera åtgärden i patientens journal 00/01:343</w:t>
      </w:r>
    </w:p>
    <w:p w:rsidR="009C1C5A" w:rsidRPr="00896D4F" w:rsidRDefault="009C1C5A">
      <w:pPr>
        <w:pStyle w:val="PunktlistaTankstreck"/>
      </w:pPr>
      <w:r w:rsidRPr="00896D4F">
        <w:t>disciplinansvar för en överläkare vars felaktiga journalanteckningar lett till beslut om återintagning av patient till sjukvårdsinrättning oaktat stöd här</w:t>
      </w:r>
      <w:r w:rsidRPr="00896D4F">
        <w:softHyphen/>
        <w:t>för saknats i bestämmelserna i lagen (1991:1128) om psykiatrisk tvångs</w:t>
      </w:r>
      <w:r w:rsidRPr="00896D4F">
        <w:softHyphen/>
        <w:t>vård 00/01:353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Regeringsformen</w:t>
      </w:r>
    </w:p>
    <w:p w:rsidR="009C1C5A" w:rsidRPr="00896D4F" w:rsidRDefault="009C1C5A">
      <w:pPr>
        <w:pStyle w:val="PunktlistaTankstreck"/>
      </w:pPr>
      <w:r w:rsidRPr="00896D4F">
        <w:t>att en byggnadsnämnd låtit ett privat företag bestrida kostnaderna för ett extra nämndsammanträde har ansetts strida mot 1 kap. 9 § regeringsformen 99/00:366</w:t>
      </w:r>
    </w:p>
    <w:p w:rsidR="009C1C5A" w:rsidRPr="00896D4F" w:rsidRDefault="009C1C5A">
      <w:pPr>
        <w:pStyle w:val="PunktlistaTankstreck"/>
      </w:pPr>
      <w:r w:rsidRPr="00896D4F">
        <w:t>fråga huruvida en länsstyrelse överlämnat förvaltningsuppgifter som inne</w:t>
      </w:r>
      <w:r w:rsidRPr="00896D4F">
        <w:softHyphen/>
        <w:t>fattar myndighetsutövning till en jägarorganisation 00/01:269</w:t>
      </w:r>
    </w:p>
    <w:p w:rsidR="009C1C5A" w:rsidRPr="00896D4F" w:rsidRDefault="009C1C5A">
      <w:pPr>
        <w:pStyle w:val="PunktlistaTankstreck"/>
      </w:pPr>
      <w:r w:rsidRPr="00896D4F">
        <w:t>på JO:s initiativ upptagen fråga om huruvida vissa arbetslöshetskassor överlämnat uppgifter som innefattar myndighetsutövning till fackförbund 01/02:187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Regeringsrätten</w:t>
      </w:r>
    </w:p>
    <w:p w:rsidR="009C1C5A" w:rsidRPr="00896D4F" w:rsidRDefault="009C1C5A">
      <w:pPr>
        <w:pStyle w:val="PunktlistaTankstreck"/>
      </w:pPr>
      <w:r w:rsidRPr="00896D4F">
        <w:t>fråga om handläggning i kammarrätt och Regeringsrätten av en begäran att få utskrifter av vittne</w:t>
      </w:r>
      <w:r w:rsidRPr="00896D4F">
        <w:t>s</w:t>
      </w:r>
      <w:r w:rsidRPr="00896D4F">
        <w:t>förhör 99/00:201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Registrering</w:t>
      </w:r>
    </w:p>
    <w:p w:rsidR="009C1C5A" w:rsidRPr="00896D4F" w:rsidRDefault="009C1C5A">
      <w:pPr>
        <w:pStyle w:val="PunktlistaTankstreck"/>
      </w:pPr>
      <w:r w:rsidRPr="00896D4F">
        <w:t>uttalanden angående att Patent- och registreringsverket i ett ärende om registrering av näringsförbud kontaktat tingsrätten för att få besked om en dom om näringsförbud var omedelbart verkställbar samt registrerat nä</w:t>
      </w:r>
      <w:r w:rsidRPr="00896D4F">
        <w:t>r</w:t>
      </w:r>
      <w:r w:rsidRPr="00896D4F">
        <w:t>ingsförbud i enlighet med tingsrättens besked, som var felaktigt 01/02:181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Registrering av handlingar</w:t>
      </w:r>
    </w:p>
    <w:p w:rsidR="009C1C5A" w:rsidRPr="00896D4F" w:rsidRDefault="009C1C5A">
      <w:pPr>
        <w:pStyle w:val="PunktlistaTankstreck"/>
      </w:pPr>
      <w:r w:rsidRPr="00896D4F">
        <w:t>kommunala nämnder har inte registrerat (diariefört) allmänna handlingar i ärenden om färdtjänst. Fråga om registreringsskyldighet föreligger 00/01:560</w:t>
      </w:r>
    </w:p>
    <w:p w:rsidR="009C1C5A" w:rsidRPr="00896D4F" w:rsidRDefault="009C1C5A">
      <w:pPr>
        <w:pStyle w:val="PunktlistaTankstreck"/>
      </w:pPr>
      <w:r w:rsidRPr="00896D4F">
        <w:t>rutiner för diarieföring hos ett kommunalt bolag 02/03:491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Remissyttrande</w:t>
      </w:r>
    </w:p>
    <w:p w:rsidR="009C1C5A" w:rsidRPr="00896D4F" w:rsidRDefault="009C1C5A">
      <w:pPr>
        <w:pStyle w:val="PunktlistaTankstreck"/>
      </w:pPr>
      <w:r w:rsidRPr="00896D4F">
        <w:t>allvarlig kritik mot Luleå tekniska universitet för handläggningen av en begäran om att få ta del av en allmän handling och för det sätt på vilket universitet handlagt JO:s r</w:t>
      </w:r>
      <w:r w:rsidRPr="00896D4F">
        <w:t>e</w:t>
      </w:r>
      <w:r w:rsidRPr="00896D4F">
        <w:t>miss 99/00:356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Resning</w:t>
      </w:r>
    </w:p>
    <w:p w:rsidR="009C1C5A" w:rsidRPr="00896D4F" w:rsidRDefault="009C1C5A">
      <w:pPr>
        <w:pStyle w:val="PunktlistaTankstreck"/>
      </w:pPr>
      <w:r w:rsidRPr="00896D4F">
        <w:t>handläggningen av framställningar om utredningsåtgärder efter det att en brottmålsdom vunnit laga kraft 00/01:69</w:t>
      </w:r>
    </w:p>
    <w:p w:rsidR="009C1C5A" w:rsidRPr="00896D4F" w:rsidRDefault="009C1C5A">
      <w:pPr>
        <w:pStyle w:val="PunktlistaTankstreck"/>
      </w:pPr>
      <w:r w:rsidRPr="00896D4F">
        <w:t>Riksåklagarens han</w:t>
      </w:r>
      <w:r w:rsidRPr="00896D4F">
        <w:t>d</w:t>
      </w:r>
      <w:r w:rsidRPr="00896D4F">
        <w:t>läggning av det s.k. Osmo Vallo-fallet 02/03:116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Revision</w:t>
      </w:r>
    </w:p>
    <w:p w:rsidR="009C1C5A" w:rsidRPr="00896D4F" w:rsidRDefault="009C1C5A">
      <w:pPr>
        <w:pStyle w:val="PunktlistaTankstreck"/>
      </w:pPr>
      <w:r w:rsidRPr="00896D4F">
        <w:t>remissyttrande över ett betänkande rörande inrättande och organisation av den nya riksreviosionsmyndigheten under riksdagen 02/03:512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Riksrevisionen</w:t>
      </w:r>
    </w:p>
    <w:p w:rsidR="009C1C5A" w:rsidRPr="00896D4F" w:rsidRDefault="009C1C5A">
      <w:pPr>
        <w:pStyle w:val="PunktlistaTankstreck"/>
      </w:pPr>
      <w:r w:rsidRPr="00896D4F">
        <w:t>remissyttrande över ett betänkande rörande inrättande och organisation av den nya riksreviosionsmyndigheten under riksdagen 02/03:512</w:t>
      </w:r>
    </w:p>
    <w:p w:rsidR="009C1C5A" w:rsidRPr="00896D4F" w:rsidRDefault="009C1C5A">
      <w:pPr>
        <w:pStyle w:val="Rubrik3"/>
      </w:pPr>
      <w:r w:rsidRPr="00896D4F">
        <w:t>Rättegångsbalken</w:t>
      </w:r>
    </w:p>
    <w:p w:rsidR="009C1C5A" w:rsidRPr="00896D4F" w:rsidRDefault="009C1C5A">
      <w:pPr>
        <w:pStyle w:val="PunktlistaTankstreck"/>
      </w:pPr>
      <w:r w:rsidRPr="00896D4F">
        <w:t>långsam handläggning av en fråga om rätt</w:t>
      </w:r>
      <w:r w:rsidRPr="00896D4F">
        <w:t>e</w:t>
      </w:r>
      <w:r w:rsidRPr="00896D4F">
        <w:t>gångshinder 99/00:44</w:t>
      </w:r>
    </w:p>
    <w:p w:rsidR="009C1C5A" w:rsidRPr="00896D4F" w:rsidRDefault="009C1C5A">
      <w:pPr>
        <w:pStyle w:val="PunktlistaTankstreck"/>
      </w:pPr>
      <w:r w:rsidRPr="00896D4F">
        <w:t>en tingsrätts handläggning av ett tvistemål efter det att parterna hade fö</w:t>
      </w:r>
      <w:r w:rsidRPr="00896D4F">
        <w:t>r</w:t>
      </w:r>
      <w:r w:rsidRPr="00896D4F">
        <w:t>likts 99/00:51</w:t>
      </w:r>
    </w:p>
    <w:p w:rsidR="009C1C5A" w:rsidRPr="00896D4F" w:rsidRDefault="009C1C5A">
      <w:pPr>
        <w:pStyle w:val="PunktlistaTankstreck"/>
      </w:pPr>
      <w:r w:rsidRPr="00896D4F">
        <w:t>bristfällig redovisning av bevisvärderingen i dom där den tilltalade dömts mot sitt nekande 99/00:55</w:t>
      </w:r>
    </w:p>
    <w:p w:rsidR="009C1C5A" w:rsidRPr="00896D4F" w:rsidRDefault="009C1C5A">
      <w:pPr>
        <w:pStyle w:val="PunktlistaTankstreck"/>
      </w:pPr>
      <w:r w:rsidRPr="00896D4F">
        <w:t>möjligheten för en polismyndighet att lägga ned en förundersökning med motiveringen ”brott kan ej styrkas” 00/01:62</w:t>
      </w:r>
    </w:p>
    <w:p w:rsidR="009C1C5A" w:rsidRPr="00896D4F" w:rsidRDefault="009C1C5A">
      <w:pPr>
        <w:pStyle w:val="PunktlistaTankstreck"/>
      </w:pPr>
      <w:r w:rsidRPr="00896D4F">
        <w:t>”snattefonen” – polisens användning av förenklad utredning vid butiks</w:t>
      </w:r>
      <w:r w:rsidRPr="00896D4F">
        <w:softHyphen/>
        <w:t>snatterier 00/01:137</w:t>
      </w:r>
    </w:p>
    <w:p w:rsidR="009C1C5A" w:rsidRPr="00896D4F" w:rsidRDefault="009C1C5A">
      <w:pPr>
        <w:pStyle w:val="PunktlistaTankstreck"/>
      </w:pPr>
      <w:r w:rsidRPr="00896D4F">
        <w:t>kritik mot en tingsrätt för att den låtit ett beslag bestå efter det att åtalet ogi</w:t>
      </w:r>
      <w:r w:rsidRPr="00896D4F">
        <w:t>l</w:t>
      </w:r>
      <w:r w:rsidRPr="00896D4F">
        <w:t>lats 01/02:40</w:t>
      </w:r>
    </w:p>
    <w:p w:rsidR="009C1C5A" w:rsidRPr="00896D4F" w:rsidRDefault="009C1C5A">
      <w:pPr>
        <w:pStyle w:val="PunktlistaTankstreck"/>
      </w:pPr>
      <w:r w:rsidRPr="00896D4F">
        <w:t>fråga om tillämpning av rättegångsbalkens bestämmelse om förbud mot fot</w:t>
      </w:r>
      <w:r w:rsidRPr="00896D4F">
        <w:t>o</w:t>
      </w:r>
      <w:r w:rsidRPr="00896D4F">
        <w:t>grafering i rättssal 01/02:46</w:t>
      </w:r>
    </w:p>
    <w:p w:rsidR="009C1C5A" w:rsidRPr="00896D4F" w:rsidRDefault="009C1C5A">
      <w:pPr>
        <w:pStyle w:val="PunktlistaTankstreck"/>
      </w:pPr>
      <w:r w:rsidRPr="00896D4F">
        <w:t>kritik mot en polismyndighet för att ett beslag hade skett inom ramen för en utredning enligt 23 kap. 22 § rättegångsbalken 01/02:95</w:t>
      </w:r>
    </w:p>
    <w:p w:rsidR="009C1C5A" w:rsidRPr="00896D4F" w:rsidRDefault="009C1C5A">
      <w:pPr>
        <w:pStyle w:val="PunktlistaTankstreck"/>
      </w:pPr>
      <w:r w:rsidRPr="00896D4F">
        <w:t>handläggningen av en förundersökning angående mord under vilken bl.a. bevisupptagning skett vid domstol med ett ”anonymt” vittne 02/03:67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Rättelse</w:t>
      </w:r>
    </w:p>
    <w:p w:rsidR="009C1C5A" w:rsidRPr="00896D4F" w:rsidRDefault="009C1C5A">
      <w:pPr>
        <w:pStyle w:val="PunktlistaTankstreck"/>
      </w:pPr>
      <w:r w:rsidRPr="00896D4F">
        <w:t>formerna för rättelse av uppgifter i protokoll från ett kommunalt utskotts sammanträde 01/02:422</w:t>
      </w:r>
    </w:p>
    <w:p w:rsidR="009C1C5A" w:rsidRPr="00896D4F" w:rsidRDefault="009C1C5A">
      <w:pPr>
        <w:pStyle w:val="PunktlistaTankstreck"/>
      </w:pPr>
      <w:r w:rsidRPr="00896D4F">
        <w:t>förfarandet vid ändringar av en kommunal myndighets beslut genom själ</w:t>
      </w:r>
      <w:r w:rsidRPr="00896D4F">
        <w:t>v</w:t>
      </w:r>
      <w:r w:rsidRPr="00896D4F">
        <w:t>rättelse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Rättshjälp</w:t>
      </w:r>
    </w:p>
    <w:p w:rsidR="009C1C5A" w:rsidRPr="00896D4F" w:rsidRDefault="009C1C5A">
      <w:pPr>
        <w:pStyle w:val="PunktlistaTankstreck"/>
      </w:pPr>
      <w:r w:rsidRPr="00896D4F">
        <w:t>kritik mot en länsrätt för att muntlig förhandling hållits i ett mål enligt lagen (1991:1128) om psykiatrisk tvångsvård (LPT) i parts utevaro och utan att något offentligt biträde förordnats 99/00:180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Rättskraft</w:t>
      </w:r>
    </w:p>
    <w:p w:rsidR="009C1C5A" w:rsidRPr="00896D4F" w:rsidRDefault="009C1C5A">
      <w:pPr>
        <w:pStyle w:val="PunktlistaTankstreck"/>
      </w:pPr>
      <w:r w:rsidRPr="00896D4F">
        <w:t>byggnadsnämnd har vidhållit ett krav på avgift enligt plan- och bygglagen, på annan grund än vad länsstyrelsen vid överprövning underkänt och för ett tillstånd som inte utgjort förhandsbesked eller någon annan i lagen före</w:t>
      </w:r>
      <w:r w:rsidRPr="00896D4F">
        <w:softHyphen/>
        <w:t>skriven form av beslut. Serviceskyldighet med avseende på ansökningar om sådant tillstånd 00/01:484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Rättspsykiatrisk vård</w:t>
      </w:r>
    </w:p>
    <w:p w:rsidR="009C1C5A" w:rsidRPr="00896D4F" w:rsidRDefault="009C1C5A">
      <w:pPr>
        <w:pStyle w:val="PunktlistaTankstreck"/>
      </w:pPr>
      <w:r w:rsidRPr="00896D4F">
        <w:t>uttalanden om vilka rutiner som bör tillämpas när det gäller hand</w:t>
      </w:r>
      <w:r w:rsidRPr="00896D4F">
        <w:softHyphen/>
        <w:t>läggningen av yttranden enligt 22 § lagen (1991:1129) om rättspsykiatrisk vård 99/00:74</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Sekretess</w:t>
      </w:r>
    </w:p>
    <w:p w:rsidR="009C1C5A" w:rsidRPr="00896D4F" w:rsidRDefault="009C1C5A">
      <w:pPr>
        <w:pStyle w:val="PunktlistaTankstreck"/>
      </w:pPr>
      <w:r w:rsidRPr="00896D4F">
        <w:t xml:space="preserve">fråga om utlämnande av handling kan ej prövas enligt 23 kap. 18 § första stycket rättegångsbalken när den som begärt att få ut handlingen avförts som misstänkt </w:t>
      </w:r>
      <w:r w:rsidRPr="00896D4F">
        <w:t>99/00:392</w:t>
      </w:r>
    </w:p>
    <w:p w:rsidR="009C1C5A" w:rsidRPr="00896D4F" w:rsidRDefault="009C1C5A">
      <w:pPr>
        <w:pStyle w:val="PunktlistaTankstreck"/>
        <w:rPr>
          <w:rFonts w:ascii="Garamond" w:hAnsi="Garamond"/>
        </w:rPr>
      </w:pPr>
      <w:r w:rsidRPr="00896D4F">
        <w:t>utlämnande av uppgift att en person var häktad 99/00:378</w:t>
      </w:r>
    </w:p>
    <w:p w:rsidR="009C1C5A" w:rsidRPr="00896D4F" w:rsidRDefault="009C1C5A">
      <w:pPr>
        <w:pStyle w:val="PunktlistaTankstreck"/>
      </w:pPr>
      <w:r w:rsidRPr="00896D4F">
        <w:t>utlämnande av uppgifter vid rehabiliteringsmöte 99/00:380</w:t>
      </w:r>
    </w:p>
    <w:p w:rsidR="009C1C5A" w:rsidRPr="00896D4F" w:rsidRDefault="009C1C5A">
      <w:pPr>
        <w:pStyle w:val="PunktlistaTankstreck"/>
      </w:pPr>
      <w:r w:rsidRPr="00896D4F">
        <w:t>fråga om lämpligheten, särskilt från sekretessynpunkt, av att familjeråd</w:t>
      </w:r>
      <w:r w:rsidRPr="00896D4F">
        <w:softHyphen/>
        <w:t>givning enligt bestämmelserna i 12 a § socialtjänstlagen (1980:620) b</w:t>
      </w:r>
      <w:r w:rsidRPr="00896D4F">
        <w:t>e</w:t>
      </w:r>
      <w:r w:rsidRPr="00896D4F">
        <w:t xml:space="preserve">drivs med anlitande av socialsekreterare som tjänstgör inom kommunens individinriktade socialtjänst i övrigt 99/00:272 </w:t>
      </w:r>
    </w:p>
    <w:p w:rsidR="009C1C5A" w:rsidRPr="00896D4F" w:rsidRDefault="009C1C5A">
      <w:pPr>
        <w:pStyle w:val="PunktlistaTankstreck"/>
      </w:pPr>
      <w:r w:rsidRPr="00896D4F">
        <w:t>kritik mot socialsekreterare som på eget initiativ lämnat ut sekretess</w:t>
      </w:r>
      <w:r w:rsidRPr="00896D4F">
        <w:softHyphen/>
        <w:t>skyddad uppgift till försä</w:t>
      </w:r>
      <w:r w:rsidRPr="00896D4F">
        <w:t>k</w:t>
      </w:r>
      <w:r w:rsidRPr="00896D4F">
        <w:t>ringskassan 99/00:374</w:t>
      </w:r>
    </w:p>
    <w:p w:rsidR="009C1C5A" w:rsidRPr="00896D4F" w:rsidRDefault="009C1C5A">
      <w:pPr>
        <w:pStyle w:val="PunktlistaTankstreck"/>
      </w:pPr>
      <w:r w:rsidRPr="00896D4F">
        <w:t>fråga angående offentliggörande av integritetskänsliga uppgifter i en dom, då muntlig förhandling hållits inom stängda dörrar 99/00:175</w:t>
      </w:r>
    </w:p>
    <w:p w:rsidR="009C1C5A" w:rsidRPr="00896D4F" w:rsidRDefault="009C1C5A">
      <w:pPr>
        <w:pStyle w:val="PunktlistaTankstreck"/>
      </w:pPr>
      <w:r w:rsidRPr="00896D4F">
        <w:t>offentliggörande av namnuppgifter i kungörelsedelgivning rörande mål om bistånd enligt 6 g § socialtjänstlagen 99/00:191</w:t>
      </w:r>
    </w:p>
    <w:p w:rsidR="009C1C5A" w:rsidRPr="00896D4F" w:rsidRDefault="009C1C5A">
      <w:pPr>
        <w:pStyle w:val="PunktlistaTankstreck"/>
      </w:pPr>
      <w:r w:rsidRPr="00896D4F">
        <w:t xml:space="preserve">fråga om två lokala skattekontor tillhörande samma skattemyndighet är att betrakta som självständiga verksamhetsgrenar i förhållande till varandra 99/00:393 </w:t>
      </w:r>
    </w:p>
    <w:p w:rsidR="009C1C5A" w:rsidRPr="00896D4F" w:rsidRDefault="009C1C5A">
      <w:pPr>
        <w:pStyle w:val="PunktlistaTankstreck"/>
      </w:pPr>
      <w:r w:rsidRPr="00896D4F">
        <w:t>ifrågasatt dataintrång och sekretessbrott hos allmän försäkringskassa 00/01:533</w:t>
      </w:r>
    </w:p>
    <w:p w:rsidR="009C1C5A" w:rsidRPr="00896D4F" w:rsidRDefault="009C1C5A">
      <w:pPr>
        <w:pStyle w:val="PunktlistaTankstreck"/>
      </w:pPr>
      <w:r w:rsidRPr="00896D4F">
        <w:t>försäkringskassas utlämnande av handlingar till utländsk myndighet 00/01:539</w:t>
      </w:r>
    </w:p>
    <w:p w:rsidR="009C1C5A" w:rsidRPr="00896D4F" w:rsidRDefault="009C1C5A">
      <w:pPr>
        <w:pStyle w:val="PunktlistaTankstreck"/>
      </w:pPr>
      <w:r w:rsidRPr="00896D4F">
        <w:t>läkare har utan medgivande lämnat ut sekretesskyddade uppgifter rörande patient och dennes make till polis och överförmyndare. – Fråga om läkaren haft lagstöd för sina åtgärder 00/01:512</w:t>
      </w:r>
    </w:p>
    <w:p w:rsidR="009C1C5A" w:rsidRPr="00896D4F" w:rsidRDefault="009C1C5A">
      <w:pPr>
        <w:pStyle w:val="PunktlistaTankstreck"/>
      </w:pPr>
      <w:r w:rsidRPr="00896D4F">
        <w:t>ett på JO:s initiativ upptaget ärende mot Kriminalvårdsmyndigheten Ör</w:t>
      </w:r>
      <w:r w:rsidRPr="00896D4F">
        <w:t>e</w:t>
      </w:r>
      <w:r w:rsidRPr="00896D4F">
        <w:t>bro, anstalten Hinseberg, och Kriminalvårdsmyndigheten Kumla (sjuk</w:t>
      </w:r>
      <w:r w:rsidRPr="00896D4F">
        <w:softHyphen/>
        <w:t>vårdsavdelningarna) angående hanteringen av vissa sekretessbela</w:t>
      </w:r>
      <w:r w:rsidRPr="00896D4F">
        <w:t>g</w:t>
      </w:r>
      <w:r w:rsidRPr="00896D4F">
        <w:t>da hand</w:t>
      </w:r>
      <w:r w:rsidRPr="00896D4F">
        <w:softHyphen/>
        <w:t>lingar 00/01:518</w:t>
      </w:r>
    </w:p>
    <w:p w:rsidR="009C1C5A" w:rsidRPr="00896D4F" w:rsidRDefault="009C1C5A">
      <w:pPr>
        <w:pStyle w:val="PunktlistaTankstreck"/>
      </w:pPr>
      <w:r w:rsidRPr="00896D4F">
        <w:t>lämpligheten av att en länsarbetsnämnd i förväg ger företag möjlighet att efterge sekretess i ärenden om varsel enligt lagen (1974:13) om vissa a</w:t>
      </w:r>
      <w:r w:rsidRPr="00896D4F">
        <w:t>n</w:t>
      </w:r>
      <w:r w:rsidRPr="00896D4F">
        <w:t>ställningsfrämjande å</w:t>
      </w:r>
      <w:r w:rsidRPr="00896D4F">
        <w:t>t</w:t>
      </w:r>
      <w:r w:rsidRPr="00896D4F">
        <w:t>gärder 00/01:564</w:t>
      </w:r>
    </w:p>
    <w:p w:rsidR="009C1C5A" w:rsidRPr="00896D4F" w:rsidRDefault="009C1C5A">
      <w:pPr>
        <w:pStyle w:val="PunktlistaTankstreck"/>
      </w:pPr>
      <w:r w:rsidRPr="00896D4F">
        <w:t>sekretessfrågor i samband med en skattemyndighets överförande av ett dokument på elektronisk väg 01/02:201</w:t>
      </w:r>
    </w:p>
    <w:p w:rsidR="009C1C5A" w:rsidRPr="00896D4F" w:rsidRDefault="009C1C5A">
      <w:pPr>
        <w:pStyle w:val="PunktlistaTankstreck"/>
      </w:pPr>
      <w:r w:rsidRPr="00896D4F">
        <w:t>för</w:t>
      </w:r>
      <w:r w:rsidRPr="00896D4F">
        <w:softHyphen/>
        <w:t>säk</w:t>
      </w:r>
      <w:r w:rsidRPr="00896D4F">
        <w:softHyphen/>
        <w:t>rings</w:t>
      </w:r>
      <w:r w:rsidRPr="00896D4F">
        <w:softHyphen/>
        <w:t>kas</w:t>
      </w:r>
      <w:r w:rsidRPr="00896D4F">
        <w:softHyphen/>
        <w:t>sas deltagande i rehabilitering</w:t>
      </w:r>
      <w:r w:rsidRPr="00896D4F">
        <w:t>s</w:t>
      </w:r>
      <w:r w:rsidRPr="00896D4F">
        <w:t>möte 01/02:442</w:t>
      </w:r>
    </w:p>
    <w:p w:rsidR="009C1C5A" w:rsidRPr="00896D4F" w:rsidRDefault="009C1C5A">
      <w:pPr>
        <w:pStyle w:val="PunktlistaTankstreck"/>
      </w:pPr>
      <w:r w:rsidRPr="00896D4F">
        <w:t>En elev medförde ett skarpladdat skjutvapen till skolan. I samband med att han avväpnades av skolans personal hotade han att hämta ett nytt vapen – fråga om rektor i samband med att information om händelsen gavs till de andra elevernas föräldrar kunnat lämna ut uppgifter som omfattas av se</w:t>
      </w:r>
      <w:r w:rsidRPr="00896D4F">
        <w:t>k</w:t>
      </w:r>
      <w:r w:rsidRPr="00896D4F">
        <w:t>retess 01/02:451</w:t>
      </w:r>
    </w:p>
    <w:p w:rsidR="009C1C5A" w:rsidRPr="00896D4F" w:rsidRDefault="009C1C5A">
      <w:pPr>
        <w:pStyle w:val="PunktlistaTankstreck"/>
      </w:pPr>
      <w:r w:rsidRPr="00896D4F">
        <w:t>kritik mot en vård- och servicenämnd angående utlämnande av namn</w:t>
      </w:r>
      <w:r w:rsidRPr="00896D4F">
        <w:softHyphen/>
        <w:t>upp</w:t>
      </w:r>
      <w:r w:rsidRPr="00896D4F">
        <w:softHyphen/>
        <w:t>gifter på vissa personer med pågående bi</w:t>
      </w:r>
      <w:r w:rsidRPr="00896D4F">
        <w:softHyphen/>
        <w:t>ståndsinsatser i form av hemtjänst till Pensionärernas Riksorganisation PRO 01/02:437</w:t>
      </w:r>
    </w:p>
    <w:p w:rsidR="009C1C5A" w:rsidRPr="00896D4F" w:rsidRDefault="009C1C5A">
      <w:pPr>
        <w:pStyle w:val="PunktlistaTankstreck"/>
      </w:pPr>
      <w:r w:rsidRPr="00896D4F">
        <w:t>fråga om bestämmelsen om sekretess i biblioteksverksamhet kan tillämpas beträffande uppgifter hos ett bibliotek om enskildas sökningar på Internet 01/02:469</w:t>
      </w:r>
    </w:p>
    <w:p w:rsidR="009C1C5A" w:rsidRPr="00896D4F" w:rsidRDefault="009C1C5A">
      <w:pPr>
        <w:pStyle w:val="PunktlistaTankstreck"/>
      </w:pPr>
      <w:r w:rsidRPr="00896D4F">
        <w:t>fråga bl.a. om en handläggare vid en arbetsförmedling brutit mot tystnad</w:t>
      </w:r>
      <w:r w:rsidRPr="00896D4F">
        <w:t>s</w:t>
      </w:r>
      <w:r w:rsidRPr="00896D4F">
        <w:t>plikten 01/02:466</w:t>
      </w:r>
    </w:p>
    <w:p w:rsidR="009C1C5A" w:rsidRPr="00896D4F" w:rsidRDefault="009C1C5A">
      <w:pPr>
        <w:pStyle w:val="PunktlistaTankstreck"/>
      </w:pPr>
      <w:r w:rsidRPr="00896D4F">
        <w:t>fråga om skyldighet för Barnombudsmannen att göra anmälan till socia</w:t>
      </w:r>
      <w:r w:rsidRPr="00896D4F">
        <w:t>l</w:t>
      </w:r>
      <w:r w:rsidRPr="00896D4F">
        <w:t>nämnd på grund av anonyma skrivelser enligt vilka det kunde misstänkas att några flickor hade blivit könsstympade; även fråga om det på grund av sekretess förelåg hinder för Barnombudsmannen att göra en polisanmälan i anledning av de i skrivelserna lämnade uppgi</w:t>
      </w:r>
      <w:r w:rsidRPr="00896D4F">
        <w:t>f</w:t>
      </w:r>
      <w:r w:rsidRPr="00896D4F">
        <w:t>terna 02/03:170</w:t>
      </w:r>
    </w:p>
    <w:p w:rsidR="009C1C5A" w:rsidRPr="00896D4F" w:rsidRDefault="009C1C5A">
      <w:pPr>
        <w:pStyle w:val="PunktlistaTankstreck"/>
      </w:pPr>
      <w:r w:rsidRPr="00896D4F">
        <w:t>fråga om meddelarfrihet rått för uppgifter som en yrkesinspektör fått kä</w:t>
      </w:r>
      <w:r w:rsidRPr="00896D4F">
        <w:t>n</w:t>
      </w:r>
      <w:r w:rsidRPr="00896D4F">
        <w:t>nedom om i samband med inspektion av ett s.k. korttidshem 02/03:486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Service</w:t>
      </w:r>
    </w:p>
    <w:p w:rsidR="009C1C5A" w:rsidRPr="00896D4F" w:rsidRDefault="009C1C5A">
      <w:pPr>
        <w:pStyle w:val="PunktlistaTankstreck"/>
      </w:pPr>
      <w:r w:rsidRPr="00896D4F">
        <w:t>uttalanden rörande omfattningen av allmänhetens möjligheter att per tel</w:t>
      </w:r>
      <w:r w:rsidRPr="00896D4F">
        <w:t>e</w:t>
      </w:r>
      <w:r w:rsidRPr="00896D4F">
        <w:t xml:space="preserve">fon komma i direkt kontakt med en myndighets tjänstemän; särskilt fråga om skyldigheten att lämna ut tjänstemännens direktnummer 00/01:529 </w:t>
      </w:r>
    </w:p>
    <w:p w:rsidR="009C1C5A" w:rsidRPr="00896D4F" w:rsidRDefault="009C1C5A">
      <w:pPr>
        <w:pStyle w:val="PunktlistaTankstreck"/>
      </w:pPr>
      <w:r w:rsidRPr="00896D4F">
        <w:t>byggnadsnämnd har vidhållit ett krav på avgift enligt plan- och bygglagen, på annan grund än vad länsstyrelsen vid överprövning underkänt och för ett tillstånd som inte utgjort förhandsbesked eller någon annan i lagen för</w:t>
      </w:r>
      <w:r w:rsidRPr="00896D4F">
        <w:t>e</w:t>
      </w:r>
      <w:r w:rsidRPr="00896D4F">
        <w:t>skriven form av beslut. Serviceskyldighet med avseende på an</w:t>
      </w:r>
      <w:r w:rsidRPr="00896D4F">
        <w:softHyphen/>
        <w:t>sökningar om sådant tillstånd 00/01:484</w:t>
      </w:r>
    </w:p>
    <w:p w:rsidR="009C1C5A" w:rsidRPr="00896D4F" w:rsidRDefault="009C1C5A">
      <w:pPr>
        <w:pStyle w:val="PunktlistaTankstreck"/>
      </w:pPr>
      <w:r w:rsidRPr="00896D4F">
        <w:t>fråga om skyldighet för Aktiebolaget Svensk Bilprovning att vid ko</w:t>
      </w:r>
      <w:r w:rsidRPr="00896D4F">
        <w:t>n</w:t>
      </w:r>
      <w:r w:rsidRPr="00896D4F">
        <w:t>troll</w:t>
      </w:r>
      <w:r w:rsidRPr="00896D4F">
        <w:softHyphen/>
        <w:t>besiktningsförrättningar upplysa om ett alternativ till att efterkomma före</w:t>
      </w:r>
      <w:r w:rsidRPr="00896D4F">
        <w:softHyphen/>
        <w:t>lägganden (provning vid verkstad av särskilt slag) – med hänsyn till ut</w:t>
      </w:r>
      <w:r w:rsidRPr="00896D4F">
        <w:softHyphen/>
        <w:t>formningen av regeringsförfattningen på området och till föreskrifter i ö</w:t>
      </w:r>
      <w:r w:rsidRPr="00896D4F">
        <w:t>v</w:t>
      </w:r>
      <w:r w:rsidRPr="00896D4F">
        <w:t>rigt 00/01:476</w:t>
      </w:r>
    </w:p>
    <w:p w:rsidR="009C1C5A" w:rsidRPr="00896D4F" w:rsidRDefault="009C1C5A">
      <w:pPr>
        <w:pStyle w:val="PunktlistaTankstreck"/>
      </w:pPr>
      <w:r w:rsidRPr="00896D4F">
        <w:t>fråga rörande myndigheters skyldighet att vara tillgängliga via elektronisk post (e-post) 00/01:510</w:t>
      </w:r>
    </w:p>
    <w:p w:rsidR="009C1C5A" w:rsidRPr="00896D4F" w:rsidRDefault="009C1C5A">
      <w:pPr>
        <w:pStyle w:val="PunktlistaTankstreck"/>
      </w:pPr>
      <w:r w:rsidRPr="00896D4F">
        <w:t>olämpligheten av att en myndighet i beslutsliknande former tolkar (”förtydligar”) egna beslut 00/01:490</w:t>
      </w:r>
    </w:p>
    <w:p w:rsidR="009C1C5A" w:rsidRPr="00896D4F" w:rsidRDefault="009C1C5A">
      <w:pPr>
        <w:pStyle w:val="PunktlistaTankstreck"/>
      </w:pPr>
      <w:r w:rsidRPr="00896D4F">
        <w:t>vidarebefordran av en skrivelse från en enskild till ledamöter i kommunala nämnder på deras hemadresser har inte ansetts omfattas av serviceskyldi</w:t>
      </w:r>
      <w:r w:rsidRPr="00896D4F">
        <w:t>g</w:t>
      </w:r>
      <w:r w:rsidRPr="00896D4F">
        <w:t>heten enligt fö</w:t>
      </w:r>
      <w:r w:rsidRPr="00896D4F">
        <w:t>r</w:t>
      </w:r>
      <w:r w:rsidRPr="00896D4F">
        <w:t>valtningslagen 01/02:425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Självrättelse</w:t>
      </w:r>
    </w:p>
    <w:p w:rsidR="009C1C5A" w:rsidRPr="00896D4F" w:rsidRDefault="009C1C5A">
      <w:pPr>
        <w:pStyle w:val="PunktlistaTankstreck"/>
      </w:pPr>
      <w:r w:rsidRPr="00896D4F">
        <w:t>förfarandet vid ändringar av en kommunal myndighets beslut genom själ</w:t>
      </w:r>
      <w:r w:rsidRPr="00896D4F">
        <w:t>v</w:t>
      </w:r>
      <w:r w:rsidRPr="00896D4F">
        <w:t>rättelse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Skattemyndighet</w:t>
      </w:r>
    </w:p>
    <w:p w:rsidR="009C1C5A" w:rsidRPr="00896D4F" w:rsidRDefault="009C1C5A">
      <w:pPr>
        <w:pStyle w:val="PunktlistaTankstreck"/>
      </w:pPr>
      <w:r w:rsidRPr="00896D4F">
        <w:t>beslut om förlängt sekr</w:t>
      </w:r>
      <w:r w:rsidRPr="00896D4F">
        <w:t>e</w:t>
      </w:r>
      <w:r w:rsidRPr="00896D4F">
        <w:t>tesskydd skickat till fel person 99/00:229</w:t>
      </w:r>
    </w:p>
    <w:p w:rsidR="009C1C5A" w:rsidRPr="00896D4F" w:rsidRDefault="009C1C5A">
      <w:pPr>
        <w:pStyle w:val="PunktlistaTankstreck"/>
        <w:rPr>
          <w:b/>
        </w:rPr>
      </w:pPr>
      <w:r w:rsidRPr="00896D4F">
        <w:t>förfalskande av annan tjänstemans signatur 99/00:229</w:t>
      </w:r>
    </w:p>
    <w:p w:rsidR="009C1C5A" w:rsidRPr="00896D4F" w:rsidRDefault="009C1C5A">
      <w:pPr>
        <w:pStyle w:val="PunktlistaTankstreck"/>
        <w:rPr>
          <w:b/>
        </w:rPr>
      </w:pPr>
      <w:r w:rsidRPr="00896D4F">
        <w:t>kritik mot en skattemyndighet för utformningen av en beslutsmotivering 01/02:199</w:t>
      </w:r>
    </w:p>
    <w:p w:rsidR="009C1C5A" w:rsidRPr="00896D4F" w:rsidRDefault="009C1C5A">
      <w:pPr>
        <w:pStyle w:val="PunktlistaTankstreck"/>
        <w:rPr>
          <w:b/>
        </w:rPr>
      </w:pPr>
      <w:r w:rsidRPr="00896D4F">
        <w:t>bandupptagning som efterforskningsmetod 02/03:189</w:t>
      </w:r>
    </w:p>
    <w:p w:rsidR="009C1C5A" w:rsidRPr="00896D4F" w:rsidRDefault="009C1C5A">
      <w:pPr>
        <w:pStyle w:val="PunktlistaTankstreck"/>
        <w:rPr>
          <w:b/>
        </w:rPr>
      </w:pPr>
      <w:r w:rsidRPr="00896D4F">
        <w:t>överklagande, återkallelse samt återtagande av återkallelse 02/03:192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Skolledning</w:t>
      </w:r>
    </w:p>
    <w:p w:rsidR="009C1C5A" w:rsidRPr="00896D4F" w:rsidRDefault="009C1C5A">
      <w:pPr>
        <w:pStyle w:val="PunktlistaTankstreck"/>
      </w:pPr>
      <w:r w:rsidRPr="00896D4F">
        <w:t>fråga om rektor genom att neka politiskt ungdomsförbund att bedriva ver</w:t>
      </w:r>
      <w:r w:rsidRPr="00896D4F">
        <w:t>k</w:t>
      </w:r>
      <w:r w:rsidRPr="00896D4F">
        <w:t>samhet i skola handlat grundlagsstridigt 99/00:418</w:t>
      </w:r>
    </w:p>
    <w:p w:rsidR="009C1C5A" w:rsidRPr="00896D4F" w:rsidRDefault="009C1C5A">
      <w:pPr>
        <w:pStyle w:val="PunktlistaTankstreck"/>
      </w:pPr>
      <w:r w:rsidRPr="00896D4F">
        <w:t>lärare har genom en elev förmedlat ett brev till dennes målsman inne</w:t>
      </w:r>
      <w:r w:rsidRPr="00896D4F">
        <w:softHyphen/>
        <w:t>hållande känsliga uppgifter om eleven. Förfarandet har ansetts olämpligt 99/00:360</w:t>
      </w:r>
    </w:p>
    <w:p w:rsidR="009C1C5A" w:rsidRPr="00896D4F" w:rsidRDefault="009C1C5A">
      <w:pPr>
        <w:pStyle w:val="PunktlistaTankstreck"/>
      </w:pPr>
      <w:r w:rsidRPr="00896D4F">
        <w:t>rektor har förbjudit pe</w:t>
      </w:r>
      <w:r w:rsidRPr="00896D4F">
        <w:t>r</w:t>
      </w:r>
      <w:r w:rsidRPr="00896D4F">
        <w:t>sonalen att använda skolans interna postdistri-bueringssystem (postfack) för utdelning av privata meddelanden. – Fråga om skolan har rätt att ingripa mot spridning av politisk propaganda som läggs i postfacken 99/00:422</w:t>
      </w:r>
    </w:p>
    <w:p w:rsidR="009C1C5A" w:rsidRPr="00896D4F" w:rsidRDefault="009C1C5A">
      <w:pPr>
        <w:pStyle w:val="PunktlistaTankstreck"/>
      </w:pPr>
      <w:r w:rsidRPr="00896D4F">
        <w:t>kritik mot skola för användning av s.k. kontrakt i mobbningsfall. Även kritik mot personal som utpekat en elev som ”mobbare” utan att ha til</w:t>
      </w:r>
      <w:r w:rsidRPr="00896D4F">
        <w:t>l</w:t>
      </w:r>
      <w:r w:rsidRPr="00896D4F">
        <w:t>räckligt underlag härför 99/00:350</w:t>
      </w:r>
    </w:p>
    <w:p w:rsidR="009C1C5A" w:rsidRPr="00896D4F" w:rsidRDefault="009C1C5A">
      <w:pPr>
        <w:pStyle w:val="PunktlistaTankstreck"/>
      </w:pPr>
      <w:r w:rsidRPr="00896D4F">
        <w:t>förvaltningschef har utfärdat riktlinjer rörande lärares och elevers ko</w:t>
      </w:r>
      <w:r w:rsidRPr="00896D4F">
        <w:t>n</w:t>
      </w:r>
      <w:r w:rsidRPr="00896D4F">
        <w:t>tak</w:t>
      </w:r>
      <w:r w:rsidRPr="00896D4F">
        <w:softHyphen/>
        <w:t>ter med massmedia. – Fråga om förvaltningschefen härigenom kränkt den e</w:t>
      </w:r>
      <w:r w:rsidRPr="00896D4F">
        <w:t>n</w:t>
      </w:r>
      <w:r w:rsidRPr="00896D4F">
        <w:t>skildes meddelar- och yttrandefrihet 00/01:581</w:t>
      </w:r>
    </w:p>
    <w:p w:rsidR="009C1C5A" w:rsidRPr="00896D4F" w:rsidRDefault="009C1C5A">
      <w:pPr>
        <w:pStyle w:val="PunktlistaTankstreck"/>
      </w:pPr>
      <w:r w:rsidRPr="00896D4F">
        <w:t>kritik mot barn- och grundskolenämnd för underlåtenhet att individuellt pröva en elevs rätt till fortsatt skolskjuts m.m. 00/01:459</w:t>
      </w:r>
    </w:p>
    <w:p w:rsidR="009C1C5A" w:rsidRPr="00896D4F" w:rsidRDefault="009C1C5A">
      <w:pPr>
        <w:pStyle w:val="PunktlistaTankstreck"/>
      </w:pPr>
      <w:r w:rsidRPr="00896D4F">
        <w:t>kritik mot kommunal vuxenutbildning (komvux) bl.a. för att utan rättsligt stöd ta ut avgifter av eleverna för stenciler 00/01:456</w:t>
      </w:r>
    </w:p>
    <w:p w:rsidR="009C1C5A" w:rsidRPr="00896D4F" w:rsidRDefault="009C1C5A">
      <w:pPr>
        <w:pStyle w:val="PunktlistaTankstreck"/>
      </w:pPr>
      <w:r w:rsidRPr="00896D4F">
        <w:t>kritik mot bl.a. grundskola för bristande åtgärder vad gäller skolelevers ful</w:t>
      </w:r>
      <w:r w:rsidRPr="00896D4F">
        <w:t>l</w:t>
      </w:r>
      <w:r w:rsidRPr="00896D4F">
        <w:t>görande av skolplikt 00/01:466</w:t>
      </w:r>
    </w:p>
    <w:p w:rsidR="009C1C5A" w:rsidRPr="00896D4F" w:rsidRDefault="009C1C5A">
      <w:pPr>
        <w:pStyle w:val="PunktlistaTankstreck"/>
      </w:pPr>
      <w:r w:rsidRPr="00896D4F">
        <w:t>kritik mot en skola som mottagit ett barn som elev under falskt namn och utan att känna till eller försöka få kännedom om hennes riktiga person</w:t>
      </w:r>
      <w:r w:rsidRPr="00896D4F">
        <w:softHyphen/>
        <w:t>uppgifter. Kritik även för att skolan inte kontrollerade uppgiften om vem som var vårdnadshavare för barnet 00/01:429</w:t>
      </w:r>
    </w:p>
    <w:p w:rsidR="009C1C5A" w:rsidRPr="00896D4F" w:rsidRDefault="009C1C5A">
      <w:pPr>
        <w:pStyle w:val="PunktlistaTankstreck"/>
      </w:pPr>
      <w:r w:rsidRPr="00896D4F">
        <w:t>handläggningen av ett ärende rörande utökad tid inom barnomsorgen, bl.a. fråga om sökanden begärt beslut i saken eller endast information. – Kritik mot barn- och ungdomsnämnden för bl.a. dröjsmål med att fatta beslut i ärendet 00/01:463</w:t>
      </w:r>
    </w:p>
    <w:p w:rsidR="009C1C5A" w:rsidRPr="00896D4F" w:rsidRDefault="009C1C5A">
      <w:pPr>
        <w:pStyle w:val="PunktlistaTankstreck"/>
      </w:pPr>
      <w:r w:rsidRPr="00896D4F">
        <w:t xml:space="preserve">kritik mot en gymnasieskola för bristfälliga åtgärder med avseende på en elevs fortsatta skolgång m.m. 01/02:373 </w:t>
      </w:r>
    </w:p>
    <w:p w:rsidR="009C1C5A" w:rsidRPr="00896D4F" w:rsidRDefault="009C1C5A">
      <w:pPr>
        <w:pStyle w:val="PunktlistaTankstreck"/>
      </w:pPr>
      <w:r w:rsidRPr="00896D4F">
        <w:t>En elev medförde ett skarpladdat skjutvapen till skolan. I samband med att han avväpnades av skolans personal hotade han att hämta ett nytt vapen – fråga om rektor i samband med att information om händelsen gavs till de andra elevernas föräldrar kunnat lämna ut uppgifter som omfattas av se</w:t>
      </w:r>
      <w:r w:rsidRPr="00896D4F">
        <w:t>k</w:t>
      </w:r>
      <w:r w:rsidRPr="00896D4F">
        <w:t xml:space="preserve">retess 01/02:451 </w:t>
      </w:r>
    </w:p>
    <w:p w:rsidR="009C1C5A" w:rsidRPr="00896D4F" w:rsidRDefault="009C1C5A">
      <w:pPr>
        <w:pStyle w:val="PunktlistaTankstreck"/>
      </w:pPr>
      <w:r w:rsidRPr="00896D4F">
        <w:t>En kommunal tjänsteman har i sin egenskap av rektor vid en gymna</w:t>
      </w:r>
      <w:r w:rsidRPr="00896D4F">
        <w:softHyphen/>
        <w:t>sieskola till utbildningskontoret överlämnat förslag till lönesättning för l</w:t>
      </w:r>
      <w:r w:rsidRPr="00896D4F">
        <w:t>ä</w:t>
      </w:r>
      <w:r w:rsidRPr="00896D4F">
        <w:t>rare, däri</w:t>
      </w:r>
      <w:r w:rsidRPr="00896D4F">
        <w:softHyphen/>
        <w:t>bland hans hustru, vid skolan – Fråga om rektorn varit jävig enligt bestäm</w:t>
      </w:r>
      <w:r w:rsidRPr="00896D4F">
        <w:softHyphen/>
        <w:t>melserna i 6 kap. 25 § kommu</w:t>
      </w:r>
      <w:r w:rsidRPr="00896D4F">
        <w:softHyphen/>
        <w:t xml:space="preserve">nallagen 01/02:388 </w:t>
      </w:r>
    </w:p>
    <w:p w:rsidR="009C1C5A" w:rsidRPr="00896D4F" w:rsidRDefault="009C1C5A">
      <w:pPr>
        <w:pStyle w:val="PunktlistaTankstreck"/>
      </w:pPr>
      <w:r w:rsidRPr="00896D4F">
        <w:t>I en grundskola omhändertog personal en s.k. laserpenna, tillhörig en elev. Pennan återlämnades först efter nära ett och ett halvt år. – Fråga om de rättsliga grunderna för omhändertagandet. Även kritik för dröjsmålet med att återlämna pennan 01/02:380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Skolstyrelse</w:t>
      </w:r>
    </w:p>
    <w:p w:rsidR="009C1C5A" w:rsidRPr="00896D4F" w:rsidRDefault="009C1C5A">
      <w:pPr>
        <w:pStyle w:val="PunktlistaTankstreck"/>
      </w:pPr>
      <w:r w:rsidRPr="00896D4F">
        <w:t>initiativärende: kritik mot en stadsdelsnämnd för bristfälliga insatser vad gäller skyldigheten att tillse att en elev i grundskolan fullgjorde sin skol</w:t>
      </w:r>
      <w:r w:rsidRPr="00896D4F">
        <w:softHyphen/>
      </w:r>
      <w:r w:rsidRPr="00896D4F">
        <w:softHyphen/>
      </w:r>
      <w:r w:rsidRPr="00896D4F">
        <w:softHyphen/>
        <w:t>plikt. Även kritik för underlåtenhet att fullgöra den i 71 § socialtjänstlagen (1980:620) föreskrivna anmälningsskyldi</w:t>
      </w:r>
      <w:r w:rsidRPr="00896D4F">
        <w:t>g</w:t>
      </w:r>
      <w:r w:rsidRPr="00896D4F">
        <w:t>heten 01/02:400</w:t>
      </w:r>
    </w:p>
    <w:p w:rsidR="009C1C5A" w:rsidRPr="00896D4F" w:rsidRDefault="009C1C5A">
      <w:pPr>
        <w:pStyle w:val="PunktlistaTankstreck"/>
      </w:pPr>
      <w:r w:rsidRPr="00896D4F">
        <w:t>två kommundelsnämnders handläggning av ett ärende rörande placeringen av ett barn i skola och skolbarnsomsorg – fråga om skyldighet för skol</w:t>
      </w:r>
      <w:r w:rsidRPr="00896D4F">
        <w:softHyphen/>
        <w:t>myndighet att kontrollera vem som är vårdnadshavare för barnet 01/02:392</w:t>
      </w:r>
    </w:p>
    <w:p w:rsidR="009C1C5A" w:rsidRPr="00896D4F" w:rsidRDefault="009C1C5A">
      <w:pPr>
        <w:pStyle w:val="PunktlistaTankstreck"/>
      </w:pPr>
      <w:r w:rsidRPr="00896D4F">
        <w:t>kritik mot en barn- och utbildningsnämnd för placering av barn i en skola mot vårdnadshavares vilja. Fråga om skolmyndighets skyldighet att kon</w:t>
      </w:r>
      <w:r w:rsidRPr="00896D4F">
        <w:softHyphen/>
        <w:t>trollera vem som är elevs vårdnadshavare och dennes inställning till in</w:t>
      </w:r>
      <w:r w:rsidRPr="00896D4F">
        <w:softHyphen/>
        <w:t>skrivning i viss skola 01/02:397</w:t>
      </w:r>
    </w:p>
    <w:p w:rsidR="009C1C5A" w:rsidRPr="00896D4F" w:rsidRDefault="009C1C5A">
      <w:pPr>
        <w:pStyle w:val="PunktlistaTankstreck"/>
      </w:pPr>
      <w:r w:rsidRPr="00896D4F">
        <w:t>kritik mot barn- och grundskolenämnd för dröjsmål med fullgörande av anmälningsskyldigheten i 71 § socialtjänstlagen (1980:620) med anledning av en inträffad händelse. – Även fråga om information om händelsen till för</w:t>
      </w:r>
      <w:r w:rsidRPr="00896D4F">
        <w:softHyphen/>
        <w:t>äldrar till övriga barn hos en kommunal dagbarnvårdare 01/02:376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Socialförsäkring</w:t>
      </w:r>
    </w:p>
    <w:p w:rsidR="009C1C5A" w:rsidRPr="00896D4F" w:rsidRDefault="009C1C5A">
      <w:pPr>
        <w:pStyle w:val="PunktlistaTankstreck"/>
      </w:pPr>
      <w:r w:rsidRPr="00896D4F">
        <w:t>underlåtenhet att fatta beslut 99/00:294</w:t>
      </w:r>
    </w:p>
    <w:p w:rsidR="009C1C5A" w:rsidRPr="00896D4F" w:rsidRDefault="009C1C5A">
      <w:pPr>
        <w:pStyle w:val="PunktlistaTankstreck"/>
        <w:rPr>
          <w:b/>
        </w:rPr>
      </w:pPr>
      <w:r w:rsidRPr="00896D4F">
        <w:t>underlåtenhet att fatta beslut 99/00:295</w:t>
      </w:r>
    </w:p>
    <w:p w:rsidR="009C1C5A" w:rsidRPr="00896D4F" w:rsidRDefault="009C1C5A">
      <w:pPr>
        <w:pStyle w:val="PunktlistaTankstreck"/>
      </w:pPr>
      <w:r w:rsidRPr="00896D4F">
        <w:t>avslag på begäran om hörande av annan än part 99/00:297</w:t>
      </w:r>
    </w:p>
    <w:p w:rsidR="009C1C5A" w:rsidRPr="00896D4F" w:rsidRDefault="009C1C5A">
      <w:pPr>
        <w:pStyle w:val="PunktlistaTankstreck"/>
      </w:pPr>
      <w:r w:rsidRPr="00896D4F">
        <w:t>underlåtenhet att fatta beslut i ärende om tan</w:t>
      </w:r>
      <w:r w:rsidRPr="00896D4F">
        <w:t>d</w:t>
      </w:r>
      <w:r w:rsidRPr="00896D4F">
        <w:t>vårdsersättning 99/00:299</w:t>
      </w:r>
    </w:p>
    <w:p w:rsidR="009C1C5A" w:rsidRPr="00896D4F" w:rsidRDefault="009C1C5A">
      <w:pPr>
        <w:pStyle w:val="PunktlistaTankstreck"/>
      </w:pPr>
      <w:r w:rsidRPr="00896D4F">
        <w:t>försäkringskassa har inte besvarat begäran om anstånd 99/00:300</w:t>
      </w:r>
    </w:p>
    <w:p w:rsidR="009C1C5A" w:rsidRPr="00896D4F" w:rsidRDefault="009C1C5A">
      <w:pPr>
        <w:pStyle w:val="PunktlistaTankstreck"/>
      </w:pPr>
      <w:r w:rsidRPr="00896D4F">
        <w:t>dröjsmål med underrätte</w:t>
      </w:r>
      <w:r w:rsidRPr="00896D4F">
        <w:t>l</w:t>
      </w:r>
      <w:r w:rsidRPr="00896D4F">
        <w:t>se om beslut 99/00:300</w:t>
      </w:r>
    </w:p>
    <w:p w:rsidR="009C1C5A" w:rsidRPr="00896D4F" w:rsidRDefault="009C1C5A">
      <w:pPr>
        <w:pStyle w:val="PunktlistaTankstreck"/>
      </w:pPr>
      <w:r w:rsidRPr="00896D4F">
        <w:t>partsinsyn 99/00:300</w:t>
      </w:r>
    </w:p>
    <w:p w:rsidR="009C1C5A" w:rsidRPr="00896D4F" w:rsidRDefault="009C1C5A">
      <w:pPr>
        <w:pStyle w:val="PunktlistaTankstreck"/>
      </w:pPr>
      <w:r w:rsidRPr="00896D4F">
        <w:t>försäkringskassas beslut och underrättelser därom 99/00:304</w:t>
      </w:r>
    </w:p>
    <w:p w:rsidR="009C1C5A" w:rsidRPr="00896D4F" w:rsidRDefault="009C1C5A">
      <w:pPr>
        <w:pStyle w:val="PunktlistaTankstreck"/>
      </w:pPr>
      <w:r w:rsidRPr="00896D4F">
        <w:t>ändring av gynnande beslut 99/00:312</w:t>
      </w:r>
    </w:p>
    <w:p w:rsidR="009C1C5A" w:rsidRPr="00896D4F" w:rsidRDefault="009C1C5A">
      <w:pPr>
        <w:pStyle w:val="PunktlistaTankstreck"/>
      </w:pPr>
      <w:r w:rsidRPr="00896D4F">
        <w:t>dröjsmål med omprövning i avvaktan på överkl</w:t>
      </w:r>
      <w:r w:rsidRPr="00896D4F">
        <w:t>a</w:t>
      </w:r>
      <w:r w:rsidRPr="00896D4F">
        <w:t>gande 99/00:315</w:t>
      </w:r>
    </w:p>
    <w:p w:rsidR="009C1C5A" w:rsidRPr="00896D4F" w:rsidRDefault="009C1C5A">
      <w:pPr>
        <w:pStyle w:val="PunktlistaTankstreck"/>
      </w:pPr>
      <w:r w:rsidRPr="00896D4F">
        <w:t>underlåtenhet att vidar</w:t>
      </w:r>
      <w:r w:rsidRPr="00896D4F">
        <w:t>e</w:t>
      </w:r>
      <w:r w:rsidRPr="00896D4F">
        <w:t>befordra överklagande 99/00:316</w:t>
      </w:r>
    </w:p>
    <w:p w:rsidR="009C1C5A" w:rsidRPr="00896D4F" w:rsidRDefault="009C1C5A">
      <w:pPr>
        <w:pStyle w:val="PunktlistaTankstreck"/>
      </w:pPr>
      <w:r w:rsidRPr="00896D4F">
        <w:t>socialförsäkringsnämnds behörighet att fatta beslut i tjänstemannaärende 99/00:316</w:t>
      </w:r>
    </w:p>
    <w:p w:rsidR="009C1C5A" w:rsidRPr="00896D4F" w:rsidRDefault="009C1C5A">
      <w:pPr>
        <w:pStyle w:val="PunktlistaTankstreck"/>
      </w:pPr>
      <w:r w:rsidRPr="00896D4F">
        <w:t>delgivning av omprövningsbeslut enligt 30 § lagen om underhållsstöd 99/00:322</w:t>
      </w:r>
    </w:p>
    <w:p w:rsidR="009C1C5A" w:rsidRPr="00896D4F" w:rsidRDefault="009C1C5A">
      <w:pPr>
        <w:pStyle w:val="PunktlistaTankstreck"/>
      </w:pPr>
      <w:r w:rsidRPr="00896D4F">
        <w:t>skyndsamhetskravet vid partsinsyn 99/00:332</w:t>
      </w:r>
    </w:p>
    <w:p w:rsidR="009C1C5A" w:rsidRPr="00896D4F" w:rsidRDefault="009C1C5A">
      <w:pPr>
        <w:pStyle w:val="PunktlistaTankstreck"/>
      </w:pPr>
      <w:r w:rsidRPr="00896D4F">
        <w:t>underlåtenhet att fatta beslut i fråga om anstånd eftersom ansökan inte gjorts på fastställd blankett 99/00:330</w:t>
      </w:r>
    </w:p>
    <w:p w:rsidR="009C1C5A" w:rsidRPr="00896D4F" w:rsidRDefault="009C1C5A">
      <w:pPr>
        <w:pStyle w:val="PunktlistaTankstreck"/>
      </w:pPr>
      <w:r w:rsidRPr="00896D4F">
        <w:t>tjänstemans överskrida</w:t>
      </w:r>
      <w:r w:rsidRPr="00896D4F">
        <w:t>n</w:t>
      </w:r>
      <w:r w:rsidRPr="00896D4F">
        <w:t>de av behörighet 00/01:363</w:t>
      </w:r>
    </w:p>
    <w:p w:rsidR="009C1C5A" w:rsidRPr="00896D4F" w:rsidRDefault="009C1C5A">
      <w:pPr>
        <w:pStyle w:val="PunktlistaTankstreck"/>
      </w:pPr>
      <w:r w:rsidRPr="00896D4F">
        <w:t>obesvarade förfrågningar m.m. med anledning av att en akt förkommit 00/01:366</w:t>
      </w:r>
    </w:p>
    <w:p w:rsidR="009C1C5A" w:rsidRPr="00896D4F" w:rsidRDefault="009C1C5A">
      <w:pPr>
        <w:pStyle w:val="PunktlistaTankstreck"/>
      </w:pPr>
      <w:r w:rsidRPr="00896D4F">
        <w:t>flera fel i samma ärende 00/01:367</w:t>
      </w:r>
    </w:p>
    <w:p w:rsidR="009C1C5A" w:rsidRPr="00896D4F" w:rsidRDefault="009C1C5A">
      <w:pPr>
        <w:pStyle w:val="PunktlistaTankstreck"/>
      </w:pPr>
      <w:r w:rsidRPr="00896D4F">
        <w:t>underlåtenhet att pröva en anmälan rörande statligt personskadeskydd 00/01:372</w:t>
      </w:r>
    </w:p>
    <w:p w:rsidR="009C1C5A" w:rsidRPr="00896D4F" w:rsidRDefault="009C1C5A">
      <w:pPr>
        <w:pStyle w:val="PunktlistaTankstreck"/>
      </w:pPr>
      <w:r w:rsidRPr="00896D4F">
        <w:t>handläggning av ärenden enligt 17 kap. 1 § andra stycket lagen AFL 00/01:375</w:t>
      </w:r>
    </w:p>
    <w:p w:rsidR="009C1C5A" w:rsidRPr="00896D4F" w:rsidRDefault="009C1C5A">
      <w:pPr>
        <w:pStyle w:val="PunktlistaTankstreck"/>
      </w:pPr>
      <w:r w:rsidRPr="00896D4F">
        <w:t>kommunicering i ärende om förtidspe</w:t>
      </w:r>
      <w:r w:rsidRPr="00896D4F">
        <w:t>n</w:t>
      </w:r>
      <w:r w:rsidRPr="00896D4F">
        <w:t>sion/sjukbidrag 00/01:380</w:t>
      </w:r>
    </w:p>
    <w:p w:rsidR="009C1C5A" w:rsidRPr="00896D4F" w:rsidRDefault="009C1C5A">
      <w:pPr>
        <w:pStyle w:val="PunktlistaTankstreck"/>
      </w:pPr>
      <w:r w:rsidRPr="00896D4F">
        <w:t>ansökan av underårig om förlängt underhållsstöd 00/01:384</w:t>
      </w:r>
    </w:p>
    <w:p w:rsidR="009C1C5A" w:rsidRPr="00896D4F" w:rsidRDefault="009C1C5A">
      <w:pPr>
        <w:pStyle w:val="PunktlistaTankstreck"/>
      </w:pPr>
      <w:r w:rsidRPr="00896D4F">
        <w:t>utredningsskyldighet i ärende om underhållsstöd 00/01:388</w:t>
      </w:r>
    </w:p>
    <w:p w:rsidR="009C1C5A" w:rsidRPr="00896D4F" w:rsidRDefault="009C1C5A">
      <w:pPr>
        <w:pStyle w:val="PunktlistaTankstreck"/>
      </w:pPr>
      <w:r w:rsidRPr="00896D4F">
        <w:t xml:space="preserve">kommunicering i ett ärende om bostadsbidrag 00/01:391 </w:t>
      </w:r>
    </w:p>
    <w:p w:rsidR="009C1C5A" w:rsidRPr="00896D4F" w:rsidRDefault="009C1C5A">
      <w:pPr>
        <w:pStyle w:val="PunktlistaTankstreck"/>
      </w:pPr>
      <w:r w:rsidRPr="00896D4F">
        <w:t>utformningen av en kommuniceringsskrivelse 00/01:392</w:t>
      </w:r>
    </w:p>
    <w:p w:rsidR="009C1C5A" w:rsidRPr="00896D4F" w:rsidRDefault="009C1C5A">
      <w:pPr>
        <w:pStyle w:val="PunktlistaTankstreck"/>
      </w:pPr>
      <w:r w:rsidRPr="00896D4F">
        <w:t>utformningen av provisoriskt beslut om sjukb</w:t>
      </w:r>
      <w:r w:rsidRPr="00896D4F">
        <w:t>i</w:t>
      </w:r>
      <w:r w:rsidRPr="00896D4F">
        <w:t>drag 00/01:394</w:t>
      </w:r>
    </w:p>
    <w:p w:rsidR="009C1C5A" w:rsidRPr="00896D4F" w:rsidRDefault="009C1C5A">
      <w:pPr>
        <w:pStyle w:val="PunktlistaTankstreck"/>
      </w:pPr>
      <w:r w:rsidRPr="00896D4F">
        <w:t>dröjsmål med att fatta beslut i ärende om handikappe</w:t>
      </w:r>
      <w:r w:rsidRPr="00896D4F">
        <w:t>r</w:t>
      </w:r>
      <w:r w:rsidRPr="00896D4F">
        <w:t>sättning 00/01:396</w:t>
      </w:r>
    </w:p>
    <w:p w:rsidR="009C1C5A" w:rsidRPr="00896D4F" w:rsidRDefault="009C1C5A">
      <w:pPr>
        <w:pStyle w:val="PunktlistaTankstreck"/>
      </w:pPr>
      <w:r w:rsidRPr="00896D4F">
        <w:t>återbetalning av bidragsbelopp i ärende om u</w:t>
      </w:r>
      <w:r w:rsidRPr="00896D4F">
        <w:t>n</w:t>
      </w:r>
      <w:r w:rsidRPr="00896D4F">
        <w:t>derhållsstöd 00/01:399</w:t>
      </w:r>
    </w:p>
    <w:p w:rsidR="009C1C5A" w:rsidRPr="00896D4F" w:rsidRDefault="009C1C5A">
      <w:pPr>
        <w:pStyle w:val="PunktlistaTankstreck"/>
      </w:pPr>
      <w:r w:rsidRPr="00896D4F">
        <w:t>utformningen av en underrättelse om ett av socialförsäkringsnämnden fattat beslut 00/01:402</w:t>
      </w:r>
    </w:p>
    <w:p w:rsidR="009C1C5A" w:rsidRPr="00896D4F" w:rsidRDefault="009C1C5A">
      <w:pPr>
        <w:pStyle w:val="PunktlistaTankstreck"/>
      </w:pPr>
      <w:r w:rsidRPr="00896D4F">
        <w:t>dröjsmål med expediering av beslut 00/01:403</w:t>
      </w:r>
    </w:p>
    <w:p w:rsidR="009C1C5A" w:rsidRPr="00896D4F" w:rsidRDefault="009C1C5A">
      <w:pPr>
        <w:pStyle w:val="PunktlistaTankstreck"/>
      </w:pPr>
      <w:r w:rsidRPr="00896D4F">
        <w:t>rutiner för utsändande av beslut 00/01:406</w:t>
      </w:r>
    </w:p>
    <w:p w:rsidR="009C1C5A" w:rsidRPr="00896D4F" w:rsidRDefault="009C1C5A">
      <w:pPr>
        <w:pStyle w:val="PunktlistaTankstreck"/>
      </w:pPr>
      <w:r w:rsidRPr="00896D4F">
        <w:t>långsam handläggning av omprövningsärende 00/01:409</w:t>
      </w:r>
    </w:p>
    <w:p w:rsidR="009C1C5A" w:rsidRPr="00896D4F" w:rsidRDefault="009C1C5A">
      <w:pPr>
        <w:pStyle w:val="PunktlistaTankstreck"/>
      </w:pPr>
      <w:r w:rsidRPr="00896D4F">
        <w:t>underlåtenhet att vidar</w:t>
      </w:r>
      <w:r w:rsidRPr="00896D4F">
        <w:t>e</w:t>
      </w:r>
      <w:r w:rsidRPr="00896D4F">
        <w:t>befordra överklagande 00/01:411</w:t>
      </w:r>
    </w:p>
    <w:p w:rsidR="009C1C5A" w:rsidRPr="00896D4F" w:rsidRDefault="009C1C5A">
      <w:pPr>
        <w:pStyle w:val="PunktlistaTankstreck"/>
      </w:pPr>
      <w:r w:rsidRPr="00896D4F">
        <w:t>dröjsmål med verkstä</w:t>
      </w:r>
      <w:r w:rsidRPr="00896D4F">
        <w:t>l</w:t>
      </w:r>
      <w:r w:rsidRPr="00896D4F">
        <w:t>lighet av länsrätts dom 00/01:417</w:t>
      </w:r>
    </w:p>
    <w:p w:rsidR="009C1C5A" w:rsidRPr="00896D4F" w:rsidRDefault="009C1C5A">
      <w:pPr>
        <w:pStyle w:val="PunktlistaTankstreck"/>
      </w:pPr>
      <w:r w:rsidRPr="00896D4F">
        <w:t>Riksförsäkringsverkets dröjsmål att ändra Al</w:t>
      </w:r>
      <w:r w:rsidRPr="00896D4F">
        <w:t>l</w:t>
      </w:r>
      <w:r w:rsidRPr="00896D4F">
        <w:t>männa råd 00/01:419</w:t>
      </w:r>
    </w:p>
    <w:p w:rsidR="009C1C5A" w:rsidRPr="00896D4F" w:rsidRDefault="009C1C5A">
      <w:pPr>
        <w:pStyle w:val="PunktlistaTankstreck"/>
      </w:pPr>
      <w:r w:rsidRPr="00896D4F">
        <w:t>ifrågasatt dataintrång och sekretessbrott hos allmän försäkringskassa 00/01:533</w:t>
      </w:r>
    </w:p>
    <w:p w:rsidR="009C1C5A" w:rsidRPr="00896D4F" w:rsidRDefault="009C1C5A">
      <w:pPr>
        <w:pStyle w:val="PunktlistaTankstreck"/>
      </w:pPr>
      <w:r w:rsidRPr="00896D4F">
        <w:t>försäkringskassas utlämnande av handlingar till utländsk myndighet 00/01:539</w:t>
      </w:r>
    </w:p>
    <w:p w:rsidR="009C1C5A" w:rsidRPr="00896D4F" w:rsidRDefault="009C1C5A">
      <w:pPr>
        <w:pStyle w:val="PunktlistaTankstreck"/>
      </w:pPr>
      <w:r w:rsidRPr="00896D4F">
        <w:t>handläggning av långa sjukfall 01/02:315</w:t>
      </w:r>
    </w:p>
    <w:p w:rsidR="009C1C5A" w:rsidRPr="00896D4F" w:rsidRDefault="009C1C5A">
      <w:pPr>
        <w:pStyle w:val="PunktlistaTankstreck"/>
      </w:pPr>
      <w:r w:rsidRPr="00896D4F">
        <w:t>iakttagelser vid inspe</w:t>
      </w:r>
      <w:r w:rsidRPr="00896D4F">
        <w:t>k</w:t>
      </w:r>
      <w:r w:rsidRPr="00896D4F">
        <w:t>tion 01/02:323</w:t>
      </w:r>
    </w:p>
    <w:p w:rsidR="009C1C5A" w:rsidRPr="00896D4F" w:rsidRDefault="009C1C5A">
      <w:pPr>
        <w:pStyle w:val="PunktlistaTankstreck"/>
      </w:pPr>
      <w:r w:rsidRPr="00896D4F">
        <w:t>tid för utbetalning av sjukpenning 01/02:328</w:t>
      </w:r>
    </w:p>
    <w:p w:rsidR="009C1C5A" w:rsidRPr="00896D4F" w:rsidRDefault="009C1C5A">
      <w:pPr>
        <w:pStyle w:val="PunktlistaTankstreck"/>
      </w:pPr>
      <w:r w:rsidRPr="00896D4F">
        <w:t>ansökan om pension</w:t>
      </w:r>
      <w:r w:rsidRPr="00896D4F">
        <w:t>s</w:t>
      </w:r>
      <w:r w:rsidRPr="00896D4F">
        <w:t>förmån som undertecknats av god man 01/02:331</w:t>
      </w:r>
    </w:p>
    <w:p w:rsidR="009C1C5A" w:rsidRPr="00896D4F" w:rsidRDefault="009C1C5A">
      <w:pPr>
        <w:pStyle w:val="PunktlistaTankstreck"/>
      </w:pPr>
      <w:r w:rsidRPr="00896D4F">
        <w:t>långsam handläggning 01/02:335</w:t>
      </w:r>
    </w:p>
    <w:p w:rsidR="009C1C5A" w:rsidRPr="00896D4F" w:rsidRDefault="009C1C5A">
      <w:pPr>
        <w:pStyle w:val="PunktlistaTankstreck"/>
      </w:pPr>
      <w:r w:rsidRPr="00896D4F">
        <w:t>underlåtenhet att besvara brevförfrågningar 01/02:335</w:t>
      </w:r>
    </w:p>
    <w:p w:rsidR="009C1C5A" w:rsidRPr="00896D4F" w:rsidRDefault="009C1C5A">
      <w:pPr>
        <w:pStyle w:val="PunktlistaTankstreck"/>
      </w:pPr>
      <w:r w:rsidRPr="00896D4F">
        <w:t>dröjsmål bl.a. med ver</w:t>
      </w:r>
      <w:r w:rsidRPr="00896D4F">
        <w:t>k</w:t>
      </w:r>
      <w:r w:rsidRPr="00896D4F">
        <w:t>ställighet av domstols dom 01/02:338</w:t>
      </w:r>
    </w:p>
    <w:p w:rsidR="009C1C5A" w:rsidRPr="00896D4F" w:rsidRDefault="009C1C5A">
      <w:pPr>
        <w:pStyle w:val="PunktlistaTankstreck"/>
      </w:pPr>
      <w:r w:rsidRPr="00896D4F">
        <w:t>långsam handläggning 01/02:340</w:t>
      </w:r>
    </w:p>
    <w:p w:rsidR="009C1C5A" w:rsidRPr="00896D4F" w:rsidRDefault="009C1C5A">
      <w:pPr>
        <w:pStyle w:val="PunktlistaTankstreck"/>
      </w:pPr>
      <w:r w:rsidRPr="00896D4F">
        <w:t>ej fattat beslut i ärende om utfärdande av blankett E 121 01/02:341</w:t>
      </w:r>
    </w:p>
    <w:p w:rsidR="009C1C5A" w:rsidRPr="00896D4F" w:rsidRDefault="009C1C5A">
      <w:pPr>
        <w:pStyle w:val="PunktlistaTankstreck"/>
      </w:pPr>
      <w:r w:rsidRPr="00896D4F">
        <w:t>underlåtenhet att b</w:t>
      </w:r>
      <w:r w:rsidRPr="00896D4F">
        <w:t>e</w:t>
      </w:r>
      <w:r w:rsidRPr="00896D4F">
        <w:t>handla ett yrkande 01/02:343</w:t>
      </w:r>
    </w:p>
    <w:p w:rsidR="009C1C5A" w:rsidRPr="00896D4F" w:rsidRDefault="009C1C5A">
      <w:pPr>
        <w:pStyle w:val="PunktlistaTankstreck"/>
      </w:pPr>
      <w:r w:rsidRPr="00896D4F">
        <w:t>oklarhet om vad som utgjort kassans beslut 01/02:345</w:t>
      </w:r>
    </w:p>
    <w:p w:rsidR="009C1C5A" w:rsidRPr="00896D4F" w:rsidRDefault="009C1C5A">
      <w:pPr>
        <w:pStyle w:val="PunktlistaTankstreck"/>
      </w:pPr>
      <w:r w:rsidRPr="00896D4F">
        <w:t>underlåtenhet att ko</w:t>
      </w:r>
      <w:r w:rsidRPr="00896D4F">
        <w:t>m</w:t>
      </w:r>
      <w:r w:rsidRPr="00896D4F">
        <w:t>municera med förvaltare 01/02:345</w:t>
      </w:r>
    </w:p>
    <w:p w:rsidR="009C1C5A" w:rsidRPr="00896D4F" w:rsidRDefault="009C1C5A">
      <w:pPr>
        <w:pStyle w:val="PunktlistaTankstreck"/>
      </w:pPr>
      <w:r w:rsidRPr="00896D4F">
        <w:t>beslut har fattats på kommuniceringstidens sista dag 01/02:347</w:t>
      </w:r>
    </w:p>
    <w:p w:rsidR="009C1C5A" w:rsidRPr="00896D4F" w:rsidRDefault="009C1C5A">
      <w:pPr>
        <w:pStyle w:val="PunktlistaTankstreck"/>
      </w:pPr>
      <w:r w:rsidRPr="00896D4F">
        <w:t>val av fullföljdshänvisning vid avvisning av ansökan om bostadsbidrag 01/02:349</w:t>
      </w:r>
    </w:p>
    <w:p w:rsidR="009C1C5A" w:rsidRPr="00896D4F" w:rsidRDefault="009C1C5A">
      <w:pPr>
        <w:pStyle w:val="PunktlistaTankstreck"/>
      </w:pPr>
      <w:r w:rsidRPr="00896D4F">
        <w:t>dröjsmål med beslut om indragning av sjukpe</w:t>
      </w:r>
      <w:r w:rsidRPr="00896D4F">
        <w:t>n</w:t>
      </w:r>
      <w:r w:rsidRPr="00896D4F">
        <w:t>ning 01/02:353</w:t>
      </w:r>
    </w:p>
    <w:p w:rsidR="009C1C5A" w:rsidRPr="00896D4F" w:rsidRDefault="009C1C5A">
      <w:pPr>
        <w:pStyle w:val="PunktlistaTankstreck"/>
      </w:pPr>
      <w:r w:rsidRPr="00896D4F">
        <w:t>underlåtenhet att fatta beslut med anledning av inkomna läkarintyg 01/02:353</w:t>
      </w:r>
    </w:p>
    <w:p w:rsidR="009C1C5A" w:rsidRPr="00896D4F" w:rsidRDefault="009C1C5A">
      <w:pPr>
        <w:pStyle w:val="PunktlistaTankstreck"/>
      </w:pPr>
      <w:r w:rsidRPr="00896D4F">
        <w:t>tillämpning av 20 kap. 10 a § lagen (1962:381) om allmän försäkring 01/02:356</w:t>
      </w:r>
    </w:p>
    <w:p w:rsidR="009C1C5A" w:rsidRPr="00896D4F" w:rsidRDefault="009C1C5A">
      <w:pPr>
        <w:pStyle w:val="PunktlistaTankstreck"/>
      </w:pPr>
      <w:r w:rsidRPr="00896D4F">
        <w:t>företräde inför socialfö</w:t>
      </w:r>
      <w:r w:rsidRPr="00896D4F">
        <w:t>r</w:t>
      </w:r>
      <w:r w:rsidRPr="00896D4F">
        <w:t>säkringsnämnd 01/02:356</w:t>
      </w:r>
    </w:p>
    <w:p w:rsidR="009C1C5A" w:rsidRPr="00896D4F" w:rsidRDefault="009C1C5A">
      <w:pPr>
        <w:pStyle w:val="PunktlistaTankstreck"/>
      </w:pPr>
      <w:r w:rsidRPr="00896D4F">
        <w:t>deltagande i rehabilite</w:t>
      </w:r>
      <w:r w:rsidRPr="00896D4F">
        <w:t>r</w:t>
      </w:r>
      <w:r w:rsidRPr="00896D4F">
        <w:t>ingsmöte 01/02:442</w:t>
      </w:r>
    </w:p>
    <w:p w:rsidR="009C1C5A" w:rsidRPr="00896D4F" w:rsidRDefault="009C1C5A">
      <w:pPr>
        <w:pStyle w:val="PunktlistaTankstreck"/>
      </w:pPr>
      <w:r w:rsidRPr="00896D4F">
        <w:t>begränsning av anförande 02/03:305</w:t>
      </w:r>
    </w:p>
    <w:p w:rsidR="009C1C5A" w:rsidRPr="00896D4F" w:rsidRDefault="009C1C5A">
      <w:pPr>
        <w:pStyle w:val="PunktlistaTankstreck"/>
      </w:pPr>
      <w:r w:rsidRPr="00896D4F">
        <w:t>socialförsäkringsnämnds protokoll 02/03:306</w:t>
      </w:r>
    </w:p>
    <w:p w:rsidR="009C1C5A" w:rsidRPr="00896D4F" w:rsidRDefault="009C1C5A">
      <w:pPr>
        <w:pStyle w:val="PunktlistaTankstreck"/>
      </w:pPr>
      <w:r w:rsidRPr="00896D4F">
        <w:t>socialförsäkringsnämnds ”upphävande” av beslut 02/03:309</w:t>
      </w:r>
    </w:p>
    <w:p w:rsidR="009C1C5A" w:rsidRPr="00896D4F" w:rsidRDefault="009C1C5A">
      <w:pPr>
        <w:pStyle w:val="PunktlistaTankstreck"/>
      </w:pPr>
      <w:r w:rsidRPr="00896D4F">
        <w:t>tillämpningen av 20 kap. 10 a § AFL 02/03:311</w:t>
      </w:r>
    </w:p>
    <w:p w:rsidR="009C1C5A" w:rsidRPr="00896D4F" w:rsidRDefault="009C1C5A">
      <w:pPr>
        <w:pStyle w:val="PunktlistaTankstreck"/>
      </w:pPr>
      <w:r w:rsidRPr="00896D4F">
        <w:t>återkallande av beslut 02/03:315</w:t>
      </w:r>
    </w:p>
    <w:p w:rsidR="009C1C5A" w:rsidRPr="00896D4F" w:rsidRDefault="009C1C5A">
      <w:pPr>
        <w:pStyle w:val="PunktlistaTankstreck"/>
      </w:pPr>
      <w:r w:rsidRPr="00896D4F">
        <w:t>besvarande av begäran om anstånd 02/03:316</w:t>
      </w:r>
    </w:p>
    <w:p w:rsidR="009C1C5A" w:rsidRPr="00896D4F" w:rsidRDefault="009C1C5A">
      <w:pPr>
        <w:pStyle w:val="PunktlistaTankstreck"/>
      </w:pPr>
      <w:r w:rsidRPr="00896D4F">
        <w:t>handläggningstid för omprövning 02/03:318</w:t>
      </w:r>
    </w:p>
    <w:p w:rsidR="009C1C5A" w:rsidRPr="00896D4F" w:rsidRDefault="009C1C5A">
      <w:pPr>
        <w:pStyle w:val="PunktlistaTankstreck"/>
      </w:pPr>
      <w:r w:rsidRPr="00896D4F">
        <w:t>handling rubricerad som överklagande 02/03:322</w:t>
      </w:r>
    </w:p>
    <w:p w:rsidR="009C1C5A" w:rsidRPr="00896D4F" w:rsidRDefault="009C1C5A">
      <w:pPr>
        <w:pStyle w:val="PunktlistaTankstreck"/>
      </w:pPr>
      <w:r w:rsidRPr="00896D4F">
        <w:t>utformning av ett avvi</w:t>
      </w:r>
      <w:r w:rsidRPr="00896D4F">
        <w:t>s</w:t>
      </w:r>
      <w:r w:rsidRPr="00896D4F">
        <w:t>ningsbeslut 02/03:323</w:t>
      </w:r>
    </w:p>
    <w:p w:rsidR="009C1C5A" w:rsidRPr="00896D4F" w:rsidRDefault="009C1C5A">
      <w:pPr>
        <w:pStyle w:val="PunktlistaTankstreck"/>
      </w:pPr>
      <w:r w:rsidRPr="00896D4F">
        <w:t>handläggning av omprövning av beslut om pension resp. beslut om pe</w:t>
      </w:r>
      <w:r w:rsidRPr="00896D4F">
        <w:t>n</w:t>
      </w:r>
      <w:r w:rsidRPr="00896D4F">
        <w:t>sion</w:t>
      </w:r>
      <w:r w:rsidRPr="00896D4F">
        <w:t>s</w:t>
      </w:r>
      <w:r w:rsidRPr="00896D4F">
        <w:t>rätt 02/03:326</w:t>
      </w:r>
    </w:p>
    <w:p w:rsidR="009C1C5A" w:rsidRPr="00896D4F" w:rsidRDefault="009C1C5A">
      <w:pPr>
        <w:pStyle w:val="PunktlistaTankstreck"/>
      </w:pPr>
      <w:r w:rsidRPr="00896D4F">
        <w:t>återkrav av assistanse</w:t>
      </w:r>
      <w:r w:rsidRPr="00896D4F">
        <w:t>r</w:t>
      </w:r>
      <w:r w:rsidRPr="00896D4F">
        <w:t>sättning 02/03:339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Socialtjänsten</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spacing w:before="120"/>
      </w:pPr>
      <w:r w:rsidRPr="00896D4F">
        <w:t>I Socialtjänstlagen (SoL)</w:t>
      </w:r>
    </w:p>
    <w:p w:rsidR="009C1C5A" w:rsidRPr="00896D4F" w:rsidRDefault="009C1C5A">
      <w:pPr>
        <w:pStyle w:val="Rubrik4"/>
        <w:tabs>
          <w:tab w:val="clear" w:pos="1474"/>
          <w:tab w:val="clear" w:pos="1985"/>
          <w:tab w:val="clear" w:pos="2268"/>
          <w:tab w:val="clear" w:pos="2552"/>
          <w:tab w:val="clear" w:pos="2835"/>
        </w:tabs>
        <w:spacing w:before="120"/>
      </w:pPr>
      <w:r w:rsidRPr="00896D4F">
        <w:t>Allmänna riktlinjer för socialnämndens verksamhet</w:t>
      </w:r>
    </w:p>
    <w:p w:rsidR="009C1C5A" w:rsidRPr="00896D4F" w:rsidRDefault="009C1C5A">
      <w:pPr>
        <w:pStyle w:val="PunktlistaTankstreck"/>
      </w:pPr>
      <w:r w:rsidRPr="00896D4F">
        <w:t>en socialnämnd har möjlighet att efter en anmälan enligt 71 § SoL ta ko</w:t>
      </w:r>
      <w:r w:rsidRPr="00896D4F">
        <w:t>n</w:t>
      </w:r>
      <w:r w:rsidRPr="00896D4F">
        <w:t>takt och diskutera anmälan med barnets vårdnadshavare utan att inleda en u</w:t>
      </w:r>
      <w:r w:rsidRPr="00896D4F">
        <w:t>t</w:t>
      </w:r>
      <w:r w:rsidRPr="00896D4F">
        <w:t>redning enligt 50 § SoL 99/00:238</w:t>
      </w:r>
    </w:p>
    <w:p w:rsidR="009C1C5A" w:rsidRPr="00896D4F" w:rsidRDefault="009C1C5A">
      <w:pPr>
        <w:pStyle w:val="PunktlistaTankstreck"/>
      </w:pPr>
      <w:r w:rsidRPr="00896D4F">
        <w:t>fråga om lämpligheten, särskilt från sekretessynpunkt, av att familjeråd</w:t>
      </w:r>
      <w:r w:rsidRPr="00896D4F">
        <w:softHyphen/>
        <w:t>givning enligt bestämmelserna i 12 a § socialtjänstlagen (1980:620) b</w:t>
      </w:r>
      <w:r w:rsidRPr="00896D4F">
        <w:t>e</w:t>
      </w:r>
      <w:r w:rsidRPr="00896D4F">
        <w:t xml:space="preserve">drivs med anlitande av socialsekreterare som tjänstgör inom kommunens individinriktade socialtjänst i övrigt 99/00:272 </w:t>
      </w:r>
    </w:p>
    <w:p w:rsidR="009C1C5A" w:rsidRPr="00896D4F" w:rsidRDefault="009C1C5A">
      <w:pPr>
        <w:pStyle w:val="PunktlistaTankstreck"/>
      </w:pPr>
      <w:r w:rsidRPr="00896D4F">
        <w:t>fråga om en socialnämnds ansvar för personer med psykiska funktions</w:t>
      </w:r>
      <w:r w:rsidRPr="00896D4F">
        <w:softHyphen/>
        <w:t>hinder 00/01:297</w:t>
      </w:r>
    </w:p>
    <w:p w:rsidR="009C1C5A" w:rsidRPr="00896D4F" w:rsidRDefault="009C1C5A">
      <w:pPr>
        <w:pStyle w:val="PunktlistaTankstreck"/>
      </w:pPr>
      <w:r w:rsidRPr="00896D4F">
        <w:t>om en ansökan om bistånd är oklar skall socialnämnden försöka klarlägga vad sökanden begär bistånd till 00/01:292</w:t>
      </w:r>
    </w:p>
    <w:p w:rsidR="009C1C5A" w:rsidRPr="00896D4F" w:rsidRDefault="009C1C5A">
      <w:pPr>
        <w:pStyle w:val="PunktlistaTankstreck"/>
      </w:pPr>
      <w:r w:rsidRPr="00896D4F">
        <w:t>en socialförvaltning kan inte neka den som har ett s.k. egnamedelskonto att göra ett uttag av pengar som finns på kontot 00/01:290</w:t>
      </w:r>
    </w:p>
    <w:p w:rsidR="009C1C5A" w:rsidRPr="00896D4F" w:rsidRDefault="009C1C5A">
      <w:pPr>
        <w:pStyle w:val="PunktlistaTankstreck"/>
      </w:pPr>
      <w:r w:rsidRPr="00896D4F">
        <w:t>principen om helhetssyn skall gälla vid handläggningen av ett ärende inom socialtjänsten 00/01:301</w:t>
      </w:r>
    </w:p>
    <w:p w:rsidR="009C1C5A" w:rsidRPr="00896D4F" w:rsidRDefault="009C1C5A">
      <w:pPr>
        <w:pStyle w:val="PunktlistaTankstreck"/>
      </w:pPr>
      <w:r w:rsidRPr="00896D4F">
        <w:t>fråga om en socialnämnd har iakttagit bl.a. föreskrifterna i 33 § SoL när nämnden har beviljat b</w:t>
      </w:r>
      <w:r w:rsidRPr="00896D4F">
        <w:t>i</w:t>
      </w:r>
      <w:r w:rsidRPr="00896D4F">
        <w:t>stånd mot återbetalning 00/01:293</w:t>
      </w:r>
    </w:p>
    <w:p w:rsidR="009C1C5A" w:rsidRPr="00896D4F" w:rsidRDefault="009C1C5A">
      <w:pPr>
        <w:pStyle w:val="PunktlistaTankstreck"/>
      </w:pPr>
      <w:r w:rsidRPr="00896D4F">
        <w:t>fråga om socialtjänstens möjlighet att, vid tvist mellan två föräldrar, me</w:t>
      </w:r>
      <w:r w:rsidRPr="00896D4F">
        <w:t>d</w:t>
      </w:r>
      <w:r w:rsidRPr="00896D4F">
        <w:t>verka när den ene föräldern avser att hämta ett gemensamt barn från den andre föräldern 00/01:285</w:t>
      </w:r>
    </w:p>
    <w:p w:rsidR="009C1C5A" w:rsidRPr="00896D4F" w:rsidRDefault="009C1C5A">
      <w:pPr>
        <w:pStyle w:val="PunktlistaTankstreck"/>
      </w:pPr>
      <w:r w:rsidRPr="00896D4F">
        <w:t xml:space="preserve">fråga om anlitande av privata rättssubjekt som utredare inom socialtjänsten 01/02:250 </w:t>
      </w:r>
    </w:p>
    <w:p w:rsidR="009C1C5A" w:rsidRPr="00896D4F" w:rsidRDefault="009C1C5A">
      <w:pPr>
        <w:pStyle w:val="PunktlistaTankstreck"/>
      </w:pPr>
      <w:r w:rsidRPr="00896D4F">
        <w:t>fråga om socialnämndens handläggning av ett ärende angående bistånd när den enskilde var psykiskt funktionshindrad och inte ville ha kontakt med  socialtjänsten 01/02:222</w:t>
      </w:r>
    </w:p>
    <w:p w:rsidR="009C1C5A" w:rsidRPr="00896D4F" w:rsidRDefault="009C1C5A">
      <w:pPr>
        <w:pStyle w:val="PunktlistaTankstreck"/>
      </w:pPr>
      <w:r w:rsidRPr="00896D4F">
        <w:t>En förälder motsatte sig att den andra föräldern skulle ha rätt till umgänge  med de gemensamma barnen. Fråga om socialförvaltningen varit alltför aktiv för att få till stånd ett möte mellan barnen och den förälder som inte hade del i vårdnaden om barnen 01/02:227</w:t>
      </w:r>
    </w:p>
    <w:p w:rsidR="009C1C5A" w:rsidRPr="00896D4F" w:rsidRDefault="009C1C5A">
      <w:pPr>
        <w:pStyle w:val="PunktlistaTankstreck"/>
      </w:pPr>
      <w:r w:rsidRPr="00896D4F">
        <w:t xml:space="preserve">fråga om en socialnämnd i ett biståndsärende, när sökanden har att förete   läkarintyg, kan kräva att intyget skall vara utfärdat av läkare vid en vård-central 01/02:240 </w:t>
      </w:r>
    </w:p>
    <w:p w:rsidR="009C1C5A" w:rsidRPr="00896D4F" w:rsidRDefault="009C1C5A">
      <w:pPr>
        <w:pStyle w:val="PunktlistaTankstreck"/>
      </w:pPr>
      <w:r w:rsidRPr="00896D4F">
        <w:t>I samband med en tvist angående vårdnad om barn anordnade socialfö</w:t>
      </w:r>
      <w:r w:rsidRPr="00896D4F">
        <w:t>r</w:t>
      </w:r>
      <w:r w:rsidRPr="00896D4F">
        <w:t>valtningen s.k. samarbetssamtal. Fråga om den som hade lett samtalen kunde lämna synpunkter på vårdnadsfrågan i en skrivelse till domstolen efter en begäran av den ena parten 01/02:282</w:t>
      </w:r>
    </w:p>
    <w:p w:rsidR="009C1C5A" w:rsidRPr="00896D4F" w:rsidRDefault="009C1C5A">
      <w:pPr>
        <w:pStyle w:val="PunktlistaTankstreck"/>
      </w:pPr>
      <w:r w:rsidRPr="00896D4F">
        <w:t>fråga om en socialnämnds handläggning när domstol förordnat att en fö</w:t>
      </w:r>
      <w:r w:rsidRPr="00896D4F">
        <w:t>r</w:t>
      </w:r>
      <w:r w:rsidRPr="00896D4F">
        <w:t>älders umgänge med barn skall utövas i närvaro av en kontaktperson som utses av socialnämnden; även fråga bl.a. om det på grund av jäv förelåg hinder för en tjänsteman att fatta beslut angående entledigande av en ko</w:t>
      </w:r>
      <w:r w:rsidRPr="00896D4F">
        <w:t>n</w:t>
      </w:r>
      <w:r w:rsidRPr="00896D4F">
        <w:t>taktperson när en berörd förälder var anställd vid samma förvaltning som tjänstemannen 02/03:252</w:t>
      </w:r>
    </w:p>
    <w:p w:rsidR="009C1C5A" w:rsidRPr="00896D4F" w:rsidRDefault="009C1C5A">
      <w:pPr>
        <w:pStyle w:val="PunktlistaTankstreck"/>
      </w:pPr>
      <w:r w:rsidRPr="00896D4F">
        <w:t>fråga om en socialnämnds möjlighet att bistå en dansk social myndighet med uppgifter rörande ett barn som var tvångsomhändertaget i Danmark men som vist</w:t>
      </w:r>
      <w:r w:rsidRPr="00896D4F">
        <w:t>a</w:t>
      </w:r>
      <w:r w:rsidRPr="00896D4F">
        <w:t>des i Sverige 02/03:273</w:t>
      </w:r>
    </w:p>
    <w:p w:rsidR="009C1C5A" w:rsidRPr="00896D4F" w:rsidRDefault="009C1C5A">
      <w:pPr>
        <w:pStyle w:val="PunktlistaTankstreck"/>
      </w:pPr>
      <w:r w:rsidRPr="00896D4F">
        <w:t>fråga om det förelegat skäl för en länsstyrelse att kritisera en socialnämnd för att nämnden bl.a. inte verkat för att i ett visst fall få tillstånd s.k. sa</w:t>
      </w:r>
      <w:r w:rsidRPr="00896D4F">
        <w:t>m</w:t>
      </w:r>
      <w:r w:rsidRPr="00896D4F">
        <w:t>arbetssamtal 02/03:279</w:t>
      </w:r>
    </w:p>
    <w:p w:rsidR="009C1C5A" w:rsidRPr="00896D4F" w:rsidRDefault="009C1C5A">
      <w:pPr>
        <w:pStyle w:val="Rubrik4"/>
        <w:tabs>
          <w:tab w:val="clear" w:pos="1474"/>
          <w:tab w:val="clear" w:pos="1985"/>
          <w:tab w:val="clear" w:pos="2268"/>
          <w:tab w:val="clear" w:pos="2552"/>
          <w:tab w:val="clear" w:pos="2835"/>
        </w:tabs>
      </w:pPr>
      <w:r w:rsidRPr="00896D4F">
        <w:t>Omsorger om barn och ungdom</w:t>
      </w:r>
    </w:p>
    <w:p w:rsidR="009C1C5A" w:rsidRPr="00896D4F" w:rsidRDefault="009C1C5A">
      <w:pPr>
        <w:pStyle w:val="PunktlistaTankstreck"/>
      </w:pPr>
      <w:r w:rsidRPr="00896D4F">
        <w:t>fråga om när en socia</w:t>
      </w:r>
      <w:r w:rsidRPr="00896D4F">
        <w:t>l</w:t>
      </w:r>
      <w:r w:rsidRPr="00896D4F">
        <w:t xml:space="preserve">nämnd skall underrätta vårdnadshavare om att en </w:t>
      </w:r>
      <w:r w:rsidRPr="00896D4F">
        <w:br/>
        <w:t>s.k. barnavårdsutredning har inletts 99/00:243</w:t>
      </w:r>
    </w:p>
    <w:p w:rsidR="009C1C5A" w:rsidRPr="00896D4F" w:rsidRDefault="009C1C5A">
      <w:pPr>
        <w:pStyle w:val="PunktlistaTankstreck"/>
      </w:pPr>
      <w:r w:rsidRPr="00896D4F">
        <w:t>socialnämnds skyldighet att verka för att en förälder upprätthåller kontakt med sitt barn som har b</w:t>
      </w:r>
      <w:r w:rsidRPr="00896D4F">
        <w:t>e</w:t>
      </w:r>
      <w:r w:rsidRPr="00896D4F">
        <w:t>retts vård enligt LVU 99/00:268</w:t>
      </w:r>
    </w:p>
    <w:p w:rsidR="009C1C5A" w:rsidRPr="00896D4F" w:rsidRDefault="009C1C5A">
      <w:pPr>
        <w:pStyle w:val="PunktlistaTankstreck"/>
      </w:pPr>
      <w:r w:rsidRPr="00896D4F">
        <w:t>kritik mot bl.a. socialförvaltning för bristande åtgärder vad gäller skol</w:t>
      </w:r>
      <w:r w:rsidRPr="00896D4F">
        <w:softHyphen/>
        <w:t>elevers fullgörande av sko</w:t>
      </w:r>
      <w:r w:rsidRPr="00896D4F">
        <w:t>l</w:t>
      </w:r>
      <w:r w:rsidRPr="00896D4F">
        <w:t>plikt 00/01:466</w:t>
      </w:r>
    </w:p>
    <w:p w:rsidR="009C1C5A" w:rsidRPr="00896D4F" w:rsidRDefault="009C1C5A">
      <w:pPr>
        <w:pStyle w:val="PunktlistaTankstreck"/>
      </w:pPr>
      <w:r w:rsidRPr="00896D4F">
        <w:t>En pojke, som en längre tid hade varit placerad i ett HVB-hem, omplac</w:t>
      </w:r>
      <w:r w:rsidRPr="00896D4F">
        <w:t>e</w:t>
      </w:r>
      <w:r w:rsidRPr="00896D4F">
        <w:t>rades till ett familjehem. Fråga om nämnden hade brustit vid planeringen inför pojkens flyttning 01/02:232</w:t>
      </w:r>
    </w:p>
    <w:p w:rsidR="009C1C5A" w:rsidRPr="00896D4F" w:rsidRDefault="009C1C5A">
      <w:pPr>
        <w:pStyle w:val="PunktlistaTankstreck"/>
      </w:pPr>
      <w:r w:rsidRPr="00896D4F">
        <w:t>fråga om det förelåg förutsättningar för att avsluta en s.k. barnavårdsutre</w:t>
      </w:r>
      <w:r w:rsidRPr="00896D4F">
        <w:t>d</w:t>
      </w:r>
      <w:r w:rsidRPr="00896D4F">
        <w:t>ning 02/03:196</w:t>
      </w:r>
    </w:p>
    <w:p w:rsidR="009C1C5A" w:rsidRPr="00896D4F" w:rsidRDefault="009C1C5A">
      <w:pPr>
        <w:pStyle w:val="PunktlistaTankstreck"/>
      </w:pPr>
      <w:r w:rsidRPr="00896D4F">
        <w:t>fråga om en socialnämnds möjlighet att bistå en dansk social myndighet med uppgifter rörande ett barn som var tvångsomhändertaget i Danmark men som vist</w:t>
      </w:r>
      <w:r w:rsidRPr="00896D4F">
        <w:t>a</w:t>
      </w:r>
      <w:r w:rsidRPr="00896D4F">
        <w:t>des i Sverige 02/03:273</w:t>
      </w:r>
    </w:p>
    <w:p w:rsidR="009C1C5A" w:rsidRPr="00896D4F" w:rsidRDefault="009C1C5A">
      <w:pPr>
        <w:pStyle w:val="Rubrik4"/>
        <w:tabs>
          <w:tab w:val="clear" w:pos="1474"/>
          <w:tab w:val="clear" w:pos="1985"/>
          <w:tab w:val="clear" w:pos="2268"/>
          <w:tab w:val="clear" w:pos="2552"/>
          <w:tab w:val="clear" w:pos="2835"/>
        </w:tabs>
      </w:pPr>
      <w:r w:rsidRPr="00896D4F">
        <w:t>Stöd till missbrukare</w:t>
      </w:r>
    </w:p>
    <w:p w:rsidR="009C1C5A" w:rsidRPr="00896D4F" w:rsidRDefault="009C1C5A">
      <w:pPr>
        <w:pStyle w:val="PunktlistaTankstreck"/>
      </w:pPr>
      <w:r w:rsidRPr="00896D4F">
        <w:t>en kvinna som hade psykiska problem och som missbrukade narkotika avled, sannolikt på grund av en överdos av narkotika; fråga om socia</w:t>
      </w:r>
      <w:r w:rsidRPr="00896D4F">
        <w:t>l</w:t>
      </w:r>
      <w:r w:rsidRPr="00896D4F">
        <w:t>nämnden hade åsidosatt sina åligganden är det gällde att i olika hänsee</w:t>
      </w:r>
      <w:r w:rsidRPr="00896D4F">
        <w:t>n</w:t>
      </w:r>
      <w:r w:rsidRPr="00896D4F">
        <w:t>den bistå kvinnan 02/03:205</w:t>
      </w:r>
    </w:p>
    <w:p w:rsidR="009C1C5A" w:rsidRPr="00896D4F" w:rsidRDefault="009C1C5A">
      <w:pPr>
        <w:pStyle w:val="Rubrik4"/>
        <w:tabs>
          <w:tab w:val="clear" w:pos="1474"/>
          <w:tab w:val="clear" w:pos="1985"/>
          <w:tab w:val="clear" w:pos="2268"/>
          <w:tab w:val="clear" w:pos="2552"/>
          <w:tab w:val="clear" w:pos="2835"/>
        </w:tabs>
      </w:pPr>
      <w:r w:rsidRPr="00896D4F">
        <w:t>Vård i familjehem och i hem för vård eller boende</w:t>
      </w:r>
    </w:p>
    <w:p w:rsidR="009C1C5A" w:rsidRPr="00896D4F" w:rsidRDefault="009C1C5A">
      <w:pPr>
        <w:pStyle w:val="PunktlistaTankstreck"/>
      </w:pPr>
      <w:r w:rsidRPr="00896D4F">
        <w:t>socialnämnds skyldighet att verka för att en förälder upprätthåller kontakt med sitt barn som har b</w:t>
      </w:r>
      <w:r w:rsidRPr="00896D4F">
        <w:t>e</w:t>
      </w:r>
      <w:r w:rsidRPr="00896D4F">
        <w:t>retts vård enligt LVU 99/00:268</w:t>
      </w:r>
    </w:p>
    <w:p w:rsidR="009C1C5A" w:rsidRPr="00896D4F" w:rsidRDefault="009C1C5A">
      <w:pPr>
        <w:pStyle w:val="PunktlistaTankstreck"/>
      </w:pPr>
      <w:r w:rsidRPr="00896D4F">
        <w:t xml:space="preserve">fråga om en socialnämnd vid familjehemsplacering av en fyraårig flicka, vars vårdnadshavare dömts till ett långt fängelsestraff för mord på flickans mor, fullgjort sin skyldighet att överväga en s.k. anhörigplacering 01/02:204 </w:t>
      </w:r>
    </w:p>
    <w:p w:rsidR="009C1C5A" w:rsidRPr="00896D4F" w:rsidRDefault="009C1C5A">
      <w:pPr>
        <w:pStyle w:val="PunktlistaTankstreck"/>
      </w:pPr>
      <w:r w:rsidRPr="00896D4F">
        <w:t>En pojke, som en längre tid hade varit placerad i ett HVB-hem, omplac</w:t>
      </w:r>
      <w:r w:rsidRPr="00896D4F">
        <w:t>e</w:t>
      </w:r>
      <w:r w:rsidRPr="00896D4F">
        <w:t>rades till ett familjehem. Fråga om nämnden hade brustit vid planeringen inför pojkens flyttning 01/02:232</w:t>
      </w:r>
    </w:p>
    <w:p w:rsidR="009C1C5A" w:rsidRPr="00896D4F" w:rsidRDefault="009C1C5A">
      <w:pPr>
        <w:pStyle w:val="PunktlistaTankstreck"/>
      </w:pPr>
      <w:r w:rsidRPr="00896D4F">
        <w:t>fråga om val av familjehem för en tvåårig flicka vars mor dömts till ett långvarigt fängelsestraff förenat med utvisning 01/02:217</w:t>
      </w:r>
    </w:p>
    <w:p w:rsidR="009C1C5A" w:rsidRPr="00896D4F" w:rsidRDefault="009C1C5A">
      <w:pPr>
        <w:pStyle w:val="PunktlistaTankstreck"/>
      </w:pPr>
      <w:r w:rsidRPr="00896D4F">
        <w:t>fråga om en socialnämnds utförande av en utredning rörande ett familj</w:t>
      </w:r>
      <w:r w:rsidRPr="00896D4F">
        <w:t>e</w:t>
      </w:r>
      <w:r w:rsidRPr="00896D4F">
        <w:t>hems lämplighet 02/03:210</w:t>
      </w:r>
    </w:p>
    <w:p w:rsidR="009C1C5A" w:rsidRPr="00896D4F" w:rsidRDefault="009C1C5A">
      <w:pPr>
        <w:pStyle w:val="Rubrik4"/>
        <w:tabs>
          <w:tab w:val="clear" w:pos="1474"/>
          <w:tab w:val="clear" w:pos="1985"/>
          <w:tab w:val="clear" w:pos="2268"/>
          <w:tab w:val="clear" w:pos="2552"/>
          <w:tab w:val="clear" w:pos="2835"/>
        </w:tabs>
      </w:pPr>
      <w:r w:rsidRPr="00896D4F">
        <w:t>Handläggning av ärende m.m.</w:t>
      </w:r>
    </w:p>
    <w:p w:rsidR="009C1C5A" w:rsidRPr="00896D4F" w:rsidRDefault="009C1C5A">
      <w:pPr>
        <w:pStyle w:val="PunktlistaTankstreck"/>
      </w:pPr>
      <w:r w:rsidRPr="00896D4F">
        <w:t>fråga om socialnämnds möjlighet att ändra ett beslut enligt 37 § SoL om att efterge den enskildes ersättningsskyldighet för vistelse på behan</w:t>
      </w:r>
      <w:r w:rsidRPr="00896D4F">
        <w:t>d</w:t>
      </w:r>
      <w:r w:rsidRPr="00896D4F">
        <w:t>lings</w:t>
      </w:r>
      <w:r w:rsidRPr="00896D4F">
        <w:softHyphen/>
        <w:t>hem 99/00:231</w:t>
      </w:r>
    </w:p>
    <w:p w:rsidR="009C1C5A" w:rsidRPr="00896D4F" w:rsidRDefault="009C1C5A">
      <w:pPr>
        <w:pStyle w:val="PunktlistaTankstreck"/>
      </w:pPr>
      <w:r w:rsidRPr="00896D4F">
        <w:t>det är fel att ange att ett beslut om avslag på en ansökan om bistånd enligt 6 g § SoL inte kan överklagas eftersom beslutet kan bli föremål för prö</w:t>
      </w:r>
      <w:r w:rsidRPr="00896D4F">
        <w:t>v</w:t>
      </w:r>
      <w:r w:rsidRPr="00896D4F">
        <w:t>ning enligt reglerna om laglighetsprövning i 10 kap. kommunallagen. Av ett beslut att avslå en ansökan om ekonomiskt bistånd måste det tydligt framgå om prövningen har skett enligt 6 b § eller 6 g § SoL 99/00:235</w:t>
      </w:r>
    </w:p>
    <w:p w:rsidR="009C1C5A" w:rsidRPr="00896D4F" w:rsidRDefault="009C1C5A">
      <w:pPr>
        <w:pStyle w:val="PunktlistaTankstreck"/>
      </w:pPr>
      <w:r w:rsidRPr="00896D4F">
        <w:t>en socialnämnd har möjlighet att efter en anmälan enligt 71 § SoL ta ko</w:t>
      </w:r>
      <w:r w:rsidRPr="00896D4F">
        <w:t>n</w:t>
      </w:r>
      <w:r w:rsidRPr="00896D4F">
        <w:t>takt och diskutera anmälan med barnets vårdnadshavare utan att inleda en u</w:t>
      </w:r>
      <w:r w:rsidRPr="00896D4F">
        <w:t>t</w:t>
      </w:r>
      <w:r w:rsidRPr="00896D4F">
        <w:t>redning enligt 50 § SoL 99/00:238</w:t>
      </w:r>
    </w:p>
    <w:p w:rsidR="009C1C5A" w:rsidRPr="00896D4F" w:rsidRDefault="009C1C5A">
      <w:pPr>
        <w:pStyle w:val="PunktlistaTankstreck"/>
      </w:pPr>
      <w:r w:rsidRPr="00896D4F">
        <w:t>en länsstyrelse uttalade i ett tillsynsbeslut att ett allvarligt fel inträffat vid en socialnämnds handläggning av ett biståndsärende. På grund av brister i socialförvaltningens rutiner föranledde länsstyrelsens beslut inte någon å</w:t>
      </w:r>
      <w:r w:rsidRPr="00896D4F">
        <w:t>t</w:t>
      </w:r>
      <w:r w:rsidRPr="00896D4F">
        <w:t>gärd från förvaltnin</w:t>
      </w:r>
      <w:r w:rsidRPr="00896D4F">
        <w:t>g</w:t>
      </w:r>
      <w:r w:rsidRPr="00896D4F">
        <w:t>ens sida 99/00:241</w:t>
      </w:r>
    </w:p>
    <w:p w:rsidR="009C1C5A" w:rsidRPr="00896D4F" w:rsidRDefault="009C1C5A">
      <w:pPr>
        <w:pStyle w:val="PunktlistaTankstreck"/>
      </w:pPr>
      <w:r w:rsidRPr="00896D4F">
        <w:t>fråga om när en socia</w:t>
      </w:r>
      <w:r w:rsidRPr="00896D4F">
        <w:t>l</w:t>
      </w:r>
      <w:r w:rsidRPr="00896D4F">
        <w:t xml:space="preserve">nämnd skall underrätta vårdnadshavare om att en </w:t>
      </w:r>
      <w:r w:rsidRPr="00896D4F">
        <w:br/>
        <w:t>s.k. barnavårdsutredning har inletts 99/00:243</w:t>
      </w:r>
    </w:p>
    <w:p w:rsidR="009C1C5A" w:rsidRPr="00896D4F" w:rsidRDefault="009C1C5A">
      <w:pPr>
        <w:pStyle w:val="PunktlistaTankstreck"/>
      </w:pPr>
      <w:r w:rsidRPr="00896D4F">
        <w:t>handläggning av ett äre</w:t>
      </w:r>
      <w:r w:rsidRPr="00896D4F">
        <w:t>n</w:t>
      </w:r>
      <w:r w:rsidRPr="00896D4F">
        <w:t>de rörande återbetalning av bistånd 99/00:248</w:t>
      </w:r>
    </w:p>
    <w:p w:rsidR="009C1C5A" w:rsidRPr="00896D4F" w:rsidRDefault="009C1C5A">
      <w:pPr>
        <w:pStyle w:val="PunktlistaTankstreck"/>
      </w:pPr>
      <w:r w:rsidRPr="00896D4F">
        <w:t>om en vårdnadsutredning blir fördröjd måste utredaren självmant under</w:t>
      </w:r>
      <w:r w:rsidRPr="00896D4F">
        <w:softHyphen/>
        <w:t>rätta tingsrätten om detta 99/00:280</w:t>
      </w:r>
    </w:p>
    <w:p w:rsidR="009C1C5A" w:rsidRPr="00896D4F" w:rsidRDefault="009C1C5A">
      <w:pPr>
        <w:pStyle w:val="PunktlistaTankstreck"/>
      </w:pPr>
      <w:r w:rsidRPr="00896D4F">
        <w:t>kritik mot socialsekreterare som på eget initiativ lämnat ut sekre</w:t>
      </w:r>
      <w:r w:rsidRPr="00896D4F">
        <w:softHyphen/>
        <w:t>tesskyddad uppgift till försä</w:t>
      </w:r>
      <w:r w:rsidRPr="00896D4F">
        <w:t>k</w:t>
      </w:r>
      <w:r w:rsidRPr="00896D4F">
        <w:t>ringskassan 99/00:374</w:t>
      </w:r>
    </w:p>
    <w:p w:rsidR="009C1C5A" w:rsidRPr="00896D4F" w:rsidRDefault="009C1C5A">
      <w:pPr>
        <w:pStyle w:val="PunktlistaTankstreck"/>
      </w:pPr>
      <w:r w:rsidRPr="00896D4F">
        <w:t>offentliggörande av namnuppgifter i kungörelsedelgivning rörande mål om bistånd enligt 6 g § socialtjänstlagen 99/00:191</w:t>
      </w:r>
    </w:p>
    <w:p w:rsidR="009C1C5A" w:rsidRPr="00896D4F" w:rsidRDefault="009C1C5A">
      <w:pPr>
        <w:pStyle w:val="PunktlistaTankstreck"/>
      </w:pPr>
      <w:r w:rsidRPr="00896D4F">
        <w:t>kritik mot psykologenhet för genomförande av ett s.k. begåvningstest av ett barn utan att ha inhämtat tillstånd därtill från båda vårdnadshavarna 00/01:472</w:t>
      </w:r>
    </w:p>
    <w:p w:rsidR="009C1C5A" w:rsidRPr="00896D4F" w:rsidRDefault="009C1C5A">
      <w:pPr>
        <w:pStyle w:val="PunktlistaTankstreck"/>
        <w:rPr>
          <w:caps/>
        </w:rPr>
      </w:pPr>
      <w:r w:rsidRPr="00896D4F">
        <w:t>en länsrätt handlade ett mål angående verkställighet av en dom rörande umgängesrätt. Fråga om en tjänsteman vid en socialförvaltning självmant ägt rätt att tillskriva länsrätten och ge uttryck för sin up</w:t>
      </w:r>
      <w:r w:rsidRPr="00896D4F">
        <w:t>p</w:t>
      </w:r>
      <w:r w:rsidRPr="00896D4F">
        <w:t>fattning i um</w:t>
      </w:r>
      <w:r w:rsidRPr="00896D4F">
        <w:softHyphen/>
        <w:t>gängesfrågan 00/01:325</w:t>
      </w:r>
    </w:p>
    <w:p w:rsidR="009C1C5A" w:rsidRPr="00896D4F" w:rsidRDefault="009C1C5A">
      <w:pPr>
        <w:pStyle w:val="PunktlistaTankstreck"/>
        <w:rPr>
          <w:caps/>
        </w:rPr>
      </w:pPr>
      <w:r w:rsidRPr="00896D4F">
        <w:t>en tingsrätt handlade ett mål angående umgänge med barn. – Fråga om lämpligheten av att två tjänstemän vid en socialförvaltning, som svarat för s.k. samarbetssamtal mellan föräldrarna, i en skrivelse till en av för</w:t>
      </w:r>
      <w:r w:rsidRPr="00896D4F">
        <w:softHyphen/>
        <w:t>äldrarnas ombud i målet uttalade sin uppfattning i umgängesfrågan 00/01:329</w:t>
      </w:r>
    </w:p>
    <w:p w:rsidR="009C1C5A" w:rsidRPr="00896D4F" w:rsidRDefault="009C1C5A">
      <w:pPr>
        <w:pStyle w:val="PunktlistaTankstreck"/>
      </w:pPr>
      <w:r w:rsidRPr="00896D4F">
        <w:t>fråga om rätt till partsinsyn under handläggningen av en vårdnadsutredning 00/01:317</w:t>
      </w:r>
    </w:p>
    <w:p w:rsidR="009C1C5A" w:rsidRPr="00896D4F" w:rsidRDefault="009C1C5A">
      <w:pPr>
        <w:pStyle w:val="PunktlistaTankstreck"/>
        <w:rPr>
          <w:caps/>
        </w:rPr>
      </w:pPr>
      <w:r w:rsidRPr="00896D4F">
        <w:t>fråga bl.a. om utformningen av ett beslut enligt 6 kap. 19 § föräldrabalken att utse en vårdnad</w:t>
      </w:r>
      <w:r w:rsidRPr="00896D4F">
        <w:t>s</w:t>
      </w:r>
      <w:r w:rsidRPr="00896D4F">
        <w:t>utredare 00/01:332</w:t>
      </w:r>
    </w:p>
    <w:p w:rsidR="009C1C5A" w:rsidRPr="00896D4F" w:rsidRDefault="009C1C5A">
      <w:pPr>
        <w:pStyle w:val="PunktlistaTankstreck"/>
        <w:rPr>
          <w:caps/>
        </w:rPr>
      </w:pPr>
      <w:r w:rsidRPr="00896D4F">
        <w:t>en person erhöll av en socialnämnd bistånd mot återbetalningsskyldighet och utfärdade i samband med beslutet fullmakt för socialnämnden att från hennes arbetsgivare uppbära kommande lön. – Fråga om en tjänsteman vid socialförvaltningen i efterhand i fullmakten kunnat fylla i det belopp som arbetsgivaren skulle betala till soc</w:t>
      </w:r>
      <w:r w:rsidRPr="00896D4F">
        <w:t>i</w:t>
      </w:r>
      <w:r w:rsidRPr="00896D4F">
        <w:t>alnämnden 00/01:314</w:t>
      </w:r>
    </w:p>
    <w:p w:rsidR="009C1C5A" w:rsidRPr="00896D4F" w:rsidRDefault="009C1C5A">
      <w:pPr>
        <w:pStyle w:val="PunktlistaTankstreck"/>
        <w:rPr>
          <w:caps/>
        </w:rPr>
      </w:pPr>
      <w:r w:rsidRPr="00896D4F">
        <w:t>en tjänsteman vid en socialförvaltning har förtydligat ett läkarintyg efter kontakt med den läkare som utfärdat intyget. Tjänstemannen borde därvid ha gjort en notering om bl.a. vem som hade gjort tillägget 00/01:337</w:t>
      </w:r>
    </w:p>
    <w:p w:rsidR="009C1C5A" w:rsidRPr="00896D4F" w:rsidRDefault="009C1C5A">
      <w:pPr>
        <w:pStyle w:val="PunktlistaTankstreck"/>
      </w:pPr>
      <w:r w:rsidRPr="00896D4F">
        <w:t>fråga om en socialnämnd i ett biståndsärende, när sökanden har att förete läkarintyg, kan kräva att intyget skall vara utfärdat av läkare vid en vår</w:t>
      </w:r>
      <w:r w:rsidRPr="00896D4F">
        <w:t>d</w:t>
      </w:r>
      <w:r w:rsidRPr="00896D4F">
        <w:t>central 01/02:240</w:t>
      </w:r>
    </w:p>
    <w:p w:rsidR="009C1C5A" w:rsidRPr="00896D4F" w:rsidRDefault="009C1C5A">
      <w:pPr>
        <w:pStyle w:val="PunktlistaTankstreck"/>
      </w:pPr>
      <w:r w:rsidRPr="00896D4F">
        <w:t>fråga om anlitande av privata rättssubjekt som utredare inom socialtjänsten 01/02:250</w:t>
      </w:r>
    </w:p>
    <w:p w:rsidR="009C1C5A" w:rsidRPr="00896D4F" w:rsidRDefault="009C1C5A">
      <w:pPr>
        <w:pStyle w:val="PunktlistaTankstreck"/>
      </w:pPr>
      <w:r w:rsidRPr="00896D4F">
        <w:t>fråga om beslut i biståndsärenden får delges med den enskilde genom att denne anmodas att hämta beslutet hos myndigheten 01/02:272</w:t>
      </w:r>
    </w:p>
    <w:p w:rsidR="009C1C5A" w:rsidRPr="00896D4F" w:rsidRDefault="009C1C5A">
      <w:pPr>
        <w:pStyle w:val="PunktlistaTankstreck"/>
      </w:pPr>
      <w:r w:rsidRPr="00896D4F">
        <w:t>fråga om socialnämnds möjlighet att godkänna ett avtal angående vårdnad, boende eller umgänge när saken är föremål för prövning av domstol 01/02:275</w:t>
      </w:r>
    </w:p>
    <w:p w:rsidR="009C1C5A" w:rsidRPr="00896D4F" w:rsidRDefault="009C1C5A">
      <w:pPr>
        <w:pStyle w:val="PunktlistaTankstreck"/>
      </w:pPr>
      <w:r w:rsidRPr="00896D4F">
        <w:t>fråga om vilken utredning som en socialnämnd bör företa innan nämnden godkänner ett avtal ang</w:t>
      </w:r>
      <w:r w:rsidRPr="00896D4F">
        <w:t>å</w:t>
      </w:r>
      <w:r w:rsidRPr="00896D4F">
        <w:t>ende vårdnad, boende eller umgänge 01/02:278</w:t>
      </w:r>
    </w:p>
    <w:p w:rsidR="009C1C5A" w:rsidRPr="00896D4F" w:rsidRDefault="009C1C5A">
      <w:pPr>
        <w:pStyle w:val="PunktlistaTankstreck"/>
      </w:pPr>
      <w:r w:rsidRPr="00896D4F">
        <w:t>fråga om handläggares förslag till beslut i ett s.k. adoptionsärende bör redov</w:t>
      </w:r>
      <w:r w:rsidRPr="00896D4F">
        <w:t>i</w:t>
      </w:r>
      <w:r w:rsidRPr="00896D4F">
        <w:t>sas i socialnämndens adoptionsutredning 01/02:279</w:t>
      </w:r>
    </w:p>
    <w:p w:rsidR="009C1C5A" w:rsidRPr="00896D4F" w:rsidRDefault="009C1C5A">
      <w:pPr>
        <w:pStyle w:val="PunktlistaTankstreck"/>
      </w:pPr>
      <w:r w:rsidRPr="00896D4F">
        <w:t>fråga om socialnämnds ansvar för att faderskapet till ett barn klarläggs när det, efter att nämnden godkänt viss mans bekräftelse av faderskapet, kom fram att modern vid barnets födelse var gift med en annan man 01/02:286</w:t>
      </w:r>
    </w:p>
    <w:p w:rsidR="009C1C5A" w:rsidRPr="00896D4F" w:rsidRDefault="009C1C5A">
      <w:pPr>
        <w:pStyle w:val="PunktlistaTankstreck"/>
      </w:pPr>
      <w:r w:rsidRPr="00896D4F">
        <w:t>passiv handläggning av ett ärende angående fastställande av faderskap 01/02:290</w:t>
      </w:r>
    </w:p>
    <w:p w:rsidR="009C1C5A" w:rsidRPr="00896D4F" w:rsidRDefault="009C1C5A">
      <w:pPr>
        <w:pStyle w:val="PunktlistaTankstreck"/>
      </w:pPr>
      <w:r w:rsidRPr="00896D4F">
        <w:t xml:space="preserve">fråga om sökandens rätt att i ett biståndsärende få lämna uppgifter muntligt 01/02:294 </w:t>
      </w:r>
    </w:p>
    <w:p w:rsidR="009C1C5A" w:rsidRPr="00896D4F" w:rsidRDefault="009C1C5A">
      <w:pPr>
        <w:pStyle w:val="PunktlistaTankstreck"/>
      </w:pPr>
      <w:r w:rsidRPr="00896D4F">
        <w:t xml:space="preserve">handläggningen av en invändning om jäv i ett s.k. barnavårdsärende 01/02:296 </w:t>
      </w:r>
    </w:p>
    <w:p w:rsidR="009C1C5A" w:rsidRPr="00896D4F" w:rsidRDefault="009C1C5A">
      <w:pPr>
        <w:pStyle w:val="PunktlistaTankstreck"/>
      </w:pPr>
      <w:r w:rsidRPr="00896D4F">
        <w:t>kritik mot socialtjänstemän som utan samtycke från klienten tagit kontakt med anhöriga till denne för att diskutera klientens personliga förhållanden 01/02:433</w:t>
      </w:r>
    </w:p>
    <w:p w:rsidR="009C1C5A" w:rsidRPr="00896D4F" w:rsidRDefault="009C1C5A">
      <w:pPr>
        <w:pStyle w:val="PunktlistaTankstreck"/>
      </w:pPr>
      <w:r w:rsidRPr="00896D4F">
        <w:t>kritik mot en vård- och servicenämnd angående utlämnande av namn</w:t>
      </w:r>
      <w:r w:rsidRPr="00896D4F">
        <w:softHyphen/>
        <w:t>upp</w:t>
      </w:r>
      <w:r w:rsidRPr="00896D4F">
        <w:softHyphen/>
        <w:t>gifter på vissa personer med pågående bi</w:t>
      </w:r>
      <w:r w:rsidRPr="00896D4F">
        <w:softHyphen/>
        <w:t>ståndsinsatser i form av hemtjänst till Pensionärernas Riksorganisation PRO 01/02:437</w:t>
      </w:r>
    </w:p>
    <w:p w:rsidR="009C1C5A" w:rsidRPr="00896D4F" w:rsidRDefault="009C1C5A">
      <w:pPr>
        <w:pStyle w:val="PunktlistaTankstreck"/>
      </w:pPr>
      <w:r w:rsidRPr="00896D4F">
        <w:t>fråga om en socialnämnds handläggning när domstol förordnat att en fö</w:t>
      </w:r>
      <w:r w:rsidRPr="00896D4F">
        <w:t>r</w:t>
      </w:r>
      <w:r w:rsidRPr="00896D4F">
        <w:t>älders umgänge med barn skall utövas i närvaro av en kontaktperson som utses av socialnämnden; även fråga bl.a. om det på grund av jäv förelåg hinder för en tjänsteman att fatta beslut angående entledigande av en ko</w:t>
      </w:r>
      <w:r w:rsidRPr="00896D4F">
        <w:t>n</w:t>
      </w:r>
      <w:r w:rsidRPr="00896D4F">
        <w:t>taktperson när en berörd förälder var anställd vid samma förvaltning som tjänstemannen 02/03:252</w:t>
      </w:r>
    </w:p>
    <w:p w:rsidR="009C1C5A" w:rsidRPr="00896D4F" w:rsidRDefault="009C1C5A">
      <w:pPr>
        <w:pStyle w:val="PunktlistaTankstreck"/>
      </w:pPr>
      <w:r w:rsidRPr="00896D4F">
        <w:t>fråga bl.a. om handläggningen av en ansökan om bistånd när socialnäm</w:t>
      </w:r>
      <w:r w:rsidRPr="00896D4F">
        <w:t>n</w:t>
      </w:r>
      <w:r w:rsidRPr="00896D4F">
        <w:t>den nyligen hade prövat frågan 02/03:218</w:t>
      </w:r>
    </w:p>
    <w:p w:rsidR="009C1C5A" w:rsidRPr="00896D4F" w:rsidRDefault="009C1C5A">
      <w:pPr>
        <w:pStyle w:val="PunktlistaTankstreck"/>
      </w:pPr>
      <w:r w:rsidRPr="00896D4F">
        <w:t>fråga om en socialnämnds möjlighet att bistå en dansk social myndighet med uppgifter rörande ett barn som var tvångsomhändertaget i Danmark men som vist</w:t>
      </w:r>
      <w:r w:rsidRPr="00896D4F">
        <w:t>a</w:t>
      </w:r>
      <w:r w:rsidRPr="00896D4F">
        <w:t>des i Sverige 02/03:273</w:t>
      </w:r>
    </w:p>
    <w:p w:rsidR="009C1C5A" w:rsidRPr="00896D4F" w:rsidRDefault="009C1C5A">
      <w:pPr>
        <w:pStyle w:val="PunktlistaTankstreck"/>
      </w:pPr>
      <w:r w:rsidRPr="00896D4F">
        <w:t>fråga om det förelegat skäl för en länsstyrelse att kritisera en socialnämnd för att nämnden bl.a. inte verkat för att i ett visst fall få tillstånd s.k. sa</w:t>
      </w:r>
      <w:r w:rsidRPr="00896D4F">
        <w:t>m</w:t>
      </w:r>
      <w:r w:rsidRPr="00896D4F">
        <w:t>arbetssamtal 02/03:279</w:t>
      </w:r>
    </w:p>
    <w:p w:rsidR="009C1C5A" w:rsidRPr="00896D4F" w:rsidRDefault="009C1C5A">
      <w:pPr>
        <w:pStyle w:val="PunktlistaTankstreck"/>
      </w:pPr>
      <w:r w:rsidRPr="00896D4F">
        <w:t>fråga om två avtal angående umgänge med barn var utformade så att soc</w:t>
      </w:r>
      <w:r w:rsidRPr="00896D4F">
        <w:t>i</w:t>
      </w:r>
      <w:r w:rsidRPr="00896D4F">
        <w:t>alnämnden bort godkä</w:t>
      </w:r>
      <w:r w:rsidRPr="00896D4F">
        <w:t>n</w:t>
      </w:r>
      <w:r w:rsidRPr="00896D4F">
        <w:t>na dem 02/03:283</w:t>
      </w:r>
    </w:p>
    <w:p w:rsidR="009C1C5A" w:rsidRPr="00896D4F" w:rsidRDefault="009C1C5A">
      <w:pPr>
        <w:pStyle w:val="PunktlistaTankstreck"/>
      </w:pPr>
      <w:r w:rsidRPr="00896D4F">
        <w:t>fråga om en socialnämnds möjlighet att till en tjänsteman delegera rätten att överklaga domar och beslut som meddelats av en länsrätt 02/03:284</w:t>
      </w:r>
    </w:p>
    <w:p w:rsidR="009C1C5A" w:rsidRPr="00896D4F" w:rsidRDefault="009C1C5A">
      <w:pPr>
        <w:pStyle w:val="PunktlistaTankstreck"/>
      </w:pPr>
      <w:r w:rsidRPr="00896D4F">
        <w:t>fråga om det på grund av jäv förelåg hinder för en ledamot i en socia</w:t>
      </w:r>
      <w:r w:rsidRPr="00896D4F">
        <w:t>l</w:t>
      </w:r>
      <w:r w:rsidRPr="00896D4F">
        <w:t>nämnd att delta i ett beslut om svar på ett brev 02/03:285</w:t>
      </w:r>
    </w:p>
    <w:p w:rsidR="009C1C5A" w:rsidRPr="00896D4F" w:rsidRDefault="009C1C5A">
      <w:pPr>
        <w:pStyle w:val="PunktlistaTankstreck"/>
      </w:pPr>
      <w:r w:rsidRPr="00896D4F">
        <w:t>fråga om en socialnämnd var skyldig att kommunicera ett läkarutlåtande som kom in till nämnden i ett LVU-ärende efter att länsrätten hade hållit förhandling i målet angåe</w:t>
      </w:r>
      <w:r w:rsidRPr="00896D4F">
        <w:t>n</w:t>
      </w:r>
      <w:r w:rsidRPr="00896D4F">
        <w:t>de vård enligt LVU 02/03:287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II Lagen med särskilda bestämmelser om vård av unga (LVU)</w:t>
      </w:r>
    </w:p>
    <w:p w:rsidR="009C1C5A" w:rsidRPr="00896D4F" w:rsidRDefault="009C1C5A">
      <w:pPr>
        <w:pStyle w:val="PunktlistaTankstreck"/>
      </w:pPr>
      <w:r w:rsidRPr="00896D4F">
        <w:t>en mor hade rest med sitt barn till Frankrike. – Fråga om socialnämnden kunde omhänderta barnet enligt 6 § LVU för att återföra barnet till Sver</w:t>
      </w:r>
      <w:r w:rsidRPr="00896D4F">
        <w:t>i</w:t>
      </w:r>
      <w:r w:rsidRPr="00896D4F">
        <w:t>ge. Även frågor om formen för återkallande av ett beslut om omhändert</w:t>
      </w:r>
      <w:r w:rsidRPr="00896D4F">
        <w:t>a</w:t>
      </w:r>
      <w:r w:rsidRPr="00896D4F">
        <w:t>gande enligt 6 § LVU, dok</w:t>
      </w:r>
      <w:r w:rsidRPr="00896D4F">
        <w:t>u</w:t>
      </w:r>
      <w:r w:rsidRPr="00896D4F">
        <w:t>mentation, m.m. 99/00:251</w:t>
      </w:r>
    </w:p>
    <w:p w:rsidR="009C1C5A" w:rsidRPr="00896D4F" w:rsidRDefault="009C1C5A">
      <w:pPr>
        <w:pStyle w:val="PunktlistaTankstreck"/>
      </w:pPr>
      <w:r w:rsidRPr="00896D4F">
        <w:t>fråga om det förelåg förutsättningar för ett omedelbart omhändertagande av en tonåring med stöd av 3 § och 6 § LVU. Även fråga om social</w:t>
      </w:r>
      <w:r w:rsidRPr="00896D4F">
        <w:softHyphen/>
        <w:t>nämnden ägde anlita polis för att flytta den unge från ett behandlingshem till ett a</w:t>
      </w:r>
      <w:r w:rsidRPr="00896D4F">
        <w:t>n</w:t>
      </w:r>
      <w:r w:rsidRPr="00896D4F">
        <w:t>nat hem 99/00:261</w:t>
      </w:r>
    </w:p>
    <w:p w:rsidR="009C1C5A" w:rsidRPr="00896D4F" w:rsidRDefault="009C1C5A">
      <w:pPr>
        <w:pStyle w:val="PunktlistaTankstreck"/>
        <w:rPr>
          <w:b/>
        </w:rPr>
      </w:pPr>
      <w:r w:rsidRPr="00896D4F">
        <w:t>socialnämnds skyldighet att verka för att ett offentligt biträde utses när ett ingripande enligt LVU blir aktuellt 99/00:264</w:t>
      </w:r>
    </w:p>
    <w:p w:rsidR="009C1C5A" w:rsidRPr="00896D4F" w:rsidRDefault="009C1C5A">
      <w:pPr>
        <w:pStyle w:val="PunktlistaTankstreck"/>
      </w:pPr>
      <w:r w:rsidRPr="00896D4F">
        <w:t>socialnämnds skyldighet att verka för att en förälder upprätthåller kontakt med sitt barn som har b</w:t>
      </w:r>
      <w:r w:rsidRPr="00896D4F">
        <w:t>e</w:t>
      </w:r>
      <w:r w:rsidRPr="00896D4F">
        <w:t>retts vård enligt LVU 99/00:268</w:t>
      </w:r>
    </w:p>
    <w:p w:rsidR="009C1C5A" w:rsidRPr="00896D4F" w:rsidRDefault="009C1C5A">
      <w:pPr>
        <w:pStyle w:val="PunktlistaTankstreck"/>
      </w:pPr>
      <w:r w:rsidRPr="00896D4F">
        <w:t>företrädare för socialnämnd bör som regel närvara vid polishandräckning enligt 43 § 2 lagen (1990:52) med särskilda bestämmelser om vård av unga 99/00:270</w:t>
      </w:r>
    </w:p>
    <w:p w:rsidR="009C1C5A" w:rsidRPr="00896D4F" w:rsidRDefault="009C1C5A">
      <w:pPr>
        <w:pStyle w:val="PunktlistaTankstreck"/>
      </w:pPr>
      <w:r w:rsidRPr="00896D4F">
        <w:t>fråga om en socialnämnd ägt placera en flicka i nedre tonåren, som vård</w:t>
      </w:r>
      <w:r w:rsidRPr="00896D4F">
        <w:t>a</w:t>
      </w:r>
      <w:r w:rsidRPr="00896D4F">
        <w:t xml:space="preserve">des med stöd av 2 § LVU, i ett ”eget boende” 00/01:307 </w:t>
      </w:r>
    </w:p>
    <w:p w:rsidR="009C1C5A" w:rsidRPr="00896D4F" w:rsidRDefault="009C1C5A">
      <w:pPr>
        <w:pStyle w:val="PunktlistaTankstreck"/>
      </w:pPr>
      <w:r w:rsidRPr="00896D4F">
        <w:t>efter att polisen till socialnämnden anmält att en yngling var misstänkt för tillgrepp av en moped beslutades att den unge skulle omhändertas med stöd av 6 § LVU. Vid samtal med socialnämndens handläggare förnekade dock den unge att han tillgripit mopeden och hans uppgift visade sig sen</w:t>
      </w:r>
      <w:r w:rsidRPr="00896D4F">
        <w:t>a</w:t>
      </w:r>
      <w:r w:rsidRPr="00896D4F">
        <w:t>re vara riktig. Genom att inte omgående efter samtalet med den unge nä</w:t>
      </w:r>
      <w:r w:rsidRPr="00896D4F">
        <w:t>r</w:t>
      </w:r>
      <w:r w:rsidRPr="00896D4F">
        <w:t>mare undersöka vad som låg till grund för polisens misstankar har näm</w:t>
      </w:r>
      <w:r w:rsidRPr="00896D4F">
        <w:t>n</w:t>
      </w:r>
      <w:r w:rsidRPr="00896D4F">
        <w:t>den brustit i sitt ansvar för utredningen 00/01:305</w:t>
      </w:r>
    </w:p>
    <w:p w:rsidR="009C1C5A" w:rsidRPr="00896D4F" w:rsidRDefault="009C1C5A">
      <w:pPr>
        <w:pStyle w:val="PunktlistaTankstreck"/>
      </w:pPr>
      <w:r w:rsidRPr="00896D4F">
        <w:t>en pojke hade beretts vård enligt 2 § LVU. Fråga bl.a. om det fanns föru</w:t>
      </w:r>
      <w:r w:rsidRPr="00896D4F">
        <w:t>t</w:t>
      </w:r>
      <w:r w:rsidRPr="00896D4F">
        <w:t>sättningar för fortsatt vård enligt LVU i samband med att vårdnaden om po</w:t>
      </w:r>
      <w:r w:rsidRPr="00896D4F">
        <w:t>j</w:t>
      </w:r>
      <w:r w:rsidRPr="00896D4F">
        <w:t>ken flyttades från modern till fadern 01/02:244</w:t>
      </w:r>
    </w:p>
    <w:p w:rsidR="009C1C5A" w:rsidRPr="00896D4F" w:rsidRDefault="009C1C5A">
      <w:pPr>
        <w:pStyle w:val="PunktlistaTankstreck"/>
      </w:pPr>
      <w:r w:rsidRPr="00896D4F">
        <w:t>fråga om det utan stöd i lag förekommit avskiljning av intagna vid ett sä</w:t>
      </w:r>
      <w:r w:rsidRPr="00896D4F">
        <w:t>r</w:t>
      </w:r>
      <w:r w:rsidRPr="00896D4F">
        <w:t>skilt ungdomshem 02:03:222</w:t>
      </w:r>
    </w:p>
    <w:p w:rsidR="009C1C5A" w:rsidRPr="00896D4F" w:rsidRDefault="009C1C5A">
      <w:pPr>
        <w:pStyle w:val="PunktlistaTankstreck"/>
      </w:pPr>
      <w:r w:rsidRPr="00896D4F">
        <w:t>en anonym anmälan om att ett barn eventuellt utsatts för ett sexuellt öve</w:t>
      </w:r>
      <w:r w:rsidRPr="00896D4F">
        <w:t>r</w:t>
      </w:r>
      <w:r w:rsidRPr="00896D4F">
        <w:t>grepp inkom till en socialnämnd; fråga bl.a. om det förelåg skäl för att omedelbart omhänderta ba</w:t>
      </w:r>
      <w:r w:rsidRPr="00896D4F">
        <w:t>r</w:t>
      </w:r>
      <w:r w:rsidRPr="00896D4F">
        <w:t>net enligt 6 § LVU 02/03:229</w:t>
      </w:r>
    </w:p>
    <w:p w:rsidR="009C1C5A" w:rsidRPr="00896D4F" w:rsidRDefault="009C1C5A">
      <w:pPr>
        <w:pStyle w:val="PunktlistaTankstreck"/>
      </w:pPr>
      <w:r w:rsidRPr="00896D4F">
        <w:t xml:space="preserve">fråga om socialnämndens skyldighet att samråda med vårdnadshavaren i frågor som rör ett barn som vårdas enligt LVU 02/03:234 </w:t>
      </w:r>
    </w:p>
    <w:p w:rsidR="009C1C5A" w:rsidRPr="00896D4F" w:rsidRDefault="009C1C5A">
      <w:pPr>
        <w:pStyle w:val="PunktlistaTankstreck"/>
      </w:pPr>
      <w:r w:rsidRPr="00896D4F">
        <w:t>fråga om socialnämnds skyldighet att underrätta vårdnadshavaren om att ett barn som vårdas enligt LVU eventuellt blivit utsatt för sexuellt öve</w:t>
      </w:r>
      <w:r w:rsidRPr="00896D4F">
        <w:t>r</w:t>
      </w:r>
      <w:r w:rsidRPr="00896D4F">
        <w:t>grepp i familjehemmet 02/03:239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rPr>
          <w:b w:val="0"/>
        </w:rPr>
      </w:pP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spacing w:before="0"/>
      </w:pPr>
      <w:r w:rsidRPr="00896D4F">
        <w:t>III Lagen om vård av missbrukare i vissa fall, LVM</w:t>
      </w:r>
    </w:p>
    <w:p w:rsidR="009C1C5A" w:rsidRPr="00896D4F" w:rsidRDefault="009C1C5A">
      <w:pPr>
        <w:pStyle w:val="PunktlistaTankstreck"/>
      </w:pPr>
      <w:r w:rsidRPr="00896D4F">
        <w:t>fråga om föreståndaren för ett LVM-hem haft rätt att omhänderta ett ba</w:t>
      </w:r>
      <w:r w:rsidRPr="00896D4F">
        <w:t>n</w:t>
      </w:r>
      <w:r w:rsidRPr="00896D4F">
        <w:t>komatkort och en legitimationshandling från en person som vårdades vid hemmet 00/01:310</w:t>
      </w:r>
    </w:p>
    <w:p w:rsidR="009C1C5A" w:rsidRPr="00896D4F" w:rsidRDefault="009C1C5A">
      <w:pPr>
        <w:pStyle w:val="PunktlistaTankstreck"/>
      </w:pPr>
      <w:r w:rsidRPr="00896D4F">
        <w:t>föreståndaren för ett LVM-hem bedömde att en man som vårdades vid hemmet behövde beredas psykiatrisk vård vid sjukhus. Fråga bl.a. om det förelåg förutsättningar för att skriva ut mannen från LVM-hemmet i sa</w:t>
      </w:r>
      <w:r w:rsidRPr="00896D4F">
        <w:t>m</w:t>
      </w:r>
      <w:r w:rsidRPr="00896D4F">
        <w:t>band med att han fördes till sjukhus 02/03:243</w:t>
      </w:r>
    </w:p>
    <w:p w:rsidR="009C1C5A" w:rsidRPr="00896D4F" w:rsidRDefault="009C1C5A">
      <w:pPr>
        <w:pStyle w:val="PunktlistaTankstreck"/>
      </w:pPr>
      <w:r w:rsidRPr="00896D4F">
        <w:t>fråga om förutsättningarna för enhet inom hälso- och sjukvården att kva</w:t>
      </w:r>
      <w:r w:rsidRPr="00896D4F">
        <w:t>r</w:t>
      </w:r>
      <w:r w:rsidRPr="00896D4F">
        <w:t>hålla en patient som är föremål för vård enligt lagen (1988:870) om vård av missbrukare i vissa fall, LVM 02/03:301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Stöd och service till vissa funktionshindrade</w:t>
      </w:r>
    </w:p>
    <w:p w:rsidR="009C1C5A" w:rsidRPr="00896D4F" w:rsidRDefault="009C1C5A">
      <w:pPr>
        <w:pStyle w:val="PunktlistaTankstreck"/>
      </w:pPr>
      <w:r w:rsidRPr="00896D4F">
        <w:t>kritik mot kommun för bristande rutiner och åtgärder vid en anställds övergrepp mot boende i ett kommunalt gruppboende 00/01:359</w:t>
      </w:r>
    </w:p>
    <w:p w:rsidR="009C1C5A" w:rsidRPr="00896D4F" w:rsidRDefault="009C1C5A">
      <w:pPr>
        <w:pStyle w:val="PunktlistaTankstreck"/>
      </w:pPr>
      <w:r w:rsidRPr="00896D4F">
        <w:t>tillståndsplikt enligt 23 § LSS 01/02:308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Telefon</w:t>
      </w:r>
    </w:p>
    <w:p w:rsidR="009C1C5A" w:rsidRPr="00896D4F" w:rsidRDefault="009C1C5A">
      <w:pPr>
        <w:pStyle w:val="PunktlistaTankstreck"/>
      </w:pPr>
      <w:r w:rsidRPr="00896D4F">
        <w:t>inspelning av telefonsamtal till kronofogdemy</w:t>
      </w:r>
      <w:r w:rsidRPr="00896D4F">
        <w:t>n</w:t>
      </w:r>
      <w:r w:rsidRPr="00896D4F">
        <w:t>dighets växel 99/00:168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Tillståndsplikt</w:t>
      </w:r>
    </w:p>
    <w:p w:rsidR="009C1C5A" w:rsidRPr="00896D4F" w:rsidRDefault="009C1C5A">
      <w:pPr>
        <w:pStyle w:val="PunktlistaTankstreck"/>
      </w:pPr>
      <w:r w:rsidRPr="00896D4F">
        <w:t>fråga om tillämpningen av bestämmelsen om tillståndsplikt enligt 23 § första stycket stycket lagen (1993:387) om stöd och service till vissa fun</w:t>
      </w:r>
      <w:r w:rsidRPr="00896D4F">
        <w:t>k</w:t>
      </w:r>
      <w:r w:rsidRPr="00896D4F">
        <w:t>tions</w:t>
      </w:r>
      <w:r w:rsidRPr="00896D4F">
        <w:softHyphen/>
        <w:t>hindrade (LSS) vid i</w:t>
      </w:r>
      <w:r w:rsidRPr="00896D4F">
        <w:t>n</w:t>
      </w:r>
      <w:r w:rsidRPr="00896D4F">
        <w:t xml:space="preserve">satser enligt 9 § 9 LSS 01/02:308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Tillsyn</w:t>
      </w:r>
    </w:p>
    <w:p w:rsidR="009C1C5A" w:rsidRPr="00896D4F" w:rsidRDefault="009C1C5A">
      <w:pPr>
        <w:pStyle w:val="PunktlistaTankstreck"/>
      </w:pPr>
      <w:r w:rsidRPr="00896D4F">
        <w:t>kritik mot en miljönämnd för passivitet och otydlighet i ett ärende rörande tillsyn av ett sågverk 99/00:341</w:t>
      </w:r>
    </w:p>
    <w:p w:rsidR="009C1C5A" w:rsidRPr="00896D4F" w:rsidRDefault="009C1C5A">
      <w:pPr>
        <w:pStyle w:val="PunktlistaTankstreck"/>
      </w:pPr>
      <w:r w:rsidRPr="00896D4F">
        <w:t>tillsynsmyndighets skyldighet att utreda och fatta beslut vid klagomål om överträdelser av villkor i täkttillstånd 00/01:422</w:t>
      </w:r>
    </w:p>
    <w:p w:rsidR="009C1C5A" w:rsidRPr="00896D4F" w:rsidRDefault="009C1C5A">
      <w:pPr>
        <w:pStyle w:val="PunktlistaTankstreck"/>
      </w:pPr>
      <w:r w:rsidRPr="00896D4F">
        <w:t>skrivelse till Justitiedepartementet med synpunkter med anledning av iakttagelser gjorda under inspektioner vid vissa av polisens internutre</w:t>
      </w:r>
      <w:r w:rsidRPr="00896D4F">
        <w:t>d</w:t>
      </w:r>
      <w:r w:rsidRPr="00896D4F">
        <w:t>ningse</w:t>
      </w:r>
      <w:r w:rsidRPr="00896D4F">
        <w:t>n</w:t>
      </w:r>
      <w:r w:rsidRPr="00896D4F">
        <w:t>heter m.m. 00/01:204</w:t>
      </w:r>
    </w:p>
    <w:p w:rsidR="009C1C5A" w:rsidRPr="00896D4F" w:rsidRDefault="009C1C5A">
      <w:pPr>
        <w:pStyle w:val="PunktlistaTankstreck"/>
      </w:pPr>
      <w:r w:rsidRPr="00896D4F">
        <w:t>handläggningen av ett tillsynsärende; fråga om en legitimerad psykolog som till domstol avgivit två sakkunnigyttranden stått under social</w:t>
      </w:r>
      <w:r w:rsidRPr="00896D4F">
        <w:softHyphen/>
        <w:t>styrelsens til</w:t>
      </w:r>
      <w:r w:rsidRPr="00896D4F">
        <w:t>l</w:t>
      </w:r>
      <w:r w:rsidRPr="00896D4F">
        <w:t>syn 01/02:299</w:t>
      </w:r>
    </w:p>
    <w:p w:rsidR="009C1C5A" w:rsidRPr="00896D4F" w:rsidRDefault="009C1C5A">
      <w:pPr>
        <w:pStyle w:val="PunktlistaTankstreck"/>
        <w:rPr>
          <w:b/>
        </w:rPr>
      </w:pPr>
      <w:r w:rsidRPr="00896D4F">
        <w:t>anmälan till åklagare för brott mot det inom strandskyddsområde gällande nybyggnadsförbudet: Utrymmet för bedömning av gärningens allvar och av uppsåt m.m. Brottets beteckning e</w:t>
      </w:r>
      <w:r w:rsidRPr="00896D4F">
        <w:t>n</w:t>
      </w:r>
      <w:r w:rsidRPr="00896D4F">
        <w:t>ligt miljöbalken 01/02:359</w:t>
      </w:r>
    </w:p>
    <w:p w:rsidR="009C1C5A" w:rsidRPr="00896D4F" w:rsidRDefault="009C1C5A">
      <w:pPr>
        <w:pStyle w:val="PunktlistaTankstreck"/>
      </w:pPr>
      <w:r w:rsidRPr="00896D4F">
        <w:t>fråga om det förelegat skäl för en länsstyrelse att kritisera en socialnämnd för att nämnden bl.a. inte verkat för att i ett visst fall få tillstånd s.k. sa</w:t>
      </w:r>
      <w:r w:rsidRPr="00896D4F">
        <w:t>m</w:t>
      </w:r>
      <w:r w:rsidRPr="00896D4F">
        <w:t>arbetssamtal 02/03:279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Tjänstefel</w:t>
      </w:r>
    </w:p>
    <w:p w:rsidR="009C1C5A" w:rsidRPr="00896D4F" w:rsidRDefault="009C1C5A">
      <w:pPr>
        <w:pStyle w:val="PunktlistaBomb"/>
        <w:numPr>
          <w:ilvl w:val="0"/>
          <w:numId w:val="198"/>
        </w:numPr>
        <w:tabs>
          <w:tab w:val="clear" w:pos="360"/>
        </w:tabs>
      </w:pPr>
      <w:r w:rsidRPr="00896D4F">
        <w:t>en åklagare har dömts för tjänstefel för att utan laglig grund ha begärt att ett bankkonto skulle spärras 02/03:60</w:t>
      </w:r>
    </w:p>
    <w:p w:rsidR="009C1C5A" w:rsidRPr="00896D4F" w:rsidRDefault="009C1C5A">
      <w:pPr>
        <w:pStyle w:val="PunktlistaTankstreck"/>
      </w:pPr>
      <w:r w:rsidRPr="00896D4F">
        <w:t xml:space="preserve">ett åtal mot en rådman för tjänstefel bestående i att han i tre fall inte haft kanslidomar färdigställda på utsatta tider har ogillats med hänvisning till att gärningarna fick anses vara ringa 02/03:34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Tolk</w:t>
      </w:r>
    </w:p>
    <w:p w:rsidR="009C1C5A" w:rsidRPr="00896D4F" w:rsidRDefault="009C1C5A">
      <w:pPr>
        <w:pStyle w:val="PunktlistaTankstreck"/>
      </w:pPr>
      <w:r w:rsidRPr="00896D4F">
        <w:t>fråga om myndighets skyldighet att låta översätta en på utländskt språk författad överklagand</w:t>
      </w:r>
      <w:r w:rsidRPr="00896D4F">
        <w:t>e</w:t>
      </w:r>
      <w:r w:rsidRPr="00896D4F">
        <w:t>skrift till svenska 99/00:216</w:t>
      </w:r>
    </w:p>
    <w:p w:rsidR="009C1C5A" w:rsidRPr="00896D4F" w:rsidRDefault="009C1C5A">
      <w:pPr>
        <w:pStyle w:val="PunktlistaTankstreck"/>
      </w:pPr>
      <w:r w:rsidRPr="00896D4F">
        <w:t>kan en arbetsförmedling kräva att en sökande skall skriva på svenska? Även fråga om formulerin</w:t>
      </w:r>
      <w:r w:rsidRPr="00896D4F">
        <w:t>g</w:t>
      </w:r>
      <w:r w:rsidRPr="00896D4F">
        <w:t>en av ett sådant krav 00/01:245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Tredskodom</w:t>
      </w:r>
    </w:p>
    <w:p w:rsidR="009C1C5A" w:rsidRPr="00896D4F" w:rsidRDefault="009C1C5A">
      <w:pPr>
        <w:pStyle w:val="PunktlistaTankstreck"/>
      </w:pPr>
      <w:r w:rsidRPr="00896D4F">
        <w:t>utformningen av domslutet i en tvistemålsdom efter återvinning av en tredskodom 01/02:31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Tryckfrihetsförordningen</w:t>
      </w:r>
    </w:p>
    <w:p w:rsidR="009C1C5A" w:rsidRPr="00896D4F" w:rsidRDefault="009C1C5A">
      <w:pPr>
        <w:pStyle w:val="PunktlistaTankstreck"/>
      </w:pPr>
      <w:r w:rsidRPr="00896D4F">
        <w:t>handläggningen av en begäran om utlämnande av allmän handling. Kritik mot Husie stadsdelsfullmäktige för att sökanden avkrävts identitetsuppgift. – Fråga om efterforskningsförbudet i 2 kap. 14 § tredje stycket tryck</w:t>
      </w:r>
      <w:r w:rsidRPr="00896D4F">
        <w:softHyphen/>
        <w:t xml:space="preserve">frihetsförordningen (TF) överträtts 00/01:578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Tvistemål</w:t>
      </w:r>
    </w:p>
    <w:p w:rsidR="009C1C5A" w:rsidRPr="00896D4F" w:rsidRDefault="009C1C5A">
      <w:pPr>
        <w:pStyle w:val="PunktlistaTankstreck"/>
      </w:pPr>
      <w:r w:rsidRPr="00896D4F">
        <w:t>långsam handläggning av en fråga om rätt</w:t>
      </w:r>
      <w:r w:rsidRPr="00896D4F">
        <w:t>e</w:t>
      </w:r>
      <w:r w:rsidRPr="00896D4F">
        <w:t>gångshinder 99/00:44</w:t>
      </w:r>
    </w:p>
    <w:p w:rsidR="009C1C5A" w:rsidRPr="00896D4F" w:rsidRDefault="009C1C5A">
      <w:pPr>
        <w:pStyle w:val="PunktlistaTankstreck"/>
      </w:pPr>
      <w:r w:rsidRPr="00896D4F">
        <w:t>en tingsrätts handläggning av ett tvistemål efter det att parterna hade fö</w:t>
      </w:r>
      <w:r w:rsidRPr="00896D4F">
        <w:t>r</w:t>
      </w:r>
      <w:r w:rsidRPr="00896D4F">
        <w:t>likts 99/00:51</w:t>
      </w:r>
    </w:p>
    <w:p w:rsidR="009C1C5A" w:rsidRPr="00896D4F" w:rsidRDefault="009C1C5A">
      <w:pPr>
        <w:pStyle w:val="PunktlistaTankstreck"/>
      </w:pPr>
      <w:r w:rsidRPr="00896D4F">
        <w:t>åtal mot en domare med anledning av hans handläggning av ett antal tvi</w:t>
      </w:r>
      <w:r w:rsidRPr="00896D4F">
        <w:t>s</w:t>
      </w:r>
      <w:r w:rsidRPr="00896D4F">
        <w:t>temål 00/01:34 + bilaga</w:t>
      </w:r>
    </w:p>
    <w:p w:rsidR="009C1C5A" w:rsidRPr="00896D4F" w:rsidRDefault="009C1C5A">
      <w:pPr>
        <w:pStyle w:val="PunktlistaTankstreck"/>
      </w:pPr>
      <w:r w:rsidRPr="00896D4F">
        <w:t>en tingsrätts handläggning av ett mål om umgängesrätt m.m. där svaranden hade s.k. fingerade personuppgifter 00/01:36</w:t>
      </w:r>
    </w:p>
    <w:p w:rsidR="009C1C5A" w:rsidRPr="00896D4F" w:rsidRDefault="009C1C5A">
      <w:pPr>
        <w:pStyle w:val="PunktlistaTankstreck"/>
      </w:pPr>
      <w:r w:rsidRPr="00896D4F">
        <w:t>en tingsrätts hantering av s.k. skyddade personuppgifter vilka erhållits från en part i ett förenklat tvistemål (FT-mål) 00/01:44</w:t>
      </w:r>
    </w:p>
    <w:p w:rsidR="009C1C5A" w:rsidRPr="00896D4F" w:rsidRDefault="009C1C5A">
      <w:pPr>
        <w:pStyle w:val="PunktlistaTankstreck"/>
        <w:rPr>
          <w:b/>
        </w:rPr>
      </w:pPr>
      <w:r w:rsidRPr="00896D4F">
        <w:t>en tingsrätts hantering av s.k. skyddade personuppgifter vilka erhållits från en part i ett familjemål 00/01:50</w:t>
      </w:r>
    </w:p>
    <w:p w:rsidR="009C1C5A" w:rsidRPr="00896D4F" w:rsidRDefault="009C1C5A">
      <w:pPr>
        <w:pStyle w:val="PunktlistaTankstreck"/>
        <w:rPr>
          <w:b/>
        </w:rPr>
      </w:pPr>
      <w:r w:rsidRPr="00896D4F">
        <w:t>utformningen av domslutet i en tvistemålsdom efter återvinning av en tredskodom 01/02:31</w:t>
      </w:r>
    </w:p>
    <w:p w:rsidR="009C1C5A" w:rsidRPr="00896D4F" w:rsidRDefault="009C1C5A">
      <w:pPr>
        <w:pStyle w:val="PunktlistaTankstreck"/>
        <w:rPr>
          <w:b/>
        </w:rPr>
      </w:pPr>
      <w:r w:rsidRPr="00896D4F">
        <w:t>långsam handläggning av ett dispositivt tvistemål vid en tingsrätt 01/02:48</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Tystnadsplikt</w:t>
      </w:r>
    </w:p>
    <w:p w:rsidR="009C1C5A" w:rsidRPr="00896D4F" w:rsidRDefault="009C1C5A">
      <w:pPr>
        <w:pStyle w:val="PunktlistaTankstreck"/>
      </w:pPr>
      <w:r w:rsidRPr="00896D4F">
        <w:t>kritik mot socialtjänstemän som utan samtycke från klienten tagit kontakt med anhöriga till denne för att diskutera klientens personliga förhållanden 01/02:433</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Tågmästare</w:t>
      </w:r>
    </w:p>
    <w:p w:rsidR="009C1C5A" w:rsidRPr="00896D4F" w:rsidRDefault="009C1C5A">
      <w:pPr>
        <w:pStyle w:val="PunktlistaTankstreck"/>
      </w:pPr>
      <w:r w:rsidRPr="00896D4F">
        <w:t>myndighetsutövning i tågmästares verksamhet 01/02:481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Underrättelse</w:t>
      </w:r>
    </w:p>
    <w:p w:rsidR="009C1C5A" w:rsidRPr="00896D4F" w:rsidRDefault="009C1C5A">
      <w:pPr>
        <w:pStyle w:val="PunktlistaTankstreck"/>
      </w:pPr>
      <w:r w:rsidRPr="00896D4F">
        <w:t>kritik mot en polismyndighet för att ha inlett utredning enligt 31 § lagen (1964:167) med särskilda bestämmelser för unga lagöverträdare (LUL) mot barn under 15 år samt fråga om underrättelseskyldighet enligt nämnda lag och förhör med barn 00/01:90</w:t>
      </w:r>
    </w:p>
    <w:p w:rsidR="009C1C5A" w:rsidRPr="00896D4F" w:rsidRDefault="009C1C5A">
      <w:pPr>
        <w:pStyle w:val="PunktlistaTankstreck"/>
      </w:pPr>
      <w:r w:rsidRPr="00896D4F">
        <w:t>fråga om verkan av en överenskommelse mellan en polismyndighet och en åklagarmyndighet innebärande att underrättelser om att åklagare beslutat att inte inleda förundersökning skall expedieras genom polismyndighetens försorg m.m. 01/02:132</w:t>
      </w:r>
    </w:p>
    <w:p w:rsidR="009C1C5A" w:rsidRPr="00896D4F" w:rsidRDefault="009C1C5A">
      <w:pPr>
        <w:pStyle w:val="PunktlistaTankstreck"/>
      </w:pPr>
      <w:r w:rsidRPr="00896D4F">
        <w:t>uttalanden angående utformningen av författningsföreskrifterna om unde</w:t>
      </w:r>
      <w:r w:rsidRPr="00896D4F">
        <w:t>r</w:t>
      </w:r>
      <w:r w:rsidRPr="00896D4F">
        <w:t>rä</w:t>
      </w:r>
      <w:r w:rsidRPr="00896D4F">
        <w:t>t</w:t>
      </w:r>
      <w:r w:rsidRPr="00896D4F">
        <w:t>telse om domar och beslut om näringsförbud 01/02:181</w:t>
      </w:r>
    </w:p>
    <w:p w:rsidR="009C1C5A" w:rsidRPr="00896D4F" w:rsidRDefault="009C1C5A">
      <w:pPr>
        <w:pStyle w:val="PunktlistaTankstreck"/>
      </w:pPr>
      <w:r w:rsidRPr="00896D4F">
        <w:t>fråga om skyldighet för barn- och ungdomspsykiatrisk verksamhet att underrätta vårdnadshavare vid misstanke om att ett barn utsatts för sex</w:t>
      </w:r>
      <w:r w:rsidRPr="00896D4F">
        <w:t>u</w:t>
      </w:r>
      <w:r w:rsidRPr="00896D4F">
        <w:t>ella övergrepp 02/03:290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Unga lagöverträdare</w:t>
      </w:r>
    </w:p>
    <w:p w:rsidR="009C1C5A" w:rsidRPr="00896D4F" w:rsidRDefault="009C1C5A">
      <w:pPr>
        <w:pStyle w:val="PunktlistaTankstreck"/>
      </w:pPr>
      <w:r w:rsidRPr="00896D4F">
        <w:t>kritik mot en polismy</w:t>
      </w:r>
      <w:r w:rsidRPr="00896D4F">
        <w:t>n</w:t>
      </w:r>
      <w:r w:rsidRPr="00896D4F">
        <w:t>dighet för att förhörsledare i samband med för</w:t>
      </w:r>
      <w:r w:rsidRPr="00896D4F">
        <w:softHyphen/>
        <w:t>undersökning mot två 15-åringar åsidosatt regler av grundläggande bet</w:t>
      </w:r>
      <w:r w:rsidRPr="00896D4F">
        <w:t>y</w:t>
      </w:r>
      <w:r w:rsidRPr="00896D4F">
        <w:t>delse för underårigas rättssäke</w:t>
      </w:r>
      <w:r w:rsidRPr="00896D4F">
        <w:t>r</w:t>
      </w:r>
      <w:r w:rsidRPr="00896D4F">
        <w:t>het 99/00:78</w:t>
      </w:r>
    </w:p>
    <w:p w:rsidR="009C1C5A" w:rsidRPr="00896D4F" w:rsidRDefault="009C1C5A">
      <w:pPr>
        <w:pStyle w:val="PunktlistaTankstreck"/>
      </w:pPr>
      <w:r w:rsidRPr="00896D4F">
        <w:t xml:space="preserve">fråga om fullgörande av skyldighet att underrätta vårdnadshavare enligt </w:t>
      </w:r>
      <w:r w:rsidRPr="00896D4F">
        <w:br/>
        <w:t>5 § lagen (1964:167) med särskilda bestämmelser om unga lagöverträdare 99/00:118</w:t>
      </w:r>
    </w:p>
    <w:p w:rsidR="009C1C5A" w:rsidRPr="00896D4F" w:rsidRDefault="009C1C5A">
      <w:pPr>
        <w:pStyle w:val="PunktlistaTankstreck"/>
      </w:pPr>
      <w:r w:rsidRPr="00896D4F">
        <w:t>kritik mot en polismyndighet för att ha inlett utredning enligt 31 § lagen (1964:167) med särskilda bestämmelser för unga lagöverträdare (LUL) mot barn under 15 år samt fråga om underrättelseskyldighet enligt nämnda lag och förhör med barn 00/01:90</w:t>
      </w:r>
    </w:p>
    <w:p w:rsidR="009C1C5A" w:rsidRPr="00896D4F" w:rsidRDefault="009C1C5A">
      <w:pPr>
        <w:pStyle w:val="PunktlistaTankstreck"/>
      </w:pPr>
      <w:r w:rsidRPr="00896D4F">
        <w:t>en polismyndighets handläggning av en mordutredning med barn inbla</w:t>
      </w:r>
      <w:r w:rsidRPr="00896D4F">
        <w:t>n</w:t>
      </w:r>
      <w:r w:rsidRPr="00896D4F">
        <w:t>dade 01/02:51</w:t>
      </w:r>
    </w:p>
    <w:p w:rsidR="009C1C5A" w:rsidRPr="00896D4F" w:rsidRDefault="009C1C5A">
      <w:pPr>
        <w:pStyle w:val="PunktlistaTankstreck"/>
      </w:pPr>
      <w:r w:rsidRPr="00896D4F">
        <w:t>kritik mot en åklagare för bl.a. långsam handläggning av ungdomsärenden 01/02:70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Universitets- och högskoleområdet</w:t>
      </w:r>
    </w:p>
    <w:p w:rsidR="009C1C5A" w:rsidRPr="00896D4F" w:rsidRDefault="009C1C5A">
      <w:pPr>
        <w:pStyle w:val="PunktlistaTankstreck"/>
      </w:pPr>
      <w:r w:rsidRPr="00896D4F">
        <w:t xml:space="preserve">kritik mot Högskoleverket för genomförandet av ändrade antagningsregler till högskolan avseende sökanden med utländska gymnasiebetyg 00/01:438 </w:t>
      </w:r>
    </w:p>
    <w:p w:rsidR="009C1C5A" w:rsidRPr="00896D4F" w:rsidRDefault="009C1C5A">
      <w:pPr>
        <w:pStyle w:val="PunktlistaTankstreck"/>
      </w:pPr>
      <w:r w:rsidRPr="00896D4F">
        <w:t>en kursföreståndare vid institutionen för idéhistoria vid Umeå universitet har efterforskat vem som lämnat vissa uppgifter i en kursutvärdering. Fr</w:t>
      </w:r>
      <w:r w:rsidRPr="00896D4F">
        <w:t>å</w:t>
      </w:r>
      <w:r w:rsidRPr="00896D4F">
        <w:t>ga om lagligheten respektive lämpligheten av den vidtagna åtgärden</w:t>
      </w:r>
      <w:r w:rsidRPr="00896D4F">
        <w:rPr>
          <w:b/>
        </w:rPr>
        <w:t xml:space="preserve"> </w:t>
      </w:r>
      <w:r w:rsidRPr="00896D4F">
        <w:t>00/01:452</w:t>
      </w:r>
    </w:p>
    <w:p w:rsidR="009C1C5A" w:rsidRPr="00896D4F" w:rsidRDefault="009C1C5A">
      <w:pPr>
        <w:pStyle w:val="PunktlistaTankstreck"/>
      </w:pPr>
      <w:r w:rsidRPr="00896D4F">
        <w:t>ett på JO:s initiativ upptaget ärende mot institutionen för lingvistik vid Uppsala universitet angående strykning av tidigare meddelade kurspoäng utan att höra studenterna 00/01:434</w:t>
      </w:r>
    </w:p>
    <w:p w:rsidR="009C1C5A" w:rsidRPr="00896D4F" w:rsidRDefault="009C1C5A">
      <w:pPr>
        <w:pStyle w:val="PunktlistaTankstreck"/>
      </w:pPr>
      <w:r w:rsidRPr="00896D4F">
        <w:t>fråga om uppmaning till en studentrepresentant i en tjänsteförslags</w:t>
      </w:r>
      <w:r w:rsidRPr="00896D4F">
        <w:softHyphen/>
        <w:t>nämnd att inte röja uppgifter rörande sakkunnigutlåtanden i ett ärende in</w:t>
      </w:r>
      <w:r w:rsidRPr="00896D4F">
        <w:softHyphen/>
        <w:t>nan just</w:t>
      </w:r>
      <w:r w:rsidRPr="00896D4F">
        <w:t>e</w:t>
      </w:r>
      <w:r w:rsidRPr="00896D4F">
        <w:t>rat protokoll från nämndens sammanträde före</w:t>
      </w:r>
      <w:r w:rsidRPr="00896D4F">
        <w:softHyphen/>
        <w:t>låg stått i strid med den i 2 kap. 1 § regeringsformen (RF) tillförsäkrade yttran</w:t>
      </w:r>
      <w:r w:rsidRPr="00896D4F">
        <w:softHyphen/>
        <w:t xml:space="preserve">defriheten 01/02:447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Utbildning och studiestöd</w:t>
      </w:r>
    </w:p>
    <w:p w:rsidR="009C1C5A" w:rsidRPr="00896D4F" w:rsidRDefault="009C1C5A">
      <w:pPr>
        <w:pStyle w:val="Rubrik4"/>
        <w:tabs>
          <w:tab w:val="clear" w:pos="1474"/>
          <w:tab w:val="clear" w:pos="1985"/>
          <w:tab w:val="clear" w:pos="2268"/>
          <w:tab w:val="clear" w:pos="2552"/>
          <w:tab w:val="clear" w:pos="2835"/>
        </w:tabs>
        <w:spacing w:before="120"/>
      </w:pPr>
      <w:r w:rsidRPr="00896D4F">
        <w:t>Skolledning</w:t>
      </w:r>
    </w:p>
    <w:p w:rsidR="009C1C5A" w:rsidRPr="00896D4F" w:rsidRDefault="009C1C5A">
      <w:pPr>
        <w:pStyle w:val="PunktlistaTankstreck"/>
      </w:pPr>
      <w:r w:rsidRPr="00896D4F">
        <w:t>kritik mot en gymnasieskola för bristfälliga åtgärder med avseende på en elevs fortsatta skolgång m.m. 01/02:373</w:t>
      </w:r>
    </w:p>
    <w:p w:rsidR="009C1C5A" w:rsidRPr="00896D4F" w:rsidRDefault="009C1C5A">
      <w:pPr>
        <w:pStyle w:val="PunktlistaTankstreck"/>
      </w:pPr>
      <w:r w:rsidRPr="00896D4F">
        <w:t>kritik mot en gymnasieskola för avstängning av en elev inom kommunal vuxenutbildning m.m. 02/03:366</w:t>
      </w:r>
    </w:p>
    <w:p w:rsidR="009C1C5A" w:rsidRPr="00896D4F" w:rsidRDefault="009C1C5A">
      <w:pPr>
        <w:pStyle w:val="PunktlistaTankstreck"/>
      </w:pPr>
      <w:r w:rsidRPr="00896D4F">
        <w:t>handläggningen av ett elevvårdsärende i en gymnasieskola. Fråga om eleven varit avstängd från praktikplats och om utformningen av skrivelser till el</w:t>
      </w:r>
      <w:r w:rsidRPr="00896D4F">
        <w:t>e</w:t>
      </w:r>
      <w:r w:rsidRPr="00896D4F">
        <w:t>ven 02/03:373</w:t>
      </w:r>
    </w:p>
    <w:p w:rsidR="009C1C5A" w:rsidRPr="00896D4F" w:rsidRDefault="009C1C5A">
      <w:pPr>
        <w:pStyle w:val="PunktlistaTankstreck"/>
      </w:pPr>
      <w:r w:rsidRPr="00896D4F">
        <w:t>fråga om en elev kunde tas emot i en grundskola efter framställning från endast en av barnets båda vårdnadshavare 02/03:362</w:t>
      </w:r>
    </w:p>
    <w:p w:rsidR="009C1C5A" w:rsidRPr="00896D4F" w:rsidRDefault="009C1C5A">
      <w:pPr>
        <w:pStyle w:val="Rubrik4"/>
        <w:tabs>
          <w:tab w:val="clear" w:pos="1474"/>
          <w:tab w:val="clear" w:pos="1985"/>
          <w:tab w:val="clear" w:pos="2268"/>
          <w:tab w:val="clear" w:pos="2552"/>
          <w:tab w:val="clear" w:pos="2835"/>
        </w:tabs>
      </w:pPr>
      <w:r w:rsidRPr="00896D4F">
        <w:t>Studiemedel</w:t>
      </w:r>
    </w:p>
    <w:p w:rsidR="009C1C5A" w:rsidRPr="00896D4F" w:rsidRDefault="009C1C5A">
      <w:pPr>
        <w:pStyle w:val="PunktlistaTankstreck"/>
      </w:pPr>
      <w:r w:rsidRPr="00896D4F">
        <w:t>handläggningen av ett återkravsärende; bl.a. fråga om Centrala studi</w:t>
      </w:r>
      <w:r w:rsidRPr="00896D4F">
        <w:t>e</w:t>
      </w:r>
      <w:r w:rsidRPr="00896D4F">
        <w:t>stöds</w:t>
      </w:r>
      <w:r w:rsidRPr="00896D4F">
        <w:softHyphen/>
        <w:t>nämn</w:t>
      </w:r>
      <w:r w:rsidRPr="00896D4F">
        <w:softHyphen/>
        <w:t>den (CSN) varit förhindrad att ompröva ett beslut innan Rege</w:t>
      </w:r>
      <w:r w:rsidRPr="00896D4F">
        <w:t>r</w:t>
      </w:r>
      <w:r w:rsidRPr="00896D4F">
        <w:t>ing</w:t>
      </w:r>
      <w:r w:rsidRPr="00896D4F">
        <w:t>s</w:t>
      </w:r>
      <w:r w:rsidRPr="00896D4F">
        <w:t>rätten prövat en begäran om rättsprövning av beslutet 02/03:377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Utlänning</w:t>
      </w:r>
    </w:p>
    <w:p w:rsidR="009C1C5A" w:rsidRPr="00896D4F" w:rsidRDefault="009C1C5A">
      <w:pPr>
        <w:pStyle w:val="PunktlistaTankstreck"/>
      </w:pPr>
      <w:r w:rsidRPr="00896D4F">
        <w:t>fråga om myndighets skyldighet att låta översätta en på utländskt språk författad överklagand</w:t>
      </w:r>
      <w:r w:rsidRPr="00896D4F">
        <w:t>e</w:t>
      </w:r>
      <w:r w:rsidRPr="00896D4F">
        <w:t>skrift till svenska 99/00:216</w:t>
      </w:r>
    </w:p>
    <w:p w:rsidR="009C1C5A" w:rsidRPr="00896D4F" w:rsidRDefault="009C1C5A">
      <w:pPr>
        <w:pStyle w:val="PunktlistaTankstreck"/>
      </w:pPr>
      <w:r w:rsidRPr="00896D4F">
        <w:t>Statens invandrarverks handläggning av ärenden om dagersättning enligt lagen (1994:137) om mottagande av asylsökande m.fl. – Fråga om tid</w:t>
      </w:r>
      <w:r w:rsidRPr="00896D4F">
        <w:softHyphen/>
        <w:t>punkt för utbetalning av ersättningen 99/00:211</w:t>
      </w:r>
    </w:p>
    <w:p w:rsidR="009C1C5A" w:rsidRPr="00896D4F" w:rsidRDefault="009C1C5A">
      <w:pPr>
        <w:pStyle w:val="PunktlistaTankstreck"/>
      </w:pPr>
      <w:r w:rsidRPr="00896D4F">
        <w:t>fråga om skyldighet för en svensk ambassad att ta emot asylansökningar och sända dem vidare till behörig beslutsfattare 00/01:256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Utredning</w:t>
      </w:r>
    </w:p>
    <w:p w:rsidR="009C1C5A" w:rsidRPr="00896D4F" w:rsidRDefault="009C1C5A">
      <w:pPr>
        <w:pStyle w:val="PunktlistaTankstreck"/>
      </w:pPr>
      <w:r w:rsidRPr="00896D4F">
        <w:t>kommunicering i ett ärende om återkallelse av serveringstillstånd. Fristen för yttrande över ett mindre tillskott till utredningen 01/02:167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Verkställighet</w:t>
      </w:r>
    </w:p>
    <w:p w:rsidR="009C1C5A" w:rsidRPr="00896D4F" w:rsidRDefault="009C1C5A">
      <w:pPr>
        <w:pStyle w:val="PunktlistaTankstreck"/>
      </w:pPr>
      <w:r w:rsidRPr="00896D4F">
        <w:t>kritik mot en arbetslö</w:t>
      </w:r>
      <w:r w:rsidRPr="00896D4F">
        <w:t>s</w:t>
      </w:r>
      <w:r w:rsidRPr="00896D4F">
        <w:t>hetskassa för utebliven verkställighet av en läns</w:t>
      </w:r>
      <w:r w:rsidRPr="00896D4F">
        <w:softHyphen/>
        <w:t>rättsdom 00/01:252</w:t>
      </w:r>
    </w:p>
    <w:p w:rsidR="009C1C5A" w:rsidRPr="00896D4F" w:rsidRDefault="009C1C5A">
      <w:pPr>
        <w:pStyle w:val="PunktlistaTankstreck"/>
      </w:pPr>
      <w:r w:rsidRPr="00896D4F">
        <w:t>kritik mot Statens jordbruksverk för att ha verkställt ett beslut om destru</w:t>
      </w:r>
      <w:r w:rsidRPr="00896D4F">
        <w:t>k</w:t>
      </w:r>
      <w:r w:rsidRPr="00896D4F">
        <w:t>tion av nötkreatur innan det delgetts djurägaren 02/03:344</w:t>
      </w:r>
    </w:p>
    <w:p w:rsidR="009C1C5A" w:rsidRPr="00896D4F" w:rsidRDefault="009C1C5A">
      <w:pPr>
        <w:pStyle w:val="PunktlistaTankstreck"/>
      </w:pPr>
      <w:r w:rsidRPr="00896D4F">
        <w:t>Post- och telestyrelsen sökte vid indrivning av en fordran verkställighet av en icke lagakraftvunnen, senare upphävd, dom utan att ånyo kräva beta</w:t>
      </w:r>
      <w:r w:rsidRPr="00896D4F">
        <w:t>l</w:t>
      </w:r>
      <w:r w:rsidRPr="00896D4F">
        <w:t>ning, vilket ledde till registrering för betalningsförsummelse (betalning</w:t>
      </w:r>
      <w:r w:rsidRPr="00896D4F">
        <w:t>s</w:t>
      </w:r>
      <w:r w:rsidRPr="00896D4F">
        <w:t>anmärkning). Förfarandet har prövats enligt såväl regler om utsökning och personlig integritet som en allmän proportionalitetsprincip 02/03:385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Videofilmning</w:t>
      </w:r>
    </w:p>
    <w:p w:rsidR="009C1C5A" w:rsidRPr="00896D4F" w:rsidRDefault="009C1C5A">
      <w:pPr>
        <w:pStyle w:val="PunktlistaTankstreck"/>
      </w:pPr>
      <w:r w:rsidRPr="00896D4F">
        <w:t>uttalanden om lagligheten av att under en förundersökning i hemlighet vide</w:t>
      </w:r>
      <w:r w:rsidRPr="00896D4F">
        <w:t>o</w:t>
      </w:r>
      <w:r w:rsidRPr="00896D4F">
        <w:t>filma en person som var intagen i häkte 99/00:91</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Villkor</w:t>
      </w:r>
    </w:p>
    <w:p w:rsidR="009C1C5A" w:rsidRPr="00896D4F" w:rsidRDefault="009C1C5A">
      <w:pPr>
        <w:pStyle w:val="PunktlistaTankstreck"/>
      </w:pPr>
      <w:r w:rsidRPr="00896D4F">
        <w:t>utrymmet för villkor i beslut om lov enligt plan- och bygglagen (1987:10, PBL) 02/03:397</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Vittnesförhör</w:t>
      </w:r>
    </w:p>
    <w:p w:rsidR="009C1C5A" w:rsidRPr="00896D4F" w:rsidRDefault="009C1C5A">
      <w:pPr>
        <w:pStyle w:val="PunktlistaTankstreck"/>
      </w:pPr>
      <w:r w:rsidRPr="00896D4F">
        <w:t>detaljerat återgivande i dom av vittnesförhör när muntlig förhandling hå</w:t>
      </w:r>
      <w:r w:rsidRPr="00896D4F">
        <w:t>l</w:t>
      </w:r>
      <w:r w:rsidRPr="00896D4F">
        <w:t>lits inom stängda dörrar 99/00:175</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Vårdnadshavare</w:t>
      </w:r>
    </w:p>
    <w:p w:rsidR="009C1C5A" w:rsidRPr="00896D4F" w:rsidRDefault="009C1C5A">
      <w:pPr>
        <w:pStyle w:val="PunktlistaTankstreck"/>
      </w:pPr>
      <w:r w:rsidRPr="00896D4F">
        <w:t>hur skall en begäran om omplacering av barn i förskolan hanteras om e</w:t>
      </w:r>
      <w:r w:rsidRPr="00896D4F">
        <w:t>n</w:t>
      </w:r>
      <w:r w:rsidRPr="00896D4F">
        <w:t>dast en av vårdnadshavarna står bakom framställningen om byte av för</w:t>
      </w:r>
      <w:r w:rsidRPr="00896D4F">
        <w:softHyphen/>
        <w:t>skola 99/00:283</w:t>
      </w:r>
    </w:p>
    <w:p w:rsidR="009C1C5A" w:rsidRPr="00896D4F" w:rsidRDefault="009C1C5A">
      <w:pPr>
        <w:pStyle w:val="PunktlistaTankstreck"/>
      </w:pPr>
      <w:r w:rsidRPr="00896D4F">
        <w:t xml:space="preserve">kritik mot psykologenhet för genomförande av ett s.k. begåvningstest av ett barn utan att ha inhämtat tillstånd därtill från båda vårdnadshavarna 00/01:472 </w:t>
      </w:r>
    </w:p>
    <w:p w:rsidR="009C1C5A" w:rsidRPr="00896D4F" w:rsidRDefault="009C1C5A">
      <w:pPr>
        <w:pStyle w:val="PunktlistaTankstreck"/>
      </w:pPr>
      <w:r w:rsidRPr="00896D4F">
        <w:t>fråga om en elev kunde tas emot i en grundskola efter framställning från endast en av barnets båda vårdnadshavare 02/03:362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Vårdnadsmål</w:t>
      </w:r>
    </w:p>
    <w:p w:rsidR="009C1C5A" w:rsidRPr="00896D4F" w:rsidRDefault="009C1C5A">
      <w:pPr>
        <w:pStyle w:val="PunktlistaTankstreck"/>
        <w:rPr>
          <w:b/>
        </w:rPr>
      </w:pPr>
      <w:r w:rsidRPr="00896D4F">
        <w:t>polisbefäls instruktioner till underlydande polismän i samband med ett ingripande föranlett av en vårdnadstvist; även fråga om polismännens upp</w:t>
      </w:r>
      <w:r w:rsidRPr="00896D4F">
        <w:softHyphen/>
        <w:t>trädande på platsen för i</w:t>
      </w:r>
      <w:r w:rsidRPr="00896D4F">
        <w:t>n</w:t>
      </w:r>
      <w:r w:rsidRPr="00896D4F">
        <w:t>gripandet 99/00:135</w:t>
      </w:r>
    </w:p>
    <w:p w:rsidR="009C1C5A" w:rsidRPr="00896D4F" w:rsidRDefault="009C1C5A">
      <w:pPr>
        <w:pStyle w:val="PunktlistaTankstreck"/>
      </w:pPr>
      <w:r w:rsidRPr="00896D4F">
        <w:t>om en vårdnadsutredning blir fördröjd måste utredaren självmant under</w:t>
      </w:r>
      <w:r w:rsidRPr="00896D4F">
        <w:softHyphen/>
        <w:t>rätta tingsrätten om detta 99/00:280</w:t>
      </w:r>
    </w:p>
    <w:p w:rsidR="009C1C5A" w:rsidRPr="00896D4F" w:rsidRDefault="009C1C5A">
      <w:pPr>
        <w:pStyle w:val="PunktlistaTankstreck"/>
      </w:pPr>
      <w:r w:rsidRPr="00896D4F">
        <w:t>fråga om socialnämnds möjlighet att ändra ett beslut enligt 37 § SoL om att efterge den enskildes ersättningsskyldighet för vistelse på behan</w:t>
      </w:r>
      <w:r w:rsidRPr="00896D4F">
        <w:t>d</w:t>
      </w:r>
      <w:r w:rsidRPr="00896D4F">
        <w:t>lings</w:t>
      </w:r>
      <w:r w:rsidRPr="00896D4F">
        <w:softHyphen/>
        <w:t>hem 99/00:231</w:t>
      </w:r>
    </w:p>
    <w:p w:rsidR="009C1C5A" w:rsidRPr="00896D4F" w:rsidRDefault="009C1C5A">
      <w:pPr>
        <w:pStyle w:val="PunktlistaTankstreck"/>
        <w:rPr>
          <w:caps/>
        </w:rPr>
      </w:pPr>
      <w:r w:rsidRPr="00896D4F">
        <w:t>en länsrätt handlade ett mål angående verkställighet av en dom rörande umgängesrätt. Fråga om en tjänsteman vid en socialförvaltning självmant ägt rätt att tillskriva länsrätten och ge uttryck för sin up</w:t>
      </w:r>
      <w:r w:rsidRPr="00896D4F">
        <w:t>p</w:t>
      </w:r>
      <w:r w:rsidRPr="00896D4F">
        <w:t>fattning i um</w:t>
      </w:r>
      <w:r w:rsidRPr="00896D4F">
        <w:softHyphen/>
        <w:t>gängesfrågan 00/01:325</w:t>
      </w:r>
    </w:p>
    <w:p w:rsidR="009C1C5A" w:rsidRPr="00896D4F" w:rsidRDefault="009C1C5A">
      <w:pPr>
        <w:pStyle w:val="PunktlistaTankstreck"/>
        <w:rPr>
          <w:caps/>
        </w:rPr>
      </w:pPr>
      <w:r w:rsidRPr="00896D4F">
        <w:t>en tingsrätt handlade ett mål angående umgänge med barn. – Fråga om lämpligheten av att två tjänstemän vid en socialförvaltning, som svarat för s.k. samarbetssamtal mellan föräldrarna, i en skrivelse till en av för</w:t>
      </w:r>
      <w:r w:rsidRPr="00896D4F">
        <w:softHyphen/>
        <w:t xml:space="preserve">äldrarnas ombud i målet uttalade sin uppfattning i umgängesfrågan 00/01:329 </w:t>
      </w:r>
    </w:p>
    <w:p w:rsidR="009C1C5A" w:rsidRPr="00896D4F" w:rsidRDefault="009C1C5A">
      <w:pPr>
        <w:pStyle w:val="PunktlistaTankstreck"/>
        <w:rPr>
          <w:caps/>
          <w:sz w:val="24"/>
        </w:rPr>
      </w:pPr>
      <w:r w:rsidRPr="00896D4F">
        <w:t>fråga om rätt till partsinsyn under handläggningen av en vårdnadsutredning 00/01:317</w:t>
      </w:r>
    </w:p>
    <w:p w:rsidR="009C1C5A" w:rsidRPr="00896D4F" w:rsidRDefault="009C1C5A">
      <w:pPr>
        <w:pStyle w:val="PunktlistaTankstreck"/>
      </w:pPr>
      <w:r w:rsidRPr="00896D4F">
        <w:t>fråga om socialnämnds möjlighet att godkänna ett avtal angående vårdnad, boende eller umgänge när saken är föremål för prövning av domstol 01/02:275</w:t>
      </w:r>
    </w:p>
    <w:p w:rsidR="009C1C5A" w:rsidRPr="00896D4F" w:rsidRDefault="009C1C5A">
      <w:pPr>
        <w:pStyle w:val="PunktlistaTankstreck"/>
        <w:rPr>
          <w:caps/>
          <w:sz w:val="24"/>
        </w:rPr>
      </w:pPr>
      <w:r w:rsidRPr="00896D4F">
        <w:t>I samband med en tvist angående vårdnad om barn anordnade socialfö</w:t>
      </w:r>
      <w:r w:rsidRPr="00896D4F">
        <w:t>r</w:t>
      </w:r>
      <w:r w:rsidRPr="00896D4F">
        <w:t>valtningen s.k. samarbetssamtal. Fråga om den som hade lett samtalen kunde lämna synpunkter på vårdnadsfrågan i en skrivelse till domstolen efter en begäran av den ena parten 01/02:282</w:t>
      </w:r>
    </w:p>
    <w:p w:rsidR="009C1C5A" w:rsidRPr="00896D4F" w:rsidRDefault="009C1C5A">
      <w:pPr>
        <w:pStyle w:val="PunktlistaTankstreck"/>
        <w:rPr>
          <w:caps/>
          <w:sz w:val="24"/>
        </w:rPr>
      </w:pPr>
      <w:r w:rsidRPr="00896D4F">
        <w:t>handläggningen av ett mål om vårdnad av barn m.m. 02/03:40</w:t>
      </w:r>
    </w:p>
    <w:p w:rsidR="009C1C5A" w:rsidRPr="00896D4F" w:rsidRDefault="009C1C5A">
      <w:pPr>
        <w:pStyle w:val="PunktlistaTankstreck"/>
        <w:rPr>
          <w:caps/>
          <w:sz w:val="24"/>
        </w:rPr>
      </w:pPr>
      <w:r w:rsidRPr="00896D4F">
        <w:t>fråga om en socialnämnds handläggning när domstol förordnat att en fö</w:t>
      </w:r>
      <w:r w:rsidRPr="00896D4F">
        <w:t>r</w:t>
      </w:r>
      <w:r w:rsidRPr="00896D4F">
        <w:t>älders umgänge med barn skall utövas i närvaro av en kontaktperson som utses av socialnäm</w:t>
      </w:r>
      <w:r w:rsidRPr="00896D4F">
        <w:t>n</w:t>
      </w:r>
      <w:r w:rsidRPr="00896D4F">
        <w:t>den 02/03:252</w:t>
      </w:r>
    </w:p>
    <w:p w:rsidR="009C1C5A" w:rsidRPr="00896D4F" w:rsidRDefault="009C1C5A">
      <w:pPr>
        <w:pStyle w:val="PunktlistaTankstreck"/>
        <w:rPr>
          <w:caps/>
          <w:sz w:val="24"/>
        </w:rPr>
      </w:pPr>
      <w:r w:rsidRPr="00896D4F">
        <w:t>fråga om två avtal angående umgänge med barn var utformade så att soc</w:t>
      </w:r>
      <w:r w:rsidRPr="00896D4F">
        <w:t>i</w:t>
      </w:r>
      <w:r w:rsidRPr="00896D4F">
        <w:t>alnämnden bort godkä</w:t>
      </w:r>
      <w:r w:rsidRPr="00896D4F">
        <w:t>n</w:t>
      </w:r>
      <w:r w:rsidRPr="00896D4F">
        <w:t xml:space="preserve">na dem 02/03:283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Yttrandefrihet</w:t>
      </w:r>
    </w:p>
    <w:p w:rsidR="009C1C5A" w:rsidRPr="00896D4F" w:rsidRDefault="009C1C5A">
      <w:pPr>
        <w:pStyle w:val="PunktlistaTankstreck"/>
      </w:pPr>
      <w:r w:rsidRPr="00896D4F">
        <w:t>fråga huruvida polischef kränkt en underställd tjänstemans grundlags</w:t>
      </w:r>
      <w:r w:rsidRPr="00896D4F">
        <w:softHyphen/>
        <w:t xml:space="preserve">skyddade yttrandefrihet 99/00:130 </w:t>
      </w:r>
    </w:p>
    <w:p w:rsidR="009C1C5A" w:rsidRPr="00896D4F" w:rsidRDefault="009C1C5A">
      <w:pPr>
        <w:pStyle w:val="PunktlistaTankstreck"/>
      </w:pPr>
      <w:r w:rsidRPr="00896D4F">
        <w:t>kritik mot ordförande i gymnasienämnd för åtgärder som denne vidtagit mot nämndsekreterare för uttalanden i lokalpressen 99/00:424</w:t>
      </w:r>
    </w:p>
    <w:p w:rsidR="009C1C5A" w:rsidRPr="00896D4F" w:rsidRDefault="009C1C5A">
      <w:pPr>
        <w:pStyle w:val="PunktlistaTankstreck"/>
      </w:pPr>
      <w:r w:rsidRPr="00896D4F">
        <w:t>tjänstemän vid en förvaltning har i ett diskussionsunderlag, skrivet på förvaltningens papper, framfört vissa åsikter. Diskussionsunderlaget har, utan förvaltningens kännedom, överlämnats av tjänstemännen till ett stat</w:t>
      </w:r>
      <w:r w:rsidRPr="00896D4F">
        <w:t>s</w:t>
      </w:r>
      <w:r w:rsidRPr="00896D4F">
        <w:t>råd och även delats ut till</w:t>
      </w:r>
      <w:r w:rsidRPr="00896D4F">
        <w:rPr>
          <w:rFonts w:ascii="Garamond" w:hAnsi="Garamond"/>
        </w:rPr>
        <w:t xml:space="preserve"> </w:t>
      </w:r>
      <w:r w:rsidRPr="00896D4F">
        <w:t>deltagare vid en konferens. Kritik har riktats mot chefen för förvaltningen avseende de åtgärder som vidtagits mot tjänst</w:t>
      </w:r>
      <w:r w:rsidRPr="00896D4F">
        <w:t>e</w:t>
      </w:r>
      <w:r w:rsidRPr="00896D4F">
        <w:t>männen i anledning av det inträffade 99/00:429</w:t>
      </w:r>
    </w:p>
    <w:p w:rsidR="009C1C5A" w:rsidRPr="00896D4F" w:rsidRDefault="009C1C5A">
      <w:pPr>
        <w:pStyle w:val="PunktlistaTankstreck"/>
      </w:pPr>
      <w:r w:rsidRPr="00896D4F">
        <w:t>ifrågasatt inskränkning av yttrandefriheten för chef i Försvarsmakten 00/01:575</w:t>
      </w:r>
    </w:p>
    <w:p w:rsidR="009C1C5A" w:rsidRPr="00896D4F" w:rsidRDefault="009C1C5A">
      <w:pPr>
        <w:pStyle w:val="PunktlistaTankstreck"/>
      </w:pPr>
      <w:r w:rsidRPr="00896D4F">
        <w:t>förvaltningschef har utfärdat riktlinjer rörande lärares och elevers konta</w:t>
      </w:r>
      <w:r w:rsidRPr="00896D4F">
        <w:t>k</w:t>
      </w:r>
      <w:r w:rsidRPr="00896D4F">
        <w:t>ter med massmedia. – Fråga om förvaltningschefen härigenom kränkt den e</w:t>
      </w:r>
      <w:r w:rsidRPr="00896D4F">
        <w:t>n</w:t>
      </w:r>
      <w:r w:rsidRPr="00896D4F">
        <w:t xml:space="preserve">skildes meddelar- och yttrandefrihet 00/01:581 </w:t>
      </w:r>
    </w:p>
    <w:p w:rsidR="009C1C5A" w:rsidRPr="00896D4F" w:rsidRDefault="009C1C5A">
      <w:pPr>
        <w:pStyle w:val="PunktlistaTankstreck"/>
      </w:pPr>
      <w:r w:rsidRPr="00896D4F">
        <w:t>fråga huruvida kommu</w:t>
      </w:r>
      <w:r w:rsidRPr="00896D4F">
        <w:t>n</w:t>
      </w:r>
      <w:r w:rsidRPr="00896D4F">
        <w:t>anställdas yttrandefrihet kränkts genom bl.a. ut</w:t>
      </w:r>
      <w:r w:rsidRPr="00896D4F">
        <w:softHyphen/>
        <w:t>talanden av företrädare för en kommun om krav på lojalitet mot arbets</w:t>
      </w:r>
      <w:r w:rsidRPr="00896D4F">
        <w:softHyphen/>
        <w:t xml:space="preserve">givaren 00/01:544 </w:t>
      </w:r>
    </w:p>
    <w:p w:rsidR="009C1C5A" w:rsidRPr="00896D4F" w:rsidRDefault="009C1C5A">
      <w:pPr>
        <w:pStyle w:val="PunktlistaTankstreck"/>
      </w:pPr>
      <w:r w:rsidRPr="00896D4F">
        <w:t>åtal mot en tjänsteman för brott mot efterforskningsförbudet i 2 kap. 4 och 5 §§ yttrandefrihet</w:t>
      </w:r>
      <w:r w:rsidRPr="00896D4F">
        <w:t>s</w:t>
      </w:r>
      <w:r w:rsidRPr="00896D4F">
        <w:t>grundlagen 00/01:542</w:t>
      </w:r>
    </w:p>
    <w:p w:rsidR="009C1C5A" w:rsidRPr="00896D4F" w:rsidRDefault="009C1C5A">
      <w:pPr>
        <w:pStyle w:val="PunktlistaTankstreck"/>
      </w:pPr>
      <w:r w:rsidRPr="00896D4F">
        <w:t>fråga om uppmaning till en studentrepresentant i en tjänsteförslagsnämnd att inte röja uppgifter rörande sakkunnigutlåtanden i ett ärende innan just</w:t>
      </w:r>
      <w:r w:rsidRPr="00896D4F">
        <w:t>e</w:t>
      </w:r>
      <w:r w:rsidRPr="00896D4F">
        <w:t>rat protokoll från nämndens sammanträde före</w:t>
      </w:r>
      <w:r w:rsidRPr="00896D4F">
        <w:softHyphen/>
        <w:t>låg stått i strid med den i 2 kap. 1 § regeringsformen (RF) tillförsäkrade yttran</w:t>
      </w:r>
      <w:r w:rsidRPr="00896D4F">
        <w:softHyphen/>
        <w:t>defriheten 01/02:447</w:t>
      </w:r>
    </w:p>
    <w:p w:rsidR="009C1C5A" w:rsidRPr="00896D4F" w:rsidRDefault="009C1C5A">
      <w:pPr>
        <w:pStyle w:val="PunktlistaTankstreck"/>
      </w:pPr>
      <w:r w:rsidRPr="00896D4F">
        <w:t>kritik mot en kommun som kränkt en anställds yttrandefrihet genom en erinran mot henne för att hon uttalat sig inför utomstående om förhålla</w:t>
      </w:r>
      <w:r w:rsidRPr="00896D4F">
        <w:t>n</w:t>
      </w:r>
      <w:r w:rsidRPr="00896D4F">
        <w:t>den på arbetsplatsen 01/02:455</w:t>
      </w:r>
    </w:p>
    <w:p w:rsidR="009C1C5A" w:rsidRPr="00896D4F" w:rsidRDefault="009C1C5A">
      <w:pPr>
        <w:pStyle w:val="PunktlistaTankstreck"/>
      </w:pPr>
      <w:r w:rsidRPr="00896D4F">
        <w:t>fråga om en barnomsorgschef  genom bl.a. olika uttalanden kränkt de a</w:t>
      </w:r>
      <w:r w:rsidRPr="00896D4F">
        <w:t>n</w:t>
      </w:r>
      <w:r w:rsidRPr="00896D4F">
        <w:t>stäl</w:t>
      </w:r>
      <w:r w:rsidRPr="00896D4F">
        <w:t>l</w:t>
      </w:r>
      <w:r w:rsidRPr="00896D4F">
        <w:t>das yttrande</w:t>
      </w:r>
      <w:r w:rsidRPr="00896D4F">
        <w:softHyphen/>
        <w:t>frihet 02/03:470</w:t>
      </w:r>
    </w:p>
    <w:p w:rsidR="009C1C5A" w:rsidRPr="00896D4F" w:rsidRDefault="009C1C5A">
      <w:pPr>
        <w:pStyle w:val="PunktlistaTankstreck"/>
      </w:pPr>
      <w:r w:rsidRPr="00896D4F">
        <w:t>fråga om ett uttalande av en ledamot av en socialnämnd utgjort kränkning av tjänstemans yttrande- och meddelarfrihet m.m. 02/03:455</w:t>
      </w:r>
    </w:p>
    <w:p w:rsidR="009C1C5A" w:rsidRPr="00896D4F" w:rsidRDefault="009C1C5A">
      <w:pPr>
        <w:pStyle w:val="PunktlistaTankstreck"/>
      </w:pPr>
      <w:r w:rsidRPr="00896D4F">
        <w:t>fråga om vissa tjänstemän vid en barn-, kultur- och utbildningsnämnd kränkt anställdas meddelar- och yttrandefrihet m.m. 02/03:479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Åklagare</w:t>
      </w:r>
    </w:p>
    <w:p w:rsidR="009C1C5A" w:rsidRPr="00896D4F" w:rsidRDefault="009C1C5A">
      <w:pPr>
        <w:pStyle w:val="PunktlistaTankstreck"/>
      </w:pPr>
      <w:r w:rsidRPr="00896D4F">
        <w:t>frågan om ett häktningsbeslut borde ha hävts när åtalet kom att avse andra brott än de som låg till grund för häktningen 99/00:32</w:t>
      </w:r>
    </w:p>
    <w:p w:rsidR="009C1C5A" w:rsidRPr="00896D4F" w:rsidRDefault="009C1C5A">
      <w:pPr>
        <w:pStyle w:val="PunktlistaTankstreck"/>
      </w:pPr>
      <w:r w:rsidRPr="00896D4F">
        <w:t>uttalanden om vilka rutiner som bör tillämpas när det gäller hand</w:t>
      </w:r>
      <w:r w:rsidRPr="00896D4F">
        <w:softHyphen/>
        <w:t>läggningen av yttranden enligt 22 § lagen (1991:1129) om rättspsykiatrisk vård 99/00:74</w:t>
      </w:r>
    </w:p>
    <w:p w:rsidR="009C1C5A" w:rsidRPr="00896D4F" w:rsidRDefault="009C1C5A">
      <w:pPr>
        <w:pStyle w:val="PunktlistaTankstreck"/>
      </w:pPr>
      <w:r w:rsidRPr="00896D4F">
        <w:t>beslut om rättsmedicinsk obduktion kan fattas utan att förundersökning har inletts; uttalanden om möjligheten att inhämta yttranden från en myndighet under en s.k. förutredning dvs. utan att förundersökning har inletts 99/00:85</w:t>
      </w:r>
    </w:p>
    <w:p w:rsidR="009C1C5A" w:rsidRPr="00896D4F" w:rsidRDefault="009C1C5A">
      <w:pPr>
        <w:pStyle w:val="PunktlistaTankstreck"/>
      </w:pPr>
      <w:r w:rsidRPr="00896D4F">
        <w:t>uttalanden om lagligheten av att under en förundersökning i hemlighet vide</w:t>
      </w:r>
      <w:r w:rsidRPr="00896D4F">
        <w:t>o</w:t>
      </w:r>
      <w:r w:rsidRPr="00896D4F">
        <w:t>filma en person som var intagen i häkte 99/00:91</w:t>
      </w:r>
    </w:p>
    <w:p w:rsidR="009C1C5A" w:rsidRPr="00896D4F" w:rsidRDefault="009C1C5A">
      <w:pPr>
        <w:pStyle w:val="PunktlistaTankstreck"/>
      </w:pPr>
      <w:r w:rsidRPr="00896D4F">
        <w:t>kritik mot en åklagare för att denne inte omgående tog ställning till om förundersökning skulle inledas i ett ärende om påstådd misshandel och tjänstefel 99/00:122</w:t>
      </w:r>
    </w:p>
    <w:p w:rsidR="009C1C5A" w:rsidRPr="00896D4F" w:rsidRDefault="009C1C5A">
      <w:pPr>
        <w:pStyle w:val="PunktlistaTankstreck"/>
      </w:pPr>
      <w:r w:rsidRPr="00896D4F">
        <w:t>handläggningen av framställningar om utredningsåtgärder efter det att en brottmålsdom vunnit laga kraft 00/01:69</w:t>
      </w:r>
    </w:p>
    <w:p w:rsidR="009C1C5A" w:rsidRPr="00896D4F" w:rsidRDefault="009C1C5A">
      <w:pPr>
        <w:pStyle w:val="PunktlistaTankstreck"/>
      </w:pPr>
      <w:r w:rsidRPr="00896D4F">
        <w:t>åklagares handläggning av en förundersökning om misshandel där måls</w:t>
      </w:r>
      <w:r w:rsidRPr="00896D4F">
        <w:softHyphen/>
        <w:t>äganden pekat ut en poli</w:t>
      </w:r>
      <w:r w:rsidRPr="00896D4F">
        <w:t>s</w:t>
      </w:r>
      <w:r w:rsidRPr="00896D4F">
        <w:t>man som gärningsman 00/01:100</w:t>
      </w:r>
    </w:p>
    <w:p w:rsidR="009C1C5A" w:rsidRPr="00896D4F" w:rsidRDefault="009C1C5A">
      <w:pPr>
        <w:pStyle w:val="PunktlistaTankstreck"/>
      </w:pPr>
      <w:r w:rsidRPr="00896D4F">
        <w:t>uttalanden om principerna för fördelningen inom en åklagarmyndighet av anmälningar mot poli</w:t>
      </w:r>
      <w:r w:rsidRPr="00896D4F">
        <w:t>s</w:t>
      </w:r>
      <w:r w:rsidRPr="00896D4F">
        <w:t>män 00/01:106</w:t>
      </w:r>
    </w:p>
    <w:p w:rsidR="009C1C5A" w:rsidRPr="00896D4F" w:rsidRDefault="009C1C5A">
      <w:pPr>
        <w:pStyle w:val="PunktlistaTankstreck"/>
      </w:pPr>
      <w:r w:rsidRPr="00896D4F">
        <w:t>fråga om tillämpningen av bestämmelserna i 20 kap. 5 § brottsbalken vid prövning av om förundersökning skulle inledas med anledning av en p</w:t>
      </w:r>
      <w:r w:rsidRPr="00896D4F">
        <w:t>o</w:t>
      </w:r>
      <w:r w:rsidRPr="00896D4F">
        <w:t>lis</w:t>
      </w:r>
      <w:r w:rsidRPr="00896D4F">
        <w:softHyphen/>
        <w:t>anmälan om förolämpning i vilken det påstods att gärningen inträffat i samband med utövningen av anställningen vid en polismyndighet 00/01:184</w:t>
      </w:r>
    </w:p>
    <w:p w:rsidR="009C1C5A" w:rsidRPr="00896D4F" w:rsidRDefault="009C1C5A">
      <w:pPr>
        <w:pStyle w:val="PunktlistaTankstreck"/>
      </w:pPr>
      <w:r w:rsidRPr="00896D4F">
        <w:t>handläggningen hos överåklagare av en anmälan mot en kammaråklagare för försummelser i tjänsten 00/01:197</w:t>
      </w:r>
    </w:p>
    <w:p w:rsidR="009C1C5A" w:rsidRPr="00896D4F" w:rsidRDefault="009C1C5A">
      <w:pPr>
        <w:pStyle w:val="PunktlistaTankstreck"/>
      </w:pPr>
      <w:r w:rsidRPr="00896D4F">
        <w:t>skrivelse till Justitiedepartementet med synpunkter med anledning av iakttagelser gjorda under inspektioner vid vissa av polisens internutre</w:t>
      </w:r>
      <w:r w:rsidRPr="00896D4F">
        <w:t>d</w:t>
      </w:r>
      <w:r w:rsidRPr="00896D4F">
        <w:t>ningse</w:t>
      </w:r>
      <w:r w:rsidRPr="00896D4F">
        <w:t>n</w:t>
      </w:r>
      <w:r w:rsidRPr="00896D4F">
        <w:t>heter m.m. 00/01:204</w:t>
      </w:r>
    </w:p>
    <w:p w:rsidR="009C1C5A" w:rsidRPr="00896D4F" w:rsidRDefault="009C1C5A">
      <w:pPr>
        <w:pStyle w:val="PunktlistaTankstreck"/>
      </w:pPr>
      <w:r w:rsidRPr="00896D4F">
        <w:t>en polismyndighets handläggning av en mordutredning med barn inbla</w:t>
      </w:r>
      <w:r w:rsidRPr="00896D4F">
        <w:t>n</w:t>
      </w:r>
      <w:r w:rsidRPr="00896D4F">
        <w:t>dade 01/02:51</w:t>
      </w:r>
    </w:p>
    <w:p w:rsidR="009C1C5A" w:rsidRPr="00896D4F" w:rsidRDefault="009C1C5A">
      <w:pPr>
        <w:pStyle w:val="PunktlistaTankstreck"/>
      </w:pPr>
      <w:r w:rsidRPr="00896D4F">
        <w:t>kritik mot en åklagare för bl.a. långsam handläggning av ungdomsärenden 01/02:70</w:t>
      </w:r>
    </w:p>
    <w:p w:rsidR="009C1C5A" w:rsidRPr="00896D4F" w:rsidRDefault="009C1C5A">
      <w:pPr>
        <w:pStyle w:val="PunktlistaTankstreck"/>
      </w:pPr>
      <w:r w:rsidRPr="00896D4F">
        <w:t>en åklagares beslut om personell husrannsakan för eftersökande av en för mord misstänkt person, trots att något annat tvångsmedelsbeslut inte des</w:t>
      </w:r>
      <w:r w:rsidRPr="00896D4F">
        <w:t>s</w:t>
      </w:r>
      <w:r w:rsidRPr="00896D4F">
        <w:t>förinnan hade fattats beträffande den efte</w:t>
      </w:r>
      <w:r w:rsidRPr="00896D4F">
        <w:t>r</w:t>
      </w:r>
      <w:r w:rsidRPr="00896D4F">
        <w:t>sökte 01/02:113</w:t>
      </w:r>
    </w:p>
    <w:p w:rsidR="009C1C5A" w:rsidRPr="00896D4F" w:rsidRDefault="009C1C5A">
      <w:pPr>
        <w:pStyle w:val="PunktlistaTankstreck"/>
      </w:pPr>
      <w:r w:rsidRPr="00896D4F">
        <w:t>handläggningen hos Riksåklagaren av anmälningar som innehöll påståe</w:t>
      </w:r>
      <w:r w:rsidRPr="00896D4F">
        <w:t>n</w:t>
      </w:r>
      <w:r w:rsidRPr="00896D4F">
        <w:t>den att domare och åkl</w:t>
      </w:r>
      <w:r w:rsidRPr="00896D4F">
        <w:t>a</w:t>
      </w:r>
      <w:r w:rsidRPr="00896D4F">
        <w:t>gare gjort sig skyldiga till brott 01/02:120</w:t>
      </w:r>
    </w:p>
    <w:p w:rsidR="009C1C5A" w:rsidRPr="00896D4F" w:rsidRDefault="009C1C5A">
      <w:pPr>
        <w:pStyle w:val="PunktlistaTankstreck"/>
      </w:pPr>
      <w:r w:rsidRPr="00896D4F">
        <w:t>fråga om verkan av en överenskommelse mellan en polismyndighet och en åklagarmyndighet innebärande att underrättelser om att åklagare beslutat att inte inleda förundersökning skall expedieras genom polismyndighetens försorg m.m. 01/02:132</w:t>
      </w:r>
    </w:p>
    <w:p w:rsidR="009C1C5A" w:rsidRPr="00896D4F" w:rsidRDefault="009C1C5A">
      <w:pPr>
        <w:pStyle w:val="PunktlistaTankstreck"/>
      </w:pPr>
      <w:r w:rsidRPr="00896D4F">
        <w:t>en åklagare har dömts för tjänstefel för att utan laglig grund ha begärt att ett bankkonto skulle spärras 02/03:60</w:t>
      </w:r>
    </w:p>
    <w:p w:rsidR="009C1C5A" w:rsidRPr="00896D4F" w:rsidRDefault="009C1C5A">
      <w:pPr>
        <w:pStyle w:val="PunktlistaTankstreck"/>
      </w:pPr>
      <w:r w:rsidRPr="00896D4F">
        <w:t>handläggningen av förundersökningar efter det att åklagares ställningst</w:t>
      </w:r>
      <w:r w:rsidRPr="00896D4F">
        <w:t>a</w:t>
      </w:r>
      <w:r w:rsidRPr="00896D4F">
        <w:t>gande varit föremål för överprövning m.m. 02/03:107</w:t>
      </w:r>
    </w:p>
    <w:p w:rsidR="009C1C5A" w:rsidRPr="00896D4F" w:rsidRDefault="009C1C5A">
      <w:pPr>
        <w:pStyle w:val="PunktlistaTankstreck"/>
      </w:pPr>
      <w:r w:rsidRPr="00896D4F">
        <w:t>Riksåklagarens han</w:t>
      </w:r>
      <w:r w:rsidRPr="00896D4F">
        <w:t>d</w:t>
      </w:r>
      <w:r w:rsidRPr="00896D4F">
        <w:t>läggning av det s.k. Osmo Vallo-fallet 02/03:116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Åtal</w:t>
      </w:r>
    </w:p>
    <w:p w:rsidR="009C1C5A" w:rsidRPr="00896D4F" w:rsidRDefault="009C1C5A">
      <w:pPr>
        <w:pStyle w:val="PunktlistaTankstreck"/>
      </w:pPr>
      <w:r w:rsidRPr="00896D4F">
        <w:t>frågan om ett häktningsbeslut borde ha hävts när åtalet kom att avse andra brott än de som låg till grund för häktningen 99/00:32</w:t>
      </w:r>
    </w:p>
    <w:p w:rsidR="009C1C5A" w:rsidRPr="00896D4F" w:rsidRDefault="009C1C5A">
      <w:pPr>
        <w:pStyle w:val="PunktlistaTankstreck"/>
      </w:pPr>
      <w:r w:rsidRPr="00896D4F">
        <w:t>åtal mot en domare med anledning av hans handläggning av ett antal tvi</w:t>
      </w:r>
      <w:r w:rsidRPr="00896D4F">
        <w:t>s</w:t>
      </w:r>
      <w:r w:rsidRPr="00896D4F">
        <w:t>temål 00/01:34 + bilaga</w:t>
      </w:r>
    </w:p>
    <w:p w:rsidR="009C1C5A" w:rsidRPr="00896D4F" w:rsidRDefault="009C1C5A">
      <w:pPr>
        <w:pStyle w:val="PunktlistaTankstreck"/>
      </w:pPr>
      <w:r w:rsidRPr="00896D4F">
        <w:t>åtal mot en tjänsteman för brott mot efterforskningsförbudet i 2 kap. 4 och 5 §§ yttrandefrihet</w:t>
      </w:r>
      <w:r w:rsidRPr="00896D4F">
        <w:t>s</w:t>
      </w:r>
      <w:r w:rsidRPr="00896D4F">
        <w:t>grundlagen 00/01:542</w:t>
      </w:r>
    </w:p>
    <w:p w:rsidR="009C1C5A" w:rsidRPr="00896D4F" w:rsidRDefault="009C1C5A">
      <w:pPr>
        <w:pStyle w:val="PunktlistaTankstreck"/>
      </w:pPr>
      <w:r w:rsidRPr="00896D4F">
        <w:t>en åklagare har dömts för tjänstefel för att utan laglig grund ha begärt att ett bankkonto skulle spärras 02/03:60</w:t>
      </w:r>
    </w:p>
    <w:p w:rsidR="009C1C5A" w:rsidRPr="00896D4F" w:rsidRDefault="009C1C5A">
      <w:pPr>
        <w:pStyle w:val="PunktlistaTankstreck"/>
      </w:pPr>
      <w:r w:rsidRPr="00896D4F">
        <w:t xml:space="preserve">ett åtal mot en rådman för tjänstefel bestående i att han i tre fall inte haft kanslidomar färdigställda på utsatta tider har ogillats med hänvisning till att gärningarna fick anses vara ringa 02/03:34 </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Åtalsanmälan</w:t>
      </w:r>
    </w:p>
    <w:p w:rsidR="009C1C5A" w:rsidRPr="00896D4F" w:rsidRDefault="009C1C5A">
      <w:pPr>
        <w:pStyle w:val="PunktlistaTankstreck"/>
      </w:pPr>
      <w:r w:rsidRPr="00896D4F">
        <w:t>anmälan till åklagare för brott mot det inom strandskyddsområde gällande nybyggnadsförbudet: Utrymmet för bedömning av gärningens allvar och av uppsåt m.m. Brottets beteckning e</w:t>
      </w:r>
      <w:r w:rsidRPr="00896D4F">
        <w:t>n</w:t>
      </w:r>
      <w:r w:rsidRPr="00896D4F">
        <w:t>ligt miljöbalken 01/02:359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Överförmyndare, överförmyndarnämnder</w:t>
      </w:r>
    </w:p>
    <w:p w:rsidR="009C1C5A" w:rsidRPr="00896D4F" w:rsidRDefault="009C1C5A">
      <w:pPr>
        <w:pStyle w:val="PunktlistaTankstreck"/>
      </w:pPr>
      <w:r w:rsidRPr="00896D4F">
        <w:t xml:space="preserve">kritik mot en överförmyndarnämnd för underlåtenhet att underrätta den underårige om beslut om arvode till förmyndare 99/00:368 </w:t>
      </w:r>
    </w:p>
    <w:p w:rsidR="009C1C5A" w:rsidRPr="00896D4F" w:rsidRDefault="009C1C5A">
      <w:pPr>
        <w:pStyle w:val="PunktlistaTankstreck"/>
      </w:pPr>
      <w:r w:rsidRPr="00896D4F">
        <w:t>kritik mot länsstyrelse för brister i tillsynen över överförmyndare och över</w:t>
      </w:r>
      <w:r w:rsidRPr="00896D4F">
        <w:softHyphen/>
        <w:t xml:space="preserve">förmyndarnämnder 99/00:371 </w:t>
      </w:r>
    </w:p>
    <w:p w:rsidR="009C1C5A" w:rsidRPr="00896D4F" w:rsidRDefault="009C1C5A">
      <w:pPr>
        <w:pStyle w:val="PunktlistaTankstreck"/>
      </w:pPr>
      <w:r w:rsidRPr="00896D4F">
        <w:t>vissa iakttagelser och uttalanden med anknytning till förmynderskapslag</w:t>
      </w:r>
      <w:r w:rsidRPr="00896D4F">
        <w:softHyphen/>
        <w:t>stiftningen 00/01:496</w:t>
      </w:r>
    </w:p>
    <w:p w:rsidR="009C1C5A" w:rsidRPr="00896D4F" w:rsidRDefault="009C1C5A">
      <w:pPr>
        <w:pStyle w:val="PunktlistaTankstreck"/>
      </w:pPr>
      <w:r w:rsidRPr="00896D4F">
        <w:t>kritik mot en överförmyndare för underlåtenhet att kommunicera ett arvodesyrkande med död</w:t>
      </w:r>
      <w:r w:rsidRPr="00896D4F">
        <w:t>s</w:t>
      </w:r>
      <w:r w:rsidRPr="00896D4F">
        <w:t>bo m.m. 00/01:498</w:t>
      </w:r>
    </w:p>
    <w:p w:rsidR="009C1C5A" w:rsidRPr="00896D4F" w:rsidRDefault="009C1C5A">
      <w:pPr>
        <w:pStyle w:val="PunktlistaTankstreck"/>
      </w:pPr>
      <w:r w:rsidRPr="00896D4F">
        <w:t>fråga om en överförmy</w:t>
      </w:r>
      <w:r w:rsidRPr="00896D4F">
        <w:t>n</w:t>
      </w:r>
      <w:r w:rsidRPr="00896D4F">
        <w:t>dare varit jävig vid handläggningen av ett för</w:t>
      </w:r>
      <w:r w:rsidRPr="00896D4F">
        <w:softHyphen/>
        <w:t>valtarskapsärende 00/01:501</w:t>
      </w:r>
    </w:p>
    <w:p w:rsidR="009C1C5A" w:rsidRPr="00896D4F" w:rsidRDefault="009C1C5A">
      <w:pPr>
        <w:pStyle w:val="PunktlistaTankstreck"/>
      </w:pPr>
      <w:r w:rsidRPr="00896D4F">
        <w:t>kritik mot överförmyndare för handläggningen av en god mans begäran om försäljning av huvu</w:t>
      </w:r>
      <w:r w:rsidRPr="00896D4F">
        <w:t>d</w:t>
      </w:r>
      <w:r w:rsidRPr="00896D4F">
        <w:t>mannens fastighetsandel m.m. 00/01:504</w:t>
      </w:r>
    </w:p>
    <w:p w:rsidR="009C1C5A" w:rsidRPr="00896D4F" w:rsidRDefault="009C1C5A">
      <w:pPr>
        <w:pStyle w:val="PunktlistaTankstreck"/>
      </w:pPr>
      <w:r w:rsidRPr="00896D4F">
        <w:t>ett på JO:s initiativ upptaget ärende angående handläggningen av ett äre</w:t>
      </w:r>
      <w:r w:rsidRPr="00896D4F">
        <w:t>n</w:t>
      </w:r>
      <w:r w:rsidRPr="00896D4F">
        <w:t>de om godmanskap 00/01:506</w:t>
      </w:r>
    </w:p>
    <w:p w:rsidR="009C1C5A" w:rsidRPr="00896D4F" w:rsidRDefault="009C1C5A">
      <w:pPr>
        <w:pStyle w:val="PunktlistaTankstreck"/>
      </w:pPr>
      <w:r w:rsidRPr="00896D4F">
        <w:t>vissa iakttagelser och uttalanden med anknytning till förmynderskapsla</w:t>
      </w:r>
      <w:r w:rsidRPr="00896D4F">
        <w:t>g</w:t>
      </w:r>
      <w:r w:rsidRPr="00896D4F">
        <w:t>stif</w:t>
      </w:r>
      <w:r w:rsidRPr="00896D4F">
        <w:t>t</w:t>
      </w:r>
      <w:r w:rsidRPr="00896D4F">
        <w:t>ningen 01/02:411</w:t>
      </w:r>
    </w:p>
    <w:p w:rsidR="009C1C5A" w:rsidRPr="00896D4F" w:rsidRDefault="009C1C5A">
      <w:pPr>
        <w:pStyle w:val="PunktlistaTankstreck"/>
      </w:pPr>
      <w:r w:rsidRPr="00896D4F">
        <w:t>kritik mot överförmyndare för brister i handläggningen av ansökningar om godmanskap m.m. 01/02:412</w:t>
      </w:r>
    </w:p>
    <w:p w:rsidR="009C1C5A" w:rsidRPr="00896D4F" w:rsidRDefault="009C1C5A">
      <w:pPr>
        <w:pStyle w:val="PunktlistaTankstreck"/>
      </w:pPr>
      <w:r w:rsidRPr="00896D4F">
        <w:t>kritik mot överförmyndare för brister i handläggningen av ett ärende om godmanskap m.m. 02/03:403</w:t>
      </w:r>
    </w:p>
    <w:p w:rsidR="009C1C5A" w:rsidRPr="00896D4F" w:rsidRDefault="009C1C5A">
      <w:pPr>
        <w:pStyle w:val="PunktlistaTankstreck"/>
      </w:pPr>
      <w:r w:rsidRPr="00896D4F">
        <w:t>kritik mot en överförmyndare för handläggningen av ett ärende om go</w:t>
      </w:r>
      <w:r w:rsidRPr="00896D4F">
        <w:t>d</w:t>
      </w:r>
      <w:r w:rsidRPr="00896D4F">
        <w:t>manskap m.m. 02/03:409</w:t>
      </w:r>
    </w:p>
    <w:p w:rsidR="009C1C5A" w:rsidRPr="00896D4F" w:rsidRDefault="009C1C5A">
      <w:pPr>
        <w:pStyle w:val="PunktlistaTankstreck"/>
      </w:pPr>
      <w:r w:rsidRPr="00896D4F">
        <w:t>en överförmyndarnämnds handläggning av ärenden om god man och fö</w:t>
      </w:r>
      <w:r w:rsidRPr="00896D4F">
        <w:t>r</w:t>
      </w:r>
      <w:r w:rsidRPr="00896D4F">
        <w:t>valt</w:t>
      </w:r>
      <w:r w:rsidRPr="00896D4F">
        <w:t>a</w:t>
      </w:r>
      <w:r w:rsidRPr="00896D4F">
        <w:t>re 02/03:415</w:t>
      </w:r>
    </w:p>
    <w:p w:rsidR="009C1C5A" w:rsidRPr="00896D4F" w:rsidRDefault="009C1C5A">
      <w:pPr>
        <w:pStyle w:val="PunktlistaTankstreck"/>
      </w:pPr>
      <w:r w:rsidRPr="00896D4F">
        <w:t>kritik mot en överförmyndarnämnd för handläggningen av och tillsynen över ett ärende om godmanskap 02/03:417</w:t>
      </w:r>
    </w:p>
    <w:p w:rsidR="009C1C5A" w:rsidRPr="00896D4F" w:rsidRDefault="009C1C5A">
      <w:pPr>
        <w:pStyle w:val="PunktlistaTankstreck"/>
      </w:pPr>
      <w:r w:rsidRPr="00896D4F">
        <w:t>kritik mot en överförmyndarnämnd för brister i handläggningen av ett ärende om godmanskap 02/03:420</w:t>
      </w:r>
    </w:p>
    <w:p w:rsidR="009C1C5A" w:rsidRPr="00896D4F" w:rsidRDefault="009C1C5A">
      <w:pPr>
        <w:pStyle w:val="PunktlistaTankstreck"/>
      </w:pPr>
      <w:r w:rsidRPr="00896D4F">
        <w:t>kritik mot en överförmyndare för långsam handläggning av en begäran om byte av god man 02/03:421</w:t>
      </w:r>
    </w:p>
    <w:p w:rsidR="009C1C5A" w:rsidRPr="00896D4F" w:rsidRDefault="009C1C5A">
      <w:pPr>
        <w:pStyle w:val="PunktlistaTankstreck"/>
      </w:pPr>
      <w:r w:rsidRPr="00896D4F">
        <w:t>kritik mot en överförmyndarnämnd för dröjsmål med att överlämna öve</w:t>
      </w:r>
      <w:r w:rsidRPr="00896D4F">
        <w:t>r</w:t>
      </w:r>
      <w:r w:rsidRPr="00896D4F">
        <w:t>klaganden till tingsrä</w:t>
      </w:r>
      <w:r w:rsidRPr="00896D4F">
        <w:t>t</w:t>
      </w:r>
      <w:r w:rsidRPr="00896D4F">
        <w:t>ten 02/03:424</w:t>
      </w:r>
    </w:p>
    <w:p w:rsidR="009C1C5A" w:rsidRPr="00896D4F" w:rsidRDefault="009C1C5A">
      <w:pPr>
        <w:pStyle w:val="PunktlistaTankstreck"/>
      </w:pPr>
      <w:r w:rsidRPr="00896D4F">
        <w:t>kritik mot en överförmyndare för brister i handläggningen av ett ärende om godmanskap 02/03:426</w:t>
      </w:r>
    </w:p>
    <w:p w:rsidR="009C1C5A" w:rsidRPr="00896D4F" w:rsidRDefault="009C1C5A">
      <w:pPr>
        <w:pStyle w:val="PunktlistaTankstreck"/>
      </w:pPr>
      <w:r w:rsidRPr="00896D4F">
        <w:t>kritik mot en överförmyndare för brister i handläggningen av ett ärende om godmanskap 02/03:430</w:t>
      </w:r>
    </w:p>
    <w:p w:rsidR="009C1C5A" w:rsidRPr="00896D4F" w:rsidRDefault="009C1C5A">
      <w:pPr>
        <w:pStyle w:val="PunktlistaTankstreck"/>
      </w:pPr>
      <w:r w:rsidRPr="00896D4F">
        <w:t>kritik mot en överförmyndare för handläggningen av ett godmansärende 02/03:432</w:t>
      </w:r>
    </w:p>
    <w:p w:rsidR="009C1C5A" w:rsidRPr="00896D4F" w:rsidRDefault="009C1C5A">
      <w:pPr>
        <w:pStyle w:val="PunktlistaTankstreck"/>
      </w:pPr>
      <w:r w:rsidRPr="00896D4F">
        <w:t>kritik mot en överförmyndare för brister i handläggningen av ett godman</w:t>
      </w:r>
      <w:r w:rsidRPr="00896D4F">
        <w:t>s</w:t>
      </w:r>
      <w:r w:rsidRPr="00896D4F">
        <w:t>ärende 02/03:436</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Överklagande</w:t>
      </w:r>
    </w:p>
    <w:p w:rsidR="009C1C5A" w:rsidRPr="00896D4F" w:rsidRDefault="009C1C5A">
      <w:pPr>
        <w:pStyle w:val="PunktlistaTankstreck"/>
      </w:pPr>
      <w:r w:rsidRPr="00896D4F">
        <w:t>fråga om en länsrätt bort ta upp en viss skrivelse som ett över</w:t>
      </w:r>
      <w:r w:rsidRPr="00896D4F">
        <w:softHyphen/>
        <w:t>klagande 99/00:188</w:t>
      </w:r>
    </w:p>
    <w:p w:rsidR="009C1C5A" w:rsidRPr="00896D4F" w:rsidRDefault="009C1C5A">
      <w:pPr>
        <w:pStyle w:val="PunktlistaTankstreck"/>
      </w:pPr>
      <w:r w:rsidRPr="00896D4F">
        <w:t>fråga om myndighets skyldighet att låta översätta en på utländskt språk författad överklagand</w:t>
      </w:r>
      <w:r w:rsidRPr="00896D4F">
        <w:t>e</w:t>
      </w:r>
      <w:r w:rsidRPr="00896D4F">
        <w:t xml:space="preserve">skrift till svenska 99/00:216 </w:t>
      </w:r>
    </w:p>
    <w:p w:rsidR="009C1C5A" w:rsidRPr="00896D4F" w:rsidRDefault="009C1C5A">
      <w:pPr>
        <w:pStyle w:val="PunktlistaTankstreck"/>
      </w:pPr>
      <w:r w:rsidRPr="00896D4F">
        <w:t>kronofogdemyndighets hantering av ett överkl</w:t>
      </w:r>
      <w:r w:rsidRPr="00896D4F">
        <w:t>a</w:t>
      </w:r>
      <w:r w:rsidRPr="00896D4F">
        <w:t>gande 00/01:228</w:t>
      </w:r>
    </w:p>
    <w:p w:rsidR="009C1C5A" w:rsidRPr="00896D4F" w:rsidRDefault="009C1C5A">
      <w:pPr>
        <w:pStyle w:val="PunktlistaTankstreck"/>
      </w:pPr>
      <w:r w:rsidRPr="00896D4F">
        <w:t>kronofogdemyndighets dröjsmål med att översända ett överklagande till do</w:t>
      </w:r>
      <w:r w:rsidRPr="00896D4F">
        <w:t>m</w:t>
      </w:r>
      <w:r w:rsidRPr="00896D4F">
        <w:t>stol 00/01:229</w:t>
      </w:r>
    </w:p>
    <w:p w:rsidR="009C1C5A" w:rsidRPr="00896D4F" w:rsidRDefault="009C1C5A">
      <w:pPr>
        <w:pStyle w:val="PunktlistaTankstreck"/>
        <w:rPr>
          <w:b/>
        </w:rPr>
      </w:pPr>
      <w:r w:rsidRPr="00896D4F">
        <w:t>försäkringskassas underlåtenhet att vidarebefordra överklagande 00/01:411</w:t>
      </w:r>
    </w:p>
    <w:p w:rsidR="009C1C5A" w:rsidRPr="00896D4F" w:rsidRDefault="009C1C5A">
      <w:pPr>
        <w:pStyle w:val="PunktlistaTankstreck"/>
      </w:pPr>
      <w:r w:rsidRPr="00896D4F">
        <w:t>tiden för överklagande av förvaltningsbeslut 00/01:495</w:t>
      </w:r>
    </w:p>
    <w:p w:rsidR="009C1C5A" w:rsidRPr="00896D4F" w:rsidRDefault="009C1C5A">
      <w:pPr>
        <w:pStyle w:val="PunktlistaTankstreck"/>
      </w:pPr>
      <w:r w:rsidRPr="00896D4F">
        <w:t>en byggnadsnämnds hantering av ett överklagande som getts in innan beslutet meddelats 02/03:396</w:t>
      </w:r>
    </w:p>
    <w:p w:rsidR="009C1C5A" w:rsidRPr="00896D4F" w:rsidRDefault="009C1C5A">
      <w:pPr>
        <w:pStyle w:val="PunktlistaTankstreck"/>
      </w:pPr>
      <w:r w:rsidRPr="00896D4F">
        <w:t>en miljö- och samhällsbyggnadsnämnd har dröjt med att översända ett överklagande till länsstyrelsen 02/03:359</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Överlämnande av förvaltningsuppgift till enskilda</w:t>
      </w:r>
    </w:p>
    <w:p w:rsidR="009C1C5A" w:rsidRPr="00896D4F" w:rsidRDefault="009C1C5A">
      <w:pPr>
        <w:pStyle w:val="PunktlistaTankstreck"/>
      </w:pPr>
      <w:r w:rsidRPr="00896D4F">
        <w:t>en kommunal myndighets rätt att till enskilda överlämna förvaltningsup</w:t>
      </w:r>
      <w:r w:rsidRPr="00896D4F">
        <w:t>p</w:t>
      </w:r>
      <w:r w:rsidRPr="00896D4F">
        <w:t>gifter: att på gator anordna farthinder och sätta upp vägmärken härom 02/03:440</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Överlämnande av myndighetsutövning</w:t>
      </w:r>
    </w:p>
    <w:p w:rsidR="009C1C5A" w:rsidRPr="00896D4F" w:rsidRDefault="009C1C5A">
      <w:pPr>
        <w:pStyle w:val="PunktlistaTankstreck"/>
      </w:pPr>
      <w:r w:rsidRPr="00896D4F">
        <w:t>fråga huruvida en länsstyrelse överlämnat förvaltningsuppgifter som inne</w:t>
      </w:r>
      <w:r w:rsidRPr="00896D4F">
        <w:softHyphen/>
        <w:t>fattar myndighetsutövning till en jägarorganisation 00/01:269</w:t>
      </w:r>
    </w:p>
    <w:p w:rsidR="009C1C5A" w:rsidRPr="00896D4F" w:rsidRDefault="009C1C5A">
      <w:pPr>
        <w:pStyle w:val="PunktlistaTankstreck"/>
      </w:pPr>
      <w:r w:rsidRPr="00896D4F">
        <w:t>på JO:s initiativ upptagen fråga om huruvida vissa arbetslöshetskassor överlämnat uppgifter som innefattar myndighetsutövning till fackförbund 01/02:187</w:t>
      </w:r>
    </w:p>
    <w:p w:rsidR="009C1C5A" w:rsidRPr="00896D4F" w:rsidRDefault="009C1C5A">
      <w:pPr>
        <w:pStyle w:val="PunktlistaTankstreck"/>
      </w:pPr>
      <w:r w:rsidRPr="00896D4F">
        <w:t>en kommunal nämnd har uppdragit åt en advokat att biträda kommunen i ett ärende rörande inrättande av en allmän vattenanläggning. Bl.a. fråga om de uppgifter som överlämnats till advokaten innefattar myndighets</w:t>
      </w:r>
      <w:r w:rsidRPr="00896D4F">
        <w:softHyphen/>
        <w:t>utövning 02/03:352</w:t>
      </w:r>
    </w:p>
    <w:p w:rsidR="009C1C5A" w:rsidRPr="00896D4F" w:rsidRDefault="009C1C5A">
      <w:pPr>
        <w:pStyle w:val="Rubrik3"/>
        <w:tabs>
          <w:tab w:val="clear" w:pos="284"/>
          <w:tab w:val="clear" w:pos="624"/>
          <w:tab w:val="clear" w:pos="1021"/>
          <w:tab w:val="clear" w:pos="1474"/>
          <w:tab w:val="clear" w:pos="1985"/>
          <w:tab w:val="clear" w:pos="2268"/>
          <w:tab w:val="clear" w:pos="2552"/>
          <w:tab w:val="clear" w:pos="2835"/>
        </w:tabs>
      </w:pPr>
      <w:r w:rsidRPr="00896D4F">
        <w:t>Överprövning</w:t>
      </w:r>
    </w:p>
    <w:p w:rsidR="009C1C5A" w:rsidRPr="00896D4F" w:rsidRDefault="009C1C5A">
      <w:pPr>
        <w:pStyle w:val="PunktlistaTankstreck"/>
      </w:pPr>
      <w:r w:rsidRPr="00896D4F">
        <w:t>handläggningen av förundersökningar efter det att åklagares ställningsta</w:t>
      </w:r>
      <w:r w:rsidRPr="00896D4F">
        <w:softHyphen/>
        <w:t>gande varit föremål för överprövning m.m. 02/03:107</w:t>
      </w:r>
    </w:p>
    <w:p w:rsidR="009C1C5A" w:rsidRPr="00896D4F" w:rsidRDefault="009C1C5A">
      <w:pPr>
        <w:pStyle w:val="Normaltindrag"/>
        <w:sectPr w:rsidR="00000000" w:rsidRPr="00896D4F">
          <w:headerReference w:type="even" r:id="rId27"/>
          <w:headerReference w:type="default" r:id="rId28"/>
          <w:pgSz w:w="11906" w:h="16838" w:code="9"/>
          <w:pgMar w:top="3969" w:right="4649" w:bottom="1106" w:left="1304" w:header="57" w:footer="57" w:gutter="0"/>
          <w:cols w:space="720"/>
        </w:sectPr>
      </w:pPr>
    </w:p>
    <w:p w:rsidR="009C1C5A" w:rsidRPr="00896D4F" w:rsidRDefault="009C1C5A">
      <w:pPr>
        <w:pStyle w:val="Rubrik1"/>
        <w:spacing w:before="0"/>
      </w:pPr>
      <w:r w:rsidRPr="00896D4F">
        <w:t>The Swedish Parliamentary Ombudsmen</w:t>
      </w:r>
    </w:p>
    <w:p w:rsidR="009C1C5A" w:rsidRPr="00896D4F" w:rsidRDefault="009C1C5A">
      <w:pPr>
        <w:pStyle w:val="Rubrik2"/>
      </w:pPr>
      <w:r w:rsidRPr="00896D4F">
        <w:t>Report for the period 1 July 2001 to 30 June 2002</w:t>
      </w:r>
    </w:p>
    <w:p w:rsidR="009C1C5A" w:rsidRPr="00896D4F" w:rsidRDefault="009C1C5A">
      <w:r w:rsidRPr="00896D4F">
        <w:t>During the period covered by the report, the following have held office as Parliamentary Ombudsmen: Mr. Claes Eklundh, who is Chief Parliamentary Ombudsman, Mr. Jan Pennlöv, Mrs. Kerstin André and Mr. Nils-Olof Ber</w:t>
      </w:r>
      <w:r w:rsidRPr="00896D4F">
        <w:t>g</w:t>
      </w:r>
      <w:r w:rsidRPr="00896D4F">
        <w:t xml:space="preserve">gren. The Deputy Ombudsmen Mrs. Gunnel Norell Söderblom and Mr. Leif Ekberg have handled and decided cases of supervision during a number of shorter periods.  </w:t>
      </w:r>
    </w:p>
    <w:p w:rsidR="009C1C5A" w:rsidRPr="00896D4F" w:rsidRDefault="009C1C5A">
      <w:pPr>
        <w:pStyle w:val="Normaltindrag"/>
      </w:pPr>
      <w:r w:rsidRPr="00896D4F">
        <w:t>Mr. Eklundh has supervised the courts of law, the public prosecution se</w:t>
      </w:r>
      <w:r w:rsidRPr="00896D4F">
        <w:t>r</w:t>
      </w:r>
      <w:r w:rsidRPr="00896D4F">
        <w:t>vice and the police, while Mr. Pennlöv has dealt with matters concerning the prisons, the armed forces, taxation, customs, the execution of judgements, social insurance and chief guardians. Mrs. André has supervised the fields of social welfare, public health and medical care and education. Mr. Berggren, finally, has been responsible for the supervision of the administrative courts, building and construction, immigration, administration of foreign affairs, environmental protection, farming and protection o</w:t>
      </w:r>
      <w:r w:rsidRPr="00896D4F">
        <w:t>f animals, labour market, and all additional aspects of civil administration not supervised by any other Parli</w:t>
      </w:r>
      <w:r w:rsidRPr="00896D4F">
        <w:t>a</w:t>
      </w:r>
      <w:r w:rsidRPr="00896D4F">
        <w:t>mentary Ombudsman.</w:t>
      </w:r>
    </w:p>
    <w:p w:rsidR="009C1C5A" w:rsidRPr="00896D4F" w:rsidRDefault="009C1C5A">
      <w:pPr>
        <w:pStyle w:val="Normaltindrag"/>
      </w:pPr>
      <w:r w:rsidRPr="00896D4F">
        <w:t>During the year, 4 574 new cases were registered with the Ombudsmen; 4 463 of them were complaints and other cases received (a decrease by 48 compared to the number of cases received during the previous year) and 111 were cases initiated by the Ombudsmen themselves on the basis of observ</w:t>
      </w:r>
      <w:r w:rsidRPr="00896D4F">
        <w:t>a</w:t>
      </w:r>
      <w:r w:rsidRPr="00896D4F">
        <w:t>tions made during inspections, of newspaper re</w:t>
      </w:r>
      <w:r w:rsidRPr="00896D4F">
        <w:t>p</w:t>
      </w:r>
      <w:r w:rsidRPr="00896D4F">
        <w:t>orts or on other grounds.</w:t>
      </w:r>
    </w:p>
    <w:p w:rsidR="009C1C5A" w:rsidRPr="00896D4F" w:rsidRDefault="009C1C5A">
      <w:pPr>
        <w:pStyle w:val="Normaltindrag"/>
      </w:pPr>
      <w:r w:rsidRPr="00896D4F">
        <w:t>4 588 cases were concluded during the period; out of them 4 467 were complaint cases and other cases received, whereas 121 were cases initiated by the Ombudsmen themselves. It should be noted that the schedules overleaf show cases concluded during the period, not all c</w:t>
      </w:r>
      <w:r w:rsidRPr="00896D4F">
        <w:t>a</w:t>
      </w:r>
      <w:r w:rsidRPr="00896D4F">
        <w:t>ses lodged.</w:t>
      </w:r>
    </w:p>
    <w:p w:rsidR="009C1C5A" w:rsidRPr="00896D4F" w:rsidRDefault="009C1C5A">
      <w:pPr>
        <w:pStyle w:val="Normaltindrag"/>
      </w:pPr>
      <w:r w:rsidRPr="00896D4F">
        <w:t>This summary also comprises full reports of some of the cases dealt with by the Ombudsmen during the period.</w:t>
      </w:r>
    </w:p>
    <w:p w:rsidR="009C1C5A" w:rsidRPr="00896D4F" w:rsidRDefault="009C1C5A">
      <w:pPr>
        <w:pStyle w:val="Rubrik4"/>
        <w:ind w:left="-1418"/>
      </w:pPr>
      <w:r w:rsidRPr="00896D4F">
        <w:br w:type="page"/>
        <w:t>Schedule of cases initiated by the Ombudsmen and concluded during the period 1 July 2001–30 June 2002</w:t>
      </w:r>
    </w:p>
    <w:tbl>
      <w:tblPr>
        <w:tblW w:w="0" w:type="auto"/>
        <w:tblInd w:w="-1418" w:type="dxa"/>
        <w:tblLayout w:type="fixed"/>
        <w:tblCellMar>
          <w:left w:w="70" w:type="dxa"/>
          <w:right w:w="70" w:type="dxa"/>
        </w:tblCellMar>
        <w:tblLook w:val="0000" w:firstRow="0" w:lastRow="0" w:firstColumn="0" w:lastColumn="0" w:noHBand="0" w:noVBand="0"/>
      </w:tblPr>
      <w:tblGrid>
        <w:gridCol w:w="2127"/>
        <w:gridCol w:w="992"/>
        <w:gridCol w:w="851"/>
        <w:gridCol w:w="851"/>
        <w:gridCol w:w="851"/>
        <w:gridCol w:w="992"/>
        <w:gridCol w:w="851"/>
      </w:tblGrid>
      <w:tr w:rsidR="00000000" w:rsidRPr="00896D4F">
        <w:tblPrEx>
          <w:tblCellMar>
            <w:top w:w="0" w:type="dxa"/>
            <w:bottom w:w="0" w:type="dxa"/>
          </w:tblCellMar>
        </w:tblPrEx>
        <w:tc>
          <w:tcPr>
            <w:tcW w:w="2127" w:type="dxa"/>
            <w:tcBorders>
              <w:top w:val="single" w:sz="4" w:space="0" w:color="auto"/>
            </w:tcBorders>
          </w:tcPr>
          <w:p w:rsidR="009C1C5A" w:rsidRPr="00896D4F" w:rsidRDefault="009C1C5A">
            <w:pPr>
              <w:spacing w:before="0" w:line="200" w:lineRule="exact"/>
              <w:jc w:val="left"/>
              <w:rPr>
                <w:sz w:val="18"/>
              </w:rPr>
            </w:pPr>
            <w:r w:rsidRPr="00896D4F">
              <w:rPr>
                <w:sz w:val="18"/>
              </w:rPr>
              <w:t xml:space="preserve">Activity concerned </w:t>
            </w:r>
          </w:p>
          <w:p w:rsidR="009C1C5A" w:rsidRPr="00896D4F" w:rsidRDefault="009C1C5A">
            <w:pPr>
              <w:spacing w:before="0" w:line="200" w:lineRule="exact"/>
              <w:ind w:right="-1"/>
              <w:jc w:val="left"/>
              <w:rPr>
                <w:sz w:val="18"/>
              </w:rPr>
            </w:pPr>
          </w:p>
          <w:p w:rsidR="009C1C5A" w:rsidRPr="00896D4F" w:rsidRDefault="009C1C5A">
            <w:pPr>
              <w:spacing w:before="0" w:line="200" w:lineRule="exact"/>
              <w:ind w:right="-1"/>
              <w:jc w:val="left"/>
              <w:rPr>
                <w:sz w:val="18"/>
              </w:rPr>
            </w:pPr>
          </w:p>
          <w:p w:rsidR="009C1C5A" w:rsidRPr="00896D4F" w:rsidRDefault="009C1C5A">
            <w:pPr>
              <w:spacing w:before="0" w:line="200" w:lineRule="exact"/>
              <w:ind w:right="-1"/>
              <w:jc w:val="left"/>
              <w:rPr>
                <w:sz w:val="18"/>
              </w:rPr>
            </w:pPr>
          </w:p>
        </w:tc>
        <w:tc>
          <w:tcPr>
            <w:tcW w:w="992" w:type="dxa"/>
            <w:tcBorders>
              <w:top w:val="single" w:sz="4" w:space="0" w:color="auto"/>
            </w:tcBorders>
          </w:tcPr>
          <w:p w:rsidR="009C1C5A" w:rsidRPr="00896D4F" w:rsidRDefault="009C1C5A">
            <w:pPr>
              <w:spacing w:before="0" w:line="200" w:lineRule="exact"/>
              <w:ind w:right="-1"/>
              <w:jc w:val="left"/>
              <w:rPr>
                <w:sz w:val="18"/>
              </w:rPr>
            </w:pPr>
            <w:r w:rsidRPr="00896D4F">
              <w:t xml:space="preserve">Closed without final </w:t>
            </w:r>
            <w:r w:rsidRPr="00896D4F">
              <w:br/>
              <w:t>crit</w:t>
            </w:r>
            <w:r w:rsidRPr="00896D4F">
              <w:t>i</w:t>
            </w:r>
            <w:r w:rsidRPr="00896D4F">
              <w:t>cism</w:t>
            </w:r>
          </w:p>
          <w:p w:rsidR="009C1C5A" w:rsidRPr="00896D4F" w:rsidRDefault="009C1C5A">
            <w:pPr>
              <w:spacing w:before="0" w:line="200" w:lineRule="exact"/>
              <w:ind w:right="-1"/>
              <w:rPr>
                <w:sz w:val="18"/>
              </w:rPr>
            </w:pPr>
          </w:p>
        </w:tc>
        <w:tc>
          <w:tcPr>
            <w:tcW w:w="851" w:type="dxa"/>
            <w:tcBorders>
              <w:top w:val="single" w:sz="4" w:space="0" w:color="auto"/>
            </w:tcBorders>
          </w:tcPr>
          <w:p w:rsidR="009C1C5A" w:rsidRPr="00896D4F" w:rsidRDefault="009C1C5A">
            <w:pPr>
              <w:spacing w:before="0" w:line="200" w:lineRule="exact"/>
              <w:ind w:right="-1"/>
              <w:jc w:val="left"/>
              <w:rPr>
                <w:sz w:val="18"/>
              </w:rPr>
            </w:pPr>
            <w:r w:rsidRPr="00896D4F">
              <w:rPr>
                <w:sz w:val="18"/>
              </w:rPr>
              <w:t>Admoni-tions or other crit</w:t>
            </w:r>
            <w:r w:rsidRPr="00896D4F">
              <w:rPr>
                <w:sz w:val="18"/>
              </w:rPr>
              <w:t>i</w:t>
            </w:r>
            <w:r w:rsidRPr="00896D4F">
              <w:rPr>
                <w:sz w:val="18"/>
              </w:rPr>
              <w:t>sism</w:t>
            </w:r>
          </w:p>
          <w:p w:rsidR="009C1C5A" w:rsidRPr="00896D4F" w:rsidRDefault="009C1C5A">
            <w:pPr>
              <w:spacing w:before="0" w:line="200" w:lineRule="exact"/>
              <w:ind w:right="-1"/>
              <w:rPr>
                <w:sz w:val="18"/>
              </w:rPr>
            </w:pPr>
          </w:p>
        </w:tc>
        <w:tc>
          <w:tcPr>
            <w:tcW w:w="851" w:type="dxa"/>
            <w:tcBorders>
              <w:top w:val="single" w:sz="4" w:space="0" w:color="auto"/>
            </w:tcBorders>
          </w:tcPr>
          <w:p w:rsidR="009C1C5A" w:rsidRPr="00896D4F" w:rsidRDefault="009C1C5A">
            <w:pPr>
              <w:spacing w:before="0" w:line="200" w:lineRule="exact"/>
              <w:ind w:right="-1"/>
              <w:jc w:val="left"/>
              <w:rPr>
                <w:sz w:val="18"/>
              </w:rPr>
            </w:pPr>
            <w:r w:rsidRPr="00896D4F">
              <w:rPr>
                <w:sz w:val="18"/>
              </w:rPr>
              <w:t>Prelim</w:t>
            </w:r>
            <w:r w:rsidRPr="00896D4F">
              <w:rPr>
                <w:sz w:val="18"/>
              </w:rPr>
              <w:t>i</w:t>
            </w:r>
            <w:r w:rsidRPr="00896D4F">
              <w:rPr>
                <w:sz w:val="18"/>
              </w:rPr>
              <w:t>nary criminal inves-tigation;</w:t>
            </w:r>
            <w:r w:rsidRPr="00896D4F">
              <w:rPr>
                <w:sz w:val="18"/>
              </w:rPr>
              <w:br/>
              <w:t>no prose-</w:t>
            </w:r>
            <w:r w:rsidRPr="00896D4F">
              <w:rPr>
                <w:sz w:val="18"/>
              </w:rPr>
              <w:br/>
              <w:t>cution</w:t>
            </w:r>
          </w:p>
        </w:tc>
        <w:tc>
          <w:tcPr>
            <w:tcW w:w="851" w:type="dxa"/>
            <w:tcBorders>
              <w:top w:val="single" w:sz="4" w:space="0" w:color="auto"/>
            </w:tcBorders>
          </w:tcPr>
          <w:p w:rsidR="009C1C5A" w:rsidRPr="00896D4F" w:rsidRDefault="009C1C5A">
            <w:pPr>
              <w:spacing w:before="0" w:line="200" w:lineRule="exact"/>
              <w:ind w:right="-1"/>
              <w:jc w:val="left"/>
              <w:rPr>
                <w:sz w:val="18"/>
              </w:rPr>
            </w:pPr>
            <w:r w:rsidRPr="00896D4F">
              <w:rPr>
                <w:sz w:val="18"/>
              </w:rPr>
              <w:t xml:space="preserve">Referred to other </w:t>
            </w:r>
            <w:r w:rsidRPr="00896D4F">
              <w:rPr>
                <w:sz w:val="18"/>
              </w:rPr>
              <w:br/>
              <w:t>agencies or state-</w:t>
            </w:r>
            <w:r w:rsidRPr="00896D4F">
              <w:rPr>
                <w:sz w:val="18"/>
              </w:rPr>
              <w:br/>
              <w:t>organs</w:t>
            </w:r>
          </w:p>
        </w:tc>
        <w:tc>
          <w:tcPr>
            <w:tcW w:w="992" w:type="dxa"/>
            <w:tcBorders>
              <w:top w:val="single" w:sz="4" w:space="0" w:color="auto"/>
            </w:tcBorders>
          </w:tcPr>
          <w:p w:rsidR="009C1C5A" w:rsidRPr="00896D4F" w:rsidRDefault="009C1C5A">
            <w:pPr>
              <w:spacing w:before="0" w:line="200" w:lineRule="exact"/>
              <w:ind w:right="-1"/>
              <w:jc w:val="left"/>
              <w:rPr>
                <w:sz w:val="18"/>
              </w:rPr>
            </w:pPr>
            <w:r w:rsidRPr="00896D4F">
              <w:rPr>
                <w:sz w:val="18"/>
              </w:rPr>
              <w:t>Proposal to Parlia-</w:t>
            </w:r>
            <w:r w:rsidRPr="00896D4F">
              <w:rPr>
                <w:sz w:val="18"/>
              </w:rPr>
              <w:br/>
              <w:t>ment or Gover</w:t>
            </w:r>
            <w:r w:rsidRPr="00896D4F">
              <w:rPr>
                <w:sz w:val="18"/>
              </w:rPr>
              <w:t>n</w:t>
            </w:r>
            <w:r w:rsidRPr="00896D4F">
              <w:rPr>
                <w:sz w:val="18"/>
              </w:rPr>
              <w:t>ment</w:t>
            </w:r>
          </w:p>
        </w:tc>
        <w:tc>
          <w:tcPr>
            <w:tcW w:w="851" w:type="dxa"/>
            <w:tcBorders>
              <w:top w:val="single" w:sz="4" w:space="0" w:color="auto"/>
              <w:bottom w:val="single" w:sz="6" w:space="0" w:color="auto"/>
            </w:tcBorders>
          </w:tcPr>
          <w:p w:rsidR="009C1C5A" w:rsidRPr="00896D4F" w:rsidRDefault="009C1C5A">
            <w:pPr>
              <w:spacing w:before="0" w:line="200" w:lineRule="exact"/>
              <w:ind w:right="-1"/>
              <w:jc w:val="left"/>
              <w:rPr>
                <w:sz w:val="18"/>
              </w:rPr>
            </w:pPr>
            <w:r w:rsidRPr="00896D4F">
              <w:rPr>
                <w:sz w:val="18"/>
              </w:rPr>
              <w:t>Total</w:t>
            </w:r>
          </w:p>
        </w:tc>
      </w:tr>
      <w:tr w:rsidR="00000000" w:rsidRPr="00896D4F">
        <w:tblPrEx>
          <w:tblCellMar>
            <w:top w:w="0" w:type="dxa"/>
            <w:bottom w:w="0" w:type="dxa"/>
          </w:tblCellMar>
        </w:tblPrEx>
        <w:tc>
          <w:tcPr>
            <w:tcW w:w="2127" w:type="dxa"/>
            <w:tcBorders>
              <w:top w:val="single" w:sz="6" w:space="0" w:color="auto"/>
            </w:tcBorders>
          </w:tcPr>
          <w:p w:rsidR="009C1C5A" w:rsidRPr="00896D4F" w:rsidRDefault="009C1C5A">
            <w:pPr>
              <w:ind w:right="-1"/>
              <w:jc w:val="left"/>
              <w:rPr>
                <w:sz w:val="18"/>
              </w:rPr>
            </w:pPr>
            <w:r w:rsidRPr="00896D4F">
              <w:rPr>
                <w:sz w:val="18"/>
              </w:rPr>
              <w:t>Courts</w:t>
            </w:r>
          </w:p>
        </w:tc>
        <w:tc>
          <w:tcPr>
            <w:tcW w:w="992" w:type="dxa"/>
            <w:tcBorders>
              <w:top w:val="single" w:sz="6" w:space="0" w:color="auto"/>
            </w:tcBorders>
          </w:tcPr>
          <w:p w:rsidR="009C1C5A" w:rsidRPr="00896D4F" w:rsidRDefault="009C1C5A">
            <w:pPr>
              <w:ind w:right="-1"/>
              <w:jc w:val="center"/>
              <w:rPr>
                <w:sz w:val="18"/>
              </w:rPr>
            </w:pPr>
            <w:r w:rsidRPr="00896D4F">
              <w:rPr>
                <w:sz w:val="18"/>
              </w:rPr>
              <w:t>–</w:t>
            </w:r>
          </w:p>
        </w:tc>
        <w:tc>
          <w:tcPr>
            <w:tcW w:w="851" w:type="dxa"/>
            <w:tcBorders>
              <w:top w:val="single" w:sz="6" w:space="0" w:color="auto"/>
            </w:tcBorders>
          </w:tcPr>
          <w:p w:rsidR="009C1C5A" w:rsidRPr="00896D4F" w:rsidRDefault="009C1C5A">
            <w:pPr>
              <w:ind w:right="-1"/>
              <w:jc w:val="center"/>
              <w:rPr>
                <w:sz w:val="18"/>
              </w:rPr>
            </w:pPr>
            <w:r w:rsidRPr="00896D4F">
              <w:rPr>
                <w:sz w:val="18"/>
              </w:rPr>
              <w:t>12</w:t>
            </w:r>
          </w:p>
        </w:tc>
        <w:tc>
          <w:tcPr>
            <w:tcW w:w="850" w:type="dxa"/>
            <w:tcBorders>
              <w:top w:val="single" w:sz="6" w:space="0" w:color="auto"/>
            </w:tcBorders>
          </w:tcPr>
          <w:p w:rsidR="009C1C5A" w:rsidRPr="00896D4F" w:rsidRDefault="009C1C5A">
            <w:pPr>
              <w:ind w:right="-1"/>
              <w:jc w:val="center"/>
              <w:rPr>
                <w:sz w:val="18"/>
              </w:rPr>
            </w:pPr>
            <w:r w:rsidRPr="00896D4F">
              <w:rPr>
                <w:sz w:val="18"/>
              </w:rPr>
              <w:t>–</w:t>
            </w:r>
          </w:p>
        </w:tc>
        <w:tc>
          <w:tcPr>
            <w:tcW w:w="851" w:type="dxa"/>
            <w:tcBorders>
              <w:top w:val="single" w:sz="6" w:space="0" w:color="auto"/>
            </w:tcBorders>
          </w:tcPr>
          <w:p w:rsidR="009C1C5A" w:rsidRPr="00896D4F" w:rsidRDefault="009C1C5A">
            <w:pPr>
              <w:ind w:right="-1"/>
              <w:jc w:val="center"/>
              <w:rPr>
                <w:sz w:val="18"/>
              </w:rPr>
            </w:pPr>
            <w:r w:rsidRPr="00896D4F">
              <w:rPr>
                <w:sz w:val="18"/>
              </w:rPr>
              <w:t>–</w:t>
            </w:r>
          </w:p>
        </w:tc>
        <w:tc>
          <w:tcPr>
            <w:tcW w:w="992" w:type="dxa"/>
            <w:tcBorders>
              <w:top w:val="single" w:sz="6" w:space="0" w:color="auto"/>
            </w:tcBorders>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12</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Public prosecutors</w:t>
            </w:r>
          </w:p>
        </w:tc>
        <w:tc>
          <w:tcPr>
            <w:tcW w:w="992" w:type="dxa"/>
          </w:tcPr>
          <w:p w:rsidR="009C1C5A" w:rsidRPr="00896D4F" w:rsidRDefault="009C1C5A">
            <w:pPr>
              <w:ind w:right="-1"/>
              <w:jc w:val="center"/>
              <w:rPr>
                <w:sz w:val="18"/>
              </w:rPr>
            </w:pPr>
            <w:r w:rsidRPr="00896D4F">
              <w:rPr>
                <w:sz w:val="18"/>
              </w:rPr>
              <w:t>1</w:t>
            </w:r>
          </w:p>
        </w:tc>
        <w:tc>
          <w:tcPr>
            <w:tcW w:w="851" w:type="dxa"/>
          </w:tcPr>
          <w:p w:rsidR="009C1C5A" w:rsidRPr="00896D4F" w:rsidRDefault="009C1C5A">
            <w:pPr>
              <w:ind w:right="-1"/>
              <w:jc w:val="center"/>
              <w:rPr>
                <w:sz w:val="18"/>
              </w:rPr>
            </w:pPr>
            <w:r w:rsidRPr="00896D4F">
              <w:rPr>
                <w:sz w:val="18"/>
              </w:rPr>
              <w:t>4</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2</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7</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Police authorities</w:t>
            </w:r>
          </w:p>
        </w:tc>
        <w:tc>
          <w:tcPr>
            <w:tcW w:w="992" w:type="dxa"/>
          </w:tcPr>
          <w:p w:rsidR="009C1C5A" w:rsidRPr="00896D4F" w:rsidRDefault="009C1C5A">
            <w:pPr>
              <w:ind w:right="-1"/>
              <w:jc w:val="center"/>
              <w:rPr>
                <w:sz w:val="18"/>
              </w:rPr>
            </w:pPr>
            <w:r w:rsidRPr="00896D4F">
              <w:rPr>
                <w:sz w:val="18"/>
              </w:rPr>
              <w:t>5</w:t>
            </w:r>
          </w:p>
        </w:tc>
        <w:tc>
          <w:tcPr>
            <w:tcW w:w="851" w:type="dxa"/>
          </w:tcPr>
          <w:p w:rsidR="009C1C5A" w:rsidRPr="00896D4F" w:rsidRDefault="009C1C5A">
            <w:pPr>
              <w:ind w:right="-1"/>
              <w:jc w:val="center"/>
              <w:rPr>
                <w:sz w:val="18"/>
              </w:rPr>
            </w:pPr>
            <w:r w:rsidRPr="00896D4F">
              <w:rPr>
                <w:sz w:val="18"/>
              </w:rPr>
              <w:t>11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17</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Armed forces</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3</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5</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Prison administration</w:t>
            </w:r>
          </w:p>
        </w:tc>
        <w:tc>
          <w:tcPr>
            <w:tcW w:w="992" w:type="dxa"/>
          </w:tcPr>
          <w:p w:rsidR="009C1C5A" w:rsidRPr="00896D4F" w:rsidRDefault="009C1C5A">
            <w:pPr>
              <w:ind w:right="-1"/>
              <w:jc w:val="center"/>
              <w:rPr>
                <w:sz w:val="18"/>
              </w:rPr>
            </w:pPr>
            <w:r w:rsidRPr="00896D4F">
              <w:rPr>
                <w:sz w:val="18"/>
              </w:rPr>
              <w:t>4</w:t>
            </w:r>
          </w:p>
        </w:tc>
        <w:tc>
          <w:tcPr>
            <w:tcW w:w="851" w:type="dxa"/>
          </w:tcPr>
          <w:p w:rsidR="009C1C5A" w:rsidRPr="00896D4F" w:rsidRDefault="009C1C5A">
            <w:pPr>
              <w:ind w:right="-1"/>
              <w:jc w:val="center"/>
              <w:rPr>
                <w:sz w:val="18"/>
              </w:rPr>
            </w:pPr>
            <w:r w:rsidRPr="00896D4F">
              <w:rPr>
                <w:sz w:val="18"/>
              </w:rPr>
              <w:t>7</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Social welfare</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3</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3</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Medical care</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Social insurance</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17</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17</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Labour market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Education, culture</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3</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Taxation, customs</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Environmental ma-nagement, public health, protection of an</w:t>
            </w:r>
            <w:r w:rsidRPr="00896D4F">
              <w:rPr>
                <w:sz w:val="18"/>
              </w:rPr>
              <w:t>i</w:t>
            </w:r>
            <w:r w:rsidRPr="00896D4F">
              <w:rPr>
                <w:sz w:val="18"/>
              </w:rPr>
              <w:t xml:space="preserve">mals </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13</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13</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Planning, construction</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4</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4</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Execution of judg</w:t>
            </w:r>
            <w:r w:rsidRPr="00896D4F">
              <w:rPr>
                <w:sz w:val="18"/>
              </w:rPr>
              <w:t>e</w:t>
            </w:r>
            <w:r w:rsidRPr="00896D4F">
              <w:rPr>
                <w:sz w:val="18"/>
              </w:rPr>
              <w:t>ments</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Communications</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Local government</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3</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Immigration</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2</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Central state authorities</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1</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3</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Chief guardians</w:t>
            </w:r>
          </w:p>
        </w:tc>
        <w:tc>
          <w:tcPr>
            <w:tcW w:w="992" w:type="dxa"/>
          </w:tcPr>
          <w:p w:rsidR="009C1C5A" w:rsidRPr="00896D4F" w:rsidRDefault="009C1C5A">
            <w:pPr>
              <w:ind w:right="-1"/>
              <w:jc w:val="center"/>
              <w:rPr>
                <w:sz w:val="18"/>
              </w:rPr>
            </w:pPr>
            <w:r w:rsidRPr="00896D4F">
              <w:rPr>
                <w:sz w:val="18"/>
              </w:rPr>
              <w:t>2</w:t>
            </w:r>
          </w:p>
        </w:tc>
        <w:tc>
          <w:tcPr>
            <w:tcW w:w="851" w:type="dxa"/>
          </w:tcPr>
          <w:p w:rsidR="009C1C5A" w:rsidRPr="00896D4F" w:rsidRDefault="009C1C5A">
            <w:pPr>
              <w:ind w:right="-1"/>
              <w:jc w:val="center"/>
              <w:rPr>
                <w:sz w:val="18"/>
              </w:rPr>
            </w:pPr>
            <w:r w:rsidRPr="00896D4F">
              <w:rPr>
                <w:sz w:val="18"/>
              </w:rPr>
              <w:t>10</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12</w:t>
            </w:r>
          </w:p>
        </w:tc>
      </w:tr>
      <w:tr w:rsidR="00000000" w:rsidRPr="00896D4F">
        <w:tblPrEx>
          <w:tblCellMar>
            <w:top w:w="0" w:type="dxa"/>
            <w:bottom w:w="0" w:type="dxa"/>
          </w:tblCellMar>
        </w:tblPrEx>
        <w:tc>
          <w:tcPr>
            <w:tcW w:w="2127" w:type="dxa"/>
          </w:tcPr>
          <w:p w:rsidR="009C1C5A" w:rsidRPr="00896D4F" w:rsidRDefault="009C1C5A">
            <w:pPr>
              <w:ind w:right="-1"/>
              <w:jc w:val="left"/>
              <w:rPr>
                <w:sz w:val="18"/>
              </w:rPr>
            </w:pPr>
            <w:r w:rsidRPr="00896D4F">
              <w:rPr>
                <w:sz w:val="18"/>
              </w:rPr>
              <w:t>Access to official doc</w:t>
            </w:r>
            <w:r w:rsidRPr="00896D4F">
              <w:rPr>
                <w:sz w:val="18"/>
              </w:rPr>
              <w:t>u</w:t>
            </w:r>
            <w:r w:rsidRPr="00896D4F">
              <w:rPr>
                <w:sz w:val="18"/>
              </w:rPr>
              <w:t>ments, Freedom of the press</w:t>
            </w:r>
          </w:p>
        </w:tc>
        <w:tc>
          <w:tcPr>
            <w:tcW w:w="992" w:type="dxa"/>
          </w:tcPr>
          <w:p w:rsidR="009C1C5A" w:rsidRPr="00896D4F" w:rsidRDefault="009C1C5A">
            <w:pPr>
              <w:ind w:right="-1"/>
              <w:jc w:val="center"/>
              <w:rPr>
                <w:sz w:val="18"/>
              </w:rPr>
            </w:pPr>
            <w:r w:rsidRPr="00896D4F">
              <w:rPr>
                <w:sz w:val="18"/>
              </w:rPr>
              <w:t>1</w:t>
            </w:r>
          </w:p>
        </w:tc>
        <w:tc>
          <w:tcPr>
            <w:tcW w:w="851" w:type="dxa"/>
          </w:tcPr>
          <w:p w:rsidR="009C1C5A" w:rsidRPr="00896D4F" w:rsidRDefault="009C1C5A">
            <w:pPr>
              <w:ind w:right="-1"/>
              <w:jc w:val="center"/>
              <w:rPr>
                <w:sz w:val="18"/>
              </w:rPr>
            </w:pPr>
            <w:r w:rsidRPr="00896D4F">
              <w:rPr>
                <w:sz w:val="18"/>
              </w:rPr>
              <w:t>3</w:t>
            </w:r>
          </w:p>
        </w:tc>
        <w:tc>
          <w:tcPr>
            <w:tcW w:w="850"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w:t>
            </w:r>
          </w:p>
        </w:tc>
        <w:tc>
          <w:tcPr>
            <w:tcW w:w="992" w:type="dxa"/>
          </w:tcPr>
          <w:p w:rsidR="009C1C5A" w:rsidRPr="00896D4F" w:rsidRDefault="009C1C5A">
            <w:pPr>
              <w:ind w:right="-1"/>
              <w:jc w:val="center"/>
              <w:rPr>
                <w:sz w:val="18"/>
              </w:rPr>
            </w:pPr>
            <w:r w:rsidRPr="00896D4F">
              <w:rPr>
                <w:sz w:val="18"/>
              </w:rPr>
              <w:t>–</w:t>
            </w:r>
          </w:p>
        </w:tc>
        <w:tc>
          <w:tcPr>
            <w:tcW w:w="851" w:type="dxa"/>
          </w:tcPr>
          <w:p w:rsidR="009C1C5A" w:rsidRPr="00896D4F" w:rsidRDefault="009C1C5A">
            <w:pPr>
              <w:ind w:right="-1"/>
              <w:jc w:val="center"/>
              <w:rPr>
                <w:sz w:val="18"/>
              </w:rPr>
            </w:pPr>
            <w:r w:rsidRPr="00896D4F">
              <w:rPr>
                <w:sz w:val="18"/>
              </w:rPr>
              <w:t>4</w:t>
            </w:r>
          </w:p>
        </w:tc>
      </w:tr>
      <w:tr w:rsidR="00000000" w:rsidRPr="00896D4F">
        <w:tblPrEx>
          <w:tblCellMar>
            <w:top w:w="0" w:type="dxa"/>
            <w:bottom w:w="0" w:type="dxa"/>
          </w:tblCellMar>
        </w:tblPrEx>
        <w:tc>
          <w:tcPr>
            <w:tcW w:w="2127" w:type="dxa"/>
            <w:tcBorders>
              <w:top w:val="single" w:sz="6" w:space="0" w:color="auto"/>
              <w:bottom w:val="single" w:sz="6" w:space="0" w:color="auto"/>
            </w:tcBorders>
          </w:tcPr>
          <w:p w:rsidR="009C1C5A" w:rsidRPr="00896D4F" w:rsidRDefault="009C1C5A">
            <w:pPr>
              <w:ind w:right="-1"/>
              <w:jc w:val="left"/>
              <w:rPr>
                <w:b/>
                <w:sz w:val="18"/>
              </w:rPr>
            </w:pPr>
            <w:r w:rsidRPr="00896D4F">
              <w:rPr>
                <w:b/>
                <w:sz w:val="18"/>
              </w:rPr>
              <w:t>Total</w:t>
            </w:r>
          </w:p>
        </w:tc>
        <w:tc>
          <w:tcPr>
            <w:tcW w:w="992"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23</w:t>
            </w:r>
          </w:p>
        </w:tc>
        <w:tc>
          <w:tcPr>
            <w:tcW w:w="851"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95</w:t>
            </w:r>
          </w:p>
        </w:tc>
        <w:tc>
          <w:tcPr>
            <w:tcW w:w="850"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0</w:t>
            </w:r>
          </w:p>
        </w:tc>
        <w:tc>
          <w:tcPr>
            <w:tcW w:w="851"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3</w:t>
            </w:r>
          </w:p>
        </w:tc>
        <w:tc>
          <w:tcPr>
            <w:tcW w:w="992"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0</w:t>
            </w:r>
          </w:p>
        </w:tc>
        <w:tc>
          <w:tcPr>
            <w:tcW w:w="851" w:type="dxa"/>
            <w:tcBorders>
              <w:top w:val="single" w:sz="6" w:space="0" w:color="auto"/>
              <w:bottom w:val="single" w:sz="6" w:space="0" w:color="auto"/>
            </w:tcBorders>
          </w:tcPr>
          <w:p w:rsidR="009C1C5A" w:rsidRPr="00896D4F" w:rsidRDefault="009C1C5A">
            <w:pPr>
              <w:ind w:right="-1"/>
              <w:jc w:val="center"/>
              <w:rPr>
                <w:b/>
                <w:sz w:val="18"/>
              </w:rPr>
            </w:pPr>
            <w:r w:rsidRPr="00896D4F">
              <w:rPr>
                <w:b/>
                <w:sz w:val="18"/>
              </w:rPr>
              <w:t>121</w:t>
            </w:r>
          </w:p>
        </w:tc>
      </w:tr>
    </w:tbl>
    <w:p w:rsidR="009C1C5A" w:rsidRPr="00896D4F" w:rsidRDefault="009C1C5A">
      <w:pPr>
        <w:pStyle w:val="Rubrik4"/>
        <w:ind w:left="-1276"/>
        <w:rPr>
          <w:sz w:val="19"/>
        </w:rPr>
      </w:pPr>
    </w:p>
    <w:p w:rsidR="009C1C5A" w:rsidRPr="00896D4F" w:rsidRDefault="009C1C5A">
      <w:pPr>
        <w:pStyle w:val="Rubrik4"/>
      </w:pPr>
      <w:r w:rsidRPr="00896D4F">
        <w:br w:type="page"/>
        <w:t>Schedule of complaint cases concluded during the period 1 July 2001–30 June 2002</w:t>
      </w:r>
    </w:p>
    <w:tbl>
      <w:tblPr>
        <w:tblW w:w="0" w:type="auto"/>
        <w:tblInd w:w="-142" w:type="dxa"/>
        <w:tblLayout w:type="fixed"/>
        <w:tblCellMar>
          <w:left w:w="70" w:type="dxa"/>
          <w:right w:w="70" w:type="dxa"/>
        </w:tblCellMar>
        <w:tblLook w:val="00A7" w:firstRow="1" w:lastRow="0" w:firstColumn="1" w:lastColumn="0" w:noHBand="0" w:noVBand="0"/>
      </w:tblPr>
      <w:tblGrid>
        <w:gridCol w:w="1531"/>
        <w:gridCol w:w="851"/>
        <w:gridCol w:w="851"/>
        <w:gridCol w:w="851"/>
        <w:gridCol w:w="851"/>
        <w:gridCol w:w="851"/>
        <w:gridCol w:w="851"/>
        <w:gridCol w:w="851"/>
      </w:tblGrid>
      <w:tr w:rsidR="00000000" w:rsidRPr="00896D4F">
        <w:tblPrEx>
          <w:tblCellMar>
            <w:top w:w="0" w:type="dxa"/>
            <w:bottom w:w="0" w:type="dxa"/>
          </w:tblCellMar>
        </w:tblPrEx>
        <w:tc>
          <w:tcPr>
            <w:tcW w:w="153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Activity concerned</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Dismissed</w:t>
            </w:r>
            <w:r w:rsidRPr="00896D4F">
              <w:rPr>
                <w:sz w:val="16"/>
              </w:rPr>
              <w:br/>
              <w:t xml:space="preserve">without </w:t>
            </w:r>
            <w:r w:rsidRPr="00896D4F">
              <w:rPr>
                <w:sz w:val="16"/>
              </w:rPr>
              <w:br/>
              <w:t>investiga-tion</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Referred</w:t>
            </w:r>
            <w:r w:rsidRPr="00896D4F">
              <w:rPr>
                <w:sz w:val="16"/>
              </w:rPr>
              <w:br/>
              <w:t xml:space="preserve">to other </w:t>
            </w:r>
            <w:r w:rsidRPr="00896D4F">
              <w:rPr>
                <w:sz w:val="16"/>
              </w:rPr>
              <w:br/>
              <w:t>agencies</w:t>
            </w:r>
            <w:r w:rsidRPr="00896D4F">
              <w:rPr>
                <w:sz w:val="16"/>
              </w:rPr>
              <w:br/>
              <w:t>or state</w:t>
            </w:r>
            <w:r w:rsidRPr="00896D4F">
              <w:rPr>
                <w:sz w:val="16"/>
              </w:rPr>
              <w:br/>
              <w:t>organs</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No cri-</w:t>
            </w:r>
            <w:r w:rsidRPr="00896D4F">
              <w:rPr>
                <w:sz w:val="16"/>
              </w:rPr>
              <w:br/>
              <w:t xml:space="preserve">tisism </w:t>
            </w:r>
            <w:r w:rsidRPr="00896D4F">
              <w:rPr>
                <w:sz w:val="16"/>
              </w:rPr>
              <w:br/>
              <w:t>after in-</w:t>
            </w:r>
            <w:r w:rsidRPr="00896D4F">
              <w:rPr>
                <w:sz w:val="16"/>
              </w:rPr>
              <w:br/>
              <w:t>vestiga-tion</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Admoni-tions or</w:t>
            </w:r>
            <w:r w:rsidRPr="00896D4F">
              <w:rPr>
                <w:sz w:val="16"/>
              </w:rPr>
              <w:br/>
              <w:t xml:space="preserve">other </w:t>
            </w:r>
            <w:r w:rsidRPr="00896D4F">
              <w:rPr>
                <w:sz w:val="16"/>
              </w:rPr>
              <w:br/>
              <w:t xml:space="preserve">critisism </w:t>
            </w:r>
          </w:p>
        </w:tc>
        <w:tc>
          <w:tcPr>
            <w:tcW w:w="851" w:type="dxa"/>
            <w:tcBorders>
              <w:top w:val="single" w:sz="4" w:space="0" w:color="auto"/>
              <w:bottom w:val="single" w:sz="4" w:space="0" w:color="auto"/>
            </w:tcBorders>
          </w:tcPr>
          <w:p w:rsidR="009C1C5A" w:rsidRPr="00896D4F" w:rsidRDefault="009C1C5A">
            <w:pPr>
              <w:spacing w:before="0" w:line="200" w:lineRule="exact"/>
              <w:jc w:val="left"/>
              <w:rPr>
                <w:sz w:val="16"/>
              </w:rPr>
            </w:pPr>
            <w:r w:rsidRPr="00896D4F">
              <w:rPr>
                <w:sz w:val="16"/>
              </w:rPr>
              <w:t>Prosecu-tions or</w:t>
            </w:r>
            <w:r w:rsidRPr="00896D4F">
              <w:rPr>
                <w:sz w:val="16"/>
              </w:rPr>
              <w:br/>
              <w:t>discipli-</w:t>
            </w:r>
            <w:r w:rsidRPr="00896D4F">
              <w:rPr>
                <w:sz w:val="16"/>
              </w:rPr>
              <w:br/>
              <w:t>nary pro-</w:t>
            </w:r>
            <w:r w:rsidRPr="00896D4F">
              <w:rPr>
                <w:sz w:val="16"/>
              </w:rPr>
              <w:br/>
              <w:t xml:space="preserve">ceedings </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Proposal to Parlia-ment or Govern- ment</w:t>
            </w:r>
          </w:p>
        </w:tc>
        <w:tc>
          <w:tcPr>
            <w:tcW w:w="851" w:type="dxa"/>
            <w:tcBorders>
              <w:top w:val="single" w:sz="4" w:space="0" w:color="auto"/>
              <w:bottom w:val="single" w:sz="4" w:space="0" w:color="auto"/>
            </w:tcBorders>
          </w:tcPr>
          <w:p w:rsidR="009C1C5A" w:rsidRPr="00896D4F" w:rsidRDefault="009C1C5A">
            <w:pPr>
              <w:spacing w:before="0" w:line="200" w:lineRule="exact"/>
              <w:ind w:right="-1"/>
              <w:jc w:val="left"/>
              <w:rPr>
                <w:sz w:val="16"/>
              </w:rPr>
            </w:pPr>
            <w:r w:rsidRPr="00896D4F">
              <w:rPr>
                <w:sz w:val="16"/>
              </w:rPr>
              <w:t>Total</w:t>
            </w:r>
          </w:p>
        </w:tc>
      </w:tr>
      <w:tr w:rsidR="00000000" w:rsidRPr="00896D4F">
        <w:tblPrEx>
          <w:tblCellMar>
            <w:top w:w="0" w:type="dxa"/>
            <w:bottom w:w="0" w:type="dxa"/>
          </w:tblCellMar>
        </w:tblPrEx>
        <w:tc>
          <w:tcPr>
            <w:tcW w:w="1531" w:type="dxa"/>
            <w:tcBorders>
              <w:top w:val="single" w:sz="4" w:space="0" w:color="auto"/>
            </w:tcBorders>
          </w:tcPr>
          <w:p w:rsidR="009C1C5A" w:rsidRPr="00896D4F" w:rsidRDefault="009C1C5A">
            <w:pPr>
              <w:spacing w:before="0" w:line="240" w:lineRule="exact"/>
              <w:ind w:right="-1"/>
              <w:jc w:val="left"/>
              <w:rPr>
                <w:sz w:val="16"/>
              </w:rPr>
            </w:pPr>
            <w:r w:rsidRPr="00896D4F">
              <w:rPr>
                <w:sz w:val="16"/>
              </w:rPr>
              <w:t>Courts of law</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162</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109</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17</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1</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top w:val="single" w:sz="4" w:space="0" w:color="auto"/>
            </w:tcBorders>
          </w:tcPr>
          <w:p w:rsidR="009C1C5A" w:rsidRPr="00896D4F" w:rsidRDefault="009C1C5A">
            <w:pPr>
              <w:spacing w:before="0" w:line="240" w:lineRule="exact"/>
              <w:ind w:right="-1"/>
              <w:jc w:val="center"/>
              <w:rPr>
                <w:sz w:val="16"/>
              </w:rPr>
            </w:pPr>
            <w:r w:rsidRPr="00896D4F">
              <w:rPr>
                <w:sz w:val="16"/>
              </w:rPr>
              <w:t>289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Administrative courts</w:t>
            </w:r>
          </w:p>
        </w:tc>
        <w:tc>
          <w:tcPr>
            <w:tcW w:w="851" w:type="dxa"/>
          </w:tcPr>
          <w:p w:rsidR="009C1C5A" w:rsidRPr="00896D4F" w:rsidRDefault="009C1C5A">
            <w:pPr>
              <w:spacing w:before="0" w:line="240" w:lineRule="exact"/>
              <w:ind w:right="-1"/>
              <w:jc w:val="center"/>
              <w:rPr>
                <w:sz w:val="16"/>
              </w:rPr>
            </w:pPr>
            <w:r w:rsidRPr="00896D4F">
              <w:rPr>
                <w:sz w:val="16"/>
              </w:rPr>
              <w:t>30</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32</w:t>
            </w:r>
          </w:p>
        </w:tc>
        <w:tc>
          <w:tcPr>
            <w:tcW w:w="851" w:type="dxa"/>
          </w:tcPr>
          <w:p w:rsidR="009C1C5A" w:rsidRPr="00896D4F" w:rsidRDefault="009C1C5A">
            <w:pPr>
              <w:spacing w:before="0" w:line="240" w:lineRule="exact"/>
              <w:ind w:right="-1"/>
              <w:jc w:val="center"/>
              <w:rPr>
                <w:sz w:val="16"/>
              </w:rPr>
            </w:pPr>
            <w:r w:rsidRPr="00896D4F">
              <w:rPr>
                <w:sz w:val="16"/>
              </w:rPr>
              <w:t>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65</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Public prosecutors</w:t>
            </w:r>
          </w:p>
        </w:tc>
        <w:tc>
          <w:tcPr>
            <w:tcW w:w="851" w:type="dxa"/>
          </w:tcPr>
          <w:p w:rsidR="009C1C5A" w:rsidRPr="00896D4F" w:rsidRDefault="009C1C5A">
            <w:pPr>
              <w:spacing w:before="0" w:line="240" w:lineRule="exact"/>
              <w:ind w:right="-1"/>
              <w:jc w:val="center"/>
              <w:rPr>
                <w:sz w:val="16"/>
              </w:rPr>
            </w:pPr>
            <w:r w:rsidRPr="00896D4F">
              <w:rPr>
                <w:sz w:val="16"/>
              </w:rPr>
              <w:t>88</w:t>
            </w:r>
          </w:p>
        </w:tc>
        <w:tc>
          <w:tcPr>
            <w:tcW w:w="851" w:type="dxa"/>
          </w:tcPr>
          <w:p w:rsidR="009C1C5A" w:rsidRPr="00896D4F" w:rsidRDefault="009C1C5A">
            <w:pPr>
              <w:spacing w:before="0" w:line="240" w:lineRule="exact"/>
              <w:ind w:right="-1"/>
              <w:jc w:val="center"/>
              <w:rPr>
                <w:sz w:val="16"/>
              </w:rPr>
            </w:pPr>
            <w:r w:rsidRPr="00896D4F">
              <w:rPr>
                <w:sz w:val="16"/>
              </w:rPr>
              <w:t>6</w:t>
            </w:r>
          </w:p>
        </w:tc>
        <w:tc>
          <w:tcPr>
            <w:tcW w:w="851" w:type="dxa"/>
          </w:tcPr>
          <w:p w:rsidR="009C1C5A" w:rsidRPr="00896D4F" w:rsidRDefault="009C1C5A">
            <w:pPr>
              <w:spacing w:before="0" w:line="240" w:lineRule="exact"/>
              <w:ind w:right="-1"/>
              <w:jc w:val="center"/>
              <w:rPr>
                <w:sz w:val="16"/>
              </w:rPr>
            </w:pPr>
            <w:r w:rsidRPr="00896D4F">
              <w:rPr>
                <w:sz w:val="16"/>
              </w:rPr>
              <w:t>77</w:t>
            </w:r>
          </w:p>
        </w:tc>
        <w:tc>
          <w:tcPr>
            <w:tcW w:w="851" w:type="dxa"/>
          </w:tcPr>
          <w:p w:rsidR="009C1C5A" w:rsidRPr="00896D4F" w:rsidRDefault="009C1C5A">
            <w:pPr>
              <w:spacing w:before="0" w:line="240" w:lineRule="exact"/>
              <w:ind w:right="-1"/>
              <w:jc w:val="center"/>
              <w:rPr>
                <w:sz w:val="16"/>
              </w:rPr>
            </w:pPr>
            <w:r w:rsidRPr="00896D4F">
              <w:rPr>
                <w:sz w:val="16"/>
              </w:rPr>
              <w:t>9</w:t>
            </w:r>
          </w:p>
        </w:tc>
        <w:tc>
          <w:tcPr>
            <w:tcW w:w="851" w:type="dxa"/>
          </w:tcPr>
          <w:p w:rsidR="009C1C5A" w:rsidRPr="00896D4F" w:rsidRDefault="009C1C5A">
            <w:pPr>
              <w:spacing w:before="0" w:line="240" w:lineRule="exact"/>
              <w:ind w:right="-1"/>
              <w:jc w:val="center"/>
              <w:rPr>
                <w:sz w:val="16"/>
              </w:rPr>
            </w:pPr>
            <w:r w:rsidRPr="00896D4F">
              <w:rPr>
                <w:sz w:val="16"/>
              </w:rPr>
              <w:t>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181</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Police authorities</w:t>
            </w:r>
          </w:p>
        </w:tc>
        <w:tc>
          <w:tcPr>
            <w:tcW w:w="851" w:type="dxa"/>
          </w:tcPr>
          <w:p w:rsidR="009C1C5A" w:rsidRPr="00896D4F" w:rsidRDefault="009C1C5A">
            <w:pPr>
              <w:spacing w:before="0" w:line="240" w:lineRule="exact"/>
              <w:ind w:right="-1"/>
              <w:jc w:val="center"/>
              <w:rPr>
                <w:sz w:val="16"/>
              </w:rPr>
            </w:pPr>
            <w:r w:rsidRPr="00896D4F">
              <w:rPr>
                <w:sz w:val="16"/>
              </w:rPr>
              <w:t xml:space="preserve">210 </w:t>
            </w:r>
          </w:p>
        </w:tc>
        <w:tc>
          <w:tcPr>
            <w:tcW w:w="851" w:type="dxa"/>
          </w:tcPr>
          <w:p w:rsidR="009C1C5A" w:rsidRPr="00896D4F" w:rsidRDefault="009C1C5A">
            <w:pPr>
              <w:spacing w:before="0" w:line="240" w:lineRule="exact"/>
              <w:ind w:right="-1"/>
              <w:jc w:val="center"/>
              <w:rPr>
                <w:sz w:val="16"/>
              </w:rPr>
            </w:pPr>
            <w:r w:rsidRPr="00896D4F">
              <w:rPr>
                <w:sz w:val="16"/>
              </w:rPr>
              <w:t>43</w:t>
            </w:r>
          </w:p>
        </w:tc>
        <w:tc>
          <w:tcPr>
            <w:tcW w:w="851" w:type="dxa"/>
          </w:tcPr>
          <w:p w:rsidR="009C1C5A" w:rsidRPr="00896D4F" w:rsidRDefault="009C1C5A">
            <w:pPr>
              <w:spacing w:before="0" w:line="240" w:lineRule="exact"/>
              <w:ind w:right="-1"/>
              <w:jc w:val="center"/>
              <w:rPr>
                <w:sz w:val="16"/>
              </w:rPr>
            </w:pPr>
            <w:r w:rsidRPr="00896D4F">
              <w:rPr>
                <w:sz w:val="16"/>
              </w:rPr>
              <w:t>178</w:t>
            </w:r>
          </w:p>
        </w:tc>
        <w:tc>
          <w:tcPr>
            <w:tcW w:w="851" w:type="dxa"/>
          </w:tcPr>
          <w:p w:rsidR="009C1C5A" w:rsidRPr="00896D4F" w:rsidRDefault="009C1C5A">
            <w:pPr>
              <w:spacing w:before="0" w:line="240" w:lineRule="exact"/>
              <w:ind w:right="-1"/>
              <w:jc w:val="center"/>
              <w:rPr>
                <w:sz w:val="16"/>
              </w:rPr>
            </w:pPr>
            <w:r w:rsidRPr="00896D4F">
              <w:rPr>
                <w:sz w:val="16"/>
              </w:rPr>
              <w:t>23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454</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Armed forces</w:t>
            </w:r>
          </w:p>
        </w:tc>
        <w:tc>
          <w:tcPr>
            <w:tcW w:w="851" w:type="dxa"/>
          </w:tcPr>
          <w:p w:rsidR="009C1C5A" w:rsidRPr="00896D4F" w:rsidRDefault="009C1C5A">
            <w:pPr>
              <w:spacing w:before="0" w:line="240" w:lineRule="exact"/>
              <w:ind w:right="-1"/>
              <w:jc w:val="center"/>
              <w:rPr>
                <w:sz w:val="16"/>
              </w:rPr>
            </w:pPr>
            <w:r w:rsidRPr="00896D4F">
              <w:rPr>
                <w:sz w:val="16"/>
              </w:rPr>
              <w:t>5</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w:t>
            </w:r>
          </w:p>
        </w:tc>
        <w:tc>
          <w:tcPr>
            <w:tcW w:w="851" w:type="dxa"/>
          </w:tcPr>
          <w:p w:rsidR="009C1C5A" w:rsidRPr="00896D4F" w:rsidRDefault="009C1C5A">
            <w:pPr>
              <w:spacing w:before="0" w:line="240" w:lineRule="exact"/>
              <w:ind w:right="-1"/>
              <w:jc w:val="center"/>
              <w:rPr>
                <w:sz w:val="16"/>
              </w:rPr>
            </w:pPr>
            <w:r w:rsidRPr="00896D4F">
              <w:rPr>
                <w:sz w:val="16"/>
              </w:rPr>
              <w:t>2</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8</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Prison administration</w:t>
            </w:r>
          </w:p>
        </w:tc>
        <w:tc>
          <w:tcPr>
            <w:tcW w:w="851" w:type="dxa"/>
          </w:tcPr>
          <w:p w:rsidR="009C1C5A" w:rsidRPr="00896D4F" w:rsidRDefault="009C1C5A">
            <w:pPr>
              <w:spacing w:before="0" w:line="240" w:lineRule="exact"/>
              <w:ind w:right="-1"/>
              <w:jc w:val="center"/>
              <w:rPr>
                <w:sz w:val="16"/>
              </w:rPr>
            </w:pPr>
            <w:r w:rsidRPr="00896D4F">
              <w:rPr>
                <w:sz w:val="16"/>
              </w:rPr>
              <w:t>352</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167</w:t>
            </w:r>
          </w:p>
        </w:tc>
        <w:tc>
          <w:tcPr>
            <w:tcW w:w="851" w:type="dxa"/>
          </w:tcPr>
          <w:p w:rsidR="009C1C5A" w:rsidRPr="00896D4F" w:rsidRDefault="009C1C5A">
            <w:pPr>
              <w:spacing w:before="0" w:line="240" w:lineRule="exact"/>
              <w:ind w:right="-1"/>
              <w:jc w:val="center"/>
              <w:rPr>
                <w:sz w:val="16"/>
              </w:rPr>
            </w:pPr>
            <w:r w:rsidRPr="00896D4F">
              <w:rPr>
                <w:sz w:val="16"/>
              </w:rPr>
              <w:t>59</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578</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Social welfare</w:t>
            </w:r>
          </w:p>
        </w:tc>
        <w:tc>
          <w:tcPr>
            <w:tcW w:w="851" w:type="dxa"/>
          </w:tcPr>
          <w:p w:rsidR="009C1C5A" w:rsidRPr="00896D4F" w:rsidRDefault="009C1C5A">
            <w:pPr>
              <w:spacing w:before="0" w:line="240" w:lineRule="exact"/>
              <w:ind w:right="-1"/>
              <w:jc w:val="center"/>
              <w:rPr>
                <w:sz w:val="16"/>
              </w:rPr>
            </w:pPr>
            <w:r w:rsidRPr="00896D4F">
              <w:rPr>
                <w:sz w:val="16"/>
              </w:rPr>
              <w:t>254</w:t>
            </w:r>
          </w:p>
        </w:tc>
        <w:tc>
          <w:tcPr>
            <w:tcW w:w="851" w:type="dxa"/>
          </w:tcPr>
          <w:p w:rsidR="009C1C5A" w:rsidRPr="00896D4F" w:rsidRDefault="009C1C5A">
            <w:pPr>
              <w:spacing w:before="0" w:line="240" w:lineRule="exact"/>
              <w:ind w:right="-1"/>
              <w:jc w:val="center"/>
              <w:rPr>
                <w:sz w:val="16"/>
              </w:rPr>
            </w:pPr>
            <w:r w:rsidRPr="00896D4F">
              <w:rPr>
                <w:sz w:val="16"/>
              </w:rPr>
              <w:t>7</w:t>
            </w:r>
          </w:p>
        </w:tc>
        <w:tc>
          <w:tcPr>
            <w:tcW w:w="851" w:type="dxa"/>
          </w:tcPr>
          <w:p w:rsidR="009C1C5A" w:rsidRPr="00896D4F" w:rsidRDefault="009C1C5A">
            <w:pPr>
              <w:spacing w:before="0" w:line="240" w:lineRule="exact"/>
              <w:ind w:right="-1"/>
              <w:jc w:val="center"/>
              <w:rPr>
                <w:sz w:val="16"/>
              </w:rPr>
            </w:pPr>
            <w:r w:rsidRPr="00896D4F">
              <w:rPr>
                <w:sz w:val="16"/>
              </w:rPr>
              <w:t>305</w:t>
            </w:r>
          </w:p>
        </w:tc>
        <w:tc>
          <w:tcPr>
            <w:tcW w:w="851" w:type="dxa"/>
          </w:tcPr>
          <w:p w:rsidR="009C1C5A" w:rsidRPr="00896D4F" w:rsidRDefault="009C1C5A">
            <w:pPr>
              <w:spacing w:before="0" w:line="240" w:lineRule="exact"/>
              <w:ind w:right="-1"/>
              <w:jc w:val="center"/>
              <w:rPr>
                <w:sz w:val="16"/>
              </w:rPr>
            </w:pPr>
            <w:r w:rsidRPr="00896D4F">
              <w:rPr>
                <w:sz w:val="16"/>
              </w:rPr>
              <w:t>54</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620</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Medical care</w:t>
            </w:r>
          </w:p>
        </w:tc>
        <w:tc>
          <w:tcPr>
            <w:tcW w:w="851" w:type="dxa"/>
          </w:tcPr>
          <w:p w:rsidR="009C1C5A" w:rsidRPr="00896D4F" w:rsidRDefault="009C1C5A">
            <w:pPr>
              <w:spacing w:before="0" w:line="240" w:lineRule="exact"/>
              <w:ind w:right="-1"/>
              <w:jc w:val="center"/>
              <w:rPr>
                <w:sz w:val="16"/>
              </w:rPr>
            </w:pPr>
            <w:r w:rsidRPr="00896D4F">
              <w:rPr>
                <w:sz w:val="16"/>
              </w:rPr>
              <w:t>130</w:t>
            </w:r>
          </w:p>
        </w:tc>
        <w:tc>
          <w:tcPr>
            <w:tcW w:w="851" w:type="dxa"/>
          </w:tcPr>
          <w:p w:rsidR="009C1C5A" w:rsidRPr="00896D4F" w:rsidRDefault="009C1C5A">
            <w:pPr>
              <w:spacing w:before="0" w:line="240" w:lineRule="exact"/>
              <w:ind w:right="-1"/>
              <w:jc w:val="center"/>
              <w:rPr>
                <w:sz w:val="16"/>
              </w:rPr>
            </w:pPr>
            <w:r w:rsidRPr="00896D4F">
              <w:rPr>
                <w:sz w:val="16"/>
              </w:rPr>
              <w:t>3</w:t>
            </w:r>
          </w:p>
        </w:tc>
        <w:tc>
          <w:tcPr>
            <w:tcW w:w="851" w:type="dxa"/>
          </w:tcPr>
          <w:p w:rsidR="009C1C5A" w:rsidRPr="00896D4F" w:rsidRDefault="009C1C5A">
            <w:pPr>
              <w:spacing w:before="0" w:line="240" w:lineRule="exact"/>
              <w:ind w:right="-1"/>
              <w:jc w:val="center"/>
              <w:rPr>
                <w:sz w:val="16"/>
              </w:rPr>
            </w:pPr>
            <w:r w:rsidRPr="00896D4F">
              <w:rPr>
                <w:sz w:val="16"/>
              </w:rPr>
              <w:t>80</w:t>
            </w:r>
          </w:p>
        </w:tc>
        <w:tc>
          <w:tcPr>
            <w:tcW w:w="851" w:type="dxa"/>
          </w:tcPr>
          <w:p w:rsidR="009C1C5A" w:rsidRPr="00896D4F" w:rsidRDefault="009C1C5A">
            <w:pPr>
              <w:spacing w:before="0" w:line="240" w:lineRule="exact"/>
              <w:ind w:right="-1"/>
              <w:jc w:val="center"/>
              <w:rPr>
                <w:sz w:val="16"/>
              </w:rPr>
            </w:pPr>
            <w:r w:rsidRPr="00896D4F">
              <w:rPr>
                <w:sz w:val="16"/>
              </w:rPr>
              <w:t>8</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221</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Social insurance</w:t>
            </w:r>
          </w:p>
        </w:tc>
        <w:tc>
          <w:tcPr>
            <w:tcW w:w="851" w:type="dxa"/>
          </w:tcPr>
          <w:p w:rsidR="009C1C5A" w:rsidRPr="00896D4F" w:rsidRDefault="009C1C5A">
            <w:pPr>
              <w:spacing w:before="0" w:line="240" w:lineRule="exact"/>
              <w:ind w:right="-1"/>
              <w:jc w:val="center"/>
              <w:rPr>
                <w:sz w:val="16"/>
              </w:rPr>
            </w:pPr>
            <w:r w:rsidRPr="00896D4F">
              <w:rPr>
                <w:sz w:val="16"/>
              </w:rPr>
              <w:t>147</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85</w:t>
            </w:r>
          </w:p>
        </w:tc>
        <w:tc>
          <w:tcPr>
            <w:tcW w:w="851" w:type="dxa"/>
          </w:tcPr>
          <w:p w:rsidR="009C1C5A" w:rsidRPr="00896D4F" w:rsidRDefault="009C1C5A">
            <w:pPr>
              <w:spacing w:before="0" w:line="240" w:lineRule="exact"/>
              <w:ind w:right="-1"/>
              <w:jc w:val="center"/>
              <w:rPr>
                <w:sz w:val="16"/>
              </w:rPr>
            </w:pPr>
            <w:r w:rsidRPr="00896D4F">
              <w:rPr>
                <w:sz w:val="16"/>
              </w:rPr>
              <w:t>36</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w:t>
            </w:r>
          </w:p>
        </w:tc>
        <w:tc>
          <w:tcPr>
            <w:tcW w:w="851" w:type="dxa"/>
          </w:tcPr>
          <w:p w:rsidR="009C1C5A" w:rsidRPr="00896D4F" w:rsidRDefault="009C1C5A">
            <w:pPr>
              <w:spacing w:before="0" w:line="240" w:lineRule="exact"/>
              <w:ind w:right="-1"/>
              <w:jc w:val="center"/>
              <w:rPr>
                <w:sz w:val="16"/>
              </w:rPr>
            </w:pPr>
            <w:r w:rsidRPr="00896D4F">
              <w:rPr>
                <w:sz w:val="16"/>
              </w:rPr>
              <w:t>269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Labour market etc.</w:t>
            </w:r>
          </w:p>
        </w:tc>
        <w:tc>
          <w:tcPr>
            <w:tcW w:w="851" w:type="dxa"/>
          </w:tcPr>
          <w:p w:rsidR="009C1C5A" w:rsidRPr="00896D4F" w:rsidRDefault="009C1C5A">
            <w:pPr>
              <w:spacing w:before="0" w:line="240" w:lineRule="exact"/>
              <w:ind w:right="-1"/>
              <w:jc w:val="center"/>
              <w:rPr>
                <w:sz w:val="16"/>
              </w:rPr>
            </w:pPr>
            <w:r w:rsidRPr="00896D4F">
              <w:rPr>
                <w:sz w:val="16"/>
              </w:rPr>
              <w:t>46</w:t>
            </w:r>
          </w:p>
        </w:tc>
        <w:tc>
          <w:tcPr>
            <w:tcW w:w="851" w:type="dxa"/>
          </w:tcPr>
          <w:p w:rsidR="009C1C5A" w:rsidRPr="00896D4F" w:rsidRDefault="009C1C5A">
            <w:pPr>
              <w:spacing w:before="0" w:line="240" w:lineRule="exact"/>
              <w:ind w:right="-1"/>
              <w:jc w:val="center"/>
              <w:rPr>
                <w:sz w:val="16"/>
              </w:rPr>
            </w:pPr>
            <w:r w:rsidRPr="00896D4F">
              <w:rPr>
                <w:sz w:val="16"/>
              </w:rPr>
              <w:t>1</w:t>
            </w:r>
          </w:p>
        </w:tc>
        <w:tc>
          <w:tcPr>
            <w:tcW w:w="851" w:type="dxa"/>
          </w:tcPr>
          <w:p w:rsidR="009C1C5A" w:rsidRPr="00896D4F" w:rsidRDefault="009C1C5A">
            <w:pPr>
              <w:spacing w:before="0" w:line="240" w:lineRule="exact"/>
              <w:ind w:right="-1"/>
              <w:jc w:val="center"/>
              <w:rPr>
                <w:sz w:val="16"/>
              </w:rPr>
            </w:pPr>
            <w:r w:rsidRPr="00896D4F">
              <w:rPr>
                <w:sz w:val="16"/>
              </w:rPr>
              <w:t>49</w:t>
            </w:r>
          </w:p>
        </w:tc>
        <w:tc>
          <w:tcPr>
            <w:tcW w:w="851" w:type="dxa"/>
          </w:tcPr>
          <w:p w:rsidR="009C1C5A" w:rsidRPr="00896D4F" w:rsidRDefault="009C1C5A">
            <w:pPr>
              <w:spacing w:before="0" w:line="240" w:lineRule="exact"/>
              <w:ind w:right="-1"/>
              <w:jc w:val="center"/>
              <w:rPr>
                <w:sz w:val="16"/>
              </w:rPr>
            </w:pPr>
            <w:r w:rsidRPr="00896D4F">
              <w:rPr>
                <w:sz w:val="16"/>
              </w:rPr>
              <w:t>11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107</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Planning, constru</w:t>
            </w:r>
            <w:r w:rsidRPr="00896D4F">
              <w:rPr>
                <w:sz w:val="16"/>
              </w:rPr>
              <w:t>c</w:t>
            </w:r>
            <w:r w:rsidRPr="00896D4F">
              <w:rPr>
                <w:sz w:val="16"/>
              </w:rPr>
              <w:t>tion</w:t>
            </w:r>
          </w:p>
        </w:tc>
        <w:tc>
          <w:tcPr>
            <w:tcW w:w="851" w:type="dxa"/>
          </w:tcPr>
          <w:p w:rsidR="009C1C5A" w:rsidRPr="00896D4F" w:rsidRDefault="009C1C5A">
            <w:pPr>
              <w:spacing w:before="0" w:line="240" w:lineRule="exact"/>
              <w:ind w:right="-1"/>
              <w:jc w:val="center"/>
              <w:rPr>
                <w:sz w:val="16"/>
              </w:rPr>
            </w:pPr>
            <w:r w:rsidRPr="00896D4F">
              <w:rPr>
                <w:sz w:val="16"/>
              </w:rPr>
              <w:t>53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35</w:t>
            </w:r>
          </w:p>
        </w:tc>
        <w:tc>
          <w:tcPr>
            <w:tcW w:w="851" w:type="dxa"/>
          </w:tcPr>
          <w:p w:rsidR="009C1C5A" w:rsidRPr="00896D4F" w:rsidRDefault="009C1C5A">
            <w:pPr>
              <w:spacing w:before="0" w:line="240" w:lineRule="exact"/>
              <w:ind w:right="-1"/>
              <w:jc w:val="center"/>
              <w:rPr>
                <w:sz w:val="16"/>
              </w:rPr>
            </w:pPr>
            <w:r w:rsidRPr="00896D4F">
              <w:rPr>
                <w:sz w:val="16"/>
              </w:rPr>
              <w:t>15</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103</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Execution of judg</w:t>
            </w:r>
            <w:r w:rsidRPr="00896D4F">
              <w:rPr>
                <w:sz w:val="16"/>
              </w:rPr>
              <w:t>e</w:t>
            </w:r>
            <w:r w:rsidRPr="00896D4F">
              <w:rPr>
                <w:sz w:val="16"/>
              </w:rPr>
              <w:t>ments</w:t>
            </w:r>
          </w:p>
        </w:tc>
        <w:tc>
          <w:tcPr>
            <w:tcW w:w="851" w:type="dxa"/>
          </w:tcPr>
          <w:p w:rsidR="009C1C5A" w:rsidRPr="00896D4F" w:rsidRDefault="009C1C5A">
            <w:pPr>
              <w:spacing w:before="0" w:line="240" w:lineRule="exact"/>
              <w:ind w:right="-1"/>
              <w:jc w:val="center"/>
              <w:rPr>
                <w:sz w:val="16"/>
              </w:rPr>
            </w:pPr>
            <w:r w:rsidRPr="00896D4F">
              <w:rPr>
                <w:sz w:val="16"/>
              </w:rPr>
              <w:t>73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35</w:t>
            </w:r>
          </w:p>
        </w:tc>
        <w:tc>
          <w:tcPr>
            <w:tcW w:w="851" w:type="dxa"/>
          </w:tcPr>
          <w:p w:rsidR="009C1C5A" w:rsidRPr="00896D4F" w:rsidRDefault="009C1C5A">
            <w:pPr>
              <w:spacing w:before="0" w:line="240" w:lineRule="exact"/>
              <w:ind w:right="-1"/>
              <w:jc w:val="center"/>
              <w:rPr>
                <w:sz w:val="16"/>
              </w:rPr>
            </w:pPr>
            <w:r w:rsidRPr="00896D4F">
              <w:rPr>
                <w:sz w:val="16"/>
              </w:rPr>
              <w:t>11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119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Local government</w:t>
            </w:r>
          </w:p>
        </w:tc>
        <w:tc>
          <w:tcPr>
            <w:tcW w:w="851" w:type="dxa"/>
          </w:tcPr>
          <w:p w:rsidR="009C1C5A" w:rsidRPr="00896D4F" w:rsidRDefault="009C1C5A">
            <w:pPr>
              <w:spacing w:before="0" w:line="240" w:lineRule="exact"/>
              <w:ind w:right="-1"/>
              <w:jc w:val="center"/>
              <w:rPr>
                <w:sz w:val="16"/>
              </w:rPr>
            </w:pPr>
            <w:r w:rsidRPr="00896D4F">
              <w:rPr>
                <w:sz w:val="16"/>
              </w:rPr>
              <w:t>63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25</w:t>
            </w:r>
          </w:p>
        </w:tc>
        <w:tc>
          <w:tcPr>
            <w:tcW w:w="851" w:type="dxa"/>
          </w:tcPr>
          <w:p w:rsidR="009C1C5A" w:rsidRPr="00896D4F" w:rsidRDefault="009C1C5A">
            <w:pPr>
              <w:spacing w:before="0" w:line="240" w:lineRule="exact"/>
              <w:ind w:right="-1"/>
              <w:jc w:val="center"/>
              <w:rPr>
                <w:sz w:val="16"/>
              </w:rPr>
            </w:pPr>
            <w:r w:rsidRPr="00896D4F">
              <w:rPr>
                <w:sz w:val="16"/>
              </w:rPr>
              <w:t>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89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Communications</w:t>
            </w:r>
          </w:p>
        </w:tc>
        <w:tc>
          <w:tcPr>
            <w:tcW w:w="851" w:type="dxa"/>
          </w:tcPr>
          <w:p w:rsidR="009C1C5A" w:rsidRPr="00896D4F" w:rsidRDefault="009C1C5A">
            <w:pPr>
              <w:spacing w:before="0" w:line="240" w:lineRule="exact"/>
              <w:ind w:right="-1"/>
              <w:jc w:val="center"/>
              <w:rPr>
                <w:sz w:val="16"/>
              </w:rPr>
            </w:pPr>
            <w:r w:rsidRPr="00896D4F">
              <w:rPr>
                <w:sz w:val="16"/>
              </w:rPr>
              <w:t>68</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35</w:t>
            </w:r>
          </w:p>
        </w:tc>
        <w:tc>
          <w:tcPr>
            <w:tcW w:w="851" w:type="dxa"/>
          </w:tcPr>
          <w:p w:rsidR="009C1C5A" w:rsidRPr="00896D4F" w:rsidRDefault="009C1C5A">
            <w:pPr>
              <w:spacing w:before="0" w:line="240" w:lineRule="exact"/>
              <w:ind w:right="-1"/>
              <w:jc w:val="center"/>
              <w:rPr>
                <w:sz w:val="16"/>
              </w:rPr>
            </w:pPr>
            <w:r w:rsidRPr="00896D4F">
              <w:rPr>
                <w:sz w:val="16"/>
              </w:rPr>
              <w:t>16</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119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Taxation, customs</w:t>
            </w:r>
          </w:p>
        </w:tc>
        <w:tc>
          <w:tcPr>
            <w:tcW w:w="851" w:type="dxa"/>
          </w:tcPr>
          <w:p w:rsidR="009C1C5A" w:rsidRPr="00896D4F" w:rsidRDefault="009C1C5A">
            <w:pPr>
              <w:spacing w:before="0" w:line="240" w:lineRule="exact"/>
              <w:ind w:right="-1"/>
              <w:jc w:val="center"/>
              <w:rPr>
                <w:sz w:val="16"/>
              </w:rPr>
            </w:pPr>
            <w:r w:rsidRPr="00896D4F">
              <w:rPr>
                <w:sz w:val="16"/>
              </w:rPr>
              <w:t>100</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42</w:t>
            </w:r>
          </w:p>
        </w:tc>
        <w:tc>
          <w:tcPr>
            <w:tcW w:w="851" w:type="dxa"/>
          </w:tcPr>
          <w:p w:rsidR="009C1C5A" w:rsidRPr="00896D4F" w:rsidRDefault="009C1C5A">
            <w:pPr>
              <w:spacing w:before="0" w:line="240" w:lineRule="exact"/>
              <w:ind w:right="-1"/>
              <w:jc w:val="center"/>
              <w:rPr>
                <w:sz w:val="16"/>
              </w:rPr>
            </w:pPr>
            <w:r w:rsidRPr="00896D4F">
              <w:rPr>
                <w:sz w:val="16"/>
              </w:rPr>
              <w:t>32</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174</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Education, culture</w:t>
            </w:r>
          </w:p>
        </w:tc>
        <w:tc>
          <w:tcPr>
            <w:tcW w:w="851" w:type="dxa"/>
          </w:tcPr>
          <w:p w:rsidR="009C1C5A" w:rsidRPr="00896D4F" w:rsidRDefault="009C1C5A">
            <w:pPr>
              <w:spacing w:before="0" w:line="240" w:lineRule="exact"/>
              <w:ind w:right="-1"/>
              <w:jc w:val="center"/>
              <w:rPr>
                <w:sz w:val="16"/>
              </w:rPr>
            </w:pPr>
            <w:r w:rsidRPr="00896D4F">
              <w:rPr>
                <w:sz w:val="16"/>
              </w:rPr>
              <w:t>75</w:t>
            </w:r>
          </w:p>
        </w:tc>
        <w:tc>
          <w:tcPr>
            <w:tcW w:w="851" w:type="dxa"/>
          </w:tcPr>
          <w:p w:rsidR="009C1C5A" w:rsidRPr="00896D4F" w:rsidRDefault="009C1C5A">
            <w:pPr>
              <w:spacing w:before="0" w:line="240" w:lineRule="exact"/>
              <w:ind w:right="-1"/>
              <w:jc w:val="center"/>
              <w:rPr>
                <w:sz w:val="16"/>
              </w:rPr>
            </w:pPr>
            <w:r w:rsidRPr="00896D4F">
              <w:rPr>
                <w:sz w:val="16"/>
              </w:rPr>
              <w:t>2</w:t>
            </w:r>
          </w:p>
        </w:tc>
        <w:tc>
          <w:tcPr>
            <w:tcW w:w="851" w:type="dxa"/>
          </w:tcPr>
          <w:p w:rsidR="009C1C5A" w:rsidRPr="00896D4F" w:rsidRDefault="009C1C5A">
            <w:pPr>
              <w:spacing w:before="0" w:line="240" w:lineRule="exact"/>
              <w:ind w:right="-1"/>
              <w:jc w:val="center"/>
              <w:rPr>
                <w:sz w:val="16"/>
              </w:rPr>
            </w:pPr>
            <w:r w:rsidRPr="00896D4F">
              <w:rPr>
                <w:sz w:val="16"/>
              </w:rPr>
              <w:t>83</w:t>
            </w:r>
          </w:p>
        </w:tc>
        <w:tc>
          <w:tcPr>
            <w:tcW w:w="851" w:type="dxa"/>
          </w:tcPr>
          <w:p w:rsidR="009C1C5A" w:rsidRPr="00896D4F" w:rsidRDefault="009C1C5A">
            <w:pPr>
              <w:spacing w:before="0" w:line="240" w:lineRule="exact"/>
              <w:ind w:right="-1"/>
              <w:jc w:val="center"/>
              <w:rPr>
                <w:sz w:val="16"/>
              </w:rPr>
            </w:pPr>
            <w:r w:rsidRPr="00896D4F">
              <w:rPr>
                <w:sz w:val="16"/>
              </w:rPr>
              <w:t>23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183</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Church</w:t>
            </w:r>
          </w:p>
        </w:tc>
        <w:tc>
          <w:tcPr>
            <w:tcW w:w="851" w:type="dxa"/>
          </w:tcPr>
          <w:p w:rsidR="009C1C5A" w:rsidRPr="00896D4F" w:rsidRDefault="009C1C5A">
            <w:pPr>
              <w:spacing w:before="0" w:line="240" w:lineRule="exact"/>
              <w:ind w:right="-1"/>
              <w:jc w:val="center"/>
              <w:rPr>
                <w:sz w:val="16"/>
              </w:rPr>
            </w:pPr>
            <w:r w:rsidRPr="00896D4F">
              <w:rPr>
                <w:sz w:val="16"/>
              </w:rPr>
              <w:t>5</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5</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Chief guardians</w:t>
            </w:r>
          </w:p>
        </w:tc>
        <w:tc>
          <w:tcPr>
            <w:tcW w:w="851" w:type="dxa"/>
          </w:tcPr>
          <w:p w:rsidR="009C1C5A" w:rsidRPr="00896D4F" w:rsidRDefault="009C1C5A">
            <w:pPr>
              <w:spacing w:before="0" w:line="240" w:lineRule="exact"/>
              <w:ind w:right="-1"/>
              <w:jc w:val="center"/>
              <w:rPr>
                <w:sz w:val="16"/>
              </w:rPr>
            </w:pPr>
            <w:r w:rsidRPr="00896D4F">
              <w:rPr>
                <w:sz w:val="16"/>
              </w:rPr>
              <w:t>27</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18</w:t>
            </w:r>
          </w:p>
        </w:tc>
        <w:tc>
          <w:tcPr>
            <w:tcW w:w="851" w:type="dxa"/>
          </w:tcPr>
          <w:p w:rsidR="009C1C5A" w:rsidRPr="00896D4F" w:rsidRDefault="009C1C5A">
            <w:pPr>
              <w:spacing w:before="0" w:line="240" w:lineRule="exact"/>
              <w:ind w:right="-1"/>
              <w:jc w:val="center"/>
              <w:rPr>
                <w:sz w:val="16"/>
              </w:rPr>
            </w:pPr>
            <w:r w:rsidRPr="00896D4F">
              <w:rPr>
                <w:sz w:val="16"/>
              </w:rPr>
              <w:t>12</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57</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Agriculture, environ- mental management, public health, pro-</w:t>
            </w:r>
            <w:r w:rsidRPr="00896D4F">
              <w:rPr>
                <w:sz w:val="16"/>
              </w:rPr>
              <w:br/>
              <w:t>tection of animals</w:t>
            </w:r>
          </w:p>
        </w:tc>
        <w:tc>
          <w:tcPr>
            <w:tcW w:w="851" w:type="dxa"/>
          </w:tcPr>
          <w:p w:rsidR="009C1C5A" w:rsidRPr="00896D4F" w:rsidRDefault="009C1C5A">
            <w:pPr>
              <w:spacing w:before="0" w:line="240" w:lineRule="exact"/>
              <w:ind w:right="-1"/>
              <w:jc w:val="center"/>
              <w:rPr>
                <w:sz w:val="16"/>
              </w:rPr>
            </w:pPr>
            <w:r w:rsidRPr="00896D4F">
              <w:rPr>
                <w:sz w:val="16"/>
              </w:rPr>
              <w:t>53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63</w:t>
            </w:r>
          </w:p>
        </w:tc>
        <w:tc>
          <w:tcPr>
            <w:tcW w:w="851" w:type="dxa"/>
          </w:tcPr>
          <w:p w:rsidR="009C1C5A" w:rsidRPr="00896D4F" w:rsidRDefault="009C1C5A">
            <w:pPr>
              <w:spacing w:before="0" w:line="240" w:lineRule="exact"/>
              <w:ind w:right="-1"/>
              <w:jc w:val="center"/>
              <w:rPr>
                <w:sz w:val="16"/>
              </w:rPr>
            </w:pPr>
            <w:r w:rsidRPr="00896D4F">
              <w:rPr>
                <w:sz w:val="16"/>
              </w:rPr>
              <w:t>13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129</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Immigration</w:t>
            </w:r>
          </w:p>
        </w:tc>
        <w:tc>
          <w:tcPr>
            <w:tcW w:w="851" w:type="dxa"/>
          </w:tcPr>
          <w:p w:rsidR="009C1C5A" w:rsidRPr="00896D4F" w:rsidRDefault="009C1C5A">
            <w:pPr>
              <w:spacing w:before="0" w:line="240" w:lineRule="exact"/>
              <w:ind w:right="-1"/>
              <w:jc w:val="center"/>
              <w:rPr>
                <w:sz w:val="16"/>
              </w:rPr>
            </w:pPr>
            <w:r w:rsidRPr="00896D4F">
              <w:rPr>
                <w:sz w:val="16"/>
              </w:rPr>
              <w:t>41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31</w:t>
            </w:r>
          </w:p>
        </w:tc>
        <w:tc>
          <w:tcPr>
            <w:tcW w:w="851" w:type="dxa"/>
          </w:tcPr>
          <w:p w:rsidR="009C1C5A" w:rsidRPr="00896D4F" w:rsidRDefault="009C1C5A">
            <w:pPr>
              <w:spacing w:before="0" w:line="240" w:lineRule="exact"/>
              <w:ind w:right="-1"/>
              <w:jc w:val="center"/>
              <w:rPr>
                <w:sz w:val="16"/>
              </w:rPr>
            </w:pPr>
            <w:r w:rsidRPr="00896D4F">
              <w:rPr>
                <w:sz w:val="16"/>
              </w:rPr>
              <w:t>7</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79</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Other cases at County administrat</w:t>
            </w:r>
            <w:r w:rsidRPr="00896D4F">
              <w:rPr>
                <w:sz w:val="16"/>
              </w:rPr>
              <w:t>i</w:t>
            </w:r>
            <w:r w:rsidRPr="00896D4F">
              <w:rPr>
                <w:sz w:val="16"/>
              </w:rPr>
              <w:t>ve boards, control of lotteries e.a.</w:t>
            </w:r>
          </w:p>
        </w:tc>
        <w:tc>
          <w:tcPr>
            <w:tcW w:w="851" w:type="dxa"/>
          </w:tcPr>
          <w:p w:rsidR="009C1C5A" w:rsidRPr="00896D4F" w:rsidRDefault="009C1C5A">
            <w:pPr>
              <w:spacing w:before="0" w:line="240" w:lineRule="exact"/>
              <w:ind w:right="-1"/>
              <w:jc w:val="center"/>
              <w:rPr>
                <w:sz w:val="16"/>
              </w:rPr>
            </w:pPr>
            <w:r w:rsidRPr="00896D4F">
              <w:rPr>
                <w:sz w:val="16"/>
              </w:rPr>
              <w:t>18</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8</w:t>
            </w:r>
          </w:p>
          <w:p w:rsidR="009C1C5A" w:rsidRPr="00896D4F" w:rsidRDefault="009C1C5A">
            <w:pPr>
              <w:spacing w:before="0" w:line="240" w:lineRule="exact"/>
              <w:ind w:right="-1"/>
              <w:jc w:val="center"/>
              <w:rPr>
                <w:sz w:val="16"/>
              </w:rPr>
            </w:pPr>
          </w:p>
        </w:tc>
        <w:tc>
          <w:tcPr>
            <w:tcW w:w="851" w:type="dxa"/>
          </w:tcPr>
          <w:p w:rsidR="009C1C5A" w:rsidRPr="00896D4F" w:rsidRDefault="009C1C5A">
            <w:pPr>
              <w:spacing w:before="0" w:line="240" w:lineRule="exact"/>
              <w:ind w:right="-1"/>
              <w:jc w:val="center"/>
              <w:rPr>
                <w:sz w:val="16"/>
              </w:rPr>
            </w:pPr>
            <w:r w:rsidRPr="00896D4F">
              <w:rPr>
                <w:sz w:val="16"/>
              </w:rPr>
              <w:t>3</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29</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 xml:space="preserve">Employment of civil </w:t>
            </w:r>
            <w:r w:rsidRPr="00896D4F">
              <w:rPr>
                <w:sz w:val="16"/>
              </w:rPr>
              <w:br/>
              <w:t>servants etc.</w:t>
            </w:r>
          </w:p>
        </w:tc>
        <w:tc>
          <w:tcPr>
            <w:tcW w:w="851" w:type="dxa"/>
          </w:tcPr>
          <w:p w:rsidR="009C1C5A" w:rsidRPr="00896D4F" w:rsidRDefault="009C1C5A">
            <w:pPr>
              <w:spacing w:before="0" w:line="240" w:lineRule="exact"/>
              <w:ind w:right="-1"/>
              <w:jc w:val="center"/>
              <w:rPr>
                <w:sz w:val="16"/>
              </w:rPr>
            </w:pPr>
            <w:r w:rsidRPr="00896D4F">
              <w:rPr>
                <w:sz w:val="16"/>
              </w:rPr>
              <w:t>68</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15</w:t>
            </w:r>
          </w:p>
        </w:tc>
        <w:tc>
          <w:tcPr>
            <w:tcW w:w="851" w:type="dxa"/>
          </w:tcPr>
          <w:p w:rsidR="009C1C5A" w:rsidRPr="00896D4F" w:rsidRDefault="009C1C5A">
            <w:pPr>
              <w:spacing w:before="0" w:line="240" w:lineRule="exact"/>
              <w:ind w:right="-1"/>
              <w:jc w:val="center"/>
              <w:rPr>
                <w:sz w:val="16"/>
              </w:rPr>
            </w:pPr>
            <w:r w:rsidRPr="00896D4F">
              <w:rPr>
                <w:sz w:val="16"/>
              </w:rPr>
              <w:t>4</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p w:rsidR="009C1C5A" w:rsidRPr="00896D4F" w:rsidRDefault="009C1C5A">
            <w:pPr>
              <w:spacing w:before="0" w:line="240" w:lineRule="exact"/>
              <w:ind w:right="-1"/>
              <w:jc w:val="center"/>
              <w:rPr>
                <w:sz w:val="16"/>
              </w:rPr>
            </w:pPr>
          </w:p>
        </w:tc>
        <w:tc>
          <w:tcPr>
            <w:tcW w:w="851" w:type="dxa"/>
          </w:tcPr>
          <w:p w:rsidR="009C1C5A" w:rsidRPr="00896D4F" w:rsidRDefault="009C1C5A">
            <w:pPr>
              <w:spacing w:before="0" w:line="240" w:lineRule="exact"/>
              <w:ind w:right="-1"/>
              <w:jc w:val="center"/>
              <w:rPr>
                <w:sz w:val="16"/>
              </w:rPr>
            </w:pPr>
            <w:r w:rsidRPr="00896D4F">
              <w:rPr>
                <w:sz w:val="16"/>
              </w:rPr>
              <w:t>87</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Access to official documents; Freedom of the press</w:t>
            </w:r>
          </w:p>
        </w:tc>
        <w:tc>
          <w:tcPr>
            <w:tcW w:w="851" w:type="dxa"/>
          </w:tcPr>
          <w:p w:rsidR="009C1C5A" w:rsidRPr="00896D4F" w:rsidRDefault="009C1C5A">
            <w:pPr>
              <w:spacing w:before="0" w:line="240" w:lineRule="exact"/>
              <w:ind w:right="-1"/>
              <w:jc w:val="center"/>
              <w:rPr>
                <w:sz w:val="16"/>
              </w:rPr>
            </w:pPr>
            <w:r w:rsidRPr="00896D4F">
              <w:rPr>
                <w:sz w:val="16"/>
              </w:rPr>
              <w:t>97</w:t>
            </w:r>
          </w:p>
        </w:tc>
        <w:tc>
          <w:tcPr>
            <w:tcW w:w="851" w:type="dxa"/>
          </w:tcPr>
          <w:p w:rsidR="009C1C5A" w:rsidRPr="00896D4F" w:rsidRDefault="009C1C5A">
            <w:pPr>
              <w:spacing w:before="0" w:line="240" w:lineRule="exact"/>
              <w:ind w:right="-1"/>
              <w:jc w:val="center"/>
              <w:rPr>
                <w:sz w:val="16"/>
              </w:rPr>
            </w:pPr>
            <w:r w:rsidRPr="00896D4F">
              <w:rPr>
                <w:sz w:val="16"/>
              </w:rPr>
              <w:t>2</w:t>
            </w:r>
          </w:p>
        </w:tc>
        <w:tc>
          <w:tcPr>
            <w:tcW w:w="851" w:type="dxa"/>
          </w:tcPr>
          <w:p w:rsidR="009C1C5A" w:rsidRPr="00896D4F" w:rsidRDefault="009C1C5A">
            <w:pPr>
              <w:spacing w:before="0" w:line="240" w:lineRule="exact"/>
              <w:ind w:right="-1"/>
              <w:jc w:val="center"/>
              <w:rPr>
                <w:sz w:val="16"/>
              </w:rPr>
            </w:pPr>
            <w:r w:rsidRPr="00896D4F">
              <w:rPr>
                <w:sz w:val="16"/>
              </w:rPr>
              <w:t>74</w:t>
            </w:r>
          </w:p>
        </w:tc>
        <w:tc>
          <w:tcPr>
            <w:tcW w:w="851" w:type="dxa"/>
          </w:tcPr>
          <w:p w:rsidR="009C1C5A" w:rsidRPr="00896D4F" w:rsidRDefault="009C1C5A">
            <w:pPr>
              <w:spacing w:before="0" w:line="240" w:lineRule="exact"/>
              <w:ind w:right="-1"/>
              <w:jc w:val="center"/>
              <w:rPr>
                <w:sz w:val="16"/>
              </w:rPr>
            </w:pPr>
            <w:r w:rsidRPr="00896D4F">
              <w:rPr>
                <w:sz w:val="16"/>
              </w:rPr>
              <w:t>89</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262</w:t>
            </w:r>
          </w:p>
        </w:tc>
      </w:tr>
      <w:tr w:rsidR="00000000" w:rsidRPr="00896D4F">
        <w:tblPrEx>
          <w:tblCellMar>
            <w:top w:w="0" w:type="dxa"/>
            <w:bottom w:w="0" w:type="dxa"/>
          </w:tblCellMar>
        </w:tblPrEx>
        <w:tc>
          <w:tcPr>
            <w:tcW w:w="1531" w:type="dxa"/>
          </w:tcPr>
          <w:p w:rsidR="009C1C5A" w:rsidRPr="00896D4F" w:rsidRDefault="009C1C5A">
            <w:pPr>
              <w:spacing w:before="0" w:line="220" w:lineRule="exact"/>
              <w:jc w:val="left"/>
              <w:rPr>
                <w:sz w:val="16"/>
              </w:rPr>
            </w:pPr>
            <w:r w:rsidRPr="00896D4F">
              <w:rPr>
                <w:sz w:val="16"/>
              </w:rPr>
              <w:t>Administration of parliamentary and foreign affairs; general elections</w:t>
            </w:r>
          </w:p>
        </w:tc>
        <w:tc>
          <w:tcPr>
            <w:tcW w:w="851" w:type="dxa"/>
          </w:tcPr>
          <w:p w:rsidR="009C1C5A" w:rsidRPr="00896D4F" w:rsidRDefault="009C1C5A">
            <w:pPr>
              <w:spacing w:before="0" w:line="240" w:lineRule="exact"/>
              <w:ind w:right="-1"/>
              <w:jc w:val="center"/>
              <w:rPr>
                <w:sz w:val="16"/>
              </w:rPr>
            </w:pPr>
            <w:r w:rsidRPr="00896D4F">
              <w:rPr>
                <w:sz w:val="16"/>
              </w:rPr>
              <w:t>11</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13</w:t>
            </w:r>
          </w:p>
        </w:tc>
      </w:tr>
      <w:tr w:rsidR="00000000" w:rsidRPr="00896D4F">
        <w:tblPrEx>
          <w:tblCellMar>
            <w:top w:w="0" w:type="dxa"/>
            <w:bottom w:w="0" w:type="dxa"/>
          </w:tblCellMar>
        </w:tblPrEx>
        <w:tc>
          <w:tcPr>
            <w:tcW w:w="1531" w:type="dxa"/>
          </w:tcPr>
          <w:p w:rsidR="009C1C5A" w:rsidRPr="00896D4F" w:rsidRDefault="009C1C5A">
            <w:pPr>
              <w:spacing w:before="0" w:line="240" w:lineRule="exact"/>
              <w:ind w:right="-1"/>
              <w:jc w:val="left"/>
              <w:rPr>
                <w:sz w:val="16"/>
              </w:rPr>
            </w:pPr>
            <w:r w:rsidRPr="00896D4F">
              <w:rPr>
                <w:sz w:val="16"/>
              </w:rPr>
              <w:t>Miscellaneous</w:t>
            </w:r>
          </w:p>
        </w:tc>
        <w:tc>
          <w:tcPr>
            <w:tcW w:w="851" w:type="dxa"/>
          </w:tcPr>
          <w:p w:rsidR="009C1C5A" w:rsidRPr="00896D4F" w:rsidRDefault="009C1C5A">
            <w:pPr>
              <w:spacing w:before="0" w:line="240" w:lineRule="exact"/>
              <w:ind w:right="-1"/>
              <w:jc w:val="center"/>
              <w:rPr>
                <w:sz w:val="16"/>
              </w:rPr>
            </w:pPr>
            <w:r w:rsidRPr="00896D4F">
              <w:rPr>
                <w:sz w:val="16"/>
              </w:rPr>
              <w:t>36</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26</w:t>
            </w:r>
          </w:p>
        </w:tc>
        <w:tc>
          <w:tcPr>
            <w:tcW w:w="851" w:type="dxa"/>
          </w:tcPr>
          <w:p w:rsidR="009C1C5A" w:rsidRPr="00896D4F" w:rsidRDefault="009C1C5A">
            <w:pPr>
              <w:spacing w:before="0" w:line="240" w:lineRule="exact"/>
              <w:ind w:right="-1"/>
              <w:jc w:val="center"/>
              <w:rPr>
                <w:sz w:val="16"/>
              </w:rPr>
            </w:pPr>
            <w:r w:rsidRPr="00896D4F">
              <w:rPr>
                <w:sz w:val="16"/>
              </w:rPr>
              <w:t>4</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w:t>
            </w:r>
          </w:p>
        </w:tc>
        <w:tc>
          <w:tcPr>
            <w:tcW w:w="851" w:type="dxa"/>
          </w:tcPr>
          <w:p w:rsidR="009C1C5A" w:rsidRPr="00896D4F" w:rsidRDefault="009C1C5A">
            <w:pPr>
              <w:spacing w:before="0" w:line="240" w:lineRule="exact"/>
              <w:ind w:right="-1"/>
              <w:jc w:val="center"/>
              <w:rPr>
                <w:sz w:val="16"/>
              </w:rPr>
            </w:pPr>
            <w:r w:rsidRPr="00896D4F">
              <w:rPr>
                <w:sz w:val="16"/>
              </w:rPr>
              <w:t>66</w:t>
            </w:r>
          </w:p>
        </w:tc>
      </w:tr>
      <w:tr w:rsidR="00000000" w:rsidRPr="00896D4F">
        <w:tblPrEx>
          <w:tblCellMar>
            <w:top w:w="0" w:type="dxa"/>
            <w:bottom w:w="0" w:type="dxa"/>
          </w:tblCellMar>
        </w:tblPrEx>
        <w:tc>
          <w:tcPr>
            <w:tcW w:w="1531" w:type="dxa"/>
            <w:tcBorders>
              <w:bottom w:val="single" w:sz="4" w:space="0" w:color="auto"/>
            </w:tcBorders>
          </w:tcPr>
          <w:p w:rsidR="009C1C5A" w:rsidRPr="00896D4F" w:rsidRDefault="009C1C5A">
            <w:pPr>
              <w:spacing w:before="0" w:line="220" w:lineRule="exact"/>
              <w:jc w:val="left"/>
              <w:rPr>
                <w:sz w:val="16"/>
              </w:rPr>
            </w:pPr>
            <w:r w:rsidRPr="00896D4F">
              <w:rPr>
                <w:sz w:val="16"/>
              </w:rPr>
              <w:t>Complaints outside jurisdiction, com</w:t>
            </w:r>
            <w:r w:rsidRPr="00896D4F">
              <w:rPr>
                <w:sz w:val="16"/>
              </w:rPr>
              <w:softHyphen/>
              <w:t>plaints of obscure meaning</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76</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w:t>
            </w:r>
          </w:p>
        </w:tc>
        <w:tc>
          <w:tcPr>
            <w:tcW w:w="851" w:type="dxa"/>
            <w:tcBorders>
              <w:bottom w:val="single" w:sz="4" w:space="0" w:color="auto"/>
            </w:tcBorders>
          </w:tcPr>
          <w:p w:rsidR="009C1C5A" w:rsidRPr="00896D4F" w:rsidRDefault="009C1C5A">
            <w:pPr>
              <w:spacing w:before="0" w:line="240" w:lineRule="exact"/>
              <w:ind w:right="-1"/>
              <w:jc w:val="center"/>
              <w:rPr>
                <w:sz w:val="16"/>
              </w:rPr>
            </w:pPr>
            <w:r w:rsidRPr="00896D4F">
              <w:rPr>
                <w:sz w:val="16"/>
              </w:rPr>
              <w:t>76</w:t>
            </w:r>
          </w:p>
        </w:tc>
      </w:tr>
      <w:tr w:rsidR="00000000" w:rsidRPr="00896D4F">
        <w:tblPrEx>
          <w:tblCellMar>
            <w:top w:w="0" w:type="dxa"/>
            <w:bottom w:w="0" w:type="dxa"/>
          </w:tblCellMar>
        </w:tblPrEx>
        <w:tc>
          <w:tcPr>
            <w:tcW w:w="1531" w:type="dxa"/>
            <w:tcBorders>
              <w:top w:val="single" w:sz="4" w:space="0" w:color="auto"/>
              <w:bottom w:val="single" w:sz="4" w:space="0" w:color="auto"/>
            </w:tcBorders>
          </w:tcPr>
          <w:p w:rsidR="009C1C5A" w:rsidRPr="00896D4F" w:rsidRDefault="009C1C5A">
            <w:pPr>
              <w:spacing w:before="0" w:line="240" w:lineRule="exact"/>
              <w:ind w:right="-1"/>
              <w:jc w:val="left"/>
              <w:rPr>
                <w:sz w:val="16"/>
              </w:rPr>
            </w:pPr>
            <w:r w:rsidRPr="00896D4F">
              <w:rPr>
                <w:sz w:val="16"/>
              </w:rPr>
              <w:t>Total</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2 288</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64</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1 575</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452</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2</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1</w:t>
            </w:r>
          </w:p>
        </w:tc>
        <w:tc>
          <w:tcPr>
            <w:tcW w:w="851" w:type="dxa"/>
            <w:tcBorders>
              <w:top w:val="single" w:sz="4" w:space="0" w:color="auto"/>
              <w:bottom w:val="single" w:sz="4" w:space="0" w:color="auto"/>
            </w:tcBorders>
          </w:tcPr>
          <w:p w:rsidR="009C1C5A" w:rsidRPr="00896D4F" w:rsidRDefault="009C1C5A">
            <w:pPr>
              <w:spacing w:before="0" w:line="240" w:lineRule="exact"/>
              <w:ind w:right="-1"/>
              <w:jc w:val="center"/>
              <w:rPr>
                <w:b/>
                <w:sz w:val="16"/>
              </w:rPr>
            </w:pPr>
            <w:r w:rsidRPr="00896D4F">
              <w:rPr>
                <w:b/>
                <w:sz w:val="16"/>
              </w:rPr>
              <w:t>4 382</w:t>
            </w:r>
          </w:p>
        </w:tc>
      </w:tr>
    </w:tbl>
    <w:p w:rsidR="009C1C5A" w:rsidRPr="00896D4F" w:rsidRDefault="009C1C5A">
      <w:pPr>
        <w:pStyle w:val="Rubrik2"/>
      </w:pPr>
      <w:r w:rsidRPr="00896D4F">
        <w:t>Prosecutor convicted of misuse of office for freezing a bank account without legal grounds</w:t>
      </w:r>
    </w:p>
    <w:p w:rsidR="009C1C5A" w:rsidRPr="00896D4F" w:rsidRDefault="009C1C5A">
      <w:r w:rsidRPr="00896D4F">
        <w:t>(Registration number 2626-1999)</w:t>
      </w:r>
    </w:p>
    <w:p w:rsidR="009C1C5A" w:rsidRPr="00896D4F" w:rsidRDefault="009C1C5A">
      <w:pPr>
        <w:pStyle w:val="Rubrik3"/>
      </w:pPr>
      <w:r w:rsidRPr="00896D4F">
        <w:t>The complaint and the enquiry</w:t>
      </w:r>
    </w:p>
    <w:p w:rsidR="009C1C5A" w:rsidRPr="00896D4F" w:rsidRDefault="009C1C5A">
      <w:r w:rsidRPr="00896D4F">
        <w:t>In a complaint to the Parliamentary Ombudsman, R.A. alleged that during the preliminary investigation of an offence against the Copyright Act Anita Enocsson, a district prosecutor with the regional public prosecution office in Umeå (serving at the Sundsvall office), had been guilty of misuse of office by freezing his postal giro account without a valid decision.</w:t>
      </w:r>
    </w:p>
    <w:p w:rsidR="009C1C5A" w:rsidRPr="00896D4F" w:rsidRDefault="009C1C5A">
      <w:pPr>
        <w:pStyle w:val="Normaltindrag"/>
      </w:pPr>
      <w:r w:rsidRPr="00896D4F">
        <w:t xml:space="preserve">After analysis of certain </w:t>
      </w:r>
      <w:r w:rsidRPr="00896D4F">
        <w:rPr>
          <w:spacing w:val="-4"/>
        </w:rPr>
        <w:t xml:space="preserve">documents pertaining to the case, </w:t>
      </w:r>
      <w:r w:rsidRPr="00896D4F">
        <w:rPr>
          <w:i/>
          <w:spacing w:val="-4"/>
        </w:rPr>
        <w:t>the Chief</w:t>
      </w:r>
      <w:r w:rsidRPr="00896D4F">
        <w:rPr>
          <w:i/>
        </w:rPr>
        <w:t xml:space="preserve"> Parlia</w:t>
      </w:r>
      <w:r w:rsidRPr="00896D4F">
        <w:rPr>
          <w:i/>
        </w:rPr>
        <w:softHyphen/>
        <w:t xml:space="preserve">mentary Ombudsman, Mr. Eklundh, </w:t>
      </w:r>
      <w:r w:rsidRPr="00896D4F">
        <w:t>found grounds for assuming misuse of office as laid down in Chapter 20 Section 1 of the Penal Code in the course of the investigation. On 3 September 1999 he decided to initiate a preliminary enquiry to determine whether such an offence had been commi</w:t>
      </w:r>
      <w:r w:rsidRPr="00896D4F">
        <w:t>t</w:t>
      </w:r>
      <w:r w:rsidRPr="00896D4F">
        <w:t>ted.</w:t>
      </w:r>
    </w:p>
    <w:p w:rsidR="009C1C5A" w:rsidRPr="00896D4F" w:rsidRDefault="009C1C5A">
      <w:pPr>
        <w:pStyle w:val="Normaltindrag"/>
      </w:pPr>
      <w:r w:rsidRPr="00896D4F">
        <w:t xml:space="preserve">On completion of this enquiry, </w:t>
      </w:r>
      <w:r w:rsidRPr="00896D4F">
        <w:rPr>
          <w:i/>
        </w:rPr>
        <w:t xml:space="preserve">the Chief Parliamentary Ombudsman, Mr. Eklundh, </w:t>
      </w:r>
      <w:r w:rsidRPr="00896D4F">
        <w:t xml:space="preserve">decided to initiate proceedings in Sundsvall District Court against Anita Enocsson on a charge of misuse of office in accordance with the </w:t>
      </w:r>
      <w:r w:rsidRPr="00896D4F">
        <w:br/>
        <w:t>foll</w:t>
      </w:r>
      <w:r w:rsidRPr="00896D4F">
        <w:softHyphen/>
        <w:t>ow</w:t>
      </w:r>
      <w:r w:rsidRPr="00896D4F">
        <w:softHyphen/>
        <w:t>ing description of the crime.</w:t>
      </w:r>
    </w:p>
    <w:p w:rsidR="009C1C5A" w:rsidRPr="00896D4F" w:rsidRDefault="009C1C5A">
      <w:pPr>
        <w:pStyle w:val="Normaltindrag"/>
      </w:pPr>
      <w:r w:rsidRPr="00896D4F">
        <w:t>Anita Enocsson, a district prosecutor, led the investigation conducted by the Sundsvall local prosecution office of case C-10-1300-98 concerning an offence against the Copyright Act. The suspected crime involved, among other things, the unlawful copying by R.A. of computer games and the</w:t>
      </w:r>
      <w:r w:rsidRPr="00896D4F">
        <w:t xml:space="preserve"> subs</w:t>
      </w:r>
      <w:r w:rsidRPr="00896D4F">
        <w:t>e</w:t>
      </w:r>
      <w:r w:rsidRPr="00896D4F">
        <w:t>quent sale of these copies. In a document dated 16 October 1998 to the se</w:t>
      </w:r>
      <w:r w:rsidRPr="00896D4F">
        <w:t>c</w:t>
      </w:r>
      <w:r w:rsidRPr="00896D4F">
        <w:t>tion of Postgiro Bank in Stockholm responsible for freezing accounts, Anita Enocsson requested that no direct withdrawals or withdrawals of any other kind from the account of R.A., account number – – –, should be permitted. Reference was made in this document to the preliminary investigation of a criminal offence and it was also stated that “it is suspected that the account is being used for unlawful purposes”.  Sten Burman, the</w:t>
      </w:r>
      <w:r w:rsidRPr="00896D4F">
        <w:t xml:space="preserve"> attorney appointed by the court to act as R.A’s defence counsel, submitted a written request that was received by the prosecution office on 11 March 1999 that the ban be lifted. In her written response to this request, dated 17 March 1999,  Anita Enocsson stated that the money in the account represented payment accruing from the sale of pirate copies and would be declared forfeit, and that she therefore had no intention of lifting the restrictions. In a provisional attachment hearing on 22  March 1999 in S</w:t>
      </w:r>
      <w:r w:rsidRPr="00896D4F">
        <w:t>undsvall District Court, case B 1647-98, she stated, a</w:t>
      </w:r>
      <w:r w:rsidRPr="00896D4F">
        <w:t>c</w:t>
      </w:r>
      <w:r w:rsidRPr="00896D4F">
        <w:t>cording the record of the court, among other things, that forfeiture of R.A’s postal giro account had never been an issue so there must have been a misu</w:t>
      </w:r>
      <w:r w:rsidRPr="00896D4F">
        <w:t>n</w:t>
      </w:r>
      <w:r w:rsidRPr="00896D4F">
        <w:t xml:space="preserve">derstanding between the prosecution office and Postgiro Bank in Stockholm and this was to be rectified immediately. The ban on withdrawals was lifted on the same day. </w:t>
      </w:r>
    </w:p>
    <w:p w:rsidR="009C1C5A" w:rsidRPr="00896D4F" w:rsidRDefault="009C1C5A">
      <w:pPr>
        <w:pStyle w:val="Normaltindrag"/>
      </w:pPr>
      <w:r w:rsidRPr="00896D4F">
        <w:t xml:space="preserve">The legal requirements to enable restriction of R.A’s right to dispose of this account as an investigative measure during a preliminary </w:t>
      </w:r>
      <w:r w:rsidRPr="00896D4F">
        <w:t>investigation were not fulfilled. As far as can be ascertained, there were no other legal grounds for such a measure. As a result of the actions of Anita Enocsson, therefore, R.A. was deprived of his right to dispose of the funds in the a</w:t>
      </w:r>
      <w:r w:rsidRPr="00896D4F">
        <w:t>c</w:t>
      </w:r>
      <w:r w:rsidRPr="00896D4F">
        <w:t>count from 19 October 1998 until 21 March 1999 without there being any basis in law for this measure. Anita Enocsson has, in other words, in the exe</w:t>
      </w:r>
      <w:r w:rsidRPr="00896D4F">
        <w:t>r</w:t>
      </w:r>
      <w:r w:rsidRPr="00896D4F">
        <w:t>cise of her authority disregarded through negligence the applicable prov</w:t>
      </w:r>
      <w:r w:rsidRPr="00896D4F">
        <w:t>i</w:t>
      </w:r>
      <w:r w:rsidRPr="00896D4F">
        <w:t>sions.</w:t>
      </w:r>
    </w:p>
    <w:p w:rsidR="009C1C5A" w:rsidRPr="00896D4F" w:rsidRDefault="009C1C5A">
      <w:pPr>
        <w:pStyle w:val="Rubrik3"/>
      </w:pPr>
      <w:r w:rsidRPr="00896D4F">
        <w:t>The judgment of Sundsvall District Court</w:t>
      </w:r>
    </w:p>
    <w:p w:rsidR="009C1C5A" w:rsidRPr="00896D4F" w:rsidRDefault="009C1C5A">
      <w:r w:rsidRPr="00896D4F">
        <w:t>In a judgment issued on 25 May 2000, Sundsvall District Court found Anita Enocsson guilty of misuse of office as charged and sentenced her to a fine of 30 day-fines.</w:t>
      </w:r>
    </w:p>
    <w:p w:rsidR="009C1C5A" w:rsidRPr="00896D4F" w:rsidRDefault="009C1C5A">
      <w:pPr>
        <w:pStyle w:val="Normaltindrag"/>
      </w:pPr>
      <w:r w:rsidRPr="00896D4F">
        <w:t xml:space="preserve">Under the heading </w:t>
      </w:r>
      <w:r w:rsidRPr="00896D4F">
        <w:rPr>
          <w:i/>
        </w:rPr>
        <w:t>Grounds for the judgment</w:t>
      </w:r>
      <w:r w:rsidRPr="00896D4F">
        <w:t>, the District Court made the following observations.</w:t>
      </w:r>
    </w:p>
    <w:p w:rsidR="009C1C5A" w:rsidRPr="00896D4F" w:rsidRDefault="009C1C5A">
      <w:pPr>
        <w:pStyle w:val="Normaltindrag"/>
      </w:pPr>
      <w:r w:rsidRPr="00896D4F">
        <w:t>Anita Enocsson has acknowledged the actual circumstances detailed in the first paragraph of the description of the offence but has contested the charge. In doing so, she claims that she did in fact have a legal basis for the restriction of R.A’s right to dispose of the funds in the account as an investigative me</w:t>
      </w:r>
      <w:r w:rsidRPr="00896D4F">
        <w:t>a</w:t>
      </w:r>
      <w:r w:rsidRPr="00896D4F">
        <w:t xml:space="preserve">sure by virtue of a decision that the funds should be taken into custody and a subsequent application for their provisional attachment. In addition, she </w:t>
      </w:r>
      <w:r w:rsidRPr="00896D4F">
        <w:br/>
        <w:t xml:space="preserve">claims that freezing the account occasioned R.A. no more than negligible injury and that invocation of the principle of proportionality should result in her being acquitted of the charge. Finally, she has objected that in any event the offence should be considered a minor one and should not therefore give rise to a conviction. </w:t>
      </w:r>
    </w:p>
    <w:p w:rsidR="009C1C5A" w:rsidRPr="00896D4F" w:rsidRDefault="009C1C5A">
      <w:pPr>
        <w:pStyle w:val="Normaltindrag"/>
      </w:pPr>
      <w:r w:rsidRPr="00896D4F">
        <w:t>In addition to Anita Enocss</w:t>
      </w:r>
      <w:r w:rsidRPr="00896D4F">
        <w:t>on’s testimony, the documentary evidence li</w:t>
      </w:r>
      <w:r w:rsidRPr="00896D4F">
        <w:t>s</w:t>
      </w:r>
      <w:r w:rsidRPr="00896D4F">
        <w:t>ted in Annex 1 (not included here, Ombudsman’s comment) has been su</w:t>
      </w:r>
      <w:r w:rsidRPr="00896D4F">
        <w:t>b</w:t>
      </w:r>
      <w:r w:rsidRPr="00896D4F">
        <w:t>mitted and examined.</w:t>
      </w:r>
    </w:p>
    <w:p w:rsidR="009C1C5A" w:rsidRPr="00896D4F" w:rsidRDefault="009C1C5A">
      <w:pPr>
        <w:pStyle w:val="Normaltindrag"/>
      </w:pPr>
      <w:r w:rsidRPr="00896D4F">
        <w:t>With regard to the circumstances disclosed by the proceedings, the District Court notes the following to begin with.  Anita Enocsson has served as a prosecutor since 1986. In 1992 she was appointed special prosecutor for env</w:t>
      </w:r>
      <w:r w:rsidRPr="00896D4F">
        <w:t>i</w:t>
      </w:r>
      <w:r w:rsidRPr="00896D4F">
        <w:t>ronmental offences and served in this capacity at the regional public prosec</w:t>
      </w:r>
      <w:r w:rsidRPr="00896D4F">
        <w:t>u</w:t>
      </w:r>
      <w:r w:rsidRPr="00896D4F">
        <w:t xml:space="preserve">tion office at Härnösand until the reorganisation of the prosecution service in 1996. Since then she has been working at the local prosecution office in Sundsvall, retaining special responsibility for environmental offences. One of the reasons why the case in question arose was that a group representing the interests of manufacturers of computer games, called MDTS, submitted a new complaint regarding a case that was pending after </w:t>
      </w:r>
      <w:r w:rsidRPr="00896D4F">
        <w:t xml:space="preserve">having purchased games through the Internet that turned out to have been copied. On 7 October 1998, Anita Enocsson decided that on the grounds of suspicion of an offence against the Copyright Act a search was to be made of premises belonging to R.A. in Söråker outside Sundsvall. This search took place on 8 October 1998, and led to the seizure of a large quantity of CD discs and computer equipment. R.A. was arrested on the same date and detained on the following day. He was released later, more precisely on </w:t>
      </w:r>
      <w:r w:rsidRPr="00896D4F">
        <w:t>22 October 1998, on the decision of the prosecutor. During the same period, another individual called P.H. was also detained on suspicion of involvement in the same criminal activities. On 16 October 1998, or in other words during the period in which R.A. was in cu</w:t>
      </w:r>
      <w:r w:rsidRPr="00896D4F">
        <w:t>s</w:t>
      </w:r>
      <w:r w:rsidRPr="00896D4F">
        <w:t>tody, Anita Enocsson requested in a letter headed “request for an account to be frozen” addressed to Postgiro Bank in Stockholm that no direct withdr</w:t>
      </w:r>
      <w:r w:rsidRPr="00896D4F">
        <w:t>a</w:t>
      </w:r>
      <w:r w:rsidRPr="00896D4F">
        <w:t>wals or withdrawals of any other kind should be permitted from R.A’s postal giro account, number</w:t>
      </w:r>
      <w:r w:rsidRPr="00896D4F">
        <w:t xml:space="preserve"> – – – “in connection with the investigation of a criminal offence” and also stated that “it is suspected that the account is being used for unlawful purposes”. The balance of the account, which was frozen on 19 October 1998, amounted to SEK 12,935.92. The letter to Postgiro Bank was not registered as outgoing post at the prosecution office. According to info</w:t>
      </w:r>
      <w:r w:rsidRPr="00896D4F">
        <w:t>r</w:t>
      </w:r>
      <w:r w:rsidRPr="00896D4F">
        <w:t>mation received, R.A. was recently sentenced to prison for an offence against the Copyright Act.</w:t>
      </w:r>
    </w:p>
    <w:p w:rsidR="009C1C5A" w:rsidRPr="00896D4F" w:rsidRDefault="009C1C5A">
      <w:pPr>
        <w:pStyle w:val="Normaltindrag"/>
      </w:pPr>
      <w:r w:rsidRPr="00896D4F">
        <w:t>With regard to the routines that apply to registratio</w:t>
      </w:r>
      <w:r w:rsidRPr="00896D4F">
        <w:t>n etc. at the prosecution office in Sundsvall, Anita Enocsson supplied the following information. In connection with the reorganisation in 1996 several of the administrative staff were made redundant. Previously two or three prosecutors had shared the services of one secretary, which meant that there was one more individual, apart from the prosecutor, who had a firm grip on cases. After the reorganis</w:t>
      </w:r>
      <w:r w:rsidRPr="00896D4F">
        <w:t>a</w:t>
      </w:r>
      <w:r w:rsidRPr="00896D4F">
        <w:t>tion, what was called a “general pool” was created. When a decision had been made, a copy was to be placed o</w:t>
      </w:r>
      <w:r w:rsidRPr="00896D4F">
        <w:t>n a shelf in a post room so that the office staff could deal with it and ensure that it was registered. The outcome of this case  had led to alteration of the routines so that there is now one duty administrator each day who can ensure immediate registration of decisions that need to be monitored.</w:t>
      </w:r>
    </w:p>
    <w:p w:rsidR="009C1C5A" w:rsidRPr="00896D4F" w:rsidRDefault="009C1C5A">
      <w:pPr>
        <w:pStyle w:val="Normaltindrag"/>
      </w:pPr>
      <w:r w:rsidRPr="00896D4F">
        <w:t xml:space="preserve">In addition, the remaining information submitted by Anita Enocsson can on the whole be summarised as follows.  The preliminary investigation dealt only with an offence against the Copyright Act. When the decision </w:t>
      </w:r>
      <w:r w:rsidRPr="00896D4F">
        <w:t>was made to carry out a search of premises there was however one line of investigation that indicated criminal activity in the form of computer theft and bootlegging.  The criminal intelligence service had in fact been tipped off about computers being carried backwards and forwards and mysterious vehicle movements in the area where the search was to take place, which consisted mainly of flats for retired people. She had, however, made it clear to the police officers that if they came across any other form o</w:t>
      </w:r>
      <w:r w:rsidRPr="00896D4F">
        <w:t>f criminal activity apart from offences against the Copyright Act, they were to contact her for new instructions. The police officers did contact here when the search was being made. She was told that the activities were considerably more extensive than they had beli</w:t>
      </w:r>
      <w:r w:rsidRPr="00896D4F">
        <w:t>e</w:t>
      </w:r>
      <w:r w:rsidRPr="00896D4F">
        <w:t>v</w:t>
      </w:r>
      <w:r w:rsidRPr="00896D4F">
        <w:softHyphen/>
        <w:t>ed with, for instance, three computers with CD-burners in operation and large quantities of CDs ready for delivery. The police made a video film of the flat in which the search took place which she was shown. All the equipment in the flat was</w:t>
      </w:r>
      <w:r w:rsidRPr="00896D4F">
        <w:t xml:space="preserve"> taken to the police station. When the seized property was analysed, a large number of postal giro vouchers issued to R.A. were discovered which specified amounts paid in to his account. There were also deposit slips to a postal giro account in P.H’s name. Postgiro Bank provided the information that the account in P.H’s name had been opened on 1 July 1998 and that up until October of the same year the balance had been about SEK 120,000. P.H. denied that the money in the account was his, claiming that he had</w:t>
      </w:r>
      <w:r w:rsidRPr="00896D4F">
        <w:t xml:space="preserve"> opened the account at R.A’s request. The account was later closed on P.H’s instructions. Anita Enocsson suspected for various reasons that the postal giro account in R.A’s name could have been used, at least in part, in these activities as a back-up or current account and that, in view of the extent of these activities, there could be other individuals who could make withdrawals. Copyright offences were not her “strong suit” but she saw the possibility of reaching firmer ground if it could be shown that R.</w:t>
      </w:r>
      <w:r w:rsidRPr="00896D4F">
        <w:t>A. had been carrying on some form of legal business activity and failed to keep proper accounts. This is why the provisions on forfeiture in Chapter 36 of the Penal Code were pertinent. R.A. claimed that he had been repairing video-games and selling accessories for them. It was, however, difficult to establish that R.A. had been conducting any kind of legitimate business. The fact that she had failed during the prel</w:t>
      </w:r>
      <w:r w:rsidRPr="00896D4F">
        <w:t>i</w:t>
      </w:r>
      <w:r w:rsidRPr="00896D4F">
        <w:t>minary investigation to refer to the existence of suspicion of crime in conne</w:t>
      </w:r>
      <w:r w:rsidRPr="00896D4F">
        <w:t>c</w:t>
      </w:r>
      <w:r w:rsidRPr="00896D4F">
        <w:t>tion with busi</w:t>
      </w:r>
      <w:r w:rsidRPr="00896D4F">
        <w:t>ness activities was due the fact that she was not used to being the subject of a preliminary investigation herself. – A list of transactions r</w:t>
      </w:r>
      <w:r w:rsidRPr="00896D4F">
        <w:t>e</w:t>
      </w:r>
      <w:r w:rsidRPr="00896D4F">
        <w:t>lated to the account was requested but it took a few days before the lists were available. From studying legal precedents and in other ways, she realised that the damages awarded in cases concerning breach of copyright could amount to large sums. However, no formal claims for damages had been submitted in this case. While R.A. was detained in custody she felt that sh</w:t>
      </w:r>
      <w:r w:rsidRPr="00896D4F">
        <w:t>e owed it to the aggrieved parties to check whether the money in the postal giro account could have derived from the production of pirate copies. In view of the possibility that others could withdraw money from the account, she asked Postgiro Bank what courses of action were open to her and was told that it was not unco</w:t>
      </w:r>
      <w:r w:rsidRPr="00896D4F">
        <w:t>m</w:t>
      </w:r>
      <w:r w:rsidRPr="00896D4F">
        <w:t>mon for an account to be frozen for a few days pending a decision. The idea of freezing the account originated therefore with Postgiro Bank. In this situ</w:t>
      </w:r>
      <w:r w:rsidRPr="00896D4F">
        <w:t>a</w:t>
      </w:r>
      <w:r w:rsidRPr="00896D4F">
        <w:t>tion she did not reflect any more cl</w:t>
      </w:r>
      <w:r w:rsidRPr="00896D4F">
        <w:t>osely on the legal implications of this me</w:t>
      </w:r>
      <w:r w:rsidRPr="00896D4F">
        <w:t>a</w:t>
      </w:r>
      <w:r w:rsidRPr="00896D4F">
        <w:t>sure but merely wanted to secure the amount. When she decided to freeze the account, she believed that it would play a significant role in the investigation of the crime as part of the preliminary investigation process. She wanted to gain control over the funds. This was the preliminary stage of a decision to attach them. The long-term aim was to safeguard the rights of the aggrieved parties. She was aware that freezing the account was not a lawful measure during t</w:t>
      </w:r>
      <w:r w:rsidRPr="00896D4F">
        <w:t>he investigation, but considered it to be a temporary measure pending a decision on provisional attachment. In addition, she knew that accounts had been frozen in other cases as a temporary measure without any prior decision on the use of coercive measures, with the property subsequently being taken into custody and provisional attachment applied for. As was customary, her decision was then placed on the shelf for registration. She does not know what happened thereafter, but she presumably was obliged to re</w:t>
      </w:r>
      <w:r w:rsidRPr="00896D4F">
        <w:t>trieve the file and did not then replace it so that the decision could be registered, as she should have done. For this reason the decision was not registered and was not therefore subject to monitoring. She then forgot about the frozen account. She did not personally inform R.A. or his counsel about the measure. When R.A. was later released, he contacted her, occasionally several times a day, and asked for the return of his possessions. On one occasion he also mentioned his money. She was then convinced th</w:t>
      </w:r>
      <w:r w:rsidRPr="00896D4F">
        <w:t>at he was referring to the money in the account belonging to P.H.  Even when she received the written request dated 10 March 1999 from Sten Burman she was still convinced that the postal giro account referred to was the one in the name of P.H.  The letter did not contain the number of the account. It was not until she received the letter dated 17 March 1999 from Sten Burman containing an account number she did not recognize that she realised that something was amiss. This account number was not listed in th</w:t>
      </w:r>
      <w:r w:rsidRPr="00896D4F">
        <w:t>e record of the property seized. She contacted Postgiro Bank and was informed that the account had been frozen at her request. This is why she said at the provisional attachment hearing that the account had been frozen as the result of a misunderstanding and re-opened the account. She found the document with the decision to freeze the account among a set of precedents while she was going through the case file. – As there were no investigators specialising in IT at Sundsvall at that time, as well as for othe</w:t>
      </w:r>
      <w:r w:rsidRPr="00896D4F">
        <w:t xml:space="preserve">r reasons,  she became involved to a much greater degree than normal in the practical administration of the case. In addition, at the same time she was in charge of a police raid that was being prepared in a case concerning imported motor vehicles. </w:t>
      </w:r>
    </w:p>
    <w:p w:rsidR="009C1C5A" w:rsidRPr="00896D4F" w:rsidRDefault="009C1C5A">
      <w:r w:rsidRPr="00896D4F">
        <w:t>The District Court finds as follows.</w:t>
      </w:r>
    </w:p>
    <w:p w:rsidR="009C1C5A" w:rsidRPr="00896D4F" w:rsidRDefault="009C1C5A">
      <w:r w:rsidRPr="00896D4F">
        <w:t>To begin with, it has been established that Anita Enocsson through her r</w:t>
      </w:r>
      <w:r w:rsidRPr="00896D4F">
        <w:t>e</w:t>
      </w:r>
      <w:r w:rsidRPr="00896D4F">
        <w:t>quest and the subsequent freezing of the account restricted R.A’s right to dispose of the funds in the account. It is also clear that Anita Enocsson had no legal grounds for having the account frozen in the way it was arranged.  In defence of her actions Anita Enocsson has claimed that, in the first case, she did have the legal possibility of restricting R.A’s access to the account as an investigative measure during the preliminary investigation by virtue of a dec</w:t>
      </w:r>
      <w:r w:rsidRPr="00896D4F">
        <w:t>i</w:t>
      </w:r>
      <w:r w:rsidRPr="00896D4F">
        <w:t>sion to take the funds into custody and th</w:t>
      </w:r>
      <w:r w:rsidRPr="00896D4F">
        <w:t>en request their provisional attac</w:t>
      </w:r>
      <w:r w:rsidRPr="00896D4F">
        <w:t>h</w:t>
      </w:r>
      <w:r w:rsidRPr="00896D4F">
        <w:t xml:space="preserve">ment. In other words, according to Anita Enocsson, there was the possibility within the framework of the coercive measures permitted in the process of law to restrict R.A’s right to dispose of the money in his account, even though she did not resort to it. The coercive measures that could have been lawfully invoked were taking custody of the funds and provisional attachment. </w:t>
      </w:r>
    </w:p>
    <w:p w:rsidR="009C1C5A" w:rsidRPr="00896D4F" w:rsidRDefault="009C1C5A">
      <w:pPr>
        <w:pStyle w:val="Normaltindrag"/>
      </w:pPr>
      <w:r w:rsidRPr="00896D4F">
        <w:t>Anita Enocsson has given various explanations of her reasons for arra</w:t>
      </w:r>
      <w:r w:rsidRPr="00896D4F">
        <w:t>n</w:t>
      </w:r>
      <w:r w:rsidRPr="00896D4F">
        <w:t>g</w:t>
      </w:r>
      <w:r w:rsidRPr="00896D4F">
        <w:softHyphen/>
        <w:t>ing to have the account frozen and at the main hearing she gave information about her motives for doing so that she had obviously not presented during the preliminary enquiry into the case. She claims, for instance, that when she decided to freeze the account, she considered that this would play a signif</w:t>
      </w:r>
      <w:r w:rsidRPr="00896D4F">
        <w:t>i</w:t>
      </w:r>
      <w:r w:rsidRPr="00896D4F">
        <w:t xml:space="preserve">cant role in the investigation of the crime as one of the investigative measures in her preliminary investigation. She has also maintained that the reason for freezing the account must have been the one </w:t>
      </w:r>
      <w:r w:rsidRPr="00896D4F">
        <w:t>stated in her written request to Postgiro Bank, which is that it was called for in connection with the prelim</w:t>
      </w:r>
      <w:r w:rsidRPr="00896D4F">
        <w:t>i</w:t>
      </w:r>
      <w:r w:rsidRPr="00896D4F">
        <w:t>nary investigation of a crime.</w:t>
      </w:r>
    </w:p>
    <w:p w:rsidR="009C1C5A" w:rsidRPr="00896D4F" w:rsidRDefault="009C1C5A">
      <w:pPr>
        <w:pStyle w:val="Normaltindrag"/>
      </w:pPr>
      <w:r w:rsidRPr="00896D4F">
        <w:t>The first paragraph of Chapter 27 Section 1 of the Code of Judicial Proc</w:t>
      </w:r>
      <w:r w:rsidRPr="00896D4F">
        <w:t>e</w:t>
      </w:r>
      <w:r w:rsidRPr="00896D4F">
        <w:t>dure, insofar as this is of relevance, enables seizure of objects that can reas</w:t>
      </w:r>
      <w:r w:rsidRPr="00896D4F">
        <w:t>o</w:t>
      </w:r>
      <w:r w:rsidRPr="00896D4F">
        <w:t>n</w:t>
      </w:r>
      <w:r w:rsidRPr="00896D4F">
        <w:softHyphen/>
        <w:t>ably be assumed to be of some significance for the investigation of a crime. It is obvious that this provision was not applicable in this case and Anita Enoc</w:t>
      </w:r>
      <w:r w:rsidRPr="00896D4F">
        <w:t>s</w:t>
      </w:r>
      <w:r w:rsidRPr="00896D4F">
        <w:t>son has also herself maintained, according to the entries in the record of the seizure, that there was never any question of seizing R.A’s postal giro a</w:t>
      </w:r>
      <w:r w:rsidRPr="00896D4F">
        <w:t>c</w:t>
      </w:r>
      <w:r w:rsidRPr="00896D4F">
        <w:t>count. There was, therefore, no basis in law for restricting R.A’s right to di</w:t>
      </w:r>
      <w:r w:rsidRPr="00896D4F">
        <w:t>s</w:t>
      </w:r>
      <w:r w:rsidRPr="00896D4F">
        <w:t xml:space="preserve">pose of the funds in the account as an </w:t>
      </w:r>
      <w:r w:rsidRPr="00896D4F">
        <w:t>investigative measure during a prelim</w:t>
      </w:r>
      <w:r w:rsidRPr="00896D4F">
        <w:t>i</w:t>
      </w:r>
      <w:r w:rsidRPr="00896D4F">
        <w:t xml:space="preserve">nary investigation. The question then remains of whether there were any legal grounds for provisional attachment of the funds. </w:t>
      </w:r>
    </w:p>
    <w:p w:rsidR="009C1C5A" w:rsidRPr="00896D4F" w:rsidRDefault="009C1C5A">
      <w:pPr>
        <w:pStyle w:val="Normaltindrag"/>
      </w:pPr>
      <w:r w:rsidRPr="00896D4F">
        <w:t xml:space="preserve">Anita Enocsson has claimed that the grounds for attachment of the funds were to guarantee any damages claimed by the aggrieved parties and also that R.A. could be suspected of a crime committed in the course of business so that forfeiture according to the provisions of Sections 1, 2 &amp; 4 of Chapter 36 of the Penal Code could be invoked. </w:t>
      </w:r>
    </w:p>
    <w:p w:rsidR="009C1C5A" w:rsidRPr="00896D4F" w:rsidRDefault="009C1C5A">
      <w:pPr>
        <w:pStyle w:val="Normaltindrag"/>
      </w:pPr>
      <w:r w:rsidRPr="00896D4F">
        <w:t>It has not transpired that any manifest claims for damages had been su</w:t>
      </w:r>
      <w:r w:rsidRPr="00896D4F">
        <w:t>b</w:t>
      </w:r>
      <w:r w:rsidRPr="00896D4F">
        <w:t>mitted when Anita Enocsson came to her decision that the account should be frozen. The investigation concerned an offence against the Copyright Act. The Copyright Act contains no provisions relating to forfeiture. Anita Enoc</w:t>
      </w:r>
      <w:r w:rsidRPr="00896D4F">
        <w:t>s</w:t>
      </w:r>
      <w:r w:rsidRPr="00896D4F">
        <w:t>son’s asseveration, which was obviously not made prior to the main hearing, that her decision was based on suspicion that R.A. had committed a crime in the course of business and that the provisions regarding forfeiture in the Penal Code could be invoked appears largely to be a post-ho</w:t>
      </w:r>
      <w:r w:rsidRPr="00896D4F">
        <w:t>c construction. Nor has she been able to present a more concrete account of the nature of the crime involved. Furthermore it is evident that any suspicion that may have arisen of such an offence had not become strong enough to prompt a decision to attach the funds. As far as has been shown, therefore, there was no legal justification for restricting R.A’s right to dispose of the funds in his account by acquiring custody of them.</w:t>
      </w:r>
    </w:p>
    <w:p w:rsidR="009C1C5A" w:rsidRPr="00896D4F" w:rsidRDefault="009C1C5A">
      <w:pPr>
        <w:pStyle w:val="Normaltindrag"/>
      </w:pPr>
      <w:r w:rsidRPr="00896D4F">
        <w:t>The District Court therefore finds that it has been shown that Anita Enoc</w:t>
      </w:r>
      <w:r w:rsidRPr="00896D4F">
        <w:t>s</w:t>
      </w:r>
      <w:r w:rsidRPr="00896D4F">
        <w:t xml:space="preserve">son’s decision to arrange for the account to be frozen had no basis in law and that the provisions applying to the use of coercive measures as part of the process of law provided no legal grounds for restricting R.A’s right to dispose of the funds in his account. R.A. has therefore been deprived of the right to dispose of these funds during the period described in the description of the offence without any basis in law. </w:t>
      </w:r>
    </w:p>
    <w:p w:rsidR="009C1C5A" w:rsidRPr="00896D4F" w:rsidRDefault="009C1C5A">
      <w:pPr>
        <w:pStyle w:val="Normaltindrag"/>
      </w:pPr>
      <w:r w:rsidRPr="00896D4F">
        <w:t>According to her own testimony, the idea of freezing the account was su</w:t>
      </w:r>
      <w:r w:rsidRPr="00896D4F">
        <w:t>g</w:t>
      </w:r>
      <w:r w:rsidRPr="00896D4F">
        <w:t>gested to Anita Enocsson by Postgiro Bank. It is clear that she did not cons</w:t>
      </w:r>
      <w:r w:rsidRPr="00896D4F">
        <w:t>i</w:t>
      </w:r>
      <w:r w:rsidRPr="00896D4F">
        <w:t xml:space="preserve">der any legal implications before arranging to have the account frozen. There can be no doubt that as an experienced prosecutor she was negligent in the exercise of her authority. To the extent that the principle of proportionality can be considered relevant in this context, its application cannot lead to Anita Enocsson’s acquittal of the charge of misuse of office. The degree of injury that R.A. may have sustained as a result of </w:t>
      </w:r>
      <w:r w:rsidRPr="00896D4F">
        <w:t xml:space="preserve">erroneous exercise of authority is a circumstance that must be taken into account in deciding whether the offence is a minor one or not. </w:t>
      </w:r>
    </w:p>
    <w:p w:rsidR="009C1C5A" w:rsidRPr="00896D4F" w:rsidRDefault="009C1C5A">
      <w:pPr>
        <w:pStyle w:val="Normaltindrag"/>
      </w:pPr>
      <w:r w:rsidRPr="00896D4F">
        <w:t>The question therefore is whether this offence should be considered a m</w:t>
      </w:r>
      <w:r w:rsidRPr="00896D4F">
        <w:t>i</w:t>
      </w:r>
      <w:r w:rsidRPr="00896D4F">
        <w:t xml:space="preserve">nor one and that Anita Enocsson should not therefore be convicted. </w:t>
      </w:r>
    </w:p>
    <w:p w:rsidR="009C1C5A" w:rsidRPr="00896D4F" w:rsidRDefault="009C1C5A">
      <w:pPr>
        <w:pStyle w:val="Normaltindrag"/>
      </w:pPr>
      <w:r w:rsidRPr="00896D4F">
        <w:t>Anita Enocsson is an experienced prosecutor and as such must have been familiar with the coercive measures that are permissible. As far as can be seen, she was not subject to any time pressure when she decided to freeze the account. Nor has it been shown that her workload on this occasion was n</w:t>
      </w:r>
      <w:r w:rsidRPr="00896D4F">
        <w:t>o</w:t>
      </w:r>
      <w:r w:rsidRPr="00896D4F">
        <w:t>tably burdensome. The outcome of her erroneous exercise of authority was that R.A. was deprived for five months of the right to dispose of the funds, amounting to almost SEK13,000, deposited in the account. This is in other words a relatively substantial sum of money that for a long period of time he was unable to dispose of. After making an overall assessment of these ci</w:t>
      </w:r>
      <w:r w:rsidRPr="00896D4F">
        <w:t>r</w:t>
      </w:r>
      <w:r w:rsidRPr="00896D4F">
        <w:t>cumstances and other factors pertaining to the case, the District Court finds that the offence cannot be considered a minor one. It ther</w:t>
      </w:r>
      <w:r w:rsidRPr="00896D4F">
        <w:t>efore finds Anita Enocsson guilty of misuse of office.</w:t>
      </w:r>
    </w:p>
    <w:p w:rsidR="009C1C5A" w:rsidRPr="00896D4F" w:rsidRDefault="009C1C5A">
      <w:r w:rsidRPr="00896D4F">
        <w:t>The only appropriate penalty is a fine.</w:t>
      </w:r>
    </w:p>
    <w:p w:rsidR="009C1C5A" w:rsidRPr="00896D4F" w:rsidRDefault="009C1C5A">
      <w:pPr>
        <w:pStyle w:val="Rubrik3"/>
      </w:pPr>
      <w:r w:rsidRPr="00896D4F">
        <w:t>Anita Enocsson’s appeal etc.</w:t>
      </w:r>
    </w:p>
    <w:p w:rsidR="009C1C5A" w:rsidRPr="00896D4F" w:rsidRDefault="009C1C5A">
      <w:r w:rsidRPr="00896D4F">
        <w:t xml:space="preserve">Anita Enocsson appealed the decision of the district court, one of her claims being that she should have been acquitted or, alternatively, that the penalty should be remitted. </w:t>
      </w:r>
    </w:p>
    <w:p w:rsidR="009C1C5A" w:rsidRPr="00896D4F" w:rsidRDefault="009C1C5A">
      <w:pPr>
        <w:pStyle w:val="Normaltindrag"/>
      </w:pPr>
      <w:r w:rsidRPr="00896D4F">
        <w:rPr>
          <w:i/>
        </w:rPr>
        <w:t>The Chief Parliamentary Ombudsman Mr. Eklundh</w:t>
      </w:r>
      <w:r w:rsidRPr="00896D4F">
        <w:t xml:space="preserve"> contested the appeal.</w:t>
      </w:r>
    </w:p>
    <w:p w:rsidR="009C1C5A" w:rsidRPr="00896D4F" w:rsidRDefault="009C1C5A">
      <w:pPr>
        <w:pStyle w:val="Normaltindrag"/>
      </w:pPr>
      <w:r w:rsidRPr="00896D4F">
        <w:t>The Appeal Court for Southern Norrland granted a review permit for the case.</w:t>
      </w:r>
    </w:p>
    <w:p w:rsidR="009C1C5A" w:rsidRPr="00896D4F" w:rsidRDefault="009C1C5A">
      <w:pPr>
        <w:pStyle w:val="Rubrik3"/>
      </w:pPr>
      <w:r w:rsidRPr="00896D4F">
        <w:t>The judgment of the Appeal Court for Southern Norrland</w:t>
      </w:r>
    </w:p>
    <w:p w:rsidR="009C1C5A" w:rsidRPr="00896D4F" w:rsidRDefault="009C1C5A">
      <w:r w:rsidRPr="00896D4F">
        <w:t>In a judgment issued on 24 October 2001 the Appeal Court upheld the dec</w:t>
      </w:r>
      <w:r w:rsidRPr="00896D4F">
        <w:t>i</w:t>
      </w:r>
      <w:r w:rsidRPr="00896D4F">
        <w:t>sion of the District Court.</w:t>
      </w:r>
    </w:p>
    <w:p w:rsidR="009C1C5A" w:rsidRPr="00896D4F" w:rsidRDefault="009C1C5A">
      <w:pPr>
        <w:pStyle w:val="Normaltindrag"/>
      </w:pPr>
      <w:r w:rsidRPr="00896D4F">
        <w:t>The grounds cited for its judgment contained the following observations.</w:t>
      </w:r>
    </w:p>
    <w:p w:rsidR="009C1C5A" w:rsidRPr="00896D4F" w:rsidRDefault="009C1C5A">
      <w:pPr>
        <w:pStyle w:val="Normaltindrag"/>
      </w:pPr>
      <w:r w:rsidRPr="00896D4F">
        <w:t>Anita Enocsson has entered the same plea as in the District Court. In add</w:t>
      </w:r>
      <w:r w:rsidRPr="00896D4F">
        <w:t>i</w:t>
      </w:r>
      <w:r w:rsidRPr="00896D4F">
        <w:t>tion to her testimony in the District Court – according to the account prese</w:t>
      </w:r>
      <w:r w:rsidRPr="00896D4F">
        <w:t>n</w:t>
      </w:r>
      <w:r w:rsidRPr="00896D4F">
        <w:t>t</w:t>
      </w:r>
      <w:r w:rsidRPr="00896D4F">
        <w:softHyphen/>
        <w:t>ed in its judgment – the following is the substance of what has been mainta</w:t>
      </w:r>
      <w:r w:rsidRPr="00896D4F">
        <w:t>i</w:t>
      </w:r>
      <w:r w:rsidRPr="00896D4F">
        <w:t>n</w:t>
      </w:r>
      <w:r w:rsidRPr="00896D4F">
        <w:softHyphen/>
        <w:t>ed. When she asked for the account to be frozen, it was clear to her that the games manufacturers would, through MDTS, the group representing their interests, submit a claim for damages amounting to between SEK2–3 million. Her intention must have been to submit an application for provisional attac</w:t>
      </w:r>
      <w:r w:rsidRPr="00896D4F">
        <w:t>h</w:t>
      </w:r>
      <w:r w:rsidRPr="00896D4F">
        <w:t>ment to the District Court one or two days after freezi</w:t>
      </w:r>
      <w:r w:rsidRPr="00896D4F">
        <w:t>ng the account. MDTS decided, however, to wait upon the outcome of a case in which an accomplice of R.A. in the Stockholm region had been charged with offences against the Copyright Act. At the moment a civil suit is taking place between MDTS and R.A. and others, in which the damages claimed amount to over SEK4 million. – R.A. can have sustained no injury as a result of the freezing of his account as it was not until 10 March 1999 that he asked about the funds in the account and he incurred no loss of these</w:t>
      </w:r>
      <w:r w:rsidRPr="00896D4F">
        <w:t xml:space="preserve"> funds or the interest on them. – Offences of this type against the Copyright Act are infrequent and it was easy to make a mistake. Because of this it would at any rate be unreasonable to impose a penalty in this case. – At the moment she is on leave from her post as pros</w:t>
      </w:r>
      <w:r w:rsidRPr="00896D4F">
        <w:t>e</w:t>
      </w:r>
      <w:r w:rsidRPr="00896D4F">
        <w:t>cutor and has a different post in Härnösand.</w:t>
      </w:r>
    </w:p>
    <w:p w:rsidR="009C1C5A" w:rsidRPr="00896D4F" w:rsidRDefault="009C1C5A">
      <w:pPr>
        <w:pStyle w:val="Normaltindrag"/>
      </w:pPr>
      <w:r w:rsidRPr="00896D4F">
        <w:t>The written evidence submitted to the District Court has also been cited in the Appeal Court.</w:t>
      </w:r>
    </w:p>
    <w:p w:rsidR="009C1C5A" w:rsidRPr="00896D4F" w:rsidRDefault="009C1C5A">
      <w:pPr>
        <w:pStyle w:val="Rubrik4"/>
      </w:pPr>
      <w:r w:rsidRPr="00896D4F">
        <w:t>The findings of the Appeal Court</w:t>
      </w:r>
    </w:p>
    <w:p w:rsidR="009C1C5A" w:rsidRPr="00896D4F" w:rsidRDefault="009C1C5A">
      <w:r w:rsidRPr="00896D4F">
        <w:t>The substance of the charge against Anita Enocsson is that, even though the legal requirements for restricting R.A’s right to dispose of the funds in his account were not fulfilled, she submitted a request to Postgiro Bank that no direct withdrawals or withdrawals of any other kind from the account should be permitted – citing the preliminary investigation of a crime and the suspic</w:t>
      </w:r>
      <w:r w:rsidRPr="00896D4F">
        <w:t>i</w:t>
      </w:r>
      <w:r w:rsidRPr="00896D4F">
        <w:t>on that had arisen that the account was being used for unlawful activities. As a result of her request, R.A. was deprived of the right to dispose of the funds in his account during the period from 19 October 1998 until 21 March 1999. It is alleged in the charge that in doing so Anita Enocsson has in the exercise of her authority disregarded through negligence the applicable provisions.</w:t>
      </w:r>
    </w:p>
    <w:p w:rsidR="009C1C5A" w:rsidRPr="00896D4F" w:rsidRDefault="009C1C5A">
      <w:pPr>
        <w:pStyle w:val="Normaltindrag"/>
      </w:pPr>
      <w:r w:rsidRPr="00896D4F">
        <w:t>There can be no dispute that the enquiry has revealed that it was solely Anita Enocsson’s request to Postgiro Bank that le</w:t>
      </w:r>
      <w:r w:rsidRPr="00896D4F">
        <w:t>d to the freezing of the a</w:t>
      </w:r>
      <w:r w:rsidRPr="00896D4F">
        <w:t>c</w:t>
      </w:r>
      <w:r w:rsidRPr="00896D4F">
        <w:t>count, that it was later opened at her request, and that the import of this me</w:t>
      </w:r>
      <w:r w:rsidRPr="00896D4F">
        <w:t>a</w:t>
      </w:r>
      <w:r w:rsidRPr="00896D4F">
        <w:t>sure was that R.A. could not dispose of the funds during the period for which the a</w:t>
      </w:r>
      <w:r w:rsidRPr="00896D4F">
        <w:t>c</w:t>
      </w:r>
      <w:r w:rsidRPr="00896D4F">
        <w:t>count was frozen.</w:t>
      </w:r>
    </w:p>
    <w:p w:rsidR="009C1C5A" w:rsidRPr="00896D4F" w:rsidRDefault="009C1C5A">
      <w:pPr>
        <w:pStyle w:val="Normaltindrag"/>
      </w:pPr>
      <w:r w:rsidRPr="00896D4F">
        <w:t xml:space="preserve">Anita Enocsson has stated in the Court of Appeal that the intention of </w:t>
      </w:r>
      <w:r w:rsidRPr="00896D4F">
        <w:br/>
        <w:t>freez</w:t>
      </w:r>
      <w:r w:rsidRPr="00896D4F">
        <w:softHyphen/>
        <w:t>ing withdrawals from the account while permitting deposits, was to enable those who had received pirate copies of games and software, for i</w:t>
      </w:r>
      <w:r w:rsidRPr="00896D4F">
        <w:t>n</w:t>
      </w:r>
      <w:r w:rsidRPr="00896D4F">
        <w:t>stance, to continue to make payments into it. In view of this and in consider</w:t>
      </w:r>
      <w:r w:rsidRPr="00896D4F">
        <w:t>a</w:t>
      </w:r>
      <w:r w:rsidRPr="00896D4F">
        <w:t>tion of what has otherwise been revealed in the proceedings, the Court of Appeal finds no evidence to suggest that the criminal activities of which R.A. was suspected that were referred to in the request for the account to be frozen comprised anything more than the offence against the C</w:t>
      </w:r>
      <w:r w:rsidRPr="00896D4F">
        <w:t>opyright Act. Ther</w:t>
      </w:r>
      <w:r w:rsidRPr="00896D4F">
        <w:t>e</w:t>
      </w:r>
      <w:r w:rsidRPr="00896D4F">
        <w:t xml:space="preserve">fore in applying the process of law the only form of coercive action open to Anita Enocsson was to seize the funds in the account. </w:t>
      </w:r>
    </w:p>
    <w:p w:rsidR="009C1C5A" w:rsidRPr="00896D4F" w:rsidRDefault="009C1C5A">
      <w:pPr>
        <w:pStyle w:val="Normaltindrag"/>
      </w:pPr>
      <w:r w:rsidRPr="00896D4F">
        <w:t>According to Anita Enocsson’s own statement, taking custody of the funds was intended to guarantee the execution of a claim for damages submitted by the aggrieved person. When objects are taken into custody on these grounds, a request for provisional attachment must be submitted within five days as provided by Chapter 26 of the Code of Judicial Procedure. A p</w:t>
      </w:r>
      <w:r w:rsidRPr="00896D4F">
        <w:t xml:space="preserve">rosecutor is only empowered to submit such an application if notification of such a claim has been received from the aggrieved person. If no application for provisional attachment is made, the property must be returned without delay to its owner. However, no application for provisional attachment was made and it has not been shown that the prosecutor was notified of any claim for damages. </w:t>
      </w:r>
    </w:p>
    <w:p w:rsidR="009C1C5A" w:rsidRPr="00896D4F" w:rsidRDefault="009C1C5A">
      <w:pPr>
        <w:pStyle w:val="Normaltindrag"/>
      </w:pPr>
      <w:r w:rsidRPr="00896D4F">
        <w:t>The decision to take custody of sums of money requires, in view of the l</w:t>
      </w:r>
      <w:r w:rsidRPr="00896D4F">
        <w:t>i</w:t>
      </w:r>
      <w:r w:rsidRPr="00896D4F">
        <w:t>mited time allowed for submission of an application for provisional attac</w:t>
      </w:r>
      <w:r w:rsidRPr="00896D4F">
        <w:t>h</w:t>
      </w:r>
      <w:r w:rsidRPr="00896D4F">
        <w:t>ment, not only registration of the decision but also the initiation of measures to ensure that the time limit can be complied with. No examination of the routines at the prosecution office for monitoring time limits has been made in this case. The contents of the document could hardly have prompted any member of the prosecution office’s staff other than Anita Enocsson to take the initiative to ensure that this time limit was observed</w:t>
      </w:r>
      <w:r w:rsidRPr="00896D4F">
        <w:t xml:space="preserve"> and it is obvious that she did not take any such initiative herself. </w:t>
      </w:r>
    </w:p>
    <w:p w:rsidR="009C1C5A" w:rsidRPr="00896D4F" w:rsidRDefault="009C1C5A">
      <w:pPr>
        <w:pStyle w:val="Normaltindrag"/>
      </w:pPr>
      <w:r w:rsidRPr="00896D4F">
        <w:t>In view of the above, the judgment of the Court of Appeal is that Anita Enocsson’s request to Postgiro Bank that the account should be frozen does not constitute and cannot be equated with a decision to take custody of pr</w:t>
      </w:r>
      <w:r w:rsidRPr="00896D4F">
        <w:t>o</w:t>
      </w:r>
      <w:r w:rsidRPr="00896D4F">
        <w:t>perty. As the District Court found, it cannot, therefore, be considered that there was any basis in law for imposing restrictions on R.A’s right to dispose of the funds in his account.</w:t>
      </w:r>
    </w:p>
    <w:p w:rsidR="009C1C5A" w:rsidRPr="00896D4F" w:rsidRDefault="009C1C5A">
      <w:pPr>
        <w:pStyle w:val="Normaltindrag"/>
      </w:pPr>
      <w:r w:rsidRPr="00896D4F">
        <w:t>The Court of Appeal concurs with the judgment of the District Court that Anita Enocsson, as described in the charge and accounted for above, as a result of negligence in the exercise of her authority has disregarded the prov</w:t>
      </w:r>
      <w:r w:rsidRPr="00896D4F">
        <w:t>i</w:t>
      </w:r>
      <w:r w:rsidRPr="00896D4F">
        <w:t>sions applying to the case and that her offence cannot be considered to be merely minor. The circumstance that the employees of Postgiro Bank may perhaps not be obliged to comply with a prosecutor’s request for the freezing of an account has, in the opinion of the Court of Appeal, no significance for this assessment. Anita Enocsson cannot therefore be acquitted of misuse of office.</w:t>
      </w:r>
    </w:p>
    <w:p w:rsidR="009C1C5A" w:rsidRPr="00896D4F" w:rsidRDefault="009C1C5A">
      <w:pPr>
        <w:pStyle w:val="Normaltindrag"/>
      </w:pPr>
      <w:r w:rsidRPr="00896D4F">
        <w:t xml:space="preserve">Neither Anita Enocsson’s own testimony nor what has otherwise come to light justifies her exemption from sanction as provided </w:t>
      </w:r>
      <w:r w:rsidRPr="00896D4F">
        <w:t>by Section 6 of Cha</w:t>
      </w:r>
      <w:r w:rsidRPr="00896D4F">
        <w:t>p</w:t>
      </w:r>
      <w:r w:rsidRPr="00896D4F">
        <w:t xml:space="preserve">ter 29 of the Penal Code. </w:t>
      </w:r>
    </w:p>
    <w:p w:rsidR="009C1C5A" w:rsidRPr="00896D4F" w:rsidRDefault="009C1C5A">
      <w:pPr>
        <w:pStyle w:val="Normaltindrag"/>
      </w:pPr>
      <w:r w:rsidRPr="00896D4F">
        <w:t xml:space="preserve">The judgment of the District Court on these points is to be upheld. </w:t>
      </w:r>
    </w:p>
    <w:p w:rsidR="009C1C5A" w:rsidRPr="00896D4F" w:rsidRDefault="009C1C5A">
      <w:pPr>
        <w:pStyle w:val="Rubrik2"/>
      </w:pPr>
      <w:r w:rsidRPr="00896D4F">
        <w:t>Complaint against Råby Youth Residential Centre concerning the “segregation” of inmates without any legal basis</w:t>
      </w:r>
    </w:p>
    <w:p w:rsidR="009C1C5A" w:rsidRPr="00896D4F" w:rsidRDefault="009C1C5A">
      <w:pPr>
        <w:spacing w:before="0"/>
      </w:pPr>
      <w:r w:rsidRPr="00896D4F">
        <w:t>(Registration number 1036-2000)</w:t>
      </w:r>
    </w:p>
    <w:p w:rsidR="009C1C5A" w:rsidRPr="00896D4F" w:rsidRDefault="009C1C5A">
      <w:pPr>
        <w:pStyle w:val="Rubrik3"/>
        <w:spacing w:before="120"/>
      </w:pPr>
      <w:r w:rsidRPr="00896D4F">
        <w:t>Background</w:t>
      </w:r>
    </w:p>
    <w:p w:rsidR="009C1C5A" w:rsidRPr="00896D4F" w:rsidRDefault="009C1C5A">
      <w:r w:rsidRPr="00896D4F">
        <w:t>In a letter to the board of control of the National Board of Institutional Care, Maria Hultén, who was employed as an on-call inspector at Råby Youth R</w:t>
      </w:r>
      <w:r w:rsidRPr="00896D4F">
        <w:t>e</w:t>
      </w:r>
      <w:r w:rsidRPr="00896D4F">
        <w:t>sidential Centre, pointed out that in repeated discussions at the centre diff</w:t>
      </w:r>
      <w:r w:rsidRPr="00896D4F">
        <w:t>e</w:t>
      </w:r>
      <w:r w:rsidRPr="00896D4F">
        <w:t>rent opinions had been expressed about what was to be considered as “segregation” and whether there was any legal basis for “placement in a room for special supervision”.  She therefore requested answers to the following questions.</w:t>
      </w:r>
    </w:p>
    <w:p w:rsidR="009C1C5A" w:rsidRPr="00896D4F" w:rsidRDefault="009C1C5A">
      <w:pPr>
        <w:tabs>
          <w:tab w:val="left" w:pos="284"/>
        </w:tabs>
      </w:pPr>
      <w:r w:rsidRPr="00896D4F">
        <w:t>1.</w:t>
      </w:r>
      <w:r w:rsidRPr="00896D4F">
        <w:tab/>
        <w:t>Does the law provide any form of support for this method of segregating one inmate in the centre for an unlimited period of time?</w:t>
      </w:r>
    </w:p>
    <w:p w:rsidR="009C1C5A" w:rsidRPr="00896D4F" w:rsidRDefault="009C1C5A">
      <w:pPr>
        <w:tabs>
          <w:tab w:val="left" w:pos="284"/>
        </w:tabs>
      </w:pPr>
      <w:r w:rsidRPr="00896D4F">
        <w:t>2.</w:t>
      </w:r>
      <w:r w:rsidRPr="00896D4F">
        <w:tab/>
        <w:t>Who will be held responsible if this is an erroneous proced</w:t>
      </w:r>
      <w:r w:rsidRPr="00896D4F">
        <w:t>u</w:t>
      </w:r>
      <w:r w:rsidRPr="00896D4F">
        <w:t>re?</w:t>
      </w:r>
    </w:p>
    <w:p w:rsidR="009C1C5A" w:rsidRPr="00896D4F" w:rsidRDefault="009C1C5A">
      <w:pPr>
        <w:tabs>
          <w:tab w:val="left" w:pos="284"/>
        </w:tabs>
      </w:pPr>
      <w:r w:rsidRPr="00896D4F">
        <w:t>3.</w:t>
      </w:r>
      <w:r w:rsidRPr="00896D4F">
        <w:tab/>
        <w:t>Can the possibility of segregating inmates be used for corrective purp</w:t>
      </w:r>
      <w:r w:rsidRPr="00896D4F">
        <w:t>o</w:t>
      </w:r>
      <w:r w:rsidRPr="00896D4F">
        <w:t>s</w:t>
      </w:r>
      <w:r w:rsidRPr="00896D4F">
        <w:softHyphen/>
        <w:t>es?</w:t>
      </w:r>
    </w:p>
    <w:p w:rsidR="009C1C5A" w:rsidRPr="00896D4F" w:rsidRDefault="009C1C5A">
      <w:r w:rsidRPr="00896D4F">
        <w:t xml:space="preserve">In her letter to the National Board of Institutional Care, Maria Hultén gave an account of the way in which the cases of two inmates at Råby, Y.N., born in 1981, and S.Å., born in 1982, had been dealt with. </w:t>
      </w:r>
    </w:p>
    <w:p w:rsidR="009C1C5A" w:rsidRPr="00896D4F" w:rsidRDefault="009C1C5A">
      <w:pPr>
        <w:pStyle w:val="Normaltindrag"/>
      </w:pPr>
      <w:r w:rsidRPr="00896D4F">
        <w:t xml:space="preserve">The response to Maria Hultén’s letter from Sören Öman, then the Senior Legal Officer at the National Board of Institutional Care, contained the </w:t>
      </w:r>
      <w:r w:rsidRPr="00896D4F">
        <w:br/>
        <w:t>foll</w:t>
      </w:r>
      <w:r w:rsidRPr="00896D4F">
        <w:t>o</w:t>
      </w:r>
      <w:r w:rsidRPr="00896D4F">
        <w:t xml:space="preserve">wing answers. </w:t>
      </w:r>
    </w:p>
    <w:p w:rsidR="009C1C5A" w:rsidRPr="00896D4F" w:rsidRDefault="009C1C5A">
      <w:pPr>
        <w:pStyle w:val="Citat"/>
      </w:pPr>
      <w:r w:rsidRPr="00896D4F">
        <w:t>The answer to your first question (1) is as follows. The kind of segregation referred to in Section 27 of the Social Services Ordinance requires among other things that the inmate is “segregated from others at the centre”. In the opinion of the National Board of Institutional Care the wording “others at the centre” includes both the staff and its inmates. Therefore, if inmates are co</w:t>
      </w:r>
      <w:r w:rsidRPr="00896D4F">
        <w:t>n</w:t>
      </w:r>
      <w:r w:rsidRPr="00896D4F">
        <w:t>fined together with members of the staff, this is not, in the view of the Nati</w:t>
      </w:r>
      <w:r w:rsidRPr="00896D4F">
        <w:t>o</w:t>
      </w:r>
      <w:r w:rsidRPr="00896D4F">
        <w:t>nal Board of Institutional Care a question of segregation as laid down in Se</w:t>
      </w:r>
      <w:r w:rsidRPr="00896D4F">
        <w:t>c</w:t>
      </w:r>
      <w:r w:rsidRPr="00896D4F">
        <w:t>tion 27 of the Social Services Ordinance. When it comes to restrictions on the movements of inmates other than segregation in accordance with Section 27 of the Social Services Ordinance, there is support for such measures for i</w:t>
      </w:r>
      <w:r w:rsidRPr="00896D4F">
        <w:t>n</w:t>
      </w:r>
      <w:r w:rsidRPr="00896D4F">
        <w:t>stance in Section 15 of the Care of Young Persons (Special Provisions) Act (1990:52), which provides for inmates to be prevente</w:t>
      </w:r>
      <w:r w:rsidRPr="00896D4F">
        <w:t xml:space="preserve">d from leaving a centre or subjected to other forms of restriction required for the administration of treatment or to ensure the safety of other inmates or members of the staff. </w:t>
      </w:r>
    </w:p>
    <w:p w:rsidR="009C1C5A" w:rsidRPr="00896D4F" w:rsidRDefault="009C1C5A">
      <w:pPr>
        <w:pStyle w:val="Citatindrag"/>
      </w:pPr>
      <w:r w:rsidRPr="00896D4F">
        <w:t>With regard to your second question (2), the answer depends on what kind of responsibility you consider the superintendent to have to the Board for ensuring, for instance, that the operations of the institution comply with the legislation in force.</w:t>
      </w:r>
    </w:p>
    <w:p w:rsidR="009C1C5A" w:rsidRPr="00896D4F" w:rsidRDefault="009C1C5A">
      <w:pPr>
        <w:pStyle w:val="Citatindrag"/>
      </w:pPr>
      <w:r w:rsidRPr="00896D4F">
        <w:t>The answer to your third question (3) is that segregation as laid down in Section 27 of the Social Services Ordinance – or any other coercive powers for that matter – may not be used in order to punish an inmate; it is quite another matter that, irrespective of its underlying intention, a measure can be regarded by an inmate as a form of punishment. The wording of Section 27 of the Social Services Ordinance suggests that the purpose of the legislation on segregation is to enable the maintenance of security</w:t>
      </w:r>
      <w:r w:rsidRPr="00896D4F">
        <w:t xml:space="preserve"> and order at the instit</w:t>
      </w:r>
      <w:r w:rsidRPr="00896D4F">
        <w:t>u</w:t>
      </w:r>
      <w:r w:rsidRPr="00896D4F">
        <w:t xml:space="preserve">tion. </w:t>
      </w:r>
    </w:p>
    <w:p w:rsidR="009C1C5A" w:rsidRPr="00896D4F" w:rsidRDefault="009C1C5A">
      <w:r w:rsidRPr="00896D4F">
        <w:t xml:space="preserve">In a complaint to the Parliamentary Ombudsman, Maria Hultén has requested an enquiry into the treatment of Y.N. and S.Å. at Råby Youth Residential Centre, in particular where the issue of segregation is concerned. In the complaint she expresses opinions on the response received from the National Board of Institutional Care and raises some issues she considers the response entails. </w:t>
      </w:r>
    </w:p>
    <w:p w:rsidR="009C1C5A" w:rsidRPr="00896D4F" w:rsidRDefault="009C1C5A">
      <w:pPr>
        <w:pStyle w:val="Normaltindrag"/>
      </w:pPr>
      <w:r w:rsidRPr="00896D4F">
        <w:t xml:space="preserve">Extracts from Råby Youth Residential Centre’s journals on Y.N. and S.Å. were attached to Maria Hultén’s complaint.  </w:t>
      </w:r>
    </w:p>
    <w:p w:rsidR="009C1C5A" w:rsidRPr="00896D4F" w:rsidRDefault="009C1C5A">
      <w:pPr>
        <w:pStyle w:val="Rubrik3"/>
      </w:pPr>
      <w:r w:rsidRPr="00896D4F">
        <w:t>The enquiry</w:t>
      </w:r>
    </w:p>
    <w:p w:rsidR="009C1C5A" w:rsidRPr="00896D4F" w:rsidRDefault="009C1C5A">
      <w:r w:rsidRPr="00896D4F">
        <w:t>After the complaint had been referred to Råby Youth Residential Centre, its superintendent, Lars Wetter, replied as follows.</w:t>
      </w:r>
    </w:p>
    <w:p w:rsidR="009C1C5A" w:rsidRPr="00896D4F" w:rsidRDefault="009C1C5A">
      <w:pPr>
        <w:pStyle w:val="Citat"/>
      </w:pPr>
      <w:r w:rsidRPr="00896D4F">
        <w:t>Onsjö emergency section has seven places. One of them is in what is known as the “Wing” (see attached plan) (</w:t>
      </w:r>
      <w:r w:rsidRPr="00896D4F">
        <w:rPr>
          <w:i/>
        </w:rPr>
        <w:t>omitted here, Ombudman’s comment)</w:t>
      </w:r>
      <w:r w:rsidRPr="00896D4F">
        <w:t>. It normally only has one occupant. This accommodation unit is close to a solit</w:t>
      </w:r>
      <w:r w:rsidRPr="00896D4F">
        <w:t>a</w:t>
      </w:r>
      <w:r w:rsidRPr="00896D4F">
        <w:t>ry confinement unit of a more traditional kind and also next to the section duty room. This seventh accommodation unit also has an additional day-room with its own seating, access to a television, and a small vestibule with adj</w:t>
      </w:r>
      <w:r w:rsidRPr="00896D4F">
        <w:t>a</w:t>
      </w:r>
      <w:r w:rsidRPr="00896D4F">
        <w:t>cent shower and toilet. The unit has two exits, which are kept locked when there are no members of the staff with the inmates or when the staff office is unmanned. One ex</w:t>
      </w:r>
      <w:r w:rsidRPr="00896D4F">
        <w:t>it leads into the section’s exercise room and the other into a fenced outdoor area. This part of the building forms an independent unit, which enables it be used to accommodate one inmate and also for solitary confinement in the sp</w:t>
      </w:r>
      <w:r w:rsidRPr="00896D4F">
        <w:t>e</w:t>
      </w:r>
      <w:r w:rsidRPr="00896D4F">
        <w:t xml:space="preserve">cial room equipped with a cell door. </w:t>
      </w:r>
    </w:p>
    <w:p w:rsidR="009C1C5A" w:rsidRPr="00896D4F" w:rsidRDefault="009C1C5A">
      <w:pPr>
        <w:pStyle w:val="Citat"/>
      </w:pPr>
      <w:r w:rsidRPr="00896D4F">
        <w:t>– – –</w:t>
      </w:r>
    </w:p>
    <w:p w:rsidR="009C1C5A" w:rsidRPr="00896D4F" w:rsidRDefault="009C1C5A">
      <w:pPr>
        <w:pStyle w:val="Citatindrag"/>
      </w:pPr>
      <w:r w:rsidRPr="00896D4F">
        <w:t>Nowadays greater emphasis is laid on treatment, so that custody and s</w:t>
      </w:r>
      <w:r w:rsidRPr="00896D4F">
        <w:t>u</w:t>
      </w:r>
      <w:r w:rsidRPr="00896D4F">
        <w:t xml:space="preserve">pervision have become ancillary to the task of providing care. Because of the high staff ratio and the few places for inmates in each unit (seven at Onsjö) the nature or the treatment offered has changed in recent years. Formerly it was more traditionally institutional and inmates were treated in groups, but developments have led to a more personal approach with treatment tailored to individual needs. </w:t>
      </w:r>
    </w:p>
    <w:p w:rsidR="009C1C5A" w:rsidRPr="00896D4F" w:rsidRDefault="009C1C5A">
      <w:pPr>
        <w:pStyle w:val="Citatindrag"/>
      </w:pPr>
      <w:r w:rsidRPr="00896D4F">
        <w:t>This broadening and intensification of treatment has made it possible to focus measures more individually</w:t>
      </w:r>
      <w:r w:rsidRPr="00896D4F">
        <w:t xml:space="preserve"> and accommodate inmates in small groups. The traditional institutional environment has been shown to contain certain destructive features, and therefore a higher degree of individual adaptation has helped to raise quality. Because the degree of maturity, interests and n</w:t>
      </w:r>
      <w:r w:rsidRPr="00896D4F">
        <w:t>e</w:t>
      </w:r>
      <w:r w:rsidRPr="00896D4F">
        <w:t>eds of these young people often vary, it is inappropriate to organise certain activities or forms of treatment on a group basis. For instance, in situations involving confrontation and refusal to compromise, which lead to aggression and con</w:t>
      </w:r>
      <w:r w:rsidRPr="00896D4F">
        <w:t>flict, individual solutions that are more tactful and gentler are often more suitable. This has played a not insignificant role in avoiding the use of segregation as laid down in Section 27 of the Social Services Ordinance. The susceptibility of young people of this kind to stress and frustration and the difficulties they often experience in conforming to groups and adopting a</w:t>
      </w:r>
      <w:r w:rsidRPr="00896D4F">
        <w:t>p</w:t>
      </w:r>
      <w:r w:rsidRPr="00896D4F">
        <w:t>propriate group behaviour mean that staff have to be highly flexible and r</w:t>
      </w:r>
      <w:r w:rsidRPr="00896D4F">
        <w:t>e</w:t>
      </w:r>
      <w:r w:rsidRPr="00896D4F">
        <w:t>ceptive in order to avoid the occu</w:t>
      </w:r>
      <w:r w:rsidRPr="00896D4F">
        <w:t>r</w:t>
      </w:r>
      <w:r w:rsidRPr="00896D4F">
        <w:t xml:space="preserve">rence of violence. </w:t>
      </w:r>
    </w:p>
    <w:p w:rsidR="009C1C5A" w:rsidRPr="00896D4F" w:rsidRDefault="009C1C5A">
      <w:pPr>
        <w:pStyle w:val="Citatindrag"/>
      </w:pPr>
      <w:r w:rsidRPr="00896D4F">
        <w:t>Fo</w:t>
      </w:r>
      <w:r w:rsidRPr="00896D4F">
        <w:t>r the above reasons, we often refrain from resorting to segregation in its traditional form and choose instead a gentler and more welcoming and dign</w:t>
      </w:r>
      <w:r w:rsidRPr="00896D4F">
        <w:t>i</w:t>
      </w:r>
      <w:r w:rsidRPr="00896D4F">
        <w:t>fied form of accommodation which provides the necessary enclosure. We consider that it is a healthy development that we can “section” the accomm</w:t>
      </w:r>
      <w:r w:rsidRPr="00896D4F">
        <w:t>o</w:t>
      </w:r>
      <w:r w:rsidRPr="00896D4F">
        <w:t xml:space="preserve">dation offered in this form of collective residence. </w:t>
      </w:r>
    </w:p>
    <w:p w:rsidR="009C1C5A" w:rsidRPr="00896D4F" w:rsidRDefault="009C1C5A">
      <w:pPr>
        <w:pStyle w:val="Citatindrag"/>
      </w:pPr>
      <w:r w:rsidRPr="00896D4F">
        <w:t>In the enclosed section of a youth residential centre, threats and threat</w:t>
      </w:r>
      <w:r w:rsidRPr="00896D4F">
        <w:t>e</w:t>
      </w:r>
      <w:r w:rsidRPr="00896D4F">
        <w:t>ning behaviour occur frequently, and these lead at times to frequent violence (blows, kicks, verbal threats, refusals, etc.).</w:t>
      </w:r>
    </w:p>
    <w:p w:rsidR="009C1C5A" w:rsidRPr="00896D4F" w:rsidRDefault="009C1C5A">
      <w:pPr>
        <w:pStyle w:val="Citatindrag"/>
      </w:pPr>
      <w:r w:rsidRPr="00896D4F">
        <w:t>Not infrequently, one member of the staff is played off against another. The inmates attempt to further their own interests in different ways and gain advantages. In such cases, some members of the staff are singled out for co</w:t>
      </w:r>
      <w:r w:rsidRPr="00896D4F">
        <w:t>n</w:t>
      </w:r>
      <w:r w:rsidRPr="00896D4F">
        <w:t>frontation, while the others are allowed to “understand”, console and enco</w:t>
      </w:r>
      <w:r w:rsidRPr="00896D4F">
        <w:t>u</w:t>
      </w:r>
      <w:r w:rsidRPr="00896D4F">
        <w:t>r</w:t>
      </w:r>
      <w:r w:rsidRPr="00896D4F">
        <w:softHyphen/>
        <w:t xml:space="preserve">age. </w:t>
      </w:r>
    </w:p>
    <w:p w:rsidR="009C1C5A" w:rsidRPr="00896D4F" w:rsidRDefault="009C1C5A">
      <w:pPr>
        <w:pStyle w:val="Citat"/>
      </w:pPr>
      <w:r w:rsidRPr="00896D4F">
        <w:t>– – –</w:t>
      </w:r>
    </w:p>
    <w:p w:rsidR="009C1C5A" w:rsidRPr="00896D4F" w:rsidRDefault="009C1C5A">
      <w:pPr>
        <w:pStyle w:val="Citat"/>
      </w:pPr>
      <w:r w:rsidRPr="00896D4F">
        <w:t>The reasons and justification for the individual placement in the cases in question:</w:t>
      </w:r>
    </w:p>
    <w:p w:rsidR="009C1C5A" w:rsidRPr="00896D4F" w:rsidRDefault="009C1C5A">
      <w:pPr>
        <w:pStyle w:val="Citat"/>
      </w:pPr>
      <w:r w:rsidRPr="00896D4F">
        <w:t>1. Y.N.</w:t>
      </w:r>
    </w:p>
    <w:p w:rsidR="009C1C5A" w:rsidRPr="00896D4F" w:rsidRDefault="009C1C5A">
      <w:pPr>
        <w:pStyle w:val="Citat"/>
      </w:pPr>
      <w:r w:rsidRPr="00896D4F">
        <w:t>As an active substance abuser who had great difficulty in functioning in a socially acceptable way, for instance through unprovoked attacks on members of the staff, Y.N. was in a very difficult predicament. He was highly irritable, his behaviour and mood unpredictable, so that he was difficult to cope with in the section along with the other inmates. This form of accommodation was inappropriate and caused problems both for Y.N. himself and for the other members of the group. It was felt more suitable to pl</w:t>
      </w:r>
      <w:r w:rsidRPr="00896D4F">
        <w:t>ace Y.N. in the “Wing” with contacts with the staff and regular supervision and also at this stage to restrict his contact with the other i</w:t>
      </w:r>
      <w:r w:rsidRPr="00896D4F">
        <w:t>n</w:t>
      </w:r>
      <w:r w:rsidRPr="00896D4F">
        <w:t>mates.</w:t>
      </w:r>
    </w:p>
    <w:p w:rsidR="009C1C5A" w:rsidRPr="00896D4F" w:rsidRDefault="009C1C5A">
      <w:pPr>
        <w:pStyle w:val="Citatindrag"/>
      </w:pPr>
      <w:r w:rsidRPr="00896D4F">
        <w:t>The “Wing” makes it possible to divide the section and the inmates up into two. Both forms of division take place on the same terms. Lack of contact with the other inmates makes those placed on their own more dependent on contact with the staff. Once every hour, therefore, Y.N. was offered the po</w:t>
      </w:r>
      <w:r w:rsidRPr="00896D4F">
        <w:t>s</w:t>
      </w:r>
      <w:r w:rsidRPr="00896D4F">
        <w:t>sibility of going out into the open air. Other activities, such as conversation, table tennis and other forms of physical activity, access to a computer etc, either in the section or elsewhere, took place as often as required or were otherwise felt appropriate.</w:t>
      </w:r>
    </w:p>
    <w:p w:rsidR="009C1C5A" w:rsidRPr="00896D4F" w:rsidRDefault="009C1C5A">
      <w:pPr>
        <w:pStyle w:val="Citat"/>
      </w:pPr>
      <w:r w:rsidRPr="00896D4F">
        <w:t>2. S.Å.</w:t>
      </w:r>
    </w:p>
    <w:p w:rsidR="009C1C5A" w:rsidRPr="00896D4F" w:rsidRDefault="009C1C5A">
      <w:pPr>
        <w:pStyle w:val="Citat"/>
      </w:pPr>
      <w:r w:rsidRPr="00896D4F">
        <w:t>Onsjö is an emergency section and receives young people of both sexes. They are not allowed to develop sexual relationships. The high ratio of staff is co</w:t>
      </w:r>
      <w:r w:rsidRPr="00896D4F">
        <w:t>n</w:t>
      </w:r>
      <w:r w:rsidRPr="00896D4F">
        <w:t>sidered to enable control of the situation and adequate supe</w:t>
      </w:r>
      <w:r w:rsidRPr="00896D4F">
        <w:t>r</w:t>
      </w:r>
      <w:r w:rsidRPr="00896D4F">
        <w:t xml:space="preserve">vision. </w:t>
      </w:r>
    </w:p>
    <w:p w:rsidR="009C1C5A" w:rsidRPr="00896D4F" w:rsidRDefault="009C1C5A">
      <w:pPr>
        <w:pStyle w:val="Citatindrag"/>
      </w:pPr>
      <w:r w:rsidRPr="00896D4F">
        <w:t>In a situation in which S.Å. was exerting undue pressure on the female i</w:t>
      </w:r>
      <w:r w:rsidRPr="00896D4F">
        <w:t>n</w:t>
      </w:r>
      <w:r w:rsidRPr="00896D4F">
        <w:t>mates of the section and making sexual advances in various ways with verbal threats, he was placed in the “Wing”.  Contact with the rest of the group and participation in group activities thereafter were only allowed to a restricted extent and in more controlled forms. S.Å. participated in activities with the other boys in the section and was not, therefore, confined to the “Wing”. He too was offered the same opportunities of  getting out into the open air each hour, or the possibility of some other form o</w:t>
      </w:r>
      <w:r w:rsidRPr="00896D4F">
        <w:t>f suitable activity, treatment or the like as in the case described above.</w:t>
      </w:r>
    </w:p>
    <w:p w:rsidR="009C1C5A" w:rsidRPr="00896D4F" w:rsidRDefault="009C1C5A">
      <w:pPr>
        <w:pStyle w:val="Citatindrag"/>
      </w:pPr>
      <w:r w:rsidRPr="00896D4F">
        <w:t>The periods of placement listed in the complaint are correct.</w:t>
      </w:r>
    </w:p>
    <w:p w:rsidR="009C1C5A" w:rsidRPr="00896D4F" w:rsidRDefault="009C1C5A">
      <w:pPr>
        <w:pStyle w:val="Citatindrag"/>
      </w:pPr>
      <w:r w:rsidRPr="00896D4F">
        <w:t>As we consider that the unit referred to as the “Wing” forms part of the section, we do not consider that placement there constitutes segregation even though its doors are at time kept locked. During the night, for instance, when there are only security staff on duty, the doors to the inmates’ accommodation are locked. This means that one of the seven inmates residing in the section is accommodated in a separate unit, without co</w:t>
      </w:r>
      <w:r w:rsidRPr="00896D4F">
        <w:t>n</w:t>
      </w:r>
      <w:r w:rsidRPr="00896D4F">
        <w:t>tact with the other inmates.</w:t>
      </w:r>
    </w:p>
    <w:p w:rsidR="009C1C5A" w:rsidRPr="00896D4F" w:rsidRDefault="009C1C5A">
      <w:pPr>
        <w:pStyle w:val="Citat"/>
      </w:pPr>
      <w:r w:rsidRPr="00896D4F">
        <w:t>– – –</w:t>
      </w:r>
    </w:p>
    <w:p w:rsidR="009C1C5A" w:rsidRPr="00896D4F" w:rsidRDefault="009C1C5A">
      <w:pPr>
        <w:pStyle w:val="Citat"/>
      </w:pPr>
      <w:r w:rsidRPr="00896D4F">
        <w:t>The above inmates have not been kept in segregation in the manner referred to in Section 27 of the Social Services Ordinance except when it has been decided to do so. Restriction of their contacts with other inmates has been based on the requirements of their treatment and placement in the part of the section called the Wing has involved greater and more frequent contact and activities with members of the staff. Even though these individual placements have not always been in agreement with the wishes of th</w:t>
      </w:r>
      <w:r w:rsidRPr="00896D4F">
        <w:t>e inmates, for trea</w:t>
      </w:r>
      <w:r w:rsidRPr="00896D4F">
        <w:t>t</w:t>
      </w:r>
      <w:r w:rsidRPr="00896D4F">
        <w:t>ment reasons they have been necessary and suitable from the viewpoint of the acute situations in which they found themselves and pending the transfers that were later made. For this reason it cannot be claimed that there were any placements made on erron</w:t>
      </w:r>
      <w:r w:rsidRPr="00896D4F">
        <w:t>e</w:t>
      </w:r>
      <w:r w:rsidRPr="00896D4F">
        <w:t>ous or invalid grounds.</w:t>
      </w:r>
    </w:p>
    <w:p w:rsidR="009C1C5A" w:rsidRPr="00896D4F" w:rsidRDefault="009C1C5A">
      <w:r w:rsidRPr="00896D4F">
        <w:t>A statement was also requested from the National Board of Institutional Care. The contents of its response, signed by its Director General, Sture Korpi, were as follows.</w:t>
      </w:r>
    </w:p>
    <w:p w:rsidR="009C1C5A" w:rsidRPr="00896D4F" w:rsidRDefault="009C1C5A">
      <w:pPr>
        <w:pStyle w:val="Citat"/>
      </w:pPr>
      <w:r w:rsidRPr="00896D4F">
        <w:t>When the National Board of Institutional Care took over responsibility for the youth residential centres and homes for children in care in April 1994, it came to light after a short time had elapsed that certain residential centres were in the habit of locking the doors of inmates’ rooms every evening so that they were locked in individually during the night. The Board pointed out in no uncertain terms that this could be regarded as unjustified segregation and that the procedure must be terminated.  The in</w:t>
      </w:r>
      <w:r w:rsidRPr="00896D4F">
        <w:t>stitutions concerned complied with this instruction. The Board’s action did not escape the notice of the superi</w:t>
      </w:r>
      <w:r w:rsidRPr="00896D4F">
        <w:t>n</w:t>
      </w:r>
      <w:r w:rsidRPr="00896D4F">
        <w:t>tendents of the institutions and was the subject of discussions between them.</w:t>
      </w:r>
    </w:p>
    <w:p w:rsidR="009C1C5A" w:rsidRPr="00896D4F" w:rsidRDefault="009C1C5A">
      <w:pPr>
        <w:pStyle w:val="Citatindrag"/>
      </w:pPr>
      <w:r w:rsidRPr="00896D4F">
        <w:t>Recently, the Board has, as a result of its own inspections and the info</w:t>
      </w:r>
      <w:r w:rsidRPr="00896D4F">
        <w:t>r</w:t>
      </w:r>
      <w:r w:rsidRPr="00896D4F">
        <w:t>mation submitted by Maria Hultén, become aware that some uncertainty may prevail among the institutions about the interpretation and application of the provisions on what is known as “segregation” in Section 27 of the Social Services Ordinance. This applies for instance to the circumstances in which an inmate can be considered to be segregated from “others at the centre” in accordance with the regulations. Therefore, the Board immediately began the process of formulating advice and guidelines on segregatio</w:t>
      </w:r>
      <w:r w:rsidRPr="00896D4F">
        <w:t>n and also to plan more detailed monitoring of segregation. Before the work on the advice and guidelines had been completed, it came to our knowledge that the Parliame</w:t>
      </w:r>
      <w:r w:rsidRPr="00896D4F">
        <w:t>n</w:t>
      </w:r>
      <w:r w:rsidRPr="00896D4F">
        <w:t>tary Ombudsman intended to institute an enquiry into the case in question and would probably issue an advisory opinion. The National Board of Instituti</w:t>
      </w:r>
      <w:r w:rsidRPr="00896D4F">
        <w:t>o</w:t>
      </w:r>
      <w:r w:rsidRPr="00896D4F">
        <w:t xml:space="preserve">nal Care has therefore decided to postpone the circulation of its own advice and guidelines. </w:t>
      </w:r>
    </w:p>
    <w:p w:rsidR="009C1C5A" w:rsidRPr="00896D4F" w:rsidRDefault="009C1C5A">
      <w:pPr>
        <w:pStyle w:val="Citatindrag"/>
      </w:pPr>
      <w:r w:rsidRPr="00896D4F">
        <w:t>A draft version of the advice and guidelines is attached to this letter and the Board would like t</w:t>
      </w:r>
      <w:r w:rsidRPr="00896D4F">
        <w:t>o refer to it in stating its own standpoint in this case. In other words, it is the opinion of the National Board of Institutional Care that placement in the “Wing” in the cases referred to did constitute segregation as laid down in Section 27 of the Social Services Ordinance,  to the extent that each of the inmates was locked in on their own against their own wishes for any but brief periods and for practical re</w:t>
      </w:r>
      <w:r w:rsidRPr="00896D4F">
        <w:t>a</w:t>
      </w:r>
      <w:r w:rsidRPr="00896D4F">
        <w:t xml:space="preserve">sons. </w:t>
      </w:r>
    </w:p>
    <w:p w:rsidR="009C1C5A" w:rsidRPr="00896D4F" w:rsidRDefault="009C1C5A">
      <w:r w:rsidRPr="00896D4F">
        <w:t xml:space="preserve">The draft version of the advice and guidelines on segregation attached to this response </w:t>
      </w:r>
      <w:r w:rsidRPr="00896D4F">
        <w:t xml:space="preserve">contained the following. </w:t>
      </w:r>
    </w:p>
    <w:p w:rsidR="009C1C5A" w:rsidRPr="00896D4F" w:rsidRDefault="009C1C5A">
      <w:pPr>
        <w:pStyle w:val="Citat"/>
      </w:pPr>
      <w:r w:rsidRPr="00896D4F">
        <w:t>According to the wording of the legislation, segregation involves keeping an inmate separated from “others at the centre”. Several inmates confined t</w:t>
      </w:r>
      <w:r w:rsidRPr="00896D4F">
        <w:t>o</w:t>
      </w:r>
      <w:r w:rsidRPr="00896D4F">
        <w:t>gether in the same premises are not therefore subject to segregation, even if there are no members of the staff confined with them. It is the opinion of the National Board of Institutional Care that a client who is confined with me</w:t>
      </w:r>
      <w:r w:rsidRPr="00896D4F">
        <w:t>m</w:t>
      </w:r>
      <w:r w:rsidRPr="00896D4F">
        <w:t>bers of the staff of the institution and no other inmates is not subject to segr</w:t>
      </w:r>
      <w:r w:rsidRPr="00896D4F">
        <w:t>e</w:t>
      </w:r>
      <w:r w:rsidRPr="00896D4F">
        <w:t xml:space="preserve">gation either. The concept of “others at the centre” includes, therefore, in the opinion of the National Board of Institutional Care the staff of the institution </w:t>
      </w:r>
      <w:r w:rsidRPr="00896D4F">
        <w:rPr>
          <w:i/>
        </w:rPr>
        <w:t>and</w:t>
      </w:r>
      <w:r w:rsidRPr="00896D4F">
        <w:t xml:space="preserve"> its inmates.</w:t>
      </w:r>
    </w:p>
    <w:p w:rsidR="009C1C5A" w:rsidRPr="00896D4F" w:rsidRDefault="009C1C5A">
      <w:pPr>
        <w:pStyle w:val="Citatindrag"/>
      </w:pPr>
      <w:r w:rsidRPr="00896D4F">
        <w:t>For very many years</w:t>
      </w:r>
      <w:r w:rsidRPr="00896D4F">
        <w:t xml:space="preserve"> now, particularly in the care of young offenders, cl</w:t>
      </w:r>
      <w:r w:rsidRPr="00896D4F">
        <w:t>i</w:t>
      </w:r>
      <w:r w:rsidRPr="00896D4F">
        <w:t xml:space="preserve">ents with special needs – for instance those who are extremely violent or likely to injure or kill themselves – have been required to spend some period alone in a separate or locked section of the institution with only members of the institution’s staff for company. In the opinion of the National Board of Institutional Care this procedure does not constitute segregation as long as the inmate is not confined alone on the premises. It should be emphasised </w:t>
      </w:r>
      <w:r w:rsidRPr="00896D4F">
        <w:t>that members of the staff must be locked in together with the client for the entire period in  principle, for instance during the night. For practical reasons, a</w:t>
      </w:r>
      <w:r w:rsidRPr="00896D4F">
        <w:t>c</w:t>
      </w:r>
      <w:r w:rsidRPr="00896D4F">
        <w:t xml:space="preserve">companying staff should be permitted to lock the door behind them, during brief visits to the toilet for instance, even if this may mean that from one point of view the inmate has been left alone outside the lavatory door. </w:t>
      </w:r>
    </w:p>
    <w:p w:rsidR="009C1C5A" w:rsidRPr="00896D4F" w:rsidRDefault="009C1C5A">
      <w:pPr>
        <w:pStyle w:val="Citatindrag"/>
      </w:pPr>
      <w:r w:rsidRPr="00896D4F">
        <w:t>Locking a client in with a teacher for special instruction does not, in the opinion of the  National Board of Institutional Ca</w:t>
      </w:r>
      <w:r w:rsidRPr="00896D4F">
        <w:t>re, constitute segreg</w:t>
      </w:r>
      <w:r w:rsidRPr="00896D4F">
        <w:t>a</w:t>
      </w:r>
      <w:r w:rsidRPr="00896D4F">
        <w:t>tion.</w:t>
      </w:r>
    </w:p>
    <w:p w:rsidR="009C1C5A" w:rsidRPr="00896D4F" w:rsidRDefault="009C1C5A">
      <w:pPr>
        <w:pStyle w:val="Citatindrag"/>
      </w:pPr>
      <w:r w:rsidRPr="00896D4F">
        <w:t>Accommodating each inmate in a separate room in which they are required to stay during the night does not, in the opinion of the National Board of I</w:t>
      </w:r>
      <w:r w:rsidRPr="00896D4F">
        <w:t>n</w:t>
      </w:r>
      <w:r w:rsidRPr="00896D4F">
        <w:t>stitutional Care constitute segregation as long as inmates are not locked in (by the staff) on their own.</w:t>
      </w:r>
    </w:p>
    <w:p w:rsidR="009C1C5A" w:rsidRPr="00896D4F" w:rsidRDefault="009C1C5A">
      <w:r w:rsidRPr="00896D4F">
        <w:t>Maria Hultén has responded to the replies received from Råby Youth Res</w:t>
      </w:r>
      <w:r w:rsidRPr="00896D4F">
        <w:t>i</w:t>
      </w:r>
      <w:r w:rsidRPr="00896D4F">
        <w:t>dential Centre and the National Board of Institutional Care.</w:t>
      </w:r>
    </w:p>
    <w:p w:rsidR="009C1C5A" w:rsidRPr="00896D4F" w:rsidRDefault="009C1C5A">
      <w:pPr>
        <w:pStyle w:val="Rubrik3"/>
      </w:pPr>
      <w:r w:rsidRPr="00896D4F">
        <w:t>The legal regulations</w:t>
      </w:r>
    </w:p>
    <w:p w:rsidR="009C1C5A" w:rsidRPr="00896D4F" w:rsidRDefault="009C1C5A">
      <w:r w:rsidRPr="00896D4F">
        <w:t>Measures undertaken by the social services for children and young people have to be implemented with their agreement and the agreement of their car</w:t>
      </w:r>
      <w:r w:rsidRPr="00896D4F">
        <w:t>e</w:t>
      </w:r>
      <w:r w:rsidRPr="00896D4F">
        <w:t>givers according to the provisions of the Social Services Act  (2001:453). Under certain conditions, however, treatment may be given to juveniles without their consent. The regulations that apply can be found primarily in the Care of Young Persons (Special Provisions) Act (1990:52). According to Section 3 of this act, treatment of this kind may be needed for instance when juveniles expose their health or their development to the palpable risk of inj</w:t>
      </w:r>
      <w:r w:rsidRPr="00896D4F">
        <w:t>u</w:t>
      </w:r>
      <w:r w:rsidRPr="00896D4F">
        <w:t>ry by misusing substances that give rise to dependency, c</w:t>
      </w:r>
      <w:r w:rsidRPr="00896D4F">
        <w:t>riminal activities or some other socially destructive behaviour.</w:t>
      </w:r>
    </w:p>
    <w:p w:rsidR="009C1C5A" w:rsidRPr="00896D4F" w:rsidRDefault="009C1C5A">
      <w:pPr>
        <w:pStyle w:val="Normaltindrag"/>
      </w:pPr>
      <w:r w:rsidRPr="00896D4F">
        <w:t>Section 12 of the Care of Young Persons (Special Provisions) Act stipu</w:t>
      </w:r>
      <w:r w:rsidRPr="00896D4F">
        <w:softHyphen/>
        <w:t>lates that special youth residential centres are to be provided for the treatment of juveniles who for any of the reasons laid down in Section 3 need to be placed under particularly intensive supervision.  The state is to supply the centres required.  The National Board of Institutional Care is the central a</w:t>
      </w:r>
      <w:r w:rsidRPr="00896D4F">
        <w:t>d</w:t>
      </w:r>
      <w:r w:rsidRPr="00896D4F">
        <w:t>ministrative agency for these centres. Its board directs and supervises the activities of the centres.</w:t>
      </w:r>
    </w:p>
    <w:p w:rsidR="009C1C5A" w:rsidRPr="00896D4F" w:rsidRDefault="009C1C5A">
      <w:pPr>
        <w:pStyle w:val="Normaltindrag"/>
      </w:pPr>
      <w:r w:rsidRPr="00896D4F">
        <w:t>Anyone undergoing treatment on one of the grounds laid down in Section 3 of the Care of Young Pers</w:t>
      </w:r>
      <w:r w:rsidRPr="00896D4F">
        <w:t>ons (Special Provisions) Act in a special reside</w:t>
      </w:r>
      <w:r w:rsidRPr="00896D4F">
        <w:t>n</w:t>
      </w:r>
      <w:r w:rsidRPr="00896D4F">
        <w:t>tial centre, may, according to Section 15 of the act, be prevented from leaving the centre and otherwise subjected to the restrictions of their liberty of mov</w:t>
      </w:r>
      <w:r w:rsidRPr="00896D4F">
        <w:t>e</w:t>
      </w:r>
      <w:r w:rsidRPr="00896D4F">
        <w:t>ment needed to enable treatment to be administered. The freedom of mov</w:t>
      </w:r>
      <w:r w:rsidRPr="00896D4F">
        <w:t>e</w:t>
      </w:r>
      <w:r w:rsidRPr="00896D4F">
        <w:t>ment of juveniles may also be restricted when this is required to ensure the safety of other inmates and staff. Subsections 15a–15c of the act contain sp</w:t>
      </w:r>
      <w:r w:rsidRPr="00896D4F">
        <w:t>e</w:t>
      </w:r>
      <w:r w:rsidRPr="00896D4F">
        <w:t>cific provisions regarding for instance the rights of inmates to make and r</w:t>
      </w:r>
      <w:r w:rsidRPr="00896D4F">
        <w:t>e</w:t>
      </w:r>
      <w:r w:rsidRPr="00896D4F">
        <w:t>cei</w:t>
      </w:r>
      <w:r w:rsidRPr="00896D4F">
        <w:t>ve telephone calls and to receive visits (15a), the conditions in which tr</w:t>
      </w:r>
      <w:r w:rsidRPr="00896D4F">
        <w:t>e</w:t>
      </w:r>
      <w:r w:rsidRPr="00896D4F">
        <w:t>at</w:t>
      </w:r>
      <w:r w:rsidRPr="00896D4F">
        <w:softHyphen/>
        <w:t>ment can be given to inmates in a unit in the centre which can be locked or arranged in some other way to provide thorough supervision (15b) and in which circumstances an inmate may be segregated from others at the centre (15c). The provisions of Section 15 of the Care of Young Persons (Special Provisions) Act correspond to the stipulations of Section 13 of the1980 legi</w:t>
      </w:r>
      <w:r w:rsidRPr="00896D4F">
        <w:t>s</w:t>
      </w:r>
      <w:r w:rsidRPr="00896D4F">
        <w:t>lation on the Special Provisions concerning the Care of Young</w:t>
      </w:r>
      <w:r w:rsidRPr="00896D4F">
        <w:t xml:space="preserve"> Persons. In connection with the enactment of these provisions the minister responsible had this to say, for instance,  when it came to segregation/segregated trea</w:t>
      </w:r>
      <w:r w:rsidRPr="00896D4F">
        <w:t>t</w:t>
      </w:r>
      <w:r w:rsidRPr="00896D4F">
        <w:t>ment (G</w:t>
      </w:r>
      <w:r w:rsidRPr="00896D4F">
        <w:t>o</w:t>
      </w:r>
      <w:r w:rsidRPr="00896D4F">
        <w:t>vernment Bill 1979/80: 1 Section A, p. 598).</w:t>
      </w:r>
    </w:p>
    <w:p w:rsidR="009C1C5A" w:rsidRPr="00896D4F" w:rsidRDefault="009C1C5A">
      <w:pPr>
        <w:pStyle w:val="Citat"/>
      </w:pPr>
      <w:r w:rsidRPr="00896D4F">
        <w:t xml:space="preserve">The act does not contain any more detailed regulations about how treatment in these cases is to be given. The treatment has to be devised on the basis of the needs of the juvenile in each individual case. However, it is necessary to limit the powers granted to the Board in one or two respects. </w:t>
      </w:r>
      <w:r w:rsidRPr="00896D4F">
        <w:t>Thus, in pri</w:t>
      </w:r>
      <w:r w:rsidRPr="00896D4F">
        <w:t>n</w:t>
      </w:r>
      <w:r w:rsidRPr="00896D4F">
        <w:t>ciple, segregation should not occur in the course of treatment. It is generally recognised today that segregation can have an injurious effect on a young person. On the other hand, it may become necessary in certain extreme situ</w:t>
      </w:r>
      <w:r w:rsidRPr="00896D4F">
        <w:t>a</w:t>
      </w:r>
      <w:r w:rsidRPr="00896D4F">
        <w:t>tions – such as when juveniles under the influence of drink or drugs or for some other reason become “disorderly” – to segregate them for a short period from others undergoing treatment. In such cases they should, however, be supervised by treatment staff. The restricti</w:t>
      </w:r>
      <w:r w:rsidRPr="00896D4F">
        <w:t>ons to the powers granted to the board in this paragraph should be embodied in regulations about the impl</w:t>
      </w:r>
      <w:r w:rsidRPr="00896D4F">
        <w:t>e</w:t>
      </w:r>
      <w:r w:rsidRPr="00896D4F">
        <w:t xml:space="preserve">mentation of the legislation. </w:t>
      </w:r>
    </w:p>
    <w:p w:rsidR="009C1C5A" w:rsidRPr="00896D4F" w:rsidRDefault="009C1C5A">
      <w:r w:rsidRPr="00896D4F">
        <w:t>A regulation about segregated treatment was included in Section 27 of the previous Social Services Ordinance (1981:750). This prescribed as follows:</w:t>
      </w:r>
    </w:p>
    <w:p w:rsidR="009C1C5A" w:rsidRPr="00896D4F" w:rsidRDefault="009C1C5A">
      <w:pPr>
        <w:pStyle w:val="Citat"/>
      </w:pPr>
      <w:r w:rsidRPr="00896D4F">
        <w:t xml:space="preserve">If special grounds exist because an inmate is behaving violently or is under the influence of intoxicants to such an extent that he is out of control, he may be segregated from other inmates in the centre provided that he is under the constant supervision of its staff. He may not, however, be held in segregation for longer than is unavoidably necessary and in no circumstances for a period exceeding 24 hours. </w:t>
      </w:r>
    </w:p>
    <w:p w:rsidR="009C1C5A" w:rsidRPr="00896D4F" w:rsidRDefault="009C1C5A">
      <w:pPr>
        <w:pStyle w:val="Citatindrag"/>
      </w:pPr>
      <w:r w:rsidRPr="00896D4F">
        <w:t>If an inmate is under the age of 15, a doctor’s opinion is to be sought without delay with respect to every measure adopted according to the prec</w:t>
      </w:r>
      <w:r w:rsidRPr="00896D4F">
        <w:t>e</w:t>
      </w:r>
      <w:r w:rsidRPr="00896D4F">
        <w:t>ding paragraph. Such measures are to be terminated immediately, should the doctor so request.</w:t>
      </w:r>
    </w:p>
    <w:p w:rsidR="009C1C5A" w:rsidRPr="00896D4F" w:rsidRDefault="009C1C5A">
      <w:r w:rsidRPr="00896D4F">
        <w:t>As a result of the amendments to the Care of Young Persons (Special Prov</w:t>
      </w:r>
      <w:r w:rsidRPr="00896D4F">
        <w:t>i</w:t>
      </w:r>
      <w:r w:rsidRPr="00896D4F">
        <w:t>sions) Act that came into force on 1 January 2002, the provisions of Section 27 of the Social Services Ordinance were incorporated into the act as subse</w:t>
      </w:r>
      <w:r w:rsidRPr="00896D4F">
        <w:t>c</w:t>
      </w:r>
      <w:r w:rsidRPr="00896D4F">
        <w:t>tion 15c, with certain changes in the wording. No changes in the substance of the provisions were intended. The reason for incorporating the provisions on treatment in segregation in the act itself was that segregation was considered to constitute such an infringement of individual liberty that it should be reg</w:t>
      </w:r>
      <w:r w:rsidRPr="00896D4F">
        <w:t>u</w:t>
      </w:r>
      <w:r w:rsidRPr="00896D4F">
        <w:t>lated by law (Government Bill 2000/01:80 p.12</w:t>
      </w:r>
      <w:r w:rsidRPr="00896D4F">
        <w:t>1 f.)</w:t>
      </w:r>
    </w:p>
    <w:p w:rsidR="009C1C5A" w:rsidRPr="00896D4F" w:rsidRDefault="009C1C5A">
      <w:pPr>
        <w:pStyle w:val="Normaltindrag"/>
      </w:pPr>
      <w:r w:rsidRPr="00896D4F">
        <w:t xml:space="preserve">In her adjudication on 31 May, 2002 </w:t>
      </w:r>
      <w:r w:rsidRPr="00896D4F">
        <w:rPr>
          <w:i/>
        </w:rPr>
        <w:t xml:space="preserve">the Parliamentary Ombudsman, Mrs. André </w:t>
      </w:r>
      <w:r w:rsidRPr="00896D4F">
        <w:t>made the following observations.</w:t>
      </w:r>
    </w:p>
    <w:p w:rsidR="009C1C5A" w:rsidRPr="00896D4F" w:rsidRDefault="009C1C5A">
      <w:pPr>
        <w:pStyle w:val="Rubrik3"/>
      </w:pPr>
      <w:r w:rsidRPr="00896D4F">
        <w:t>Adjudication</w:t>
      </w:r>
    </w:p>
    <w:p w:rsidR="009C1C5A" w:rsidRPr="00896D4F" w:rsidRDefault="009C1C5A">
      <w:r w:rsidRPr="00896D4F">
        <w:t>Neither the Care of Young Persons (Special Provisions) Act nor the previous Social Services Ordinance provide any closer guidance when it comes to determining what constitutes the treatment referred to by the wording “kept in segregation from others at the centre”. In its response, the National Board of Institutional Care claims that the separate placement of an inmate together with members of an institution’s staff can hardly constitute segregation. Here the Board has cited the contents of a draft version</w:t>
      </w:r>
      <w:r w:rsidRPr="00896D4F">
        <w:t xml:space="preserve"> of new guidelines on segr</w:t>
      </w:r>
      <w:r w:rsidRPr="00896D4F">
        <w:t>e</w:t>
      </w:r>
      <w:r w:rsidRPr="00896D4F">
        <w:t>gation (an extract from this draft is quoted above in connection with the a</w:t>
      </w:r>
      <w:r w:rsidRPr="00896D4F">
        <w:t>c</w:t>
      </w:r>
      <w:r w:rsidRPr="00896D4F">
        <w:t>count of the Board’s response). The viewpoint of the National Board of I</w:t>
      </w:r>
      <w:r w:rsidRPr="00896D4F">
        <w:t>n</w:t>
      </w:r>
      <w:r w:rsidRPr="00896D4F">
        <w:t xml:space="preserve">stitutional Care does not seem to be totally incontrovertible. In my opinion it would be more appropriate to interpret the wording “others at the centre” in the statute to mean the other inmates. This is almost certainly also how the legislators intended the provision to be read. In this respect, in addition to the previous quotation </w:t>
      </w:r>
      <w:r w:rsidRPr="00896D4F">
        <w:t>from Government Bill 1979/80 1 Section A, reference can also be made to the statements in the Bill that resulted in subsection 15c of the Care of Young Persons (Special Provisions) Act (Government Bill 2000/01:80 p. 122). This accounted for “… possibilities of confinement and segregation from the other inmates …”. Where application of the previous regulations is concerned, I can refer to the general guidelines issued by the Board of Health and Social Welfare, which have since been rescinded, Spec</w:t>
      </w:r>
      <w:r w:rsidRPr="00896D4F">
        <w:t>i</w:t>
      </w:r>
      <w:r w:rsidRPr="00896D4F">
        <w:t>al Provisi</w:t>
      </w:r>
      <w:r w:rsidRPr="00896D4F">
        <w:t>ons in the  Care of Young Persons, 1981:2 p. 129. Comparison may also be made with the rules that applied to segregation in what used to be called Residential Juvenile Centres. The rules concerning segregated trea</w:t>
      </w:r>
      <w:r w:rsidRPr="00896D4F">
        <w:t>t</w:t>
      </w:r>
      <w:r w:rsidRPr="00896D4F">
        <w:t>ment at centres of this kind were worded in the same way as the provisions relating to segregation in the Care of Young Persons (Special Provisions) Act. When the legislation on the special provisions in the care of abusers was enacted in 1981, the possibility of segregating abusers was discussed.</w:t>
      </w:r>
      <w:r w:rsidRPr="00896D4F">
        <w:t xml:space="preserve"> One of the statements made in the bill by the minister responsible for the legislation was that in the event of violent behaviour by an inmate there should be a possibility to “… keep him segregated from the other inmates …” (Gover</w:t>
      </w:r>
      <w:r w:rsidRPr="00896D4F">
        <w:t>n</w:t>
      </w:r>
      <w:r w:rsidRPr="00896D4F">
        <w:t xml:space="preserve">ment Bill 1981/82 p. 96). The interpretation of these provisions advanced here also seems  to be the one postulated in the text-books on the subject (see Bramstång, </w:t>
      </w:r>
      <w:r w:rsidRPr="00896D4F">
        <w:rPr>
          <w:i/>
        </w:rPr>
        <w:t xml:space="preserve">Sociallagstiftning (Legislation on the Social Services) </w:t>
      </w:r>
      <w:r w:rsidRPr="00896D4F">
        <w:t xml:space="preserve">p. 445 and Norström/Thunved </w:t>
      </w:r>
      <w:r w:rsidRPr="00896D4F">
        <w:rPr>
          <w:i/>
        </w:rPr>
        <w:t>Nya sociallagarna (Recent Soci</w:t>
      </w:r>
      <w:r w:rsidRPr="00896D4F">
        <w:rPr>
          <w:i/>
        </w:rPr>
        <w:t>al Legislation)</w:t>
      </w:r>
      <w:r w:rsidRPr="00896D4F">
        <w:t>, 15</w:t>
      </w:r>
      <w:r w:rsidRPr="00896D4F">
        <w:rPr>
          <w:vertAlign w:val="superscript"/>
        </w:rPr>
        <w:t>th</w:t>
      </w:r>
      <w:r w:rsidRPr="00896D4F">
        <w:t xml:space="preserve"> ed. p. 275).</w:t>
      </w:r>
    </w:p>
    <w:p w:rsidR="009C1C5A" w:rsidRPr="00896D4F" w:rsidRDefault="009C1C5A">
      <w:pPr>
        <w:pStyle w:val="Normaltindrag"/>
      </w:pPr>
      <w:r w:rsidRPr="00896D4F">
        <w:t>Where other aspects of the content of the concept of “segregated” in this context are concerned, it must be considered obvious that if individuals cho</w:t>
      </w:r>
      <w:r w:rsidRPr="00896D4F">
        <w:t>o</w:t>
      </w:r>
      <w:r w:rsidRPr="00896D4F">
        <w:t>se to lock the doors of their rooms themselves there is no question that they are being segregated in the meaning at issue here; if an inmate is to be cons</w:t>
      </w:r>
      <w:r w:rsidRPr="00896D4F">
        <w:t>i</w:t>
      </w:r>
      <w:r w:rsidRPr="00896D4F">
        <w:t>dered to be held in segregation it must be assumed that this is as a result of some action by the centre. Typical cases of segregation occur when an inmate is confined alone in a separate room or when a member of the staff locks the door of an inmate’s room. Here it should be possible to disregard cases when doors are locked for purely practical reasons</w:t>
      </w:r>
      <w:r w:rsidRPr="00896D4F">
        <w:t xml:space="preserve"> for shorter periods of time. The fact that an inmate has been placed in a room situated in section of  a building that is separated from the accommodation of the other inmates does not on its own, of course, necessarily mean that segregation has taken place. If, how</w:t>
      </w:r>
      <w:r w:rsidRPr="00896D4F">
        <w:softHyphen/>
        <w:t>ever, this placement prevents the individual from having contact with the other inmates, it is, in my opinion, segregated treatment. Nor does the fact that an inmate only has contact with members of the staff for some short per</w:t>
      </w:r>
      <w:r w:rsidRPr="00896D4F">
        <w:t>i</w:t>
      </w:r>
      <w:r w:rsidRPr="00896D4F">
        <w:t>od of time neces</w:t>
      </w:r>
      <w:r w:rsidRPr="00896D4F">
        <w:t>sarily constitute segregation, such as when, for instance, an inmate is receiving special instruction from a teacher in a separate room.</w:t>
      </w:r>
    </w:p>
    <w:p w:rsidR="009C1C5A" w:rsidRPr="00896D4F" w:rsidRDefault="009C1C5A">
      <w:pPr>
        <w:pStyle w:val="Normaltindrag"/>
      </w:pPr>
      <w:r w:rsidRPr="00896D4F">
        <w:t>The possibility cannot be excluded that there are cases when an inmate must be “segregated” from other inmates in circumstances other than those laid down in subsection 15c of the Care of Young Persons (Special Prov</w:t>
      </w:r>
      <w:r w:rsidRPr="00896D4F">
        <w:t>i</w:t>
      </w:r>
      <w:r w:rsidRPr="00896D4F">
        <w:t>sions) Act. Here I am referring in particular to situations to which the prov</w:t>
      </w:r>
      <w:r w:rsidRPr="00896D4F">
        <w:t>i</w:t>
      </w:r>
      <w:r w:rsidRPr="00896D4F">
        <w:t xml:space="preserve">sions of the Penal Code on emergencies may apply, such as, for example, when the behaviour of an inmate, although his actions cannot properly be described as violent or disorderly, is nevertheless severely destructive in the form of a serious suicide threat. To avoid misunderstanding, I would like to point out that this enquiry includes no instances of cases of this kind. </w:t>
      </w:r>
    </w:p>
    <w:p w:rsidR="009C1C5A" w:rsidRPr="00896D4F" w:rsidRDefault="009C1C5A">
      <w:pPr>
        <w:pStyle w:val="Normaltindrag"/>
      </w:pPr>
      <w:r w:rsidRPr="00896D4F">
        <w:t>When it comes to the two cases which have formed the subj</w:t>
      </w:r>
      <w:r w:rsidRPr="00896D4F">
        <w:t>ect of this e</w:t>
      </w:r>
      <w:r w:rsidRPr="00896D4F">
        <w:t>n</w:t>
      </w:r>
      <w:r w:rsidRPr="00896D4F">
        <w:t>quiry, it has become clear from all that has transpired that both juveniles were placed in what is known as the “Wing”. According to the response submitted by Råby Youth Residential Centre, the inmates have not been kept in segr</w:t>
      </w:r>
      <w:r w:rsidRPr="00896D4F">
        <w:t>e</w:t>
      </w:r>
      <w:r w:rsidRPr="00896D4F">
        <w:t>gation there for the reasons stipulated in the provisions on segregation but their contacts with the other inmates have been restricted in connection with their treatment. In the centre’s opinion, therefore, this has not been a question of application of subsection 15c</w:t>
      </w:r>
      <w:r w:rsidRPr="00896D4F">
        <w:t xml:space="preserve"> of the Care of Young Persons (Special Prov</w:t>
      </w:r>
      <w:r w:rsidRPr="00896D4F">
        <w:t>i</w:t>
      </w:r>
      <w:r w:rsidRPr="00896D4F">
        <w:t>sions) Act. In practice, however, Y.N. and S.Å. have been prevented from mixing freely with the other inmates. In neither the case of Y.N. nor S.Å. has this been a temporary measure based solely on purely practical circumstances. My opinion is, therefore, that both Y.N. and S.Å. must be considered to have been subjected to treatment in segregation and that this applies irrespective of whether or to what extent they have been accompanied by members of the staff. As</w:t>
      </w:r>
      <w:r w:rsidRPr="00896D4F">
        <w:t xml:space="preserve"> is made clear above, Y.N. and S.Å. have not been segregated by virtue of subsection 15c of the Care of Young Persons (Special Provisions) Act (previously Section 27 of the Social Services Ordinance). Nor can any grounds for this measure be found in any of the other provisions of the Care of Young Persons (Special Provisions) Act or any other statute. The fact that Y.N. and S.Å. have, nevertheless, been kept in segregation is obviously una</w:t>
      </w:r>
      <w:r w:rsidRPr="00896D4F">
        <w:t>c</w:t>
      </w:r>
      <w:r w:rsidRPr="00896D4F">
        <w:t>ceptable.</w:t>
      </w:r>
    </w:p>
    <w:p w:rsidR="009C1C5A" w:rsidRPr="00896D4F" w:rsidRDefault="009C1C5A">
      <w:pPr>
        <w:pStyle w:val="Normaltindrag"/>
      </w:pPr>
      <w:r w:rsidRPr="00896D4F">
        <w:t>The response of the National Board of Institutional Care r</w:t>
      </w:r>
      <w:r w:rsidRPr="00896D4F">
        <w:t>eveals that the Youth Residential Centres have been labouring under a partial misapprehe</w:t>
      </w:r>
      <w:r w:rsidRPr="00896D4F">
        <w:t>n</w:t>
      </w:r>
      <w:r w:rsidRPr="00896D4F">
        <w:t>sion of what is meant by segregation. Even the point of view adopted by the Board, as it is expressed in its response, indicates the uncertainty that exists in the organization with respect to segregated treatment. In view of this, I have found no grounds for proceeding any further with the case but will terminate it with the criticism implied by the observations above. However, I am ass</w:t>
      </w:r>
      <w:r w:rsidRPr="00896D4F">
        <w:t>u</w:t>
      </w:r>
      <w:r w:rsidRPr="00896D4F">
        <w:t>ming that Råby Youth Residential</w:t>
      </w:r>
      <w:r w:rsidRPr="00896D4F">
        <w:t xml:space="preserve"> Centre will review its routines for the pl</w:t>
      </w:r>
      <w:r w:rsidRPr="00896D4F">
        <w:t>a</w:t>
      </w:r>
      <w:r w:rsidRPr="00896D4F">
        <w:t>cement of juveniles in the “Wing” and that the National Board of Institutional Care will continue to rectify any shortcomings that may prevail in the routines of the various centres when it comes to segregation. It is a fundamental requ</w:t>
      </w:r>
      <w:r w:rsidRPr="00896D4F">
        <w:t>i</w:t>
      </w:r>
      <w:r w:rsidRPr="00896D4F">
        <w:t>rement that legal grounds must exist for any restriction of the freedoms and rights of inmates in different respects. By the very nature of things, the legi</w:t>
      </w:r>
      <w:r w:rsidRPr="00896D4F">
        <w:t>s</w:t>
      </w:r>
      <w:r w:rsidRPr="00896D4F">
        <w:t>lation cannot offer detailed regulations about the various situations that</w:t>
      </w:r>
      <w:r w:rsidRPr="00896D4F">
        <w:t xml:space="preserve"> may arise or the ways in which the Youth Residential Centres should respond to them. In purely general terms, it is important that the centres do not apply rules in such a way that treatment is being offered in a “grey area” where uncertainty prevails as to whether or not measures comply with the legisl</w:t>
      </w:r>
      <w:r w:rsidRPr="00896D4F">
        <w:t>a</w:t>
      </w:r>
      <w:r w:rsidRPr="00896D4F">
        <w:t xml:space="preserve">tion. </w:t>
      </w:r>
    </w:p>
    <w:p w:rsidR="009C1C5A" w:rsidRPr="00896D4F" w:rsidRDefault="009C1C5A">
      <w:pPr>
        <w:pStyle w:val="Normaltindrag"/>
      </w:pPr>
      <w:r w:rsidRPr="00896D4F">
        <w:t>In its response, Råby Youth Residential Centre has emphasised how i</w:t>
      </w:r>
      <w:r w:rsidRPr="00896D4F">
        <w:t>m</w:t>
      </w:r>
      <w:r w:rsidRPr="00896D4F">
        <w:t xml:space="preserve">portant it is for centres to have the possibility of offering differentiated forms of treatment. I sympathize with this point of view. It is ultimately for the National Board of Institutional Care to decide whether or not new or modified regulations are needed to increase the possibility of adapting the treatment offered at the Youth Residential Centres to different individuals and I intend to take no initiatives in this respect myself. </w:t>
      </w:r>
    </w:p>
    <w:p w:rsidR="009C1C5A" w:rsidRPr="00896D4F" w:rsidRDefault="009C1C5A">
      <w:pPr>
        <w:pStyle w:val="Normaltindrag"/>
      </w:pPr>
      <w:r w:rsidRPr="00896D4F">
        <w:t>Maria Hultén has posed a number of questions with regard to the terms</w:t>
      </w:r>
      <w:r w:rsidRPr="00896D4F">
        <w:t xml:space="preserve"> on which segregation may be used for the purpose of correction and under what conditions inmates may be kept in segregation for 24 hours. The legislation lays down when a decision on segregation may be made. I see no reason to go into this in more detail. Whether in any individual case there are grounds for keeping an inmate in segregation for 24 hours involves the kind of consider</w:t>
      </w:r>
      <w:r w:rsidRPr="00896D4F">
        <w:t>a</w:t>
      </w:r>
      <w:r w:rsidRPr="00896D4F">
        <w:t>tion on which the Parliamentary Ombudsman should exercise restraint in expressing an opinion.  Nor have I found any reason for</w:t>
      </w:r>
      <w:r w:rsidRPr="00896D4F">
        <w:t xml:space="preserve"> expressing any other opinion on the way in which Råby Youth Residential Centre has dealt with the two individual cases referred to in Maria Hultén’s complaint. </w:t>
      </w:r>
    </w:p>
    <w:p w:rsidR="009C1C5A" w:rsidRPr="00896D4F" w:rsidRDefault="009C1C5A">
      <w:pPr>
        <w:pStyle w:val="Normaltindrag"/>
      </w:pPr>
      <w:r w:rsidRPr="00896D4F">
        <w:t>I have also found that there are grounds for submitting a copy of this adj</w:t>
      </w:r>
      <w:r w:rsidRPr="00896D4F">
        <w:t>u</w:t>
      </w:r>
      <w:r w:rsidRPr="00896D4F">
        <w:t>d</w:t>
      </w:r>
      <w:r w:rsidRPr="00896D4F">
        <w:t>i</w:t>
      </w:r>
      <w:r w:rsidRPr="00896D4F">
        <w:t xml:space="preserve">cation to the Ministry of Health and Social Affairs. </w:t>
      </w:r>
    </w:p>
    <w:p w:rsidR="009C1C5A" w:rsidRPr="00896D4F" w:rsidRDefault="009C1C5A">
      <w:pPr>
        <w:pStyle w:val="Normaltindrag"/>
      </w:pPr>
      <w:r w:rsidRPr="00896D4F">
        <w:t xml:space="preserve">This closes the case. </w:t>
      </w:r>
    </w:p>
    <w:p w:rsidR="009C1C5A" w:rsidRPr="00896D4F" w:rsidRDefault="009C1C5A">
      <w:pPr>
        <w:pStyle w:val="Rubrik2"/>
      </w:pPr>
      <w:r w:rsidRPr="00896D4F">
        <w:t xml:space="preserve">Complaint against the Swedish Board of Agriculture about its handling of a case concerning the destruction of cattle; among other things the application of EC Regulations </w:t>
      </w:r>
    </w:p>
    <w:p w:rsidR="009C1C5A" w:rsidRPr="00896D4F" w:rsidRDefault="009C1C5A">
      <w:r w:rsidRPr="00896D4F">
        <w:t>(Registration number 3743-1999)</w:t>
      </w:r>
    </w:p>
    <w:p w:rsidR="009C1C5A" w:rsidRPr="00896D4F" w:rsidRDefault="009C1C5A">
      <w:pPr>
        <w:pStyle w:val="Rubrik3"/>
      </w:pPr>
      <w:r w:rsidRPr="00896D4F">
        <w:t>The complaint</w:t>
      </w:r>
    </w:p>
    <w:p w:rsidR="009C1C5A" w:rsidRPr="00896D4F" w:rsidRDefault="009C1C5A">
      <w:r w:rsidRPr="00896D4F">
        <w:t xml:space="preserve">In a complaint submitted to the Parliamentary Ombudsman S.-I.S.  asked the Ombudsman to look into the way in which the Swedish Board of Agriculture had dealt with and reached a decision in a case concerning the destruction of cattle. The complaint was based on information in an article printed in </w:t>
      </w:r>
      <w:r w:rsidRPr="00896D4F">
        <w:rPr>
          <w:i/>
        </w:rPr>
        <w:t>Nor</w:t>
      </w:r>
      <w:r w:rsidRPr="00896D4F">
        <w:rPr>
          <w:i/>
        </w:rPr>
        <w:t>r</w:t>
      </w:r>
      <w:r w:rsidRPr="00896D4F">
        <w:rPr>
          <w:i/>
        </w:rPr>
        <w:t xml:space="preserve">köpings Tidningar </w:t>
      </w:r>
      <w:r w:rsidRPr="00896D4F">
        <w:t>on 9 October 1999, which described how six cattle on a farm outside Ljungskile had been shot as a result of decision by the Board of Agriculture because “the cows did not have the yellow EU registration ea</w:t>
      </w:r>
      <w:r w:rsidRPr="00896D4F">
        <w:t>r</w:t>
      </w:r>
      <w:r w:rsidRPr="00896D4F">
        <w:t xml:space="preserve">tags”. The newspaper article was appended to the complaint. </w:t>
      </w:r>
    </w:p>
    <w:p w:rsidR="009C1C5A" w:rsidRPr="00896D4F" w:rsidRDefault="009C1C5A">
      <w:pPr>
        <w:pStyle w:val="Rubrik3"/>
      </w:pPr>
      <w:r w:rsidRPr="00896D4F">
        <w:t>The inquiry</w:t>
      </w:r>
    </w:p>
    <w:p w:rsidR="009C1C5A" w:rsidRPr="00896D4F" w:rsidRDefault="009C1C5A">
      <w:r w:rsidRPr="00896D4F">
        <w:t>The case file was requisitioned on loan from the Board of Agriculture and examined.</w:t>
      </w:r>
    </w:p>
    <w:p w:rsidR="009C1C5A" w:rsidRPr="00896D4F" w:rsidRDefault="009C1C5A">
      <w:pPr>
        <w:pStyle w:val="Normaltindrag"/>
      </w:pPr>
      <w:r w:rsidRPr="00896D4F">
        <w:t>A memorandum drawn up by the Parliamentary Ombudsman contained the following.</w:t>
      </w:r>
    </w:p>
    <w:p w:rsidR="009C1C5A" w:rsidRPr="00896D4F" w:rsidRDefault="009C1C5A">
      <w:pPr>
        <w:pStyle w:val="Citat"/>
      </w:pPr>
      <w:r w:rsidRPr="00896D4F">
        <w:t>On 17 September 1999 the Swedish Board of Agriculture decided by virtue of Article 1.1 of Commission Regulation (EC) no. 494/98 of 27 February 1998 to prohibit P.S. from moving his livestock to or from his facilities with a sp</w:t>
      </w:r>
      <w:r w:rsidRPr="00896D4F">
        <w:t>e</w:t>
      </w:r>
      <w:r w:rsidRPr="00896D4F">
        <w:t xml:space="preserve">cific production site number. P.S. was also required to prove the identity of all the livestock specified in an attached inspection report within two working days of his receipt of the decision. </w:t>
      </w:r>
    </w:p>
    <w:p w:rsidR="009C1C5A" w:rsidRPr="00896D4F" w:rsidRDefault="009C1C5A">
      <w:pPr>
        <w:pStyle w:val="Citatindrag"/>
      </w:pPr>
      <w:r w:rsidRPr="00896D4F">
        <w:t>On 4 October 1999, the Swedish Board of Agriculture decided, by virtue of Article 1.2 of the same Regulation, that six cattle belonging to P.S. were to be destroyed because he had not been able to prove the identity of the an</w:t>
      </w:r>
      <w:r w:rsidRPr="00896D4F">
        <w:t>i</w:t>
      </w:r>
      <w:r w:rsidRPr="00896D4F">
        <w:t xml:space="preserve">mals. </w:t>
      </w:r>
    </w:p>
    <w:p w:rsidR="009C1C5A" w:rsidRPr="00896D4F" w:rsidRDefault="009C1C5A">
      <w:pPr>
        <w:pStyle w:val="Citatindrag"/>
      </w:pPr>
      <w:r w:rsidRPr="00896D4F">
        <w:t>The destruction of the animals took place – according to a report by the District Veterinary Officer, Nils Vallentin, assigned by the Swedish Board of Agriculture to supervise proceedings – during the morning of 6 October 1999.</w:t>
      </w:r>
    </w:p>
    <w:p w:rsidR="009C1C5A" w:rsidRPr="00896D4F" w:rsidRDefault="009C1C5A">
      <w:pPr>
        <w:pStyle w:val="Citatindrag"/>
      </w:pPr>
      <w:r w:rsidRPr="00896D4F">
        <w:t>This event attracted a great deal of attention from journalists and has so far given rise to fifteen complaints to the Parliamentary Ombudsman, all of them based on media reports.</w:t>
      </w:r>
    </w:p>
    <w:p w:rsidR="009C1C5A" w:rsidRPr="00896D4F" w:rsidRDefault="009C1C5A">
      <w:pPr>
        <w:pStyle w:val="Citatindrag"/>
      </w:pPr>
      <w:r w:rsidRPr="00896D4F">
        <w:t>In view of these complaints the Board of Agriculture’s case file has been requisitioned on loan.</w:t>
      </w:r>
    </w:p>
    <w:p w:rsidR="009C1C5A" w:rsidRPr="00896D4F" w:rsidRDefault="009C1C5A">
      <w:pPr>
        <w:pStyle w:val="Citatindrag"/>
      </w:pPr>
      <w:r w:rsidRPr="00896D4F">
        <w:t>From the file it can be ascertained that, in addition to the information ab</w:t>
      </w:r>
      <w:r w:rsidRPr="00896D4F">
        <w:t>o</w:t>
      </w:r>
      <w:r w:rsidRPr="00896D4F">
        <w:t>ve, notice of the decision of 17 September 1999 requiring P.S. to prove the identity of the livestock was served on him on 21 September 1999. According to the attached appeal instructions, appeal against the decision could be made to the County Administrative Court within three weeks from the date on which P.S. received the notice. In other words, the final date of appeal was 12 October 1999.</w:t>
      </w:r>
    </w:p>
    <w:p w:rsidR="009C1C5A" w:rsidRPr="00896D4F" w:rsidRDefault="009C1C5A">
      <w:pPr>
        <w:pStyle w:val="Citatindrag"/>
      </w:pPr>
      <w:r w:rsidRPr="00896D4F">
        <w:t xml:space="preserve">The Board of Agriculture’s next decision to destroy the animals was, </w:t>
      </w:r>
      <w:r w:rsidRPr="00896D4F">
        <w:br/>
        <w:t>however, made on 4 October. It was also recorded that this decision was to take immediate effect. P.S. was notified of this decision on 5 October. The case file does not indicate whether P.S. received notice of this decision before the animals were put down. Notice of this decision was also accompanied by information that appeal could be made to the County Administrative Court within three weeks of the date of service.</w:t>
      </w:r>
    </w:p>
    <w:p w:rsidR="009C1C5A" w:rsidRPr="00896D4F" w:rsidRDefault="009C1C5A">
      <w:pPr>
        <w:pStyle w:val="Citat"/>
      </w:pPr>
      <w:r w:rsidRPr="00896D4F">
        <w:t>– – –</w:t>
      </w:r>
    </w:p>
    <w:p w:rsidR="009C1C5A" w:rsidRPr="00896D4F" w:rsidRDefault="009C1C5A">
      <w:pPr>
        <w:pStyle w:val="Citat"/>
      </w:pPr>
      <w:r w:rsidRPr="00896D4F">
        <w:t xml:space="preserve">In view of these circumstances, a statement should be requested from the Swedish Board of Agriculture. In this statement particular emphasis should be placed on the circumstances in which the decision to destroy the animals was made on 4 October before the injunction of 17 September had gained the force of law and that the decision to destroy the animals was enforced before P.S. – apparently – had been given a reasonable opportunity to exercise his right of appeal. </w:t>
      </w:r>
    </w:p>
    <w:p w:rsidR="009C1C5A" w:rsidRPr="00896D4F" w:rsidRDefault="009C1C5A">
      <w:pPr>
        <w:pStyle w:val="Citatindrag"/>
      </w:pPr>
      <w:r w:rsidRPr="00896D4F">
        <w:t xml:space="preserve">The Board of Agriculture should also state whether any consideration was given to alternative ways of dealing with the problem of the lack of proof of identity for the animals. </w:t>
      </w:r>
    </w:p>
    <w:p w:rsidR="009C1C5A" w:rsidRPr="00896D4F" w:rsidRDefault="009C1C5A">
      <w:r w:rsidRPr="00896D4F">
        <w:t>The case was then referred to the Swedish Board of Agriculture for the stat</w:t>
      </w:r>
      <w:r w:rsidRPr="00896D4F">
        <w:t>e</w:t>
      </w:r>
      <w:r w:rsidRPr="00896D4F">
        <w:t>ment referred to in the memorandum. In its response of 1 December 1999, signed by the Director General, Ingbritt Irhammar, the Board made the foll</w:t>
      </w:r>
      <w:r w:rsidRPr="00896D4F">
        <w:t>o</w:t>
      </w:r>
      <w:r w:rsidRPr="00896D4F">
        <w:t>wing declaration (the annexes have been excluded).</w:t>
      </w:r>
    </w:p>
    <w:p w:rsidR="009C1C5A" w:rsidRPr="00896D4F" w:rsidRDefault="009C1C5A">
      <w:pPr>
        <w:pStyle w:val="Rubrik4"/>
      </w:pPr>
      <w:r w:rsidRPr="00896D4F">
        <w:t>How the case was dealt with and the legal grounds</w:t>
      </w:r>
    </w:p>
    <w:p w:rsidR="009C1C5A" w:rsidRPr="00896D4F" w:rsidRDefault="009C1C5A">
      <w:pPr>
        <w:pStyle w:val="Citat"/>
      </w:pPr>
      <w:r w:rsidRPr="00896D4F">
        <w:t>According to sections 24 &amp; 26 of the Ordinance on EC Regulations on Agr</w:t>
      </w:r>
      <w:r w:rsidRPr="00896D4F">
        <w:t>i</w:t>
      </w:r>
      <w:r w:rsidRPr="00896D4F">
        <w:t>cultural Products (SFS 1994:1715) the Swedish Board of Agriculture is e</w:t>
      </w:r>
      <w:r w:rsidRPr="00896D4F">
        <w:t>m</w:t>
      </w:r>
      <w:r w:rsidRPr="00896D4F">
        <w:t>powered to reach decisions concerning the monitoring and supervisory fun</w:t>
      </w:r>
      <w:r w:rsidRPr="00896D4F">
        <w:t>c</w:t>
      </w:r>
      <w:r w:rsidRPr="00896D4F">
        <w:t>tions that devolve on the Board in order to ensure compliance with Council Regulation no. 820/97 (EC) of 21 April 1997 establishing a system for the identification and registration of bovine animals and regarding the labelling of beef and beef products and Commission Regulation no. 494/98 of 27 Febru</w:t>
      </w:r>
      <w:r w:rsidRPr="00896D4F">
        <w:t>a</w:t>
      </w:r>
      <w:r w:rsidRPr="00896D4F">
        <w:t>ry 1998 laying down detailed rules for the implementation of Cou</w:t>
      </w:r>
      <w:r w:rsidRPr="00896D4F">
        <w:t>ncil Reg</w:t>
      </w:r>
      <w:r w:rsidRPr="00896D4F">
        <w:t>u</w:t>
      </w:r>
      <w:r w:rsidRPr="00896D4F">
        <w:t>lation 820/97 as regards the application of minimum administrative sanctions in the framework of the system for the identification and registration of bov</w:t>
      </w:r>
      <w:r w:rsidRPr="00896D4F">
        <w:t>i</w:t>
      </w:r>
      <w:r w:rsidRPr="00896D4F">
        <w:t xml:space="preserve">ne animals. </w:t>
      </w:r>
    </w:p>
    <w:p w:rsidR="009C1C5A" w:rsidRPr="00896D4F" w:rsidRDefault="009C1C5A">
      <w:pPr>
        <w:pStyle w:val="Citatindrag"/>
      </w:pPr>
      <w:r w:rsidRPr="00896D4F">
        <w:t>The Swedish Board of Agriculture has applied the following provisions in the EC regulations referred to above in the case in question.</w:t>
      </w:r>
    </w:p>
    <w:p w:rsidR="009C1C5A" w:rsidRPr="00896D4F" w:rsidRDefault="009C1C5A">
      <w:pPr>
        <w:pStyle w:val="Citatindrag"/>
      </w:pPr>
      <w:r w:rsidRPr="00896D4F">
        <w:t>The first paragraph of Article 3 of Council Regulation 820/97 (EC) lays down that the system for the identification and registration of bovine animals is to contain the following components.</w:t>
      </w:r>
    </w:p>
    <w:p w:rsidR="009C1C5A" w:rsidRPr="00896D4F" w:rsidRDefault="009C1C5A">
      <w:pPr>
        <w:pStyle w:val="Citat"/>
        <w:tabs>
          <w:tab w:val="left" w:pos="340"/>
        </w:tabs>
      </w:pPr>
      <w:r w:rsidRPr="00896D4F">
        <w:t>a)</w:t>
      </w:r>
      <w:r w:rsidRPr="00896D4F">
        <w:tab/>
        <w:t>Eartags for the individual identification of animals.</w:t>
      </w:r>
    </w:p>
    <w:p w:rsidR="009C1C5A" w:rsidRPr="00896D4F" w:rsidRDefault="009C1C5A">
      <w:pPr>
        <w:pStyle w:val="Citat"/>
        <w:tabs>
          <w:tab w:val="left" w:pos="340"/>
        </w:tabs>
        <w:spacing w:before="0"/>
        <w:rPr>
          <w:sz w:val="20"/>
        </w:rPr>
      </w:pPr>
      <w:r w:rsidRPr="00896D4F">
        <w:rPr>
          <w:sz w:val="20"/>
        </w:rPr>
        <w:t>b)</w:t>
      </w:r>
      <w:r w:rsidRPr="00896D4F">
        <w:rPr>
          <w:sz w:val="20"/>
        </w:rPr>
        <w:tab/>
      </w:r>
      <w:r w:rsidRPr="00896D4F">
        <w:t>Databases.</w:t>
      </w:r>
    </w:p>
    <w:p w:rsidR="009C1C5A" w:rsidRPr="00896D4F" w:rsidRDefault="009C1C5A">
      <w:pPr>
        <w:pStyle w:val="Citat"/>
        <w:tabs>
          <w:tab w:val="left" w:pos="340"/>
        </w:tabs>
        <w:spacing w:before="0"/>
        <w:rPr>
          <w:sz w:val="20"/>
        </w:rPr>
      </w:pPr>
      <w:r w:rsidRPr="00896D4F">
        <w:rPr>
          <w:sz w:val="20"/>
        </w:rPr>
        <w:t>c)</w:t>
      </w:r>
      <w:r w:rsidRPr="00896D4F">
        <w:rPr>
          <w:sz w:val="20"/>
        </w:rPr>
        <w:tab/>
        <w:t>Cattle passports (not applicable in Sweden).</w:t>
      </w:r>
    </w:p>
    <w:p w:rsidR="009C1C5A" w:rsidRPr="00896D4F" w:rsidRDefault="009C1C5A">
      <w:pPr>
        <w:pStyle w:val="Citat"/>
        <w:tabs>
          <w:tab w:val="left" w:pos="340"/>
        </w:tabs>
        <w:spacing w:before="0"/>
        <w:rPr>
          <w:sz w:val="20"/>
        </w:rPr>
      </w:pPr>
      <w:r w:rsidRPr="00896D4F">
        <w:rPr>
          <w:sz w:val="20"/>
        </w:rPr>
        <w:t>d)</w:t>
      </w:r>
      <w:r w:rsidRPr="00896D4F">
        <w:rPr>
          <w:sz w:val="20"/>
        </w:rPr>
        <w:tab/>
        <w:t xml:space="preserve">The </w:t>
      </w:r>
      <w:r w:rsidRPr="00896D4F">
        <w:t>maintenance</w:t>
      </w:r>
      <w:r w:rsidRPr="00896D4F">
        <w:rPr>
          <w:sz w:val="20"/>
        </w:rPr>
        <w:t xml:space="preserve"> of up-to-date individual on-farm reg</w:t>
      </w:r>
      <w:r w:rsidRPr="00896D4F">
        <w:rPr>
          <w:sz w:val="20"/>
        </w:rPr>
        <w:t>i</w:t>
      </w:r>
      <w:r w:rsidRPr="00896D4F">
        <w:rPr>
          <w:sz w:val="20"/>
        </w:rPr>
        <w:t>stration.</w:t>
      </w:r>
    </w:p>
    <w:p w:rsidR="009C1C5A" w:rsidRPr="00896D4F" w:rsidRDefault="009C1C5A">
      <w:pPr>
        <w:pStyle w:val="Citat"/>
      </w:pPr>
      <w:r w:rsidRPr="00896D4F">
        <w:t xml:space="preserve">Article 1.1 of Commission Regulation 494/98 (EC) stipulates that if there are animals that fail to comply with any of the provisions of article 3 of Council Regulation 820/97 (EC) movement of all livestock to or from the holding of the keeper concerned may be restricted. </w:t>
      </w:r>
    </w:p>
    <w:p w:rsidR="009C1C5A" w:rsidRPr="00896D4F" w:rsidRDefault="009C1C5A">
      <w:pPr>
        <w:pStyle w:val="Citatindrag"/>
      </w:pPr>
      <w:r w:rsidRPr="00896D4F">
        <w:t>Article 1.2 of Commission Regulation 494/98 (EC) goes on to stipulate that if a keeper cannot prove the identity of an animal in his holding within two working days it is to be destroyed without delay under the supervision of the veterinary authorities, and without compensation from the competent authority.</w:t>
      </w:r>
    </w:p>
    <w:p w:rsidR="009C1C5A" w:rsidRPr="00896D4F" w:rsidRDefault="009C1C5A">
      <w:pPr>
        <w:pStyle w:val="Citatindrag"/>
      </w:pPr>
      <w:r w:rsidRPr="00896D4F">
        <w:t>On 11 May 1999 the Swedish Board of Agriculture received notification that there were bovine animals that were neither marked with eartags nor registered in P.S’s holding. The Board then sent P.S. information about the current regulations concerning marking, registering and submitting notific</w:t>
      </w:r>
      <w:r w:rsidRPr="00896D4F">
        <w:t>a</w:t>
      </w:r>
      <w:r w:rsidRPr="00896D4F">
        <w:t>tion of bovine animals and subsequently, as nothing happened to suggest that P.S. intended to mark or register his animals, on 26 August 1999 requested Västra Götaland County Administrative Board to inspect whether the animals belonging to P.S. had been marked and registered. In its inspection report of 7 September 1999, the County Administrative Board stated that the six bovine animals in P.S’s holding were not marked with eartags.  In addition no indiv</w:t>
      </w:r>
      <w:r w:rsidRPr="00896D4F">
        <w:t>i</w:t>
      </w:r>
      <w:r w:rsidRPr="00896D4F">
        <w:t>dual on-farm register had been maintained (farm reco</w:t>
      </w:r>
      <w:r w:rsidRPr="00896D4F">
        <w:t xml:space="preserve">rd) nor had the Central Bovine Animal Register (CDB) been notified. As P.S. had, therefore, failed to  comply with </w:t>
      </w:r>
      <w:r w:rsidRPr="00896D4F">
        <w:rPr>
          <w:i/>
        </w:rPr>
        <w:t xml:space="preserve">any </w:t>
      </w:r>
      <w:r w:rsidRPr="00896D4F">
        <w:t>of the provisions in Article 3 of Council Regulation 820/97, the Swedish Board of Agriculture decided on 17 September by virtue of A</w:t>
      </w:r>
      <w:r w:rsidRPr="00896D4F">
        <w:t>r</w:t>
      </w:r>
      <w:r w:rsidRPr="00896D4F">
        <w:t>ticle 1.1 in Commission Regulation 494/98 (EC) to prohibit movement of all animals to or from the holding. P.S. was also enjoined to prove the identity of the bovine animals within two days of service of this notification as laid down in Article 1.2 of Commiss</w:t>
      </w:r>
      <w:r w:rsidRPr="00896D4F">
        <w:t xml:space="preserve">ion Regulation 494/98 (EC). P.S. was served notice of this decision on 21 September 1999. He did not request a stay of execution from the County Administrative Court. </w:t>
      </w:r>
    </w:p>
    <w:p w:rsidR="009C1C5A" w:rsidRPr="00896D4F" w:rsidRDefault="009C1C5A">
      <w:pPr>
        <w:pStyle w:val="Citatindrag"/>
      </w:pPr>
      <w:r w:rsidRPr="00896D4F">
        <w:t>A herdholder is required to submit the following information if an animal is to be considered identified: sex, breed, date of birth, the mother’s identif</w:t>
      </w:r>
      <w:r w:rsidRPr="00896D4F">
        <w:t>i</w:t>
      </w:r>
      <w:r w:rsidRPr="00896D4F">
        <w:t>cation code for animals born after 1 July 1999, the identification number of the holding at which birth took place, the identification numbers of all the holdings at which the animals have been kept together with the dates of all movements. It should be stressed that the Swedish Board of Agriculture end</w:t>
      </w:r>
      <w:r w:rsidRPr="00896D4F">
        <w:t>e</w:t>
      </w:r>
      <w:r w:rsidRPr="00896D4F">
        <w:t>avours – as far as possible – to provide herdholders with assistance conce</w:t>
      </w:r>
      <w:r w:rsidRPr="00896D4F">
        <w:t>r</w:t>
      </w:r>
      <w:r w:rsidRPr="00896D4F">
        <w:t>ning identification. However, it must be pointed out that it is the herdholder, and not the Swedish Board of Agriculture, that is r</w:t>
      </w:r>
      <w:r w:rsidRPr="00896D4F">
        <w:t>equired to prove the ide</w:t>
      </w:r>
      <w:r w:rsidRPr="00896D4F">
        <w:t>n</w:t>
      </w:r>
      <w:r w:rsidRPr="00896D4F">
        <w:t>tity of the bovine animals. For this reason, case officers at the Swedish Board of Agriculture contacted P.S. on two occasions, 24 and 27 September 1999, to provide information about how the animals could be identified and, if nece</w:t>
      </w:r>
      <w:r w:rsidRPr="00896D4F">
        <w:t>s</w:t>
      </w:r>
      <w:r w:rsidRPr="00896D4F">
        <w:t>sary, to assist. On these occasions he refused to speak to the case officers. On 4 October 1999, the Swedish Board of Agriculture decided that the animals in question were to be destroyed. The main events in this case are listed in the attached table (a</w:t>
      </w:r>
      <w:r w:rsidRPr="00896D4F">
        <w:t>n</w:t>
      </w:r>
      <w:r w:rsidRPr="00896D4F">
        <w:t>n</w:t>
      </w:r>
      <w:r w:rsidRPr="00896D4F">
        <w:t>ex 1).</w:t>
      </w:r>
    </w:p>
    <w:p w:rsidR="009C1C5A" w:rsidRPr="00896D4F" w:rsidRDefault="009C1C5A">
      <w:pPr>
        <w:pStyle w:val="Citatindrag"/>
      </w:pPr>
      <w:r w:rsidRPr="00896D4F">
        <w:t>It is important to make it clear that one of the purposes of the relevant EC Regulations is to make it possible to trace infections effectively. This means that very tight time limits are involved when they are applied. According to Article 1.2 of Commission Regulation 494/98 (EC) an animal is to be destr</w:t>
      </w:r>
      <w:r w:rsidRPr="00896D4F">
        <w:t>o</w:t>
      </w:r>
      <w:r w:rsidRPr="00896D4F">
        <w:t>yed without delay if its holder cannot prove its identity within two working days. In the circumstances described here, the Swedish Board of Agriculture decided that its destruction order was to take immediate effect as laid down in section 32 of the Ordinance on EC Regulations on Agricultural Products (SFS 1994:1715). This made it possible to destroy the animals without P.S. being notified of this decision or it having gained the force of law. The use of the word ‘immediately’ in Article 1.2 means that th</w:t>
      </w:r>
      <w:r w:rsidRPr="00896D4F">
        <w:t>ere is no possibility of waiting for an injunction or a destruction order to gain the force of law before proce</w:t>
      </w:r>
      <w:r w:rsidRPr="00896D4F">
        <w:t>e</w:t>
      </w:r>
      <w:r w:rsidRPr="00896D4F">
        <w:t>ding with the subsequent measure. In this context it should also be mentioned that the decision was dispatched to P.S. on 5 October 1999 by normal post. Another copy of the decision was sent to the District Veterinary Officer, Nils Vallentin, so that he could hand it to P.S. on the day on which the order was enforced.</w:t>
      </w:r>
    </w:p>
    <w:p w:rsidR="009C1C5A" w:rsidRPr="00896D4F" w:rsidRDefault="009C1C5A">
      <w:pPr>
        <w:pStyle w:val="Rubrik4"/>
      </w:pPr>
      <w:r w:rsidRPr="00896D4F">
        <w:t>Alternative procedures</w:t>
      </w:r>
    </w:p>
    <w:p w:rsidR="009C1C5A" w:rsidRPr="00896D4F" w:rsidRDefault="009C1C5A">
      <w:pPr>
        <w:pStyle w:val="Citat"/>
      </w:pPr>
      <w:r w:rsidRPr="00896D4F">
        <w:t>The Swedish Board of Agriculture has also been requested to state whether any consideration was given to alternative ways of dealing with the problem of the lack of identification for the animals. The destruction of bovine an</w:t>
      </w:r>
      <w:r w:rsidRPr="00896D4F">
        <w:t>i</w:t>
      </w:r>
      <w:r w:rsidRPr="00896D4F">
        <w:t>mals, especially without any compensation, constitutes a radical intervention in the personal and financial circumstances of a herdholder.  In addition a decision of this kind is irrevocable. The Swedish Board of Agriculture ther</w:t>
      </w:r>
      <w:r w:rsidRPr="00896D4F">
        <w:t>e</w:t>
      </w:r>
      <w:r w:rsidRPr="00896D4F">
        <w:t>fore devoted a great deal of time to investigating whether there existed any alternative to destroying these animals. The EC Regulations that apply are, however, explicit and unambiguous and leave the Swedish Board of Agricu</w:t>
      </w:r>
      <w:r w:rsidRPr="00896D4F">
        <w:t>l</w:t>
      </w:r>
      <w:r w:rsidRPr="00896D4F">
        <w:t>ture no scope for any other course of action. All altern</w:t>
      </w:r>
      <w:r w:rsidRPr="00896D4F">
        <w:t>ative procedures, such as the forcible marking of the animals, are excluded.</w:t>
      </w:r>
    </w:p>
    <w:p w:rsidR="009C1C5A" w:rsidRPr="00896D4F" w:rsidRDefault="009C1C5A">
      <w:pPr>
        <w:pStyle w:val="Citatindrag"/>
      </w:pPr>
      <w:r w:rsidRPr="00896D4F">
        <w:t>In this context, the Swedish Board of Agriculture would like to draw a</w:t>
      </w:r>
      <w:r w:rsidRPr="00896D4F">
        <w:t>t</w:t>
      </w:r>
      <w:r w:rsidRPr="00896D4F">
        <w:t>tention to the decision of the County Administrative Court for Jönköping County of 11 November 1999 (annex 2) and the response of the European Commission to a question posed by Per Gahrton (annex 3).</w:t>
      </w:r>
    </w:p>
    <w:p w:rsidR="009C1C5A" w:rsidRPr="00896D4F" w:rsidRDefault="009C1C5A">
      <w:pPr>
        <w:pStyle w:val="Citatindrag"/>
      </w:pPr>
      <w:r w:rsidRPr="00896D4F">
        <w:t>The overall opinion of the Swedish Board of Agriculture is that everything possible was done to assist P.S. to identify the bovine animals concerned, that the relevant Swedish legislation and EC Regulations have been applied co</w:t>
      </w:r>
      <w:r w:rsidRPr="00896D4F">
        <w:t>r</w:t>
      </w:r>
      <w:r w:rsidRPr="00896D4F">
        <w:t xml:space="preserve">rectly and that the Board was unable to adopt any other course of action to deal with the failure by P.S. to identify his bovine animals. </w:t>
      </w:r>
    </w:p>
    <w:p w:rsidR="009C1C5A" w:rsidRPr="00896D4F" w:rsidRDefault="009C1C5A">
      <w:r w:rsidRPr="00896D4F">
        <w:t>On 9 November 1999, the County Administrative Court for Jönköping County dismissed the appeal made by P.S. against the decision of the Swedish Board of Agriculture to destroy his bovine animals.</w:t>
      </w:r>
    </w:p>
    <w:p w:rsidR="009C1C5A" w:rsidRPr="00896D4F" w:rsidRDefault="009C1C5A">
      <w:pPr>
        <w:pStyle w:val="Normaltindrag"/>
      </w:pPr>
      <w:r w:rsidRPr="00896D4F">
        <w:t xml:space="preserve">In his adjudication of 8 January 2002, </w:t>
      </w:r>
      <w:r w:rsidRPr="00896D4F">
        <w:rPr>
          <w:i/>
        </w:rPr>
        <w:t>The Parliamentary Ombudsman, Mr. Berggren</w:t>
      </w:r>
      <w:r w:rsidRPr="00896D4F">
        <w:t xml:space="preserve"> included the following observations. </w:t>
      </w:r>
    </w:p>
    <w:p w:rsidR="009C1C5A" w:rsidRPr="00896D4F" w:rsidRDefault="009C1C5A">
      <w:pPr>
        <w:pStyle w:val="Normaltindrag"/>
      </w:pPr>
      <w:r w:rsidRPr="00896D4F">
        <w:t>The supervisory powers of the Parliamentary Ombudsmen are primarily intended to ensure that the actions of public authorities and their officials comply with the laws and statutes and that they discharge their responsibilit</w:t>
      </w:r>
      <w:r w:rsidRPr="00896D4F">
        <w:t>i</w:t>
      </w:r>
      <w:r w:rsidRPr="00896D4F">
        <w:t>es in other respects. The ombudsmen’s inquiries are judicial and deal mainly with the application of applicable statutory regulations. On the other hand, the Parliamentary Ombudsmen do not examine the circumstances on which authorities base their actions, particularly when decisions are based on cons</w:t>
      </w:r>
      <w:r w:rsidRPr="00896D4F">
        <w:t>i</w:t>
      </w:r>
      <w:r w:rsidRPr="00896D4F">
        <w:t>derations of suitability or require particular expertise. Nor can the Parliame</w:t>
      </w:r>
      <w:r w:rsidRPr="00896D4F">
        <w:t>n</w:t>
      </w:r>
      <w:r w:rsidRPr="00896D4F">
        <w:t>tary Ombudsmen reverse a decision made by a public authority. Inquiry by the Parliamentary Ombudsmen is not intended either to rep</w:t>
      </w:r>
      <w:r w:rsidRPr="00896D4F">
        <w:t xml:space="preserve">lace any review that may be made or has been made according to normal procedures. </w:t>
      </w:r>
    </w:p>
    <w:p w:rsidR="009C1C5A" w:rsidRPr="00896D4F" w:rsidRDefault="009C1C5A">
      <w:pPr>
        <w:pStyle w:val="Normaltindrag"/>
      </w:pPr>
      <w:r w:rsidRPr="00896D4F">
        <w:t>The Swedish Board of Agriculture has stated in its response that it devoted considerable time to establishing whether there was any alternative to the destruction of the animals. In this respect the Swedish Board of Agriculture has pointed out that the EC Regulations are explicit and unambiguous and leave it no scope for any other course of action; any alternative procedure, such as the forcible marking of the animals, is exc</w:t>
      </w:r>
      <w:r w:rsidRPr="00896D4F">
        <w:t>luded. In response I would merely like to comment that there would be no reasonable ground for crit</w:t>
      </w:r>
      <w:r w:rsidRPr="00896D4F">
        <w:t>i</w:t>
      </w:r>
      <w:r w:rsidRPr="00896D4F">
        <w:t xml:space="preserve">cism of the Swedish Board of Agriculture if before its destruction order it had attempted by means of alternative procedures to achieve the ultimate purpose of the EC Regulation, which is to enable any possible infections to be traced by establishing the origin of the bovine animals. In view of what has been stated about the herdholder’s unwillingness to co-operate and his general reaction I do not, however, </w:t>
      </w:r>
      <w:r w:rsidRPr="00896D4F">
        <w:t>have any grounds for declaring that the Swedish Board of Agriculture acted wrongly in deciding that the animals were to be destroyed. The legality of this decision has, moreover, been subject to the review of the County Administrative Court for Jönköping County. With this in mind and in view of my initial comments about the content and tenor of the Parliamentary Ombudsmen’s supervisory powers I have no further comment on the decision per se.</w:t>
      </w:r>
    </w:p>
    <w:p w:rsidR="009C1C5A" w:rsidRPr="00896D4F" w:rsidRDefault="009C1C5A">
      <w:pPr>
        <w:pStyle w:val="Normaltindrag"/>
      </w:pPr>
      <w:r w:rsidRPr="00896D4F">
        <w:t>When it comes to the enforcement of the decision I would like to a</w:t>
      </w:r>
      <w:r w:rsidRPr="00896D4F">
        <w:t>dd the following in connection with the memorandum sent to the Swedish Board of Agriculture.</w:t>
      </w:r>
    </w:p>
    <w:p w:rsidR="009C1C5A" w:rsidRPr="00896D4F" w:rsidRDefault="009C1C5A">
      <w:pPr>
        <w:pStyle w:val="Normaltindrag"/>
      </w:pPr>
      <w:r w:rsidRPr="00896D4F">
        <w:t xml:space="preserve">In its decision of 17 September 1999, the Swedish Board of Agriculture required P.S. to prove the identity of the bovine animals within two days of receipt of notification of the decision. As one of the grounds for the decision it was noted that failure to do so would result in the immediate destruction of the animals. By the very nature of things, the subsequent decision that the animals were to be destroyed could </w:t>
      </w:r>
      <w:r w:rsidRPr="00896D4F">
        <w:t>be made after only two days had elapsed, or in other words before the decision had gained the force of law.  When authorities are considering a decision of this kind they should, nevertheless, take into account circumstances that recommend postponement of the dec</w:t>
      </w:r>
      <w:r w:rsidRPr="00896D4F">
        <w:t>i</w:t>
      </w:r>
      <w:r w:rsidRPr="00896D4F">
        <w:t>sion, for instance that it would involve a serious infringement of an individ</w:t>
      </w:r>
      <w:r w:rsidRPr="00896D4F">
        <w:t>u</w:t>
      </w:r>
      <w:r w:rsidRPr="00896D4F">
        <w:t xml:space="preserve">al’s liberty or property, that implementation may be irreversible and also that there is a risk that the decision will be reversed if appealed (see Håkan Strömberg </w:t>
      </w:r>
      <w:r w:rsidRPr="00896D4F">
        <w:rPr>
          <w:i/>
        </w:rPr>
        <w:t>Allmän</w:t>
      </w:r>
      <w:r w:rsidRPr="00896D4F">
        <w:rPr>
          <w:i/>
        </w:rPr>
        <w:t xml:space="preserve"> förvaltningsrätt</w:t>
      </w:r>
      <w:r w:rsidRPr="00896D4F">
        <w:t xml:space="preserve"> 20</w:t>
      </w:r>
      <w:r w:rsidRPr="00896D4F">
        <w:rPr>
          <w:vertAlign w:val="superscript"/>
        </w:rPr>
        <w:t>th</w:t>
      </w:r>
      <w:r w:rsidRPr="00896D4F">
        <w:t xml:space="preserve"> ed. 2000, p. 128). The inquiry into this case reveals that case officers at the Swedish Board of Agriculture co</w:t>
      </w:r>
      <w:r w:rsidRPr="00896D4F">
        <w:t>n</w:t>
      </w:r>
      <w:r w:rsidRPr="00896D4F">
        <w:t>tacted P.S. on 24 and 27 September 1999 to provide any assistance he might need in identifying the animals. Not until he had refused to speak with these officers on these occasions did the Swedish Board of Agriculture decide on 4 October 1999 on the destruction of the animals.  In these circumstances I see no reason to criticise the Swedish Board of Agriculture for its decis</w:t>
      </w:r>
      <w:r w:rsidRPr="00896D4F">
        <w:t xml:space="preserve">ion that the animals were to be destroyed immediately before the time allowed for appeal against the decision on 17 September 1999 had expired. </w:t>
      </w:r>
    </w:p>
    <w:p w:rsidR="009C1C5A" w:rsidRPr="00896D4F" w:rsidRDefault="009C1C5A">
      <w:pPr>
        <w:pStyle w:val="Normaltindrag"/>
      </w:pPr>
      <w:r w:rsidRPr="00896D4F">
        <w:t>Nothing has been adduced to show that P.S. was informed of the Swedish Board of Agriculture’s decision of 4 October 1999 that the animals were to be destroyed without delay before it was enforced. He did not, in other words, have any opportunity to appeal against the decision to the County Adminis</w:t>
      </w:r>
      <w:r w:rsidRPr="00896D4F">
        <w:t>t</w:t>
      </w:r>
      <w:r w:rsidRPr="00896D4F">
        <w:t>rative Court and request a stay of execution. The fundamental principle that applies to all grave decisions is that those concerned must be notified before they are enforced (see Strömberg p. 127). This, as is the case with the enfo</w:t>
      </w:r>
      <w:r w:rsidRPr="00896D4F">
        <w:t>r</w:t>
      </w:r>
      <w:r w:rsidRPr="00896D4F">
        <w:t>cement of decisions before they have gained the force of law, is particularly important when the decision involves a serious infringement of the liberty or property of the individual, or if it is irreversible. In its response the Swedish Board of Agriculture has referred to the</w:t>
      </w:r>
      <w:r w:rsidRPr="00896D4F">
        <w:t xml:space="preserve"> tight time limits stipulated in Article 1.2 of Commission Regulation 494/98 (EC) – if the keeper of an animal ca</w:t>
      </w:r>
      <w:r w:rsidRPr="00896D4F">
        <w:t>n</w:t>
      </w:r>
      <w:r w:rsidRPr="00896D4F">
        <w:t>not prove its identification within two working days, it shall be destroyed without delay – and also that in accordance with Section 32 of the Ordinance on EC Regulations on Agricultural Products (SFS 1994:1715) the Swedish Board of Agriculture decided that the decision was to take immediate effect. By virtue of these provisions the decision could, in the opinion of the Swedish Board of Agricult</w:t>
      </w:r>
      <w:r w:rsidRPr="00896D4F">
        <w:t>ure, be enforced even though P.S. had not been notified. I, for my part, am dubious that these provisions provide explicit support for the opinion of the Swedish Board of Agriculture.  Nor can the circumstances be considered to have been of the kind that required, out of consideration for public order, for instance, or impending peril or the like, enforcement of the decision before P.S. had been notified. In view of the very serious infring</w:t>
      </w:r>
      <w:r w:rsidRPr="00896D4F">
        <w:t>e</w:t>
      </w:r>
      <w:r w:rsidRPr="00896D4F">
        <w:t xml:space="preserve">ment of his ownership that the decision involved and the fact that </w:t>
      </w:r>
      <w:r w:rsidRPr="00896D4F">
        <w:t>it was irr</w:t>
      </w:r>
      <w:r w:rsidRPr="00896D4F">
        <w:t>e</w:t>
      </w:r>
      <w:r w:rsidRPr="00896D4F">
        <w:t>versible, the Swedish Board of Agriculture should – in accordance with the fundamental principle referred to above – have delayed enforcement of the decision until it could be shown that P.S. had received notification. On the other hand the tight time limits prescribed in the regulations mean that the decision can be enforced even though it has not yet gained the force of law. I am, therefore, critical of the enforcement of the decision to destroy the an</w:t>
      </w:r>
      <w:r w:rsidRPr="00896D4F">
        <w:t>i</w:t>
      </w:r>
      <w:r w:rsidRPr="00896D4F">
        <w:t>mals by the Swedish Board of Agriculture b</w:t>
      </w:r>
      <w:r w:rsidRPr="00896D4F">
        <w:t>efore their holder had been notif</w:t>
      </w:r>
      <w:r w:rsidRPr="00896D4F">
        <w:t>i</w:t>
      </w:r>
      <w:r w:rsidRPr="00896D4F">
        <w:t xml:space="preserve">ed. </w:t>
      </w:r>
    </w:p>
    <w:p w:rsidR="009C1C5A" w:rsidRPr="00896D4F" w:rsidRDefault="009C1C5A">
      <w:pPr>
        <w:pStyle w:val="Normaltindrag"/>
      </w:pPr>
      <w:r w:rsidRPr="00896D4F">
        <w:t>Nothing else that has come to light concerning this case gives me cause to take any further action or express any further opinion.</w:t>
      </w:r>
    </w:p>
    <w:p w:rsidR="009C1C5A" w:rsidRPr="00896D4F" w:rsidRDefault="009C1C5A">
      <w:pPr>
        <w:pStyle w:val="Normaltindrag"/>
      </w:pPr>
      <w:r w:rsidRPr="00896D4F">
        <w:t>This closes the Parliamentary Ombudsman´s inquiry into this case.</w:t>
      </w:r>
    </w:p>
    <w:p w:rsidR="009C1C5A" w:rsidRPr="00896D4F" w:rsidRDefault="009C1C5A">
      <w:pPr>
        <w:pStyle w:val="Normaltindrag"/>
      </w:pPr>
    </w:p>
    <w:sectPr w:rsidR="009C1C5A" w:rsidRPr="00896D4F">
      <w:headerReference w:type="even" r:id="rId29"/>
      <w:headerReference w:type="default" r:id="rId30"/>
      <w:pgSz w:w="11906" w:h="16838" w:code="9"/>
      <w:pgMar w:top="3969" w:right="4649" w:bottom="1106" w:left="1304" w:header="5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C5A" w:rsidRPr="00896D4F" w:rsidRDefault="009C1C5A">
      <w:pPr>
        <w:spacing w:before="0" w:line="240" w:lineRule="auto"/>
      </w:pPr>
      <w:r w:rsidRPr="00896D4F">
        <w:separator/>
      </w:r>
    </w:p>
  </w:endnote>
  <w:endnote w:type="continuationSeparator" w:id="0">
    <w:p w:rsidR="009C1C5A" w:rsidRPr="00896D4F" w:rsidRDefault="009C1C5A">
      <w:pPr>
        <w:spacing w:before="0" w:line="240" w:lineRule="auto"/>
      </w:pPr>
      <w:r w:rsidRPr="00896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fot"/>
    </w:pPr>
    <w:r w:rsidRPr="00896D4F">
      <w:rPr>
        <w:noProof/>
      </w:rPr>
      <mc:AlternateContent>
        <mc:Choice Requires="wps">
          <w:drawing>
            <wp:anchor distT="0" distB="0" distL="114300" distR="114300" simplePos="0" relativeHeight="25165414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5478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NormalS5sidnrV"/>
                          </w:pPr>
                          <w:r>
                            <w:fldChar w:fldCharType="begin"/>
                          </w:r>
                          <w:r>
                            <w:instrText xml:space="preserve"> PAGE *\charformat</w:instrText>
                          </w:r>
                          <w:r>
                            <w:fldChar w:fldCharType="separate"/>
                          </w:r>
                          <w:r>
                            <w:rPr>
                              <w:noProof/>
                            </w:rPr>
                            <w:t>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1C5A" w:rsidRDefault="009C1C5A">
                    <w:pPr>
                      <w:pStyle w:val="NormalS5sidnrV"/>
                    </w:pPr>
                    <w:r>
                      <w:fldChar w:fldCharType="begin"/>
                    </w:r>
                    <w:r>
                      <w:instrText xml:space="preserve"> PAGE *\charformat</w:instrText>
                    </w:r>
                    <w:r>
                      <w:fldChar w:fldCharType="separate"/>
                    </w:r>
                    <w:r>
                      <w:rPr>
                        <w:noProof/>
                      </w:rPr>
                      <w:t>614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fot"/>
    </w:pPr>
    <w:r w:rsidRPr="00896D4F">
      <w:rPr>
        <w:noProof/>
      </w:rPr>
      <mc:AlternateContent>
        <mc:Choice Requires="wps">
          <w:drawing>
            <wp:anchor distT="0" distB="0" distL="114300" distR="114300" simplePos="0" relativeHeight="25165312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412016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NormalS5sidnrH"/>
                            <w:ind w:right="0"/>
                          </w:pPr>
                          <w:r>
                            <w:fldChar w:fldCharType="begin"/>
                          </w:r>
                          <w:r>
                            <w:instrText xml:space="preserve"> PAGE *\charformat</w:instrText>
                          </w:r>
                          <w:r>
                            <w:fldChar w:fldCharType="separate"/>
                          </w:r>
                          <w:r>
                            <w:rPr>
                              <w:noProof/>
                            </w:rPr>
                            <w:t>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1C5A" w:rsidRDefault="009C1C5A">
                    <w:pPr>
                      <w:pStyle w:val="NormalS5sidnrH"/>
                      <w:ind w:right="0"/>
                    </w:pPr>
                    <w:r>
                      <w:fldChar w:fldCharType="begin"/>
                    </w:r>
                    <w:r>
                      <w:instrText xml:space="preserve"> PAGE *\charformat</w:instrText>
                    </w:r>
                    <w:r>
                      <w:fldChar w:fldCharType="separate"/>
                    </w:r>
                    <w:r>
                      <w:rPr>
                        <w:noProof/>
                      </w:rPr>
                      <w:t>613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fot"/>
    </w:pPr>
    <w:r w:rsidRPr="00896D4F">
      <w:rPr>
        <w:noProof/>
      </w:rPr>
      <mc:AlternateContent>
        <mc:Choice Requires="wps">
          <w:drawing>
            <wp:anchor distT="0" distB="0" distL="114300" distR="114300" simplePos="0" relativeHeight="251652096"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700069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340.2pt;margin-top:-28.35pt;width:28.35pt;height:1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9C1C5A" w:rsidRDefault="009C1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C5A" w:rsidRPr="00896D4F" w:rsidRDefault="009C1C5A">
      <w:pPr>
        <w:spacing w:before="0" w:line="240" w:lineRule="auto"/>
      </w:pPr>
      <w:r w:rsidRPr="00896D4F">
        <w:separator/>
      </w:r>
    </w:p>
  </w:footnote>
  <w:footnote w:type="continuationSeparator" w:id="0">
    <w:p w:rsidR="009C1C5A" w:rsidRPr="00896D4F" w:rsidRDefault="009C1C5A">
      <w:pPr>
        <w:spacing w:before="0" w:line="240" w:lineRule="auto"/>
      </w:pPr>
      <w:r w:rsidRPr="00896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50048"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91214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p>
                </w:txbxContent>
              </v:textbox>
              <w10:wrap anchorx="margin"/>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5408"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806575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8" type="#_x0000_t202" style="position:absolute;left:0;text-align:left;margin-left:-70.9pt;margin-top:172.95pt;width:113.4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EN2g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N11BbV7LA+sh7CeV54vjnokH5KMfKsVNL/2ANpKfpPlj2Jg7UEtAS7JQCr+Gkl&#10;gxRzeBPmAdw7Mm3HyLPrFq/Zt8YkSc8sTny5/0npaVbjgP2+T7eef9T2FwA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AY2sEN2gEAAJkDAAAOAAAAAAAAAAAAAAAAAC4CAABkcnMvZTJvRG9jLnhtbFBLAQItABQABgAI&#10;AAAAIQAGG36I4QAAAAsBAAAPAAAAAAAAAAAAAAAAADQEAABkcnMvZG93bnJldi54bWxQSwUGAAAA&#10;AAQABADzAAAAQgU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4</w:t>
                    </w:r>
                  </w:p>
                </w:txbxContent>
              </v:textbox>
              <w10:wrap anchorx="margin"/>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1312"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520051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H"/>
                            <w:ind w:right="0"/>
                          </w:pPr>
                          <w:r>
                            <w:rPr>
                              <w:smallCaps/>
                            </w:rPr>
                            <w:t>Bilaga 4</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9" type="#_x0000_t202" style="position:absolute;left:0;text-align:left;margin-left:255.15pt;margin-top:172.95pt;width:113.4pt;height: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CrKGtY2gEAAJkDAAAOAAAAAAAAAAAAAAAAAC4CAABkcnMvZTJvRG9jLnhtbFBLAQItABQABgAI&#10;AAAAIQCCG6IV4QAAAAsBAAAPAAAAAAAAAAAAAAAAADQEAABkcnMvZG93bnJldi54bWxQSwUGAAAA&#10;AAQABADzAAAAQgUAAAAA&#10;" o:allowincell="f" filled="f" stroked="f">
              <v:textbox inset="0,0,0,0">
                <w:txbxContent>
                  <w:p w:rsidR="009C1C5A" w:rsidRDefault="009C1C5A">
                    <w:pPr>
                      <w:pStyle w:val="KantRubrikS5H"/>
                      <w:ind w:right="0"/>
                    </w:pPr>
                    <w:r>
                      <w:rPr>
                        <w:smallCaps/>
                      </w:rPr>
                      <w:t>Bilaga 4</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336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455429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0" type="#_x0000_t202" style="position:absolute;left:0;text-align:left;margin-left:-70.9pt;margin-top:172.95pt;width:113.4pt;height: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4r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5</w:t>
                    </w:r>
                  </w:p>
                </w:txbxContent>
              </v:textbox>
              <w10:wrap anchorx="margin"/>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233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100273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H"/>
                            <w:ind w:right="0"/>
                          </w:pPr>
                          <w:r>
                            <w:rPr>
                              <w:smallCaps/>
                            </w:rPr>
                            <w:t>Bilaga 5</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1" type="#_x0000_t202" style="position:absolute;left:0;text-align:left;margin-left:255.15pt;margin-top:172.95pt;width:113.4pt;height:1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BAAeR+2gEAAJkDAAAOAAAAAAAAAAAAAAAAAC4CAABkcnMvZTJvRG9jLnhtbFBLAQItABQABgAI&#10;AAAAIQCCG6IV4QAAAAsBAAAPAAAAAAAAAAAAAAAAADQEAABkcnMvZG93bnJldi54bWxQSwUGAAAA&#10;AAQABADzAAAAQgUAAAAA&#10;" o:allowincell="f" filled="f" stroked="f">
              <v:textbox inset="0,0,0,0">
                <w:txbxContent>
                  <w:p w:rsidR="009C1C5A" w:rsidRDefault="009C1C5A">
                    <w:pPr>
                      <w:pStyle w:val="KantRubrikS5H"/>
                      <w:ind w:right="0"/>
                    </w:pPr>
                    <w:r>
                      <w:rPr>
                        <w:smallCaps/>
                      </w:rPr>
                      <w:t>Bilaga 5</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51072"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90654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1C5A" w:rsidRDefault="009C1C5A">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FSHNormal"/>
      <w:tabs>
        <w:tab w:val="right" w:pos="5840"/>
      </w:tabs>
    </w:pPr>
    <w:r w:rsidRPr="00896D4F">
      <w:rPr>
        <w:noProof/>
      </w:rPr>
      <mc:AlternateContent>
        <mc:Choice Requires="wps">
          <w:drawing>
            <wp:anchor distT="0" distB="0" distL="114300" distR="114300" simplePos="0" relativeHeight="251655168" behindDoc="0" locked="1" layoutInCell="0" allowOverlap="1">
              <wp:simplePos x="0" y="0"/>
              <wp:positionH relativeFrom="page">
                <wp:posOffset>4788535</wp:posOffset>
              </wp:positionH>
              <wp:positionV relativeFrom="paragraph">
                <wp:posOffset>2340610</wp:posOffset>
              </wp:positionV>
              <wp:extent cx="972185" cy="1080135"/>
              <wp:effectExtent l="0" t="0" r="0" b="0"/>
              <wp:wrapNone/>
              <wp:docPr id="1142180722" name="Va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896D4F">
                          <w:pPr>
                            <w:pStyle w:val="Normal00"/>
                          </w:pPr>
                          <w:r>
                            <w:rPr>
                              <w:noProof/>
                            </w:rPr>
                            <w:drawing>
                              <wp:inline distT="0" distB="0" distL="0" distR="0">
                                <wp:extent cx="539115" cy="4025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9C1C5A" w:rsidRDefault="009C1C5A">
                          <w:pPr>
                            <w:pStyle w:val="Normal00"/>
                          </w:pPr>
                        </w:p>
                        <w:p w:rsidR="009C1C5A" w:rsidRDefault="009C1C5A">
                          <w:pPr>
                            <w:pStyle w:val="Normal00"/>
                          </w:pPr>
                          <w:r>
                            <w:fldChar w:fldCharType="begin"/>
                          </w:r>
                          <w:r>
                            <w:instrText xml:space="preserve"> DOCPROPERTY</w:instrText>
                          </w:r>
                          <w:r>
                            <w:rPr>
                              <w:sz w:val="18"/>
                            </w:rPr>
                            <w:instrText xml:space="preserve"> "YearUser" *\charformat </w:instrText>
                          </w:r>
                          <w:r>
                            <w:fldChar w:fldCharType="separate"/>
                          </w:r>
                          <w:r>
                            <w:t>2002/03</w:t>
                          </w:r>
                          <w:r>
                            <w:fldChar w:fldCharType="end"/>
                          </w:r>
                        </w:p>
                        <w:p w:rsidR="009C1C5A" w:rsidRDefault="009C1C5A">
                          <w:pPr>
                            <w:pStyle w:val="Normal00"/>
                          </w:pPr>
                          <w:r>
                            <w:fldChar w:fldCharType="begin"/>
                          </w:r>
                          <w:r>
                            <w:instrText xml:space="preserve"> </w:instrText>
                          </w:r>
                          <w:r>
                            <w:rPr>
                              <w:sz w:val="18"/>
                            </w:rPr>
                            <w:instrText xml:space="preserve">IF </w:instrText>
                          </w:r>
                          <w:r>
                            <w:fldChar w:fldCharType="begin"/>
                          </w:r>
                          <w:r>
                            <w:instrText xml:space="preserve"> DOCPROPERTY</w:instrText>
                          </w:r>
                          <w:r>
                            <w:rPr>
                              <w:sz w:val="18"/>
                            </w:rPr>
                            <w:instrText xml:space="preserve"> "SamlingPrint" </w:instrText>
                          </w:r>
                          <w:r>
                            <w:fldChar w:fldCharType="end"/>
                          </w:r>
                          <w:r>
                            <w:instrText>="" "</w:instrText>
                          </w:r>
                          <w:r>
                            <w:fldChar w:fldCharType="begin"/>
                          </w:r>
                          <w:r>
                            <w:instrText xml:space="preserve"> DOCPROPERTY</w:instrText>
                          </w:r>
                          <w:r>
                            <w:rPr>
                              <w:sz w:val="18"/>
                            </w:rPr>
                            <w:instrText xml:space="preserve"> "Motionsnummer" *\charformat </w:instrText>
                          </w:r>
                          <w:r>
                            <w:fldChar w:fldCharType="separate"/>
                          </w:r>
                          <w:r>
                            <w:instrText>JO1</w:instrText>
                          </w:r>
                          <w:r>
                            <w:fldChar w:fldCharType="end"/>
                          </w:r>
                          <w:r>
                            <w:instrText>" "</w:instrText>
                          </w:r>
                          <w:r>
                            <w:fldChar w:fldCharType="begin"/>
                          </w:r>
                          <w:r>
                            <w:instrText xml:space="preserve"> DOCPROPERTY</w:instrText>
                          </w:r>
                          <w:r>
                            <w:rPr>
                              <w:sz w:val="18"/>
                            </w:rPr>
                            <w:instrText xml:space="preserve"> "SamlingPrint" *\charformat </w:instrText>
                          </w:r>
                          <w:r>
                            <w:fldChar w:fldCharType="separate"/>
                          </w:r>
                          <w:r>
                            <w:instrText xml:space="preserve"> </w:instrText>
                          </w:r>
                          <w:r>
                            <w:fldChar w:fldCharType="end"/>
                          </w:r>
                          <w:r>
                            <w:instrText xml:space="preserve">" </w:instrText>
                          </w:r>
                          <w:r>
                            <w:fldChar w:fldCharType="separate"/>
                          </w:r>
                          <w:r w:rsidR="00896D4F">
                            <w:rPr>
                              <w:noProof/>
                            </w:rP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Vapen" o:spid="_x0000_s1030" type="#_x0000_t202" style="position:absolute;margin-left:377.05pt;margin-top:184.3pt;width:76.55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" o:allowincell="f" filled="f" stroked="f">
              <v:textbox inset="0,0,0,0">
                <w:txbxContent>
                  <w:p w:rsidR="009C1C5A" w:rsidRDefault="00896D4F">
                    <w:pPr>
                      <w:pStyle w:val="Normal00"/>
                    </w:pPr>
                    <w:r>
                      <w:rPr>
                        <w:noProof/>
                      </w:rPr>
                      <w:drawing>
                        <wp:inline distT="0" distB="0" distL="0" distR="0">
                          <wp:extent cx="539115" cy="4025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9C1C5A" w:rsidRDefault="009C1C5A">
                    <w:pPr>
                      <w:pStyle w:val="Normal00"/>
                    </w:pPr>
                  </w:p>
                  <w:p w:rsidR="009C1C5A" w:rsidRDefault="009C1C5A">
                    <w:pPr>
                      <w:pStyle w:val="Normal00"/>
                    </w:pPr>
                    <w:r>
                      <w:fldChar w:fldCharType="begin"/>
                    </w:r>
                    <w:r>
                      <w:instrText xml:space="preserve"> DOCPROPERTY</w:instrText>
                    </w:r>
                    <w:r>
                      <w:rPr>
                        <w:sz w:val="18"/>
                      </w:rPr>
                      <w:instrText xml:space="preserve"> "YearUser" *\charformat </w:instrText>
                    </w:r>
                    <w:r>
                      <w:fldChar w:fldCharType="separate"/>
                    </w:r>
                    <w:r>
                      <w:t>2002/03</w:t>
                    </w:r>
                    <w:r>
                      <w:fldChar w:fldCharType="end"/>
                    </w:r>
                  </w:p>
                  <w:p w:rsidR="009C1C5A" w:rsidRDefault="009C1C5A">
                    <w:pPr>
                      <w:pStyle w:val="Normal00"/>
                    </w:pPr>
                    <w:r>
                      <w:fldChar w:fldCharType="begin"/>
                    </w:r>
                    <w:r>
                      <w:instrText xml:space="preserve"> </w:instrText>
                    </w:r>
                    <w:r>
                      <w:rPr>
                        <w:sz w:val="18"/>
                      </w:rPr>
                      <w:instrText xml:space="preserve">IF </w:instrText>
                    </w:r>
                    <w:r>
                      <w:fldChar w:fldCharType="begin"/>
                    </w:r>
                    <w:r>
                      <w:instrText xml:space="preserve"> DOCPROPERTY</w:instrText>
                    </w:r>
                    <w:r>
                      <w:rPr>
                        <w:sz w:val="18"/>
                      </w:rPr>
                      <w:instrText xml:space="preserve"> "SamlingPrint" </w:instrText>
                    </w:r>
                    <w:r>
                      <w:fldChar w:fldCharType="end"/>
                    </w:r>
                    <w:r>
                      <w:instrText>="" "</w:instrText>
                    </w:r>
                    <w:r>
                      <w:fldChar w:fldCharType="begin"/>
                    </w:r>
                    <w:r>
                      <w:instrText xml:space="preserve"> DOCPROPERTY</w:instrText>
                    </w:r>
                    <w:r>
                      <w:rPr>
                        <w:sz w:val="18"/>
                      </w:rPr>
                      <w:instrText xml:space="preserve"> "Motionsnummer" *\charformat </w:instrText>
                    </w:r>
                    <w:r>
                      <w:fldChar w:fldCharType="separate"/>
                    </w:r>
                    <w:r>
                      <w:instrText>JO1</w:instrText>
                    </w:r>
                    <w:r>
                      <w:fldChar w:fldCharType="end"/>
                    </w:r>
                    <w:r>
                      <w:instrText>" "</w:instrText>
                    </w:r>
                    <w:r>
                      <w:fldChar w:fldCharType="begin"/>
                    </w:r>
                    <w:r>
                      <w:instrText xml:space="preserve"> DOCPROPERTY</w:instrText>
                    </w:r>
                    <w:r>
                      <w:rPr>
                        <w:sz w:val="18"/>
                      </w:rPr>
                      <w:instrText xml:space="preserve"> "SamlingPrint" *\charformat </w:instrText>
                    </w:r>
                    <w:r>
                      <w:fldChar w:fldCharType="separate"/>
                    </w:r>
                    <w:r>
                      <w:instrText xml:space="preserve"> </w:instrText>
                    </w:r>
                    <w:r>
                      <w:fldChar w:fldCharType="end"/>
                    </w:r>
                    <w:r>
                      <w:instrText xml:space="preserve">" </w:instrText>
                    </w:r>
                    <w:r>
                      <w:fldChar w:fldCharType="separate"/>
                    </w:r>
                    <w:r w:rsidR="00896D4F">
                      <w:rPr>
                        <w:noProof/>
                      </w:rPr>
                      <w:t>JO1</w:t>
                    </w:r>
                    <w:r>
                      <w:fldChar w:fldCharType="end"/>
                    </w:r>
                  </w:p>
                </w:txbxContent>
              </v:textbox>
              <w10:wrap anchorx="page"/>
              <w10:anchorlock/>
            </v:shape>
          </w:pict>
        </mc:Fallback>
      </mc:AlternateContent>
    </w:r>
    <w:r w:rsidR="009C1C5A" w:rsidRPr="00896D4F">
      <w:br/>
    </w:r>
    <w:r w:rsidR="009C1C5A" w:rsidRPr="00896D4F">
      <w:fldChar w:fldCharType="begin" w:fldLock="1"/>
    </w:r>
    <w:r w:rsidR="009C1C5A" w:rsidRPr="00896D4F">
      <w:instrText xml:space="preserve"> DOCPROPERTY</w:instrText>
    </w:r>
    <w:r w:rsidR="009C1C5A" w:rsidRPr="00896D4F">
      <w:rPr>
        <w:sz w:val="18"/>
      </w:rPr>
      <w:instrText xml:space="preserve"> "YearUser" *\charformat </w:instrText>
    </w:r>
    <w:r w:rsidR="009C1C5A" w:rsidRPr="00896D4F">
      <w:fldChar w:fldCharType="separate"/>
    </w:r>
    <w:r w:rsidR="009C1C5A" w:rsidRPr="00896D4F">
      <w:t>2002/03</w:t>
    </w:r>
    <w:r w:rsidR="009C1C5A" w:rsidRPr="00896D4F">
      <w:fldChar w:fldCharType="end"/>
    </w:r>
    <w:r w:rsidR="009C1C5A" w:rsidRPr="00896D4F">
      <w:t xml:space="preserve"> </w:t>
    </w:r>
    <w:r w:rsidR="009C1C5A" w:rsidRPr="00896D4F">
      <w:tab/>
      <w:t xml:space="preserve">mnr: </w:t>
    </w:r>
    <w:r w:rsidR="009C1C5A" w:rsidRPr="00896D4F">
      <w:fldChar w:fldCharType="begin" w:fldLock="1"/>
    </w:r>
    <w:r w:rsidR="009C1C5A" w:rsidRPr="00896D4F">
      <w:instrText xml:space="preserve"> DOCPROPERTY</w:instrText>
    </w:r>
    <w:r w:rsidR="009C1C5A" w:rsidRPr="00896D4F">
      <w:rPr>
        <w:sz w:val="18"/>
      </w:rPr>
      <w:instrText xml:space="preserve"> "Motionsnummer" *\charformat </w:instrText>
    </w:r>
    <w:r w:rsidR="009C1C5A" w:rsidRPr="00896D4F">
      <w:fldChar w:fldCharType="separate"/>
    </w:r>
    <w:r w:rsidR="009C1C5A" w:rsidRPr="00896D4F">
      <w:t>JO1</w:t>
    </w:r>
    <w:r w:rsidR="009C1C5A" w:rsidRPr="00896D4F">
      <w:fldChar w:fldCharType="end"/>
    </w:r>
    <w:r w:rsidR="009C1C5A" w:rsidRPr="00896D4F">
      <w:br/>
    </w:r>
    <w:r w:rsidR="009C1C5A" w:rsidRPr="00896D4F">
      <w:fldChar w:fldCharType="begin" w:fldLock="1"/>
    </w:r>
    <w:r w:rsidR="009C1C5A" w:rsidRPr="00896D4F">
      <w:instrText xml:space="preserve"> DOCPROPERTY</w:instrText>
    </w:r>
    <w:r w:rsidR="009C1C5A" w:rsidRPr="00896D4F">
      <w:rPr>
        <w:sz w:val="18"/>
      </w:rPr>
      <w:instrText xml:space="preserve"> "Samling" *\charformat </w:instrText>
    </w:r>
    <w:r w:rsidR="009C1C5A" w:rsidRPr="00896D4F">
      <w:fldChar w:fldCharType="end"/>
    </w:r>
    <w:r w:rsidR="009C1C5A" w:rsidRPr="00896D4F">
      <w:tab/>
      <w:t xml:space="preserve">pnr: </w:t>
    </w:r>
    <w:r w:rsidR="009C1C5A" w:rsidRPr="00896D4F">
      <w:fldChar w:fldCharType="begin" w:fldLock="1"/>
    </w:r>
    <w:r w:rsidR="009C1C5A" w:rsidRPr="00896D4F">
      <w:instrText xml:space="preserve"> DOCPROPERTY</w:instrText>
    </w:r>
    <w:r w:rsidR="009C1C5A" w:rsidRPr="00896D4F">
      <w:rPr>
        <w:sz w:val="18"/>
      </w:rPr>
      <w:instrText xml:space="preserve"> "Partinummer" *\charformat </w:instrText>
    </w:r>
    <w:r w:rsidR="009C1C5A" w:rsidRPr="00896D4F">
      <w:fldChar w:fldCharType="end"/>
    </w:r>
  </w:p>
  <w:p w:rsidR="009C1C5A" w:rsidRPr="00896D4F" w:rsidRDefault="009C1C5A">
    <w:pPr>
      <w:pStyle w:val="FSHRub1"/>
    </w:pPr>
    <w:r w:rsidRPr="00896D4F">
      <w:rPr>
        <w:sz w:val="36"/>
      </w:rPr>
      <w:t>Redogörelse</w:t>
    </w:r>
    <w:r w:rsidRPr="00896D4F">
      <w:br/>
    </w:r>
    <w:r w:rsidRPr="00896D4F">
      <w:fldChar w:fldCharType="begin" w:fldLock="1"/>
    </w:r>
    <w:r w:rsidRPr="00896D4F">
      <w:instrText xml:space="preserve"> DOCPROPERTY "YearUser" *\charformat </w:instrText>
    </w:r>
    <w:r w:rsidRPr="00896D4F">
      <w:fldChar w:fldCharType="separate"/>
    </w:r>
    <w:r w:rsidRPr="00896D4F">
      <w:t>2002/03</w:t>
    </w:r>
    <w:r w:rsidRPr="00896D4F">
      <w:fldChar w:fldCharType="end"/>
    </w:r>
    <w:r w:rsidRPr="00896D4F">
      <w:t>:</w:t>
    </w:r>
    <w:r w:rsidRPr="00896D4F">
      <w:fldChar w:fldCharType="begin" w:fldLock="1"/>
    </w:r>
    <w:r w:rsidRPr="00896D4F">
      <w:instrText xml:space="preserve"> DOCPROPERTY "Motionsnummer" *\charformat </w:instrText>
    </w:r>
    <w:r w:rsidRPr="00896D4F">
      <w:fldChar w:fldCharType="separate"/>
    </w:r>
    <w:r w:rsidRPr="00896D4F">
      <w:t>JO1</w:t>
    </w:r>
    <w:r w:rsidRPr="00896D4F">
      <w:fldChar w:fldCharType="end"/>
    </w:r>
  </w:p>
  <w:p w:rsidR="009C1C5A" w:rsidRPr="00896D4F" w:rsidRDefault="009C1C5A">
    <w:pPr>
      <w:pStyle w:val="FSHNormalS5"/>
    </w:pPr>
    <w:r w:rsidRPr="00896D4F">
      <w:fldChar w:fldCharType="begin" w:fldLock="1"/>
    </w:r>
    <w:r w:rsidRPr="00896D4F">
      <w:instrText xml:space="preserve"> DOCPROPERTY "MotionarText" *\charformat </w:instrText>
    </w:r>
    <w:r w:rsidRPr="00896D4F">
      <w:fldChar w:fldCharType="end"/>
    </w:r>
    <w:r w:rsidRPr="00896D4F">
      <w:br/>
    </w:r>
    <w:r w:rsidRPr="00896D4F">
      <w:fldChar w:fldCharType="begin" w:fldLock="1"/>
    </w:r>
    <w:r w:rsidRPr="00896D4F">
      <w:instrText xml:space="preserve"> DOCPROPERTY "SvarFrasKort" *\charformat </w:instrText>
    </w:r>
    <w:r w:rsidRPr="00896D4F">
      <w:fldChar w:fldCharType="end"/>
    </w:r>
    <w:r w:rsidRPr="00896D4F">
      <w:rPr>
        <w:b w:val="0"/>
        <w:sz w:val="32"/>
      </w:rPr>
      <w:t>Justitieombudsmännens ämbetsberättelse</w:t>
    </w:r>
    <w:r w:rsidRPr="00896D4F">
      <w:fldChar w:fldCharType="begin" w:fldLock="1"/>
    </w:r>
    <w:r w:rsidRPr="00896D4F">
      <w:instrText xml:space="preserve"> DOCPROPERTY</w:instrText>
    </w:r>
    <w:r w:rsidRPr="00896D4F">
      <w:rPr>
        <w:sz w:val="18"/>
      </w:rPr>
      <w:instrText xml:space="preserve"> "RubrikSvar" *\charformat </w:instrText>
    </w:r>
    <w:r w:rsidRPr="00896D4F">
      <w:fldChar w:fldCharType="end"/>
    </w:r>
  </w:p>
  <w:p w:rsidR="009C1C5A" w:rsidRPr="00896D4F" w:rsidRDefault="009C1C5A">
    <w:pPr>
      <w:pStyle w:val="FSHTitel"/>
      <w:rPr>
        <w:sz w:val="32"/>
      </w:rPr>
    </w:pPr>
    <w:r w:rsidRPr="00896D4F">
      <w:rPr>
        <w:sz w:val="32"/>
      </w:rPr>
      <w:fldChar w:fldCharType="begin" w:fldLock="1"/>
    </w:r>
    <w:r w:rsidRPr="00896D4F">
      <w:rPr>
        <w:sz w:val="32"/>
      </w:rPr>
      <w:instrText xml:space="preserve"> DOCPROPERTY "RubrikSvar" *\charformat </w:instrText>
    </w:r>
    <w:r w:rsidRPr="00896D4F">
      <w:rPr>
        <w:sz w:val="32"/>
      </w:rPr>
      <w:fldChar w:fldCharType="end"/>
    </w:r>
  </w:p>
  <w:p w:rsidR="009C1C5A" w:rsidRPr="00896D4F" w:rsidRDefault="009C1C5A">
    <w:pPr>
      <w:pStyle w:val="Normal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4384"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425907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2" type="#_x0000_t202" style="position:absolute;left:0;text-align:left;margin-left:-70.9pt;margin-top:172.95pt;width:113.4pt;height: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Aucq4/2gEAAJgDAAAOAAAAAAAAAAAAAAAAAC4CAABkcnMvZTJvRG9jLnhtbFBLAQItABQABgAI&#10;AAAAIQAGG36I4QAAAAsBAAAPAAAAAAAAAAAAAAAAADQEAABkcnMvZG93bnJldi54bWxQSwUGAAAA&#10;AAQABADzAAAAQgU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1</w:t>
                    </w:r>
                  </w:p>
                </w:txbxContent>
              </v:textbox>
              <w10:wrap anchorx="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58240"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113665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H"/>
                            <w:ind w:right="0"/>
                          </w:pPr>
                          <w:r>
                            <w:rPr>
                              <w:smallCaps/>
                            </w:rPr>
                            <w:t>Bilaga 1</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left:0;text-align:left;margin-left:255.15pt;margin-top:172.95pt;width:113.4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" o:allowincell="f" filled="f" stroked="f">
              <v:textbox inset="0,0,0,0">
                <w:txbxContent>
                  <w:p w:rsidR="009C1C5A" w:rsidRDefault="009C1C5A">
                    <w:pPr>
                      <w:pStyle w:val="KantRubrikS5H"/>
                      <w:ind w:right="0"/>
                    </w:pPr>
                    <w:r>
                      <w:rPr>
                        <w:smallCaps/>
                      </w:rPr>
                      <w:t>Bilaga 1</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FSHNormal"/>
      <w:tabs>
        <w:tab w:val="right" w:pos="5840"/>
      </w:tabs>
    </w:pPr>
    <w:r w:rsidRPr="00896D4F">
      <w:rPr>
        <w:noProof/>
      </w:rPr>
      <mc:AlternateContent>
        <mc:Choice Requires="wps">
          <w:drawing>
            <wp:anchor distT="0" distB="0" distL="114300" distR="114300" simplePos="0" relativeHeight="251656192" behindDoc="0" locked="1" layoutInCell="0" allowOverlap="1">
              <wp:simplePos x="0" y="0"/>
              <wp:positionH relativeFrom="page">
                <wp:posOffset>4788535</wp:posOffset>
              </wp:positionH>
              <wp:positionV relativeFrom="paragraph">
                <wp:posOffset>2340610</wp:posOffset>
              </wp:positionV>
              <wp:extent cx="972185" cy="1080135"/>
              <wp:effectExtent l="0" t="0" r="0" b="0"/>
              <wp:wrapNone/>
              <wp:docPr id="1458458872" name="Va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896D4F">
                          <w:pPr>
                            <w:pStyle w:val="Normal00"/>
                          </w:pPr>
                          <w:r>
                            <w:rPr>
                              <w:noProof/>
                            </w:rPr>
                            <w:drawing>
                              <wp:inline distT="0" distB="0" distL="0" distR="0">
                                <wp:extent cx="539115" cy="4025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9C1C5A" w:rsidRDefault="009C1C5A">
                          <w:pPr>
                            <w:pStyle w:val="Normal00"/>
                          </w:pPr>
                        </w:p>
                        <w:p w:rsidR="009C1C5A" w:rsidRDefault="009C1C5A">
                          <w:pPr>
                            <w:pStyle w:val="Normal00"/>
                          </w:pPr>
                          <w:r>
                            <w:fldChar w:fldCharType="begin"/>
                          </w:r>
                          <w:r>
                            <w:instrText xml:space="preserve"> DOCPROPERTY</w:instrText>
                          </w:r>
                          <w:r>
                            <w:rPr>
                              <w:sz w:val="18"/>
                            </w:rPr>
                            <w:instrText xml:space="preserve"> "YearUser" *\charformat </w:instrText>
                          </w:r>
                          <w:r>
                            <w:fldChar w:fldCharType="separate"/>
                          </w:r>
                          <w:r>
                            <w:t>2002/03</w:t>
                          </w:r>
                          <w:r>
                            <w:fldChar w:fldCharType="end"/>
                          </w:r>
                        </w:p>
                        <w:p w:rsidR="009C1C5A" w:rsidRDefault="009C1C5A">
                          <w:pPr>
                            <w:pStyle w:val="Normal00"/>
                          </w:pPr>
                          <w:r>
                            <w:fldChar w:fldCharType="begin"/>
                          </w:r>
                          <w:r>
                            <w:instrText xml:space="preserve"> </w:instrText>
                          </w:r>
                          <w:r>
                            <w:rPr>
                              <w:sz w:val="18"/>
                            </w:rPr>
                            <w:instrText xml:space="preserve">IF </w:instrText>
                          </w:r>
                          <w:r>
                            <w:fldChar w:fldCharType="begin"/>
                          </w:r>
                          <w:r>
                            <w:instrText xml:space="preserve"> DOCPROPERTY</w:instrText>
                          </w:r>
                          <w:r>
                            <w:rPr>
                              <w:sz w:val="18"/>
                            </w:rPr>
                            <w:instrText xml:space="preserve"> "SamlingPrint" </w:instrText>
                          </w:r>
                          <w:r>
                            <w:fldChar w:fldCharType="end"/>
                          </w:r>
                          <w:r>
                            <w:instrText>="" "</w:instrText>
                          </w:r>
                          <w:r>
                            <w:fldChar w:fldCharType="begin"/>
                          </w:r>
                          <w:r>
                            <w:instrText xml:space="preserve"> DOCPROPERTY</w:instrText>
                          </w:r>
                          <w:r>
                            <w:rPr>
                              <w:sz w:val="18"/>
                            </w:rPr>
                            <w:instrText xml:space="preserve"> "Motionsnummer" *\charformat </w:instrText>
                          </w:r>
                          <w:r>
                            <w:fldChar w:fldCharType="separate"/>
                          </w:r>
                          <w:r>
                            <w:instrText>JO1</w:instrText>
                          </w:r>
                          <w:r>
                            <w:fldChar w:fldCharType="end"/>
                          </w:r>
                          <w:r>
                            <w:instrText>" "</w:instrText>
                          </w:r>
                          <w:r>
                            <w:fldChar w:fldCharType="begin"/>
                          </w:r>
                          <w:r>
                            <w:instrText xml:space="preserve"> DOCPROPERTY</w:instrText>
                          </w:r>
                          <w:r>
                            <w:rPr>
                              <w:sz w:val="18"/>
                            </w:rPr>
                            <w:instrText xml:space="preserve"> "SamlingPrint" *\charformat </w:instrText>
                          </w:r>
                          <w:r>
                            <w:fldChar w:fldCharType="separate"/>
                          </w:r>
                          <w:r>
                            <w:instrText xml:space="preserve"> </w:instrText>
                          </w:r>
                          <w:r>
                            <w:fldChar w:fldCharType="end"/>
                          </w:r>
                          <w:r>
                            <w:instrText xml:space="preserve">" </w:instrText>
                          </w:r>
                          <w:r>
                            <w:fldChar w:fldCharType="separate"/>
                          </w:r>
                          <w:r>
                            <w:rPr>
                              <w:noProof/>
                            </w:rP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77.05pt;margin-top:184.3pt;width:76.55pt;height:8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" o:allowincell="f" filled="f" stroked="f">
              <v:textbox inset="0,0,0,0">
                <w:txbxContent>
                  <w:p w:rsidR="009C1C5A" w:rsidRDefault="00896D4F">
                    <w:pPr>
                      <w:pStyle w:val="Normal00"/>
                    </w:pPr>
                    <w:r>
                      <w:rPr>
                        <w:noProof/>
                      </w:rPr>
                      <w:drawing>
                        <wp:inline distT="0" distB="0" distL="0" distR="0">
                          <wp:extent cx="539115" cy="4025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9C1C5A" w:rsidRDefault="009C1C5A">
                    <w:pPr>
                      <w:pStyle w:val="Normal00"/>
                    </w:pPr>
                  </w:p>
                  <w:p w:rsidR="009C1C5A" w:rsidRDefault="009C1C5A">
                    <w:pPr>
                      <w:pStyle w:val="Normal00"/>
                    </w:pPr>
                    <w:r>
                      <w:fldChar w:fldCharType="begin"/>
                    </w:r>
                    <w:r>
                      <w:instrText xml:space="preserve"> DOCPROPERTY</w:instrText>
                    </w:r>
                    <w:r>
                      <w:rPr>
                        <w:sz w:val="18"/>
                      </w:rPr>
                      <w:instrText xml:space="preserve"> "YearUser" *\charformat </w:instrText>
                    </w:r>
                    <w:r>
                      <w:fldChar w:fldCharType="separate"/>
                    </w:r>
                    <w:r>
                      <w:t>2002/03</w:t>
                    </w:r>
                    <w:r>
                      <w:fldChar w:fldCharType="end"/>
                    </w:r>
                  </w:p>
                  <w:p w:rsidR="009C1C5A" w:rsidRDefault="009C1C5A">
                    <w:pPr>
                      <w:pStyle w:val="Normal00"/>
                    </w:pPr>
                    <w:r>
                      <w:fldChar w:fldCharType="begin"/>
                    </w:r>
                    <w:r>
                      <w:instrText xml:space="preserve"> </w:instrText>
                    </w:r>
                    <w:r>
                      <w:rPr>
                        <w:sz w:val="18"/>
                      </w:rPr>
                      <w:instrText xml:space="preserve">IF </w:instrText>
                    </w:r>
                    <w:r>
                      <w:fldChar w:fldCharType="begin"/>
                    </w:r>
                    <w:r>
                      <w:instrText xml:space="preserve"> DOCPROPERTY</w:instrText>
                    </w:r>
                    <w:r>
                      <w:rPr>
                        <w:sz w:val="18"/>
                      </w:rPr>
                      <w:instrText xml:space="preserve"> "SamlingPrint" </w:instrText>
                    </w:r>
                    <w:r>
                      <w:fldChar w:fldCharType="end"/>
                    </w:r>
                    <w:r>
                      <w:instrText>="" "</w:instrText>
                    </w:r>
                    <w:r>
                      <w:fldChar w:fldCharType="begin"/>
                    </w:r>
                    <w:r>
                      <w:instrText xml:space="preserve"> DOCPROPERTY</w:instrText>
                    </w:r>
                    <w:r>
                      <w:rPr>
                        <w:sz w:val="18"/>
                      </w:rPr>
                      <w:instrText xml:space="preserve"> "Motionsnummer" *\charformat </w:instrText>
                    </w:r>
                    <w:r>
                      <w:fldChar w:fldCharType="separate"/>
                    </w:r>
                    <w:r>
                      <w:instrText>JO1</w:instrText>
                    </w:r>
                    <w:r>
                      <w:fldChar w:fldCharType="end"/>
                    </w:r>
                    <w:r>
                      <w:instrText>" "</w:instrText>
                    </w:r>
                    <w:r>
                      <w:fldChar w:fldCharType="begin"/>
                    </w:r>
                    <w:r>
                      <w:instrText xml:space="preserve"> DOCPROPERTY</w:instrText>
                    </w:r>
                    <w:r>
                      <w:rPr>
                        <w:sz w:val="18"/>
                      </w:rPr>
                      <w:instrText xml:space="preserve"> "SamlingPrint" *\charformat </w:instrText>
                    </w:r>
                    <w:r>
                      <w:fldChar w:fldCharType="separate"/>
                    </w:r>
                    <w:r>
                      <w:instrText xml:space="preserve"> </w:instrText>
                    </w:r>
                    <w:r>
                      <w:fldChar w:fldCharType="end"/>
                    </w:r>
                    <w:r>
                      <w:instrText xml:space="preserve">" </w:instrText>
                    </w:r>
                    <w:r>
                      <w:fldChar w:fldCharType="separate"/>
                    </w:r>
                    <w:r>
                      <w:rPr>
                        <w:noProof/>
                      </w:rPr>
                      <w:t>JO1</w:t>
                    </w:r>
                    <w:r>
                      <w:fldChar w:fldCharType="end"/>
                    </w:r>
                  </w:p>
                </w:txbxContent>
              </v:textbox>
              <w10:wrap anchorx="page"/>
              <w10:anchorlock/>
            </v:shape>
          </w:pict>
        </mc:Fallback>
      </mc:AlternateContent>
    </w:r>
    <w:r w:rsidR="009C1C5A" w:rsidRPr="00896D4F">
      <w:br/>
    </w:r>
    <w:r w:rsidR="009C1C5A" w:rsidRPr="00896D4F">
      <w:fldChar w:fldCharType="begin" w:fldLock="1"/>
    </w:r>
    <w:r w:rsidR="009C1C5A" w:rsidRPr="00896D4F">
      <w:instrText xml:space="preserve"> DOCPROPERTY</w:instrText>
    </w:r>
    <w:r w:rsidR="009C1C5A" w:rsidRPr="00896D4F">
      <w:rPr>
        <w:sz w:val="18"/>
      </w:rPr>
      <w:instrText xml:space="preserve"> "YearUser" *\charformat </w:instrText>
    </w:r>
    <w:r w:rsidR="009C1C5A" w:rsidRPr="00896D4F">
      <w:fldChar w:fldCharType="separate"/>
    </w:r>
    <w:r w:rsidR="009C1C5A" w:rsidRPr="00896D4F">
      <w:t>2002/03</w:t>
    </w:r>
    <w:r w:rsidR="009C1C5A" w:rsidRPr="00896D4F">
      <w:fldChar w:fldCharType="end"/>
    </w:r>
    <w:r w:rsidR="009C1C5A" w:rsidRPr="00896D4F">
      <w:t xml:space="preserve"> </w:t>
    </w:r>
    <w:r w:rsidR="009C1C5A" w:rsidRPr="00896D4F">
      <w:tab/>
      <w:t xml:space="preserve">mnr: </w:t>
    </w:r>
    <w:r w:rsidR="009C1C5A" w:rsidRPr="00896D4F">
      <w:fldChar w:fldCharType="begin" w:fldLock="1"/>
    </w:r>
    <w:r w:rsidR="009C1C5A" w:rsidRPr="00896D4F">
      <w:instrText xml:space="preserve"> DOCPROPERTY</w:instrText>
    </w:r>
    <w:r w:rsidR="009C1C5A" w:rsidRPr="00896D4F">
      <w:rPr>
        <w:sz w:val="18"/>
      </w:rPr>
      <w:instrText xml:space="preserve"> "Motionsnummer" *\charformat </w:instrText>
    </w:r>
    <w:r w:rsidR="009C1C5A" w:rsidRPr="00896D4F">
      <w:fldChar w:fldCharType="separate"/>
    </w:r>
    <w:r w:rsidR="009C1C5A" w:rsidRPr="00896D4F">
      <w:t>JO1</w:t>
    </w:r>
    <w:r w:rsidR="009C1C5A" w:rsidRPr="00896D4F">
      <w:fldChar w:fldCharType="end"/>
    </w:r>
    <w:r w:rsidR="009C1C5A" w:rsidRPr="00896D4F">
      <w:br/>
    </w:r>
    <w:r w:rsidR="009C1C5A" w:rsidRPr="00896D4F">
      <w:fldChar w:fldCharType="begin" w:fldLock="1"/>
    </w:r>
    <w:r w:rsidR="009C1C5A" w:rsidRPr="00896D4F">
      <w:instrText xml:space="preserve"> DOCPROPERTY</w:instrText>
    </w:r>
    <w:r w:rsidR="009C1C5A" w:rsidRPr="00896D4F">
      <w:rPr>
        <w:sz w:val="18"/>
      </w:rPr>
      <w:instrText xml:space="preserve"> "Samling" *\charformat </w:instrText>
    </w:r>
    <w:r w:rsidR="009C1C5A" w:rsidRPr="00896D4F">
      <w:fldChar w:fldCharType="end"/>
    </w:r>
    <w:r w:rsidR="009C1C5A" w:rsidRPr="00896D4F">
      <w:tab/>
      <w:t xml:space="preserve">pnr: </w:t>
    </w:r>
    <w:r w:rsidR="009C1C5A" w:rsidRPr="00896D4F">
      <w:fldChar w:fldCharType="begin" w:fldLock="1"/>
    </w:r>
    <w:r w:rsidR="009C1C5A" w:rsidRPr="00896D4F">
      <w:instrText xml:space="preserve"> DOCPROPERTY</w:instrText>
    </w:r>
    <w:r w:rsidR="009C1C5A" w:rsidRPr="00896D4F">
      <w:rPr>
        <w:sz w:val="18"/>
      </w:rPr>
      <w:instrText xml:space="preserve"> "Partinummer" *\charformat </w:instrText>
    </w:r>
    <w:r w:rsidR="009C1C5A" w:rsidRPr="00896D4F">
      <w:fldChar w:fldCharType="end"/>
    </w:r>
  </w:p>
  <w:p w:rsidR="009C1C5A" w:rsidRPr="00896D4F" w:rsidRDefault="009C1C5A">
    <w:pPr>
      <w:pStyle w:val="FSHRub1"/>
    </w:pPr>
    <w:r w:rsidRPr="00896D4F">
      <w:rPr>
        <w:sz w:val="36"/>
      </w:rPr>
      <w:t>Redogörelse</w:t>
    </w:r>
    <w:r w:rsidRPr="00896D4F">
      <w:br/>
    </w:r>
    <w:r w:rsidRPr="00896D4F">
      <w:fldChar w:fldCharType="begin" w:fldLock="1"/>
    </w:r>
    <w:r w:rsidRPr="00896D4F">
      <w:instrText xml:space="preserve"> DOCPROPERTY "YearUser" *\charformat </w:instrText>
    </w:r>
    <w:r w:rsidRPr="00896D4F">
      <w:fldChar w:fldCharType="separate"/>
    </w:r>
    <w:r w:rsidRPr="00896D4F">
      <w:t>2002/03</w:t>
    </w:r>
    <w:r w:rsidRPr="00896D4F">
      <w:fldChar w:fldCharType="end"/>
    </w:r>
    <w:r w:rsidRPr="00896D4F">
      <w:t>:</w:t>
    </w:r>
    <w:r w:rsidRPr="00896D4F">
      <w:fldChar w:fldCharType="begin" w:fldLock="1"/>
    </w:r>
    <w:r w:rsidRPr="00896D4F">
      <w:instrText xml:space="preserve"> DOCPROPERTY "Motionsnummer" *\charformat </w:instrText>
    </w:r>
    <w:r w:rsidRPr="00896D4F">
      <w:fldChar w:fldCharType="separate"/>
    </w:r>
    <w:r w:rsidRPr="00896D4F">
      <w:t>JO1</w:t>
    </w:r>
    <w:r w:rsidRPr="00896D4F">
      <w:fldChar w:fldCharType="end"/>
    </w:r>
  </w:p>
  <w:p w:rsidR="009C1C5A" w:rsidRPr="00896D4F" w:rsidRDefault="009C1C5A">
    <w:pPr>
      <w:pStyle w:val="FSHNormalS5"/>
    </w:pPr>
    <w:r w:rsidRPr="00896D4F">
      <w:fldChar w:fldCharType="begin" w:fldLock="1"/>
    </w:r>
    <w:r w:rsidRPr="00896D4F">
      <w:instrText xml:space="preserve"> DOCPROPERTY "MotionarText" *\charformat </w:instrText>
    </w:r>
    <w:r w:rsidRPr="00896D4F">
      <w:fldChar w:fldCharType="end"/>
    </w:r>
    <w:r w:rsidRPr="00896D4F">
      <w:br/>
    </w:r>
    <w:r w:rsidRPr="00896D4F">
      <w:fldChar w:fldCharType="begin" w:fldLock="1"/>
    </w:r>
    <w:r w:rsidRPr="00896D4F">
      <w:instrText xml:space="preserve"> DOCPROPERTY "SvarFrasKort" *\charformat </w:instrText>
    </w:r>
    <w:r w:rsidRPr="00896D4F">
      <w:fldChar w:fldCharType="end"/>
    </w:r>
    <w:r w:rsidRPr="00896D4F">
      <w:rPr>
        <w:b w:val="0"/>
        <w:sz w:val="32"/>
      </w:rPr>
      <w:t>Justitieombudsmännens ämbetsberättelse</w:t>
    </w:r>
    <w:r w:rsidRPr="00896D4F">
      <w:fldChar w:fldCharType="begin" w:fldLock="1"/>
    </w:r>
    <w:r w:rsidRPr="00896D4F">
      <w:instrText xml:space="preserve"> DOCPROPERTY</w:instrText>
    </w:r>
    <w:r w:rsidRPr="00896D4F">
      <w:rPr>
        <w:sz w:val="18"/>
      </w:rPr>
      <w:instrText xml:space="preserve"> "RubrikSvar" *\charformat </w:instrText>
    </w:r>
    <w:r w:rsidRPr="00896D4F">
      <w:fldChar w:fldCharType="end"/>
    </w:r>
  </w:p>
  <w:p w:rsidR="009C1C5A" w:rsidRPr="00896D4F" w:rsidRDefault="009C1C5A">
    <w:pPr>
      <w:pStyle w:val="FSHTitel"/>
      <w:rPr>
        <w:sz w:val="32"/>
      </w:rPr>
    </w:pPr>
    <w:r w:rsidRPr="00896D4F">
      <w:rPr>
        <w:sz w:val="32"/>
      </w:rPr>
      <w:fldChar w:fldCharType="begin" w:fldLock="1"/>
    </w:r>
    <w:r w:rsidRPr="00896D4F">
      <w:rPr>
        <w:sz w:val="32"/>
      </w:rPr>
      <w:instrText xml:space="preserve"> DOCPROPERTY "RubrikSvar" *\charformat </w:instrText>
    </w:r>
    <w:r w:rsidRPr="00896D4F">
      <w:rPr>
        <w:sz w:val="32"/>
      </w:rPr>
      <w:fldChar w:fldCharType="end"/>
    </w:r>
  </w:p>
  <w:p w:rsidR="009C1C5A" w:rsidRPr="00896D4F" w:rsidRDefault="009C1C5A">
    <w:pPr>
      <w:pStyle w:val="Normal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57216"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364494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5" type="#_x0000_t202" style="position:absolute;left:0;text-align:left;margin-left:-70.9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2</w:t>
                    </w:r>
                  </w:p>
                </w:txbxContent>
              </v:textbox>
              <w10:wrap anchorx="margin"/>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5926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827102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H"/>
                            <w:ind w:right="0"/>
                          </w:pPr>
                          <w:r>
                            <w:rPr>
                              <w:smallCaps/>
                            </w:rPr>
                            <w:t>Bilaga 2</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left:0;text-align:left;margin-left:255.15pt;margin-top:172.95pt;width:113.4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m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" o:allowincell="f" filled="f" stroked="f">
              <v:textbox inset="0,0,0,0">
                <w:txbxContent>
                  <w:p w:rsidR="009C1C5A" w:rsidRDefault="009C1C5A">
                    <w:pPr>
                      <w:pStyle w:val="KantRubrikS5H"/>
                      <w:ind w:right="0"/>
                    </w:pPr>
                    <w:r>
                      <w:rPr>
                        <w:smallCaps/>
                      </w:rPr>
                      <w:t>Bilaga 2</w:t>
                    </w:r>
                    <w:r>
                      <w:t xml:space="preserve">  </w:t>
                    </w: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p>
                </w:txbxContent>
              </v:textbox>
              <w10:wrap anchorx="margin"/>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C5A" w:rsidRPr="00896D4F" w:rsidRDefault="00896D4F">
    <w:pPr>
      <w:pStyle w:val="Sidhuvud"/>
    </w:pPr>
    <w:r w:rsidRPr="00896D4F">
      <w:rPr>
        <w:noProof/>
        <w:sz w:val="26"/>
      </w:rPr>
      <mc:AlternateContent>
        <mc:Choice Requires="wps">
          <w:drawing>
            <wp:anchor distT="0" distB="0" distL="114300" distR="114300" simplePos="0" relativeHeight="251660288"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02528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7" type="#_x0000_t202" style="position:absolute;left:0;text-align:left;margin-left:-70.9pt;margin-top:172.95pt;width:113.4pt;height: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" o:allowincell="f" filled="f" stroked="f">
              <v:textbox inset="0,0,0,0">
                <w:txbxContent>
                  <w:p w:rsidR="009C1C5A" w:rsidRDefault="009C1C5A">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JO1</w:t>
                    </w:r>
                    <w:r>
                      <w:fldChar w:fldCharType="end"/>
                    </w:r>
                    <w:r>
                      <w:t xml:space="preserve">  </w:t>
                    </w:r>
                    <w:r>
                      <w:rPr>
                        <w:smallCaps/>
                      </w:rPr>
                      <w:t>Bilaga 3</w:t>
                    </w: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AC17B2"/>
    <w:lvl w:ilvl="0">
      <w:start w:val="1"/>
      <w:numFmt w:val="decimal"/>
      <w:suff w:val="space"/>
      <w:lvlText w:val="%1"/>
      <w:lvlJc w:val="left"/>
      <w:pPr>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9758A8"/>
    <w:multiLevelType w:val="multilevel"/>
    <w:tmpl w:val="C71AA52E"/>
    <w:lvl w:ilvl="0">
      <w:start w:val="3"/>
      <w:numFmt w:val="decimal"/>
      <w:lvlText w:val="%1."/>
      <w:lvlJc w:val="left"/>
      <w:pPr>
        <w:tabs>
          <w:tab w:val="num" w:pos="540"/>
        </w:tabs>
        <w:ind w:left="540" w:hanging="540"/>
      </w:pPr>
      <w:rPr>
        <w:rFonts w:hint="default"/>
        <w:b w:val="0"/>
      </w:rPr>
    </w:lvl>
    <w:lvl w:ilvl="1">
      <w:start w:val="2"/>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015B3DFB"/>
    <w:multiLevelType w:val="multilevel"/>
    <w:tmpl w:val="2FC02758"/>
    <w:lvl w:ilvl="0">
      <w:start w:val="3"/>
      <w:numFmt w:val="decimal"/>
      <w:lvlText w:val="%1."/>
      <w:lvlJc w:val="left"/>
      <w:pPr>
        <w:tabs>
          <w:tab w:val="num" w:pos="1200"/>
        </w:tabs>
        <w:ind w:left="1200" w:hanging="1200"/>
      </w:pPr>
      <w:rPr>
        <w:rFonts w:hint="default"/>
      </w:rPr>
    </w:lvl>
    <w:lvl w:ilvl="1">
      <w:start w:val="3"/>
      <w:numFmt w:val="decimal"/>
      <w:lvlText w:val="%1.%2."/>
      <w:lvlJc w:val="left"/>
      <w:pPr>
        <w:tabs>
          <w:tab w:val="num" w:pos="1860"/>
        </w:tabs>
        <w:ind w:left="1860" w:hanging="1200"/>
      </w:pPr>
      <w:rPr>
        <w:rFonts w:hint="default"/>
      </w:rPr>
    </w:lvl>
    <w:lvl w:ilvl="2">
      <w:start w:val="2"/>
      <w:numFmt w:val="decimal"/>
      <w:lvlText w:val="%1.%2.%3."/>
      <w:lvlJc w:val="left"/>
      <w:pPr>
        <w:tabs>
          <w:tab w:val="num" w:pos="2520"/>
        </w:tabs>
        <w:ind w:left="2520" w:hanging="1200"/>
      </w:pPr>
      <w:rPr>
        <w:rFonts w:hint="default"/>
      </w:rPr>
    </w:lvl>
    <w:lvl w:ilvl="3">
      <w:start w:val="1"/>
      <w:numFmt w:val="decimal"/>
      <w:lvlText w:val="%1.%2.%3.%4."/>
      <w:lvlJc w:val="left"/>
      <w:pPr>
        <w:tabs>
          <w:tab w:val="num" w:pos="3180"/>
        </w:tabs>
        <w:ind w:left="3180" w:hanging="1200"/>
      </w:pPr>
      <w:rPr>
        <w:rFonts w:hint="default"/>
      </w:rPr>
    </w:lvl>
    <w:lvl w:ilvl="4">
      <w:start w:val="1"/>
      <w:numFmt w:val="decimal"/>
      <w:lvlText w:val="%1.%2.%3.%4.%5."/>
      <w:lvlJc w:val="left"/>
      <w:pPr>
        <w:tabs>
          <w:tab w:val="num" w:pos="3840"/>
        </w:tabs>
        <w:ind w:left="3840" w:hanging="1200"/>
      </w:pPr>
      <w:rPr>
        <w:rFonts w:hint="default"/>
      </w:rPr>
    </w:lvl>
    <w:lvl w:ilvl="5">
      <w:start w:val="1"/>
      <w:numFmt w:val="decimal"/>
      <w:lvlText w:val="%1.%2.%3.%4.%5.%6."/>
      <w:lvlJc w:val="left"/>
      <w:pPr>
        <w:tabs>
          <w:tab w:val="num" w:pos="4500"/>
        </w:tabs>
        <w:ind w:left="4500" w:hanging="120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15:restartNumberingAfterBreak="0">
    <w:nsid w:val="01EC723F"/>
    <w:multiLevelType w:val="singleLevel"/>
    <w:tmpl w:val="707CE6C2"/>
    <w:lvl w:ilvl="0">
      <w:start w:val="1"/>
      <w:numFmt w:val="decimal"/>
      <w:lvlText w:val="%1)"/>
      <w:lvlJc w:val="left"/>
      <w:pPr>
        <w:tabs>
          <w:tab w:val="num" w:pos="645"/>
        </w:tabs>
        <w:ind w:left="645" w:hanging="360"/>
      </w:pPr>
      <w:rPr>
        <w:rFonts w:hint="default"/>
      </w:rPr>
    </w:lvl>
  </w:abstractNum>
  <w:abstractNum w:abstractNumId="15" w15:restartNumberingAfterBreak="0">
    <w:nsid w:val="026C0B80"/>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02ED7F8D"/>
    <w:multiLevelType w:val="singleLevel"/>
    <w:tmpl w:val="4D90F42C"/>
    <w:lvl w:ilvl="0">
      <w:start w:val="1"/>
      <w:numFmt w:val="decimal"/>
      <w:lvlText w:val="%1)"/>
      <w:lvlJc w:val="left"/>
      <w:pPr>
        <w:tabs>
          <w:tab w:val="num" w:pos="645"/>
        </w:tabs>
        <w:ind w:left="645" w:hanging="360"/>
      </w:pPr>
      <w:rPr>
        <w:rFonts w:hint="default"/>
      </w:rPr>
    </w:lvl>
  </w:abstractNum>
  <w:abstractNum w:abstractNumId="17" w15:restartNumberingAfterBreak="0">
    <w:nsid w:val="03713C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4252EA8"/>
    <w:multiLevelType w:val="singleLevel"/>
    <w:tmpl w:val="5E3EE56C"/>
    <w:lvl w:ilvl="0">
      <w:start w:val="3"/>
      <w:numFmt w:val="bullet"/>
      <w:lvlText w:val="-"/>
      <w:lvlJc w:val="left"/>
      <w:pPr>
        <w:tabs>
          <w:tab w:val="num" w:pos="360"/>
        </w:tabs>
        <w:ind w:left="360" w:hanging="360"/>
      </w:pPr>
      <w:rPr>
        <w:rFonts w:hint="default"/>
      </w:rPr>
    </w:lvl>
  </w:abstractNum>
  <w:abstractNum w:abstractNumId="19" w15:restartNumberingAfterBreak="0">
    <w:nsid w:val="0470746C"/>
    <w:multiLevelType w:val="singleLevel"/>
    <w:tmpl w:val="67D495CC"/>
    <w:lvl w:ilvl="0">
      <w:start w:val="3"/>
      <w:numFmt w:val="bullet"/>
      <w:lvlText w:val="-"/>
      <w:lvlJc w:val="left"/>
      <w:pPr>
        <w:tabs>
          <w:tab w:val="num" w:pos="1494"/>
        </w:tabs>
        <w:ind w:left="1494" w:hanging="360"/>
      </w:pPr>
      <w:rPr>
        <w:rFonts w:hint="default"/>
      </w:rPr>
    </w:lvl>
  </w:abstractNum>
  <w:abstractNum w:abstractNumId="20" w15:restartNumberingAfterBreak="0">
    <w:nsid w:val="05250035"/>
    <w:multiLevelType w:val="singleLevel"/>
    <w:tmpl w:val="30EE9350"/>
    <w:lvl w:ilvl="0">
      <w:start w:val="3642"/>
      <w:numFmt w:val="bullet"/>
      <w:lvlText w:val="–"/>
      <w:lvlJc w:val="left"/>
      <w:pPr>
        <w:tabs>
          <w:tab w:val="num" w:pos="360"/>
        </w:tabs>
        <w:ind w:left="360" w:hanging="360"/>
      </w:pPr>
      <w:rPr>
        <w:rFonts w:hint="default"/>
      </w:rPr>
    </w:lvl>
  </w:abstractNum>
  <w:abstractNum w:abstractNumId="21" w15:restartNumberingAfterBreak="0">
    <w:nsid w:val="056A52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5AE0737"/>
    <w:multiLevelType w:val="singleLevel"/>
    <w:tmpl w:val="D68C3E66"/>
    <w:lvl w:ilvl="0">
      <w:numFmt w:val="bullet"/>
      <w:lvlText w:val="-"/>
      <w:lvlJc w:val="left"/>
      <w:pPr>
        <w:tabs>
          <w:tab w:val="num" w:pos="360"/>
        </w:tabs>
        <w:ind w:left="360" w:hanging="360"/>
      </w:pPr>
      <w:rPr>
        <w:rFonts w:hint="default"/>
      </w:rPr>
    </w:lvl>
  </w:abstractNum>
  <w:abstractNum w:abstractNumId="23" w15:restartNumberingAfterBreak="0">
    <w:nsid w:val="062618B1"/>
    <w:multiLevelType w:val="multilevel"/>
    <w:tmpl w:val="0958C8B8"/>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5" w15:restartNumberingAfterBreak="0">
    <w:nsid w:val="06994B9C"/>
    <w:multiLevelType w:val="singleLevel"/>
    <w:tmpl w:val="AF0E4986"/>
    <w:lvl w:ilvl="0">
      <w:numFmt w:val="bullet"/>
      <w:lvlText w:val="-"/>
      <w:lvlJc w:val="left"/>
      <w:pPr>
        <w:tabs>
          <w:tab w:val="num" w:pos="360"/>
        </w:tabs>
        <w:ind w:left="360" w:hanging="360"/>
      </w:pPr>
      <w:rPr>
        <w:rFonts w:hint="default"/>
      </w:rPr>
    </w:lvl>
  </w:abstractNum>
  <w:abstractNum w:abstractNumId="26" w15:restartNumberingAfterBreak="0">
    <w:nsid w:val="069F3D5C"/>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077008A1"/>
    <w:multiLevelType w:val="multilevel"/>
    <w:tmpl w:val="9000D89A"/>
    <w:lvl w:ilvl="0">
      <w:start w:val="4676"/>
      <w:numFmt w:val="decimal"/>
      <w:lvlText w:val="%1"/>
      <w:lvlJc w:val="left"/>
      <w:pPr>
        <w:tabs>
          <w:tab w:val="num" w:pos="360"/>
        </w:tabs>
        <w:ind w:left="360" w:hanging="360"/>
      </w:pPr>
      <w:rPr>
        <w:rFonts w:hint="default"/>
      </w:rPr>
    </w:lvl>
    <w:lvl w:ilvl="1">
      <w:start w:val="1998"/>
      <w:numFmt w:val="decimal"/>
      <w:lvlText w:val="%1-%2"/>
      <w:lvlJc w:val="left"/>
      <w:pPr>
        <w:tabs>
          <w:tab w:val="num" w:pos="6595"/>
        </w:tabs>
        <w:ind w:left="6595" w:hanging="360"/>
      </w:pPr>
      <w:rPr>
        <w:rFonts w:hint="default"/>
      </w:rPr>
    </w:lvl>
    <w:lvl w:ilvl="2">
      <w:start w:val="1"/>
      <w:numFmt w:val="decimal"/>
      <w:lvlText w:val="%1-%2.%3"/>
      <w:lvlJc w:val="left"/>
      <w:pPr>
        <w:tabs>
          <w:tab w:val="num" w:pos="13190"/>
        </w:tabs>
        <w:ind w:left="13190" w:hanging="720"/>
      </w:pPr>
      <w:rPr>
        <w:rFonts w:hint="default"/>
      </w:rPr>
    </w:lvl>
    <w:lvl w:ilvl="3">
      <w:start w:val="1"/>
      <w:numFmt w:val="decimal"/>
      <w:lvlText w:val="%1-%2.%3.%4"/>
      <w:lvlJc w:val="left"/>
      <w:pPr>
        <w:tabs>
          <w:tab w:val="num" w:pos="19425"/>
        </w:tabs>
        <w:ind w:left="19425" w:hanging="720"/>
      </w:pPr>
      <w:rPr>
        <w:rFonts w:hint="default"/>
      </w:rPr>
    </w:lvl>
    <w:lvl w:ilvl="4">
      <w:start w:val="1"/>
      <w:numFmt w:val="decimal"/>
      <w:lvlText w:val="%1-%2.%3.%4.%5"/>
      <w:lvlJc w:val="left"/>
      <w:pPr>
        <w:tabs>
          <w:tab w:val="num" w:pos="26020"/>
        </w:tabs>
        <w:ind w:left="26020" w:hanging="1080"/>
      </w:pPr>
      <w:rPr>
        <w:rFonts w:hint="default"/>
      </w:rPr>
    </w:lvl>
    <w:lvl w:ilvl="5">
      <w:start w:val="1"/>
      <w:numFmt w:val="decimal"/>
      <w:lvlText w:val="%1-%2.%3.%4.%5.%6"/>
      <w:lvlJc w:val="left"/>
      <w:pPr>
        <w:tabs>
          <w:tab w:val="num" w:pos="32255"/>
        </w:tabs>
        <w:ind w:left="32255" w:hanging="1080"/>
      </w:pPr>
      <w:rPr>
        <w:rFonts w:hint="default"/>
      </w:rPr>
    </w:lvl>
    <w:lvl w:ilvl="6">
      <w:start w:val="1"/>
      <w:numFmt w:val="decimal"/>
      <w:lvlText w:val="%1-%2.%3.%4.%5.%6.%7"/>
      <w:lvlJc w:val="left"/>
      <w:pPr>
        <w:tabs>
          <w:tab w:val="num" w:pos="-26686"/>
        </w:tabs>
        <w:ind w:left="-26686" w:hanging="1440"/>
      </w:pPr>
      <w:rPr>
        <w:rFonts w:hint="default"/>
      </w:rPr>
    </w:lvl>
    <w:lvl w:ilvl="7">
      <w:start w:val="1"/>
      <w:numFmt w:val="decimal"/>
      <w:lvlText w:val="%1-%2.%3.%4.%5.%6.%7.%8"/>
      <w:lvlJc w:val="left"/>
      <w:pPr>
        <w:tabs>
          <w:tab w:val="num" w:pos="-20451"/>
        </w:tabs>
        <w:ind w:left="-20451" w:hanging="1440"/>
      </w:pPr>
      <w:rPr>
        <w:rFonts w:hint="default"/>
      </w:rPr>
    </w:lvl>
    <w:lvl w:ilvl="8">
      <w:start w:val="1"/>
      <w:numFmt w:val="decimal"/>
      <w:lvlText w:val="%1-%2.%3.%4.%5.%6.%7.%8.%9"/>
      <w:lvlJc w:val="left"/>
      <w:pPr>
        <w:tabs>
          <w:tab w:val="num" w:pos="-13856"/>
        </w:tabs>
        <w:ind w:left="-13856" w:hanging="1800"/>
      </w:pPr>
      <w:rPr>
        <w:rFonts w:hint="default"/>
      </w:rPr>
    </w:lvl>
  </w:abstractNum>
  <w:abstractNum w:abstractNumId="28" w15:restartNumberingAfterBreak="0">
    <w:nsid w:val="08845619"/>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29" w15:restartNumberingAfterBreak="0">
    <w:nsid w:val="095B2137"/>
    <w:multiLevelType w:val="multilevel"/>
    <w:tmpl w:val="E134217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A620488"/>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0A9535FC"/>
    <w:multiLevelType w:val="singleLevel"/>
    <w:tmpl w:val="63648712"/>
    <w:lvl w:ilvl="0">
      <w:start w:val="4439"/>
      <w:numFmt w:val="bullet"/>
      <w:lvlText w:val="-"/>
      <w:lvlJc w:val="left"/>
      <w:pPr>
        <w:tabs>
          <w:tab w:val="num" w:pos="360"/>
        </w:tabs>
        <w:ind w:left="360" w:hanging="360"/>
      </w:pPr>
      <w:rPr>
        <w:rFonts w:hint="default"/>
      </w:rPr>
    </w:lvl>
  </w:abstractNum>
  <w:abstractNum w:abstractNumId="32" w15:restartNumberingAfterBreak="0">
    <w:nsid w:val="0AA920AD"/>
    <w:multiLevelType w:val="multilevel"/>
    <w:tmpl w:val="755244A4"/>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AB14F95"/>
    <w:multiLevelType w:val="singleLevel"/>
    <w:tmpl w:val="A5F2DA58"/>
    <w:lvl w:ilvl="0">
      <w:numFmt w:val="bullet"/>
      <w:lvlText w:val="–"/>
      <w:lvlJc w:val="left"/>
      <w:pPr>
        <w:tabs>
          <w:tab w:val="num" w:pos="360"/>
        </w:tabs>
        <w:ind w:left="360" w:hanging="360"/>
      </w:pPr>
      <w:rPr>
        <w:rFonts w:hint="default"/>
      </w:rPr>
    </w:lvl>
  </w:abstractNum>
  <w:abstractNum w:abstractNumId="34" w15:restartNumberingAfterBreak="0">
    <w:nsid w:val="0C612516"/>
    <w:multiLevelType w:val="singleLevel"/>
    <w:tmpl w:val="041D000F"/>
    <w:lvl w:ilvl="0">
      <w:start w:val="1"/>
      <w:numFmt w:val="decimal"/>
      <w:lvlText w:val="%1."/>
      <w:legacy w:legacy="1" w:legacySpace="0" w:legacyIndent="360"/>
      <w:lvlJc w:val="left"/>
      <w:pPr>
        <w:ind w:left="360" w:hanging="360"/>
      </w:pPr>
    </w:lvl>
  </w:abstractNum>
  <w:abstractNum w:abstractNumId="35" w15:restartNumberingAfterBreak="0">
    <w:nsid w:val="0E017EAC"/>
    <w:multiLevelType w:val="multilevel"/>
    <w:tmpl w:val="9CAE2E02"/>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780"/>
        </w:tabs>
        <w:ind w:left="780" w:hanging="660"/>
      </w:pPr>
      <w:rPr>
        <w:rFonts w:hint="default"/>
      </w:rPr>
    </w:lvl>
    <w:lvl w:ilvl="2">
      <w:start w:val="9"/>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6" w15:restartNumberingAfterBreak="0">
    <w:nsid w:val="0E784488"/>
    <w:multiLevelType w:val="singleLevel"/>
    <w:tmpl w:val="5C8A9A62"/>
    <w:lvl w:ilvl="0">
      <w:start w:val="1"/>
      <w:numFmt w:val="decimal"/>
      <w:lvlRestart w:val="0"/>
      <w:lvlText w:val="%1."/>
      <w:lvlJc w:val="left"/>
      <w:pPr>
        <w:tabs>
          <w:tab w:val="num" w:pos="340"/>
        </w:tabs>
        <w:ind w:left="340" w:hanging="340"/>
      </w:pPr>
    </w:lvl>
  </w:abstractNum>
  <w:abstractNum w:abstractNumId="37" w15:restartNumberingAfterBreak="0">
    <w:nsid w:val="10985BC9"/>
    <w:multiLevelType w:val="singleLevel"/>
    <w:tmpl w:val="0D561C3E"/>
    <w:lvl w:ilvl="0">
      <w:start w:val="3"/>
      <w:numFmt w:val="decimal"/>
      <w:lvlText w:val="%1."/>
      <w:lvlJc w:val="left"/>
      <w:pPr>
        <w:tabs>
          <w:tab w:val="num" w:pos="540"/>
        </w:tabs>
        <w:ind w:left="540" w:hanging="540"/>
      </w:pPr>
      <w:rPr>
        <w:rFonts w:hint="default"/>
      </w:rPr>
    </w:lvl>
  </w:abstractNum>
  <w:abstractNum w:abstractNumId="38" w15:restartNumberingAfterBreak="0">
    <w:nsid w:val="11440DB8"/>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39" w15:restartNumberingAfterBreak="0">
    <w:nsid w:val="11E40772"/>
    <w:multiLevelType w:val="singleLevel"/>
    <w:tmpl w:val="30E88A6C"/>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29B7F40"/>
    <w:multiLevelType w:val="singleLevel"/>
    <w:tmpl w:val="79A67B4A"/>
    <w:lvl w:ilvl="0">
      <w:start w:val="1"/>
      <w:numFmt w:val="decimal"/>
      <w:lvlText w:val="%1."/>
      <w:lvlJc w:val="left"/>
      <w:pPr>
        <w:tabs>
          <w:tab w:val="num" w:pos="360"/>
        </w:tabs>
        <w:ind w:left="360" w:hanging="360"/>
      </w:pPr>
    </w:lvl>
  </w:abstractNum>
  <w:abstractNum w:abstractNumId="41" w15:restartNumberingAfterBreak="0">
    <w:nsid w:val="12FA2CAD"/>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42" w15:restartNumberingAfterBreak="0">
    <w:nsid w:val="13AC64C3"/>
    <w:multiLevelType w:val="multilevel"/>
    <w:tmpl w:val="D81EA9F2"/>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3EB4D43"/>
    <w:multiLevelType w:val="singleLevel"/>
    <w:tmpl w:val="A8C29BA6"/>
    <w:lvl w:ilvl="0">
      <w:numFmt w:val="bullet"/>
      <w:lvlText w:val="-"/>
      <w:lvlJc w:val="left"/>
      <w:pPr>
        <w:tabs>
          <w:tab w:val="num" w:pos="927"/>
        </w:tabs>
        <w:ind w:left="927" w:hanging="360"/>
      </w:pPr>
      <w:rPr>
        <w:rFonts w:hint="default"/>
      </w:rPr>
    </w:lvl>
  </w:abstractNum>
  <w:abstractNum w:abstractNumId="44" w15:restartNumberingAfterBreak="0">
    <w:nsid w:val="1706085F"/>
    <w:multiLevelType w:val="multilevel"/>
    <w:tmpl w:val="A5C875C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680"/>
        </w:tabs>
        <w:ind w:left="1680" w:hanging="6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45" w15:restartNumberingAfterBreak="0">
    <w:nsid w:val="17E676E3"/>
    <w:multiLevelType w:val="singleLevel"/>
    <w:tmpl w:val="041D000F"/>
    <w:lvl w:ilvl="0">
      <w:start w:val="1"/>
      <w:numFmt w:val="decimal"/>
      <w:lvlText w:val="%1."/>
      <w:lvlJc w:val="left"/>
      <w:pPr>
        <w:tabs>
          <w:tab w:val="num" w:pos="360"/>
        </w:tabs>
        <w:ind w:left="360" w:hanging="360"/>
      </w:pPr>
      <w:rPr>
        <w:rFonts w:hint="default"/>
      </w:rPr>
    </w:lvl>
  </w:abstractNum>
  <w:abstractNum w:abstractNumId="46" w15:restartNumberingAfterBreak="0">
    <w:nsid w:val="180C467D"/>
    <w:multiLevelType w:val="multilevel"/>
    <w:tmpl w:val="EAAA02F0"/>
    <w:lvl w:ilvl="0">
      <w:start w:val="3"/>
      <w:numFmt w:val="decimal"/>
      <w:lvlText w:val="%1."/>
      <w:lvlJc w:val="left"/>
      <w:pPr>
        <w:tabs>
          <w:tab w:val="num" w:pos="720"/>
        </w:tabs>
        <w:ind w:left="720" w:hanging="720"/>
      </w:pPr>
      <w:rPr>
        <w:rFonts w:hint="default"/>
        <w:b/>
        <w:i w:val="0"/>
      </w:rPr>
    </w:lvl>
    <w:lvl w:ilvl="1">
      <w:start w:val="1"/>
      <w:numFmt w:val="decimal"/>
      <w:lvlText w:val="%1.%2."/>
      <w:lvlJc w:val="left"/>
      <w:pPr>
        <w:tabs>
          <w:tab w:val="num" w:pos="1287"/>
        </w:tabs>
        <w:ind w:left="1287" w:hanging="720"/>
      </w:pPr>
      <w:rPr>
        <w:rFonts w:hint="default"/>
        <w:b/>
        <w:i w:val="0"/>
      </w:rPr>
    </w:lvl>
    <w:lvl w:ilvl="2">
      <w:start w:val="3"/>
      <w:numFmt w:val="decimal"/>
      <w:lvlText w:val="%1.%2.%3."/>
      <w:lvlJc w:val="left"/>
      <w:pPr>
        <w:tabs>
          <w:tab w:val="num" w:pos="1854"/>
        </w:tabs>
        <w:ind w:left="1854" w:hanging="720"/>
      </w:pPr>
      <w:rPr>
        <w:rFonts w:hint="default"/>
        <w:b/>
        <w:i w:val="0"/>
      </w:rPr>
    </w:lvl>
    <w:lvl w:ilvl="3">
      <w:start w:val="1"/>
      <w:numFmt w:val="decimal"/>
      <w:lvlText w:val="%1.%2.%3.%4."/>
      <w:lvlJc w:val="left"/>
      <w:pPr>
        <w:tabs>
          <w:tab w:val="num" w:pos="2421"/>
        </w:tabs>
        <w:ind w:left="2421" w:hanging="720"/>
      </w:pPr>
      <w:rPr>
        <w:rFonts w:hint="default"/>
        <w:b/>
        <w:i w:val="0"/>
      </w:rPr>
    </w:lvl>
    <w:lvl w:ilvl="4">
      <w:start w:val="1"/>
      <w:numFmt w:val="decimal"/>
      <w:lvlText w:val="%1.%2.%3.%4.%5."/>
      <w:lvlJc w:val="left"/>
      <w:pPr>
        <w:tabs>
          <w:tab w:val="num" w:pos="3348"/>
        </w:tabs>
        <w:ind w:left="3348" w:hanging="1080"/>
      </w:pPr>
      <w:rPr>
        <w:rFonts w:hint="default"/>
        <w:b/>
        <w:i w:val="0"/>
      </w:rPr>
    </w:lvl>
    <w:lvl w:ilvl="5">
      <w:start w:val="1"/>
      <w:numFmt w:val="decimal"/>
      <w:lvlText w:val="%1.%2.%3.%4.%5.%6."/>
      <w:lvlJc w:val="left"/>
      <w:pPr>
        <w:tabs>
          <w:tab w:val="num" w:pos="3915"/>
        </w:tabs>
        <w:ind w:left="3915" w:hanging="1080"/>
      </w:pPr>
      <w:rPr>
        <w:rFonts w:hint="default"/>
        <w:b/>
        <w:i w:val="0"/>
      </w:rPr>
    </w:lvl>
    <w:lvl w:ilvl="6">
      <w:start w:val="1"/>
      <w:numFmt w:val="decimal"/>
      <w:lvlText w:val="%1.%2.%3.%4.%5.%6.%7."/>
      <w:lvlJc w:val="left"/>
      <w:pPr>
        <w:tabs>
          <w:tab w:val="num" w:pos="4842"/>
        </w:tabs>
        <w:ind w:left="4842" w:hanging="1440"/>
      </w:pPr>
      <w:rPr>
        <w:rFonts w:hint="default"/>
        <w:b/>
        <w:i w:val="0"/>
      </w:rPr>
    </w:lvl>
    <w:lvl w:ilvl="7">
      <w:start w:val="1"/>
      <w:numFmt w:val="decimal"/>
      <w:lvlText w:val="%1.%2.%3.%4.%5.%6.%7.%8."/>
      <w:lvlJc w:val="left"/>
      <w:pPr>
        <w:tabs>
          <w:tab w:val="num" w:pos="5409"/>
        </w:tabs>
        <w:ind w:left="5409" w:hanging="1440"/>
      </w:pPr>
      <w:rPr>
        <w:rFonts w:hint="default"/>
        <w:b/>
        <w:i w:val="0"/>
      </w:rPr>
    </w:lvl>
    <w:lvl w:ilvl="8">
      <w:start w:val="1"/>
      <w:numFmt w:val="decimal"/>
      <w:lvlText w:val="%1.%2.%3.%4.%5.%6.%7.%8.%9."/>
      <w:lvlJc w:val="left"/>
      <w:pPr>
        <w:tabs>
          <w:tab w:val="num" w:pos="6336"/>
        </w:tabs>
        <w:ind w:left="6336" w:hanging="1800"/>
      </w:pPr>
      <w:rPr>
        <w:rFonts w:hint="default"/>
        <w:b/>
        <w:i w:val="0"/>
      </w:rPr>
    </w:lvl>
  </w:abstractNum>
  <w:abstractNum w:abstractNumId="47" w15:restartNumberingAfterBreak="0">
    <w:nsid w:val="188E44B6"/>
    <w:multiLevelType w:val="singleLevel"/>
    <w:tmpl w:val="73F89182"/>
    <w:lvl w:ilvl="0">
      <w:start w:val="1"/>
      <w:numFmt w:val="decimal"/>
      <w:lvlText w:val="%1)"/>
      <w:lvlJc w:val="left"/>
      <w:pPr>
        <w:tabs>
          <w:tab w:val="num" w:pos="645"/>
        </w:tabs>
        <w:ind w:left="645" w:hanging="360"/>
      </w:pPr>
      <w:rPr>
        <w:rFonts w:hint="default"/>
      </w:rPr>
    </w:lvl>
  </w:abstractNum>
  <w:abstractNum w:abstractNumId="48" w15:restartNumberingAfterBreak="0">
    <w:nsid w:val="18E660BB"/>
    <w:multiLevelType w:val="singleLevel"/>
    <w:tmpl w:val="76CAA22A"/>
    <w:lvl w:ilvl="0">
      <w:start w:val="1"/>
      <w:numFmt w:val="decimal"/>
      <w:lvlText w:val="%1)"/>
      <w:lvlJc w:val="left"/>
      <w:pPr>
        <w:tabs>
          <w:tab w:val="num" w:pos="930"/>
        </w:tabs>
        <w:ind w:left="930" w:hanging="360"/>
      </w:pPr>
      <w:rPr>
        <w:rFonts w:hint="default"/>
      </w:rPr>
    </w:lvl>
  </w:abstractNum>
  <w:abstractNum w:abstractNumId="49" w15:restartNumberingAfterBreak="0">
    <w:nsid w:val="197C6310"/>
    <w:multiLevelType w:val="multilevel"/>
    <w:tmpl w:val="534E41CE"/>
    <w:lvl w:ilvl="0">
      <w:start w:val="3"/>
      <w:numFmt w:val="decimal"/>
      <w:lvlText w:val="%1......"/>
      <w:lvlJc w:val="left"/>
      <w:pPr>
        <w:tabs>
          <w:tab w:val="num" w:pos="1800"/>
        </w:tabs>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6000"/>
        </w:tabs>
        <w:ind w:left="6000" w:hanging="1440"/>
      </w:pPr>
      <w:rPr>
        <w:rFonts w:hint="default"/>
        <w:b w:val="0"/>
      </w:rPr>
    </w:lvl>
  </w:abstractNum>
  <w:abstractNum w:abstractNumId="50" w15:restartNumberingAfterBreak="0">
    <w:nsid w:val="1A027D4E"/>
    <w:multiLevelType w:val="singleLevel"/>
    <w:tmpl w:val="BBFA0A4A"/>
    <w:lvl w:ilvl="0">
      <w:numFmt w:val="bullet"/>
      <w:lvlText w:val="-"/>
      <w:lvlJc w:val="left"/>
      <w:pPr>
        <w:tabs>
          <w:tab w:val="num" w:pos="927"/>
        </w:tabs>
        <w:ind w:left="927" w:hanging="360"/>
      </w:pPr>
      <w:rPr>
        <w:rFonts w:hint="default"/>
      </w:rPr>
    </w:lvl>
  </w:abstractNum>
  <w:abstractNum w:abstractNumId="51" w15:restartNumberingAfterBreak="0">
    <w:nsid w:val="1A5848D3"/>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52" w15:restartNumberingAfterBreak="0">
    <w:nsid w:val="1BF54823"/>
    <w:multiLevelType w:val="singleLevel"/>
    <w:tmpl w:val="3C8C3FDC"/>
    <w:lvl w:ilvl="0">
      <w:numFmt w:val="bullet"/>
      <w:lvlText w:val="-"/>
      <w:lvlJc w:val="left"/>
      <w:pPr>
        <w:tabs>
          <w:tab w:val="num" w:pos="360"/>
        </w:tabs>
        <w:ind w:left="360" w:hanging="360"/>
      </w:pPr>
      <w:rPr>
        <w:rFonts w:hint="default"/>
      </w:rPr>
    </w:lvl>
  </w:abstractNum>
  <w:abstractNum w:abstractNumId="53" w15:restartNumberingAfterBreak="0">
    <w:nsid w:val="1C2E5485"/>
    <w:multiLevelType w:val="singleLevel"/>
    <w:tmpl w:val="6D7E17C0"/>
    <w:lvl w:ilvl="0">
      <w:start w:val="1"/>
      <w:numFmt w:val="decimal"/>
      <w:lvlText w:val="%1. "/>
      <w:legacy w:legacy="1" w:legacySpace="0" w:legacyIndent="283"/>
      <w:lvlJc w:val="left"/>
      <w:pPr>
        <w:ind w:left="283" w:hanging="283"/>
      </w:pPr>
      <w:rPr>
        <w:rFonts w:ascii="AGaramond" w:hAnsi="AGaramond" w:hint="default"/>
        <w:b w:val="0"/>
        <w:i w:val="0"/>
        <w:sz w:val="24"/>
        <w:u w:val="none"/>
      </w:rPr>
    </w:lvl>
  </w:abstractNum>
  <w:abstractNum w:abstractNumId="54" w15:restartNumberingAfterBreak="0">
    <w:nsid w:val="1D197106"/>
    <w:multiLevelType w:val="singleLevel"/>
    <w:tmpl w:val="AB86AD4E"/>
    <w:lvl w:ilvl="0">
      <w:start w:val="1"/>
      <w:numFmt w:val="decimal"/>
      <w:lvlText w:val="%1)"/>
      <w:lvlJc w:val="left"/>
      <w:pPr>
        <w:tabs>
          <w:tab w:val="num" w:pos="645"/>
        </w:tabs>
        <w:ind w:left="645" w:hanging="360"/>
      </w:pPr>
      <w:rPr>
        <w:rFonts w:hint="default"/>
      </w:rPr>
    </w:lvl>
  </w:abstractNum>
  <w:abstractNum w:abstractNumId="55" w15:restartNumberingAfterBreak="0">
    <w:nsid w:val="1DA505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E1070B6"/>
    <w:multiLevelType w:val="singleLevel"/>
    <w:tmpl w:val="17E2781C"/>
    <w:lvl w:ilvl="0">
      <w:start w:val="1"/>
      <w:numFmt w:val="lowerLetter"/>
      <w:lvlRestart w:val="0"/>
      <w:lvlText w:val="%1."/>
      <w:lvlJc w:val="left"/>
      <w:pPr>
        <w:tabs>
          <w:tab w:val="num" w:pos="360"/>
        </w:tabs>
        <w:ind w:left="340" w:hanging="340"/>
      </w:pPr>
    </w:lvl>
  </w:abstractNum>
  <w:abstractNum w:abstractNumId="57" w15:restartNumberingAfterBreak="0">
    <w:nsid w:val="1F024F2F"/>
    <w:multiLevelType w:val="singleLevel"/>
    <w:tmpl w:val="E6829862"/>
    <w:lvl w:ilvl="0">
      <w:numFmt w:val="bullet"/>
      <w:lvlText w:val="-"/>
      <w:lvlJc w:val="left"/>
      <w:pPr>
        <w:tabs>
          <w:tab w:val="num" w:pos="927"/>
        </w:tabs>
        <w:ind w:left="927" w:hanging="360"/>
      </w:pPr>
      <w:rPr>
        <w:rFonts w:hint="default"/>
      </w:rPr>
    </w:lvl>
  </w:abstractNum>
  <w:abstractNum w:abstractNumId="58" w15:restartNumberingAfterBreak="0">
    <w:nsid w:val="202B52D0"/>
    <w:multiLevelType w:val="multilevel"/>
    <w:tmpl w:val="932449A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0CB3D04"/>
    <w:multiLevelType w:val="singleLevel"/>
    <w:tmpl w:val="FF60AE2A"/>
    <w:lvl w:ilvl="0">
      <w:start w:val="1"/>
      <w:numFmt w:val="decimal"/>
      <w:lvlText w:val="%1)"/>
      <w:lvlJc w:val="left"/>
      <w:pPr>
        <w:tabs>
          <w:tab w:val="num" w:pos="645"/>
        </w:tabs>
        <w:ind w:left="645" w:hanging="360"/>
      </w:pPr>
      <w:rPr>
        <w:rFonts w:hint="default"/>
      </w:rPr>
    </w:lvl>
  </w:abstractNum>
  <w:abstractNum w:abstractNumId="60" w15:restartNumberingAfterBreak="0">
    <w:nsid w:val="20F460A0"/>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214E5CD5"/>
    <w:multiLevelType w:val="singleLevel"/>
    <w:tmpl w:val="36223D02"/>
    <w:lvl w:ilvl="0">
      <w:numFmt w:val="bullet"/>
      <w:lvlText w:val="-"/>
      <w:lvlJc w:val="left"/>
      <w:pPr>
        <w:tabs>
          <w:tab w:val="num" w:pos="360"/>
        </w:tabs>
        <w:ind w:left="360" w:hanging="360"/>
      </w:pPr>
      <w:rPr>
        <w:rFonts w:hint="default"/>
      </w:rPr>
    </w:lvl>
  </w:abstractNum>
  <w:abstractNum w:abstractNumId="62" w15:restartNumberingAfterBreak="0">
    <w:nsid w:val="215865E0"/>
    <w:multiLevelType w:val="multilevel"/>
    <w:tmpl w:val="13168D3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17A6E42"/>
    <w:multiLevelType w:val="multilevel"/>
    <w:tmpl w:val="755CB58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1B26307"/>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6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66" w15:restartNumberingAfterBreak="0">
    <w:nsid w:val="23164CD6"/>
    <w:multiLevelType w:val="multilevel"/>
    <w:tmpl w:val="C97EA59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07"/>
        </w:tabs>
        <w:ind w:left="1107" w:hanging="54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7" w15:restartNumberingAfterBreak="0">
    <w:nsid w:val="24004B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503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56C67E0"/>
    <w:multiLevelType w:val="singleLevel"/>
    <w:tmpl w:val="9BA4698A"/>
    <w:lvl w:ilvl="0">
      <w:start w:val="1"/>
      <w:numFmt w:val="decimal"/>
      <w:lvlText w:val="%1."/>
      <w:lvlJc w:val="left"/>
      <w:pPr>
        <w:tabs>
          <w:tab w:val="num" w:pos="567"/>
        </w:tabs>
        <w:ind w:left="567" w:hanging="360"/>
      </w:pPr>
      <w:rPr>
        <w:rFonts w:hint="default"/>
      </w:rPr>
    </w:lvl>
  </w:abstractNum>
  <w:abstractNum w:abstractNumId="70" w15:restartNumberingAfterBreak="0">
    <w:nsid w:val="264A0E99"/>
    <w:multiLevelType w:val="multilevel"/>
    <w:tmpl w:val="8536D6F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287"/>
        </w:tabs>
        <w:ind w:left="1287" w:hanging="72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1" w15:restartNumberingAfterBreak="0">
    <w:nsid w:val="26A42DF8"/>
    <w:multiLevelType w:val="singleLevel"/>
    <w:tmpl w:val="041D000F"/>
    <w:lvl w:ilvl="0">
      <w:start w:val="1"/>
      <w:numFmt w:val="decimal"/>
      <w:lvlText w:val="%1."/>
      <w:lvlJc w:val="left"/>
      <w:pPr>
        <w:tabs>
          <w:tab w:val="num" w:pos="360"/>
        </w:tabs>
        <w:ind w:left="360" w:hanging="360"/>
      </w:pPr>
      <w:rPr>
        <w:rFonts w:hint="default"/>
      </w:rPr>
    </w:lvl>
  </w:abstractNum>
  <w:abstractNum w:abstractNumId="72" w15:restartNumberingAfterBreak="0">
    <w:nsid w:val="27133756"/>
    <w:multiLevelType w:val="singleLevel"/>
    <w:tmpl w:val="5024F5A0"/>
    <w:lvl w:ilvl="0">
      <w:start w:val="2002"/>
      <w:numFmt w:val="bullet"/>
      <w:lvlText w:val="-"/>
      <w:lvlJc w:val="left"/>
      <w:pPr>
        <w:tabs>
          <w:tab w:val="num" w:pos="360"/>
        </w:tabs>
        <w:ind w:left="360" w:hanging="360"/>
      </w:pPr>
      <w:rPr>
        <w:rFonts w:hint="default"/>
      </w:rPr>
    </w:lvl>
  </w:abstractNum>
  <w:abstractNum w:abstractNumId="73" w15:restartNumberingAfterBreak="0">
    <w:nsid w:val="281C66ED"/>
    <w:multiLevelType w:val="multilevel"/>
    <w:tmpl w:val="D7D21C1E"/>
    <w:lvl w:ilvl="0">
      <w:start w:val="3"/>
      <w:numFmt w:val="decimal"/>
      <w:lvlText w:val="%1......"/>
      <w:lvlJc w:val="left"/>
      <w:pPr>
        <w:tabs>
          <w:tab w:val="num" w:pos="1800"/>
        </w:tabs>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6000"/>
        </w:tabs>
        <w:ind w:left="6000" w:hanging="1440"/>
      </w:pPr>
      <w:rPr>
        <w:rFonts w:hint="default"/>
        <w:b w:val="0"/>
      </w:rPr>
    </w:lvl>
  </w:abstractNum>
  <w:abstractNum w:abstractNumId="74" w15:restartNumberingAfterBreak="0">
    <w:nsid w:val="282138F5"/>
    <w:multiLevelType w:val="singleLevel"/>
    <w:tmpl w:val="041D000F"/>
    <w:lvl w:ilvl="0">
      <w:start w:val="1"/>
      <w:numFmt w:val="decimal"/>
      <w:lvlText w:val="%1."/>
      <w:lvlJc w:val="left"/>
      <w:pPr>
        <w:tabs>
          <w:tab w:val="num" w:pos="360"/>
        </w:tabs>
        <w:ind w:left="360" w:hanging="360"/>
      </w:pPr>
      <w:rPr>
        <w:rFonts w:hint="default"/>
      </w:rPr>
    </w:lvl>
  </w:abstractNum>
  <w:abstractNum w:abstractNumId="75" w15:restartNumberingAfterBreak="0">
    <w:nsid w:val="29DB73B9"/>
    <w:multiLevelType w:val="singleLevel"/>
    <w:tmpl w:val="D5B88AFC"/>
    <w:lvl w:ilvl="0">
      <w:numFmt w:val="bullet"/>
      <w:lvlText w:val=""/>
      <w:lvlJc w:val="left"/>
      <w:pPr>
        <w:tabs>
          <w:tab w:val="num" w:pos="360"/>
        </w:tabs>
        <w:ind w:left="170" w:hanging="170"/>
      </w:pPr>
      <w:rPr>
        <w:rFonts w:ascii="Symbol" w:hAnsi="Symbol" w:hint="default"/>
      </w:rPr>
    </w:lvl>
  </w:abstractNum>
  <w:abstractNum w:abstractNumId="76" w15:restartNumberingAfterBreak="0">
    <w:nsid w:val="2A0B34D4"/>
    <w:multiLevelType w:val="singleLevel"/>
    <w:tmpl w:val="DBFE4D7E"/>
    <w:lvl w:ilvl="0">
      <w:start w:val="1"/>
      <w:numFmt w:val="bullet"/>
      <w:lvlText w:val=""/>
      <w:lvlJc w:val="left"/>
      <w:pPr>
        <w:tabs>
          <w:tab w:val="num" w:pos="360"/>
        </w:tabs>
        <w:ind w:left="170" w:hanging="170"/>
      </w:pPr>
      <w:rPr>
        <w:rFonts w:ascii="Symbol" w:hAnsi="Symbol" w:hint="default"/>
      </w:rPr>
    </w:lvl>
  </w:abstractNum>
  <w:abstractNum w:abstractNumId="77" w15:restartNumberingAfterBreak="0">
    <w:nsid w:val="2B1D1FCD"/>
    <w:multiLevelType w:val="multilevel"/>
    <w:tmpl w:val="7C263A32"/>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2BBD36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D6B2A72"/>
    <w:multiLevelType w:val="multilevel"/>
    <w:tmpl w:val="3C5ACD2E"/>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2DE27ED7"/>
    <w:multiLevelType w:val="singleLevel"/>
    <w:tmpl w:val="8FDA33FA"/>
    <w:lvl w:ilvl="0">
      <w:start w:val="3"/>
      <w:numFmt w:val="bullet"/>
      <w:lvlText w:val="-"/>
      <w:lvlJc w:val="left"/>
      <w:pPr>
        <w:tabs>
          <w:tab w:val="num" w:pos="1778"/>
        </w:tabs>
        <w:ind w:left="1778" w:hanging="360"/>
      </w:pPr>
      <w:rPr>
        <w:rFonts w:hint="default"/>
      </w:rPr>
    </w:lvl>
  </w:abstractNum>
  <w:abstractNum w:abstractNumId="81" w15:restartNumberingAfterBreak="0">
    <w:nsid w:val="2DEF583E"/>
    <w:multiLevelType w:val="singleLevel"/>
    <w:tmpl w:val="00FE4ABC"/>
    <w:lvl w:ilvl="0">
      <w:start w:val="1"/>
      <w:numFmt w:val="decimal"/>
      <w:lvlText w:val="%1)"/>
      <w:lvlJc w:val="left"/>
      <w:pPr>
        <w:tabs>
          <w:tab w:val="num" w:pos="645"/>
        </w:tabs>
        <w:ind w:left="645" w:hanging="360"/>
      </w:pPr>
      <w:rPr>
        <w:rFonts w:hint="default"/>
      </w:rPr>
    </w:lvl>
  </w:abstractNum>
  <w:abstractNum w:abstractNumId="82" w15:restartNumberingAfterBreak="0">
    <w:nsid w:val="2E7B5521"/>
    <w:multiLevelType w:val="singleLevel"/>
    <w:tmpl w:val="041D000F"/>
    <w:lvl w:ilvl="0">
      <w:start w:val="1"/>
      <w:numFmt w:val="decimal"/>
      <w:lvlText w:val="%1."/>
      <w:lvlJc w:val="left"/>
      <w:pPr>
        <w:tabs>
          <w:tab w:val="num" w:pos="360"/>
        </w:tabs>
        <w:ind w:left="360" w:hanging="360"/>
      </w:pPr>
    </w:lvl>
  </w:abstractNum>
  <w:abstractNum w:abstractNumId="83" w15:restartNumberingAfterBreak="0">
    <w:nsid w:val="2F494320"/>
    <w:multiLevelType w:val="singleLevel"/>
    <w:tmpl w:val="AE2E88D4"/>
    <w:lvl w:ilvl="0">
      <w:start w:val="1"/>
      <w:numFmt w:val="lowerLetter"/>
      <w:lvlText w:val="%1)"/>
      <w:lvlJc w:val="left"/>
      <w:pPr>
        <w:tabs>
          <w:tab w:val="num" w:pos="1287"/>
        </w:tabs>
        <w:ind w:left="1287" w:hanging="360"/>
      </w:pPr>
      <w:rPr>
        <w:rFonts w:hint="default"/>
      </w:rPr>
    </w:lvl>
  </w:abstractNum>
  <w:abstractNum w:abstractNumId="84" w15:restartNumberingAfterBreak="0">
    <w:nsid w:val="2F4B1A63"/>
    <w:multiLevelType w:val="singleLevel"/>
    <w:tmpl w:val="08420DB2"/>
    <w:lvl w:ilvl="0">
      <w:start w:val="1"/>
      <w:numFmt w:val="decimal"/>
      <w:lvlRestart w:val="0"/>
      <w:lvlText w:val="%1."/>
      <w:lvlJc w:val="left"/>
      <w:pPr>
        <w:tabs>
          <w:tab w:val="num" w:pos="340"/>
        </w:tabs>
        <w:ind w:left="340" w:hanging="340"/>
      </w:pPr>
    </w:lvl>
  </w:abstractNum>
  <w:abstractNum w:abstractNumId="85" w15:restartNumberingAfterBreak="0">
    <w:nsid w:val="2FAE61DB"/>
    <w:multiLevelType w:val="multilevel"/>
    <w:tmpl w:val="969C7F8C"/>
    <w:lvl w:ilvl="0">
      <w:numFmt w:val="bullet"/>
      <w:lvlText w:val="•"/>
      <w:lvlJc w:val="left"/>
      <w:pPr>
        <w:tabs>
          <w:tab w:val="num" w:pos="360"/>
        </w:tabs>
        <w:ind w:left="360" w:hanging="360"/>
      </w:pPr>
      <w:rPr>
        <w:rFonts w:ascii="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FFE5D47"/>
    <w:multiLevelType w:val="singleLevel"/>
    <w:tmpl w:val="7DBAEFDC"/>
    <w:lvl w:ilvl="0">
      <w:start w:val="6"/>
      <w:numFmt w:val="bullet"/>
      <w:lvlText w:val="–"/>
      <w:lvlJc w:val="left"/>
      <w:pPr>
        <w:tabs>
          <w:tab w:val="num" w:pos="360"/>
        </w:tabs>
        <w:ind w:left="360" w:hanging="360"/>
      </w:pPr>
      <w:rPr>
        <w:rFonts w:hint="default"/>
      </w:rPr>
    </w:lvl>
  </w:abstractNum>
  <w:abstractNum w:abstractNumId="87" w15:restartNumberingAfterBreak="0">
    <w:nsid w:val="311A7D1F"/>
    <w:multiLevelType w:val="multilevel"/>
    <w:tmpl w:val="C5A6E5F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3185778E"/>
    <w:multiLevelType w:val="multilevel"/>
    <w:tmpl w:val="83889C4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3"/>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9" w15:restartNumberingAfterBreak="0">
    <w:nsid w:val="32DB46EF"/>
    <w:multiLevelType w:val="singleLevel"/>
    <w:tmpl w:val="72583538"/>
    <w:lvl w:ilvl="0">
      <w:start w:val="1"/>
      <w:numFmt w:val="bullet"/>
      <w:lvlText w:val=""/>
      <w:lvlJc w:val="left"/>
      <w:pPr>
        <w:tabs>
          <w:tab w:val="num" w:pos="360"/>
        </w:tabs>
        <w:ind w:left="227" w:hanging="227"/>
      </w:pPr>
      <w:rPr>
        <w:rFonts w:ascii="Symbol" w:hAnsi="Symbol" w:hint="default"/>
      </w:rPr>
    </w:lvl>
  </w:abstractNum>
  <w:abstractNum w:abstractNumId="90" w15:restartNumberingAfterBreak="0">
    <w:nsid w:val="337B27E2"/>
    <w:multiLevelType w:val="singleLevel"/>
    <w:tmpl w:val="6F5461B8"/>
    <w:lvl w:ilvl="0">
      <w:start w:val="1"/>
      <w:numFmt w:val="decimal"/>
      <w:lvlText w:val="%1)"/>
      <w:lvlJc w:val="left"/>
      <w:pPr>
        <w:tabs>
          <w:tab w:val="num" w:pos="927"/>
        </w:tabs>
        <w:ind w:left="927" w:hanging="360"/>
      </w:pPr>
      <w:rPr>
        <w:rFonts w:hint="default"/>
      </w:rPr>
    </w:lvl>
  </w:abstractNum>
  <w:abstractNum w:abstractNumId="91" w15:restartNumberingAfterBreak="0">
    <w:nsid w:val="339528B7"/>
    <w:multiLevelType w:val="singleLevel"/>
    <w:tmpl w:val="53B81E1E"/>
    <w:lvl w:ilvl="0">
      <w:start w:val="1"/>
      <w:numFmt w:val="decimal"/>
      <w:lvlText w:val="%1)"/>
      <w:lvlJc w:val="left"/>
      <w:pPr>
        <w:tabs>
          <w:tab w:val="num" w:pos="645"/>
        </w:tabs>
        <w:ind w:left="645" w:hanging="360"/>
      </w:pPr>
      <w:rPr>
        <w:rFonts w:hint="default"/>
      </w:rPr>
    </w:lvl>
  </w:abstractNum>
  <w:abstractNum w:abstractNumId="92" w15:restartNumberingAfterBreak="0">
    <w:nsid w:val="34573047"/>
    <w:multiLevelType w:val="multilevel"/>
    <w:tmpl w:val="811A48C4"/>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345C7233"/>
    <w:multiLevelType w:val="singleLevel"/>
    <w:tmpl w:val="041D000F"/>
    <w:lvl w:ilvl="0">
      <w:start w:val="1"/>
      <w:numFmt w:val="decimal"/>
      <w:lvlText w:val="%1."/>
      <w:lvlJc w:val="left"/>
      <w:pPr>
        <w:tabs>
          <w:tab w:val="num" w:pos="360"/>
        </w:tabs>
        <w:ind w:left="360" w:hanging="360"/>
      </w:pPr>
    </w:lvl>
  </w:abstractNum>
  <w:abstractNum w:abstractNumId="94" w15:restartNumberingAfterBreak="0">
    <w:nsid w:val="35F235D1"/>
    <w:multiLevelType w:val="singleLevel"/>
    <w:tmpl w:val="54745F6E"/>
    <w:lvl w:ilvl="0">
      <w:numFmt w:val="bullet"/>
      <w:lvlText w:val=""/>
      <w:lvlJc w:val="left"/>
      <w:pPr>
        <w:tabs>
          <w:tab w:val="num" w:pos="927"/>
        </w:tabs>
        <w:ind w:left="927" w:hanging="927"/>
      </w:pPr>
      <w:rPr>
        <w:rFonts w:ascii="Symbol" w:hAnsi="Symbol" w:hint="default"/>
      </w:rPr>
    </w:lvl>
  </w:abstractNum>
  <w:abstractNum w:abstractNumId="95" w15:restartNumberingAfterBreak="0">
    <w:nsid w:val="3AB32B85"/>
    <w:multiLevelType w:val="singleLevel"/>
    <w:tmpl w:val="041D000F"/>
    <w:lvl w:ilvl="0">
      <w:start w:val="1"/>
      <w:numFmt w:val="decimal"/>
      <w:lvlText w:val="%1."/>
      <w:lvlJc w:val="left"/>
      <w:pPr>
        <w:tabs>
          <w:tab w:val="num" w:pos="360"/>
        </w:tabs>
        <w:ind w:left="360" w:hanging="360"/>
      </w:pPr>
      <w:rPr>
        <w:rFonts w:hint="default"/>
      </w:rPr>
    </w:lvl>
  </w:abstractNum>
  <w:abstractNum w:abstractNumId="96" w15:restartNumberingAfterBreak="0">
    <w:nsid w:val="3BC10A53"/>
    <w:multiLevelType w:val="multilevel"/>
    <w:tmpl w:val="B3CAC942"/>
    <w:lvl w:ilvl="0">
      <w:start w:val="2"/>
      <w:numFmt w:val="decimal"/>
      <w:lvlText w:val="%1."/>
      <w:lvlJc w:val="left"/>
      <w:pPr>
        <w:tabs>
          <w:tab w:val="num" w:pos="1418"/>
        </w:tabs>
        <w:ind w:left="1418" w:hanging="36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3C524A32"/>
    <w:multiLevelType w:val="multilevel"/>
    <w:tmpl w:val="41B894A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87"/>
        </w:tabs>
        <w:ind w:left="1287" w:hanging="720"/>
      </w:pPr>
      <w:rPr>
        <w:rFonts w:hint="default"/>
      </w:rPr>
    </w:lvl>
    <w:lvl w:ilvl="2">
      <w:start w:val="4"/>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8" w15:restartNumberingAfterBreak="0">
    <w:nsid w:val="3CF720E2"/>
    <w:multiLevelType w:val="multilevel"/>
    <w:tmpl w:val="5B9E24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D3B3D46"/>
    <w:multiLevelType w:val="singleLevel"/>
    <w:tmpl w:val="041D0017"/>
    <w:lvl w:ilvl="0">
      <w:start w:val="1"/>
      <w:numFmt w:val="lowerLetter"/>
      <w:lvlText w:val="%1)"/>
      <w:lvlJc w:val="left"/>
      <w:pPr>
        <w:tabs>
          <w:tab w:val="num" w:pos="360"/>
        </w:tabs>
        <w:ind w:left="360" w:hanging="360"/>
      </w:pPr>
      <w:rPr>
        <w:rFonts w:hint="default"/>
      </w:rPr>
    </w:lvl>
  </w:abstractNum>
  <w:abstractNum w:abstractNumId="100" w15:restartNumberingAfterBreak="0">
    <w:nsid w:val="3E160DEE"/>
    <w:multiLevelType w:val="singleLevel"/>
    <w:tmpl w:val="041D000F"/>
    <w:lvl w:ilvl="0">
      <w:start w:val="1"/>
      <w:numFmt w:val="decimal"/>
      <w:lvlText w:val="%1."/>
      <w:legacy w:legacy="1" w:legacySpace="0" w:legacyIndent="360"/>
      <w:lvlJc w:val="left"/>
      <w:pPr>
        <w:ind w:left="360" w:hanging="360"/>
      </w:pPr>
    </w:lvl>
  </w:abstractNum>
  <w:abstractNum w:abstractNumId="101" w15:restartNumberingAfterBreak="0">
    <w:nsid w:val="3E5344A7"/>
    <w:multiLevelType w:val="singleLevel"/>
    <w:tmpl w:val="E8F81CC0"/>
    <w:lvl w:ilvl="0">
      <w:start w:val="1"/>
      <w:numFmt w:val="decimal"/>
      <w:lvlText w:val="%1."/>
      <w:lvlJc w:val="left"/>
      <w:pPr>
        <w:tabs>
          <w:tab w:val="num" w:pos="1800"/>
        </w:tabs>
        <w:ind w:left="1800" w:hanging="360"/>
      </w:pPr>
      <w:rPr>
        <w:rFonts w:hint="default"/>
      </w:rPr>
    </w:lvl>
  </w:abstractNum>
  <w:abstractNum w:abstractNumId="102" w15:restartNumberingAfterBreak="0">
    <w:nsid w:val="3E7C4A65"/>
    <w:multiLevelType w:val="multilevel"/>
    <w:tmpl w:val="9CDC1C6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104" w15:restartNumberingAfterBreak="0">
    <w:nsid w:val="3F456944"/>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105" w15:restartNumberingAfterBreak="0">
    <w:nsid w:val="40665036"/>
    <w:multiLevelType w:val="multilevel"/>
    <w:tmpl w:val="F164301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74"/>
        </w:tabs>
        <w:ind w:left="774" w:hanging="36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1962"/>
        </w:tabs>
        <w:ind w:left="1962" w:hanging="720"/>
      </w:pPr>
      <w:rPr>
        <w:rFonts w:hint="default"/>
      </w:rPr>
    </w:lvl>
    <w:lvl w:ilvl="4">
      <w:start w:val="1"/>
      <w:numFmt w:val="decimal"/>
      <w:lvlText w:val="%1.%2.%3.%4.%5."/>
      <w:lvlJc w:val="left"/>
      <w:pPr>
        <w:tabs>
          <w:tab w:val="num" w:pos="2736"/>
        </w:tabs>
        <w:ind w:left="2736" w:hanging="1080"/>
      </w:pPr>
      <w:rPr>
        <w:rFonts w:hint="default"/>
      </w:rPr>
    </w:lvl>
    <w:lvl w:ilvl="5">
      <w:start w:val="1"/>
      <w:numFmt w:val="decimal"/>
      <w:lvlText w:val="%1.%2.%3.%4.%5.%6."/>
      <w:lvlJc w:val="left"/>
      <w:pPr>
        <w:tabs>
          <w:tab w:val="num" w:pos="3150"/>
        </w:tabs>
        <w:ind w:left="3150" w:hanging="1080"/>
      </w:pPr>
      <w:rPr>
        <w:rFonts w:hint="default"/>
      </w:rPr>
    </w:lvl>
    <w:lvl w:ilvl="6">
      <w:start w:val="1"/>
      <w:numFmt w:val="decimal"/>
      <w:lvlText w:val="%1.%2.%3.%4.%5.%6.%7."/>
      <w:lvlJc w:val="left"/>
      <w:pPr>
        <w:tabs>
          <w:tab w:val="num" w:pos="3924"/>
        </w:tabs>
        <w:ind w:left="3924" w:hanging="1440"/>
      </w:pPr>
      <w:rPr>
        <w:rFonts w:hint="default"/>
      </w:rPr>
    </w:lvl>
    <w:lvl w:ilvl="7">
      <w:start w:val="1"/>
      <w:numFmt w:val="decimal"/>
      <w:lvlText w:val="%1.%2.%3.%4.%5.%6.%7.%8."/>
      <w:lvlJc w:val="left"/>
      <w:pPr>
        <w:tabs>
          <w:tab w:val="num" w:pos="4338"/>
        </w:tabs>
        <w:ind w:left="4338" w:hanging="1440"/>
      </w:pPr>
      <w:rPr>
        <w:rFonts w:hint="default"/>
      </w:rPr>
    </w:lvl>
    <w:lvl w:ilvl="8">
      <w:start w:val="1"/>
      <w:numFmt w:val="decimal"/>
      <w:lvlText w:val="%1.%2.%3.%4.%5.%6.%7.%8.%9."/>
      <w:lvlJc w:val="left"/>
      <w:pPr>
        <w:tabs>
          <w:tab w:val="num" w:pos="5112"/>
        </w:tabs>
        <w:ind w:left="5112" w:hanging="1800"/>
      </w:pPr>
      <w:rPr>
        <w:rFonts w:hint="default"/>
      </w:rPr>
    </w:lvl>
  </w:abstractNum>
  <w:abstractNum w:abstractNumId="106" w15:restartNumberingAfterBreak="0">
    <w:nsid w:val="40A53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2213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42881D5C"/>
    <w:multiLevelType w:val="singleLevel"/>
    <w:tmpl w:val="27CE7EF4"/>
    <w:lvl w:ilvl="0">
      <w:start w:val="1"/>
      <w:numFmt w:val="decimal"/>
      <w:lvlText w:val="%1)"/>
      <w:lvlJc w:val="left"/>
      <w:pPr>
        <w:tabs>
          <w:tab w:val="num" w:pos="645"/>
        </w:tabs>
        <w:ind w:left="645" w:hanging="360"/>
      </w:pPr>
      <w:rPr>
        <w:rFonts w:hint="default"/>
      </w:rPr>
    </w:lvl>
  </w:abstractNum>
  <w:abstractNum w:abstractNumId="109" w15:restartNumberingAfterBreak="0">
    <w:nsid w:val="436706A3"/>
    <w:multiLevelType w:val="singleLevel"/>
    <w:tmpl w:val="B46ADE70"/>
    <w:lvl w:ilvl="0">
      <w:start w:val="993"/>
      <w:numFmt w:val="bullet"/>
      <w:lvlText w:val="-"/>
      <w:lvlJc w:val="left"/>
      <w:pPr>
        <w:tabs>
          <w:tab w:val="num" w:pos="360"/>
        </w:tabs>
        <w:ind w:left="360" w:hanging="360"/>
      </w:pPr>
      <w:rPr>
        <w:rFonts w:hint="default"/>
      </w:rPr>
    </w:lvl>
  </w:abstractNum>
  <w:abstractNum w:abstractNumId="110" w15:restartNumberingAfterBreak="0">
    <w:nsid w:val="43A25CA2"/>
    <w:multiLevelType w:val="multilevel"/>
    <w:tmpl w:val="FCC4B15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111" w15:restartNumberingAfterBreak="0">
    <w:nsid w:val="441113AA"/>
    <w:multiLevelType w:val="singleLevel"/>
    <w:tmpl w:val="2C9CAECE"/>
    <w:lvl w:ilvl="0">
      <w:start w:val="2"/>
      <w:numFmt w:val="bullet"/>
      <w:lvlText w:val="-"/>
      <w:lvlJc w:val="left"/>
      <w:pPr>
        <w:tabs>
          <w:tab w:val="num" w:pos="814"/>
        </w:tabs>
        <w:ind w:left="814" w:hanging="360"/>
      </w:pPr>
      <w:rPr>
        <w:rFonts w:hint="default"/>
      </w:rPr>
    </w:lvl>
  </w:abstractNum>
  <w:abstractNum w:abstractNumId="112" w15:restartNumberingAfterBreak="0">
    <w:nsid w:val="44622DAB"/>
    <w:multiLevelType w:val="singleLevel"/>
    <w:tmpl w:val="72CEA400"/>
    <w:lvl w:ilvl="0">
      <w:start w:val="2"/>
      <w:numFmt w:val="bullet"/>
      <w:lvlText w:val="-"/>
      <w:lvlJc w:val="left"/>
      <w:pPr>
        <w:tabs>
          <w:tab w:val="num" w:pos="780"/>
        </w:tabs>
        <w:ind w:left="780" w:hanging="360"/>
      </w:pPr>
      <w:rPr>
        <w:rFonts w:hint="default"/>
      </w:rPr>
    </w:lvl>
  </w:abstractNum>
  <w:abstractNum w:abstractNumId="113" w15:restartNumberingAfterBreak="0">
    <w:nsid w:val="44F41258"/>
    <w:multiLevelType w:val="multilevel"/>
    <w:tmpl w:val="D6841C68"/>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1791"/>
        </w:tabs>
        <w:ind w:left="1791" w:hanging="600"/>
      </w:pPr>
      <w:rPr>
        <w:rFonts w:hint="default"/>
      </w:rPr>
    </w:lvl>
    <w:lvl w:ilvl="2">
      <w:start w:val="1"/>
      <w:numFmt w:val="decimal"/>
      <w:lvlText w:val="%1.%2.%3."/>
      <w:lvlJc w:val="left"/>
      <w:pPr>
        <w:tabs>
          <w:tab w:val="num" w:pos="3102"/>
        </w:tabs>
        <w:ind w:left="3102" w:hanging="720"/>
      </w:pPr>
      <w:rPr>
        <w:rFonts w:hint="default"/>
      </w:rPr>
    </w:lvl>
    <w:lvl w:ilvl="3">
      <w:start w:val="1"/>
      <w:numFmt w:val="decimal"/>
      <w:lvlText w:val="%1.%2.%3.%4."/>
      <w:lvlJc w:val="left"/>
      <w:pPr>
        <w:tabs>
          <w:tab w:val="num" w:pos="4293"/>
        </w:tabs>
        <w:ind w:left="4293" w:hanging="720"/>
      </w:pPr>
      <w:rPr>
        <w:rFonts w:hint="default"/>
      </w:rPr>
    </w:lvl>
    <w:lvl w:ilvl="4">
      <w:start w:val="1"/>
      <w:numFmt w:val="decimal"/>
      <w:lvlText w:val="%1.%2.%3.%4.%5."/>
      <w:lvlJc w:val="left"/>
      <w:pPr>
        <w:tabs>
          <w:tab w:val="num" w:pos="5844"/>
        </w:tabs>
        <w:ind w:left="5844" w:hanging="1080"/>
      </w:pPr>
      <w:rPr>
        <w:rFonts w:hint="default"/>
      </w:rPr>
    </w:lvl>
    <w:lvl w:ilvl="5">
      <w:start w:val="1"/>
      <w:numFmt w:val="decimal"/>
      <w:lvlText w:val="%1.%2.%3.%4.%5.%6."/>
      <w:lvlJc w:val="left"/>
      <w:pPr>
        <w:tabs>
          <w:tab w:val="num" w:pos="7035"/>
        </w:tabs>
        <w:ind w:left="7035" w:hanging="1080"/>
      </w:pPr>
      <w:rPr>
        <w:rFonts w:hint="default"/>
      </w:rPr>
    </w:lvl>
    <w:lvl w:ilvl="6">
      <w:start w:val="1"/>
      <w:numFmt w:val="decimal"/>
      <w:lvlText w:val="%1.%2.%3.%4.%5.%6.%7."/>
      <w:lvlJc w:val="left"/>
      <w:pPr>
        <w:tabs>
          <w:tab w:val="num" w:pos="8586"/>
        </w:tabs>
        <w:ind w:left="8586" w:hanging="1440"/>
      </w:pPr>
      <w:rPr>
        <w:rFonts w:hint="default"/>
      </w:rPr>
    </w:lvl>
    <w:lvl w:ilvl="7">
      <w:start w:val="1"/>
      <w:numFmt w:val="decimal"/>
      <w:lvlText w:val="%1.%2.%3.%4.%5.%6.%7.%8."/>
      <w:lvlJc w:val="left"/>
      <w:pPr>
        <w:tabs>
          <w:tab w:val="num" w:pos="9777"/>
        </w:tabs>
        <w:ind w:left="9777" w:hanging="1440"/>
      </w:pPr>
      <w:rPr>
        <w:rFonts w:hint="default"/>
      </w:rPr>
    </w:lvl>
    <w:lvl w:ilvl="8">
      <w:start w:val="1"/>
      <w:numFmt w:val="decimal"/>
      <w:lvlText w:val="%1.%2.%3.%4.%5.%6.%7.%8.%9."/>
      <w:lvlJc w:val="left"/>
      <w:pPr>
        <w:tabs>
          <w:tab w:val="num" w:pos="11328"/>
        </w:tabs>
        <w:ind w:left="11328" w:hanging="1800"/>
      </w:pPr>
      <w:rPr>
        <w:rFonts w:hint="default"/>
      </w:rPr>
    </w:lvl>
  </w:abstractNum>
  <w:abstractNum w:abstractNumId="114" w15:restartNumberingAfterBreak="0">
    <w:nsid w:val="46AD2C16"/>
    <w:multiLevelType w:val="singleLevel"/>
    <w:tmpl w:val="F6DCEDEA"/>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15" w15:restartNumberingAfterBreak="0">
    <w:nsid w:val="46F744E5"/>
    <w:multiLevelType w:val="singleLevel"/>
    <w:tmpl w:val="FC0E47AC"/>
    <w:lvl w:ilvl="0">
      <w:start w:val="1"/>
      <w:numFmt w:val="bullet"/>
      <w:lvlText w:val=""/>
      <w:lvlJc w:val="left"/>
      <w:pPr>
        <w:tabs>
          <w:tab w:val="num" w:pos="360"/>
        </w:tabs>
        <w:ind w:left="227" w:hanging="227"/>
      </w:pPr>
      <w:rPr>
        <w:rFonts w:ascii="Symbol" w:hAnsi="Symbol" w:hint="default"/>
      </w:rPr>
    </w:lvl>
  </w:abstractNum>
  <w:abstractNum w:abstractNumId="116" w15:restartNumberingAfterBreak="0">
    <w:nsid w:val="489F3DA4"/>
    <w:multiLevelType w:val="singleLevel"/>
    <w:tmpl w:val="FC1C800C"/>
    <w:lvl w:ilvl="0">
      <w:start w:val="1"/>
      <w:numFmt w:val="bullet"/>
      <w:lvlText w:val=""/>
      <w:lvlJc w:val="left"/>
      <w:pPr>
        <w:tabs>
          <w:tab w:val="num" w:pos="360"/>
        </w:tabs>
        <w:ind w:left="227" w:hanging="227"/>
      </w:pPr>
      <w:rPr>
        <w:rFonts w:ascii="Symbol" w:hAnsi="Symbol" w:hint="default"/>
      </w:rPr>
    </w:lvl>
  </w:abstractNum>
  <w:abstractNum w:abstractNumId="117" w15:restartNumberingAfterBreak="0">
    <w:nsid w:val="49772C64"/>
    <w:multiLevelType w:val="multilevel"/>
    <w:tmpl w:val="6C02FF1E"/>
    <w:lvl w:ilvl="0">
      <w:start w:val="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49AD3B67"/>
    <w:multiLevelType w:val="multilevel"/>
    <w:tmpl w:val="4864A4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ACE7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21" w15:restartNumberingAfterBreak="0">
    <w:nsid w:val="4C2B5134"/>
    <w:multiLevelType w:val="singleLevel"/>
    <w:tmpl w:val="E102CE28"/>
    <w:lvl w:ilvl="0">
      <w:start w:val="1"/>
      <w:numFmt w:val="decimal"/>
      <w:lvlText w:val="%1."/>
      <w:lvlJc w:val="left"/>
      <w:pPr>
        <w:tabs>
          <w:tab w:val="num" w:pos="937"/>
        </w:tabs>
        <w:ind w:left="937" w:hanging="360"/>
      </w:pPr>
      <w:rPr>
        <w:rFonts w:hint="default"/>
      </w:rPr>
    </w:lvl>
  </w:abstractNum>
  <w:abstractNum w:abstractNumId="122" w15:restartNumberingAfterBreak="0">
    <w:nsid w:val="4DD53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EB11B46"/>
    <w:multiLevelType w:val="singleLevel"/>
    <w:tmpl w:val="00AC357A"/>
    <w:lvl w:ilvl="0">
      <w:start w:val="3"/>
      <w:numFmt w:val="bullet"/>
      <w:lvlText w:val="-"/>
      <w:lvlJc w:val="left"/>
      <w:pPr>
        <w:tabs>
          <w:tab w:val="num" w:pos="390"/>
        </w:tabs>
        <w:ind w:left="390" w:hanging="390"/>
      </w:pPr>
      <w:rPr>
        <w:rFonts w:hint="default"/>
      </w:rPr>
    </w:lvl>
  </w:abstractNum>
  <w:abstractNum w:abstractNumId="124" w15:restartNumberingAfterBreak="0">
    <w:nsid w:val="4EC064C4"/>
    <w:multiLevelType w:val="singleLevel"/>
    <w:tmpl w:val="100E3A2A"/>
    <w:lvl w:ilvl="0">
      <w:start w:val="114"/>
      <w:numFmt w:val="bullet"/>
      <w:lvlText w:val="-"/>
      <w:lvlJc w:val="left"/>
      <w:pPr>
        <w:tabs>
          <w:tab w:val="num" w:pos="927"/>
        </w:tabs>
        <w:ind w:left="927" w:hanging="360"/>
      </w:pPr>
      <w:rPr>
        <w:rFonts w:hint="default"/>
      </w:rPr>
    </w:lvl>
  </w:abstractNum>
  <w:abstractNum w:abstractNumId="125" w15:restartNumberingAfterBreak="0">
    <w:nsid w:val="4F232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F274768"/>
    <w:multiLevelType w:val="singleLevel"/>
    <w:tmpl w:val="36EC6C08"/>
    <w:lvl w:ilvl="0">
      <w:start w:val="1"/>
      <w:numFmt w:val="decimal"/>
      <w:lvlText w:val="%1)"/>
      <w:lvlJc w:val="left"/>
      <w:pPr>
        <w:tabs>
          <w:tab w:val="num" w:pos="645"/>
        </w:tabs>
        <w:ind w:left="645" w:hanging="360"/>
      </w:pPr>
      <w:rPr>
        <w:rFonts w:hint="default"/>
      </w:rPr>
    </w:lvl>
  </w:abstractNum>
  <w:abstractNum w:abstractNumId="127" w15:restartNumberingAfterBreak="0">
    <w:nsid w:val="4F676837"/>
    <w:multiLevelType w:val="singleLevel"/>
    <w:tmpl w:val="041D0011"/>
    <w:lvl w:ilvl="0">
      <w:start w:val="1"/>
      <w:numFmt w:val="decimal"/>
      <w:lvlText w:val="%1)"/>
      <w:lvlJc w:val="left"/>
      <w:pPr>
        <w:tabs>
          <w:tab w:val="num" w:pos="360"/>
        </w:tabs>
        <w:ind w:left="360" w:hanging="360"/>
      </w:pPr>
      <w:rPr>
        <w:rFonts w:hint="default"/>
      </w:rPr>
    </w:lvl>
  </w:abstractNum>
  <w:abstractNum w:abstractNumId="128" w15:restartNumberingAfterBreak="0">
    <w:nsid w:val="4FBF1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02856EB"/>
    <w:multiLevelType w:val="singleLevel"/>
    <w:tmpl w:val="9DBE06E0"/>
    <w:lvl w:ilvl="0">
      <w:start w:val="1"/>
      <w:numFmt w:val="decimal"/>
      <w:lvlText w:val="%1)"/>
      <w:lvlJc w:val="left"/>
      <w:pPr>
        <w:tabs>
          <w:tab w:val="num" w:pos="645"/>
        </w:tabs>
        <w:ind w:left="645" w:hanging="360"/>
      </w:pPr>
      <w:rPr>
        <w:rFonts w:hint="default"/>
      </w:rPr>
    </w:lvl>
  </w:abstractNum>
  <w:abstractNum w:abstractNumId="130" w15:restartNumberingAfterBreak="0">
    <w:nsid w:val="521B0DCB"/>
    <w:multiLevelType w:val="singleLevel"/>
    <w:tmpl w:val="AE00CBBA"/>
    <w:lvl w:ilvl="0">
      <w:start w:val="1"/>
      <w:numFmt w:val="decimal"/>
      <w:lvlText w:val="%1. "/>
      <w:legacy w:legacy="1" w:legacySpace="0" w:legacyIndent="283"/>
      <w:lvlJc w:val="left"/>
      <w:pPr>
        <w:ind w:left="283" w:hanging="283"/>
      </w:pPr>
      <w:rPr>
        <w:rFonts w:ascii="Times" w:hAnsi="Times" w:hint="default"/>
        <w:b w:val="0"/>
        <w:i w:val="0"/>
        <w:sz w:val="24"/>
        <w:u w:val="none"/>
      </w:rPr>
    </w:lvl>
  </w:abstractNum>
  <w:abstractNum w:abstractNumId="131" w15:restartNumberingAfterBreak="0">
    <w:nsid w:val="5330215C"/>
    <w:multiLevelType w:val="singleLevel"/>
    <w:tmpl w:val="E7C2AA3A"/>
    <w:lvl w:ilvl="0">
      <w:numFmt w:val="bullet"/>
      <w:lvlText w:val="-"/>
      <w:lvlJc w:val="left"/>
      <w:pPr>
        <w:tabs>
          <w:tab w:val="num" w:pos="360"/>
        </w:tabs>
        <w:ind w:left="360" w:hanging="360"/>
      </w:pPr>
      <w:rPr>
        <w:rFonts w:hint="default"/>
      </w:rPr>
    </w:lvl>
  </w:abstractNum>
  <w:abstractNum w:abstractNumId="132" w15:restartNumberingAfterBreak="0">
    <w:nsid w:val="53441BD5"/>
    <w:multiLevelType w:val="singleLevel"/>
    <w:tmpl w:val="E0581456"/>
    <w:lvl w:ilvl="0">
      <w:start w:val="1"/>
      <w:numFmt w:val="bullet"/>
      <w:lvlText w:val=""/>
      <w:lvlJc w:val="left"/>
      <w:pPr>
        <w:tabs>
          <w:tab w:val="num" w:pos="360"/>
        </w:tabs>
        <w:ind w:left="170" w:hanging="170"/>
      </w:pPr>
      <w:rPr>
        <w:rFonts w:ascii="Symbol" w:hAnsi="Symbol" w:hint="default"/>
      </w:rPr>
    </w:lvl>
  </w:abstractNum>
  <w:abstractNum w:abstractNumId="133" w15:restartNumberingAfterBreak="0">
    <w:nsid w:val="541B6177"/>
    <w:multiLevelType w:val="singleLevel"/>
    <w:tmpl w:val="4CAE4150"/>
    <w:lvl w:ilvl="0">
      <w:numFmt w:val="bullet"/>
      <w:lvlText w:val=""/>
      <w:lvlJc w:val="left"/>
      <w:pPr>
        <w:tabs>
          <w:tab w:val="num" w:pos="360"/>
        </w:tabs>
        <w:ind w:left="360" w:hanging="360"/>
      </w:pPr>
      <w:rPr>
        <w:rFonts w:ascii="Symbol" w:hAnsi="Symbol" w:hint="default"/>
      </w:rPr>
    </w:lvl>
  </w:abstractNum>
  <w:abstractNum w:abstractNumId="134"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35" w15:restartNumberingAfterBreak="0">
    <w:nsid w:val="55197045"/>
    <w:multiLevelType w:val="singleLevel"/>
    <w:tmpl w:val="C0CCE5E8"/>
    <w:lvl w:ilvl="0">
      <w:start w:val="3"/>
      <w:numFmt w:val="bullet"/>
      <w:lvlText w:val="-"/>
      <w:lvlJc w:val="left"/>
      <w:pPr>
        <w:tabs>
          <w:tab w:val="num" w:pos="360"/>
        </w:tabs>
        <w:ind w:left="360" w:hanging="360"/>
      </w:pPr>
      <w:rPr>
        <w:rFonts w:hint="default"/>
      </w:rPr>
    </w:lvl>
  </w:abstractNum>
  <w:abstractNum w:abstractNumId="136" w15:restartNumberingAfterBreak="0">
    <w:nsid w:val="554331E3"/>
    <w:multiLevelType w:val="singleLevel"/>
    <w:tmpl w:val="20801AFA"/>
    <w:lvl w:ilvl="0">
      <w:start w:val="1"/>
      <w:numFmt w:val="bullet"/>
      <w:lvlText w:val=""/>
      <w:lvlJc w:val="left"/>
      <w:pPr>
        <w:tabs>
          <w:tab w:val="num" w:pos="360"/>
        </w:tabs>
        <w:ind w:left="227" w:hanging="227"/>
      </w:pPr>
      <w:rPr>
        <w:rFonts w:ascii="Symbol" w:hAnsi="Symbol" w:hint="default"/>
      </w:rPr>
    </w:lvl>
  </w:abstractNum>
  <w:abstractNum w:abstractNumId="137"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38" w15:restartNumberingAfterBreak="0">
    <w:nsid w:val="56F537AF"/>
    <w:multiLevelType w:val="singleLevel"/>
    <w:tmpl w:val="D562D09A"/>
    <w:lvl w:ilvl="0">
      <w:start w:val="1"/>
      <w:numFmt w:val="decimal"/>
      <w:lvlText w:val="%1."/>
      <w:lvlJc w:val="left"/>
      <w:pPr>
        <w:tabs>
          <w:tab w:val="num" w:pos="1776"/>
        </w:tabs>
        <w:ind w:left="1776" w:hanging="360"/>
      </w:pPr>
      <w:rPr>
        <w:rFonts w:hint="default"/>
      </w:rPr>
    </w:lvl>
  </w:abstractNum>
  <w:abstractNum w:abstractNumId="139" w15:restartNumberingAfterBreak="0">
    <w:nsid w:val="59CD5700"/>
    <w:multiLevelType w:val="singleLevel"/>
    <w:tmpl w:val="CA3A9DCC"/>
    <w:lvl w:ilvl="0">
      <w:start w:val="2"/>
      <w:numFmt w:val="bullet"/>
      <w:lvlText w:val="-"/>
      <w:lvlJc w:val="left"/>
      <w:pPr>
        <w:tabs>
          <w:tab w:val="num" w:pos="1500"/>
        </w:tabs>
        <w:ind w:left="1500" w:hanging="360"/>
      </w:pPr>
      <w:rPr>
        <w:rFonts w:hint="default"/>
      </w:rPr>
    </w:lvl>
  </w:abstractNum>
  <w:abstractNum w:abstractNumId="140" w15:restartNumberingAfterBreak="0">
    <w:nsid w:val="5BC279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BF1088F"/>
    <w:multiLevelType w:val="singleLevel"/>
    <w:tmpl w:val="041D000F"/>
    <w:lvl w:ilvl="0">
      <w:start w:val="1"/>
      <w:numFmt w:val="decimal"/>
      <w:lvlText w:val="%1."/>
      <w:lvlJc w:val="left"/>
      <w:pPr>
        <w:tabs>
          <w:tab w:val="num" w:pos="360"/>
        </w:tabs>
        <w:ind w:left="360" w:hanging="360"/>
      </w:pPr>
    </w:lvl>
  </w:abstractNum>
  <w:abstractNum w:abstractNumId="142" w15:restartNumberingAfterBreak="0">
    <w:nsid w:val="5C0F6F5C"/>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143" w15:restartNumberingAfterBreak="0">
    <w:nsid w:val="5CB26AF2"/>
    <w:multiLevelType w:val="multilevel"/>
    <w:tmpl w:val="1ED66B3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D0E1ABC"/>
    <w:multiLevelType w:val="singleLevel"/>
    <w:tmpl w:val="AD46DD5A"/>
    <w:lvl w:ilvl="0">
      <w:start w:val="1"/>
      <w:numFmt w:val="bullet"/>
      <w:lvlText w:val="–"/>
      <w:lvlJc w:val="left"/>
      <w:pPr>
        <w:tabs>
          <w:tab w:val="num" w:pos="360"/>
        </w:tabs>
        <w:ind w:left="227" w:hanging="227"/>
      </w:pPr>
      <w:rPr>
        <w:rFonts w:hint="default"/>
      </w:rPr>
    </w:lvl>
  </w:abstractNum>
  <w:abstractNum w:abstractNumId="145" w15:restartNumberingAfterBreak="0">
    <w:nsid w:val="5EC27B80"/>
    <w:multiLevelType w:val="singleLevel"/>
    <w:tmpl w:val="854C1E0A"/>
    <w:lvl w:ilvl="0">
      <w:numFmt w:val="bullet"/>
      <w:lvlText w:val="-"/>
      <w:lvlJc w:val="left"/>
      <w:pPr>
        <w:tabs>
          <w:tab w:val="num" w:pos="360"/>
        </w:tabs>
        <w:ind w:left="360" w:hanging="360"/>
      </w:pPr>
      <w:rPr>
        <w:rFonts w:hint="default"/>
      </w:rPr>
    </w:lvl>
  </w:abstractNum>
  <w:abstractNum w:abstractNumId="146" w15:restartNumberingAfterBreak="0">
    <w:nsid w:val="5EFA5EB8"/>
    <w:multiLevelType w:val="singleLevel"/>
    <w:tmpl w:val="F2BE17F4"/>
    <w:lvl w:ilvl="0">
      <w:start w:val="3"/>
      <w:numFmt w:val="bullet"/>
      <w:lvlText w:val="-"/>
      <w:lvlJc w:val="left"/>
      <w:pPr>
        <w:tabs>
          <w:tab w:val="num" w:pos="900"/>
        </w:tabs>
        <w:ind w:left="900" w:hanging="360"/>
      </w:pPr>
      <w:rPr>
        <w:rFonts w:hint="default"/>
      </w:rPr>
    </w:lvl>
  </w:abstractNum>
  <w:abstractNum w:abstractNumId="147" w15:restartNumberingAfterBreak="0">
    <w:nsid w:val="5F1C04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FB141D2"/>
    <w:multiLevelType w:val="multilevel"/>
    <w:tmpl w:val="969C7F8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FC429E8"/>
    <w:multiLevelType w:val="multilevel"/>
    <w:tmpl w:val="5C9A0C82"/>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0" w15:restartNumberingAfterBreak="0">
    <w:nsid w:val="6074109C"/>
    <w:multiLevelType w:val="singleLevel"/>
    <w:tmpl w:val="B96029E6"/>
    <w:lvl w:ilvl="0">
      <w:numFmt w:val="bullet"/>
      <w:lvlText w:val="-"/>
      <w:lvlJc w:val="left"/>
      <w:pPr>
        <w:tabs>
          <w:tab w:val="num" w:pos="927"/>
        </w:tabs>
        <w:ind w:left="927" w:hanging="360"/>
      </w:pPr>
      <w:rPr>
        <w:rFonts w:hint="default"/>
      </w:rPr>
    </w:lvl>
  </w:abstractNum>
  <w:abstractNum w:abstractNumId="151" w15:restartNumberingAfterBreak="0">
    <w:nsid w:val="60B72625"/>
    <w:multiLevelType w:val="singleLevel"/>
    <w:tmpl w:val="0C9C3C3A"/>
    <w:lvl w:ilvl="0">
      <w:start w:val="2"/>
      <w:numFmt w:val="bullet"/>
      <w:lvlText w:val="-"/>
      <w:lvlJc w:val="left"/>
      <w:pPr>
        <w:tabs>
          <w:tab w:val="num" w:pos="1551"/>
        </w:tabs>
        <w:ind w:left="1551" w:hanging="360"/>
      </w:pPr>
      <w:rPr>
        <w:rFonts w:hint="default"/>
      </w:rPr>
    </w:lvl>
  </w:abstractNum>
  <w:abstractNum w:abstractNumId="152" w15:restartNumberingAfterBreak="0">
    <w:nsid w:val="6104273C"/>
    <w:multiLevelType w:val="singleLevel"/>
    <w:tmpl w:val="96F83058"/>
    <w:lvl w:ilvl="0">
      <w:start w:val="1"/>
      <w:numFmt w:val="bullet"/>
      <w:lvlText w:val=""/>
      <w:lvlJc w:val="left"/>
      <w:pPr>
        <w:tabs>
          <w:tab w:val="num" w:pos="360"/>
        </w:tabs>
        <w:ind w:left="227" w:hanging="227"/>
      </w:pPr>
      <w:rPr>
        <w:rFonts w:ascii="Symbol" w:hAnsi="Symbol" w:hint="default"/>
      </w:rPr>
    </w:lvl>
  </w:abstractNum>
  <w:abstractNum w:abstractNumId="153" w15:restartNumberingAfterBreak="0">
    <w:nsid w:val="61E253DA"/>
    <w:multiLevelType w:val="singleLevel"/>
    <w:tmpl w:val="041D000F"/>
    <w:lvl w:ilvl="0">
      <w:start w:val="1"/>
      <w:numFmt w:val="decimal"/>
      <w:lvlText w:val="%1."/>
      <w:lvlJc w:val="left"/>
      <w:pPr>
        <w:tabs>
          <w:tab w:val="num" w:pos="360"/>
        </w:tabs>
        <w:ind w:left="360" w:hanging="360"/>
      </w:pPr>
    </w:lvl>
  </w:abstractNum>
  <w:abstractNum w:abstractNumId="154" w15:restartNumberingAfterBreak="0">
    <w:nsid w:val="627736D4"/>
    <w:multiLevelType w:val="singleLevel"/>
    <w:tmpl w:val="307C59CA"/>
    <w:lvl w:ilvl="0">
      <w:start w:val="3"/>
      <w:numFmt w:val="bullet"/>
      <w:lvlText w:val="-"/>
      <w:lvlJc w:val="left"/>
      <w:pPr>
        <w:tabs>
          <w:tab w:val="num" w:pos="360"/>
        </w:tabs>
        <w:ind w:left="360" w:hanging="360"/>
      </w:pPr>
      <w:rPr>
        <w:rFonts w:hint="default"/>
      </w:rPr>
    </w:lvl>
  </w:abstractNum>
  <w:abstractNum w:abstractNumId="155" w15:restartNumberingAfterBreak="0">
    <w:nsid w:val="628C5254"/>
    <w:multiLevelType w:val="singleLevel"/>
    <w:tmpl w:val="5F3C0F38"/>
    <w:lvl w:ilvl="0">
      <w:start w:val="1"/>
      <w:numFmt w:val="lowerLetter"/>
      <w:lvlText w:val="%1)"/>
      <w:lvlJc w:val="left"/>
      <w:pPr>
        <w:tabs>
          <w:tab w:val="num" w:pos="1287"/>
        </w:tabs>
        <w:ind w:left="1287" w:hanging="360"/>
      </w:pPr>
      <w:rPr>
        <w:rFonts w:hint="default"/>
      </w:rPr>
    </w:lvl>
  </w:abstractNum>
  <w:abstractNum w:abstractNumId="156" w15:restartNumberingAfterBreak="0">
    <w:nsid w:val="62A23D24"/>
    <w:multiLevelType w:val="singleLevel"/>
    <w:tmpl w:val="97785632"/>
    <w:lvl w:ilvl="0">
      <w:start w:val="4617"/>
      <w:numFmt w:val="bullet"/>
      <w:lvlText w:val="-"/>
      <w:lvlJc w:val="left"/>
      <w:pPr>
        <w:tabs>
          <w:tab w:val="num" w:pos="360"/>
        </w:tabs>
        <w:ind w:left="360" w:hanging="360"/>
      </w:pPr>
      <w:rPr>
        <w:rFonts w:hint="default"/>
      </w:rPr>
    </w:lvl>
  </w:abstractNum>
  <w:abstractNum w:abstractNumId="157" w15:restartNumberingAfterBreak="0">
    <w:nsid w:val="63131A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652C170E"/>
    <w:multiLevelType w:val="singleLevel"/>
    <w:tmpl w:val="75F47136"/>
    <w:lvl w:ilvl="0">
      <w:start w:val="1"/>
      <w:numFmt w:val="decimal"/>
      <w:lvlText w:val="%1."/>
      <w:lvlJc w:val="left"/>
      <w:pPr>
        <w:tabs>
          <w:tab w:val="num" w:pos="1776"/>
        </w:tabs>
        <w:ind w:left="1776" w:hanging="360"/>
      </w:pPr>
      <w:rPr>
        <w:rFonts w:hint="default"/>
      </w:rPr>
    </w:lvl>
  </w:abstractNum>
  <w:abstractNum w:abstractNumId="159" w15:restartNumberingAfterBreak="0">
    <w:nsid w:val="6705010C"/>
    <w:multiLevelType w:val="singleLevel"/>
    <w:tmpl w:val="B28C2562"/>
    <w:lvl w:ilvl="0">
      <w:numFmt w:val="bullet"/>
      <w:lvlText w:val="–"/>
      <w:lvlJc w:val="left"/>
      <w:pPr>
        <w:tabs>
          <w:tab w:val="num" w:pos="360"/>
        </w:tabs>
        <w:ind w:left="360" w:hanging="360"/>
      </w:pPr>
      <w:rPr>
        <w:rFonts w:hint="default"/>
      </w:rPr>
    </w:lvl>
  </w:abstractNum>
  <w:abstractNum w:abstractNumId="160" w15:restartNumberingAfterBreak="0">
    <w:nsid w:val="67D227C0"/>
    <w:multiLevelType w:val="multilevel"/>
    <w:tmpl w:val="324E527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1" w15:restartNumberingAfterBreak="0">
    <w:nsid w:val="69B81314"/>
    <w:multiLevelType w:val="multilevel"/>
    <w:tmpl w:val="1EE4524A"/>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69EA71AC"/>
    <w:multiLevelType w:val="singleLevel"/>
    <w:tmpl w:val="2D9410A2"/>
    <w:lvl w:ilvl="0">
      <w:numFmt w:val="bullet"/>
      <w:lvlText w:val="-"/>
      <w:lvlJc w:val="left"/>
      <w:pPr>
        <w:tabs>
          <w:tab w:val="num" w:pos="360"/>
        </w:tabs>
        <w:ind w:left="360" w:hanging="360"/>
      </w:pPr>
      <w:rPr>
        <w:rFonts w:hint="default"/>
      </w:rPr>
    </w:lvl>
  </w:abstractNum>
  <w:abstractNum w:abstractNumId="163" w15:restartNumberingAfterBreak="0">
    <w:nsid w:val="6B474237"/>
    <w:multiLevelType w:val="singleLevel"/>
    <w:tmpl w:val="18F82E20"/>
    <w:lvl w:ilvl="0">
      <w:start w:val="7"/>
      <w:numFmt w:val="bullet"/>
      <w:lvlText w:val="–"/>
      <w:lvlJc w:val="left"/>
      <w:pPr>
        <w:tabs>
          <w:tab w:val="num" w:pos="360"/>
        </w:tabs>
        <w:ind w:left="360" w:hanging="360"/>
      </w:pPr>
      <w:rPr>
        <w:rFonts w:hint="default"/>
      </w:rPr>
    </w:lvl>
  </w:abstractNum>
  <w:abstractNum w:abstractNumId="164" w15:restartNumberingAfterBreak="0">
    <w:nsid w:val="6BB00C10"/>
    <w:multiLevelType w:val="singleLevel"/>
    <w:tmpl w:val="041D0017"/>
    <w:lvl w:ilvl="0">
      <w:start w:val="1"/>
      <w:numFmt w:val="lowerLetter"/>
      <w:lvlText w:val="%1)"/>
      <w:lvlJc w:val="left"/>
      <w:pPr>
        <w:tabs>
          <w:tab w:val="num" w:pos="360"/>
        </w:tabs>
        <w:ind w:left="360" w:hanging="360"/>
      </w:pPr>
      <w:rPr>
        <w:rFonts w:hint="default"/>
      </w:rPr>
    </w:lvl>
  </w:abstractNum>
  <w:abstractNum w:abstractNumId="165" w15:restartNumberingAfterBreak="0">
    <w:nsid w:val="6E3B1E12"/>
    <w:multiLevelType w:val="singleLevel"/>
    <w:tmpl w:val="C5947440"/>
    <w:lvl w:ilvl="0">
      <w:start w:val="1"/>
      <w:numFmt w:val="decimal"/>
      <w:lvlText w:val="%1)"/>
      <w:lvlJc w:val="left"/>
      <w:pPr>
        <w:tabs>
          <w:tab w:val="num" w:pos="645"/>
        </w:tabs>
        <w:ind w:left="645" w:hanging="360"/>
      </w:pPr>
      <w:rPr>
        <w:rFonts w:hint="default"/>
      </w:rPr>
    </w:lvl>
  </w:abstractNum>
  <w:abstractNum w:abstractNumId="166" w15:restartNumberingAfterBreak="0">
    <w:nsid w:val="6E3D6885"/>
    <w:multiLevelType w:val="singleLevel"/>
    <w:tmpl w:val="EB6636C8"/>
    <w:lvl w:ilvl="0">
      <w:start w:val="1"/>
      <w:numFmt w:val="decimal"/>
      <w:lvlText w:val="%1."/>
      <w:lvlJc w:val="left"/>
      <w:pPr>
        <w:tabs>
          <w:tab w:val="num" w:pos="1305"/>
        </w:tabs>
        <w:ind w:left="1305" w:hanging="1305"/>
      </w:pPr>
      <w:rPr>
        <w:rFonts w:hint="default"/>
        <w:b/>
      </w:rPr>
    </w:lvl>
  </w:abstractNum>
  <w:abstractNum w:abstractNumId="167" w15:restartNumberingAfterBreak="0">
    <w:nsid w:val="6EB44842"/>
    <w:multiLevelType w:val="singleLevel"/>
    <w:tmpl w:val="041D0011"/>
    <w:lvl w:ilvl="0">
      <w:start w:val="1"/>
      <w:numFmt w:val="decimal"/>
      <w:lvlText w:val="%1)"/>
      <w:lvlJc w:val="left"/>
      <w:pPr>
        <w:tabs>
          <w:tab w:val="num" w:pos="360"/>
        </w:tabs>
        <w:ind w:left="360" w:hanging="360"/>
      </w:pPr>
      <w:rPr>
        <w:rFonts w:hint="default"/>
      </w:rPr>
    </w:lvl>
  </w:abstractNum>
  <w:abstractNum w:abstractNumId="168" w15:restartNumberingAfterBreak="0">
    <w:nsid w:val="6EE764F5"/>
    <w:multiLevelType w:val="singleLevel"/>
    <w:tmpl w:val="9DDA30BE"/>
    <w:lvl w:ilvl="0">
      <w:start w:val="1"/>
      <w:numFmt w:val="decimal"/>
      <w:lvlText w:val="%1)"/>
      <w:lvlJc w:val="left"/>
      <w:pPr>
        <w:tabs>
          <w:tab w:val="num" w:pos="645"/>
        </w:tabs>
        <w:ind w:left="645" w:hanging="360"/>
      </w:pPr>
      <w:rPr>
        <w:rFonts w:hint="default"/>
      </w:rPr>
    </w:lvl>
  </w:abstractNum>
  <w:abstractNum w:abstractNumId="169" w15:restartNumberingAfterBreak="0">
    <w:nsid w:val="6EFB5E5F"/>
    <w:multiLevelType w:val="singleLevel"/>
    <w:tmpl w:val="8452D896"/>
    <w:lvl w:ilvl="0">
      <w:start w:val="1"/>
      <w:numFmt w:val="decimal"/>
      <w:lvlText w:val="%1"/>
      <w:lvlJc w:val="left"/>
      <w:pPr>
        <w:tabs>
          <w:tab w:val="num" w:pos="360"/>
        </w:tabs>
        <w:ind w:left="0" w:firstLine="0"/>
      </w:pPr>
      <w:rPr>
        <w:rFonts w:hint="default"/>
      </w:rPr>
    </w:lvl>
  </w:abstractNum>
  <w:abstractNum w:abstractNumId="170" w15:restartNumberingAfterBreak="0">
    <w:nsid w:val="6EFE62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72" w15:restartNumberingAfterBreak="0">
    <w:nsid w:val="6FDC0D67"/>
    <w:multiLevelType w:val="singleLevel"/>
    <w:tmpl w:val="ABFA28A0"/>
    <w:lvl w:ilvl="0">
      <w:numFmt w:val="bullet"/>
      <w:lvlText w:val="-"/>
      <w:lvlJc w:val="left"/>
      <w:pPr>
        <w:tabs>
          <w:tab w:val="num" w:pos="360"/>
        </w:tabs>
        <w:ind w:left="360" w:hanging="360"/>
      </w:pPr>
      <w:rPr>
        <w:rFonts w:hint="default"/>
      </w:rPr>
    </w:lvl>
  </w:abstractNum>
  <w:abstractNum w:abstractNumId="173" w15:restartNumberingAfterBreak="0">
    <w:nsid w:val="705D0191"/>
    <w:multiLevelType w:val="singleLevel"/>
    <w:tmpl w:val="38BE35B2"/>
    <w:lvl w:ilvl="0">
      <w:start w:val="1"/>
      <w:numFmt w:val="bullet"/>
      <w:lvlText w:val=""/>
      <w:lvlJc w:val="left"/>
      <w:pPr>
        <w:tabs>
          <w:tab w:val="num" w:pos="360"/>
        </w:tabs>
        <w:ind w:left="170" w:hanging="170"/>
      </w:pPr>
      <w:rPr>
        <w:rFonts w:ascii="Symbol" w:hAnsi="Symbol" w:hint="default"/>
      </w:rPr>
    </w:lvl>
  </w:abstractNum>
  <w:abstractNum w:abstractNumId="174" w15:restartNumberingAfterBreak="0">
    <w:nsid w:val="70862464"/>
    <w:multiLevelType w:val="singleLevel"/>
    <w:tmpl w:val="041D0011"/>
    <w:lvl w:ilvl="0">
      <w:start w:val="1"/>
      <w:numFmt w:val="decimal"/>
      <w:lvlText w:val="%1)"/>
      <w:lvlJc w:val="left"/>
      <w:pPr>
        <w:tabs>
          <w:tab w:val="num" w:pos="360"/>
        </w:tabs>
        <w:ind w:left="360" w:hanging="360"/>
      </w:pPr>
      <w:rPr>
        <w:rFonts w:hint="default"/>
      </w:rPr>
    </w:lvl>
  </w:abstractNum>
  <w:abstractNum w:abstractNumId="175" w15:restartNumberingAfterBreak="0">
    <w:nsid w:val="70B06C6A"/>
    <w:multiLevelType w:val="singleLevel"/>
    <w:tmpl w:val="BCEAD6D2"/>
    <w:lvl w:ilvl="0">
      <w:start w:val="1"/>
      <w:numFmt w:val="decimal"/>
      <w:lvlText w:val="%1)"/>
      <w:lvlJc w:val="left"/>
      <w:pPr>
        <w:tabs>
          <w:tab w:val="num" w:pos="645"/>
        </w:tabs>
        <w:ind w:left="645" w:hanging="360"/>
      </w:pPr>
      <w:rPr>
        <w:rFonts w:hint="default"/>
      </w:rPr>
    </w:lvl>
  </w:abstractNum>
  <w:abstractNum w:abstractNumId="176" w15:restartNumberingAfterBreak="0">
    <w:nsid w:val="71AB748D"/>
    <w:multiLevelType w:val="singleLevel"/>
    <w:tmpl w:val="0ECE7372"/>
    <w:lvl w:ilvl="0">
      <w:numFmt w:val="bullet"/>
      <w:lvlText w:val="-"/>
      <w:lvlJc w:val="left"/>
      <w:pPr>
        <w:tabs>
          <w:tab w:val="num" w:pos="360"/>
        </w:tabs>
        <w:ind w:left="360" w:hanging="360"/>
      </w:pPr>
      <w:rPr>
        <w:rFonts w:hint="default"/>
      </w:rPr>
    </w:lvl>
  </w:abstractNum>
  <w:abstractNum w:abstractNumId="177" w15:restartNumberingAfterBreak="0">
    <w:nsid w:val="71B27A8A"/>
    <w:multiLevelType w:val="multilevel"/>
    <w:tmpl w:val="87987956"/>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71C55ED3"/>
    <w:multiLevelType w:val="singleLevel"/>
    <w:tmpl w:val="041D000F"/>
    <w:lvl w:ilvl="0">
      <w:start w:val="1"/>
      <w:numFmt w:val="decimal"/>
      <w:lvlText w:val="%1."/>
      <w:lvlJc w:val="left"/>
      <w:pPr>
        <w:tabs>
          <w:tab w:val="num" w:pos="360"/>
        </w:tabs>
        <w:ind w:left="360" w:hanging="360"/>
      </w:pPr>
    </w:lvl>
  </w:abstractNum>
  <w:abstractNum w:abstractNumId="179" w15:restartNumberingAfterBreak="0">
    <w:nsid w:val="727540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2E2129C"/>
    <w:multiLevelType w:val="singleLevel"/>
    <w:tmpl w:val="041D000F"/>
    <w:lvl w:ilvl="0">
      <w:start w:val="1"/>
      <w:numFmt w:val="decimal"/>
      <w:lvlText w:val="%1."/>
      <w:lvlJc w:val="left"/>
      <w:pPr>
        <w:tabs>
          <w:tab w:val="num" w:pos="360"/>
        </w:tabs>
        <w:ind w:left="360" w:hanging="360"/>
      </w:pPr>
      <w:rPr>
        <w:rFonts w:hint="default"/>
      </w:rPr>
    </w:lvl>
  </w:abstractNum>
  <w:abstractNum w:abstractNumId="181" w15:restartNumberingAfterBreak="0">
    <w:nsid w:val="72FB5D78"/>
    <w:multiLevelType w:val="singleLevel"/>
    <w:tmpl w:val="370C3154"/>
    <w:lvl w:ilvl="0">
      <w:numFmt w:val="bullet"/>
      <w:lvlText w:val="-"/>
      <w:lvlJc w:val="left"/>
      <w:pPr>
        <w:tabs>
          <w:tab w:val="num" w:pos="360"/>
        </w:tabs>
        <w:ind w:left="360" w:hanging="360"/>
      </w:pPr>
      <w:rPr>
        <w:rFonts w:hint="default"/>
      </w:rPr>
    </w:lvl>
  </w:abstractNum>
  <w:abstractNum w:abstractNumId="182" w15:restartNumberingAfterBreak="0">
    <w:nsid w:val="735A1913"/>
    <w:multiLevelType w:val="singleLevel"/>
    <w:tmpl w:val="2AB860BA"/>
    <w:lvl w:ilvl="0">
      <w:start w:val="2"/>
      <w:numFmt w:val="bullet"/>
      <w:lvlText w:val="-"/>
      <w:lvlJc w:val="left"/>
      <w:pPr>
        <w:tabs>
          <w:tab w:val="num" w:pos="1551"/>
        </w:tabs>
        <w:ind w:left="1551" w:hanging="360"/>
      </w:pPr>
      <w:rPr>
        <w:rFonts w:hint="default"/>
      </w:rPr>
    </w:lvl>
  </w:abstractNum>
  <w:abstractNum w:abstractNumId="183" w15:restartNumberingAfterBreak="0">
    <w:nsid w:val="747A2AAC"/>
    <w:multiLevelType w:val="singleLevel"/>
    <w:tmpl w:val="912E017A"/>
    <w:lvl w:ilvl="0">
      <w:start w:val="22"/>
      <w:numFmt w:val="bullet"/>
      <w:lvlText w:val="–"/>
      <w:lvlJc w:val="left"/>
      <w:pPr>
        <w:tabs>
          <w:tab w:val="num" w:pos="1211"/>
        </w:tabs>
        <w:ind w:left="1211" w:hanging="360"/>
      </w:pPr>
      <w:rPr>
        <w:rFonts w:hint="default"/>
      </w:rPr>
    </w:lvl>
  </w:abstractNum>
  <w:abstractNum w:abstractNumId="184" w15:restartNumberingAfterBreak="0">
    <w:nsid w:val="765562CA"/>
    <w:multiLevelType w:val="singleLevel"/>
    <w:tmpl w:val="6C3A5AA6"/>
    <w:lvl w:ilvl="0">
      <w:start w:val="4234"/>
      <w:numFmt w:val="bullet"/>
      <w:lvlText w:val="–"/>
      <w:lvlJc w:val="left"/>
      <w:pPr>
        <w:tabs>
          <w:tab w:val="num" w:pos="360"/>
        </w:tabs>
        <w:ind w:left="360" w:hanging="360"/>
      </w:pPr>
      <w:rPr>
        <w:rFonts w:hint="default"/>
      </w:rPr>
    </w:lvl>
  </w:abstractNum>
  <w:abstractNum w:abstractNumId="185" w15:restartNumberingAfterBreak="0">
    <w:nsid w:val="7718275E"/>
    <w:multiLevelType w:val="singleLevel"/>
    <w:tmpl w:val="924E1D9C"/>
    <w:lvl w:ilvl="0">
      <w:start w:val="4234"/>
      <w:numFmt w:val="bullet"/>
      <w:lvlText w:val="-"/>
      <w:lvlJc w:val="left"/>
      <w:pPr>
        <w:tabs>
          <w:tab w:val="num" w:pos="360"/>
        </w:tabs>
        <w:ind w:left="360" w:hanging="360"/>
      </w:pPr>
      <w:rPr>
        <w:rFonts w:hint="default"/>
      </w:rPr>
    </w:lvl>
  </w:abstractNum>
  <w:abstractNum w:abstractNumId="186" w15:restartNumberingAfterBreak="0">
    <w:nsid w:val="780F217B"/>
    <w:multiLevelType w:val="multilevel"/>
    <w:tmpl w:val="33A0E40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7" w15:restartNumberingAfterBreak="0">
    <w:nsid w:val="7864685A"/>
    <w:multiLevelType w:val="multilevel"/>
    <w:tmpl w:val="42505F52"/>
    <w:lvl w:ilvl="0">
      <w:start w:val="3"/>
      <w:numFmt w:val="decimal"/>
      <w:lvlText w:val="%1."/>
      <w:lvlJc w:val="left"/>
      <w:pPr>
        <w:tabs>
          <w:tab w:val="num" w:pos="900"/>
        </w:tabs>
        <w:ind w:left="900" w:hanging="900"/>
      </w:pPr>
      <w:rPr>
        <w:rFonts w:hint="default"/>
      </w:rPr>
    </w:lvl>
    <w:lvl w:ilvl="1">
      <w:start w:val="2"/>
      <w:numFmt w:val="decimal"/>
      <w:lvlText w:val="%1.%2."/>
      <w:lvlJc w:val="left"/>
      <w:pPr>
        <w:tabs>
          <w:tab w:val="num" w:pos="870"/>
        </w:tabs>
        <w:ind w:left="870" w:hanging="900"/>
      </w:pPr>
      <w:rPr>
        <w:rFonts w:hint="default"/>
      </w:rPr>
    </w:lvl>
    <w:lvl w:ilvl="2">
      <w:start w:val="4"/>
      <w:numFmt w:val="decimal"/>
      <w:lvlText w:val="%1.%2.%3."/>
      <w:lvlJc w:val="left"/>
      <w:pPr>
        <w:tabs>
          <w:tab w:val="num" w:pos="840"/>
        </w:tabs>
        <w:ind w:left="840" w:hanging="900"/>
      </w:pPr>
      <w:rPr>
        <w:rFonts w:hint="default"/>
      </w:rPr>
    </w:lvl>
    <w:lvl w:ilvl="3">
      <w:start w:val="1"/>
      <w:numFmt w:val="decimal"/>
      <w:lvlText w:val="%1.%2.%3.%4."/>
      <w:lvlJc w:val="left"/>
      <w:pPr>
        <w:tabs>
          <w:tab w:val="num" w:pos="810"/>
        </w:tabs>
        <w:ind w:left="810" w:hanging="900"/>
      </w:pPr>
      <w:rPr>
        <w:rFonts w:hint="default"/>
      </w:rPr>
    </w:lvl>
    <w:lvl w:ilvl="4">
      <w:start w:val="1"/>
      <w:numFmt w:val="decimal"/>
      <w:lvlText w:val="%1.%2.%3.%4.%5."/>
      <w:lvlJc w:val="left"/>
      <w:pPr>
        <w:tabs>
          <w:tab w:val="num" w:pos="960"/>
        </w:tabs>
        <w:ind w:left="960" w:hanging="1080"/>
      </w:pPr>
      <w:rPr>
        <w:rFonts w:hint="default"/>
      </w:rPr>
    </w:lvl>
    <w:lvl w:ilvl="5">
      <w:start w:val="1"/>
      <w:numFmt w:val="decimal"/>
      <w:lvlText w:val="%1.%2.%3.%4.%5.%6."/>
      <w:lvlJc w:val="left"/>
      <w:pPr>
        <w:tabs>
          <w:tab w:val="num" w:pos="930"/>
        </w:tabs>
        <w:ind w:left="93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230"/>
        </w:tabs>
        <w:ind w:left="1230" w:hanging="1440"/>
      </w:pPr>
      <w:rPr>
        <w:rFonts w:hint="default"/>
      </w:rPr>
    </w:lvl>
    <w:lvl w:ilvl="8">
      <w:start w:val="1"/>
      <w:numFmt w:val="decimal"/>
      <w:lvlText w:val="%1.%2.%3.%4.%5.%6.%7.%8.%9."/>
      <w:lvlJc w:val="left"/>
      <w:pPr>
        <w:tabs>
          <w:tab w:val="num" w:pos="1560"/>
        </w:tabs>
        <w:ind w:left="1560" w:hanging="1800"/>
      </w:pPr>
      <w:rPr>
        <w:rFonts w:hint="default"/>
      </w:rPr>
    </w:lvl>
  </w:abstractNum>
  <w:abstractNum w:abstractNumId="188" w15:restartNumberingAfterBreak="0">
    <w:nsid w:val="78BF0E46"/>
    <w:multiLevelType w:val="singleLevel"/>
    <w:tmpl w:val="97948B72"/>
    <w:lvl w:ilvl="0">
      <w:start w:val="1"/>
      <w:numFmt w:val="decimal"/>
      <w:lvlText w:val="%1)"/>
      <w:lvlJc w:val="left"/>
      <w:pPr>
        <w:tabs>
          <w:tab w:val="num" w:pos="645"/>
        </w:tabs>
        <w:ind w:left="645" w:hanging="360"/>
      </w:pPr>
      <w:rPr>
        <w:rFonts w:hint="default"/>
      </w:rPr>
    </w:lvl>
  </w:abstractNum>
  <w:abstractNum w:abstractNumId="189" w15:restartNumberingAfterBreak="0">
    <w:nsid w:val="7905093C"/>
    <w:multiLevelType w:val="singleLevel"/>
    <w:tmpl w:val="924E1D9C"/>
    <w:lvl w:ilvl="0">
      <w:start w:val="4234"/>
      <w:numFmt w:val="bullet"/>
      <w:lvlText w:val="-"/>
      <w:lvlJc w:val="left"/>
      <w:pPr>
        <w:tabs>
          <w:tab w:val="num" w:pos="360"/>
        </w:tabs>
        <w:ind w:left="360" w:hanging="360"/>
      </w:pPr>
      <w:rPr>
        <w:rFonts w:hint="default"/>
      </w:rPr>
    </w:lvl>
  </w:abstractNum>
  <w:abstractNum w:abstractNumId="190" w15:restartNumberingAfterBreak="0">
    <w:nsid w:val="7A2C3A83"/>
    <w:multiLevelType w:val="singleLevel"/>
    <w:tmpl w:val="C874AAFA"/>
    <w:lvl w:ilvl="0">
      <w:start w:val="1"/>
      <w:numFmt w:val="decimal"/>
      <w:lvlText w:val="%1)"/>
      <w:lvlJc w:val="left"/>
      <w:pPr>
        <w:tabs>
          <w:tab w:val="num" w:pos="645"/>
        </w:tabs>
        <w:ind w:left="645" w:hanging="360"/>
      </w:pPr>
      <w:rPr>
        <w:rFonts w:hint="default"/>
      </w:rPr>
    </w:lvl>
  </w:abstractNum>
  <w:abstractNum w:abstractNumId="191" w15:restartNumberingAfterBreak="0">
    <w:nsid w:val="7ADE75A5"/>
    <w:multiLevelType w:val="singleLevel"/>
    <w:tmpl w:val="FE1405C0"/>
    <w:lvl w:ilvl="0">
      <w:numFmt w:val="bullet"/>
      <w:lvlText w:val="-"/>
      <w:lvlJc w:val="left"/>
      <w:pPr>
        <w:tabs>
          <w:tab w:val="num" w:pos="360"/>
        </w:tabs>
        <w:ind w:left="360" w:hanging="360"/>
      </w:pPr>
      <w:rPr>
        <w:rFonts w:hint="default"/>
      </w:rPr>
    </w:lvl>
  </w:abstractNum>
  <w:abstractNum w:abstractNumId="192" w15:restartNumberingAfterBreak="0">
    <w:nsid w:val="7B6B09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C646707"/>
    <w:multiLevelType w:val="multilevel"/>
    <w:tmpl w:val="8FC85F5C"/>
    <w:lvl w:ilvl="0">
      <w:start w:val="3"/>
      <w:numFmt w:val="decimal"/>
      <w:lvlText w:val="%1."/>
      <w:lvlJc w:val="left"/>
      <w:pPr>
        <w:tabs>
          <w:tab w:val="num" w:pos="660"/>
        </w:tabs>
        <w:ind w:left="660" w:hanging="660"/>
      </w:pPr>
      <w:rPr>
        <w:rFonts w:hint="default"/>
      </w:rPr>
    </w:lvl>
    <w:lvl w:ilvl="1">
      <w:start w:val="3"/>
      <w:numFmt w:val="decimal"/>
      <w:lvlText w:val="%1.%2."/>
      <w:lvlJc w:val="left"/>
      <w:pPr>
        <w:tabs>
          <w:tab w:val="num" w:pos="1200"/>
        </w:tabs>
        <w:ind w:left="1200" w:hanging="660"/>
      </w:pPr>
      <w:rPr>
        <w:rFonts w:hint="default"/>
      </w:rPr>
    </w:lvl>
    <w:lvl w:ilvl="2">
      <w:start w:val="3"/>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4" w15:restartNumberingAfterBreak="0">
    <w:nsid w:val="7CA1053C"/>
    <w:multiLevelType w:val="singleLevel"/>
    <w:tmpl w:val="FF284252"/>
    <w:lvl w:ilvl="0">
      <w:start w:val="1"/>
      <w:numFmt w:val="decimal"/>
      <w:lvlText w:val="%1)"/>
      <w:lvlJc w:val="left"/>
      <w:pPr>
        <w:tabs>
          <w:tab w:val="num" w:pos="652"/>
        </w:tabs>
        <w:ind w:left="652" w:hanging="360"/>
      </w:pPr>
      <w:rPr>
        <w:rFonts w:hint="default"/>
      </w:rPr>
    </w:lvl>
  </w:abstractNum>
  <w:abstractNum w:abstractNumId="195" w15:restartNumberingAfterBreak="0">
    <w:nsid w:val="7CB3299E"/>
    <w:multiLevelType w:val="singleLevel"/>
    <w:tmpl w:val="89B429FA"/>
    <w:lvl w:ilvl="0">
      <w:start w:val="1"/>
      <w:numFmt w:val="decimal"/>
      <w:lvlText w:val="%1)"/>
      <w:lvlJc w:val="left"/>
      <w:pPr>
        <w:tabs>
          <w:tab w:val="num" w:pos="645"/>
        </w:tabs>
        <w:ind w:left="645" w:hanging="360"/>
      </w:pPr>
      <w:rPr>
        <w:rFonts w:hint="default"/>
      </w:rPr>
    </w:lvl>
  </w:abstractNum>
  <w:abstractNum w:abstractNumId="196" w15:restartNumberingAfterBreak="0">
    <w:nsid w:val="7CF05022"/>
    <w:multiLevelType w:val="singleLevel"/>
    <w:tmpl w:val="E34205B8"/>
    <w:lvl w:ilvl="0">
      <w:start w:val="3"/>
      <w:numFmt w:val="bullet"/>
      <w:lvlText w:val="-"/>
      <w:lvlJc w:val="left"/>
      <w:pPr>
        <w:tabs>
          <w:tab w:val="num" w:pos="360"/>
        </w:tabs>
        <w:ind w:left="360" w:hanging="360"/>
      </w:pPr>
      <w:rPr>
        <w:rFonts w:hint="default"/>
      </w:rPr>
    </w:lvl>
  </w:abstractNum>
  <w:abstractNum w:abstractNumId="197" w15:restartNumberingAfterBreak="0">
    <w:nsid w:val="7D0868C6"/>
    <w:multiLevelType w:val="singleLevel"/>
    <w:tmpl w:val="678E32B0"/>
    <w:lvl w:ilvl="0">
      <w:start w:val="1"/>
      <w:numFmt w:val="decimal"/>
      <w:lvlText w:val="%1)"/>
      <w:lvlJc w:val="left"/>
      <w:pPr>
        <w:tabs>
          <w:tab w:val="num" w:pos="645"/>
        </w:tabs>
        <w:ind w:left="645" w:hanging="360"/>
      </w:pPr>
      <w:rPr>
        <w:rFonts w:hint="default"/>
      </w:rPr>
    </w:lvl>
  </w:abstractNum>
  <w:abstractNum w:abstractNumId="198" w15:restartNumberingAfterBreak="0">
    <w:nsid w:val="7E997886"/>
    <w:multiLevelType w:val="singleLevel"/>
    <w:tmpl w:val="041D0011"/>
    <w:lvl w:ilvl="0">
      <w:start w:val="1"/>
      <w:numFmt w:val="decimal"/>
      <w:lvlText w:val="%1)"/>
      <w:lvlJc w:val="left"/>
      <w:pPr>
        <w:tabs>
          <w:tab w:val="num" w:pos="360"/>
        </w:tabs>
        <w:ind w:left="360" w:hanging="360"/>
      </w:pPr>
      <w:rPr>
        <w:rFonts w:hint="default"/>
      </w:rPr>
    </w:lvl>
  </w:abstractNum>
  <w:num w:numId="1" w16cid:durableId="826021211">
    <w:abstractNumId w:val="24"/>
  </w:num>
  <w:num w:numId="2" w16cid:durableId="1897430795">
    <w:abstractNumId w:val="114"/>
  </w:num>
  <w:num w:numId="3" w16cid:durableId="707800024">
    <w:abstractNumId w:val="8"/>
  </w:num>
  <w:num w:numId="4" w16cid:durableId="1261138235">
    <w:abstractNumId w:val="3"/>
  </w:num>
  <w:num w:numId="5" w16cid:durableId="1145008826">
    <w:abstractNumId w:val="2"/>
  </w:num>
  <w:num w:numId="6" w16cid:durableId="510606126">
    <w:abstractNumId w:val="1"/>
  </w:num>
  <w:num w:numId="7" w16cid:durableId="635373336">
    <w:abstractNumId w:val="0"/>
  </w:num>
  <w:num w:numId="8" w16cid:durableId="1487240077">
    <w:abstractNumId w:val="9"/>
  </w:num>
  <w:num w:numId="9" w16cid:durableId="553278072">
    <w:abstractNumId w:val="7"/>
  </w:num>
  <w:num w:numId="10" w16cid:durableId="2137868425">
    <w:abstractNumId w:val="6"/>
  </w:num>
  <w:num w:numId="11" w16cid:durableId="1898852038">
    <w:abstractNumId w:val="5"/>
  </w:num>
  <w:num w:numId="12" w16cid:durableId="308828377">
    <w:abstractNumId w:val="4"/>
  </w:num>
  <w:num w:numId="13" w16cid:durableId="1480537490">
    <w:abstractNumId w:val="24"/>
  </w:num>
  <w:num w:numId="14" w16cid:durableId="1929000953">
    <w:abstractNumId w:val="114"/>
  </w:num>
  <w:num w:numId="15" w16cid:durableId="89355927">
    <w:abstractNumId w:val="65"/>
  </w:num>
  <w:num w:numId="16" w16cid:durableId="1431196027">
    <w:abstractNumId w:val="145"/>
  </w:num>
  <w:num w:numId="17" w16cid:durableId="301086121">
    <w:abstractNumId w:val="71"/>
  </w:num>
  <w:num w:numId="18" w16cid:durableId="1329139407">
    <w:abstractNumId w:val="185"/>
  </w:num>
  <w:num w:numId="19" w16cid:durableId="1125193896">
    <w:abstractNumId w:val="189"/>
  </w:num>
  <w:num w:numId="20" w16cid:durableId="199636951">
    <w:abstractNumId w:val="184"/>
  </w:num>
  <w:num w:numId="21" w16cid:durableId="52974717">
    <w:abstractNumId w:val="99"/>
  </w:num>
  <w:num w:numId="22" w16cid:durableId="57410717">
    <w:abstractNumId w:val="176"/>
  </w:num>
  <w:num w:numId="23" w16cid:durableId="661007890">
    <w:abstractNumId w:val="181"/>
  </w:num>
  <w:num w:numId="24" w16cid:durableId="451821583">
    <w:abstractNumId w:val="172"/>
  </w:num>
  <w:num w:numId="25" w16cid:durableId="1188644860">
    <w:abstractNumId w:val="22"/>
  </w:num>
  <w:num w:numId="26" w16cid:durableId="1517692298">
    <w:abstractNumId w:val="131"/>
  </w:num>
  <w:num w:numId="27" w16cid:durableId="1307470193">
    <w:abstractNumId w:val="25"/>
  </w:num>
  <w:num w:numId="28" w16cid:durableId="1932469794">
    <w:abstractNumId w:val="196"/>
  </w:num>
  <w:num w:numId="29" w16cid:durableId="297423093">
    <w:abstractNumId w:val="154"/>
  </w:num>
  <w:num w:numId="30" w16cid:durableId="346180476">
    <w:abstractNumId w:val="84"/>
  </w:num>
  <w:num w:numId="31" w16cid:durableId="350036793">
    <w:abstractNumId w:val="153"/>
  </w:num>
  <w:num w:numId="32" w16cid:durableId="43019653">
    <w:abstractNumId w:val="82"/>
  </w:num>
  <w:num w:numId="33" w16cid:durableId="1215697197">
    <w:abstractNumId w:val="60"/>
  </w:num>
  <w:num w:numId="34" w16cid:durableId="680157439">
    <w:abstractNumId w:val="164"/>
  </w:num>
  <w:num w:numId="35" w16cid:durableId="1526869357">
    <w:abstractNumId w:val="119"/>
  </w:num>
  <w:num w:numId="36" w16cid:durableId="1686513994">
    <w:abstractNumId w:val="147"/>
  </w:num>
  <w:num w:numId="37" w16cid:durableId="996298215">
    <w:abstractNumId w:val="106"/>
  </w:num>
  <w:num w:numId="38" w16cid:durableId="1523319865">
    <w:abstractNumId w:val="128"/>
  </w:num>
  <w:num w:numId="39" w16cid:durableId="572006586">
    <w:abstractNumId w:val="21"/>
  </w:num>
  <w:num w:numId="40" w16cid:durableId="839807835">
    <w:abstractNumId w:val="180"/>
  </w:num>
  <w:num w:numId="41" w16cid:durableId="914123827">
    <w:abstractNumId w:val="136"/>
  </w:num>
  <w:num w:numId="42" w16cid:durableId="764502598">
    <w:abstractNumId w:val="56"/>
  </w:num>
  <w:num w:numId="43" w16cid:durableId="1398550008">
    <w:abstractNumId w:val="67"/>
  </w:num>
  <w:num w:numId="44" w16cid:durableId="1138456925">
    <w:abstractNumId w:val="17"/>
  </w:num>
  <w:num w:numId="45" w16cid:durableId="1162424910">
    <w:abstractNumId w:val="125"/>
  </w:num>
  <w:num w:numId="46" w16cid:durableId="651953504">
    <w:abstractNumId w:val="140"/>
  </w:num>
  <w:num w:numId="47" w16cid:durableId="1883591795">
    <w:abstractNumId w:val="68"/>
  </w:num>
  <w:num w:numId="48" w16cid:durableId="423575997">
    <w:abstractNumId w:val="157"/>
  </w:num>
  <w:num w:numId="49" w16cid:durableId="1117941909">
    <w:abstractNumId w:val="95"/>
  </w:num>
  <w:num w:numId="50" w16cid:durableId="1220358276">
    <w:abstractNumId w:val="127"/>
  </w:num>
  <w:num w:numId="51" w16cid:durableId="2063744616">
    <w:abstractNumId w:val="174"/>
  </w:num>
  <w:num w:numId="52" w16cid:durableId="1265383388">
    <w:abstractNumId w:val="141"/>
  </w:num>
  <w:num w:numId="53" w16cid:durableId="907612338">
    <w:abstractNumId w:val="179"/>
  </w:num>
  <w:num w:numId="54" w16cid:durableId="1095326407">
    <w:abstractNumId w:val="107"/>
  </w:num>
  <w:num w:numId="55" w16cid:durableId="1209145743">
    <w:abstractNumId w:val="36"/>
  </w:num>
  <w:num w:numId="56" w16cid:durableId="675353337">
    <w:abstractNumId w:val="169"/>
  </w:num>
  <w:num w:numId="57" w16cid:durableId="378481100">
    <w:abstractNumId w:val="126"/>
  </w:num>
  <w:num w:numId="58" w16cid:durableId="562713790">
    <w:abstractNumId w:val="168"/>
  </w:num>
  <w:num w:numId="59" w16cid:durableId="1346201895">
    <w:abstractNumId w:val="91"/>
  </w:num>
  <w:num w:numId="60" w16cid:durableId="1426337564">
    <w:abstractNumId w:val="167"/>
  </w:num>
  <w:num w:numId="61" w16cid:durableId="316149619">
    <w:abstractNumId w:val="108"/>
  </w:num>
  <w:num w:numId="62" w16cid:durableId="1819570778">
    <w:abstractNumId w:val="175"/>
  </w:num>
  <w:num w:numId="63" w16cid:durableId="1038775145">
    <w:abstractNumId w:val="195"/>
  </w:num>
  <w:num w:numId="64" w16cid:durableId="1305625947">
    <w:abstractNumId w:val="165"/>
  </w:num>
  <w:num w:numId="65" w16cid:durableId="41054514">
    <w:abstractNumId w:val="59"/>
  </w:num>
  <w:num w:numId="66" w16cid:durableId="1544949367">
    <w:abstractNumId w:val="194"/>
  </w:num>
  <w:num w:numId="67" w16cid:durableId="557864936">
    <w:abstractNumId w:val="129"/>
  </w:num>
  <w:num w:numId="68" w16cid:durableId="959804327">
    <w:abstractNumId w:val="54"/>
  </w:num>
  <w:num w:numId="69" w16cid:durableId="640380323">
    <w:abstractNumId w:val="16"/>
  </w:num>
  <w:num w:numId="70" w16cid:durableId="1686055974">
    <w:abstractNumId w:val="188"/>
  </w:num>
  <w:num w:numId="71" w16cid:durableId="2026860125">
    <w:abstractNumId w:val="14"/>
  </w:num>
  <w:num w:numId="72" w16cid:durableId="969475486">
    <w:abstractNumId w:val="81"/>
  </w:num>
  <w:num w:numId="73" w16cid:durableId="789280856">
    <w:abstractNumId w:val="197"/>
  </w:num>
  <w:num w:numId="74" w16cid:durableId="191262832">
    <w:abstractNumId w:val="190"/>
  </w:num>
  <w:num w:numId="75" w16cid:durableId="1312519410">
    <w:abstractNumId w:val="47"/>
  </w:num>
  <w:num w:numId="76" w16cid:durableId="811827030">
    <w:abstractNumId w:val="61"/>
  </w:num>
  <w:num w:numId="77" w16cid:durableId="1524317981">
    <w:abstractNumId w:val="162"/>
  </w:num>
  <w:num w:numId="78" w16cid:durableId="1780252237">
    <w:abstractNumId w:val="166"/>
  </w:num>
  <w:num w:numId="79" w16cid:durableId="352876951">
    <w:abstractNumId w:val="160"/>
  </w:num>
  <w:num w:numId="80" w16cid:durableId="1886022345">
    <w:abstractNumId w:val="62"/>
  </w:num>
  <w:num w:numId="81" w16cid:durableId="1813406805">
    <w:abstractNumId w:val="117"/>
  </w:num>
  <w:num w:numId="82" w16cid:durableId="1857504113">
    <w:abstractNumId w:val="139"/>
  </w:num>
  <w:num w:numId="83" w16cid:durableId="205988069">
    <w:abstractNumId w:val="37"/>
  </w:num>
  <w:num w:numId="84" w16cid:durableId="472061761">
    <w:abstractNumId w:val="18"/>
  </w:num>
  <w:num w:numId="85" w16cid:durableId="1510950206">
    <w:abstractNumId w:val="92"/>
  </w:num>
  <w:num w:numId="86" w16cid:durableId="647520501">
    <w:abstractNumId w:val="177"/>
  </w:num>
  <w:num w:numId="87" w16cid:durableId="1812674916">
    <w:abstractNumId w:val="83"/>
  </w:num>
  <w:num w:numId="88" w16cid:durableId="1923224203">
    <w:abstractNumId w:val="155"/>
  </w:num>
  <w:num w:numId="89" w16cid:durableId="382413836">
    <w:abstractNumId w:val="42"/>
  </w:num>
  <w:num w:numId="90" w16cid:durableId="48039770">
    <w:abstractNumId w:val="32"/>
  </w:num>
  <w:num w:numId="91" w16cid:durableId="742532014">
    <w:abstractNumId w:val="151"/>
  </w:num>
  <w:num w:numId="92" w16cid:durableId="243296202">
    <w:abstractNumId w:val="182"/>
  </w:num>
  <w:num w:numId="93" w16cid:durableId="226306682">
    <w:abstractNumId w:val="45"/>
  </w:num>
  <w:num w:numId="94" w16cid:durableId="1192764577">
    <w:abstractNumId w:val="77"/>
  </w:num>
  <w:num w:numId="95" w16cid:durableId="1586647217">
    <w:abstractNumId w:val="87"/>
  </w:num>
  <w:num w:numId="96" w16cid:durableId="1237395850">
    <w:abstractNumId w:val="23"/>
  </w:num>
  <w:num w:numId="97" w16cid:durableId="1095595891">
    <w:abstractNumId w:val="186"/>
  </w:num>
  <w:num w:numId="98" w16cid:durableId="1224491713">
    <w:abstractNumId w:val="146"/>
  </w:num>
  <w:num w:numId="99" w16cid:durableId="568341873">
    <w:abstractNumId w:val="161"/>
  </w:num>
  <w:num w:numId="100" w16cid:durableId="1718433563">
    <w:abstractNumId w:val="63"/>
  </w:num>
  <w:num w:numId="101" w16cid:durableId="960958610">
    <w:abstractNumId w:val="135"/>
  </w:num>
  <w:num w:numId="102" w16cid:durableId="1664893876">
    <w:abstractNumId w:val="123"/>
  </w:num>
  <w:num w:numId="103" w16cid:durableId="383913225">
    <w:abstractNumId w:val="58"/>
  </w:num>
  <w:num w:numId="104" w16cid:durableId="1377702213">
    <w:abstractNumId w:val="105"/>
  </w:num>
  <w:num w:numId="105" w16cid:durableId="890768588">
    <w:abstractNumId w:val="110"/>
  </w:num>
  <w:num w:numId="106" w16cid:durableId="608777340">
    <w:abstractNumId w:val="102"/>
  </w:num>
  <w:num w:numId="107" w16cid:durableId="810441871">
    <w:abstractNumId w:val="66"/>
  </w:num>
  <w:num w:numId="108" w16cid:durableId="351684320">
    <w:abstractNumId w:val="113"/>
  </w:num>
  <w:num w:numId="109" w16cid:durableId="1037773290">
    <w:abstractNumId w:val="70"/>
  </w:num>
  <w:num w:numId="110" w16cid:durableId="638072483">
    <w:abstractNumId w:val="80"/>
  </w:num>
  <w:num w:numId="111" w16cid:durableId="1233155103">
    <w:abstractNumId w:val="73"/>
  </w:num>
  <w:num w:numId="112" w16cid:durableId="545678360">
    <w:abstractNumId w:val="193"/>
  </w:num>
  <w:num w:numId="113" w16cid:durableId="825246990">
    <w:abstractNumId w:val="19"/>
  </w:num>
  <w:num w:numId="114" w16cid:durableId="1513452437">
    <w:abstractNumId w:val="46"/>
  </w:num>
  <w:num w:numId="115" w16cid:durableId="1920600274">
    <w:abstractNumId w:val="49"/>
  </w:num>
  <w:num w:numId="116" w16cid:durableId="307978554">
    <w:abstractNumId w:val="97"/>
  </w:num>
  <w:num w:numId="117" w16cid:durableId="1065762424">
    <w:abstractNumId w:val="44"/>
  </w:num>
  <w:num w:numId="118" w16cid:durableId="1097212485">
    <w:abstractNumId w:val="96"/>
  </w:num>
  <w:num w:numId="119" w16cid:durableId="2069065837">
    <w:abstractNumId w:val="101"/>
  </w:num>
  <w:num w:numId="120" w16cid:durableId="1364941635">
    <w:abstractNumId w:val="13"/>
  </w:num>
  <w:num w:numId="121" w16cid:durableId="1851336472">
    <w:abstractNumId w:val="79"/>
  </w:num>
  <w:num w:numId="122" w16cid:durableId="2091190453">
    <w:abstractNumId w:val="187"/>
  </w:num>
  <w:num w:numId="123" w16cid:durableId="1011106761">
    <w:abstractNumId w:val="143"/>
  </w:num>
  <w:num w:numId="124" w16cid:durableId="668870941">
    <w:abstractNumId w:val="111"/>
  </w:num>
  <w:num w:numId="125" w16cid:durableId="37512852">
    <w:abstractNumId w:val="112"/>
  </w:num>
  <w:num w:numId="126" w16cid:durableId="379286671">
    <w:abstractNumId w:val="35"/>
  </w:num>
  <w:num w:numId="127" w16cid:durableId="1369839495">
    <w:abstractNumId w:val="88"/>
  </w:num>
  <w:num w:numId="128" w16cid:durableId="1034769527">
    <w:abstractNumId w:val="74"/>
  </w:num>
  <w:num w:numId="129" w16cid:durableId="579951015">
    <w:abstractNumId w:val="29"/>
  </w:num>
  <w:num w:numId="130" w16cid:durableId="348218429">
    <w:abstractNumId w:val="12"/>
  </w:num>
  <w:num w:numId="131" w16cid:durableId="1243641801">
    <w:abstractNumId w:val="118"/>
  </w:num>
  <w:num w:numId="132" w16cid:durableId="670063800">
    <w:abstractNumId w:val="30"/>
  </w:num>
  <w:num w:numId="133" w16cid:durableId="1020738485">
    <w:abstractNumId w:val="198"/>
  </w:num>
  <w:num w:numId="134" w16cid:durableId="1151293144">
    <w:abstractNumId w:val="48"/>
  </w:num>
  <w:num w:numId="135" w16cid:durableId="1696614827">
    <w:abstractNumId w:val="121"/>
  </w:num>
  <w:num w:numId="136" w16cid:durableId="1715811407">
    <w:abstractNumId w:val="90"/>
  </w:num>
  <w:num w:numId="137" w16cid:durableId="2086875351">
    <w:abstractNumId w:val="191"/>
  </w:num>
  <w:num w:numId="138" w16cid:durableId="1504124878">
    <w:abstractNumId w:val="156"/>
  </w:num>
  <w:num w:numId="139" w16cid:durableId="1347945721">
    <w:abstractNumId w:val="10"/>
  </w:num>
  <w:num w:numId="140" w16cid:durableId="1629779376">
    <w:abstractNumId w:val="171"/>
  </w:num>
  <w:num w:numId="141" w16cid:durableId="1124613165">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42" w16cid:durableId="1201210339">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3" w16cid:durableId="1222131942">
    <w:abstractNumId w:val="120"/>
  </w:num>
  <w:num w:numId="144" w16cid:durableId="1840195115">
    <w:abstractNumId w:val="103"/>
  </w:num>
  <w:num w:numId="145" w16cid:durableId="77990378">
    <w:abstractNumId w:val="134"/>
  </w:num>
  <w:num w:numId="146" w16cid:durableId="1975478988">
    <w:abstractNumId w:val="137"/>
  </w:num>
  <w:num w:numId="147" w16cid:durableId="1619870851">
    <w:abstractNumId w:val="183"/>
  </w:num>
  <w:num w:numId="148" w16cid:durableId="268705857">
    <w:abstractNumId w:val="31"/>
  </w:num>
  <w:num w:numId="149" w16cid:durableId="388499593">
    <w:abstractNumId w:val="86"/>
  </w:num>
  <w:num w:numId="150" w16cid:durableId="806168113">
    <w:abstractNumId w:val="149"/>
  </w:num>
  <w:num w:numId="151" w16cid:durableId="1382751209">
    <w:abstractNumId w:val="33"/>
  </w:num>
  <w:num w:numId="152" w16cid:durableId="1818495290">
    <w:abstractNumId w:val="27"/>
  </w:num>
  <w:num w:numId="153" w16cid:durableId="884176191">
    <w:abstractNumId w:val="20"/>
  </w:num>
  <w:num w:numId="154" w16cid:durableId="1449544259">
    <w:abstractNumId w:val="26"/>
  </w:num>
  <w:num w:numId="155" w16cid:durableId="599292967">
    <w:abstractNumId w:val="69"/>
  </w:num>
  <w:num w:numId="156" w16cid:durableId="1128088897">
    <w:abstractNumId w:val="159"/>
  </w:num>
  <w:num w:numId="157" w16cid:durableId="20979267">
    <w:abstractNumId w:val="130"/>
  </w:num>
  <w:num w:numId="158" w16cid:durableId="837814310">
    <w:abstractNumId w:val="53"/>
  </w:num>
  <w:num w:numId="159" w16cid:durableId="932053572">
    <w:abstractNumId w:val="158"/>
  </w:num>
  <w:num w:numId="160" w16cid:durableId="411591022">
    <w:abstractNumId w:val="138"/>
  </w:num>
  <w:num w:numId="161" w16cid:durableId="294872193">
    <w:abstractNumId w:val="173"/>
  </w:num>
  <w:num w:numId="162" w16cid:durableId="1930649712">
    <w:abstractNumId w:val="93"/>
  </w:num>
  <w:num w:numId="163" w16cid:durableId="1770269198">
    <w:abstractNumId w:val="178"/>
  </w:num>
  <w:num w:numId="164" w16cid:durableId="143546953">
    <w:abstractNumId w:val="15"/>
  </w:num>
  <w:num w:numId="165" w16cid:durableId="1734963926">
    <w:abstractNumId w:val="40"/>
  </w:num>
  <w:num w:numId="166" w16cid:durableId="1211648691">
    <w:abstractNumId w:val="170"/>
  </w:num>
  <w:num w:numId="167" w16cid:durableId="1829974987">
    <w:abstractNumId w:val="122"/>
  </w:num>
  <w:num w:numId="168" w16cid:durableId="667249947">
    <w:abstractNumId w:val="55"/>
  </w:num>
  <w:num w:numId="169" w16cid:durableId="2013022651">
    <w:abstractNumId w:val="163"/>
  </w:num>
  <w:num w:numId="170" w16cid:durableId="1021392518">
    <w:abstractNumId w:val="94"/>
  </w:num>
  <w:num w:numId="171" w16cid:durableId="1778016228">
    <w:abstractNumId w:val="132"/>
  </w:num>
  <w:num w:numId="172" w16cid:durableId="1927422785">
    <w:abstractNumId w:val="76"/>
  </w:num>
  <w:num w:numId="173" w16cid:durableId="810560514">
    <w:abstractNumId w:val="100"/>
  </w:num>
  <w:num w:numId="174" w16cid:durableId="2078744779">
    <w:abstractNumId w:val="11"/>
    <w:lvlOverride w:ilvl="0">
      <w:lvl w:ilvl="0">
        <w:numFmt w:val="bullet"/>
        <w:lvlText w:val="-"/>
        <w:legacy w:legacy="1" w:legacySpace="0" w:legacyIndent="360"/>
        <w:lvlJc w:val="left"/>
        <w:pPr>
          <w:ind w:left="360" w:hanging="360"/>
        </w:pPr>
      </w:lvl>
    </w:lvlOverride>
  </w:num>
  <w:num w:numId="175" w16cid:durableId="1010723308">
    <w:abstractNumId w:val="34"/>
  </w:num>
  <w:num w:numId="176" w16cid:durableId="1377049118">
    <w:abstractNumId w:val="39"/>
  </w:num>
  <w:num w:numId="177" w16cid:durableId="871652131">
    <w:abstractNumId w:val="98"/>
  </w:num>
  <w:num w:numId="178" w16cid:durableId="495146326">
    <w:abstractNumId w:val="75"/>
  </w:num>
  <w:num w:numId="179" w16cid:durableId="121774745">
    <w:abstractNumId w:val="124"/>
  </w:num>
  <w:num w:numId="180" w16cid:durableId="53892019">
    <w:abstractNumId w:val="57"/>
  </w:num>
  <w:num w:numId="181" w16cid:durableId="1068303958">
    <w:abstractNumId w:val="43"/>
  </w:num>
  <w:num w:numId="182" w16cid:durableId="1379744183">
    <w:abstractNumId w:val="50"/>
  </w:num>
  <w:num w:numId="183" w16cid:durableId="1328947866">
    <w:abstractNumId w:val="150"/>
  </w:num>
  <w:num w:numId="184" w16cid:durableId="335498863">
    <w:abstractNumId w:val="52"/>
  </w:num>
  <w:num w:numId="185" w16cid:durableId="1037198858">
    <w:abstractNumId w:val="109"/>
  </w:num>
  <w:num w:numId="186" w16cid:durableId="1774324115">
    <w:abstractNumId w:val="144"/>
  </w:num>
  <w:num w:numId="187" w16cid:durableId="1835562176">
    <w:abstractNumId w:val="85"/>
  </w:num>
  <w:num w:numId="188" w16cid:durableId="975065224">
    <w:abstractNumId w:val="148"/>
  </w:num>
  <w:num w:numId="189" w16cid:durableId="1243221593">
    <w:abstractNumId w:val="192"/>
  </w:num>
  <w:num w:numId="190" w16cid:durableId="498928921">
    <w:abstractNumId w:val="78"/>
  </w:num>
  <w:num w:numId="191" w16cid:durableId="552278838">
    <w:abstractNumId w:val="142"/>
  </w:num>
  <w:num w:numId="192" w16cid:durableId="745617844">
    <w:abstractNumId w:val="116"/>
  </w:num>
  <w:num w:numId="193" w16cid:durableId="1726024839">
    <w:abstractNumId w:val="89"/>
  </w:num>
  <w:num w:numId="194" w16cid:durableId="1110275756">
    <w:abstractNumId w:val="28"/>
  </w:num>
  <w:num w:numId="195" w16cid:durableId="30542080">
    <w:abstractNumId w:val="104"/>
  </w:num>
  <w:num w:numId="196" w16cid:durableId="1909918337">
    <w:abstractNumId w:val="51"/>
  </w:num>
  <w:num w:numId="197" w16cid:durableId="776565980">
    <w:abstractNumId w:val="41"/>
  </w:num>
  <w:num w:numId="198" w16cid:durableId="1984889440">
    <w:abstractNumId w:val="64"/>
  </w:num>
  <w:num w:numId="199" w16cid:durableId="968782975">
    <w:abstractNumId w:val="152"/>
  </w:num>
  <w:num w:numId="200" w16cid:durableId="1883785124">
    <w:abstractNumId w:val="115"/>
  </w:num>
  <w:num w:numId="201" w16cid:durableId="696272604">
    <w:abstractNumId w:val="72"/>
  </w:num>
  <w:num w:numId="202" w16cid:durableId="947199239">
    <w:abstractNumId w:val="38"/>
  </w:num>
  <w:num w:numId="203" w16cid:durableId="1342514476">
    <w:abstractNumId w:val="133"/>
  </w:num>
  <w:num w:numId="204" w16cid:durableId="1156263625">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62_2002-09-24"/>
  </w:docVars>
  <w:rsids>
    <w:rsidRoot w:val="00C9605A"/>
    <w:rsid w:val="00896D4F"/>
    <w:rsid w:val="009C1C5A"/>
    <w:rsid w:val="00C960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CD2682-7E68-4E18-82F5-4361F990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line="250" w:lineRule="atLeast"/>
      <w:jc w:val="both"/>
    </w:pPr>
    <w:rPr>
      <w:sz w:val="19"/>
      <w:lang w:val="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3"/>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styleId="Citat">
    <w:name w:val="Quote"/>
    <w:basedOn w:val="Normal"/>
    <w:next w:val="Citatindrag"/>
    <w:qFormat/>
    <w:pPr>
      <w:spacing w:line="200" w:lineRule="exact"/>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Förslagstext"/>
    <w:basedOn w:val="Hemstlbyline"/>
    <w:next w:val="Normal"/>
    <w:pPr>
      <w:keepNext w:val="0"/>
      <w:spacing w:before="0"/>
      <w:ind w:left="340"/>
    </w:pPr>
  </w:style>
  <w:style w:type="paragraph" w:customStyle="1" w:styleId="Hemstlrubrik">
    <w:name w:val="Hemstl_rubrik"/>
    <w:basedOn w:val="Rubrik1"/>
    <w:next w:val="Hemstlbyline"/>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autoRedefine/>
    <w:pPr>
      <w:numPr>
        <w:numId w:val="204"/>
      </w:numPr>
      <w:tabs>
        <w:tab w:val="clear" w:pos="360"/>
      </w:tabs>
      <w:spacing w:before="0"/>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pPr>
      <w:spacing w:before="250"/>
    </w:pPr>
  </w:style>
  <w:style w:type="paragraph" w:customStyle="1" w:styleId="RubrikInnehllsf">
    <w:name w:val="RubrikInnehållsf"/>
    <w:basedOn w:val="RubrikSammanf"/>
    <w:next w:val="Normal"/>
    <w:pPr>
      <w:spacing w:after="250"/>
    </w:pPr>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innehJO">
    <w:name w:val="inneh_JO"/>
    <w:basedOn w:val="Normal"/>
    <w:autoRedefine/>
    <w:pPr>
      <w:tabs>
        <w:tab w:val="right" w:leader="dot" w:pos="5160"/>
        <w:tab w:val="right" w:pos="5812"/>
      </w:tabs>
      <w:spacing w:before="122" w:line="245" w:lineRule="exact"/>
      <w:ind w:left="170" w:right="851"/>
    </w:pPr>
    <w:rPr>
      <w:spacing w:val="-4"/>
    </w:rPr>
  </w:style>
  <w:style w:type="paragraph" w:styleId="Brdtext2">
    <w:name w:val="Body Text 2"/>
    <w:basedOn w:val="Normal"/>
    <w:semiHidden/>
    <w:pPr>
      <w:tabs>
        <w:tab w:val="left" w:pos="567"/>
        <w:tab w:val="left" w:pos="3402"/>
      </w:tabs>
      <w:spacing w:line="240" w:lineRule="auto"/>
      <w:ind w:right="-284"/>
    </w:pPr>
  </w:style>
  <w:style w:type="paragraph" w:customStyle="1" w:styleId="Huvudrubrikstreck">
    <w:name w:val="Huvudrubrik_streck"/>
    <w:basedOn w:val="FSHRub1"/>
    <w:next w:val="Normal"/>
    <w:pPr>
      <w:widowControl/>
      <w:pBdr>
        <w:bottom w:val="single" w:sz="12" w:space="1" w:color="auto"/>
      </w:pBdr>
      <w:tabs>
        <w:tab w:val="clear" w:pos="4678"/>
        <w:tab w:val="clear" w:pos="8505"/>
        <w:tab w:val="left" w:pos="567"/>
        <w:tab w:val="left" w:pos="3402"/>
      </w:tabs>
      <w:suppressAutoHyphens w:val="0"/>
      <w:spacing w:before="120" w:after="240" w:line="240" w:lineRule="auto"/>
    </w:pPr>
    <w:rPr>
      <w:b/>
      <w:sz w:val="24"/>
    </w:rPr>
  </w:style>
  <w:style w:type="paragraph" w:styleId="Brdtextmedindrag">
    <w:name w:val="Body Text Indent"/>
    <w:basedOn w:val="Normal"/>
    <w:semiHidden/>
    <w:pPr>
      <w:tabs>
        <w:tab w:val="left" w:pos="567"/>
        <w:tab w:val="left" w:pos="3402"/>
      </w:tabs>
      <w:spacing w:line="240" w:lineRule="auto"/>
      <w:ind w:left="28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oleObject" Target="embeddings/oleObject2.bin"/><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266862</Words>
  <Characters>1539799</Characters>
  <Application>Microsoft Office Word</Application>
  <DocSecurity>4</DocSecurity>
  <Lines>28514</Lines>
  <Paragraphs>7720</Paragraphs>
  <ScaleCrop>false</ScaleCrop>
  <HeadingPairs>
    <vt:vector size="2" baseType="variant">
      <vt:variant>
        <vt:lpstr>Title</vt:lpstr>
      </vt:variant>
      <vt:variant>
        <vt:i4>1</vt:i4>
      </vt:variant>
    </vt:vector>
  </HeadingPairs>
  <TitlesOfParts>
    <vt:vector size="1" baseType="lpstr">
      <vt:lpstr>JO1</vt:lpstr>
    </vt:vector>
  </TitlesOfParts>
  <Company>RD/RFK/IT/DTSL</Company>
  <LinksUpToDate>false</LinksUpToDate>
  <CharactersWithSpaces>1798941</CharactersWithSpaces>
  <SharedDoc>false</SharedDoc>
  <HLinks>
    <vt:vector size="12" baseType="variant">
      <vt:variant>
        <vt:i4>6815853</vt:i4>
      </vt:variant>
      <vt:variant>
        <vt:i4>1809025</vt:i4>
      </vt:variant>
      <vt:variant>
        <vt:i4>1025</vt:i4>
      </vt:variant>
      <vt:variant>
        <vt:i4>1</vt:i4>
      </vt:variant>
      <vt:variant>
        <vt:lpwstr>3Kronor300</vt:lpwstr>
      </vt:variant>
      <vt:variant>
        <vt:lpwstr/>
      </vt:variant>
      <vt:variant>
        <vt:i4>6815853</vt:i4>
      </vt:variant>
      <vt:variant>
        <vt:i4>1809221</vt:i4>
      </vt:variant>
      <vt:variant>
        <vt:i4>1026</vt:i4>
      </vt:variant>
      <vt:variant>
        <vt:i4>1</vt:i4>
      </vt:variant>
      <vt:variant>
        <vt:lpwstr>3Kronor300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JO1</dc:title>
  <dc:subject>JO1</dc:subject>
  <dc:creator>Riksdagen</dc:creator>
  <cp:keywords>Riksdagen</cp:keywords>
  <dc:description>Tvättning nollar okända format. Anpassning för webbpubl. Grupphanteringen korrigerad. Yrkanden tillåter tabeller, såvitt avser och friare formuleringar. Tabellkrymp fungerar även för encelliga tabeller._x000d_
020910 omkompilering så att DAO35 länkas.</dc:description>
  <cp:lastModifiedBy>Lars Brink</cp:lastModifiedBy>
  <cp:revision>2</cp:revision>
  <cp:lastPrinted>2002-09-30T10:37:00Z</cp:lastPrinted>
  <dcterms:created xsi:type="dcterms:W3CDTF">2025-12-16T01:47:00Z</dcterms:created>
  <dcterms:modified xsi:type="dcterms:W3CDTF">2025-12-16T01:47:00Z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mot2000_362_2002-09-24</vt:lpwstr>
  </property>
  <property fmtid="{D5CDD505-2E9C-101B-9397-08002B2CF9AE}" pid="3" name="Sekr">
    <vt:lpwstr>bl</vt:lpwstr>
  </property>
  <property fmtid="{D5CDD505-2E9C-101B-9397-08002B2CF9AE}" pid="4" name="Yearstd">
    <vt:lpwstr>2002/03</vt:lpwstr>
  </property>
  <property fmtid="{D5CDD505-2E9C-101B-9397-08002B2CF9AE}" pid="5" name="YearUser">
    <vt:lpwstr>2002/03</vt:lpwstr>
  </property>
  <property fmtid="{D5CDD505-2E9C-101B-9397-08002B2CF9AE}" pid="6" name="Status">
    <vt:lpwstr>Pågår</vt:lpwstr>
  </property>
  <property fmtid="{D5CDD505-2E9C-101B-9397-08002B2CF9AE}" pid="7" name="SvarFras">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
  </property>
  <property fmtid="{D5CDD505-2E9C-101B-9397-08002B2CF9AE}" pid="15" name="ArbRubr">
    <vt:lpwstr/>
  </property>
  <property fmtid="{D5CDD505-2E9C-101B-9397-08002B2CF9AE}" pid="16" name="Partilogo">
    <vt:lpwstr>-</vt:lpwstr>
  </property>
  <property fmtid="{D5CDD505-2E9C-101B-9397-08002B2CF9AE}" pid="17" name="AntalParti">
    <vt:lpwstr>0</vt:lpwstr>
  </property>
  <property fmtid="{D5CDD505-2E9C-101B-9397-08002B2CF9AE}" pid="18" name="AntalMot">
    <vt:lpwstr>0</vt:lpwstr>
  </property>
  <property fmtid="{D5CDD505-2E9C-101B-9397-08002B2CF9AE}" pid="19" name="MotionarText">
    <vt:lpwstr/>
  </property>
  <property fmtid="{D5CDD505-2E9C-101B-9397-08002B2CF9AE}" pid="20" name="MotionarLista">
    <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JO1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
  </property>
  <property fmtid="{D5CDD505-2E9C-101B-9397-08002B2CF9AE}" pid="38" name="NotesUID">
    <vt:lpwstr/>
  </property>
  <property fmtid="{D5CDD505-2E9C-101B-9397-08002B2CF9AE}" pid="39" name="ReservUID">
    <vt:lpwstr/>
  </property>
  <property fmtid="{D5CDD505-2E9C-101B-9397-08002B2CF9AE}" pid="40" name="MotionID">
    <vt:lpwstr/>
  </property>
</Properties>
</file>