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D093A8F" w14:textId="77777777" w:rsidR="005E25A0" w:rsidRPr="00D10746" w:rsidRDefault="005E25A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9AE0048" w:rsidR="00BF5B1A" w:rsidRPr="00D10746" w:rsidRDefault="00B96F91" w:rsidP="0096348C">
            <w:pPr>
              <w:rPr>
                <w:b/>
                <w:szCs w:val="24"/>
              </w:rPr>
            </w:pPr>
            <w:r w:rsidRPr="00D10746">
              <w:rPr>
                <w:b/>
                <w:szCs w:val="24"/>
              </w:rPr>
              <w:t>UTSKOTTSSAMMANTRÄDE 20</w:t>
            </w:r>
            <w:r w:rsidR="00A36F5C" w:rsidRPr="00D10746">
              <w:rPr>
                <w:b/>
                <w:szCs w:val="24"/>
              </w:rPr>
              <w:t>2</w:t>
            </w:r>
            <w:r w:rsidR="006F7FFC">
              <w:rPr>
                <w:b/>
                <w:szCs w:val="24"/>
              </w:rPr>
              <w:t>4</w:t>
            </w:r>
            <w:r w:rsidRPr="00D10746">
              <w:rPr>
                <w:b/>
                <w:szCs w:val="24"/>
              </w:rPr>
              <w:t>/</w:t>
            </w:r>
            <w:r w:rsidR="00A924F6" w:rsidRPr="00A925E0">
              <w:rPr>
                <w:b/>
                <w:szCs w:val="24"/>
              </w:rPr>
              <w:t>2</w:t>
            </w:r>
            <w:r w:rsidR="006F7FFC">
              <w:rPr>
                <w:b/>
                <w:szCs w:val="24"/>
              </w:rPr>
              <w:t>5</w:t>
            </w:r>
            <w:r w:rsidR="000D522A" w:rsidRPr="00A925E0">
              <w:rPr>
                <w:b/>
                <w:szCs w:val="24"/>
              </w:rPr>
              <w:t>:</w:t>
            </w:r>
            <w:r w:rsidR="002E6306">
              <w:rPr>
                <w:b/>
                <w:szCs w:val="24"/>
              </w:rPr>
              <w:t>1</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6C1268D" w:rsidR="00BF5B1A" w:rsidRPr="00D10746" w:rsidRDefault="00B96F91" w:rsidP="0096348C">
            <w:pPr>
              <w:rPr>
                <w:szCs w:val="24"/>
              </w:rPr>
            </w:pPr>
            <w:r w:rsidRPr="001C05DA">
              <w:rPr>
                <w:szCs w:val="24"/>
              </w:rPr>
              <w:t>20</w:t>
            </w:r>
            <w:r w:rsidR="00317CD0" w:rsidRPr="001C05DA">
              <w:rPr>
                <w:szCs w:val="24"/>
              </w:rPr>
              <w:t>2</w:t>
            </w:r>
            <w:r w:rsidR="006F7FFC">
              <w:rPr>
                <w:szCs w:val="24"/>
              </w:rPr>
              <w:t>4</w:t>
            </w:r>
            <w:r w:rsidRPr="001C05DA">
              <w:rPr>
                <w:szCs w:val="24"/>
              </w:rPr>
              <w:t>-</w:t>
            </w:r>
            <w:r w:rsidR="00776A27">
              <w:rPr>
                <w:szCs w:val="24"/>
              </w:rPr>
              <w:t>0</w:t>
            </w:r>
            <w:r w:rsidR="002E6306">
              <w:rPr>
                <w:szCs w:val="24"/>
              </w:rPr>
              <w:t>9</w:t>
            </w:r>
            <w:r w:rsidR="00624E6C">
              <w:rPr>
                <w:szCs w:val="24"/>
              </w:rPr>
              <w:t>-</w:t>
            </w:r>
            <w:r w:rsidR="004F6D36">
              <w:rPr>
                <w:szCs w:val="24"/>
              </w:rPr>
              <w:t>1</w:t>
            </w:r>
            <w:r w:rsidR="002E6306">
              <w:rPr>
                <w:szCs w:val="24"/>
              </w:rPr>
              <w:t>9</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25D661BE" w:rsidR="00313337" w:rsidRPr="00EF25A5" w:rsidRDefault="004F6D36" w:rsidP="00EE1733">
            <w:pPr>
              <w:rPr>
                <w:szCs w:val="24"/>
              </w:rPr>
            </w:pPr>
            <w:r w:rsidRPr="00360E53">
              <w:rPr>
                <w:szCs w:val="24"/>
              </w:rPr>
              <w:t>1</w:t>
            </w:r>
            <w:r w:rsidR="006F7FFC">
              <w:rPr>
                <w:szCs w:val="24"/>
              </w:rPr>
              <w:t>0</w:t>
            </w:r>
            <w:r w:rsidR="00313337" w:rsidRPr="00360E53">
              <w:rPr>
                <w:szCs w:val="24"/>
              </w:rPr>
              <w:t>.</w:t>
            </w:r>
            <w:r w:rsidR="00096ED4" w:rsidRPr="00360E53">
              <w:rPr>
                <w:szCs w:val="24"/>
              </w:rPr>
              <w:t>0</w:t>
            </w:r>
            <w:r w:rsidR="005E199B" w:rsidRPr="00360E53">
              <w:rPr>
                <w:szCs w:val="24"/>
              </w:rPr>
              <w:t>0</w:t>
            </w:r>
            <w:r w:rsidR="00953995" w:rsidRPr="005E25A0">
              <w:rPr>
                <w:szCs w:val="24"/>
              </w:rPr>
              <w:t>–</w:t>
            </w:r>
            <w:r w:rsidR="005E25A0" w:rsidRPr="005E25A0">
              <w:rPr>
                <w:szCs w:val="24"/>
              </w:rPr>
              <w:t>1</w:t>
            </w:r>
            <w:r w:rsidR="006F7FFC" w:rsidRPr="005E25A0">
              <w:rPr>
                <w:szCs w:val="24"/>
              </w:rPr>
              <w:t>0</w:t>
            </w:r>
            <w:r w:rsidR="00DA6289" w:rsidRPr="005E25A0">
              <w:rPr>
                <w:szCs w:val="24"/>
              </w:rPr>
              <w:t>.</w:t>
            </w:r>
            <w:r w:rsidR="005E25A0" w:rsidRPr="005E25A0">
              <w:rPr>
                <w:szCs w:val="24"/>
              </w:rPr>
              <w:t>4</w:t>
            </w:r>
            <w:r w:rsidR="00624E6C" w:rsidRPr="005E25A0">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F623B18" w14:textId="461862EE" w:rsidR="00AD6F72" w:rsidRDefault="00AD6F72" w:rsidP="00CF13AF">
      <w:pPr>
        <w:tabs>
          <w:tab w:val="left" w:pos="1418"/>
        </w:tabs>
        <w:rPr>
          <w:snapToGrid w:val="0"/>
        </w:rPr>
      </w:pPr>
    </w:p>
    <w:p w14:paraId="30981C47" w14:textId="5681A523" w:rsidR="005E25A0" w:rsidRDefault="005E25A0" w:rsidP="00CF13AF">
      <w:pPr>
        <w:tabs>
          <w:tab w:val="left" w:pos="1418"/>
        </w:tabs>
        <w:rPr>
          <w:snapToGrid w:val="0"/>
        </w:rPr>
      </w:pPr>
    </w:p>
    <w:p w14:paraId="46A90548" w14:textId="77777777" w:rsidR="005E25A0" w:rsidRPr="007F393D" w:rsidRDefault="005E25A0"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77424" w14:paraId="20C12044" w14:textId="77777777" w:rsidTr="00887D33">
        <w:tc>
          <w:tcPr>
            <w:tcW w:w="567" w:type="dxa"/>
          </w:tcPr>
          <w:p w14:paraId="2E76C7FC" w14:textId="3E9DC446" w:rsidR="00F77424" w:rsidRDefault="00F77424" w:rsidP="00887D33">
            <w:pPr>
              <w:tabs>
                <w:tab w:val="left" w:pos="1701"/>
              </w:tabs>
              <w:rPr>
                <w:b/>
                <w:snapToGrid w:val="0"/>
              </w:rPr>
            </w:pPr>
            <w:r>
              <w:rPr>
                <w:b/>
                <w:snapToGrid w:val="0"/>
              </w:rPr>
              <w:t xml:space="preserve">§ </w:t>
            </w:r>
            <w:r w:rsidR="00E3586B">
              <w:rPr>
                <w:b/>
                <w:snapToGrid w:val="0"/>
              </w:rPr>
              <w:t>1</w:t>
            </w:r>
          </w:p>
        </w:tc>
        <w:tc>
          <w:tcPr>
            <w:tcW w:w="7017" w:type="dxa"/>
          </w:tcPr>
          <w:p w14:paraId="5B656029" w14:textId="2E1DC9A6" w:rsidR="00F77424" w:rsidRPr="00E3586B" w:rsidRDefault="00F77424" w:rsidP="004F6D36">
            <w:pPr>
              <w:tabs>
                <w:tab w:val="left" w:pos="1701"/>
              </w:tabs>
              <w:rPr>
                <w:b/>
                <w:snapToGrid w:val="0"/>
              </w:rPr>
            </w:pPr>
            <w:r w:rsidRPr="00E3586B">
              <w:rPr>
                <w:b/>
                <w:snapToGrid w:val="0"/>
              </w:rPr>
              <w:t>Överläggning</w:t>
            </w:r>
            <w:r w:rsidR="00E059DF" w:rsidRPr="00E3586B">
              <w:rPr>
                <w:b/>
                <w:snapToGrid w:val="0"/>
              </w:rPr>
              <w:t xml:space="preserve"> om EU-fråga</w:t>
            </w:r>
          </w:p>
          <w:p w14:paraId="75AFA720" w14:textId="77777777" w:rsidR="00F77424" w:rsidRPr="00E3586B" w:rsidRDefault="00F77424" w:rsidP="004F6D36">
            <w:pPr>
              <w:tabs>
                <w:tab w:val="left" w:pos="1701"/>
              </w:tabs>
              <w:rPr>
                <w:b/>
                <w:snapToGrid w:val="0"/>
              </w:rPr>
            </w:pPr>
          </w:p>
          <w:p w14:paraId="296344E1" w14:textId="68A2D36C" w:rsidR="00E059DF" w:rsidRPr="00E3586B" w:rsidRDefault="00E059DF" w:rsidP="004F6D36">
            <w:pPr>
              <w:tabs>
                <w:tab w:val="left" w:pos="1701"/>
              </w:tabs>
              <w:rPr>
                <w:bCs/>
                <w:snapToGrid w:val="0"/>
              </w:rPr>
            </w:pPr>
            <w:r w:rsidRPr="00E3586B">
              <w:rPr>
                <w:bCs/>
                <w:snapToGrid w:val="0"/>
              </w:rPr>
              <w:t>Utskottet beslutade att överlägga med regeringen om</w:t>
            </w:r>
            <w:r w:rsidR="00E3586B" w:rsidRPr="00E3586B">
              <w:rPr>
                <w:bCs/>
                <w:snapToGrid w:val="0"/>
              </w:rPr>
              <w:t xml:space="preserve"> rådsslutsatser om kardiovaskulär hälsa. </w:t>
            </w:r>
          </w:p>
          <w:p w14:paraId="674820FD" w14:textId="77777777" w:rsidR="00E059DF" w:rsidRPr="00E3586B" w:rsidRDefault="00E059DF" w:rsidP="004F6D36">
            <w:pPr>
              <w:tabs>
                <w:tab w:val="left" w:pos="1701"/>
              </w:tabs>
              <w:rPr>
                <w:bCs/>
                <w:snapToGrid w:val="0"/>
              </w:rPr>
            </w:pPr>
          </w:p>
          <w:p w14:paraId="03D1C931" w14:textId="39C2B531" w:rsidR="00E059DF" w:rsidRPr="00E3586B" w:rsidRDefault="00E059DF" w:rsidP="004F6D36">
            <w:pPr>
              <w:tabs>
                <w:tab w:val="left" w:pos="1701"/>
              </w:tabs>
              <w:rPr>
                <w:bCs/>
                <w:snapToGrid w:val="0"/>
              </w:rPr>
            </w:pPr>
            <w:r w:rsidRPr="00E3586B">
              <w:rPr>
                <w:bCs/>
                <w:snapToGrid w:val="0"/>
              </w:rPr>
              <w:t>Denna paragraf förklarades omedelbart justerad.</w:t>
            </w:r>
          </w:p>
          <w:p w14:paraId="1DE2CC37" w14:textId="61DA03D4" w:rsidR="00E059DF" w:rsidRDefault="00E059DF" w:rsidP="004F6D36">
            <w:pPr>
              <w:tabs>
                <w:tab w:val="left" w:pos="1701"/>
              </w:tabs>
              <w:rPr>
                <w:b/>
                <w:snapToGrid w:val="0"/>
              </w:rPr>
            </w:pPr>
          </w:p>
        </w:tc>
      </w:tr>
      <w:tr w:rsidR="00E059DF" w14:paraId="070A3358" w14:textId="77777777" w:rsidTr="00887D33">
        <w:tc>
          <w:tcPr>
            <w:tcW w:w="567" w:type="dxa"/>
          </w:tcPr>
          <w:p w14:paraId="6B12EB24" w14:textId="4A5658FF" w:rsidR="00E059DF" w:rsidRDefault="00E059DF" w:rsidP="00887D33">
            <w:pPr>
              <w:tabs>
                <w:tab w:val="left" w:pos="1701"/>
              </w:tabs>
              <w:rPr>
                <w:b/>
                <w:snapToGrid w:val="0"/>
              </w:rPr>
            </w:pPr>
            <w:r>
              <w:rPr>
                <w:b/>
                <w:snapToGrid w:val="0"/>
              </w:rPr>
              <w:t xml:space="preserve">§ </w:t>
            </w:r>
            <w:r w:rsidR="00E3586B">
              <w:rPr>
                <w:b/>
                <w:snapToGrid w:val="0"/>
              </w:rPr>
              <w:t>2</w:t>
            </w:r>
          </w:p>
        </w:tc>
        <w:tc>
          <w:tcPr>
            <w:tcW w:w="7017" w:type="dxa"/>
          </w:tcPr>
          <w:p w14:paraId="0B12BFE8" w14:textId="65B28165" w:rsidR="00E059DF" w:rsidRPr="00E3586B" w:rsidRDefault="00E059DF" w:rsidP="00E059DF">
            <w:pPr>
              <w:tabs>
                <w:tab w:val="left" w:pos="1701"/>
              </w:tabs>
              <w:rPr>
                <w:b/>
                <w:snapToGrid w:val="0"/>
              </w:rPr>
            </w:pPr>
            <w:r w:rsidRPr="00E3586B">
              <w:rPr>
                <w:b/>
                <w:snapToGrid w:val="0"/>
              </w:rPr>
              <w:t xml:space="preserve">Förslag till rådsslutsatser om </w:t>
            </w:r>
            <w:r w:rsidR="00E3586B" w:rsidRPr="00E3586B">
              <w:rPr>
                <w:b/>
                <w:snapToGrid w:val="0"/>
              </w:rPr>
              <w:t>kardiovaskulär hälsa</w:t>
            </w:r>
          </w:p>
          <w:p w14:paraId="59C01023" w14:textId="77777777" w:rsidR="00E059DF" w:rsidRPr="00E3586B" w:rsidRDefault="00E059DF" w:rsidP="00E059DF">
            <w:pPr>
              <w:rPr>
                <w:rStyle w:val="bold"/>
                <w:rFonts w:eastAsia="Calibri"/>
                <w:bCs/>
                <w:szCs w:val="24"/>
                <w:lang w:eastAsia="en-US"/>
              </w:rPr>
            </w:pPr>
          </w:p>
          <w:p w14:paraId="3837F106" w14:textId="629A8D3E" w:rsidR="00E059DF" w:rsidRPr="00E3586B" w:rsidRDefault="00E059DF" w:rsidP="00E059DF">
            <w:pPr>
              <w:rPr>
                <w:rStyle w:val="bold"/>
                <w:rFonts w:eastAsia="Calibri"/>
                <w:bCs/>
                <w:szCs w:val="24"/>
                <w:lang w:eastAsia="en-US"/>
              </w:rPr>
            </w:pPr>
            <w:r w:rsidRPr="00E3586B">
              <w:rPr>
                <w:rStyle w:val="bold"/>
                <w:rFonts w:eastAsia="Calibri"/>
                <w:bCs/>
                <w:szCs w:val="24"/>
                <w:lang w:eastAsia="en-US"/>
              </w:rPr>
              <w:t xml:space="preserve">Utskottet överlade med </w:t>
            </w:r>
            <w:r w:rsidRPr="00E3586B">
              <w:rPr>
                <w:szCs w:val="23"/>
              </w:rPr>
              <w:t>s</w:t>
            </w:r>
            <w:r w:rsidR="00E3586B" w:rsidRPr="00E3586B">
              <w:rPr>
                <w:bCs/>
                <w:szCs w:val="23"/>
              </w:rPr>
              <w:t>tatssekreterare</w:t>
            </w:r>
            <w:r w:rsidRPr="00E3586B">
              <w:rPr>
                <w:bCs/>
                <w:szCs w:val="23"/>
              </w:rPr>
              <w:t xml:space="preserve"> </w:t>
            </w:r>
            <w:r w:rsidR="00E3586B" w:rsidRPr="00E3586B">
              <w:rPr>
                <w:bCs/>
                <w:szCs w:val="23"/>
              </w:rPr>
              <w:t>Petra Noreback</w:t>
            </w:r>
            <w:r w:rsidRPr="00E3586B">
              <w:rPr>
                <w:bCs/>
                <w:szCs w:val="24"/>
              </w:rPr>
              <w:t>, biträdd av</w:t>
            </w:r>
            <w:r w:rsidRPr="00E3586B">
              <w:rPr>
                <w:rStyle w:val="bold"/>
                <w:rFonts w:eastAsia="Calibri"/>
                <w:bCs/>
                <w:szCs w:val="24"/>
                <w:lang w:eastAsia="en-US"/>
              </w:rPr>
              <w:t xml:space="preserve"> medarbetare från Socialdepartementet.</w:t>
            </w:r>
          </w:p>
          <w:p w14:paraId="552632A5" w14:textId="77777777" w:rsidR="00E059DF" w:rsidRPr="00E3586B" w:rsidRDefault="00E059DF" w:rsidP="00E059DF">
            <w:pPr>
              <w:rPr>
                <w:rStyle w:val="bold"/>
                <w:rFonts w:eastAsia="Calibri"/>
                <w:bCs/>
                <w:szCs w:val="24"/>
                <w:lang w:eastAsia="en-US"/>
              </w:rPr>
            </w:pPr>
            <w:r w:rsidRPr="00E3586B">
              <w:rPr>
                <w:rStyle w:val="bold"/>
                <w:rFonts w:eastAsia="Calibri"/>
                <w:bCs/>
                <w:szCs w:val="24"/>
                <w:lang w:eastAsia="en-US"/>
              </w:rPr>
              <w:t xml:space="preserve"> </w:t>
            </w:r>
          </w:p>
          <w:p w14:paraId="3571B803" w14:textId="27E0698C" w:rsidR="00E059DF" w:rsidRPr="002E7CAE" w:rsidRDefault="00E059DF" w:rsidP="00E059DF">
            <w:pPr>
              <w:tabs>
                <w:tab w:val="left" w:pos="1701"/>
              </w:tabs>
              <w:rPr>
                <w:rStyle w:val="bold"/>
                <w:bCs/>
                <w:snapToGrid w:val="0"/>
              </w:rPr>
            </w:pPr>
            <w:r w:rsidRPr="00E3586B">
              <w:rPr>
                <w:rStyle w:val="bold"/>
                <w:rFonts w:eastAsia="Calibri"/>
                <w:bCs/>
                <w:szCs w:val="24"/>
                <w:lang w:eastAsia="en-US"/>
              </w:rPr>
              <w:t xml:space="preserve">Underlaget utgjordes </w:t>
            </w:r>
            <w:r w:rsidRPr="00E3586B">
              <w:rPr>
                <w:bCs/>
              </w:rPr>
              <w:t xml:space="preserve">av utkast till </w:t>
            </w:r>
            <w:r w:rsidRPr="00E3586B">
              <w:rPr>
                <w:bCs/>
                <w:snapToGrid w:val="0"/>
              </w:rPr>
              <w:t xml:space="preserve">förslag till rådsslutsatser om </w:t>
            </w:r>
            <w:r w:rsidR="00E3586B" w:rsidRPr="00E3586B">
              <w:rPr>
                <w:bCs/>
                <w:snapToGrid w:val="0"/>
              </w:rPr>
              <w:t xml:space="preserve">kardiovaskulär </w:t>
            </w:r>
            <w:r w:rsidR="00E3586B" w:rsidRPr="002E7CAE">
              <w:rPr>
                <w:bCs/>
                <w:snapToGrid w:val="0"/>
              </w:rPr>
              <w:t>hälsa</w:t>
            </w:r>
            <w:r w:rsidRPr="002E7CAE">
              <w:rPr>
                <w:rStyle w:val="bold"/>
                <w:rFonts w:eastAsia="Calibri"/>
                <w:bCs/>
                <w:szCs w:val="24"/>
                <w:lang w:eastAsia="en-US"/>
              </w:rPr>
              <w:t xml:space="preserve"> och regeringskansliets överläggningspromemoria (dnr </w:t>
            </w:r>
            <w:r w:rsidR="002E7CAE" w:rsidRPr="002E7CAE">
              <w:t>100</w:t>
            </w:r>
            <w:r w:rsidRPr="002E7CAE">
              <w:rPr>
                <w:rStyle w:val="bold"/>
                <w:rFonts w:eastAsia="Calibri"/>
                <w:bCs/>
                <w:szCs w:val="24"/>
                <w:lang w:eastAsia="en-US"/>
              </w:rPr>
              <w:t>-202</w:t>
            </w:r>
            <w:r w:rsidR="00E3586B" w:rsidRPr="002E7CAE">
              <w:rPr>
                <w:rStyle w:val="bold"/>
                <w:rFonts w:eastAsia="Calibri"/>
                <w:bCs/>
                <w:szCs w:val="24"/>
                <w:lang w:eastAsia="en-US"/>
              </w:rPr>
              <w:t>4</w:t>
            </w:r>
            <w:r w:rsidRPr="002E7CAE">
              <w:rPr>
                <w:rStyle w:val="bold"/>
                <w:rFonts w:eastAsia="Calibri"/>
                <w:bCs/>
                <w:szCs w:val="24"/>
                <w:lang w:eastAsia="en-US"/>
              </w:rPr>
              <w:t>/2</w:t>
            </w:r>
            <w:r w:rsidR="00E3586B" w:rsidRPr="002E7CAE">
              <w:rPr>
                <w:rStyle w:val="bold"/>
                <w:rFonts w:eastAsia="Calibri"/>
                <w:bCs/>
                <w:szCs w:val="24"/>
                <w:lang w:eastAsia="en-US"/>
              </w:rPr>
              <w:t>5</w:t>
            </w:r>
            <w:r w:rsidRPr="002E7CAE">
              <w:rPr>
                <w:rStyle w:val="bold"/>
                <w:rFonts w:eastAsia="Calibri"/>
                <w:bCs/>
                <w:szCs w:val="24"/>
                <w:lang w:eastAsia="en-US"/>
              </w:rPr>
              <w:t>).</w:t>
            </w:r>
          </w:p>
          <w:p w14:paraId="66AD1D49" w14:textId="77777777" w:rsidR="00E059DF" w:rsidRPr="002E7CAE" w:rsidRDefault="00E059DF" w:rsidP="00E059DF">
            <w:pPr>
              <w:tabs>
                <w:tab w:val="left" w:pos="1701"/>
              </w:tabs>
              <w:rPr>
                <w:rStyle w:val="bold"/>
                <w:rFonts w:eastAsia="Calibri"/>
                <w:bCs/>
                <w:szCs w:val="24"/>
                <w:lang w:eastAsia="en-US"/>
              </w:rPr>
            </w:pPr>
          </w:p>
          <w:p w14:paraId="1A495D54" w14:textId="65926ADA" w:rsidR="00E059DF" w:rsidRPr="00E3586B" w:rsidRDefault="00095970" w:rsidP="00E059DF">
            <w:pPr>
              <w:tabs>
                <w:tab w:val="left" w:pos="1701"/>
              </w:tabs>
              <w:rPr>
                <w:rStyle w:val="bold"/>
                <w:rFonts w:eastAsia="Calibri"/>
                <w:bCs/>
                <w:szCs w:val="24"/>
                <w:lang w:eastAsia="en-US"/>
              </w:rPr>
            </w:pPr>
            <w:r>
              <w:rPr>
                <w:szCs w:val="23"/>
              </w:rPr>
              <w:t>S</w:t>
            </w:r>
            <w:r w:rsidR="00E3586B" w:rsidRPr="00E3586B">
              <w:rPr>
                <w:bCs/>
                <w:szCs w:val="23"/>
              </w:rPr>
              <w:t xml:space="preserve">tatssekreterare Petra Noreback </w:t>
            </w:r>
            <w:r w:rsidR="00E059DF" w:rsidRPr="00E3586B">
              <w:rPr>
                <w:rStyle w:val="bold"/>
                <w:rFonts w:eastAsia="Calibri"/>
                <w:bCs/>
                <w:szCs w:val="24"/>
                <w:lang w:eastAsia="en-US"/>
              </w:rPr>
              <w:t>redogjorde för regeringens ståndpunkt i enlighet med överläggningspromemorian.</w:t>
            </w:r>
          </w:p>
          <w:p w14:paraId="5E35675D" w14:textId="77777777" w:rsidR="00E059DF" w:rsidRPr="00E3586B" w:rsidRDefault="00E059DF" w:rsidP="00E059DF">
            <w:pPr>
              <w:tabs>
                <w:tab w:val="left" w:pos="1701"/>
              </w:tabs>
              <w:rPr>
                <w:rStyle w:val="bold"/>
                <w:rFonts w:eastAsia="Calibri"/>
                <w:bCs/>
                <w:color w:val="FF0000"/>
                <w:szCs w:val="24"/>
                <w:lang w:eastAsia="en-US"/>
              </w:rPr>
            </w:pPr>
          </w:p>
          <w:p w14:paraId="62F859C3" w14:textId="1C77A0AB" w:rsidR="00FF62DB" w:rsidRPr="00FF62DB" w:rsidRDefault="00FF62DB" w:rsidP="00FF62DB">
            <w:pPr>
              <w:pStyle w:val="blockcitat"/>
              <w:rPr>
                <w:rStyle w:val="bold"/>
                <w:color w:val="auto"/>
              </w:rPr>
            </w:pPr>
            <w:r w:rsidRPr="00FF62DB">
              <w:rPr>
                <w:rStyle w:val="bold"/>
                <w:color w:val="auto"/>
              </w:rPr>
              <w:t>Regeringen välkomnar att ordförandeskapet har valt att belysa frågan om kardiovaskulär hälsa och insatser för att minska sjukdomsbördan i hjärtkärlsjukdom inom EU.</w:t>
            </w:r>
          </w:p>
          <w:p w14:paraId="345B7D57" w14:textId="77777777" w:rsidR="00FF62DB" w:rsidRPr="00FF62DB" w:rsidRDefault="00FF62DB" w:rsidP="00FF62DB">
            <w:pPr>
              <w:pStyle w:val="blockcitat"/>
              <w:rPr>
                <w:rStyle w:val="bold"/>
                <w:color w:val="auto"/>
              </w:rPr>
            </w:pPr>
          </w:p>
          <w:p w14:paraId="539D54E5" w14:textId="5BD3AF49" w:rsidR="00FF62DB" w:rsidRPr="00FF62DB" w:rsidRDefault="00FF62DB" w:rsidP="00FF62DB">
            <w:pPr>
              <w:pStyle w:val="blockcitat"/>
              <w:rPr>
                <w:rStyle w:val="bold"/>
                <w:color w:val="auto"/>
              </w:rPr>
            </w:pPr>
            <w:r w:rsidRPr="00FF62DB">
              <w:rPr>
                <w:rStyle w:val="bold"/>
                <w:color w:val="auto"/>
              </w:rPr>
              <w:t>Regeringen ser positivt på att rådsslutsatserna inbegriper såväl ett</w:t>
            </w:r>
          </w:p>
          <w:p w14:paraId="592EE633" w14:textId="34E43571" w:rsidR="00FF62DB" w:rsidRPr="00FF62DB" w:rsidRDefault="00FF62DB" w:rsidP="00FF62DB">
            <w:pPr>
              <w:pStyle w:val="blockcitat"/>
              <w:rPr>
                <w:rStyle w:val="bold"/>
                <w:color w:val="auto"/>
              </w:rPr>
            </w:pPr>
            <w:r w:rsidRPr="00FF62DB">
              <w:rPr>
                <w:rStyle w:val="bold"/>
                <w:color w:val="auto"/>
              </w:rPr>
              <w:t xml:space="preserve">folkhälsoperspektiv som ett hälso- och sjukvårdsperspektiv samt att vikten av ett tvärsektoriellt arbete betonas. Regeringen anser att det är av vikt att jämställdhetsperspektivet integreras i det tvärsektoriella arbetet. </w:t>
            </w:r>
          </w:p>
          <w:p w14:paraId="31E30ACA" w14:textId="77777777" w:rsidR="00FF62DB" w:rsidRPr="00FF62DB" w:rsidRDefault="00FF62DB" w:rsidP="00FF62DB">
            <w:pPr>
              <w:pStyle w:val="blockcitat"/>
              <w:rPr>
                <w:rStyle w:val="bold"/>
                <w:color w:val="auto"/>
              </w:rPr>
            </w:pPr>
          </w:p>
          <w:p w14:paraId="4720A944" w14:textId="3EA4F3EF" w:rsidR="00FF62DB" w:rsidRPr="00FF62DB" w:rsidRDefault="00FF62DB" w:rsidP="00FF62DB">
            <w:pPr>
              <w:pStyle w:val="blockcitat"/>
              <w:rPr>
                <w:rStyle w:val="bold"/>
                <w:color w:val="auto"/>
              </w:rPr>
            </w:pPr>
            <w:r w:rsidRPr="00FF62DB">
              <w:rPr>
                <w:rStyle w:val="bold"/>
                <w:color w:val="auto"/>
              </w:rPr>
              <w:t>Regeringen ser vidare positivt på att såväl det främjande som det</w:t>
            </w:r>
          </w:p>
          <w:p w14:paraId="29532B5B" w14:textId="6E21BFF2" w:rsidR="00FF62DB" w:rsidRPr="00FF62DB" w:rsidRDefault="00FF62DB" w:rsidP="00FF62DB">
            <w:pPr>
              <w:pStyle w:val="blockcitat"/>
              <w:rPr>
                <w:rStyle w:val="bold"/>
                <w:color w:val="auto"/>
              </w:rPr>
            </w:pPr>
            <w:r w:rsidRPr="00FF62DB">
              <w:rPr>
                <w:rStyle w:val="bold"/>
                <w:color w:val="auto"/>
              </w:rPr>
              <w:t>förebyggande arbetet lyfts fram samt att detta bl.a. inkluderar arbetet för hälsosammare matvanor. Alla produkter inom ANDT-området är skadliga för hälsan men regeringen anser att rådsslutsatserna bör belysa de gradskillnader av olika tobaks- och nikotinprodukters skadeverkningar som är vetenskapligt påvisade.</w:t>
            </w:r>
          </w:p>
          <w:p w14:paraId="1FCD9B94" w14:textId="77777777" w:rsidR="00FF62DB" w:rsidRPr="00FF62DB" w:rsidRDefault="00FF62DB" w:rsidP="00FF62DB">
            <w:pPr>
              <w:pStyle w:val="blockcitat"/>
              <w:rPr>
                <w:rStyle w:val="bold"/>
              </w:rPr>
            </w:pPr>
          </w:p>
          <w:p w14:paraId="08B0E173" w14:textId="77777777" w:rsidR="00FF62DB" w:rsidRPr="00FF62DB" w:rsidRDefault="00FF62DB" w:rsidP="00FF62DB">
            <w:pPr>
              <w:pStyle w:val="blockcitat"/>
              <w:rPr>
                <w:rStyle w:val="bold"/>
                <w:color w:val="auto"/>
              </w:rPr>
            </w:pPr>
            <w:r w:rsidRPr="00FF62DB">
              <w:rPr>
                <w:rStyle w:val="bold"/>
                <w:color w:val="auto"/>
              </w:rPr>
              <w:t>Regeringen anser att det är av vikt att insatser för att minska</w:t>
            </w:r>
          </w:p>
          <w:p w14:paraId="6E30D059" w14:textId="2DD64F90" w:rsidR="00FF62DB" w:rsidRPr="00FF62DB" w:rsidRDefault="00FF62DB" w:rsidP="00FF62DB">
            <w:pPr>
              <w:pStyle w:val="blockcitat"/>
              <w:rPr>
                <w:rStyle w:val="bold"/>
                <w:color w:val="auto"/>
              </w:rPr>
            </w:pPr>
            <w:r w:rsidRPr="00FF62DB">
              <w:rPr>
                <w:rStyle w:val="bold"/>
                <w:color w:val="auto"/>
              </w:rPr>
              <w:t xml:space="preserve">sjukdomsbördan i hjärt-kärlsjukdom tydligare sammankopplas med det övergripande arbetet och pågående initiativ avseende andra icke-smittsamma sjukdomar, då riskfaktorerna för dessa hälsotillstånd ofta är gemensamma. </w:t>
            </w:r>
          </w:p>
          <w:p w14:paraId="11B71624" w14:textId="77777777" w:rsidR="00FF62DB" w:rsidRPr="00FF62DB" w:rsidRDefault="00FF62DB" w:rsidP="00FF62DB">
            <w:pPr>
              <w:pStyle w:val="blockcitat"/>
              <w:rPr>
                <w:rStyle w:val="bold"/>
                <w:color w:val="auto"/>
              </w:rPr>
            </w:pPr>
          </w:p>
          <w:p w14:paraId="0BD23EBB" w14:textId="0866E376" w:rsidR="00E059DF" w:rsidRPr="00FF62DB" w:rsidRDefault="00FF62DB" w:rsidP="00FF62DB">
            <w:pPr>
              <w:pStyle w:val="blockcitat"/>
              <w:rPr>
                <w:rStyle w:val="bold"/>
                <w:color w:val="auto"/>
              </w:rPr>
            </w:pPr>
            <w:r w:rsidRPr="00FF62DB">
              <w:rPr>
                <w:rStyle w:val="bold"/>
                <w:color w:val="auto"/>
              </w:rPr>
              <w:lastRenderedPageBreak/>
              <w:t>En viktig utgångspunkt för regeringen är att fördelningen av befogenheter mellan EU och medlemsstaterna respekteras, samt att nationella system avseende hälso- och sjukvårdsfrågor respekteras.</w:t>
            </w:r>
            <w:r w:rsidR="00E059DF" w:rsidRPr="00FF62DB">
              <w:rPr>
                <w:rStyle w:val="bold"/>
                <w:color w:val="auto"/>
              </w:rPr>
              <w:t xml:space="preserve"> </w:t>
            </w:r>
          </w:p>
          <w:p w14:paraId="1BBD3466" w14:textId="77777777" w:rsidR="00E059DF" w:rsidRPr="00E3586B" w:rsidRDefault="00E059DF" w:rsidP="00E059DF">
            <w:pPr>
              <w:pStyle w:val="blockcitat"/>
              <w:rPr>
                <w:bCs w:val="0"/>
                <w:snapToGrid w:val="0"/>
              </w:rPr>
            </w:pPr>
          </w:p>
          <w:p w14:paraId="448FE3D4" w14:textId="77777777" w:rsidR="00E059DF" w:rsidRPr="00FF62DB" w:rsidRDefault="00E059DF" w:rsidP="00E059DF">
            <w:pPr>
              <w:tabs>
                <w:tab w:val="left" w:pos="1701"/>
              </w:tabs>
              <w:rPr>
                <w:rStyle w:val="bold"/>
                <w:rFonts w:eastAsia="Calibri"/>
                <w:bCs/>
                <w:szCs w:val="24"/>
                <w:lang w:eastAsia="en-US"/>
              </w:rPr>
            </w:pPr>
            <w:r w:rsidRPr="00FF62DB">
              <w:rPr>
                <w:rStyle w:val="bold"/>
                <w:rFonts w:eastAsia="Calibri"/>
                <w:bCs/>
                <w:szCs w:val="24"/>
                <w:lang w:eastAsia="en-US"/>
              </w:rPr>
              <w:t>Ordföranden konstaterade att det fanns stöd för regeringens ståndpunkt.</w:t>
            </w:r>
          </w:p>
          <w:p w14:paraId="5F240D63" w14:textId="77777777" w:rsidR="00E059DF" w:rsidRPr="00E3586B" w:rsidRDefault="00E059DF" w:rsidP="00E059DF">
            <w:pPr>
              <w:tabs>
                <w:tab w:val="left" w:pos="1701"/>
              </w:tabs>
              <w:rPr>
                <w:color w:val="FF0000"/>
              </w:rPr>
            </w:pPr>
          </w:p>
          <w:p w14:paraId="052272D9" w14:textId="4DB5DE49" w:rsidR="00E059DF" w:rsidRPr="00AD13D0" w:rsidRDefault="005E25A0" w:rsidP="00E059DF">
            <w:pPr>
              <w:tabs>
                <w:tab w:val="left" w:pos="1701"/>
              </w:tabs>
              <w:rPr>
                <w:rStyle w:val="bold"/>
                <w:rFonts w:eastAsia="Calibri"/>
                <w:bCs/>
                <w:szCs w:val="24"/>
                <w:lang w:eastAsia="en-US"/>
              </w:rPr>
            </w:pPr>
            <w:r w:rsidRPr="00AD13D0">
              <w:t>S</w:t>
            </w:r>
            <w:r w:rsidR="00E059DF" w:rsidRPr="00AD13D0">
              <w:t>-</w:t>
            </w:r>
            <w:r w:rsidRPr="00AD13D0">
              <w:t>, V-</w:t>
            </w:r>
            <w:r w:rsidR="00E059DF" w:rsidRPr="00AD13D0">
              <w:rPr>
                <w:rStyle w:val="bold"/>
                <w:rFonts w:eastAsia="Calibri"/>
                <w:bCs/>
                <w:szCs w:val="24"/>
                <w:lang w:eastAsia="en-US"/>
              </w:rPr>
              <w:t xml:space="preserve"> och </w:t>
            </w:r>
            <w:r w:rsidRPr="00AD13D0">
              <w:rPr>
                <w:rStyle w:val="bold"/>
                <w:rFonts w:eastAsia="Calibri"/>
                <w:bCs/>
                <w:szCs w:val="24"/>
                <w:lang w:eastAsia="en-US"/>
              </w:rPr>
              <w:t>MP</w:t>
            </w:r>
            <w:r w:rsidR="00E059DF" w:rsidRPr="00AD13D0">
              <w:rPr>
                <w:rStyle w:val="bold"/>
                <w:rFonts w:eastAsia="Calibri"/>
                <w:bCs/>
                <w:szCs w:val="24"/>
                <w:lang w:eastAsia="en-US"/>
              </w:rPr>
              <w:t>-ledamöterna anmälde följande avvikande ståndpunkt.</w:t>
            </w:r>
          </w:p>
          <w:p w14:paraId="159CA72E" w14:textId="77777777" w:rsidR="00E059DF" w:rsidRPr="00AD13D0" w:rsidRDefault="00E059DF" w:rsidP="00E059DF">
            <w:pPr>
              <w:pStyle w:val="blockcitat"/>
              <w:rPr>
                <w:color w:val="auto"/>
              </w:rPr>
            </w:pPr>
          </w:p>
          <w:p w14:paraId="35C659F7" w14:textId="134156FF" w:rsidR="00E059DF" w:rsidRPr="00AD13D0" w:rsidRDefault="00E059DF" w:rsidP="00E059DF">
            <w:pPr>
              <w:pStyle w:val="blockcitat"/>
              <w:rPr>
                <w:color w:val="auto"/>
              </w:rPr>
            </w:pPr>
            <w:r w:rsidRPr="00AD13D0">
              <w:rPr>
                <w:color w:val="auto"/>
              </w:rPr>
              <w:t>Vi anser att</w:t>
            </w:r>
            <w:r w:rsidR="00AD13D0" w:rsidRPr="00AD13D0">
              <w:rPr>
                <w:color w:val="auto"/>
              </w:rPr>
              <w:t xml:space="preserve"> stycke 3 i regeringens förslag till svensk ståndpunkt avseende rådsslutsatserna om kardiovaskulär hälsa bör ha följande lydelse ”Regeringen ser vidare positivt på att såväl det främjande som det förebyggande arbetet lyfts fram vad gäller såväl ANDT-området som hälsosammare matvanor.” Resten av stycket stryks.</w:t>
            </w:r>
          </w:p>
          <w:p w14:paraId="157632CC" w14:textId="77777777" w:rsidR="00E059DF" w:rsidRPr="00E3586B" w:rsidRDefault="00E059DF" w:rsidP="00E059DF">
            <w:pPr>
              <w:pStyle w:val="blockcitat"/>
              <w:rPr>
                <w:rStyle w:val="bold"/>
                <w:bCs w:val="0"/>
                <w:color w:val="auto"/>
              </w:rPr>
            </w:pPr>
          </w:p>
          <w:p w14:paraId="535AC6E3" w14:textId="77777777" w:rsidR="00E059DF" w:rsidRPr="00E3586B" w:rsidRDefault="00E059DF" w:rsidP="00E059DF">
            <w:pPr>
              <w:tabs>
                <w:tab w:val="left" w:pos="1701"/>
              </w:tabs>
              <w:rPr>
                <w:rStyle w:val="bold"/>
                <w:rFonts w:eastAsia="Calibri"/>
                <w:bCs/>
                <w:szCs w:val="24"/>
                <w:lang w:eastAsia="en-US"/>
              </w:rPr>
            </w:pPr>
            <w:r w:rsidRPr="00E3586B">
              <w:rPr>
                <w:rStyle w:val="bold"/>
                <w:rFonts w:eastAsia="Calibri"/>
                <w:bCs/>
                <w:szCs w:val="24"/>
                <w:lang w:eastAsia="en-US"/>
              </w:rPr>
              <w:t>Denna paragraf förklarades omedelbart justerad.</w:t>
            </w:r>
          </w:p>
          <w:p w14:paraId="4FD3AFC0" w14:textId="134EDC01" w:rsidR="00E059DF" w:rsidRPr="00E059DF" w:rsidRDefault="00E059DF" w:rsidP="00E059DF">
            <w:pPr>
              <w:tabs>
                <w:tab w:val="left" w:pos="1701"/>
              </w:tabs>
              <w:rPr>
                <w:b/>
                <w:snapToGrid w:val="0"/>
                <w:color w:val="FF0000"/>
              </w:rPr>
            </w:pPr>
          </w:p>
        </w:tc>
      </w:tr>
      <w:tr w:rsidR="005E25A0" w14:paraId="46F85317" w14:textId="77777777" w:rsidTr="00887D33">
        <w:tc>
          <w:tcPr>
            <w:tcW w:w="567" w:type="dxa"/>
          </w:tcPr>
          <w:p w14:paraId="2C2B505E" w14:textId="62F04FE1" w:rsidR="005E25A0" w:rsidRDefault="005E25A0" w:rsidP="005E25A0">
            <w:pPr>
              <w:tabs>
                <w:tab w:val="left" w:pos="1701"/>
              </w:tabs>
              <w:rPr>
                <w:b/>
                <w:snapToGrid w:val="0"/>
              </w:rPr>
            </w:pPr>
            <w:r>
              <w:rPr>
                <w:b/>
                <w:snapToGrid w:val="0"/>
              </w:rPr>
              <w:lastRenderedPageBreak/>
              <w:t>§ 3</w:t>
            </w:r>
          </w:p>
        </w:tc>
        <w:tc>
          <w:tcPr>
            <w:tcW w:w="7017" w:type="dxa"/>
          </w:tcPr>
          <w:p w14:paraId="651EF77C" w14:textId="77777777" w:rsidR="005E25A0" w:rsidRDefault="005E25A0" w:rsidP="005E25A0">
            <w:pPr>
              <w:tabs>
                <w:tab w:val="left" w:pos="1701"/>
              </w:tabs>
              <w:rPr>
                <w:b/>
                <w:snapToGrid w:val="0"/>
              </w:rPr>
            </w:pPr>
            <w:r>
              <w:rPr>
                <w:b/>
                <w:snapToGrid w:val="0"/>
              </w:rPr>
              <w:t>Riksrevisionens rapport om läkemedelsförskrivning – statens styrning och tillsyn (SoU2)</w:t>
            </w:r>
          </w:p>
          <w:p w14:paraId="70092A8F" w14:textId="77777777" w:rsidR="005E25A0" w:rsidRDefault="005E25A0" w:rsidP="005E25A0">
            <w:pPr>
              <w:tabs>
                <w:tab w:val="left" w:pos="1701"/>
              </w:tabs>
              <w:rPr>
                <w:b/>
                <w:snapToGrid w:val="0"/>
              </w:rPr>
            </w:pPr>
          </w:p>
          <w:p w14:paraId="2AB299F9" w14:textId="77777777" w:rsidR="005E25A0" w:rsidRPr="00B56AFF" w:rsidRDefault="005E25A0" w:rsidP="005E25A0">
            <w:pPr>
              <w:tabs>
                <w:tab w:val="left" w:pos="1701"/>
              </w:tabs>
              <w:rPr>
                <w:szCs w:val="24"/>
              </w:rPr>
            </w:pPr>
            <w:r w:rsidRPr="00B56AFF">
              <w:rPr>
                <w:szCs w:val="24"/>
              </w:rPr>
              <w:t xml:space="preserve">Utskottet </w:t>
            </w:r>
            <w:r>
              <w:rPr>
                <w:szCs w:val="24"/>
              </w:rPr>
              <w:t>fortsatte</w:t>
            </w:r>
            <w:r w:rsidRPr="00B56AFF">
              <w:rPr>
                <w:szCs w:val="24"/>
              </w:rPr>
              <w:t xml:space="preserve"> beredningen av </w:t>
            </w:r>
            <w:r>
              <w:rPr>
                <w:szCs w:val="24"/>
              </w:rPr>
              <w:t xml:space="preserve">skrivelse 2023/24:122 och </w:t>
            </w:r>
            <w:r w:rsidRPr="00B56AFF">
              <w:rPr>
                <w:szCs w:val="24"/>
              </w:rPr>
              <w:t>motioner.</w:t>
            </w:r>
          </w:p>
          <w:p w14:paraId="20C9C033" w14:textId="77777777" w:rsidR="005E25A0" w:rsidRPr="00B56AFF" w:rsidRDefault="005E25A0" w:rsidP="005E25A0">
            <w:pPr>
              <w:tabs>
                <w:tab w:val="left" w:pos="1701"/>
              </w:tabs>
            </w:pPr>
          </w:p>
          <w:p w14:paraId="76DF16BA" w14:textId="77777777" w:rsidR="005E25A0" w:rsidRPr="00B56AFF" w:rsidRDefault="005E25A0" w:rsidP="005E25A0">
            <w:pPr>
              <w:tabs>
                <w:tab w:val="left" w:pos="1701"/>
              </w:tabs>
              <w:rPr>
                <w:snapToGrid w:val="0"/>
              </w:rPr>
            </w:pPr>
            <w:r>
              <w:rPr>
                <w:snapToGrid w:val="0"/>
              </w:rPr>
              <w:t>Ärendet bordlades</w:t>
            </w:r>
            <w:r w:rsidRPr="00B56AFF">
              <w:rPr>
                <w:snapToGrid w:val="0"/>
              </w:rPr>
              <w:t xml:space="preserve">. </w:t>
            </w:r>
          </w:p>
          <w:p w14:paraId="14B6E192" w14:textId="77777777" w:rsidR="005E25A0" w:rsidRPr="00E3586B" w:rsidRDefault="005E25A0" w:rsidP="005E25A0">
            <w:pPr>
              <w:tabs>
                <w:tab w:val="left" w:pos="1701"/>
              </w:tabs>
              <w:rPr>
                <w:b/>
                <w:snapToGrid w:val="0"/>
              </w:rPr>
            </w:pPr>
          </w:p>
        </w:tc>
      </w:tr>
      <w:tr w:rsidR="005E25A0" w14:paraId="4937D93E" w14:textId="77777777" w:rsidTr="00887D33">
        <w:tc>
          <w:tcPr>
            <w:tcW w:w="567" w:type="dxa"/>
          </w:tcPr>
          <w:p w14:paraId="5DC4876F" w14:textId="707A7D94" w:rsidR="005E25A0" w:rsidRDefault="005E25A0" w:rsidP="005E25A0">
            <w:pPr>
              <w:tabs>
                <w:tab w:val="left" w:pos="1701"/>
              </w:tabs>
              <w:rPr>
                <w:b/>
                <w:snapToGrid w:val="0"/>
              </w:rPr>
            </w:pPr>
            <w:r w:rsidRPr="00F94AC5">
              <w:rPr>
                <w:b/>
                <w:snapToGrid w:val="0"/>
                <w:color w:val="000000" w:themeColor="text1"/>
              </w:rPr>
              <w:t xml:space="preserve">§ </w:t>
            </w:r>
            <w:r>
              <w:rPr>
                <w:b/>
                <w:snapToGrid w:val="0"/>
                <w:color w:val="000000" w:themeColor="text1"/>
              </w:rPr>
              <w:t>4</w:t>
            </w:r>
          </w:p>
        </w:tc>
        <w:tc>
          <w:tcPr>
            <w:tcW w:w="7017" w:type="dxa"/>
          </w:tcPr>
          <w:p w14:paraId="7AC91A97" w14:textId="77777777" w:rsidR="005E25A0" w:rsidRPr="00AA0B1C" w:rsidRDefault="005E25A0" w:rsidP="005E25A0">
            <w:pPr>
              <w:tabs>
                <w:tab w:val="left" w:pos="1701"/>
              </w:tabs>
              <w:rPr>
                <w:b/>
                <w:snapToGrid w:val="0"/>
              </w:rPr>
            </w:pPr>
            <w:r>
              <w:rPr>
                <w:b/>
                <w:snapToGrid w:val="0"/>
              </w:rPr>
              <w:t xml:space="preserve">En registerlag för Myndigheten för vård- och omsorgsanalys </w:t>
            </w:r>
            <w:r w:rsidRPr="00AA0B1C">
              <w:rPr>
                <w:b/>
                <w:snapToGrid w:val="0"/>
              </w:rPr>
              <w:t>(SoU</w:t>
            </w:r>
            <w:r>
              <w:rPr>
                <w:b/>
                <w:snapToGrid w:val="0"/>
              </w:rPr>
              <w:t>3</w:t>
            </w:r>
            <w:r w:rsidRPr="00AA0B1C">
              <w:rPr>
                <w:b/>
                <w:snapToGrid w:val="0"/>
              </w:rPr>
              <w:t>)</w:t>
            </w:r>
          </w:p>
          <w:p w14:paraId="100E080C" w14:textId="77777777" w:rsidR="005E25A0" w:rsidRPr="00AA0B1C" w:rsidRDefault="005E25A0" w:rsidP="005E25A0">
            <w:pPr>
              <w:tabs>
                <w:tab w:val="left" w:pos="1701"/>
              </w:tabs>
              <w:rPr>
                <w:b/>
                <w:snapToGrid w:val="0"/>
              </w:rPr>
            </w:pPr>
          </w:p>
          <w:p w14:paraId="05576B23" w14:textId="77777777" w:rsidR="005E25A0" w:rsidRPr="00AA0B1C" w:rsidRDefault="005E25A0" w:rsidP="005E25A0">
            <w:pPr>
              <w:tabs>
                <w:tab w:val="left" w:pos="1701"/>
              </w:tabs>
              <w:rPr>
                <w:bCs/>
              </w:rPr>
            </w:pPr>
            <w:r w:rsidRPr="00AA0B1C">
              <w:rPr>
                <w:bCs/>
                <w:snapToGrid w:val="0"/>
              </w:rPr>
              <w:t>Utskottet inledde beredningen av proposition 202</w:t>
            </w:r>
            <w:r>
              <w:rPr>
                <w:bCs/>
                <w:snapToGrid w:val="0"/>
              </w:rPr>
              <w:t>3</w:t>
            </w:r>
            <w:r w:rsidRPr="00AA0B1C">
              <w:rPr>
                <w:bCs/>
                <w:snapToGrid w:val="0"/>
              </w:rPr>
              <w:t>/2</w:t>
            </w:r>
            <w:r>
              <w:rPr>
                <w:bCs/>
                <w:snapToGrid w:val="0"/>
              </w:rPr>
              <w:t>4</w:t>
            </w:r>
            <w:r w:rsidRPr="00AA0B1C">
              <w:rPr>
                <w:bCs/>
                <w:snapToGrid w:val="0"/>
              </w:rPr>
              <w:t>:1</w:t>
            </w:r>
            <w:r>
              <w:rPr>
                <w:bCs/>
                <w:snapToGrid w:val="0"/>
              </w:rPr>
              <w:t>47</w:t>
            </w:r>
            <w:r w:rsidRPr="00AA0B1C">
              <w:rPr>
                <w:bCs/>
              </w:rPr>
              <w:t>.</w:t>
            </w:r>
          </w:p>
          <w:p w14:paraId="05B5C8BA" w14:textId="77777777" w:rsidR="005E25A0" w:rsidRPr="00AA0B1C" w:rsidRDefault="005E25A0" w:rsidP="005E25A0">
            <w:pPr>
              <w:tabs>
                <w:tab w:val="left" w:pos="1701"/>
              </w:tabs>
              <w:rPr>
                <w:bCs/>
                <w:snapToGrid w:val="0"/>
              </w:rPr>
            </w:pPr>
          </w:p>
          <w:p w14:paraId="29E24517" w14:textId="77777777" w:rsidR="005E25A0" w:rsidRPr="00AA0B1C" w:rsidRDefault="005E25A0" w:rsidP="005E25A0">
            <w:pPr>
              <w:tabs>
                <w:tab w:val="left" w:pos="1701"/>
              </w:tabs>
              <w:rPr>
                <w:bCs/>
                <w:snapToGrid w:val="0"/>
              </w:rPr>
            </w:pPr>
            <w:r w:rsidRPr="00AA0B1C">
              <w:rPr>
                <w:bCs/>
                <w:snapToGrid w:val="0"/>
              </w:rPr>
              <w:t>Ärendet bordlades.</w:t>
            </w:r>
          </w:p>
          <w:p w14:paraId="578CA236" w14:textId="77777777" w:rsidR="005E25A0" w:rsidRPr="00E3586B" w:rsidRDefault="005E25A0" w:rsidP="005E25A0">
            <w:pPr>
              <w:tabs>
                <w:tab w:val="left" w:pos="1701"/>
              </w:tabs>
              <w:rPr>
                <w:b/>
                <w:snapToGrid w:val="0"/>
              </w:rPr>
            </w:pPr>
          </w:p>
        </w:tc>
      </w:tr>
      <w:tr w:rsidR="005E25A0" w14:paraId="15B9BD00" w14:textId="77777777" w:rsidTr="00887D33">
        <w:tc>
          <w:tcPr>
            <w:tcW w:w="567" w:type="dxa"/>
          </w:tcPr>
          <w:p w14:paraId="67804244" w14:textId="302824E9" w:rsidR="005E25A0" w:rsidRDefault="005E25A0" w:rsidP="005E25A0">
            <w:pPr>
              <w:tabs>
                <w:tab w:val="left" w:pos="1701"/>
              </w:tabs>
              <w:rPr>
                <w:b/>
                <w:snapToGrid w:val="0"/>
              </w:rPr>
            </w:pPr>
            <w:r>
              <w:rPr>
                <w:b/>
                <w:snapToGrid w:val="0"/>
                <w:color w:val="000000" w:themeColor="text1"/>
              </w:rPr>
              <w:t>§ 5</w:t>
            </w:r>
          </w:p>
        </w:tc>
        <w:tc>
          <w:tcPr>
            <w:tcW w:w="7017" w:type="dxa"/>
          </w:tcPr>
          <w:p w14:paraId="40DC32A5" w14:textId="77777777" w:rsidR="005E25A0" w:rsidRDefault="005E25A0" w:rsidP="005E25A0">
            <w:pPr>
              <w:tabs>
                <w:tab w:val="left" w:pos="1701"/>
              </w:tabs>
              <w:rPr>
                <w:b/>
                <w:snapToGrid w:val="0"/>
              </w:rPr>
            </w:pPr>
            <w:r>
              <w:rPr>
                <w:b/>
                <w:snapToGrid w:val="0"/>
              </w:rPr>
              <w:t xml:space="preserve">Förbättrade levnadsvillkor för utlänningar med tillfälligt skydd </w:t>
            </w:r>
          </w:p>
          <w:p w14:paraId="5A8FBE01" w14:textId="77777777" w:rsidR="005E25A0" w:rsidRDefault="005E25A0" w:rsidP="005E25A0">
            <w:pPr>
              <w:tabs>
                <w:tab w:val="left" w:pos="1701"/>
              </w:tabs>
              <w:rPr>
                <w:b/>
                <w:snapToGrid w:val="0"/>
              </w:rPr>
            </w:pPr>
          </w:p>
          <w:p w14:paraId="577912F0" w14:textId="77777777" w:rsidR="005E25A0" w:rsidRDefault="005E25A0" w:rsidP="005E25A0">
            <w:pPr>
              <w:tabs>
                <w:tab w:val="left" w:pos="1701"/>
              </w:tabs>
              <w:rPr>
                <w:bCs/>
                <w:snapToGrid w:val="0"/>
              </w:rPr>
            </w:pPr>
            <w:r w:rsidRPr="00E059DF">
              <w:rPr>
                <w:bCs/>
                <w:snapToGrid w:val="0"/>
              </w:rPr>
              <w:t>Utskottet</w:t>
            </w:r>
            <w:r>
              <w:rPr>
                <w:bCs/>
                <w:snapToGrid w:val="0"/>
              </w:rPr>
              <w:t xml:space="preserve"> behandlade frågan om yttrande till socialförsäkringsutskottet över proposition 2023/24:151 och motioner.</w:t>
            </w:r>
          </w:p>
          <w:p w14:paraId="5AD87493" w14:textId="77777777" w:rsidR="005E25A0" w:rsidRDefault="005E25A0" w:rsidP="005E25A0">
            <w:pPr>
              <w:tabs>
                <w:tab w:val="left" w:pos="1701"/>
              </w:tabs>
              <w:rPr>
                <w:bCs/>
                <w:snapToGrid w:val="0"/>
              </w:rPr>
            </w:pPr>
          </w:p>
          <w:p w14:paraId="3CFD211D" w14:textId="77777777" w:rsidR="005E25A0" w:rsidRDefault="005E25A0" w:rsidP="005E25A0">
            <w:pPr>
              <w:tabs>
                <w:tab w:val="left" w:pos="1701"/>
              </w:tabs>
              <w:rPr>
                <w:bCs/>
                <w:snapToGrid w:val="0"/>
              </w:rPr>
            </w:pPr>
            <w:r>
              <w:rPr>
                <w:bCs/>
                <w:snapToGrid w:val="0"/>
              </w:rPr>
              <w:t>Frågan bordlades.</w:t>
            </w:r>
          </w:p>
          <w:p w14:paraId="3E7B27FC" w14:textId="77777777" w:rsidR="005E25A0" w:rsidRPr="00E3586B" w:rsidRDefault="005E25A0" w:rsidP="005E25A0">
            <w:pPr>
              <w:tabs>
                <w:tab w:val="left" w:pos="1701"/>
              </w:tabs>
              <w:rPr>
                <w:b/>
                <w:snapToGrid w:val="0"/>
              </w:rPr>
            </w:pPr>
          </w:p>
        </w:tc>
      </w:tr>
      <w:tr w:rsidR="00F77424" w14:paraId="0BE2BBDD" w14:textId="77777777" w:rsidTr="00887D33">
        <w:tc>
          <w:tcPr>
            <w:tcW w:w="567" w:type="dxa"/>
          </w:tcPr>
          <w:p w14:paraId="68B8BA0E" w14:textId="5DB020FD" w:rsidR="00F77424" w:rsidRDefault="00F77424" w:rsidP="00887D33">
            <w:pPr>
              <w:tabs>
                <w:tab w:val="left" w:pos="1701"/>
              </w:tabs>
              <w:rPr>
                <w:b/>
                <w:snapToGrid w:val="0"/>
              </w:rPr>
            </w:pPr>
            <w:r>
              <w:rPr>
                <w:b/>
                <w:snapToGrid w:val="0"/>
              </w:rPr>
              <w:t xml:space="preserve">§ </w:t>
            </w:r>
            <w:r w:rsidR="005E25A0">
              <w:rPr>
                <w:b/>
                <w:snapToGrid w:val="0"/>
              </w:rPr>
              <w:t>6</w:t>
            </w:r>
          </w:p>
        </w:tc>
        <w:tc>
          <w:tcPr>
            <w:tcW w:w="7017" w:type="dxa"/>
          </w:tcPr>
          <w:p w14:paraId="28ABB2B5" w14:textId="77777777" w:rsidR="00F77424" w:rsidRDefault="00F77424" w:rsidP="00F77424">
            <w:pPr>
              <w:tabs>
                <w:tab w:val="left" w:pos="1701"/>
              </w:tabs>
              <w:rPr>
                <w:b/>
                <w:snapToGrid w:val="0"/>
              </w:rPr>
            </w:pPr>
            <w:r>
              <w:rPr>
                <w:b/>
                <w:snapToGrid w:val="0"/>
              </w:rPr>
              <w:t>EU-i</w:t>
            </w:r>
            <w:r w:rsidRPr="004F6D36">
              <w:rPr>
                <w:b/>
                <w:snapToGrid w:val="0"/>
              </w:rPr>
              <w:t>nformation</w:t>
            </w:r>
          </w:p>
          <w:p w14:paraId="5DF3932F" w14:textId="77777777" w:rsidR="00F77424" w:rsidRPr="004F6D36" w:rsidRDefault="00F77424" w:rsidP="00F77424">
            <w:pPr>
              <w:tabs>
                <w:tab w:val="left" w:pos="1701"/>
              </w:tabs>
              <w:rPr>
                <w:b/>
                <w:snapToGrid w:val="0"/>
              </w:rPr>
            </w:pPr>
          </w:p>
          <w:p w14:paraId="3B0E710D" w14:textId="2DC1CA51" w:rsidR="00F77424" w:rsidRPr="00E3586B" w:rsidRDefault="00F77424" w:rsidP="00F77424">
            <w:pPr>
              <w:tabs>
                <w:tab w:val="left" w:pos="1701"/>
              </w:tabs>
              <w:rPr>
                <w:bCs/>
                <w:szCs w:val="23"/>
              </w:rPr>
            </w:pPr>
            <w:r w:rsidRPr="000802ED">
              <w:rPr>
                <w:bCs/>
                <w:szCs w:val="23"/>
              </w:rPr>
              <w:t>S</w:t>
            </w:r>
            <w:r>
              <w:rPr>
                <w:bCs/>
                <w:szCs w:val="23"/>
              </w:rPr>
              <w:t>jukvårdsminister</w:t>
            </w:r>
            <w:r w:rsidRPr="000802ED">
              <w:rPr>
                <w:bCs/>
                <w:szCs w:val="23"/>
              </w:rPr>
              <w:t xml:space="preserve"> </w:t>
            </w:r>
            <w:r>
              <w:rPr>
                <w:bCs/>
                <w:szCs w:val="23"/>
              </w:rPr>
              <w:t>Acko Ankarberg Johansson</w:t>
            </w:r>
            <w:r w:rsidRPr="007505A4">
              <w:rPr>
                <w:bCs/>
                <w:szCs w:val="23"/>
              </w:rPr>
              <w:t xml:space="preserve">, </w:t>
            </w:r>
            <w:r w:rsidRPr="007505A4">
              <w:rPr>
                <w:bCs/>
                <w:snapToGrid w:val="0"/>
              </w:rPr>
              <w:t xml:space="preserve">biträdd av medarbetare </w:t>
            </w:r>
            <w:r w:rsidRPr="00E3586B">
              <w:rPr>
                <w:bCs/>
                <w:snapToGrid w:val="0"/>
              </w:rPr>
              <w:t xml:space="preserve">från Socialdepartementet, </w:t>
            </w:r>
            <w:r w:rsidRPr="00E3586B">
              <w:t>informerade om aktuella EU-frågor</w:t>
            </w:r>
            <w:r w:rsidRPr="00E3586B">
              <w:rPr>
                <w:bCs/>
                <w:szCs w:val="23"/>
              </w:rPr>
              <w:t>:</w:t>
            </w:r>
          </w:p>
          <w:p w14:paraId="5E53E3B9" w14:textId="77777777" w:rsidR="00E3586B" w:rsidRPr="00E3586B" w:rsidRDefault="00F77424" w:rsidP="00E3586B">
            <w:pPr>
              <w:tabs>
                <w:tab w:val="left" w:pos="1701"/>
              </w:tabs>
              <w:rPr>
                <w:bCs/>
                <w:szCs w:val="23"/>
              </w:rPr>
            </w:pPr>
            <w:r w:rsidRPr="00E3586B">
              <w:rPr>
                <w:bCs/>
                <w:szCs w:val="23"/>
              </w:rPr>
              <w:t xml:space="preserve">- </w:t>
            </w:r>
            <w:r w:rsidR="00E3586B" w:rsidRPr="00E3586B">
              <w:rPr>
                <w:bCs/>
                <w:szCs w:val="23"/>
              </w:rPr>
              <w:t>Återrapport EPSCO rådsmöte 20–21 juni</w:t>
            </w:r>
          </w:p>
          <w:p w14:paraId="5BEE64FD" w14:textId="5DAFD663" w:rsidR="00E3586B" w:rsidRPr="00E3586B" w:rsidRDefault="00E3586B" w:rsidP="00E3586B">
            <w:pPr>
              <w:tabs>
                <w:tab w:val="left" w:pos="1701"/>
              </w:tabs>
              <w:rPr>
                <w:bCs/>
                <w:szCs w:val="23"/>
              </w:rPr>
            </w:pPr>
            <w:r w:rsidRPr="00E3586B">
              <w:rPr>
                <w:bCs/>
                <w:szCs w:val="23"/>
              </w:rPr>
              <w:t xml:space="preserve">- Återrapport Informellt hälsoministermöte 24–25 juli </w:t>
            </w:r>
          </w:p>
          <w:p w14:paraId="63A5350B" w14:textId="1C8BAF21" w:rsidR="00E3586B" w:rsidRPr="00E3586B" w:rsidRDefault="00E3586B" w:rsidP="00E3586B">
            <w:pPr>
              <w:tabs>
                <w:tab w:val="left" w:pos="1701"/>
              </w:tabs>
              <w:rPr>
                <w:bCs/>
                <w:szCs w:val="23"/>
              </w:rPr>
            </w:pPr>
            <w:r w:rsidRPr="00E3586B">
              <w:rPr>
                <w:bCs/>
                <w:szCs w:val="23"/>
              </w:rPr>
              <w:t>- Det ungerska ordförandeskapets prioriteringar</w:t>
            </w:r>
          </w:p>
          <w:p w14:paraId="7AA635A0" w14:textId="77777777" w:rsidR="00F77424" w:rsidRPr="00E3586B" w:rsidRDefault="00E3586B" w:rsidP="00E3586B">
            <w:pPr>
              <w:tabs>
                <w:tab w:val="left" w:pos="1701"/>
              </w:tabs>
              <w:rPr>
                <w:bCs/>
                <w:szCs w:val="23"/>
              </w:rPr>
            </w:pPr>
            <w:r w:rsidRPr="00E3586B">
              <w:rPr>
                <w:bCs/>
                <w:szCs w:val="23"/>
              </w:rPr>
              <w:t>- Förhandlingsläget för Läkemedelspaketet</w:t>
            </w:r>
          </w:p>
          <w:p w14:paraId="11C69F87" w14:textId="2F877527" w:rsidR="00E3586B" w:rsidRDefault="00E3586B" w:rsidP="00E3586B">
            <w:pPr>
              <w:tabs>
                <w:tab w:val="left" w:pos="1701"/>
              </w:tabs>
              <w:rPr>
                <w:b/>
                <w:snapToGrid w:val="0"/>
              </w:rPr>
            </w:pPr>
          </w:p>
        </w:tc>
      </w:tr>
      <w:tr w:rsidR="00F77424" w14:paraId="17558E61" w14:textId="77777777" w:rsidTr="00887D33">
        <w:tc>
          <w:tcPr>
            <w:tcW w:w="567" w:type="dxa"/>
          </w:tcPr>
          <w:p w14:paraId="61F74D0D" w14:textId="7F135049" w:rsidR="00F77424" w:rsidRDefault="00F77424" w:rsidP="00887D33">
            <w:pPr>
              <w:tabs>
                <w:tab w:val="left" w:pos="1701"/>
              </w:tabs>
              <w:rPr>
                <w:b/>
                <w:snapToGrid w:val="0"/>
              </w:rPr>
            </w:pPr>
            <w:r>
              <w:rPr>
                <w:b/>
                <w:snapToGrid w:val="0"/>
              </w:rPr>
              <w:t xml:space="preserve">§ </w:t>
            </w:r>
            <w:r w:rsidR="005E25A0">
              <w:rPr>
                <w:b/>
                <w:snapToGrid w:val="0"/>
              </w:rPr>
              <w:t>7</w:t>
            </w:r>
          </w:p>
        </w:tc>
        <w:tc>
          <w:tcPr>
            <w:tcW w:w="7017" w:type="dxa"/>
          </w:tcPr>
          <w:p w14:paraId="629A4A06" w14:textId="77777777" w:rsidR="00E059DF" w:rsidRPr="00E3586B" w:rsidRDefault="00E059DF" w:rsidP="00E059DF">
            <w:pPr>
              <w:tabs>
                <w:tab w:val="left" w:pos="1701"/>
              </w:tabs>
              <w:rPr>
                <w:b/>
                <w:snapToGrid w:val="0"/>
              </w:rPr>
            </w:pPr>
            <w:r w:rsidRPr="00E3586B">
              <w:rPr>
                <w:b/>
                <w:snapToGrid w:val="0"/>
              </w:rPr>
              <w:t>Överläggning om EU-fråga</w:t>
            </w:r>
          </w:p>
          <w:p w14:paraId="5416C143" w14:textId="77777777" w:rsidR="00E059DF" w:rsidRPr="00E3586B" w:rsidRDefault="00E059DF" w:rsidP="00E059DF">
            <w:pPr>
              <w:tabs>
                <w:tab w:val="left" w:pos="1701"/>
              </w:tabs>
              <w:rPr>
                <w:b/>
                <w:snapToGrid w:val="0"/>
              </w:rPr>
            </w:pPr>
          </w:p>
          <w:p w14:paraId="08011590" w14:textId="6B6D69F2" w:rsidR="00E059DF" w:rsidRPr="00E3586B" w:rsidRDefault="00E059DF" w:rsidP="00E059DF">
            <w:pPr>
              <w:tabs>
                <w:tab w:val="left" w:pos="1701"/>
              </w:tabs>
              <w:rPr>
                <w:bCs/>
                <w:snapToGrid w:val="0"/>
              </w:rPr>
            </w:pPr>
            <w:r w:rsidRPr="00E3586B">
              <w:rPr>
                <w:bCs/>
                <w:snapToGrid w:val="0"/>
              </w:rPr>
              <w:t xml:space="preserve">Utskottet beslutade att överlägga med regeringen </w:t>
            </w:r>
            <w:r w:rsidR="00E3586B" w:rsidRPr="00E3586B">
              <w:rPr>
                <w:bCs/>
                <w:snapToGrid w:val="0"/>
              </w:rPr>
              <w:t>om organdonation och transplantation.</w:t>
            </w:r>
          </w:p>
          <w:p w14:paraId="2CA4F035" w14:textId="77777777" w:rsidR="00E059DF" w:rsidRPr="00E3586B" w:rsidRDefault="00E059DF" w:rsidP="00E059DF">
            <w:pPr>
              <w:tabs>
                <w:tab w:val="left" w:pos="1701"/>
              </w:tabs>
              <w:rPr>
                <w:bCs/>
                <w:snapToGrid w:val="0"/>
              </w:rPr>
            </w:pPr>
          </w:p>
          <w:p w14:paraId="6753DD16" w14:textId="4CB327D0" w:rsidR="00F77424" w:rsidRPr="00AD13D0" w:rsidRDefault="00E059DF" w:rsidP="00F77424">
            <w:pPr>
              <w:tabs>
                <w:tab w:val="left" w:pos="1701"/>
              </w:tabs>
              <w:rPr>
                <w:bCs/>
                <w:snapToGrid w:val="0"/>
              </w:rPr>
            </w:pPr>
            <w:r w:rsidRPr="00E3586B">
              <w:rPr>
                <w:bCs/>
                <w:snapToGrid w:val="0"/>
              </w:rPr>
              <w:t>Denna paragraf förklarades omedelbart justerad.</w:t>
            </w:r>
          </w:p>
        </w:tc>
      </w:tr>
      <w:tr w:rsidR="00E059DF" w14:paraId="6C944BDC" w14:textId="77777777" w:rsidTr="00887D33">
        <w:tc>
          <w:tcPr>
            <w:tcW w:w="567" w:type="dxa"/>
          </w:tcPr>
          <w:p w14:paraId="58565293" w14:textId="38782DBF" w:rsidR="00E059DF" w:rsidRDefault="00E059DF" w:rsidP="00887D33">
            <w:pPr>
              <w:tabs>
                <w:tab w:val="left" w:pos="1701"/>
              </w:tabs>
              <w:rPr>
                <w:b/>
                <w:snapToGrid w:val="0"/>
              </w:rPr>
            </w:pPr>
            <w:r>
              <w:rPr>
                <w:b/>
                <w:snapToGrid w:val="0"/>
              </w:rPr>
              <w:lastRenderedPageBreak/>
              <w:t xml:space="preserve">§ </w:t>
            </w:r>
            <w:r w:rsidR="005E25A0">
              <w:rPr>
                <w:b/>
                <w:snapToGrid w:val="0"/>
              </w:rPr>
              <w:t>8</w:t>
            </w:r>
          </w:p>
        </w:tc>
        <w:tc>
          <w:tcPr>
            <w:tcW w:w="7017" w:type="dxa"/>
          </w:tcPr>
          <w:p w14:paraId="5C8CD8F7" w14:textId="7B1CECEB" w:rsidR="00E059DF" w:rsidRPr="00E3586B" w:rsidRDefault="00E059DF" w:rsidP="00E059DF">
            <w:pPr>
              <w:tabs>
                <w:tab w:val="left" w:pos="1701"/>
              </w:tabs>
              <w:rPr>
                <w:b/>
                <w:snapToGrid w:val="0"/>
              </w:rPr>
            </w:pPr>
            <w:r w:rsidRPr="00E3586B">
              <w:rPr>
                <w:b/>
                <w:snapToGrid w:val="0"/>
              </w:rPr>
              <w:t xml:space="preserve">Förslag till rådsslutsatser om </w:t>
            </w:r>
            <w:r w:rsidR="00095970">
              <w:rPr>
                <w:b/>
                <w:snapToGrid w:val="0"/>
              </w:rPr>
              <w:t>förbättrad organdonation och transplantation</w:t>
            </w:r>
          </w:p>
          <w:p w14:paraId="5E351B64" w14:textId="77777777" w:rsidR="00E059DF" w:rsidRPr="00E3586B" w:rsidRDefault="00E059DF" w:rsidP="00E059DF">
            <w:pPr>
              <w:rPr>
                <w:rStyle w:val="bold"/>
                <w:rFonts w:eastAsia="Calibri"/>
                <w:bCs/>
                <w:szCs w:val="24"/>
                <w:lang w:eastAsia="en-US"/>
              </w:rPr>
            </w:pPr>
          </w:p>
          <w:p w14:paraId="3668A9BD" w14:textId="77777777" w:rsidR="00E059DF" w:rsidRPr="00E3586B" w:rsidRDefault="00E059DF" w:rsidP="00E059DF">
            <w:pPr>
              <w:rPr>
                <w:rStyle w:val="bold"/>
                <w:rFonts w:eastAsia="Calibri"/>
                <w:bCs/>
                <w:szCs w:val="24"/>
                <w:lang w:eastAsia="en-US"/>
              </w:rPr>
            </w:pPr>
            <w:r w:rsidRPr="00E3586B">
              <w:rPr>
                <w:rStyle w:val="bold"/>
                <w:rFonts w:eastAsia="Calibri"/>
                <w:bCs/>
                <w:szCs w:val="24"/>
                <w:lang w:eastAsia="en-US"/>
              </w:rPr>
              <w:t xml:space="preserve">Utskottet överlade med </w:t>
            </w:r>
            <w:r w:rsidRPr="00E3586B">
              <w:rPr>
                <w:szCs w:val="23"/>
              </w:rPr>
              <w:t>s</w:t>
            </w:r>
            <w:r w:rsidRPr="00E3586B">
              <w:rPr>
                <w:bCs/>
                <w:szCs w:val="23"/>
              </w:rPr>
              <w:t>jukvårdsminister Acko Ankarberg Johansson</w:t>
            </w:r>
            <w:r w:rsidRPr="00E3586B">
              <w:rPr>
                <w:bCs/>
                <w:szCs w:val="24"/>
              </w:rPr>
              <w:t>, biträdd av</w:t>
            </w:r>
            <w:r w:rsidRPr="00E3586B">
              <w:rPr>
                <w:rStyle w:val="bold"/>
                <w:rFonts w:eastAsia="Calibri"/>
                <w:bCs/>
                <w:szCs w:val="24"/>
                <w:lang w:eastAsia="en-US"/>
              </w:rPr>
              <w:t xml:space="preserve"> medarbetare från Socialdepartementet.</w:t>
            </w:r>
          </w:p>
          <w:p w14:paraId="68448C67" w14:textId="77777777" w:rsidR="00E059DF" w:rsidRPr="00E3586B" w:rsidRDefault="00E059DF" w:rsidP="00E059DF">
            <w:pPr>
              <w:rPr>
                <w:rStyle w:val="bold"/>
                <w:rFonts w:eastAsia="Calibri"/>
                <w:bCs/>
                <w:szCs w:val="24"/>
                <w:lang w:eastAsia="en-US"/>
              </w:rPr>
            </w:pPr>
            <w:r w:rsidRPr="00E3586B">
              <w:rPr>
                <w:rStyle w:val="bold"/>
                <w:rFonts w:eastAsia="Calibri"/>
                <w:bCs/>
                <w:szCs w:val="24"/>
                <w:lang w:eastAsia="en-US"/>
              </w:rPr>
              <w:t xml:space="preserve"> </w:t>
            </w:r>
          </w:p>
          <w:p w14:paraId="28CB35F8" w14:textId="3E758A2C" w:rsidR="00E059DF" w:rsidRPr="00E3586B" w:rsidRDefault="00E059DF" w:rsidP="00E059DF">
            <w:pPr>
              <w:tabs>
                <w:tab w:val="left" w:pos="1701"/>
              </w:tabs>
              <w:rPr>
                <w:rStyle w:val="bold"/>
                <w:bCs/>
                <w:snapToGrid w:val="0"/>
              </w:rPr>
            </w:pPr>
            <w:r w:rsidRPr="00E3586B">
              <w:rPr>
                <w:rStyle w:val="bold"/>
                <w:rFonts w:eastAsia="Calibri"/>
                <w:bCs/>
                <w:szCs w:val="24"/>
                <w:lang w:eastAsia="en-US"/>
              </w:rPr>
              <w:t xml:space="preserve">Underlaget utgjordes </w:t>
            </w:r>
            <w:r w:rsidRPr="00E3586B">
              <w:rPr>
                <w:bCs/>
              </w:rPr>
              <w:t xml:space="preserve">av utkast </w:t>
            </w:r>
            <w:r w:rsidRPr="002E7CAE">
              <w:rPr>
                <w:bCs/>
              </w:rPr>
              <w:t xml:space="preserve">till </w:t>
            </w:r>
            <w:r w:rsidRPr="002E7CAE">
              <w:rPr>
                <w:bCs/>
                <w:snapToGrid w:val="0"/>
              </w:rPr>
              <w:t xml:space="preserve">förslag till rådsslutsatser om </w:t>
            </w:r>
            <w:r w:rsidR="00095970">
              <w:rPr>
                <w:bCs/>
                <w:snapToGrid w:val="0"/>
              </w:rPr>
              <w:t xml:space="preserve">förbättrad </w:t>
            </w:r>
            <w:r w:rsidR="00E3586B" w:rsidRPr="002E7CAE">
              <w:rPr>
                <w:bCs/>
                <w:snapToGrid w:val="0"/>
              </w:rPr>
              <w:t>organdonation och transplantation</w:t>
            </w:r>
            <w:r w:rsidRPr="002E7CAE">
              <w:rPr>
                <w:rStyle w:val="bold"/>
                <w:rFonts w:eastAsia="Calibri"/>
                <w:bCs/>
                <w:szCs w:val="24"/>
                <w:lang w:eastAsia="en-US"/>
              </w:rPr>
              <w:t xml:space="preserve"> och regeringskansliets överläggningspromemoria (dnr </w:t>
            </w:r>
            <w:r w:rsidR="002E7CAE" w:rsidRPr="002E7CAE">
              <w:t>101</w:t>
            </w:r>
            <w:r w:rsidRPr="002E7CAE">
              <w:rPr>
                <w:rStyle w:val="bold"/>
                <w:rFonts w:eastAsia="Calibri"/>
                <w:bCs/>
                <w:szCs w:val="24"/>
                <w:lang w:eastAsia="en-US"/>
              </w:rPr>
              <w:t>-202</w:t>
            </w:r>
            <w:r w:rsidR="00E3586B" w:rsidRPr="002E7CAE">
              <w:rPr>
                <w:rStyle w:val="bold"/>
                <w:rFonts w:eastAsia="Calibri"/>
                <w:bCs/>
                <w:szCs w:val="24"/>
                <w:lang w:eastAsia="en-US"/>
              </w:rPr>
              <w:t>4</w:t>
            </w:r>
            <w:r w:rsidRPr="002E7CAE">
              <w:rPr>
                <w:rStyle w:val="bold"/>
                <w:rFonts w:eastAsia="Calibri"/>
                <w:bCs/>
                <w:szCs w:val="24"/>
                <w:lang w:eastAsia="en-US"/>
              </w:rPr>
              <w:t>/</w:t>
            </w:r>
            <w:r w:rsidRPr="00E3586B">
              <w:rPr>
                <w:rStyle w:val="bold"/>
                <w:rFonts w:eastAsia="Calibri"/>
                <w:bCs/>
                <w:szCs w:val="24"/>
                <w:lang w:eastAsia="en-US"/>
              </w:rPr>
              <w:t>2</w:t>
            </w:r>
            <w:r w:rsidR="00E3586B" w:rsidRPr="00E3586B">
              <w:rPr>
                <w:rStyle w:val="bold"/>
                <w:rFonts w:eastAsia="Calibri"/>
                <w:bCs/>
                <w:szCs w:val="24"/>
                <w:lang w:eastAsia="en-US"/>
              </w:rPr>
              <w:t>5</w:t>
            </w:r>
            <w:r w:rsidRPr="00E3586B">
              <w:rPr>
                <w:rStyle w:val="bold"/>
                <w:rFonts w:eastAsia="Calibri"/>
                <w:bCs/>
                <w:szCs w:val="24"/>
                <w:lang w:eastAsia="en-US"/>
              </w:rPr>
              <w:t>).</w:t>
            </w:r>
          </w:p>
          <w:p w14:paraId="16E229D0" w14:textId="77777777" w:rsidR="00E059DF" w:rsidRPr="00E3586B" w:rsidRDefault="00E059DF" w:rsidP="00E059DF">
            <w:pPr>
              <w:tabs>
                <w:tab w:val="left" w:pos="1701"/>
              </w:tabs>
              <w:rPr>
                <w:rStyle w:val="bold"/>
                <w:rFonts w:eastAsia="Calibri"/>
                <w:bCs/>
                <w:szCs w:val="24"/>
                <w:lang w:eastAsia="en-US"/>
              </w:rPr>
            </w:pPr>
          </w:p>
          <w:p w14:paraId="7D6AC54F" w14:textId="77777777" w:rsidR="00E059DF" w:rsidRPr="00E3586B" w:rsidRDefault="00E059DF" w:rsidP="00E059DF">
            <w:pPr>
              <w:tabs>
                <w:tab w:val="left" w:pos="1701"/>
              </w:tabs>
              <w:rPr>
                <w:rStyle w:val="bold"/>
                <w:rFonts w:eastAsia="Calibri"/>
                <w:bCs/>
                <w:szCs w:val="24"/>
                <w:lang w:eastAsia="en-US"/>
              </w:rPr>
            </w:pPr>
            <w:r w:rsidRPr="00E3586B">
              <w:rPr>
                <w:bCs/>
                <w:szCs w:val="23"/>
              </w:rPr>
              <w:t>Sjukvårdsminister Acko Ankarberg Johansson</w:t>
            </w:r>
            <w:r w:rsidRPr="00E3586B">
              <w:rPr>
                <w:bCs/>
                <w:szCs w:val="24"/>
              </w:rPr>
              <w:t xml:space="preserve"> </w:t>
            </w:r>
            <w:r w:rsidRPr="00E3586B">
              <w:rPr>
                <w:rStyle w:val="bold"/>
                <w:rFonts w:eastAsia="Calibri"/>
                <w:bCs/>
                <w:szCs w:val="24"/>
                <w:lang w:eastAsia="en-US"/>
              </w:rPr>
              <w:t>redogjorde för regeringens ståndpunkt i enlighet med överläggningspromemorian.</w:t>
            </w:r>
          </w:p>
          <w:p w14:paraId="76BD131C" w14:textId="77777777" w:rsidR="00E059DF" w:rsidRPr="00E059DF" w:rsidRDefault="00E059DF" w:rsidP="00E059DF">
            <w:pPr>
              <w:tabs>
                <w:tab w:val="left" w:pos="1701"/>
              </w:tabs>
              <w:rPr>
                <w:rStyle w:val="bold"/>
                <w:rFonts w:eastAsia="Calibri"/>
                <w:bCs/>
                <w:color w:val="FF0000"/>
                <w:szCs w:val="24"/>
                <w:lang w:eastAsia="en-US"/>
              </w:rPr>
            </w:pPr>
          </w:p>
          <w:p w14:paraId="4ADBDDA0" w14:textId="605BCB55" w:rsidR="00FF62DB" w:rsidRPr="00FF62DB" w:rsidRDefault="00FF62DB" w:rsidP="00FF62DB">
            <w:pPr>
              <w:pStyle w:val="blockcitat"/>
              <w:rPr>
                <w:rStyle w:val="bold"/>
                <w:color w:val="auto"/>
              </w:rPr>
            </w:pPr>
            <w:r w:rsidRPr="00FF62DB">
              <w:rPr>
                <w:rStyle w:val="bold"/>
                <w:color w:val="auto"/>
              </w:rPr>
              <w:t>Regeringen välkomnar att det ungerska ordförandeskapet valt att belysa vikten av förbättrad organdonation och transplantation. Det behövs fler donationsfrämjande åtgärder på såväl lokal, regional, nationell och EU-nivå. Regeringen anser att det är av vikt att etiska aspekter och skilda förutsättningar medlemsstaterna emellan beaktas samt att det är av vikt att värna befintliga välfungerande system.</w:t>
            </w:r>
          </w:p>
          <w:p w14:paraId="3C94781C" w14:textId="77777777" w:rsidR="00FF62DB" w:rsidRPr="00FF62DB" w:rsidRDefault="00FF62DB" w:rsidP="00FF62DB">
            <w:pPr>
              <w:pStyle w:val="blockcitat"/>
              <w:rPr>
                <w:rStyle w:val="bold"/>
              </w:rPr>
            </w:pPr>
          </w:p>
          <w:p w14:paraId="7C0D8BF2" w14:textId="6FD22940" w:rsidR="00E059DF" w:rsidRPr="00FF62DB" w:rsidRDefault="00FF62DB" w:rsidP="00FF62DB">
            <w:pPr>
              <w:pStyle w:val="blockcitat"/>
              <w:rPr>
                <w:rStyle w:val="bold"/>
                <w:color w:val="auto"/>
              </w:rPr>
            </w:pPr>
            <w:r w:rsidRPr="00FF62DB">
              <w:rPr>
                <w:rStyle w:val="bold"/>
                <w:color w:val="auto"/>
              </w:rPr>
              <w:t>En central utgångspunkt för regeringen är att fördelningen av befogenheter mellan EU och medlemsstaterna respekteras, samt att nationella system avseende sjuk- och hälsovårdsfrågor och utbildningsfrågor respekteras.</w:t>
            </w:r>
            <w:r w:rsidR="00E059DF" w:rsidRPr="00FF62DB">
              <w:rPr>
                <w:rStyle w:val="bold"/>
                <w:color w:val="auto"/>
              </w:rPr>
              <w:t xml:space="preserve"> </w:t>
            </w:r>
          </w:p>
          <w:p w14:paraId="5D9ED1A2" w14:textId="77777777" w:rsidR="00E059DF" w:rsidRPr="00FF62DB" w:rsidRDefault="00E059DF" w:rsidP="00E3586B">
            <w:pPr>
              <w:pStyle w:val="blockcitat"/>
              <w:ind w:left="0"/>
              <w:rPr>
                <w:bCs w:val="0"/>
                <w:snapToGrid w:val="0"/>
                <w:color w:val="auto"/>
              </w:rPr>
            </w:pPr>
          </w:p>
          <w:p w14:paraId="30DD15EF" w14:textId="77777777" w:rsidR="00E059DF" w:rsidRPr="00FF62DB" w:rsidRDefault="00E059DF" w:rsidP="00E059DF">
            <w:pPr>
              <w:tabs>
                <w:tab w:val="left" w:pos="1701"/>
              </w:tabs>
              <w:rPr>
                <w:rStyle w:val="bold"/>
                <w:rFonts w:eastAsia="Calibri"/>
                <w:bCs/>
                <w:szCs w:val="24"/>
                <w:lang w:eastAsia="en-US"/>
              </w:rPr>
            </w:pPr>
            <w:r w:rsidRPr="00FF62DB">
              <w:rPr>
                <w:rStyle w:val="bold"/>
                <w:rFonts w:eastAsia="Calibri"/>
                <w:bCs/>
                <w:szCs w:val="24"/>
                <w:lang w:eastAsia="en-US"/>
              </w:rPr>
              <w:t>Ordföranden konstaterade att det fanns stöd för regeringens ståndpunkt.</w:t>
            </w:r>
          </w:p>
          <w:p w14:paraId="4B541D64" w14:textId="77777777" w:rsidR="00E059DF" w:rsidRPr="00E059DF" w:rsidRDefault="00E059DF" w:rsidP="005E25A0">
            <w:pPr>
              <w:pStyle w:val="blockcitat"/>
              <w:ind w:left="0"/>
              <w:rPr>
                <w:rStyle w:val="bold"/>
                <w:bCs w:val="0"/>
              </w:rPr>
            </w:pPr>
          </w:p>
          <w:p w14:paraId="5D357858" w14:textId="77777777" w:rsidR="00E059DF" w:rsidRPr="00E3586B" w:rsidRDefault="00E059DF" w:rsidP="00E059DF">
            <w:pPr>
              <w:tabs>
                <w:tab w:val="left" w:pos="1701"/>
              </w:tabs>
              <w:rPr>
                <w:rStyle w:val="bold"/>
                <w:rFonts w:eastAsia="Calibri"/>
                <w:bCs/>
                <w:szCs w:val="24"/>
                <w:lang w:eastAsia="en-US"/>
              </w:rPr>
            </w:pPr>
            <w:r w:rsidRPr="00E3586B">
              <w:rPr>
                <w:rStyle w:val="bold"/>
                <w:rFonts w:eastAsia="Calibri"/>
                <w:bCs/>
                <w:szCs w:val="24"/>
                <w:lang w:eastAsia="en-US"/>
              </w:rPr>
              <w:t>Denna paragraf förklarades omedelbart justerad.</w:t>
            </w:r>
          </w:p>
          <w:p w14:paraId="02AAC6AB" w14:textId="11BB659A" w:rsidR="00E059DF" w:rsidRPr="00E059DF" w:rsidRDefault="00E059DF" w:rsidP="00E059DF">
            <w:pPr>
              <w:tabs>
                <w:tab w:val="left" w:pos="1701"/>
              </w:tabs>
              <w:rPr>
                <w:b/>
                <w:snapToGrid w:val="0"/>
                <w:color w:val="FF0000"/>
              </w:rPr>
            </w:pPr>
          </w:p>
        </w:tc>
      </w:tr>
      <w:tr w:rsidR="005E25A0" w14:paraId="73A7E69B" w14:textId="77777777" w:rsidTr="00887D33">
        <w:tc>
          <w:tcPr>
            <w:tcW w:w="567" w:type="dxa"/>
          </w:tcPr>
          <w:p w14:paraId="249A407B" w14:textId="2E79905E" w:rsidR="005E25A0" w:rsidRDefault="005E25A0" w:rsidP="005E25A0">
            <w:pPr>
              <w:tabs>
                <w:tab w:val="left" w:pos="1701"/>
              </w:tabs>
              <w:rPr>
                <w:b/>
                <w:snapToGrid w:val="0"/>
              </w:rPr>
            </w:pPr>
            <w:r w:rsidRPr="00F94AC5">
              <w:rPr>
                <w:b/>
                <w:snapToGrid w:val="0"/>
                <w:color w:val="000000" w:themeColor="text1"/>
              </w:rPr>
              <w:t xml:space="preserve">§ </w:t>
            </w:r>
            <w:r>
              <w:rPr>
                <w:b/>
                <w:snapToGrid w:val="0"/>
                <w:color w:val="000000" w:themeColor="text1"/>
              </w:rPr>
              <w:t>9</w:t>
            </w:r>
          </w:p>
        </w:tc>
        <w:tc>
          <w:tcPr>
            <w:tcW w:w="7017" w:type="dxa"/>
          </w:tcPr>
          <w:p w14:paraId="717D782D" w14:textId="77777777" w:rsidR="005E25A0" w:rsidRPr="00FF62DB" w:rsidRDefault="005E25A0" w:rsidP="005E25A0">
            <w:pPr>
              <w:tabs>
                <w:tab w:val="left" w:pos="1701"/>
              </w:tabs>
              <w:rPr>
                <w:b/>
              </w:rPr>
            </w:pPr>
            <w:r w:rsidRPr="00FF62DB">
              <w:rPr>
                <w:b/>
              </w:rPr>
              <w:t>Inkomna skrivelser</w:t>
            </w:r>
            <w:r w:rsidRPr="00FF62DB">
              <w:rPr>
                <w:b/>
              </w:rPr>
              <w:br/>
            </w:r>
          </w:p>
          <w:p w14:paraId="75785D4A" w14:textId="77777777" w:rsidR="005E25A0" w:rsidRPr="00FF62DB" w:rsidRDefault="005E25A0" w:rsidP="005E25A0">
            <w:pPr>
              <w:tabs>
                <w:tab w:val="left" w:pos="1701"/>
              </w:tabs>
              <w:rPr>
                <w:szCs w:val="24"/>
              </w:rPr>
            </w:pPr>
            <w:r w:rsidRPr="00FF62DB">
              <w:rPr>
                <w:szCs w:val="24"/>
              </w:rPr>
              <w:t>Inkomna skrivelser anmäldes (dnr 1953-2023/24, 1962-2023/24, 1963-2023/24, 2014-2023/24, 2051-2023/24, 2129-2023/24, 2130-2023/24, 2158-2023/24, 2171-2023/24, 2199-2023/24, 2275-2023/24, 2277-2023/24, 29-2024/25, 33-2024/25, 36-2024/25 och 37-2024/25).</w:t>
            </w:r>
          </w:p>
          <w:p w14:paraId="4CA867EE" w14:textId="77777777" w:rsidR="005E25A0" w:rsidRDefault="005E25A0" w:rsidP="005E25A0">
            <w:pPr>
              <w:tabs>
                <w:tab w:val="left" w:pos="1701"/>
              </w:tabs>
              <w:rPr>
                <w:b/>
                <w:snapToGrid w:val="0"/>
              </w:rPr>
            </w:pPr>
          </w:p>
        </w:tc>
      </w:tr>
      <w:tr w:rsidR="00F77424" w14:paraId="35864650" w14:textId="77777777" w:rsidTr="00887D33">
        <w:tc>
          <w:tcPr>
            <w:tcW w:w="567" w:type="dxa"/>
          </w:tcPr>
          <w:p w14:paraId="4D700D33" w14:textId="55EC2C7D" w:rsidR="00F77424" w:rsidRDefault="00E059DF" w:rsidP="00887D33">
            <w:pPr>
              <w:tabs>
                <w:tab w:val="left" w:pos="1701"/>
              </w:tabs>
              <w:rPr>
                <w:b/>
                <w:snapToGrid w:val="0"/>
                <w:color w:val="000000" w:themeColor="text1"/>
              </w:rPr>
            </w:pPr>
            <w:r>
              <w:rPr>
                <w:b/>
                <w:snapToGrid w:val="0"/>
                <w:color w:val="000000" w:themeColor="text1"/>
              </w:rPr>
              <w:t xml:space="preserve">§ </w:t>
            </w:r>
            <w:r w:rsidR="005E25A0">
              <w:rPr>
                <w:b/>
                <w:snapToGrid w:val="0"/>
                <w:color w:val="000000" w:themeColor="text1"/>
              </w:rPr>
              <w:t>10</w:t>
            </w:r>
          </w:p>
        </w:tc>
        <w:tc>
          <w:tcPr>
            <w:tcW w:w="7017" w:type="dxa"/>
          </w:tcPr>
          <w:p w14:paraId="7B4440A1" w14:textId="77777777" w:rsidR="00F77424" w:rsidRPr="00FF62DB" w:rsidRDefault="00F77424" w:rsidP="00F77424">
            <w:pPr>
              <w:tabs>
                <w:tab w:val="left" w:pos="1701"/>
              </w:tabs>
              <w:rPr>
                <w:b/>
                <w:snapToGrid w:val="0"/>
              </w:rPr>
            </w:pPr>
            <w:r w:rsidRPr="00FF62DB">
              <w:rPr>
                <w:b/>
                <w:snapToGrid w:val="0"/>
              </w:rPr>
              <w:t>Inkomna EU-dokument</w:t>
            </w:r>
          </w:p>
          <w:p w14:paraId="04704AF7" w14:textId="77777777" w:rsidR="00F77424" w:rsidRPr="00FF62DB" w:rsidRDefault="00F77424" w:rsidP="00F77424">
            <w:pPr>
              <w:tabs>
                <w:tab w:val="left" w:pos="1701"/>
              </w:tabs>
              <w:rPr>
                <w:bCs/>
                <w:szCs w:val="24"/>
              </w:rPr>
            </w:pPr>
          </w:p>
          <w:p w14:paraId="62F89D8D" w14:textId="73895C31" w:rsidR="00F77424" w:rsidRPr="00FF62DB" w:rsidRDefault="00F77424" w:rsidP="00F77424">
            <w:pPr>
              <w:tabs>
                <w:tab w:val="left" w:pos="1701"/>
              </w:tabs>
              <w:rPr>
                <w:bCs/>
                <w:szCs w:val="24"/>
              </w:rPr>
            </w:pPr>
            <w:r w:rsidRPr="00FF62DB">
              <w:rPr>
                <w:bCs/>
                <w:szCs w:val="24"/>
              </w:rPr>
              <w:t xml:space="preserve">Inkomna EU-dokument för </w:t>
            </w:r>
            <w:r w:rsidR="008F17F8" w:rsidRPr="00FF62DB">
              <w:rPr>
                <w:bCs/>
                <w:szCs w:val="24"/>
              </w:rPr>
              <w:t>12</w:t>
            </w:r>
            <w:r w:rsidRPr="00FF62DB">
              <w:rPr>
                <w:bCs/>
                <w:szCs w:val="24"/>
              </w:rPr>
              <w:t xml:space="preserve"> ju</w:t>
            </w:r>
            <w:r w:rsidR="008F17F8" w:rsidRPr="00FF62DB">
              <w:rPr>
                <w:bCs/>
                <w:szCs w:val="24"/>
              </w:rPr>
              <w:t>li</w:t>
            </w:r>
            <w:r w:rsidRPr="00FF62DB">
              <w:rPr>
                <w:bCs/>
                <w:szCs w:val="24"/>
              </w:rPr>
              <w:t xml:space="preserve"> 2024 – 17 september 2024 anmäldes.</w:t>
            </w:r>
          </w:p>
          <w:p w14:paraId="5EB73557" w14:textId="77777777" w:rsidR="00F77424" w:rsidRPr="00FF62DB" w:rsidRDefault="00F77424" w:rsidP="00DA6289">
            <w:pPr>
              <w:tabs>
                <w:tab w:val="left" w:pos="1701"/>
              </w:tabs>
              <w:rPr>
                <w:b/>
                <w:snapToGrid w:val="0"/>
              </w:rPr>
            </w:pPr>
          </w:p>
        </w:tc>
      </w:tr>
      <w:tr w:rsidR="00E641D7" w14:paraId="3769C3E1" w14:textId="77777777" w:rsidTr="00887D33">
        <w:tc>
          <w:tcPr>
            <w:tcW w:w="567" w:type="dxa"/>
          </w:tcPr>
          <w:p w14:paraId="031DD3B2" w14:textId="1D426F14"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E059DF">
              <w:rPr>
                <w:b/>
                <w:snapToGrid w:val="0"/>
                <w:color w:val="000000" w:themeColor="text1"/>
              </w:rPr>
              <w:t>1</w:t>
            </w:r>
            <w:r w:rsidR="00E3586B">
              <w:rPr>
                <w:b/>
                <w:snapToGrid w:val="0"/>
                <w:color w:val="000000" w:themeColor="text1"/>
              </w:rPr>
              <w:t>1</w:t>
            </w:r>
          </w:p>
        </w:tc>
        <w:tc>
          <w:tcPr>
            <w:tcW w:w="7017" w:type="dxa"/>
          </w:tcPr>
          <w:p w14:paraId="36BCB7CC" w14:textId="77777777" w:rsidR="00E641D7" w:rsidRPr="00AA0B1C" w:rsidRDefault="00E641D7" w:rsidP="00E641D7">
            <w:pPr>
              <w:tabs>
                <w:tab w:val="left" w:pos="1701"/>
              </w:tabs>
              <w:rPr>
                <w:b/>
                <w:snapToGrid w:val="0"/>
              </w:rPr>
            </w:pPr>
            <w:r w:rsidRPr="00AA0B1C">
              <w:rPr>
                <w:b/>
                <w:snapToGrid w:val="0"/>
              </w:rPr>
              <w:t>Övriga frågor</w:t>
            </w:r>
          </w:p>
          <w:p w14:paraId="5C370BE5" w14:textId="77777777" w:rsidR="006F7FFC" w:rsidRDefault="006F7FFC" w:rsidP="006F7FFC">
            <w:pPr>
              <w:tabs>
                <w:tab w:val="left" w:pos="1701"/>
              </w:tabs>
            </w:pPr>
          </w:p>
          <w:p w14:paraId="600E1000" w14:textId="0C63656F" w:rsidR="00392675" w:rsidRPr="006F7FFC" w:rsidRDefault="00E641D7" w:rsidP="006F7FFC">
            <w:pPr>
              <w:tabs>
                <w:tab w:val="left" w:pos="1701"/>
              </w:tabs>
              <w:rPr>
                <w:bCs/>
                <w:szCs w:val="24"/>
              </w:rPr>
            </w:pPr>
            <w:r w:rsidRPr="006F7FFC">
              <w:rPr>
                <w:bCs/>
                <w:szCs w:val="24"/>
              </w:rPr>
              <w:t>Kanslichefen informerade om arbetsplanen</w:t>
            </w:r>
            <w:r w:rsidR="00230611" w:rsidRPr="006F7FFC">
              <w:rPr>
                <w:bCs/>
                <w:szCs w:val="24"/>
              </w:rPr>
              <w:t>.</w:t>
            </w:r>
          </w:p>
          <w:p w14:paraId="2A4F1873" w14:textId="3CF161F0" w:rsidR="00460AD5" w:rsidRPr="00AA0B1C" w:rsidRDefault="00460AD5" w:rsidP="00E641D7">
            <w:pPr>
              <w:tabs>
                <w:tab w:val="left" w:pos="1701"/>
              </w:tabs>
              <w:rPr>
                <w:b/>
                <w:snapToGrid w:val="0"/>
              </w:rPr>
            </w:pPr>
          </w:p>
        </w:tc>
      </w:tr>
      <w:tr w:rsidR="00C67B6B" w14:paraId="4325F513" w14:textId="77777777" w:rsidTr="00887D33">
        <w:tc>
          <w:tcPr>
            <w:tcW w:w="567" w:type="dxa"/>
          </w:tcPr>
          <w:p w14:paraId="7D066FE2" w14:textId="1EFCC6CE"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E059DF">
              <w:rPr>
                <w:b/>
                <w:snapToGrid w:val="0"/>
                <w:color w:val="000000" w:themeColor="text1"/>
              </w:rPr>
              <w:t>1</w:t>
            </w:r>
            <w:r w:rsidR="00E3586B">
              <w:rPr>
                <w:b/>
                <w:snapToGrid w:val="0"/>
                <w:color w:val="000000" w:themeColor="text1"/>
              </w:rPr>
              <w:t>2</w:t>
            </w:r>
          </w:p>
        </w:tc>
        <w:tc>
          <w:tcPr>
            <w:tcW w:w="7017" w:type="dxa"/>
          </w:tcPr>
          <w:p w14:paraId="7AFF25B0" w14:textId="77777777" w:rsidR="00C67B6B" w:rsidRPr="00AA0B1C" w:rsidRDefault="00C67B6B" w:rsidP="00C67B6B">
            <w:pPr>
              <w:tabs>
                <w:tab w:val="left" w:pos="1701"/>
              </w:tabs>
              <w:rPr>
                <w:b/>
                <w:snapToGrid w:val="0"/>
              </w:rPr>
            </w:pPr>
            <w:r w:rsidRPr="00AA0B1C">
              <w:rPr>
                <w:b/>
                <w:snapToGrid w:val="0"/>
              </w:rPr>
              <w:t>Nästa sammanträde</w:t>
            </w:r>
          </w:p>
          <w:p w14:paraId="2955C30E" w14:textId="77777777" w:rsidR="00C67B6B" w:rsidRPr="005E25A0" w:rsidRDefault="00C67B6B" w:rsidP="00C67B6B">
            <w:pPr>
              <w:tabs>
                <w:tab w:val="left" w:pos="1701"/>
              </w:tabs>
              <w:rPr>
                <w:b/>
                <w:snapToGrid w:val="0"/>
              </w:rPr>
            </w:pPr>
          </w:p>
          <w:p w14:paraId="4845AF9A" w14:textId="7362E4D7" w:rsidR="00AD6F72" w:rsidRPr="005E25A0" w:rsidRDefault="00A86C88" w:rsidP="00C67B6B">
            <w:pPr>
              <w:rPr>
                <w:snapToGrid w:val="0"/>
              </w:rPr>
            </w:pPr>
            <w:r w:rsidRPr="005E25A0">
              <w:rPr>
                <w:snapToGrid w:val="0"/>
              </w:rPr>
              <w:t xml:space="preserve">Utskottet beslutade att nästa sammanträde ska äga rum </w:t>
            </w:r>
            <w:r w:rsidR="008A79E8" w:rsidRPr="005E25A0">
              <w:rPr>
                <w:snapToGrid w:val="0"/>
              </w:rPr>
              <w:t>t</w:t>
            </w:r>
            <w:r w:rsidR="006F7FFC" w:rsidRPr="005E25A0">
              <w:rPr>
                <w:snapToGrid w:val="0"/>
              </w:rPr>
              <w:t>i</w:t>
            </w:r>
            <w:r w:rsidR="008A79E8" w:rsidRPr="005E25A0">
              <w:rPr>
                <w:snapToGrid w:val="0"/>
              </w:rPr>
              <w:t xml:space="preserve">sdagen den </w:t>
            </w:r>
            <w:r w:rsidR="002E6306" w:rsidRPr="005E25A0">
              <w:rPr>
                <w:snapToGrid w:val="0"/>
              </w:rPr>
              <w:t>2</w:t>
            </w:r>
            <w:r w:rsidR="006F7FFC" w:rsidRPr="005E25A0">
              <w:rPr>
                <w:snapToGrid w:val="0"/>
              </w:rPr>
              <w:t>4</w:t>
            </w:r>
            <w:r w:rsidR="008A79E8" w:rsidRPr="005E25A0">
              <w:rPr>
                <w:snapToGrid w:val="0"/>
              </w:rPr>
              <w:t xml:space="preserve"> september 202</w:t>
            </w:r>
            <w:r w:rsidR="006F7FFC" w:rsidRPr="005E25A0">
              <w:rPr>
                <w:snapToGrid w:val="0"/>
              </w:rPr>
              <w:t>4</w:t>
            </w:r>
            <w:r w:rsidR="008A79E8" w:rsidRPr="005E25A0">
              <w:rPr>
                <w:snapToGrid w:val="0"/>
              </w:rPr>
              <w:t xml:space="preserve"> kl. 1</w:t>
            </w:r>
            <w:r w:rsidR="00FB5886" w:rsidRPr="005E25A0">
              <w:rPr>
                <w:snapToGrid w:val="0"/>
              </w:rPr>
              <w:t>0</w:t>
            </w:r>
            <w:r w:rsidR="008A79E8" w:rsidRPr="005E25A0">
              <w:rPr>
                <w:snapToGrid w:val="0"/>
              </w:rPr>
              <w:t>.</w:t>
            </w:r>
            <w:r w:rsidR="006F7FFC" w:rsidRPr="005E25A0">
              <w:rPr>
                <w:snapToGrid w:val="0"/>
              </w:rPr>
              <w:t>45</w:t>
            </w:r>
            <w:r w:rsidR="00C67B6B" w:rsidRPr="005E25A0">
              <w:rPr>
                <w:snapToGrid w:val="0"/>
              </w:rPr>
              <w:t>.</w:t>
            </w:r>
          </w:p>
          <w:p w14:paraId="40A78276" w14:textId="675BA930" w:rsidR="00AD13D0" w:rsidRDefault="00AD13D0" w:rsidP="00C67B6B">
            <w:pPr>
              <w:rPr>
                <w:snapToGrid w:val="0"/>
              </w:rPr>
            </w:pPr>
          </w:p>
          <w:p w14:paraId="42768448" w14:textId="77777777" w:rsidR="00D44AEC" w:rsidRDefault="00D44AEC" w:rsidP="00C67B6B">
            <w:pPr>
              <w:rPr>
                <w:snapToGrid w:val="0"/>
              </w:rPr>
            </w:pPr>
          </w:p>
          <w:p w14:paraId="67C67290" w14:textId="6FCA5839" w:rsidR="00AD13D0" w:rsidRPr="00460AD5" w:rsidRDefault="00AD13D0"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F94AC5" w:rsidRDefault="00C67B6B" w:rsidP="00C67B6B">
            <w:pPr>
              <w:tabs>
                <w:tab w:val="left" w:pos="1701"/>
              </w:tabs>
              <w:rPr>
                <w:color w:val="000000" w:themeColor="text1"/>
                <w:szCs w:val="24"/>
              </w:rPr>
            </w:pPr>
          </w:p>
          <w:p w14:paraId="4405E313" w14:textId="77777777" w:rsidR="00C67B6B" w:rsidRPr="00F94AC5" w:rsidRDefault="00C67B6B" w:rsidP="00C67B6B">
            <w:pPr>
              <w:tabs>
                <w:tab w:val="left" w:pos="1701"/>
              </w:tabs>
              <w:rPr>
                <w:color w:val="000000" w:themeColor="text1"/>
                <w:szCs w:val="24"/>
              </w:rPr>
            </w:pPr>
            <w:r w:rsidRPr="00F94AC5">
              <w:rPr>
                <w:color w:val="000000" w:themeColor="text1"/>
                <w:szCs w:val="24"/>
              </w:rPr>
              <w:t>Vid protokollet</w:t>
            </w:r>
          </w:p>
          <w:p w14:paraId="1F7B917A" w14:textId="346F78CB" w:rsidR="004B5832" w:rsidRPr="00F94AC5" w:rsidRDefault="004B5832" w:rsidP="00C67B6B">
            <w:pPr>
              <w:tabs>
                <w:tab w:val="left" w:pos="1701"/>
              </w:tabs>
              <w:rPr>
                <w:color w:val="000000" w:themeColor="text1"/>
                <w:szCs w:val="24"/>
              </w:rPr>
            </w:pPr>
          </w:p>
          <w:p w14:paraId="6F82F0F1" w14:textId="5E34D8F6" w:rsidR="00601F04" w:rsidRDefault="00601F04" w:rsidP="00C67B6B">
            <w:pPr>
              <w:tabs>
                <w:tab w:val="left" w:pos="1701"/>
              </w:tabs>
              <w:rPr>
                <w:color w:val="000000" w:themeColor="text1"/>
                <w:szCs w:val="24"/>
              </w:rPr>
            </w:pPr>
          </w:p>
          <w:p w14:paraId="2C743E7E" w14:textId="77777777" w:rsidR="00E059DF" w:rsidRPr="00F94AC5" w:rsidRDefault="00E059DF" w:rsidP="00C67B6B">
            <w:pPr>
              <w:tabs>
                <w:tab w:val="left" w:pos="1701"/>
              </w:tabs>
              <w:rPr>
                <w:color w:val="000000" w:themeColor="text1"/>
                <w:szCs w:val="24"/>
              </w:rPr>
            </w:pPr>
          </w:p>
          <w:p w14:paraId="4E8414BE" w14:textId="2C2BE1B1" w:rsidR="00F550C1" w:rsidRPr="00F94AC5" w:rsidRDefault="00F550C1" w:rsidP="00C67B6B">
            <w:pPr>
              <w:tabs>
                <w:tab w:val="left" w:pos="1701"/>
              </w:tabs>
              <w:rPr>
                <w:color w:val="000000" w:themeColor="text1"/>
                <w:szCs w:val="24"/>
              </w:rPr>
            </w:pPr>
          </w:p>
          <w:p w14:paraId="7918E3F8" w14:textId="77777777" w:rsidR="00F86AEC" w:rsidRPr="00AA0B1C" w:rsidRDefault="00F86AEC" w:rsidP="00C67B6B">
            <w:pPr>
              <w:tabs>
                <w:tab w:val="left" w:pos="1701"/>
              </w:tabs>
              <w:rPr>
                <w:szCs w:val="24"/>
              </w:rPr>
            </w:pPr>
          </w:p>
          <w:p w14:paraId="5DE6C562" w14:textId="67A81F0D" w:rsidR="00C67B6B" w:rsidRPr="005E25A0" w:rsidRDefault="00C67B6B" w:rsidP="00C67B6B">
            <w:pPr>
              <w:tabs>
                <w:tab w:val="left" w:pos="1701"/>
              </w:tabs>
              <w:rPr>
                <w:szCs w:val="24"/>
              </w:rPr>
            </w:pPr>
            <w:r w:rsidRPr="005E25A0">
              <w:rPr>
                <w:szCs w:val="24"/>
              </w:rPr>
              <w:t xml:space="preserve">Justeras den </w:t>
            </w:r>
            <w:r w:rsidR="002E6306" w:rsidRPr="005E25A0">
              <w:rPr>
                <w:snapToGrid w:val="0"/>
                <w:szCs w:val="24"/>
              </w:rPr>
              <w:t>2</w:t>
            </w:r>
            <w:r w:rsidR="006F7FFC" w:rsidRPr="005E25A0">
              <w:rPr>
                <w:snapToGrid w:val="0"/>
                <w:szCs w:val="24"/>
              </w:rPr>
              <w:t>4</w:t>
            </w:r>
            <w:r w:rsidR="00C17EA2" w:rsidRPr="005E25A0">
              <w:rPr>
                <w:snapToGrid w:val="0"/>
                <w:szCs w:val="24"/>
              </w:rPr>
              <w:t xml:space="preserve"> </w:t>
            </w:r>
            <w:r w:rsidR="002E6306" w:rsidRPr="005E25A0">
              <w:rPr>
                <w:snapToGrid w:val="0"/>
                <w:szCs w:val="24"/>
              </w:rPr>
              <w:t>september</w:t>
            </w:r>
            <w:r w:rsidRPr="005E25A0">
              <w:rPr>
                <w:snapToGrid w:val="0"/>
                <w:szCs w:val="24"/>
              </w:rPr>
              <w:t xml:space="preserve"> 202</w:t>
            </w:r>
            <w:r w:rsidR="006F7FFC" w:rsidRPr="005E25A0">
              <w:rPr>
                <w:snapToGrid w:val="0"/>
                <w:szCs w:val="24"/>
              </w:rPr>
              <w:t>4</w:t>
            </w:r>
          </w:p>
          <w:p w14:paraId="6DDC6ECB" w14:textId="1C337A4E" w:rsidR="00D55549" w:rsidRPr="00AA0B1C" w:rsidRDefault="00D55549" w:rsidP="00C67B6B">
            <w:pPr>
              <w:tabs>
                <w:tab w:val="left" w:pos="1701"/>
              </w:tabs>
              <w:rPr>
                <w:b/>
                <w:snapToGrid w:val="0"/>
              </w:rPr>
            </w:pPr>
          </w:p>
          <w:p w14:paraId="22EF3BB0" w14:textId="074303B1" w:rsidR="00A95CA5" w:rsidRPr="00AA0B1C" w:rsidRDefault="00A95CA5" w:rsidP="00C67B6B">
            <w:pPr>
              <w:tabs>
                <w:tab w:val="left" w:pos="1701"/>
              </w:tabs>
              <w:rPr>
                <w:b/>
                <w:snapToGrid w:val="0"/>
              </w:rPr>
            </w:pPr>
          </w:p>
          <w:p w14:paraId="30F16203" w14:textId="77777777" w:rsidR="00950539" w:rsidRPr="00F94AC5" w:rsidRDefault="00950539" w:rsidP="00C67B6B">
            <w:pPr>
              <w:tabs>
                <w:tab w:val="left" w:pos="1701"/>
              </w:tabs>
              <w:rPr>
                <w:b/>
                <w:snapToGrid w:val="0"/>
                <w:color w:val="000000" w:themeColor="text1"/>
              </w:rPr>
            </w:pPr>
          </w:p>
          <w:p w14:paraId="0D8FDFB2" w14:textId="54634065" w:rsidR="003752F0" w:rsidRPr="00F94AC5" w:rsidRDefault="00D8181D" w:rsidP="00C67B6B">
            <w:pPr>
              <w:tabs>
                <w:tab w:val="left" w:pos="1701"/>
              </w:tabs>
              <w:rPr>
                <w:bCs/>
                <w:snapToGrid w:val="0"/>
                <w:color w:val="000000" w:themeColor="text1"/>
              </w:rPr>
            </w:pPr>
            <w:r w:rsidRPr="00F94AC5">
              <w:rPr>
                <w:bCs/>
                <w:snapToGrid w:val="0"/>
                <w:color w:val="000000" w:themeColor="text1"/>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6F7FFC" w:rsidRPr="00F8018F" w14:paraId="59092438" w14:textId="77777777" w:rsidTr="004525BA">
        <w:tc>
          <w:tcPr>
            <w:tcW w:w="3473" w:type="dxa"/>
            <w:tcBorders>
              <w:top w:val="nil"/>
              <w:left w:val="nil"/>
              <w:bottom w:val="nil"/>
              <w:right w:val="nil"/>
            </w:tcBorders>
            <w:shd w:val="clear" w:color="auto" w:fill="D9D9D9" w:themeFill="background1" w:themeFillShade="D9"/>
          </w:tcPr>
          <w:p w14:paraId="7EAC10AD" w14:textId="77777777" w:rsidR="006F7FFC" w:rsidRPr="00E40C0C" w:rsidRDefault="006F7FFC" w:rsidP="004525BA">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2A08B988" w14:textId="77777777" w:rsidR="006F7FFC" w:rsidRPr="00E40C0C" w:rsidRDefault="006F7FFC" w:rsidP="004525BA">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2BC25379" w14:textId="053C14F2" w:rsidR="006F7FFC" w:rsidRPr="00E40C0C" w:rsidRDefault="006F7FFC" w:rsidP="004525BA">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Pr>
                <w:sz w:val="20"/>
              </w:rPr>
              <w:t>1</w:t>
            </w:r>
          </w:p>
        </w:tc>
      </w:tr>
      <w:tr w:rsidR="006F7FFC" w:rsidRPr="00F8018F" w14:paraId="7359CF9F" w14:textId="77777777" w:rsidTr="004525BA">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F5B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56F8" w14:textId="5D3C85A1"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Pr>
                <w:sz w:val="20"/>
              </w:rPr>
              <w:t>-</w:t>
            </w:r>
            <w:r w:rsidR="005E25A0">
              <w:rPr>
                <w:sz w:val="20"/>
              </w:rPr>
              <w:t>8</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583D70" w14:textId="0F85F83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5E25A0">
              <w:rPr>
                <w:sz w:val="20"/>
              </w:rPr>
              <w:t>9-12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9C741" w14:textId="3A100D3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DF316" w14:textId="007CCA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371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96D1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F6D4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19F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6F7FFC" w:rsidRPr="00F8018F" w14:paraId="461E9750"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F07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5D81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E3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882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CC7F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60D1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EE7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B5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5F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E19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3C65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581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A99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76E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7E245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5A8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850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6F7FFC" w:rsidRPr="00F8018F" w14:paraId="32B6EA4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9FAF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6F19E0DB" w14:textId="0A640AD3"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D41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6D66C" w14:textId="4265A370"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EECBA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CA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4D52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6AC3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9EF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90FE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B0E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383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B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6A2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CD4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867E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A291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F188D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E474D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006AD8A8" w14:textId="7E0B70F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661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5F627" w14:textId="2B1C76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8137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4D7983" w14:textId="44BD3E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3B9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CDEA7" w14:textId="32AD7D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8679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02F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10F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411A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9E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44D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4071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4465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046D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37D953"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1BF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Carina Ståhl </w:t>
            </w:r>
            <w:proofErr w:type="spellStart"/>
            <w:r w:rsidRPr="00E40C0C">
              <w:rPr>
                <w:sz w:val="20"/>
              </w:rPr>
              <w:t>Herrstedt</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261186F" w14:textId="7710E81A"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F31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AC6D3" w14:textId="34142F34"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20A68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6BD4E" w14:textId="7AB3A7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948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7B2A0" w14:textId="17FA5C4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C79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F426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77BFC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4CC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6EF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1C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1C9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4070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2597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AA4E8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9948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0A7C606F" w14:textId="7874AE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C2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486B0" w14:textId="3F1A8B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0009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6AB569" w14:textId="4E80D28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E84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CA4DF" w14:textId="3C561C1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7DB8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0CCD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FFF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BF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48D4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5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52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D810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FF63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7CEDE3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7FCF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938FB93" w14:textId="0F0BD66F"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181C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FCF7C9" w14:textId="5B3ED717"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BA97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62A0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0E76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79C3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4DC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D28B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471E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7B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F14F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78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CBA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DF2B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85E5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907F2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630BD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66E1B9B3" w14:textId="03BFEA6E"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9DF3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9AF48A" w14:textId="22E26C99"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DA43C2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A4A532" w14:textId="708924A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240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B4B42" w14:textId="2F4E791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631B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29FA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4C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3873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768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4B2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E1C8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CDB5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6C6F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7491A9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0F29E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36A7AF59" w14:textId="279EBB40"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FEBE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8A84A" w14:textId="42D8D947"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48CDE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4EEF7F" w14:textId="39139E9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6B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18942" w14:textId="2D0878E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B8E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73E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3AD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1A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98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E0E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1F6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E1A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3E084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8BFAB9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8CF9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5DE63" w14:textId="508267CD"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7151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A587E" w14:textId="48741610"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01AB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1DEDAD" w14:textId="46FEB76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3D0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C34F82" w14:textId="7AEF3CD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E14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00EF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EC0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0EE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36C0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8216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90F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1D58B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84777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BD827F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C2758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C6E0A97" w14:textId="71A34C53"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9919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7BAF82" w14:textId="79D5F8F4"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408F3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5F530A" w14:textId="47B898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19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76336D" w14:textId="265937A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BF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8848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05B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DD4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6CA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7440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2C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EC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FD69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9B8A66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E82F245" w14:textId="4102B58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Leonid Yurkovskiy </w:t>
            </w:r>
            <w:r w:rsidR="006F7FFC"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6095277E" w14:textId="5BF62C57"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18F2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172AA" w14:textId="5E6D660E"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D68A4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6FF4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426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22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08DF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D754E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4A12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C6D8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91A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3B97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D22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6D94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EABF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6965E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BD4FD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24FB2107" w14:textId="58B8F423"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EC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73340" w14:textId="3E06C0B1"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435D0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93600E" w14:textId="363E2FD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D8BF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54164" w14:textId="1E080F4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1A9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A080D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E01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DBC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BA59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5D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142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021E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6A0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BB7FF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4778D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9891DAF" w14:textId="21EF8914"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4C5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613913" w14:textId="1599E2EA"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D747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E28D2D" w14:textId="3333508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4ED3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264B54" w14:textId="58EA65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4898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C69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1687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A89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C3B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39248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A0A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A38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7384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6010B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294D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319B4D87" w14:textId="670E7789"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F9FE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62348" w14:textId="04718007"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2A481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1D772" w14:textId="0F49247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831B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C54A7D" w14:textId="0FCEE58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77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E5FC0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2A9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2BA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07B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00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28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63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EAE2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711404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1543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7C9E87A" w14:textId="4742C68F"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E845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743B1" w14:textId="29DE6BAA"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ACE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0B0F8" w14:textId="7856BF7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1F6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AC84F8" w14:textId="111BF3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60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05AE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F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B73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D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169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9E1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0BFB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E5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C4AC08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BDCE08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39D8B7C" w14:textId="6EE9E95B"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CC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B2E7" w14:textId="55ECE83F"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0482C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BDC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32E4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669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899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5EC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15D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A52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FD9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76B2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1E6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06F4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E0C0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B9AEB3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AC98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319131C1" w14:textId="4E390DC1"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2E80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0CE7" w14:textId="0824E335"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9FD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1C744" w14:textId="5B6CBAC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672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35479" w14:textId="2A5D615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C7B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B30E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41AE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D44E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D13E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866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039E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0A2C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63E0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B58EF9"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3DAB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5E7C707" w14:textId="153F61C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B2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8BCCBF" w14:textId="6CEE83B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93AAB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C2FDFA" w14:textId="123095C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651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6B0AE" w14:textId="38AE4F9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74F4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D7A4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C7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BF7E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17B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70E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22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28C2C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934B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843D0FC"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AAE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43D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B32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3FCC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A1A7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357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8BBE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F4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DDF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B3C6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33C2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C02C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7934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C10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7F9F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D0B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FDFB25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CB5407E" w14:textId="1159F74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006F7FFC"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077FFCF" w14:textId="23A9757F"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9D80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62E05" w14:textId="406A1B16"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C3059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0189" w14:textId="120286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BD4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8131A" w14:textId="3B9659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181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00F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DFA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94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E71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4C7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D284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C2E37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0DC8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45A88C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3C93E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6A5D292B" w14:textId="219669BF"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0151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97F7E5" w14:textId="0F79F091"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50DE3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E296B7" w14:textId="369F0C5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BCD4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6F345" w14:textId="624CC7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F67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4CF6D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4FA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E6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A75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D7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051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A12C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6045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5495786"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03DE2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12283E6" w14:textId="4276D0E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ACE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429A2" w14:textId="7265B251"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12DDA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3542C0" w14:textId="74155B8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EB7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7EFE2" w14:textId="3016C1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A73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C799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6A45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FD6A4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1D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D8E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BD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9A6E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867B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29B62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9AF6B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9BDB8B9" w14:textId="2EE4A63B"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E64430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C8217" w14:textId="581F3476"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8C79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7966A2" w14:textId="3F27F05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328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EB8F7" w14:textId="6339E58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ABA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23C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21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F3D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39A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736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812D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A834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F550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8C44E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3E66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 (SD)</w:t>
            </w:r>
          </w:p>
        </w:tc>
        <w:tc>
          <w:tcPr>
            <w:tcW w:w="356" w:type="dxa"/>
            <w:tcBorders>
              <w:top w:val="single" w:sz="6" w:space="0" w:color="auto"/>
              <w:left w:val="single" w:sz="6" w:space="0" w:color="auto"/>
              <w:bottom w:val="single" w:sz="6" w:space="0" w:color="auto"/>
              <w:right w:val="single" w:sz="6" w:space="0" w:color="auto"/>
            </w:tcBorders>
          </w:tcPr>
          <w:p w14:paraId="74EDAA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AEC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1F01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28002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3E59F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3A5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997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E130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7AD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796E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7F4D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29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D02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ACC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9EB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2806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638178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B3BB3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7C7052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951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A62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E0FE7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3360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CB1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50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AD7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0DEC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28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4C3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C27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2DB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73F3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54C28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BE72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9B2BD2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EACF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4B2B77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7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D2E4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9EDE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BCC1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CF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DF5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FEBC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998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D74A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042B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D4F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4967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1BB5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9BA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1E7D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838727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90FE9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1278B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B6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CD3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79DA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BD4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0B0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FA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838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8E8B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9B1C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A8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B24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D017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2EF8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19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4572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AF49C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88B4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4364F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395C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A926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62EE9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0C3C6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27A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5B1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BA9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EDE0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D450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27499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3F4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F2C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BFF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B4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58D5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7E71CE" w14:paraId="6AF089D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5282B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6124C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A6E79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B2C5A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4FA6B9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4A1845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02C7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55636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8054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13B39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829C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55B1A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31A4A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29A25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E98F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E951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AE5BF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F7FFC" w:rsidRPr="00F8018F" w14:paraId="2E1E127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8E4A5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6B368C1" w14:textId="0B632512"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C6AE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28C2CC" w14:textId="7851475C"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C5E7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589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B03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C6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BD28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CA4D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1830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D707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9F79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493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F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51A3B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0287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1C77F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2B7FB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77274A62" w14:textId="5D88849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D8C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8610" w14:textId="726D134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C7FA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9E07B39" w14:textId="411C36B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42B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A89" w14:textId="40FCE64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B61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CA4D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047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5B6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68A1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19F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F427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9382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1341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3C0DEC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D6560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539683E" w14:textId="323E88EC"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0E5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769BF" w14:textId="21004E11"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4B07F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0FBE27" w14:textId="7A7844D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EC5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E3EFE" w14:textId="5953AF4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35E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8318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499C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71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EA7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326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466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49C3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DD38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0CFB3F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305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5DA49C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47D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55C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E98F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350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A80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391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EE27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748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A01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05C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156C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317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AD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737FC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DE50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E88F13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B3750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415A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D0B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561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0D6F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79F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73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29E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1B9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676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BEE9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C97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288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51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0EC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7FEF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E1173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5751D7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69A53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098E89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47D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DD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F7EE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7C3D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525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B4E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1941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E1114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163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C7B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BC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844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6F99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4131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0D3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C08FF9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8F7E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95FE8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37B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86C8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BBC3F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D710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34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43D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6145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A795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12EA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C062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9963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71F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CB0E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524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8D8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385FA6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0422E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55F26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FB47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F5CC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BA40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3DAA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A9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86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7D6F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FF64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C906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A18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B8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BE8A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18EEF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438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3DA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24599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5E493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CF935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7B26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79D9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78E69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6E28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0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468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B66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36B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8A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874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8AE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286D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FD9B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C34C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2A20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C7A89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8EF3D7" w14:textId="608C597A" w:rsidR="006F7FFC" w:rsidRPr="004C1E79" w:rsidRDefault="004C1E7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 xml:space="preserve">Vakant </w:t>
            </w:r>
            <w:r w:rsidR="006F7FFC" w:rsidRPr="004C1E79">
              <w:rPr>
                <w:i/>
                <w:iCs/>
                <w:sz w:val="20"/>
              </w:rPr>
              <w:t>(V)</w:t>
            </w:r>
          </w:p>
        </w:tc>
        <w:tc>
          <w:tcPr>
            <w:tcW w:w="356" w:type="dxa"/>
            <w:tcBorders>
              <w:top w:val="single" w:sz="6" w:space="0" w:color="auto"/>
              <w:left w:val="single" w:sz="6" w:space="0" w:color="auto"/>
              <w:bottom w:val="single" w:sz="6" w:space="0" w:color="auto"/>
              <w:right w:val="single" w:sz="6" w:space="0" w:color="auto"/>
            </w:tcBorders>
          </w:tcPr>
          <w:p w14:paraId="7E2D59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FCD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4E0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BA8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A4F9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18A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D8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A8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7A90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675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0D95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5F6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34C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55B4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BEB37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C3560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BB919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79BEA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23902472" w14:textId="7EED055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2F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AFA321" w14:textId="6AD816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B11DA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F31686" w14:textId="7A7EBAF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B3EC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57BFD" w14:textId="4FD35C0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272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17C2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1EA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0598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A313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2F9F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FFB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DEC9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E98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C7621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CC9C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F9EB97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F02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649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5010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EA11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669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BD2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2A9D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DDD6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A6A4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B08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8726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F0A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934C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E043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B98E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7BB20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DEB39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C9D30E0" w14:textId="55FEF4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8EC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57E002" w14:textId="2BF0F54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7394E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77BBBC" w14:textId="238121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9CA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93BC0" w14:textId="65F2826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605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3338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12C82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9633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3519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2469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379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57FA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CB727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0E21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6AB8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1E3D71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331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AA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B9E5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963E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064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53CA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8574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D200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A5C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AB5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23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09F8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89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E945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1A3F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21E69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2F6010" w14:textId="77777777" w:rsidR="006F7FFC" w:rsidRPr="00E30628"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4F851A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E6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2A6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579A4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A7D0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DB5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F0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8F1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1CCC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E98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9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BAC2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F0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AA7D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AD725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087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B0820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3B0E5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246CA74A" w14:textId="13DE41DD"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A96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D4393" w14:textId="5091665E" w:rsidR="006F7FFC" w:rsidRPr="00E40C0C" w:rsidRDefault="005E25A0"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6E5660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BD2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C31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B471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903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CC6BC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BE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80AF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91D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923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A6C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639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B5FC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4FD0D1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978F0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1FB513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BFD7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9DC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74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E77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F67B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214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3D3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3AEAB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46D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36BF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2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12E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2A1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785C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7B44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F08F85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AEC49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5CACB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DB5D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FCE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BA13A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919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F6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AF65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D3FA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4533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9E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E349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BB9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4A81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D79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B8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3B25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00B485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762B867A" w14:textId="77777777" w:rsidR="006F7FFC" w:rsidRPr="004377A6"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7ED2FF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B274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1E08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2F7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43F16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3F6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2863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7107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3380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87D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5E87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44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0FCE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295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BF2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3C8D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C9A539" w14:textId="77777777" w:rsidTr="004525BA">
        <w:trPr>
          <w:trHeight w:val="263"/>
        </w:trPr>
        <w:tc>
          <w:tcPr>
            <w:tcW w:w="3898" w:type="dxa"/>
            <w:gridSpan w:val="2"/>
            <w:tcBorders>
              <w:top w:val="nil"/>
              <w:left w:val="nil"/>
              <w:bottom w:val="nil"/>
              <w:right w:val="nil"/>
            </w:tcBorders>
            <w:shd w:val="clear" w:color="auto" w:fill="D9D9D9" w:themeFill="background1" w:themeFillShade="D9"/>
          </w:tcPr>
          <w:p w14:paraId="05CBD2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7745DE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4E7EE4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50A6B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D842969" w14:textId="77777777" w:rsidTr="004525BA">
        <w:trPr>
          <w:trHeight w:val="262"/>
        </w:trPr>
        <w:tc>
          <w:tcPr>
            <w:tcW w:w="3898" w:type="dxa"/>
            <w:gridSpan w:val="2"/>
            <w:tcBorders>
              <w:top w:val="nil"/>
              <w:left w:val="nil"/>
              <w:bottom w:val="nil"/>
              <w:right w:val="nil"/>
            </w:tcBorders>
            <w:shd w:val="clear" w:color="auto" w:fill="D9D9D9" w:themeFill="background1" w:themeFillShade="D9"/>
          </w:tcPr>
          <w:p w14:paraId="71D452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96433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140DE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3743E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7ABC1B6" w14:textId="33332D86" w:rsidR="007D0F8E" w:rsidRPr="00AA0B1C" w:rsidRDefault="007D0F8E" w:rsidP="00071185">
      <w:pPr>
        <w:widowControl/>
        <w:rPr>
          <w:rFonts w:ascii="CIDFont+F2" w:hAnsi="CIDFont+F2" w:cs="CIDFont+F2"/>
          <w:sz w:val="22"/>
          <w:szCs w:val="22"/>
        </w:rPr>
      </w:pPr>
    </w:p>
    <w:sectPr w:rsidR="007D0F8E" w:rsidRPr="00AA0B1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404"/>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AD5"/>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4F6D36"/>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4FD"/>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5886"/>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5697</TotalTime>
  <Pages>5</Pages>
  <Words>908</Words>
  <Characters>6688</Characters>
  <Application>Microsoft Office Word</Application>
  <DocSecurity>0</DocSecurity>
  <Lines>1337</Lines>
  <Paragraphs>253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1558</cp:revision>
  <cp:lastPrinted>2023-09-19T12:23:00Z</cp:lastPrinted>
  <dcterms:created xsi:type="dcterms:W3CDTF">2020-06-26T09:11:00Z</dcterms:created>
  <dcterms:modified xsi:type="dcterms:W3CDTF">2024-09-24T12:03:00Z</dcterms:modified>
</cp:coreProperties>
</file>