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6DC60727" w:rsidR="0096348C" w:rsidRDefault="00F5222B" w:rsidP="00E97AED">
            <w:pPr>
              <w:ind w:right="-269"/>
              <w:rPr>
                <w:b/>
              </w:rPr>
            </w:pPr>
            <w:r>
              <w:rPr>
                <w:b/>
              </w:rPr>
              <w:t>Utskottssammanträde 20</w:t>
            </w:r>
            <w:r w:rsidR="00914E3E">
              <w:rPr>
                <w:b/>
              </w:rPr>
              <w:t>2</w:t>
            </w:r>
            <w:r w:rsidR="00636EF1">
              <w:rPr>
                <w:b/>
              </w:rPr>
              <w:t>5</w:t>
            </w:r>
            <w:r w:rsidR="006375F0">
              <w:rPr>
                <w:b/>
              </w:rPr>
              <w:t>/2</w:t>
            </w:r>
            <w:r w:rsidR="00636EF1">
              <w:rPr>
                <w:b/>
              </w:rPr>
              <w:t>6</w:t>
            </w:r>
            <w:r w:rsidR="00C07F65">
              <w:rPr>
                <w:b/>
              </w:rPr>
              <w:t>:</w:t>
            </w:r>
            <w:r w:rsidR="009B7C1E">
              <w:rPr>
                <w:b/>
              </w:rPr>
              <w:t>20</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577D38C0" w:rsidR="008035C8" w:rsidRDefault="00A257B8" w:rsidP="00AF3CA6">
            <w:pPr>
              <w:ind w:right="355"/>
            </w:pPr>
            <w:r>
              <w:t>20</w:t>
            </w:r>
            <w:r w:rsidR="00CF36BC">
              <w:t>2</w:t>
            </w:r>
            <w:r w:rsidR="00701F1D">
              <w:t>5</w:t>
            </w:r>
            <w:r w:rsidR="002A3730">
              <w:t>-</w:t>
            </w:r>
            <w:r w:rsidR="009B7C1E">
              <w:t>12-16</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6D0DE738" w:rsidR="0096348C" w:rsidRDefault="009476AF" w:rsidP="00AF3CA6">
            <w:pPr>
              <w:ind w:right="-269"/>
            </w:pPr>
            <w:r>
              <w:t>K</w:t>
            </w:r>
            <w:r w:rsidR="00111135">
              <w:t>l</w:t>
            </w:r>
            <w:r>
              <w:t>.</w:t>
            </w:r>
            <w:r w:rsidR="002349AE">
              <w:t xml:space="preserve"> </w:t>
            </w:r>
            <w:r w:rsidR="009B7C1E" w:rsidRPr="00D47DB5">
              <w:t>10.30-</w:t>
            </w:r>
            <w:r w:rsidR="00D47DB5" w:rsidRPr="00D47DB5">
              <w:t>10.36</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7AE1D72A" w14:textId="5486E58B" w:rsidR="003C5006" w:rsidRDefault="0065642F" w:rsidP="002A3730">
            <w:pPr>
              <w:outlineLvl w:val="0"/>
              <w:rPr>
                <w:bCs/>
              </w:rPr>
            </w:pPr>
            <w:r>
              <w:rPr>
                <w:b/>
                <w:szCs w:val="24"/>
              </w:rPr>
              <w:t>Nytt stöd till Ukraina</w:t>
            </w:r>
            <w:r w:rsidR="001D458D">
              <w:rPr>
                <w:b/>
                <w:szCs w:val="24"/>
              </w:rPr>
              <w:br/>
            </w:r>
            <w:r w:rsidR="001D458D">
              <w:rPr>
                <w:bCs/>
                <w:szCs w:val="24"/>
              </w:rPr>
              <w:t xml:space="preserve">Utskottet överlade </w:t>
            </w:r>
            <w:r w:rsidR="001D458D">
              <w:rPr>
                <w:bCs/>
              </w:rPr>
              <w:t>med statssekreterare Johanna Lybeck Lilja biträdd av medarbetare från Finansdepartementet.</w:t>
            </w:r>
            <w:r>
              <w:rPr>
                <w:b/>
                <w:szCs w:val="24"/>
              </w:rPr>
              <w:br/>
            </w:r>
            <w:r w:rsidR="001D458D">
              <w:rPr>
                <w:bCs/>
              </w:rPr>
              <w:t xml:space="preserve">Underlaget utgjordes av Regeringskansliets </w:t>
            </w:r>
            <w:r w:rsidR="00D47DB5">
              <w:rPr>
                <w:bCs/>
              </w:rPr>
              <w:t>överläggnings</w:t>
            </w:r>
            <w:r w:rsidR="001D458D">
              <w:rPr>
                <w:bCs/>
              </w:rPr>
              <w:t xml:space="preserve">promemoria </w:t>
            </w:r>
            <w:r w:rsidR="001D458D">
              <w:rPr>
                <w:bCs/>
                <w:szCs w:val="24"/>
              </w:rPr>
              <w:t>(dnr 15–2025/26)</w:t>
            </w:r>
            <w:r w:rsidR="001D458D">
              <w:rPr>
                <w:bCs/>
              </w:rPr>
              <w:t>.</w:t>
            </w:r>
            <w:r w:rsidR="001D458D">
              <w:rPr>
                <w:bCs/>
              </w:rPr>
              <w:br/>
            </w:r>
            <w:r w:rsidR="001D458D">
              <w:rPr>
                <w:bCs/>
              </w:rPr>
              <w:br/>
              <w:t xml:space="preserve">Statssekreteraren redogjorde för regeringens ståndpunkt i </w:t>
            </w:r>
            <w:r w:rsidR="001D458D" w:rsidRPr="00570236">
              <w:rPr>
                <w:bCs/>
              </w:rPr>
              <w:t>enlighet med</w:t>
            </w:r>
            <w:r w:rsidR="001D458D">
              <w:rPr>
                <w:bCs/>
              </w:rPr>
              <w:t xml:space="preserve"> Regeringskansliets </w:t>
            </w:r>
            <w:r w:rsidR="003C5006">
              <w:rPr>
                <w:bCs/>
              </w:rPr>
              <w:t>överläggnings</w:t>
            </w:r>
            <w:r w:rsidR="001D458D">
              <w:rPr>
                <w:bCs/>
              </w:rPr>
              <w:t>promemoria:</w:t>
            </w:r>
          </w:p>
          <w:p w14:paraId="6C4A25E4" w14:textId="77777777" w:rsidR="003C5006" w:rsidRDefault="003C5006" w:rsidP="002A3730">
            <w:pPr>
              <w:outlineLvl w:val="0"/>
              <w:rPr>
                <w:bCs/>
              </w:rPr>
            </w:pPr>
          </w:p>
          <w:p w14:paraId="7B5CB01B" w14:textId="77777777" w:rsidR="003C5006" w:rsidRPr="00AD413A" w:rsidRDefault="001D458D" w:rsidP="00AD413A">
            <w:pPr>
              <w:pStyle w:val="Default"/>
              <w:ind w:left="432"/>
              <w:rPr>
                <w:bCs/>
                <w:color w:val="auto"/>
                <w:sz w:val="22"/>
                <w:szCs w:val="22"/>
              </w:rPr>
            </w:pPr>
            <w:r>
              <w:rPr>
                <w:bCs/>
              </w:rPr>
              <w:br/>
            </w:r>
            <w:r w:rsidR="003C5006" w:rsidRPr="00AD413A">
              <w:rPr>
                <w:bCs/>
                <w:color w:val="auto"/>
                <w:sz w:val="22"/>
                <w:szCs w:val="22"/>
              </w:rPr>
              <w:t xml:space="preserve">Regeringen verkar för att EU, i dialog med internationella partners, fortsätter upprätthålla ett omfattande, förutsebart och strukturerat ekonomiskt stöd till Ukraina som är i linje med Ukrainas behov. Givet Ukrainas akuta behov understryker regeringen vikten av skyndsam behandling. </w:t>
            </w:r>
          </w:p>
          <w:p w14:paraId="2DDCE4F9" w14:textId="77777777" w:rsidR="003C5006" w:rsidRPr="003C5006" w:rsidRDefault="003C5006" w:rsidP="00AD413A">
            <w:pPr>
              <w:widowControl/>
              <w:autoSpaceDE w:val="0"/>
              <w:autoSpaceDN w:val="0"/>
              <w:adjustRightInd w:val="0"/>
              <w:ind w:left="432"/>
              <w:rPr>
                <w:bCs/>
                <w:sz w:val="22"/>
                <w:szCs w:val="22"/>
              </w:rPr>
            </w:pPr>
            <w:r w:rsidRPr="003C5006">
              <w:rPr>
                <w:bCs/>
                <w:sz w:val="22"/>
                <w:szCs w:val="22"/>
              </w:rPr>
              <w:t xml:space="preserve">Regeringen verkar även för mer långtgående åtgärder när det gäller användandet av de immobiliserade ryska tillgångarna, i enlighet med folkrätten och EU-rätten. Regeringen anser att reparationslånet är den bästa lösningen för EU:s kommande finansiella stöd till Ukraina. </w:t>
            </w:r>
          </w:p>
          <w:p w14:paraId="0E48E892" w14:textId="77777777" w:rsidR="003C5006" w:rsidRPr="003C5006" w:rsidRDefault="003C5006" w:rsidP="00AD413A">
            <w:pPr>
              <w:widowControl/>
              <w:autoSpaceDE w:val="0"/>
              <w:autoSpaceDN w:val="0"/>
              <w:adjustRightInd w:val="0"/>
              <w:ind w:left="432"/>
              <w:rPr>
                <w:bCs/>
                <w:sz w:val="22"/>
                <w:szCs w:val="22"/>
              </w:rPr>
            </w:pPr>
            <w:r w:rsidRPr="003C5006">
              <w:rPr>
                <w:bCs/>
                <w:sz w:val="22"/>
                <w:szCs w:val="22"/>
              </w:rPr>
              <w:t xml:space="preserve">I sista hand om det inte är möjligt att nå en överenskommelse om reparationslånet och givet Ukrainas betydande och akuta behov, är det viktigt att säkra ny finansiering och att denna kommer på plats så snart som möjligt. Regeringen kan därför i sista hand också ställa sig bakom alternativa finansieringslösningar som baseras på att kommissionen lånar upp medel på finansmarknaden för EU:s räkning och ställer ut lån till Ukraina, antingen med EU-budgeten som garanti eller nationella garantier som ställs ut av medlemsstaterna. </w:t>
            </w:r>
          </w:p>
          <w:p w14:paraId="1E0EE0CA" w14:textId="77777777" w:rsidR="003C5006" w:rsidRPr="003C5006" w:rsidRDefault="003C5006" w:rsidP="00AD413A">
            <w:pPr>
              <w:widowControl/>
              <w:autoSpaceDE w:val="0"/>
              <w:autoSpaceDN w:val="0"/>
              <w:adjustRightInd w:val="0"/>
              <w:ind w:left="432"/>
              <w:rPr>
                <w:bCs/>
                <w:sz w:val="22"/>
                <w:szCs w:val="22"/>
              </w:rPr>
            </w:pPr>
            <w:r w:rsidRPr="003C5006">
              <w:rPr>
                <w:bCs/>
                <w:sz w:val="22"/>
                <w:szCs w:val="22"/>
              </w:rPr>
              <w:t xml:space="preserve">Regeringen arbetar för att det nya stödet blir ambitiöst och ändamålsenligt. Regeringen verkar för att kommissionens förslag utgår från Ukrainas behov och prioriteringar, är flexibelt avseende till exempel vad som kan upphandlas, samt att det täcker både budgetära och militära behov. </w:t>
            </w:r>
          </w:p>
          <w:p w14:paraId="3BD25E41" w14:textId="77777777" w:rsidR="003C5006" w:rsidRPr="003C5006" w:rsidRDefault="003C5006" w:rsidP="00AD413A">
            <w:pPr>
              <w:widowControl/>
              <w:autoSpaceDE w:val="0"/>
              <w:autoSpaceDN w:val="0"/>
              <w:adjustRightInd w:val="0"/>
              <w:ind w:left="432"/>
              <w:rPr>
                <w:bCs/>
                <w:sz w:val="22"/>
                <w:szCs w:val="22"/>
              </w:rPr>
            </w:pPr>
            <w:r w:rsidRPr="003C5006">
              <w:rPr>
                <w:bCs/>
                <w:sz w:val="22"/>
                <w:szCs w:val="22"/>
              </w:rPr>
              <w:t xml:space="preserve">Regeringen betonar att Ukraina befinner sig mitt i ett krig och att det därför är viktigt att stödet utgår från Ukrainas behov och är flexibelt. Stödet bör inte innebära för stor eller för tidsödande administrativ börda för Ukraina, då tiden är en viktig faktor. </w:t>
            </w:r>
          </w:p>
          <w:p w14:paraId="1076B849" w14:textId="77777777" w:rsidR="003C5006" w:rsidRPr="003C5006" w:rsidRDefault="003C5006" w:rsidP="00AD413A">
            <w:pPr>
              <w:widowControl/>
              <w:autoSpaceDE w:val="0"/>
              <w:autoSpaceDN w:val="0"/>
              <w:adjustRightInd w:val="0"/>
              <w:ind w:left="432"/>
              <w:rPr>
                <w:bCs/>
                <w:sz w:val="22"/>
                <w:szCs w:val="22"/>
              </w:rPr>
            </w:pPr>
            <w:r w:rsidRPr="003C5006">
              <w:rPr>
                <w:bCs/>
                <w:sz w:val="22"/>
                <w:szCs w:val="22"/>
              </w:rPr>
              <w:t xml:space="preserve">När det gäller det budgetära stödet är det viktigt med villkor gällande exempelvis rättsstatens principer, demokrati och åtgärder mot korruption. </w:t>
            </w:r>
          </w:p>
          <w:p w14:paraId="4C4CB7AB" w14:textId="012B76A4" w:rsidR="003C5006" w:rsidRPr="003C5006" w:rsidRDefault="003C5006" w:rsidP="00AD413A">
            <w:pPr>
              <w:ind w:left="432"/>
              <w:outlineLvl w:val="0"/>
              <w:rPr>
                <w:bCs/>
                <w:sz w:val="22"/>
                <w:szCs w:val="22"/>
              </w:rPr>
            </w:pPr>
            <w:r w:rsidRPr="00AD413A">
              <w:rPr>
                <w:bCs/>
                <w:sz w:val="22"/>
                <w:szCs w:val="22"/>
              </w:rPr>
              <w:t xml:space="preserve">När det gäller den militära delen av stödet verkar regeringen för att alla medel ska kunna nyttjas på ett sätt som gör att Ukraina kan uppfylla sina </w:t>
            </w:r>
            <w:r w:rsidRPr="003C5006">
              <w:rPr>
                <w:bCs/>
                <w:sz w:val="22"/>
                <w:szCs w:val="22"/>
              </w:rPr>
              <w:t xml:space="preserve">militära behov utan begränsningar, t.ex. avseende krav på andel i europeiska komponenter, ägarförhållanden eller samarbeten med tredjeland både inom och utom Europa. Regeringen verkar även för att förordningen inte ska innefatta krav som innebär tidsödande och betungande administrativa bördor. </w:t>
            </w:r>
            <w:r w:rsidRPr="00AD413A">
              <w:rPr>
                <w:bCs/>
                <w:sz w:val="22"/>
                <w:szCs w:val="22"/>
              </w:rPr>
              <w:br/>
            </w:r>
            <w:r w:rsidR="00AD413A">
              <w:rPr>
                <w:bCs/>
                <w:sz w:val="22"/>
                <w:szCs w:val="22"/>
              </w:rPr>
              <w:br/>
            </w:r>
            <w:r w:rsidRPr="003C5006">
              <w:rPr>
                <w:bCs/>
                <w:sz w:val="22"/>
                <w:szCs w:val="22"/>
              </w:rPr>
              <w:t xml:space="preserve">Vidare verkar regeringen för att det militära stödet ska kunna möjliggöra både korta- och långsiktiga investeringar för att stärka Ukrainas säkerhet. </w:t>
            </w:r>
          </w:p>
          <w:p w14:paraId="362EFABB" w14:textId="5620D5F8" w:rsidR="003C5006" w:rsidRPr="003C5006" w:rsidRDefault="00C828D8" w:rsidP="00AD413A">
            <w:pPr>
              <w:widowControl/>
              <w:autoSpaceDE w:val="0"/>
              <w:autoSpaceDN w:val="0"/>
              <w:adjustRightInd w:val="0"/>
              <w:ind w:left="432"/>
              <w:rPr>
                <w:bCs/>
                <w:sz w:val="22"/>
                <w:szCs w:val="22"/>
              </w:rPr>
            </w:pPr>
            <w:r>
              <w:rPr>
                <w:bCs/>
                <w:sz w:val="22"/>
                <w:szCs w:val="22"/>
              </w:rPr>
              <w:br/>
            </w:r>
            <w:r>
              <w:rPr>
                <w:bCs/>
                <w:sz w:val="22"/>
                <w:szCs w:val="22"/>
              </w:rPr>
              <w:br/>
            </w:r>
            <w:r>
              <w:rPr>
                <w:bCs/>
                <w:sz w:val="22"/>
                <w:szCs w:val="22"/>
              </w:rPr>
              <w:lastRenderedPageBreak/>
              <w:br/>
            </w:r>
            <w:r>
              <w:rPr>
                <w:bCs/>
                <w:sz w:val="22"/>
                <w:szCs w:val="22"/>
              </w:rPr>
              <w:br/>
            </w:r>
            <w:r w:rsidR="003C5006" w:rsidRPr="003C5006">
              <w:rPr>
                <w:bCs/>
                <w:sz w:val="22"/>
                <w:szCs w:val="22"/>
              </w:rPr>
              <w:t xml:space="preserve">När det gäller garantier för att täcka riskerna är det viktigt med en bred och rättvis </w:t>
            </w:r>
            <w:proofErr w:type="spellStart"/>
            <w:r w:rsidR="003C5006" w:rsidRPr="003C5006">
              <w:rPr>
                <w:bCs/>
                <w:sz w:val="22"/>
                <w:szCs w:val="22"/>
              </w:rPr>
              <w:t>bördefördelning</w:t>
            </w:r>
            <w:proofErr w:type="spellEnd"/>
            <w:r w:rsidR="003C5006" w:rsidRPr="003C5006">
              <w:rPr>
                <w:bCs/>
                <w:sz w:val="22"/>
                <w:szCs w:val="22"/>
              </w:rPr>
              <w:t xml:space="preserve"> mellan EU:s medlemsstater. </w:t>
            </w:r>
          </w:p>
          <w:p w14:paraId="4355A915" w14:textId="4A5CFE82" w:rsidR="003C5006" w:rsidRPr="003C5006" w:rsidRDefault="00AD413A" w:rsidP="00C828D8">
            <w:pPr>
              <w:widowControl/>
              <w:autoSpaceDE w:val="0"/>
              <w:autoSpaceDN w:val="0"/>
              <w:adjustRightInd w:val="0"/>
              <w:ind w:left="432"/>
              <w:rPr>
                <w:bCs/>
                <w:sz w:val="22"/>
                <w:szCs w:val="22"/>
              </w:rPr>
            </w:pPr>
            <w:r>
              <w:rPr>
                <w:bCs/>
                <w:sz w:val="22"/>
                <w:szCs w:val="22"/>
              </w:rPr>
              <w:br/>
            </w:r>
            <w:r w:rsidR="003C5006" w:rsidRPr="003C5006">
              <w:rPr>
                <w:bCs/>
                <w:sz w:val="22"/>
                <w:szCs w:val="22"/>
              </w:rPr>
              <w:t xml:space="preserve">Regeringen anser vidare att det är viktigt med långsiktighet vad gäller immobiliseringen av de ryska tillgångarna. Regeringen välkomnar därför rådets beslut om att förbjuda att tillgångarna förs tillbaka till Ryssland till dess att kriget avslutats och andra villkor uppfyllts, inklusive att Ryssland har betalat krigsskadestånd till Ukraina. </w:t>
            </w:r>
          </w:p>
          <w:p w14:paraId="044DF7D7" w14:textId="4844599A" w:rsidR="0021156F" w:rsidRPr="00AD413A" w:rsidRDefault="003C5006" w:rsidP="00AD413A">
            <w:pPr>
              <w:ind w:left="432"/>
              <w:outlineLvl w:val="0"/>
              <w:rPr>
                <w:bCs/>
                <w:sz w:val="22"/>
                <w:szCs w:val="22"/>
              </w:rPr>
            </w:pPr>
            <w:r w:rsidRPr="00AD413A">
              <w:rPr>
                <w:bCs/>
                <w:sz w:val="22"/>
                <w:szCs w:val="22"/>
              </w:rPr>
              <w:t>Slutligen anser regeringen att det är viktigt att lösningen vad gäller immobiliserade tillgångar inte begränsar möjligheten att eventuellt vidta andra mer långtgående åtgärder i framtiden.</w:t>
            </w:r>
          </w:p>
          <w:p w14:paraId="6AE3DE59" w14:textId="77777777" w:rsidR="00AF7C93" w:rsidRDefault="00AF7C93" w:rsidP="002A3730">
            <w:pPr>
              <w:outlineLvl w:val="0"/>
              <w:rPr>
                <w:bCs/>
              </w:rPr>
            </w:pPr>
          </w:p>
          <w:p w14:paraId="49C09703" w14:textId="139C78B9" w:rsidR="002A3730" w:rsidRPr="0065642F" w:rsidRDefault="001D458D" w:rsidP="002A3730">
            <w:pPr>
              <w:outlineLvl w:val="0"/>
              <w:rPr>
                <w:bCs/>
                <w:szCs w:val="24"/>
              </w:rPr>
            </w:pPr>
            <w:r>
              <w:rPr>
                <w:bCs/>
              </w:rPr>
              <w:br/>
            </w:r>
            <w:r w:rsidR="00AF7C93" w:rsidRPr="00AB3BD6">
              <w:rPr>
                <w:bCs/>
              </w:rPr>
              <w:t>Ordföranden konstaterade att det fanns stöd för regeringens ståndpunkt.</w:t>
            </w:r>
            <w:r w:rsidR="00BA4954">
              <w:rPr>
                <w:bCs/>
              </w:rPr>
              <w:br/>
            </w:r>
          </w:p>
        </w:tc>
      </w:tr>
      <w:tr w:rsidR="002A3730" w14:paraId="2C8ABE0A" w14:textId="77777777" w:rsidTr="008035C8">
        <w:tc>
          <w:tcPr>
            <w:tcW w:w="567" w:type="dxa"/>
          </w:tcPr>
          <w:p w14:paraId="442699FD" w14:textId="410B3DA0" w:rsidR="002A3730" w:rsidRPr="00C92C53" w:rsidRDefault="002A3730" w:rsidP="002A3730">
            <w:pPr>
              <w:pStyle w:val="Default"/>
              <w:rPr>
                <w:b/>
              </w:rPr>
            </w:pPr>
            <w:r w:rsidRPr="00C92C53">
              <w:rPr>
                <w:b/>
              </w:rPr>
              <w:lastRenderedPageBreak/>
              <w:t xml:space="preserve">§ </w:t>
            </w:r>
            <w:r w:rsidR="00C34593">
              <w:rPr>
                <w:b/>
              </w:rPr>
              <w:t>2</w:t>
            </w:r>
          </w:p>
        </w:tc>
        <w:tc>
          <w:tcPr>
            <w:tcW w:w="7655" w:type="dxa"/>
          </w:tcPr>
          <w:p w14:paraId="17EE5049" w14:textId="75A3B31C" w:rsidR="002A3730" w:rsidRPr="002A3730" w:rsidRDefault="0065642F" w:rsidP="002A3730">
            <w:pPr>
              <w:outlineLvl w:val="0"/>
              <w:rPr>
                <w:bCs/>
                <w:szCs w:val="24"/>
              </w:rPr>
            </w:pPr>
            <w:r w:rsidRPr="002A3730">
              <w:rPr>
                <w:b/>
                <w:szCs w:val="24"/>
              </w:rPr>
              <w:t>Anmälningar</w:t>
            </w:r>
            <w:r w:rsidR="00C34593">
              <w:rPr>
                <w:b/>
                <w:szCs w:val="24"/>
              </w:rPr>
              <w:br/>
            </w:r>
            <w:r w:rsidR="00C34593">
              <w:rPr>
                <w:bCs/>
                <w:szCs w:val="24"/>
              </w:rPr>
              <w:t>Utskottet beslutade att bjuda in riksbankschef Erik Thedéen till sammanträdet den 20 januari för att informera om arbetet med e-krona.</w:t>
            </w:r>
            <w:r>
              <w:rPr>
                <w:b/>
                <w:szCs w:val="24"/>
              </w:rPr>
              <w:br/>
            </w:r>
            <w:r w:rsidR="002A3730" w:rsidRPr="002A3730">
              <w:rPr>
                <w:b/>
                <w:szCs w:val="24"/>
              </w:rPr>
              <w:br/>
            </w:r>
          </w:p>
        </w:tc>
      </w:tr>
      <w:tr w:rsidR="006A74AC" w14:paraId="381DDF23" w14:textId="77777777" w:rsidTr="008035C8">
        <w:tc>
          <w:tcPr>
            <w:tcW w:w="567" w:type="dxa"/>
          </w:tcPr>
          <w:p w14:paraId="3B83AFC3" w14:textId="500DFDE9" w:rsidR="006A74AC" w:rsidRDefault="006A74AC" w:rsidP="002A3730">
            <w:pPr>
              <w:tabs>
                <w:tab w:val="left" w:pos="1701"/>
              </w:tabs>
              <w:rPr>
                <w:b/>
                <w:snapToGrid w:val="0"/>
              </w:rPr>
            </w:pPr>
            <w:r w:rsidRPr="00C92C53">
              <w:rPr>
                <w:b/>
              </w:rPr>
              <w:t>§</w:t>
            </w:r>
            <w:r w:rsidR="00C34593">
              <w:rPr>
                <w:b/>
              </w:rPr>
              <w:t xml:space="preserve"> 3</w:t>
            </w:r>
          </w:p>
        </w:tc>
        <w:tc>
          <w:tcPr>
            <w:tcW w:w="7655" w:type="dxa"/>
          </w:tcPr>
          <w:p w14:paraId="45FA8DC7" w14:textId="3D1C753C" w:rsidR="006A74AC" w:rsidRDefault="0065642F" w:rsidP="002A3730">
            <w:pPr>
              <w:outlineLvl w:val="0"/>
              <w:rPr>
                <w:b/>
                <w:bCs/>
              </w:rPr>
            </w:pPr>
            <w:r w:rsidRPr="002A3730">
              <w:rPr>
                <w:b/>
                <w:szCs w:val="24"/>
              </w:rPr>
              <w:t>Justering av protokoll</w:t>
            </w:r>
            <w:r w:rsidRPr="002A3730">
              <w:rPr>
                <w:b/>
                <w:szCs w:val="24"/>
              </w:rPr>
              <w:br/>
            </w:r>
            <w:r>
              <w:rPr>
                <w:bCs/>
                <w:szCs w:val="24"/>
              </w:rPr>
              <w:t>Utskottet justerade protokoll nr 2025/26:19.</w:t>
            </w:r>
            <w:r w:rsidRPr="002A3730">
              <w:rPr>
                <w:b/>
                <w:szCs w:val="24"/>
              </w:rPr>
              <w:br/>
            </w:r>
          </w:p>
        </w:tc>
      </w:tr>
      <w:tr w:rsidR="006A74AC" w14:paraId="20B894FB" w14:textId="77777777" w:rsidTr="008035C8">
        <w:tc>
          <w:tcPr>
            <w:tcW w:w="567" w:type="dxa"/>
          </w:tcPr>
          <w:p w14:paraId="34A9F0DB" w14:textId="04D799E7" w:rsidR="006A74AC" w:rsidRDefault="006A74AC" w:rsidP="002A3730">
            <w:pPr>
              <w:tabs>
                <w:tab w:val="left" w:pos="1701"/>
              </w:tabs>
              <w:rPr>
                <w:b/>
                <w:snapToGrid w:val="0"/>
              </w:rPr>
            </w:pPr>
            <w:r w:rsidRPr="00C92C53">
              <w:rPr>
                <w:b/>
              </w:rPr>
              <w:t>§</w:t>
            </w:r>
            <w:r w:rsidR="00C34593">
              <w:rPr>
                <w:b/>
              </w:rPr>
              <w:t xml:space="preserve"> 4</w:t>
            </w:r>
          </w:p>
        </w:tc>
        <w:tc>
          <w:tcPr>
            <w:tcW w:w="7655" w:type="dxa"/>
          </w:tcPr>
          <w:p w14:paraId="7381826B" w14:textId="2EF0CB21" w:rsidR="006A74AC" w:rsidRDefault="0065642F" w:rsidP="002A3730">
            <w:pPr>
              <w:outlineLvl w:val="0"/>
              <w:rPr>
                <w:b/>
                <w:bCs/>
              </w:rPr>
            </w:pPr>
            <w:r>
              <w:rPr>
                <w:b/>
              </w:rPr>
              <w:t>Statens budget för 2026 (FiU10)</w:t>
            </w:r>
            <w:r>
              <w:rPr>
                <w:b/>
              </w:rPr>
              <w:br/>
            </w:r>
            <w:r>
              <w:rPr>
                <w:bCs/>
              </w:rPr>
              <w:t>Utskottet inledde beredningen av sammanställning</w:t>
            </w:r>
            <w:r w:rsidR="005A5985">
              <w:rPr>
                <w:bCs/>
              </w:rPr>
              <w:t>en</w:t>
            </w:r>
            <w:r>
              <w:rPr>
                <w:bCs/>
              </w:rPr>
              <w:t xml:space="preserve"> av </w:t>
            </w:r>
            <w:r w:rsidR="005A5985">
              <w:rPr>
                <w:bCs/>
              </w:rPr>
              <w:t>statens budget för 2026.</w:t>
            </w:r>
            <w:r>
              <w:rPr>
                <w:bCs/>
              </w:rPr>
              <w:br/>
            </w:r>
            <w:r>
              <w:rPr>
                <w:bCs/>
              </w:rPr>
              <w:br/>
              <w:t>Ärendet bordlades.</w:t>
            </w:r>
            <w:r>
              <w:rPr>
                <w:b/>
              </w:rPr>
              <w:br/>
            </w:r>
          </w:p>
          <w:p w14:paraId="7689D4E0" w14:textId="2D32089F" w:rsidR="006A74AC" w:rsidRDefault="006A74AC" w:rsidP="002A3730">
            <w:pPr>
              <w:outlineLvl w:val="0"/>
              <w:rPr>
                <w:b/>
                <w:bCs/>
              </w:rPr>
            </w:pPr>
          </w:p>
        </w:tc>
      </w:tr>
      <w:tr w:rsidR="004B3BBC" w14:paraId="7B0250A7" w14:textId="77777777" w:rsidTr="008035C8">
        <w:tc>
          <w:tcPr>
            <w:tcW w:w="567" w:type="dxa"/>
          </w:tcPr>
          <w:p w14:paraId="077E6C69" w14:textId="314EB111" w:rsidR="004B3BBC" w:rsidRPr="00C92C53" w:rsidRDefault="004B3BBC" w:rsidP="002A3730">
            <w:pPr>
              <w:tabs>
                <w:tab w:val="left" w:pos="1701"/>
              </w:tabs>
              <w:rPr>
                <w:b/>
              </w:rPr>
            </w:pPr>
            <w:r>
              <w:rPr>
                <w:b/>
              </w:rPr>
              <w:t>§</w:t>
            </w:r>
            <w:r w:rsidR="00D47DB5">
              <w:rPr>
                <w:b/>
              </w:rPr>
              <w:t xml:space="preserve"> 5</w:t>
            </w:r>
          </w:p>
        </w:tc>
        <w:tc>
          <w:tcPr>
            <w:tcW w:w="7655" w:type="dxa"/>
          </w:tcPr>
          <w:p w14:paraId="1811B967" w14:textId="5CB2ED56" w:rsidR="004B3BBC" w:rsidRPr="004B3BBC" w:rsidRDefault="004B3BBC" w:rsidP="002A3730">
            <w:pPr>
              <w:outlineLvl w:val="0"/>
              <w:rPr>
                <w:bCs/>
              </w:rPr>
            </w:pPr>
            <w:r>
              <w:rPr>
                <w:b/>
              </w:rPr>
              <w:t>Mottagande av motionsyrkande</w:t>
            </w:r>
            <w:r>
              <w:rPr>
                <w:b/>
              </w:rPr>
              <w:br/>
            </w:r>
            <w:r>
              <w:rPr>
                <w:bCs/>
              </w:rPr>
              <w:t>Utskottet beslutade att ta emot motion 2025/26:2369 av Håkan Svenneling m.fl. (V) yrkande 14 från utrikesutskottet.</w:t>
            </w:r>
            <w:r>
              <w:rPr>
                <w:bCs/>
              </w:rPr>
              <w:br/>
            </w:r>
          </w:p>
        </w:tc>
      </w:tr>
      <w:tr w:rsidR="002A3730" w14:paraId="448AFCE1" w14:textId="77777777" w:rsidTr="008035C8">
        <w:tc>
          <w:tcPr>
            <w:tcW w:w="567" w:type="dxa"/>
          </w:tcPr>
          <w:p w14:paraId="265C4579" w14:textId="32EB9EEF" w:rsidR="002A3730" w:rsidRDefault="002A3730" w:rsidP="002A3730">
            <w:pPr>
              <w:tabs>
                <w:tab w:val="left" w:pos="1701"/>
              </w:tabs>
              <w:rPr>
                <w:b/>
                <w:snapToGrid w:val="0"/>
              </w:rPr>
            </w:pPr>
            <w:r>
              <w:rPr>
                <w:b/>
                <w:snapToGrid w:val="0"/>
              </w:rPr>
              <w:t xml:space="preserve">§ </w:t>
            </w:r>
            <w:r w:rsidR="00D47DB5">
              <w:rPr>
                <w:b/>
                <w:snapToGrid w:val="0"/>
              </w:rPr>
              <w:t>6</w:t>
            </w:r>
          </w:p>
        </w:tc>
        <w:tc>
          <w:tcPr>
            <w:tcW w:w="7655" w:type="dxa"/>
          </w:tcPr>
          <w:p w14:paraId="00914D18" w14:textId="77FFBE85" w:rsidR="002A3730" w:rsidRPr="00AF7C93" w:rsidRDefault="002A3730" w:rsidP="002A3730">
            <w:pPr>
              <w:outlineLvl w:val="0"/>
              <w:rPr>
                <w:bCs/>
              </w:rPr>
            </w:pPr>
            <w:r>
              <w:rPr>
                <w:b/>
              </w:rPr>
              <w:t>Nästa sammanträde</w:t>
            </w:r>
            <w:r w:rsidR="00AF7C93">
              <w:rPr>
                <w:b/>
              </w:rPr>
              <w:br/>
            </w:r>
            <w:r w:rsidR="00AF7C93">
              <w:rPr>
                <w:bCs/>
              </w:rPr>
              <w:t>Onsdag 17 december snarast möjligt efter avslutningen i kammaren.</w:t>
            </w:r>
            <w:r w:rsidR="00AF7C93" w:rsidRPr="00E92097">
              <w:rPr>
                <w:b/>
              </w:rPr>
              <w:br/>
            </w: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4E614365" w14:textId="77777777" w:rsidR="002A3730" w:rsidRDefault="002A3730" w:rsidP="002A3730">
            <w:pPr>
              <w:outlineLvl w:val="0"/>
            </w:pPr>
          </w:p>
          <w:p w14:paraId="2215B6FB" w14:textId="77777777" w:rsidR="00AF7C93" w:rsidRDefault="00AF7C93" w:rsidP="002A3730">
            <w:pPr>
              <w:outlineLvl w:val="0"/>
            </w:pPr>
          </w:p>
          <w:p w14:paraId="2274DDAD" w14:textId="77777777" w:rsidR="002A3730" w:rsidRDefault="002A3730"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7B13580B" w14:textId="620B90A9" w:rsidR="002A3730" w:rsidRPr="00BD39D1" w:rsidRDefault="002A3730" w:rsidP="002A3730">
            <w:pPr>
              <w:outlineLvl w:val="0"/>
            </w:pPr>
            <w:r>
              <w:t>Justera</w:t>
            </w:r>
            <w:r w:rsidR="00A2262D">
              <w:t>t</w:t>
            </w:r>
            <w:r>
              <w:t xml:space="preserve"> </w:t>
            </w:r>
            <w:r w:rsidRPr="0094430E">
              <w:t>den</w:t>
            </w:r>
            <w:r w:rsidR="0094430E" w:rsidRPr="0094430E">
              <w:t xml:space="preserve"> 13 januari</w:t>
            </w:r>
            <w:r w:rsidRPr="0094430E">
              <w:t xml:space="preserve"> </w:t>
            </w:r>
            <w:r w:rsidR="00AF7C93" w:rsidRPr="0094430E">
              <w:t>202</w:t>
            </w:r>
            <w:r w:rsidR="00100A3A" w:rsidRPr="0094430E">
              <w:t>6</w:t>
            </w:r>
            <w:r w:rsidRPr="0094430E">
              <w:t xml:space="preserve"> </w:t>
            </w:r>
            <w:r w:rsidR="00AF7C93">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331980B9" w14:textId="4B5F5D3A" w:rsidR="005A0175" w:rsidRDefault="005A0175" w:rsidP="005A0175">
      <w:pPr>
        <w:pStyle w:val="Sidhuvud"/>
        <w:tabs>
          <w:tab w:val="clear" w:pos="4536"/>
          <w:tab w:val="left" w:pos="3402"/>
          <w:tab w:val="left" w:pos="6946"/>
        </w:tabs>
        <w:rPr>
          <w:sz w:val="20"/>
        </w:rPr>
      </w:pPr>
    </w:p>
    <w:p w14:paraId="06533452" w14:textId="22C1AC0A" w:rsidR="00D47DB5" w:rsidRDefault="00D47DB5" w:rsidP="00EF6F88">
      <w:pPr>
        <w:pStyle w:val="Sidhuvud"/>
        <w:tabs>
          <w:tab w:val="clear" w:pos="4536"/>
          <w:tab w:val="left" w:pos="3402"/>
          <w:tab w:val="left" w:pos="5529"/>
        </w:tabs>
        <w:ind w:left="-851"/>
        <w:rPr>
          <w:sz w:val="20"/>
        </w:rPr>
      </w:pPr>
    </w:p>
    <w:p w14:paraId="7AF1CFB3" w14:textId="29B9FE97" w:rsidR="00672694" w:rsidRDefault="00672694" w:rsidP="00EF6F88">
      <w:pPr>
        <w:pStyle w:val="Sidhuvud"/>
        <w:tabs>
          <w:tab w:val="clear" w:pos="4536"/>
          <w:tab w:val="left" w:pos="3402"/>
          <w:tab w:val="left" w:pos="5529"/>
        </w:tabs>
        <w:ind w:left="-851"/>
        <w:rPr>
          <w:sz w:val="20"/>
        </w:rPr>
      </w:pPr>
    </w:p>
    <w:p w14:paraId="5F68A45F" w14:textId="4C76AF38" w:rsidR="00672694" w:rsidRDefault="00672694" w:rsidP="00EF6F88">
      <w:pPr>
        <w:pStyle w:val="Sidhuvud"/>
        <w:tabs>
          <w:tab w:val="clear" w:pos="4536"/>
          <w:tab w:val="left" w:pos="3402"/>
          <w:tab w:val="left" w:pos="5529"/>
        </w:tabs>
        <w:ind w:left="-851"/>
        <w:rPr>
          <w:sz w:val="20"/>
        </w:rPr>
      </w:pPr>
    </w:p>
    <w:p w14:paraId="002CE7F7" w14:textId="77777777" w:rsidR="00672694" w:rsidRDefault="00672694" w:rsidP="00EF6F88">
      <w:pPr>
        <w:pStyle w:val="Sidhuvud"/>
        <w:tabs>
          <w:tab w:val="clear" w:pos="4536"/>
          <w:tab w:val="left" w:pos="3402"/>
          <w:tab w:val="left" w:pos="5529"/>
        </w:tabs>
        <w:ind w:left="-851"/>
        <w:rPr>
          <w:sz w:val="20"/>
        </w:rPr>
      </w:pPr>
    </w:p>
    <w:p w14:paraId="59E69A12" w14:textId="77777777" w:rsidR="00D47DB5" w:rsidRDefault="00D47DB5" w:rsidP="00EF6F88">
      <w:pPr>
        <w:pStyle w:val="Sidhuvud"/>
        <w:tabs>
          <w:tab w:val="clear" w:pos="4536"/>
          <w:tab w:val="left" w:pos="3402"/>
          <w:tab w:val="left" w:pos="5529"/>
        </w:tabs>
        <w:ind w:left="-851"/>
        <w:rPr>
          <w:sz w:val="20"/>
        </w:rPr>
      </w:pPr>
    </w:p>
    <w:p w14:paraId="7A7B2BBF" w14:textId="410AE456"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100A3A">
        <w:rPr>
          <w:sz w:val="22"/>
          <w:szCs w:val="22"/>
        </w:rPr>
        <w:t>20</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7EB194C7" w:rsidR="00EF6F88" w:rsidRPr="000E151F" w:rsidRDefault="0022021E" w:rsidP="002B2C82">
            <w:pPr>
              <w:spacing w:line="360" w:lineRule="auto"/>
              <w:rPr>
                <w:sz w:val="22"/>
                <w:szCs w:val="22"/>
              </w:rPr>
            </w:pPr>
            <w:r>
              <w:rPr>
                <w:sz w:val="22"/>
                <w:szCs w:val="22"/>
              </w:rPr>
              <w:t>§</w:t>
            </w:r>
            <w:proofErr w:type="gramStart"/>
            <w:r>
              <w:rPr>
                <w:sz w:val="22"/>
                <w:szCs w:val="22"/>
              </w:rPr>
              <w:t>1-</w:t>
            </w:r>
            <w:r w:rsidR="00D47DB5">
              <w:rPr>
                <w:sz w:val="22"/>
                <w:szCs w:val="22"/>
              </w:rPr>
              <w:t>6</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7DA59A3D" w:rsidR="00EF6F88" w:rsidRPr="000E151F" w:rsidRDefault="00D47DB5"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5355B6"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5355B6" w:rsidRPr="00A946FF" w:rsidRDefault="005355B6" w:rsidP="005355B6">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7F35617A" w:rsidR="005355B6" w:rsidRPr="000E151F" w:rsidRDefault="005355B6" w:rsidP="005355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5355B6" w:rsidRPr="000E151F" w:rsidRDefault="005355B6" w:rsidP="005355B6">
            <w:pPr>
              <w:rPr>
                <w:sz w:val="22"/>
                <w:szCs w:val="22"/>
              </w:rPr>
            </w:pPr>
          </w:p>
        </w:tc>
      </w:tr>
      <w:tr w:rsidR="00D47DB5"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D47DB5" w:rsidRPr="00A946FF" w:rsidRDefault="00D47DB5" w:rsidP="00D47DB5">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587E24B3"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D47DB5" w:rsidRPr="000E151F" w:rsidRDefault="00D47DB5" w:rsidP="00D47DB5">
            <w:pPr>
              <w:rPr>
                <w:sz w:val="22"/>
                <w:szCs w:val="22"/>
              </w:rPr>
            </w:pPr>
          </w:p>
        </w:tc>
      </w:tr>
      <w:tr w:rsidR="00D47DB5"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D47DB5" w:rsidRPr="000E151F" w:rsidRDefault="00D47DB5" w:rsidP="00D47DB5">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7A52DACA"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D47DB5" w:rsidRPr="000E151F" w:rsidRDefault="00D47DB5" w:rsidP="00D47DB5">
            <w:pPr>
              <w:rPr>
                <w:sz w:val="22"/>
                <w:szCs w:val="22"/>
              </w:rPr>
            </w:pPr>
          </w:p>
        </w:tc>
      </w:tr>
      <w:tr w:rsidR="00D47DB5"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D47DB5" w:rsidRDefault="00D47DB5" w:rsidP="00D47DB5">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57A06993"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D47DB5" w:rsidRPr="000E151F" w:rsidRDefault="00D47DB5" w:rsidP="00D47DB5">
            <w:pPr>
              <w:rPr>
                <w:sz w:val="22"/>
                <w:szCs w:val="22"/>
              </w:rPr>
            </w:pPr>
          </w:p>
        </w:tc>
      </w:tr>
      <w:tr w:rsidR="00D47DB5"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D47DB5" w:rsidRDefault="00D47DB5" w:rsidP="00D47DB5">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3FFEFF59"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D47DB5" w:rsidRPr="000E151F" w:rsidRDefault="00D47DB5" w:rsidP="00D47DB5">
            <w:pPr>
              <w:rPr>
                <w:sz w:val="22"/>
                <w:szCs w:val="22"/>
              </w:rPr>
            </w:pPr>
          </w:p>
        </w:tc>
      </w:tr>
      <w:tr w:rsidR="00D47DB5"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D47DB5" w:rsidRDefault="00D47DB5" w:rsidP="00D47DB5">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3496D618"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D47DB5" w:rsidRPr="000E151F" w:rsidRDefault="00D47DB5" w:rsidP="00D47DB5">
            <w:pPr>
              <w:rPr>
                <w:sz w:val="22"/>
                <w:szCs w:val="22"/>
              </w:rPr>
            </w:pPr>
          </w:p>
        </w:tc>
      </w:tr>
      <w:tr w:rsidR="00D47DB5"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D47DB5" w:rsidRDefault="00D47DB5" w:rsidP="00D47DB5">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19A02B9D"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D47DB5" w:rsidRPr="000E151F" w:rsidRDefault="00D47DB5" w:rsidP="00D47DB5">
            <w:pPr>
              <w:rPr>
                <w:sz w:val="22"/>
                <w:szCs w:val="22"/>
              </w:rPr>
            </w:pPr>
          </w:p>
        </w:tc>
      </w:tr>
      <w:tr w:rsidR="00D47DB5"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D47DB5" w:rsidRDefault="00D47DB5" w:rsidP="00D47DB5">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30B5F828"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D47DB5" w:rsidRPr="000E151F" w:rsidRDefault="00D47DB5" w:rsidP="00D47DB5">
            <w:pPr>
              <w:rPr>
                <w:sz w:val="22"/>
                <w:szCs w:val="22"/>
              </w:rPr>
            </w:pPr>
          </w:p>
        </w:tc>
      </w:tr>
      <w:tr w:rsidR="00D47DB5"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D47DB5" w:rsidRDefault="00D47DB5" w:rsidP="00D47DB5">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4FFDF35E"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D47DB5" w:rsidRPr="000E151F" w:rsidRDefault="00D47DB5" w:rsidP="00D47DB5">
            <w:pPr>
              <w:rPr>
                <w:sz w:val="22"/>
                <w:szCs w:val="22"/>
              </w:rPr>
            </w:pPr>
          </w:p>
        </w:tc>
      </w:tr>
      <w:tr w:rsidR="00D47DB5"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D47DB5" w:rsidRPr="000E151F" w:rsidRDefault="00D47DB5" w:rsidP="00D47DB5">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5C6E3902"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D47DB5" w:rsidRPr="000E151F" w:rsidRDefault="00D47DB5" w:rsidP="00D47DB5">
            <w:pPr>
              <w:rPr>
                <w:sz w:val="22"/>
                <w:szCs w:val="22"/>
              </w:rPr>
            </w:pPr>
          </w:p>
        </w:tc>
      </w:tr>
      <w:tr w:rsidR="00D47DB5"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D47DB5" w:rsidRPr="000E151F" w:rsidRDefault="00D47DB5" w:rsidP="00D47DB5">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0B8DF618"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D47DB5" w:rsidRPr="000E151F" w:rsidRDefault="00D47DB5" w:rsidP="00D47DB5">
            <w:pPr>
              <w:rPr>
                <w:sz w:val="22"/>
                <w:szCs w:val="22"/>
              </w:rPr>
            </w:pPr>
          </w:p>
        </w:tc>
      </w:tr>
      <w:tr w:rsidR="00D47DB5"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D47DB5" w:rsidRPr="000E151F" w:rsidRDefault="00D47DB5" w:rsidP="00D47DB5">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6026AD91"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D47DB5" w:rsidRPr="000E151F" w:rsidRDefault="00D47DB5" w:rsidP="00D47DB5">
            <w:pPr>
              <w:rPr>
                <w:sz w:val="22"/>
                <w:szCs w:val="22"/>
              </w:rPr>
            </w:pPr>
          </w:p>
        </w:tc>
      </w:tr>
      <w:tr w:rsidR="00D47DB5"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D47DB5" w:rsidRPr="000E151F" w:rsidRDefault="00D47DB5" w:rsidP="00D47DB5">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46DD6C04"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D47DB5" w:rsidRPr="000E151F" w:rsidRDefault="00D47DB5" w:rsidP="00D47DB5">
            <w:pPr>
              <w:rPr>
                <w:sz w:val="22"/>
                <w:szCs w:val="22"/>
              </w:rPr>
            </w:pPr>
          </w:p>
        </w:tc>
      </w:tr>
      <w:tr w:rsidR="00D47DB5"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D47DB5" w:rsidRPr="000E151F" w:rsidRDefault="00D47DB5" w:rsidP="00D47DB5">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3785B536"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D47DB5" w:rsidRPr="000E151F" w:rsidRDefault="00D47DB5" w:rsidP="00D47DB5">
            <w:pPr>
              <w:rPr>
                <w:sz w:val="22"/>
                <w:szCs w:val="22"/>
              </w:rPr>
            </w:pPr>
          </w:p>
        </w:tc>
      </w:tr>
      <w:tr w:rsidR="00D47DB5"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D47DB5" w:rsidRDefault="00D47DB5" w:rsidP="00D47DB5">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1F85B7B4"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D47DB5" w:rsidRPr="000E151F" w:rsidRDefault="00D47DB5" w:rsidP="00D47DB5">
            <w:pPr>
              <w:rPr>
                <w:sz w:val="22"/>
                <w:szCs w:val="22"/>
              </w:rPr>
            </w:pPr>
          </w:p>
        </w:tc>
      </w:tr>
      <w:tr w:rsidR="00D47DB5"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D47DB5" w:rsidRPr="000E151F" w:rsidRDefault="00D47DB5" w:rsidP="00D47DB5">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67E53B1F" w:rsidR="00D47DB5" w:rsidRPr="000E151F" w:rsidRDefault="00D47DB5" w:rsidP="00D47DB5">
            <w:pPr>
              <w:rPr>
                <w:sz w:val="22"/>
                <w:szCs w:val="22"/>
              </w:rPr>
            </w:pPr>
            <w:r w:rsidRPr="0065385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D47DB5" w:rsidRPr="000E151F" w:rsidRDefault="00D47DB5" w:rsidP="00D47DB5">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D47DB5" w:rsidRPr="000E151F" w:rsidRDefault="00D47DB5" w:rsidP="00D47DB5">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D47DB5" w:rsidRPr="000E151F" w:rsidRDefault="00D47DB5" w:rsidP="00D47DB5">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D47DB5" w:rsidRPr="000E151F" w:rsidRDefault="00D47DB5" w:rsidP="00D47DB5">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601A0015" w:rsidR="000E2953" w:rsidRPr="000E151F" w:rsidRDefault="00D47DB5"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EE20965"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508F5A42"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 xml:space="preserve">Pia </w:t>
            </w:r>
            <w:proofErr w:type="spellStart"/>
            <w:r>
              <w:rPr>
                <w:snapToGrid w:val="0"/>
                <w:sz w:val="22"/>
                <w:szCs w:val="22"/>
                <w:lang w:val="en-US"/>
              </w:rPr>
              <w:t>Trollehjelm</w:t>
            </w:r>
            <w:proofErr w:type="spellEnd"/>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60820E14" w:rsidR="000E2953" w:rsidRPr="000E151F" w:rsidRDefault="00D47DB5"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5AA20C2" w:rsidR="000E2953" w:rsidRPr="000E151F" w:rsidRDefault="007C2E54"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w:t>
            </w:r>
            <w:proofErr w:type="spellStart"/>
            <w:r>
              <w:rPr>
                <w:snapToGrid w:val="0"/>
                <w:sz w:val="22"/>
                <w:szCs w:val="22"/>
              </w:rPr>
              <w:t>Lennkvist</w:t>
            </w:r>
            <w:proofErr w:type="spellEnd"/>
            <w:r>
              <w:rPr>
                <w:snapToGrid w:val="0"/>
                <w:sz w:val="22"/>
                <w:szCs w:val="22"/>
              </w:rPr>
              <w:t xml:space="preserve"> </w:t>
            </w:r>
            <w:proofErr w:type="spellStart"/>
            <w:r>
              <w:rPr>
                <w:snapToGrid w:val="0"/>
                <w:sz w:val="22"/>
                <w:szCs w:val="22"/>
              </w:rPr>
              <w:t>Manriquez</w:t>
            </w:r>
            <w:proofErr w:type="spellEnd"/>
            <w:r>
              <w:rPr>
                <w:snapToGrid w:val="0"/>
                <w:sz w:val="22"/>
                <w:szCs w:val="22"/>
              </w:rPr>
              <w:t xml:space="preserve">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Pr>
                <w:snapToGrid w:val="0"/>
                <w:sz w:val="22"/>
                <w:szCs w:val="22"/>
              </w:rPr>
              <w:t xml:space="preserve">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sectPr w:rsidR="00EF6F88"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8"/>
  </w:num>
  <w:num w:numId="8">
    <w:abstractNumId w:val="4"/>
  </w:num>
  <w:num w:numId="9">
    <w:abstractNumId w:val="5"/>
  </w:num>
  <w:num w:numId="10">
    <w:abstractNumId w:val="13"/>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2953"/>
    <w:rsid w:val="000E58AB"/>
    <w:rsid w:val="000E6D32"/>
    <w:rsid w:val="00100A3A"/>
    <w:rsid w:val="0010300B"/>
    <w:rsid w:val="00103F5F"/>
    <w:rsid w:val="00104A51"/>
    <w:rsid w:val="00111135"/>
    <w:rsid w:val="00112605"/>
    <w:rsid w:val="00114574"/>
    <w:rsid w:val="00116AAA"/>
    <w:rsid w:val="00126BB8"/>
    <w:rsid w:val="0013018A"/>
    <w:rsid w:val="001327E6"/>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458D"/>
    <w:rsid w:val="001D7293"/>
    <w:rsid w:val="001E237A"/>
    <w:rsid w:val="001E403E"/>
    <w:rsid w:val="001E7E3D"/>
    <w:rsid w:val="001F54B4"/>
    <w:rsid w:val="001F64CD"/>
    <w:rsid w:val="001F7917"/>
    <w:rsid w:val="00200515"/>
    <w:rsid w:val="00200FDD"/>
    <w:rsid w:val="002035E8"/>
    <w:rsid w:val="0020579F"/>
    <w:rsid w:val="0021156F"/>
    <w:rsid w:val="002119A8"/>
    <w:rsid w:val="002174A8"/>
    <w:rsid w:val="0022021E"/>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C5006"/>
    <w:rsid w:val="003D2821"/>
    <w:rsid w:val="003E5155"/>
    <w:rsid w:val="003F39D9"/>
    <w:rsid w:val="003F7DF6"/>
    <w:rsid w:val="00410507"/>
    <w:rsid w:val="00410AFE"/>
    <w:rsid w:val="00413964"/>
    <w:rsid w:val="0041580F"/>
    <w:rsid w:val="0042098E"/>
    <w:rsid w:val="00430C08"/>
    <w:rsid w:val="004407CE"/>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B3BBC"/>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A5985"/>
    <w:rsid w:val="005B498F"/>
    <w:rsid w:val="005C1541"/>
    <w:rsid w:val="005C61EB"/>
    <w:rsid w:val="005E28B9"/>
    <w:rsid w:val="005E2FA7"/>
    <w:rsid w:val="005E439C"/>
    <w:rsid w:val="005E70F9"/>
    <w:rsid w:val="00617AB2"/>
    <w:rsid w:val="00627839"/>
    <w:rsid w:val="00636EF1"/>
    <w:rsid w:val="006375F0"/>
    <w:rsid w:val="00643E28"/>
    <w:rsid w:val="006457B3"/>
    <w:rsid w:val="0065642F"/>
    <w:rsid w:val="006572A3"/>
    <w:rsid w:val="00667E9B"/>
    <w:rsid w:val="00672694"/>
    <w:rsid w:val="00674AF0"/>
    <w:rsid w:val="00685BB7"/>
    <w:rsid w:val="006921D0"/>
    <w:rsid w:val="00692522"/>
    <w:rsid w:val="006A0738"/>
    <w:rsid w:val="006A1A13"/>
    <w:rsid w:val="006A74AC"/>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2E54"/>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430E"/>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B7C1E"/>
    <w:rsid w:val="009C27A1"/>
    <w:rsid w:val="009D20DC"/>
    <w:rsid w:val="009E4BC1"/>
    <w:rsid w:val="009F15A5"/>
    <w:rsid w:val="009F5E2E"/>
    <w:rsid w:val="009F69BC"/>
    <w:rsid w:val="00A016D3"/>
    <w:rsid w:val="00A0379C"/>
    <w:rsid w:val="00A1088E"/>
    <w:rsid w:val="00A2262D"/>
    <w:rsid w:val="00A25498"/>
    <w:rsid w:val="00A257B8"/>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13A"/>
    <w:rsid w:val="00AD47F5"/>
    <w:rsid w:val="00AE5BBD"/>
    <w:rsid w:val="00AE7247"/>
    <w:rsid w:val="00AF3CA6"/>
    <w:rsid w:val="00AF7C93"/>
    <w:rsid w:val="00B054F1"/>
    <w:rsid w:val="00B33983"/>
    <w:rsid w:val="00B36495"/>
    <w:rsid w:val="00B44E5B"/>
    <w:rsid w:val="00B523F7"/>
    <w:rsid w:val="00B54410"/>
    <w:rsid w:val="00B547D0"/>
    <w:rsid w:val="00B55F04"/>
    <w:rsid w:val="00B86CB0"/>
    <w:rsid w:val="00B9203B"/>
    <w:rsid w:val="00BA4954"/>
    <w:rsid w:val="00BB6541"/>
    <w:rsid w:val="00BB6AE7"/>
    <w:rsid w:val="00BC2283"/>
    <w:rsid w:val="00BC2DCD"/>
    <w:rsid w:val="00BD39D1"/>
    <w:rsid w:val="00BE5A5B"/>
    <w:rsid w:val="00BF0A00"/>
    <w:rsid w:val="00BF0B99"/>
    <w:rsid w:val="00C06043"/>
    <w:rsid w:val="00C07F65"/>
    <w:rsid w:val="00C12324"/>
    <w:rsid w:val="00C14ECD"/>
    <w:rsid w:val="00C15B79"/>
    <w:rsid w:val="00C33C35"/>
    <w:rsid w:val="00C3449C"/>
    <w:rsid w:val="00C34593"/>
    <w:rsid w:val="00C35200"/>
    <w:rsid w:val="00C3579D"/>
    <w:rsid w:val="00C447CF"/>
    <w:rsid w:val="00C45FAF"/>
    <w:rsid w:val="00C540B9"/>
    <w:rsid w:val="00C574FE"/>
    <w:rsid w:val="00C63961"/>
    <w:rsid w:val="00C64E6C"/>
    <w:rsid w:val="00C664B6"/>
    <w:rsid w:val="00C66E21"/>
    <w:rsid w:val="00C74946"/>
    <w:rsid w:val="00C81586"/>
    <w:rsid w:val="00C828D8"/>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20E5C"/>
    <w:rsid w:val="00D21638"/>
    <w:rsid w:val="00D31100"/>
    <w:rsid w:val="00D32E1A"/>
    <w:rsid w:val="00D34D00"/>
    <w:rsid w:val="00D37D24"/>
    <w:rsid w:val="00D4656A"/>
    <w:rsid w:val="00D46648"/>
    <w:rsid w:val="00D470BA"/>
    <w:rsid w:val="00D47DB5"/>
    <w:rsid w:val="00D47EFF"/>
    <w:rsid w:val="00D518B5"/>
    <w:rsid w:val="00D67459"/>
    <w:rsid w:val="00D74308"/>
    <w:rsid w:val="00D84F88"/>
    <w:rsid w:val="00D86209"/>
    <w:rsid w:val="00DA1CE8"/>
    <w:rsid w:val="00DA30F0"/>
    <w:rsid w:val="00DB1740"/>
    <w:rsid w:val="00DB1AB2"/>
    <w:rsid w:val="00DC5A2B"/>
    <w:rsid w:val="00DD11DB"/>
    <w:rsid w:val="00DE3126"/>
    <w:rsid w:val="00DE54FF"/>
    <w:rsid w:val="00DF06AE"/>
    <w:rsid w:val="00DF3665"/>
    <w:rsid w:val="00E0219D"/>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39AD"/>
    <w:rsid w:val="00F774B5"/>
    <w:rsid w:val="00F82F2C"/>
    <w:rsid w:val="00F85D75"/>
    <w:rsid w:val="00F948C4"/>
    <w:rsid w:val="00F94CF3"/>
    <w:rsid w:val="00FB48E6"/>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68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805</Words>
  <Characters>5460</Characters>
  <Application>Microsoft Office Word</Application>
  <DocSecurity>0</DocSecurity>
  <Lines>1092</Lines>
  <Paragraphs>152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19</cp:revision>
  <cp:lastPrinted>2026-01-08T12:53:00Z</cp:lastPrinted>
  <dcterms:created xsi:type="dcterms:W3CDTF">2025-12-11T12:36:00Z</dcterms:created>
  <dcterms:modified xsi:type="dcterms:W3CDTF">2026-01-13T10:14:00Z</dcterms:modified>
</cp:coreProperties>
</file>