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7345B6">
        <w:tblPrEx>
          <w:tblCellMar>
            <w:top w:w="0" w:type="dxa"/>
            <w:bottom w:w="0" w:type="dxa"/>
          </w:tblCellMar>
        </w:tblPrEx>
        <w:tc>
          <w:tcPr>
            <w:tcW w:w="2268" w:type="dxa"/>
          </w:tcPr>
          <w:p w:rsidR="0016437A" w:rsidRPr="007345B6" w:rsidRDefault="0016437A">
            <w:pPr>
              <w:framePr w:w="4400" w:h="1644" w:wrap="notBeside" w:vAnchor="page" w:hAnchor="page" w:x="6573" w:y="721"/>
              <w:rPr>
                <w:rFonts w:ascii="TradeGothic" w:hAnsi="TradeGothic"/>
                <w:i/>
                <w:sz w:val="18"/>
              </w:rPr>
            </w:pPr>
          </w:p>
        </w:tc>
        <w:tc>
          <w:tcPr>
            <w:tcW w:w="2347" w:type="dxa"/>
            <w:gridSpan w:val="2"/>
          </w:tcPr>
          <w:p w:rsidR="0016437A" w:rsidRPr="007345B6" w:rsidRDefault="0016437A">
            <w:pPr>
              <w:framePr w:w="4400" w:h="1644" w:wrap="notBeside" w:vAnchor="page" w:hAnchor="page" w:x="6573" w:y="721"/>
              <w:rPr>
                <w:rFonts w:ascii="TradeGothic" w:hAnsi="TradeGothic"/>
                <w:i/>
                <w:sz w:val="18"/>
              </w:rPr>
            </w:pPr>
          </w:p>
        </w:tc>
      </w:tr>
      <w:tr w:rsidR="0016437A" w:rsidRPr="007345B6">
        <w:tblPrEx>
          <w:tblCellMar>
            <w:top w:w="0" w:type="dxa"/>
            <w:bottom w:w="0" w:type="dxa"/>
          </w:tblCellMar>
        </w:tblPrEx>
        <w:trPr>
          <w:cantSplit/>
        </w:trPr>
        <w:tc>
          <w:tcPr>
            <w:tcW w:w="4615" w:type="dxa"/>
            <w:gridSpan w:val="3"/>
          </w:tcPr>
          <w:p w:rsidR="0016437A" w:rsidRPr="007345B6" w:rsidRDefault="0016437A">
            <w:pPr>
              <w:framePr w:w="4400" w:h="1644" w:wrap="notBeside" w:vAnchor="page" w:hAnchor="page" w:x="6573" w:y="721"/>
              <w:rPr>
                <w:rFonts w:ascii="TradeGothic" w:hAnsi="TradeGothic"/>
                <w:b/>
                <w:sz w:val="22"/>
              </w:rPr>
            </w:pPr>
            <w:r w:rsidRPr="007345B6">
              <w:rPr>
                <w:rFonts w:ascii="TradeGothic" w:hAnsi="TradeGothic"/>
                <w:b/>
                <w:sz w:val="22"/>
              </w:rPr>
              <w:t>Rådspromemoria</w:t>
            </w:r>
          </w:p>
        </w:tc>
      </w:tr>
      <w:tr w:rsidR="0016437A" w:rsidRPr="007345B6">
        <w:tblPrEx>
          <w:tblCellMar>
            <w:top w:w="0" w:type="dxa"/>
            <w:bottom w:w="0" w:type="dxa"/>
          </w:tblCellMar>
        </w:tblPrEx>
        <w:tc>
          <w:tcPr>
            <w:tcW w:w="3402" w:type="dxa"/>
            <w:gridSpan w:val="2"/>
          </w:tcPr>
          <w:p w:rsidR="0016437A" w:rsidRPr="007345B6" w:rsidRDefault="0016437A">
            <w:pPr>
              <w:framePr w:w="4400" w:h="1644" w:wrap="notBeside" w:vAnchor="page" w:hAnchor="page" w:x="6573" w:y="721"/>
            </w:pPr>
          </w:p>
        </w:tc>
        <w:tc>
          <w:tcPr>
            <w:tcW w:w="1213" w:type="dxa"/>
          </w:tcPr>
          <w:p w:rsidR="0016437A" w:rsidRPr="007345B6" w:rsidRDefault="0016437A">
            <w:pPr>
              <w:framePr w:w="4400" w:h="1644" w:wrap="notBeside" w:vAnchor="page" w:hAnchor="page" w:x="6573" w:y="721"/>
            </w:pPr>
          </w:p>
        </w:tc>
      </w:tr>
      <w:tr w:rsidR="0016437A" w:rsidRPr="007345B6">
        <w:tblPrEx>
          <w:tblCellMar>
            <w:top w:w="0" w:type="dxa"/>
            <w:bottom w:w="0" w:type="dxa"/>
          </w:tblCellMar>
        </w:tblPrEx>
        <w:tc>
          <w:tcPr>
            <w:tcW w:w="2268" w:type="dxa"/>
          </w:tcPr>
          <w:p w:rsidR="0016437A" w:rsidRPr="007345B6" w:rsidRDefault="002723A3">
            <w:pPr>
              <w:framePr w:w="4400" w:h="1644" w:wrap="notBeside" w:vAnchor="page" w:hAnchor="page" w:x="6573" w:y="721"/>
            </w:pPr>
            <w:r w:rsidRPr="007345B6">
              <w:t>2010-02-22</w:t>
            </w:r>
          </w:p>
        </w:tc>
        <w:tc>
          <w:tcPr>
            <w:tcW w:w="2347" w:type="dxa"/>
            <w:gridSpan w:val="2"/>
          </w:tcPr>
          <w:p w:rsidR="0016437A" w:rsidRPr="007345B6" w:rsidRDefault="0016437A">
            <w:pPr>
              <w:framePr w:w="4400" w:h="1644" w:wrap="notBeside" w:vAnchor="page" w:hAnchor="page" w:x="6573" w:y="721"/>
            </w:pPr>
          </w:p>
        </w:tc>
      </w:tr>
      <w:tr w:rsidR="0016437A" w:rsidRPr="007345B6">
        <w:tblPrEx>
          <w:tblCellMar>
            <w:top w:w="0" w:type="dxa"/>
            <w:bottom w:w="0" w:type="dxa"/>
          </w:tblCellMar>
        </w:tblPrEx>
        <w:tc>
          <w:tcPr>
            <w:tcW w:w="2268" w:type="dxa"/>
          </w:tcPr>
          <w:p w:rsidR="0016437A" w:rsidRPr="007345B6" w:rsidRDefault="0016437A">
            <w:pPr>
              <w:framePr w:w="4400" w:h="1644" w:wrap="notBeside" w:vAnchor="page" w:hAnchor="page" w:x="6573" w:y="721"/>
            </w:pPr>
          </w:p>
        </w:tc>
        <w:tc>
          <w:tcPr>
            <w:tcW w:w="2347" w:type="dxa"/>
            <w:gridSpan w:val="2"/>
          </w:tcPr>
          <w:p w:rsidR="0016437A" w:rsidRPr="007345B6"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
                <w:i w:val="0"/>
                <w:sz w:val="22"/>
              </w:rPr>
            </w:pPr>
            <w:r w:rsidRPr="007345B6">
              <w:rPr>
                <w:b/>
                <w:i w:val="0"/>
                <w:sz w:val="22"/>
              </w:rPr>
              <w:t>Näringsdepartementet</w:t>
            </w:r>
          </w:p>
          <w:p w:rsidR="004B223F" w:rsidRPr="007345B6" w:rsidRDefault="004B223F">
            <w:pPr>
              <w:pStyle w:val="Avsndare"/>
              <w:framePr w:h="2483" w:wrap="notBeside" w:x="1504"/>
              <w:rPr>
                <w:b/>
                <w:i w:val="0"/>
                <w:sz w:val="22"/>
              </w:rPr>
            </w:pPr>
            <w:r w:rsidRPr="007345B6">
              <w:rPr>
                <w:b/>
                <w:i w:val="0"/>
                <w:sz w:val="22"/>
              </w:rPr>
              <w:t>Försvarsdepartementet</w:t>
            </w:r>
          </w:p>
          <w:p w:rsidR="004B223F" w:rsidRPr="007345B6" w:rsidRDefault="004B223F" w:rsidP="004B223F">
            <w:r w:rsidRPr="007345B6">
              <w:t>Karin Måwe</w:t>
            </w:r>
          </w:p>
          <w:p w:rsidR="004B223F" w:rsidRPr="007345B6" w:rsidRDefault="004B223F" w:rsidP="004B223F">
            <w:r w:rsidRPr="007345B6">
              <w:t>tel. +46 8 405 2979</w:t>
            </w:r>
          </w:p>
          <w:p w:rsidR="00ED7C75" w:rsidRPr="007345B6" w:rsidRDefault="00ED7C75">
            <w:pPr>
              <w:pStyle w:val="Avsndare"/>
              <w:framePr w:h="2483" w:wrap="notBeside" w:x="1504"/>
              <w:rPr>
                <w:b/>
                <w:i w:val="0"/>
                <w:sz w:val="22"/>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r w:rsidR="0016437A" w:rsidRPr="007345B6">
        <w:tblPrEx>
          <w:tblCellMar>
            <w:top w:w="0" w:type="dxa"/>
            <w:bottom w:w="0" w:type="dxa"/>
          </w:tblCellMar>
        </w:tblPrEx>
        <w:trPr>
          <w:trHeight w:val="284"/>
        </w:trPr>
        <w:tc>
          <w:tcPr>
            <w:tcW w:w="4911" w:type="dxa"/>
          </w:tcPr>
          <w:p w:rsidR="0016437A" w:rsidRPr="007345B6" w:rsidRDefault="0016437A">
            <w:pPr>
              <w:pStyle w:val="Avsndare"/>
              <w:framePr w:h="2483" w:wrap="notBeside" w:x="1504"/>
              <w:rPr>
                <w:bCs/>
                <w:iCs/>
              </w:rPr>
            </w:pPr>
          </w:p>
        </w:tc>
      </w:tr>
    </w:tbl>
    <w:p w:rsidR="0016437A" w:rsidRPr="007345B6" w:rsidRDefault="0016437A">
      <w:pPr>
        <w:framePr w:w="4400" w:h="2523" w:wrap="notBeside" w:vAnchor="page" w:hAnchor="page" w:x="6453" w:y="2445"/>
        <w:ind w:left="142"/>
        <w:rPr>
          <w:b/>
        </w:rPr>
      </w:pPr>
    </w:p>
    <w:p w:rsidR="0016437A" w:rsidRPr="007345B6" w:rsidRDefault="0016437A">
      <w:pPr>
        <w:pStyle w:val="RKrubrik"/>
        <w:pBdr>
          <w:bottom w:val="single" w:sz="6" w:space="1" w:color="auto"/>
        </w:pBdr>
      </w:pPr>
      <w:bookmarkStart w:id="0" w:name="bRubrik"/>
      <w:bookmarkEnd w:id="0"/>
      <w:r w:rsidRPr="007345B6">
        <w:t>Rådets möte (</w:t>
      </w:r>
      <w:r w:rsidR="004B223F" w:rsidRPr="007345B6">
        <w:t>Transport, T</w:t>
      </w:r>
      <w:r w:rsidR="00ED7C75" w:rsidRPr="007345B6">
        <w:t>elekommunikation och Energi) Bryssel den 11-12 Mars 2010</w:t>
      </w:r>
    </w:p>
    <w:p w:rsidR="0016437A" w:rsidRPr="007345B6" w:rsidRDefault="0016437A">
      <w:pPr>
        <w:pStyle w:val="RKnormal"/>
      </w:pPr>
    </w:p>
    <w:p w:rsidR="002A3D46" w:rsidRPr="007345B6" w:rsidRDefault="00ED7C75" w:rsidP="002A3D46">
      <w:pPr>
        <w:ind w:left="567" w:hanging="567"/>
        <w:contextualSpacing/>
      </w:pPr>
      <w:r w:rsidRPr="007345B6">
        <w:t>Dagordningspunkt:</w:t>
      </w:r>
      <w:r w:rsidRPr="007345B6">
        <w:rPr>
          <w:b/>
        </w:rPr>
        <w:t xml:space="preserve"> 3</w:t>
      </w:r>
    </w:p>
    <w:p w:rsidR="002A3D46" w:rsidRPr="007345B6" w:rsidRDefault="002A3D46" w:rsidP="002A3D46">
      <w:pPr>
        <w:ind w:left="567" w:hanging="567"/>
        <w:contextualSpacing/>
      </w:pPr>
    </w:p>
    <w:p w:rsidR="00ED7C75" w:rsidRPr="007345B6" w:rsidRDefault="002A3D46" w:rsidP="002A3D46">
      <w:pPr>
        <w:contextualSpacing/>
        <w:rPr>
          <w:b/>
        </w:rPr>
      </w:pPr>
      <w:r w:rsidRPr="007345B6">
        <w:rPr>
          <w:b/>
        </w:rPr>
        <w:t>Förslag till Europaparlamentets och rådets direktiv om transportabla tryckanordningar</w:t>
      </w:r>
    </w:p>
    <w:p w:rsidR="00ED7C75" w:rsidRPr="007345B6" w:rsidRDefault="002A3D46" w:rsidP="00ED7C75">
      <w:pPr>
        <w:pStyle w:val="RKnormal"/>
      </w:pPr>
      <w:r w:rsidRPr="007345B6">
        <w:t xml:space="preserve">- </w:t>
      </w:r>
      <w:r w:rsidRPr="007345B6">
        <w:rPr>
          <w:i/>
        </w:rPr>
        <w:t>allmän inriktning</w:t>
      </w:r>
    </w:p>
    <w:p w:rsidR="0016437A" w:rsidRPr="007345B6" w:rsidRDefault="0016437A">
      <w:pPr>
        <w:pStyle w:val="RKnormal"/>
      </w:pPr>
    </w:p>
    <w:p w:rsidR="0016437A" w:rsidRPr="007345B6" w:rsidRDefault="0016437A">
      <w:pPr>
        <w:pStyle w:val="RKnormal"/>
      </w:pPr>
    </w:p>
    <w:p w:rsidR="0016437A" w:rsidRPr="007345B6" w:rsidRDefault="0016437A">
      <w:pPr>
        <w:pStyle w:val="RKnormal"/>
      </w:pPr>
      <w:r w:rsidRPr="007345B6">
        <w:t>Dokument:</w:t>
      </w:r>
      <w:r w:rsidR="001449AB" w:rsidRPr="007345B6">
        <w:t xml:space="preserve"> </w:t>
      </w:r>
      <w:r w:rsidR="001449AB" w:rsidRPr="007345B6">
        <w:rPr>
          <w:b/>
        </w:rPr>
        <w:t>6292/10</w:t>
      </w:r>
    </w:p>
    <w:p w:rsidR="0016437A" w:rsidRPr="007345B6" w:rsidRDefault="0016437A">
      <w:pPr>
        <w:pStyle w:val="RKnormal"/>
      </w:pPr>
    </w:p>
    <w:p w:rsidR="004B223F" w:rsidRPr="007345B6" w:rsidRDefault="0016437A" w:rsidP="004B223F">
      <w:pPr>
        <w:pStyle w:val="RKnormal"/>
      </w:pPr>
      <w:r w:rsidRPr="007345B6">
        <w:t xml:space="preserve">Tidigare dokument: </w:t>
      </w:r>
    </w:p>
    <w:p w:rsidR="0016437A" w:rsidRPr="007345B6" w:rsidRDefault="0016437A" w:rsidP="004B223F">
      <w:pPr>
        <w:pStyle w:val="RKnormal"/>
        <w:numPr>
          <w:ilvl w:val="0"/>
          <w:numId w:val="2"/>
        </w:numPr>
      </w:pPr>
      <w:r w:rsidRPr="007345B6">
        <w:t xml:space="preserve">Tidigare behandlad </w:t>
      </w:r>
      <w:r w:rsidR="00D2523B" w:rsidRPr="007345B6">
        <w:t>vid samråd med EU-nämnden:</w:t>
      </w:r>
      <w:r w:rsidR="00D2523B" w:rsidRPr="007345B6">
        <w:rPr>
          <w:b/>
        </w:rPr>
        <w:t xml:space="preserve"> Nej</w:t>
      </w:r>
    </w:p>
    <w:p w:rsidR="0016437A" w:rsidRPr="007345B6" w:rsidRDefault="0016437A">
      <w:pPr>
        <w:pStyle w:val="RKnormal"/>
      </w:pPr>
    </w:p>
    <w:p w:rsidR="0016437A" w:rsidRPr="007345B6" w:rsidRDefault="0016437A">
      <w:pPr>
        <w:pStyle w:val="RKrubrik"/>
      </w:pPr>
      <w:r w:rsidRPr="007345B6">
        <w:t>Bakgrund</w:t>
      </w:r>
    </w:p>
    <w:p w:rsidR="00C8371B" w:rsidRPr="007345B6" w:rsidRDefault="00C8371B" w:rsidP="004B223F">
      <w:pPr>
        <w:tabs>
          <w:tab w:val="left" w:pos="2835"/>
        </w:tabs>
        <w:spacing w:line="240" w:lineRule="atLeast"/>
        <w:rPr>
          <w:rFonts w:cs="Garamond"/>
          <w:color w:val="000000"/>
        </w:rPr>
      </w:pPr>
      <w:r w:rsidRPr="007345B6">
        <w:rPr>
          <w:rFonts w:cs="Garamond"/>
          <w:color w:val="000000"/>
        </w:rPr>
        <w:t>Förslaget innebär en revision av de tekniska kraven i direktiv 1999/36/EG om transportabla tryckbärande anordningar i syfte att uppdatera detta direktiv och därvid ta hänsyn till New legislative Framework (NLF). Det innehåller detaljerade säkerhetskrav som ska uppfyllas för att produkterna ska få fri rörlighet på den inre marknaden. Ett annat syfte med förslaget är att undanröja konflikter mellan det befintliga direktivet och bestämmelserna i de internationella avtalen o</w:t>
      </w:r>
      <w:r w:rsidR="002A3D46" w:rsidRPr="007345B6">
        <w:rPr>
          <w:rFonts w:cs="Garamond"/>
          <w:color w:val="000000"/>
        </w:rPr>
        <w:t xml:space="preserve">m landtransport av farligt gods. </w:t>
      </w:r>
      <w:r w:rsidRPr="007345B6">
        <w:rPr>
          <w:rFonts w:cs="Garamond"/>
          <w:color w:val="000000"/>
        </w:rPr>
        <w:t>Det är därför viktigt att förslaget kan träda i kraft innan bestämmelserna i de internationella avtalen ska börja tillämpas.</w:t>
      </w:r>
    </w:p>
    <w:p w:rsidR="0016437A" w:rsidRPr="007345B6" w:rsidRDefault="004B223F">
      <w:pPr>
        <w:pStyle w:val="RKrubrik"/>
      </w:pPr>
      <w:r w:rsidRPr="007345B6">
        <w:lastRenderedPageBreak/>
        <w:t>R</w:t>
      </w:r>
      <w:r w:rsidR="0016437A" w:rsidRPr="007345B6">
        <w:t>ättslig grund och beslutsförfarande</w:t>
      </w:r>
    </w:p>
    <w:p w:rsidR="0016437A" w:rsidRPr="007345B6" w:rsidRDefault="00F51EB2">
      <w:pPr>
        <w:pStyle w:val="RKnormal"/>
      </w:pPr>
      <w:r w:rsidRPr="007345B6">
        <w:t xml:space="preserve">Den rättsliga grunden till förslaget är artikel </w:t>
      </w:r>
      <w:r w:rsidR="008E4297" w:rsidRPr="007345B6">
        <w:t>91</w:t>
      </w:r>
      <w:r w:rsidR="00DC481E" w:rsidRPr="007345B6">
        <w:t>(1)</w:t>
      </w:r>
      <w:r w:rsidR="00245091" w:rsidRPr="007345B6">
        <w:t xml:space="preserve"> i Fördraget om Europeiska Unionens Funktionssätt (FEUF)</w:t>
      </w:r>
      <w:r w:rsidR="008E4297" w:rsidRPr="007345B6">
        <w:t>, beslut fattas enlig</w:t>
      </w:r>
      <w:r w:rsidR="00245091" w:rsidRPr="007345B6">
        <w:t>t</w:t>
      </w:r>
      <w:r w:rsidR="008E4297" w:rsidRPr="007345B6">
        <w:t xml:space="preserve"> det ordinarie lagstiftningsförfarandet enligt</w:t>
      </w:r>
      <w:r w:rsidR="00C579D7" w:rsidRPr="007345B6">
        <w:t xml:space="preserve"> </w:t>
      </w:r>
      <w:r w:rsidR="008E4297" w:rsidRPr="007345B6">
        <w:t>artikel</w:t>
      </w:r>
      <w:r w:rsidR="00C579D7" w:rsidRPr="007345B6">
        <w:t xml:space="preserve"> </w:t>
      </w:r>
      <w:r w:rsidR="008E4297" w:rsidRPr="007345B6">
        <w:t>289</w:t>
      </w:r>
      <w:r w:rsidR="00656973" w:rsidRPr="007345B6">
        <w:t xml:space="preserve"> </w:t>
      </w:r>
      <w:r w:rsidR="00C579D7" w:rsidRPr="007345B6">
        <w:t xml:space="preserve">i </w:t>
      </w:r>
      <w:r w:rsidR="00245091" w:rsidRPr="007345B6">
        <w:t>F</w:t>
      </w:r>
      <w:r w:rsidR="00C579D7" w:rsidRPr="007345B6">
        <w:t>EUF</w:t>
      </w:r>
      <w:r w:rsidR="00656973" w:rsidRPr="007345B6">
        <w:t>.</w:t>
      </w:r>
      <w:r w:rsidR="00697D4F" w:rsidRPr="007345B6">
        <w:t xml:space="preserve"> </w:t>
      </w:r>
    </w:p>
    <w:p w:rsidR="00C8371B" w:rsidRPr="007345B6" w:rsidRDefault="0016437A" w:rsidP="00C8371B">
      <w:pPr>
        <w:pStyle w:val="RKrubrik"/>
        <w:rPr>
          <w:iCs/>
        </w:rPr>
      </w:pPr>
      <w:r w:rsidRPr="007345B6">
        <w:rPr>
          <w:iCs/>
        </w:rPr>
        <w:t>Svensk ståndpunkt</w:t>
      </w:r>
    </w:p>
    <w:p w:rsidR="00DE2AAF" w:rsidRPr="007345B6" w:rsidRDefault="00D525CD" w:rsidP="00DE2AAF">
      <w:pPr>
        <w:pStyle w:val="RKnormal"/>
        <w:rPr>
          <w:color w:val="000000"/>
        </w:rPr>
      </w:pPr>
      <w:r w:rsidRPr="007345B6">
        <w:rPr>
          <w:color w:val="000000"/>
        </w:rPr>
        <w:t xml:space="preserve">De enda utestående frågorna i förslaget är delarna om delegerade akter/kommittéförfarande, dvs. skäl 20 och artiklarna 35, 36, 36a och 36b som föreslagits av ORDF för att anpassa rättsakten till FEUF. </w:t>
      </w:r>
    </w:p>
    <w:p w:rsidR="00DE2AAF" w:rsidRPr="007345B6" w:rsidRDefault="00DE2AAF" w:rsidP="00DA6E47">
      <w:pPr>
        <w:pStyle w:val="RKnormal"/>
      </w:pPr>
    </w:p>
    <w:p w:rsidR="00DE2AAF" w:rsidRPr="007345B6" w:rsidRDefault="00DE2AAF" w:rsidP="00DA6E47">
      <w:pPr>
        <w:pStyle w:val="RKnormal"/>
        <w:rPr>
          <w:b/>
          <w:sz w:val="28"/>
          <w:szCs w:val="28"/>
        </w:rPr>
      </w:pPr>
      <w:r w:rsidRPr="007345B6">
        <w:t>Medlemsstaterna är eniga i sak. Utestående frågor rör istället hur de delar av förslaget som rör kommittéförfarande ska anpassas nu när Lissabonfördraget trätt ikraft. Här ställer sig Sverige positivt till det förslag det spanska ordförandeskapet presenterat som innebär att rätten att besluta om uppdatering av vissa delar av bilagorna i förslaget på grund av den tekniska utvecklingen eller ändringar i internationella konventioner ska delegeras till kommissionen på obestämd tid.   Denna delegering kan dock återkallas när som helst av rådet eller Europaparlamentet, tillsammans eller var för sig. Kommissionen uppmanas även i skäl 20,  att konsultera experter i medlemsstaterna när ett beslut enligt delegeringen förbereds.</w:t>
      </w:r>
      <w:r w:rsidRPr="007345B6">
        <w:rPr>
          <w:color w:val="0000FF"/>
        </w:rPr>
        <w:t xml:space="preserve"> </w:t>
      </w:r>
    </w:p>
    <w:p w:rsidR="00C8371B" w:rsidRPr="007345B6" w:rsidRDefault="00C8371B" w:rsidP="00D525CD">
      <w:pPr>
        <w:pStyle w:val="RKnormal"/>
        <w:rPr>
          <w:color w:val="000000"/>
        </w:rPr>
      </w:pPr>
    </w:p>
    <w:p w:rsidR="0016437A" w:rsidRPr="007345B6" w:rsidRDefault="0016437A">
      <w:pPr>
        <w:pStyle w:val="RKrubrik"/>
      </w:pPr>
      <w:r w:rsidRPr="007345B6">
        <w:t>Europaparlamentets inställning</w:t>
      </w:r>
    </w:p>
    <w:p w:rsidR="00233136" w:rsidRPr="007345B6" w:rsidRDefault="00233136" w:rsidP="00233136">
      <w:pPr>
        <w:pStyle w:val="RKnormal"/>
      </w:pPr>
      <w:r w:rsidRPr="007345B6">
        <w:t xml:space="preserve">Europaparlamentets utskott för transportfrågor behandlade ett förslag till betänkande om förslaget vid sitt sammanträde den 23 februari 2010. Som ett resultat av informella kontakter mellan ordförandeskapet, kommissionen och Europaparlamentets föredragande, följer den preliminära rapporten i stor utsträckning de ändringar på kommissionens ursprungliga förslag som arbetsgruppen för transporter på land </w:t>
      </w:r>
      <w:r w:rsidR="004B223F" w:rsidRPr="007345B6">
        <w:t>föreslagit</w:t>
      </w:r>
      <w:r w:rsidRPr="007345B6">
        <w:t xml:space="preserve">. Europaparlamentet utskottet TRAN väntas rösta om förslaget till betänkande vid sitt möte i mars 2010. Omröstningen i plenum väntas äga </w:t>
      </w:r>
      <w:r w:rsidRPr="007345B6">
        <w:rPr>
          <w:szCs w:val="24"/>
        </w:rPr>
        <w:t>rum</w:t>
      </w:r>
      <w:r w:rsidRPr="007345B6">
        <w:rPr>
          <w:rStyle w:val="longtext1"/>
          <w:rFonts w:cs="Arial"/>
          <w:sz w:val="24"/>
          <w:szCs w:val="24"/>
          <w:shd w:val="clear" w:color="auto" w:fill="FFFFFF"/>
        </w:rPr>
        <w:t xml:space="preserve"> i april 2010.</w:t>
      </w:r>
    </w:p>
    <w:p w:rsidR="0016437A" w:rsidRPr="007345B6" w:rsidRDefault="0016437A">
      <w:pPr>
        <w:pStyle w:val="RKrubrik"/>
        <w:rPr>
          <w:i/>
          <w:iCs/>
        </w:rPr>
      </w:pPr>
      <w:r w:rsidRPr="007345B6">
        <w:rPr>
          <w:i/>
          <w:iCs/>
        </w:rPr>
        <w:t>Förslaget</w:t>
      </w:r>
    </w:p>
    <w:p w:rsidR="00F51EB2" w:rsidRPr="007345B6" w:rsidRDefault="00F51EB2" w:rsidP="00F51EB2">
      <w:pPr>
        <w:pStyle w:val="RKnormal"/>
      </w:pPr>
      <w:r w:rsidRPr="007345B6">
        <w:t xml:space="preserve">I förslaget fastställs gemensamma principer och bestämmelser för tillhandahållande av transportabla tryckbärande anordningar på marknaden. Principerna och bestämmelserna innehåller bland annat definitioner och allmänna skyldigheter för ekonomiska aktörer. Det handlar här t.ex. om bedömning av huruvida anordningarna överensstämmer med gällande krav, återkommande kontroller samt möjlighet att låta befintliga anordningar genomgå förnyad bedömning av överensstämmelse med gällande krav. </w:t>
      </w:r>
    </w:p>
    <w:p w:rsidR="00F51EB2" w:rsidRPr="007345B6" w:rsidRDefault="00F51EB2" w:rsidP="00F51EB2">
      <w:pPr>
        <w:pStyle w:val="RKnormal"/>
        <w:rPr>
          <w:rFonts w:ascii="Times New Roman" w:hAnsi="Times New Roman"/>
          <w:szCs w:val="24"/>
        </w:rPr>
      </w:pPr>
    </w:p>
    <w:p w:rsidR="00F51EB2" w:rsidRPr="007345B6" w:rsidRDefault="00F51EB2" w:rsidP="00F51EB2">
      <w:pPr>
        <w:pStyle w:val="RKnormal"/>
        <w:rPr>
          <w:szCs w:val="24"/>
        </w:rPr>
      </w:pPr>
      <w:r w:rsidRPr="007345B6">
        <w:rPr>
          <w:szCs w:val="24"/>
        </w:rPr>
        <w:t>Direktivförslaget kompletteras av de mer specifika regler som återfinns i in</w:t>
      </w:r>
      <w:r w:rsidR="00245091" w:rsidRPr="007345B6">
        <w:rPr>
          <w:szCs w:val="24"/>
        </w:rPr>
        <w:t xml:space="preserve">ternationella avtal på området. </w:t>
      </w:r>
      <w:r w:rsidRPr="007345B6">
        <w:rPr>
          <w:szCs w:val="24"/>
        </w:rPr>
        <w:t xml:space="preserve">I direktivet behandlas t ex inte de frågor som har ett direkt samband med säkerheten, </w:t>
      </w:r>
      <w:r w:rsidRPr="007345B6">
        <w:rPr>
          <w:szCs w:val="24"/>
          <w:lang w:eastAsia="sv-SE"/>
        </w:rPr>
        <w:t>nämligen bestämmelser om teknisk utformning, konstruktion, kontroll och godkännande.</w:t>
      </w:r>
    </w:p>
    <w:p w:rsidR="00F51EB2" w:rsidRPr="007345B6" w:rsidRDefault="00F51EB2" w:rsidP="00F51EB2">
      <w:pPr>
        <w:pStyle w:val="RKnormal"/>
      </w:pPr>
    </w:p>
    <w:p w:rsidR="0016437A" w:rsidRPr="007345B6" w:rsidRDefault="0016437A">
      <w:pPr>
        <w:pStyle w:val="RKrubrik"/>
        <w:rPr>
          <w:i/>
          <w:iCs/>
        </w:rPr>
      </w:pPr>
      <w:r w:rsidRPr="007345B6">
        <w:rPr>
          <w:i/>
          <w:iCs/>
        </w:rPr>
        <w:t>Gällande svenska regler och förslagets effekter på dessa</w:t>
      </w:r>
    </w:p>
    <w:p w:rsidR="00F51EB2" w:rsidRPr="007345B6" w:rsidRDefault="00F51EB2" w:rsidP="00F51EB2">
      <w:pPr>
        <w:pStyle w:val="RKnormal"/>
        <w:jc w:val="center"/>
      </w:pPr>
    </w:p>
    <w:p w:rsidR="004B223F" w:rsidRPr="007345B6" w:rsidRDefault="00E84720" w:rsidP="004B223F">
      <w:pPr>
        <w:pStyle w:val="RKnormal"/>
        <w:rPr>
          <w:color w:val="000000"/>
          <w:szCs w:val="24"/>
        </w:rPr>
      </w:pPr>
      <w:r w:rsidRPr="007345B6">
        <w:rPr>
          <w:szCs w:val="24"/>
        </w:rPr>
        <w:t>Inga lagändringar i svensk lag bedöms aktuell. Frågan om eventuell justering/</w:t>
      </w:r>
      <w:r w:rsidR="003D2B2B" w:rsidRPr="007345B6">
        <w:rPr>
          <w:szCs w:val="24"/>
        </w:rPr>
        <w:t>anpassning</w:t>
      </w:r>
      <w:r w:rsidRPr="007345B6">
        <w:rPr>
          <w:szCs w:val="24"/>
        </w:rPr>
        <w:t xml:space="preserve"> av lag och förordningar kommer att ses över vidare. Lagar och förordningar</w:t>
      </w:r>
      <w:r w:rsidR="004B223F" w:rsidRPr="007345B6">
        <w:rPr>
          <w:szCs w:val="24"/>
        </w:rPr>
        <w:t xml:space="preserve"> som eventuellt kan komma att</w:t>
      </w:r>
      <w:r w:rsidRPr="007345B6">
        <w:rPr>
          <w:szCs w:val="24"/>
        </w:rPr>
        <w:t xml:space="preserve"> beröras kan</w:t>
      </w:r>
      <w:r w:rsidR="004B223F" w:rsidRPr="007345B6">
        <w:rPr>
          <w:szCs w:val="24"/>
        </w:rPr>
        <w:t xml:space="preserve"> vara:  f</w:t>
      </w:r>
      <w:r w:rsidR="004B223F" w:rsidRPr="007345B6">
        <w:rPr>
          <w:color w:val="000000"/>
          <w:szCs w:val="24"/>
          <w:lang w:eastAsia="sv-SE"/>
        </w:rPr>
        <w:t xml:space="preserve">örordning (2006:311) om transport av farligt gods, förordning (1985:1107) om riksprovplatser och auktoriserade provplatser, förordning (2005:894) om teknisk kontroll, lag (1992:1119) om teknisk kontroll, förordning (1996:81) med instruktion för Styrelsen för ackreditering och teknisk kontroll (SWEDAC) samt eventuellt myndighetsföreskrifter. </w:t>
      </w:r>
    </w:p>
    <w:tbl>
      <w:tblPr>
        <w:tblW w:w="0" w:type="auto"/>
        <w:tblLayout w:type="fixed"/>
        <w:tblLook w:val="0000" w:firstRow="0" w:lastRow="0" w:firstColumn="0" w:lastColumn="0" w:noHBand="0" w:noVBand="0"/>
      </w:tblPr>
      <w:tblGrid>
        <w:gridCol w:w="4911"/>
      </w:tblGrid>
      <w:tr w:rsidR="004B223F" w:rsidRPr="007345B6" w:rsidTr="003E6FDC">
        <w:tblPrEx>
          <w:tblCellMar>
            <w:top w:w="0" w:type="dxa"/>
            <w:bottom w:w="0" w:type="dxa"/>
          </w:tblCellMar>
        </w:tblPrEx>
        <w:trPr>
          <w:trHeight w:val="284"/>
        </w:trPr>
        <w:tc>
          <w:tcPr>
            <w:tcW w:w="4911" w:type="dxa"/>
          </w:tcPr>
          <w:p w:rsidR="004B223F" w:rsidRPr="007345B6" w:rsidRDefault="004B223F" w:rsidP="003E6FDC">
            <w:pPr>
              <w:pStyle w:val="Avsndare"/>
              <w:framePr w:h="2483" w:wrap="notBeside" w:x="144" w:y="65"/>
              <w:rPr>
                <w:b/>
                <w:i w:val="0"/>
                <w:sz w:val="22"/>
              </w:rPr>
            </w:pPr>
          </w:p>
        </w:tc>
      </w:tr>
      <w:tr w:rsidR="004B223F" w:rsidRPr="007345B6" w:rsidTr="003E6FDC">
        <w:tblPrEx>
          <w:tblCellMar>
            <w:top w:w="0" w:type="dxa"/>
            <w:bottom w:w="0" w:type="dxa"/>
          </w:tblCellMar>
        </w:tblPrEx>
        <w:trPr>
          <w:trHeight w:val="284"/>
        </w:trPr>
        <w:tc>
          <w:tcPr>
            <w:tcW w:w="4911" w:type="dxa"/>
          </w:tcPr>
          <w:p w:rsidR="004B223F" w:rsidRPr="007345B6" w:rsidRDefault="004B223F" w:rsidP="003E6FDC">
            <w:pPr>
              <w:pStyle w:val="Avsndare"/>
              <w:framePr w:h="2483" w:wrap="notBeside" w:x="144" w:y="65"/>
              <w:rPr>
                <w:bCs/>
                <w:iCs/>
              </w:rPr>
            </w:pPr>
          </w:p>
        </w:tc>
      </w:tr>
    </w:tbl>
    <w:p w:rsidR="00F51EB2" w:rsidRPr="007345B6" w:rsidRDefault="00F51EB2" w:rsidP="00F51EB2">
      <w:pPr>
        <w:pStyle w:val="RKnormal"/>
      </w:pPr>
    </w:p>
    <w:p w:rsidR="00F51EB2" w:rsidRPr="007345B6" w:rsidRDefault="00F51EB2" w:rsidP="00F51EB2">
      <w:pPr>
        <w:pStyle w:val="RKnormal"/>
      </w:pPr>
      <w:r w:rsidRPr="007345B6">
        <w:t xml:space="preserve"> </w:t>
      </w:r>
    </w:p>
    <w:p w:rsidR="0016437A" w:rsidRPr="007345B6" w:rsidRDefault="0016437A">
      <w:pPr>
        <w:pStyle w:val="RKnormal"/>
      </w:pPr>
    </w:p>
    <w:p w:rsidR="0016437A" w:rsidRPr="007345B6" w:rsidRDefault="0016437A" w:rsidP="00F51EB2">
      <w:pPr>
        <w:pStyle w:val="RKrubrik"/>
      </w:pPr>
      <w:r w:rsidRPr="007345B6">
        <w:t>Ekonomiska konsekvenser</w:t>
      </w:r>
    </w:p>
    <w:p w:rsidR="00F51EB2" w:rsidRPr="007345B6" w:rsidRDefault="00F51EB2" w:rsidP="00F51EB2">
      <w:pPr>
        <w:pStyle w:val="RKnormal"/>
      </w:pPr>
      <w:r w:rsidRPr="007345B6">
        <w:t xml:space="preserve">- Förslaget till ändringsdirektiv bedöms endast kunna få minimala budgetära konsekvenser då det befintliga direktivet om transportabla tryckbärande anordningar har genomförts. </w:t>
      </w:r>
    </w:p>
    <w:p w:rsidR="00F51EB2" w:rsidRPr="007345B6" w:rsidRDefault="00F51EB2" w:rsidP="00F51EB2">
      <w:pPr>
        <w:pStyle w:val="RKnormal"/>
      </w:pPr>
    </w:p>
    <w:p w:rsidR="0016437A" w:rsidRPr="007345B6" w:rsidRDefault="0016437A">
      <w:pPr>
        <w:pStyle w:val="RKrubrik"/>
      </w:pPr>
      <w:r w:rsidRPr="007345B6">
        <w:t>Övrigt</w:t>
      </w:r>
    </w:p>
    <w:p w:rsidR="0016437A" w:rsidRPr="007345B6" w:rsidRDefault="0016437A">
      <w:pPr>
        <w:pStyle w:val="RKrubrik"/>
        <w:spacing w:before="0" w:after="0"/>
      </w:pPr>
    </w:p>
    <w:p w:rsidR="0016437A" w:rsidRPr="007345B6" w:rsidRDefault="0016437A">
      <w:pPr>
        <w:pStyle w:val="RKnormal"/>
      </w:pPr>
    </w:p>
    <w:p w:rsidR="0016437A" w:rsidRPr="007345B6" w:rsidRDefault="0016437A">
      <w:pPr>
        <w:pStyle w:val="RKnormal"/>
      </w:pPr>
    </w:p>
    <w:sectPr w:rsidR="0016437A" w:rsidRPr="007345B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D46" w:rsidRPr="007345B6" w:rsidRDefault="002A3D46" w:rsidP="0016437A">
      <w:pPr>
        <w:pStyle w:val="Avsndare"/>
        <w:framePr w:wrap="notBeside"/>
      </w:pPr>
      <w:r w:rsidRPr="007345B6">
        <w:separator/>
      </w:r>
    </w:p>
  </w:endnote>
  <w:endnote w:type="continuationSeparator" w:id="0">
    <w:p w:rsidR="002A3D46" w:rsidRPr="007345B6" w:rsidRDefault="002A3D46" w:rsidP="0016437A">
      <w:pPr>
        <w:pStyle w:val="Avsndare"/>
        <w:framePr w:wrap="notBeside"/>
      </w:pPr>
      <w:r w:rsidRPr="00734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D46" w:rsidRPr="007345B6" w:rsidRDefault="002A3D46" w:rsidP="0016437A">
      <w:pPr>
        <w:pStyle w:val="Avsndare"/>
        <w:framePr w:wrap="notBeside"/>
      </w:pPr>
      <w:r w:rsidRPr="007345B6">
        <w:separator/>
      </w:r>
    </w:p>
  </w:footnote>
  <w:footnote w:type="continuationSeparator" w:id="0">
    <w:p w:rsidR="002A3D46" w:rsidRPr="007345B6" w:rsidRDefault="002A3D46" w:rsidP="0016437A">
      <w:pPr>
        <w:pStyle w:val="Avsndare"/>
        <w:framePr w:wrap="notBeside"/>
      </w:pPr>
      <w:r w:rsidRPr="00734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46" w:rsidRPr="007345B6" w:rsidRDefault="002A3D46">
    <w:pPr>
      <w:pStyle w:val="Sidhuvud"/>
      <w:framePr w:wrap="around" w:vAnchor="text" w:hAnchor="margin" w:xAlign="right" w:y="1"/>
      <w:rPr>
        <w:rStyle w:val="Sidnummer"/>
      </w:rPr>
    </w:pPr>
    <w:r w:rsidRPr="007345B6">
      <w:rPr>
        <w:rStyle w:val="Sidnummer"/>
      </w:rPr>
      <w:fldChar w:fldCharType="begin" w:fldLock="1"/>
    </w:r>
    <w:r w:rsidRPr="007345B6">
      <w:rPr>
        <w:rStyle w:val="Sidnummer"/>
      </w:rPr>
      <w:instrText xml:space="preserve">PAGE  </w:instrText>
    </w:r>
    <w:r w:rsidRPr="007345B6">
      <w:rPr>
        <w:rStyle w:val="Sidnummer"/>
      </w:rPr>
      <w:fldChar w:fldCharType="separate"/>
    </w:r>
    <w:r w:rsidR="00C6332F" w:rsidRPr="007345B6">
      <w:rPr>
        <w:rStyle w:val="Sidnummer"/>
      </w:rPr>
      <w:t>2</w:t>
    </w:r>
    <w:r w:rsidRPr="007345B6">
      <w:rPr>
        <w:rStyle w:val="Sidnummer"/>
      </w:rPr>
      <w:fldChar w:fldCharType="end"/>
    </w:r>
  </w:p>
  <w:p w:rsidR="002A3D46" w:rsidRPr="007345B6" w:rsidRDefault="002A3D46">
    <w:pPr>
      <w:pStyle w:val="Sidhuvud"/>
      <w:ind w:right="360"/>
    </w:pPr>
  </w:p>
  <w:p w:rsidR="002A3D46" w:rsidRPr="007345B6" w:rsidRDefault="002A3D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46" w:rsidRPr="007345B6" w:rsidRDefault="002A3D46">
    <w:pPr>
      <w:pStyle w:val="Sidhuvud"/>
      <w:framePr w:wrap="around" w:vAnchor="text" w:hAnchor="margin" w:xAlign="right" w:y="1"/>
      <w:rPr>
        <w:rStyle w:val="Sidnummer"/>
      </w:rPr>
    </w:pPr>
    <w:r w:rsidRPr="007345B6">
      <w:rPr>
        <w:rStyle w:val="Sidnummer"/>
      </w:rPr>
      <w:fldChar w:fldCharType="begin" w:fldLock="1"/>
    </w:r>
    <w:r w:rsidRPr="007345B6">
      <w:rPr>
        <w:rStyle w:val="Sidnummer"/>
      </w:rPr>
      <w:instrText xml:space="preserve">PAGE  </w:instrText>
    </w:r>
    <w:r w:rsidRPr="007345B6">
      <w:rPr>
        <w:rStyle w:val="Sidnummer"/>
      </w:rPr>
      <w:fldChar w:fldCharType="separate"/>
    </w:r>
    <w:r w:rsidR="00C6332F" w:rsidRPr="007345B6">
      <w:rPr>
        <w:rStyle w:val="Sidnummer"/>
      </w:rPr>
      <w:t>3</w:t>
    </w:r>
    <w:r w:rsidRPr="007345B6">
      <w:rPr>
        <w:rStyle w:val="Sidnummer"/>
      </w:rPr>
      <w:fldChar w:fldCharType="end"/>
    </w:r>
  </w:p>
  <w:p w:rsidR="002A3D46" w:rsidRPr="007345B6" w:rsidRDefault="002A3D46">
    <w:pPr>
      <w:pStyle w:val="Sidhuvud"/>
      <w:ind w:right="360"/>
    </w:pPr>
  </w:p>
  <w:p w:rsidR="002A3D46" w:rsidRPr="007345B6" w:rsidRDefault="002A3D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46" w:rsidRPr="007345B6" w:rsidRDefault="007345B6">
    <w:pPr>
      <w:framePr w:w="2948" w:h="1321" w:hRule="exact" w:wrap="notBeside" w:vAnchor="page" w:hAnchor="page" w:x="1362" w:y="653"/>
    </w:pPr>
    <w:r w:rsidRPr="007345B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3D46" w:rsidRPr="007345B6" w:rsidRDefault="002A3D46">
    <w:pPr>
      <w:pStyle w:val="RKrubrik"/>
      <w:keepNext w:val="0"/>
      <w:tabs>
        <w:tab w:val="clear" w:pos="1134"/>
        <w:tab w:val="clear" w:pos="2835"/>
      </w:tabs>
      <w:spacing w:before="0" w:after="0" w:line="320" w:lineRule="atLeast"/>
      <w:rPr>
        <w:bCs/>
      </w:rPr>
    </w:pPr>
  </w:p>
  <w:p w:rsidR="002A3D46" w:rsidRPr="007345B6" w:rsidRDefault="002A3D46">
    <w:pPr>
      <w:rPr>
        <w:rFonts w:ascii="TradeGothic" w:hAnsi="TradeGothic"/>
        <w:b/>
        <w:bCs/>
        <w:spacing w:val="12"/>
        <w:sz w:val="22"/>
      </w:rPr>
    </w:pPr>
  </w:p>
  <w:p w:rsidR="002A3D46" w:rsidRPr="007345B6" w:rsidRDefault="002A3D46">
    <w:pPr>
      <w:pStyle w:val="RKrubrik"/>
      <w:keepNext w:val="0"/>
      <w:tabs>
        <w:tab w:val="clear" w:pos="1134"/>
        <w:tab w:val="clear" w:pos="2835"/>
      </w:tabs>
      <w:spacing w:before="0" w:after="0" w:line="320" w:lineRule="atLeast"/>
      <w:rPr>
        <w:bCs/>
      </w:rPr>
    </w:pPr>
  </w:p>
  <w:p w:rsidR="002A3D46" w:rsidRPr="007345B6" w:rsidRDefault="002A3D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23F"/>
    <w:multiLevelType w:val="hybridMultilevel"/>
    <w:tmpl w:val="15941ED0"/>
    <w:lvl w:ilvl="0" w:tplc="5C4E7E84">
      <w:numFmt w:val="bullet"/>
      <w:lvlText w:val="-"/>
      <w:lvlJc w:val="left"/>
      <w:pPr>
        <w:ind w:left="720" w:hanging="360"/>
      </w:pPr>
      <w:rPr>
        <w:rFonts w:ascii="Book Antiqua" w:eastAsia="Times New Roman" w:hAnsi="Book Antiqua" w:cs="Times New Roman" w:hint="default"/>
        <w:i w:val="0"/>
        <w:color w:val="auto"/>
      </w:rPr>
    </w:lvl>
    <w:lvl w:ilvl="1" w:tplc="BEBE1BE2">
      <w:start w:val="1"/>
      <w:numFmt w:val="decimal"/>
      <w:lvlText w:val="%2."/>
      <w:lvlJc w:val="left"/>
      <w:pPr>
        <w:tabs>
          <w:tab w:val="num" w:pos="1440"/>
        </w:tabs>
        <w:ind w:left="1440" w:hanging="360"/>
      </w:pPr>
      <w:rPr>
        <w:rFonts w:hint="default"/>
        <w:i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B82305"/>
    <w:multiLevelType w:val="hybridMultilevel"/>
    <w:tmpl w:val="753035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8352BA"/>
    <w:multiLevelType w:val="hybridMultilevel"/>
    <w:tmpl w:val="D2B651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94492261">
    <w:abstractNumId w:val="0"/>
  </w:num>
  <w:num w:numId="2" w16cid:durableId="1600797682">
    <w:abstractNumId w:val="2"/>
  </w:num>
  <w:num w:numId="3" w16cid:durableId="9838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E2E04"/>
    <w:rsid w:val="001449AB"/>
    <w:rsid w:val="0016437A"/>
    <w:rsid w:val="00233136"/>
    <w:rsid w:val="00245091"/>
    <w:rsid w:val="002723A3"/>
    <w:rsid w:val="002A3D46"/>
    <w:rsid w:val="003C735F"/>
    <w:rsid w:val="003D2B2B"/>
    <w:rsid w:val="003E6FDC"/>
    <w:rsid w:val="004B223F"/>
    <w:rsid w:val="004D6DC1"/>
    <w:rsid w:val="004E59E9"/>
    <w:rsid w:val="00656973"/>
    <w:rsid w:val="00697D4F"/>
    <w:rsid w:val="007345B6"/>
    <w:rsid w:val="008D0E9E"/>
    <w:rsid w:val="008E4297"/>
    <w:rsid w:val="009C7E07"/>
    <w:rsid w:val="00A26B9B"/>
    <w:rsid w:val="00AF4E54"/>
    <w:rsid w:val="00B647DC"/>
    <w:rsid w:val="00C579D7"/>
    <w:rsid w:val="00C6332F"/>
    <w:rsid w:val="00C8371B"/>
    <w:rsid w:val="00CE21AE"/>
    <w:rsid w:val="00D2523B"/>
    <w:rsid w:val="00D436EC"/>
    <w:rsid w:val="00D525CD"/>
    <w:rsid w:val="00DA6E47"/>
    <w:rsid w:val="00DC481E"/>
    <w:rsid w:val="00DE2AAF"/>
    <w:rsid w:val="00E84720"/>
    <w:rsid w:val="00ED7C75"/>
    <w:rsid w:val="00F51E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5C5AD7-80CC-4CDA-AB99-8B2BCF72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longtext1">
    <w:name w:val="long_text1"/>
    <w:basedOn w:val="Standardstycketeckensnitt"/>
    <w:rsid w:val="002331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588</Words>
  <Characters>3887</Characters>
  <Application>Microsoft Office Word</Application>
  <DocSecurity>4</DocSecurity>
  <Lines>125</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2010-03-01T11:27:00Z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