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3F9" w:rsidRPr="00B87516" w:rsidRDefault="00EE23F9">
      <w:pPr>
        <w:pStyle w:val="Frslagsrubrik"/>
      </w:pPr>
      <w:r w:rsidRPr="00B87516">
        <w:t>Förslag till riksdagsbeslut</w:t>
      </w:r>
    </w:p>
    <w:p w:rsidR="00EE23F9" w:rsidRPr="00B87516" w:rsidRDefault="00EE23F9">
      <w:pPr>
        <w:pStyle w:val="Hemstlatt"/>
        <w:numPr>
          <w:ilvl w:val="0"/>
          <w:numId w:val="1"/>
        </w:numPr>
      </w:pPr>
      <w:r w:rsidRPr="00B87516">
        <w:t>Riksdagen begär att regeringen återkommer med förslag till förändringar i utlänningslagen i enlighet med vad som anförs i motionen.</w:t>
      </w:r>
    </w:p>
    <w:p w:rsidR="00EE23F9" w:rsidRPr="00B87516" w:rsidRDefault="00EE23F9">
      <w:pPr>
        <w:pStyle w:val="Hemstlatt"/>
        <w:numPr>
          <w:ilvl w:val="0"/>
          <w:numId w:val="1"/>
        </w:numPr>
      </w:pPr>
      <w:r w:rsidRPr="00B87516">
        <w:t>Riksdagen begär att regeringen genomför förändringar av 2 kap. 12 § och 13 § andra stycket utlänningsförordningen i enlighet med vad som anförs i motionen.</w:t>
      </w:r>
    </w:p>
    <w:p w:rsidR="00EE23F9" w:rsidRPr="00B87516" w:rsidRDefault="00EE23F9">
      <w:pPr>
        <w:pStyle w:val="Hemstlatt"/>
        <w:numPr>
          <w:ilvl w:val="0"/>
          <w:numId w:val="1"/>
        </w:numPr>
      </w:pPr>
      <w:r w:rsidRPr="00B87516">
        <w:t>Riksdagen tillkännager för regeringen som sin mening vad som anförs i motionen om att föra in i utlänningslagen en bestämme</w:t>
      </w:r>
      <w:r w:rsidRPr="00B87516">
        <w:t>l</w:t>
      </w:r>
      <w:r w:rsidRPr="00B87516">
        <w:t>se om fri bevisprövning.</w:t>
      </w:r>
    </w:p>
    <w:p w:rsidR="00EE23F9" w:rsidRPr="00B87516" w:rsidRDefault="00EE23F9">
      <w:pPr>
        <w:pStyle w:val="Rubrik1"/>
      </w:pPr>
      <w:r w:rsidRPr="00B87516">
        <w:t>Inledning</w:t>
      </w:r>
    </w:p>
    <w:p w:rsidR="00EE23F9" w:rsidRPr="00B87516" w:rsidRDefault="00EE23F9">
      <w:r w:rsidRPr="00B87516">
        <w:t>Migrationsöverdomstolen har genom flera domar år 2009 förändrat tilläm</w:t>
      </w:r>
      <w:r w:rsidRPr="00B87516">
        <w:t>p</w:t>
      </w:r>
      <w:r w:rsidRPr="00B87516">
        <w:t>ningen av utlänningslagen genom att fastslå att kravet på att utlänningar ska ha pass vid inresa och vistelse i Sverige är absolut såvida inte uttryckligt undantag angivits. Genom ställningstagande av rättschefen vid Migration</w:t>
      </w:r>
      <w:r w:rsidRPr="00B87516">
        <w:t>s</w:t>
      </w:r>
      <w:r w:rsidRPr="00B87516">
        <w:t>verket den 11 mars 2010 har dessa domar bl.a. givits den konsekvensen att Migrationsverket inte ska utnyttja möjligheten att utfärda främlingspass med stöd av 2 kap. 13 § andra stycket utlänningsförordningen och förse passet med anteckning att identiteten inte är styrkt.</w:t>
      </w:r>
    </w:p>
    <w:p w:rsidR="00EE23F9" w:rsidRPr="00B87516" w:rsidRDefault="00EE23F9">
      <w:pPr>
        <w:pStyle w:val="Normaltindrag"/>
      </w:pPr>
      <w:r w:rsidRPr="00B87516">
        <w:t>I dom den 17</w:t>
      </w:r>
      <w:r w:rsidRPr="00B87516">
        <w:t>/3 2011 (UM 9536-10) har domstolen också slagit fast att barn som ansöker om att återförenas med sina föräldrar måste styrka att förä</w:t>
      </w:r>
      <w:r w:rsidRPr="00B87516">
        <w:t>l</w:t>
      </w:r>
      <w:r w:rsidRPr="00B87516">
        <w:t>dern/ föräldrarna är barnets vårdnadshavare genom skriftliga handlingar. I dom den 12/5 2011 (UM 8325-10) har Migrationsöverdomstolen uttalat att det åligger Sverige enligt Schengenkonventionen att ställa krav på styrkt identitet som förutsättning för familjeåterförening, att gemenskapskodexen för gränspassage för personer föreskriver att identiteten ska styrkas vid grän</w:t>
      </w:r>
      <w:r w:rsidRPr="00B87516">
        <w:t>s</w:t>
      </w:r>
      <w:r w:rsidRPr="00B87516">
        <w:t>pass</w:t>
      </w:r>
      <w:r w:rsidRPr="00B87516">
        <w:t>age, att familjeåterföreningsdirektivet tillåter avslag på ansökan om f</w:t>
      </w:r>
      <w:r w:rsidRPr="00B87516">
        <w:t>a</w:t>
      </w:r>
      <w:r w:rsidRPr="00B87516">
        <w:lastRenderedPageBreak/>
        <w:t>miljeåterförening om den inte åtföljs av skriftliga bevis för familjebanden och bestyrkta kopior av resehandlingarna. Domstolen har också åter slagit fast sin tidigare tolkning om utlänningslagens innebörd i fråga om absolut krav på passinnehav och styrkt identitet.</w:t>
      </w:r>
    </w:p>
    <w:p w:rsidR="00EE23F9" w:rsidRPr="00B87516" w:rsidRDefault="00EE23F9">
      <w:pPr>
        <w:pStyle w:val="Normaltindrag"/>
      </w:pPr>
      <w:r w:rsidRPr="00B87516">
        <w:t>Domstolen avslutar domskälen med följande konklusion:</w:t>
      </w:r>
    </w:p>
    <w:p w:rsidR="00EE23F9" w:rsidRPr="00B87516" w:rsidRDefault="00EE23F9">
      <w:pPr>
        <w:pStyle w:val="Citat"/>
      </w:pPr>
      <w:r w:rsidRPr="00B87516">
        <w:t>Migrationsöverdomstolen är medveten om de problem att styrka sin ide</w:t>
      </w:r>
      <w:r w:rsidRPr="00B87516">
        <w:t>n</w:t>
      </w:r>
      <w:r w:rsidRPr="00B87516">
        <w:t>titet som finns för sökande bl.a. från Somalia. Det är emellertid inte mö</w:t>
      </w:r>
      <w:r w:rsidRPr="00B87516">
        <w:t>j</w:t>
      </w:r>
      <w:r w:rsidRPr="00B87516">
        <w:t>ligt för rättstillämparen att generellt eller för en viss grupp av sökande medge undantag från kraven på klarlagd identitet och pass. Sådana u</w:t>
      </w:r>
      <w:r w:rsidRPr="00B87516">
        <w:t>n</w:t>
      </w:r>
      <w:r w:rsidRPr="00B87516">
        <w:t>dantag åligger det lagstiftaren/regeringen att föranstalta om. Det är även en sak för lagstiftaren/regeringen att, om det anses att reglerna för utfä</w:t>
      </w:r>
      <w:r w:rsidRPr="00B87516">
        <w:t>r</w:t>
      </w:r>
      <w:r w:rsidRPr="00B87516">
        <w:t>dande av främlingspass inte står i överensstämmelse med lagstiftarens i</w:t>
      </w:r>
      <w:r w:rsidRPr="00B87516">
        <w:t>n</w:t>
      </w:r>
      <w:r w:rsidRPr="00B87516">
        <w:t>tentioner, förändra dessa.</w:t>
      </w:r>
    </w:p>
    <w:p w:rsidR="00EE23F9" w:rsidRPr="00B87516" w:rsidRDefault="00EE23F9">
      <w:r w:rsidRPr="00B87516">
        <w:t xml:space="preserve">Migrationsöverdomstolens dom den 12 maj 2011 </w:t>
      </w:r>
      <w:r w:rsidRPr="00B87516">
        <w:t>stänger oåterkalleligen dörren för varje förhoppning om att det ur humanitär synpunkt katastrofala rättsläget skulle kunna förändras genom praxis. Det är nu uppenbart att bl.a. de uppskattningsvis 1 500 somaliska barn, som tvingas leva åtskilda från sina föräldrar/sin förälder, under i många fall djupt inhumana och farliga omstä</w:t>
      </w:r>
      <w:r w:rsidRPr="00B87516">
        <w:t>n</w:t>
      </w:r>
      <w:r w:rsidRPr="00B87516">
        <w:t>digheter, inte kan få en positiv lösning av sin situation utan att utlänningsl</w:t>
      </w:r>
      <w:r w:rsidRPr="00B87516">
        <w:t>a</w:t>
      </w:r>
      <w:r w:rsidRPr="00B87516">
        <w:t>gen och utlänningsförordningen ändras. En sådan förändring är självfallet ytterst brådskande. Den oacc</w:t>
      </w:r>
      <w:r w:rsidRPr="00B87516">
        <w:t>eptabla situationen gäller inte bara de obefintliga återföreningsmöjligheterna mellan föräldrar och minderåriga barn utan också mellan makar/sambor och mellan andra nära familjeanknytningar.</w:t>
      </w:r>
    </w:p>
    <w:p w:rsidR="00EE23F9" w:rsidRPr="00B87516" w:rsidRDefault="00EE23F9">
      <w:pPr>
        <w:pStyle w:val="Rubrik1"/>
      </w:pPr>
      <w:r w:rsidRPr="00B87516">
        <w:t>Behovet av förändringar i utlänningslagen och utlänningsförordningen</w:t>
      </w:r>
    </w:p>
    <w:p w:rsidR="00EE23F9" w:rsidRPr="00B87516" w:rsidRDefault="00EE23F9">
      <w:r w:rsidRPr="00B87516">
        <w:t>Utlänningslagen innehåller inget explicit krav på styrkt identitet som föru</w:t>
      </w:r>
      <w:r w:rsidRPr="00B87516">
        <w:t>t</w:t>
      </w:r>
      <w:r w:rsidRPr="00B87516">
        <w:t>sättning för rätt till familjeåterförening, men Migrationsöverdomstolen har med stöd av förarbetsuttalanden slagit fast att ett sådant krav gäller. Huruvida detta krav står i överensstämmelse med artikel 8, rätten till familjeliv i Eur</w:t>
      </w:r>
      <w:r w:rsidRPr="00B87516">
        <w:t>o</w:t>
      </w:r>
      <w:r w:rsidRPr="00B87516">
        <w:t>pakonventionen om de mänskliga rättigheterna, har Migrationsöverdomstolen inte övervägt.</w:t>
      </w:r>
    </w:p>
    <w:p w:rsidR="00EE23F9" w:rsidRPr="00B87516" w:rsidRDefault="00EE23F9">
      <w:pPr>
        <w:pStyle w:val="Normaltindrag"/>
      </w:pPr>
      <w:r w:rsidRPr="00B87516">
        <w:t>Det är således nödvändigt att genomföra en ändring i utlänningslagen för att förändra rättsläget och i lagen utmönstra kravet på styrkt identitet som förutsättning för familjeåterförenin</w:t>
      </w:r>
      <w:r w:rsidRPr="00B87516">
        <w:t>g. Detta bör riksdagen begära hos rege</w:t>
      </w:r>
      <w:r w:rsidRPr="00B87516">
        <w:t>r</w:t>
      </w:r>
      <w:r w:rsidRPr="00B87516">
        <w:t>ingen.</w:t>
      </w:r>
    </w:p>
    <w:p w:rsidR="00EE23F9" w:rsidRPr="00B87516" w:rsidRDefault="00EE23F9">
      <w:pPr>
        <w:pStyle w:val="Normaltindrag"/>
      </w:pPr>
      <w:r w:rsidRPr="00B87516">
        <w:t>Det kan också vara nödvändigt att se över bestämmelserna i 2 kap. utlä</w:t>
      </w:r>
      <w:r w:rsidRPr="00B87516">
        <w:t>n</w:t>
      </w:r>
      <w:r w:rsidRPr="00B87516">
        <w:t>ningslagen om passkrav och undantag från passkravet. Regeringen bör även genomföra erforderliga förändringar i 2 kap. 12 och 13 §§ utlänningsföror</w:t>
      </w:r>
      <w:r w:rsidRPr="00B87516">
        <w:t>d</w:t>
      </w:r>
      <w:r w:rsidRPr="00B87516">
        <w:t>ningen för att undanröja bristande passinnehav som hinder mot familjeåterf</w:t>
      </w:r>
      <w:r w:rsidRPr="00B87516">
        <w:t>ö</w:t>
      </w:r>
      <w:r w:rsidRPr="00B87516">
        <w:t>rening. Detta bör riksdagen begära hos regeringen.</w:t>
      </w:r>
    </w:p>
    <w:p w:rsidR="00EE23F9" w:rsidRPr="00B87516" w:rsidRDefault="00EE23F9">
      <w:pPr>
        <w:pStyle w:val="Normaltindrag"/>
      </w:pPr>
      <w:r w:rsidRPr="00B87516">
        <w:t>Det är också nödvändigt att införa en regel i utlänningslagen som uttryc</w:t>
      </w:r>
      <w:r w:rsidRPr="00B87516">
        <w:t>k</w:t>
      </w:r>
      <w:r w:rsidRPr="00B87516">
        <w:t>ligen slår fast att fri bevisprövning gäller i utlänningsärenden. Regeringen bör återkomma till riksdagen med förslag om en sådan reglering. Detta bör rik</w:t>
      </w:r>
      <w:r w:rsidRPr="00B87516">
        <w:t>s</w:t>
      </w:r>
      <w:r w:rsidRPr="00B87516">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516">
        <w:trPr>
          <w:cantSplit/>
        </w:trPr>
        <w:tc>
          <w:tcPr>
            <w:tcW w:w="3046" w:type="dxa"/>
          </w:tcPr>
          <w:p w:rsidR="00EE23F9" w:rsidRPr="00B87516" w:rsidRDefault="00EE23F9">
            <w:pPr>
              <w:pStyle w:val="UnderskriftDatum"/>
              <w:spacing w:before="240"/>
            </w:pPr>
            <w:r w:rsidRPr="00B87516">
              <w:t>Stockholm den 27 september 2011</w:t>
            </w:r>
          </w:p>
        </w:tc>
        <w:tc>
          <w:tcPr>
            <w:tcW w:w="3047" w:type="dxa"/>
          </w:tcPr>
          <w:p w:rsidR="00EE23F9" w:rsidRPr="00B87516" w:rsidRDefault="00EE23F9">
            <w:pPr>
              <w:pStyle w:val="Underskrifter"/>
              <w:spacing w:before="240"/>
            </w:pPr>
          </w:p>
        </w:tc>
      </w:tr>
      <w:tr w:rsidR="00000000" w:rsidRPr="00B87516">
        <w:trPr>
          <w:cantSplit/>
        </w:trPr>
        <w:tc>
          <w:tcPr>
            <w:tcW w:w="3046" w:type="dxa"/>
          </w:tcPr>
          <w:p w:rsidR="00EE23F9" w:rsidRPr="00B87516" w:rsidRDefault="00EE23F9">
            <w:pPr>
              <w:pStyle w:val="Underskrifter"/>
            </w:pPr>
            <w:r w:rsidRPr="00B87516">
              <w:t>Christina Höj Larsen (V)</w:t>
            </w:r>
          </w:p>
        </w:tc>
        <w:tc>
          <w:tcPr>
            <w:tcW w:w="3046" w:type="dxa"/>
          </w:tcPr>
          <w:p w:rsidR="00EE23F9" w:rsidRPr="00B87516" w:rsidRDefault="00EE23F9">
            <w:pPr>
              <w:pStyle w:val="Underskrifter"/>
            </w:pPr>
          </w:p>
        </w:tc>
      </w:tr>
      <w:tr w:rsidR="00000000" w:rsidRPr="00B87516">
        <w:trPr>
          <w:cantSplit/>
        </w:trPr>
        <w:tc>
          <w:tcPr>
            <w:tcW w:w="3046" w:type="dxa"/>
          </w:tcPr>
          <w:p w:rsidR="00EE23F9" w:rsidRPr="00B87516" w:rsidRDefault="00EE23F9">
            <w:pPr>
              <w:pStyle w:val="Underskrifter"/>
            </w:pPr>
            <w:r w:rsidRPr="00B87516">
              <w:t>Ulla Andersson (V)</w:t>
            </w:r>
          </w:p>
        </w:tc>
        <w:tc>
          <w:tcPr>
            <w:tcW w:w="3046" w:type="dxa"/>
          </w:tcPr>
          <w:p w:rsidR="00EE23F9" w:rsidRPr="00B87516" w:rsidRDefault="00EE23F9">
            <w:pPr>
              <w:pStyle w:val="Underskrifter"/>
            </w:pPr>
            <w:r w:rsidRPr="00B87516">
              <w:t>Josefin Brink (V)</w:t>
            </w:r>
          </w:p>
        </w:tc>
      </w:tr>
      <w:tr w:rsidR="00000000" w:rsidRPr="00B87516">
        <w:trPr>
          <w:cantSplit/>
        </w:trPr>
        <w:tc>
          <w:tcPr>
            <w:tcW w:w="3046" w:type="dxa"/>
          </w:tcPr>
          <w:p w:rsidR="00EE23F9" w:rsidRPr="00B87516" w:rsidRDefault="00EE23F9">
            <w:pPr>
              <w:pStyle w:val="Underskrifter"/>
            </w:pPr>
            <w:r w:rsidRPr="00B87516">
              <w:t>Rossana Dinamarca (V)</w:t>
            </w:r>
          </w:p>
        </w:tc>
        <w:tc>
          <w:tcPr>
            <w:tcW w:w="3046" w:type="dxa"/>
          </w:tcPr>
          <w:p w:rsidR="00EE23F9" w:rsidRPr="00B87516" w:rsidRDefault="00EE23F9">
            <w:pPr>
              <w:pStyle w:val="Underskrifter"/>
            </w:pPr>
            <w:r w:rsidRPr="00B87516">
              <w:t>Wiwi-Anne Johansson (V)</w:t>
            </w:r>
          </w:p>
        </w:tc>
      </w:tr>
      <w:tr w:rsidR="00000000" w:rsidRPr="00B87516">
        <w:trPr>
          <w:cantSplit/>
        </w:trPr>
        <w:tc>
          <w:tcPr>
            <w:tcW w:w="3046" w:type="dxa"/>
          </w:tcPr>
          <w:p w:rsidR="00EE23F9" w:rsidRPr="00B87516" w:rsidRDefault="00EE23F9">
            <w:pPr>
              <w:pStyle w:val="Underskrifter"/>
            </w:pPr>
            <w:r w:rsidRPr="00B87516">
              <w:t>Jacob Johnson (V)</w:t>
            </w:r>
          </w:p>
        </w:tc>
        <w:tc>
          <w:tcPr>
            <w:tcW w:w="3046" w:type="dxa"/>
          </w:tcPr>
          <w:p w:rsidR="00EE23F9" w:rsidRPr="00B87516" w:rsidRDefault="00EE23F9">
            <w:pPr>
              <w:pStyle w:val="Underskrifter"/>
            </w:pPr>
          </w:p>
        </w:tc>
      </w:tr>
    </w:tbl>
    <w:p w:rsidR="00EE23F9" w:rsidRPr="00B87516" w:rsidRDefault="00EE23F9">
      <w:pPr>
        <w:pStyle w:val="Normaltindrag"/>
      </w:pPr>
    </w:p>
    <w:sectPr w:rsidR="00EE23F9" w:rsidRPr="00B87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3F9" w:rsidRPr="00B87516" w:rsidRDefault="00EE23F9">
      <w:r w:rsidRPr="00B87516">
        <w:separator/>
      </w:r>
    </w:p>
  </w:endnote>
  <w:endnote w:type="continuationSeparator" w:id="0">
    <w:p w:rsidR="00EE23F9" w:rsidRPr="00B87516" w:rsidRDefault="00EE23F9">
      <w:r w:rsidRPr="00B87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B87516">
    <w:pPr>
      <w:pStyle w:val="Sidfot"/>
    </w:pPr>
    <w:r w:rsidRPr="00B87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33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F9" w:rsidRDefault="00EE23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3F9" w:rsidRDefault="00EE23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B87516">
    <w:pPr>
      <w:pStyle w:val="Sidfot"/>
    </w:pPr>
    <w:r w:rsidRPr="00B87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02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F9" w:rsidRDefault="00EE23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3F9" w:rsidRDefault="00EE23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B87516">
    <w:pPr>
      <w:pStyle w:val="Sidfot"/>
    </w:pPr>
    <w:r w:rsidRPr="00B87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295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F9" w:rsidRDefault="00EE2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3F9" w:rsidRDefault="00EE2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3F9" w:rsidRPr="00B87516" w:rsidRDefault="00EE23F9">
      <w:r w:rsidRPr="00B87516">
        <w:separator/>
      </w:r>
    </w:p>
  </w:footnote>
  <w:footnote w:type="continuationSeparator" w:id="0">
    <w:p w:rsidR="00EE23F9" w:rsidRPr="00B87516" w:rsidRDefault="00EE23F9">
      <w:r w:rsidRPr="00B87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B87516">
    <w:pPr>
      <w:pStyle w:val="Sidhuvud"/>
    </w:pPr>
    <w:r w:rsidRPr="00B87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743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F9" w:rsidRDefault="00EE23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3F9" w:rsidRDefault="00EE23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B87516">
    <w:pPr>
      <w:pStyle w:val="Sidhuvud"/>
    </w:pPr>
    <w:r w:rsidRPr="00B87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437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F9" w:rsidRDefault="00EE23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3F9" w:rsidRDefault="00EE23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F9" w:rsidRPr="00B87516" w:rsidRDefault="00EE23F9">
    <w:pPr>
      <w:pStyle w:val="FSHNormal"/>
      <w:tabs>
        <w:tab w:val="right" w:pos="5840"/>
      </w:tabs>
    </w:pPr>
    <w:r w:rsidRPr="00B87516">
      <w:br/>
    </w:r>
    <w:r w:rsidRPr="00B87516">
      <w:fldChar w:fldCharType="begin" w:fldLock="1"/>
    </w:r>
    <w:r w:rsidRPr="00B87516">
      <w:instrText xml:space="preserve"> DOCPROPERTY</w:instrText>
    </w:r>
    <w:r w:rsidRPr="00B87516">
      <w:rPr>
        <w:sz w:val="18"/>
      </w:rPr>
      <w:instrText xml:space="preserve"> "YearUser" *\charformat </w:instrText>
    </w:r>
    <w:r w:rsidRPr="00B87516">
      <w:fldChar w:fldCharType="separate"/>
    </w:r>
    <w:r w:rsidRPr="00B87516">
      <w:t>2011/12</w:t>
    </w:r>
    <w:r w:rsidRPr="00B87516">
      <w:fldChar w:fldCharType="end"/>
    </w:r>
    <w:r w:rsidRPr="00B87516">
      <w:t xml:space="preserve"> </w:t>
    </w:r>
    <w:r w:rsidRPr="00B87516">
      <w:tab/>
      <w:t xml:space="preserve">mnr: </w:t>
    </w:r>
    <w:r w:rsidRPr="00B87516">
      <w:fldChar w:fldCharType="begin" w:fldLock="1"/>
    </w:r>
    <w:r w:rsidRPr="00B87516">
      <w:instrText xml:space="preserve"> DOCPROPERTY</w:instrText>
    </w:r>
    <w:r w:rsidRPr="00B87516">
      <w:rPr>
        <w:sz w:val="18"/>
      </w:rPr>
      <w:instrText xml:space="preserve"> "Motionsnummer" *\charformat </w:instrText>
    </w:r>
    <w:r w:rsidRPr="00B87516">
      <w:fldChar w:fldCharType="separate"/>
    </w:r>
    <w:r w:rsidRPr="00B87516">
      <w:t>Sf204</w:t>
    </w:r>
    <w:r w:rsidRPr="00B87516">
      <w:fldChar w:fldCharType="end"/>
    </w:r>
    <w:r w:rsidRPr="00B87516">
      <w:br/>
    </w:r>
    <w:r w:rsidRPr="00B87516">
      <w:fldChar w:fldCharType="begin" w:fldLock="1"/>
    </w:r>
    <w:r w:rsidRPr="00B87516">
      <w:instrText xml:space="preserve"> DOCPROPERTY</w:instrText>
    </w:r>
    <w:r w:rsidRPr="00B87516">
      <w:rPr>
        <w:sz w:val="18"/>
      </w:rPr>
      <w:instrText xml:space="preserve"> "Samling" *\charformat </w:instrText>
    </w:r>
    <w:r w:rsidRPr="00B87516">
      <w:fldChar w:fldCharType="end"/>
    </w:r>
    <w:r w:rsidRPr="00B87516">
      <w:tab/>
      <w:t xml:space="preserve">pnr: </w:t>
    </w:r>
    <w:r w:rsidRPr="00B87516">
      <w:fldChar w:fldCharType="begin" w:fldLock="1"/>
    </w:r>
    <w:r w:rsidRPr="00B87516">
      <w:instrText xml:space="preserve"> DOCPROPERTY</w:instrText>
    </w:r>
    <w:r w:rsidRPr="00B87516">
      <w:rPr>
        <w:sz w:val="18"/>
      </w:rPr>
      <w:instrText xml:space="preserve"> "Partinummer" *\charformat </w:instrText>
    </w:r>
    <w:r w:rsidRPr="00B87516">
      <w:fldChar w:fldCharType="separate"/>
    </w:r>
    <w:r w:rsidRPr="00B87516">
      <w:t>V440</w:t>
    </w:r>
    <w:r w:rsidRPr="00B87516">
      <w:fldChar w:fldCharType="end"/>
    </w:r>
  </w:p>
  <w:p w:rsidR="00EE23F9" w:rsidRPr="00B87516" w:rsidRDefault="00EE23F9">
    <w:pPr>
      <w:pStyle w:val="FSHRub1"/>
    </w:pPr>
    <w:r w:rsidRPr="00B87516">
      <w:t>Motion till riksdagen</w:t>
    </w:r>
    <w:r w:rsidRPr="00B87516">
      <w:br/>
    </w:r>
    <w:r w:rsidRPr="00B87516">
      <w:fldChar w:fldCharType="begin" w:fldLock="1"/>
    </w:r>
    <w:r w:rsidRPr="00B87516">
      <w:instrText xml:space="preserve"> DOCPROPERTY "YearUser" *\charformat </w:instrText>
    </w:r>
    <w:r w:rsidRPr="00B87516">
      <w:fldChar w:fldCharType="separate"/>
    </w:r>
    <w:r w:rsidRPr="00B87516">
      <w:t>2011/12</w:t>
    </w:r>
    <w:r w:rsidRPr="00B87516">
      <w:fldChar w:fldCharType="end"/>
    </w:r>
    <w:r w:rsidRPr="00B87516">
      <w:t>:</w:t>
    </w:r>
    <w:r w:rsidRPr="00B87516">
      <w:fldChar w:fldCharType="begin" w:fldLock="1"/>
    </w:r>
    <w:r w:rsidRPr="00B87516">
      <w:instrText xml:space="preserve"> DOCPROPERTY "Motionsnummer" *\charformat </w:instrText>
    </w:r>
    <w:r w:rsidRPr="00B87516">
      <w:fldChar w:fldCharType="separate"/>
    </w:r>
    <w:r w:rsidRPr="00B87516">
      <w:t>Sf204</w:t>
    </w:r>
    <w:r w:rsidRPr="00B87516">
      <w:fldChar w:fldCharType="end"/>
    </w:r>
  </w:p>
  <w:p w:rsidR="00EE23F9" w:rsidRPr="00B87516" w:rsidRDefault="00EE23F9">
    <w:pPr>
      <w:pStyle w:val="FSHNormalS5"/>
    </w:pPr>
    <w:r w:rsidRPr="00B87516">
      <w:fldChar w:fldCharType="begin" w:fldLock="1"/>
    </w:r>
    <w:r w:rsidRPr="00B87516">
      <w:instrText xml:space="preserve"> DOCPROPERTY "MotionarText" *\charformat </w:instrText>
    </w:r>
    <w:r w:rsidRPr="00B87516">
      <w:fldChar w:fldCharType="separate"/>
    </w:r>
    <w:r w:rsidRPr="00B87516">
      <w:t>av Christina Höj Larsen m.fl. (V)</w:t>
    </w:r>
    <w:r w:rsidRPr="00B87516">
      <w:fldChar w:fldCharType="end"/>
    </w:r>
    <w:r w:rsidRPr="00B87516">
      <w:br/>
    </w:r>
    <w:r w:rsidRPr="00B87516">
      <w:fldChar w:fldCharType="begin" w:fldLock="1"/>
    </w:r>
    <w:r w:rsidRPr="00B87516">
      <w:instrText xml:space="preserve"> DOCPROPERTY "SvarFrasKort" *\charformat </w:instrText>
    </w:r>
    <w:r w:rsidRPr="00B87516">
      <w:fldChar w:fldCharType="end"/>
    </w:r>
  </w:p>
  <w:p w:rsidR="00EE23F9" w:rsidRPr="00B87516" w:rsidRDefault="00EE23F9">
    <w:pPr>
      <w:pStyle w:val="FSHTitel"/>
    </w:pPr>
    <w:r w:rsidRPr="00B87516">
      <w:fldChar w:fldCharType="begin" w:fldLock="1"/>
    </w:r>
    <w:r w:rsidRPr="00B87516">
      <w:instrText xml:space="preserve"> DOCPROPERTY</w:instrText>
    </w:r>
    <w:r w:rsidRPr="00B87516">
      <w:rPr>
        <w:sz w:val="18"/>
      </w:rPr>
      <w:instrText xml:space="preserve"> "RubrikSvar" *\charformat </w:instrText>
    </w:r>
    <w:r w:rsidRPr="00B87516">
      <w:fldChar w:fldCharType="separate"/>
    </w:r>
    <w:r w:rsidRPr="00B87516">
      <w:t>Krav på styrkt identitet som hinder mot familjeåterförening</w:t>
    </w:r>
    <w:r w:rsidRPr="00B87516">
      <w:fldChar w:fldCharType="end"/>
    </w:r>
  </w:p>
  <w:p w:rsidR="00EE23F9" w:rsidRPr="00B87516" w:rsidRDefault="00EE23F9">
    <w:pPr>
      <w:pStyle w:val="Normal00"/>
    </w:pPr>
  </w:p>
  <w:p w:rsidR="00EE23F9" w:rsidRPr="00B87516" w:rsidRDefault="00EE2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76529B"/>
    <w:multiLevelType w:val="hybridMultilevel"/>
    <w:tmpl w:val="D7BA89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F6D0CE2"/>
    <w:multiLevelType w:val="hybridMultilevel"/>
    <w:tmpl w:val="5094D01C"/>
    <w:lvl w:ilvl="0" w:tplc="5FBC14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9950471">
    <w:abstractNumId w:val="3"/>
  </w:num>
  <w:num w:numId="2" w16cid:durableId="31393773">
    <w:abstractNumId w:val="2"/>
  </w:num>
  <w:num w:numId="3" w16cid:durableId="1116291127">
    <w:abstractNumId w:val="1"/>
  </w:num>
  <w:num w:numId="4" w16cid:durableId="1366834189">
    <w:abstractNumId w:val="0"/>
  </w:num>
  <w:num w:numId="5" w16cid:durableId="14891915">
    <w:abstractNumId w:val="7"/>
  </w:num>
  <w:num w:numId="6" w16cid:durableId="2124030277">
    <w:abstractNumId w:val="6"/>
  </w:num>
  <w:num w:numId="7" w16cid:durableId="214316322">
    <w:abstractNumId w:val="5"/>
  </w:num>
  <w:num w:numId="8" w16cid:durableId="152793070">
    <w:abstractNumId w:val="4"/>
  </w:num>
  <w:num w:numId="9" w16cid:durableId="993266732">
    <w:abstractNumId w:val="8"/>
  </w:num>
  <w:num w:numId="10" w16cid:durableId="615134209">
    <w:abstractNumId w:val="9"/>
  </w:num>
  <w:num w:numId="11" w16cid:durableId="1527400028">
    <w:abstractNumId w:val="10"/>
  </w:num>
  <w:num w:numId="12" w16cid:durableId="1855924844">
    <w:abstractNumId w:val="15"/>
  </w:num>
  <w:num w:numId="13" w16cid:durableId="581766356">
    <w:abstractNumId w:val="17"/>
  </w:num>
  <w:num w:numId="14" w16cid:durableId="1346397308">
    <w:abstractNumId w:val="18"/>
  </w:num>
  <w:num w:numId="15" w16cid:durableId="620303748">
    <w:abstractNumId w:val="11"/>
  </w:num>
  <w:num w:numId="16" w16cid:durableId="322054237">
    <w:abstractNumId w:val="20"/>
  </w:num>
  <w:num w:numId="17" w16cid:durableId="902066286">
    <w:abstractNumId w:val="19"/>
  </w:num>
  <w:num w:numId="18" w16cid:durableId="86584439">
    <w:abstractNumId w:val="16"/>
  </w:num>
  <w:num w:numId="19" w16cid:durableId="177306641">
    <w:abstractNumId w:val="14"/>
  </w:num>
  <w:num w:numId="20" w16cid:durableId="2082671664">
    <w:abstractNumId w:val="12"/>
  </w:num>
  <w:num w:numId="21" w16cid:durableId="1359234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655152DA-9738-498E-8F40-529248027960},{9757EBE9-5352-471C-B04A-E35C112BD16A},{3E8E9A56-310F-4C36-91B1-43045BD53986},{A91A0519-8886-4C65-9424-5F1F036166D5},{8AB62037-4390-43A4-8774-82C1A5291ED3},{CDE55E54-9331-43CF-956C-25A3AB2FE7A8}"/>
  </w:docVars>
  <w:rsids>
    <w:rsidRoot w:val="009F236B"/>
    <w:rsid w:val="009F236B"/>
    <w:rsid w:val="00B87516"/>
    <w:rsid w:val="00EE23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CEE1B-8120-4680-A8D4-73A71D4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4079</Characters>
  <Application>Microsoft Office Word</Application>
  <DocSecurity>4</DocSecurity>
  <Lines>81</Lines>
  <Paragraphs>25</Paragraphs>
  <ScaleCrop>false</ScaleCrop>
  <HeadingPairs>
    <vt:vector size="2" baseType="variant">
      <vt:variant>
        <vt:lpstr>Rubrik</vt:lpstr>
      </vt:variant>
      <vt:variant>
        <vt:i4>1</vt:i4>
      </vt:variant>
    </vt:vector>
  </HeadingPairs>
  <TitlesOfParts>
    <vt:vector size="1" baseType="lpstr">
      <vt:lpstr>V440</vt:lpstr>
    </vt:vector>
  </TitlesOfParts>
  <Company>Riksdagen</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V440</dc:title>
  <dc:subject>V440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2011-10-30T12:46:00Z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Krav på styrkt identitet som hinder mot familjeåterförening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styrkt identitet som hinder mot familjeåterförening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20112012000000000086000004400075</vt:lpwstr>
  </property>
  <property fmtid="{D5CDD505-2E9C-101B-9397-08002B2CF9AE}" pid="47" name="datum">
    <vt:lpwstr>110927</vt:lpwstr>
  </property>
  <property fmtid="{D5CDD505-2E9C-101B-9397-08002B2CF9AE}" pid="48" name="avsändar-e-post">
    <vt:lpwstr>dina.fraggidou@riksdagen.se</vt:lpwstr>
  </property>
  <property fmtid="{D5CDD505-2E9C-101B-9397-08002B2CF9AE}" pid="49" name="id">
    <vt:lpwstr>20112012000000000086000004400075</vt:lpwstr>
  </property>
  <property fmtid="{D5CDD505-2E9C-101B-9397-08002B2CF9AE}" pid="50" name="nummer">
    <vt:lpwstr>204</vt:lpwstr>
  </property>
  <property fmtid="{D5CDD505-2E9C-101B-9397-08002B2CF9AE}" pid="51" name="utskottsbeteckning">
    <vt:lpwstr>Sf</vt:lpwstr>
  </property>
  <property fmtid="{D5CDD505-2E9C-101B-9397-08002B2CF9AE}" pid="52" name="GlobalUID">
    <vt:lpwstr>{B0C87A0C-0819-4D06-AA45-0DBEE0515FCB}</vt:lpwstr>
  </property>
  <property fmtid="{D5CDD505-2E9C-101B-9397-08002B2CF9AE}" pid="53" name="Överföringar">
    <vt:i4>0</vt:i4>
  </property>
  <property fmtid="{D5CDD505-2E9C-101B-9397-08002B2CF9AE}" pid="54" name="Checksum">
    <vt:lpwstr>*1001498739860*</vt:lpwstr>
  </property>
  <property fmtid="{D5CDD505-2E9C-101B-9397-08002B2CF9AE}" pid="55" name="skuggnummer">
    <vt:lpwstr>117</vt:lpwstr>
  </property>
  <property fmtid="{D5CDD505-2E9C-101B-9397-08002B2CF9AE}" pid="56" name="urixVersion">
    <vt:lpwstr>4.5.0.25</vt:lpwstr>
  </property>
  <property fmtid="{D5CDD505-2E9C-101B-9397-08002B2CF9AE}" pid="57" name="urixOrigin">
    <vt:lpwstr>111030 13:46:32.260</vt:lpwstr>
  </property>
  <property fmtid="{D5CDD505-2E9C-101B-9397-08002B2CF9AE}" pid="58" name="urixGuid">
    <vt:lpwstr>{E1D17E0C-4263-47B0-A040-5F4EA6E1C2DA}</vt:lpwstr>
  </property>
</Properties>
</file>