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4E54" w:rsidRPr="001A15E2" w:rsidRDefault="003E4E54" w:rsidP="003E4E54">
      <w:pPr>
        <w:pStyle w:val="RubrikInnehllsf"/>
      </w:pPr>
      <w:bookmarkStart w:id="0" w:name="_Toc131407918"/>
      <w:bookmarkStart w:id="1" w:name="_Toc131818716"/>
      <w:r w:rsidRPr="001A15E2">
        <w:t>Innehållsförteckning</w:t>
      </w:r>
      <w:bookmarkEnd w:id="0"/>
      <w:bookmarkEnd w:id="1"/>
    </w:p>
    <w:bookmarkStart w:id="2" w:name="_Toc131407919"/>
    <w:p w:rsidR="007A38C9" w:rsidRPr="001A15E2" w:rsidRDefault="00870337" w:rsidP="009F7013">
      <w:pPr>
        <w:pStyle w:val="Innehll1"/>
        <w:tabs>
          <w:tab w:val="left" w:pos="285"/>
        </w:tabs>
        <w:rPr>
          <w:szCs w:val="24"/>
        </w:rPr>
      </w:pPr>
      <w:r w:rsidRPr="001A15E2">
        <w:fldChar w:fldCharType="begin" w:fldLock="1"/>
      </w:r>
      <w:r w:rsidRPr="001A15E2">
        <w:instrText xml:space="preserve"> TOC \o "1-3" \t "HEMSTL_RUBRIK" </w:instrText>
      </w:r>
      <w:r w:rsidRPr="001A15E2">
        <w:fldChar w:fldCharType="separate"/>
      </w:r>
      <w:r w:rsidR="007A38C9" w:rsidRPr="001A15E2">
        <w:t>1</w:t>
      </w:r>
      <w:r w:rsidR="007A38C9" w:rsidRPr="001A15E2">
        <w:rPr>
          <w:szCs w:val="24"/>
        </w:rPr>
        <w:tab/>
      </w:r>
      <w:r w:rsidR="007A38C9" w:rsidRPr="001A15E2">
        <w:t>Innehållsförteckning</w:t>
      </w:r>
      <w:r w:rsidR="007A38C9" w:rsidRPr="001A15E2">
        <w:tab/>
      </w:r>
      <w:r w:rsidR="007A38C9" w:rsidRPr="001A15E2">
        <w:fldChar w:fldCharType="begin" w:fldLock="1"/>
      </w:r>
      <w:r w:rsidR="007A38C9" w:rsidRPr="001A15E2">
        <w:instrText xml:space="preserve"> PAGEREF _Toc131818716 \h </w:instrText>
      </w:r>
      <w:r w:rsidR="007A38C9" w:rsidRPr="001A15E2">
        <w:fldChar w:fldCharType="separate"/>
      </w:r>
      <w:r w:rsidR="00E27113" w:rsidRPr="001A15E2">
        <w:t>1</w:t>
      </w:r>
      <w:r w:rsidR="007A38C9" w:rsidRPr="001A15E2">
        <w:fldChar w:fldCharType="end"/>
      </w:r>
    </w:p>
    <w:p w:rsidR="007A38C9" w:rsidRPr="001A15E2" w:rsidRDefault="007A38C9" w:rsidP="009F7013">
      <w:pPr>
        <w:pStyle w:val="Innehll1"/>
        <w:tabs>
          <w:tab w:val="left" w:pos="285"/>
        </w:tabs>
        <w:rPr>
          <w:szCs w:val="24"/>
        </w:rPr>
      </w:pPr>
      <w:r w:rsidRPr="001A15E2">
        <w:t>2</w:t>
      </w:r>
      <w:r w:rsidRPr="001A15E2">
        <w:rPr>
          <w:szCs w:val="24"/>
        </w:rPr>
        <w:tab/>
      </w:r>
      <w:r w:rsidRPr="001A15E2">
        <w:t>Förslag till riksdagsbeslut</w:t>
      </w:r>
      <w:r w:rsidRPr="001A15E2">
        <w:tab/>
      </w:r>
      <w:r w:rsidRPr="001A15E2">
        <w:fldChar w:fldCharType="begin" w:fldLock="1"/>
      </w:r>
      <w:r w:rsidRPr="001A15E2">
        <w:instrText xml:space="preserve"> PAGEREF _Toc131818717 \h </w:instrText>
      </w:r>
      <w:r w:rsidRPr="001A15E2">
        <w:fldChar w:fldCharType="separate"/>
      </w:r>
      <w:r w:rsidR="00E27113" w:rsidRPr="001A15E2">
        <w:t>3</w:t>
      </w:r>
      <w:r w:rsidRPr="001A15E2">
        <w:fldChar w:fldCharType="end"/>
      </w:r>
    </w:p>
    <w:p w:rsidR="007A38C9" w:rsidRPr="001A15E2" w:rsidRDefault="007A38C9" w:rsidP="009F7013">
      <w:pPr>
        <w:pStyle w:val="Innehll1"/>
        <w:tabs>
          <w:tab w:val="left" w:pos="285"/>
        </w:tabs>
        <w:rPr>
          <w:szCs w:val="24"/>
        </w:rPr>
      </w:pPr>
      <w:r w:rsidRPr="001A15E2">
        <w:t>3</w:t>
      </w:r>
      <w:r w:rsidRPr="001A15E2">
        <w:rPr>
          <w:szCs w:val="24"/>
        </w:rPr>
        <w:tab/>
      </w:r>
      <w:r w:rsidRPr="001A15E2">
        <w:t>Inledning</w:t>
      </w:r>
      <w:r w:rsidRPr="001A15E2">
        <w:tab/>
      </w:r>
      <w:r w:rsidRPr="001A15E2">
        <w:fldChar w:fldCharType="begin" w:fldLock="1"/>
      </w:r>
      <w:r w:rsidRPr="001A15E2">
        <w:instrText xml:space="preserve"> PAGEREF _Toc131818718 \h </w:instrText>
      </w:r>
      <w:r w:rsidRPr="001A15E2">
        <w:fldChar w:fldCharType="separate"/>
      </w:r>
      <w:r w:rsidR="00E27113" w:rsidRPr="001A15E2">
        <w:t>5</w:t>
      </w:r>
      <w:r w:rsidRPr="001A15E2">
        <w:fldChar w:fldCharType="end"/>
      </w:r>
    </w:p>
    <w:p w:rsidR="007A38C9" w:rsidRPr="001A15E2" w:rsidRDefault="007A38C9" w:rsidP="009F7013">
      <w:pPr>
        <w:pStyle w:val="Innehll1"/>
        <w:tabs>
          <w:tab w:val="left" w:pos="285"/>
        </w:tabs>
        <w:rPr>
          <w:szCs w:val="24"/>
        </w:rPr>
      </w:pPr>
      <w:r w:rsidRPr="001A15E2">
        <w:t>4</w:t>
      </w:r>
      <w:r w:rsidRPr="001A15E2">
        <w:rPr>
          <w:szCs w:val="24"/>
        </w:rPr>
        <w:tab/>
      </w:r>
      <w:r w:rsidRPr="001A15E2">
        <w:t>Motivering</w:t>
      </w:r>
      <w:r w:rsidRPr="001A15E2">
        <w:tab/>
      </w:r>
      <w:r w:rsidRPr="001A15E2">
        <w:fldChar w:fldCharType="begin" w:fldLock="1"/>
      </w:r>
      <w:r w:rsidRPr="001A15E2">
        <w:instrText xml:space="preserve"> PAGEREF _Toc131818719 \h </w:instrText>
      </w:r>
      <w:r w:rsidRPr="001A15E2">
        <w:fldChar w:fldCharType="separate"/>
      </w:r>
      <w:r w:rsidR="00E27113" w:rsidRPr="001A15E2">
        <w:t>6</w:t>
      </w:r>
      <w:r w:rsidRPr="001A15E2">
        <w:fldChar w:fldCharType="end"/>
      </w:r>
    </w:p>
    <w:p w:rsidR="007A38C9" w:rsidRPr="001A15E2" w:rsidRDefault="007A38C9" w:rsidP="009F7013">
      <w:pPr>
        <w:pStyle w:val="Innehll2"/>
        <w:tabs>
          <w:tab w:val="left" w:pos="760"/>
        </w:tabs>
        <w:rPr>
          <w:szCs w:val="24"/>
        </w:rPr>
      </w:pPr>
      <w:r w:rsidRPr="001A15E2">
        <w:t>4.1</w:t>
      </w:r>
      <w:r w:rsidRPr="001A15E2">
        <w:rPr>
          <w:szCs w:val="24"/>
        </w:rPr>
        <w:tab/>
      </w:r>
      <w:r w:rsidRPr="001A15E2">
        <w:t>Avgränsningar</w:t>
      </w:r>
      <w:r w:rsidRPr="001A15E2">
        <w:tab/>
      </w:r>
      <w:r w:rsidRPr="001A15E2">
        <w:fldChar w:fldCharType="begin" w:fldLock="1"/>
      </w:r>
      <w:r w:rsidRPr="001A15E2">
        <w:instrText xml:space="preserve"> PAGEREF _Toc131818720 \h </w:instrText>
      </w:r>
      <w:r w:rsidRPr="001A15E2">
        <w:fldChar w:fldCharType="separate"/>
      </w:r>
      <w:r w:rsidR="00E27113" w:rsidRPr="001A15E2">
        <w:t>6</w:t>
      </w:r>
      <w:r w:rsidRPr="001A15E2">
        <w:fldChar w:fldCharType="end"/>
      </w:r>
    </w:p>
    <w:p w:rsidR="007A38C9" w:rsidRPr="001A15E2" w:rsidRDefault="007A38C9" w:rsidP="009F7013">
      <w:pPr>
        <w:pStyle w:val="Innehll2"/>
        <w:tabs>
          <w:tab w:val="left" w:pos="760"/>
        </w:tabs>
        <w:rPr>
          <w:szCs w:val="24"/>
        </w:rPr>
      </w:pPr>
      <w:r w:rsidRPr="001A15E2">
        <w:t>4.2</w:t>
      </w:r>
      <w:r w:rsidRPr="001A15E2">
        <w:rPr>
          <w:szCs w:val="24"/>
        </w:rPr>
        <w:tab/>
      </w:r>
      <w:r w:rsidRPr="001A15E2">
        <w:t>Nya konventioner och konventioner som Sverige inte ratificerat m.m.</w:t>
      </w:r>
      <w:r w:rsidRPr="001A15E2">
        <w:tab/>
      </w:r>
      <w:r w:rsidRPr="001A15E2">
        <w:fldChar w:fldCharType="begin" w:fldLock="1"/>
      </w:r>
      <w:r w:rsidRPr="001A15E2">
        <w:instrText xml:space="preserve"> PAGEREF _Toc131818721 \h </w:instrText>
      </w:r>
      <w:r w:rsidRPr="001A15E2">
        <w:fldChar w:fldCharType="separate"/>
      </w:r>
      <w:r w:rsidR="00E27113" w:rsidRPr="001A15E2">
        <w:t>6</w:t>
      </w:r>
      <w:r w:rsidRPr="001A15E2">
        <w:fldChar w:fldCharType="end"/>
      </w:r>
    </w:p>
    <w:p w:rsidR="007A38C9" w:rsidRPr="001A15E2" w:rsidRDefault="007A38C9" w:rsidP="009F7013">
      <w:pPr>
        <w:pStyle w:val="Innehll2"/>
        <w:tabs>
          <w:tab w:val="left" w:pos="760"/>
        </w:tabs>
        <w:rPr>
          <w:szCs w:val="24"/>
        </w:rPr>
      </w:pPr>
      <w:r w:rsidRPr="001A15E2">
        <w:t>4.3</w:t>
      </w:r>
      <w:r w:rsidRPr="001A15E2">
        <w:rPr>
          <w:szCs w:val="24"/>
        </w:rPr>
        <w:tab/>
      </w:r>
      <w:r w:rsidRPr="001A15E2">
        <w:t>Diskriminering, rasism och homofobi</w:t>
      </w:r>
      <w:r w:rsidRPr="001A15E2">
        <w:tab/>
      </w:r>
      <w:r w:rsidRPr="001A15E2">
        <w:fldChar w:fldCharType="begin" w:fldLock="1"/>
      </w:r>
      <w:r w:rsidRPr="001A15E2">
        <w:instrText xml:space="preserve"> PAGEREF _Toc131818722 \h </w:instrText>
      </w:r>
      <w:r w:rsidRPr="001A15E2">
        <w:fldChar w:fldCharType="separate"/>
      </w:r>
      <w:r w:rsidR="00E27113" w:rsidRPr="001A15E2">
        <w:t>8</w:t>
      </w:r>
      <w:r w:rsidRPr="001A15E2">
        <w:fldChar w:fldCharType="end"/>
      </w:r>
    </w:p>
    <w:p w:rsidR="007A38C9" w:rsidRPr="001A15E2" w:rsidRDefault="007A38C9" w:rsidP="009F7013">
      <w:pPr>
        <w:pStyle w:val="Innehll3"/>
        <w:tabs>
          <w:tab w:val="left" w:pos="1045"/>
        </w:tabs>
        <w:ind w:left="475"/>
        <w:rPr>
          <w:szCs w:val="24"/>
        </w:rPr>
      </w:pPr>
      <w:r w:rsidRPr="001A15E2">
        <w:t>4.3.1</w:t>
      </w:r>
      <w:r w:rsidRPr="001A15E2">
        <w:rPr>
          <w:szCs w:val="24"/>
        </w:rPr>
        <w:tab/>
      </w:r>
      <w:r w:rsidRPr="001A15E2">
        <w:t>Inledning</w:t>
      </w:r>
      <w:r w:rsidRPr="001A15E2">
        <w:tab/>
      </w:r>
      <w:r w:rsidRPr="001A15E2">
        <w:fldChar w:fldCharType="begin" w:fldLock="1"/>
      </w:r>
      <w:r w:rsidRPr="001A15E2">
        <w:instrText xml:space="preserve"> PAGEREF _Toc131818723 \h </w:instrText>
      </w:r>
      <w:r w:rsidRPr="001A15E2">
        <w:fldChar w:fldCharType="separate"/>
      </w:r>
      <w:r w:rsidR="00E27113" w:rsidRPr="001A15E2">
        <w:t>8</w:t>
      </w:r>
      <w:r w:rsidRPr="001A15E2">
        <w:fldChar w:fldCharType="end"/>
      </w:r>
    </w:p>
    <w:p w:rsidR="007A38C9" w:rsidRPr="001A15E2" w:rsidRDefault="007A38C9" w:rsidP="009F7013">
      <w:pPr>
        <w:pStyle w:val="Innehll3"/>
        <w:tabs>
          <w:tab w:val="left" w:pos="1045"/>
        </w:tabs>
        <w:ind w:left="475"/>
        <w:rPr>
          <w:szCs w:val="24"/>
        </w:rPr>
      </w:pPr>
      <w:r w:rsidRPr="001A15E2">
        <w:t>4.3.2</w:t>
      </w:r>
      <w:r w:rsidRPr="001A15E2">
        <w:rPr>
          <w:szCs w:val="24"/>
        </w:rPr>
        <w:tab/>
      </w:r>
      <w:r w:rsidRPr="001A15E2">
        <w:t>Särskilt om diskriminering på grund av kön</w:t>
      </w:r>
      <w:r w:rsidRPr="001A15E2">
        <w:tab/>
      </w:r>
      <w:r w:rsidRPr="001A15E2">
        <w:fldChar w:fldCharType="begin" w:fldLock="1"/>
      </w:r>
      <w:r w:rsidRPr="001A15E2">
        <w:instrText xml:space="preserve"> PAGEREF _Toc131818724 \h </w:instrText>
      </w:r>
      <w:r w:rsidRPr="001A15E2">
        <w:fldChar w:fldCharType="separate"/>
      </w:r>
      <w:r w:rsidR="00E27113" w:rsidRPr="001A15E2">
        <w:t>8</w:t>
      </w:r>
      <w:r w:rsidRPr="001A15E2">
        <w:fldChar w:fldCharType="end"/>
      </w:r>
    </w:p>
    <w:p w:rsidR="007A38C9" w:rsidRPr="001A15E2" w:rsidRDefault="007A38C9" w:rsidP="009F7013">
      <w:pPr>
        <w:pStyle w:val="Innehll3"/>
        <w:tabs>
          <w:tab w:val="left" w:pos="1045"/>
        </w:tabs>
        <w:ind w:left="475"/>
        <w:rPr>
          <w:szCs w:val="24"/>
        </w:rPr>
      </w:pPr>
      <w:r w:rsidRPr="001A15E2">
        <w:t>4.3.3</w:t>
      </w:r>
      <w:r w:rsidRPr="001A15E2">
        <w:rPr>
          <w:szCs w:val="24"/>
        </w:rPr>
        <w:tab/>
      </w:r>
      <w:r w:rsidRPr="001A15E2">
        <w:t>Särskilt om diskriminering på grund av etnisk tillhörighet, religion eller annan trosuppfattning</w:t>
      </w:r>
      <w:r w:rsidRPr="001A15E2">
        <w:tab/>
      </w:r>
      <w:r w:rsidRPr="001A15E2">
        <w:fldChar w:fldCharType="begin" w:fldLock="1"/>
      </w:r>
      <w:r w:rsidRPr="001A15E2">
        <w:instrText xml:space="preserve"> PAGEREF _Toc131818725 \h </w:instrText>
      </w:r>
      <w:r w:rsidRPr="001A15E2">
        <w:fldChar w:fldCharType="separate"/>
      </w:r>
      <w:r w:rsidR="00E27113" w:rsidRPr="001A15E2">
        <w:t>9</w:t>
      </w:r>
      <w:r w:rsidRPr="001A15E2">
        <w:fldChar w:fldCharType="end"/>
      </w:r>
    </w:p>
    <w:p w:rsidR="007A38C9" w:rsidRPr="001A15E2" w:rsidRDefault="007A38C9" w:rsidP="009F7013">
      <w:pPr>
        <w:pStyle w:val="Innehll3"/>
        <w:tabs>
          <w:tab w:val="left" w:pos="1045"/>
        </w:tabs>
        <w:ind w:left="475"/>
        <w:rPr>
          <w:szCs w:val="24"/>
        </w:rPr>
      </w:pPr>
      <w:r w:rsidRPr="001A15E2">
        <w:t>4.3.4</w:t>
      </w:r>
      <w:r w:rsidRPr="001A15E2">
        <w:rPr>
          <w:szCs w:val="24"/>
        </w:rPr>
        <w:tab/>
      </w:r>
      <w:r w:rsidRPr="001A15E2">
        <w:t>Särskilt om diskriminering på grund av sexuell läggning samt övriga frågor om lika rättigheter och möjligheter oavsett sexuell läggning</w:t>
      </w:r>
      <w:r w:rsidRPr="001A15E2">
        <w:tab/>
      </w:r>
      <w:r w:rsidRPr="001A15E2">
        <w:fldChar w:fldCharType="begin" w:fldLock="1"/>
      </w:r>
      <w:r w:rsidRPr="001A15E2">
        <w:instrText xml:space="preserve"> PAGEREF _Toc131818726 \h </w:instrText>
      </w:r>
      <w:r w:rsidRPr="001A15E2">
        <w:fldChar w:fldCharType="separate"/>
      </w:r>
      <w:r w:rsidR="00E27113" w:rsidRPr="001A15E2">
        <w:t>9</w:t>
      </w:r>
      <w:r w:rsidRPr="001A15E2">
        <w:fldChar w:fldCharType="end"/>
      </w:r>
    </w:p>
    <w:p w:rsidR="007A38C9" w:rsidRPr="001A15E2" w:rsidRDefault="007A38C9" w:rsidP="009F7013">
      <w:pPr>
        <w:pStyle w:val="Innehll3"/>
        <w:tabs>
          <w:tab w:val="left" w:pos="1045"/>
        </w:tabs>
        <w:ind w:left="475"/>
        <w:rPr>
          <w:szCs w:val="24"/>
        </w:rPr>
      </w:pPr>
      <w:r w:rsidRPr="001A15E2">
        <w:t>4.3.5</w:t>
      </w:r>
      <w:r w:rsidRPr="001A15E2">
        <w:rPr>
          <w:szCs w:val="24"/>
        </w:rPr>
        <w:tab/>
      </w:r>
      <w:r w:rsidRPr="001A15E2">
        <w:t>Särskilt om diskriminering på grund av funktionshinder samt övriga frågor om funktionshindrades rättigheter</w:t>
      </w:r>
      <w:r w:rsidRPr="001A15E2">
        <w:tab/>
      </w:r>
      <w:r w:rsidRPr="001A15E2">
        <w:fldChar w:fldCharType="begin" w:fldLock="1"/>
      </w:r>
      <w:r w:rsidRPr="001A15E2">
        <w:instrText xml:space="preserve"> PAGEREF _Toc131818727 \h </w:instrText>
      </w:r>
      <w:r w:rsidRPr="001A15E2">
        <w:fldChar w:fldCharType="separate"/>
      </w:r>
      <w:r w:rsidR="00E27113" w:rsidRPr="001A15E2">
        <w:t>9</w:t>
      </w:r>
      <w:r w:rsidRPr="001A15E2">
        <w:fldChar w:fldCharType="end"/>
      </w:r>
    </w:p>
    <w:p w:rsidR="007A38C9" w:rsidRPr="001A15E2" w:rsidRDefault="007A38C9" w:rsidP="009F7013">
      <w:pPr>
        <w:pStyle w:val="Innehll3"/>
        <w:tabs>
          <w:tab w:val="left" w:pos="1045"/>
        </w:tabs>
        <w:ind w:left="475"/>
        <w:rPr>
          <w:szCs w:val="24"/>
        </w:rPr>
      </w:pPr>
      <w:r w:rsidRPr="001A15E2">
        <w:t>4.3.6</w:t>
      </w:r>
      <w:r w:rsidRPr="001A15E2">
        <w:rPr>
          <w:szCs w:val="24"/>
        </w:rPr>
        <w:tab/>
      </w:r>
      <w:r w:rsidRPr="001A15E2">
        <w:t>Rasism och homofobi</w:t>
      </w:r>
      <w:r w:rsidRPr="001A15E2">
        <w:tab/>
      </w:r>
      <w:r w:rsidRPr="001A15E2">
        <w:fldChar w:fldCharType="begin" w:fldLock="1"/>
      </w:r>
      <w:r w:rsidRPr="001A15E2">
        <w:instrText xml:space="preserve"> PAGEREF _Toc131818728 \h </w:instrText>
      </w:r>
      <w:r w:rsidRPr="001A15E2">
        <w:fldChar w:fldCharType="separate"/>
      </w:r>
      <w:r w:rsidR="00E27113" w:rsidRPr="001A15E2">
        <w:t>10</w:t>
      </w:r>
      <w:r w:rsidRPr="001A15E2">
        <w:fldChar w:fldCharType="end"/>
      </w:r>
    </w:p>
    <w:p w:rsidR="007A38C9" w:rsidRPr="001A15E2" w:rsidRDefault="007A38C9" w:rsidP="009F7013">
      <w:pPr>
        <w:pStyle w:val="Innehll2"/>
        <w:tabs>
          <w:tab w:val="left" w:pos="760"/>
        </w:tabs>
        <w:rPr>
          <w:szCs w:val="24"/>
        </w:rPr>
      </w:pPr>
      <w:r w:rsidRPr="001A15E2">
        <w:t>4.4</w:t>
      </w:r>
      <w:r w:rsidRPr="001A15E2">
        <w:rPr>
          <w:szCs w:val="24"/>
        </w:rPr>
        <w:tab/>
      </w:r>
      <w:r w:rsidRPr="001A15E2">
        <w:t>Barnens rättigheter</w:t>
      </w:r>
      <w:r w:rsidRPr="001A15E2">
        <w:tab/>
      </w:r>
      <w:r w:rsidRPr="001A15E2">
        <w:fldChar w:fldCharType="begin" w:fldLock="1"/>
      </w:r>
      <w:r w:rsidRPr="001A15E2">
        <w:instrText xml:space="preserve"> PAGEREF _Toc131818729 \h </w:instrText>
      </w:r>
      <w:r w:rsidRPr="001A15E2">
        <w:fldChar w:fldCharType="separate"/>
      </w:r>
      <w:r w:rsidR="00E27113" w:rsidRPr="001A15E2">
        <w:t>11</w:t>
      </w:r>
      <w:r w:rsidRPr="001A15E2">
        <w:fldChar w:fldCharType="end"/>
      </w:r>
    </w:p>
    <w:p w:rsidR="007A38C9" w:rsidRPr="001A15E2" w:rsidRDefault="007A38C9" w:rsidP="009F7013">
      <w:pPr>
        <w:pStyle w:val="Innehll2"/>
        <w:tabs>
          <w:tab w:val="left" w:pos="760"/>
        </w:tabs>
        <w:rPr>
          <w:szCs w:val="24"/>
        </w:rPr>
      </w:pPr>
      <w:r w:rsidRPr="001A15E2">
        <w:t>4.5</w:t>
      </w:r>
      <w:r w:rsidRPr="001A15E2">
        <w:rPr>
          <w:szCs w:val="24"/>
        </w:rPr>
        <w:tab/>
      </w:r>
      <w:r w:rsidRPr="001A15E2">
        <w:t>Nationella minoriteter och urfolk</w:t>
      </w:r>
      <w:r w:rsidRPr="001A15E2">
        <w:tab/>
      </w:r>
      <w:r w:rsidRPr="001A15E2">
        <w:fldChar w:fldCharType="begin" w:fldLock="1"/>
      </w:r>
      <w:r w:rsidRPr="001A15E2">
        <w:instrText xml:space="preserve"> PAGEREF _Toc131818730 \h </w:instrText>
      </w:r>
      <w:r w:rsidRPr="001A15E2">
        <w:fldChar w:fldCharType="separate"/>
      </w:r>
      <w:r w:rsidR="00E27113" w:rsidRPr="001A15E2">
        <w:t>11</w:t>
      </w:r>
      <w:r w:rsidRPr="001A15E2">
        <w:fldChar w:fldCharType="end"/>
      </w:r>
    </w:p>
    <w:p w:rsidR="007A38C9" w:rsidRPr="001A15E2" w:rsidRDefault="007A38C9" w:rsidP="009F7013">
      <w:pPr>
        <w:pStyle w:val="Innehll3"/>
        <w:tabs>
          <w:tab w:val="left" w:pos="1045"/>
        </w:tabs>
        <w:ind w:left="475"/>
      </w:pPr>
      <w:r w:rsidRPr="001A15E2">
        <w:t>4.5.1</w:t>
      </w:r>
      <w:r w:rsidRPr="001A15E2">
        <w:rPr>
          <w:szCs w:val="24"/>
        </w:rPr>
        <w:tab/>
      </w:r>
      <w:r w:rsidRPr="001A15E2">
        <w:t>Urfolket samerna</w:t>
      </w:r>
      <w:r w:rsidRPr="001A15E2">
        <w:tab/>
      </w:r>
      <w:r w:rsidRPr="001A15E2">
        <w:fldChar w:fldCharType="begin" w:fldLock="1"/>
      </w:r>
      <w:r w:rsidRPr="001A15E2">
        <w:instrText xml:space="preserve"> PAGEREF _Toc131818731 \h </w:instrText>
      </w:r>
      <w:r w:rsidRPr="001A15E2">
        <w:fldChar w:fldCharType="separate"/>
      </w:r>
      <w:r w:rsidR="00E27113" w:rsidRPr="001A15E2">
        <w:t>11</w:t>
      </w:r>
      <w:r w:rsidRPr="001A15E2">
        <w:fldChar w:fldCharType="end"/>
      </w:r>
    </w:p>
    <w:p w:rsidR="007A38C9" w:rsidRPr="001A15E2" w:rsidRDefault="007A38C9" w:rsidP="009F7013">
      <w:pPr>
        <w:pStyle w:val="Innehll3"/>
        <w:tabs>
          <w:tab w:val="left" w:pos="1045"/>
        </w:tabs>
        <w:ind w:left="475"/>
      </w:pPr>
      <w:r w:rsidRPr="001A15E2">
        <w:t>4.5.2</w:t>
      </w:r>
      <w:r w:rsidRPr="001A15E2">
        <w:tab/>
        <w:t>Rätten till arbete</w:t>
      </w:r>
      <w:r w:rsidRPr="001A15E2">
        <w:tab/>
      </w:r>
      <w:r w:rsidRPr="001A15E2">
        <w:fldChar w:fldCharType="begin" w:fldLock="1"/>
      </w:r>
      <w:r w:rsidRPr="001A15E2">
        <w:instrText xml:space="preserve"> PAGEREF _Toc131818732 \h </w:instrText>
      </w:r>
      <w:r w:rsidRPr="001A15E2">
        <w:fldChar w:fldCharType="separate"/>
      </w:r>
      <w:r w:rsidR="00E27113" w:rsidRPr="001A15E2">
        <w:t>12</w:t>
      </w:r>
      <w:r w:rsidRPr="001A15E2">
        <w:fldChar w:fldCharType="end"/>
      </w:r>
    </w:p>
    <w:p w:rsidR="007A38C9" w:rsidRPr="001A15E2" w:rsidRDefault="007A38C9" w:rsidP="009F7013">
      <w:pPr>
        <w:pStyle w:val="Innehll3"/>
        <w:tabs>
          <w:tab w:val="left" w:pos="1045"/>
        </w:tabs>
        <w:ind w:left="475"/>
      </w:pPr>
      <w:r w:rsidRPr="001A15E2">
        <w:t>4.5.3</w:t>
      </w:r>
      <w:r w:rsidRPr="001A15E2">
        <w:tab/>
        <w:t>Rätten till bostad</w:t>
      </w:r>
      <w:r w:rsidRPr="001A15E2">
        <w:tab/>
      </w:r>
      <w:r w:rsidRPr="001A15E2">
        <w:fldChar w:fldCharType="begin" w:fldLock="1"/>
      </w:r>
      <w:r w:rsidRPr="001A15E2">
        <w:instrText xml:space="preserve"> PAGEREF _Toc131818733 \h </w:instrText>
      </w:r>
      <w:r w:rsidRPr="001A15E2">
        <w:fldChar w:fldCharType="separate"/>
      </w:r>
      <w:r w:rsidR="00E27113" w:rsidRPr="001A15E2">
        <w:t>12</w:t>
      </w:r>
      <w:r w:rsidRPr="001A15E2">
        <w:fldChar w:fldCharType="end"/>
      </w:r>
    </w:p>
    <w:p w:rsidR="007A38C9" w:rsidRPr="001A15E2" w:rsidRDefault="007A38C9" w:rsidP="009F7013">
      <w:pPr>
        <w:pStyle w:val="Innehll3"/>
        <w:tabs>
          <w:tab w:val="left" w:pos="1045"/>
        </w:tabs>
        <w:ind w:left="475"/>
      </w:pPr>
      <w:r w:rsidRPr="001A15E2">
        <w:t>4.5.4</w:t>
      </w:r>
      <w:r w:rsidRPr="001A15E2">
        <w:tab/>
        <w:t>Rätten till bästa uppnåeliga hälsa</w:t>
      </w:r>
      <w:r w:rsidRPr="001A15E2">
        <w:tab/>
      </w:r>
      <w:r w:rsidRPr="001A15E2">
        <w:fldChar w:fldCharType="begin" w:fldLock="1"/>
      </w:r>
      <w:r w:rsidRPr="001A15E2">
        <w:instrText xml:space="preserve"> PAGEREF _Toc131818734 \h </w:instrText>
      </w:r>
      <w:r w:rsidRPr="001A15E2">
        <w:fldChar w:fldCharType="separate"/>
      </w:r>
      <w:r w:rsidR="00E27113" w:rsidRPr="001A15E2">
        <w:t>12</w:t>
      </w:r>
      <w:r w:rsidRPr="001A15E2">
        <w:fldChar w:fldCharType="end"/>
      </w:r>
    </w:p>
    <w:p w:rsidR="007A38C9" w:rsidRPr="001A15E2" w:rsidRDefault="007A38C9" w:rsidP="009F7013">
      <w:pPr>
        <w:pStyle w:val="Innehll3"/>
        <w:tabs>
          <w:tab w:val="left" w:pos="1045"/>
        </w:tabs>
        <w:ind w:left="475"/>
      </w:pPr>
      <w:r w:rsidRPr="001A15E2">
        <w:t>4.5.5</w:t>
      </w:r>
      <w:r w:rsidRPr="001A15E2">
        <w:tab/>
        <w:t>Rätten till utbildning</w:t>
      </w:r>
      <w:r w:rsidRPr="001A15E2">
        <w:tab/>
      </w:r>
      <w:r w:rsidRPr="001A15E2">
        <w:fldChar w:fldCharType="begin" w:fldLock="1"/>
      </w:r>
      <w:r w:rsidRPr="001A15E2">
        <w:instrText xml:space="preserve"> PAGEREF _Toc131818735 \h </w:instrText>
      </w:r>
      <w:r w:rsidRPr="001A15E2">
        <w:fldChar w:fldCharType="separate"/>
      </w:r>
      <w:r w:rsidR="00E27113" w:rsidRPr="001A15E2">
        <w:t>13</w:t>
      </w:r>
      <w:r w:rsidRPr="001A15E2">
        <w:fldChar w:fldCharType="end"/>
      </w:r>
    </w:p>
    <w:p w:rsidR="007A38C9" w:rsidRPr="001A15E2" w:rsidRDefault="007A38C9" w:rsidP="009F7013">
      <w:pPr>
        <w:pStyle w:val="Innehll3"/>
        <w:tabs>
          <w:tab w:val="left" w:pos="1045"/>
        </w:tabs>
        <w:ind w:left="475"/>
      </w:pPr>
      <w:r w:rsidRPr="001A15E2">
        <w:t>4.5.6</w:t>
      </w:r>
      <w:r w:rsidRPr="001A15E2">
        <w:tab/>
        <w:t>Åtgärder inom området mäns våld mot kvinnor</w:t>
      </w:r>
      <w:r w:rsidRPr="001A15E2">
        <w:tab/>
      </w:r>
      <w:r w:rsidRPr="001A15E2">
        <w:fldChar w:fldCharType="begin" w:fldLock="1"/>
      </w:r>
      <w:r w:rsidRPr="001A15E2">
        <w:instrText xml:space="preserve"> PAGEREF _Toc131818736 \h </w:instrText>
      </w:r>
      <w:r w:rsidRPr="001A15E2">
        <w:fldChar w:fldCharType="separate"/>
      </w:r>
      <w:r w:rsidR="00E27113" w:rsidRPr="001A15E2">
        <w:t>14</w:t>
      </w:r>
      <w:r w:rsidRPr="001A15E2">
        <w:fldChar w:fldCharType="end"/>
      </w:r>
    </w:p>
    <w:p w:rsidR="007A38C9" w:rsidRPr="001A15E2" w:rsidRDefault="007A38C9" w:rsidP="009F7013">
      <w:pPr>
        <w:pStyle w:val="Innehll3"/>
        <w:tabs>
          <w:tab w:val="left" w:pos="1045"/>
        </w:tabs>
        <w:ind w:left="475"/>
      </w:pPr>
      <w:r w:rsidRPr="001A15E2">
        <w:t>4.5.7</w:t>
      </w:r>
      <w:r w:rsidRPr="001A15E2">
        <w:tab/>
        <w:t>Människohandel</w:t>
      </w:r>
      <w:r w:rsidRPr="001A15E2">
        <w:tab/>
      </w:r>
      <w:r w:rsidRPr="001A15E2">
        <w:fldChar w:fldCharType="begin" w:fldLock="1"/>
      </w:r>
      <w:r w:rsidRPr="001A15E2">
        <w:instrText xml:space="preserve"> PAGEREF _Toc131818737 \h </w:instrText>
      </w:r>
      <w:r w:rsidRPr="001A15E2">
        <w:fldChar w:fldCharType="separate"/>
      </w:r>
      <w:r w:rsidR="00E27113" w:rsidRPr="001A15E2">
        <w:t>14</w:t>
      </w:r>
      <w:r w:rsidRPr="001A15E2">
        <w:fldChar w:fldCharType="end"/>
      </w:r>
    </w:p>
    <w:p w:rsidR="007A38C9" w:rsidRPr="001A15E2" w:rsidRDefault="007A38C9" w:rsidP="009F7013">
      <w:pPr>
        <w:pStyle w:val="Innehll3"/>
        <w:tabs>
          <w:tab w:val="left" w:pos="1045"/>
        </w:tabs>
        <w:ind w:left="475"/>
      </w:pPr>
      <w:r w:rsidRPr="001A15E2">
        <w:t>4.5.8</w:t>
      </w:r>
      <w:r w:rsidRPr="001A15E2">
        <w:tab/>
        <w:t>Myndigheters användning av våld och tvångsmedel m.m.</w:t>
      </w:r>
      <w:r w:rsidRPr="001A15E2">
        <w:tab/>
      </w:r>
      <w:r w:rsidR="009F7013" w:rsidRPr="001A15E2">
        <w:tab/>
      </w:r>
      <w:r w:rsidRPr="001A15E2">
        <w:fldChar w:fldCharType="begin" w:fldLock="1"/>
      </w:r>
      <w:r w:rsidRPr="001A15E2">
        <w:instrText xml:space="preserve"> PAGEREF _Toc131818738 \h </w:instrText>
      </w:r>
      <w:r w:rsidRPr="001A15E2">
        <w:fldChar w:fldCharType="separate"/>
      </w:r>
      <w:r w:rsidR="00E27113" w:rsidRPr="001A15E2">
        <w:t>14</w:t>
      </w:r>
      <w:r w:rsidRPr="001A15E2">
        <w:fldChar w:fldCharType="end"/>
      </w:r>
    </w:p>
    <w:p w:rsidR="007A38C9" w:rsidRPr="001A15E2" w:rsidRDefault="007A38C9" w:rsidP="009F7013">
      <w:pPr>
        <w:pStyle w:val="Innehll3"/>
        <w:tabs>
          <w:tab w:val="left" w:pos="1045"/>
        </w:tabs>
        <w:ind w:left="475"/>
        <w:rPr>
          <w:szCs w:val="24"/>
        </w:rPr>
      </w:pPr>
      <w:r w:rsidRPr="001A15E2">
        <w:t>4.5.9</w:t>
      </w:r>
      <w:r w:rsidRPr="001A15E2">
        <w:tab/>
        <w:t>Respekten för de mänskliga rättigheterna i arbetet mot terrorism och annan grov brottslighet</w:t>
      </w:r>
      <w:r w:rsidRPr="001A15E2">
        <w:tab/>
      </w:r>
      <w:r w:rsidRPr="001A15E2">
        <w:fldChar w:fldCharType="begin" w:fldLock="1"/>
      </w:r>
      <w:r w:rsidRPr="001A15E2">
        <w:instrText xml:space="preserve"> PAGEREF _Toc131818739 \h </w:instrText>
      </w:r>
      <w:r w:rsidRPr="001A15E2">
        <w:fldChar w:fldCharType="separate"/>
      </w:r>
      <w:r w:rsidR="00E27113" w:rsidRPr="001A15E2">
        <w:t>16</w:t>
      </w:r>
      <w:r w:rsidRPr="001A15E2">
        <w:fldChar w:fldCharType="end"/>
      </w:r>
    </w:p>
    <w:p w:rsidR="007A38C9" w:rsidRPr="001A15E2" w:rsidRDefault="007A38C9" w:rsidP="009F7013">
      <w:pPr>
        <w:pStyle w:val="Innehll3"/>
        <w:tabs>
          <w:tab w:val="left" w:pos="1045"/>
        </w:tabs>
        <w:ind w:left="475"/>
        <w:rPr>
          <w:szCs w:val="24"/>
        </w:rPr>
      </w:pPr>
      <w:r w:rsidRPr="001A15E2">
        <w:lastRenderedPageBreak/>
        <w:t>4.5.10</w:t>
      </w:r>
      <w:r w:rsidRPr="001A15E2">
        <w:rPr>
          <w:szCs w:val="24"/>
        </w:rPr>
        <w:tab/>
      </w:r>
      <w:r w:rsidRPr="001A15E2">
        <w:t>Föreningsfriheten</w:t>
      </w:r>
      <w:r w:rsidRPr="001A15E2">
        <w:tab/>
      </w:r>
      <w:r w:rsidRPr="001A15E2">
        <w:fldChar w:fldCharType="begin" w:fldLock="1"/>
      </w:r>
      <w:r w:rsidRPr="001A15E2">
        <w:instrText xml:space="preserve"> PAGEREF _Toc131818740 \h </w:instrText>
      </w:r>
      <w:r w:rsidRPr="001A15E2">
        <w:fldChar w:fldCharType="separate"/>
      </w:r>
      <w:r w:rsidR="00E27113" w:rsidRPr="001A15E2">
        <w:t>16</w:t>
      </w:r>
      <w:r w:rsidRPr="001A15E2">
        <w:fldChar w:fldCharType="end"/>
      </w:r>
    </w:p>
    <w:p w:rsidR="007A38C9" w:rsidRPr="001A15E2" w:rsidRDefault="007A38C9" w:rsidP="009F7013">
      <w:pPr>
        <w:pStyle w:val="Innehll2"/>
        <w:tabs>
          <w:tab w:val="left" w:pos="760"/>
        </w:tabs>
        <w:rPr>
          <w:szCs w:val="24"/>
        </w:rPr>
      </w:pPr>
      <w:r w:rsidRPr="001A15E2">
        <w:t>4.6</w:t>
      </w:r>
      <w:r w:rsidRPr="001A15E2">
        <w:rPr>
          <w:szCs w:val="24"/>
        </w:rPr>
        <w:tab/>
      </w:r>
      <w:r w:rsidRPr="001A15E2">
        <w:t>Asyl- och migrationsfrågor</w:t>
      </w:r>
      <w:r w:rsidRPr="001A15E2">
        <w:tab/>
      </w:r>
      <w:r w:rsidRPr="001A15E2">
        <w:fldChar w:fldCharType="begin" w:fldLock="1"/>
      </w:r>
      <w:r w:rsidRPr="001A15E2">
        <w:instrText xml:space="preserve"> PAGEREF _Toc131818741 \h </w:instrText>
      </w:r>
      <w:r w:rsidRPr="001A15E2">
        <w:fldChar w:fldCharType="separate"/>
      </w:r>
      <w:r w:rsidR="00E27113" w:rsidRPr="001A15E2">
        <w:t>16</w:t>
      </w:r>
      <w:r w:rsidRPr="001A15E2">
        <w:fldChar w:fldCharType="end"/>
      </w:r>
    </w:p>
    <w:p w:rsidR="007A38C9" w:rsidRPr="001A15E2" w:rsidRDefault="007A38C9" w:rsidP="009F7013">
      <w:pPr>
        <w:pStyle w:val="Innehll3"/>
        <w:tabs>
          <w:tab w:val="left" w:pos="1045"/>
        </w:tabs>
        <w:ind w:left="475"/>
        <w:rPr>
          <w:szCs w:val="24"/>
        </w:rPr>
      </w:pPr>
      <w:r w:rsidRPr="001A15E2">
        <w:t>4.6.1</w:t>
      </w:r>
      <w:r w:rsidRPr="001A15E2">
        <w:rPr>
          <w:szCs w:val="24"/>
        </w:rPr>
        <w:tab/>
      </w:r>
      <w:r w:rsidRPr="001A15E2">
        <w:t>Förbud mot återsändande i vissa fall</w:t>
      </w:r>
      <w:r w:rsidRPr="001A15E2">
        <w:tab/>
      </w:r>
      <w:r w:rsidRPr="001A15E2">
        <w:fldChar w:fldCharType="begin" w:fldLock="1"/>
      </w:r>
      <w:r w:rsidRPr="001A15E2">
        <w:instrText xml:space="preserve"> PAGEREF _Toc131818742 \h </w:instrText>
      </w:r>
      <w:r w:rsidRPr="001A15E2">
        <w:fldChar w:fldCharType="separate"/>
      </w:r>
      <w:r w:rsidR="00E27113" w:rsidRPr="001A15E2">
        <w:t>16</w:t>
      </w:r>
      <w:r w:rsidRPr="001A15E2">
        <w:fldChar w:fldCharType="end"/>
      </w:r>
    </w:p>
    <w:p w:rsidR="007A38C9" w:rsidRPr="001A15E2" w:rsidRDefault="007A38C9" w:rsidP="009F7013">
      <w:pPr>
        <w:pStyle w:val="Innehll2"/>
        <w:tabs>
          <w:tab w:val="left" w:pos="760"/>
        </w:tabs>
        <w:rPr>
          <w:szCs w:val="24"/>
        </w:rPr>
      </w:pPr>
      <w:r w:rsidRPr="001A15E2">
        <w:t>4.7</w:t>
      </w:r>
      <w:r w:rsidRPr="001A15E2">
        <w:rPr>
          <w:szCs w:val="24"/>
        </w:rPr>
        <w:tab/>
      </w:r>
      <w:r w:rsidRPr="001A15E2">
        <w:t>Organisation av arbetet med att genomföra handlingsplanen</w:t>
      </w:r>
      <w:r w:rsidRPr="001A15E2">
        <w:tab/>
      </w:r>
      <w:r w:rsidRPr="001A15E2">
        <w:fldChar w:fldCharType="begin" w:fldLock="1"/>
      </w:r>
      <w:r w:rsidRPr="001A15E2">
        <w:instrText xml:space="preserve"> PAGEREF _Toc131818743 \h </w:instrText>
      </w:r>
      <w:r w:rsidRPr="001A15E2">
        <w:fldChar w:fldCharType="separate"/>
      </w:r>
      <w:r w:rsidR="00E27113" w:rsidRPr="001A15E2">
        <w:t>17</w:t>
      </w:r>
      <w:r w:rsidRPr="001A15E2">
        <w:fldChar w:fldCharType="end"/>
      </w:r>
    </w:p>
    <w:p w:rsidR="007A38C9" w:rsidRPr="001A15E2" w:rsidRDefault="007A38C9" w:rsidP="009F7013">
      <w:pPr>
        <w:pStyle w:val="Innehll2"/>
        <w:tabs>
          <w:tab w:val="left" w:pos="760"/>
        </w:tabs>
        <w:rPr>
          <w:szCs w:val="24"/>
        </w:rPr>
      </w:pPr>
      <w:r w:rsidRPr="001A15E2">
        <w:t>4.8</w:t>
      </w:r>
      <w:r w:rsidRPr="001A15E2">
        <w:rPr>
          <w:szCs w:val="24"/>
        </w:rPr>
        <w:tab/>
      </w:r>
      <w:r w:rsidRPr="001A15E2">
        <w:t>Myndighetsstyrning</w:t>
      </w:r>
      <w:r w:rsidRPr="001A15E2">
        <w:tab/>
      </w:r>
      <w:r w:rsidRPr="001A15E2">
        <w:fldChar w:fldCharType="begin" w:fldLock="1"/>
      </w:r>
      <w:r w:rsidRPr="001A15E2">
        <w:instrText xml:space="preserve"> PAGEREF _Toc131818744 \h </w:instrText>
      </w:r>
      <w:r w:rsidRPr="001A15E2">
        <w:fldChar w:fldCharType="separate"/>
      </w:r>
      <w:r w:rsidR="00E27113" w:rsidRPr="001A15E2">
        <w:t>18</w:t>
      </w:r>
      <w:r w:rsidRPr="001A15E2">
        <w:fldChar w:fldCharType="end"/>
      </w:r>
    </w:p>
    <w:p w:rsidR="007A38C9" w:rsidRPr="001A15E2" w:rsidRDefault="007A38C9" w:rsidP="009F7013">
      <w:pPr>
        <w:pStyle w:val="Innehll2"/>
        <w:tabs>
          <w:tab w:val="left" w:pos="760"/>
        </w:tabs>
        <w:rPr>
          <w:szCs w:val="24"/>
        </w:rPr>
      </w:pPr>
      <w:r w:rsidRPr="001A15E2">
        <w:t>4.9</w:t>
      </w:r>
      <w:r w:rsidRPr="001A15E2">
        <w:rPr>
          <w:szCs w:val="24"/>
        </w:rPr>
        <w:tab/>
      </w:r>
      <w:r w:rsidRPr="001A15E2">
        <w:t>Kommuner och landsting</w:t>
      </w:r>
      <w:r w:rsidRPr="001A15E2">
        <w:tab/>
      </w:r>
      <w:r w:rsidRPr="001A15E2">
        <w:fldChar w:fldCharType="begin" w:fldLock="1"/>
      </w:r>
      <w:r w:rsidRPr="001A15E2">
        <w:instrText xml:space="preserve"> PAGEREF _Toc131818745 \h </w:instrText>
      </w:r>
      <w:r w:rsidRPr="001A15E2">
        <w:fldChar w:fldCharType="separate"/>
      </w:r>
      <w:r w:rsidR="00E27113" w:rsidRPr="001A15E2">
        <w:t>18</w:t>
      </w:r>
      <w:r w:rsidRPr="001A15E2">
        <w:fldChar w:fldCharType="end"/>
      </w:r>
    </w:p>
    <w:p w:rsidR="007A38C9" w:rsidRPr="001A15E2" w:rsidRDefault="007A38C9" w:rsidP="009F7013">
      <w:pPr>
        <w:pStyle w:val="Innehll2"/>
        <w:tabs>
          <w:tab w:val="left" w:pos="760"/>
        </w:tabs>
        <w:rPr>
          <w:szCs w:val="24"/>
        </w:rPr>
      </w:pPr>
      <w:r w:rsidRPr="001A15E2">
        <w:t>4.10</w:t>
      </w:r>
      <w:r w:rsidRPr="001A15E2">
        <w:rPr>
          <w:szCs w:val="24"/>
        </w:rPr>
        <w:tab/>
      </w:r>
      <w:r w:rsidRPr="001A15E2">
        <w:t>Metoder och verktyg</w:t>
      </w:r>
      <w:r w:rsidRPr="001A15E2">
        <w:tab/>
      </w:r>
      <w:r w:rsidRPr="001A15E2">
        <w:fldChar w:fldCharType="begin" w:fldLock="1"/>
      </w:r>
      <w:r w:rsidRPr="001A15E2">
        <w:instrText xml:space="preserve"> PAGEREF _Toc131818746 \h </w:instrText>
      </w:r>
      <w:r w:rsidRPr="001A15E2">
        <w:fldChar w:fldCharType="separate"/>
      </w:r>
      <w:r w:rsidR="00E27113" w:rsidRPr="001A15E2">
        <w:t>18</w:t>
      </w:r>
      <w:r w:rsidRPr="001A15E2">
        <w:fldChar w:fldCharType="end"/>
      </w:r>
    </w:p>
    <w:p w:rsidR="007A38C9" w:rsidRPr="001A15E2" w:rsidRDefault="007A38C9" w:rsidP="009F7013">
      <w:pPr>
        <w:pStyle w:val="Innehll2"/>
        <w:tabs>
          <w:tab w:val="left" w:pos="760"/>
        </w:tabs>
        <w:rPr>
          <w:szCs w:val="24"/>
        </w:rPr>
      </w:pPr>
      <w:r w:rsidRPr="001A15E2">
        <w:t>4.11</w:t>
      </w:r>
      <w:r w:rsidRPr="001A15E2">
        <w:rPr>
          <w:szCs w:val="24"/>
        </w:rPr>
        <w:tab/>
      </w:r>
      <w:r w:rsidRPr="001A15E2">
        <w:t>Dialog om de mänskliga rättigheterna</w:t>
      </w:r>
      <w:r w:rsidRPr="001A15E2">
        <w:tab/>
      </w:r>
      <w:r w:rsidRPr="001A15E2">
        <w:fldChar w:fldCharType="begin" w:fldLock="1"/>
      </w:r>
      <w:r w:rsidRPr="001A15E2">
        <w:instrText xml:space="preserve"> PAGEREF _Toc131818747 \h </w:instrText>
      </w:r>
      <w:r w:rsidRPr="001A15E2">
        <w:fldChar w:fldCharType="separate"/>
      </w:r>
      <w:r w:rsidR="00E27113" w:rsidRPr="001A15E2">
        <w:t>18</w:t>
      </w:r>
      <w:r w:rsidRPr="001A15E2">
        <w:fldChar w:fldCharType="end"/>
      </w:r>
    </w:p>
    <w:p w:rsidR="007A38C9" w:rsidRPr="001A15E2" w:rsidRDefault="007A38C9" w:rsidP="009F7013">
      <w:pPr>
        <w:pStyle w:val="Innehll2"/>
        <w:tabs>
          <w:tab w:val="left" w:pos="760"/>
        </w:tabs>
        <w:rPr>
          <w:szCs w:val="24"/>
        </w:rPr>
      </w:pPr>
      <w:r w:rsidRPr="001A15E2">
        <w:t>4.12</w:t>
      </w:r>
      <w:r w:rsidRPr="001A15E2">
        <w:rPr>
          <w:szCs w:val="24"/>
        </w:rPr>
        <w:tab/>
      </w:r>
      <w:r w:rsidRPr="001A15E2">
        <w:t>Språk- och informationsfrågor</w:t>
      </w:r>
      <w:r w:rsidRPr="001A15E2">
        <w:tab/>
      </w:r>
      <w:r w:rsidRPr="001A15E2">
        <w:fldChar w:fldCharType="begin" w:fldLock="1"/>
      </w:r>
      <w:r w:rsidRPr="001A15E2">
        <w:instrText xml:space="preserve"> PAGEREF _Toc131818748 \h </w:instrText>
      </w:r>
      <w:r w:rsidRPr="001A15E2">
        <w:fldChar w:fldCharType="separate"/>
      </w:r>
      <w:r w:rsidR="00E27113" w:rsidRPr="001A15E2">
        <w:t>20</w:t>
      </w:r>
      <w:r w:rsidRPr="001A15E2">
        <w:fldChar w:fldCharType="end"/>
      </w:r>
    </w:p>
    <w:p w:rsidR="003B23BA" w:rsidRPr="001A15E2" w:rsidRDefault="00870337" w:rsidP="00C64F22">
      <w:pPr>
        <w:pStyle w:val="Hemstlrubrik"/>
        <w:pageBreakBefore/>
        <w:spacing w:before="0"/>
      </w:pPr>
      <w:r w:rsidRPr="001A15E2">
        <w:fldChar w:fldCharType="end"/>
      </w:r>
      <w:bookmarkStart w:id="3" w:name="_Toc131818717"/>
      <w:r w:rsidR="003B23BA" w:rsidRPr="001A15E2">
        <w:t>Förslag till riksdagsbeslut</w:t>
      </w:r>
      <w:bookmarkEnd w:id="2"/>
      <w:bookmarkEnd w:id="3"/>
    </w:p>
    <w:p w:rsidR="003B23BA" w:rsidRPr="001A15E2" w:rsidRDefault="003B23BA" w:rsidP="003B23BA">
      <w:pPr>
        <w:pStyle w:val="Hemstlatt"/>
      </w:pPr>
      <w:r w:rsidRPr="001A15E2">
        <w:t xml:space="preserve">Riksdagen tillkännager för regeringen som sin mening vad som anförs i motionen </w:t>
      </w:r>
      <w:r w:rsidR="00C64F22" w:rsidRPr="001A15E2">
        <w:t xml:space="preserve">om </w:t>
      </w:r>
      <w:r w:rsidRPr="001A15E2">
        <w:t>åtgärd 3</w:t>
      </w:r>
      <w:r w:rsidR="00C64F22" w:rsidRPr="001A15E2">
        <w:t xml:space="preserve"> angående</w:t>
      </w:r>
      <w:r w:rsidRPr="001A15E2">
        <w:t xml:space="preserve"> årliga redovisningar.</w:t>
      </w:r>
    </w:p>
    <w:p w:rsidR="003B23BA" w:rsidRPr="001A15E2" w:rsidRDefault="003B23BA" w:rsidP="003B23BA">
      <w:pPr>
        <w:pStyle w:val="Hemstlatt"/>
      </w:pPr>
      <w:r w:rsidRPr="001A15E2">
        <w:t xml:space="preserve">Riksdagen tillkännager för regeringen som sin mening </w:t>
      </w:r>
      <w:r w:rsidR="00C64F22" w:rsidRPr="001A15E2">
        <w:t xml:space="preserve">vad som anförs i motionen om </w:t>
      </w:r>
      <w:r w:rsidRPr="001A15E2">
        <w:t xml:space="preserve">att </w:t>
      </w:r>
      <w:r w:rsidR="00C64F22" w:rsidRPr="001A15E2">
        <w:t xml:space="preserve">Sverige skall </w:t>
      </w:r>
      <w:r w:rsidRPr="001A15E2">
        <w:t>verka för ett tilläggs</w:t>
      </w:r>
      <w:r w:rsidR="00C64F22" w:rsidRPr="001A15E2">
        <w:t>protokoll till k</w:t>
      </w:r>
      <w:r w:rsidRPr="001A15E2">
        <w:t>onve</w:t>
      </w:r>
      <w:r w:rsidRPr="001A15E2">
        <w:t>n</w:t>
      </w:r>
      <w:r w:rsidRPr="001A15E2">
        <w:t>tionen om ekonomiska, sociala</w:t>
      </w:r>
      <w:r w:rsidR="00C64F22" w:rsidRPr="001A15E2">
        <w:t xml:space="preserve"> och</w:t>
      </w:r>
      <w:r w:rsidRPr="001A15E2">
        <w:t xml:space="preserve"> kulturella rättigheter.</w:t>
      </w:r>
    </w:p>
    <w:p w:rsidR="003B23BA" w:rsidRPr="001A15E2" w:rsidRDefault="003B23BA" w:rsidP="003B23BA">
      <w:pPr>
        <w:pStyle w:val="Hemstlatt"/>
      </w:pPr>
      <w:r w:rsidRPr="001A15E2">
        <w:t xml:space="preserve">Riksdagen tillkännager för regeringen som sin mening </w:t>
      </w:r>
      <w:r w:rsidR="008E07C8" w:rsidRPr="001A15E2">
        <w:t xml:space="preserve">vad som </w:t>
      </w:r>
      <w:r w:rsidR="001D4DEC" w:rsidRPr="001A15E2">
        <w:t xml:space="preserve">anförs </w:t>
      </w:r>
      <w:r w:rsidR="008E07C8" w:rsidRPr="001A15E2">
        <w:t xml:space="preserve">i motionen </w:t>
      </w:r>
      <w:r w:rsidR="00C64F22" w:rsidRPr="001A15E2">
        <w:t xml:space="preserve">om </w:t>
      </w:r>
      <w:r w:rsidRPr="001A15E2">
        <w:t>att Sverige skall ansluta sig till protokoll 12 i Europako</w:t>
      </w:r>
      <w:r w:rsidRPr="001A15E2">
        <w:t>n</w:t>
      </w:r>
      <w:r w:rsidRPr="001A15E2">
        <w:t>venti</w:t>
      </w:r>
      <w:r w:rsidRPr="001A15E2">
        <w:t>o</w:t>
      </w:r>
      <w:r w:rsidRPr="001A15E2">
        <w:t xml:space="preserve">nen om generellt diskrimineringsförbud </w:t>
      </w:r>
      <w:r w:rsidR="008E07C8" w:rsidRPr="001A15E2">
        <w:t>enligt</w:t>
      </w:r>
      <w:r w:rsidRPr="001A15E2">
        <w:t xml:space="preserve"> åtgärd 4.</w:t>
      </w:r>
    </w:p>
    <w:p w:rsidR="003B23BA" w:rsidRPr="001A15E2" w:rsidRDefault="003B23BA" w:rsidP="003B23BA">
      <w:pPr>
        <w:pStyle w:val="Hemstlatt"/>
      </w:pPr>
      <w:r w:rsidRPr="001A15E2">
        <w:t xml:space="preserve">Riksdagen tillkännager för regeringen som sin mening </w:t>
      </w:r>
      <w:r w:rsidR="00C64F22" w:rsidRPr="001A15E2">
        <w:t xml:space="preserve">vad som anförs i motionen om </w:t>
      </w:r>
      <w:r w:rsidRPr="001A15E2">
        <w:t>att Sverige ska</w:t>
      </w:r>
      <w:r w:rsidR="00C64F22" w:rsidRPr="001A15E2">
        <w:t>ll</w:t>
      </w:r>
      <w:r w:rsidRPr="001A15E2">
        <w:t xml:space="preserve"> ratificera FN-konventionen om migrerande arbetares rättigheter.</w:t>
      </w:r>
    </w:p>
    <w:p w:rsidR="003B23BA" w:rsidRPr="001A15E2" w:rsidRDefault="003B23BA" w:rsidP="003B23BA">
      <w:pPr>
        <w:pStyle w:val="Hemstlatt"/>
      </w:pPr>
      <w:r w:rsidRPr="001A15E2">
        <w:t xml:space="preserve">Riksdagen tillkännager för regeringen som sin mening </w:t>
      </w:r>
      <w:r w:rsidR="008E07C8" w:rsidRPr="001A15E2">
        <w:t xml:space="preserve">vad som </w:t>
      </w:r>
      <w:r w:rsidR="001D4DEC" w:rsidRPr="001A15E2">
        <w:t xml:space="preserve">anförs </w:t>
      </w:r>
      <w:r w:rsidR="008E07C8" w:rsidRPr="001A15E2">
        <w:t xml:space="preserve">i motionen </w:t>
      </w:r>
      <w:r w:rsidR="00C64F22" w:rsidRPr="001A15E2">
        <w:t>om</w:t>
      </w:r>
      <w:r w:rsidR="008E07C8" w:rsidRPr="001A15E2">
        <w:t xml:space="preserve"> ett</w:t>
      </w:r>
      <w:r w:rsidRPr="001A15E2">
        <w:t xml:space="preserve"> förtydliga</w:t>
      </w:r>
      <w:r w:rsidR="008E07C8" w:rsidRPr="001A15E2">
        <w:t>nde om</w:t>
      </w:r>
      <w:r w:rsidRPr="001A15E2">
        <w:t xml:space="preserve"> vad antidiskrimineringsstrategier i</w:t>
      </w:r>
      <w:r w:rsidRPr="001A15E2">
        <w:t>n</w:t>
      </w:r>
      <w:r w:rsidRPr="001A15E2">
        <w:t>nebär och hur de förhåller sig till mångfaldsplanerna enligt åtgärd 11.</w:t>
      </w:r>
    </w:p>
    <w:p w:rsidR="003B23BA" w:rsidRPr="001A15E2" w:rsidRDefault="003B23BA" w:rsidP="003B23BA">
      <w:pPr>
        <w:pStyle w:val="Hemstlatt"/>
      </w:pPr>
      <w:r w:rsidRPr="001A15E2">
        <w:t xml:space="preserve">Riksdagen tillkännager för regeringen som sin mening vad som </w:t>
      </w:r>
      <w:r w:rsidR="001D4DEC" w:rsidRPr="001A15E2">
        <w:t xml:space="preserve">anförs </w:t>
      </w:r>
      <w:r w:rsidRPr="001A15E2">
        <w:t xml:space="preserve">i motionen </w:t>
      </w:r>
      <w:r w:rsidR="00C64F22" w:rsidRPr="001A15E2">
        <w:t xml:space="preserve">om </w:t>
      </w:r>
      <w:r w:rsidRPr="001A15E2">
        <w:t xml:space="preserve">åtgärd 12 </w:t>
      </w:r>
      <w:r w:rsidR="00C64F22" w:rsidRPr="001A15E2">
        <w:t>angående</w:t>
      </w:r>
      <w:r w:rsidRPr="001A15E2">
        <w:t xml:space="preserve"> antidiskrimineringsklausuler vid offen</w:t>
      </w:r>
      <w:r w:rsidRPr="001A15E2">
        <w:t>t</w:t>
      </w:r>
      <w:r w:rsidRPr="001A15E2">
        <w:t>lig upphandling.</w:t>
      </w:r>
    </w:p>
    <w:p w:rsidR="003B23BA" w:rsidRPr="001A15E2" w:rsidRDefault="003B23BA" w:rsidP="003B23BA">
      <w:pPr>
        <w:pStyle w:val="Hemstlatt"/>
      </w:pPr>
      <w:r w:rsidRPr="001A15E2">
        <w:t>Riksdagen tillkännager för regeringen som sin mening vad som anförs i motionen under rubriken Särskilt om diskriminering på grund av kön.</w:t>
      </w:r>
    </w:p>
    <w:p w:rsidR="003B23BA" w:rsidRPr="001A15E2" w:rsidRDefault="003B23BA" w:rsidP="003B23BA">
      <w:pPr>
        <w:pStyle w:val="Hemstlatt"/>
      </w:pPr>
      <w:r w:rsidRPr="001A15E2">
        <w:t xml:space="preserve">Riksdagen tillkännager för regeringen som sin mening </w:t>
      </w:r>
      <w:r w:rsidR="001D4DEC" w:rsidRPr="001A15E2">
        <w:t xml:space="preserve">vad som anförs i motionen </w:t>
      </w:r>
      <w:r w:rsidRPr="001A15E2">
        <w:t>om att Ombudsmannen mot etnisk diskriminering får ytterlig</w:t>
      </w:r>
      <w:r w:rsidRPr="001A15E2">
        <w:t>a</w:t>
      </w:r>
      <w:r w:rsidRPr="001A15E2">
        <w:t>re uppdrag under åtgärd 17.</w:t>
      </w:r>
    </w:p>
    <w:p w:rsidR="003B23BA" w:rsidRPr="001A15E2" w:rsidRDefault="003B23BA" w:rsidP="003B23BA">
      <w:pPr>
        <w:pStyle w:val="Hemstlatt"/>
      </w:pPr>
      <w:r w:rsidRPr="001A15E2">
        <w:t>Riksdagen tillkännager för regeringen som sin mening att det i arbetet med diskrimineringstester är av stor vikt att Ombudsmannen mot etnisk diskriminering och Integrationsverket samarbetar samt att även antidi</w:t>
      </w:r>
      <w:r w:rsidRPr="001A15E2">
        <w:t>s</w:t>
      </w:r>
      <w:r w:rsidRPr="001A15E2">
        <w:t>krim</w:t>
      </w:r>
      <w:r w:rsidRPr="001A15E2">
        <w:t>i</w:t>
      </w:r>
      <w:r w:rsidRPr="001A15E2">
        <w:t>neringsbyråerna deltar.</w:t>
      </w:r>
    </w:p>
    <w:p w:rsidR="003B23BA" w:rsidRPr="001A15E2" w:rsidRDefault="003B23BA" w:rsidP="003B23BA">
      <w:pPr>
        <w:pStyle w:val="Hemstlatt"/>
      </w:pPr>
      <w:r w:rsidRPr="001A15E2">
        <w:t xml:space="preserve">Riksdagen tillkännager för regeringen som sin mening </w:t>
      </w:r>
      <w:r w:rsidR="001D4DEC" w:rsidRPr="001A15E2">
        <w:t xml:space="preserve">vad som anförs i motionen </w:t>
      </w:r>
      <w:r w:rsidRPr="001A15E2">
        <w:t>om ett förtydligande huruvida transpersoner ingår enligt åtgärd 20.</w:t>
      </w:r>
    </w:p>
    <w:p w:rsidR="003B23BA" w:rsidRPr="001A15E2" w:rsidRDefault="003B23BA" w:rsidP="003B23BA">
      <w:pPr>
        <w:pStyle w:val="Hemstlatt"/>
      </w:pPr>
      <w:r w:rsidRPr="001A15E2">
        <w:t>Riksdagen tillkännager för regeringen som sin mening att i</w:t>
      </w:r>
      <w:r w:rsidR="00C64F22" w:rsidRPr="001A15E2">
        <w:t xml:space="preserve"> </w:t>
      </w:r>
      <w:r w:rsidRPr="001A15E2">
        <w:t xml:space="preserve">stället för att en interdepartemental arbetsgrupp leder arbetet som föreslås i åtgärd 20 bör </w:t>
      </w:r>
      <w:r w:rsidR="00C64F22" w:rsidRPr="001A15E2">
        <w:t xml:space="preserve">det </w:t>
      </w:r>
      <w:r w:rsidRPr="001A15E2">
        <w:t>t</w:t>
      </w:r>
      <w:r w:rsidR="001D4DEC" w:rsidRPr="001A15E2">
        <w:t>illsättas en utredning enligt va</w:t>
      </w:r>
      <w:r w:rsidRPr="001A15E2">
        <w:t>d som anförs i motionen.</w:t>
      </w:r>
    </w:p>
    <w:p w:rsidR="003B23BA" w:rsidRPr="001A15E2" w:rsidRDefault="003B23BA" w:rsidP="003B23BA">
      <w:pPr>
        <w:pStyle w:val="Hemstlatt"/>
      </w:pPr>
      <w:r w:rsidRPr="001A15E2">
        <w:t xml:space="preserve">Riksdagen tillkännager för regeringen som sin mening </w:t>
      </w:r>
      <w:r w:rsidR="001D4DEC" w:rsidRPr="001A15E2">
        <w:t xml:space="preserve">vad som anförs i motionen </w:t>
      </w:r>
      <w:r w:rsidRPr="001A15E2">
        <w:t>om ett helhetsgrepp om handikappolitiken</w:t>
      </w:r>
      <w:r w:rsidR="001D4DEC" w:rsidRPr="001A15E2">
        <w:t xml:space="preserve"> e</w:t>
      </w:r>
      <w:r w:rsidRPr="001A15E2">
        <w:t>nligt åtgärd 23.</w:t>
      </w:r>
    </w:p>
    <w:p w:rsidR="003B23BA" w:rsidRPr="001A15E2" w:rsidRDefault="003B23BA" w:rsidP="003B23BA">
      <w:pPr>
        <w:pStyle w:val="Hemstlatt"/>
      </w:pPr>
      <w:r w:rsidRPr="001A15E2">
        <w:t xml:space="preserve">Riksdagen tillkännager för regeringen som sin mening </w:t>
      </w:r>
      <w:r w:rsidR="001D4DEC" w:rsidRPr="001A15E2">
        <w:t xml:space="preserve">vad som anförs i motionen </w:t>
      </w:r>
      <w:r w:rsidRPr="001A15E2">
        <w:t xml:space="preserve">om </w:t>
      </w:r>
      <w:r w:rsidR="00C64F22" w:rsidRPr="001A15E2">
        <w:t xml:space="preserve">att </w:t>
      </w:r>
      <w:r w:rsidRPr="001A15E2">
        <w:t>personer med elöverkänslighet ska</w:t>
      </w:r>
      <w:r w:rsidR="00C64F22" w:rsidRPr="001A15E2">
        <w:t>ll</w:t>
      </w:r>
      <w:r w:rsidRPr="001A15E2">
        <w:t xml:space="preserve"> ingå i arbetet mot diskriminering</w:t>
      </w:r>
      <w:r w:rsidR="00C64F22" w:rsidRPr="001A15E2">
        <w:t xml:space="preserve"> på grund av funktionshinder samt</w:t>
      </w:r>
      <w:r w:rsidRPr="001A15E2">
        <w:t xml:space="preserve"> deras rättigheter enligt åtgärd 23.</w:t>
      </w:r>
    </w:p>
    <w:p w:rsidR="003B23BA" w:rsidRPr="001A15E2" w:rsidRDefault="003B23BA" w:rsidP="003B23BA">
      <w:pPr>
        <w:pStyle w:val="Hemstlatt"/>
      </w:pPr>
      <w:r w:rsidRPr="001A15E2">
        <w:t>Riksdagen tillkännager för regeringen som sin mening att Forum för levande historia också får i uppdrag att arbeta mot antiziganism och även belysa romernas historia.</w:t>
      </w:r>
    </w:p>
    <w:p w:rsidR="003B23BA" w:rsidRPr="001A15E2" w:rsidRDefault="003B23BA" w:rsidP="003B23BA">
      <w:pPr>
        <w:pStyle w:val="Hemstlatt"/>
      </w:pPr>
      <w:r w:rsidRPr="001A15E2">
        <w:t>Riksdagen tillkännager för regeringen som sin mening vad som i moti</w:t>
      </w:r>
      <w:r w:rsidRPr="001A15E2">
        <w:t>o</w:t>
      </w:r>
      <w:r w:rsidRPr="001A15E2">
        <w:t xml:space="preserve">nen anförs </w:t>
      </w:r>
      <w:r w:rsidR="001D4DEC" w:rsidRPr="001A15E2">
        <w:t>om</w:t>
      </w:r>
      <w:r w:rsidRPr="001A15E2">
        <w:t xml:space="preserve"> åtgärd 33 angående ett tydligare och mer visionärt arbete med kommunerna och landstingen.</w:t>
      </w:r>
    </w:p>
    <w:p w:rsidR="003B23BA" w:rsidRPr="001A15E2" w:rsidRDefault="003B23BA" w:rsidP="003B23BA">
      <w:pPr>
        <w:pStyle w:val="Hemstlatt"/>
      </w:pPr>
      <w:r w:rsidRPr="001A15E2">
        <w:t>Riksdagen tillkännager för regeringen som sin mening att FN:s konve</w:t>
      </w:r>
      <w:r w:rsidRPr="001A15E2">
        <w:t>n</w:t>
      </w:r>
      <w:r w:rsidRPr="001A15E2">
        <w:t>tion om barnets rättigheter införlivas i svensk lag.</w:t>
      </w:r>
    </w:p>
    <w:p w:rsidR="003B23BA" w:rsidRPr="001A15E2" w:rsidRDefault="003B23BA" w:rsidP="003B23BA">
      <w:pPr>
        <w:pStyle w:val="Hemstlatt"/>
      </w:pPr>
      <w:r w:rsidRPr="001A15E2">
        <w:t>Riksdagen tillkännager för regeringen som sin mening va</w:t>
      </w:r>
      <w:r w:rsidR="00C64F22" w:rsidRPr="001A15E2">
        <w:t>d som i moti</w:t>
      </w:r>
      <w:r w:rsidR="00C64F22" w:rsidRPr="001A15E2">
        <w:t>o</w:t>
      </w:r>
      <w:r w:rsidR="00C64F22" w:rsidRPr="001A15E2">
        <w:t>nen anförs om</w:t>
      </w:r>
      <w:r w:rsidRPr="001A15E2">
        <w:t xml:space="preserve"> nya finska och samiska förvaltningsområden.</w:t>
      </w:r>
    </w:p>
    <w:p w:rsidR="003B23BA" w:rsidRPr="001A15E2" w:rsidRDefault="003B23BA" w:rsidP="003B23BA">
      <w:pPr>
        <w:pStyle w:val="Hemstlatt"/>
      </w:pPr>
      <w:r w:rsidRPr="001A15E2">
        <w:t>Riksdagen tillkännager för reg</w:t>
      </w:r>
      <w:r w:rsidR="00C64F22" w:rsidRPr="001A15E2">
        <w:t>eringen som sin mening att ILO-</w:t>
      </w:r>
      <w:r w:rsidRPr="001A15E2">
        <w:t>konventionen nr 169 skall ratificeras under nästa mandatperiod.</w:t>
      </w:r>
    </w:p>
    <w:p w:rsidR="003B23BA" w:rsidRPr="001A15E2" w:rsidRDefault="003B23BA" w:rsidP="003B23BA">
      <w:pPr>
        <w:pStyle w:val="Hemstlatt"/>
      </w:pPr>
      <w:r w:rsidRPr="001A15E2">
        <w:t>Riksdagen tillkännager för regeringen som sin mening att verka för att diskriminering på grund av ålder skall omfatta hela samhällslivet</w:t>
      </w:r>
      <w:r w:rsidR="00F61CE0" w:rsidRPr="001A15E2">
        <w:t>,</w:t>
      </w:r>
      <w:r w:rsidRPr="001A15E2">
        <w:t xml:space="preserve"> inte bara arbetslivet.</w:t>
      </w:r>
    </w:p>
    <w:p w:rsidR="003B23BA" w:rsidRPr="001A15E2" w:rsidRDefault="003B23BA" w:rsidP="003B23BA">
      <w:pPr>
        <w:pStyle w:val="Hemstlatt"/>
      </w:pPr>
      <w:r w:rsidRPr="001A15E2">
        <w:t xml:space="preserve">Riksdagen tillkännager för regeringen som sin mening </w:t>
      </w:r>
      <w:r w:rsidR="001D4DEC" w:rsidRPr="001A15E2">
        <w:t>vad</w:t>
      </w:r>
      <w:r w:rsidRPr="001A15E2">
        <w:t xml:space="preserve"> som i moti</w:t>
      </w:r>
      <w:r w:rsidRPr="001A15E2">
        <w:t>o</w:t>
      </w:r>
      <w:r w:rsidRPr="001A15E2">
        <w:t xml:space="preserve">nen anförs </w:t>
      </w:r>
      <w:r w:rsidR="00C64F22" w:rsidRPr="001A15E2">
        <w:t>om</w:t>
      </w:r>
      <w:r w:rsidRPr="001A15E2">
        <w:t xml:space="preserve"> åtgärd 48 </w:t>
      </w:r>
      <w:r w:rsidR="00C64F22" w:rsidRPr="001A15E2">
        <w:t>angående</w:t>
      </w:r>
      <w:r w:rsidRPr="001A15E2">
        <w:t xml:space="preserve"> jämställd fördelning av professorer.</w:t>
      </w:r>
    </w:p>
    <w:p w:rsidR="003B23BA" w:rsidRPr="001A15E2" w:rsidRDefault="003B23BA" w:rsidP="003B23BA">
      <w:pPr>
        <w:pStyle w:val="Hemstlatt"/>
      </w:pPr>
      <w:r w:rsidRPr="001A15E2">
        <w:t xml:space="preserve">Riksdagen tillkännager för regeringen som sin mening att gruppen </w:t>
      </w:r>
      <w:r w:rsidR="0033382F" w:rsidRPr="001A15E2">
        <w:t>”</w:t>
      </w:r>
      <w:r w:rsidRPr="001A15E2">
        <w:t>unga hemlösa</w:t>
      </w:r>
      <w:r w:rsidR="0033382F" w:rsidRPr="001A15E2">
        <w:t>”</w:t>
      </w:r>
      <w:r w:rsidRPr="001A15E2">
        <w:t xml:space="preserve"> också skall omfattas </w:t>
      </w:r>
      <w:r w:rsidR="00C64F22" w:rsidRPr="001A15E2">
        <w:t>av</w:t>
      </w:r>
      <w:r w:rsidRPr="001A15E2">
        <w:t xml:space="preserve"> åtgärder mot hemlöshet.</w:t>
      </w:r>
    </w:p>
    <w:p w:rsidR="003B23BA" w:rsidRPr="001A15E2" w:rsidRDefault="003B23BA" w:rsidP="003B23BA">
      <w:pPr>
        <w:pStyle w:val="Hemstlatt"/>
      </w:pPr>
      <w:r w:rsidRPr="001A15E2">
        <w:t xml:space="preserve">Riksdagen tillkännager för regeringen som sin mening </w:t>
      </w:r>
      <w:r w:rsidR="001D4DEC" w:rsidRPr="001A15E2">
        <w:t xml:space="preserve">vad som anförs i motionen </w:t>
      </w:r>
      <w:r w:rsidR="00C64F22" w:rsidRPr="001A15E2">
        <w:t xml:space="preserve">om </w:t>
      </w:r>
      <w:r w:rsidR="001D4DEC" w:rsidRPr="001A15E2">
        <w:t>att</w:t>
      </w:r>
      <w:r w:rsidRPr="001A15E2">
        <w:t xml:space="preserve"> verka för att definitionen </w:t>
      </w:r>
      <w:r w:rsidR="0033382F" w:rsidRPr="001A15E2">
        <w:t>”</w:t>
      </w:r>
      <w:r w:rsidRPr="001A15E2">
        <w:t>hemlös</w:t>
      </w:r>
      <w:r w:rsidR="0033382F" w:rsidRPr="001A15E2">
        <w:t>”</w:t>
      </w:r>
      <w:r w:rsidRPr="001A15E2">
        <w:t xml:space="preserve"> så som Socialstyre</w:t>
      </w:r>
      <w:r w:rsidRPr="001A15E2">
        <w:t>l</w:t>
      </w:r>
      <w:r w:rsidRPr="001A15E2">
        <w:t xml:space="preserve">sen </w:t>
      </w:r>
      <w:r w:rsidR="001D4DEC" w:rsidRPr="001A15E2">
        <w:t xml:space="preserve">anger </w:t>
      </w:r>
      <w:r w:rsidRPr="001A15E2">
        <w:t xml:space="preserve">i motionen </w:t>
      </w:r>
      <w:r w:rsidR="00C64F22" w:rsidRPr="001A15E2">
        <w:t xml:space="preserve">ingår </w:t>
      </w:r>
      <w:r w:rsidR="001D4DEC" w:rsidRPr="001A15E2">
        <w:t>enligt</w:t>
      </w:r>
      <w:r w:rsidRPr="001A15E2">
        <w:t xml:space="preserve"> åtgärd 51.</w:t>
      </w:r>
    </w:p>
    <w:p w:rsidR="003B23BA" w:rsidRPr="001A15E2" w:rsidRDefault="003B23BA" w:rsidP="003B23BA">
      <w:pPr>
        <w:pStyle w:val="Hemstlatt"/>
      </w:pPr>
      <w:r w:rsidRPr="001A15E2">
        <w:t>Riksdagen tillkännager för regeringen som sin mening att även elöve</w:t>
      </w:r>
      <w:r w:rsidRPr="001A15E2">
        <w:t>r</w:t>
      </w:r>
      <w:r w:rsidRPr="001A15E2">
        <w:t>känsliga omfattas av rättigheten till bostad.</w:t>
      </w:r>
    </w:p>
    <w:p w:rsidR="003B23BA" w:rsidRPr="001A15E2" w:rsidRDefault="003B23BA" w:rsidP="003B23BA">
      <w:pPr>
        <w:pStyle w:val="Hemstlatt"/>
      </w:pPr>
      <w:r w:rsidRPr="001A15E2">
        <w:t>Riksdagen tillkännager för regeringen som sin mening att verka för att personer med elöverkänslighet har rätt till vård på lika villkor som andra.</w:t>
      </w:r>
    </w:p>
    <w:p w:rsidR="003B23BA" w:rsidRPr="001A15E2" w:rsidRDefault="003B23BA" w:rsidP="003B23BA">
      <w:pPr>
        <w:pStyle w:val="Hemstlatt"/>
      </w:pPr>
      <w:r w:rsidRPr="001A15E2">
        <w:t xml:space="preserve">Riksdagen tillkännager för regeringen som sin mening vad som </w:t>
      </w:r>
      <w:r w:rsidR="00C64F22" w:rsidRPr="001A15E2">
        <w:t xml:space="preserve">anförs </w:t>
      </w:r>
      <w:r w:rsidRPr="001A15E2">
        <w:t xml:space="preserve">i motionen </w:t>
      </w:r>
      <w:r w:rsidR="00C64F22" w:rsidRPr="001A15E2">
        <w:t>om</w:t>
      </w:r>
      <w:r w:rsidRPr="001A15E2">
        <w:t xml:space="preserve"> åtgärd 58 </w:t>
      </w:r>
      <w:r w:rsidR="00C64F22" w:rsidRPr="001A15E2">
        <w:t>angående</w:t>
      </w:r>
      <w:r w:rsidRPr="001A15E2">
        <w:t xml:space="preserve"> en vidare översyn av läromedel i fra</w:t>
      </w:r>
      <w:r w:rsidRPr="001A15E2">
        <w:t>m</w:t>
      </w:r>
      <w:r w:rsidRPr="001A15E2">
        <w:t>tiden.</w:t>
      </w:r>
    </w:p>
    <w:p w:rsidR="003B23BA" w:rsidRPr="001A15E2" w:rsidRDefault="003B23BA" w:rsidP="003B23BA">
      <w:pPr>
        <w:pStyle w:val="Hemstlatt"/>
      </w:pPr>
      <w:r w:rsidRPr="001A15E2">
        <w:t>Riksdagen tillkännager för regeringen som sin mening vad som i moti</w:t>
      </w:r>
      <w:r w:rsidRPr="001A15E2">
        <w:t>o</w:t>
      </w:r>
      <w:r w:rsidRPr="001A15E2">
        <w:t xml:space="preserve">nen anförs om behovet av åtgärder för att en breddad rekrytering även </w:t>
      </w:r>
      <w:r w:rsidR="001D4DEC" w:rsidRPr="001A15E2">
        <w:t>ska</w:t>
      </w:r>
      <w:r w:rsidR="00C64F22" w:rsidRPr="001A15E2">
        <w:t>ll</w:t>
      </w:r>
      <w:r w:rsidR="001D4DEC" w:rsidRPr="001A15E2">
        <w:t xml:space="preserve"> omfatta</w:t>
      </w:r>
      <w:r w:rsidRPr="001A15E2">
        <w:t xml:space="preserve"> romer.</w:t>
      </w:r>
    </w:p>
    <w:p w:rsidR="003B23BA" w:rsidRPr="001A15E2" w:rsidRDefault="003B23BA" w:rsidP="003B23BA">
      <w:pPr>
        <w:pStyle w:val="Hemstlatt"/>
      </w:pPr>
      <w:r w:rsidRPr="001A15E2">
        <w:t xml:space="preserve">Riksdagen tillkännager för regeringen som sin mening </w:t>
      </w:r>
      <w:r w:rsidR="001D4DEC" w:rsidRPr="001A15E2">
        <w:t>vad som i moti</w:t>
      </w:r>
      <w:r w:rsidR="001D4DEC" w:rsidRPr="001A15E2">
        <w:t>o</w:t>
      </w:r>
      <w:r w:rsidR="001D4DEC" w:rsidRPr="001A15E2">
        <w:t xml:space="preserve">nen anförs </w:t>
      </w:r>
      <w:r w:rsidR="00A45979" w:rsidRPr="001A15E2">
        <w:t xml:space="preserve">om </w:t>
      </w:r>
      <w:r w:rsidRPr="001A15E2">
        <w:t>att även fokusera på mannens behov av professionellt stöd och hjälp vid våld i nära relationer enligt avsnitt 4.5 Mäns våld mot kvi</w:t>
      </w:r>
      <w:r w:rsidRPr="001A15E2">
        <w:t>n</w:t>
      </w:r>
      <w:r w:rsidRPr="001A15E2">
        <w:t>nor m</w:t>
      </w:r>
      <w:r w:rsidR="00C64F22" w:rsidRPr="001A15E2">
        <w:t>.</w:t>
      </w:r>
      <w:r w:rsidRPr="001A15E2">
        <w:t>m.</w:t>
      </w:r>
    </w:p>
    <w:p w:rsidR="003B23BA" w:rsidRPr="001A15E2" w:rsidRDefault="003B23BA" w:rsidP="003B23BA">
      <w:pPr>
        <w:pStyle w:val="Hemstlatt"/>
      </w:pPr>
      <w:r w:rsidRPr="001A15E2">
        <w:t xml:space="preserve">Riksdagen tillkännager för regeringen som sin mening </w:t>
      </w:r>
      <w:r w:rsidR="001D4DEC" w:rsidRPr="001A15E2">
        <w:t xml:space="preserve">vad som </w:t>
      </w:r>
      <w:r w:rsidR="00C64F22" w:rsidRPr="001A15E2">
        <w:t>anförs</w:t>
      </w:r>
      <w:r w:rsidR="001D4DEC" w:rsidRPr="001A15E2">
        <w:t xml:space="preserve"> </w:t>
      </w:r>
      <w:r w:rsidR="00C64F22" w:rsidRPr="001A15E2">
        <w:t xml:space="preserve">i </w:t>
      </w:r>
      <w:r w:rsidR="001D4DEC" w:rsidRPr="001A15E2">
        <w:t xml:space="preserve">motionen </w:t>
      </w:r>
      <w:r w:rsidR="00C64F22" w:rsidRPr="001A15E2">
        <w:t>om</w:t>
      </w:r>
      <w:r w:rsidR="001D4DEC" w:rsidRPr="001A15E2">
        <w:t xml:space="preserve"> </w:t>
      </w:r>
      <w:r w:rsidRPr="001A15E2">
        <w:t>att även inkludera våldsproblematiken inom samkönade r</w:t>
      </w:r>
      <w:r w:rsidRPr="001A15E2">
        <w:t>e</w:t>
      </w:r>
      <w:r w:rsidRPr="001A15E2">
        <w:t>lati</w:t>
      </w:r>
      <w:r w:rsidRPr="001A15E2">
        <w:t>o</w:t>
      </w:r>
      <w:r w:rsidRPr="001A15E2">
        <w:t>ner i arbetet utifrån det som beskrivs i avsnitt 4.5.</w:t>
      </w:r>
    </w:p>
    <w:p w:rsidR="003B23BA" w:rsidRPr="001A15E2" w:rsidRDefault="003B23BA" w:rsidP="003B23BA">
      <w:pPr>
        <w:pStyle w:val="Hemstlatt"/>
      </w:pPr>
      <w:r w:rsidRPr="001A15E2">
        <w:t xml:space="preserve">Riksdagen tillkännager för regeringen som sin mening </w:t>
      </w:r>
      <w:r w:rsidR="001D4DEC" w:rsidRPr="001A15E2">
        <w:t xml:space="preserve">vad som </w:t>
      </w:r>
      <w:r w:rsidR="00C64F22" w:rsidRPr="001A15E2">
        <w:t xml:space="preserve">anförs </w:t>
      </w:r>
      <w:r w:rsidR="001D4DEC" w:rsidRPr="001A15E2">
        <w:t xml:space="preserve">i motionen </w:t>
      </w:r>
      <w:r w:rsidR="00C64F22" w:rsidRPr="001A15E2">
        <w:t xml:space="preserve">om </w:t>
      </w:r>
      <w:r w:rsidRPr="001A15E2">
        <w:t>att när det gäller tr</w:t>
      </w:r>
      <w:r w:rsidR="00C64F22" w:rsidRPr="001A15E2">
        <w:t>afficking särskilt uppmärksamma</w:t>
      </w:r>
      <w:r w:rsidRPr="001A15E2">
        <w:t xml:space="preserve"> vikten av att involvera män i arbetet enligt åtgärd 77.</w:t>
      </w:r>
    </w:p>
    <w:p w:rsidR="003B23BA" w:rsidRPr="001A15E2" w:rsidRDefault="003B23BA" w:rsidP="003B23BA">
      <w:pPr>
        <w:pStyle w:val="Hemstlatt"/>
      </w:pPr>
      <w:r w:rsidRPr="001A15E2">
        <w:t>Riksdagen tillkännager för regeringen som sin mening vad i motionen anförs om att adekvata rättssäkerhetsgarantier måste säkerställas innan inskränkningar görs i den personliga integriteten.</w:t>
      </w:r>
    </w:p>
    <w:p w:rsidR="003B23BA" w:rsidRPr="001A15E2" w:rsidRDefault="003B23BA" w:rsidP="003B23BA">
      <w:pPr>
        <w:pStyle w:val="Hemstlatt"/>
      </w:pPr>
      <w:r w:rsidRPr="001A15E2">
        <w:t>Riksdagen tillkännager för regeringen som sin mening att organisation</w:t>
      </w:r>
      <w:r w:rsidRPr="001A15E2">
        <w:t>s</w:t>
      </w:r>
      <w:r w:rsidRPr="001A15E2">
        <w:t>klausuler skall tas bort i den mån de förekommer inom ramen för kolle</w:t>
      </w:r>
      <w:r w:rsidRPr="001A15E2">
        <w:t>k</w:t>
      </w:r>
      <w:r w:rsidRPr="001A15E2">
        <w:t>tiva</w:t>
      </w:r>
      <w:r w:rsidRPr="001A15E2">
        <w:t>v</w:t>
      </w:r>
      <w:r w:rsidRPr="001A15E2">
        <w:t>tal.</w:t>
      </w:r>
    </w:p>
    <w:p w:rsidR="003B23BA" w:rsidRPr="001A15E2" w:rsidRDefault="003B23BA" w:rsidP="003B23BA">
      <w:pPr>
        <w:pStyle w:val="Hemstlatt"/>
      </w:pPr>
      <w:r w:rsidRPr="001A15E2">
        <w:t>Riksdagen tillkännager för regeringen som sin mening</w:t>
      </w:r>
      <w:r w:rsidR="00C64F22" w:rsidRPr="001A15E2">
        <w:t xml:space="preserve"> </w:t>
      </w:r>
      <w:r w:rsidRPr="001A15E2">
        <w:t xml:space="preserve">vad som anförs i motionen </w:t>
      </w:r>
      <w:r w:rsidR="00C64F22" w:rsidRPr="001A15E2">
        <w:t>om</w:t>
      </w:r>
      <w:r w:rsidRPr="001A15E2">
        <w:t xml:space="preserve"> de två egyptierna Agiza</w:t>
      </w:r>
      <w:r w:rsidR="00C64F22" w:rsidRPr="001A15E2">
        <w:t>s</w:t>
      </w:r>
      <w:r w:rsidRPr="001A15E2">
        <w:t xml:space="preserve"> och al-Zaris rätt att återvända till Sv</w:t>
      </w:r>
      <w:r w:rsidRPr="001A15E2">
        <w:t>e</w:t>
      </w:r>
      <w:r w:rsidRPr="001A15E2">
        <w:t>rige och erhålla ersättning.</w:t>
      </w:r>
    </w:p>
    <w:p w:rsidR="003B23BA" w:rsidRPr="001A15E2" w:rsidRDefault="003B23BA" w:rsidP="003B23BA">
      <w:pPr>
        <w:pStyle w:val="Hemstlatt"/>
      </w:pPr>
      <w:r w:rsidRPr="001A15E2">
        <w:t>Riksdagen tillkännager för regeringen som sin mening att Sverige i inte</w:t>
      </w:r>
      <w:r w:rsidRPr="001A15E2">
        <w:t>r</w:t>
      </w:r>
      <w:r w:rsidRPr="001A15E2">
        <w:t>nationella sammanhang ska</w:t>
      </w:r>
      <w:r w:rsidR="00C64F22" w:rsidRPr="001A15E2">
        <w:t>ll</w:t>
      </w:r>
      <w:r w:rsidRPr="001A15E2">
        <w:t xml:space="preserve"> arbeta </w:t>
      </w:r>
      <w:r w:rsidR="001D4DEC" w:rsidRPr="001A15E2">
        <w:t xml:space="preserve">aktivt </w:t>
      </w:r>
      <w:r w:rsidR="00C64F22" w:rsidRPr="001A15E2">
        <w:t>mot användandet av s.</w:t>
      </w:r>
      <w:r w:rsidRPr="001A15E2">
        <w:t>k</w:t>
      </w:r>
      <w:r w:rsidR="00C64F22" w:rsidRPr="001A15E2">
        <w:t>.</w:t>
      </w:r>
      <w:r w:rsidR="00F61CE0" w:rsidRPr="001A15E2">
        <w:t xml:space="preserve"> d</w:t>
      </w:r>
      <w:r w:rsidR="00F61CE0" w:rsidRPr="001A15E2">
        <w:t>i</w:t>
      </w:r>
      <w:r w:rsidR="00F61CE0" w:rsidRPr="001A15E2">
        <w:t>plom</w:t>
      </w:r>
      <w:r w:rsidR="00F61CE0" w:rsidRPr="001A15E2">
        <w:t>a</w:t>
      </w:r>
      <w:r w:rsidR="00F61CE0" w:rsidRPr="001A15E2">
        <w:t>tiska garantier</w:t>
      </w:r>
      <w:r w:rsidRPr="001A15E2">
        <w:t>.</w:t>
      </w:r>
    </w:p>
    <w:p w:rsidR="003B23BA" w:rsidRPr="001A15E2" w:rsidRDefault="003B23BA" w:rsidP="003B23BA">
      <w:pPr>
        <w:pStyle w:val="Hemstlatt"/>
      </w:pPr>
      <w:r w:rsidRPr="001A15E2">
        <w:t>Riksdagen tillkännager för regeringen som sin mening</w:t>
      </w:r>
      <w:r w:rsidR="00C64F22" w:rsidRPr="001A15E2">
        <w:t xml:space="preserve"> vad i motionen anförs</w:t>
      </w:r>
      <w:r w:rsidRPr="001A15E2">
        <w:t xml:space="preserve"> om behovet av att utreda hur kunskap i</w:t>
      </w:r>
      <w:r w:rsidR="001D4DEC" w:rsidRPr="001A15E2">
        <w:t>nom antirasismarbete bland barn</w:t>
      </w:r>
      <w:r w:rsidRPr="001A15E2">
        <w:t xml:space="preserve"> och ungdomar skall kunna samlas och hur erfarenheter skall kunna spr</w:t>
      </w:r>
      <w:r w:rsidRPr="001A15E2">
        <w:t>i</w:t>
      </w:r>
      <w:r w:rsidRPr="001A15E2">
        <w:t>das bland alla aktörer inom detta område.</w:t>
      </w:r>
    </w:p>
    <w:p w:rsidR="003B23BA" w:rsidRPr="001A15E2" w:rsidRDefault="003B23BA" w:rsidP="003B23BA">
      <w:pPr>
        <w:pStyle w:val="Hemstlatt"/>
      </w:pPr>
      <w:r w:rsidRPr="001A15E2">
        <w:t xml:space="preserve">Riksdagen tillkännager för regeringen som sin mening att regeringen tillsammans med kommuner och landsting </w:t>
      </w:r>
      <w:r w:rsidR="001D4DEC" w:rsidRPr="001A15E2">
        <w:t>ska</w:t>
      </w:r>
      <w:r w:rsidR="00C64F22" w:rsidRPr="001A15E2">
        <w:t>ll</w:t>
      </w:r>
      <w:r w:rsidR="001D4DEC" w:rsidRPr="001A15E2">
        <w:t xml:space="preserve"> </w:t>
      </w:r>
      <w:r w:rsidRPr="001A15E2">
        <w:t>arbeta fram riktlinjer för hur olika lokala och regionala aktörer ska</w:t>
      </w:r>
      <w:r w:rsidR="00C64F22" w:rsidRPr="001A15E2">
        <w:t>ll</w:t>
      </w:r>
      <w:r w:rsidR="00A45979" w:rsidRPr="001A15E2">
        <w:t xml:space="preserve"> arbeta</w:t>
      </w:r>
      <w:r w:rsidRPr="001A15E2">
        <w:t xml:space="preserve"> med att införliva de mänskliga rättigheterna i sitt eget arbete.</w:t>
      </w:r>
    </w:p>
    <w:p w:rsidR="003B23BA" w:rsidRPr="001A15E2" w:rsidRDefault="003B23BA" w:rsidP="003B23BA">
      <w:pPr>
        <w:pStyle w:val="Hemstlatt"/>
      </w:pPr>
      <w:r w:rsidRPr="001A15E2">
        <w:t xml:space="preserve">Riksdagen tillkännager för regeringen som sin mening vad i motionen anförs </w:t>
      </w:r>
      <w:r w:rsidR="005519EF" w:rsidRPr="001A15E2">
        <w:t>om</w:t>
      </w:r>
      <w:r w:rsidRPr="001A15E2">
        <w:t xml:space="preserve"> åtgärd 106 om handlingsplaner för mänskliga rättigheter.</w:t>
      </w:r>
    </w:p>
    <w:p w:rsidR="003B23BA" w:rsidRPr="001A15E2" w:rsidRDefault="003B23BA" w:rsidP="003B23BA">
      <w:pPr>
        <w:pStyle w:val="Hemstlatt"/>
      </w:pPr>
      <w:r w:rsidRPr="001A15E2">
        <w:t>Riksdagen tillkännager för regeringen som sin mening att Sverige ska</w:t>
      </w:r>
      <w:r w:rsidR="005519EF" w:rsidRPr="001A15E2">
        <w:t>ll</w:t>
      </w:r>
      <w:r w:rsidRPr="001A15E2">
        <w:t xml:space="preserve"> ta initiativ till dels en internationell konferens om mansrollen</w:t>
      </w:r>
      <w:r w:rsidR="001D4DEC" w:rsidRPr="001A15E2">
        <w:t>,</w:t>
      </w:r>
      <w:r w:rsidRPr="001A15E2">
        <w:t xml:space="preserve"> dels en inte</w:t>
      </w:r>
      <w:r w:rsidRPr="001A15E2">
        <w:t>r</w:t>
      </w:r>
      <w:r w:rsidRPr="001A15E2">
        <w:t>nationell konferens om diskriminering på grund av sexuell läggning.</w:t>
      </w:r>
    </w:p>
    <w:p w:rsidR="003B23BA" w:rsidRPr="001A15E2" w:rsidRDefault="003B23BA" w:rsidP="003B23BA">
      <w:pPr>
        <w:pStyle w:val="Hemstlatt"/>
      </w:pPr>
      <w:r w:rsidRPr="001A15E2">
        <w:t xml:space="preserve">Riksdagen tillkännager för regeringen som sin mening att regeringen </w:t>
      </w:r>
      <w:r w:rsidR="001D4DEC" w:rsidRPr="001A15E2">
        <w:t>bör</w:t>
      </w:r>
      <w:r w:rsidRPr="001A15E2">
        <w:t xml:space="preserve"> stödja FN:s arbete med att u</w:t>
      </w:r>
      <w:r w:rsidR="005519EF" w:rsidRPr="001A15E2">
        <w:t>tveckla</w:t>
      </w:r>
      <w:r w:rsidRPr="001A15E2">
        <w:t xml:space="preserve"> normer och bindande regler för transn</w:t>
      </w:r>
      <w:r w:rsidRPr="001A15E2">
        <w:t>a</w:t>
      </w:r>
      <w:r w:rsidRPr="001A15E2">
        <w:t>tionella företag.</w:t>
      </w:r>
    </w:p>
    <w:p w:rsidR="001D4DEC" w:rsidRPr="001A15E2" w:rsidRDefault="003B23BA" w:rsidP="003B23BA">
      <w:pPr>
        <w:pStyle w:val="Hemstlatt"/>
      </w:pPr>
      <w:r w:rsidRPr="001A15E2">
        <w:t xml:space="preserve">Riksdagen tillkännager för regeringen som sin mening att de statliga bolagen </w:t>
      </w:r>
      <w:r w:rsidR="001D4DEC" w:rsidRPr="001A15E2">
        <w:t>bör</w:t>
      </w:r>
      <w:r w:rsidRPr="001A15E2">
        <w:t xml:space="preserve"> ges i uppdrag att utveckla sitt arbete vad det gäller hållbar utveckling och mänskliga rät</w:t>
      </w:r>
      <w:r w:rsidR="001D4DEC" w:rsidRPr="001A15E2">
        <w:t>tigheter.</w:t>
      </w:r>
    </w:p>
    <w:p w:rsidR="003B23BA" w:rsidRPr="001A15E2" w:rsidRDefault="003B23BA" w:rsidP="003B23BA">
      <w:pPr>
        <w:pStyle w:val="Hemstlatt"/>
      </w:pPr>
      <w:r w:rsidRPr="001A15E2">
        <w:t xml:space="preserve">Riksdagen tillkännager för regeringen som sin mening att </w:t>
      </w:r>
      <w:r w:rsidR="00870337" w:rsidRPr="001A15E2">
        <w:t>alla diskrim</w:t>
      </w:r>
      <w:r w:rsidR="00870337" w:rsidRPr="001A15E2">
        <w:t>i</w:t>
      </w:r>
      <w:r w:rsidR="00870337" w:rsidRPr="001A15E2">
        <w:t>nerings</w:t>
      </w:r>
      <w:r w:rsidR="00870337" w:rsidRPr="001A15E2">
        <w:softHyphen/>
        <w:t xml:space="preserve">grunder bör ingå </w:t>
      </w:r>
      <w:r w:rsidR="005519EF" w:rsidRPr="001A15E2">
        <w:t>i den fördjupa</w:t>
      </w:r>
      <w:r w:rsidRPr="001A15E2">
        <w:t>de dialogen med trossamfunden.</w:t>
      </w:r>
    </w:p>
    <w:p w:rsidR="003B23BA" w:rsidRPr="001A15E2" w:rsidRDefault="003B23BA" w:rsidP="003B23BA">
      <w:pPr>
        <w:pStyle w:val="Hemstlatt"/>
      </w:pPr>
      <w:r w:rsidRPr="001A15E2">
        <w:t xml:space="preserve">Riksdagen tillkännager för regeringen som sin mening </w:t>
      </w:r>
      <w:r w:rsidR="00870337" w:rsidRPr="001A15E2">
        <w:t>vad som anförs i motionen</w:t>
      </w:r>
      <w:r w:rsidR="005519EF" w:rsidRPr="001A15E2">
        <w:t xml:space="preserve"> om</w:t>
      </w:r>
      <w:r w:rsidR="00870337" w:rsidRPr="001A15E2">
        <w:t xml:space="preserve"> </w:t>
      </w:r>
      <w:r w:rsidRPr="001A15E2">
        <w:t xml:space="preserve">att i den nya myndigheten Språk- och folkminnesinstitutet bör även romani ingå </w:t>
      </w:r>
      <w:r w:rsidR="00870337" w:rsidRPr="001A15E2">
        <w:t>enligt</w:t>
      </w:r>
      <w:r w:rsidRPr="001A15E2">
        <w:t xml:space="preserve"> åtgärd 127.</w:t>
      </w:r>
    </w:p>
    <w:p w:rsidR="003B23BA" w:rsidRPr="001A15E2" w:rsidRDefault="003B23BA" w:rsidP="003B23BA">
      <w:pPr>
        <w:pStyle w:val="Rubrik1"/>
      </w:pPr>
      <w:bookmarkStart w:id="4" w:name="_Toc131407920"/>
      <w:bookmarkStart w:id="5" w:name="_Toc131818718"/>
      <w:r w:rsidRPr="001A15E2">
        <w:t>Inledning</w:t>
      </w:r>
      <w:bookmarkEnd w:id="4"/>
      <w:bookmarkEnd w:id="5"/>
    </w:p>
    <w:p w:rsidR="003B23BA" w:rsidRPr="001A15E2" w:rsidRDefault="003B23BA" w:rsidP="003B23BA">
      <w:r w:rsidRPr="001A15E2">
        <w:t>Genere</w:t>
      </w:r>
      <w:r w:rsidR="00F61CE0" w:rsidRPr="001A15E2">
        <w:t>llt sett anser Miljöpartiet de g</w:t>
      </w:r>
      <w:r w:rsidRPr="001A15E2">
        <w:t xml:space="preserve">röna att skrivelsen är alltför </w:t>
      </w:r>
      <w:r w:rsidR="00870337" w:rsidRPr="001A15E2">
        <w:t xml:space="preserve">svag </w:t>
      </w:r>
      <w:r w:rsidRPr="001A15E2">
        <w:t>när det gäller det framtida arbete</w:t>
      </w:r>
      <w:r w:rsidR="00F61CE0" w:rsidRPr="001A15E2">
        <w:t>t</w:t>
      </w:r>
      <w:r w:rsidRPr="001A15E2">
        <w:t xml:space="preserve"> och att det är för få och vaga mål, åtgärder och uppdrag. En handlingsplan bör</w:t>
      </w:r>
      <w:r w:rsidR="00870337" w:rsidRPr="001A15E2">
        <w:t>,</w:t>
      </w:r>
      <w:r w:rsidRPr="001A15E2">
        <w:t xml:space="preserve"> anser </w:t>
      </w:r>
      <w:r w:rsidR="00F61CE0" w:rsidRPr="001A15E2">
        <w:t>Miljöpartiet</w:t>
      </w:r>
      <w:r w:rsidR="00870337" w:rsidRPr="001A15E2">
        <w:t>,</w:t>
      </w:r>
      <w:r w:rsidRPr="001A15E2">
        <w:t xml:space="preserve"> uttrycka en större vilja att förändra och innehålla en bredare vision inför framtiden och hur de mänskliga rättigheterna ska bli en naturlig del av det svenska samhället.</w:t>
      </w:r>
    </w:p>
    <w:p w:rsidR="003B23BA" w:rsidRPr="001A15E2" w:rsidRDefault="003B23BA" w:rsidP="003B23BA">
      <w:pPr>
        <w:pStyle w:val="Normaltindrag"/>
      </w:pPr>
      <w:r w:rsidRPr="001A15E2">
        <w:t>Samefrågorna är några av de frågor kring minoritetsfolk som har utretts mycket grundligt. Vi menar att det nu är hög tid att sätta i</w:t>
      </w:r>
      <w:r w:rsidR="00F61CE0" w:rsidRPr="001A15E2">
        <w:t xml:space="preserve"> </w:t>
      </w:r>
      <w:r w:rsidRPr="001A15E2">
        <w:t>gång genomföra</w:t>
      </w:r>
      <w:r w:rsidRPr="001A15E2">
        <w:t>n</w:t>
      </w:r>
      <w:r w:rsidRPr="001A15E2">
        <w:t>det av förslagen i dessa utredningar. Men vi vill också påpeka att det även inom detta område saknas framtidsvisioner och mätbara målformuleringar.</w:t>
      </w:r>
    </w:p>
    <w:p w:rsidR="003B23BA" w:rsidRPr="001A15E2" w:rsidRDefault="003B23BA" w:rsidP="003B23BA">
      <w:pPr>
        <w:pStyle w:val="Normaltindrag"/>
      </w:pPr>
      <w:r w:rsidRPr="001A15E2">
        <w:t>Rasism, främlingsfientlighet, intolerans, hatbrott och andra uttryck för rädsla för det okända måste bekämpas. Vi tror dock inte på att hårdare tag, ökad kriminalisering eller anmälningsskyldigheter är rätt väg att gå. Det han</w:t>
      </w:r>
      <w:r w:rsidRPr="001A15E2">
        <w:t>d</w:t>
      </w:r>
      <w:r w:rsidRPr="001A15E2">
        <w:t>lar snarare om ökad kunskap, att lösa sociala konflikter och problem, att ge olika myndigheter medel för att effektivt kunna använda den befintliga lagstiftningen och att genom ett kraftfull opinionsbildning markera att i Sv</w:t>
      </w:r>
      <w:r w:rsidRPr="001A15E2">
        <w:t>e</w:t>
      </w:r>
      <w:r w:rsidRPr="001A15E2">
        <w:t>rige är alla olika men ändå lika</w:t>
      </w:r>
      <w:r w:rsidR="00F61CE0" w:rsidRPr="001A15E2">
        <w:t xml:space="preserve"> mycket</w:t>
      </w:r>
      <w:r w:rsidRPr="001A15E2">
        <w:t xml:space="preserve"> värda.</w:t>
      </w:r>
    </w:p>
    <w:p w:rsidR="003B23BA" w:rsidRPr="001A15E2" w:rsidRDefault="003B23BA" w:rsidP="003B23BA">
      <w:pPr>
        <w:pStyle w:val="Normaltindrag"/>
      </w:pPr>
      <w:r w:rsidRPr="001A15E2">
        <w:t>För att inte upprepa och lägga samma motioner i många olika sammanhang hänvisar vi til</w:t>
      </w:r>
      <w:r w:rsidR="00F61CE0" w:rsidRPr="001A15E2">
        <w:t>l andra motioner</w:t>
      </w:r>
      <w:r w:rsidR="00A45979" w:rsidRPr="001A15E2">
        <w:t>,</w:t>
      </w:r>
      <w:r w:rsidR="00F61CE0" w:rsidRPr="001A15E2">
        <w:t xml:space="preserve"> såsom Sf252 Papperslösa i Sverige, Sf281 Krafttag mot rasismen, Ju</w:t>
      </w:r>
      <w:r w:rsidRPr="001A15E2">
        <w:t xml:space="preserve">422 </w:t>
      </w:r>
      <w:r w:rsidR="00A45979" w:rsidRPr="001A15E2">
        <w:t xml:space="preserve">Våld </w:t>
      </w:r>
      <w:r w:rsidRPr="001A15E2">
        <w:t>i nära relationer, L342 Lika rättigheter för HBT-personer, U340 Stopp för trafficking med människor</w:t>
      </w:r>
      <w:r w:rsidR="008E07C8" w:rsidRPr="001A15E2">
        <w:t xml:space="preserve">, </w:t>
      </w:r>
      <w:r w:rsidRPr="001A15E2">
        <w:t>U276 Nollsvält, Bo 277</w:t>
      </w:r>
      <w:r w:rsidR="00F61CE0" w:rsidRPr="001A15E2">
        <w:t xml:space="preserve"> </w:t>
      </w:r>
      <w:r w:rsidRPr="001A15E2">
        <w:t>Hälsopåv</w:t>
      </w:r>
      <w:r w:rsidR="008E07C8" w:rsidRPr="001A15E2">
        <w:t xml:space="preserve">erkan av elektromagnetiska fält </w:t>
      </w:r>
      <w:r w:rsidRPr="001A15E2">
        <w:t xml:space="preserve">och andra yrkanden som </w:t>
      </w:r>
      <w:r w:rsidR="00F61CE0" w:rsidRPr="001A15E2">
        <w:t xml:space="preserve">Miljöpartiet </w:t>
      </w:r>
      <w:r w:rsidRPr="001A15E2">
        <w:t>lagt under innevarande riksdagsår</w:t>
      </w:r>
      <w:r w:rsidR="00F61CE0" w:rsidRPr="001A15E2">
        <w:t xml:space="preserve"> och</w:t>
      </w:r>
      <w:r w:rsidRPr="001A15E2">
        <w:t xml:space="preserve"> som har relevans </w:t>
      </w:r>
      <w:r w:rsidR="00A45979" w:rsidRPr="001A15E2">
        <w:t>för</w:t>
      </w:r>
      <w:r w:rsidRPr="001A15E2">
        <w:t xml:space="preserve"> fö</w:t>
      </w:r>
      <w:r w:rsidRPr="001A15E2">
        <w:t>r</w:t>
      </w:r>
      <w:r w:rsidRPr="001A15E2">
        <w:t>slagen i denna skrivelse.</w:t>
      </w:r>
    </w:p>
    <w:p w:rsidR="003B23BA" w:rsidRPr="001A15E2" w:rsidRDefault="003B23BA" w:rsidP="003B23BA">
      <w:pPr>
        <w:pStyle w:val="Rubrik1"/>
      </w:pPr>
      <w:bookmarkStart w:id="6" w:name="_Toc131407921"/>
      <w:bookmarkStart w:id="7" w:name="_Toc131818719"/>
      <w:r w:rsidRPr="001A15E2">
        <w:t>Motivering</w:t>
      </w:r>
      <w:bookmarkEnd w:id="6"/>
      <w:bookmarkEnd w:id="7"/>
    </w:p>
    <w:p w:rsidR="003B23BA" w:rsidRPr="001A15E2" w:rsidRDefault="003B23BA" w:rsidP="009F7013">
      <w:pPr>
        <w:pStyle w:val="Rubrik2"/>
        <w:spacing w:before="120"/>
      </w:pPr>
      <w:bookmarkStart w:id="8" w:name="_Toc131407922"/>
      <w:bookmarkStart w:id="9" w:name="_Toc131818720"/>
      <w:r w:rsidRPr="001A15E2">
        <w:t>Avgränsningar</w:t>
      </w:r>
      <w:bookmarkEnd w:id="8"/>
      <w:bookmarkEnd w:id="9"/>
    </w:p>
    <w:p w:rsidR="003B23BA" w:rsidRPr="001A15E2" w:rsidRDefault="003B23BA" w:rsidP="003B23BA">
      <w:r w:rsidRPr="001A15E2">
        <w:t xml:space="preserve">I texten skriver man att </w:t>
      </w:r>
      <w:r w:rsidR="0033382F" w:rsidRPr="001A15E2">
        <w:t>”</w:t>
      </w:r>
      <w:r w:rsidRPr="001A15E2">
        <w:t>Samtidigt som det är eftersträvansvärt att även priv</w:t>
      </w:r>
      <w:r w:rsidRPr="001A15E2">
        <w:t>a</w:t>
      </w:r>
      <w:r w:rsidRPr="001A15E2">
        <w:t xml:space="preserve">ta aktörer, såsom organisationer och företag, respekterar och främjar de mänskliga rättigheterna, bör det betonas att det är det allmänna och ytterst sett regeringen som bär ansvaret för att Sveriges internationella åtagaden om mänskliga rättigheter efterlevs. </w:t>
      </w:r>
    </w:p>
    <w:p w:rsidR="003B23BA" w:rsidRPr="001A15E2" w:rsidRDefault="003B23BA" w:rsidP="003B23BA">
      <w:pPr>
        <w:pStyle w:val="Normaltindrag"/>
      </w:pPr>
      <w:r w:rsidRPr="001A15E2">
        <w:t>Miljöpartiet menar att det självfallet bör framgå att det visserligen är staten Sverige som i förhållande till olika internationella organ är ansvarig för de internationella åtagandenas genomförande, men att det inom Sverige anko</w:t>
      </w:r>
      <w:r w:rsidRPr="001A15E2">
        <w:t>m</w:t>
      </w:r>
      <w:r w:rsidRPr="001A15E2">
        <w:t xml:space="preserve">mer på alla att genomföra och beakta de mänskliga rättigheterna. Att skriva att det är </w:t>
      </w:r>
      <w:r w:rsidR="0033382F" w:rsidRPr="001A15E2">
        <w:t>”</w:t>
      </w:r>
      <w:r w:rsidRPr="001A15E2">
        <w:t>eftersträvansvärt</w:t>
      </w:r>
      <w:r w:rsidR="0033382F" w:rsidRPr="001A15E2">
        <w:t>”</w:t>
      </w:r>
      <w:r w:rsidRPr="001A15E2">
        <w:t xml:space="preserve"> att privata aktörer respekterar och främjar mänskliga rättigheter är alltför svagt. Det är deras skyldighet att göra detta! Vi menar att skrivningen borde ha varit starkare. Det är allas ansvar att respektera och främja de mänskliga rättigheterna och ta ansvar för att de efte</w:t>
      </w:r>
      <w:r w:rsidRPr="001A15E2">
        <w:t>r</w:t>
      </w:r>
      <w:r w:rsidRPr="001A15E2">
        <w:t>levs inom respektive område.</w:t>
      </w:r>
    </w:p>
    <w:p w:rsidR="003B23BA" w:rsidRPr="001A15E2" w:rsidRDefault="003B23BA" w:rsidP="003B23BA">
      <w:pPr>
        <w:pStyle w:val="Rubrik2"/>
      </w:pPr>
      <w:bookmarkStart w:id="10" w:name="_Toc131407923"/>
      <w:bookmarkStart w:id="11" w:name="_Toc131818721"/>
      <w:r w:rsidRPr="001A15E2">
        <w:t>Nya konventioner och konventioner som Sverige inte ratificerat m.m.</w:t>
      </w:r>
      <w:bookmarkEnd w:id="10"/>
      <w:bookmarkEnd w:id="11"/>
    </w:p>
    <w:p w:rsidR="003B23BA" w:rsidRPr="001A15E2" w:rsidRDefault="003B23BA" w:rsidP="003B23BA">
      <w:pPr>
        <w:pStyle w:val="Citat"/>
      </w:pPr>
      <w:r w:rsidRPr="001A15E2">
        <w:t>Åtgärd 3</w:t>
      </w:r>
      <w:r w:rsidR="00870337" w:rsidRPr="001A15E2">
        <w:t>:</w:t>
      </w:r>
      <w:r w:rsidRPr="001A15E2">
        <w:t xml:space="preserve"> Regeringe</w:t>
      </w:r>
      <w:r w:rsidR="00F61CE0" w:rsidRPr="001A15E2">
        <w:t>n avser att under perioden 2006–</w:t>
      </w:r>
      <w:r w:rsidRPr="001A15E2">
        <w:t>2009 åter se över i vilken mån ytterligare konventioner och tilläggsprotokoll som rör mäns</w:t>
      </w:r>
      <w:r w:rsidRPr="001A15E2">
        <w:t>k</w:t>
      </w:r>
      <w:r w:rsidRPr="001A15E2">
        <w:t>liga rättigheter kan undertecknas och ratificeras samt redovisa sin stån</w:t>
      </w:r>
      <w:r w:rsidRPr="001A15E2">
        <w:t>d</w:t>
      </w:r>
      <w:r w:rsidRPr="001A15E2">
        <w:t>punkt senast i nästa nationella handlingsplan för de mänskliga rättigh</w:t>
      </w:r>
      <w:r w:rsidRPr="001A15E2">
        <w:t>e</w:t>
      </w:r>
      <w:r w:rsidRPr="001A15E2">
        <w:t>terna.</w:t>
      </w:r>
    </w:p>
    <w:p w:rsidR="003B23BA" w:rsidRPr="001A15E2" w:rsidRDefault="003B23BA" w:rsidP="00673C59">
      <w:r w:rsidRPr="001A15E2">
        <w:t>Miljöpartiet menar att det finns ett behov av kontinuerlig översyn och up</w:t>
      </w:r>
      <w:r w:rsidRPr="001A15E2">
        <w:t>p</w:t>
      </w:r>
      <w:r w:rsidRPr="001A15E2">
        <w:t xml:space="preserve">följning av arbetet med mänskliga rättigheter i Sverige. Det bör göras en uppdatering av handlingsplanen varje år. Då kan man lättare se att </w:t>
      </w:r>
      <w:r w:rsidR="0033382F" w:rsidRPr="001A15E2">
        <w:t>”</w:t>
      </w:r>
      <w:r w:rsidRPr="001A15E2">
        <w:t>inget är glömt</w:t>
      </w:r>
      <w:r w:rsidR="0033382F" w:rsidRPr="001A15E2">
        <w:t>”</w:t>
      </w:r>
      <w:r w:rsidRPr="001A15E2">
        <w:t xml:space="preserve"> och vilket arbete som bör intensifieras. Arbetet behöver inte betyda att det blir en omfattande handling, utan en redogörelse i form av en skrivelse till riksdagen. Denna årliga uppdatering bör också innehålla en redogörelse av arbetet med konventioner som Sverige inte ratificerat. Att vänta med redovi</w:t>
      </w:r>
      <w:r w:rsidRPr="001A15E2">
        <w:t>s</w:t>
      </w:r>
      <w:r w:rsidRPr="001A15E2">
        <w:t>ningen till nästa nationella handlingsplan är för sent eftersom det skulle inn</w:t>
      </w:r>
      <w:r w:rsidRPr="001A15E2">
        <w:t>e</w:t>
      </w:r>
      <w:r w:rsidRPr="001A15E2">
        <w:t>bära en redovisning tidigast år 2009. Norge arbetar med att uppdatera sin plan årligen.</w:t>
      </w:r>
    </w:p>
    <w:p w:rsidR="003B23BA" w:rsidRPr="001A15E2" w:rsidRDefault="003B23BA" w:rsidP="003B23BA">
      <w:pPr>
        <w:pStyle w:val="Normaltindrag"/>
      </w:pPr>
      <w:r w:rsidRPr="001A15E2">
        <w:t>Oviljan att verka för ett upprättande av fakultativt protokoll för en av de största MR-konventionerna, den om sociala, ekonomiska och kulturella rä</w:t>
      </w:r>
      <w:r w:rsidRPr="001A15E2">
        <w:t>t</w:t>
      </w:r>
      <w:r w:rsidRPr="001A15E2">
        <w:t>tigheter, är också ett förhållningssätt som MR-engagerade i Sverige finner anmärkningsvärt och vill se regeringens motiv till.</w:t>
      </w:r>
    </w:p>
    <w:p w:rsidR="003B23BA" w:rsidRPr="001A15E2" w:rsidRDefault="003B23BA" w:rsidP="003B23BA">
      <w:pPr>
        <w:pStyle w:val="Citat"/>
      </w:pPr>
      <w:r w:rsidRPr="001A15E2">
        <w:t>Åtgärd 4</w:t>
      </w:r>
      <w:r w:rsidR="00870337" w:rsidRPr="001A15E2">
        <w:t>:</w:t>
      </w:r>
      <w:r w:rsidRPr="001A15E2">
        <w:t xml:space="preserve"> Regeringe</w:t>
      </w:r>
      <w:r w:rsidR="00673C59" w:rsidRPr="001A15E2">
        <w:t>n avser att under perioden 2006–</w:t>
      </w:r>
      <w:r w:rsidRPr="001A15E2">
        <w:t>2009 åter se över sin inställning i frågan om en anslutning till protokoll 12 till Europako</w:t>
      </w:r>
      <w:r w:rsidRPr="001A15E2">
        <w:t>n</w:t>
      </w:r>
      <w:r w:rsidRPr="001A15E2">
        <w:t>ventionen om generellt diskrimineringsförbud, men har inte för avsikt att i nuläget tillträda protokollet.</w:t>
      </w:r>
    </w:p>
    <w:p w:rsidR="003B23BA" w:rsidRPr="001A15E2" w:rsidRDefault="003B23BA" w:rsidP="00673C59">
      <w:r w:rsidRPr="001A15E2">
        <w:t>Milj</w:t>
      </w:r>
      <w:r w:rsidR="00673C59" w:rsidRPr="001A15E2">
        <w:t>öpartiet anser att Sverige ska</w:t>
      </w:r>
      <w:r w:rsidRPr="001A15E2">
        <w:t xml:space="preserve"> ansluta sig till protokoll 12. Skrivningarna i såväl ruta som text borde i</w:t>
      </w:r>
      <w:r w:rsidR="00673C59" w:rsidRPr="001A15E2">
        <w:t xml:space="preserve"> </w:t>
      </w:r>
      <w:r w:rsidRPr="001A15E2">
        <w:t>stället ha haft lydelsen att regeringen under nästa mandatperiod kommer att utreda de närmare förutsättningarna för att kunna ratificera protokoll 12 inom mandatperioden. Vi menar att om Sverige ratif</w:t>
      </w:r>
      <w:r w:rsidRPr="001A15E2">
        <w:t>i</w:t>
      </w:r>
      <w:r w:rsidRPr="001A15E2">
        <w:t>cerar protokoll 1</w:t>
      </w:r>
      <w:r w:rsidR="00870337" w:rsidRPr="001A15E2">
        <w:t>2</w:t>
      </w:r>
      <w:r w:rsidRPr="001A15E2">
        <w:t xml:space="preserve"> kan även Sverige vara med och påverka rättsutvecklingen och praxis på ett för oss själva positivt sätt. Står vi utanför, har vi inte denna möjlighet.</w:t>
      </w:r>
    </w:p>
    <w:p w:rsidR="003B23BA" w:rsidRPr="001A15E2" w:rsidRDefault="003B23BA" w:rsidP="003B23BA">
      <w:pPr>
        <w:pStyle w:val="Citat"/>
      </w:pPr>
      <w:r w:rsidRPr="001A15E2">
        <w:t>Åtgärd 5: Regeringen avser inte att i nuläget ratificera FN-konventionen om migrerande arbetares rättigheter.</w:t>
      </w:r>
    </w:p>
    <w:p w:rsidR="003B23BA" w:rsidRPr="001A15E2" w:rsidRDefault="003B23BA" w:rsidP="00673C59">
      <w:r w:rsidRPr="001A15E2">
        <w:t xml:space="preserve">Miljöpartiet menar att Sverige ska ratificera den konvention som finns om migrantarbetares och deras familjers rättigheter. De regler vi har täcker inte det skydd som denna grupp är i behov av. Denna konvention antogs enhälligt av FN:s generalförsamling i slutet av 1990 och trädde i kraft </w:t>
      </w:r>
      <w:r w:rsidR="009732BB" w:rsidRPr="001A15E2">
        <w:t xml:space="preserve">den </w:t>
      </w:r>
      <w:r w:rsidRPr="001A15E2">
        <w:t>1 juli 2003.</w:t>
      </w:r>
    </w:p>
    <w:p w:rsidR="003B23BA" w:rsidRPr="001A15E2" w:rsidRDefault="003B23BA" w:rsidP="003B23BA">
      <w:pPr>
        <w:pStyle w:val="Normaltindrag"/>
      </w:pPr>
      <w:r w:rsidRPr="001A15E2">
        <w:t>Konventionen förpliktigar de länder som ratificerat den att garantera att grundläggande mänskliga rättigheter upprätthålls också för de människor som lever tillfälligt i landet. Avsikten med konventionen är att grundläggande rättigheter ska regleras för dem som arbetar i ett annat land än sitt eget, oa</w:t>
      </w:r>
      <w:r w:rsidRPr="001A15E2">
        <w:t>v</w:t>
      </w:r>
      <w:r w:rsidRPr="001A15E2">
        <w:t>sett om dessa har giltiga dokument eller ej. Vissa undantag görs dock för bland annat flyktingar och statslösa, som skyddas av andra konventioner. Konventionen syftar till att motarbeta och eliminera exploatering av alla typer av migrantarbetare och deras familjemedlemmar, i synnerhet illegal handel och olaglig anställning av dessa arbetare.</w:t>
      </w:r>
    </w:p>
    <w:p w:rsidR="003B23BA" w:rsidRPr="001A15E2" w:rsidRDefault="003B23BA" w:rsidP="003B23BA">
      <w:pPr>
        <w:pStyle w:val="Normaltindrag"/>
      </w:pPr>
      <w:r w:rsidRPr="001A15E2">
        <w:t>Regeringen anför som anledning till att man väljer att inte underteckna denna att migrantarbetares rättigheter täcks av de centrala FN-konventionerna om mänskliga rättigheter och av ILO:s konventioner. Regeringen hänvisar också till att det i en rapport från den globala kommissionen om internationell migration (GCIM) från oktober i fjol anges att eftersom enbart 30 stater har ratificerat konventionen och ett flertal stater dessutom angett att de inte tänker göra detta behövs andra metoder för att skydda rättigheterna för migrerande arbetare.</w:t>
      </w:r>
    </w:p>
    <w:p w:rsidR="003B23BA" w:rsidRPr="001A15E2" w:rsidRDefault="003B23BA" w:rsidP="003B23BA">
      <w:pPr>
        <w:pStyle w:val="Normaltindrag"/>
      </w:pPr>
      <w:r w:rsidRPr="001A15E2">
        <w:t>Vi menar dock att det faktum att enbart ett fåtal stater ratificerat konve</w:t>
      </w:r>
      <w:r w:rsidRPr="001A15E2">
        <w:t>n</w:t>
      </w:r>
      <w:r w:rsidRPr="001A15E2">
        <w:t>tionen inte kan utgöra ett skäl för regeringen att inte heller göra det, utan innebär tvärtom att det borde utgöra ett incitament för Sverige att ratificera.</w:t>
      </w:r>
    </w:p>
    <w:p w:rsidR="003B23BA" w:rsidRPr="001A15E2" w:rsidRDefault="003B23BA" w:rsidP="003B23BA">
      <w:pPr>
        <w:pStyle w:val="Normaltindrag"/>
      </w:pPr>
      <w:r w:rsidRPr="001A15E2">
        <w:t>Villkoren för migrantarbetare – var än i världen de befinner sig – är alltför ofta usla, med minimala löner och hårda arbetsvillkor, och alla ansatser som görs för att stärka migrantarbetarnas ställning borde därför den svenska rege</w:t>
      </w:r>
      <w:r w:rsidRPr="001A15E2">
        <w:t>r</w:t>
      </w:r>
      <w:r w:rsidRPr="001A15E2">
        <w:t>ingen ställa sig bakom.</w:t>
      </w:r>
    </w:p>
    <w:p w:rsidR="003B23BA" w:rsidRPr="001A15E2" w:rsidRDefault="003B23BA" w:rsidP="003B23BA">
      <w:pPr>
        <w:pStyle w:val="Rubrik2"/>
      </w:pPr>
      <w:bookmarkStart w:id="12" w:name="_Toc131407924"/>
      <w:bookmarkStart w:id="13" w:name="_Toc131818722"/>
      <w:r w:rsidRPr="001A15E2">
        <w:t>Diskriminering, rasism och homofobi</w:t>
      </w:r>
      <w:bookmarkEnd w:id="12"/>
      <w:bookmarkEnd w:id="13"/>
    </w:p>
    <w:p w:rsidR="003B23BA" w:rsidRPr="001A15E2" w:rsidRDefault="003B23BA" w:rsidP="009F7013">
      <w:pPr>
        <w:pStyle w:val="Rubrik3"/>
        <w:spacing w:before="120"/>
      </w:pPr>
      <w:bookmarkStart w:id="14" w:name="_Toc131407925"/>
      <w:bookmarkStart w:id="15" w:name="_Toc131818723"/>
      <w:r w:rsidRPr="001A15E2">
        <w:t>Inledning</w:t>
      </w:r>
      <w:bookmarkEnd w:id="14"/>
      <w:bookmarkEnd w:id="15"/>
      <w:r w:rsidRPr="001A15E2">
        <w:t xml:space="preserve"> </w:t>
      </w:r>
    </w:p>
    <w:p w:rsidR="003B23BA" w:rsidRPr="001A15E2" w:rsidRDefault="003B23BA" w:rsidP="003B23BA">
      <w:r w:rsidRPr="001A15E2">
        <w:t>Regeringen skriver</w:t>
      </w:r>
      <w:r w:rsidR="00A45979" w:rsidRPr="001A15E2">
        <w:t>:</w:t>
      </w:r>
      <w:r w:rsidRPr="001A15E2">
        <w:t xml:space="preserve"> </w:t>
      </w:r>
      <w:r w:rsidR="0033382F" w:rsidRPr="001A15E2">
        <w:t>”</w:t>
      </w:r>
      <w:r w:rsidRPr="001A15E2">
        <w:t>Enligt regeringens mening skall skyddet mot diskrim</w:t>
      </w:r>
      <w:r w:rsidRPr="001A15E2">
        <w:t>i</w:t>
      </w:r>
      <w:r w:rsidRPr="001A15E2">
        <w:t>nering i princip vara lika för de olika diskrimineringsgrunderna kön, etnisk</w:t>
      </w:r>
      <w:r w:rsidR="009732BB" w:rsidRPr="001A15E2">
        <w:t xml:space="preserve"> </w:t>
      </w:r>
      <w:r w:rsidRPr="001A15E2">
        <w:t>tillhörighet, religion eller annan trosuppfattning, funktionshinder och sexuell läggning.</w:t>
      </w:r>
      <w:r w:rsidR="0033382F" w:rsidRPr="001A15E2">
        <w:t>”</w:t>
      </w:r>
    </w:p>
    <w:p w:rsidR="003B23BA" w:rsidRPr="001A15E2" w:rsidRDefault="009732BB" w:rsidP="003B23BA">
      <w:pPr>
        <w:pStyle w:val="Normaltindrag"/>
      </w:pPr>
      <w:r w:rsidRPr="001A15E2">
        <w:t>Miljöpartiet ifrågasätter den</w:t>
      </w:r>
      <w:r w:rsidR="003B23BA" w:rsidRPr="001A15E2">
        <w:t xml:space="preserve"> </w:t>
      </w:r>
      <w:r w:rsidRPr="001A15E2">
        <w:t xml:space="preserve">oklara skrivningen </w:t>
      </w:r>
      <w:r w:rsidR="0033382F" w:rsidRPr="001A15E2">
        <w:t>”</w:t>
      </w:r>
      <w:r w:rsidR="003B23BA" w:rsidRPr="001A15E2">
        <w:t>i princip</w:t>
      </w:r>
      <w:r w:rsidR="0033382F" w:rsidRPr="001A15E2">
        <w:t>”</w:t>
      </w:r>
      <w:r w:rsidR="003B23BA" w:rsidRPr="001A15E2">
        <w:t>. Skyddet mot diskriminering ska helt enkelt vara lika oavsett diskrimineringsgrund.</w:t>
      </w:r>
    </w:p>
    <w:p w:rsidR="003B23BA" w:rsidRPr="001A15E2" w:rsidRDefault="003B23BA" w:rsidP="003B23BA">
      <w:pPr>
        <w:pStyle w:val="Citat"/>
      </w:pPr>
      <w:r w:rsidRPr="001A15E2">
        <w:t>Åtgärd 11</w:t>
      </w:r>
      <w:r w:rsidR="009732BB" w:rsidRPr="001A15E2">
        <w:t>:</w:t>
      </w:r>
      <w:r w:rsidRPr="001A15E2">
        <w:t xml:space="preserve"> Insatser mot diskriminering i statliga myndigheter och statligt ägda företag. Regeringen avser att 2006 ge i uppdrag till vissa statliga myndigheter att upprätta antidiskrimineringsstrategier.</w:t>
      </w:r>
    </w:p>
    <w:p w:rsidR="003B23BA" w:rsidRPr="001A15E2" w:rsidRDefault="003B23BA" w:rsidP="009732BB">
      <w:r w:rsidRPr="001A15E2">
        <w:t>Miljöpartiet ställer sig undrande till vad dessa antidiskrimineringsstrategier är och hur dessa förhåller sig till de uppdrag som redan tidigare lämnats i r</w:t>
      </w:r>
      <w:r w:rsidRPr="001A15E2">
        <w:t>e</w:t>
      </w:r>
      <w:r w:rsidRPr="001A15E2">
        <w:t>gleringsbrev om att upprätta mångfaldsplaner. En uppföljning som gjordes sommaren 2005 visade att inte alla myndigheter upprättat sådana. Vi menar att regeringen mer utförligt borde förklara innebörden av dessa strategier och hur de eventuellt ska samverka med mångfaldsplanerna.</w:t>
      </w:r>
    </w:p>
    <w:p w:rsidR="003B23BA" w:rsidRPr="001A15E2" w:rsidRDefault="003B23BA" w:rsidP="003B23BA">
      <w:pPr>
        <w:pStyle w:val="Citat"/>
      </w:pPr>
      <w:r w:rsidRPr="001A15E2">
        <w:t>Åtgärd 12</w:t>
      </w:r>
      <w:r w:rsidR="009732BB" w:rsidRPr="001A15E2">
        <w:t>:</w:t>
      </w:r>
      <w:r w:rsidRPr="001A15E2">
        <w:t xml:space="preserve"> Regeringen avser att under 2006 besluta en förordning som innebär att vissa större statliga myndigheter skall införa antidiskrimin</w:t>
      </w:r>
      <w:r w:rsidRPr="001A15E2">
        <w:t>e</w:t>
      </w:r>
      <w:r w:rsidRPr="001A15E2">
        <w:t>ringsvillkor i sina upphandlingar.</w:t>
      </w:r>
    </w:p>
    <w:p w:rsidR="003B23BA" w:rsidRPr="001A15E2" w:rsidRDefault="003B23BA" w:rsidP="009732BB">
      <w:r w:rsidRPr="001A15E2">
        <w:t>Miljöpartiet vill i sammanhanget förtydliga åtgärd 12. Enligt överenskomme</w:t>
      </w:r>
      <w:r w:rsidRPr="001A15E2">
        <w:t>l</w:t>
      </w:r>
      <w:r w:rsidRPr="001A15E2">
        <w:t xml:space="preserve">sen mellan regeringen, </w:t>
      </w:r>
      <w:r w:rsidR="009732BB" w:rsidRPr="001A15E2">
        <w:t xml:space="preserve">Vänsterpartiet </w:t>
      </w:r>
      <w:r w:rsidRPr="001A15E2">
        <w:t xml:space="preserve">och </w:t>
      </w:r>
      <w:r w:rsidR="009732BB" w:rsidRPr="001A15E2">
        <w:t>Miljöpartiet</w:t>
      </w:r>
      <w:r w:rsidRPr="001A15E2">
        <w:t>, gäller detta de 20 största statliga myndigheterna samt ytterligare 10.</w:t>
      </w:r>
    </w:p>
    <w:p w:rsidR="003B23BA" w:rsidRPr="001A15E2" w:rsidRDefault="003B23BA" w:rsidP="009732BB">
      <w:pPr>
        <w:pStyle w:val="Rubrik3"/>
      </w:pPr>
      <w:bookmarkStart w:id="16" w:name="_Toc131407926"/>
      <w:bookmarkStart w:id="17" w:name="_Toc131818724"/>
      <w:r w:rsidRPr="001A15E2">
        <w:t>Särskilt om diskriminering på grund av kön</w:t>
      </w:r>
      <w:bookmarkEnd w:id="16"/>
      <w:bookmarkEnd w:id="17"/>
    </w:p>
    <w:p w:rsidR="003B23BA" w:rsidRPr="001A15E2" w:rsidRDefault="003B23BA" w:rsidP="003B23BA">
      <w:r w:rsidRPr="001A15E2">
        <w:t>Detta stycke borde vara bredare och även handla om lönehandlingsplanen och de olika åtgärder som finns i denna. I detta sammanhang bör även den stru</w:t>
      </w:r>
      <w:r w:rsidRPr="001A15E2">
        <w:t>k</w:t>
      </w:r>
      <w:r w:rsidRPr="001A15E2">
        <w:t>turella diskriminering som försiggår på exempelvis Försäkringskassan och arbetsförmedlingen när det gäller kvinnor och mäns olika tillgång till rehabil</w:t>
      </w:r>
      <w:r w:rsidRPr="001A15E2">
        <w:t>i</w:t>
      </w:r>
      <w:r w:rsidRPr="001A15E2">
        <w:t>tering</w:t>
      </w:r>
      <w:r w:rsidR="009732BB" w:rsidRPr="001A15E2">
        <w:t xml:space="preserve"> beaktas</w:t>
      </w:r>
      <w:r w:rsidRPr="001A15E2">
        <w:t>. Detta påverkar i ett senare skede även kvinnors pensioner. Även tillsättandet av utredningen om könsförnedrande reklam bör nämnas och senare följas upp.</w:t>
      </w:r>
    </w:p>
    <w:p w:rsidR="003B23BA" w:rsidRPr="001A15E2" w:rsidRDefault="003B23BA" w:rsidP="003B23BA">
      <w:pPr>
        <w:pStyle w:val="Citat"/>
      </w:pPr>
      <w:r w:rsidRPr="001A15E2">
        <w:t>Åtgärd 17</w:t>
      </w:r>
      <w:r w:rsidR="009732BB" w:rsidRPr="001A15E2">
        <w:t>:</w:t>
      </w:r>
      <w:r w:rsidRPr="001A15E2">
        <w:t xml:space="preserve"> Särskilt om diskriminering på grund av etnisk tillhörighet, r</w:t>
      </w:r>
      <w:r w:rsidRPr="001A15E2">
        <w:t>e</w:t>
      </w:r>
      <w:r w:rsidRPr="001A15E2">
        <w:t>ligion eller annan trosuppfattning</w:t>
      </w:r>
      <w:r w:rsidR="009732BB" w:rsidRPr="001A15E2">
        <w:t>.</w:t>
      </w:r>
    </w:p>
    <w:p w:rsidR="003B23BA" w:rsidRPr="001A15E2" w:rsidRDefault="003B23BA" w:rsidP="009732BB">
      <w:r w:rsidRPr="001A15E2">
        <w:t xml:space="preserve">Det är lovvärt att regeringen tar initiativ </w:t>
      </w:r>
      <w:r w:rsidR="009732BB" w:rsidRPr="001A15E2">
        <w:t xml:space="preserve">till </w:t>
      </w:r>
      <w:r w:rsidRPr="001A15E2">
        <w:t>att utvärdera informationssat</w:t>
      </w:r>
      <w:r w:rsidRPr="001A15E2">
        <w:t>s</w:t>
      </w:r>
      <w:r w:rsidRPr="001A15E2">
        <w:t>ningar riktade till grupper som är särskilt utsatta för diskriminering på grund av etnisk tillhörighet, religion eller annan trosuppfattning. Miljöpartiet vill i detta sammanhang gå ytterligare ett steg och menar att Ombudsmannen mot etnisk diskriminering, DO, borde få ytterligare ett uppdrag att även ta fram material för och informera yrkesgrupper som kan hamna i en situation där de riskerar att diskriminera. Detta gäller för de</w:t>
      </w:r>
      <w:r w:rsidR="009732BB" w:rsidRPr="001A15E2">
        <w:t>m</w:t>
      </w:r>
      <w:r w:rsidRPr="001A15E2">
        <w:t xml:space="preserve"> som arbetar inom verksamheter som är reglerad</w:t>
      </w:r>
      <w:r w:rsidR="009732BB" w:rsidRPr="001A15E2">
        <w:t>e</w:t>
      </w:r>
      <w:r w:rsidRPr="001A15E2">
        <w:t xml:space="preserve"> i lag, exempelvis hälso- och sjukvård, </w:t>
      </w:r>
      <w:r w:rsidR="009732BB" w:rsidRPr="001A15E2">
        <w:t>försäkringskassorna</w:t>
      </w:r>
      <w:r w:rsidRPr="001A15E2">
        <w:t xml:space="preserve">, </w:t>
      </w:r>
      <w:r w:rsidR="009732BB" w:rsidRPr="001A15E2">
        <w:t>arbetsförmedlingarna</w:t>
      </w:r>
      <w:r w:rsidRPr="001A15E2">
        <w:t xml:space="preserve">, </w:t>
      </w:r>
      <w:r w:rsidR="009732BB" w:rsidRPr="001A15E2">
        <w:t>a</w:t>
      </w:r>
      <w:r w:rsidRPr="001A15E2">
        <w:t>-kassor m.fl.</w:t>
      </w:r>
    </w:p>
    <w:p w:rsidR="003B23BA" w:rsidRPr="001A15E2" w:rsidRDefault="003B23BA" w:rsidP="009732BB">
      <w:pPr>
        <w:pStyle w:val="Rubrik3"/>
      </w:pPr>
      <w:bookmarkStart w:id="18" w:name="_Toc131407927"/>
      <w:bookmarkStart w:id="19" w:name="_Toc131818725"/>
      <w:r w:rsidRPr="001A15E2">
        <w:t>Särskilt om diskriminering på grund av etnisk tillhörighet, religion eller annan trosuppfattning</w:t>
      </w:r>
      <w:bookmarkEnd w:id="18"/>
      <w:bookmarkEnd w:id="19"/>
    </w:p>
    <w:p w:rsidR="003B23BA" w:rsidRPr="001A15E2" w:rsidRDefault="003B23BA" w:rsidP="003B23BA">
      <w:pPr>
        <w:pStyle w:val="Citat"/>
      </w:pPr>
      <w:r w:rsidRPr="001A15E2">
        <w:t>Åtgärd 18</w:t>
      </w:r>
      <w:r w:rsidR="009732BB" w:rsidRPr="001A15E2">
        <w:t>:</w:t>
      </w:r>
      <w:r w:rsidRPr="001A15E2">
        <w:t xml:space="preserve"> Regeringen avser att överväga behovet av att använda diskr</w:t>
      </w:r>
      <w:r w:rsidRPr="001A15E2">
        <w:t>i</w:t>
      </w:r>
      <w:r w:rsidRPr="001A15E2">
        <w:t>mineringstester inom fler samhällsområden, baserat på de slutsatser som kommer att presenteras i en undersökning inom arbetsmarknaden.</w:t>
      </w:r>
    </w:p>
    <w:p w:rsidR="003B23BA" w:rsidRPr="001A15E2" w:rsidRDefault="003B23BA" w:rsidP="00F904E7">
      <w:r w:rsidRPr="001A15E2">
        <w:t>Miljöpartiet anser att det i arbetet med att ta fram metoder och indikatorer kring diskrimineringstester är viktigt med ett samarbete mellan DO och Inte</w:t>
      </w:r>
      <w:r w:rsidRPr="001A15E2">
        <w:t>g</w:t>
      </w:r>
      <w:r w:rsidRPr="001A15E2">
        <w:t>rationsverket för att tillvarata de praktiska erfarenheter DO har, och att även antidiskrimineringsbyråernas kompetens tas till</w:t>
      </w:r>
      <w:r w:rsidR="00F904E7" w:rsidRPr="001A15E2">
        <w:t xml:space="preserve"> </w:t>
      </w:r>
      <w:r w:rsidRPr="001A15E2">
        <w:t xml:space="preserve">vara. </w:t>
      </w:r>
    </w:p>
    <w:p w:rsidR="003B23BA" w:rsidRPr="001A15E2" w:rsidRDefault="003B23BA" w:rsidP="00F904E7">
      <w:pPr>
        <w:pStyle w:val="Rubrik3"/>
      </w:pPr>
      <w:bookmarkStart w:id="20" w:name="_Toc131407928"/>
      <w:bookmarkStart w:id="21" w:name="_Toc131818726"/>
      <w:r w:rsidRPr="001A15E2">
        <w:t>Särskilt om diskriminering på grund av sexuell läggning samt övriga frågor om lika rättigheter och möjligheter oavsett sexuell läggning</w:t>
      </w:r>
      <w:bookmarkEnd w:id="20"/>
      <w:bookmarkEnd w:id="21"/>
    </w:p>
    <w:p w:rsidR="003B23BA" w:rsidRPr="001A15E2" w:rsidRDefault="003B23BA" w:rsidP="003B23BA">
      <w:pPr>
        <w:pStyle w:val="Citat"/>
      </w:pPr>
      <w:r w:rsidRPr="001A15E2">
        <w:t>Åtgärd 20</w:t>
      </w:r>
      <w:r w:rsidR="00F904E7" w:rsidRPr="001A15E2">
        <w:t>:</w:t>
      </w:r>
      <w:r w:rsidRPr="001A15E2">
        <w:t xml:space="preserve"> Regeringen avser att tillsätta en arbetsgrupp med uppgift att lämna förslag som innebär ett samlat grepp om frågor som rör lika rätti</w:t>
      </w:r>
      <w:r w:rsidRPr="001A15E2">
        <w:t>g</w:t>
      </w:r>
      <w:r w:rsidRPr="001A15E2">
        <w:t>heter och möjligheter oavsett sexuell läggning. Arbetsgruppen skall även få i uppgift att överväga hur förekomst och omfattning av diskriminering på grund av sexuell läggning skall kunna mätas och om möjligt lämna förslag till indikatorer inom olika områden i samhället.</w:t>
      </w:r>
    </w:p>
    <w:p w:rsidR="003B23BA" w:rsidRPr="001A15E2" w:rsidRDefault="003B23BA" w:rsidP="00F904E7">
      <w:r w:rsidRPr="001A15E2">
        <w:t>Miljöpartiet anser att det i åtgärdsrutan är otydligt huruvida transpersoner ingår. Diskriminering av transpersoner handlar emellertid inte alltid om sex</w:t>
      </w:r>
      <w:r w:rsidRPr="001A15E2">
        <w:t>u</w:t>
      </w:r>
      <w:r w:rsidRPr="001A15E2">
        <w:t>ell läggning utan om könsuttryck. Detta bör förtydligas.</w:t>
      </w:r>
    </w:p>
    <w:p w:rsidR="003B23BA" w:rsidRPr="001A15E2" w:rsidRDefault="003B23BA" w:rsidP="003B23BA">
      <w:pPr>
        <w:pStyle w:val="Normaltindrag"/>
      </w:pPr>
      <w:r w:rsidRPr="001A15E2">
        <w:t xml:space="preserve">Detta viktiga arbete bör inte ledas av blott en </w:t>
      </w:r>
      <w:r w:rsidR="0033382F" w:rsidRPr="001A15E2">
        <w:t>”</w:t>
      </w:r>
      <w:r w:rsidRPr="001A15E2">
        <w:t>interdepartemental arbet</w:t>
      </w:r>
      <w:r w:rsidRPr="001A15E2">
        <w:t>s</w:t>
      </w:r>
      <w:r w:rsidRPr="001A15E2">
        <w:t>grupp</w:t>
      </w:r>
      <w:r w:rsidR="0033382F" w:rsidRPr="001A15E2">
        <w:t>”</w:t>
      </w:r>
      <w:r w:rsidRPr="001A15E2">
        <w:t xml:space="preserve"> utan vara föremål för en mer ordentlig och genomgripande utredning. Det är nu mycket länge sedan frågor om HBT-personers ställning utreddes på ett samlat sätt och det är nu dags att gå vidare och identifiera problem i hela samhällslivet ur ett HBT-perspektiv. Genom en utredning som knyter till sig olika referensgrupper, vinner man en förbättrad kommunikation med ideella organisationer och företrädare för HBT-personer och erhåller även förbättrad kunskap och förståelse för HBT-personers livssituation. Det är tveksamt om en sådan arbetsgrupp kan få samma legitimitet och framför allt kan få samma stöd och uppmärksamhet som en dylik utredning kan få. Vi önskar också att det tydliggörs var det politiska ansvaret ligger inom </w:t>
      </w:r>
      <w:r w:rsidR="00F904E7" w:rsidRPr="001A15E2">
        <w:t xml:space="preserve">Regeringskansliet </w:t>
      </w:r>
      <w:r w:rsidRPr="001A15E2">
        <w:t>och därför är det bra att detta nu ses över.</w:t>
      </w:r>
    </w:p>
    <w:p w:rsidR="003B23BA" w:rsidRPr="001A15E2" w:rsidRDefault="003B23BA" w:rsidP="00F904E7">
      <w:pPr>
        <w:pStyle w:val="Rubrik3"/>
      </w:pPr>
      <w:bookmarkStart w:id="22" w:name="_Toc131407929"/>
      <w:bookmarkStart w:id="23" w:name="_Toc131818727"/>
      <w:r w:rsidRPr="001A15E2">
        <w:t>Särskilt om diskriminering på grund av funktionshinder samt övriga frågor om funktionshindrades rättigheter</w:t>
      </w:r>
      <w:bookmarkEnd w:id="22"/>
      <w:bookmarkEnd w:id="23"/>
    </w:p>
    <w:p w:rsidR="003B23BA" w:rsidRPr="001A15E2" w:rsidRDefault="003B23BA" w:rsidP="003B23BA">
      <w:pPr>
        <w:pStyle w:val="Citat"/>
      </w:pPr>
      <w:r w:rsidRPr="001A15E2">
        <w:t>Åtgärd 23:</w:t>
      </w:r>
      <w:r w:rsidR="00F904E7" w:rsidRPr="001A15E2">
        <w:t xml:space="preserve"> </w:t>
      </w:r>
      <w:r w:rsidRPr="001A15E2">
        <w:t>Regeringen har inrättat en ny myndighet med uppdrag att samordna handikappolitiken. Myndigheten påbörjade sitt arbete den 1 j</w:t>
      </w:r>
      <w:r w:rsidRPr="001A15E2">
        <w:t>a</w:t>
      </w:r>
      <w:r w:rsidRPr="001A15E2">
        <w:t>nuari 2006. Handikappombudsmannen (HO) får en mer fristående och granskande roll.</w:t>
      </w:r>
    </w:p>
    <w:p w:rsidR="003B23BA" w:rsidRPr="001A15E2" w:rsidRDefault="003B23BA" w:rsidP="00F904E7">
      <w:r w:rsidRPr="001A15E2">
        <w:t>När nu denna nya myndighet (Handisam) tillkommit är det viktigt att dels belysa samtliga aktörers ansvar, dels belysa hur de ska samverka med va</w:t>
      </w:r>
      <w:r w:rsidRPr="001A15E2">
        <w:t>r</w:t>
      </w:r>
      <w:r w:rsidRPr="001A15E2">
        <w:t>andra. Tillgänglighetsfrågorna bör belysas ytterligare och det är av stor vikt att regeringen har en strategi för hur den i alla utredningar och i allt förfat</w:t>
      </w:r>
      <w:r w:rsidRPr="001A15E2">
        <w:t>t</w:t>
      </w:r>
      <w:r w:rsidRPr="001A15E2">
        <w:t xml:space="preserve">ningsarbete har ett konsekvent förhållningssätt relaterat till diskriminering på grund av funktionshinder. I exempelvis PBL-kommitténs betänkande skrivs inget om funktionshindrade eller ens handikappade, utan endast om personer med tillgänglighetshinder på grund av handikapp (exempelvis blinda eller rullstolsbundna). Det är således viktigt med ett helhetsgrepp inom hela </w:t>
      </w:r>
      <w:r w:rsidR="004438E3" w:rsidRPr="001A15E2">
        <w:t>Rege</w:t>
      </w:r>
      <w:r w:rsidR="004438E3" w:rsidRPr="001A15E2">
        <w:t>r</w:t>
      </w:r>
      <w:r w:rsidR="004438E3" w:rsidRPr="001A15E2">
        <w:t>ingskansliet</w:t>
      </w:r>
      <w:r w:rsidRPr="001A15E2">
        <w:t>.</w:t>
      </w:r>
    </w:p>
    <w:p w:rsidR="003B23BA" w:rsidRPr="001A15E2" w:rsidRDefault="003B23BA" w:rsidP="003B23BA">
      <w:pPr>
        <w:pStyle w:val="Normaltindrag"/>
      </w:pPr>
      <w:r w:rsidRPr="001A15E2">
        <w:t>En grupp bland de funktionshindrade vars stora tillgänglighetsproblem är osynligt dels i samhället i stort</w:t>
      </w:r>
      <w:r w:rsidR="004438E3" w:rsidRPr="001A15E2">
        <w:t>,</w:t>
      </w:r>
      <w:r w:rsidRPr="001A15E2">
        <w:t xml:space="preserve"> dels i lagstiftningen är de elöverkänsliga. Det finns ett behov av elsanerade bostäder och arbetsplatser. Tillgången till o</w:t>
      </w:r>
      <w:r w:rsidRPr="001A15E2">
        <w:t>f</w:t>
      </w:r>
      <w:r w:rsidRPr="001A15E2">
        <w:t>fentliga vårdinrättningar som är elsanerade är dessutom akut. Vi menar att denna grupp behöver ett bättre juridiskt skydd och stärkt ställning för att ku</w:t>
      </w:r>
      <w:r w:rsidRPr="001A15E2">
        <w:t>n</w:t>
      </w:r>
      <w:r w:rsidRPr="001A15E2">
        <w:t>na leva på ett fullvärdigt sätt. Därför bör även denna grupp ingå i arbetet om diskriminering på grund av funktionshinder och deras rättigheter.</w:t>
      </w:r>
    </w:p>
    <w:p w:rsidR="003B23BA" w:rsidRPr="001A15E2" w:rsidRDefault="004438E3" w:rsidP="004438E3">
      <w:pPr>
        <w:pStyle w:val="Rubrik3"/>
      </w:pPr>
      <w:bookmarkStart w:id="24" w:name="_Toc131407930"/>
      <w:bookmarkStart w:id="25" w:name="_Toc131818728"/>
      <w:r w:rsidRPr="001A15E2">
        <w:t xml:space="preserve">Rasism </w:t>
      </w:r>
      <w:r w:rsidR="003B23BA" w:rsidRPr="001A15E2">
        <w:t>och homofobi</w:t>
      </w:r>
      <w:bookmarkEnd w:id="24"/>
      <w:bookmarkEnd w:id="25"/>
    </w:p>
    <w:p w:rsidR="003B23BA" w:rsidRPr="001A15E2" w:rsidRDefault="003B23BA" w:rsidP="00731C20">
      <w:pPr>
        <w:pStyle w:val="Citat"/>
      </w:pPr>
      <w:r w:rsidRPr="001A15E2">
        <w:t>Åtgärd 25: Regeringen har underlättat etablerandet av ett centrum mot rasism för</w:t>
      </w:r>
      <w:r w:rsidR="00731C20" w:rsidRPr="001A15E2">
        <w:t xml:space="preserve"> </w:t>
      </w:r>
      <w:r w:rsidRPr="001A15E2">
        <w:t>att förstärka och komplettera samhällets insatser mot rasism,</w:t>
      </w:r>
      <w:r w:rsidR="00731C20" w:rsidRPr="001A15E2">
        <w:t xml:space="preserve"> </w:t>
      </w:r>
      <w:r w:rsidRPr="001A15E2">
        <w:t>främlingsfientlighet, homofobi och diskriminering. Verksamheten inom Centrum</w:t>
      </w:r>
      <w:r w:rsidR="00731C20" w:rsidRPr="001A15E2">
        <w:t xml:space="preserve"> </w:t>
      </w:r>
      <w:r w:rsidRPr="001A15E2">
        <w:t>mot rasism utvärderas av Integrationsverket under 2006. Inte</w:t>
      </w:r>
      <w:r w:rsidRPr="001A15E2">
        <w:t>g</w:t>
      </w:r>
      <w:r w:rsidRPr="001A15E2">
        <w:t>rationsverket</w:t>
      </w:r>
      <w:r w:rsidR="00731C20" w:rsidRPr="001A15E2">
        <w:t xml:space="preserve"> </w:t>
      </w:r>
      <w:r w:rsidRPr="001A15E2">
        <w:t>kommer att presentera en analys av tillståndet och utvec</w:t>
      </w:r>
      <w:r w:rsidRPr="001A15E2">
        <w:t>k</w:t>
      </w:r>
      <w:r w:rsidRPr="001A15E2">
        <w:t>lingen av rasism och</w:t>
      </w:r>
      <w:r w:rsidR="00731C20" w:rsidRPr="001A15E2">
        <w:t xml:space="preserve"> </w:t>
      </w:r>
      <w:r w:rsidRPr="001A15E2">
        <w:t>främlingsfientlighet 2007. Mot bakgrund av Integr</w:t>
      </w:r>
      <w:r w:rsidRPr="001A15E2">
        <w:t>a</w:t>
      </w:r>
      <w:r w:rsidRPr="001A15E2">
        <w:t>tionsverkets utvärdering och</w:t>
      </w:r>
      <w:r w:rsidR="00731C20" w:rsidRPr="001A15E2">
        <w:t xml:space="preserve"> </w:t>
      </w:r>
      <w:r w:rsidRPr="001A15E2">
        <w:t>analys kommer regeringen att överväga lämpliga åtgärder.</w:t>
      </w:r>
    </w:p>
    <w:p w:rsidR="00731C20" w:rsidRPr="001A15E2" w:rsidRDefault="003B23BA" w:rsidP="004438E3">
      <w:r w:rsidRPr="001A15E2">
        <w:t>Miljöpartiet vill i detta sammanhang rikta uppmärksamheten på det som även Ombudsmannen mot diskriminering på grund av sexuell läggning, HomO, efterfrågat, nämligen att Centrum mot rasism också ska redovisa sitt arbete med alla diskrim</w:t>
      </w:r>
      <w:r w:rsidR="00731C20" w:rsidRPr="001A15E2">
        <w:t>ineringsgrunderna.</w:t>
      </w:r>
    </w:p>
    <w:p w:rsidR="003B23BA" w:rsidRPr="001A15E2" w:rsidRDefault="003B23BA" w:rsidP="00731C20">
      <w:pPr>
        <w:pStyle w:val="Citat"/>
      </w:pPr>
      <w:r w:rsidRPr="001A15E2">
        <w:t>Åtgärd 26: Forum för levande historia utvecklar arbetet mot antisem</w:t>
      </w:r>
      <w:r w:rsidRPr="001A15E2">
        <w:t>i</w:t>
      </w:r>
      <w:r w:rsidRPr="001A15E2">
        <w:t>tism,</w:t>
      </w:r>
      <w:r w:rsidR="00731C20" w:rsidRPr="001A15E2">
        <w:t xml:space="preserve"> </w:t>
      </w:r>
      <w:r w:rsidRPr="001A15E2">
        <w:t>islamofobi och homofobi och genomför fördjupningsstudier om dessa frågor.</w:t>
      </w:r>
    </w:p>
    <w:p w:rsidR="003B23BA" w:rsidRPr="001A15E2" w:rsidRDefault="003B23BA" w:rsidP="004438E3">
      <w:r w:rsidRPr="001A15E2">
        <w:t>Forum för levande historia bör också få ett uppdrag rörande arbete mot ant</w:t>
      </w:r>
      <w:r w:rsidRPr="001A15E2">
        <w:t>i</w:t>
      </w:r>
      <w:r w:rsidRPr="001A15E2">
        <w:t>ziganism och att arbeta för att belysa även till exempel romernas historia. Därtill kommer att även de andra diskrimineringsgrunderna bör belysas i relevanta delar. Exempelvis utsattes även funktionshindrade för enorma öve</w:t>
      </w:r>
      <w:r w:rsidRPr="001A15E2">
        <w:t>r</w:t>
      </w:r>
      <w:r w:rsidRPr="001A15E2">
        <w:t xml:space="preserve">grepp av nazisterna. </w:t>
      </w:r>
    </w:p>
    <w:p w:rsidR="003B23BA" w:rsidRPr="001A15E2" w:rsidRDefault="003B23BA" w:rsidP="00731C20">
      <w:pPr>
        <w:pStyle w:val="Citat"/>
      </w:pPr>
      <w:r w:rsidRPr="001A15E2">
        <w:t>Åtgärd 28: Brottsförebyggande rådet (Brå) har fått i uppdrag att från och med 2006 årligen redovisa statistik över hatbrotten. I denna statistik skall, förutom de uppgifter som Säkerhetspolisen (Säpo) tidigare har r</w:t>
      </w:r>
      <w:r w:rsidRPr="001A15E2">
        <w:t>e</w:t>
      </w:r>
      <w:r w:rsidRPr="001A15E2">
        <w:t>dovisat, även ingå statistik över brott med islamofobiska inslag.</w:t>
      </w:r>
    </w:p>
    <w:p w:rsidR="003B23BA" w:rsidRPr="001A15E2" w:rsidRDefault="003B23BA" w:rsidP="004438E3">
      <w:r w:rsidRPr="001A15E2">
        <w:t>Miljöpartiet vill uppmärksamma att Brottsförebyggande rådet (</w:t>
      </w:r>
      <w:r w:rsidR="004438E3" w:rsidRPr="001A15E2">
        <w:t>Brå</w:t>
      </w:r>
      <w:r w:rsidRPr="001A15E2">
        <w:t>) i r</w:t>
      </w:r>
      <w:r w:rsidRPr="001A15E2">
        <w:t>e</w:t>
      </w:r>
      <w:r w:rsidRPr="001A15E2">
        <w:t>gleringsbrevet för år 2006 har fått ett uppdrag att utveckla tekniken för stat</w:t>
      </w:r>
      <w:r w:rsidRPr="001A15E2">
        <w:t>i</w:t>
      </w:r>
      <w:r w:rsidRPr="001A15E2">
        <w:t>stiken. Detta borde ha redovisats i texten.</w:t>
      </w:r>
    </w:p>
    <w:p w:rsidR="003B23BA" w:rsidRPr="001A15E2" w:rsidRDefault="00731C20" w:rsidP="00731C20">
      <w:pPr>
        <w:pStyle w:val="Rubrik2"/>
      </w:pPr>
      <w:bookmarkStart w:id="26" w:name="_Toc131407931"/>
      <w:bookmarkStart w:id="27" w:name="_Toc131818729"/>
      <w:r w:rsidRPr="001A15E2">
        <w:t>Barnens rättigheter</w:t>
      </w:r>
      <w:bookmarkEnd w:id="26"/>
      <w:bookmarkEnd w:id="27"/>
    </w:p>
    <w:p w:rsidR="003B23BA" w:rsidRPr="001A15E2" w:rsidRDefault="003B23BA" w:rsidP="003B23BA">
      <w:r w:rsidRPr="001A15E2">
        <w:t xml:space="preserve">Regeringen bör överväga att förändra </w:t>
      </w:r>
      <w:r w:rsidR="004438E3" w:rsidRPr="001A15E2">
        <w:t>Barnombudsmannens uppdrag till att även avse mer</w:t>
      </w:r>
      <w:r w:rsidRPr="001A15E2">
        <w:t xml:space="preserve"> konkret hjälp till barn på samma sätt som övriga ombudsmän har inom sina tillsynsområden. Detta stämmer överens med texten i kartläg</w:t>
      </w:r>
      <w:r w:rsidRPr="001A15E2">
        <w:t>g</w:t>
      </w:r>
      <w:r w:rsidRPr="001A15E2">
        <w:t xml:space="preserve">ningsdelen. </w:t>
      </w:r>
    </w:p>
    <w:p w:rsidR="003B23BA" w:rsidRPr="001A15E2" w:rsidRDefault="003B23BA" w:rsidP="00731C20">
      <w:pPr>
        <w:pStyle w:val="Normaltindrag"/>
      </w:pPr>
      <w:r w:rsidRPr="001A15E2">
        <w:t>Miljöpartiet anser att FN:s konvention om barnets rättigheter ska införlivas i svensk lagstiftning.</w:t>
      </w:r>
    </w:p>
    <w:p w:rsidR="003B23BA" w:rsidRPr="001A15E2" w:rsidRDefault="003B23BA" w:rsidP="00731C20">
      <w:pPr>
        <w:pStyle w:val="Citat"/>
      </w:pPr>
      <w:r w:rsidRPr="001A15E2">
        <w:t>Åtgärd 33: Regeringskansliet skall fortsätta sitt samarbete med det ko</w:t>
      </w:r>
      <w:r w:rsidRPr="001A15E2">
        <w:t>m</w:t>
      </w:r>
      <w:r w:rsidRPr="001A15E2">
        <w:t>munala partnerskapet och med landstingens nätverk för barnkonventi</w:t>
      </w:r>
      <w:r w:rsidRPr="001A15E2">
        <w:t>o</w:t>
      </w:r>
      <w:r w:rsidRPr="001A15E2">
        <w:t>nen.</w:t>
      </w:r>
    </w:p>
    <w:p w:rsidR="003B23BA" w:rsidRPr="001A15E2" w:rsidRDefault="003B23BA" w:rsidP="004438E3">
      <w:r w:rsidRPr="001A15E2">
        <w:t xml:space="preserve">I åtgärdsförslaget skriver man att </w:t>
      </w:r>
      <w:r w:rsidR="0033382F" w:rsidRPr="001A15E2">
        <w:t>”</w:t>
      </w:r>
      <w:r w:rsidRPr="001A15E2">
        <w:t>Regeringskansliet skall fortsätta samarbetet</w:t>
      </w:r>
      <w:r w:rsidR="004438E3" w:rsidRPr="001A15E2">
        <w:t xml:space="preserve"> …</w:t>
      </w:r>
      <w:r w:rsidR="0033382F" w:rsidRPr="001A15E2">
        <w:t>”</w:t>
      </w:r>
      <w:r w:rsidR="00A45979" w:rsidRPr="001A15E2">
        <w:t xml:space="preserve">. </w:t>
      </w:r>
      <w:r w:rsidRPr="001A15E2">
        <w:t xml:space="preserve">Detta är för svagt och visionslöst. Miljöpartiet önskar att skrivningen hade varit starkare, tydligare och med en klar vision för framtiden. Det vore bättre om samarbetet syftade till att vidareutvecklas och att det nödvändiga arbetet med införlivandet av barnkonventionen i Sveriges kommuner och landsting intensifieras. </w:t>
      </w:r>
    </w:p>
    <w:p w:rsidR="003B23BA" w:rsidRPr="001A15E2" w:rsidRDefault="003B23BA" w:rsidP="00731C20">
      <w:pPr>
        <w:pStyle w:val="Rubrik2"/>
      </w:pPr>
      <w:bookmarkStart w:id="28" w:name="_Toc131407932"/>
      <w:bookmarkStart w:id="29" w:name="_Toc131818730"/>
      <w:r w:rsidRPr="001A15E2">
        <w:t>Nationella minoriteter och urfolk</w:t>
      </w:r>
      <w:bookmarkEnd w:id="28"/>
      <w:bookmarkEnd w:id="29"/>
    </w:p>
    <w:p w:rsidR="003B23BA" w:rsidRPr="001A15E2" w:rsidRDefault="003B23BA" w:rsidP="00731C20">
      <w:pPr>
        <w:pStyle w:val="Citat"/>
      </w:pPr>
      <w:r w:rsidRPr="001A15E2">
        <w:t>Åtgärd 36: Utvidgning av det finska respektive samiska förvaltningso</w:t>
      </w:r>
      <w:r w:rsidRPr="001A15E2">
        <w:t>m</w:t>
      </w:r>
      <w:r w:rsidRPr="001A15E2">
        <w:t>rådet</w:t>
      </w:r>
      <w:r w:rsidR="004438E3" w:rsidRPr="001A15E2">
        <w:t>.</w:t>
      </w:r>
      <w:r w:rsidR="00731C20" w:rsidRPr="001A15E2">
        <w:t xml:space="preserve"> </w:t>
      </w:r>
      <w:r w:rsidRPr="001A15E2">
        <w:t>I maj 2005 överlämnade en särskild utredare till regeringen ett de</w:t>
      </w:r>
      <w:r w:rsidRPr="001A15E2">
        <w:t>l</w:t>
      </w:r>
      <w:r w:rsidRPr="001A15E2">
        <w:t>betänkande med förslag rörande en utvidgning av det språkliga förval</w:t>
      </w:r>
      <w:r w:rsidRPr="001A15E2">
        <w:t>t</w:t>
      </w:r>
      <w:r w:rsidRPr="001A15E2">
        <w:t>ningsområdet för finska. Delbetänkandet har remissbehandlats. Samma utredare överlämnade i februari 2006 ett slutbetänkande med förslag a</w:t>
      </w:r>
      <w:r w:rsidRPr="001A15E2">
        <w:t>v</w:t>
      </w:r>
      <w:r w:rsidRPr="001A15E2">
        <w:t>seende bland annat det språkliga förvaltningsområdet för samiska. Efter</w:t>
      </w:r>
      <w:r w:rsidR="00731C20" w:rsidRPr="001A15E2">
        <w:t xml:space="preserve"> </w:t>
      </w:r>
      <w:r w:rsidRPr="001A15E2">
        <w:t>remissbehandling av slutbetänkandet under våren 2006 avser regeringen att återkomma till riksdagen om förslagen i de båda betänkandena.</w:t>
      </w:r>
    </w:p>
    <w:p w:rsidR="003B23BA" w:rsidRPr="001A15E2" w:rsidRDefault="003B23BA" w:rsidP="004438E3">
      <w:r w:rsidRPr="001A15E2">
        <w:t xml:space="preserve">Miljöpartiet anser att det borde övervägas om inte andra förvaltningsområden också skulle kunna införas, exempelvis i Trollhättan och Göteborg som har en stor finsk population. </w:t>
      </w:r>
    </w:p>
    <w:p w:rsidR="003B23BA" w:rsidRPr="001A15E2" w:rsidRDefault="003B23BA" w:rsidP="0033382F">
      <w:pPr>
        <w:pStyle w:val="Rubrik3"/>
      </w:pPr>
      <w:bookmarkStart w:id="30" w:name="_Toc131407933"/>
      <w:bookmarkStart w:id="31" w:name="_Toc131818731"/>
      <w:r w:rsidRPr="001A15E2">
        <w:t>Urfolket samerna</w:t>
      </w:r>
      <w:bookmarkEnd w:id="30"/>
      <w:bookmarkEnd w:id="31"/>
      <w:r w:rsidRPr="001A15E2">
        <w:t xml:space="preserve"> </w:t>
      </w:r>
    </w:p>
    <w:p w:rsidR="003B23BA" w:rsidRPr="001A15E2" w:rsidRDefault="003B23BA" w:rsidP="00731C20">
      <w:pPr>
        <w:pStyle w:val="Citat"/>
      </w:pPr>
      <w:r w:rsidRPr="001A15E2">
        <w:t>Åtgärd 41: Regeringens ambition är att Sverige skall ratificera ILO:s konvention (nr 169) om ursprungsfolk och stamfolk i självstyrande lä</w:t>
      </w:r>
      <w:r w:rsidRPr="001A15E2">
        <w:t>n</w:t>
      </w:r>
      <w:r w:rsidRPr="001A15E2">
        <w:t>der så snart det låter sig göras.</w:t>
      </w:r>
    </w:p>
    <w:p w:rsidR="003B23BA" w:rsidRPr="001A15E2" w:rsidRDefault="003B23BA" w:rsidP="0033382F">
      <w:r w:rsidRPr="001A15E2">
        <w:t>Det är nu 15 år sedan ILO:s konvention 169 trädde i kraft. Såväl Norge som Danmark, båda länder med urs</w:t>
      </w:r>
      <w:r w:rsidR="0033382F" w:rsidRPr="001A15E2">
        <w:t>p</w:t>
      </w:r>
      <w:r w:rsidRPr="001A15E2">
        <w:t>rungsfolk, har anslutit sig till konventionen. I Sverige tillsattes 1997 en särskilt utredare i frågan, som i sitt betänkande menade att Sverige då uppfyllde konventionens krav i de flesta avseenden och även bedömde vilka åtgärder som måste vidtas och vilka regler som måste ändras för att Sverige skulle nå upp till kraven. Utredaren bedömde, såsom anges i skrivelsen, att denna process skulle ta fem år. Denna tidsperiod har nu förflutit med råge. Frågan har dessutom därefter varit för</w:t>
      </w:r>
      <w:r w:rsidR="00731C20" w:rsidRPr="001A15E2">
        <w:t>emål för ytterligare utredande.</w:t>
      </w:r>
    </w:p>
    <w:p w:rsidR="003B23BA" w:rsidRPr="001A15E2" w:rsidRDefault="003B23BA" w:rsidP="00731C20">
      <w:pPr>
        <w:pStyle w:val="Normaltindrag"/>
      </w:pPr>
      <w:r w:rsidRPr="001A15E2">
        <w:t>Vi menar att det inte finns någon anledning att vänta ytterligare. I</w:t>
      </w:r>
      <w:r w:rsidR="0033382F" w:rsidRPr="001A15E2">
        <w:t xml:space="preserve"> </w:t>
      </w:r>
      <w:r w:rsidRPr="001A15E2">
        <w:t>stället för att i vaga ordalag och av oklara skäl ännu en gång skjuta frågan på framt</w:t>
      </w:r>
      <w:r w:rsidRPr="001A15E2">
        <w:t>i</w:t>
      </w:r>
      <w:r w:rsidRPr="001A15E2">
        <w:t>den borde regeringen snarast ratificera ILO:s konvention 169. Som ett land som värnar minoriteter och ursprungsfolk är det närmast genant att Sverige ännu inte ratificerat den konvention som har stor betydelse för vårt eget u</w:t>
      </w:r>
      <w:r w:rsidRPr="001A15E2">
        <w:t>r</w:t>
      </w:r>
      <w:r w:rsidRPr="001A15E2">
        <w:t>sprungsfolk, samerna. Miljöpartiet menar att åtgärden borde haft lydelsen a</w:t>
      </w:r>
      <w:r w:rsidR="0033382F" w:rsidRPr="001A15E2">
        <w:t>tt Sverige ska ratificera ILO</w:t>
      </w:r>
      <w:r w:rsidRPr="001A15E2">
        <w:t>:s konvention 169. Regeringens ambition bör därför vara att under nästa mandatperiod ratificera konventionen. Detta menar vi borde ha förts in som förslag i skrivelsen.</w:t>
      </w:r>
    </w:p>
    <w:p w:rsidR="003B23BA" w:rsidRPr="001A15E2" w:rsidRDefault="003B23BA" w:rsidP="0033382F">
      <w:pPr>
        <w:pStyle w:val="Rubrik3"/>
      </w:pPr>
      <w:bookmarkStart w:id="32" w:name="_Toc131407934"/>
      <w:bookmarkStart w:id="33" w:name="_Toc131818732"/>
      <w:r w:rsidRPr="001A15E2">
        <w:t>Rätten till arbete</w:t>
      </w:r>
      <w:bookmarkEnd w:id="32"/>
      <w:bookmarkEnd w:id="33"/>
    </w:p>
    <w:p w:rsidR="003B23BA" w:rsidRPr="001A15E2" w:rsidRDefault="003B23BA" w:rsidP="00731C20">
      <w:pPr>
        <w:pStyle w:val="Citat"/>
      </w:pPr>
      <w:r w:rsidRPr="001A15E2">
        <w:t>Åtgärd 46</w:t>
      </w:r>
      <w:r w:rsidR="0033382F" w:rsidRPr="001A15E2">
        <w:t>:</w:t>
      </w:r>
      <w:r w:rsidRPr="001A15E2">
        <w:t xml:space="preserve"> Sverige kommer att införa förbud mot diskriminering på grund av ålder i arbetslivet.</w:t>
      </w:r>
    </w:p>
    <w:p w:rsidR="003B23BA" w:rsidRPr="001A15E2" w:rsidRDefault="003B23BA" w:rsidP="0033382F">
      <w:r w:rsidRPr="001A15E2">
        <w:t>Miljöpartiet menar att förbudet inte bara bör omfatta arbetslivet utan även hälso- och sjukvård, socialtjäns</w:t>
      </w:r>
      <w:r w:rsidR="00731C20" w:rsidRPr="001A15E2">
        <w:t>t, socialförsäkringar med mera.</w:t>
      </w:r>
    </w:p>
    <w:p w:rsidR="003B23BA" w:rsidRPr="001A15E2" w:rsidRDefault="003B23BA" w:rsidP="00731C20">
      <w:pPr>
        <w:pStyle w:val="Citat"/>
      </w:pPr>
      <w:r w:rsidRPr="001A15E2">
        <w:t>Åtgärd 48</w:t>
      </w:r>
      <w:r w:rsidR="0033382F" w:rsidRPr="001A15E2">
        <w:t>:</w:t>
      </w:r>
      <w:r w:rsidRPr="001A15E2">
        <w:t xml:space="preserve"> Regeringen avser att fortsätta att genom regleringsbreven för lärosäten sätta rekryteringsmål avseende professorer i syfte att utjämna fördelningen mellan könen.</w:t>
      </w:r>
    </w:p>
    <w:p w:rsidR="003B23BA" w:rsidRPr="001A15E2" w:rsidRDefault="003B23BA" w:rsidP="0033382F">
      <w:r w:rsidRPr="001A15E2">
        <w:t xml:space="preserve">Miljöpartiet anser att det är bra att detta problem uppmärksammas, men vi vill också att man i detta sammanhang belyser vikten av förbättrad representation för det underrepresenterade könet och inte bara ser detta som en fråga om förbättrad kvinnlig representation. </w:t>
      </w:r>
    </w:p>
    <w:p w:rsidR="003B23BA" w:rsidRPr="001A15E2" w:rsidRDefault="003B23BA" w:rsidP="0033382F">
      <w:pPr>
        <w:pStyle w:val="Rubrik3"/>
      </w:pPr>
      <w:bookmarkStart w:id="34" w:name="_Toc131407935"/>
      <w:bookmarkStart w:id="35" w:name="_Toc131818733"/>
      <w:r w:rsidRPr="001A15E2">
        <w:t>Rätten till bostad</w:t>
      </w:r>
      <w:bookmarkEnd w:id="34"/>
      <w:bookmarkEnd w:id="35"/>
    </w:p>
    <w:p w:rsidR="003B23BA" w:rsidRPr="001A15E2" w:rsidRDefault="003B23BA" w:rsidP="00731C20">
      <w:pPr>
        <w:pStyle w:val="Citat"/>
      </w:pPr>
      <w:r w:rsidRPr="001A15E2">
        <w:t>Åtgärd 51: Regeringen gav 2005 Socialstyrelsen i uppdrag att fördela 30 miljoner kronor under tre år till lokala hemlöshetsprojekt samt att geno</w:t>
      </w:r>
      <w:r w:rsidRPr="001A15E2">
        <w:t>m</w:t>
      </w:r>
      <w:r w:rsidRPr="001A15E2">
        <w:t>föra nationella kartläggningar av hemlösheten i landet. Socialstyrelsen genomför nationella kartläggningar av hemlöshetens omfattning 2005 och 2007.</w:t>
      </w:r>
    </w:p>
    <w:p w:rsidR="003B23BA" w:rsidRPr="001A15E2" w:rsidRDefault="003B23BA" w:rsidP="0033382F">
      <w:r w:rsidRPr="001A15E2">
        <w:t xml:space="preserve">I texten saknar </w:t>
      </w:r>
      <w:r w:rsidR="0033382F" w:rsidRPr="001A15E2">
        <w:t xml:space="preserve">Miljöpartiet </w:t>
      </w:r>
      <w:r w:rsidRPr="001A15E2">
        <w:t xml:space="preserve">gruppen </w:t>
      </w:r>
      <w:r w:rsidR="0033382F" w:rsidRPr="001A15E2">
        <w:t>”</w:t>
      </w:r>
      <w:r w:rsidRPr="001A15E2">
        <w:t>unga hemlösa</w:t>
      </w:r>
      <w:r w:rsidR="0033382F" w:rsidRPr="001A15E2">
        <w:t>”</w:t>
      </w:r>
      <w:r w:rsidRPr="001A15E2">
        <w:t>, dessa borde också o</w:t>
      </w:r>
      <w:r w:rsidRPr="001A15E2">
        <w:t>m</w:t>
      </w:r>
      <w:r w:rsidRPr="001A15E2">
        <w:t xml:space="preserve">fattas. Vi saknar också en definition på begreppet </w:t>
      </w:r>
      <w:r w:rsidR="0033382F" w:rsidRPr="001A15E2">
        <w:t>”</w:t>
      </w:r>
      <w:r w:rsidRPr="001A15E2">
        <w:t>hemlösa</w:t>
      </w:r>
      <w:r w:rsidR="0033382F" w:rsidRPr="001A15E2">
        <w:t>”</w:t>
      </w:r>
      <w:r w:rsidRPr="001A15E2">
        <w:t>. Socialstyrelsen har en bred definition av hemlös, som borde kunna tillämpas här, det vill säga att med hemlös menas i princip alla som inte har en egen bostad och som önskar eller behöver det.</w:t>
      </w:r>
    </w:p>
    <w:p w:rsidR="003B23BA" w:rsidRPr="001A15E2" w:rsidRDefault="003B23BA" w:rsidP="00731C20">
      <w:pPr>
        <w:pStyle w:val="Normaltindrag"/>
      </w:pPr>
      <w:r w:rsidRPr="001A15E2">
        <w:t>Även gruppen elöverkänsliga är i behov av elsanerade bostäder. Expon</w:t>
      </w:r>
      <w:r w:rsidRPr="001A15E2">
        <w:t>e</w:t>
      </w:r>
      <w:r w:rsidRPr="001A15E2">
        <w:t>ringen av strålning och kraftfält gör att elöverkänsliga till och med tvingas ut till boende i torp</w:t>
      </w:r>
      <w:r w:rsidR="0033382F" w:rsidRPr="001A15E2">
        <w:t xml:space="preserve"> eller</w:t>
      </w:r>
      <w:r w:rsidRPr="001A15E2">
        <w:t xml:space="preserve"> husvagnar i skogen vid akuta skeden av sjukdomen. Rätt till bostad bör även omfatta personer med elöverkänslighet.</w:t>
      </w:r>
    </w:p>
    <w:p w:rsidR="003B23BA" w:rsidRPr="001A15E2" w:rsidRDefault="003B23BA" w:rsidP="0033382F">
      <w:pPr>
        <w:pStyle w:val="Rubrik3"/>
      </w:pPr>
      <w:bookmarkStart w:id="36" w:name="_Toc131407936"/>
      <w:bookmarkStart w:id="37" w:name="_Toc131818734"/>
      <w:r w:rsidRPr="001A15E2">
        <w:t>Rätten till bästa uppnåeliga hälsa</w:t>
      </w:r>
      <w:bookmarkEnd w:id="36"/>
      <w:bookmarkEnd w:id="37"/>
    </w:p>
    <w:p w:rsidR="003B23BA" w:rsidRPr="001A15E2" w:rsidRDefault="003B23BA" w:rsidP="00731C20">
      <w:pPr>
        <w:pStyle w:val="Citat"/>
      </w:pPr>
      <w:r w:rsidRPr="001A15E2">
        <w:t>Åtgärd 55: Regeringe</w:t>
      </w:r>
      <w:r w:rsidR="0033382F" w:rsidRPr="001A15E2">
        <w:t>n avser att under perioden 2006–</w:t>
      </w:r>
      <w:r w:rsidRPr="001A15E2">
        <w:t>2009 vidta åtgä</w:t>
      </w:r>
      <w:r w:rsidRPr="001A15E2">
        <w:t>r</w:t>
      </w:r>
      <w:r w:rsidRPr="001A15E2">
        <w:t>der för att motverka skillnader på grund av kön, etnisk tillhörighet, rel</w:t>
      </w:r>
      <w:r w:rsidRPr="001A15E2">
        <w:t>i</w:t>
      </w:r>
      <w:r w:rsidRPr="001A15E2">
        <w:t>gion eller annan trosuppfattning, sexuell läggning eller funktionshinder när det gäller kvalitet och tillgång till hälso- och sjukvård.</w:t>
      </w:r>
    </w:p>
    <w:p w:rsidR="003B23BA" w:rsidRPr="001A15E2" w:rsidRDefault="003B23BA" w:rsidP="0033382F">
      <w:r w:rsidRPr="001A15E2">
        <w:t>Miljöpartiet saknar i detta sammanhang skrivningar kring rätten till insemin</w:t>
      </w:r>
      <w:r w:rsidRPr="001A15E2">
        <w:t>a</w:t>
      </w:r>
      <w:r w:rsidRPr="001A15E2">
        <w:t xml:space="preserve">tion och det utredningsarbete som nu pågår inom </w:t>
      </w:r>
      <w:r w:rsidR="0033382F" w:rsidRPr="001A15E2">
        <w:t>Regeringskansliet</w:t>
      </w:r>
      <w:r w:rsidRPr="001A15E2">
        <w:t>.</w:t>
      </w:r>
    </w:p>
    <w:p w:rsidR="003B23BA" w:rsidRPr="001A15E2" w:rsidRDefault="003B23BA" w:rsidP="00731C20">
      <w:pPr>
        <w:pStyle w:val="Normaltindrag"/>
      </w:pPr>
      <w:r w:rsidRPr="001A15E2">
        <w:t>Miljöpartiet beklagar att skrivelsen inte innehåller några förslag kring gömda flyktingar och papperslösa migranter som inte sökt asyl, personer som anser sig ha flyktingskäl men som ej söker asyl samt kvinnor som är offer för trafficking. Deras rätt till och behov av hälso- och sjukvård måste säkras. Enligt Läkare Utan Gränser händer det att personer från dessa grupper nekas vård med hänvisning till gällande regelverk, även då det är uppenbart att personen några veckor eller månader senare med största sannolikhet kommer att hamna på någon akutvård</w:t>
      </w:r>
      <w:r w:rsidR="0033382F" w:rsidRPr="001A15E2">
        <w:t>s</w:t>
      </w:r>
      <w:r w:rsidRPr="001A15E2">
        <w:t>mottagning i ett livshotande tillstånd. Regelve</w:t>
      </w:r>
      <w:r w:rsidRPr="001A15E2">
        <w:t>r</w:t>
      </w:r>
      <w:r w:rsidRPr="001A15E2">
        <w:t>ket medför också att gömda vuxna ej får tillgång till primärvård, att gravida ej får tillgång till mödravård och att livsnödvändiga mediciner</w:t>
      </w:r>
      <w:r w:rsidR="00731C20" w:rsidRPr="001A15E2">
        <w:t xml:space="preserve"> förblir helt osu</w:t>
      </w:r>
      <w:r w:rsidR="00731C20" w:rsidRPr="001A15E2">
        <w:t>b</w:t>
      </w:r>
      <w:r w:rsidR="00731C20" w:rsidRPr="001A15E2">
        <w:t>ventionerade.</w:t>
      </w:r>
    </w:p>
    <w:p w:rsidR="003B23BA" w:rsidRPr="001A15E2" w:rsidRDefault="003B23BA" w:rsidP="00731C20">
      <w:pPr>
        <w:pStyle w:val="Normaltindrag"/>
      </w:pPr>
      <w:r w:rsidRPr="001A15E2">
        <w:t>Det är också av stor vikt att de administrativa hindren för gömda flyktingar att få vård undanröjs. Ett mycket stort hinder för gömda att få tillgång till vård är deras egen rädsla att bli anmälda till någon myndighet. Många som arbetar inom sjukvården tror också att det är olagligt att behandla gömda flyktingar och att det kan leda till att de exempelvis förlorar sin egen yrkeslegitimation. Det finns också de som tror att man inte får ta emot patienter som saknar giltig ID-handling eller att det då endast kan ske mot förskotts</w:t>
      </w:r>
      <w:r w:rsidR="00731C20" w:rsidRPr="001A15E2">
        <w:softHyphen/>
      </w:r>
      <w:r w:rsidRPr="001A15E2">
        <w:t xml:space="preserve">betalning. Det har också hänt att sekretessen brutits och vårdpersonal har kontaktat polis eller migrationsmyndigheterna. Miljöpartiet menar dels att gömda flyktingar och asylsökande ska få tillgång till vård och mediciner på samma villkor som svenska medborgare, dels att andra exkluderade samhällsgrupper som ej ingår i gruppen </w:t>
      </w:r>
      <w:r w:rsidR="0033382F" w:rsidRPr="001A15E2">
        <w:t>”</w:t>
      </w:r>
      <w:r w:rsidRPr="001A15E2">
        <w:t>gömda flyktingar</w:t>
      </w:r>
      <w:r w:rsidR="0033382F" w:rsidRPr="001A15E2">
        <w:t>”</w:t>
      </w:r>
      <w:r w:rsidRPr="001A15E2">
        <w:t xml:space="preserve"> ges tillgång till subventionerad vård och med</w:t>
      </w:r>
      <w:r w:rsidRPr="001A15E2">
        <w:t>i</w:t>
      </w:r>
      <w:r w:rsidRPr="001A15E2">
        <w:t>ciner.</w:t>
      </w:r>
    </w:p>
    <w:p w:rsidR="003B23BA" w:rsidRPr="001A15E2" w:rsidRDefault="003B23BA" w:rsidP="00731C20">
      <w:pPr>
        <w:pStyle w:val="Normaltindrag"/>
      </w:pPr>
      <w:r w:rsidRPr="001A15E2">
        <w:t>Vi saknar även i skrivelsen en redovisning av det arbete som pågår mot könsstympning och vilka planer som finns angående det inför framtiden.</w:t>
      </w:r>
    </w:p>
    <w:p w:rsidR="003B23BA" w:rsidRPr="001A15E2" w:rsidRDefault="003B23BA" w:rsidP="00731C20">
      <w:pPr>
        <w:pStyle w:val="Normaltindrag"/>
      </w:pPr>
      <w:r w:rsidRPr="001A15E2">
        <w:t>Miljöpartiet ser också ett behov av elsanerade sjukhus för att personer med elöverkänslighet ska ha möjlighet att söka vård. De har rätt att kunna få vård på lika villkor som andra medborgare i landet. I skrivelsen saknas det över</w:t>
      </w:r>
      <w:r w:rsidR="0033382F" w:rsidRPr="001A15E2">
        <w:t xml:space="preserve"> </w:t>
      </w:r>
      <w:r w:rsidRPr="001A15E2">
        <w:t>huvud</w:t>
      </w:r>
      <w:r w:rsidR="0033382F" w:rsidRPr="001A15E2">
        <w:t xml:space="preserve"> </w:t>
      </w:r>
      <w:r w:rsidRPr="001A15E2">
        <w:t>taget text, politik och förslag krin</w:t>
      </w:r>
      <w:r w:rsidR="00870337" w:rsidRPr="001A15E2">
        <w:t>g de elöverkänsligas situation.</w:t>
      </w:r>
    </w:p>
    <w:p w:rsidR="003B23BA" w:rsidRPr="001A15E2" w:rsidRDefault="003B23BA" w:rsidP="0033382F">
      <w:pPr>
        <w:pStyle w:val="Rubrik3"/>
      </w:pPr>
      <w:bookmarkStart w:id="38" w:name="_Toc131407937"/>
      <w:bookmarkStart w:id="39" w:name="_Toc131818735"/>
      <w:r w:rsidRPr="001A15E2">
        <w:t>Rätten till utbildning</w:t>
      </w:r>
      <w:bookmarkEnd w:id="38"/>
      <w:bookmarkEnd w:id="39"/>
    </w:p>
    <w:p w:rsidR="003B23BA" w:rsidRPr="001A15E2" w:rsidRDefault="003B23BA" w:rsidP="00731C20">
      <w:pPr>
        <w:pStyle w:val="Citat"/>
      </w:pPr>
      <w:r w:rsidRPr="001A15E2">
        <w:t>Åtgärd 58: Regeringen har 2005 givit Statens skolverk i uppdrag att se över ett urval av läroböcker och då särskilt uppmärksamma eventuella u</w:t>
      </w:r>
      <w:r w:rsidRPr="001A15E2">
        <w:t>t</w:t>
      </w:r>
      <w:r w:rsidRPr="001A15E2">
        <w:t>tryck för diskriminering eller andra former av kränkningar. Uppdraget skall redovisas senast den 31 december 2006. Regeringen avser att öve</w:t>
      </w:r>
      <w:r w:rsidRPr="001A15E2">
        <w:t>r</w:t>
      </w:r>
      <w:r w:rsidRPr="001A15E2">
        <w:t>väga behovet av åtgärder med anledning av de resultat som presenteras i rapporten.</w:t>
      </w:r>
    </w:p>
    <w:p w:rsidR="003B23BA" w:rsidRPr="001A15E2" w:rsidRDefault="003B23BA" w:rsidP="0033382F">
      <w:r w:rsidRPr="001A15E2">
        <w:t>Miljöpartiet vill i sammanhanget förtydliga att uppdraget att se över ett urval av läroböcker ur ett diskrimineringsperspektiv avser ämnena biologi, historia, religion och samhällskunskap. Det kan i framtiden bli behövligt att utreda även andra ämnen</w:t>
      </w:r>
      <w:r w:rsidR="00A45979" w:rsidRPr="001A15E2">
        <w:t>,</w:t>
      </w:r>
      <w:r w:rsidRPr="001A15E2">
        <w:t xml:space="preserve"> exempelvis svenska och matematik, liksom att förbättra lärarnas utbildning i dessa hänseenden. </w:t>
      </w:r>
    </w:p>
    <w:p w:rsidR="003B23BA" w:rsidRPr="001A15E2" w:rsidRDefault="003B23BA" w:rsidP="00731C20">
      <w:pPr>
        <w:pStyle w:val="Citat"/>
      </w:pPr>
      <w:r w:rsidRPr="001A15E2">
        <w:t>Åtgärd 62</w:t>
      </w:r>
      <w:r w:rsidR="0033382F" w:rsidRPr="001A15E2">
        <w:t>:</w:t>
      </w:r>
      <w:r w:rsidRPr="001A15E2">
        <w:t xml:space="preserve"> Regeringen fortsätter att prioritera arbetet med breddad rekr</w:t>
      </w:r>
      <w:r w:rsidRPr="001A15E2">
        <w:t>y</w:t>
      </w:r>
      <w:r w:rsidRPr="001A15E2">
        <w:t>tering till högskolan och har därför i januari 2006 utvidgat uppgifterna för Myndigheten för Sveriges nätuniversitet, som samtidigt bytt namn till Myndigheten för nätverk och samarbete inom högskolan.</w:t>
      </w:r>
    </w:p>
    <w:p w:rsidR="003B23BA" w:rsidRPr="001A15E2" w:rsidRDefault="003B23BA" w:rsidP="0033382F">
      <w:r w:rsidRPr="001A15E2">
        <w:t xml:space="preserve">Miljöpartiet saknar en plan för </w:t>
      </w:r>
      <w:r w:rsidR="0033382F" w:rsidRPr="001A15E2">
        <w:t>hur</w:t>
      </w:r>
      <w:r w:rsidRPr="001A15E2">
        <w:t xml:space="preserve"> den breddade rekryteringen ska kunna genomföras</w:t>
      </w:r>
      <w:r w:rsidR="0033382F" w:rsidRPr="001A15E2">
        <w:t>,</w:t>
      </w:r>
      <w:r w:rsidRPr="001A15E2">
        <w:t xml:space="preserve"> exempelvis i förhållande till romer, som ofta vare sig har tillgång till datorer elle</w:t>
      </w:r>
      <w:r w:rsidR="0033382F" w:rsidRPr="001A15E2">
        <w:t>r ha</w:t>
      </w:r>
      <w:r w:rsidRPr="001A15E2">
        <w:t>r</w:t>
      </w:r>
      <w:r w:rsidR="0033382F" w:rsidRPr="001A15E2">
        <w:t xml:space="preserve"> genom</w:t>
      </w:r>
      <w:r w:rsidRPr="001A15E2">
        <w:t>gått gymnasiet. De åtgärder som föreslås är långt ifrån tillfredsställande. Regeringen bör återkomma med ytterl</w:t>
      </w:r>
      <w:r w:rsidR="0033382F" w:rsidRPr="001A15E2">
        <w:t>igare förslag på hur detta ska</w:t>
      </w:r>
      <w:r w:rsidRPr="001A15E2">
        <w:t xml:space="preserve"> åtgärdas.</w:t>
      </w:r>
    </w:p>
    <w:p w:rsidR="003B23BA" w:rsidRPr="001A15E2" w:rsidRDefault="003B23BA" w:rsidP="0033382F">
      <w:pPr>
        <w:pStyle w:val="Rubrik3"/>
      </w:pPr>
      <w:bookmarkStart w:id="40" w:name="_Toc131407938"/>
      <w:bookmarkStart w:id="41" w:name="_Toc131818736"/>
      <w:r w:rsidRPr="001A15E2">
        <w:t>Åtgärder inom området mäns våld mot kvinnor</w:t>
      </w:r>
      <w:bookmarkEnd w:id="40"/>
      <w:bookmarkEnd w:id="41"/>
    </w:p>
    <w:p w:rsidR="003B23BA" w:rsidRPr="001A15E2" w:rsidRDefault="003B23BA" w:rsidP="003B23BA">
      <w:r w:rsidRPr="001A15E2">
        <w:t>Miljöpartiet saknar resonemang kring våld inom samkönade relationer. Till exempel förekommer det våld även inom lesbiska relationer av liknande slag som inom heterosexuella relationer och med samma maktförtryck. Vi menar att dessa grupper också måste få adekvat hjälp och stöd för att bryta ett neg</w:t>
      </w:r>
      <w:r w:rsidRPr="001A15E2">
        <w:t>a</w:t>
      </w:r>
      <w:r w:rsidRPr="001A15E2">
        <w:t xml:space="preserve">tivt vålds- och maktbeteende. </w:t>
      </w:r>
    </w:p>
    <w:p w:rsidR="003B23BA" w:rsidRPr="001A15E2" w:rsidRDefault="003B23BA" w:rsidP="00731C20">
      <w:pPr>
        <w:pStyle w:val="Normaltindrag"/>
      </w:pPr>
      <w:r w:rsidRPr="001A15E2">
        <w:t>Vi saknar även analys, förslag och resonemang kring mannens roll i detta sammanhang. Våldet mot kvinnor och barn är främst mäns ansvar och det är männen som måste förändra sina beteenden. Professionella mansmottagningar finns i</w:t>
      </w:r>
      <w:r w:rsidR="0033382F" w:rsidRPr="001A15E2">
        <w:t xml:space="preserve"> </w:t>
      </w:r>
      <w:r w:rsidRPr="001A15E2">
        <w:t>dag enbart på några få platser i landet. Vid de mansmottagningar som finns ser vi en stadig ökning av män som söker hjälp fö</w:t>
      </w:r>
      <w:r w:rsidR="00731C20" w:rsidRPr="001A15E2">
        <w:t>r sin våldsproblematik.</w:t>
      </w:r>
    </w:p>
    <w:p w:rsidR="003B23BA" w:rsidRPr="001A15E2" w:rsidRDefault="003B23BA" w:rsidP="00731C20">
      <w:pPr>
        <w:pStyle w:val="Normaltindrag"/>
      </w:pPr>
      <w:r w:rsidRPr="001A15E2">
        <w:t>Miljöpartiet anser att det är viktigt att på individplan möta de män som s</w:t>
      </w:r>
      <w:r w:rsidRPr="001A15E2">
        <w:t>ö</w:t>
      </w:r>
      <w:r w:rsidRPr="001A15E2">
        <w:t>ker hjälp för sitt våldsbeteende och att det finns professionell hjälp för dessa män att tillgå i hela landet. Därför behövs satsningar på professionella kr</w:t>
      </w:r>
      <w:r w:rsidR="00A45979" w:rsidRPr="001A15E2">
        <w:t>i</w:t>
      </w:r>
      <w:r w:rsidR="00A45979" w:rsidRPr="001A15E2">
        <w:t>s</w:t>
      </w:r>
      <w:r w:rsidRPr="001A15E2">
        <w:t>centr</w:t>
      </w:r>
      <w:r w:rsidR="0033382F" w:rsidRPr="001A15E2">
        <w:t>um</w:t>
      </w:r>
      <w:r w:rsidRPr="001A15E2">
        <w:t xml:space="preserve"> och mansmottagningar. Alla män dömda för kvinnofridsbrott bör genomgå behandling för att bearbeta och förändra sitt våldsbeteende. Krim</w:t>
      </w:r>
      <w:r w:rsidRPr="001A15E2">
        <w:t>i</w:t>
      </w:r>
      <w:r w:rsidRPr="001A15E2">
        <w:t xml:space="preserve">nalvården har här ett stort ansvar. </w:t>
      </w:r>
    </w:p>
    <w:p w:rsidR="003B23BA" w:rsidRPr="001A15E2" w:rsidRDefault="003B23BA" w:rsidP="0033382F">
      <w:pPr>
        <w:pStyle w:val="Rubrik3"/>
      </w:pPr>
      <w:bookmarkStart w:id="42" w:name="_Toc131407939"/>
      <w:bookmarkStart w:id="43" w:name="_Toc131818737"/>
      <w:r w:rsidRPr="001A15E2">
        <w:t>Människohandel</w:t>
      </w:r>
      <w:bookmarkEnd w:id="42"/>
      <w:bookmarkEnd w:id="43"/>
    </w:p>
    <w:p w:rsidR="003B23BA" w:rsidRPr="001A15E2" w:rsidRDefault="003B23BA" w:rsidP="00731C20">
      <w:pPr>
        <w:pStyle w:val="Citat"/>
      </w:pPr>
      <w:r w:rsidRPr="001A15E2">
        <w:t>Åtgärd 77: Regeringen arbetar med att ta fram ett nationellt handling</w:t>
      </w:r>
      <w:r w:rsidRPr="001A15E2">
        <w:t>s</w:t>
      </w:r>
      <w:r w:rsidRPr="001A15E2">
        <w:t>program mot alla former av människohandel.</w:t>
      </w:r>
    </w:p>
    <w:p w:rsidR="003B23BA" w:rsidRPr="001A15E2" w:rsidRDefault="003B23BA" w:rsidP="0033382F">
      <w:r w:rsidRPr="001A15E2">
        <w:t>Miljöpartiet vill i detta sammanhang belysa vikten av åtgärder för att involv</w:t>
      </w:r>
      <w:r w:rsidRPr="001A15E2">
        <w:t>e</w:t>
      </w:r>
      <w:r w:rsidRPr="001A15E2">
        <w:t>ra män i arbetet mot människohandel och vikten av arbete för en minskad efterfrågan. Detta bör uppmärksammas i den särskilda handlingsplan som är under framtagande.</w:t>
      </w:r>
    </w:p>
    <w:p w:rsidR="003B23BA" w:rsidRPr="001A15E2" w:rsidRDefault="003B23BA" w:rsidP="00731C20">
      <w:pPr>
        <w:pStyle w:val="Normaltindrag"/>
      </w:pPr>
      <w:r w:rsidRPr="001A15E2">
        <w:t>I kartläggningsdelen tas problemet med att offer för människohandel inte kan få permanent uppehållstillstånd (PUT</w:t>
      </w:r>
      <w:r w:rsidR="0033382F" w:rsidRPr="001A15E2">
        <w:t>) upp</w:t>
      </w:r>
      <w:r w:rsidRPr="001A15E2">
        <w:t>. Beslut i riksdagen har vidt</w:t>
      </w:r>
      <w:r w:rsidRPr="001A15E2">
        <w:t>a</w:t>
      </w:r>
      <w:r w:rsidRPr="001A15E2">
        <w:t xml:space="preserve">gits i denna riktning och då det är av stor vikt menar vi att det även bör tydligt redovisas här som åtgärd. </w:t>
      </w:r>
    </w:p>
    <w:p w:rsidR="003B23BA" w:rsidRPr="001A15E2" w:rsidRDefault="003B23BA" w:rsidP="0033382F">
      <w:pPr>
        <w:pStyle w:val="Rubrik3"/>
      </w:pPr>
      <w:bookmarkStart w:id="44" w:name="_Toc131407940"/>
      <w:r w:rsidRPr="001A15E2">
        <w:t xml:space="preserve"> </w:t>
      </w:r>
      <w:bookmarkStart w:id="45" w:name="_Toc131818738"/>
      <w:r w:rsidRPr="001A15E2">
        <w:t>Myndigheters användning av våld och tvångsmedel m.m.</w:t>
      </w:r>
      <w:bookmarkEnd w:id="44"/>
      <w:bookmarkEnd w:id="45"/>
    </w:p>
    <w:p w:rsidR="003B23BA" w:rsidRPr="001A15E2" w:rsidRDefault="003B23BA" w:rsidP="00731C20">
      <w:pPr>
        <w:pStyle w:val="Citat"/>
      </w:pPr>
      <w:r w:rsidRPr="001A15E2">
        <w:t>Åtgärd 81: Regeringen avser att förstärka granskningen av användningen av</w:t>
      </w:r>
      <w:r w:rsidR="00731C20" w:rsidRPr="001A15E2">
        <w:t xml:space="preserve"> </w:t>
      </w:r>
      <w:r w:rsidRPr="001A15E2">
        <w:t>hemliga tvångsmedel. Hur den förstärkta granskningen skall utformas kommer att</w:t>
      </w:r>
      <w:r w:rsidR="00731C20" w:rsidRPr="001A15E2">
        <w:t xml:space="preserve"> </w:t>
      </w:r>
      <w:r w:rsidRPr="001A15E2">
        <w:t>övervägas närmare senare i år.</w:t>
      </w:r>
    </w:p>
    <w:p w:rsidR="003B23BA" w:rsidRPr="001A15E2" w:rsidRDefault="003B23BA" w:rsidP="006D7C2B">
      <w:r w:rsidRPr="001A15E2">
        <w:t>Miljöpartiet anser att förslagen går emot vår kritik mot avsaknaden av ad</w:t>
      </w:r>
      <w:r w:rsidRPr="001A15E2">
        <w:t>e</w:t>
      </w:r>
      <w:r w:rsidRPr="001A15E2">
        <w:t xml:space="preserve">kvata rättssäkerhetsgarantier med anledning av de nya integritetskränkande lagförslagen. Vi har utvecklat detta vidare i vår motion med anledning av </w:t>
      </w:r>
      <w:r w:rsidR="006D7C2B" w:rsidRPr="001A15E2">
        <w:t xml:space="preserve">regeringens </w:t>
      </w:r>
      <w:r w:rsidRPr="001A15E2">
        <w:t>skrivelse 2005/06:53 Hemlig teleavlyssning, hemlig teleöverva</w:t>
      </w:r>
      <w:r w:rsidRPr="001A15E2">
        <w:t>k</w:t>
      </w:r>
      <w:r w:rsidRPr="001A15E2">
        <w:t>ning och hemlig kamera</w:t>
      </w:r>
      <w:r w:rsidR="00731C20" w:rsidRPr="001A15E2">
        <w:softHyphen/>
      </w:r>
      <w:r w:rsidRPr="001A15E2">
        <w:t>övervakning vid förundersö</w:t>
      </w:r>
      <w:r w:rsidR="00731C20" w:rsidRPr="001A15E2">
        <w:t>kning i brottmål under år 2004.</w:t>
      </w:r>
    </w:p>
    <w:p w:rsidR="003B23BA" w:rsidRPr="001A15E2" w:rsidRDefault="003B23BA" w:rsidP="006D7C2B">
      <w:pPr>
        <w:pStyle w:val="Normaltindrag"/>
      </w:pPr>
      <w:r w:rsidRPr="001A15E2">
        <w:t>Miljöpartiet vill ändå i detta sammanhang framföra våra krav på reella rätts- och säkerhetsgarantier:</w:t>
      </w:r>
    </w:p>
    <w:p w:rsidR="003B23BA" w:rsidRPr="001A15E2" w:rsidRDefault="003B23BA" w:rsidP="009F7013">
      <w:pPr>
        <w:pStyle w:val="PunktlistaBomb"/>
        <w:tabs>
          <w:tab w:val="clear" w:pos="360"/>
        </w:tabs>
      </w:pPr>
      <w:r w:rsidRPr="001A15E2">
        <w:t>Upplysningsplikt förenat med skadeståndsansvar för staten då enskild otillbörligt blivit utsatt för hemligt tvångsmedel eller liknande integritet</w:t>
      </w:r>
      <w:r w:rsidRPr="001A15E2">
        <w:t>s</w:t>
      </w:r>
      <w:r w:rsidRPr="001A15E2">
        <w:t>inskränkande åtgärd.</w:t>
      </w:r>
    </w:p>
    <w:p w:rsidR="003B23BA" w:rsidRPr="001A15E2" w:rsidRDefault="003B23BA" w:rsidP="009F7013">
      <w:pPr>
        <w:pStyle w:val="PunktlistaBomb"/>
        <w:tabs>
          <w:tab w:val="clear" w:pos="360"/>
        </w:tabs>
        <w:spacing w:before="0"/>
      </w:pPr>
      <w:r w:rsidRPr="001A15E2">
        <w:t xml:space="preserve">Invänta </w:t>
      </w:r>
      <w:r w:rsidR="006D7C2B" w:rsidRPr="001A15E2">
        <w:t xml:space="preserve">Integritetsskyddskommitténs </w:t>
      </w:r>
      <w:r w:rsidRPr="001A15E2">
        <w:t>betänkande innan fler lagförslag som berör den personliga integriteten</w:t>
      </w:r>
      <w:r w:rsidR="006D7C2B" w:rsidRPr="001A15E2">
        <w:t xml:space="preserve"> läggs</w:t>
      </w:r>
      <w:r w:rsidR="00A45979" w:rsidRPr="001A15E2">
        <w:t xml:space="preserve"> fram</w:t>
      </w:r>
      <w:r w:rsidRPr="001A15E2">
        <w:t>.</w:t>
      </w:r>
    </w:p>
    <w:p w:rsidR="003B23BA" w:rsidRPr="001A15E2" w:rsidRDefault="003B23BA" w:rsidP="009F7013">
      <w:pPr>
        <w:pStyle w:val="PunktlistaBomb"/>
        <w:tabs>
          <w:tab w:val="clear" w:pos="360"/>
        </w:tabs>
        <w:spacing w:before="0"/>
      </w:pPr>
      <w:r w:rsidRPr="001A15E2">
        <w:t>Se över de offentliga ombudens möjlighet att utföra sin uppgift.</w:t>
      </w:r>
    </w:p>
    <w:p w:rsidR="003B23BA" w:rsidRPr="001A15E2" w:rsidRDefault="003B23BA" w:rsidP="009F7013">
      <w:pPr>
        <w:pStyle w:val="PunktlistaBomb"/>
        <w:tabs>
          <w:tab w:val="clear" w:pos="360"/>
        </w:tabs>
        <w:spacing w:before="0"/>
      </w:pPr>
      <w:r w:rsidRPr="001A15E2">
        <w:t xml:space="preserve">Låt </w:t>
      </w:r>
      <w:r w:rsidR="006D7C2B" w:rsidRPr="001A15E2">
        <w:t xml:space="preserve">Tvångsmedelsnämnden </w:t>
      </w:r>
      <w:r w:rsidRPr="001A15E2">
        <w:t xml:space="preserve">ställas under riksdagen och låt enskilda få möjlighet att vända sig </w:t>
      </w:r>
      <w:r w:rsidR="006D7C2B" w:rsidRPr="001A15E2">
        <w:t xml:space="preserve">dit </w:t>
      </w:r>
      <w:r w:rsidRPr="001A15E2">
        <w:t>med klagomål.</w:t>
      </w:r>
    </w:p>
    <w:p w:rsidR="003B23BA" w:rsidRPr="001A15E2" w:rsidRDefault="003B23BA" w:rsidP="006D7C2B">
      <w:r w:rsidRPr="001A15E2">
        <w:t>Det ter sig inte desto mindre förvånande att regeringens planer på ökade i</w:t>
      </w:r>
      <w:r w:rsidRPr="001A15E2">
        <w:t>n</w:t>
      </w:r>
      <w:r w:rsidRPr="001A15E2">
        <w:t>grepp i medborgarnas personliga integritet inte ackompanjerats av vederbörl</w:t>
      </w:r>
      <w:r w:rsidRPr="001A15E2">
        <w:t>i</w:t>
      </w:r>
      <w:r w:rsidRPr="001A15E2">
        <w:t>ga kontrollorgan och åtgärder för att försäkra effektiviteten och säkerheten i användningen av de hemliga tvångsmedlen.</w:t>
      </w:r>
    </w:p>
    <w:p w:rsidR="003B23BA" w:rsidRPr="001A15E2" w:rsidRDefault="003B23BA" w:rsidP="00731C20">
      <w:pPr>
        <w:pStyle w:val="Normaltindrag"/>
      </w:pPr>
      <w:r w:rsidRPr="001A15E2">
        <w:t>Utöver de aviserade förslagen om att låta den öppna polisen använda he</w:t>
      </w:r>
      <w:r w:rsidRPr="001A15E2">
        <w:t>m</w:t>
      </w:r>
      <w:r w:rsidRPr="001A15E2">
        <w:t>liga tvångsmedel med sänkta krav på brottsmisstanke och buggning, har flera andra lagförslag motiverats för rikets säkerhet och i kampen mot terrorism, bland annat DNA-registrering, utökad användning av tvångsmedel, buggning och Försvarets radioanstalts (FRA) utökade avlyssning av medborgarna. S</w:t>
      </w:r>
      <w:r w:rsidRPr="001A15E2">
        <w:t>ä</w:t>
      </w:r>
      <w:r w:rsidRPr="001A15E2">
        <w:t>kerhetskommissionens rapport visade också hur enkelt dessa medel kan mis</w:t>
      </w:r>
      <w:r w:rsidRPr="001A15E2">
        <w:t>s</w:t>
      </w:r>
      <w:r w:rsidRPr="001A15E2">
        <w:t>brukas. Flera hundratusen individer avlyssnades under ett antal år utan att någon misstänktes eller ställdes inför rätta för något brott.</w:t>
      </w:r>
    </w:p>
    <w:p w:rsidR="003B23BA" w:rsidRPr="001A15E2" w:rsidRDefault="003B23BA" w:rsidP="00731C20">
      <w:pPr>
        <w:pStyle w:val="Normaltindrag"/>
      </w:pPr>
      <w:r w:rsidRPr="001A15E2">
        <w:t>Sammantaget ser vi att den utveckling som Socialdemokraterna förespr</w:t>
      </w:r>
      <w:r w:rsidRPr="001A15E2">
        <w:t>å</w:t>
      </w:r>
      <w:r w:rsidRPr="001A15E2">
        <w:t>kar är vägen mot ett övervakningssamhälle.</w:t>
      </w:r>
    </w:p>
    <w:p w:rsidR="003B23BA" w:rsidRPr="001A15E2" w:rsidRDefault="003B23BA" w:rsidP="00731C20">
      <w:pPr>
        <w:pStyle w:val="Normaltindrag"/>
      </w:pPr>
      <w:r w:rsidRPr="001A15E2">
        <w:t>I</w:t>
      </w:r>
      <w:r w:rsidR="006D7C2B" w:rsidRPr="001A15E2">
        <w:t xml:space="preserve"> </w:t>
      </w:r>
      <w:r w:rsidRPr="001A15E2">
        <w:t>dag har bara en person som utsatts</w:t>
      </w:r>
      <w:r w:rsidR="006D7C2B" w:rsidRPr="001A15E2">
        <w:t xml:space="preserve"> för exempelvis hemlig</w:t>
      </w:r>
      <w:r w:rsidRPr="001A15E2">
        <w:t xml:space="preserve"> telefonavlys</w:t>
      </w:r>
      <w:r w:rsidRPr="001A15E2">
        <w:t>s</w:t>
      </w:r>
      <w:r w:rsidRPr="001A15E2">
        <w:t>ning och senare åtalas i domstol möjlighet att ta del av den bevisning som tagits fram genom det hemliga tvångsmedlet, och ges därmed en chans att bemöta de uppgifter som tagits fram. De personer i vars fall avlyssning eller liknande inte lett till rättsliga åtgärder förblir dock ovetande om att de utsatts för en integritetskränkande åtgärd. Detta är naturligtvis en orimlig situation som måste åtgärdas.</w:t>
      </w:r>
    </w:p>
    <w:p w:rsidR="003B23BA" w:rsidRPr="001A15E2" w:rsidRDefault="003B23BA" w:rsidP="00731C20">
      <w:pPr>
        <w:pStyle w:val="Normaltindrag"/>
      </w:pPr>
      <w:r w:rsidRPr="001A15E2">
        <w:t xml:space="preserve">Miljöpartiet vill därför införa </w:t>
      </w:r>
      <w:r w:rsidR="006D7C2B" w:rsidRPr="001A15E2">
        <w:t>en upplysningsskyldighet kopplad</w:t>
      </w:r>
      <w:r w:rsidRPr="001A15E2">
        <w:t xml:space="preserve"> till ett skadeståndsansvar för de personer som otillbörligt blivit utsat</w:t>
      </w:r>
      <w:r w:rsidR="00731C20" w:rsidRPr="001A15E2">
        <w:t>ta för ett hemligt tvångsmedel.</w:t>
      </w:r>
    </w:p>
    <w:p w:rsidR="003B23BA" w:rsidRPr="001A15E2" w:rsidRDefault="003B23BA" w:rsidP="00731C20">
      <w:pPr>
        <w:pStyle w:val="Normaltindrag"/>
      </w:pPr>
      <w:r w:rsidRPr="001A15E2">
        <w:t xml:space="preserve">Det är inte minst högst anmärkningsvärt att regeringen inte vill invänta </w:t>
      </w:r>
      <w:r w:rsidR="006D7C2B" w:rsidRPr="001A15E2">
        <w:t>I</w:t>
      </w:r>
      <w:r w:rsidR="006D7C2B" w:rsidRPr="001A15E2">
        <w:t>n</w:t>
      </w:r>
      <w:r w:rsidR="006D7C2B" w:rsidRPr="001A15E2">
        <w:t xml:space="preserve">tegritetsskyddskommitténs </w:t>
      </w:r>
      <w:r w:rsidRPr="001A15E2">
        <w:t>betänkande som väntas mars 2007. Detta skickar ett tydligt budskap till svenska folket att regeringen</w:t>
      </w:r>
      <w:r w:rsidR="007A38C9" w:rsidRPr="001A15E2">
        <w:t>s</w:t>
      </w:r>
      <w:r w:rsidRPr="001A15E2">
        <w:t xml:space="preserve"> avvägningar för att s</w:t>
      </w:r>
      <w:r w:rsidRPr="001A15E2">
        <w:t>ä</w:t>
      </w:r>
      <w:r w:rsidRPr="001A15E2">
        <w:t>kerställa medborgarnas rättssäkerhet är tomma ord. Integritetsskyddskommi</w:t>
      </w:r>
      <w:r w:rsidRPr="001A15E2">
        <w:t>t</w:t>
      </w:r>
      <w:r w:rsidRPr="001A15E2">
        <w:t>téns slutsatser kommer alltså inte</w:t>
      </w:r>
      <w:r w:rsidR="00A45979" w:rsidRPr="001A15E2">
        <w:t xml:space="preserve"> att</w:t>
      </w:r>
      <w:r w:rsidRPr="001A15E2">
        <w:t xml:space="preserve"> bli föremål för avvägningar i regeringens iver att införa </w:t>
      </w:r>
      <w:r w:rsidR="0033382F" w:rsidRPr="001A15E2">
        <w:t>”</w:t>
      </w:r>
      <w:r w:rsidRPr="001A15E2">
        <w:t>antiterrorlagar</w:t>
      </w:r>
      <w:r w:rsidR="0033382F" w:rsidRPr="001A15E2">
        <w:t>”</w:t>
      </w:r>
      <w:r w:rsidRPr="001A15E2">
        <w:t>. Vi ser det således som ofrånkomligt att rege</w:t>
      </w:r>
      <w:r w:rsidRPr="001A15E2">
        <w:t>r</w:t>
      </w:r>
      <w:r w:rsidRPr="001A15E2">
        <w:t xml:space="preserve">ingen inväntar </w:t>
      </w:r>
      <w:r w:rsidR="007A38C9" w:rsidRPr="001A15E2">
        <w:t xml:space="preserve">Integritetsskyddskommitténs </w:t>
      </w:r>
      <w:r w:rsidRPr="001A15E2">
        <w:t>betänkande för att därefter för</w:t>
      </w:r>
      <w:r w:rsidRPr="001A15E2">
        <w:t>e</w:t>
      </w:r>
      <w:r w:rsidRPr="001A15E2">
        <w:t>slå lämpliga åtgärder för att tillförsäkra medborgarna reella rättssäkerhetsg</w:t>
      </w:r>
      <w:r w:rsidRPr="001A15E2">
        <w:t>a</w:t>
      </w:r>
      <w:r w:rsidRPr="001A15E2">
        <w:t>rantier.</w:t>
      </w:r>
    </w:p>
    <w:p w:rsidR="003B23BA" w:rsidRPr="001A15E2" w:rsidRDefault="003B23BA" w:rsidP="007A38C9">
      <w:pPr>
        <w:pStyle w:val="Rubrik3"/>
      </w:pPr>
      <w:bookmarkStart w:id="46" w:name="_Toc131407941"/>
      <w:bookmarkStart w:id="47" w:name="_Toc131818739"/>
      <w:r w:rsidRPr="001A15E2">
        <w:t>Respekten för de mänskliga rättigheterna i arbetet mot terrorism och annan grov brottslighet</w:t>
      </w:r>
      <w:bookmarkEnd w:id="46"/>
      <w:bookmarkEnd w:id="47"/>
    </w:p>
    <w:p w:rsidR="003B23BA" w:rsidRPr="001A15E2" w:rsidRDefault="003B23BA" w:rsidP="003B23BA">
      <w:r w:rsidRPr="001A15E2">
        <w:t>I hela stycket saknas resonemang dels om hur d</w:t>
      </w:r>
      <w:r w:rsidR="007A38C9" w:rsidRPr="001A15E2">
        <w:t>en kritik Sverige har fått ska</w:t>
      </w:r>
      <w:r w:rsidRPr="001A15E2">
        <w:t xml:space="preserve"> bemötas och hanteras, dels hur denna kritik förhåller sig till gällande lagstif</w:t>
      </w:r>
      <w:r w:rsidRPr="001A15E2">
        <w:t>t</w:t>
      </w:r>
      <w:r w:rsidRPr="001A15E2">
        <w:t xml:space="preserve">ning. Det är enligt </w:t>
      </w:r>
      <w:r w:rsidR="007A38C9" w:rsidRPr="001A15E2">
        <w:t xml:space="preserve">Miljöpartiet </w:t>
      </w:r>
      <w:r w:rsidRPr="001A15E2">
        <w:t>självklart att regeringen, om kritiken riktar sig mot bris</w:t>
      </w:r>
      <w:r w:rsidR="007A38C9" w:rsidRPr="001A15E2">
        <w:t>ter i lagstiftningen, även ska</w:t>
      </w:r>
      <w:r w:rsidRPr="001A15E2">
        <w:t xml:space="preserve"> redovisa åtgärder för att avhjälpa dessa brister. Till exempel bör prickningar från FN:s kommitté mot tortyr (CAT) liksom Europadomstolens utslag i ett antal ärenden rörande svenska medbo</w:t>
      </w:r>
      <w:r w:rsidRPr="001A15E2">
        <w:t>r</w:t>
      </w:r>
      <w:r w:rsidRPr="001A15E2">
        <w:t xml:space="preserve">gare noteras. Den nu föreslagna textens förslag på åtgärder </w:t>
      </w:r>
      <w:r w:rsidR="007A38C9" w:rsidRPr="001A15E2">
        <w:t xml:space="preserve">är </w:t>
      </w:r>
      <w:r w:rsidRPr="001A15E2">
        <w:t xml:space="preserve">inte tillräckliga. </w:t>
      </w:r>
    </w:p>
    <w:p w:rsidR="003B23BA" w:rsidRPr="001A15E2" w:rsidRDefault="003B23BA" w:rsidP="007A38C9">
      <w:pPr>
        <w:pStyle w:val="Rubrik3"/>
      </w:pPr>
      <w:bookmarkStart w:id="48" w:name="_Toc131407942"/>
      <w:bookmarkStart w:id="49" w:name="_Toc131818740"/>
      <w:r w:rsidRPr="001A15E2">
        <w:t>Föreningsfriheten</w:t>
      </w:r>
      <w:bookmarkEnd w:id="48"/>
      <w:bookmarkEnd w:id="49"/>
    </w:p>
    <w:p w:rsidR="003B23BA" w:rsidRPr="001A15E2" w:rsidRDefault="003B23BA" w:rsidP="00731C20">
      <w:pPr>
        <w:pStyle w:val="Citat"/>
      </w:pPr>
      <w:r w:rsidRPr="001A15E2">
        <w:t>Åtgärd 97: Efter dialog mellan regeringen och arbetsmarknadens parter har de så kallade organisationsklausulerna under 2005 utmönstrats ur Svenska byggnadsarbetarförbundets kollektivavtal. Regeringen fortsätter att följa utvecklingen avseende organisationsklausuler.</w:t>
      </w:r>
    </w:p>
    <w:p w:rsidR="003B23BA" w:rsidRPr="001A15E2" w:rsidRDefault="003B23BA" w:rsidP="007A38C9">
      <w:r w:rsidRPr="001A15E2">
        <w:t>Miljöpartiet menar att så kallade organisat</w:t>
      </w:r>
      <w:r w:rsidR="00A45979" w:rsidRPr="001A15E2">
        <w:t>ionsklausuler naturligtvis ska</w:t>
      </w:r>
      <w:r w:rsidRPr="001A15E2">
        <w:t xml:space="preserve"> tas bort även i den mån de förekommer inom ramen för andra kollektivavtal</w:t>
      </w:r>
      <w:r w:rsidR="007A38C9" w:rsidRPr="001A15E2">
        <w:t>, alltså</w:t>
      </w:r>
      <w:r w:rsidRPr="001A15E2">
        <w:t xml:space="preserve"> inte enbart inom </w:t>
      </w:r>
      <w:r w:rsidR="007A38C9" w:rsidRPr="001A15E2">
        <w:t xml:space="preserve">Byggnadsarbetarförbundets </w:t>
      </w:r>
      <w:r w:rsidRPr="001A15E2">
        <w:t xml:space="preserve">kollektivavtal. Vi saknar en redovisning om så är fallet och vilka åtgärder regeringen i sådana fall avser att vidta med anledning av detta. </w:t>
      </w:r>
    </w:p>
    <w:p w:rsidR="003B23BA" w:rsidRPr="001A15E2" w:rsidRDefault="003B23BA" w:rsidP="007A38C9">
      <w:pPr>
        <w:pStyle w:val="Rubrik2"/>
      </w:pPr>
      <w:bookmarkStart w:id="50" w:name="_Toc131407943"/>
      <w:bookmarkStart w:id="51" w:name="_Toc131818741"/>
      <w:r w:rsidRPr="001A15E2">
        <w:t>Asyl- och migrationsfrågor</w:t>
      </w:r>
      <w:bookmarkEnd w:id="50"/>
      <w:bookmarkEnd w:id="51"/>
    </w:p>
    <w:p w:rsidR="003B23BA" w:rsidRPr="001A15E2" w:rsidRDefault="003B23BA" w:rsidP="00731C20">
      <w:pPr>
        <w:pStyle w:val="Citat"/>
      </w:pPr>
      <w:r w:rsidRPr="001A15E2">
        <w:t>Åtgärd 99: Regeringen har givit Migrationsverket i uppdrag att redovisa</w:t>
      </w:r>
      <w:r w:rsidR="00731C20" w:rsidRPr="001A15E2">
        <w:t xml:space="preserve"> </w:t>
      </w:r>
      <w:r w:rsidRPr="001A15E2">
        <w:t>resultatet av myndighetens åtgärdsprogram för etikfrågor. Uppdraget skall</w:t>
      </w:r>
      <w:r w:rsidR="00731C20" w:rsidRPr="001A15E2">
        <w:t xml:space="preserve"> </w:t>
      </w:r>
      <w:r w:rsidRPr="001A15E2">
        <w:t>redovisas senast den 1 juli 2006.</w:t>
      </w:r>
    </w:p>
    <w:p w:rsidR="003B23BA" w:rsidRPr="001A15E2" w:rsidRDefault="003B23BA" w:rsidP="007A38C9">
      <w:r w:rsidRPr="001A15E2">
        <w:t>Miljöpartiet menar att den senare tidens skandaler kring Migrationsverkets personal med olämpligt tårtätande och champagnefirande samt utskällningen av den synskadade mannen gör att Migrationsverkets personal bör utbildas ytterligare kring bemötandekompetens och etik. Därför ser vi mycket positivt på de förs</w:t>
      </w:r>
      <w:r w:rsidR="00731C20" w:rsidRPr="001A15E2">
        <w:t>lag som återfinns i skrivelsen.</w:t>
      </w:r>
    </w:p>
    <w:p w:rsidR="003B23BA" w:rsidRPr="001A15E2" w:rsidRDefault="003B23BA" w:rsidP="007A38C9">
      <w:pPr>
        <w:pStyle w:val="Rubrik3"/>
      </w:pPr>
      <w:bookmarkStart w:id="52" w:name="_Toc131407944"/>
      <w:bookmarkStart w:id="53" w:name="_Toc131818742"/>
      <w:r w:rsidRPr="001A15E2">
        <w:t>Förbud mot återsändande i vissa fall</w:t>
      </w:r>
      <w:bookmarkEnd w:id="52"/>
      <w:bookmarkEnd w:id="53"/>
    </w:p>
    <w:p w:rsidR="003B23BA" w:rsidRPr="001A15E2" w:rsidRDefault="003B23BA" w:rsidP="00731C20">
      <w:pPr>
        <w:pStyle w:val="Citat"/>
      </w:pPr>
      <w:r w:rsidRPr="001A15E2">
        <w:t>Åtgärd 102: Det folkrättsliga förbudet mot tortyr och annan omänsklig eller</w:t>
      </w:r>
      <w:r w:rsidR="00731C20" w:rsidRPr="001A15E2">
        <w:t xml:space="preserve"> </w:t>
      </w:r>
      <w:r w:rsidRPr="001A15E2">
        <w:t>förnedrande behandling eller bestraffning är absolut.</w:t>
      </w:r>
    </w:p>
    <w:p w:rsidR="003B23BA" w:rsidRPr="001A15E2" w:rsidRDefault="003B23BA" w:rsidP="007A38C9">
      <w:r w:rsidRPr="001A15E2">
        <w:t xml:space="preserve">I detta sammanhang vill </w:t>
      </w:r>
      <w:r w:rsidR="007A38C9" w:rsidRPr="001A15E2">
        <w:t xml:space="preserve">Miljöpartiet </w:t>
      </w:r>
      <w:r w:rsidRPr="001A15E2">
        <w:t>väcka uppmärksamhet kring de två egypterna Agiza och al-Zari som avvisades från Sverige 2001. FN:s kommitté mot tortyr (CAT) fällde i maj 2005 sitt utslag i fallet Agiza v</w:t>
      </w:r>
      <w:r w:rsidR="007A38C9" w:rsidRPr="001A15E2">
        <w:t>i</w:t>
      </w:r>
      <w:r w:rsidRPr="001A15E2">
        <w:t>s</w:t>
      </w:r>
      <w:r w:rsidR="007A38C9" w:rsidRPr="001A15E2">
        <w:t>avi</w:t>
      </w:r>
      <w:r w:rsidRPr="001A15E2">
        <w:t xml:space="preserve"> Sverige. Med hänvisning till misstänkt terrorverksamhet hade Ahmed Agiza och M</w:t>
      </w:r>
      <w:r w:rsidRPr="001A15E2">
        <w:t>o</w:t>
      </w:r>
      <w:r w:rsidRPr="001A15E2">
        <w:t>hammed al-Zari i december 2001 avvisats från Sverige till Egypten. Kommi</w:t>
      </w:r>
      <w:r w:rsidRPr="001A15E2">
        <w:t>t</w:t>
      </w:r>
      <w:r w:rsidRPr="001A15E2">
        <w:t xml:space="preserve">tén konstaterade i sitt prejudicerande beslut att svenska statens </w:t>
      </w:r>
      <w:r w:rsidR="0033382F" w:rsidRPr="001A15E2">
        <w:t>”</w:t>
      </w:r>
      <w:r w:rsidRPr="001A15E2">
        <w:t xml:space="preserve">avvisning av den klagande stred mot artikel 3 i </w:t>
      </w:r>
      <w:r w:rsidR="007A38C9" w:rsidRPr="001A15E2">
        <w:t xml:space="preserve">konventionen. Utverkandet av de så kallade </w:t>
      </w:r>
      <w:r w:rsidRPr="001A15E2">
        <w:t>diplomatiska garantierna i vilka det dessutom inte fanns några överensko</w:t>
      </w:r>
      <w:r w:rsidRPr="001A15E2">
        <w:t>m</w:t>
      </w:r>
      <w:r w:rsidRPr="001A15E2">
        <w:t>melser om efterlevnad av försäkringarna, var inte tillräckliga för att ge skydd mot denna uppenbara risk för tortyr.</w:t>
      </w:r>
      <w:r w:rsidR="0033382F" w:rsidRPr="001A15E2">
        <w:t>”</w:t>
      </w:r>
      <w:r w:rsidRPr="001A15E2">
        <w:t xml:space="preserve"> En av grundprinciperna i internationell rätt är det uttryckliga förbudet mot att återsända människor till ett land om det finns starka skäl att tro att de riskerar att utsättas för tortyr. Principen uttrycks i FN:s konvention mot tortyr men har också fastslagits av Europadomstolen </w:t>
      </w:r>
      <w:r w:rsidR="00731C20" w:rsidRPr="001A15E2">
        <w:t>och FN:s människorättskommitté.</w:t>
      </w:r>
    </w:p>
    <w:p w:rsidR="003B23BA" w:rsidRPr="001A15E2" w:rsidRDefault="003B23BA" w:rsidP="00731C20">
      <w:pPr>
        <w:pStyle w:val="Normaltindrag"/>
      </w:pPr>
      <w:r w:rsidRPr="001A15E2">
        <w:t>Svenska regeringen bör ge Agiza och al-Zary möjlighet att få komma til</w:t>
      </w:r>
      <w:r w:rsidRPr="001A15E2">
        <w:t>l</w:t>
      </w:r>
      <w:r w:rsidRPr="001A15E2">
        <w:t>baka till Sverige, där de befann sig innan den svenska regeringen bröt mot FN:s tortyrkonvention. De två egyptiska männen bör också få ersättning för sitt lidande</w:t>
      </w:r>
      <w:r w:rsidR="007A38C9" w:rsidRPr="001A15E2">
        <w:t>,</w:t>
      </w:r>
      <w:r w:rsidRPr="001A15E2">
        <w:t xml:space="preserve"> så också andra personer i liknande fall. Miljöpartiet menar des</w:t>
      </w:r>
      <w:r w:rsidRPr="001A15E2">
        <w:t>s</w:t>
      </w:r>
      <w:r w:rsidRPr="001A15E2">
        <w:t>utom att Sverige aktivt i internationella sammanhang ska arbeta mot anvä</w:t>
      </w:r>
      <w:r w:rsidRPr="001A15E2">
        <w:t>n</w:t>
      </w:r>
      <w:r w:rsidRPr="001A15E2">
        <w:t>dandet av</w:t>
      </w:r>
      <w:r w:rsidR="00731C20" w:rsidRPr="001A15E2">
        <w:t xml:space="preserve"> s</w:t>
      </w:r>
      <w:r w:rsidR="007A38C9" w:rsidRPr="001A15E2">
        <w:t>å</w:t>
      </w:r>
      <w:r w:rsidR="00731C20" w:rsidRPr="001A15E2">
        <w:t xml:space="preserve"> k</w:t>
      </w:r>
      <w:r w:rsidR="007A38C9" w:rsidRPr="001A15E2">
        <w:t>allad</w:t>
      </w:r>
      <w:r w:rsidR="00A45979" w:rsidRPr="001A15E2">
        <w:t>e</w:t>
      </w:r>
      <w:r w:rsidR="00731C20" w:rsidRPr="001A15E2">
        <w:t xml:space="preserve"> diplomatiska försäkringar.</w:t>
      </w:r>
    </w:p>
    <w:p w:rsidR="003B23BA" w:rsidRPr="001A15E2" w:rsidRDefault="003B23BA" w:rsidP="007A38C9">
      <w:pPr>
        <w:pStyle w:val="Rubrik2"/>
      </w:pPr>
      <w:bookmarkStart w:id="54" w:name="_Toc131407945"/>
      <w:bookmarkStart w:id="55" w:name="_Toc131818743"/>
      <w:r w:rsidRPr="001A15E2">
        <w:t>Organisation av arbetet med att genomföra handlingsplanen</w:t>
      </w:r>
      <w:bookmarkEnd w:id="54"/>
      <w:bookmarkEnd w:id="55"/>
    </w:p>
    <w:p w:rsidR="003B23BA" w:rsidRPr="001A15E2" w:rsidRDefault="003B23BA" w:rsidP="00731C20">
      <w:pPr>
        <w:pStyle w:val="Citat"/>
      </w:pPr>
      <w:r w:rsidRPr="001A15E2">
        <w:t>Åtgärd 103: Regeringen avser att i mars 2006 inrätta en delegation för mänskliga rättigheter med uppgiften att stödja statliga myndigheter, kommuner och</w:t>
      </w:r>
      <w:r w:rsidR="00731C20" w:rsidRPr="001A15E2">
        <w:t xml:space="preserve"> </w:t>
      </w:r>
      <w:r w:rsidRPr="001A15E2">
        <w:t>landsting i det långsiktiga arbetet med att säkerställa full respekt för de</w:t>
      </w:r>
      <w:r w:rsidR="00731C20" w:rsidRPr="001A15E2">
        <w:t xml:space="preserve"> </w:t>
      </w:r>
      <w:r w:rsidRPr="001A15E2">
        <w:t>mänskliga rättigheterna i verksamheten. Delegationen kommer också att ges</w:t>
      </w:r>
      <w:r w:rsidR="00731C20" w:rsidRPr="001A15E2">
        <w:t xml:space="preserve"> </w:t>
      </w:r>
      <w:r w:rsidRPr="001A15E2">
        <w:t>uppdraget att sprida information och kunskap om mänskliga rättigheter bland</w:t>
      </w:r>
      <w:r w:rsidR="00731C20" w:rsidRPr="001A15E2">
        <w:t xml:space="preserve"> </w:t>
      </w:r>
      <w:r w:rsidRPr="001A15E2">
        <w:t>allmänheten samt stimulera det offentliga samtalet om de mänskliga</w:t>
      </w:r>
      <w:r w:rsidR="00731C20" w:rsidRPr="001A15E2">
        <w:t xml:space="preserve"> </w:t>
      </w:r>
      <w:r w:rsidRPr="001A15E2">
        <w:t>rättigheterna. Delegationen planeras verka till och med mars 2010.</w:t>
      </w:r>
    </w:p>
    <w:p w:rsidR="003B23BA" w:rsidRPr="001A15E2" w:rsidRDefault="003B23BA" w:rsidP="007A38C9">
      <w:r w:rsidRPr="001A15E2">
        <w:t>Miljöpartiet vill uppmärksamma att det i dag</w:t>
      </w:r>
      <w:r w:rsidR="007A38C9" w:rsidRPr="001A15E2">
        <w:t xml:space="preserve"> finns</w:t>
      </w:r>
      <w:r w:rsidRPr="001A15E2">
        <w:t xml:space="preserve"> många olika organisationer och nätverk som arbetar mot rasism: Ungdom mot rasism, Centrum mot r</w:t>
      </w:r>
      <w:r w:rsidRPr="001A15E2">
        <w:t>a</w:t>
      </w:r>
      <w:r w:rsidRPr="001A15E2">
        <w:t>sism, olika lokala antidiskrimineringsbyråer, Nätverket mot rasism med flera. Dessa organisationer har skapats genom initiativ av enskilda individer och föreningar och är många gånger beroende av brinnande eldsjälar, engagerade handläggare inom vissa kommunala eller statliga myndigheter och inte minst av politikers tillit och förtroende. Genom detta blir de sårbara men också öppna för förändring, omprövning av tidigare beslut och ställningstaganden och kontinuerlig kunskapsöverföring. Vi anser dock att stödet till dessa idee</w:t>
      </w:r>
      <w:r w:rsidRPr="001A15E2">
        <w:t>l</w:t>
      </w:r>
      <w:r w:rsidRPr="001A15E2">
        <w:t>la organisationer behöver bli mer enhetligt. I dag får vissa statliga bidrag från länsstyrelser eller Integrationsverk</w:t>
      </w:r>
      <w:r w:rsidR="007A38C9" w:rsidRPr="001A15E2">
        <w:t>et</w:t>
      </w:r>
      <w:r w:rsidRPr="001A15E2">
        <w:t>, andra får bidrag av kommuner och landsting och vissa av Statens ungdomsråd eller andra statliga myndigheter. Detta gör att det saknas ett helhetsgrepp kring vilka insatser som utförs, vilka medel som satsas och om avsatta medel når dit där de kan få bäst resultat. Kunskapen om det goda lokala arbetet riskerar att bli endast lokalt om inte erfarenheten sprids</w:t>
      </w:r>
      <w:r w:rsidR="007A38C9" w:rsidRPr="001A15E2">
        <w:t>,</w:t>
      </w:r>
      <w:r w:rsidRPr="001A15E2">
        <w:t xml:space="preserve"> liksom om lokala aktörer får bekräftelse för sitt väl utfö</w:t>
      </w:r>
      <w:r w:rsidRPr="001A15E2">
        <w:t>r</w:t>
      </w:r>
      <w:r w:rsidRPr="001A15E2">
        <w:t>da arbete. Vi vill därför att regeringen utreder hur kunskap inom antirasis</w:t>
      </w:r>
      <w:r w:rsidRPr="001A15E2">
        <w:t>m</w:t>
      </w:r>
      <w:r w:rsidRPr="001A15E2">
        <w:t>a</w:t>
      </w:r>
      <w:r w:rsidR="007A38C9" w:rsidRPr="001A15E2">
        <w:t>rbete bland barn</w:t>
      </w:r>
      <w:r w:rsidRPr="001A15E2">
        <w:t xml:space="preserve"> och ungdomar ska kunna s</w:t>
      </w:r>
      <w:r w:rsidR="007A38C9" w:rsidRPr="001A15E2">
        <w:t>amlas och hur erfarenheter ska</w:t>
      </w:r>
      <w:r w:rsidRPr="001A15E2">
        <w:t xml:space="preserve"> kunna spridas bland alla aktörer inom detta område.</w:t>
      </w:r>
    </w:p>
    <w:p w:rsidR="003B23BA" w:rsidRPr="001A15E2" w:rsidRDefault="003B23BA" w:rsidP="007A38C9">
      <w:pPr>
        <w:pStyle w:val="Rubrik2"/>
      </w:pPr>
      <w:bookmarkStart w:id="56" w:name="_Toc131407946"/>
      <w:bookmarkStart w:id="57" w:name="_Toc131818744"/>
      <w:r w:rsidRPr="001A15E2">
        <w:t>Myndighetsstyrning</w:t>
      </w:r>
      <w:bookmarkEnd w:id="56"/>
      <w:bookmarkEnd w:id="57"/>
    </w:p>
    <w:p w:rsidR="003B23BA" w:rsidRPr="001A15E2" w:rsidRDefault="003B23BA" w:rsidP="00731C20">
      <w:pPr>
        <w:pStyle w:val="Citat"/>
      </w:pPr>
      <w:r w:rsidRPr="001A15E2">
        <w:t>Åtgärd 105: Staten skall vara ett föredöme i sin roll som arbetsgivare. Frågor</w:t>
      </w:r>
      <w:r w:rsidR="00731C20" w:rsidRPr="001A15E2">
        <w:t xml:space="preserve"> </w:t>
      </w:r>
      <w:r w:rsidRPr="001A15E2">
        <w:t>om mänskliga rättigheter är en viktig del i regeringens förval</w:t>
      </w:r>
      <w:r w:rsidRPr="001A15E2">
        <w:t>t</w:t>
      </w:r>
      <w:r w:rsidRPr="001A15E2">
        <w:t>ningspolitik.</w:t>
      </w:r>
    </w:p>
    <w:p w:rsidR="003B23BA" w:rsidRPr="001A15E2" w:rsidRDefault="003B23BA" w:rsidP="007A38C9">
      <w:r w:rsidRPr="001A15E2">
        <w:t xml:space="preserve">Miljöpartiet anser att mycket större vikt bör läggas vid kompetensutveckling av de statliga cheferna samt övrig personal </w:t>
      </w:r>
      <w:r w:rsidR="007A38C9" w:rsidRPr="001A15E2">
        <w:t xml:space="preserve">vad gäller mänskliga rättigheter </w:t>
      </w:r>
      <w:r w:rsidRPr="001A15E2">
        <w:t>än vad regeringen aviserar i skrivelsen.</w:t>
      </w:r>
    </w:p>
    <w:p w:rsidR="003B23BA" w:rsidRPr="001A15E2" w:rsidRDefault="003B23BA" w:rsidP="00731C20">
      <w:pPr>
        <w:pStyle w:val="Rubrik2"/>
      </w:pPr>
      <w:bookmarkStart w:id="58" w:name="_Toc131407947"/>
      <w:bookmarkStart w:id="59" w:name="_Toc131818745"/>
      <w:r w:rsidRPr="001A15E2">
        <w:t>Kommuner och landsting</w:t>
      </w:r>
      <w:bookmarkEnd w:id="58"/>
      <w:bookmarkEnd w:id="59"/>
    </w:p>
    <w:p w:rsidR="003B23BA" w:rsidRPr="001A15E2" w:rsidRDefault="003B23BA" w:rsidP="00731C20">
      <w:pPr>
        <w:pStyle w:val="Citat"/>
      </w:pPr>
      <w:r w:rsidRPr="001A15E2">
        <w:t>Åtgärd 106: Regeringen uppmuntrar kommuner och landsting att anvä</w:t>
      </w:r>
      <w:r w:rsidRPr="001A15E2">
        <w:t>n</w:t>
      </w:r>
      <w:r w:rsidRPr="001A15E2">
        <w:t>da regeringens långsiktiga mål - full respekt för de mänskliga rättighete</w:t>
      </w:r>
      <w:r w:rsidRPr="001A15E2">
        <w:t>r</w:t>
      </w:r>
      <w:r w:rsidRPr="001A15E2">
        <w:t>na - som mål för sitt eget arbete och att ta fram lokala handlingsplaner för de mänskliga rättigheterna.</w:t>
      </w:r>
    </w:p>
    <w:p w:rsidR="003B23BA" w:rsidRPr="001A15E2" w:rsidRDefault="003B23BA" w:rsidP="007A38C9">
      <w:r w:rsidRPr="001A15E2">
        <w:t xml:space="preserve">Det är inte tillräckligt att regeringen </w:t>
      </w:r>
      <w:r w:rsidR="0033382F" w:rsidRPr="001A15E2">
        <w:t>”</w:t>
      </w:r>
      <w:r w:rsidRPr="001A15E2">
        <w:t>uppmuntrar</w:t>
      </w:r>
      <w:r w:rsidR="0033382F" w:rsidRPr="001A15E2">
        <w:t>”</w:t>
      </w:r>
      <w:r w:rsidRPr="001A15E2">
        <w:t xml:space="preserve"> kommuner och landsting. Regeringen bör tillsammans med Sveriges kommuner och landsting arbeta fram någon form av riktlinjer för hur olika lokala och regionala offentliga aktörer skulle kunna bedriva dett</w:t>
      </w:r>
      <w:r w:rsidR="00731C20" w:rsidRPr="001A15E2">
        <w:t>a viktiga arbete.</w:t>
      </w:r>
    </w:p>
    <w:p w:rsidR="003B23BA" w:rsidRPr="001A15E2" w:rsidRDefault="003B23BA" w:rsidP="007A38C9">
      <w:pPr>
        <w:pStyle w:val="Rubrik2"/>
      </w:pPr>
      <w:bookmarkStart w:id="60" w:name="_Toc131407948"/>
      <w:bookmarkStart w:id="61" w:name="_Toc131818746"/>
      <w:r w:rsidRPr="001A15E2">
        <w:t>Metoder och verktyg</w:t>
      </w:r>
      <w:bookmarkEnd w:id="60"/>
      <w:bookmarkEnd w:id="61"/>
    </w:p>
    <w:p w:rsidR="003B23BA" w:rsidRPr="001A15E2" w:rsidRDefault="003B23BA" w:rsidP="00731C20">
      <w:pPr>
        <w:pStyle w:val="Citat"/>
      </w:pPr>
      <w:r w:rsidRPr="001A15E2">
        <w:t>Åtgärd 112: Regeringen avser att bjuda in andra stater som har eller överväger att utarbeta nationella handlingsplaner för de mänskliga rätti</w:t>
      </w:r>
      <w:r w:rsidRPr="001A15E2">
        <w:t>g</w:t>
      </w:r>
      <w:r w:rsidRPr="001A15E2">
        <w:t>heterna till en konferens om sådana handlingsplaner senast under 2008.</w:t>
      </w:r>
    </w:p>
    <w:p w:rsidR="003B23BA" w:rsidRPr="001A15E2" w:rsidRDefault="003B23BA" w:rsidP="007A38C9">
      <w:r w:rsidRPr="001A15E2">
        <w:t>Miljöpartiet har sedan länge drivit att Sverige ska ta initiativ till en internati</w:t>
      </w:r>
      <w:r w:rsidRPr="001A15E2">
        <w:t>o</w:t>
      </w:r>
      <w:r w:rsidRPr="001A15E2">
        <w:t>nell, och helst av FN arrangerad, konferens om mansrollen. Vi vill dessutom även se en konferens angående diskriminering på grund av sexuell läggning och hur detta skydd bättre ska kunna realiseras över hela världen.</w:t>
      </w:r>
    </w:p>
    <w:p w:rsidR="003B23BA" w:rsidRPr="001A15E2" w:rsidRDefault="003B23BA" w:rsidP="007A38C9">
      <w:pPr>
        <w:pStyle w:val="Rubrik2"/>
      </w:pPr>
      <w:bookmarkStart w:id="62" w:name="_Toc131407949"/>
      <w:bookmarkStart w:id="63" w:name="_Toc131818747"/>
      <w:r w:rsidRPr="001A15E2">
        <w:t>Dialog om de mänskliga rättigheterna</w:t>
      </w:r>
      <w:bookmarkEnd w:id="62"/>
      <w:bookmarkEnd w:id="63"/>
    </w:p>
    <w:p w:rsidR="003B23BA" w:rsidRPr="001A15E2" w:rsidRDefault="003B23BA" w:rsidP="00731C20">
      <w:pPr>
        <w:pStyle w:val="Citat"/>
      </w:pPr>
      <w:r w:rsidRPr="001A15E2">
        <w:t>Åtgärd 124: Regeringen för genom initiativet Globalt Ansvar en kontin</w:t>
      </w:r>
      <w:r w:rsidRPr="001A15E2">
        <w:t>u</w:t>
      </w:r>
      <w:r w:rsidRPr="001A15E2">
        <w:t>erlig</w:t>
      </w:r>
      <w:r w:rsidR="00731C20" w:rsidRPr="001A15E2">
        <w:t xml:space="preserve"> </w:t>
      </w:r>
      <w:r w:rsidRPr="001A15E2">
        <w:t>dialog med arbetsmarknadens parter och enskilda organisationer om frågor som rör</w:t>
      </w:r>
      <w:r w:rsidR="00731C20" w:rsidRPr="001A15E2">
        <w:t xml:space="preserve"> </w:t>
      </w:r>
      <w:r w:rsidRPr="001A15E2">
        <w:t>mänskliga rättigheter, arbetsvillkor, miljö och korru</w:t>
      </w:r>
      <w:r w:rsidRPr="001A15E2">
        <w:t>p</w:t>
      </w:r>
      <w:r w:rsidRPr="001A15E2">
        <w:t>tionsbekämpning.</w:t>
      </w:r>
      <w:r w:rsidR="00731C20" w:rsidRPr="001A15E2">
        <w:t xml:space="preserve"> </w:t>
      </w:r>
      <w:r w:rsidRPr="001A15E2">
        <w:t>Regeringen avser att fortsätta denna dialog under per</w:t>
      </w:r>
      <w:r w:rsidRPr="001A15E2">
        <w:t>i</w:t>
      </w:r>
      <w:r w:rsidRPr="001A15E2">
        <w:t>oden 2006-2009.</w:t>
      </w:r>
    </w:p>
    <w:p w:rsidR="003B23BA" w:rsidRPr="001A15E2" w:rsidRDefault="003B23BA" w:rsidP="007A38C9">
      <w:r w:rsidRPr="001A15E2">
        <w:t xml:space="preserve">Så som anges inledningsvis menar </w:t>
      </w:r>
      <w:r w:rsidR="007A38C9" w:rsidRPr="001A15E2">
        <w:t xml:space="preserve">Miljöpartiet </w:t>
      </w:r>
      <w:r w:rsidRPr="001A15E2">
        <w:t>att det inte bara är staten som har ett ansvar för att de mänskliga rättigheterna efterlevs, utan även privata aktörer. Arbetet för de mänskliga rättigheterna, såväl i Sverige som i världen, inbegriper alltså företag. Ansvaret för att följa de internationella regler som finns om bland annat mänskliga rättigheter bo</w:t>
      </w:r>
      <w:r w:rsidR="00731C20" w:rsidRPr="001A15E2">
        <w:t>rde således omfatta även dessa.</w:t>
      </w:r>
    </w:p>
    <w:p w:rsidR="003B23BA" w:rsidRPr="001A15E2" w:rsidRDefault="003B23BA" w:rsidP="00731C20">
      <w:pPr>
        <w:pStyle w:val="Normaltindrag"/>
      </w:pPr>
      <w:r w:rsidRPr="001A15E2">
        <w:t>Företag är viktiga för samhällets utveckling eftersom de producerar viktiga varor och tjänster som vi behöver. Men produktionen kan också ha en baks</w:t>
      </w:r>
      <w:r w:rsidRPr="001A15E2">
        <w:t>i</w:t>
      </w:r>
      <w:r w:rsidRPr="001A15E2">
        <w:t>da. Inte minst genom att konsumentorganisationer och konsumenter har up</w:t>
      </w:r>
      <w:r w:rsidRPr="001A15E2">
        <w:t>p</w:t>
      </w:r>
      <w:r w:rsidRPr="001A15E2">
        <w:t>märksammat problemet har frågan aktualiserats om på vilka villkor, såväl miljömässiga som sociala, företagens produktion sker.</w:t>
      </w:r>
    </w:p>
    <w:p w:rsidR="003B23BA" w:rsidRPr="001A15E2" w:rsidRDefault="003B23BA" w:rsidP="00731C20">
      <w:pPr>
        <w:pStyle w:val="Normaltindrag"/>
      </w:pPr>
      <w:r w:rsidRPr="001A15E2">
        <w:t>Den aspekt som vi vill lyfta fram i denna motion är naturligtvis arbetet för mänskliga rättigheter. Svenska företag som verkar internationellt riskerar i olika led av sin verksamhet att medverka till att de mänskliga rättigheterna kränks, även om de efterlever</w:t>
      </w:r>
      <w:r w:rsidR="00731C20" w:rsidRPr="001A15E2">
        <w:t xml:space="preserve"> den nationella lagstiftningen.</w:t>
      </w:r>
    </w:p>
    <w:p w:rsidR="003B23BA" w:rsidRPr="001A15E2" w:rsidRDefault="003B23BA" w:rsidP="00731C20">
      <w:pPr>
        <w:pStyle w:val="Normaltindrag"/>
      </w:pPr>
      <w:r w:rsidRPr="001A15E2">
        <w:t>Det har tagits en rad initiativ för att öka företagens ansvarstagande. På FN-nivå finns programmet Global Compact. På svensk nivå återfinns motsvari</w:t>
      </w:r>
      <w:r w:rsidRPr="001A15E2">
        <w:t>g</w:t>
      </w:r>
      <w:r w:rsidRPr="001A15E2">
        <w:t>heten Globalt Ansvar, med syfte att få svenska företag att agera ambassadörer för bland annat mänskliga rättigheter. Även OECD har riktlinjer för multin</w:t>
      </w:r>
      <w:r w:rsidRPr="001A15E2">
        <w:t>a</w:t>
      </w:r>
      <w:r w:rsidRPr="001A15E2">
        <w:t xml:space="preserve">tionella företag. Ett stort arbete utförs också av frivilligorganisationer. Ett exempel på en sådan är Swedwatch. Ett annat exempel på en organisation som arbetar specifikt med mänskliga rättigheter är den specialgrupp inom Amnesty, Amnesty Business Group, som arbetar med att påverka och även utbilda svenska företag i att ta ansvar </w:t>
      </w:r>
      <w:r w:rsidR="00731C20" w:rsidRPr="001A15E2">
        <w:t>för de mänskliga rättigheterna.</w:t>
      </w:r>
    </w:p>
    <w:p w:rsidR="003B23BA" w:rsidRPr="001A15E2" w:rsidRDefault="003B23BA" w:rsidP="00731C20">
      <w:pPr>
        <w:pStyle w:val="Normaltindrag"/>
      </w:pPr>
      <w:r w:rsidRPr="001A15E2">
        <w:t>Miljöpartiet menar dock att frivilligöverenskommelser inte är tillräckliga, utan verkar för och förordar internationellt tvingande regler för stora företags åtlydnad av exempelvis ILO:s konventioner och MR-standarder. Vi menar därför att regeringen bör stödja FN:s arbete med att utveckla normer och bindande regler för transnationella företag. Om detta nämns dock inget i r</w:t>
      </w:r>
      <w:r w:rsidRPr="001A15E2">
        <w:t>e</w:t>
      </w:r>
      <w:r w:rsidRPr="001A15E2">
        <w:t xml:space="preserve">geringens skrivelse, samtidigt som det är i linje med vad näringsutskottet anfört i betänkande </w:t>
      </w:r>
      <w:r w:rsidR="00A45979" w:rsidRPr="001A15E2">
        <w:t>20</w:t>
      </w:r>
      <w:r w:rsidRPr="001A15E2">
        <w:t>04/05</w:t>
      </w:r>
      <w:r w:rsidR="00E27113" w:rsidRPr="001A15E2">
        <w:t>:</w:t>
      </w:r>
      <w:r w:rsidR="00A45979" w:rsidRPr="001A15E2">
        <w:t>NU</w:t>
      </w:r>
      <w:r w:rsidRPr="001A15E2">
        <w:t>11 Vissa handelspolitiska frågor inom EU och WTO:</w:t>
      </w:r>
    </w:p>
    <w:p w:rsidR="003B23BA" w:rsidRPr="001A15E2" w:rsidRDefault="003B23BA" w:rsidP="00731C20">
      <w:pPr>
        <w:pStyle w:val="Citat"/>
      </w:pPr>
      <w:r w:rsidRPr="001A15E2">
        <w:t>När det gäller företags sociala och miljömässiga ansvar är det, mot ba</w:t>
      </w:r>
      <w:r w:rsidRPr="001A15E2">
        <w:t>k</w:t>
      </w:r>
      <w:r w:rsidRPr="001A15E2">
        <w:t>grund av de problem som finns med att hålla i synnerhet trans­nationella företag ansvariga, nödvändigt att initiativ tas för bindande regler för de</w:t>
      </w:r>
      <w:r w:rsidRPr="001A15E2">
        <w:t>s</w:t>
      </w:r>
      <w:r w:rsidRPr="001A15E2">
        <w:t>sa. Sverige borde därför stå som ett gott föredöme och verka pådrivande internationellt för att FN skall utarbeta sådana internationellt bindande regler.</w:t>
      </w:r>
    </w:p>
    <w:p w:rsidR="003B23BA" w:rsidRPr="001A15E2" w:rsidRDefault="003B23BA" w:rsidP="007A38C9">
      <w:r w:rsidRPr="001A15E2">
        <w:t xml:space="preserve">Vi vill här understryka att den svenska staten i egenskap </w:t>
      </w:r>
      <w:r w:rsidR="007A38C9" w:rsidRPr="001A15E2">
        <w:t>av företagsägare har en särskild</w:t>
      </w:r>
      <w:r w:rsidRPr="001A15E2">
        <w:t xml:space="preserve"> möjlighet och ett särskilt ansvar att verka för att dess företag i sina verksamheter inte bryter mot de mänskliga rättigheterna. I regeringens skr</w:t>
      </w:r>
      <w:r w:rsidRPr="001A15E2">
        <w:t>i</w:t>
      </w:r>
      <w:r w:rsidRPr="001A15E2">
        <w:t>velse från i</w:t>
      </w:r>
      <w:r w:rsidR="007A38C9" w:rsidRPr="001A15E2">
        <w:t xml:space="preserve"> </w:t>
      </w:r>
      <w:r w:rsidRPr="001A15E2">
        <w:t xml:space="preserve">fjol om svensk handelspolitik i WTO:s runda (skr. 2005/06:9) anges att </w:t>
      </w:r>
      <w:r w:rsidR="0033382F" w:rsidRPr="001A15E2">
        <w:t>”</w:t>
      </w:r>
      <w:r w:rsidRPr="001A15E2">
        <w:t xml:space="preserve">Staten skall självklart vara ett föredöme i att främja </w:t>
      </w:r>
      <w:r w:rsidR="00731C20" w:rsidRPr="001A15E2">
        <w:t>social och miljömässig hänsyn</w:t>
      </w:r>
      <w:r w:rsidR="0033382F" w:rsidRPr="001A15E2">
        <w:t>”</w:t>
      </w:r>
      <w:r w:rsidR="007A38C9" w:rsidRPr="001A15E2">
        <w:t>.</w:t>
      </w:r>
    </w:p>
    <w:p w:rsidR="003B23BA" w:rsidRPr="001A15E2" w:rsidRDefault="003B23BA" w:rsidP="00731C20">
      <w:pPr>
        <w:pStyle w:val="Normaltindrag"/>
      </w:pPr>
      <w:r w:rsidRPr="001A15E2">
        <w:t>De statligt ägda företagen måste därför gå före och visa vägen med sitt agerande. När exempelvis det statliga företaget Vattenfall köper torv från Vitryssland innebär detta ett direkt stöd till diktaturen i landet eftersom torven är viktig för den vitryska statskassan, som står under president Lukasjenkos kontroll. Detta är naturligtvis oacceptabelt.</w:t>
      </w:r>
    </w:p>
    <w:p w:rsidR="003B23BA" w:rsidRPr="001A15E2" w:rsidRDefault="003B23BA" w:rsidP="00731C20">
      <w:pPr>
        <w:pStyle w:val="Normaltindrag"/>
      </w:pPr>
      <w:r w:rsidRPr="001A15E2">
        <w:t xml:space="preserve">Vi menar därför att de statliga bolagen bör ges i uppdrag att utveckla sitt arbete när det gäller såväl hållbar utveckling som mänskliga rättigheter. Dessa bolag bör eftersträva att vara föregångare, allt enligt regeringens intentioner ovan. </w:t>
      </w:r>
    </w:p>
    <w:p w:rsidR="003B23BA" w:rsidRPr="001A15E2" w:rsidRDefault="003B23BA" w:rsidP="00731C20">
      <w:pPr>
        <w:pStyle w:val="Normaltindrag"/>
      </w:pPr>
      <w:r w:rsidRPr="001A15E2">
        <w:t>I skrivelsen omnämns på en rad områden vikten av utbildning. Vi vill sä</w:t>
      </w:r>
      <w:r w:rsidRPr="001A15E2">
        <w:t>r</w:t>
      </w:r>
      <w:r w:rsidRPr="001A15E2">
        <w:t xml:space="preserve">skilt understryka betydelsen av förbättrad utbildning inom </w:t>
      </w:r>
      <w:r w:rsidR="007A38C9" w:rsidRPr="001A15E2">
        <w:t>Näringsdepart</w:t>
      </w:r>
      <w:r w:rsidR="007A38C9" w:rsidRPr="001A15E2">
        <w:t>e</w:t>
      </w:r>
      <w:r w:rsidR="007A38C9" w:rsidRPr="001A15E2">
        <w:t xml:space="preserve">mentet </w:t>
      </w:r>
      <w:r w:rsidRPr="001A15E2">
        <w:t>i frågor som berör mänskliga rättigheter, för att i så mån kunna åtgärda ett bristfälligt agerande i ägaransvaret.</w:t>
      </w:r>
    </w:p>
    <w:p w:rsidR="003B23BA" w:rsidRPr="001A15E2" w:rsidRDefault="003B23BA" w:rsidP="00731C20">
      <w:pPr>
        <w:pStyle w:val="Normaltindrag"/>
      </w:pPr>
      <w:r w:rsidRPr="001A15E2">
        <w:t>Slutligen finns ett resonemang som borde nämnas i samband med företag och mänskliga rättigheter, nämligen det bakvända förhållningssätt som ti</w:t>
      </w:r>
      <w:r w:rsidRPr="001A15E2">
        <w:t>l</w:t>
      </w:r>
      <w:r w:rsidRPr="001A15E2">
        <w:t>lämpas i exempelvis USA. Där har, enligt domstolsutslag, även företag och ekonomiska verksamheter fått status som åtnjutare och förmånstagare av mänskliga rättigheter. Miljöpartiet menar att detta utgör en fullständig fö</w:t>
      </w:r>
      <w:r w:rsidRPr="001A15E2">
        <w:t>r</w:t>
      </w:r>
      <w:r w:rsidRPr="001A15E2">
        <w:t>vrängning av vad begreppet mänskliga innebär, det vill säga riktade till ind</w:t>
      </w:r>
      <w:r w:rsidRPr="001A15E2">
        <w:t>i</w:t>
      </w:r>
      <w:r w:rsidRPr="001A15E2">
        <w:t>vider. Vi önskar att regeringen öppet redovisar samma avståndstagande mot denna förvrängning av mänskliga rättigheter.</w:t>
      </w:r>
    </w:p>
    <w:p w:rsidR="003B23BA" w:rsidRPr="001A15E2" w:rsidRDefault="003B23BA" w:rsidP="003E4E54">
      <w:pPr>
        <w:pStyle w:val="Citat"/>
      </w:pPr>
      <w:r w:rsidRPr="001A15E2">
        <w:t>Åtgärd 126: Regeringen har uppdragit åt Samarbetsnämnden för statsb</w:t>
      </w:r>
      <w:r w:rsidRPr="001A15E2">
        <w:t>i</w:t>
      </w:r>
      <w:r w:rsidRPr="001A15E2">
        <w:t>drag till trossamfund att fördjupa dialogen med trossamfunden kring samhällets grundläggande värderingar. Uppdraget skall redovisas i d</w:t>
      </w:r>
      <w:r w:rsidRPr="001A15E2">
        <w:t>e</w:t>
      </w:r>
      <w:r w:rsidRPr="001A15E2">
        <w:t>cember 2006.</w:t>
      </w:r>
    </w:p>
    <w:p w:rsidR="003B23BA" w:rsidRPr="001A15E2" w:rsidRDefault="003B23BA" w:rsidP="007A38C9">
      <w:r w:rsidRPr="001A15E2">
        <w:t xml:space="preserve">Miljöpartiet menar att i detta arbete med en fördjupad dialog bör även alla diskrimineringsgrunderna ingå. </w:t>
      </w:r>
    </w:p>
    <w:p w:rsidR="003B23BA" w:rsidRPr="001A15E2" w:rsidRDefault="003B23BA" w:rsidP="007A38C9">
      <w:pPr>
        <w:pStyle w:val="Rubrik2"/>
      </w:pPr>
      <w:bookmarkStart w:id="64" w:name="_Toc131407950"/>
      <w:bookmarkStart w:id="65" w:name="_Toc131818748"/>
      <w:r w:rsidRPr="001A15E2">
        <w:t>Språk- och informationsfrågor</w:t>
      </w:r>
      <w:bookmarkEnd w:id="64"/>
      <w:bookmarkEnd w:id="65"/>
    </w:p>
    <w:p w:rsidR="003B23BA" w:rsidRPr="001A15E2" w:rsidRDefault="003B23BA" w:rsidP="003E4E54">
      <w:pPr>
        <w:pStyle w:val="Citat"/>
      </w:pPr>
      <w:r w:rsidRPr="001A15E2">
        <w:t>Åtgärd 127: Den nuvarande centrala statligt finansierade språkvården kommer att från och med den 1 juli 2006 förstärkas, samordnas och i</w:t>
      </w:r>
      <w:r w:rsidRPr="001A15E2">
        <w:t>n</w:t>
      </w:r>
      <w:r w:rsidRPr="001A15E2">
        <w:t>ordnas i myndigheten Språk- och folkminnesinstitutet för att inrymma utökade insatser för svenska språket, nationella minoritetsspråk, det svenska teckenspråket m.m. Ansvaret för det samiska språkarbetet ko</w:t>
      </w:r>
      <w:r w:rsidRPr="001A15E2">
        <w:t>m</w:t>
      </w:r>
      <w:r w:rsidRPr="001A15E2">
        <w:t>mer dock även fortsättningsvis ligga på Sametinget.</w:t>
      </w:r>
    </w:p>
    <w:p w:rsidR="00E84F25" w:rsidRPr="001A15E2" w:rsidRDefault="003B23BA" w:rsidP="007A38C9">
      <w:r w:rsidRPr="001A15E2">
        <w:t>Miljöpartiet saknar förslag till åtgärder för att höja romers kunskap om sitt eget språk. Exempelvis måste det finna</w:t>
      </w:r>
      <w:r w:rsidR="007A38C9" w:rsidRPr="001A15E2">
        <w:t>s formell</w:t>
      </w:r>
      <w:r w:rsidRPr="001A15E2">
        <w:t xml:space="preserve"> kompetens att undervisa i romani och det måste tas fram instruktioner för hur romani skrivs och stavas. Detta skulle även kunna ingå i den nya språkvårdsorganisationen och bedrivas i samarbete med ett universitet eller en viss högskola.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F7013" w:rsidRPr="001A15E2">
        <w:tblPrEx>
          <w:tblCellMar>
            <w:top w:w="0" w:type="dxa"/>
            <w:bottom w:w="0" w:type="dxa"/>
          </w:tblCellMar>
        </w:tblPrEx>
        <w:trPr>
          <w:cantSplit/>
        </w:trPr>
        <w:tc>
          <w:tcPr>
            <w:tcW w:w="3046" w:type="dxa"/>
          </w:tcPr>
          <w:p w:rsidR="009F7013" w:rsidRPr="001A15E2" w:rsidRDefault="009F7013" w:rsidP="009F7013">
            <w:pPr>
              <w:pStyle w:val="UnderskriftDatum"/>
              <w:spacing w:before="240"/>
            </w:pPr>
            <w:r w:rsidRPr="001A15E2">
              <w:t>Stockholm den 29 mars 2006</w:t>
            </w:r>
          </w:p>
        </w:tc>
        <w:tc>
          <w:tcPr>
            <w:tcW w:w="3047" w:type="dxa"/>
          </w:tcPr>
          <w:p w:rsidR="009F7013" w:rsidRPr="001A15E2" w:rsidRDefault="009F7013" w:rsidP="009F7013">
            <w:pPr>
              <w:pStyle w:val="Underskrifter"/>
              <w:spacing w:before="240"/>
            </w:pPr>
          </w:p>
        </w:tc>
      </w:tr>
      <w:tr w:rsidR="009F7013" w:rsidRPr="001A15E2">
        <w:tblPrEx>
          <w:tblCellMar>
            <w:top w:w="0" w:type="dxa"/>
            <w:bottom w:w="0" w:type="dxa"/>
          </w:tblCellMar>
        </w:tblPrEx>
        <w:trPr>
          <w:cantSplit/>
        </w:trPr>
        <w:tc>
          <w:tcPr>
            <w:tcW w:w="3046" w:type="dxa"/>
          </w:tcPr>
          <w:p w:rsidR="009F7013" w:rsidRPr="001A15E2" w:rsidRDefault="009F7013" w:rsidP="009F7013">
            <w:pPr>
              <w:pStyle w:val="Underskrifter"/>
            </w:pPr>
            <w:r w:rsidRPr="001A15E2">
              <w:t>Gustav Fridolin (mp)</w:t>
            </w:r>
          </w:p>
        </w:tc>
        <w:tc>
          <w:tcPr>
            <w:tcW w:w="3047" w:type="dxa"/>
          </w:tcPr>
          <w:p w:rsidR="009F7013" w:rsidRPr="001A15E2" w:rsidRDefault="009F7013" w:rsidP="009F7013">
            <w:pPr>
              <w:pStyle w:val="Underskrifter"/>
            </w:pPr>
          </w:p>
        </w:tc>
      </w:tr>
      <w:tr w:rsidR="009F7013" w:rsidRPr="001A15E2">
        <w:tblPrEx>
          <w:tblCellMar>
            <w:top w:w="0" w:type="dxa"/>
            <w:bottom w:w="0" w:type="dxa"/>
          </w:tblCellMar>
        </w:tblPrEx>
        <w:trPr>
          <w:cantSplit/>
        </w:trPr>
        <w:tc>
          <w:tcPr>
            <w:tcW w:w="3046" w:type="dxa"/>
          </w:tcPr>
          <w:p w:rsidR="009F7013" w:rsidRPr="001A15E2" w:rsidRDefault="009F7013" w:rsidP="009F7013">
            <w:pPr>
              <w:pStyle w:val="Underskrifter"/>
            </w:pPr>
            <w:r w:rsidRPr="001A15E2">
              <w:t>Ulf Holm (mp)</w:t>
            </w:r>
          </w:p>
        </w:tc>
        <w:tc>
          <w:tcPr>
            <w:tcW w:w="3047" w:type="dxa"/>
          </w:tcPr>
          <w:p w:rsidR="009F7013" w:rsidRPr="001A15E2" w:rsidRDefault="009F7013" w:rsidP="009F7013">
            <w:pPr>
              <w:pStyle w:val="Underskrifter"/>
            </w:pPr>
            <w:r w:rsidRPr="001A15E2">
              <w:t>Mikael Johansson (mp)</w:t>
            </w:r>
          </w:p>
        </w:tc>
      </w:tr>
      <w:tr w:rsidR="009F7013" w:rsidRPr="001A15E2">
        <w:tblPrEx>
          <w:tblCellMar>
            <w:top w:w="0" w:type="dxa"/>
            <w:bottom w:w="0" w:type="dxa"/>
          </w:tblCellMar>
        </w:tblPrEx>
        <w:trPr>
          <w:cantSplit/>
        </w:trPr>
        <w:tc>
          <w:tcPr>
            <w:tcW w:w="3046" w:type="dxa"/>
          </w:tcPr>
          <w:p w:rsidR="009F7013" w:rsidRPr="001A15E2" w:rsidRDefault="009F7013" w:rsidP="009F7013">
            <w:pPr>
              <w:pStyle w:val="Underskrifter"/>
            </w:pPr>
            <w:r w:rsidRPr="001A15E2">
              <w:t>Lotta Hedström (mp)</w:t>
            </w:r>
          </w:p>
        </w:tc>
        <w:tc>
          <w:tcPr>
            <w:tcW w:w="3047" w:type="dxa"/>
          </w:tcPr>
          <w:p w:rsidR="009F7013" w:rsidRPr="001A15E2" w:rsidRDefault="009F7013" w:rsidP="009F7013">
            <w:pPr>
              <w:pStyle w:val="Underskrifter"/>
            </w:pPr>
            <w:r w:rsidRPr="001A15E2">
              <w:t>Mona Jönsson (mp)</w:t>
            </w:r>
          </w:p>
        </w:tc>
      </w:tr>
    </w:tbl>
    <w:p w:rsidR="003E4E54" w:rsidRPr="001A15E2" w:rsidRDefault="003E4E54" w:rsidP="009F7013">
      <w:pPr>
        <w:pStyle w:val="Normaltindrag"/>
      </w:pPr>
    </w:p>
    <w:sectPr w:rsidR="003E4E54" w:rsidRPr="001A15E2" w:rsidSect="009F70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7AD7" w:rsidRPr="001A15E2" w:rsidRDefault="00FC7AD7">
      <w:r w:rsidRPr="001A15E2">
        <w:separator/>
      </w:r>
    </w:p>
  </w:endnote>
  <w:endnote w:type="continuationSeparator" w:id="0">
    <w:p w:rsidR="00FC7AD7" w:rsidRPr="001A15E2" w:rsidRDefault="00FC7AD7">
      <w:r w:rsidRPr="001A15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C2B" w:rsidRPr="001A15E2" w:rsidRDefault="001A15E2" w:rsidP="009F7013">
    <w:pPr>
      <w:pStyle w:val="Sidfot"/>
    </w:pPr>
    <w:r w:rsidRPr="001A15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90727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013" w:rsidRDefault="009F7013">
                          <w:pPr>
                            <w:pStyle w:val="NormalS5sidnrV"/>
                          </w:pPr>
                          <w:r>
                            <w:fldChar w:fldCharType="begin"/>
                          </w:r>
                          <w:r>
                            <w:instrText xml:space="preserve"> PAGE *\charformat</w:instrText>
                          </w:r>
                          <w:r>
                            <w:fldChar w:fldCharType="separate"/>
                          </w:r>
                          <w:r w:rsidR="00E27113">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7013" w:rsidRDefault="009F7013">
                    <w:pPr>
                      <w:pStyle w:val="NormalS5sidnrV"/>
                    </w:pPr>
                    <w:r>
                      <w:fldChar w:fldCharType="begin"/>
                    </w:r>
                    <w:r>
                      <w:instrText xml:space="preserve"> PAGE *\charformat</w:instrText>
                    </w:r>
                    <w:r>
                      <w:fldChar w:fldCharType="separate"/>
                    </w:r>
                    <w:r w:rsidR="00E27113">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C2B" w:rsidRPr="001A15E2" w:rsidRDefault="001A15E2" w:rsidP="009F7013">
    <w:pPr>
      <w:pStyle w:val="Sidfot"/>
    </w:pPr>
    <w:r w:rsidRPr="001A15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26252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013" w:rsidRDefault="009F7013">
                          <w:pPr>
                            <w:pStyle w:val="NormalS5sidnrH"/>
                            <w:ind w:right="0"/>
                          </w:pPr>
                          <w:r>
                            <w:fldChar w:fldCharType="begin"/>
                          </w:r>
                          <w:r>
                            <w:instrText xml:space="preserve"> PAGE *\charformat</w:instrText>
                          </w:r>
                          <w:r>
                            <w:fldChar w:fldCharType="separate"/>
                          </w:r>
                          <w:r w:rsidR="00E2711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7013" w:rsidRDefault="009F7013">
                    <w:pPr>
                      <w:pStyle w:val="NormalS5sidnrH"/>
                      <w:ind w:right="0"/>
                    </w:pPr>
                    <w:r>
                      <w:fldChar w:fldCharType="begin"/>
                    </w:r>
                    <w:r>
                      <w:instrText xml:space="preserve"> PAGE *\charformat</w:instrText>
                    </w:r>
                    <w:r>
                      <w:fldChar w:fldCharType="separate"/>
                    </w:r>
                    <w:r w:rsidR="00E27113">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C2B" w:rsidRPr="001A15E2" w:rsidRDefault="001A15E2" w:rsidP="009F7013">
    <w:pPr>
      <w:pStyle w:val="Sidfot"/>
    </w:pPr>
    <w:r w:rsidRPr="001A15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41282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013" w:rsidRDefault="009F7013">
                          <w:pPr>
                            <w:pStyle w:val="NormalS5sidnrH"/>
                            <w:ind w:right="0"/>
                          </w:pPr>
                          <w:r>
                            <w:fldChar w:fldCharType="begin"/>
                          </w:r>
                          <w:r>
                            <w:instrText xml:space="preserve"> PAGE *\charformat</w:instrText>
                          </w:r>
                          <w:r>
                            <w:fldChar w:fldCharType="separate"/>
                          </w:r>
                          <w:r w:rsidR="00E2711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7013" w:rsidRDefault="009F7013">
                    <w:pPr>
                      <w:pStyle w:val="NormalS5sidnrH"/>
                      <w:ind w:right="0"/>
                    </w:pPr>
                    <w:r>
                      <w:fldChar w:fldCharType="begin"/>
                    </w:r>
                    <w:r>
                      <w:instrText xml:space="preserve"> PAGE *\charformat</w:instrText>
                    </w:r>
                    <w:r>
                      <w:fldChar w:fldCharType="separate"/>
                    </w:r>
                    <w:r w:rsidR="00E2711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7AD7" w:rsidRPr="001A15E2" w:rsidRDefault="00FC7AD7">
      <w:r w:rsidRPr="001A15E2">
        <w:separator/>
      </w:r>
    </w:p>
  </w:footnote>
  <w:footnote w:type="continuationSeparator" w:id="0">
    <w:p w:rsidR="00FC7AD7" w:rsidRPr="001A15E2" w:rsidRDefault="00FC7AD7">
      <w:r w:rsidRPr="001A15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C2B" w:rsidRPr="001A15E2" w:rsidRDefault="001A15E2" w:rsidP="009F7013">
    <w:pPr>
      <w:pStyle w:val="Sidhuvud"/>
    </w:pPr>
    <w:r w:rsidRPr="001A15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3021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013" w:rsidRDefault="009F7013">
                          <w:pPr>
                            <w:pStyle w:val="KantRubrikS5V"/>
                          </w:pPr>
                          <w:r>
                            <w:fldChar w:fldCharType="begin"/>
                          </w:r>
                          <w:r>
                            <w:instrText xml:space="preserve"> DOCPROPERTY "YearUser" *\charformat </w:instrText>
                          </w:r>
                          <w:r>
                            <w:fldChar w:fldCharType="separate"/>
                          </w:r>
                          <w:r w:rsidR="00E27113">
                            <w:t>2005/06</w:t>
                          </w:r>
                          <w:r>
                            <w:fldChar w:fldCharType="end"/>
                          </w:r>
                          <w:r>
                            <w:t>:</w:t>
                          </w:r>
                          <w:r>
                            <w:fldChar w:fldCharType="begin"/>
                          </w:r>
                          <w:r>
                            <w:instrText xml:space="preserve"> DOCPROPERTY "Motionsnummer" *\charformat </w:instrText>
                          </w:r>
                          <w:r>
                            <w:fldChar w:fldCharType="separate"/>
                          </w:r>
                          <w:r w:rsidR="00E27113">
                            <w:t>K22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7013" w:rsidRDefault="009F7013">
                    <w:pPr>
                      <w:pStyle w:val="KantRubrikS5V"/>
                    </w:pPr>
                    <w:r>
                      <w:fldChar w:fldCharType="begin"/>
                    </w:r>
                    <w:r>
                      <w:instrText xml:space="preserve"> DOCPROPERTY "YearUser" *\charformat </w:instrText>
                    </w:r>
                    <w:r>
                      <w:fldChar w:fldCharType="separate"/>
                    </w:r>
                    <w:r w:rsidR="00E27113">
                      <w:t>2005/06</w:t>
                    </w:r>
                    <w:r>
                      <w:fldChar w:fldCharType="end"/>
                    </w:r>
                    <w:r>
                      <w:t>:</w:t>
                    </w:r>
                    <w:r>
                      <w:fldChar w:fldCharType="begin"/>
                    </w:r>
                    <w:r>
                      <w:instrText xml:space="preserve"> DOCPROPERTY "Motionsnummer" *\charformat </w:instrText>
                    </w:r>
                    <w:r>
                      <w:fldChar w:fldCharType="separate"/>
                    </w:r>
                    <w:r w:rsidR="00E27113">
                      <w:t>K22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C2B" w:rsidRPr="001A15E2" w:rsidRDefault="001A15E2" w:rsidP="009F7013">
    <w:pPr>
      <w:pStyle w:val="Sidhuvud"/>
    </w:pPr>
    <w:r w:rsidRPr="001A15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58205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013" w:rsidRDefault="009F7013">
                          <w:pPr>
                            <w:pStyle w:val="KantRubrikS5H"/>
                            <w:ind w:right="0"/>
                          </w:pPr>
                          <w:r>
                            <w:fldChar w:fldCharType="begin"/>
                          </w:r>
                          <w:r>
                            <w:instrText xml:space="preserve"> DOCPROPERTY "YearUser" *\charformat </w:instrText>
                          </w:r>
                          <w:r>
                            <w:fldChar w:fldCharType="separate"/>
                          </w:r>
                          <w:r w:rsidR="00E27113">
                            <w:t>2005/06</w:t>
                          </w:r>
                          <w:r>
                            <w:fldChar w:fldCharType="end"/>
                          </w:r>
                          <w:r>
                            <w:t>:</w:t>
                          </w:r>
                          <w:r>
                            <w:fldChar w:fldCharType="begin"/>
                          </w:r>
                          <w:r>
                            <w:instrText xml:space="preserve"> DOCPROPERTY "Motionsnummer" *\charformat </w:instrText>
                          </w:r>
                          <w:r>
                            <w:fldChar w:fldCharType="separate"/>
                          </w:r>
                          <w:r w:rsidR="00E27113">
                            <w:t>K22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7013" w:rsidRDefault="009F7013">
                    <w:pPr>
                      <w:pStyle w:val="KantRubrikS5H"/>
                      <w:ind w:right="0"/>
                    </w:pPr>
                    <w:r>
                      <w:fldChar w:fldCharType="begin"/>
                    </w:r>
                    <w:r>
                      <w:instrText xml:space="preserve"> DOCPROPERTY "YearUser" *\charformat </w:instrText>
                    </w:r>
                    <w:r>
                      <w:fldChar w:fldCharType="separate"/>
                    </w:r>
                    <w:r w:rsidR="00E27113">
                      <w:t>2005/06</w:t>
                    </w:r>
                    <w:r>
                      <w:fldChar w:fldCharType="end"/>
                    </w:r>
                    <w:r>
                      <w:t>:</w:t>
                    </w:r>
                    <w:r>
                      <w:fldChar w:fldCharType="begin"/>
                    </w:r>
                    <w:r>
                      <w:instrText xml:space="preserve"> DOCPROPERTY "Motionsnummer" *\charformat </w:instrText>
                    </w:r>
                    <w:r>
                      <w:fldChar w:fldCharType="separate"/>
                    </w:r>
                    <w:r w:rsidR="00E27113">
                      <w:t>K22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013" w:rsidRPr="001A15E2" w:rsidRDefault="009F7013">
    <w:pPr>
      <w:pStyle w:val="FSHNormal"/>
      <w:tabs>
        <w:tab w:val="right" w:pos="5840"/>
      </w:tabs>
    </w:pPr>
    <w:r w:rsidRPr="001A15E2">
      <w:br/>
    </w:r>
    <w:r w:rsidRPr="001A15E2">
      <w:fldChar w:fldCharType="begin" w:fldLock="1"/>
    </w:r>
    <w:r w:rsidRPr="001A15E2">
      <w:instrText xml:space="preserve"> DOCPROPERTY</w:instrText>
    </w:r>
    <w:r w:rsidRPr="001A15E2">
      <w:rPr>
        <w:sz w:val="18"/>
      </w:rPr>
      <w:instrText xml:space="preserve"> "YearUser" *\charformat </w:instrText>
    </w:r>
    <w:r w:rsidRPr="001A15E2">
      <w:fldChar w:fldCharType="separate"/>
    </w:r>
    <w:r w:rsidR="00E27113" w:rsidRPr="001A15E2">
      <w:t>2005/06</w:t>
    </w:r>
    <w:r w:rsidRPr="001A15E2">
      <w:fldChar w:fldCharType="end"/>
    </w:r>
    <w:r w:rsidRPr="001A15E2">
      <w:t xml:space="preserve"> </w:t>
    </w:r>
    <w:r w:rsidRPr="001A15E2">
      <w:tab/>
      <w:t xml:space="preserve">mnr: </w:t>
    </w:r>
    <w:r w:rsidRPr="001A15E2">
      <w:fldChar w:fldCharType="begin" w:fldLock="1"/>
    </w:r>
    <w:r w:rsidRPr="001A15E2">
      <w:instrText xml:space="preserve"> DOCPROPERTY</w:instrText>
    </w:r>
    <w:r w:rsidRPr="001A15E2">
      <w:rPr>
        <w:sz w:val="18"/>
      </w:rPr>
      <w:instrText xml:space="preserve"> "Motionsnummer" *\charformat </w:instrText>
    </w:r>
    <w:r w:rsidRPr="001A15E2">
      <w:fldChar w:fldCharType="separate"/>
    </w:r>
    <w:r w:rsidR="00E27113" w:rsidRPr="001A15E2">
      <w:t>K22</w:t>
    </w:r>
    <w:r w:rsidRPr="001A15E2">
      <w:fldChar w:fldCharType="end"/>
    </w:r>
    <w:r w:rsidRPr="001A15E2">
      <w:br/>
    </w:r>
    <w:r w:rsidRPr="001A15E2">
      <w:fldChar w:fldCharType="begin" w:fldLock="1"/>
    </w:r>
    <w:r w:rsidRPr="001A15E2">
      <w:instrText xml:space="preserve"> DOCPROPERTY</w:instrText>
    </w:r>
    <w:r w:rsidRPr="001A15E2">
      <w:rPr>
        <w:sz w:val="18"/>
      </w:rPr>
      <w:instrText xml:space="preserve"> "Samling" *\charformat </w:instrText>
    </w:r>
    <w:r w:rsidRPr="001A15E2">
      <w:fldChar w:fldCharType="end"/>
    </w:r>
    <w:r w:rsidRPr="001A15E2">
      <w:tab/>
      <w:t xml:space="preserve">pnr: </w:t>
    </w:r>
    <w:r w:rsidRPr="001A15E2">
      <w:fldChar w:fldCharType="begin" w:fldLock="1"/>
    </w:r>
    <w:r w:rsidRPr="001A15E2">
      <w:instrText xml:space="preserve"> DOCPROPERTY</w:instrText>
    </w:r>
    <w:r w:rsidRPr="001A15E2">
      <w:rPr>
        <w:sz w:val="18"/>
      </w:rPr>
      <w:instrText xml:space="preserve"> "Partinummer" *\charformat </w:instrText>
    </w:r>
    <w:r w:rsidRPr="001A15E2">
      <w:fldChar w:fldCharType="separate"/>
    </w:r>
    <w:r w:rsidR="00E27113" w:rsidRPr="001A15E2">
      <w:t>mp021</w:t>
    </w:r>
    <w:r w:rsidRPr="001A15E2">
      <w:fldChar w:fldCharType="end"/>
    </w:r>
  </w:p>
  <w:p w:rsidR="009F7013" w:rsidRPr="001A15E2" w:rsidRDefault="009F7013">
    <w:pPr>
      <w:pStyle w:val="FSHRub1"/>
    </w:pPr>
    <w:r w:rsidRPr="001A15E2">
      <w:t>Motion till riksdagen</w:t>
    </w:r>
    <w:r w:rsidRPr="001A15E2">
      <w:br/>
    </w:r>
    <w:r w:rsidRPr="001A15E2">
      <w:fldChar w:fldCharType="begin" w:fldLock="1"/>
    </w:r>
    <w:r w:rsidRPr="001A15E2">
      <w:instrText xml:space="preserve"> DOCPROPERTY "YearUser" *\charformat </w:instrText>
    </w:r>
    <w:r w:rsidRPr="001A15E2">
      <w:fldChar w:fldCharType="separate"/>
    </w:r>
    <w:r w:rsidR="00E27113" w:rsidRPr="001A15E2">
      <w:t>2005/06</w:t>
    </w:r>
    <w:r w:rsidRPr="001A15E2">
      <w:fldChar w:fldCharType="end"/>
    </w:r>
    <w:r w:rsidRPr="001A15E2">
      <w:t>:</w:t>
    </w:r>
    <w:r w:rsidRPr="001A15E2">
      <w:fldChar w:fldCharType="begin" w:fldLock="1"/>
    </w:r>
    <w:r w:rsidRPr="001A15E2">
      <w:instrText xml:space="preserve"> DOCPROPERTY "Motionsnummer" *\charformat </w:instrText>
    </w:r>
    <w:r w:rsidRPr="001A15E2">
      <w:fldChar w:fldCharType="separate"/>
    </w:r>
    <w:r w:rsidR="00E27113" w:rsidRPr="001A15E2">
      <w:t>K22</w:t>
    </w:r>
    <w:r w:rsidRPr="001A15E2">
      <w:fldChar w:fldCharType="end"/>
    </w:r>
  </w:p>
  <w:p w:rsidR="009F7013" w:rsidRPr="001A15E2" w:rsidRDefault="009F7013">
    <w:pPr>
      <w:pStyle w:val="FSHNormalS5"/>
    </w:pPr>
    <w:r w:rsidRPr="001A15E2">
      <w:fldChar w:fldCharType="begin" w:fldLock="1"/>
    </w:r>
    <w:r w:rsidRPr="001A15E2">
      <w:instrText xml:space="preserve"> DOCPROPERTY "MotionarText" *\charformat </w:instrText>
    </w:r>
    <w:r w:rsidRPr="001A15E2">
      <w:fldChar w:fldCharType="separate"/>
    </w:r>
    <w:r w:rsidR="00E27113" w:rsidRPr="001A15E2">
      <w:t>av Gustav Fridolin m.fl. (mp)</w:t>
    </w:r>
    <w:r w:rsidRPr="001A15E2">
      <w:fldChar w:fldCharType="end"/>
    </w:r>
    <w:r w:rsidRPr="001A15E2">
      <w:br/>
    </w:r>
    <w:r w:rsidRPr="001A15E2">
      <w:fldChar w:fldCharType="begin" w:fldLock="1"/>
    </w:r>
    <w:r w:rsidRPr="001A15E2">
      <w:instrText xml:space="preserve"> DOCPROPERTY "SvarFrasKort" *\charformat </w:instrText>
    </w:r>
    <w:r w:rsidRPr="001A15E2">
      <w:fldChar w:fldCharType="separate"/>
    </w:r>
    <w:r w:rsidR="00E27113" w:rsidRPr="001A15E2">
      <w:t>med anledning av skr. 2005/06:95</w:t>
    </w:r>
    <w:r w:rsidRPr="001A15E2">
      <w:fldChar w:fldCharType="end"/>
    </w:r>
  </w:p>
  <w:p w:rsidR="009F7013" w:rsidRPr="001A15E2" w:rsidRDefault="009F7013">
    <w:pPr>
      <w:pStyle w:val="FSHTitel"/>
    </w:pPr>
    <w:r w:rsidRPr="001A15E2">
      <w:fldChar w:fldCharType="begin" w:fldLock="1"/>
    </w:r>
    <w:r w:rsidRPr="001A15E2">
      <w:instrText xml:space="preserve"> DOCPROPERTY</w:instrText>
    </w:r>
    <w:r w:rsidRPr="001A15E2">
      <w:rPr>
        <w:sz w:val="18"/>
      </w:rPr>
      <w:instrText xml:space="preserve"> "RubrikSvar" *\charformat </w:instrText>
    </w:r>
    <w:r w:rsidRPr="001A15E2">
      <w:fldChar w:fldCharType="separate"/>
    </w:r>
    <w:r w:rsidR="00E27113" w:rsidRPr="001A15E2">
      <w:t>En nationell handlingsplan för de mänskliga rättigheterna 2006–2009</w:t>
    </w:r>
    <w:r w:rsidRPr="001A15E2">
      <w:fldChar w:fldCharType="end"/>
    </w:r>
  </w:p>
  <w:p w:rsidR="009F7013" w:rsidRPr="001A15E2" w:rsidRDefault="009F7013" w:rsidP="009F701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37053D"/>
    <w:multiLevelType w:val="hybridMultilevel"/>
    <w:tmpl w:val="0046DDB2"/>
    <w:lvl w:ilvl="0" w:tplc="F4282E7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F791312"/>
    <w:multiLevelType w:val="multilevel"/>
    <w:tmpl w:val="5F8A9D7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09281537">
    <w:abstractNumId w:val="15"/>
  </w:num>
  <w:num w:numId="2" w16cid:durableId="936719699">
    <w:abstractNumId w:val="11"/>
  </w:num>
  <w:num w:numId="3" w16cid:durableId="1896312188">
    <w:abstractNumId w:val="12"/>
  </w:num>
  <w:num w:numId="4" w16cid:durableId="105585895">
    <w:abstractNumId w:val="13"/>
  </w:num>
  <w:num w:numId="5" w16cid:durableId="288783838">
    <w:abstractNumId w:val="8"/>
  </w:num>
  <w:num w:numId="6" w16cid:durableId="202400534">
    <w:abstractNumId w:val="3"/>
  </w:num>
  <w:num w:numId="7" w16cid:durableId="343212197">
    <w:abstractNumId w:val="2"/>
  </w:num>
  <w:num w:numId="8" w16cid:durableId="2065715776">
    <w:abstractNumId w:val="1"/>
  </w:num>
  <w:num w:numId="9" w16cid:durableId="643395481">
    <w:abstractNumId w:val="0"/>
  </w:num>
  <w:num w:numId="10" w16cid:durableId="406651585">
    <w:abstractNumId w:val="9"/>
  </w:num>
  <w:num w:numId="11" w16cid:durableId="1592928682">
    <w:abstractNumId w:val="7"/>
  </w:num>
  <w:num w:numId="12" w16cid:durableId="281230978">
    <w:abstractNumId w:val="6"/>
  </w:num>
  <w:num w:numId="13" w16cid:durableId="1418357475">
    <w:abstractNumId w:val="5"/>
  </w:num>
  <w:num w:numId="14" w16cid:durableId="1537810457">
    <w:abstractNumId w:val="4"/>
  </w:num>
  <w:num w:numId="15" w16cid:durableId="618336109">
    <w:abstractNumId w:val="10"/>
  </w:num>
  <w:num w:numId="16" w16cid:durableId="19037844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9"/>
  </w:docVars>
  <w:rsids>
    <w:rsidRoot w:val="00731C20"/>
    <w:rsid w:val="00040D14"/>
    <w:rsid w:val="0004381F"/>
    <w:rsid w:val="00064BC3"/>
    <w:rsid w:val="000665E6"/>
    <w:rsid w:val="00066775"/>
    <w:rsid w:val="00072FB9"/>
    <w:rsid w:val="000C3A66"/>
    <w:rsid w:val="000E48DA"/>
    <w:rsid w:val="000F5ADD"/>
    <w:rsid w:val="00100531"/>
    <w:rsid w:val="0010382E"/>
    <w:rsid w:val="001A15E2"/>
    <w:rsid w:val="001D4DEC"/>
    <w:rsid w:val="001E0043"/>
    <w:rsid w:val="00201DFB"/>
    <w:rsid w:val="00204A63"/>
    <w:rsid w:val="00212FF1"/>
    <w:rsid w:val="00230193"/>
    <w:rsid w:val="0025068A"/>
    <w:rsid w:val="002818D3"/>
    <w:rsid w:val="002943C8"/>
    <w:rsid w:val="00295E6D"/>
    <w:rsid w:val="002C2373"/>
    <w:rsid w:val="002D11A8"/>
    <w:rsid w:val="0033382F"/>
    <w:rsid w:val="003866EC"/>
    <w:rsid w:val="003B23BA"/>
    <w:rsid w:val="003E4E54"/>
    <w:rsid w:val="003F100A"/>
    <w:rsid w:val="004438E3"/>
    <w:rsid w:val="00445271"/>
    <w:rsid w:val="00447A04"/>
    <w:rsid w:val="004A0504"/>
    <w:rsid w:val="004E38D9"/>
    <w:rsid w:val="005519EF"/>
    <w:rsid w:val="005B145B"/>
    <w:rsid w:val="005C7FA3"/>
    <w:rsid w:val="00673C59"/>
    <w:rsid w:val="006B48D3"/>
    <w:rsid w:val="006D7C2B"/>
    <w:rsid w:val="00731C20"/>
    <w:rsid w:val="00740D6D"/>
    <w:rsid w:val="00743F76"/>
    <w:rsid w:val="00794149"/>
    <w:rsid w:val="007A38C9"/>
    <w:rsid w:val="007B67A7"/>
    <w:rsid w:val="007C6092"/>
    <w:rsid w:val="00846903"/>
    <w:rsid w:val="00870337"/>
    <w:rsid w:val="008E07C8"/>
    <w:rsid w:val="009732BB"/>
    <w:rsid w:val="009F7013"/>
    <w:rsid w:val="00A053C6"/>
    <w:rsid w:val="00A45979"/>
    <w:rsid w:val="00AB5000"/>
    <w:rsid w:val="00AB625B"/>
    <w:rsid w:val="00B13BF0"/>
    <w:rsid w:val="00B33C81"/>
    <w:rsid w:val="00B67E5B"/>
    <w:rsid w:val="00BA6BE0"/>
    <w:rsid w:val="00BB6D75"/>
    <w:rsid w:val="00C1285C"/>
    <w:rsid w:val="00C27B7D"/>
    <w:rsid w:val="00C64F22"/>
    <w:rsid w:val="00CE3037"/>
    <w:rsid w:val="00CF7A43"/>
    <w:rsid w:val="00D01775"/>
    <w:rsid w:val="00D1174F"/>
    <w:rsid w:val="00D53D04"/>
    <w:rsid w:val="00DC6C70"/>
    <w:rsid w:val="00E22893"/>
    <w:rsid w:val="00E27113"/>
    <w:rsid w:val="00E349C2"/>
    <w:rsid w:val="00E360DE"/>
    <w:rsid w:val="00E521CB"/>
    <w:rsid w:val="00E75D28"/>
    <w:rsid w:val="00E84F25"/>
    <w:rsid w:val="00F21B30"/>
    <w:rsid w:val="00F61CE0"/>
    <w:rsid w:val="00F67623"/>
    <w:rsid w:val="00F73E9E"/>
    <w:rsid w:val="00F904E7"/>
    <w:rsid w:val="00FA3374"/>
    <w:rsid w:val="00FC7AD7"/>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3642D4-DFB8-4EDF-8B94-0760E934A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F7013"/>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F7013"/>
    <w:pPr>
      <w:numPr>
        <w:ilvl w:val="1"/>
      </w:numPr>
      <w:spacing w:before="500" w:line="250" w:lineRule="exact"/>
      <w:outlineLvl w:val="1"/>
    </w:pPr>
    <w:rPr>
      <w:sz w:val="27"/>
    </w:rPr>
  </w:style>
  <w:style w:type="paragraph" w:styleId="Rubrik3">
    <w:name w:val="heading 3"/>
    <w:aliases w:val="Mellanrubrik"/>
    <w:basedOn w:val="Rubrik2"/>
    <w:next w:val="Normal"/>
    <w:qFormat/>
    <w:rsid w:val="009F7013"/>
    <w:pPr>
      <w:numPr>
        <w:ilvl w:val="2"/>
      </w:numPr>
      <w:spacing w:before="250" w:after="0"/>
      <w:outlineLvl w:val="2"/>
    </w:pPr>
    <w:rPr>
      <w:b/>
      <w:sz w:val="21"/>
    </w:rPr>
  </w:style>
  <w:style w:type="paragraph" w:styleId="Rubrik4">
    <w:name w:val="heading 4"/>
    <w:aliases w:val="KursivRubrik"/>
    <w:basedOn w:val="Rubrik3"/>
    <w:next w:val="Normal"/>
    <w:qFormat/>
    <w:rsid w:val="009F7013"/>
    <w:pPr>
      <w:numPr>
        <w:ilvl w:val="3"/>
      </w:numPr>
      <w:outlineLvl w:val="3"/>
    </w:pPr>
    <w:rPr>
      <w:b w:val="0"/>
      <w:i/>
    </w:rPr>
  </w:style>
  <w:style w:type="paragraph" w:styleId="Rubrik5">
    <w:name w:val="heading 5"/>
    <w:aliases w:val="PackadFetRubrik,PackadKursivRubrik"/>
    <w:basedOn w:val="Rubrik4"/>
    <w:next w:val="Normal"/>
    <w:qFormat/>
    <w:rsid w:val="009F7013"/>
    <w:pPr>
      <w:numPr>
        <w:ilvl w:val="4"/>
      </w:numPr>
      <w:tabs>
        <w:tab w:val="clear" w:pos="1021"/>
      </w:tabs>
      <w:spacing w:before="125"/>
      <w:outlineLvl w:val="4"/>
    </w:pPr>
    <w:rPr>
      <w:i w:val="0"/>
      <w:sz w:val="19"/>
    </w:rPr>
  </w:style>
  <w:style w:type="paragraph" w:styleId="Rubrik6">
    <w:name w:val="heading 6"/>
    <w:basedOn w:val="Rubrik5"/>
    <w:next w:val="Normal"/>
    <w:qFormat/>
    <w:rsid w:val="009F7013"/>
    <w:pPr>
      <w:numPr>
        <w:ilvl w:val="5"/>
      </w:numPr>
      <w:spacing w:before="50" w:line="200" w:lineRule="exact"/>
      <w:outlineLvl w:val="5"/>
    </w:pPr>
    <w:rPr>
      <w:caps/>
      <w:sz w:val="14"/>
    </w:rPr>
  </w:style>
  <w:style w:type="paragraph" w:styleId="Rubrik7">
    <w:name w:val="heading 7"/>
    <w:basedOn w:val="Rubrik6"/>
    <w:next w:val="Normal"/>
    <w:qFormat/>
    <w:rsid w:val="009F7013"/>
    <w:pPr>
      <w:numPr>
        <w:ilvl w:val="6"/>
      </w:numPr>
      <w:spacing w:before="0"/>
      <w:outlineLvl w:val="6"/>
    </w:pPr>
  </w:style>
  <w:style w:type="paragraph" w:styleId="Rubrik8">
    <w:name w:val="heading 8"/>
    <w:basedOn w:val="Rubrik7"/>
    <w:next w:val="Normal"/>
    <w:qFormat/>
    <w:rsid w:val="009F7013"/>
    <w:pPr>
      <w:numPr>
        <w:ilvl w:val="7"/>
      </w:numPr>
      <w:outlineLvl w:val="7"/>
    </w:pPr>
  </w:style>
  <w:style w:type="paragraph" w:styleId="Rubrik9">
    <w:name w:val="heading 9"/>
    <w:basedOn w:val="Rubrik8"/>
    <w:next w:val="Normal"/>
    <w:qFormat/>
    <w:rsid w:val="009F7013"/>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Dokumentversikt">
    <w:name w:val="Document Map"/>
    <w:basedOn w:val="Normal"/>
    <w:semiHidden/>
    <w:rsid w:val="003B23BA"/>
    <w:pPr>
      <w:shd w:val="clear" w:color="auto" w:fill="000080"/>
    </w:pPr>
    <w:rPr>
      <w:rFonts w:ascii="Tahoma" w:hAnsi="Tahoma" w:cs="Tahoma"/>
      <w:sz w:val="20"/>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F701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7377</Words>
  <Characters>44118</Characters>
  <Application>Microsoft Office Word</Application>
  <DocSecurity>4</DocSecurity>
  <Lines>817</Lines>
  <Paragraphs>271</Paragraphs>
  <ScaleCrop>false</ScaleCrop>
  <HeadingPairs>
    <vt:vector size="2" baseType="variant">
      <vt:variant>
        <vt:lpstr>Rubrik</vt:lpstr>
      </vt:variant>
      <vt:variant>
        <vt:i4>1</vt:i4>
      </vt:variant>
    </vt:vector>
  </HeadingPairs>
  <TitlesOfParts>
    <vt:vector size="1" baseType="lpstr">
      <vt:lpstr>K22</vt:lpstr>
    </vt:vector>
  </TitlesOfParts>
  <Company>Riksdagen</Company>
  <LinksUpToDate>false</LinksUpToDate>
  <CharactersWithSpaces>51224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K22</dc:title>
  <dc:subject>K22</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2006-04-04T08:57:00Z</cp:lastPrinted>
  <dcterms:created xsi:type="dcterms:W3CDTF">2025-12-16T19:34:00Z</dcterms:created>
  <dcterms:modified xsi:type="dcterms:W3CDTF">2025-12-16T19:34:00Z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mot2000_433_2006-03-29</vt:lpwstr>
  </property>
  <property fmtid="{D5CDD505-2E9C-101B-9397-08002B2CF9AE}" pid="3" name="version">
    <vt:lpwstr>mot2000_433_2006-03-29</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2005/06:95 En nationell handlingsplan för de mänskliga rättigheterna 2006–2009</vt:lpwstr>
  </property>
  <property fmtid="{D5CDD505-2E9C-101B-9397-08002B2CF9AE}" pid="11" name="SvarFrasKort">
    <vt:lpwstr>med anledning av skr. 2005/06:95</vt:lpwstr>
  </property>
  <property fmtid="{D5CDD505-2E9C-101B-9397-08002B2CF9AE}" pid="12" name="Svar">
    <vt:lpwstr>skrivelse</vt:lpwstr>
  </property>
  <property fmtid="{D5CDD505-2E9C-101B-9397-08002B2CF9AE}" pid="13" name="SvarNr">
    <vt:lpwstr>2005/06:95</vt:lpwstr>
  </property>
  <property fmtid="{D5CDD505-2E9C-101B-9397-08002B2CF9AE}" pid="14" name="RubrikSvar">
    <vt:lpwstr>En nationell handlingsplan för de mänskliga rättigheterna 2006–2009</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mp021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Gustav Fridolin m.fl. (mp)</vt:lpwstr>
  </property>
  <property fmtid="{D5CDD505-2E9C-101B-9397-08002B2CF9AE}" pid="26" name="MotionarLista">
    <vt:lpwstr>Fridolin, Gustav (mp)\Holm, Ulf (mp)\Johansson, Mikael (mp)\Hedström, Lotta (mp)\Jönsson, Mona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 Ulf Holm (mp), Mikael Johansson (mp), Lotta Hedström (mp), Mona Jönsson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K22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20052006000001090112000000210075</vt:lpwstr>
  </property>
  <property fmtid="{D5CDD505-2E9C-101B-9397-08002B2CF9AE}" pid="47" name="datum">
    <vt:lpwstr>060329</vt:lpwstr>
  </property>
  <property fmtid="{D5CDD505-2E9C-101B-9397-08002B2CF9AE}" pid="48" name="avsändar-e-post">
    <vt:lpwstr/>
  </property>
  <property fmtid="{D5CDD505-2E9C-101B-9397-08002B2CF9AE}" pid="49" name="id">
    <vt:lpwstr>20052006000001090112000000210075</vt:lpwstr>
  </property>
  <property fmtid="{D5CDD505-2E9C-101B-9397-08002B2CF9AE}" pid="50" name="nummer">
    <vt:lpwstr>22</vt:lpwstr>
  </property>
  <property fmtid="{D5CDD505-2E9C-101B-9397-08002B2CF9AE}" pid="51" name="utskottsbeteckning">
    <vt:lpwstr>K</vt:lpwstr>
  </property>
  <property fmtid="{D5CDD505-2E9C-101B-9397-08002B2CF9AE}" pid="52" name="GlobalUID">
    <vt:lpwstr>{E5E09393-9F99-43E7-BB41-37E7A8F2FE30}</vt:lpwstr>
  </property>
  <property fmtid="{D5CDD505-2E9C-101B-9397-08002B2CF9AE}" pid="53" name="Överföringar">
    <vt:i4>0</vt:i4>
  </property>
</Properties>
</file>