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oktober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en ny bankläcka, skatteflykt och penningtvätt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25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Westlund (S)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Westlund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 Torsdagen den 10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 Torsdagen den 10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 Torsdagen den 24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2020:18 Finansinspektionens arbete för att motverka intressekonflikter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2020/21:12 </w:t>
            </w:r>
            <w:r>
              <w:rPr>
                <w:rtl w:val="0"/>
              </w:rPr>
              <w:t>Särskilt investeringsutrymme för elnätsverksamhet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2020/21:30 Totalförsvaret 2021–2025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2020/21:13 Åtgärder till skydd för Sveriges säkerhet vid överlåtelser av säkerhetskänslig 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2020/21:3724 av Johan Hedin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2020/21:3729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2020/21:14 Bestämmelserna om nedsättning av arbetsgivaravgifterna för den först anställda görs permanenta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2020/21:3719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2020/21:16 Elcertifikat – stoppregel och kontrollstation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2020/21:3717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2020/21:3721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2020/21:3726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2020/21:18 En tydligare koppling mellan villkorlig frigivning och deltagande i återfallsförebyggande åtgärder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2020/21:3718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2020/21:3725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2020/21:3727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2020/21:3730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642 Förslag till Europaparlamentets och rådets förordning om ändring av Europaparlamentets och rådets förordning (EG) nr 1367/2006 av den 6 september 2006 om tillämpning av bestämmelserna i Århuskonventionen om tillgång till information, allmänhetens deltagande i beslutsprocesser och tillgång till rättslig prövning i miljöfrågor på gemenskapens institutioner och organ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december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Försörjningssäkerhet vid höjd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2020/21:33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fusk och bidragsbrott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 Belarus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Striderna i Nagorno-Karabach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oktober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2020-10-16</SAFIR_Sammantradesdatum_Doc>
    <SAFIR_SammantradeID xmlns="C07A1A6C-0B19-41D9-BDF8-F523BA3921EB">0324235a-7bcc-4c4c-9753-61c76a7874b5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253BA-E8D3-4186-B22D-DDC87ADD6A3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