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F24DF5">
        <w:tc>
          <w:tcPr>
            <w:tcW w:w="2268" w:type="dxa"/>
          </w:tcPr>
          <w:p w:rsidR="00F24DF5" w:rsidRDefault="00F24DF5">
            <w:pPr>
              <w:framePr w:w="4400" w:h="1644" w:wrap="notBeside" w:vAnchor="page" w:hAnchor="page" w:x="6573" w:y="721"/>
              <w:rPr>
                <w:rFonts w:ascii="TradeGothic" w:hAnsi="TradeGothic"/>
                <w:i/>
                <w:sz w:val="18"/>
              </w:rPr>
            </w:pPr>
          </w:p>
        </w:tc>
        <w:tc>
          <w:tcPr>
            <w:tcW w:w="2347" w:type="dxa"/>
            <w:gridSpan w:val="2"/>
          </w:tcPr>
          <w:p w:rsidR="00F24DF5" w:rsidRDefault="00F24DF5">
            <w:pPr>
              <w:framePr w:w="4400" w:h="1644" w:wrap="notBeside" w:vAnchor="page" w:hAnchor="page" w:x="6573" w:y="721"/>
              <w:rPr>
                <w:rFonts w:ascii="TradeGothic" w:hAnsi="TradeGothic"/>
                <w:i/>
                <w:sz w:val="18"/>
              </w:rPr>
            </w:pPr>
          </w:p>
        </w:tc>
      </w:tr>
      <w:tr w:rsidR="00F24DF5">
        <w:tc>
          <w:tcPr>
            <w:tcW w:w="2268" w:type="dxa"/>
          </w:tcPr>
          <w:p w:rsidR="00F24DF5" w:rsidRDefault="00F24DF5">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F24DF5" w:rsidRDefault="00F24DF5">
            <w:pPr>
              <w:framePr w:w="4400" w:h="1644" w:wrap="notBeside" w:vAnchor="page" w:hAnchor="page" w:x="6573" w:y="721"/>
              <w:rPr>
                <w:rFonts w:ascii="TradeGothic" w:hAnsi="TradeGothic"/>
                <w:b/>
              </w:rPr>
            </w:pPr>
          </w:p>
        </w:tc>
      </w:tr>
      <w:tr w:rsidR="00F24DF5">
        <w:trPr>
          <w:trHeight w:val="343"/>
        </w:trPr>
        <w:tc>
          <w:tcPr>
            <w:tcW w:w="3402" w:type="dxa"/>
            <w:gridSpan w:val="2"/>
          </w:tcPr>
          <w:p w:rsidR="00F24DF5" w:rsidRDefault="00F24DF5">
            <w:pPr>
              <w:framePr w:w="4400" w:h="1644" w:wrap="notBeside" w:vAnchor="page" w:hAnchor="page" w:x="6573" w:y="721"/>
            </w:pPr>
          </w:p>
        </w:tc>
        <w:tc>
          <w:tcPr>
            <w:tcW w:w="1213" w:type="dxa"/>
          </w:tcPr>
          <w:p w:rsidR="00F24DF5" w:rsidRDefault="00F24DF5">
            <w:pPr>
              <w:framePr w:w="4400" w:h="1644" w:wrap="notBeside" w:vAnchor="page" w:hAnchor="page" w:x="6573" w:y="721"/>
            </w:pPr>
          </w:p>
        </w:tc>
      </w:tr>
      <w:tr w:rsidR="00F24DF5">
        <w:tc>
          <w:tcPr>
            <w:tcW w:w="2268" w:type="dxa"/>
          </w:tcPr>
          <w:p w:rsidR="00F24DF5" w:rsidRDefault="00F24DF5">
            <w:pPr>
              <w:framePr w:w="4400" w:h="1644" w:wrap="notBeside" w:vAnchor="page" w:hAnchor="page" w:x="6573" w:y="721"/>
            </w:pPr>
            <w:fldSimple w:instr=" CREATEDATE  \@ &quot;yyyy-MM-dd&quot;  \* MERGEFORMAT ">
              <w:r>
                <w:rPr>
                  <w:noProof/>
                </w:rPr>
                <w:t>2011-11-29</w:t>
              </w:r>
            </w:fldSimple>
          </w:p>
        </w:tc>
        <w:tc>
          <w:tcPr>
            <w:tcW w:w="2347" w:type="dxa"/>
            <w:gridSpan w:val="2"/>
          </w:tcPr>
          <w:p w:rsidR="00F24DF5" w:rsidRDefault="00F24DF5">
            <w:pPr>
              <w:framePr w:w="4400" w:h="1644" w:wrap="notBeside" w:vAnchor="page" w:hAnchor="page" w:x="6573" w:y="721"/>
            </w:pPr>
          </w:p>
        </w:tc>
      </w:tr>
      <w:tr w:rsidR="00F24DF5">
        <w:tc>
          <w:tcPr>
            <w:tcW w:w="2268" w:type="dxa"/>
          </w:tcPr>
          <w:p w:rsidR="00F24DF5" w:rsidRDefault="00F24DF5">
            <w:pPr>
              <w:framePr w:w="4400" w:h="1644" w:wrap="notBeside" w:vAnchor="page" w:hAnchor="page" w:x="6573" w:y="721"/>
            </w:pPr>
          </w:p>
        </w:tc>
        <w:tc>
          <w:tcPr>
            <w:tcW w:w="2347" w:type="dxa"/>
            <w:gridSpan w:val="2"/>
          </w:tcPr>
          <w:p w:rsidR="00F24DF5" w:rsidRDefault="00F24DF5">
            <w:pPr>
              <w:framePr w:w="4400" w:h="1644" w:wrap="notBeside" w:vAnchor="page" w:hAnchor="page" w:x="6573" w:y="721"/>
            </w:pPr>
          </w:p>
        </w:tc>
      </w:tr>
    </w:tbl>
    <w:tbl>
      <w:tblPr>
        <w:tblW w:w="0" w:type="auto"/>
        <w:tblLayout w:type="fixed"/>
        <w:tblLook w:val="0000"/>
      </w:tblPr>
      <w:tblGrid>
        <w:gridCol w:w="4911"/>
      </w:tblGrid>
      <w:tr w:rsidR="00F24DF5">
        <w:trPr>
          <w:trHeight w:val="2400"/>
        </w:trPr>
        <w:tc>
          <w:tcPr>
            <w:tcW w:w="4911" w:type="dxa"/>
          </w:tcPr>
          <w:p w:rsidR="00F24DF5" w:rsidRDefault="00F24DF5">
            <w:pPr>
              <w:pStyle w:val="Avsndare"/>
              <w:framePr w:h="2483" w:wrap="notBeside" w:x="1504"/>
              <w:rPr>
                <w:b/>
                <w:i w:val="0"/>
                <w:sz w:val="22"/>
              </w:rPr>
            </w:pPr>
            <w:r>
              <w:rPr>
                <w:b/>
                <w:i w:val="0"/>
                <w:sz w:val="22"/>
              </w:rPr>
              <w:t>Statsrådsberedningen</w:t>
            </w:r>
          </w:p>
          <w:p w:rsidR="00F24DF5" w:rsidRDefault="00F24DF5">
            <w:pPr>
              <w:pStyle w:val="Avsndare"/>
              <w:framePr w:h="2483" w:wrap="notBeside" w:x="1504"/>
            </w:pPr>
          </w:p>
          <w:p w:rsidR="00F24DF5" w:rsidRDefault="00F24DF5">
            <w:pPr>
              <w:pStyle w:val="Avsndare"/>
              <w:framePr w:h="2483" w:wrap="notBeside" w:x="1504"/>
            </w:pPr>
            <w:r>
              <w:t>EU-kansliet</w:t>
            </w:r>
          </w:p>
          <w:p w:rsidR="00F24DF5" w:rsidRDefault="00F24DF5">
            <w:pPr>
              <w:pStyle w:val="Avsndare"/>
              <w:framePr w:h="2483" w:wrap="notBeside" w:x="1504"/>
            </w:pPr>
          </w:p>
          <w:p w:rsidR="00F24DF5" w:rsidRDefault="00F24DF5">
            <w:pPr>
              <w:pStyle w:val="Avsndare"/>
              <w:framePr w:h="2483" w:wrap="notBeside" w:x="1504"/>
            </w:pPr>
          </w:p>
          <w:p w:rsidR="00F24DF5" w:rsidRDefault="00F24DF5">
            <w:pPr>
              <w:pStyle w:val="Avsndare"/>
              <w:framePr w:h="2483" w:wrap="notBeside" w:x="1504"/>
            </w:pPr>
          </w:p>
          <w:p w:rsidR="00F24DF5" w:rsidRDefault="00F24DF5">
            <w:pPr>
              <w:pStyle w:val="Avsndare"/>
              <w:framePr w:h="2483" w:wrap="notBeside" w:x="1504"/>
              <w:rPr>
                <w:b/>
                <w:i w:val="0"/>
                <w:sz w:val="22"/>
              </w:rPr>
            </w:pPr>
          </w:p>
        </w:tc>
      </w:tr>
    </w:tbl>
    <w:p w:rsidR="00F24DF5" w:rsidRDefault="00F24DF5">
      <w:pPr>
        <w:framePr w:w="4400" w:h="2523" w:wrap="notBeside" w:vAnchor="page" w:hAnchor="page" w:x="6453" w:y="2445"/>
        <w:ind w:left="142"/>
      </w:pPr>
    </w:p>
    <w:p w:rsidR="00F24DF5" w:rsidRDefault="00F24DF5">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II och Coreper I</w:t>
      </w:r>
      <w:bookmarkEnd w:id="0"/>
      <w:bookmarkEnd w:id="1"/>
      <w:r>
        <w:rPr>
          <w:rFonts w:cs="Arial"/>
          <w:sz w:val="28"/>
        </w:rPr>
        <w:t xml:space="preserve"> </w:t>
      </w:r>
    </w:p>
    <w:p w:rsidR="00F24DF5" w:rsidRDefault="00F24DF5">
      <w:pPr>
        <w:pStyle w:val="UDrubrik"/>
        <w:tabs>
          <w:tab w:val="left" w:pos="1701"/>
          <w:tab w:val="left" w:pos="1985"/>
        </w:tabs>
        <w:rPr>
          <w:rFonts w:cs="Arial"/>
          <w:sz w:val="28"/>
        </w:rPr>
      </w:pPr>
      <w:r>
        <w:rPr>
          <w:rFonts w:cs="Arial"/>
          <w:sz w:val="28"/>
        </w:rPr>
        <w:t>vecka 48</w:t>
      </w:r>
    </w:p>
    <w:p w:rsidR="00F24DF5" w:rsidRDefault="00F24DF5" w:rsidP="00B77E5A">
      <w:pPr>
        <w:pStyle w:val="BodyText"/>
      </w:pPr>
    </w:p>
    <w:p w:rsidR="00F24DF5" w:rsidRDefault="00F24DF5" w:rsidP="00B77E5A">
      <w:pPr>
        <w:pStyle w:val="BodyText"/>
      </w:pPr>
      <w:r>
        <w:t>Överlämnas för skriftligt samråd vecka 48 till onsdagen den 30 november,</w:t>
      </w:r>
    </w:p>
    <w:p w:rsidR="00F24DF5" w:rsidRDefault="00F24DF5" w:rsidP="00B77E5A">
      <w:pPr>
        <w:pStyle w:val="BodyText"/>
      </w:pPr>
      <w:r>
        <w:t xml:space="preserve"> kl 09.00.</w:t>
      </w:r>
    </w:p>
    <w:p w:rsidR="00F24DF5" w:rsidRDefault="00F24DF5">
      <w:pPr>
        <w:spacing w:line="240" w:lineRule="auto"/>
        <w:rPr>
          <w:rFonts w:ascii="Garamond" w:hAnsi="Garamond"/>
        </w:rPr>
      </w:pPr>
      <w:r>
        <w:br w:type="page"/>
      </w:r>
    </w:p>
    <w:p w:rsidR="00F24DF5" w:rsidRPr="00B77E5A" w:rsidRDefault="00F24DF5" w:rsidP="00B77E5A">
      <w:pPr>
        <w:pStyle w:val="BodyText"/>
      </w:pPr>
      <w:r>
        <w:t xml:space="preserve"> </w:t>
      </w:r>
    </w:p>
    <w:p w:rsidR="00F24DF5" w:rsidRDefault="00F24DF5">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F24DF5" w:rsidRDefault="00F24DF5">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0338522" w:history="1">
        <w:r w:rsidRPr="00EB1827">
          <w:rPr>
            <w:rStyle w:val="Hyperlink"/>
            <w:noProof/>
          </w:rPr>
          <w:t>Frågor som lösts i förberedande instanser</w:t>
        </w:r>
        <w:r>
          <w:rPr>
            <w:noProof/>
            <w:webHidden/>
          </w:rPr>
          <w:tab/>
        </w:r>
        <w:r>
          <w:rPr>
            <w:noProof/>
            <w:webHidden/>
          </w:rPr>
          <w:fldChar w:fldCharType="begin"/>
        </w:r>
        <w:r>
          <w:rPr>
            <w:noProof/>
            <w:webHidden/>
          </w:rPr>
          <w:instrText xml:space="preserve"> PAGEREF _Toc310338522 \h </w:instrText>
        </w:r>
        <w:r>
          <w:rPr>
            <w:noProof/>
            <w:webHidden/>
          </w:rPr>
        </w:r>
        <w:r>
          <w:rPr>
            <w:noProof/>
            <w:webHidden/>
          </w:rPr>
          <w:fldChar w:fldCharType="separate"/>
        </w:r>
        <w:r>
          <w:rPr>
            <w:noProof/>
            <w:webHidden/>
          </w:rPr>
          <w:t>6</w:t>
        </w:r>
        <w:r>
          <w:rPr>
            <w:noProof/>
            <w:webHidden/>
          </w:rPr>
          <w:fldChar w:fldCharType="end"/>
        </w:r>
      </w:hyperlink>
    </w:p>
    <w:p w:rsidR="00F24DF5" w:rsidRDefault="00F24DF5">
      <w:pPr>
        <w:pStyle w:val="TOC1"/>
        <w:tabs>
          <w:tab w:val="right" w:leader="dot" w:pos="7644"/>
        </w:tabs>
        <w:rPr>
          <w:rFonts w:ascii="Calibri" w:hAnsi="Calibri"/>
          <w:b w:val="0"/>
          <w:bCs w:val="0"/>
          <w:caps w:val="0"/>
          <w:noProof/>
          <w:sz w:val="22"/>
          <w:szCs w:val="22"/>
          <w:lang w:eastAsia="sv-SE"/>
        </w:rPr>
      </w:pPr>
      <w:hyperlink w:anchor="_Toc310338523" w:history="1">
        <w:r w:rsidRPr="00EB1827">
          <w:rPr>
            <w:rStyle w:val="Hyperlink"/>
            <w:noProof/>
          </w:rPr>
          <w:t>Troliga A-punkter inför kommande rådsmöten som förväntas godkännas vid Coreper II 29 november 2011</w:t>
        </w:r>
        <w:r>
          <w:rPr>
            <w:noProof/>
            <w:webHidden/>
          </w:rPr>
          <w:tab/>
        </w:r>
        <w:r>
          <w:rPr>
            <w:noProof/>
            <w:webHidden/>
          </w:rPr>
          <w:fldChar w:fldCharType="begin"/>
        </w:r>
        <w:r>
          <w:rPr>
            <w:noProof/>
            <w:webHidden/>
          </w:rPr>
          <w:instrText xml:space="preserve"> PAGEREF _Toc310338523 \h </w:instrText>
        </w:r>
        <w:r>
          <w:rPr>
            <w:noProof/>
            <w:webHidden/>
          </w:rPr>
        </w:r>
        <w:r>
          <w:rPr>
            <w:noProof/>
            <w:webHidden/>
          </w:rPr>
          <w:fldChar w:fldCharType="separate"/>
        </w:r>
        <w:r>
          <w:rPr>
            <w:noProof/>
            <w:webHidden/>
          </w:rPr>
          <w:t>6</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24" w:history="1">
        <w:r w:rsidRPr="00EB1827">
          <w:rPr>
            <w:rStyle w:val="Hyperlink"/>
            <w:noProof/>
          </w:rPr>
          <w:t>1. Rekommendation till rådet om godkännande av en krypteringsapparat som utvärderats av en andra part</w:t>
        </w:r>
        <w:r>
          <w:rPr>
            <w:noProof/>
            <w:webHidden/>
          </w:rPr>
          <w:tab/>
        </w:r>
        <w:r>
          <w:rPr>
            <w:noProof/>
            <w:webHidden/>
          </w:rPr>
          <w:fldChar w:fldCharType="begin"/>
        </w:r>
        <w:r>
          <w:rPr>
            <w:noProof/>
            <w:webHidden/>
          </w:rPr>
          <w:instrText xml:space="preserve"> PAGEREF _Toc310338524 \h </w:instrText>
        </w:r>
        <w:r>
          <w:rPr>
            <w:noProof/>
            <w:webHidden/>
          </w:rPr>
        </w:r>
        <w:r>
          <w:rPr>
            <w:noProof/>
            <w:webHidden/>
          </w:rPr>
          <w:fldChar w:fldCharType="separate"/>
        </w:r>
        <w:r>
          <w:rPr>
            <w:noProof/>
            <w:webHidden/>
          </w:rPr>
          <w:t>6</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25" w:history="1">
        <w:r w:rsidRPr="00EB1827">
          <w:rPr>
            <w:rStyle w:val="Hyperlink"/>
            <w:noProof/>
          </w:rPr>
          <w:t>2. Insyn - Allmänhetens tillgång till handlingarna) Bekräftande ansökan nr 24/c/01/11</w:t>
        </w:r>
        <w:r>
          <w:rPr>
            <w:noProof/>
            <w:webHidden/>
          </w:rPr>
          <w:tab/>
        </w:r>
        <w:r>
          <w:rPr>
            <w:noProof/>
            <w:webHidden/>
          </w:rPr>
          <w:fldChar w:fldCharType="begin"/>
        </w:r>
        <w:r>
          <w:rPr>
            <w:noProof/>
            <w:webHidden/>
          </w:rPr>
          <w:instrText xml:space="preserve"> PAGEREF _Toc310338525 \h </w:instrText>
        </w:r>
        <w:r>
          <w:rPr>
            <w:noProof/>
            <w:webHidden/>
          </w:rPr>
        </w:r>
        <w:r>
          <w:rPr>
            <w:noProof/>
            <w:webHidden/>
          </w:rPr>
          <w:fldChar w:fldCharType="separate"/>
        </w:r>
        <w:r>
          <w:rPr>
            <w:noProof/>
            <w:webHidden/>
          </w:rPr>
          <w:t>7</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26" w:history="1">
        <w:r w:rsidRPr="00EB1827">
          <w:rPr>
            <w:rStyle w:val="Hyperlink"/>
            <w:noProof/>
          </w:rPr>
          <w:t>3. Mål vid tribunalen - Mål T-436/11 (Afriqiyah Airways mot rådet)</w:t>
        </w:r>
        <w:r>
          <w:rPr>
            <w:noProof/>
            <w:webHidden/>
          </w:rPr>
          <w:tab/>
        </w:r>
        <w:r>
          <w:rPr>
            <w:noProof/>
            <w:webHidden/>
          </w:rPr>
          <w:fldChar w:fldCharType="begin"/>
        </w:r>
        <w:r>
          <w:rPr>
            <w:noProof/>
            <w:webHidden/>
          </w:rPr>
          <w:instrText xml:space="preserve"> PAGEREF _Toc310338526 \h </w:instrText>
        </w:r>
        <w:r>
          <w:rPr>
            <w:noProof/>
            <w:webHidden/>
          </w:rPr>
        </w:r>
        <w:r>
          <w:rPr>
            <w:noProof/>
            <w:webHidden/>
          </w:rPr>
          <w:fldChar w:fldCharType="separate"/>
        </w:r>
        <w:r>
          <w:rPr>
            <w:noProof/>
            <w:webHidden/>
          </w:rPr>
          <w:t>7</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27" w:history="1">
        <w:r w:rsidRPr="00EB1827">
          <w:rPr>
            <w:rStyle w:val="Hyperlink"/>
            <w:noProof/>
          </w:rPr>
          <w:t>4. Ekonomiska och sociala kommittén- Rådets beslut om utnämning av en belgisk ledamot i Europeiska ekonomiska och sociala kommittén</w:t>
        </w:r>
        <w:r>
          <w:rPr>
            <w:noProof/>
            <w:webHidden/>
          </w:rPr>
          <w:tab/>
        </w:r>
        <w:r>
          <w:rPr>
            <w:noProof/>
            <w:webHidden/>
          </w:rPr>
          <w:fldChar w:fldCharType="begin"/>
        </w:r>
        <w:r>
          <w:rPr>
            <w:noProof/>
            <w:webHidden/>
          </w:rPr>
          <w:instrText xml:space="preserve"> PAGEREF _Toc310338527 \h </w:instrText>
        </w:r>
        <w:r>
          <w:rPr>
            <w:noProof/>
            <w:webHidden/>
          </w:rPr>
        </w:r>
        <w:r>
          <w:rPr>
            <w:noProof/>
            <w:webHidden/>
          </w:rPr>
          <w:fldChar w:fldCharType="separate"/>
        </w:r>
        <w:r>
          <w:rPr>
            <w:noProof/>
            <w:webHidden/>
          </w:rPr>
          <w:t>7</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28" w:history="1">
        <w:r w:rsidRPr="00EB1827">
          <w:rPr>
            <w:rStyle w:val="Hyperlink"/>
            <w:noProof/>
          </w:rPr>
          <w:t>5. Regionkommittén- Rådets beslut om utnämning av sex nederländska ledamöter och sex nederländska suppleanter i Regionkommitténs</w:t>
        </w:r>
        <w:r>
          <w:rPr>
            <w:noProof/>
            <w:webHidden/>
          </w:rPr>
          <w:tab/>
        </w:r>
        <w:r>
          <w:rPr>
            <w:noProof/>
            <w:webHidden/>
          </w:rPr>
          <w:fldChar w:fldCharType="begin"/>
        </w:r>
        <w:r>
          <w:rPr>
            <w:noProof/>
            <w:webHidden/>
          </w:rPr>
          <w:instrText xml:space="preserve"> PAGEREF _Toc310338528 \h </w:instrText>
        </w:r>
        <w:r>
          <w:rPr>
            <w:noProof/>
            <w:webHidden/>
          </w:rPr>
        </w:r>
        <w:r>
          <w:rPr>
            <w:noProof/>
            <w:webHidden/>
          </w:rPr>
          <w:fldChar w:fldCharType="separate"/>
        </w:r>
        <w:r>
          <w:rPr>
            <w:noProof/>
            <w:webHidden/>
          </w:rPr>
          <w:t>8</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29" w:history="1">
        <w:r w:rsidRPr="00EB1827">
          <w:rPr>
            <w:rStyle w:val="Hyperlink"/>
            <w:noProof/>
          </w:rPr>
          <w:t>6. Rådets beslut om den ståndpunkt som Europeiska unionen ska inta i gemensamma EES-kommittén angående en ändring av bilaga IV (Energi) till EES-avtalet</w:t>
        </w:r>
        <w:r>
          <w:rPr>
            <w:noProof/>
            <w:webHidden/>
          </w:rPr>
          <w:tab/>
        </w:r>
        <w:r>
          <w:rPr>
            <w:noProof/>
            <w:webHidden/>
          </w:rPr>
          <w:fldChar w:fldCharType="begin"/>
        </w:r>
        <w:r>
          <w:rPr>
            <w:noProof/>
            <w:webHidden/>
          </w:rPr>
          <w:instrText xml:space="preserve"> PAGEREF _Toc310338529 \h </w:instrText>
        </w:r>
        <w:r>
          <w:rPr>
            <w:noProof/>
            <w:webHidden/>
          </w:rPr>
        </w:r>
        <w:r>
          <w:rPr>
            <w:noProof/>
            <w:webHidden/>
          </w:rPr>
          <w:fldChar w:fldCharType="separate"/>
        </w:r>
        <w:r>
          <w:rPr>
            <w:noProof/>
            <w:webHidden/>
          </w:rPr>
          <w:t>8</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30" w:history="1">
        <w:r w:rsidRPr="00EB1827">
          <w:rPr>
            <w:rStyle w:val="Hyperlink"/>
            <w:noProof/>
          </w:rPr>
          <w:t>7. Förbindelserna med Kroatien - Rådets beslut om ingående av ett avtal om Kroatiens deltagande i Europeiska centrumet för kontroll av narkotika och narkotikamissbruk</w:t>
        </w:r>
        <w:r>
          <w:rPr>
            <w:noProof/>
            <w:webHidden/>
          </w:rPr>
          <w:tab/>
        </w:r>
        <w:r>
          <w:rPr>
            <w:noProof/>
            <w:webHidden/>
          </w:rPr>
          <w:fldChar w:fldCharType="begin"/>
        </w:r>
        <w:r>
          <w:rPr>
            <w:noProof/>
            <w:webHidden/>
          </w:rPr>
          <w:instrText xml:space="preserve"> PAGEREF _Toc310338530 \h </w:instrText>
        </w:r>
        <w:r>
          <w:rPr>
            <w:noProof/>
            <w:webHidden/>
          </w:rPr>
        </w:r>
        <w:r>
          <w:rPr>
            <w:noProof/>
            <w:webHidden/>
          </w:rPr>
          <w:fldChar w:fldCharType="separate"/>
        </w:r>
        <w:r>
          <w:rPr>
            <w:noProof/>
            <w:webHidden/>
          </w:rPr>
          <w:t>8</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31" w:history="1">
        <w:r w:rsidRPr="00EB1827">
          <w:rPr>
            <w:rStyle w:val="Hyperlink"/>
            <w:noProof/>
          </w:rPr>
          <w:t>8. Förslag till anslagsöverföring nr DEC 51/2011 inom avsnitt III - kommissionen - i den allmänna budgeten för budgetåret 2011</w:t>
        </w:r>
        <w:r>
          <w:rPr>
            <w:noProof/>
            <w:webHidden/>
          </w:rPr>
          <w:tab/>
        </w:r>
        <w:r>
          <w:rPr>
            <w:noProof/>
            <w:webHidden/>
          </w:rPr>
          <w:fldChar w:fldCharType="begin"/>
        </w:r>
        <w:r>
          <w:rPr>
            <w:noProof/>
            <w:webHidden/>
          </w:rPr>
          <w:instrText xml:space="preserve"> PAGEREF _Toc310338531 \h </w:instrText>
        </w:r>
        <w:r>
          <w:rPr>
            <w:noProof/>
            <w:webHidden/>
          </w:rPr>
        </w:r>
        <w:r>
          <w:rPr>
            <w:noProof/>
            <w:webHidden/>
          </w:rPr>
          <w:fldChar w:fldCharType="separate"/>
        </w:r>
        <w:r>
          <w:rPr>
            <w:noProof/>
            <w:webHidden/>
          </w:rPr>
          <w:t>9</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32" w:history="1">
        <w:r w:rsidRPr="00EB1827">
          <w:rPr>
            <w:rStyle w:val="Hyperlink"/>
            <w:noProof/>
          </w:rPr>
          <w:t>9. Förslag till anslagsöverföring nr 7/2011 inom avsnitt IV - domstolen - i den allmänna budgeten för budgetåret 2011</w:t>
        </w:r>
        <w:r>
          <w:rPr>
            <w:noProof/>
            <w:webHidden/>
          </w:rPr>
          <w:tab/>
        </w:r>
        <w:r>
          <w:rPr>
            <w:noProof/>
            <w:webHidden/>
          </w:rPr>
          <w:fldChar w:fldCharType="begin"/>
        </w:r>
        <w:r>
          <w:rPr>
            <w:noProof/>
            <w:webHidden/>
          </w:rPr>
          <w:instrText xml:space="preserve"> PAGEREF _Toc310338532 \h </w:instrText>
        </w:r>
        <w:r>
          <w:rPr>
            <w:noProof/>
            <w:webHidden/>
          </w:rPr>
        </w:r>
        <w:r>
          <w:rPr>
            <w:noProof/>
            <w:webHidden/>
          </w:rPr>
          <w:fldChar w:fldCharType="separate"/>
        </w:r>
        <w:r>
          <w:rPr>
            <w:noProof/>
            <w:webHidden/>
          </w:rPr>
          <w:t>10</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33" w:history="1">
        <w:r w:rsidRPr="00EB1827">
          <w:rPr>
            <w:rStyle w:val="Hyperlink"/>
            <w:noProof/>
          </w:rPr>
          <w:t>10. Europeiska unionens allmänna budget för budgetåret 2012- Godkännande av det gemensamma förslaget</w:t>
        </w:r>
        <w:r>
          <w:rPr>
            <w:noProof/>
            <w:webHidden/>
          </w:rPr>
          <w:tab/>
        </w:r>
        <w:r>
          <w:rPr>
            <w:noProof/>
            <w:webHidden/>
          </w:rPr>
          <w:fldChar w:fldCharType="begin"/>
        </w:r>
        <w:r>
          <w:rPr>
            <w:noProof/>
            <w:webHidden/>
          </w:rPr>
          <w:instrText xml:space="preserve"> PAGEREF _Toc310338533 \h </w:instrText>
        </w:r>
        <w:r>
          <w:rPr>
            <w:noProof/>
            <w:webHidden/>
          </w:rPr>
        </w:r>
        <w:r>
          <w:rPr>
            <w:noProof/>
            <w:webHidden/>
          </w:rPr>
          <w:fldChar w:fldCharType="separate"/>
        </w:r>
        <w:r>
          <w:rPr>
            <w:noProof/>
            <w:webHidden/>
          </w:rPr>
          <w:t>10</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34" w:history="1">
        <w:r w:rsidRPr="00EB1827">
          <w:rPr>
            <w:rStyle w:val="Hyperlink"/>
            <w:noProof/>
          </w:rPr>
          <w:t>11. Förslag till ändringsbudget nr 6 till 2011 års allmänna budget - Allmän inkomstberäkning - Utgiftsberäkning per avsnitt - Avsnitt III - Kommissionen</w:t>
        </w:r>
        <w:r>
          <w:rPr>
            <w:noProof/>
            <w:webHidden/>
          </w:rPr>
          <w:tab/>
        </w:r>
        <w:r>
          <w:rPr>
            <w:noProof/>
            <w:webHidden/>
          </w:rPr>
          <w:fldChar w:fldCharType="begin"/>
        </w:r>
        <w:r>
          <w:rPr>
            <w:noProof/>
            <w:webHidden/>
          </w:rPr>
          <w:instrText xml:space="preserve"> PAGEREF _Toc310338534 \h </w:instrText>
        </w:r>
        <w:r>
          <w:rPr>
            <w:noProof/>
            <w:webHidden/>
          </w:rPr>
        </w:r>
        <w:r>
          <w:rPr>
            <w:noProof/>
            <w:webHidden/>
          </w:rPr>
          <w:fldChar w:fldCharType="separate"/>
        </w:r>
        <w:r>
          <w:rPr>
            <w:noProof/>
            <w:webHidden/>
          </w:rPr>
          <w:t>11</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35" w:history="1">
        <w:r w:rsidRPr="00EB1827">
          <w:rPr>
            <w:rStyle w:val="Hyperlink"/>
            <w:noProof/>
          </w:rPr>
          <w:t>12. Förslag till ändringsbudget nr 7 till 2011 års allmänna budget - Utgiftsberäkning per avsnitt - Avsnitt III – Kommissionen</w:t>
        </w:r>
        <w:r>
          <w:rPr>
            <w:noProof/>
            <w:webHidden/>
          </w:rPr>
          <w:tab/>
        </w:r>
        <w:r>
          <w:rPr>
            <w:noProof/>
            <w:webHidden/>
          </w:rPr>
          <w:fldChar w:fldCharType="begin"/>
        </w:r>
        <w:r>
          <w:rPr>
            <w:noProof/>
            <w:webHidden/>
          </w:rPr>
          <w:instrText xml:space="preserve"> PAGEREF _Toc310338535 \h </w:instrText>
        </w:r>
        <w:r>
          <w:rPr>
            <w:noProof/>
            <w:webHidden/>
          </w:rPr>
        </w:r>
        <w:r>
          <w:rPr>
            <w:noProof/>
            <w:webHidden/>
          </w:rPr>
          <w:fldChar w:fldCharType="separate"/>
        </w:r>
        <w:r>
          <w:rPr>
            <w:noProof/>
            <w:webHidden/>
          </w:rPr>
          <w:t>13</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36" w:history="1">
        <w:r w:rsidRPr="00EB1827">
          <w:rPr>
            <w:rStyle w:val="Hyperlink"/>
            <w:noProof/>
          </w:rPr>
          <w:t>13. Förslag till Europaparlamentets och rådets beslut om utnyttjande av flexibilitetsmekanismen</w:t>
        </w:r>
        <w:r>
          <w:rPr>
            <w:noProof/>
            <w:webHidden/>
          </w:rPr>
          <w:tab/>
        </w:r>
        <w:r>
          <w:rPr>
            <w:noProof/>
            <w:webHidden/>
          </w:rPr>
          <w:fldChar w:fldCharType="begin"/>
        </w:r>
        <w:r>
          <w:rPr>
            <w:noProof/>
            <w:webHidden/>
          </w:rPr>
          <w:instrText xml:space="preserve"> PAGEREF _Toc310338536 \h </w:instrText>
        </w:r>
        <w:r>
          <w:rPr>
            <w:noProof/>
            <w:webHidden/>
          </w:rPr>
        </w:r>
        <w:r>
          <w:rPr>
            <w:noProof/>
            <w:webHidden/>
          </w:rPr>
          <w:fldChar w:fldCharType="separate"/>
        </w:r>
        <w:r>
          <w:rPr>
            <w:noProof/>
            <w:webHidden/>
          </w:rPr>
          <w:t>14</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37" w:history="1">
        <w:r w:rsidRPr="00EB1827">
          <w:rPr>
            <w:rStyle w:val="Hyperlink"/>
            <w:noProof/>
          </w:rPr>
          <w:t>14. Förslag till Europaparlamentets och rådets beslut om utnyttjande av Europeiska unionens solidaritetsfond</w:t>
        </w:r>
        <w:r>
          <w:rPr>
            <w:noProof/>
            <w:webHidden/>
          </w:rPr>
          <w:tab/>
        </w:r>
        <w:r>
          <w:rPr>
            <w:noProof/>
            <w:webHidden/>
          </w:rPr>
          <w:fldChar w:fldCharType="begin"/>
        </w:r>
        <w:r>
          <w:rPr>
            <w:noProof/>
            <w:webHidden/>
          </w:rPr>
          <w:instrText xml:space="preserve"> PAGEREF _Toc310338537 \h </w:instrText>
        </w:r>
        <w:r>
          <w:rPr>
            <w:noProof/>
            <w:webHidden/>
          </w:rPr>
        </w:r>
        <w:r>
          <w:rPr>
            <w:noProof/>
            <w:webHidden/>
          </w:rPr>
          <w:fldChar w:fldCharType="separate"/>
        </w:r>
        <w:r>
          <w:rPr>
            <w:noProof/>
            <w:webHidden/>
          </w:rPr>
          <w:t>14</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38" w:history="1">
        <w:r w:rsidRPr="00EB1827">
          <w:rPr>
            <w:rStyle w:val="Hyperlink"/>
            <w:noProof/>
          </w:rPr>
          <w:t>15. Rapport från arbetsgruppen för e-lagstiftning (e-juridik) till Coreper/rådet</w:t>
        </w:r>
        <w:r>
          <w:rPr>
            <w:noProof/>
            <w:webHidden/>
          </w:rPr>
          <w:tab/>
        </w:r>
        <w:r>
          <w:rPr>
            <w:noProof/>
            <w:webHidden/>
          </w:rPr>
          <w:fldChar w:fldCharType="begin"/>
        </w:r>
        <w:r>
          <w:rPr>
            <w:noProof/>
            <w:webHidden/>
          </w:rPr>
          <w:instrText xml:space="preserve"> PAGEREF _Toc310338538 \h </w:instrText>
        </w:r>
        <w:r>
          <w:rPr>
            <w:noProof/>
            <w:webHidden/>
          </w:rPr>
        </w:r>
        <w:r>
          <w:rPr>
            <w:noProof/>
            <w:webHidden/>
          </w:rPr>
          <w:fldChar w:fldCharType="separate"/>
        </w:r>
        <w:r>
          <w:rPr>
            <w:noProof/>
            <w:webHidden/>
          </w:rPr>
          <w:t>15</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39" w:history="1">
        <w:r w:rsidRPr="00EB1827">
          <w:rPr>
            <w:rStyle w:val="Hyperlink"/>
            <w:noProof/>
          </w:rPr>
          <w:t>16. Schengenutvärdering av Grekland- Utkast till rådets slutsatser</w:t>
        </w:r>
        <w:r>
          <w:rPr>
            <w:noProof/>
            <w:webHidden/>
          </w:rPr>
          <w:tab/>
        </w:r>
        <w:r>
          <w:rPr>
            <w:noProof/>
            <w:webHidden/>
          </w:rPr>
          <w:fldChar w:fldCharType="begin"/>
        </w:r>
        <w:r>
          <w:rPr>
            <w:noProof/>
            <w:webHidden/>
          </w:rPr>
          <w:instrText xml:space="preserve"> PAGEREF _Toc310338539 \h </w:instrText>
        </w:r>
        <w:r>
          <w:rPr>
            <w:noProof/>
            <w:webHidden/>
          </w:rPr>
        </w:r>
        <w:r>
          <w:rPr>
            <w:noProof/>
            <w:webHidden/>
          </w:rPr>
          <w:fldChar w:fldCharType="separate"/>
        </w:r>
        <w:r>
          <w:rPr>
            <w:noProof/>
            <w:webHidden/>
          </w:rPr>
          <w:t>16</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40" w:history="1">
        <w:r w:rsidRPr="00EB1827">
          <w:rPr>
            <w:rStyle w:val="Hyperlink"/>
            <w:noProof/>
          </w:rPr>
          <w:t>17. Schengenutvärdering av Österrike- Utkast till rådets slutsatser om uppföljningen av den Schengenutvärdering som gjordes 2010-2011</w:t>
        </w:r>
        <w:r>
          <w:rPr>
            <w:noProof/>
            <w:webHidden/>
          </w:rPr>
          <w:tab/>
        </w:r>
        <w:r>
          <w:rPr>
            <w:noProof/>
            <w:webHidden/>
          </w:rPr>
          <w:fldChar w:fldCharType="begin"/>
        </w:r>
        <w:r>
          <w:rPr>
            <w:noProof/>
            <w:webHidden/>
          </w:rPr>
          <w:instrText xml:space="preserve"> PAGEREF _Toc310338540 \h </w:instrText>
        </w:r>
        <w:r>
          <w:rPr>
            <w:noProof/>
            <w:webHidden/>
          </w:rPr>
        </w:r>
        <w:r>
          <w:rPr>
            <w:noProof/>
            <w:webHidden/>
          </w:rPr>
          <w:fldChar w:fldCharType="separate"/>
        </w:r>
        <w:r>
          <w:rPr>
            <w:noProof/>
            <w:webHidden/>
          </w:rPr>
          <w:t>16</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41" w:history="1">
        <w:r w:rsidRPr="00EB1827">
          <w:rPr>
            <w:rStyle w:val="Hyperlink"/>
            <w:noProof/>
          </w:rPr>
          <w:t>18. Utkast till rådets slutsatser om samarbete i rättsliga och inrikes frågor inom ramen för det östliga partnerskapet</w:t>
        </w:r>
        <w:r>
          <w:rPr>
            <w:noProof/>
            <w:webHidden/>
          </w:rPr>
          <w:tab/>
        </w:r>
        <w:r>
          <w:rPr>
            <w:noProof/>
            <w:webHidden/>
          </w:rPr>
          <w:fldChar w:fldCharType="begin"/>
        </w:r>
        <w:r>
          <w:rPr>
            <w:noProof/>
            <w:webHidden/>
          </w:rPr>
          <w:instrText xml:space="preserve"> PAGEREF _Toc310338541 \h </w:instrText>
        </w:r>
        <w:r>
          <w:rPr>
            <w:noProof/>
            <w:webHidden/>
          </w:rPr>
        </w:r>
        <w:r>
          <w:rPr>
            <w:noProof/>
            <w:webHidden/>
          </w:rPr>
          <w:fldChar w:fldCharType="separate"/>
        </w:r>
        <w:r>
          <w:rPr>
            <w:noProof/>
            <w:webHidden/>
          </w:rPr>
          <w:t>17</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42" w:history="1">
        <w:r w:rsidRPr="00EB1827">
          <w:rPr>
            <w:rStyle w:val="Hyperlink"/>
            <w:noProof/>
          </w:rPr>
          <w:t>19. Förbindelserna med Ryssland - Kvarstående huvudfrågor för EU i dess förbindelser med Ryssland</w:t>
        </w:r>
        <w:r>
          <w:rPr>
            <w:noProof/>
            <w:webHidden/>
          </w:rPr>
          <w:tab/>
        </w:r>
        <w:r>
          <w:rPr>
            <w:noProof/>
            <w:webHidden/>
          </w:rPr>
          <w:fldChar w:fldCharType="begin"/>
        </w:r>
        <w:r>
          <w:rPr>
            <w:noProof/>
            <w:webHidden/>
          </w:rPr>
          <w:instrText xml:space="preserve"> PAGEREF _Toc310338542 \h </w:instrText>
        </w:r>
        <w:r>
          <w:rPr>
            <w:noProof/>
            <w:webHidden/>
          </w:rPr>
        </w:r>
        <w:r>
          <w:rPr>
            <w:noProof/>
            <w:webHidden/>
          </w:rPr>
          <w:fldChar w:fldCharType="separate"/>
        </w:r>
        <w:r>
          <w:rPr>
            <w:noProof/>
            <w:webHidden/>
          </w:rPr>
          <w:t>18</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43" w:history="1">
        <w:r w:rsidRPr="00EB1827">
          <w:rPr>
            <w:rStyle w:val="Hyperlink"/>
            <w:noProof/>
          </w:rPr>
          <w:t>20. Förbindelserna med Georgien- Fastställande av EU:s ståndpunkt inför tolfte mötet i samarbetsrådet EU-Georgien (Bryssel den 1 december 2011)</w:t>
        </w:r>
        <w:r>
          <w:rPr>
            <w:noProof/>
            <w:webHidden/>
          </w:rPr>
          <w:tab/>
        </w:r>
        <w:r>
          <w:rPr>
            <w:noProof/>
            <w:webHidden/>
          </w:rPr>
          <w:fldChar w:fldCharType="begin"/>
        </w:r>
        <w:r>
          <w:rPr>
            <w:noProof/>
            <w:webHidden/>
          </w:rPr>
          <w:instrText xml:space="preserve"> PAGEREF _Toc310338543 \h </w:instrText>
        </w:r>
        <w:r>
          <w:rPr>
            <w:noProof/>
            <w:webHidden/>
          </w:rPr>
        </w:r>
        <w:r>
          <w:rPr>
            <w:noProof/>
            <w:webHidden/>
          </w:rPr>
          <w:fldChar w:fldCharType="separate"/>
        </w:r>
        <w:r>
          <w:rPr>
            <w:noProof/>
            <w:webHidden/>
          </w:rPr>
          <w:t>18</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44" w:history="1">
        <w:r w:rsidRPr="00EB1827">
          <w:rPr>
            <w:rStyle w:val="Hyperlink"/>
            <w:noProof/>
          </w:rPr>
          <w:t>21. Förslag till rådets beslut om fastställande av den ståndpunkt som Europeiska unionen ska inta i Världshandelsorganisationens allmänna råd vad gäller ansökningar om beviljande och/eller förlängning av vissa WTO-undantag</w:t>
        </w:r>
        <w:r>
          <w:rPr>
            <w:noProof/>
            <w:webHidden/>
          </w:rPr>
          <w:tab/>
        </w:r>
        <w:r>
          <w:rPr>
            <w:noProof/>
            <w:webHidden/>
          </w:rPr>
          <w:fldChar w:fldCharType="begin"/>
        </w:r>
        <w:r>
          <w:rPr>
            <w:noProof/>
            <w:webHidden/>
          </w:rPr>
          <w:instrText xml:space="preserve"> PAGEREF _Toc310338544 \h </w:instrText>
        </w:r>
        <w:r>
          <w:rPr>
            <w:noProof/>
            <w:webHidden/>
          </w:rPr>
        </w:r>
        <w:r>
          <w:rPr>
            <w:noProof/>
            <w:webHidden/>
          </w:rPr>
          <w:fldChar w:fldCharType="separate"/>
        </w:r>
        <w:r>
          <w:rPr>
            <w:noProof/>
            <w:webHidden/>
          </w:rPr>
          <w:t>19</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45" w:history="1">
        <w:r w:rsidRPr="00EB1827">
          <w:rPr>
            <w:rStyle w:val="Hyperlink"/>
            <w:noProof/>
          </w:rPr>
          <w:t>22. Förslag till rådets beslut om den ståndpunkt som Europeiska unionen ska inta i Världshandelsorganisationens allmänna råd om förlängning av Världshandelsorganisationens undantag för att genomföra EU:s system med autonoma förmånstullar för västra Balkan</w:t>
        </w:r>
        <w:r>
          <w:rPr>
            <w:noProof/>
            <w:webHidden/>
          </w:rPr>
          <w:tab/>
        </w:r>
        <w:r>
          <w:rPr>
            <w:noProof/>
            <w:webHidden/>
          </w:rPr>
          <w:fldChar w:fldCharType="begin"/>
        </w:r>
        <w:r>
          <w:rPr>
            <w:noProof/>
            <w:webHidden/>
          </w:rPr>
          <w:instrText xml:space="preserve"> PAGEREF _Toc310338545 \h </w:instrText>
        </w:r>
        <w:r>
          <w:rPr>
            <w:noProof/>
            <w:webHidden/>
          </w:rPr>
        </w:r>
        <w:r>
          <w:rPr>
            <w:noProof/>
            <w:webHidden/>
          </w:rPr>
          <w:fldChar w:fldCharType="separate"/>
        </w:r>
        <w:r>
          <w:rPr>
            <w:noProof/>
            <w:webHidden/>
          </w:rPr>
          <w:t>19</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46" w:history="1">
        <w:r w:rsidRPr="00EB1827">
          <w:rPr>
            <w:rStyle w:val="Hyperlink"/>
            <w:noProof/>
          </w:rPr>
          <w:t>23.  Förslag till Europaparlamentets och rådets förordning om ändring av rådets förordning (EG) nr 428/2009 om upprättande av en gemenskapsordning för kontroll av export, överföring, förmedling och transitering av produkter med dubbla användningsområde- Politisk överenskommelse</w:t>
        </w:r>
        <w:r>
          <w:rPr>
            <w:noProof/>
            <w:webHidden/>
          </w:rPr>
          <w:tab/>
        </w:r>
        <w:r>
          <w:rPr>
            <w:noProof/>
            <w:webHidden/>
          </w:rPr>
          <w:fldChar w:fldCharType="begin"/>
        </w:r>
        <w:r>
          <w:rPr>
            <w:noProof/>
            <w:webHidden/>
          </w:rPr>
          <w:instrText xml:space="preserve"> PAGEREF _Toc310338546 \h </w:instrText>
        </w:r>
        <w:r>
          <w:rPr>
            <w:noProof/>
            <w:webHidden/>
          </w:rPr>
        </w:r>
        <w:r>
          <w:rPr>
            <w:noProof/>
            <w:webHidden/>
          </w:rPr>
          <w:fldChar w:fldCharType="separate"/>
        </w:r>
        <w:r>
          <w:rPr>
            <w:noProof/>
            <w:webHidden/>
          </w:rPr>
          <w:t>20</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47" w:history="1">
        <w:r w:rsidRPr="00EB1827">
          <w:rPr>
            <w:rStyle w:val="Hyperlink"/>
            <w:noProof/>
          </w:rPr>
          <w:t>24. Rådets förordning om ändring av förordning (EU) nr 1284/2009 om införande av vissa specifika restriktiva åtgärder mot Republiken Guinea</w:t>
        </w:r>
        <w:r>
          <w:rPr>
            <w:noProof/>
            <w:webHidden/>
          </w:rPr>
          <w:tab/>
        </w:r>
        <w:r>
          <w:rPr>
            <w:noProof/>
            <w:webHidden/>
          </w:rPr>
          <w:fldChar w:fldCharType="begin"/>
        </w:r>
        <w:r>
          <w:rPr>
            <w:noProof/>
            <w:webHidden/>
          </w:rPr>
          <w:instrText xml:space="preserve"> PAGEREF _Toc310338547 \h </w:instrText>
        </w:r>
        <w:r>
          <w:rPr>
            <w:noProof/>
            <w:webHidden/>
          </w:rPr>
        </w:r>
        <w:r>
          <w:rPr>
            <w:noProof/>
            <w:webHidden/>
          </w:rPr>
          <w:fldChar w:fldCharType="separate"/>
        </w:r>
        <w:r>
          <w:rPr>
            <w:noProof/>
            <w:webHidden/>
          </w:rPr>
          <w:t>21</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48" w:history="1">
        <w:r w:rsidRPr="00EB1827">
          <w:rPr>
            <w:rStyle w:val="Hyperlink"/>
            <w:noProof/>
          </w:rPr>
          <w:t>25. Rådets beslut om ändring av beslut 2010/413/Gusp om restriktiva åtgärder mot Iran- Rådets genomförandeförordning om genomförande av förordning (EU) nr 961/2010 om restriktiva åtgärder mot Iran</w:t>
        </w:r>
        <w:r>
          <w:rPr>
            <w:noProof/>
            <w:webHidden/>
          </w:rPr>
          <w:tab/>
        </w:r>
        <w:r>
          <w:rPr>
            <w:noProof/>
            <w:webHidden/>
          </w:rPr>
          <w:fldChar w:fldCharType="begin"/>
        </w:r>
        <w:r>
          <w:rPr>
            <w:noProof/>
            <w:webHidden/>
          </w:rPr>
          <w:instrText xml:space="preserve"> PAGEREF _Toc310338548 \h </w:instrText>
        </w:r>
        <w:r>
          <w:rPr>
            <w:noProof/>
            <w:webHidden/>
          </w:rPr>
        </w:r>
        <w:r>
          <w:rPr>
            <w:noProof/>
            <w:webHidden/>
          </w:rPr>
          <w:fldChar w:fldCharType="separate"/>
        </w:r>
        <w:r>
          <w:rPr>
            <w:noProof/>
            <w:webHidden/>
          </w:rPr>
          <w:t>22</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49" w:history="1">
        <w:r w:rsidRPr="00EB1827">
          <w:rPr>
            <w:rStyle w:val="Hyperlink"/>
            <w:noProof/>
          </w:rPr>
          <w:t>26. Övergripande årsrapport 2011 om den gemensamma säkerhets- och försvarspolitiken (GSFP) och utbildningen på GSFP-området</w:t>
        </w:r>
        <w:r>
          <w:rPr>
            <w:noProof/>
            <w:webHidden/>
          </w:rPr>
          <w:tab/>
        </w:r>
        <w:r>
          <w:rPr>
            <w:noProof/>
            <w:webHidden/>
          </w:rPr>
          <w:fldChar w:fldCharType="begin"/>
        </w:r>
        <w:r>
          <w:rPr>
            <w:noProof/>
            <w:webHidden/>
          </w:rPr>
          <w:instrText xml:space="preserve"> PAGEREF _Toc310338549 \h </w:instrText>
        </w:r>
        <w:r>
          <w:rPr>
            <w:noProof/>
            <w:webHidden/>
          </w:rPr>
        </w:r>
        <w:r>
          <w:rPr>
            <w:noProof/>
            <w:webHidden/>
          </w:rPr>
          <w:fldChar w:fldCharType="separate"/>
        </w:r>
        <w:r>
          <w:rPr>
            <w:noProof/>
            <w:webHidden/>
          </w:rPr>
          <w:t>22</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50" w:history="1">
        <w:r w:rsidRPr="00EB1827">
          <w:rPr>
            <w:rStyle w:val="Hyperlink"/>
            <w:noProof/>
          </w:rPr>
          <w:t>27. Rapport från Europeiska försvarsbyråns chef till rådet</w:t>
        </w:r>
        <w:r>
          <w:rPr>
            <w:noProof/>
            <w:webHidden/>
          </w:rPr>
          <w:tab/>
        </w:r>
        <w:r>
          <w:rPr>
            <w:noProof/>
            <w:webHidden/>
          </w:rPr>
          <w:fldChar w:fldCharType="begin"/>
        </w:r>
        <w:r>
          <w:rPr>
            <w:noProof/>
            <w:webHidden/>
          </w:rPr>
          <w:instrText xml:space="preserve"> PAGEREF _Toc310338550 \h </w:instrText>
        </w:r>
        <w:r>
          <w:rPr>
            <w:noProof/>
            <w:webHidden/>
          </w:rPr>
        </w:r>
        <w:r>
          <w:rPr>
            <w:noProof/>
            <w:webHidden/>
          </w:rPr>
          <w:fldChar w:fldCharType="separate"/>
        </w:r>
        <w:r>
          <w:rPr>
            <w:noProof/>
            <w:webHidden/>
          </w:rPr>
          <w:t>23</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51" w:history="1">
        <w:r w:rsidRPr="00EB1827">
          <w:rPr>
            <w:rStyle w:val="Hyperlink"/>
            <w:noProof/>
            <w:lang w:val="fr-FR"/>
          </w:rPr>
          <w:t>28. Proposition de décision du Conseil relative à la signature, au nom de l'Union européenne, et à l'application provisoire de certaines dispositions de l'accord de partenariat et de coopération entre l'Union européenne et ses États membres, d'une part, et la République d'Iraq, d'autre part - Adoption</w:t>
        </w:r>
        <w:r>
          <w:rPr>
            <w:noProof/>
            <w:webHidden/>
          </w:rPr>
          <w:tab/>
        </w:r>
        <w:r>
          <w:rPr>
            <w:noProof/>
            <w:webHidden/>
          </w:rPr>
          <w:fldChar w:fldCharType="begin"/>
        </w:r>
        <w:r>
          <w:rPr>
            <w:noProof/>
            <w:webHidden/>
          </w:rPr>
          <w:instrText xml:space="preserve"> PAGEREF _Toc310338551 \h </w:instrText>
        </w:r>
        <w:r>
          <w:rPr>
            <w:noProof/>
            <w:webHidden/>
          </w:rPr>
        </w:r>
        <w:r>
          <w:rPr>
            <w:noProof/>
            <w:webHidden/>
          </w:rPr>
          <w:fldChar w:fldCharType="separate"/>
        </w:r>
        <w:r>
          <w:rPr>
            <w:noProof/>
            <w:webHidden/>
          </w:rPr>
          <w:t>23</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52" w:history="1">
        <w:r w:rsidRPr="00EB1827">
          <w:rPr>
            <w:rStyle w:val="Hyperlink"/>
            <w:noProof/>
            <w:lang w:val="fr-FR"/>
          </w:rPr>
          <w:t>29. (évent.) Concept de gestion de crise pour une action possible de la PSDC sur le renforcement des capacités maritimes régionales dans les états de la Corne de l'Afrique et dans l'océan Indien occidental.</w:t>
        </w:r>
        <w:r>
          <w:rPr>
            <w:noProof/>
            <w:webHidden/>
          </w:rPr>
          <w:tab/>
        </w:r>
        <w:r>
          <w:rPr>
            <w:noProof/>
            <w:webHidden/>
          </w:rPr>
          <w:fldChar w:fldCharType="begin"/>
        </w:r>
        <w:r>
          <w:rPr>
            <w:noProof/>
            <w:webHidden/>
          </w:rPr>
          <w:instrText xml:space="preserve"> PAGEREF _Toc310338552 \h </w:instrText>
        </w:r>
        <w:r>
          <w:rPr>
            <w:noProof/>
            <w:webHidden/>
          </w:rPr>
        </w:r>
        <w:r>
          <w:rPr>
            <w:noProof/>
            <w:webHidden/>
          </w:rPr>
          <w:fldChar w:fldCharType="separate"/>
        </w:r>
        <w:r>
          <w:rPr>
            <w:noProof/>
            <w:webHidden/>
          </w:rPr>
          <w:t>24</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53" w:history="1">
        <w:r w:rsidRPr="00EB1827">
          <w:rPr>
            <w:rStyle w:val="Hyperlink"/>
            <w:noProof/>
            <w:lang w:val="fr-FR" w:eastAsia="sv-SE"/>
          </w:rPr>
          <w:t>30. Projet d'orientations du Conseil concernant les activités de l'agence en 2012</w:t>
        </w:r>
        <w:r>
          <w:rPr>
            <w:noProof/>
            <w:webHidden/>
          </w:rPr>
          <w:tab/>
        </w:r>
        <w:r>
          <w:rPr>
            <w:noProof/>
            <w:webHidden/>
          </w:rPr>
          <w:fldChar w:fldCharType="begin"/>
        </w:r>
        <w:r>
          <w:rPr>
            <w:noProof/>
            <w:webHidden/>
          </w:rPr>
          <w:instrText xml:space="preserve"> PAGEREF _Toc310338553 \h </w:instrText>
        </w:r>
        <w:r>
          <w:rPr>
            <w:noProof/>
            <w:webHidden/>
          </w:rPr>
        </w:r>
        <w:r>
          <w:rPr>
            <w:noProof/>
            <w:webHidden/>
          </w:rPr>
          <w:fldChar w:fldCharType="separate"/>
        </w:r>
        <w:r>
          <w:rPr>
            <w:noProof/>
            <w:webHidden/>
          </w:rPr>
          <w:t>24</w:t>
        </w:r>
        <w:r>
          <w:rPr>
            <w:noProof/>
            <w:webHidden/>
          </w:rPr>
          <w:fldChar w:fldCharType="end"/>
        </w:r>
      </w:hyperlink>
    </w:p>
    <w:p w:rsidR="00F24DF5" w:rsidRDefault="00F24DF5">
      <w:pPr>
        <w:pStyle w:val="TOC1"/>
        <w:tabs>
          <w:tab w:val="right" w:leader="dot" w:pos="7644"/>
        </w:tabs>
        <w:rPr>
          <w:rFonts w:ascii="Calibri" w:hAnsi="Calibri"/>
          <w:b w:val="0"/>
          <w:bCs w:val="0"/>
          <w:caps w:val="0"/>
          <w:noProof/>
          <w:sz w:val="22"/>
          <w:szCs w:val="22"/>
          <w:lang w:eastAsia="sv-SE"/>
        </w:rPr>
      </w:pPr>
      <w:hyperlink w:anchor="_Toc310338554" w:history="1">
        <w:r w:rsidRPr="00EB1827">
          <w:rPr>
            <w:rStyle w:val="Hyperlink"/>
            <w:noProof/>
          </w:rPr>
          <w:t>Troliga A-punkter inför kommande rådsmöten som förväntas godkännas vid Coreper I 30 november 2011</w:t>
        </w:r>
        <w:r>
          <w:rPr>
            <w:noProof/>
            <w:webHidden/>
          </w:rPr>
          <w:tab/>
        </w:r>
        <w:r>
          <w:rPr>
            <w:noProof/>
            <w:webHidden/>
          </w:rPr>
          <w:fldChar w:fldCharType="begin"/>
        </w:r>
        <w:r>
          <w:rPr>
            <w:noProof/>
            <w:webHidden/>
          </w:rPr>
          <w:instrText xml:space="preserve"> PAGEREF _Toc310338554 \h </w:instrText>
        </w:r>
        <w:r>
          <w:rPr>
            <w:noProof/>
            <w:webHidden/>
          </w:rPr>
        </w:r>
        <w:r>
          <w:rPr>
            <w:noProof/>
            <w:webHidden/>
          </w:rPr>
          <w:fldChar w:fldCharType="separate"/>
        </w:r>
        <w:r>
          <w:rPr>
            <w:noProof/>
            <w:webHidden/>
          </w:rPr>
          <w:t>25</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55" w:history="1">
        <w:r w:rsidRPr="00EB1827">
          <w:rPr>
            <w:rStyle w:val="Hyperlink"/>
            <w:noProof/>
            <w:lang w:val="en-US"/>
          </w:rPr>
          <w:t>31. Reply to written question put to the Council by a Member of the European Parliament (+) (a) n° E-009027/2011 put by Nigel Farage "Article 294(9) TFEU"</w:t>
        </w:r>
        <w:r>
          <w:rPr>
            <w:noProof/>
            <w:webHidden/>
          </w:rPr>
          <w:tab/>
        </w:r>
        <w:r>
          <w:rPr>
            <w:noProof/>
            <w:webHidden/>
          </w:rPr>
          <w:fldChar w:fldCharType="begin"/>
        </w:r>
        <w:r>
          <w:rPr>
            <w:noProof/>
            <w:webHidden/>
          </w:rPr>
          <w:instrText xml:space="preserve"> PAGEREF _Toc310338555 \h </w:instrText>
        </w:r>
        <w:r>
          <w:rPr>
            <w:noProof/>
            <w:webHidden/>
          </w:rPr>
        </w:r>
        <w:r>
          <w:rPr>
            <w:noProof/>
            <w:webHidden/>
          </w:rPr>
          <w:fldChar w:fldCharType="separate"/>
        </w:r>
        <w:r>
          <w:rPr>
            <w:noProof/>
            <w:webHidden/>
          </w:rPr>
          <w:t>25</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56" w:history="1">
        <w:r w:rsidRPr="00EB1827">
          <w:rPr>
            <w:rStyle w:val="Hyperlink"/>
            <w:noProof/>
            <w:lang w:val="en-US"/>
          </w:rPr>
          <w:t>32. Consumption of EAGF appropriations for the period from 16 October 2010 to 31 September 2011 = Information note for the Permanent Representatives Committee (Part 1)</w:t>
        </w:r>
        <w:r>
          <w:rPr>
            <w:noProof/>
            <w:webHidden/>
          </w:rPr>
          <w:tab/>
        </w:r>
        <w:r>
          <w:rPr>
            <w:noProof/>
            <w:webHidden/>
          </w:rPr>
          <w:fldChar w:fldCharType="begin"/>
        </w:r>
        <w:r>
          <w:rPr>
            <w:noProof/>
            <w:webHidden/>
          </w:rPr>
          <w:instrText xml:space="preserve"> PAGEREF _Toc310338556 \h </w:instrText>
        </w:r>
        <w:r>
          <w:rPr>
            <w:noProof/>
            <w:webHidden/>
          </w:rPr>
        </w:r>
        <w:r>
          <w:rPr>
            <w:noProof/>
            <w:webHidden/>
          </w:rPr>
          <w:fldChar w:fldCharType="separate"/>
        </w:r>
        <w:r>
          <w:rPr>
            <w:noProof/>
            <w:webHidden/>
          </w:rPr>
          <w:t>25</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57" w:history="1">
        <w:r w:rsidRPr="00EB1827">
          <w:rPr>
            <w:rStyle w:val="Hyperlink"/>
            <w:noProof/>
            <w:lang w:val="en-US"/>
          </w:rPr>
          <w:t>33. Involvement of Faroe Islands as observer in the European Research Area Committee (ERAC )= Information note for the Permanent Representatives Committee (Part 1)</w:t>
        </w:r>
        <w:r>
          <w:rPr>
            <w:noProof/>
            <w:webHidden/>
          </w:rPr>
          <w:tab/>
        </w:r>
        <w:r>
          <w:rPr>
            <w:noProof/>
            <w:webHidden/>
          </w:rPr>
          <w:fldChar w:fldCharType="begin"/>
        </w:r>
        <w:r>
          <w:rPr>
            <w:noProof/>
            <w:webHidden/>
          </w:rPr>
          <w:instrText xml:space="preserve"> PAGEREF _Toc310338557 \h </w:instrText>
        </w:r>
        <w:r>
          <w:rPr>
            <w:noProof/>
            <w:webHidden/>
          </w:rPr>
        </w:r>
        <w:r>
          <w:rPr>
            <w:noProof/>
            <w:webHidden/>
          </w:rPr>
          <w:fldChar w:fldCharType="separate"/>
        </w:r>
        <w:r>
          <w:rPr>
            <w:noProof/>
            <w:webHidden/>
          </w:rPr>
          <w:t>26</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58" w:history="1">
        <w:r w:rsidRPr="00EB1827">
          <w:rPr>
            <w:rStyle w:val="Hyperlink"/>
            <w:noProof/>
            <w:lang w:val="en-US"/>
          </w:rPr>
          <w:t>34. Draft Commission Decision of XXX concerning the unilateral inclusion of additional greenhouse gases and activities by Italy in the scheme for greenhouse gas emission allowance trading within the Union pursuant to Article 24 of Directive 2003/87/EC of the European Parliament and of the Council = Decision not to oppose adoption</w:t>
        </w:r>
        <w:r>
          <w:rPr>
            <w:noProof/>
            <w:webHidden/>
          </w:rPr>
          <w:tab/>
        </w:r>
        <w:r>
          <w:rPr>
            <w:noProof/>
            <w:webHidden/>
          </w:rPr>
          <w:fldChar w:fldCharType="begin"/>
        </w:r>
        <w:r>
          <w:rPr>
            <w:noProof/>
            <w:webHidden/>
          </w:rPr>
          <w:instrText xml:space="preserve"> PAGEREF _Toc310338558 \h </w:instrText>
        </w:r>
        <w:r>
          <w:rPr>
            <w:noProof/>
            <w:webHidden/>
          </w:rPr>
        </w:r>
        <w:r>
          <w:rPr>
            <w:noProof/>
            <w:webHidden/>
          </w:rPr>
          <w:fldChar w:fldCharType="separate"/>
        </w:r>
        <w:r>
          <w:rPr>
            <w:noProof/>
            <w:webHidden/>
          </w:rPr>
          <w:t>26</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59" w:history="1">
        <w:r w:rsidRPr="00EB1827">
          <w:rPr>
            <w:rStyle w:val="Hyperlink"/>
            <w:noProof/>
            <w:lang w:val="en-US"/>
          </w:rPr>
          <w:t>35. Common Understanding between the Governments of the Member States of the European Union on an Equalisation Mechanism pertaining to the Agreed Principles = Approval by the representatives of the Governments of the Member States of the European Union meeting within the Council</w:t>
        </w:r>
        <w:r>
          <w:rPr>
            <w:noProof/>
            <w:webHidden/>
          </w:rPr>
          <w:tab/>
        </w:r>
        <w:r>
          <w:rPr>
            <w:noProof/>
            <w:webHidden/>
          </w:rPr>
          <w:fldChar w:fldCharType="begin"/>
        </w:r>
        <w:r>
          <w:rPr>
            <w:noProof/>
            <w:webHidden/>
          </w:rPr>
          <w:instrText xml:space="preserve"> PAGEREF _Toc310338559 \h </w:instrText>
        </w:r>
        <w:r>
          <w:rPr>
            <w:noProof/>
            <w:webHidden/>
          </w:rPr>
        </w:r>
        <w:r>
          <w:rPr>
            <w:noProof/>
            <w:webHidden/>
          </w:rPr>
          <w:fldChar w:fldCharType="separate"/>
        </w:r>
        <w:r>
          <w:rPr>
            <w:noProof/>
            <w:webHidden/>
          </w:rPr>
          <w:t>27</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60" w:history="1">
        <w:r w:rsidRPr="00EB1827">
          <w:rPr>
            <w:rStyle w:val="Hyperlink"/>
            <w:noProof/>
            <w:lang w:val="en-US"/>
          </w:rPr>
          <w:t>36. Special Report No 5/2011 from the European Court of Auditors entitled "Single Payment Scheme (SPS): issues to be addressed to improve its sound financial management"= Adoption of Council conclusions</w:t>
        </w:r>
        <w:r>
          <w:rPr>
            <w:noProof/>
            <w:webHidden/>
          </w:rPr>
          <w:tab/>
        </w:r>
        <w:r>
          <w:rPr>
            <w:noProof/>
            <w:webHidden/>
          </w:rPr>
          <w:fldChar w:fldCharType="begin"/>
        </w:r>
        <w:r>
          <w:rPr>
            <w:noProof/>
            <w:webHidden/>
          </w:rPr>
          <w:instrText xml:space="preserve"> PAGEREF _Toc310338560 \h </w:instrText>
        </w:r>
        <w:r>
          <w:rPr>
            <w:noProof/>
            <w:webHidden/>
          </w:rPr>
        </w:r>
        <w:r>
          <w:rPr>
            <w:noProof/>
            <w:webHidden/>
          </w:rPr>
          <w:fldChar w:fldCharType="separate"/>
        </w:r>
        <w:r>
          <w:rPr>
            <w:noProof/>
            <w:webHidden/>
          </w:rPr>
          <w:t>28</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61" w:history="1">
        <w:r w:rsidRPr="00EB1827">
          <w:rPr>
            <w:rStyle w:val="Hyperlink"/>
            <w:noProof/>
            <w:lang w:val="en-US"/>
          </w:rPr>
          <w:t>37. Draft Council Directive amending Council Directive 1999/31/EC as regards specific criteria for the storage of metallic mercury considered as waste = Adoption</w:t>
        </w:r>
        <w:r>
          <w:rPr>
            <w:noProof/>
            <w:webHidden/>
          </w:rPr>
          <w:tab/>
        </w:r>
        <w:r>
          <w:rPr>
            <w:noProof/>
            <w:webHidden/>
          </w:rPr>
          <w:fldChar w:fldCharType="begin"/>
        </w:r>
        <w:r>
          <w:rPr>
            <w:noProof/>
            <w:webHidden/>
          </w:rPr>
          <w:instrText xml:space="preserve"> PAGEREF _Toc310338561 \h </w:instrText>
        </w:r>
        <w:r>
          <w:rPr>
            <w:noProof/>
            <w:webHidden/>
          </w:rPr>
        </w:r>
        <w:r>
          <w:rPr>
            <w:noProof/>
            <w:webHidden/>
          </w:rPr>
          <w:fldChar w:fldCharType="separate"/>
        </w:r>
        <w:r>
          <w:rPr>
            <w:noProof/>
            <w:webHidden/>
          </w:rPr>
          <w:t>28</w:t>
        </w:r>
        <w:r>
          <w:rPr>
            <w:noProof/>
            <w:webHidden/>
          </w:rPr>
          <w:fldChar w:fldCharType="end"/>
        </w:r>
      </w:hyperlink>
    </w:p>
    <w:p w:rsidR="00F24DF5" w:rsidRDefault="00F24DF5">
      <w:pPr>
        <w:pStyle w:val="TOC2"/>
        <w:tabs>
          <w:tab w:val="right" w:leader="dot" w:pos="7644"/>
        </w:tabs>
        <w:rPr>
          <w:rFonts w:ascii="Calibri" w:hAnsi="Calibri"/>
          <w:b w:val="0"/>
          <w:bCs w:val="0"/>
          <w:noProof/>
          <w:sz w:val="22"/>
          <w:szCs w:val="22"/>
          <w:lang w:eastAsia="sv-SE"/>
        </w:rPr>
      </w:pPr>
      <w:hyperlink w:anchor="_Toc310338562" w:history="1">
        <w:r w:rsidRPr="00EB1827">
          <w:rPr>
            <w:rStyle w:val="Hyperlink"/>
            <w:noProof/>
            <w:lang w:val="en-US"/>
          </w:rPr>
          <w:t>38. Proposal for a Directive of the European Parliament and of the Council amending Directive 2000/75/EC as regards vaccination against bluetongue (First reading) (Legislative deliberation)= Political agreement with a view to the adoption of the Council's position</w:t>
        </w:r>
        <w:r>
          <w:rPr>
            <w:noProof/>
            <w:webHidden/>
          </w:rPr>
          <w:tab/>
        </w:r>
        <w:r>
          <w:rPr>
            <w:noProof/>
            <w:webHidden/>
          </w:rPr>
          <w:fldChar w:fldCharType="begin"/>
        </w:r>
        <w:r>
          <w:rPr>
            <w:noProof/>
            <w:webHidden/>
          </w:rPr>
          <w:instrText xml:space="preserve"> PAGEREF _Toc310338562 \h </w:instrText>
        </w:r>
        <w:r>
          <w:rPr>
            <w:noProof/>
            <w:webHidden/>
          </w:rPr>
        </w:r>
        <w:r>
          <w:rPr>
            <w:noProof/>
            <w:webHidden/>
          </w:rPr>
          <w:fldChar w:fldCharType="separate"/>
        </w:r>
        <w:r>
          <w:rPr>
            <w:noProof/>
            <w:webHidden/>
          </w:rPr>
          <w:t>30</w:t>
        </w:r>
        <w:r>
          <w:rPr>
            <w:noProof/>
            <w:webHidden/>
          </w:rPr>
          <w:fldChar w:fldCharType="end"/>
        </w:r>
      </w:hyperlink>
    </w:p>
    <w:p w:rsidR="00F24DF5" w:rsidRDefault="00F24DF5">
      <w:pPr>
        <w:pStyle w:val="RKnormal"/>
        <w:ind w:left="0"/>
        <w:rPr>
          <w:b/>
          <w:bCs/>
        </w:rPr>
      </w:pPr>
      <w:r>
        <w:rPr>
          <w:b/>
          <w:bCs/>
        </w:rPr>
        <w:fldChar w:fldCharType="end"/>
      </w:r>
    </w:p>
    <w:p w:rsidR="00F24DF5" w:rsidRDefault="00F24DF5">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10338522"/>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F24DF5" w:rsidRDefault="00F24DF5" w:rsidP="00197DE3">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4" w:name="Punkt"/>
      <w:bookmarkEnd w:id="54"/>
    </w:p>
    <w:p w:rsidR="00F24DF5" w:rsidRDefault="00F24DF5" w:rsidP="00B77E5A">
      <w:pPr>
        <w:pStyle w:val="Heading1"/>
      </w:pPr>
      <w:bookmarkStart w:id="55" w:name="_Toc310338523"/>
      <w:r>
        <w:t>Troliga A-punkter inför kommande rådsmöten som förväntas godkännas vid Coreper II 29 november 2011</w:t>
      </w:r>
      <w:bookmarkEnd w:id="55"/>
      <w:r>
        <w:t xml:space="preserve">  </w:t>
      </w:r>
    </w:p>
    <w:p w:rsidR="00F24DF5" w:rsidRPr="00632A42" w:rsidRDefault="00F24DF5" w:rsidP="00632A42">
      <w:pPr>
        <w:pStyle w:val="Heading2"/>
      </w:pPr>
      <w:bookmarkStart w:id="56" w:name="_Toc310338524"/>
      <w:r>
        <w:t>1. Rekommendation till rådet om godkännande av en krypteringsapparat som utvärderats av en andra part</w:t>
      </w:r>
      <w:bookmarkEnd w:id="56"/>
    </w:p>
    <w:p w:rsidR="00F24DF5" w:rsidRPr="00632A42" w:rsidRDefault="00F24DF5" w:rsidP="00632A42">
      <w:r>
        <w:t>16913/11</w:t>
      </w:r>
    </w:p>
    <w:p w:rsidR="00F24DF5" w:rsidRDefault="00F24DF5">
      <w:pPr>
        <w:pStyle w:val="RKnormal"/>
        <w:tabs>
          <w:tab w:val="clear" w:pos="1843"/>
          <w:tab w:val="left" w:pos="0"/>
        </w:tabs>
        <w:ind w:left="0"/>
      </w:pPr>
    </w:p>
    <w:p w:rsidR="00F24DF5" w:rsidRPr="00632A42" w:rsidRDefault="00F24DF5" w:rsidP="00632A42">
      <w:r>
        <w:t>Ansvarigt departement: Utrikesdepartementet</w:t>
      </w:r>
    </w:p>
    <w:p w:rsidR="00F24DF5" w:rsidRDefault="00F24DF5">
      <w:pPr>
        <w:pStyle w:val="RKnormal"/>
        <w:tabs>
          <w:tab w:val="clear" w:pos="1843"/>
          <w:tab w:val="left" w:pos="0"/>
        </w:tabs>
        <w:ind w:left="0"/>
      </w:pPr>
    </w:p>
    <w:p w:rsidR="00F24DF5" w:rsidRPr="00632A42" w:rsidRDefault="00F24DF5" w:rsidP="00632A42">
      <w:r>
        <w:t>Ansvarigt statsråd: Carl Bildt</w:t>
      </w:r>
    </w:p>
    <w:p w:rsidR="00F24DF5" w:rsidRDefault="00F24DF5">
      <w:pPr>
        <w:pStyle w:val="RKnormal"/>
        <w:tabs>
          <w:tab w:val="clear" w:pos="1843"/>
          <w:tab w:val="left" w:pos="0"/>
        </w:tabs>
        <w:ind w:left="0"/>
      </w:pPr>
    </w:p>
    <w:p w:rsidR="00F24DF5" w:rsidRPr="00632A42" w:rsidRDefault="00F24DF5" w:rsidP="00632A42">
      <w:r>
        <w:t>Förväntas godkännas av Coreper II den 29 november 2011</w:t>
      </w:r>
    </w:p>
    <w:p w:rsidR="00F24DF5" w:rsidRDefault="00F24DF5">
      <w:pPr>
        <w:pStyle w:val="RKnormal"/>
        <w:tabs>
          <w:tab w:val="clear" w:pos="1843"/>
          <w:tab w:val="left" w:pos="0"/>
        </w:tabs>
        <w:ind w:left="0"/>
      </w:pPr>
    </w:p>
    <w:p w:rsidR="00F24DF5" w:rsidRDefault="00F24DF5" w:rsidP="00632A42">
      <w:r>
        <w:t>I rådets säkerhetsbestämmelser uppges att om de säkerhetsskyddsklassificerade EU-uppgifterna skyddas med hjälp av kryptoprodukter, ska sådana produkter godkännas.</w:t>
      </w:r>
    </w:p>
    <w:p w:rsidR="00F24DF5" w:rsidRDefault="00F24DF5" w:rsidP="00632A42"/>
    <w:p w:rsidR="00F24DF5" w:rsidRDefault="00F24DF5" w:rsidP="00632A42">
      <w:r>
        <w:t>Konfidentialiteten för uppgifter på säkerhetsskyddsklassificeringsnivån SECRET UE/EU SECRET och högre ska skyddas genom kryptoprodukter som har godkänts av rådet i egenskap av kryptogodkännande myndighet på rekommendation av dess säkerhetskommitté.</w:t>
      </w:r>
    </w:p>
    <w:p w:rsidR="00F24DF5" w:rsidRDefault="00F24DF5" w:rsidP="00632A42"/>
    <w:p w:rsidR="00F24DF5" w:rsidRDefault="00F24DF5" w:rsidP="00632A42">
      <w:r>
        <w:t>Säkerhetskommittén har bekräftat att de nödvändiga förutsättningarna för ett sådant godkännande i enlighet med punkt 26 i bilaga IV till rådets säkerhetsbestämmelser uppfylls av den svenska kryptoprodukten Arana VPN system v1.3.1.</w:t>
      </w:r>
    </w:p>
    <w:p w:rsidR="00F24DF5" w:rsidRDefault="00F24DF5" w:rsidP="00632A42"/>
    <w:p w:rsidR="00F24DF5" w:rsidRDefault="00F24DF5" w:rsidP="00632A42">
      <w:r>
        <w:t>I ljuset av ovanstående rekommenderas rådet, med förbehåll för bekräftelse från Coreper, godkänna användningen av den svenska kryptoprodukten Arana VPN system v1.3.1 för att skydda säkerhetsskyddsklassificerade EU-uppgifter på en säkerhetsskyddsklassificeringsnivå som inte är högre än SECRET UE/EU SECRET.</w:t>
      </w:r>
    </w:p>
    <w:p w:rsidR="00F24DF5" w:rsidRPr="00632A42" w:rsidRDefault="00F24DF5" w:rsidP="00632A42"/>
    <w:p w:rsidR="00F24DF5" w:rsidRDefault="00F24DF5">
      <w:pPr>
        <w:pStyle w:val="RKnormal"/>
        <w:tabs>
          <w:tab w:val="clear" w:pos="1843"/>
          <w:tab w:val="left" w:pos="0"/>
        </w:tabs>
        <w:ind w:left="0"/>
      </w:pPr>
      <w:r>
        <w:t xml:space="preserve"> </w:t>
      </w:r>
    </w:p>
    <w:p w:rsidR="00F24DF5" w:rsidRPr="00632A42" w:rsidRDefault="00F24DF5" w:rsidP="00632A42">
      <w:pPr>
        <w:pStyle w:val="Heading2"/>
      </w:pPr>
      <w:bookmarkStart w:id="57" w:name="_Toc310338525"/>
      <w:r>
        <w:t>2. Insyn - Allmänhetens tillgång till handlingarna) Bekräftande ansökan nr 24/c/01/11</w:t>
      </w:r>
      <w:bookmarkEnd w:id="57"/>
    </w:p>
    <w:p w:rsidR="00F24DF5" w:rsidRPr="00632A42" w:rsidRDefault="00F24DF5" w:rsidP="00632A42">
      <w:r>
        <w:t>16329/11</w:t>
      </w:r>
    </w:p>
    <w:p w:rsidR="00F24DF5" w:rsidRDefault="00F24DF5">
      <w:pPr>
        <w:pStyle w:val="RKnormal"/>
        <w:tabs>
          <w:tab w:val="clear" w:pos="1843"/>
          <w:tab w:val="left" w:pos="0"/>
        </w:tabs>
        <w:ind w:left="0"/>
      </w:pPr>
    </w:p>
    <w:p w:rsidR="00F24DF5" w:rsidRPr="00632A42" w:rsidRDefault="00F24DF5" w:rsidP="00632A42">
      <w:r>
        <w:t>Ansvarigt departement: Justitiedepartementet</w:t>
      </w:r>
    </w:p>
    <w:p w:rsidR="00F24DF5" w:rsidRDefault="00F24DF5">
      <w:pPr>
        <w:pStyle w:val="RKnormal"/>
        <w:tabs>
          <w:tab w:val="clear" w:pos="1843"/>
          <w:tab w:val="left" w:pos="0"/>
        </w:tabs>
        <w:ind w:left="0"/>
      </w:pPr>
    </w:p>
    <w:p w:rsidR="00F24DF5" w:rsidRPr="00632A42" w:rsidRDefault="00F24DF5" w:rsidP="00632A42">
      <w:r>
        <w:t>Ansvarigt statsråd: Beatrice Ask</w:t>
      </w:r>
    </w:p>
    <w:p w:rsidR="00F24DF5" w:rsidRDefault="00F24DF5">
      <w:pPr>
        <w:pStyle w:val="RKnormal"/>
        <w:tabs>
          <w:tab w:val="clear" w:pos="1843"/>
          <w:tab w:val="left" w:pos="0"/>
        </w:tabs>
        <w:ind w:left="0"/>
      </w:pPr>
    </w:p>
    <w:p w:rsidR="00F24DF5" w:rsidRPr="00632A42" w:rsidRDefault="00F24DF5" w:rsidP="00B77E5A">
      <w:r>
        <w:t>Förväntas godkännas av Coreper II den 29 november 2011</w:t>
      </w:r>
    </w:p>
    <w:p w:rsidR="00F24DF5" w:rsidRDefault="00F24DF5">
      <w:pPr>
        <w:pStyle w:val="RKnormal"/>
        <w:tabs>
          <w:tab w:val="clear" w:pos="1843"/>
          <w:tab w:val="left" w:pos="0"/>
        </w:tabs>
        <w:ind w:left="0"/>
      </w:pPr>
    </w:p>
    <w:p w:rsidR="00F24DF5" w:rsidRDefault="00F24DF5" w:rsidP="00197DE3">
      <w:r>
        <w:t>Föranleder ingen annotering</w:t>
      </w:r>
    </w:p>
    <w:p w:rsidR="00F24DF5" w:rsidRPr="00632A42" w:rsidRDefault="00F24DF5" w:rsidP="00632A42">
      <w:pPr>
        <w:pStyle w:val="Heading2"/>
      </w:pPr>
      <w:bookmarkStart w:id="58" w:name="_Toc310338526"/>
      <w:r>
        <w:t>3. Mål vid tribunalen - Mål T-436/11 (Afriqiyah Airways mot rådet)</w:t>
      </w:r>
      <w:bookmarkEnd w:id="58"/>
    </w:p>
    <w:p w:rsidR="00F24DF5" w:rsidRPr="00632A42" w:rsidRDefault="00F24DF5" w:rsidP="00632A42">
      <w:r>
        <w:t>17679/11</w:t>
      </w:r>
    </w:p>
    <w:p w:rsidR="00F24DF5" w:rsidRDefault="00F24DF5">
      <w:pPr>
        <w:pStyle w:val="RKnormal"/>
        <w:tabs>
          <w:tab w:val="clear" w:pos="1843"/>
          <w:tab w:val="left" w:pos="0"/>
        </w:tabs>
        <w:ind w:left="0"/>
      </w:pPr>
    </w:p>
    <w:p w:rsidR="00F24DF5" w:rsidRPr="00632A42" w:rsidRDefault="00F24DF5" w:rsidP="00632A42">
      <w:r>
        <w:t>Ansvarigt departement: Utrikesdepartementet</w:t>
      </w:r>
    </w:p>
    <w:p w:rsidR="00F24DF5" w:rsidRDefault="00F24DF5">
      <w:pPr>
        <w:pStyle w:val="RKnormal"/>
        <w:tabs>
          <w:tab w:val="clear" w:pos="1843"/>
          <w:tab w:val="left" w:pos="0"/>
        </w:tabs>
        <w:ind w:left="0"/>
      </w:pPr>
    </w:p>
    <w:p w:rsidR="00F24DF5" w:rsidRPr="00632A42" w:rsidRDefault="00F24DF5" w:rsidP="00632A42">
      <w:r>
        <w:t>Ansvarigt statsråd: Birgitta Ohlsson</w:t>
      </w:r>
    </w:p>
    <w:p w:rsidR="00F24DF5" w:rsidRDefault="00F24DF5">
      <w:pPr>
        <w:pStyle w:val="RKnormal"/>
        <w:tabs>
          <w:tab w:val="clear" w:pos="1843"/>
          <w:tab w:val="left" w:pos="0"/>
        </w:tabs>
        <w:ind w:left="0"/>
      </w:pPr>
    </w:p>
    <w:p w:rsidR="00F24DF5" w:rsidRPr="00632A42" w:rsidRDefault="00F24DF5" w:rsidP="00B77E5A">
      <w:r>
        <w:t>Förväntas godkännas av Coreper II den 29 november 2011</w:t>
      </w:r>
    </w:p>
    <w:p w:rsidR="00F24DF5" w:rsidRDefault="00F24DF5">
      <w:pPr>
        <w:pStyle w:val="RKnormal"/>
        <w:tabs>
          <w:tab w:val="clear" w:pos="1843"/>
          <w:tab w:val="left" w:pos="0"/>
        </w:tabs>
        <w:ind w:left="0"/>
      </w:pPr>
    </w:p>
    <w:p w:rsidR="00F24DF5" w:rsidRDefault="00F24DF5" w:rsidP="00197DE3">
      <w:r>
        <w:t xml:space="preserve">Föranleder ingen annotering </w:t>
      </w:r>
    </w:p>
    <w:p w:rsidR="00F24DF5" w:rsidRPr="00632A42" w:rsidRDefault="00F24DF5" w:rsidP="00632A42">
      <w:pPr>
        <w:pStyle w:val="Heading2"/>
      </w:pPr>
      <w:bookmarkStart w:id="59" w:name="_Toc310338527"/>
      <w:r>
        <w:t>4. Ekonomiska och sociala kommittén- Rådets beslut om utnämning av en belgisk ledamot i Europeiska ekonomiska och sociala kommittén</w:t>
      </w:r>
      <w:bookmarkEnd w:id="59"/>
    </w:p>
    <w:p w:rsidR="00F24DF5" w:rsidRPr="00632A42" w:rsidRDefault="00F24DF5" w:rsidP="00632A42">
      <w:r>
        <w:t>16333/11, 16332/11</w:t>
      </w:r>
    </w:p>
    <w:p w:rsidR="00F24DF5" w:rsidRDefault="00F24DF5">
      <w:pPr>
        <w:pStyle w:val="RKnormal"/>
        <w:tabs>
          <w:tab w:val="clear" w:pos="1843"/>
          <w:tab w:val="left" w:pos="0"/>
        </w:tabs>
        <w:ind w:left="0"/>
      </w:pPr>
    </w:p>
    <w:p w:rsidR="00F24DF5" w:rsidRPr="00632A42" w:rsidRDefault="00F24DF5" w:rsidP="00632A42">
      <w:r>
        <w:t>Ansvarigt departement: Arbetsmarknadsdepartementet</w:t>
      </w:r>
    </w:p>
    <w:p w:rsidR="00F24DF5" w:rsidRDefault="00F24DF5">
      <w:pPr>
        <w:pStyle w:val="RKnormal"/>
        <w:tabs>
          <w:tab w:val="clear" w:pos="1843"/>
          <w:tab w:val="left" w:pos="0"/>
        </w:tabs>
        <w:ind w:left="0"/>
      </w:pPr>
    </w:p>
    <w:p w:rsidR="00F24DF5" w:rsidRPr="00632A42" w:rsidRDefault="00F24DF5" w:rsidP="00632A42">
      <w:r>
        <w:t>Ansvarigt statsråd: Hillevi Engström</w:t>
      </w:r>
    </w:p>
    <w:p w:rsidR="00F24DF5" w:rsidRDefault="00F24DF5">
      <w:pPr>
        <w:pStyle w:val="RKnormal"/>
        <w:tabs>
          <w:tab w:val="clear" w:pos="1843"/>
          <w:tab w:val="left" w:pos="0"/>
        </w:tabs>
        <w:ind w:left="0"/>
      </w:pPr>
    </w:p>
    <w:p w:rsidR="00F24DF5" w:rsidRPr="00632A42" w:rsidRDefault="00F24DF5" w:rsidP="00B77E5A">
      <w:r>
        <w:t>Förväntas godkännas av Coreper II den 29 november 2011</w:t>
      </w:r>
    </w:p>
    <w:p w:rsidR="00F24DF5" w:rsidRDefault="00F24DF5">
      <w:pPr>
        <w:pStyle w:val="RKnormal"/>
        <w:tabs>
          <w:tab w:val="clear" w:pos="1843"/>
          <w:tab w:val="left" w:pos="0"/>
        </w:tabs>
        <w:ind w:left="0"/>
      </w:pPr>
    </w:p>
    <w:p w:rsidR="00F24DF5" w:rsidRPr="00632A42" w:rsidRDefault="00F24DF5" w:rsidP="00632A42">
      <w:r>
        <w:t>Föranleder ingen annotering</w:t>
      </w:r>
    </w:p>
    <w:p w:rsidR="00F24DF5" w:rsidRDefault="00F24DF5">
      <w:pPr>
        <w:pStyle w:val="RKnormal"/>
        <w:tabs>
          <w:tab w:val="clear" w:pos="1843"/>
          <w:tab w:val="left" w:pos="0"/>
        </w:tabs>
        <w:ind w:left="0"/>
      </w:pPr>
      <w:r>
        <w:t xml:space="preserve"> </w:t>
      </w:r>
    </w:p>
    <w:p w:rsidR="00F24DF5" w:rsidRPr="00632A42" w:rsidRDefault="00F24DF5" w:rsidP="00632A42">
      <w:pPr>
        <w:pStyle w:val="Heading2"/>
      </w:pPr>
      <w:bookmarkStart w:id="60" w:name="_Toc310338528"/>
      <w:r>
        <w:t>5. Regionkommittén- Rådets beslut om utnämning av sex nederländska ledamöter och sex nederländska suppleanter i Regionkommitténs</w:t>
      </w:r>
      <w:bookmarkEnd w:id="60"/>
    </w:p>
    <w:p w:rsidR="00F24DF5" w:rsidRPr="00632A42" w:rsidRDefault="00F24DF5" w:rsidP="00632A42">
      <w:r>
        <w:t>17669/11, 17667/11</w:t>
      </w:r>
    </w:p>
    <w:p w:rsidR="00F24DF5" w:rsidRDefault="00F24DF5">
      <w:pPr>
        <w:pStyle w:val="RKnormal"/>
        <w:tabs>
          <w:tab w:val="clear" w:pos="1843"/>
          <w:tab w:val="left" w:pos="0"/>
        </w:tabs>
        <w:ind w:left="0"/>
      </w:pPr>
    </w:p>
    <w:p w:rsidR="00F24DF5" w:rsidRPr="00632A42" w:rsidRDefault="00F24DF5" w:rsidP="00632A42">
      <w:r>
        <w:t>Ansvarigt departement: Finansdepartementet</w:t>
      </w:r>
    </w:p>
    <w:p w:rsidR="00F24DF5" w:rsidRDefault="00F24DF5">
      <w:pPr>
        <w:pStyle w:val="RKnormal"/>
        <w:tabs>
          <w:tab w:val="clear" w:pos="1843"/>
          <w:tab w:val="left" w:pos="0"/>
        </w:tabs>
        <w:ind w:left="0"/>
      </w:pPr>
    </w:p>
    <w:p w:rsidR="00F24DF5" w:rsidRPr="00632A42" w:rsidRDefault="00F24DF5" w:rsidP="00632A42">
      <w:r>
        <w:t>Ansvarigt statsråd: Peter Norman</w:t>
      </w:r>
    </w:p>
    <w:p w:rsidR="00F24DF5" w:rsidRDefault="00F24DF5">
      <w:pPr>
        <w:pStyle w:val="RKnormal"/>
        <w:tabs>
          <w:tab w:val="clear" w:pos="1843"/>
          <w:tab w:val="left" w:pos="0"/>
        </w:tabs>
        <w:ind w:left="0"/>
      </w:pPr>
    </w:p>
    <w:p w:rsidR="00F24DF5" w:rsidRPr="00632A42" w:rsidRDefault="00F24DF5" w:rsidP="00B77E5A">
      <w:r>
        <w:t>Förväntas godkännas av Coreper II den 29 november 2011</w:t>
      </w:r>
    </w:p>
    <w:p w:rsidR="00F24DF5" w:rsidRDefault="00F24DF5">
      <w:pPr>
        <w:pStyle w:val="RKnormal"/>
        <w:tabs>
          <w:tab w:val="clear" w:pos="1843"/>
          <w:tab w:val="left" w:pos="0"/>
        </w:tabs>
        <w:ind w:left="0"/>
      </w:pPr>
    </w:p>
    <w:p w:rsidR="00F24DF5" w:rsidRDefault="00F24DF5" w:rsidP="00197DE3">
      <w:r>
        <w:t>Föranleder ingen annotering</w:t>
      </w:r>
    </w:p>
    <w:p w:rsidR="00F24DF5" w:rsidRPr="00632A42" w:rsidRDefault="00F24DF5" w:rsidP="00632A42">
      <w:pPr>
        <w:pStyle w:val="Heading2"/>
      </w:pPr>
      <w:bookmarkStart w:id="61" w:name="_Toc310338529"/>
      <w:r>
        <w:t>6. Rådets beslut om den ståndpunkt som Europeiska unionen ska inta i gemensamma EES-kommittén angående en ändring av bilaga IV (Energi) till EES-avtalet</w:t>
      </w:r>
      <w:bookmarkEnd w:id="61"/>
    </w:p>
    <w:p w:rsidR="00F24DF5" w:rsidRPr="00632A42" w:rsidRDefault="00F24DF5" w:rsidP="00632A42">
      <w:r>
        <w:t>16718/11, 16720/11</w:t>
      </w:r>
    </w:p>
    <w:p w:rsidR="00F24DF5" w:rsidRDefault="00F24DF5">
      <w:pPr>
        <w:pStyle w:val="RKnormal"/>
        <w:tabs>
          <w:tab w:val="clear" w:pos="1843"/>
          <w:tab w:val="left" w:pos="0"/>
        </w:tabs>
        <w:ind w:left="0"/>
      </w:pPr>
    </w:p>
    <w:p w:rsidR="00F24DF5" w:rsidRPr="00632A42" w:rsidRDefault="00F24DF5" w:rsidP="00632A42">
      <w:r>
        <w:t>Ansvarigt departement: Utrikesdepartementet</w:t>
      </w:r>
    </w:p>
    <w:p w:rsidR="00F24DF5" w:rsidRDefault="00F24DF5">
      <w:pPr>
        <w:pStyle w:val="RKnormal"/>
        <w:tabs>
          <w:tab w:val="clear" w:pos="1843"/>
          <w:tab w:val="left" w:pos="0"/>
        </w:tabs>
        <w:ind w:left="0"/>
      </w:pPr>
    </w:p>
    <w:p w:rsidR="00F24DF5" w:rsidRPr="00632A42" w:rsidRDefault="00F24DF5" w:rsidP="00632A42">
      <w:r>
        <w:t>Ansvarigt statsråd: Carl Bildt</w:t>
      </w:r>
    </w:p>
    <w:p w:rsidR="00F24DF5" w:rsidRDefault="00F24DF5">
      <w:pPr>
        <w:pStyle w:val="RKnormal"/>
        <w:tabs>
          <w:tab w:val="clear" w:pos="1843"/>
          <w:tab w:val="left" w:pos="0"/>
        </w:tabs>
        <w:ind w:left="0"/>
      </w:pPr>
    </w:p>
    <w:p w:rsidR="00F24DF5" w:rsidRPr="00632A42" w:rsidRDefault="00F24DF5" w:rsidP="00632A42">
      <w:r>
        <w:t>Tidigare behandling vid rådsmöte: Allmänna frågor och yttre förbindelser</w:t>
      </w:r>
    </w:p>
    <w:p w:rsidR="00F24DF5" w:rsidRDefault="00F24DF5">
      <w:pPr>
        <w:pStyle w:val="RKnormal"/>
        <w:tabs>
          <w:tab w:val="clear" w:pos="1843"/>
          <w:tab w:val="left" w:pos="0"/>
        </w:tabs>
        <w:ind w:left="0"/>
      </w:pPr>
    </w:p>
    <w:p w:rsidR="00F24DF5" w:rsidRPr="00632A42" w:rsidRDefault="00F24DF5" w:rsidP="00B77E5A">
      <w:r>
        <w:t>Förväntas godkännas av Coreper II den 29 november 2011</w:t>
      </w:r>
    </w:p>
    <w:p w:rsidR="00F24DF5" w:rsidRDefault="00F24DF5">
      <w:pPr>
        <w:pStyle w:val="RKnormal"/>
        <w:tabs>
          <w:tab w:val="clear" w:pos="1843"/>
          <w:tab w:val="left" w:pos="0"/>
        </w:tabs>
        <w:ind w:left="0"/>
      </w:pPr>
    </w:p>
    <w:p w:rsidR="00F24DF5" w:rsidRDefault="00F24DF5" w:rsidP="00197DE3">
      <w:r>
        <w:t xml:space="preserve">Förslaget till beslut avser EU:s ståndpunkt i EES gemensamma kommitté i syfte att ändra bilaga IV (energi) till EES-avtalet. Genom denna ändring införlivas direktiv 2009/28/EG om främjande av användning av energi från förnybara energikällor i EES. </w:t>
      </w:r>
    </w:p>
    <w:p w:rsidR="00F24DF5" w:rsidRPr="00632A42" w:rsidRDefault="00F24DF5" w:rsidP="00632A42">
      <w:pPr>
        <w:pStyle w:val="Heading2"/>
      </w:pPr>
      <w:bookmarkStart w:id="62" w:name="_Toc310338530"/>
      <w:r>
        <w:t>7. Förbindelserna med Kroatien - Rådets beslut om ingående av ett avtal om Kroatiens deltagande i Europeiska centrumet för kontroll av narkotika och narkotikamissbruk</w:t>
      </w:r>
      <w:bookmarkEnd w:id="62"/>
      <w:r>
        <w:t xml:space="preserve"> </w:t>
      </w:r>
    </w:p>
    <w:p w:rsidR="00F24DF5" w:rsidRPr="00632A42" w:rsidRDefault="00F24DF5" w:rsidP="00632A42">
      <w:r>
        <w:t>17397/11</w:t>
      </w:r>
    </w:p>
    <w:p w:rsidR="00F24DF5" w:rsidRDefault="00F24DF5">
      <w:pPr>
        <w:pStyle w:val="RKnormal"/>
        <w:tabs>
          <w:tab w:val="clear" w:pos="1843"/>
          <w:tab w:val="left" w:pos="0"/>
        </w:tabs>
        <w:ind w:left="0"/>
      </w:pPr>
    </w:p>
    <w:p w:rsidR="00F24DF5" w:rsidRPr="00632A42" w:rsidRDefault="00F24DF5" w:rsidP="00632A42">
      <w:r>
        <w:t>Ansvarigt departement: Utrikesdepartementet</w:t>
      </w:r>
    </w:p>
    <w:p w:rsidR="00F24DF5" w:rsidRDefault="00F24DF5">
      <w:pPr>
        <w:pStyle w:val="RKnormal"/>
        <w:tabs>
          <w:tab w:val="clear" w:pos="1843"/>
          <w:tab w:val="left" w:pos="0"/>
        </w:tabs>
        <w:ind w:left="0"/>
      </w:pPr>
    </w:p>
    <w:p w:rsidR="00F24DF5" w:rsidRDefault="00F24DF5" w:rsidP="00632A42">
      <w:r>
        <w:t>Ansvarigt statsråd: Carl Bildt</w:t>
      </w:r>
    </w:p>
    <w:p w:rsidR="00F24DF5" w:rsidRPr="00632A42" w:rsidRDefault="00F24DF5" w:rsidP="00632A42"/>
    <w:p w:rsidR="00F24DF5" w:rsidRPr="00632A42" w:rsidRDefault="00F24DF5" w:rsidP="00B77E5A">
      <w:r>
        <w:t>Förväntas godkännas av Coreper II den 29 november 2011</w:t>
      </w:r>
    </w:p>
    <w:p w:rsidR="00F24DF5" w:rsidRDefault="00F24DF5">
      <w:pPr>
        <w:pStyle w:val="RKnormal"/>
        <w:tabs>
          <w:tab w:val="clear" w:pos="1843"/>
          <w:tab w:val="left" w:pos="0"/>
        </w:tabs>
        <w:ind w:left="0"/>
      </w:pPr>
    </w:p>
    <w:p w:rsidR="00F24DF5" w:rsidRDefault="00F24DF5" w:rsidP="00632A42">
      <w:r>
        <w:t xml:space="preserve">Den 3 februari 2010 föreslog Kommissionen att Kroatien får delta i verksamheten för ”European Centre for Drugs and Drug addiction” (EMCDDA). Kandidatländerna bjuds in till detta som ett första steg på vägen till fullt medlemskap. Det avtal som sluts om observatörsstatus följer gällande rutiner. </w:t>
      </w:r>
    </w:p>
    <w:p w:rsidR="00F24DF5" w:rsidRDefault="00F24DF5" w:rsidP="00632A42"/>
    <w:p w:rsidR="00F24DF5" w:rsidRDefault="00F24DF5" w:rsidP="00197DE3">
      <w:r>
        <w:t xml:space="preserve">Det ligger i Sveriges intresse att så många länder som möjligt deltar i Centrets verksamhet och bl.a. rapporterar in data om narkotika från landet. Sverige välkomnar därför inbjudan till rådet att - efter behandling i Coreper - godkänna Kroatiens anslutning till EMCDDA. </w:t>
      </w:r>
    </w:p>
    <w:p w:rsidR="00F24DF5" w:rsidRPr="00632A42" w:rsidRDefault="00F24DF5" w:rsidP="00632A42">
      <w:pPr>
        <w:pStyle w:val="Heading2"/>
      </w:pPr>
      <w:bookmarkStart w:id="63" w:name="_Toc310338531"/>
      <w:r>
        <w:t>8. Förslag till anslagsöverföring nr DEC 51/2011 inom avsnitt III - kommissionen - i den allmänna budgeten för budgetåret 2011</w:t>
      </w:r>
      <w:bookmarkEnd w:id="63"/>
    </w:p>
    <w:p w:rsidR="00F24DF5" w:rsidRPr="00632A42" w:rsidRDefault="00F24DF5" w:rsidP="00632A42">
      <w:r>
        <w:t>17106/11</w:t>
      </w:r>
    </w:p>
    <w:p w:rsidR="00F24DF5" w:rsidRDefault="00F24DF5">
      <w:pPr>
        <w:pStyle w:val="RKnormal"/>
        <w:tabs>
          <w:tab w:val="clear" w:pos="1843"/>
          <w:tab w:val="left" w:pos="0"/>
        </w:tabs>
        <w:ind w:left="0"/>
      </w:pPr>
    </w:p>
    <w:p w:rsidR="00F24DF5" w:rsidRPr="00632A42" w:rsidRDefault="00F24DF5" w:rsidP="00632A42">
      <w:r>
        <w:t>Ansvarigt departement: Finansdepartementet</w:t>
      </w:r>
    </w:p>
    <w:p w:rsidR="00F24DF5" w:rsidRDefault="00F24DF5">
      <w:pPr>
        <w:pStyle w:val="RKnormal"/>
        <w:tabs>
          <w:tab w:val="clear" w:pos="1843"/>
          <w:tab w:val="left" w:pos="0"/>
        </w:tabs>
        <w:ind w:left="0"/>
      </w:pPr>
    </w:p>
    <w:p w:rsidR="00F24DF5" w:rsidRPr="00632A42" w:rsidRDefault="00F24DF5" w:rsidP="00632A42">
      <w:r>
        <w:t>Ansvarigt statsråd: Anders Borg</w:t>
      </w:r>
    </w:p>
    <w:p w:rsidR="00F24DF5" w:rsidRDefault="00F24DF5">
      <w:pPr>
        <w:pStyle w:val="RKnormal"/>
        <w:tabs>
          <w:tab w:val="clear" w:pos="1843"/>
          <w:tab w:val="left" w:pos="0"/>
        </w:tabs>
        <w:ind w:left="0"/>
      </w:pPr>
    </w:p>
    <w:p w:rsidR="00F24DF5" w:rsidRPr="00632A42" w:rsidRDefault="00F24DF5" w:rsidP="00B77E5A">
      <w:r>
        <w:t>Förväntas godkännas av Coreper II den 29 november 2011</w:t>
      </w:r>
    </w:p>
    <w:p w:rsidR="00F24DF5" w:rsidRDefault="00F24DF5">
      <w:pPr>
        <w:pStyle w:val="RKnormal"/>
        <w:tabs>
          <w:tab w:val="clear" w:pos="1843"/>
          <w:tab w:val="left" w:pos="0"/>
        </w:tabs>
        <w:ind w:left="0"/>
      </w:pPr>
    </w:p>
    <w:p w:rsidR="00F24DF5" w:rsidRDefault="00F24DF5" w:rsidP="00632A42">
      <w:r>
        <w:t xml:space="preserve">Förslaget syftar till att flytta ett belopp på 5 293 313 euro i åtagandebemyndigande från punkt 22 02 04 01 (Gränsöverskridande samarbete mellan länder som är berättigade till stöd inför anslutningen och deltagande i transnationella eller interregionala program inom ramen för Eruf och havsområdesprogrammen i det europeiska grannskaps- och partnerskapsinstrumentet) till punkt 13 05 03 02 (Gränsöverskridande samarbete och deltagande av kandidatländer och potentiella kandidatländer i strukturfondernas transnationella och interregionala samarbetsprogram – Bidrag från rubrik). Överföringen föreslås för att täcka deltagandet av länder som är berättigade till stöd inför anslutningen i sydöstra Europa och transnationella samarbetsprogram för Medelhavet i enlighet med Europeiska regionala utvecklingsfondens mål för det europeiska territoriella samarbetet. </w:t>
      </w:r>
    </w:p>
    <w:p w:rsidR="00F24DF5" w:rsidRDefault="00F24DF5" w:rsidP="00632A42"/>
    <w:p w:rsidR="00F24DF5" w:rsidRDefault="00F24DF5" w:rsidP="00C14A2D">
      <w:r>
        <w:t xml:space="preserve">Överföringen behandlades och godkändes vid budgetkommitténs möte den 22 nov 2011. Dokumenten är godkända.  </w:t>
      </w:r>
    </w:p>
    <w:p w:rsidR="00F24DF5" w:rsidRDefault="00F24DF5">
      <w:pPr>
        <w:spacing w:line="240" w:lineRule="auto"/>
        <w:rPr>
          <w:rFonts w:ascii="Arial" w:hAnsi="Arial" w:cs="Arial"/>
          <w:b/>
          <w:i/>
          <w:iCs/>
          <w:kern w:val="28"/>
        </w:rPr>
      </w:pPr>
      <w:r>
        <w:br w:type="page"/>
      </w:r>
    </w:p>
    <w:p w:rsidR="00F24DF5" w:rsidRPr="00632A42" w:rsidRDefault="00F24DF5" w:rsidP="00632A42">
      <w:pPr>
        <w:pStyle w:val="Heading2"/>
      </w:pPr>
      <w:bookmarkStart w:id="64" w:name="_Toc310338532"/>
      <w:r>
        <w:t>9. Förslag till anslagsöverföring nr 7/2011 inom avsnitt IV - domstolen - i den allmänna budgeten för budgetåret 2011</w:t>
      </w:r>
      <w:bookmarkEnd w:id="64"/>
    </w:p>
    <w:p w:rsidR="00F24DF5" w:rsidRPr="00632A42" w:rsidRDefault="00F24DF5" w:rsidP="00632A42">
      <w:r>
        <w:t>15103/11</w:t>
      </w:r>
    </w:p>
    <w:p w:rsidR="00F24DF5" w:rsidRDefault="00F24DF5">
      <w:pPr>
        <w:pStyle w:val="RKnormal"/>
        <w:tabs>
          <w:tab w:val="clear" w:pos="1843"/>
          <w:tab w:val="left" w:pos="0"/>
        </w:tabs>
        <w:ind w:left="0"/>
      </w:pPr>
    </w:p>
    <w:p w:rsidR="00F24DF5" w:rsidRPr="00632A42" w:rsidRDefault="00F24DF5" w:rsidP="00632A42">
      <w:r>
        <w:t>Ansvarigt departement: Finansdepartementet</w:t>
      </w:r>
    </w:p>
    <w:p w:rsidR="00F24DF5" w:rsidRDefault="00F24DF5">
      <w:pPr>
        <w:pStyle w:val="RKnormal"/>
        <w:tabs>
          <w:tab w:val="clear" w:pos="1843"/>
          <w:tab w:val="left" w:pos="0"/>
        </w:tabs>
        <w:ind w:left="0"/>
      </w:pPr>
    </w:p>
    <w:p w:rsidR="00F24DF5" w:rsidRPr="00632A42" w:rsidRDefault="00F24DF5" w:rsidP="00632A42">
      <w:r>
        <w:t>Ansvarigt statsråd: Anders Borg</w:t>
      </w:r>
    </w:p>
    <w:p w:rsidR="00F24DF5" w:rsidRDefault="00F24DF5">
      <w:pPr>
        <w:pStyle w:val="RKnormal"/>
        <w:tabs>
          <w:tab w:val="clear" w:pos="1843"/>
          <w:tab w:val="left" w:pos="0"/>
        </w:tabs>
        <w:ind w:left="0"/>
      </w:pPr>
    </w:p>
    <w:p w:rsidR="00F24DF5" w:rsidRDefault="00F24DF5" w:rsidP="00B77E5A">
      <w:r>
        <w:t>Förväntas godkännas av Coreper II den 29 november 2011</w:t>
      </w:r>
    </w:p>
    <w:p w:rsidR="00F24DF5" w:rsidRDefault="00F24DF5" w:rsidP="00B77E5A">
      <w:bookmarkStart w:id="65" w:name="_GoBack"/>
      <w:bookmarkEnd w:id="65"/>
    </w:p>
    <w:p w:rsidR="00F24DF5" w:rsidRPr="00C9206D" w:rsidRDefault="00F24DF5" w:rsidP="002F7345">
      <w:r w:rsidRPr="00C9206D">
        <w:t>Frågan rör förslag till överföring av medel uppgående till 1 498 488 euro mellan anslag inom Domstolens budget för att finansiera utgifter för förtida avbetalning för förvärv av byggnad som förvärvs genom hyrköpsavtal.</w:t>
      </w:r>
    </w:p>
    <w:p w:rsidR="00F24DF5" w:rsidRDefault="00F24DF5" w:rsidP="002F7345">
      <w:r w:rsidRPr="00C9206D">
        <w:t>Rådets budgetkommitté fastställde överföringen med kvalificerad majoritet vid mötet den 22 november.</w:t>
      </w:r>
    </w:p>
    <w:p w:rsidR="00F24DF5" w:rsidRPr="00632A42" w:rsidRDefault="00F24DF5" w:rsidP="00C9206D">
      <w:pPr>
        <w:pStyle w:val="Heading2"/>
      </w:pPr>
      <w:bookmarkStart w:id="66" w:name="_Toc310338533"/>
      <w:r>
        <w:t>10. Europeiska unionens allmänna budget för budgetåret 2012- Godkännande av det gemensamma förslaget</w:t>
      </w:r>
      <w:bookmarkEnd w:id="66"/>
    </w:p>
    <w:p w:rsidR="00F24DF5" w:rsidRPr="00632A42" w:rsidRDefault="00F24DF5" w:rsidP="00632A42">
      <w:r>
        <w:t>17470/11</w:t>
      </w:r>
    </w:p>
    <w:p w:rsidR="00F24DF5" w:rsidRDefault="00F24DF5">
      <w:pPr>
        <w:pStyle w:val="RKnormal"/>
        <w:tabs>
          <w:tab w:val="clear" w:pos="1843"/>
          <w:tab w:val="left" w:pos="0"/>
        </w:tabs>
        <w:ind w:left="0"/>
      </w:pPr>
    </w:p>
    <w:p w:rsidR="00F24DF5" w:rsidRPr="00632A42" w:rsidRDefault="00F24DF5" w:rsidP="00632A42">
      <w:r>
        <w:t>Ansvarigt departement: Finansdepartementet</w:t>
      </w:r>
    </w:p>
    <w:p w:rsidR="00F24DF5" w:rsidRDefault="00F24DF5">
      <w:pPr>
        <w:pStyle w:val="RKnormal"/>
        <w:tabs>
          <w:tab w:val="clear" w:pos="1843"/>
          <w:tab w:val="left" w:pos="0"/>
        </w:tabs>
        <w:ind w:left="0"/>
      </w:pPr>
    </w:p>
    <w:p w:rsidR="00F24DF5" w:rsidRPr="00632A42" w:rsidRDefault="00F24DF5" w:rsidP="00632A42">
      <w:r>
        <w:t>Ansvarigt statsråd: Anders Borg</w:t>
      </w:r>
    </w:p>
    <w:p w:rsidR="00F24DF5" w:rsidRDefault="00F24DF5">
      <w:pPr>
        <w:pStyle w:val="RKnormal"/>
        <w:tabs>
          <w:tab w:val="clear" w:pos="1843"/>
          <w:tab w:val="left" w:pos="0"/>
        </w:tabs>
        <w:ind w:left="0"/>
      </w:pPr>
    </w:p>
    <w:p w:rsidR="00F24DF5" w:rsidRPr="00632A42" w:rsidRDefault="00F24DF5" w:rsidP="00632A42">
      <w:r>
        <w:t>Tidigare behandling i EU -nämnden: 2011-11-16</w:t>
      </w:r>
    </w:p>
    <w:p w:rsidR="00F24DF5" w:rsidRDefault="00F24DF5">
      <w:pPr>
        <w:pStyle w:val="RKnormal"/>
        <w:tabs>
          <w:tab w:val="clear" w:pos="1843"/>
          <w:tab w:val="left" w:pos="0"/>
        </w:tabs>
        <w:ind w:left="0"/>
      </w:pPr>
    </w:p>
    <w:p w:rsidR="00F24DF5" w:rsidRPr="00632A42" w:rsidRDefault="00F24DF5" w:rsidP="00632A42">
      <w:r>
        <w:t>Tidigare behandling vid rådsmöte: Ekonomiska och finansiella frågor</w:t>
      </w:r>
    </w:p>
    <w:p w:rsidR="00F24DF5" w:rsidRDefault="00F24DF5">
      <w:pPr>
        <w:pStyle w:val="RKnormal"/>
        <w:tabs>
          <w:tab w:val="clear" w:pos="1843"/>
          <w:tab w:val="left" w:pos="0"/>
        </w:tabs>
        <w:ind w:left="0"/>
      </w:pPr>
    </w:p>
    <w:p w:rsidR="00F24DF5" w:rsidRPr="00632A42" w:rsidRDefault="00F24DF5" w:rsidP="00B77E5A">
      <w:r>
        <w:t>Förväntas godkännas av Coreper II den 29 november 2011</w:t>
      </w:r>
    </w:p>
    <w:p w:rsidR="00F24DF5" w:rsidRDefault="00F24DF5">
      <w:pPr>
        <w:pStyle w:val="RKnormal"/>
        <w:tabs>
          <w:tab w:val="clear" w:pos="1843"/>
          <w:tab w:val="left" w:pos="0"/>
        </w:tabs>
        <w:ind w:left="0"/>
      </w:pPr>
    </w:p>
    <w:p w:rsidR="00F24DF5" w:rsidRDefault="00F24DF5" w:rsidP="00632A42">
      <w:r>
        <w:t>Efter möten i förlikningskommittén den 8 och den 18-19 november, har en överenskommelse nåtts mellan EP och rådet om EU:s årsbudget för 2012 genom en gemensam text i enlighet med artikel 314 (5) Europeiska unionens funktionssätt. Enligt överenskommelsen, som nåddes efter långa förhandlingar in på lördagsmorgonen, uppgår budgeten för 2012 till 147,2 miljarder euro i åtagandeanslag och 129,1 miljarder euro i betalningsanslag.</w:t>
      </w:r>
    </w:p>
    <w:p w:rsidR="00F24DF5" w:rsidRDefault="00F24DF5" w:rsidP="00632A42"/>
    <w:p w:rsidR="00F24DF5" w:rsidRDefault="00F24DF5" w:rsidP="00632A42">
      <w:r>
        <w:t>Ovan omnämnda gemensamma text och dess bilagor har överlämnats till EP och rådet den 19 november, som båda har en period om fjorton dagar från den 19 november att godkänna den. Texten består av följande:</w:t>
      </w:r>
    </w:p>
    <w:p w:rsidR="00F24DF5" w:rsidRDefault="00F24DF5" w:rsidP="00632A42">
      <w:r>
        <w:t>- förteckning över budgetposter som inte ändras jämfört med budgetförslaget eller rådets ståndpunkt,</w:t>
      </w:r>
    </w:p>
    <w:p w:rsidR="00F24DF5" w:rsidRDefault="00F24DF5" w:rsidP="00632A42">
      <w:r>
        <w:t>- sammanfattning av budgetramens rubriker,</w:t>
      </w:r>
    </w:p>
    <w:p w:rsidR="00F24DF5" w:rsidRDefault="00F24DF5" w:rsidP="00632A42">
      <w:r>
        <w:t>- alla budgetposter rad för rad i budgeten för 2012,</w:t>
      </w:r>
    </w:p>
    <w:p w:rsidR="00F24DF5" w:rsidRDefault="00F24DF5" w:rsidP="00632A42">
      <w:r>
        <w:t xml:space="preserve">- konsoliderat dokument som visar siffrorna och den slutliga texten av alla linjer ändras under förlikningen. </w:t>
      </w:r>
    </w:p>
    <w:p w:rsidR="00F24DF5" w:rsidRDefault="00F24DF5" w:rsidP="00632A42">
      <w:r>
        <w:t xml:space="preserve"> </w:t>
      </w:r>
    </w:p>
    <w:p w:rsidR="00F24DF5" w:rsidRDefault="00F24DF5" w:rsidP="00632A42">
      <w:r>
        <w:t>Förlikningskommittén enades också om fyra gemensamma uttalanden: i) betalningsbemyndiganden för 2012, ii) ändringsbudget 7 till 2011 års budget, iii) förebyggande åtgärder för framtida kriser inom frukt- och grönsakssektorn samt iv) en deklaration om ITER med en skrivning om målsättningen för en överenskommelse innan årsskiftet.</w:t>
      </w:r>
    </w:p>
    <w:p w:rsidR="00F24DF5" w:rsidRDefault="00F24DF5" w:rsidP="00632A42"/>
    <w:p w:rsidR="00F24DF5" w:rsidRDefault="00F24DF5" w:rsidP="00632A42">
      <w:r>
        <w:t>Coreper uppmanas föreslå rådet att godkänna utkast till beslut EU:s årsbudget för 2012 och därefter överlämna beslutet till EP för undertecknande samt till sitt protokoll bilägga ovan gemensamma uttalanden mellan rådet och EP.</w:t>
      </w:r>
    </w:p>
    <w:p w:rsidR="00F24DF5" w:rsidRDefault="00F24DF5" w:rsidP="00632A42"/>
    <w:p w:rsidR="00F24DF5" w:rsidRDefault="00F24DF5" w:rsidP="00197DE3">
      <w:r>
        <w:t xml:space="preserve">Dokumenten är godkända.  </w:t>
      </w:r>
    </w:p>
    <w:p w:rsidR="00F24DF5" w:rsidRPr="00632A42" w:rsidRDefault="00F24DF5" w:rsidP="00632A42">
      <w:pPr>
        <w:pStyle w:val="Heading2"/>
      </w:pPr>
      <w:bookmarkStart w:id="67" w:name="_Toc310338534"/>
      <w:r>
        <w:t>11. Förslag till ändringsbudget nr 6 till 2011 års allmänna budget - Allmän inkomstberäkning - Utgiftsberäkning per avsnitt - Avsnitt III - Kommissionen</w:t>
      </w:r>
      <w:bookmarkEnd w:id="67"/>
    </w:p>
    <w:p w:rsidR="00F24DF5" w:rsidRPr="00632A42" w:rsidRDefault="00F24DF5" w:rsidP="00632A42">
      <w:r>
        <w:t>17472/11</w:t>
      </w:r>
    </w:p>
    <w:p w:rsidR="00F24DF5" w:rsidRDefault="00F24DF5">
      <w:pPr>
        <w:pStyle w:val="RKnormal"/>
        <w:tabs>
          <w:tab w:val="clear" w:pos="1843"/>
          <w:tab w:val="left" w:pos="0"/>
        </w:tabs>
        <w:ind w:left="0"/>
      </w:pPr>
    </w:p>
    <w:p w:rsidR="00F24DF5" w:rsidRPr="00632A42" w:rsidRDefault="00F24DF5" w:rsidP="00632A42">
      <w:r>
        <w:t>Ansvarigt departement: Finansdepartementet</w:t>
      </w:r>
    </w:p>
    <w:p w:rsidR="00F24DF5" w:rsidRDefault="00F24DF5">
      <w:pPr>
        <w:pStyle w:val="RKnormal"/>
        <w:tabs>
          <w:tab w:val="clear" w:pos="1843"/>
          <w:tab w:val="left" w:pos="0"/>
        </w:tabs>
        <w:ind w:left="0"/>
      </w:pPr>
    </w:p>
    <w:p w:rsidR="00F24DF5" w:rsidRPr="00632A42" w:rsidRDefault="00F24DF5" w:rsidP="00632A42">
      <w:r>
        <w:t>Ansvarigt statsråd: Anders Borg</w:t>
      </w:r>
    </w:p>
    <w:p w:rsidR="00F24DF5" w:rsidRDefault="00F24DF5">
      <w:pPr>
        <w:pStyle w:val="RKnormal"/>
        <w:tabs>
          <w:tab w:val="clear" w:pos="1843"/>
          <w:tab w:val="left" w:pos="0"/>
        </w:tabs>
        <w:ind w:left="0"/>
      </w:pPr>
    </w:p>
    <w:p w:rsidR="00F24DF5" w:rsidRPr="00632A42" w:rsidRDefault="00F24DF5" w:rsidP="00B77E5A">
      <w:r>
        <w:t>Förväntas godkännas av Coreper II den 29 november 2011</w:t>
      </w:r>
    </w:p>
    <w:p w:rsidR="00F24DF5" w:rsidRDefault="00F24DF5">
      <w:pPr>
        <w:pStyle w:val="RKnormal"/>
        <w:tabs>
          <w:tab w:val="clear" w:pos="1843"/>
          <w:tab w:val="left" w:pos="0"/>
        </w:tabs>
        <w:ind w:left="0"/>
      </w:pPr>
    </w:p>
    <w:p w:rsidR="00F24DF5" w:rsidRDefault="00F24DF5" w:rsidP="00632A42">
      <w:r>
        <w:t>Kommissionen har den 18 oktober presenterat ett förslag till ändringsbudget 6 till 2011 års budget och förslaget omfattar en rad olika element:</w:t>
      </w:r>
    </w:p>
    <w:p w:rsidR="00F24DF5" w:rsidRDefault="00F24DF5" w:rsidP="00632A42">
      <w:r>
        <w:t>i) Den sedvanliga uppdateringen i prognosen för intäkter efter revidering av prognos för egna medel och andra intäkter. Den reviderade prognosen för egna medel visar en nettoökning på 1 276 900 000 euro.</w:t>
      </w:r>
    </w:p>
    <w:p w:rsidR="00F24DF5" w:rsidRDefault="00F24DF5" w:rsidP="00632A42">
      <w:r>
        <w:t>ii) Tillskapandet av en ny budgetpost: 11 09 05 - Program för att stödja den fortsatta utvecklingen av en integrerad havspolitik (IMP), med åtaganden på 23,14 miljoner euro i reserv, i väntan på antagande av rättslig grund. Dessa åtaganden omfördelas från andra delar i rubrik 2.</w:t>
      </w:r>
    </w:p>
    <w:p w:rsidR="00F24DF5" w:rsidRDefault="00F24DF5" w:rsidP="00632A42">
      <w:r>
        <w:t xml:space="preserve">iii) Omfördelning av 60 miljoner euro i åtaganden inom rubrik 4 EU som global aktör, till förmån för budgetpost 19 08 01 02 - Europeiska grannskaps- och ekonomiskt bistånd till ffa Palestina. Detta belopp föreslås som en frontloading av anslag som ska täcka utgifter för år 2012. KOM uppdaterade sin ändringsbudget den 14 november och föreslog att 100 miljoner euro frontloadas i stället för tidigare 60 miljoner euro.  </w:t>
      </w:r>
    </w:p>
    <w:p w:rsidR="00F24DF5" w:rsidRDefault="00F24DF5" w:rsidP="00632A42">
      <w:r>
        <w:t>iv) En förstärkning av budgetpost 04 02 20 Europeiska socialfonden - Operativt tekniskt stöd med 3,25 miljoner euro i åtaganden för att ge särskild stöd för den administrativa reformen inom skatteförvaltningen i Grekland. KOM förslår även att betalningar på 300 000 euro tillskjuts.</w:t>
      </w:r>
    </w:p>
    <w:p w:rsidR="00F24DF5" w:rsidRDefault="00F24DF5" w:rsidP="00632A42">
      <w:r>
        <w:t>v) En ökning av betalningar på 550 miljoner euro för att möta kvarstående behov i rubrik 1a ”Konkurrenskraft” och 1b ”Sammanhållningspolitik”. 142 miljoner euro föreslås användas för att öka betalningarna i rubrik 1a och resterande 408 miljoner euro användas för att öka betalningarna till rubrik 1b.</w:t>
      </w:r>
    </w:p>
    <w:p w:rsidR="00F24DF5" w:rsidRDefault="00F24DF5" w:rsidP="00632A42">
      <w:r>
        <w:t xml:space="preserve">vi) En avisering om en förmodad minskning av betalningsbemyndig¬andena Landsbygdsutvecklingsprogram (LBU) för att ta hänsyn till den eventuella skillnaden mellan betalningsprognoser från MS. KOM återkom den 14 november med den aviserade informationen och visade att det fanns 433 miljoner outnyttjade medel inom LBU 2011. </w:t>
      </w:r>
    </w:p>
    <w:p w:rsidR="00F24DF5" w:rsidRDefault="00F24DF5" w:rsidP="00632A42"/>
    <w:p w:rsidR="00F24DF5" w:rsidRDefault="00F24DF5" w:rsidP="00632A42">
      <w:r>
        <w:t>Budgetkommittén behandlade förslaget till ändringsbudget 6 till 2011 års budget vid sina möten den 28 oktober, den 14 och 15 november, utan att kunna nå en uppgörelse. Därför stod det klart i ett sent skede att ändringsbudget 6 skulle komma att ingå i förlikningsförhandlingen om EU:s årsbudget för 2012 mellan rådet och EP den 18 november. Ett antal MS, inkl. SE, drev att ändringsbudget 6 skulle behandlas efter förliknings¬förhandlingen om årsbudgeten för 2012, då alla förutsättningar för omprioritering inom respektive rubrik klarlagts. SE verkade i förhandlingen för att samtliga medel skulle finansieras genom omfördelning.</w:t>
      </w:r>
    </w:p>
    <w:p w:rsidR="00F24DF5" w:rsidRDefault="00F24DF5" w:rsidP="00632A42"/>
    <w:p w:rsidR="00F24DF5" w:rsidRDefault="00F24DF5" w:rsidP="00632A42">
      <w:r>
        <w:t xml:space="preserve">Den 19 november 2011 i nådde rådet och EP vid förliknings¬kommittén en politisk överenskommelse om ändringsbudget 6. Enligt beslutet finansieras nästan två tredjedelar (350 miljoner euro) av det ursprungliga behovet på 550 miljoner euro genom omfördelning. De tillförda medlen avses framförallt användas för det sjunde ram¬programmet för forskning och för Europeiska socialfonden. Beslutet innebär också att KOM:s initiala förslag på tillskott för drygt 3 miljoner euro i åtaganden accepterades. </w:t>
      </w:r>
    </w:p>
    <w:p w:rsidR="00F24DF5" w:rsidRDefault="00F24DF5" w:rsidP="00632A42"/>
    <w:p w:rsidR="00F24DF5" w:rsidRDefault="00F24DF5" w:rsidP="00197DE3">
      <w:r>
        <w:t xml:space="preserve">Dokumentet är godkänt.  </w:t>
      </w:r>
    </w:p>
    <w:p w:rsidR="00F24DF5" w:rsidRDefault="00F24DF5">
      <w:pPr>
        <w:spacing w:line="240" w:lineRule="auto"/>
        <w:rPr>
          <w:rFonts w:ascii="Arial" w:hAnsi="Arial" w:cs="Arial"/>
          <w:b/>
          <w:i/>
          <w:iCs/>
          <w:kern w:val="28"/>
        </w:rPr>
      </w:pPr>
      <w:r>
        <w:br w:type="page"/>
      </w:r>
    </w:p>
    <w:p w:rsidR="00F24DF5" w:rsidRDefault="00F24DF5" w:rsidP="00632A42">
      <w:pPr>
        <w:pStyle w:val="Heading2"/>
      </w:pPr>
      <w:bookmarkStart w:id="68" w:name="_Toc310338535"/>
      <w:r>
        <w:t>12. Förslag till ändringsbudget nr 7 till 2011 års allmänna budget - Utgiftsberäkning per avsnitt - Avsnitt III – Kommissionen</w:t>
      </w:r>
      <w:bookmarkEnd w:id="68"/>
    </w:p>
    <w:p w:rsidR="00F24DF5" w:rsidRDefault="00F24DF5" w:rsidP="002D49CA">
      <w:r>
        <w:t>17473/11</w:t>
      </w:r>
    </w:p>
    <w:p w:rsidR="00F24DF5" w:rsidRDefault="00F24DF5" w:rsidP="002D49CA"/>
    <w:p w:rsidR="00F24DF5" w:rsidRPr="00632A42" w:rsidRDefault="00F24DF5" w:rsidP="00632A42">
      <w:r>
        <w:t>Ansvarigt departement: Finansdepartementet</w:t>
      </w:r>
    </w:p>
    <w:p w:rsidR="00F24DF5" w:rsidRDefault="00F24DF5" w:rsidP="00632A42"/>
    <w:p w:rsidR="00F24DF5" w:rsidRPr="00632A42" w:rsidRDefault="00F24DF5" w:rsidP="00632A42">
      <w:r>
        <w:t>Ansvarigt statsråd: Anders Borg</w:t>
      </w:r>
    </w:p>
    <w:p w:rsidR="00F24DF5" w:rsidRDefault="00F24DF5" w:rsidP="00B77E5A"/>
    <w:p w:rsidR="00F24DF5" w:rsidRPr="00632A42" w:rsidRDefault="00F24DF5" w:rsidP="00B77E5A">
      <w:r>
        <w:t>Förväntas godkännas av Coreper II den 29 november 2011</w:t>
      </w:r>
    </w:p>
    <w:p w:rsidR="00F24DF5" w:rsidRDefault="00F24DF5" w:rsidP="00632A42"/>
    <w:p w:rsidR="00F24DF5" w:rsidRDefault="00F24DF5" w:rsidP="00632A42">
      <w:r>
        <w:t>Den 21 november 2011 presenterade KOM ett förslag till ändringsbudget nr 7 till den allmänna budgeten för 2011, som omfattar utnyttjande av EU:s solidaritetsfond till ett belopp av 38 miljoner euro i åtagande- och betalningsbemyndiganden för stöd till Spanien, som drabbades av en jordbävning i Murciaregionen i maj 2011, samt till Italien, som drabbades av översvämningar i Venetoregionen i oktober 2010.</w:t>
      </w:r>
    </w:p>
    <w:p w:rsidR="00F24DF5" w:rsidRDefault="00F24DF5" w:rsidP="00632A42"/>
    <w:p w:rsidR="00F24DF5" w:rsidRDefault="00F24DF5" w:rsidP="00632A42">
      <w:r>
        <w:t xml:space="preserve">I samband med förlikningsförhandlingarna om EU:s årsbudget för 2012 den 18 november enades rådet och EP om ett uttalande rörande finansieringen för det föreliggande förslaget till ändringsbudget 7. Enligt uttalandet ska ändringsbudgeten finansieras genom en över¬föring av medel från landsbygdsprogrammet som inte förväntas bli utnyttjade under 2011. Finansieringen innebär därmed ingen utgiftsökning på budgeten. </w:t>
      </w:r>
    </w:p>
    <w:p w:rsidR="00F24DF5" w:rsidRDefault="00F24DF5" w:rsidP="00632A42"/>
    <w:p w:rsidR="00F24DF5" w:rsidRDefault="00F24DF5" w:rsidP="00632A42">
      <w:r>
        <w:t>Budgetkommittén behandlade förslaget till ändringsbudget 7 vid sitt möte den 22 november och kom med kvalificerad majoritet överens om att godkänna förslaget.</w:t>
      </w:r>
    </w:p>
    <w:p w:rsidR="00F24DF5" w:rsidRDefault="00F24DF5" w:rsidP="00632A42"/>
    <w:p w:rsidR="00F24DF5" w:rsidRDefault="00F24DF5" w:rsidP="00197DE3">
      <w:r>
        <w:t xml:space="preserve">Dokument är godkänt.  </w:t>
      </w:r>
    </w:p>
    <w:p w:rsidR="00F24DF5" w:rsidRDefault="00F24DF5">
      <w:pPr>
        <w:spacing w:line="240" w:lineRule="auto"/>
        <w:rPr>
          <w:rFonts w:ascii="Arial" w:hAnsi="Arial" w:cs="Arial"/>
          <w:b/>
          <w:i/>
          <w:iCs/>
          <w:kern w:val="28"/>
        </w:rPr>
      </w:pPr>
      <w:r>
        <w:br w:type="page"/>
      </w:r>
    </w:p>
    <w:p w:rsidR="00F24DF5" w:rsidRPr="00632A42" w:rsidRDefault="00F24DF5" w:rsidP="00632A42">
      <w:pPr>
        <w:pStyle w:val="Heading2"/>
      </w:pPr>
      <w:bookmarkStart w:id="69" w:name="_Toc310338536"/>
      <w:r>
        <w:t>13. Förslag till Europaparlamentets och rådets beslut om utnyttjande av flexibilitetsmekanismen</w:t>
      </w:r>
      <w:bookmarkEnd w:id="69"/>
    </w:p>
    <w:p w:rsidR="00F24DF5" w:rsidRPr="00632A42" w:rsidRDefault="00F24DF5" w:rsidP="00632A42">
      <w:r>
        <w:t>17471/11</w:t>
      </w:r>
    </w:p>
    <w:p w:rsidR="00F24DF5" w:rsidRDefault="00F24DF5" w:rsidP="00632A42"/>
    <w:p w:rsidR="00F24DF5" w:rsidRPr="00632A42" w:rsidRDefault="00F24DF5" w:rsidP="00632A42">
      <w:r>
        <w:t>Ansvarigt departement: Finansdepartementet</w:t>
      </w:r>
    </w:p>
    <w:p w:rsidR="00F24DF5" w:rsidRDefault="00F24DF5" w:rsidP="00632A42"/>
    <w:p w:rsidR="00F24DF5" w:rsidRPr="00632A42" w:rsidRDefault="00F24DF5" w:rsidP="00632A42">
      <w:r>
        <w:t>Ansvarigt statsråd: Anders Borg</w:t>
      </w:r>
    </w:p>
    <w:p w:rsidR="00F24DF5" w:rsidRDefault="00F24DF5" w:rsidP="00632A42"/>
    <w:p w:rsidR="00F24DF5" w:rsidRPr="00632A42" w:rsidRDefault="00F24DF5" w:rsidP="00632A42">
      <w:r>
        <w:t>Tidigare behandling i EU -nämnden: 2011-11-16</w:t>
      </w:r>
    </w:p>
    <w:p w:rsidR="00F24DF5" w:rsidRDefault="00F24DF5" w:rsidP="00632A42"/>
    <w:p w:rsidR="00F24DF5" w:rsidRPr="00632A42" w:rsidRDefault="00F24DF5" w:rsidP="00632A42">
      <w:r>
        <w:t>Tidigare behandling vid rådsmöte: Ekonomiska och finansiella frågor</w:t>
      </w:r>
    </w:p>
    <w:p w:rsidR="00F24DF5" w:rsidRDefault="00F24DF5" w:rsidP="00632A42"/>
    <w:p w:rsidR="00F24DF5" w:rsidRDefault="00F24DF5" w:rsidP="00632A42">
      <w:r>
        <w:t>Förväntas godkännas av Coreper II den 29 november 2011</w:t>
      </w:r>
    </w:p>
    <w:p w:rsidR="00F24DF5" w:rsidRDefault="00F24DF5" w:rsidP="00632A42"/>
    <w:p w:rsidR="00F24DF5" w:rsidRDefault="00F24DF5" w:rsidP="002D49CA">
      <w:r>
        <w:t xml:space="preserve">Den 17 juni 2011 presenterade kommissionen ett förslag till beslut om utnyttjande av flexibilitetsmekanismen. Under mötet i förliknings¬kommittén den 18-19 november 2011 nådde Europaparlamentet och rådet en överenskommelse om att utnyttja flexibilitetsinstrumentet för att under 2012 komplettera finansieringen av Europa 2020-strategi till ett belopp på 50 miljoner överstiga taket för underrubrik 1a, och finansieringen av den europeiska grannskaps¬politiken, till ett belopp av 150 miljoner euro över taket för rubrik 4. Totalt föreslås således 200 miljoner euro mobiliseras via flexibilitetsinstrumentet 2012. </w:t>
      </w:r>
    </w:p>
    <w:p w:rsidR="00F24DF5" w:rsidRDefault="00F24DF5" w:rsidP="002D49CA"/>
    <w:p w:rsidR="00F24DF5" w:rsidRDefault="00F24DF5" w:rsidP="002D49CA">
      <w:r>
        <w:t>Coreper uppmanas genom antagande av föreliggande I-punkt rekommendera rådet att anta förslag till mobilisering av flexibilitets¬instrumentet i enlighet med beslutet av Europaparlamentets och rådets om utnyttjande av flexibilitetsinstrumentet enligt punkt 27 femte stycket i det interinstitutionella avtalet av den 17 maj 2006.</w:t>
      </w:r>
    </w:p>
    <w:p w:rsidR="00F24DF5" w:rsidRDefault="00F24DF5" w:rsidP="002D49CA">
      <w:r>
        <w:t xml:space="preserve"> </w:t>
      </w:r>
    </w:p>
    <w:p w:rsidR="00F24DF5" w:rsidRDefault="00F24DF5" w:rsidP="002D49CA">
      <w:r>
        <w:t>Dokumentet är godkänt.</w:t>
      </w:r>
    </w:p>
    <w:p w:rsidR="00F24DF5" w:rsidRPr="00632A42" w:rsidRDefault="00F24DF5" w:rsidP="002D49CA">
      <w:pPr>
        <w:pStyle w:val="Heading2"/>
      </w:pPr>
      <w:bookmarkStart w:id="70" w:name="_Toc310338537"/>
      <w:r>
        <w:t>14. Förslag till Europaparlamentets och rådets beslut om utnyttjande av Europeiska unionens solidaritetsfond</w:t>
      </w:r>
      <w:bookmarkEnd w:id="70"/>
    </w:p>
    <w:p w:rsidR="00F24DF5" w:rsidRPr="00632A42" w:rsidRDefault="00F24DF5" w:rsidP="00632A42">
      <w:r>
        <w:t>17474/11</w:t>
      </w:r>
    </w:p>
    <w:p w:rsidR="00F24DF5" w:rsidRDefault="00F24DF5" w:rsidP="00632A42"/>
    <w:p w:rsidR="00F24DF5" w:rsidRPr="00632A42" w:rsidRDefault="00F24DF5" w:rsidP="00632A42">
      <w:r>
        <w:t>Ansvarigt departement: Finansdepartementet</w:t>
      </w:r>
    </w:p>
    <w:p w:rsidR="00F24DF5" w:rsidRDefault="00F24DF5" w:rsidP="00632A42"/>
    <w:p w:rsidR="00F24DF5" w:rsidRPr="00632A42" w:rsidRDefault="00F24DF5" w:rsidP="00632A42">
      <w:r>
        <w:t>Ansvarigt statsråd: Anders Borg</w:t>
      </w:r>
    </w:p>
    <w:p w:rsidR="00F24DF5" w:rsidRDefault="00F24DF5" w:rsidP="00632A42"/>
    <w:p w:rsidR="00F24DF5" w:rsidRPr="00632A42" w:rsidRDefault="00F24DF5" w:rsidP="0053455E">
      <w:r>
        <w:t>Förväntas godkännas av Coreper II den 29 november 2011</w:t>
      </w:r>
    </w:p>
    <w:p w:rsidR="00F24DF5" w:rsidRDefault="00F24DF5" w:rsidP="00632A42"/>
    <w:p w:rsidR="00F24DF5" w:rsidRDefault="00F24DF5" w:rsidP="00632A42">
      <w:r>
        <w:t xml:space="preserve">Den 21 november presenterade kommissionen ett förslag till beslut om utnyttjande av Europeiska unionens solidaritetsfond för ett belopp på </w:t>
      </w:r>
    </w:p>
    <w:p w:rsidR="00F24DF5" w:rsidRDefault="00F24DF5" w:rsidP="00632A42">
      <w:r>
        <w:t>37 979 875 euro i åtagande- och betalningsbemyndiganden.</w:t>
      </w:r>
    </w:p>
    <w:p w:rsidR="00F24DF5" w:rsidRDefault="00F24DF5" w:rsidP="00632A42"/>
    <w:p w:rsidR="00F24DF5" w:rsidRDefault="00F24DF5" w:rsidP="00632A42">
      <w:r>
        <w:t>Syftet med detta förslag är att ge ekonomiskt stöd till regionen Murcia i Spanien, som drabbades av en jordbävning i maj 2011, och till regionen Veneto i Italien, som drabbats av häftiga regn under hösten 2010.</w:t>
      </w:r>
    </w:p>
    <w:p w:rsidR="00F24DF5" w:rsidRDefault="00F24DF5" w:rsidP="00632A42"/>
    <w:p w:rsidR="00F24DF5" w:rsidRDefault="00F24DF5" w:rsidP="00632A42">
      <w:r>
        <w:t>Budgetkommittén behandlade förslaget vid sitt möte den 22 november och kom med kvalificerad majoritet överens om att godkänna förslaget.</w:t>
      </w:r>
    </w:p>
    <w:p w:rsidR="00F24DF5" w:rsidRDefault="00F24DF5" w:rsidP="00632A42"/>
    <w:p w:rsidR="00F24DF5" w:rsidRDefault="00F24DF5" w:rsidP="00632A42">
      <w:r>
        <w:t xml:space="preserve">I enlighet med vad rådet och EP överenskom vid förlikningsförhandlingarna om EU:s årsbudget för 2012 den 18 november har kommissionen lagt fram ett förslag till ändringsbudget som ska finansiera insatserna i föreliggande förslag till mobilisering av EU:s solidaritets. (Se särskild annotering för förslaget till ändringsbudget 7 till 2011 års budget.) </w:t>
      </w:r>
    </w:p>
    <w:p w:rsidR="00F24DF5" w:rsidRDefault="00F24DF5" w:rsidP="00632A42"/>
    <w:p w:rsidR="00F24DF5" w:rsidRPr="00632A42" w:rsidRDefault="00F24DF5" w:rsidP="00632A42">
      <w:r>
        <w:t>Dokument är godkänt.</w:t>
      </w:r>
    </w:p>
    <w:p w:rsidR="00F24DF5" w:rsidRPr="00632A42" w:rsidRDefault="00F24DF5" w:rsidP="00632A42">
      <w:pPr>
        <w:pStyle w:val="Heading2"/>
      </w:pPr>
      <w:bookmarkStart w:id="71" w:name="_Toc310338538"/>
      <w:r>
        <w:t>15. Rapport från arbetsgruppen för e-lagstiftning (e-juridik) till Coreper/rådet</w:t>
      </w:r>
      <w:bookmarkEnd w:id="71"/>
    </w:p>
    <w:p w:rsidR="00F24DF5" w:rsidRPr="00632A42" w:rsidRDefault="00F24DF5" w:rsidP="00632A42">
      <w:r>
        <w:t>16312/1/11</w:t>
      </w:r>
    </w:p>
    <w:p w:rsidR="00F24DF5" w:rsidRDefault="00F24DF5" w:rsidP="00632A42"/>
    <w:p w:rsidR="00F24DF5" w:rsidRPr="00632A42" w:rsidRDefault="00F24DF5" w:rsidP="00632A42">
      <w:r>
        <w:t>Ansvarigt departement: Justitiedepartementet</w:t>
      </w:r>
    </w:p>
    <w:p w:rsidR="00F24DF5" w:rsidRDefault="00F24DF5" w:rsidP="00632A42"/>
    <w:p w:rsidR="00F24DF5" w:rsidRPr="00632A42" w:rsidRDefault="00F24DF5" w:rsidP="00632A42">
      <w:r>
        <w:t>Ansvarigt statsråd: Beatrice Ask</w:t>
      </w:r>
    </w:p>
    <w:p w:rsidR="00F24DF5" w:rsidRDefault="00F24DF5" w:rsidP="00632A42"/>
    <w:p w:rsidR="00F24DF5" w:rsidRPr="00632A42" w:rsidRDefault="00F24DF5" w:rsidP="00632A42">
      <w:r>
        <w:t>Tidigare behandling vid rådsmöte: Rättsliga och inrikes frågor</w:t>
      </w:r>
    </w:p>
    <w:p w:rsidR="00F24DF5" w:rsidRDefault="00F24DF5" w:rsidP="00632A42"/>
    <w:p w:rsidR="00F24DF5" w:rsidRPr="00632A42" w:rsidRDefault="00F24DF5" w:rsidP="0053455E">
      <w:r>
        <w:t>Förväntas godkännas av Coreper II den 29 november 2011</w:t>
      </w:r>
    </w:p>
    <w:p w:rsidR="00F24DF5" w:rsidRDefault="00F24DF5" w:rsidP="00632A42"/>
    <w:p w:rsidR="00F24DF5" w:rsidRDefault="00F24DF5" w:rsidP="00632A42">
      <w:r>
        <w:t xml:space="preserve">Rådet antog 2008 en handlingsplan för e-Justice som sträcker sig till år 2013. Den syftar till att skapa och förbättra tillgången till information om nationella rättsliga förfaranden och till statliga register via en webbplats. För att samordna och förverkliga rådets mål i handlingsplanen finns rådsarbetsgruppen för e-Justice. På den kontinuerligt växande webbplatsen e-Justiceportalen publiceras all överenskommen information. För att genomföra rådets handlingsplan upprättar rådsarbetgruppen för e-Justice halvårsvisa lägesrapporter om vilka framsteg som gjorts, så att rådet ska kunna bedöma om handlingsplanen följs. Rådet noterar halvårsvis dessa lägesrapporter och uppmanar arbetsgruppen att före utgången av kommande halvår åter ge in en rapport till Coreper/rådet om vilka framsteg som gjorts. </w:t>
      </w:r>
    </w:p>
    <w:p w:rsidR="00F24DF5" w:rsidRDefault="00F24DF5" w:rsidP="00632A42">
      <w:r>
        <w:t xml:space="preserve">Rådet förväntas: </w:t>
      </w:r>
    </w:p>
    <w:p w:rsidR="00F24DF5" w:rsidRDefault="00F24DF5" w:rsidP="00632A42">
      <w:r>
        <w:t>•</w:t>
      </w:r>
      <w:r>
        <w:tab/>
        <w:t>notera lägesrapport för HT-11</w:t>
      </w:r>
    </w:p>
    <w:p w:rsidR="00F24DF5" w:rsidRDefault="00F24DF5" w:rsidP="00632A42">
      <w:r>
        <w:t>•</w:t>
      </w:r>
      <w:r>
        <w:tab/>
        <w:t xml:space="preserve">godkänna en smärre ändring av arbetet med att länka ihop medlemsstaternas fastighetsregister </w:t>
      </w:r>
    </w:p>
    <w:p w:rsidR="00F24DF5" w:rsidRDefault="00F24DF5" w:rsidP="00632A42">
      <w:r>
        <w:t>•</w:t>
      </w:r>
      <w:r>
        <w:tab/>
        <w:t xml:space="preserve">uppmana rådsarbetsgruppen att fortsätta arbeta och </w:t>
      </w:r>
    </w:p>
    <w:p w:rsidR="00F24DF5" w:rsidRDefault="00F24DF5" w:rsidP="00632A42">
      <w:r>
        <w:t>•</w:t>
      </w:r>
      <w:r>
        <w:tab/>
        <w:t>uppmana rådsarbetsgruppen att skriva en halvårsrapport VT-12</w:t>
      </w:r>
    </w:p>
    <w:p w:rsidR="00F24DF5" w:rsidRDefault="00F24DF5" w:rsidP="00632A42"/>
    <w:p w:rsidR="00F24DF5" w:rsidRPr="00632A42" w:rsidRDefault="00F24DF5" w:rsidP="00632A42">
      <w:r>
        <w:t>Sverige kan ställa sig bakom den aktuella lägesrapporten.</w:t>
      </w:r>
    </w:p>
    <w:p w:rsidR="00F24DF5" w:rsidRPr="00632A42" w:rsidRDefault="00F24DF5" w:rsidP="00632A42">
      <w:pPr>
        <w:pStyle w:val="Heading2"/>
      </w:pPr>
      <w:bookmarkStart w:id="72" w:name="_Toc310338539"/>
      <w:r>
        <w:t>16. Schengenutvärdering av Grekland- Utkast till rådets slutsatser</w:t>
      </w:r>
      <w:bookmarkEnd w:id="72"/>
    </w:p>
    <w:p w:rsidR="00F24DF5" w:rsidRPr="00632A42" w:rsidRDefault="00F24DF5" w:rsidP="00632A42">
      <w:r>
        <w:t>17597/11, 10321/2/11</w:t>
      </w:r>
    </w:p>
    <w:p w:rsidR="00F24DF5" w:rsidRDefault="00F24DF5" w:rsidP="00632A42"/>
    <w:p w:rsidR="00F24DF5" w:rsidRPr="00632A42" w:rsidRDefault="00F24DF5" w:rsidP="00632A42">
      <w:r>
        <w:t>Ansvarigt departement: Justitiedepartementet</w:t>
      </w:r>
    </w:p>
    <w:p w:rsidR="00F24DF5" w:rsidRDefault="00F24DF5" w:rsidP="00632A42"/>
    <w:p w:rsidR="00F24DF5" w:rsidRPr="00632A42" w:rsidRDefault="00F24DF5" w:rsidP="00632A42">
      <w:r>
        <w:t>Ansvarigt statsråd: Beatrice Ask</w:t>
      </w:r>
    </w:p>
    <w:p w:rsidR="00F24DF5" w:rsidRDefault="00F24DF5" w:rsidP="00632A42"/>
    <w:p w:rsidR="00F24DF5" w:rsidRPr="00632A42" w:rsidRDefault="00F24DF5" w:rsidP="00632A42">
      <w:r>
        <w:t>Tidigare behandling vid rådsmöte: Rättsliga och inrikes frågor</w:t>
      </w:r>
    </w:p>
    <w:p w:rsidR="00F24DF5" w:rsidRDefault="00F24DF5" w:rsidP="0053455E"/>
    <w:p w:rsidR="00F24DF5" w:rsidRPr="00632A42" w:rsidRDefault="00F24DF5" w:rsidP="0053455E">
      <w:r>
        <w:t>Förväntas godkännas av Coreper II den 29 november 2011</w:t>
      </w:r>
    </w:p>
    <w:p w:rsidR="00F24DF5" w:rsidRDefault="00F24DF5" w:rsidP="00632A42"/>
    <w:p w:rsidR="00F24DF5" w:rsidRPr="00632A42" w:rsidRDefault="00F24DF5" w:rsidP="00632A42">
      <w:r>
        <w:t xml:space="preserve">En utvärdering av att Grekland tillämpar Schengenregelverket på ett korrekt sätt har gjorts i enlighet med det sedan tidigare antagna utvärderingsprogrammet. Rådet ska anta slutsatser om dessa utvärderingar och uppmana Grekland att skriftligen, inom sex månader, informera rådet om den uppföljning man avser att göra med anledning av rekommendationerna som getts i de individuella utvärderingsrapporterna.  </w:t>
      </w:r>
    </w:p>
    <w:p w:rsidR="00F24DF5" w:rsidRPr="00632A42" w:rsidRDefault="00F24DF5" w:rsidP="00632A42">
      <w:pPr>
        <w:pStyle w:val="Heading2"/>
      </w:pPr>
      <w:bookmarkStart w:id="73" w:name="_Toc310338540"/>
      <w:r>
        <w:t>17. Schengenutvärdering av Österrike- Utkast till rådets slutsatser om uppföljningen av den Schengenutvärdering som gjordes 2010-2011</w:t>
      </w:r>
      <w:bookmarkEnd w:id="73"/>
    </w:p>
    <w:p w:rsidR="00F24DF5" w:rsidRPr="00632A42" w:rsidRDefault="00F24DF5" w:rsidP="00632A42">
      <w:r>
        <w:t>17598/11, 16555/11</w:t>
      </w:r>
    </w:p>
    <w:p w:rsidR="00F24DF5" w:rsidRDefault="00F24DF5" w:rsidP="00632A42"/>
    <w:p w:rsidR="00F24DF5" w:rsidRPr="00632A42" w:rsidRDefault="00F24DF5" w:rsidP="00632A42">
      <w:r>
        <w:t>Ansvarigt departement: Justitiedepartementet</w:t>
      </w:r>
    </w:p>
    <w:p w:rsidR="00F24DF5" w:rsidRDefault="00F24DF5" w:rsidP="00632A42"/>
    <w:p w:rsidR="00F24DF5" w:rsidRPr="00632A42" w:rsidRDefault="00F24DF5" w:rsidP="00632A42">
      <w:r>
        <w:t>Ansvarigt statsråd: Beatrice Ask</w:t>
      </w:r>
    </w:p>
    <w:p w:rsidR="00F24DF5" w:rsidRDefault="00F24DF5" w:rsidP="00632A42"/>
    <w:p w:rsidR="00F24DF5" w:rsidRPr="00632A42" w:rsidRDefault="00F24DF5" w:rsidP="00632A42">
      <w:r>
        <w:t>Tidigare behandling vid rådsmöte: Rättsliga och inrikes frågor</w:t>
      </w:r>
    </w:p>
    <w:p w:rsidR="00F24DF5" w:rsidRDefault="00F24DF5" w:rsidP="00632A42"/>
    <w:p w:rsidR="00F24DF5" w:rsidRPr="00632A42" w:rsidRDefault="00F24DF5" w:rsidP="0053455E">
      <w:r>
        <w:t>Förväntas godkännas av Coreper II den 29 november 2011</w:t>
      </w:r>
    </w:p>
    <w:p w:rsidR="00F24DF5" w:rsidRDefault="00F24DF5" w:rsidP="00632A42"/>
    <w:p w:rsidR="00F24DF5" w:rsidRDefault="00F24DF5" w:rsidP="00632A42">
      <w:r>
        <w:t>En utvärdering av att Österrike tillämpar Schengenregelverket på ett korrekt sätt har gjorts i enlighet med det sedan tidigare antagna utvärderingsprogrammet. Efter utvärderingen uppmanades Österrike att skriftligen, inom sex månader, informera rådet om den uppföljning man avsåg göra med anledning av de rekommendationer som gavs i de individuella utvärderingsrapporterna.</w:t>
      </w:r>
    </w:p>
    <w:p w:rsidR="00F24DF5" w:rsidRDefault="00F24DF5" w:rsidP="00632A42"/>
    <w:p w:rsidR="00F24DF5" w:rsidRPr="00632A42" w:rsidRDefault="00F24DF5" w:rsidP="00632A42">
      <w:r>
        <w:t xml:space="preserve">Österrike har inkommit med en tillfredställande rapport om sina uppföljningsåtgärder. Utvärderingsrundan av Österrike kan därmed avslutas. </w:t>
      </w:r>
    </w:p>
    <w:p w:rsidR="00F24DF5" w:rsidRPr="00632A42" w:rsidRDefault="00F24DF5" w:rsidP="00632A42">
      <w:pPr>
        <w:pStyle w:val="Heading2"/>
      </w:pPr>
      <w:bookmarkStart w:id="74" w:name="_Toc310338541"/>
      <w:r>
        <w:t>18. Utkast till rådets slutsatser om samarbete i rättsliga och inrikes frågor inom ramen för det östliga partnerskapet</w:t>
      </w:r>
      <w:bookmarkEnd w:id="74"/>
    </w:p>
    <w:p w:rsidR="00F24DF5" w:rsidRDefault="00F24DF5" w:rsidP="00632A42">
      <w:r>
        <w:t>17596/11</w:t>
      </w:r>
    </w:p>
    <w:p w:rsidR="00F24DF5" w:rsidRPr="00632A42" w:rsidRDefault="00F24DF5" w:rsidP="00632A42"/>
    <w:p w:rsidR="00F24DF5" w:rsidRPr="00632A42" w:rsidRDefault="00F24DF5" w:rsidP="00632A42">
      <w:r>
        <w:t>Ansvarigt departement: Justitiedepartementet</w:t>
      </w:r>
    </w:p>
    <w:p w:rsidR="00F24DF5" w:rsidRDefault="00F24DF5" w:rsidP="00632A42"/>
    <w:p w:rsidR="00F24DF5" w:rsidRPr="00632A42" w:rsidRDefault="00F24DF5" w:rsidP="00632A42">
      <w:r>
        <w:t>Ansvarigt statsråd: Beatrice Ask</w:t>
      </w:r>
    </w:p>
    <w:p w:rsidR="00F24DF5" w:rsidRDefault="00F24DF5" w:rsidP="00632A42"/>
    <w:p w:rsidR="00F24DF5" w:rsidRPr="00632A42" w:rsidRDefault="00F24DF5" w:rsidP="00632A42">
      <w:r>
        <w:t>Tidigare behandling vid rådsmöte: Rättsliga och inrikes frågor</w:t>
      </w:r>
    </w:p>
    <w:p w:rsidR="00F24DF5" w:rsidRDefault="00F24DF5" w:rsidP="0053455E"/>
    <w:p w:rsidR="00F24DF5" w:rsidRPr="00632A42" w:rsidRDefault="00F24DF5" w:rsidP="0053455E">
      <w:r>
        <w:t>Förväntas godkännas av Coreper II den 29 november 2011</w:t>
      </w:r>
    </w:p>
    <w:p w:rsidR="00F24DF5" w:rsidRDefault="00F24DF5" w:rsidP="00632A42"/>
    <w:p w:rsidR="00F24DF5" w:rsidRDefault="00F24DF5" w:rsidP="00632A42">
      <w:r>
        <w:t xml:space="preserve">Under 2009 lanserade EU det särskilda programmet ”Östliga partnerskapet” för samarbete med sex länder i östra Europa och södra Kaukasus: Armenien, Azerbajdzjan, Vitryssland, Georgien, Moldavien och Ukraina. Partnerskapet utgör den östliga delen av EU:s så kallade grannskapspolitik. </w:t>
      </w:r>
    </w:p>
    <w:p w:rsidR="00F24DF5" w:rsidRDefault="00F24DF5" w:rsidP="00632A42"/>
    <w:p w:rsidR="00F24DF5" w:rsidRDefault="00F24DF5" w:rsidP="00632A42">
      <w:r>
        <w:t xml:space="preserve">EU ger stöd till ländernas arbete med politiska och ekonomiska reformer, bland annat för att stärka demokratin och rättsstaten. I Stockholmsprogrammet lyfts samarbetet inom ramen för det östliga partnerskapet fram som en prioriterad fråga i EU:s relationer med tredjeländer på området för rättsliga och inrikes frågor. </w:t>
      </w:r>
    </w:p>
    <w:p w:rsidR="00F24DF5" w:rsidRDefault="00F24DF5" w:rsidP="00632A42"/>
    <w:p w:rsidR="00F24DF5" w:rsidRDefault="00F24DF5" w:rsidP="00632A42">
      <w:r>
        <w:t xml:space="preserve">På RIF-rådet den 27 oktober hölls en riktlinjedebatt efter att KOM presenterat sitt meddelande om ett vidgat och fördjupat samarbete på RIF-området inom det östliga partnerskapet. Meddelandet bygger på erfarenheterna av hittillsvarande samarbete i frågor om laglig migration, återtagande- och viseringsfrågor, gränsförvaltning, kampen mot organiserad brottslighet, narkotika och korruption m.m.. </w:t>
      </w:r>
    </w:p>
    <w:p w:rsidR="00F24DF5" w:rsidRDefault="00F24DF5" w:rsidP="00632A42"/>
    <w:p w:rsidR="00F24DF5" w:rsidRPr="00632A42" w:rsidRDefault="00F24DF5" w:rsidP="00632A42">
      <w:r>
        <w:t xml:space="preserve">Rådets slutsatser bekräftar och understryker rådets vilja om ett fortsatt fördjupat samarbete på RIF-området inom det östliga partnerskapet.  </w:t>
      </w:r>
    </w:p>
    <w:p w:rsidR="00F24DF5" w:rsidRPr="00632A42" w:rsidRDefault="00F24DF5" w:rsidP="00632A42">
      <w:pPr>
        <w:pStyle w:val="Heading2"/>
      </w:pPr>
      <w:bookmarkStart w:id="75" w:name="_Toc310338542"/>
      <w:r>
        <w:t>19. Förbindelserna med Ryssland - Kvarstående huvudfrågor för EU i dess förbindelser med Ryssland</w:t>
      </w:r>
      <w:bookmarkEnd w:id="75"/>
    </w:p>
    <w:p w:rsidR="00F24DF5" w:rsidRPr="00632A42" w:rsidRDefault="00F24DF5" w:rsidP="00632A42">
      <w:r>
        <w:t>17649/11</w:t>
      </w:r>
    </w:p>
    <w:p w:rsidR="00F24DF5" w:rsidRDefault="00F24DF5" w:rsidP="00632A42"/>
    <w:p w:rsidR="00F24DF5" w:rsidRPr="00632A42" w:rsidRDefault="00F24DF5" w:rsidP="00632A42">
      <w:r>
        <w:t>Ansvarigt departement: Utrikesdepartementet</w:t>
      </w:r>
    </w:p>
    <w:p w:rsidR="00F24DF5" w:rsidRDefault="00F24DF5" w:rsidP="00632A42"/>
    <w:p w:rsidR="00F24DF5" w:rsidRPr="00632A42" w:rsidRDefault="00F24DF5" w:rsidP="00632A42">
      <w:r>
        <w:t>Ansvarigt statsråd: Carl Bildt</w:t>
      </w:r>
    </w:p>
    <w:p w:rsidR="00F24DF5" w:rsidRDefault="00F24DF5" w:rsidP="00632A42"/>
    <w:p w:rsidR="00F24DF5" w:rsidRPr="00632A42" w:rsidRDefault="00F24DF5" w:rsidP="0053455E">
      <w:r>
        <w:t>Förväntas godkännas av Coreper II den 29 november 2011</w:t>
      </w:r>
    </w:p>
    <w:p w:rsidR="00F24DF5" w:rsidRDefault="00F24DF5" w:rsidP="00632A42"/>
    <w:p w:rsidR="00F24DF5" w:rsidRPr="00632A42" w:rsidRDefault="00F24DF5" w:rsidP="00632A42">
      <w:r>
        <w:t>Inför varje toppmöte mellan EU och Ryssland produceras ett så kallat Key Outstanding Issues-dokument. Syftet är att redogöra för de stora utestående frågorna i relationen EU-Ryssland samt beskriva EU:s handlingslinje under respektive fråga. Dokumentet omfattar den politiska dialogen, det gemensamma ekonomiska området, rättsliga och inrikes frågor, extern säkerhet samt forskning, utbildning och kultur.</w:t>
      </w:r>
    </w:p>
    <w:p w:rsidR="00F24DF5" w:rsidRPr="00632A42" w:rsidRDefault="00F24DF5" w:rsidP="00632A42">
      <w:pPr>
        <w:pStyle w:val="Heading2"/>
      </w:pPr>
      <w:r>
        <w:t xml:space="preserve"> </w:t>
      </w:r>
      <w:bookmarkStart w:id="76" w:name="_Toc310338543"/>
      <w:r>
        <w:t>20. Förbindelserna med Georgien- Fastställande av EU:s ståndpunkt inför tolfte mötet i samarbetsrådet EU-Georgien (Bryssel den 1 december 2011)</w:t>
      </w:r>
      <w:bookmarkEnd w:id="76"/>
    </w:p>
    <w:p w:rsidR="00F24DF5" w:rsidRDefault="00F24DF5" w:rsidP="00632A42">
      <w:r>
        <w:t>16656/11</w:t>
      </w:r>
    </w:p>
    <w:p w:rsidR="00F24DF5" w:rsidRDefault="00F24DF5" w:rsidP="00632A42"/>
    <w:p w:rsidR="00F24DF5" w:rsidRPr="00632A42" w:rsidRDefault="00F24DF5" w:rsidP="00632A42">
      <w:r>
        <w:t>Ansvarigt departement: Utrikesdepartementet</w:t>
      </w:r>
    </w:p>
    <w:p w:rsidR="00F24DF5" w:rsidRDefault="00F24DF5" w:rsidP="00632A42"/>
    <w:p w:rsidR="00F24DF5" w:rsidRPr="00632A42" w:rsidRDefault="00F24DF5" w:rsidP="00632A42">
      <w:r>
        <w:t>Ansvarigt statsråd: Carl Bildt</w:t>
      </w:r>
    </w:p>
    <w:p w:rsidR="00F24DF5" w:rsidRDefault="00F24DF5" w:rsidP="00632A42"/>
    <w:p w:rsidR="00F24DF5" w:rsidRDefault="00F24DF5" w:rsidP="0053455E">
      <w:r>
        <w:t>Förväntas godkännas av Coreper II den 29 november 2011</w:t>
      </w:r>
    </w:p>
    <w:p w:rsidR="00F24DF5" w:rsidRPr="00632A42" w:rsidRDefault="00F24DF5" w:rsidP="0053455E"/>
    <w:p w:rsidR="00F24DF5" w:rsidRDefault="00F24DF5" w:rsidP="00632A42">
      <w:r>
        <w:t xml:space="preserve">Samarbetskommittén EU-Georgien sammanträdde senast 7 december 2010 och diskuterade då bland annat förhandlingarna om ett associeringsavtal. </w:t>
      </w:r>
    </w:p>
    <w:p w:rsidR="00F24DF5" w:rsidRDefault="00F24DF5" w:rsidP="00632A42"/>
    <w:p w:rsidR="00F24DF5" w:rsidRPr="00632A42" w:rsidRDefault="00F24DF5" w:rsidP="00632A42">
      <w:r>
        <w:t xml:space="preserve">Inför årets möte har förhandlingarna om associeringsavtal fortsatt. Georgien har gjort framsteg på handelsområdet och förhandlingar om ett fördjupat frihandelsavtal, som en del av associeringsavtalet, förväntas lanseras i år. Andra frågor som diskuterats är möjligheten för Georgien att påbörja en viseringsdialog med EU under 2012, vikten av att konsolidera demokratiska institutioner i landet särskilt inför parlamentsvalet 2012 och situationen i de ockuperade territorierna Abchazien och Sydossetien. </w:t>
      </w:r>
    </w:p>
    <w:p w:rsidR="00F24DF5" w:rsidRPr="00632A42" w:rsidRDefault="00F24DF5" w:rsidP="00632A42">
      <w:pPr>
        <w:pStyle w:val="Heading2"/>
      </w:pPr>
      <w:bookmarkStart w:id="77" w:name="_Toc310338544"/>
      <w:r>
        <w:t>21. Förslag till rådets beslut om fastställande av den ståndpunkt som Europeiska unionen ska inta i Världshandelsorganisationens allmänna råd vad gäller ansökningar om beviljande och/eller förlängning av vissa WTO-undantag</w:t>
      </w:r>
      <w:bookmarkEnd w:id="77"/>
    </w:p>
    <w:p w:rsidR="00F24DF5" w:rsidRPr="00632A42" w:rsidRDefault="00F24DF5" w:rsidP="00632A42">
      <w:r>
        <w:t>16994/1/11, 16995/11</w:t>
      </w:r>
    </w:p>
    <w:p w:rsidR="00F24DF5" w:rsidRDefault="00F24DF5" w:rsidP="00632A42"/>
    <w:p w:rsidR="00F24DF5" w:rsidRPr="00632A42" w:rsidRDefault="00F24DF5" w:rsidP="00632A42">
      <w:r>
        <w:t>Ansvarigt departement: Utrikesdepartementet</w:t>
      </w:r>
    </w:p>
    <w:p w:rsidR="00F24DF5" w:rsidRDefault="00F24DF5" w:rsidP="00632A42"/>
    <w:p w:rsidR="00F24DF5" w:rsidRPr="00632A42" w:rsidRDefault="00F24DF5" w:rsidP="00632A42">
      <w:r>
        <w:t>Ansvarigt statsråd: Ewa Björling</w:t>
      </w:r>
    </w:p>
    <w:p w:rsidR="00F24DF5" w:rsidRDefault="00F24DF5" w:rsidP="00632A42"/>
    <w:p w:rsidR="00F24DF5" w:rsidRPr="00632A42" w:rsidRDefault="00F24DF5" w:rsidP="00632A42">
      <w:r>
        <w:t>Tidigare behandling vid rådsmöte: Ekonomiska och finansiella frågor</w:t>
      </w:r>
    </w:p>
    <w:p w:rsidR="00F24DF5" w:rsidRDefault="00F24DF5" w:rsidP="00632A42"/>
    <w:p w:rsidR="00F24DF5" w:rsidRPr="00632A42" w:rsidRDefault="00F24DF5" w:rsidP="0053455E">
      <w:r>
        <w:t>Förväntas godkännas av Coreper II den 29 november 2011</w:t>
      </w:r>
    </w:p>
    <w:p w:rsidR="00F24DF5" w:rsidRDefault="00F24DF5" w:rsidP="00632A42"/>
    <w:p w:rsidR="00F24DF5" w:rsidRDefault="00F24DF5" w:rsidP="00632A42">
      <w:r>
        <w:t>Förslaget innebär att KOM får ta ställning på EU:s vägnar till följande förslag till waivers (undantag från den allmänna regeln att alla medlemmar ska åtnjuta samma förmåner) inom ramen för WTO:</w:t>
      </w:r>
    </w:p>
    <w:p w:rsidR="00F24DF5" w:rsidRDefault="00F24DF5" w:rsidP="00632A42">
      <w:r>
        <w:t>- Waivers relaterade till WTO:s medlemsstaters användande av olika versioner av det harmoniserade systemet för tullklassificering, HS.</w:t>
      </w:r>
    </w:p>
    <w:p w:rsidR="00F24DF5" w:rsidRDefault="00F24DF5" w:rsidP="00632A42">
      <w:r>
        <w:t>- Utsträckning av Cap Verdes deadline för implementering av artikel VII i GATT-avtalet och WTO:s avtal för tullvärdering till den 31 december 2011.</w:t>
      </w:r>
    </w:p>
    <w:p w:rsidR="00F24DF5" w:rsidRDefault="00F24DF5" w:rsidP="00632A42">
      <w:r>
        <w:t>- Förlängning av Kanadas waiver för tullfritt tillträde för vissa länder i Karibien.</w:t>
      </w:r>
    </w:p>
    <w:p w:rsidR="00F24DF5" w:rsidRDefault="00F24DF5" w:rsidP="00632A42">
      <w:r>
        <w:t>- Förlängning av Kubas waiver sedan 1964 om att slippa ingå ett särskilt avtal med WTO trots utträdet ur IMF.</w:t>
      </w:r>
    </w:p>
    <w:p w:rsidR="00F24DF5" w:rsidRDefault="00F24DF5" w:rsidP="00632A42">
      <w:r>
        <w:t>- Förlängning av waiver relaterad till Kimberleyprocessen.</w:t>
      </w:r>
    </w:p>
    <w:p w:rsidR="00F24DF5" w:rsidRDefault="00F24DF5" w:rsidP="00632A42"/>
    <w:p w:rsidR="00F24DF5" w:rsidRDefault="00F24DF5" w:rsidP="003F5F3B">
      <w:r>
        <w:t>Regeringen stödjer förslaget.</w:t>
      </w:r>
    </w:p>
    <w:p w:rsidR="00F24DF5" w:rsidRPr="00632A42" w:rsidRDefault="00F24DF5" w:rsidP="00632A42">
      <w:pPr>
        <w:pStyle w:val="Heading2"/>
      </w:pPr>
      <w:bookmarkStart w:id="78" w:name="_Toc310338545"/>
      <w:r>
        <w:t>22. Förslag till rådets beslut om den ståndpunkt som Europeiska unionen ska inta i Världshandelsorganisationens allmänna råd om förlängning av Världshandelsorganisationens undantag för att genomföra EU:s system med autonoma förmånstullar för västra Balkan</w:t>
      </w:r>
      <w:bookmarkEnd w:id="78"/>
    </w:p>
    <w:p w:rsidR="00F24DF5" w:rsidRPr="00632A42" w:rsidRDefault="00F24DF5" w:rsidP="00632A42">
      <w:r>
        <w:t>16339/11, 16340/11</w:t>
      </w:r>
    </w:p>
    <w:p w:rsidR="00F24DF5" w:rsidRDefault="00F24DF5" w:rsidP="00632A42"/>
    <w:p w:rsidR="00F24DF5" w:rsidRPr="00632A42" w:rsidRDefault="00F24DF5" w:rsidP="00632A42">
      <w:r>
        <w:t>Ansvarigt departement: Utrikesdepartementet</w:t>
      </w:r>
    </w:p>
    <w:p w:rsidR="00F24DF5" w:rsidRDefault="00F24DF5" w:rsidP="00632A42"/>
    <w:p w:rsidR="00F24DF5" w:rsidRPr="00632A42" w:rsidRDefault="00F24DF5" w:rsidP="00632A42">
      <w:r>
        <w:t>Ansvarigt statsråd: Ewa Björling</w:t>
      </w:r>
    </w:p>
    <w:p w:rsidR="00F24DF5" w:rsidRDefault="00F24DF5" w:rsidP="00632A42"/>
    <w:p w:rsidR="00F24DF5" w:rsidRPr="00632A42" w:rsidRDefault="00F24DF5" w:rsidP="0053455E">
      <w:r>
        <w:t>Förväntas godkännas av Coreper II den 29 november 2011</w:t>
      </w:r>
    </w:p>
    <w:p w:rsidR="00F24DF5" w:rsidRDefault="00F24DF5" w:rsidP="00632A42"/>
    <w:p w:rsidR="00F24DF5" w:rsidRPr="00632A42" w:rsidRDefault="00F24DF5" w:rsidP="00632A42">
      <w:r>
        <w:t>År 2010 inleddes förfarandet för att förlänga systemet med autonoma förmånstullar för västra Balkan till och med den 31 december 2015. Det lagstiftningsförfarande som krävs för att förlänga systemet är nu färdigt. För att EU ska kunna tillhandahålla förmånsbehandling inom systemet med autonoma förmånstullar för västra Balkan utan att bli skyldigt att utsträcka samma förmånsbehandling till likadana produkter från andra medlemmar i Världshandelsorganisationen, behöver EU lämna in en ansökan om undantag från bestämmelserna i artikel I.1 i GATT 1994 till och med den 31 december 2016. Innebörden av beslutet är således en förlängning av de särskilda handelsåtgärderna för Västra Balkan.</w:t>
      </w:r>
    </w:p>
    <w:p w:rsidR="00F24DF5" w:rsidRPr="00632A42" w:rsidRDefault="00F24DF5" w:rsidP="00632A42">
      <w:pPr>
        <w:pStyle w:val="Heading2"/>
      </w:pPr>
      <w:bookmarkStart w:id="79" w:name="_Toc310338546"/>
      <w:r>
        <w:t>23.  Förslag till Europaparlamentets och rådets förordning om ändring av rådets förordning (EG) nr 428/2009 om upprättande av en gemenskapsordning för kontroll av export, överföring, förmedling och transitering av produkter med dubbla användningsområde- Politisk överenskommelse</w:t>
      </w:r>
      <w:bookmarkEnd w:id="79"/>
    </w:p>
    <w:p w:rsidR="00F24DF5" w:rsidRPr="00632A42" w:rsidRDefault="00F24DF5" w:rsidP="00632A42">
      <w:r>
        <w:t>17331/11</w:t>
      </w:r>
    </w:p>
    <w:p w:rsidR="00F24DF5" w:rsidRDefault="00F24DF5" w:rsidP="00632A42"/>
    <w:p w:rsidR="00F24DF5" w:rsidRPr="00632A42" w:rsidRDefault="00F24DF5" w:rsidP="00632A42">
      <w:r>
        <w:t>Ansvarigt departement: Utrikesdepartementet</w:t>
      </w:r>
    </w:p>
    <w:p w:rsidR="00F24DF5" w:rsidRDefault="00F24DF5" w:rsidP="00632A42"/>
    <w:p w:rsidR="00F24DF5" w:rsidRPr="00632A42" w:rsidRDefault="00F24DF5" w:rsidP="00632A42">
      <w:r>
        <w:t>Ansvarigt statsråd: Ewa Björling</w:t>
      </w:r>
    </w:p>
    <w:p w:rsidR="00F24DF5" w:rsidRDefault="00F24DF5" w:rsidP="00632A42"/>
    <w:p w:rsidR="00F24DF5" w:rsidRPr="00632A42" w:rsidRDefault="00F24DF5" w:rsidP="0053455E">
      <w:r>
        <w:t>Förväntas godkännas av Coreper II den 29 november 2011</w:t>
      </w:r>
    </w:p>
    <w:p w:rsidR="00F24DF5" w:rsidRDefault="00F24DF5" w:rsidP="00632A42"/>
    <w:p w:rsidR="00F24DF5" w:rsidRDefault="00F24DF5" w:rsidP="00632A42">
      <w:r>
        <w:t>Förslaget syftar till att uppdatera bilaga 1 i förordning 428/2009 om upprättande av en gemenskapsordning för kontroll av export, överföring, förmedling och transitering av produkter med dubbla användningsområden i enlighet med de förändringar som görs av de multilaterala exportkontrollregimernas (AG, MTCR, NSG och WA) kontrollistor i syfte att begränsa risken att känsliga produkter med dubbla användningsområden används för militära ändamål samtidigt som den legitima handeln inte ska obstrueras. Denna uppdatering görs på årsbasis.</w:t>
      </w:r>
    </w:p>
    <w:p w:rsidR="00F24DF5" w:rsidRDefault="00F24DF5" w:rsidP="00632A42"/>
    <w:p w:rsidR="00F24DF5" w:rsidRDefault="00F24DF5" w:rsidP="00632A42">
      <w:r>
        <w:t>EP antog förslaget vid en första läsning den 13 september 2011 utan tillägg. Av doc. 15100/11 ADD 1 framgår några av rådet föreslagna ytterligare tillägg, som är de senaste förändringar som gjorts i exportkontrollregimerna, vilket Coreper godtog den 19 oktober 2011.</w:t>
      </w:r>
    </w:p>
    <w:p w:rsidR="00F24DF5" w:rsidRDefault="00F24DF5" w:rsidP="00632A42"/>
    <w:p w:rsidR="00F24DF5" w:rsidRDefault="00F24DF5" w:rsidP="003F5F3B">
      <w:r>
        <w:t>Förslaget är okontroversiellt och stöds av SE.</w:t>
      </w:r>
    </w:p>
    <w:p w:rsidR="00F24DF5" w:rsidRPr="00632A42" w:rsidRDefault="00F24DF5" w:rsidP="00632A42">
      <w:pPr>
        <w:pStyle w:val="Heading2"/>
      </w:pPr>
      <w:bookmarkStart w:id="80" w:name="_Toc310338547"/>
      <w:r>
        <w:t>24. Rådets förordning om ändring av förordning (EU) nr 1284/2009 om införande av vissa specifika restriktiva åtgärder mot Republiken Guinea</w:t>
      </w:r>
      <w:bookmarkEnd w:id="80"/>
    </w:p>
    <w:p w:rsidR="00F24DF5" w:rsidRPr="00632A42" w:rsidRDefault="00F24DF5" w:rsidP="00632A42">
      <w:r>
        <w:t>16735/11, 16734/11</w:t>
      </w:r>
    </w:p>
    <w:p w:rsidR="00F24DF5" w:rsidRDefault="00F24DF5" w:rsidP="00632A42"/>
    <w:p w:rsidR="00F24DF5" w:rsidRPr="00632A42" w:rsidRDefault="00F24DF5" w:rsidP="00632A42">
      <w:r>
        <w:t>Ansvarigt departement: Utrikesdepartementet</w:t>
      </w:r>
    </w:p>
    <w:p w:rsidR="00F24DF5" w:rsidRDefault="00F24DF5" w:rsidP="00632A42"/>
    <w:p w:rsidR="00F24DF5" w:rsidRPr="00632A42" w:rsidRDefault="00F24DF5" w:rsidP="00632A42">
      <w:r>
        <w:t>Ansvarigt statsråd: Carl Bildt</w:t>
      </w:r>
    </w:p>
    <w:p w:rsidR="00F24DF5" w:rsidRDefault="00F24DF5" w:rsidP="00632A42"/>
    <w:p w:rsidR="00F24DF5" w:rsidRPr="00632A42" w:rsidRDefault="00F24DF5" w:rsidP="00632A42">
      <w:r>
        <w:t>Tidigare behandling i EU -nämnden: 2011-10-21</w:t>
      </w:r>
    </w:p>
    <w:p w:rsidR="00F24DF5" w:rsidRDefault="00F24DF5" w:rsidP="00632A42"/>
    <w:p w:rsidR="00F24DF5" w:rsidRPr="00632A42" w:rsidRDefault="00F24DF5" w:rsidP="00632A42">
      <w:r>
        <w:t>Tidigare behandling vid rådsmöte: Rådet för utrikesfrågor</w:t>
      </w:r>
    </w:p>
    <w:p w:rsidR="00F24DF5" w:rsidRDefault="00F24DF5" w:rsidP="00632A42"/>
    <w:p w:rsidR="00F24DF5" w:rsidRPr="00632A42" w:rsidRDefault="00F24DF5" w:rsidP="0053455E">
      <w:r>
        <w:t>Förväntas godkännas av Coreper II den 29 november 2011</w:t>
      </w:r>
    </w:p>
    <w:p w:rsidR="00F24DF5" w:rsidRDefault="00F24DF5" w:rsidP="00632A42"/>
    <w:p w:rsidR="00F24DF5" w:rsidRDefault="00F24DF5" w:rsidP="00632A42">
      <w:r>
        <w:t>Mot bakgrund av händelseutvecklingen i Guinea antog Europeiska unionens råd den 27 oktober 2009 en gemensam ståndpunkt (2009/788/GUSP) om restriktiva åtgärder mot Guinea. Sanktionerna omfattade vapenembargo och reserestriktioner. I december samma år utvidgades sanktionerna genom rådsbeslut 2009/1003/GUSP till att även omfatta frysning av tillgångar, förbud mot export av utrustning som kan användas för internt förtryck och förbud mot att lämna finansiellt eller tekniskt bistånd i anslutning till förbjuden export av vapen eller utrustning som kan användas för internt förtryck. I oktober 2010 ersattes den gemensamma ståndpunkten med ett rådsbeslut (2010/638/GUSP), genom vilket de restriktiva åtgärderna även förlängdes med ett år, till och med den 27 oktober 2011.</w:t>
      </w:r>
    </w:p>
    <w:p w:rsidR="00F24DF5" w:rsidRDefault="00F24DF5" w:rsidP="00632A42"/>
    <w:p w:rsidR="00F24DF5" w:rsidRDefault="00F24DF5" w:rsidP="00632A42">
      <w:r>
        <w:t xml:space="preserve">Då vissa framsteg skett i landet, bl a demokratiska val, antog Rådet vid möte i oktober 2011 beslut 2011/706/GUSP om en förlängning av de restriktiva åtgärderna med ytterligare 12 månader till och med den 27 oktober 2012, men införde vissa undantag från vapenembargot till förmån för guineanska myndigheter och deras upprätthållande av allmän ordning. </w:t>
      </w:r>
    </w:p>
    <w:p w:rsidR="00F24DF5" w:rsidRDefault="00F24DF5" w:rsidP="00632A42"/>
    <w:p w:rsidR="00F24DF5" w:rsidRDefault="00F24DF5" w:rsidP="004D38C8">
      <w:r>
        <w:t xml:space="preserve">Rådet behöver nu fatta beslut som införlivar de ovan beskrivna beslutade ändringarna i EU:s vapenembargo mot Guinea i förordningen.  SE stödjer antagandet av förslaget. </w:t>
      </w:r>
    </w:p>
    <w:p w:rsidR="00F24DF5" w:rsidRDefault="00F24DF5">
      <w:pPr>
        <w:spacing w:line="240" w:lineRule="auto"/>
        <w:rPr>
          <w:rFonts w:ascii="Arial" w:hAnsi="Arial" w:cs="Arial"/>
          <w:b/>
          <w:i/>
          <w:iCs/>
          <w:kern w:val="28"/>
        </w:rPr>
      </w:pPr>
      <w:r>
        <w:br w:type="page"/>
      </w:r>
    </w:p>
    <w:p w:rsidR="00F24DF5" w:rsidRPr="00632A42" w:rsidRDefault="00F24DF5" w:rsidP="00632A42">
      <w:pPr>
        <w:pStyle w:val="Heading2"/>
      </w:pPr>
      <w:bookmarkStart w:id="81" w:name="_Toc310338548"/>
      <w:r>
        <w:t>25. Rådets beslut om ändring av beslut 2010/413/Gusp om restriktiva åtgärder mot Iran- Rådets genomförandeförordning om genomförande av förordning (EU) nr 961/2010 om restriktiva åtgärder mot Iran</w:t>
      </w:r>
      <w:bookmarkEnd w:id="81"/>
      <w:r>
        <w:t xml:space="preserve"> </w:t>
      </w:r>
    </w:p>
    <w:p w:rsidR="00F24DF5" w:rsidRPr="00632A42" w:rsidRDefault="00F24DF5" w:rsidP="00632A42">
      <w:r>
        <w:t>17516/11, 17441/11, 17442/11</w:t>
      </w:r>
    </w:p>
    <w:p w:rsidR="00F24DF5" w:rsidRDefault="00F24DF5" w:rsidP="00632A42"/>
    <w:p w:rsidR="00F24DF5" w:rsidRPr="00632A42" w:rsidRDefault="00F24DF5" w:rsidP="00632A42">
      <w:r>
        <w:t>Ansvarigt departement: Utrikesdepartementet</w:t>
      </w:r>
    </w:p>
    <w:p w:rsidR="00F24DF5" w:rsidRDefault="00F24DF5" w:rsidP="00632A42"/>
    <w:p w:rsidR="00F24DF5" w:rsidRPr="00632A42" w:rsidRDefault="00F24DF5" w:rsidP="00632A42">
      <w:r>
        <w:t>Ansvarigt statsråd: Carl Bildt</w:t>
      </w:r>
    </w:p>
    <w:p w:rsidR="00F24DF5" w:rsidRDefault="00F24DF5" w:rsidP="00632A42"/>
    <w:p w:rsidR="00F24DF5" w:rsidRDefault="00F24DF5" w:rsidP="0053455E">
      <w:r>
        <w:t>Förväntas godkännas av Coreper II den 29 november 2011</w:t>
      </w:r>
    </w:p>
    <w:p w:rsidR="00F24DF5" w:rsidRDefault="00F24DF5" w:rsidP="0053455E"/>
    <w:p w:rsidR="00F24DF5" w:rsidRPr="00EF5943" w:rsidRDefault="00F24DF5" w:rsidP="00EF5943">
      <w:r w:rsidRPr="00EF5943">
        <w:t xml:space="preserve">I fjolårets rådsbeslut 2010/413/GUSP artikel 26 anges att de restriktiva åtgärder (inreseförbud till EU samt frysning av ekonomiska och finansiella tillgångar) som riktar sig mot enskilda iranska enheter och individer skall ses över minst var tolfte månad. </w:t>
      </w:r>
    </w:p>
    <w:p w:rsidR="00F24DF5" w:rsidRDefault="00F24DF5" w:rsidP="00EF5943"/>
    <w:p w:rsidR="00F24DF5" w:rsidRDefault="00F24DF5" w:rsidP="00EF5943">
      <w:pPr>
        <w:rPr>
          <w:b/>
          <w:i/>
          <w:iCs/>
        </w:rPr>
      </w:pPr>
      <w:r w:rsidRPr="00EF5943">
        <w:t>EU har under hösten 2011 fört en diskussion i rådsarbetsgrupp om att föra upp ytterligare enheter och personer, i huvudsak med koppling till Irans kärntekniska program, till EU:s sanktionslista i bilagorna till fjolårets beslut. En överenskommelse om att lista ytterligare 180 enheter och personer nåddes i EU-kretsen den 21 november. Därmed avser rådet fatta beslut om komplettering av sanktionslistan vid utrikesministrarnas rådsmöte den 1 december 2011.</w:t>
      </w:r>
    </w:p>
    <w:p w:rsidR="00F24DF5" w:rsidRPr="0033741B" w:rsidRDefault="00F24DF5" w:rsidP="00632A42">
      <w:pPr>
        <w:pStyle w:val="Heading2"/>
      </w:pPr>
      <w:bookmarkStart w:id="82" w:name="_Toc310338549"/>
      <w:r w:rsidRPr="0033741B">
        <w:t>26. Övergripande årsrapport 2011 om den gemensamma säkerhets- och försvarspolitiken (GSFP) och utbildningen på GSFP-området</w:t>
      </w:r>
      <w:bookmarkEnd w:id="82"/>
    </w:p>
    <w:p w:rsidR="00F24DF5" w:rsidRPr="0033741B" w:rsidRDefault="00F24DF5" w:rsidP="00632A42">
      <w:r w:rsidRPr="0033741B">
        <w:t>17440/11, 17438/11</w:t>
      </w:r>
    </w:p>
    <w:p w:rsidR="00F24DF5" w:rsidRPr="0033741B" w:rsidRDefault="00F24DF5" w:rsidP="00632A42"/>
    <w:p w:rsidR="00F24DF5" w:rsidRPr="0033741B" w:rsidRDefault="00F24DF5" w:rsidP="00632A42">
      <w:r w:rsidRPr="0033741B">
        <w:t>Ansvarigt departement: Utrikesdepartementet</w:t>
      </w:r>
    </w:p>
    <w:p w:rsidR="00F24DF5" w:rsidRPr="0033741B" w:rsidRDefault="00F24DF5" w:rsidP="00632A42"/>
    <w:p w:rsidR="00F24DF5" w:rsidRPr="0033741B" w:rsidRDefault="00F24DF5" w:rsidP="00632A42">
      <w:r w:rsidRPr="0033741B">
        <w:t>Ansvarigt statsråd: Carl Bildt</w:t>
      </w:r>
    </w:p>
    <w:p w:rsidR="00F24DF5" w:rsidRPr="0033741B" w:rsidRDefault="00F24DF5" w:rsidP="00632A42"/>
    <w:p w:rsidR="00F24DF5" w:rsidRPr="0033741B" w:rsidRDefault="00F24DF5" w:rsidP="0053455E">
      <w:r w:rsidRPr="0033741B">
        <w:t>Förväntas godkännas av Coreper II den 29 november 2011</w:t>
      </w:r>
    </w:p>
    <w:p w:rsidR="00F24DF5" w:rsidRPr="0033741B" w:rsidRDefault="00F24DF5" w:rsidP="00632A42"/>
    <w:p w:rsidR="00F24DF5" w:rsidRDefault="00F24DF5" w:rsidP="004D38C8">
      <w:r w:rsidRPr="0033741B">
        <w:t>Rådet ska annotera rapporten och omhänderta dess slutsatser som en grund för fortsatt förbättring av utbildning och träning relaterat till GSFP. Rapporten behandlar både civil och militär träning och utbildning. Rapportens slutsatser säger bland annat att EU:s medlemsstater i så stor utsträckning som möjligt bör göra sin civila, diplomatiska och militära träning tillgänglig i EU:s årliga träningsprogram, i så stor utsträckning som möjligt harmonisera träningen och anpassa den efter GSFP-behoven, samt betonar samarbete med, för fredsbyggande och konflikthantering, relevanta tränings- och utbildningsaktörer.</w:t>
      </w:r>
    </w:p>
    <w:p w:rsidR="00F24DF5" w:rsidRPr="00632A42" w:rsidRDefault="00F24DF5" w:rsidP="00632A42">
      <w:pPr>
        <w:pStyle w:val="Heading2"/>
      </w:pPr>
      <w:bookmarkStart w:id="83" w:name="_Toc310338550"/>
      <w:r>
        <w:t>27. Rapport från Europeiska försvarsbyråns chef till rådet</w:t>
      </w:r>
      <w:bookmarkEnd w:id="83"/>
    </w:p>
    <w:p w:rsidR="00F24DF5" w:rsidRPr="00632A42" w:rsidRDefault="00F24DF5" w:rsidP="00632A42">
      <w:r>
        <w:t>17606/11, 17665/11</w:t>
      </w:r>
    </w:p>
    <w:p w:rsidR="00F24DF5" w:rsidRDefault="00F24DF5" w:rsidP="00632A42"/>
    <w:p w:rsidR="00F24DF5" w:rsidRPr="00632A42" w:rsidRDefault="00F24DF5" w:rsidP="00632A42">
      <w:r>
        <w:t>Ansvarigt departement: Försvarsdepartementet</w:t>
      </w:r>
    </w:p>
    <w:p w:rsidR="00F24DF5" w:rsidRDefault="00F24DF5" w:rsidP="00632A42"/>
    <w:p w:rsidR="00F24DF5" w:rsidRPr="00632A42" w:rsidRDefault="00F24DF5" w:rsidP="00632A42">
      <w:r>
        <w:t>Ansvarigt statsråd: Sten Tolgfors</w:t>
      </w:r>
    </w:p>
    <w:p w:rsidR="00F24DF5" w:rsidRDefault="00F24DF5" w:rsidP="00632A42"/>
    <w:p w:rsidR="00F24DF5" w:rsidRPr="00632A42" w:rsidRDefault="00F24DF5" w:rsidP="0053455E">
      <w:r>
        <w:t>Förväntas godkännas av Coreper II den 29 november 2011</w:t>
      </w:r>
    </w:p>
    <w:p w:rsidR="00F24DF5" w:rsidRDefault="00F24DF5" w:rsidP="00632A42"/>
    <w:p w:rsidR="00F24DF5" w:rsidRPr="00632A42" w:rsidRDefault="00F24DF5" w:rsidP="00632A42">
      <w:r>
        <w:t>Europeiska Försvarsbyråns (EDA:s) Head of Agency (dvs HR/VP Catherine Ashton) redovisar varje år en rapport över EDA:s aktiviteter. Rapporten brukar noteras utan diskussion. Rapporten beskriver EDA:s aktiviteter, och föranleder ingen kommentar från svensk sida.</w:t>
      </w:r>
    </w:p>
    <w:p w:rsidR="00F24DF5" w:rsidRPr="00B77E5A" w:rsidRDefault="00F24DF5" w:rsidP="00632A42">
      <w:pPr>
        <w:pStyle w:val="Heading2"/>
        <w:rPr>
          <w:lang w:val="fr-FR"/>
        </w:rPr>
      </w:pPr>
      <w:bookmarkStart w:id="84" w:name="_Toc310338551"/>
      <w:r>
        <w:rPr>
          <w:lang w:val="fr-FR"/>
        </w:rPr>
        <w:t xml:space="preserve">28. </w:t>
      </w:r>
      <w:r w:rsidRPr="00B77E5A">
        <w:rPr>
          <w:lang w:val="fr-FR"/>
        </w:rPr>
        <w:t>Proposition de décision du Conseil relative à la signature, au nom de l'Union européenne, et à l'application provisoire de certaines dispositions de l'accord de partenariat et de coopération entre l'Union européenne et ses États membres, d'une part, et la République d'Iraq, d'autre part</w:t>
      </w:r>
      <w:r>
        <w:rPr>
          <w:lang w:val="fr-FR"/>
        </w:rPr>
        <w:t xml:space="preserve"> </w:t>
      </w:r>
      <w:r w:rsidRPr="00B77E5A">
        <w:rPr>
          <w:lang w:val="fr-FR"/>
        </w:rPr>
        <w:t>- Adoption</w:t>
      </w:r>
      <w:bookmarkEnd w:id="84"/>
    </w:p>
    <w:p w:rsidR="00F24DF5" w:rsidRPr="00632A42" w:rsidRDefault="00F24DF5" w:rsidP="00632A42">
      <w:r>
        <w:t>15954/11, 5784/2/11, 13639/11</w:t>
      </w:r>
    </w:p>
    <w:p w:rsidR="00F24DF5" w:rsidRDefault="00F24DF5" w:rsidP="00632A42"/>
    <w:p w:rsidR="00F24DF5" w:rsidRPr="00632A42" w:rsidRDefault="00F24DF5" w:rsidP="00632A42">
      <w:r>
        <w:t>Ansvarigt departement: Utrikesdepartementet</w:t>
      </w:r>
    </w:p>
    <w:p w:rsidR="00F24DF5" w:rsidRDefault="00F24DF5" w:rsidP="00632A42"/>
    <w:p w:rsidR="00F24DF5" w:rsidRPr="00632A42" w:rsidRDefault="00F24DF5" w:rsidP="00632A42">
      <w:r>
        <w:t>Ansvarigt statsråd: Carl Bildt</w:t>
      </w:r>
    </w:p>
    <w:p w:rsidR="00F24DF5" w:rsidRDefault="00F24DF5" w:rsidP="00632A42"/>
    <w:p w:rsidR="00F24DF5" w:rsidRPr="00632A42" w:rsidRDefault="00F24DF5" w:rsidP="0053455E">
      <w:r>
        <w:t>Förväntas godkännas av Coreper II den 29 november 2011</w:t>
      </w:r>
    </w:p>
    <w:p w:rsidR="00F24DF5" w:rsidRDefault="00F24DF5" w:rsidP="00632A42"/>
    <w:p w:rsidR="00F24DF5" w:rsidRDefault="00F24DF5" w:rsidP="004D38C8">
      <w:r>
        <w:t xml:space="preserve">Punkten handlar om att EU och dess medlemsstater undertecknar ett avtal om partnerskap och samarbete mellan Europeiska unionen och dess medlemsstater, å ena sidan, och Republiken Irak, å andra sidan. Avtalet omfattar såväl handelsaspekter samt breddat samarbete inom en rad områden som energi, transport, investeringar, mänskliga rättigheter, utbildning, vetenskap och teknik, miljö samt regionalt eller kulturellt samarbete. </w:t>
      </w:r>
    </w:p>
    <w:p w:rsidR="00F24DF5" w:rsidRDefault="00F24DF5">
      <w:pPr>
        <w:spacing w:line="240" w:lineRule="auto"/>
        <w:rPr>
          <w:rFonts w:ascii="Arial" w:hAnsi="Arial" w:cs="Arial"/>
          <w:b/>
          <w:i/>
          <w:iCs/>
          <w:kern w:val="28"/>
          <w:lang w:val="fr-FR"/>
        </w:rPr>
      </w:pPr>
      <w:r>
        <w:rPr>
          <w:lang w:val="fr-FR"/>
        </w:rPr>
        <w:br w:type="page"/>
      </w:r>
    </w:p>
    <w:p w:rsidR="00F24DF5" w:rsidRPr="00B77E5A" w:rsidRDefault="00F24DF5" w:rsidP="00632A42">
      <w:pPr>
        <w:pStyle w:val="Heading2"/>
        <w:rPr>
          <w:lang w:val="fr-FR"/>
        </w:rPr>
      </w:pPr>
      <w:bookmarkStart w:id="85" w:name="_Toc310338552"/>
      <w:r>
        <w:rPr>
          <w:lang w:val="fr-FR"/>
        </w:rPr>
        <w:t>29</w:t>
      </w:r>
      <w:r w:rsidRPr="00B77E5A">
        <w:rPr>
          <w:lang w:val="fr-FR"/>
        </w:rPr>
        <w:t>. (évent.) Concept de gestion de crise pour une action possible de la PSDC sur le renforcement des capacités maritimes régionales dans les états de la Corne de l'Afrique et dans l'océan Indien occidental.</w:t>
      </w:r>
      <w:bookmarkEnd w:id="85"/>
    </w:p>
    <w:p w:rsidR="00F24DF5" w:rsidRPr="00632A42" w:rsidRDefault="00F24DF5" w:rsidP="00632A42">
      <w:r>
        <w:t>17609/11, 15559/11</w:t>
      </w:r>
    </w:p>
    <w:p w:rsidR="00F24DF5" w:rsidRDefault="00F24DF5" w:rsidP="00632A42"/>
    <w:p w:rsidR="00F24DF5" w:rsidRPr="00632A42" w:rsidRDefault="00F24DF5" w:rsidP="00632A42">
      <w:r>
        <w:t>Ansvarigt departement: Utrikesdepartementet</w:t>
      </w:r>
    </w:p>
    <w:p w:rsidR="00F24DF5" w:rsidRDefault="00F24DF5" w:rsidP="00632A42"/>
    <w:p w:rsidR="00F24DF5" w:rsidRPr="00632A42" w:rsidRDefault="00F24DF5" w:rsidP="00632A42">
      <w:r>
        <w:t>Ansvarigt statsråd: Carl Bildt</w:t>
      </w:r>
    </w:p>
    <w:p w:rsidR="00F24DF5" w:rsidRDefault="00F24DF5" w:rsidP="00632A42"/>
    <w:p w:rsidR="00F24DF5" w:rsidRPr="00632A42" w:rsidRDefault="00F24DF5" w:rsidP="0053455E">
      <w:r>
        <w:t>Förväntas godkännas av Coreper II den 29 november 2011</w:t>
      </w:r>
    </w:p>
    <w:p w:rsidR="00F24DF5" w:rsidRDefault="00F24DF5" w:rsidP="00632A42"/>
    <w:p w:rsidR="00F24DF5" w:rsidRDefault="00F24DF5" w:rsidP="00A31D64">
      <w:r>
        <w:t>Framtagande av ett krishanteringskoncept för en planerad insats,</w:t>
      </w:r>
    </w:p>
    <w:p w:rsidR="00F24DF5" w:rsidRDefault="00F24DF5" w:rsidP="00A31D64">
      <w:r>
        <w:t>huvudsakligen inriktad på utbildning på strategisk och operativ nivå, för att stärka regionala maritima förmågor (exv. kustbevakning) på Afrikas Horn.</w:t>
      </w:r>
    </w:p>
    <w:p w:rsidR="00F24DF5" w:rsidRPr="00B902BD" w:rsidRDefault="00F24DF5" w:rsidP="00B902BD">
      <w:pPr>
        <w:pStyle w:val="Heading2"/>
        <w:rPr>
          <w:lang w:val="fr-FR" w:eastAsia="sv-SE"/>
        </w:rPr>
      </w:pPr>
      <w:bookmarkStart w:id="86" w:name="_Toc310338553"/>
      <w:r>
        <w:rPr>
          <w:lang w:val="fr-FR" w:eastAsia="sv-SE"/>
        </w:rPr>
        <w:t xml:space="preserve">30. </w:t>
      </w:r>
      <w:r w:rsidRPr="00B902BD">
        <w:rPr>
          <w:lang w:val="fr-FR" w:eastAsia="sv-SE"/>
        </w:rPr>
        <w:t>Projet d'orientations du Conseil concernant les activités de l'agence en 2012</w:t>
      </w:r>
      <w:bookmarkEnd w:id="86"/>
    </w:p>
    <w:p w:rsidR="00F24DF5" w:rsidRPr="00B902BD" w:rsidRDefault="00F24DF5" w:rsidP="00B902BD">
      <w:pPr>
        <w:autoSpaceDE w:val="0"/>
        <w:autoSpaceDN w:val="0"/>
        <w:adjustRightInd w:val="0"/>
        <w:spacing w:line="240" w:lineRule="auto"/>
        <w:ind w:left="2268" w:hanging="2268"/>
        <w:rPr>
          <w:rFonts w:ascii="Times New Roman" w:hAnsi="Times New Roman"/>
          <w:color w:val="000000"/>
          <w:szCs w:val="24"/>
          <w:lang w:val="en-US" w:eastAsia="sv-SE"/>
        </w:rPr>
      </w:pPr>
      <w:r w:rsidRPr="00B902BD">
        <w:rPr>
          <w:rFonts w:ascii="Times New Roman" w:hAnsi="Times New Roman"/>
          <w:color w:val="000000"/>
          <w:szCs w:val="24"/>
          <w:lang w:val="en-US" w:eastAsia="sv-SE"/>
        </w:rPr>
        <w:t>1</w:t>
      </w:r>
      <w:r>
        <w:rPr>
          <w:rFonts w:ascii="Times New Roman" w:hAnsi="Times New Roman"/>
          <w:color w:val="000000"/>
          <w:szCs w:val="24"/>
          <w:lang w:val="en-US" w:eastAsia="sv-SE"/>
        </w:rPr>
        <w:t xml:space="preserve">7618/11, </w:t>
      </w:r>
      <w:r w:rsidRPr="00B902BD">
        <w:rPr>
          <w:rFonts w:ascii="Times New Roman" w:hAnsi="Times New Roman"/>
          <w:color w:val="000000"/>
          <w:szCs w:val="24"/>
          <w:lang w:val="en-US" w:eastAsia="sv-SE"/>
        </w:rPr>
        <w:t xml:space="preserve">17740/11 </w:t>
      </w:r>
    </w:p>
    <w:p w:rsidR="00F24DF5" w:rsidRPr="00B902BD" w:rsidRDefault="00F24DF5" w:rsidP="00B902BD">
      <w:pPr>
        <w:ind w:hanging="2268"/>
        <w:rPr>
          <w:lang w:val="en-US"/>
        </w:rPr>
      </w:pPr>
    </w:p>
    <w:p w:rsidR="00F24DF5" w:rsidRPr="00B902BD" w:rsidRDefault="00F24DF5" w:rsidP="00632A42">
      <w:r w:rsidRPr="00B902BD">
        <w:t>Ansvarigt departement: Försvarsdepartementet</w:t>
      </w:r>
    </w:p>
    <w:p w:rsidR="00F24DF5" w:rsidRPr="00B902BD" w:rsidRDefault="00F24DF5" w:rsidP="00632A42"/>
    <w:p w:rsidR="00F24DF5" w:rsidRPr="00B902BD" w:rsidRDefault="00F24DF5" w:rsidP="00632A42">
      <w:r w:rsidRPr="00B902BD">
        <w:t>Ansvarigt statsråd: Sten Tolgfors</w:t>
      </w:r>
    </w:p>
    <w:p w:rsidR="00F24DF5" w:rsidRPr="00B902BD" w:rsidRDefault="00F24DF5" w:rsidP="00632A42"/>
    <w:p w:rsidR="00F24DF5" w:rsidRDefault="00F24DF5" w:rsidP="00632A42">
      <w:r w:rsidRPr="00B902BD">
        <w:t>Förväntas godkännas av Coreper II den 29 november 2011</w:t>
      </w:r>
    </w:p>
    <w:p w:rsidR="00F24DF5" w:rsidRDefault="00F24DF5" w:rsidP="00632A42"/>
    <w:p w:rsidR="00F24DF5" w:rsidRPr="00B902BD" w:rsidRDefault="00F24DF5" w:rsidP="00632A42">
      <w:r w:rsidRPr="00B902BD">
        <w:t>Rådet fattar varje år beslut om Riktlinjer för Europeiska Försvarsbyråns (EDA:s) aktiviteter det kommande året. Rapporten brukar antas utan diskussion. Riktlinjerna bygger på den arbetsplan som har diskuterats i EDA.s arbetsgrupper. Riktlinjerna för 2012 har förhandlats i PMG, och de svenska ståndpunkterna har beaktats.</w:t>
      </w:r>
    </w:p>
    <w:p w:rsidR="00F24DF5" w:rsidRDefault="00F24DF5">
      <w:pPr>
        <w:spacing w:line="240" w:lineRule="auto"/>
        <w:rPr>
          <w:rFonts w:ascii="TradeGothic" w:hAnsi="TradeGothic"/>
          <w:b/>
          <w:kern w:val="28"/>
          <w:sz w:val="28"/>
        </w:rPr>
      </w:pPr>
      <w:r>
        <w:br w:type="page"/>
      </w:r>
    </w:p>
    <w:p w:rsidR="00F24DF5" w:rsidRPr="00632A42" w:rsidRDefault="00F24DF5" w:rsidP="004D38C8">
      <w:pPr>
        <w:pStyle w:val="Heading1"/>
      </w:pPr>
      <w:bookmarkStart w:id="87" w:name="_Toc310338554"/>
      <w:r>
        <w:t>Troliga A-punkter inför kommande rådsmöten som förväntas godkännas vid Coreper I 30 november 2011</w:t>
      </w:r>
      <w:bookmarkEnd w:id="87"/>
    </w:p>
    <w:p w:rsidR="00F24DF5" w:rsidRPr="00B77E5A" w:rsidRDefault="00F24DF5" w:rsidP="00632A42">
      <w:pPr>
        <w:pStyle w:val="Heading2"/>
        <w:rPr>
          <w:lang w:val="en-US"/>
        </w:rPr>
      </w:pPr>
      <w:bookmarkStart w:id="88" w:name="_Toc310338555"/>
      <w:r w:rsidRPr="00B77E5A">
        <w:rPr>
          <w:lang w:val="en-US"/>
        </w:rPr>
        <w:t>31. Reply to written question put to the Council by a Member of the European Parliament (+)</w:t>
      </w:r>
      <w:r>
        <w:rPr>
          <w:lang w:val="en-US"/>
        </w:rPr>
        <w:t xml:space="preserve"> </w:t>
      </w:r>
      <w:r w:rsidRPr="00B77E5A">
        <w:rPr>
          <w:lang w:val="en-US"/>
        </w:rPr>
        <w:t>(a) n° E-009027/2011 put by Nigel Farage "Article 294(9) TFEU"</w:t>
      </w:r>
      <w:bookmarkEnd w:id="88"/>
    </w:p>
    <w:p w:rsidR="00F24DF5" w:rsidRPr="00632A42" w:rsidRDefault="00F24DF5" w:rsidP="00632A42">
      <w:r>
        <w:t>16440/11</w:t>
      </w:r>
    </w:p>
    <w:p w:rsidR="00F24DF5" w:rsidRDefault="00F24DF5" w:rsidP="00632A42"/>
    <w:p w:rsidR="00F24DF5" w:rsidRPr="00632A42" w:rsidRDefault="00F24DF5" w:rsidP="00632A42">
      <w:r>
        <w:t>Ansvarigt departement: Statsrådsberedningen</w:t>
      </w:r>
    </w:p>
    <w:p w:rsidR="00F24DF5" w:rsidRDefault="00F24DF5" w:rsidP="00632A42"/>
    <w:p w:rsidR="00F24DF5" w:rsidRPr="00632A42" w:rsidRDefault="00F24DF5" w:rsidP="00632A42">
      <w:r>
        <w:t>Ansvarigt statsråd: Birgitta Ohlsson</w:t>
      </w:r>
    </w:p>
    <w:p w:rsidR="00F24DF5" w:rsidRDefault="00F24DF5" w:rsidP="0053455E"/>
    <w:p w:rsidR="00F24DF5" w:rsidRPr="00632A42" w:rsidRDefault="00F24DF5" w:rsidP="007D1B93">
      <w:r>
        <w:t>Förväntas godkännas av Coreper I den 30 november 2011</w:t>
      </w:r>
    </w:p>
    <w:p w:rsidR="00F24DF5" w:rsidRDefault="00F24DF5" w:rsidP="0053455E"/>
    <w:p w:rsidR="00F24DF5" w:rsidRPr="004D38C8" w:rsidRDefault="00F24DF5" w:rsidP="00632A42">
      <w:pPr>
        <w:rPr>
          <w:lang w:val="en-US"/>
        </w:rPr>
      </w:pPr>
      <w:r>
        <w:rPr>
          <w:lang w:val="en-US"/>
        </w:rPr>
        <w:t>Föranleder ingen annotering</w:t>
      </w:r>
    </w:p>
    <w:p w:rsidR="00F24DF5" w:rsidRPr="00B77E5A" w:rsidRDefault="00F24DF5" w:rsidP="00632A42">
      <w:pPr>
        <w:pStyle w:val="Heading2"/>
        <w:rPr>
          <w:lang w:val="en-US"/>
        </w:rPr>
      </w:pPr>
      <w:bookmarkStart w:id="89" w:name="_Toc310338556"/>
      <w:r w:rsidRPr="00B77E5A">
        <w:rPr>
          <w:lang w:val="en-US"/>
        </w:rPr>
        <w:t>32. Consumption of EAGF appropriations for the period from 16 October 2010 to 31 September 2011</w:t>
      </w:r>
      <w:r>
        <w:rPr>
          <w:lang w:val="en-US"/>
        </w:rPr>
        <w:t xml:space="preserve"> </w:t>
      </w:r>
      <w:r w:rsidRPr="00B77E5A">
        <w:rPr>
          <w:lang w:val="en-US"/>
        </w:rPr>
        <w:t>= Information note for the Permanent Representatives Committee (Part 1)</w:t>
      </w:r>
      <w:bookmarkEnd w:id="89"/>
    </w:p>
    <w:p w:rsidR="00F24DF5" w:rsidRPr="00632A42" w:rsidRDefault="00F24DF5" w:rsidP="00632A42">
      <w:r>
        <w:t>16861/11</w:t>
      </w:r>
    </w:p>
    <w:p w:rsidR="00F24DF5" w:rsidRDefault="00F24DF5" w:rsidP="00632A42"/>
    <w:p w:rsidR="00F24DF5" w:rsidRPr="00632A42" w:rsidRDefault="00F24DF5" w:rsidP="00632A42">
      <w:r>
        <w:t>Ansvarigt departement: Finansdepartementet</w:t>
      </w:r>
    </w:p>
    <w:p w:rsidR="00F24DF5" w:rsidRDefault="00F24DF5" w:rsidP="00632A42"/>
    <w:p w:rsidR="00F24DF5" w:rsidRPr="00632A42" w:rsidRDefault="00F24DF5" w:rsidP="00632A42">
      <w:r>
        <w:t>Ansvarigt statsråd: Anders Borg</w:t>
      </w:r>
    </w:p>
    <w:p w:rsidR="00F24DF5" w:rsidRDefault="00F24DF5" w:rsidP="0053455E"/>
    <w:p w:rsidR="00F24DF5" w:rsidRPr="00632A42" w:rsidRDefault="00F24DF5" w:rsidP="007D1B93">
      <w:r>
        <w:t>Förväntas godkännas av Coreper I den 30 november 2011</w:t>
      </w:r>
    </w:p>
    <w:p w:rsidR="00F24DF5" w:rsidRDefault="00F24DF5" w:rsidP="00632A42"/>
    <w:p w:rsidR="00F24DF5" w:rsidRDefault="00F24DF5" w:rsidP="00632A42">
      <w:r>
        <w:t>Informationsnot om implementeringen av budget för Europeiska garantifonden för jordbruket fram till 31 september 2011.</w:t>
      </w:r>
    </w:p>
    <w:p w:rsidR="00F24DF5" w:rsidRDefault="00F24DF5" w:rsidP="00632A42">
      <w:r>
        <w:t>Utgifterna överskred de budgeterade beloppen med 940 miljoner euro. Detta täcks dock upp av att intäkterna under garantifonden för jordbruket uppgick till 1 565 miljoner euro varför budgeten som helhet visar på ett visst överskott.</w:t>
      </w:r>
    </w:p>
    <w:p w:rsidR="00F24DF5" w:rsidRDefault="00F24DF5" w:rsidP="00632A42"/>
    <w:p w:rsidR="00F24DF5" w:rsidRPr="00632A42" w:rsidRDefault="00F24DF5" w:rsidP="00632A42">
      <w:r>
        <w:t>Regeringen avser ställa sig bakom informationsnoten.</w:t>
      </w:r>
    </w:p>
    <w:p w:rsidR="00F24DF5" w:rsidRPr="00B77E5A" w:rsidRDefault="00F24DF5" w:rsidP="00632A42">
      <w:pPr>
        <w:pStyle w:val="Heading2"/>
        <w:rPr>
          <w:lang w:val="en-US"/>
        </w:rPr>
      </w:pPr>
      <w:r w:rsidRPr="004D38C8">
        <w:t xml:space="preserve"> </w:t>
      </w:r>
      <w:bookmarkStart w:id="90" w:name="_Toc310338557"/>
      <w:r w:rsidRPr="00B77E5A">
        <w:rPr>
          <w:lang w:val="en-US"/>
        </w:rPr>
        <w:t>33. Involvement of Faroe Islands as observer in the European Research Area Committee (ERAC</w:t>
      </w:r>
      <w:r>
        <w:rPr>
          <w:lang w:val="en-US"/>
        </w:rPr>
        <w:t xml:space="preserve"> </w:t>
      </w:r>
      <w:r w:rsidRPr="00B77E5A">
        <w:rPr>
          <w:lang w:val="en-US"/>
        </w:rPr>
        <w:t>)= Information note for the Permanent Representatives Committee (Part 1)</w:t>
      </w:r>
      <w:bookmarkEnd w:id="90"/>
    </w:p>
    <w:p w:rsidR="00F24DF5" w:rsidRPr="00632A42" w:rsidRDefault="00F24DF5" w:rsidP="00632A42">
      <w:r>
        <w:t>17572/11</w:t>
      </w:r>
    </w:p>
    <w:p w:rsidR="00F24DF5" w:rsidRDefault="00F24DF5" w:rsidP="00632A42"/>
    <w:p w:rsidR="00F24DF5" w:rsidRPr="00632A42" w:rsidRDefault="00F24DF5" w:rsidP="00632A42">
      <w:r>
        <w:t>Ansvarigt departement: Utbildningsdepartementet</w:t>
      </w:r>
    </w:p>
    <w:p w:rsidR="00F24DF5" w:rsidRDefault="00F24DF5" w:rsidP="00632A42"/>
    <w:p w:rsidR="00F24DF5" w:rsidRPr="00632A42" w:rsidRDefault="00F24DF5" w:rsidP="00632A42">
      <w:r>
        <w:t>Ansvarigt statsråd: Jan Björklund</w:t>
      </w:r>
    </w:p>
    <w:p w:rsidR="00F24DF5" w:rsidRDefault="00F24DF5" w:rsidP="00632A42"/>
    <w:p w:rsidR="00F24DF5" w:rsidRPr="00632A42" w:rsidRDefault="00F24DF5" w:rsidP="007D1B93">
      <w:r>
        <w:t>Förväntas godkännas av Coreper I den 30 november 2011</w:t>
      </w:r>
    </w:p>
    <w:p w:rsidR="00F24DF5" w:rsidRDefault="00F24DF5" w:rsidP="00632A42"/>
    <w:p w:rsidR="00F24DF5" w:rsidRPr="00632A42" w:rsidRDefault="00F24DF5" w:rsidP="00632A42">
      <w:r>
        <w:t>En informationspunkt som handlar om att den rådgivande kommittén ERAC avser att invitera Färöarna som observatör i kommittén. ERAC är rådgivande till rådet, kommissionen och medlemsstaterna i frågor som gäller forskning och innovation.</w:t>
      </w:r>
    </w:p>
    <w:p w:rsidR="00F24DF5" w:rsidRPr="00B77E5A" w:rsidRDefault="00F24DF5" w:rsidP="00632A42">
      <w:pPr>
        <w:pStyle w:val="Heading2"/>
        <w:rPr>
          <w:lang w:val="en-US"/>
        </w:rPr>
      </w:pPr>
      <w:bookmarkStart w:id="91" w:name="_Toc310338558"/>
      <w:r w:rsidRPr="00B77E5A">
        <w:rPr>
          <w:lang w:val="en-US"/>
        </w:rPr>
        <w:t>34. Draft Commission Decision of XXX concerning the unilateral inclusion of additional greenhouse gases and activities by Italy in the scheme for greenhouse gas emission allowance trading within the Union pursuant to Article 24 of Directive 2003/87/EC of the European Parliament and of the Council</w:t>
      </w:r>
      <w:r>
        <w:rPr>
          <w:lang w:val="en-US"/>
        </w:rPr>
        <w:t xml:space="preserve"> </w:t>
      </w:r>
      <w:r w:rsidRPr="00B77E5A">
        <w:rPr>
          <w:lang w:val="en-US"/>
        </w:rPr>
        <w:t>= Decision not to oppose adoption</w:t>
      </w:r>
      <w:bookmarkEnd w:id="91"/>
    </w:p>
    <w:p w:rsidR="00F24DF5" w:rsidRPr="00632A42" w:rsidRDefault="00F24DF5" w:rsidP="00632A42">
      <w:r>
        <w:t>17136/11, 16132/11</w:t>
      </w:r>
    </w:p>
    <w:p w:rsidR="00F24DF5" w:rsidRDefault="00F24DF5" w:rsidP="00632A42"/>
    <w:p w:rsidR="00F24DF5" w:rsidRPr="00632A42" w:rsidRDefault="00F24DF5" w:rsidP="00632A42">
      <w:r>
        <w:t>Ansvarigt departement: Miljödepartementet</w:t>
      </w:r>
    </w:p>
    <w:p w:rsidR="00F24DF5" w:rsidRDefault="00F24DF5" w:rsidP="00632A42"/>
    <w:p w:rsidR="00F24DF5" w:rsidRPr="00632A42" w:rsidRDefault="00F24DF5" w:rsidP="00632A42">
      <w:r>
        <w:t>Ansvarigt statsråd: Lena Ek</w:t>
      </w:r>
    </w:p>
    <w:p w:rsidR="00F24DF5" w:rsidRDefault="00F24DF5" w:rsidP="00632A42"/>
    <w:p w:rsidR="00F24DF5" w:rsidRPr="00632A42" w:rsidRDefault="00F24DF5" w:rsidP="00632A42">
      <w:r>
        <w:t>Tidigare behandling vid rådsmöte: Miljörådet</w:t>
      </w:r>
    </w:p>
    <w:p w:rsidR="00F24DF5" w:rsidRDefault="00F24DF5" w:rsidP="0053455E"/>
    <w:p w:rsidR="00F24DF5" w:rsidRPr="00632A42" w:rsidRDefault="00F24DF5" w:rsidP="007D1B93">
      <w:r>
        <w:t>Förväntas godkännas av Coreper I den 30 november 2011</w:t>
      </w:r>
    </w:p>
    <w:p w:rsidR="00F24DF5" w:rsidRDefault="00F24DF5" w:rsidP="00632A42"/>
    <w:p w:rsidR="00F24DF5" w:rsidRDefault="00F24DF5" w:rsidP="00632A42">
      <w:r>
        <w:t xml:space="preserve">Enligt artikel 24 "Förfaranden för unilateralt införande av ytterligare verksamheter och gaser" i handelsdirektivet (2003/87/EG) så kan MS efter KOMs godkännande ta in verksamheter och/eller gaser i handelssystemet som inte listas i bilaga 1 till detta direktiv. IT har ansökt om att inkludera dikväveoxid (N2O) från produktion av salpetersyra (HNO3) och adipinsyra. Genom kommissionsbeslut har andra MS tidigare fått godkänt att inkludera utsläpp av dikväveoxid associerad med produktion av salpetersyra i handelssystemet. </w:t>
      </w:r>
    </w:p>
    <w:p w:rsidR="00F24DF5" w:rsidRDefault="00F24DF5" w:rsidP="00632A42"/>
    <w:p w:rsidR="00F24DF5" w:rsidRDefault="00F24DF5" w:rsidP="007D1B93">
      <w:r>
        <w:t>Sverige röstade ja till förslaget i klimatförändringskommittén.</w:t>
      </w:r>
    </w:p>
    <w:p w:rsidR="00F24DF5" w:rsidRPr="00B77E5A" w:rsidRDefault="00F24DF5" w:rsidP="00632A42">
      <w:pPr>
        <w:pStyle w:val="Heading2"/>
        <w:rPr>
          <w:lang w:val="en-US"/>
        </w:rPr>
      </w:pPr>
      <w:bookmarkStart w:id="92" w:name="_Toc310338559"/>
      <w:r w:rsidRPr="00B77E5A">
        <w:rPr>
          <w:lang w:val="en-US"/>
        </w:rPr>
        <w:t>35. Common Understanding between the Governments of the Member States of the European Union on an Equalisation Mechanism pertaining to the Agreed Principles</w:t>
      </w:r>
      <w:r>
        <w:rPr>
          <w:lang w:val="en-US"/>
        </w:rPr>
        <w:t xml:space="preserve"> </w:t>
      </w:r>
      <w:r w:rsidRPr="00B77E5A">
        <w:rPr>
          <w:lang w:val="en-US"/>
        </w:rPr>
        <w:t>= Approval by the representatives of the Governments of the Member States of the European Union meeting within the Council</w:t>
      </w:r>
      <w:bookmarkEnd w:id="92"/>
      <w:r w:rsidRPr="00B77E5A">
        <w:rPr>
          <w:lang w:val="en-US"/>
        </w:rPr>
        <w:t xml:space="preserve"> </w:t>
      </w:r>
    </w:p>
    <w:p w:rsidR="00F24DF5" w:rsidRPr="00632A42" w:rsidRDefault="00F24DF5" w:rsidP="00632A42">
      <w:r>
        <w:t>14346/11, 17529/11</w:t>
      </w:r>
    </w:p>
    <w:p w:rsidR="00F24DF5" w:rsidRDefault="00F24DF5" w:rsidP="00632A42"/>
    <w:p w:rsidR="00F24DF5" w:rsidRPr="00632A42" w:rsidRDefault="00F24DF5" w:rsidP="00632A42">
      <w:r>
        <w:t>Ansvarigt departement: Näringsdepartementet</w:t>
      </w:r>
    </w:p>
    <w:p w:rsidR="00F24DF5" w:rsidRDefault="00F24DF5" w:rsidP="00632A42"/>
    <w:p w:rsidR="00F24DF5" w:rsidRPr="00632A42" w:rsidRDefault="00F24DF5" w:rsidP="00632A42">
      <w:r>
        <w:t>Ansvarigt statsråd: Catharina Elmsäter-Svärd</w:t>
      </w:r>
    </w:p>
    <w:p w:rsidR="00F24DF5" w:rsidRDefault="00F24DF5" w:rsidP="00632A42"/>
    <w:p w:rsidR="00F24DF5" w:rsidRPr="00632A42" w:rsidRDefault="00F24DF5" w:rsidP="00632A42">
      <w:r>
        <w:t>Tidigare behandling i EU -nämnden: 2011-11-18</w:t>
      </w:r>
    </w:p>
    <w:p w:rsidR="00F24DF5" w:rsidRDefault="00F24DF5" w:rsidP="00632A42"/>
    <w:p w:rsidR="00F24DF5" w:rsidRPr="00632A42" w:rsidRDefault="00F24DF5" w:rsidP="00632A42">
      <w:r>
        <w:t>Tidigare behandling vid rådsmöte: Transport-, telekom- och energifrågor</w:t>
      </w:r>
    </w:p>
    <w:p w:rsidR="00F24DF5" w:rsidRDefault="00F24DF5" w:rsidP="0053455E"/>
    <w:p w:rsidR="00F24DF5" w:rsidRPr="00632A42" w:rsidRDefault="00F24DF5" w:rsidP="007D1B93">
      <w:r>
        <w:t>Förväntas godkännas av Coreper I den 30 november 2011</w:t>
      </w:r>
    </w:p>
    <w:p w:rsidR="00F24DF5" w:rsidRDefault="00F24DF5" w:rsidP="00632A42"/>
    <w:p w:rsidR="00F24DF5" w:rsidRDefault="00F24DF5" w:rsidP="00632A42">
      <w:r>
        <w:t>Ovan nämnda Utjämningsmekanism hör ihop med brevväxlingen mellan EU och Ryssland om ”Överenskomna principer för modernisering av det nuvarande systemet för utnyttjande av de transsibiriska rutterna”, som är ett resultat av det mandat kommissionen fick av rådet den 27 mars 2006 i syfte att förhandla med Ryssland i frågan om betalning för överflygningar över Sibirien. Den 24 november 2011 godkände rådet ovannämnda brevväxling, som medför att kommissionen kan bekräfta för Ryssland att EU och dess medlemsstater är förpliktade att tillse att de Överenskomna Principerna implementeras efter ikraftträdandet.</w:t>
      </w:r>
    </w:p>
    <w:p w:rsidR="00F24DF5" w:rsidRDefault="00F24DF5" w:rsidP="00632A42"/>
    <w:p w:rsidR="00F24DF5" w:rsidRDefault="00F24DF5" w:rsidP="00632A42">
      <w:r>
        <w:t>I samband med förhandlingarna, kom medlemsstaterna överens om att inrätta en Utjämningsmekanism, som ett viktigt instrument för att låta EU:s flygbolag så snart som möjligt njuta frukterna av avtalet, och för att undvika konkurrenssnedvridning under övergångsperioden.</w:t>
      </w:r>
    </w:p>
    <w:p w:rsidR="00F24DF5" w:rsidRDefault="00F24DF5" w:rsidP="00632A42"/>
    <w:p w:rsidR="00F24DF5" w:rsidRDefault="00F24DF5" w:rsidP="00632A42">
      <w:r>
        <w:t>Utjämningsmekanismen var ursprungligen en del av rådsbeslutet den 7 maj 2007 om undertecknande och provisorisk tillämpning av avtalet med Ryssland. Eftersom brevväxlingen inte längre är att anse som ett internationellt avtal, och på grund av avsevärda förseningar av implementeringen av överenskommelsen, måste Utjämningsmekanismen anpassa för att reflektera nuvarande situation. Mot den bakgrunden diskuterade arbetsgruppen för luftfart den 21 november 2011 en reviderad version av Utjämningsmekanismen. Kommissionen informerade också om att Eurocontrol är villigt att åta sig rollen som ”manager” av den fond som förutses i mekanismen.</w:t>
      </w:r>
    </w:p>
    <w:p w:rsidR="00F24DF5" w:rsidRDefault="00F24DF5" w:rsidP="00632A42"/>
    <w:p w:rsidR="00F24DF5" w:rsidRPr="00632A42" w:rsidRDefault="00F24DF5" w:rsidP="00632A42">
      <w:r>
        <w:t>Beslutet nu innebär att den föreslagna proceduren och förslaget till Gemensamt samförstånd godkänns.</w:t>
      </w:r>
    </w:p>
    <w:p w:rsidR="00F24DF5" w:rsidRPr="00B77E5A" w:rsidRDefault="00F24DF5" w:rsidP="00632A42">
      <w:pPr>
        <w:pStyle w:val="Heading2"/>
        <w:rPr>
          <w:lang w:val="en-US"/>
        </w:rPr>
      </w:pPr>
      <w:bookmarkStart w:id="93" w:name="_Toc310338560"/>
      <w:r w:rsidRPr="00B77E5A">
        <w:rPr>
          <w:lang w:val="en-US"/>
        </w:rPr>
        <w:t>36. Special Report No 5/2011 from the European Court of Auditors entitled "Single Payment Scheme (SPS): issues to be addressed to improve its sound financial management"= Adoption of Council conclusions</w:t>
      </w:r>
      <w:bookmarkEnd w:id="93"/>
    </w:p>
    <w:p w:rsidR="00F24DF5" w:rsidRPr="00632A42" w:rsidRDefault="00F24DF5" w:rsidP="00632A42">
      <w:r>
        <w:t>17584/11</w:t>
      </w:r>
    </w:p>
    <w:p w:rsidR="00F24DF5" w:rsidRDefault="00F24DF5" w:rsidP="00632A42"/>
    <w:p w:rsidR="00F24DF5" w:rsidRPr="00632A42" w:rsidRDefault="00F24DF5" w:rsidP="00632A42">
      <w:r>
        <w:t>Ansvarigt departement: Finansdepartementet</w:t>
      </w:r>
    </w:p>
    <w:p w:rsidR="00F24DF5" w:rsidRDefault="00F24DF5" w:rsidP="00632A42"/>
    <w:p w:rsidR="00F24DF5" w:rsidRPr="00632A42" w:rsidRDefault="00F24DF5" w:rsidP="00632A42">
      <w:r>
        <w:t>Ansvarigt statsråd: Anders Borg</w:t>
      </w:r>
    </w:p>
    <w:p w:rsidR="00F24DF5" w:rsidRDefault="00F24DF5" w:rsidP="00632A42"/>
    <w:p w:rsidR="00F24DF5" w:rsidRPr="00632A42" w:rsidRDefault="00F24DF5" w:rsidP="007D1B93">
      <w:r>
        <w:t>Förväntas godkännas av Coreper I den 30 november 2011</w:t>
      </w:r>
    </w:p>
    <w:p w:rsidR="00F24DF5" w:rsidRDefault="00F24DF5" w:rsidP="00632A42"/>
    <w:p w:rsidR="00F24DF5" w:rsidRDefault="00F24DF5" w:rsidP="00632A42">
      <w:r>
        <w:t>Utkast till rådsslutsatser om revisionsrättens särskilda rapport med titeln "Systemet med samlat gårdsstöd - vad måste göras för</w:t>
      </w:r>
    </w:p>
    <w:p w:rsidR="00F24DF5" w:rsidRDefault="00F24DF5" w:rsidP="00632A42">
      <w:r>
        <w:t>att den ekonomiska förvaltningen ska bli bättre?" Utkastet till slutsatser noterar endast att rådet har mottagit revisionsrättens rapport</w:t>
      </w:r>
    </w:p>
    <w:p w:rsidR="00F24DF5" w:rsidRDefault="00F24DF5" w:rsidP="00632A42">
      <w:r>
        <w:t>och hänvisar i övrigt till de pågående förhandlingarna om en ny direktstödsförordning för mer substantiella diskussioner om utformningen av det samlade gårdsstödet.</w:t>
      </w:r>
    </w:p>
    <w:p w:rsidR="00F24DF5" w:rsidRDefault="00F24DF5" w:rsidP="00632A42">
      <w:r>
        <w:t>Regeringen avser ställa sig bakom rådsslutsatserna.</w:t>
      </w:r>
    </w:p>
    <w:p w:rsidR="00F24DF5" w:rsidRPr="00B77E5A" w:rsidRDefault="00F24DF5" w:rsidP="00632A42">
      <w:pPr>
        <w:pStyle w:val="Heading2"/>
        <w:rPr>
          <w:lang w:val="en-US"/>
        </w:rPr>
      </w:pPr>
      <w:bookmarkStart w:id="94" w:name="_Toc310338561"/>
      <w:r w:rsidRPr="00B77E5A">
        <w:rPr>
          <w:lang w:val="en-US"/>
        </w:rPr>
        <w:t>37. Draft Council Directive amending Council Directive 1999/31/EC as regards specific criteria for the storage of metallic mercury considered as waste</w:t>
      </w:r>
      <w:r>
        <w:rPr>
          <w:lang w:val="en-US"/>
        </w:rPr>
        <w:t xml:space="preserve"> </w:t>
      </w:r>
      <w:r w:rsidRPr="00B77E5A">
        <w:rPr>
          <w:lang w:val="en-US"/>
        </w:rPr>
        <w:t>= Adoption</w:t>
      </w:r>
      <w:bookmarkEnd w:id="94"/>
    </w:p>
    <w:p w:rsidR="00F24DF5" w:rsidRPr="00632A42" w:rsidRDefault="00F24DF5" w:rsidP="00632A42">
      <w:r>
        <w:t>16085/11, 17022/11</w:t>
      </w:r>
    </w:p>
    <w:p w:rsidR="00F24DF5" w:rsidRDefault="00F24DF5" w:rsidP="00632A42"/>
    <w:p w:rsidR="00F24DF5" w:rsidRPr="00632A42" w:rsidRDefault="00F24DF5" w:rsidP="00632A42">
      <w:r>
        <w:t>Ansvarigt departement: Miljödepartementet</w:t>
      </w:r>
    </w:p>
    <w:p w:rsidR="00F24DF5" w:rsidRDefault="00F24DF5" w:rsidP="00632A42"/>
    <w:p w:rsidR="00F24DF5" w:rsidRPr="00632A42" w:rsidRDefault="00F24DF5" w:rsidP="00632A42">
      <w:r>
        <w:t>Ansvarigt statsråd: Lena Ek</w:t>
      </w:r>
    </w:p>
    <w:p w:rsidR="00F24DF5" w:rsidRDefault="00F24DF5" w:rsidP="00632A42"/>
    <w:p w:rsidR="00F24DF5" w:rsidRPr="00632A42" w:rsidRDefault="00F24DF5" w:rsidP="00632A42">
      <w:r>
        <w:t>Tidigare behandling vid rådsmöte: Miljörådet</w:t>
      </w:r>
    </w:p>
    <w:p w:rsidR="00F24DF5" w:rsidRDefault="00F24DF5" w:rsidP="00632A42"/>
    <w:p w:rsidR="00F24DF5" w:rsidRPr="00632A42" w:rsidRDefault="00F24DF5" w:rsidP="007D1B93">
      <w:r>
        <w:t>Förväntas godkännas av Coreper I den 30 november 2011</w:t>
      </w:r>
    </w:p>
    <w:p w:rsidR="00F24DF5" w:rsidRDefault="00F24DF5" w:rsidP="00632A42"/>
    <w:p w:rsidR="00F24DF5" w:rsidRDefault="00F24DF5" w:rsidP="00632A42">
      <w:r>
        <w:t xml:space="preserve">EP och Rådet har i förordning (EG) nr 1102/2008 om exportförbud för metalliskt (flytande) kvicksilver (Hg) beslutat att tillfälligt eller slutligt förvar av metalliskt kvicksilveravfall får ske under förutsättning att krav och kriterier utarbetas som säkerställer att de särskilda riskerna är under kontroll. </w:t>
      </w:r>
    </w:p>
    <w:p w:rsidR="00F24DF5" w:rsidRDefault="00F24DF5" w:rsidP="00632A42"/>
    <w:p w:rsidR="00F24DF5" w:rsidRDefault="00F24DF5" w:rsidP="00632A42">
      <w:r>
        <w:t xml:space="preserve">TAC-kommittén under förordningen har tagit fram förslag till sådana kriterier, mot bakgrund av den rapport som har tagits fram av KOM enligt art. 8 i förordningen. Av KOM:s rapport har det framkommit att det inte är möjligt slutförvara metalliskt Hg på ett säkert sätt. KOM tog därför enbart fram förslag till kriterier för tillfällig lagring vilka presenterades för omröstning i april 2011. </w:t>
      </w:r>
    </w:p>
    <w:p w:rsidR="00F24DF5" w:rsidRDefault="00F24DF5" w:rsidP="00632A42"/>
    <w:p w:rsidR="00F24DF5" w:rsidRDefault="00F24DF5" w:rsidP="00632A42">
      <w:r>
        <w:t xml:space="preserve">Sverige röstade Ja. Förslaget fick dock inte kvalificerad majoritet. Huvudinvändningen mot förslaget var att flera MS önskade mer tid för genomförande i nationell lagstiftning. Skälet till att den angivna tiden är kort är att flytande Hg från fyra utpekade källor enligt förordningen definieras som avfall från den 15 mars 2011. Därefter får detta flytande Hg lagras maximalt 1 år enligt gällande EU-lagstiftning. För ytterligare lagring krävs därefter enligt deponeringsdirektivet (1999/31/EG) särskilda deponeringstillstånd. </w:t>
      </w:r>
    </w:p>
    <w:p w:rsidR="00F24DF5" w:rsidRDefault="00F24DF5" w:rsidP="00632A42"/>
    <w:p w:rsidR="00F24DF5" w:rsidRDefault="00F24DF5" w:rsidP="00632A42">
      <w:r>
        <w:t>De nu föreslagna reglerna för lagring av flytande Hg har som ändamål att definiera hur lagring ska få ske upp till 5 år utan att lagringen ska betraktas som deponering. Reglerna behöver finnas på plats redan 15 mars 2012 för att det inte ska råda oklarhet om vilka regler som då gäller. Flera MS ansåg sig inte hinna införa reglerna i nationell lagstiftning i tid till 15 mars 2012 och nu har förslaget justerats i det att tiden för införande utsträckts till 15 mars 2013. Det har dessutom varit svårt för många MS att se hur de föreslagna reglerna kommer att efterlevas. Något bättre alternativt förslag har emellertid inte kunnat tas fram och frånvaron av regler bedöms av Sverige i detta fall vara ett sämre alternativ än dessa regler.</w:t>
      </w:r>
    </w:p>
    <w:p w:rsidR="00F24DF5" w:rsidRDefault="00F24DF5" w:rsidP="00632A42"/>
    <w:p w:rsidR="00F24DF5" w:rsidRPr="00B77E5A" w:rsidRDefault="00F24DF5" w:rsidP="00632A42">
      <w:pPr>
        <w:rPr>
          <w:lang w:val="en-US"/>
        </w:rPr>
      </w:pPr>
      <w:r>
        <w:t xml:space="preserve">Den svenska grundinställningen är att Hg bör tas ur kretsloppet för säkert underjordsförvar i stabiliserad form. Det som nu skall beslutas är regler för hur flytande Hg från fyra utpekade källor ska få förvaras tillfälligt dock längre än ett år, och som senast skall vara genomförda 15 mars 2013. </w:t>
      </w:r>
      <w:r w:rsidRPr="00B77E5A">
        <w:rPr>
          <w:lang w:val="en-US"/>
        </w:rPr>
        <w:t>Sverige stödjer förslaget.</w:t>
      </w:r>
    </w:p>
    <w:p w:rsidR="00F24DF5" w:rsidRDefault="00F24DF5">
      <w:pPr>
        <w:spacing w:line="240" w:lineRule="auto"/>
        <w:rPr>
          <w:rFonts w:ascii="Arial" w:hAnsi="Arial" w:cs="Arial"/>
          <w:b/>
          <w:i/>
          <w:iCs/>
          <w:kern w:val="28"/>
          <w:lang w:val="en-US"/>
        </w:rPr>
      </w:pPr>
      <w:r>
        <w:rPr>
          <w:lang w:val="en-US"/>
        </w:rPr>
        <w:br w:type="page"/>
      </w:r>
    </w:p>
    <w:p w:rsidR="00F24DF5" w:rsidRPr="00B77E5A" w:rsidRDefault="00F24DF5" w:rsidP="00632A42">
      <w:pPr>
        <w:pStyle w:val="Heading2"/>
        <w:rPr>
          <w:lang w:val="en-US"/>
        </w:rPr>
      </w:pPr>
      <w:bookmarkStart w:id="95" w:name="_Toc310338562"/>
      <w:r w:rsidRPr="00B77E5A">
        <w:rPr>
          <w:lang w:val="en-US"/>
        </w:rPr>
        <w:t>38. Proposal for a Directive of the European Parliament and of the Council amending Directive 2000/75/EC as regards vaccination against bluetongue (First reading) (Legislative deliberation)= Political agreement with a view to the adoption of the Council's position</w:t>
      </w:r>
      <w:bookmarkEnd w:id="95"/>
    </w:p>
    <w:p w:rsidR="00F24DF5" w:rsidRPr="00632A42" w:rsidRDefault="00F24DF5" w:rsidP="00632A42">
      <w:r>
        <w:t>17447/11</w:t>
      </w:r>
    </w:p>
    <w:p w:rsidR="00F24DF5" w:rsidRDefault="00F24DF5" w:rsidP="00632A42"/>
    <w:p w:rsidR="00F24DF5" w:rsidRPr="00632A42" w:rsidRDefault="00F24DF5" w:rsidP="00632A42">
      <w:r>
        <w:t>Ansvarigt departement: Landsbygdsdepartementet</w:t>
      </w:r>
    </w:p>
    <w:p w:rsidR="00F24DF5" w:rsidRDefault="00F24DF5" w:rsidP="00632A42"/>
    <w:p w:rsidR="00F24DF5" w:rsidRPr="00632A42" w:rsidRDefault="00F24DF5" w:rsidP="00632A42">
      <w:r>
        <w:t>Ansvarigt statsråd: Eskil Erlandsson</w:t>
      </w:r>
    </w:p>
    <w:p w:rsidR="00F24DF5" w:rsidRDefault="00F24DF5" w:rsidP="00632A42"/>
    <w:p w:rsidR="00F24DF5" w:rsidRPr="00632A42" w:rsidRDefault="00F24DF5" w:rsidP="0053455E">
      <w:r>
        <w:t>Förväntas godkännas av Coreper I den 30 november 2011</w:t>
      </w:r>
    </w:p>
    <w:p w:rsidR="00F24DF5" w:rsidRDefault="00F24DF5" w:rsidP="00632A42"/>
    <w:p w:rsidR="00F24DF5" w:rsidRDefault="00F24DF5" w:rsidP="00632A42">
      <w:r>
        <w:t xml:space="preserve">I november 2010 överlämnade kommissionen ett förslag till direktiv om ändringar i rådets direktiv 2000/75/EG av den 20 november 2000 om fastställande av särskilda bestämmelser om åtgärder för bekämpning och utrotning av bluetongue. </w:t>
      </w:r>
    </w:p>
    <w:p w:rsidR="00F24DF5" w:rsidRDefault="00F24DF5" w:rsidP="00632A42"/>
    <w:p w:rsidR="00F24DF5" w:rsidRDefault="00F24DF5" w:rsidP="00632A42">
      <w:r>
        <w:t xml:space="preserve">Syftet med kommissionens förslag är att göra reglerna om vaccination mot idisslarsjukdomen blåtunga mer flexibla. Enligt nuvarande lydelse av direktiv 2000/75/EG får vaccination mot blåtunga endast ske inom särskilda restriktionsområden, eftersom vaccination kan leda till virusspridning. Kommissionens ändringsförslag innebär att djur får vaccineras även utanför restriktionsområden. Bakgrunden till förslaget är att en ny typ av vacciner utvecklats, s.k. inaktiverade vacciner. Vid användandet av sådana vacciner finns ingen risk för virusspridning.  </w:t>
      </w:r>
    </w:p>
    <w:p w:rsidR="00F24DF5" w:rsidRDefault="00F24DF5" w:rsidP="00632A42"/>
    <w:p w:rsidR="00F24DF5" w:rsidRDefault="00F24DF5" w:rsidP="00632A42">
      <w:r>
        <w:t>Enligt kommissionens förslag skulle medlemsstaterna rapportera införlivandeföreskrifter till kommissionen i s.k. korrelationstabeller. Rådet motsatte sig kravet på korrelationstabeller medan Europaparlamentet (EP) motsatte sig en strykning av kravet. Det polska ordförandeskapet överlämnade i oktober 2011 ett förslag till kompromisstext till rapportören i EP. Kompromissförslaget innebär att kravet på korrelationstabeller har strukits och att tiden för genomförandet av direktivet i nationell lagstiftning har utsträckts till 6 månader efter ikraftträdandet. Överenskommelse har nåtts mellan ordförandeskapet och EP kring kompromissförslaget.</w:t>
      </w:r>
    </w:p>
    <w:p w:rsidR="00F24DF5" w:rsidRPr="00632A42" w:rsidRDefault="00F24DF5" w:rsidP="00632A42"/>
    <w:p w:rsidR="00F24DF5" w:rsidRDefault="00F24DF5">
      <w:pPr>
        <w:pStyle w:val="RKnormal"/>
        <w:tabs>
          <w:tab w:val="clear" w:pos="1843"/>
          <w:tab w:val="left" w:pos="0"/>
        </w:tabs>
        <w:ind w:left="0"/>
      </w:pPr>
    </w:p>
    <w:p w:rsidR="00F24DF5" w:rsidRDefault="00F24DF5">
      <w:pPr>
        <w:pStyle w:val="RKnormal"/>
        <w:tabs>
          <w:tab w:val="clear" w:pos="1843"/>
          <w:tab w:val="left" w:pos="0"/>
        </w:tabs>
        <w:ind w:left="0"/>
      </w:pPr>
    </w:p>
    <w:p w:rsidR="00F24DF5" w:rsidRDefault="00F24DF5">
      <w:pPr>
        <w:pStyle w:val="RKnormal"/>
        <w:tabs>
          <w:tab w:val="clear" w:pos="1843"/>
          <w:tab w:val="left" w:pos="0"/>
        </w:tabs>
        <w:ind w:left="0"/>
      </w:pPr>
    </w:p>
    <w:sectPr w:rsidR="00F24DF5" w:rsidSect="00FE577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DF5" w:rsidRDefault="00F24DF5">
      <w:r>
        <w:separator/>
      </w:r>
    </w:p>
  </w:endnote>
  <w:endnote w:type="continuationSeparator" w:id="0">
    <w:p w:rsidR="00F24DF5" w:rsidRDefault="00F24D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F5" w:rsidRDefault="00F24DF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30</w:t>
    </w:r>
    <w:r>
      <w:rPr>
        <w:rStyle w:val="PageNumber"/>
        <w:sz w:val="16"/>
      </w:rPr>
      <w:fldChar w:fldCharType="end"/>
    </w:r>
    <w:r>
      <w:rPr>
        <w:rStyle w:val="PageNumber"/>
        <w:sz w:val="16"/>
      </w:rPr>
      <w:t>)</w:t>
    </w:r>
  </w:p>
  <w:p w:rsidR="00F24DF5" w:rsidRDefault="00F24D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F5" w:rsidRDefault="00F24DF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30</w:t>
    </w:r>
    <w:r>
      <w:rPr>
        <w:rStyle w:val="PageNumber"/>
        <w:sz w:val="16"/>
      </w:rPr>
      <w:fldChar w:fldCharType="end"/>
    </w:r>
    <w:r>
      <w:rPr>
        <w:rStyle w:val="PageNumber"/>
        <w:sz w:val="16"/>
      </w:rPr>
      <w:t>)</w:t>
    </w:r>
  </w:p>
  <w:p w:rsidR="00F24DF5" w:rsidRDefault="00F24DF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F5" w:rsidRDefault="00F24D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DF5" w:rsidRDefault="00F24DF5">
      <w:r>
        <w:separator/>
      </w:r>
    </w:p>
  </w:footnote>
  <w:footnote w:type="continuationSeparator" w:id="0">
    <w:p w:rsidR="00F24DF5" w:rsidRDefault="00F24D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F5" w:rsidRDefault="00F24DF5">
    <w:pPr>
      <w:pStyle w:val="Header"/>
      <w:framePr w:wrap="around" w:vAnchor="text" w:hAnchor="margin" w:xAlign="right" w:y="1"/>
      <w:rPr>
        <w:rStyle w:val="PageNumber"/>
      </w:rPr>
    </w:pPr>
  </w:p>
  <w:p w:rsidR="00F24DF5" w:rsidRDefault="00F24DF5">
    <w:pPr>
      <w:pStyle w:val="Header"/>
      <w:ind w:right="360"/>
    </w:pPr>
  </w:p>
  <w:p w:rsidR="00F24DF5" w:rsidRDefault="00F24DF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F5" w:rsidRDefault="00F24DF5">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F24DF5" w:rsidRDefault="00F24DF5">
    <w:pPr>
      <w:pStyle w:val="Header"/>
    </w:pPr>
  </w:p>
  <w:p w:rsidR="00F24DF5" w:rsidRDefault="00F24DF5">
    <w:pPr>
      <w:pStyle w:val="Header"/>
      <w:ind w:right="360"/>
    </w:pPr>
  </w:p>
  <w:p w:rsidR="00F24DF5" w:rsidRDefault="00F24DF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F5" w:rsidRDefault="00F24DF5">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F24DF5" w:rsidRDefault="00F24D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7182AD2"/>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32A42"/>
    <w:rsid w:val="000D0A4C"/>
    <w:rsid w:val="00121C2B"/>
    <w:rsid w:val="00197DE3"/>
    <w:rsid w:val="00251428"/>
    <w:rsid w:val="00264FEA"/>
    <w:rsid w:val="002B29E9"/>
    <w:rsid w:val="002D49CA"/>
    <w:rsid w:val="002F7345"/>
    <w:rsid w:val="0033741B"/>
    <w:rsid w:val="003D645F"/>
    <w:rsid w:val="003F5F3B"/>
    <w:rsid w:val="00424B58"/>
    <w:rsid w:val="00491C2E"/>
    <w:rsid w:val="004D38C8"/>
    <w:rsid w:val="0053455E"/>
    <w:rsid w:val="0054643A"/>
    <w:rsid w:val="00553B69"/>
    <w:rsid w:val="005A23F9"/>
    <w:rsid w:val="005C212F"/>
    <w:rsid w:val="005E0E5D"/>
    <w:rsid w:val="005F1820"/>
    <w:rsid w:val="00632A42"/>
    <w:rsid w:val="007D1B93"/>
    <w:rsid w:val="00847B54"/>
    <w:rsid w:val="008A65A4"/>
    <w:rsid w:val="008D4ABB"/>
    <w:rsid w:val="00936272"/>
    <w:rsid w:val="009E2A3C"/>
    <w:rsid w:val="00A31D64"/>
    <w:rsid w:val="00A72123"/>
    <w:rsid w:val="00A9773B"/>
    <w:rsid w:val="00AF0928"/>
    <w:rsid w:val="00B77E5A"/>
    <w:rsid w:val="00B902BD"/>
    <w:rsid w:val="00BA6B91"/>
    <w:rsid w:val="00BC0A69"/>
    <w:rsid w:val="00BC4A28"/>
    <w:rsid w:val="00C14A2D"/>
    <w:rsid w:val="00C9206D"/>
    <w:rsid w:val="00E62628"/>
    <w:rsid w:val="00EB0744"/>
    <w:rsid w:val="00EB1827"/>
    <w:rsid w:val="00EC3C7C"/>
    <w:rsid w:val="00ED5DCC"/>
    <w:rsid w:val="00EF5943"/>
    <w:rsid w:val="00F056A7"/>
    <w:rsid w:val="00F24DF5"/>
    <w:rsid w:val="00F800D6"/>
    <w:rsid w:val="00FE577A"/>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77A"/>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FE577A"/>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FE577A"/>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FE577A"/>
    <w:pPr>
      <w:spacing w:after="120" w:line="240" w:lineRule="atLeast"/>
      <w:outlineLvl w:val="2"/>
    </w:pPr>
    <w:rPr>
      <w:b w:val="0"/>
    </w:rPr>
  </w:style>
  <w:style w:type="paragraph" w:styleId="Heading4">
    <w:name w:val="heading 4"/>
    <w:basedOn w:val="Heading3"/>
    <w:next w:val="RKnormal"/>
    <w:link w:val="Heading4Char"/>
    <w:uiPriority w:val="99"/>
    <w:qFormat/>
    <w:rsid w:val="00FE577A"/>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FE577A"/>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FE577A"/>
    <w:pPr>
      <w:tabs>
        <w:tab w:val="left" w:pos="1843"/>
        <w:tab w:val="left" w:pos="2835"/>
      </w:tabs>
      <w:spacing w:line="240" w:lineRule="atLeast"/>
      <w:ind w:left="1843"/>
    </w:pPr>
  </w:style>
  <w:style w:type="paragraph" w:customStyle="1" w:styleId="Avsndare">
    <w:name w:val="Avsändare"/>
    <w:basedOn w:val="Normal"/>
    <w:uiPriority w:val="99"/>
    <w:rsid w:val="00FE577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E577A"/>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FE577A"/>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FE577A"/>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E577A"/>
    <w:rPr>
      <w:rFonts w:cs="Times New Roman"/>
    </w:rPr>
  </w:style>
  <w:style w:type="paragraph" w:styleId="BodyText">
    <w:name w:val="Body Text"/>
    <w:basedOn w:val="Normal"/>
    <w:link w:val="BodyTextChar"/>
    <w:uiPriority w:val="99"/>
    <w:rsid w:val="00FE577A"/>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FE577A"/>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FE577A"/>
    <w:pPr>
      <w:spacing w:line="320" w:lineRule="exact"/>
    </w:pPr>
    <w:rPr>
      <w:rFonts w:ascii="Arial" w:hAnsi="Arial"/>
      <w:b/>
      <w:sz w:val="22"/>
    </w:rPr>
  </w:style>
  <w:style w:type="paragraph" w:styleId="TOC1">
    <w:name w:val="toc 1"/>
    <w:basedOn w:val="Normal"/>
    <w:next w:val="Normal"/>
    <w:autoRedefine/>
    <w:uiPriority w:val="99"/>
    <w:rsid w:val="00FE577A"/>
    <w:pPr>
      <w:spacing w:before="360"/>
    </w:pPr>
    <w:rPr>
      <w:rFonts w:ascii="Arial" w:hAnsi="Arial"/>
      <w:b/>
      <w:bCs/>
      <w:caps/>
      <w:szCs w:val="28"/>
    </w:rPr>
  </w:style>
  <w:style w:type="paragraph" w:styleId="TOC2">
    <w:name w:val="toc 2"/>
    <w:basedOn w:val="Normal"/>
    <w:next w:val="Normal"/>
    <w:autoRedefine/>
    <w:uiPriority w:val="99"/>
    <w:rsid w:val="00FE577A"/>
    <w:pPr>
      <w:spacing w:before="240"/>
    </w:pPr>
    <w:rPr>
      <w:rFonts w:ascii="Times New Roman" w:hAnsi="Times New Roman"/>
      <w:b/>
      <w:bCs/>
      <w:szCs w:val="24"/>
    </w:rPr>
  </w:style>
  <w:style w:type="paragraph" w:styleId="TOC3">
    <w:name w:val="toc 3"/>
    <w:basedOn w:val="Normal"/>
    <w:next w:val="Normal"/>
    <w:autoRedefine/>
    <w:uiPriority w:val="99"/>
    <w:semiHidden/>
    <w:rsid w:val="00FE577A"/>
    <w:pPr>
      <w:ind w:left="240"/>
    </w:pPr>
    <w:rPr>
      <w:rFonts w:ascii="Times New Roman" w:hAnsi="Times New Roman"/>
      <w:szCs w:val="24"/>
    </w:rPr>
  </w:style>
  <w:style w:type="paragraph" w:styleId="TOC4">
    <w:name w:val="toc 4"/>
    <w:basedOn w:val="Normal"/>
    <w:next w:val="Normal"/>
    <w:autoRedefine/>
    <w:uiPriority w:val="99"/>
    <w:semiHidden/>
    <w:rsid w:val="00FE577A"/>
    <w:pPr>
      <w:ind w:left="480"/>
    </w:pPr>
    <w:rPr>
      <w:rFonts w:ascii="Times New Roman" w:hAnsi="Times New Roman"/>
      <w:szCs w:val="24"/>
    </w:rPr>
  </w:style>
  <w:style w:type="paragraph" w:styleId="TOC5">
    <w:name w:val="toc 5"/>
    <w:basedOn w:val="Normal"/>
    <w:next w:val="Normal"/>
    <w:autoRedefine/>
    <w:uiPriority w:val="99"/>
    <w:semiHidden/>
    <w:rsid w:val="00FE577A"/>
    <w:pPr>
      <w:ind w:left="720"/>
    </w:pPr>
    <w:rPr>
      <w:rFonts w:ascii="Times New Roman" w:hAnsi="Times New Roman"/>
      <w:szCs w:val="24"/>
    </w:rPr>
  </w:style>
  <w:style w:type="paragraph" w:styleId="TOC6">
    <w:name w:val="toc 6"/>
    <w:basedOn w:val="Normal"/>
    <w:next w:val="Normal"/>
    <w:autoRedefine/>
    <w:uiPriority w:val="99"/>
    <w:semiHidden/>
    <w:rsid w:val="00FE577A"/>
    <w:pPr>
      <w:ind w:left="960"/>
    </w:pPr>
    <w:rPr>
      <w:rFonts w:ascii="Times New Roman" w:hAnsi="Times New Roman"/>
      <w:szCs w:val="24"/>
    </w:rPr>
  </w:style>
  <w:style w:type="paragraph" w:styleId="TOC7">
    <w:name w:val="toc 7"/>
    <w:basedOn w:val="Normal"/>
    <w:next w:val="Normal"/>
    <w:autoRedefine/>
    <w:uiPriority w:val="99"/>
    <w:semiHidden/>
    <w:rsid w:val="00FE577A"/>
    <w:pPr>
      <w:ind w:left="1200"/>
    </w:pPr>
    <w:rPr>
      <w:rFonts w:ascii="Times New Roman" w:hAnsi="Times New Roman"/>
      <w:szCs w:val="24"/>
    </w:rPr>
  </w:style>
  <w:style w:type="paragraph" w:styleId="TOC8">
    <w:name w:val="toc 8"/>
    <w:basedOn w:val="Normal"/>
    <w:next w:val="Normal"/>
    <w:autoRedefine/>
    <w:uiPriority w:val="99"/>
    <w:semiHidden/>
    <w:rsid w:val="00FE577A"/>
    <w:pPr>
      <w:ind w:left="1440"/>
    </w:pPr>
    <w:rPr>
      <w:rFonts w:ascii="Times New Roman" w:hAnsi="Times New Roman"/>
      <w:szCs w:val="24"/>
    </w:rPr>
  </w:style>
  <w:style w:type="paragraph" w:styleId="TOC9">
    <w:name w:val="toc 9"/>
    <w:basedOn w:val="Normal"/>
    <w:next w:val="Normal"/>
    <w:autoRedefine/>
    <w:uiPriority w:val="99"/>
    <w:semiHidden/>
    <w:rsid w:val="00FE577A"/>
    <w:pPr>
      <w:ind w:left="1680"/>
    </w:pPr>
    <w:rPr>
      <w:rFonts w:ascii="Times New Roman" w:hAnsi="Times New Roman"/>
      <w:szCs w:val="24"/>
    </w:rPr>
  </w:style>
  <w:style w:type="paragraph" w:customStyle="1" w:styleId="Text1">
    <w:name w:val="Text 1"/>
    <w:basedOn w:val="Normal"/>
    <w:uiPriority w:val="99"/>
    <w:rsid w:val="00FE577A"/>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FE577A"/>
    <w:rPr>
      <w:rFonts w:cs="Times New Roman"/>
      <w:vertAlign w:val="superscript"/>
    </w:rPr>
  </w:style>
  <w:style w:type="paragraph" w:styleId="Index1">
    <w:name w:val="index 1"/>
    <w:basedOn w:val="Normal"/>
    <w:next w:val="Normal"/>
    <w:autoRedefine/>
    <w:uiPriority w:val="99"/>
    <w:semiHidden/>
    <w:rsid w:val="00FE577A"/>
    <w:pPr>
      <w:ind w:left="240" w:hanging="240"/>
    </w:pPr>
    <w:rPr>
      <w:rFonts w:ascii="Times New Roman" w:hAnsi="Times New Roman"/>
      <w:szCs w:val="24"/>
    </w:rPr>
  </w:style>
  <w:style w:type="paragraph" w:styleId="Index2">
    <w:name w:val="index 2"/>
    <w:basedOn w:val="Normal"/>
    <w:next w:val="Normal"/>
    <w:autoRedefine/>
    <w:uiPriority w:val="99"/>
    <w:semiHidden/>
    <w:rsid w:val="00FE577A"/>
    <w:pPr>
      <w:ind w:left="480" w:hanging="240"/>
    </w:pPr>
    <w:rPr>
      <w:rFonts w:ascii="Times New Roman" w:hAnsi="Times New Roman"/>
      <w:szCs w:val="24"/>
    </w:rPr>
  </w:style>
  <w:style w:type="paragraph" w:styleId="Index3">
    <w:name w:val="index 3"/>
    <w:basedOn w:val="Normal"/>
    <w:next w:val="Normal"/>
    <w:autoRedefine/>
    <w:uiPriority w:val="99"/>
    <w:semiHidden/>
    <w:rsid w:val="00FE577A"/>
    <w:pPr>
      <w:ind w:left="720" w:hanging="240"/>
    </w:pPr>
    <w:rPr>
      <w:rFonts w:ascii="Times New Roman" w:hAnsi="Times New Roman"/>
      <w:szCs w:val="24"/>
    </w:rPr>
  </w:style>
  <w:style w:type="paragraph" w:styleId="Index4">
    <w:name w:val="index 4"/>
    <w:basedOn w:val="Normal"/>
    <w:next w:val="Normal"/>
    <w:autoRedefine/>
    <w:uiPriority w:val="99"/>
    <w:semiHidden/>
    <w:rsid w:val="00FE577A"/>
    <w:pPr>
      <w:ind w:left="960" w:hanging="240"/>
    </w:pPr>
    <w:rPr>
      <w:rFonts w:ascii="Times New Roman" w:hAnsi="Times New Roman"/>
      <w:szCs w:val="24"/>
    </w:rPr>
  </w:style>
  <w:style w:type="paragraph" w:styleId="Index5">
    <w:name w:val="index 5"/>
    <w:basedOn w:val="Normal"/>
    <w:next w:val="Normal"/>
    <w:autoRedefine/>
    <w:uiPriority w:val="99"/>
    <w:semiHidden/>
    <w:rsid w:val="00FE577A"/>
    <w:pPr>
      <w:ind w:left="1200" w:hanging="240"/>
    </w:pPr>
    <w:rPr>
      <w:rFonts w:ascii="Times New Roman" w:hAnsi="Times New Roman"/>
      <w:szCs w:val="24"/>
    </w:rPr>
  </w:style>
  <w:style w:type="paragraph" w:styleId="Index6">
    <w:name w:val="index 6"/>
    <w:basedOn w:val="Normal"/>
    <w:next w:val="Normal"/>
    <w:autoRedefine/>
    <w:uiPriority w:val="99"/>
    <w:semiHidden/>
    <w:rsid w:val="00FE577A"/>
    <w:pPr>
      <w:ind w:left="1440" w:hanging="240"/>
    </w:pPr>
    <w:rPr>
      <w:rFonts w:ascii="Times New Roman" w:hAnsi="Times New Roman"/>
      <w:szCs w:val="24"/>
    </w:rPr>
  </w:style>
  <w:style w:type="paragraph" w:styleId="Index7">
    <w:name w:val="index 7"/>
    <w:basedOn w:val="Normal"/>
    <w:next w:val="Normal"/>
    <w:autoRedefine/>
    <w:uiPriority w:val="99"/>
    <w:semiHidden/>
    <w:rsid w:val="00FE577A"/>
    <w:pPr>
      <w:ind w:left="1680" w:hanging="240"/>
    </w:pPr>
    <w:rPr>
      <w:rFonts w:ascii="Times New Roman" w:hAnsi="Times New Roman"/>
      <w:szCs w:val="24"/>
    </w:rPr>
  </w:style>
  <w:style w:type="paragraph" w:styleId="Index8">
    <w:name w:val="index 8"/>
    <w:basedOn w:val="Normal"/>
    <w:next w:val="Normal"/>
    <w:autoRedefine/>
    <w:uiPriority w:val="99"/>
    <w:semiHidden/>
    <w:rsid w:val="00FE577A"/>
    <w:pPr>
      <w:ind w:left="1920" w:hanging="240"/>
    </w:pPr>
    <w:rPr>
      <w:rFonts w:ascii="Times New Roman" w:hAnsi="Times New Roman"/>
      <w:szCs w:val="24"/>
    </w:rPr>
  </w:style>
  <w:style w:type="paragraph" w:styleId="Index9">
    <w:name w:val="index 9"/>
    <w:basedOn w:val="Normal"/>
    <w:next w:val="Normal"/>
    <w:autoRedefine/>
    <w:uiPriority w:val="99"/>
    <w:semiHidden/>
    <w:rsid w:val="00FE577A"/>
    <w:pPr>
      <w:ind w:left="2160" w:hanging="240"/>
    </w:pPr>
    <w:rPr>
      <w:rFonts w:ascii="Times New Roman" w:hAnsi="Times New Roman"/>
      <w:szCs w:val="24"/>
    </w:rPr>
  </w:style>
  <w:style w:type="paragraph" w:styleId="IndexHeading">
    <w:name w:val="index heading"/>
    <w:basedOn w:val="Normal"/>
    <w:next w:val="Index1"/>
    <w:uiPriority w:val="99"/>
    <w:semiHidden/>
    <w:rsid w:val="00FE577A"/>
    <w:pPr>
      <w:spacing w:before="120" w:after="120"/>
    </w:pPr>
    <w:rPr>
      <w:rFonts w:ascii="Times New Roman" w:hAnsi="Times New Roman"/>
      <w:b/>
      <w:bCs/>
      <w:i/>
      <w:iCs/>
      <w:szCs w:val="24"/>
    </w:rPr>
  </w:style>
  <w:style w:type="paragraph" w:customStyle="1" w:styleId="EntEmet">
    <w:name w:val="EntEmet"/>
    <w:basedOn w:val="Normal"/>
    <w:uiPriority w:val="99"/>
    <w:rsid w:val="00FE577A"/>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FE577A"/>
    <w:pPr>
      <w:spacing w:line="240" w:lineRule="auto"/>
    </w:pPr>
    <w:rPr>
      <w:rFonts w:ascii="Arial" w:hAnsi="Arial"/>
      <w:lang w:val="en-GB"/>
    </w:rPr>
  </w:style>
  <w:style w:type="paragraph" w:customStyle="1" w:styleId="Avsndare0">
    <w:name w:val="Avsndare"/>
    <w:basedOn w:val="Normal"/>
    <w:next w:val="Normal"/>
    <w:uiPriority w:val="99"/>
    <w:rsid w:val="00FE577A"/>
    <w:pPr>
      <w:spacing w:line="240" w:lineRule="auto"/>
    </w:pPr>
    <w:rPr>
      <w:rFonts w:ascii="Arial" w:hAnsi="Arial"/>
      <w:i/>
      <w:lang w:val="en-GB"/>
    </w:rPr>
  </w:style>
  <w:style w:type="character" w:styleId="Hyperlink">
    <w:name w:val="Hyperlink"/>
    <w:basedOn w:val="DefaultParagraphFont"/>
    <w:uiPriority w:val="99"/>
    <w:rsid w:val="00FE577A"/>
    <w:rPr>
      <w:rFonts w:cs="Times New Roman"/>
      <w:color w:val="0000FF"/>
      <w:u w:val="single"/>
    </w:rPr>
  </w:style>
  <w:style w:type="paragraph" w:styleId="DocumentMap">
    <w:name w:val="Document Map"/>
    <w:basedOn w:val="Normal"/>
    <w:link w:val="DocumentMapChar"/>
    <w:uiPriority w:val="99"/>
    <w:semiHidden/>
    <w:rsid w:val="00FE577A"/>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FE577A"/>
    <w:rPr>
      <w:rFonts w:cs="Times New Roman"/>
      <w:color w:val="800080"/>
      <w:u w:val="single"/>
    </w:rPr>
  </w:style>
  <w:style w:type="paragraph" w:customStyle="1" w:styleId="Par-number1">
    <w:name w:val="Par-number 1)"/>
    <w:basedOn w:val="Normal"/>
    <w:next w:val="Normal"/>
    <w:uiPriority w:val="99"/>
    <w:rsid w:val="00FE577A"/>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FE577A"/>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FE577A"/>
    <w:pPr>
      <w:widowControl w:val="0"/>
      <w:numPr>
        <w:numId w:val="3"/>
      </w:numPr>
      <w:tabs>
        <w:tab w:val="clear" w:pos="360"/>
        <w:tab w:val="num" w:pos="567"/>
      </w:tabs>
      <w:spacing w:line="360" w:lineRule="auto"/>
      <w:ind w:left="567" w:hanging="567"/>
    </w:pPr>
    <w:rPr>
      <w:rFonts w:ascii="Times New Roman" w:hAnsi="Times New Roman"/>
      <w:lang w:eastAsia="fr-BE"/>
    </w:rPr>
  </w:style>
  <w:style w:type="paragraph" w:customStyle="1" w:styleId="Par-number11">
    <w:name w:val="Par-number 1."/>
    <w:basedOn w:val="Normal"/>
    <w:next w:val="Normal"/>
    <w:uiPriority w:val="99"/>
    <w:rsid w:val="00FE577A"/>
    <w:pPr>
      <w:widowControl w:val="0"/>
      <w:numPr>
        <w:numId w:val="4"/>
      </w:numPr>
      <w:tabs>
        <w:tab w:val="clear" w:pos="360"/>
        <w:tab w:val="num" w:pos="567"/>
      </w:tabs>
      <w:spacing w:line="360" w:lineRule="auto"/>
      <w:ind w:left="567" w:hanging="567"/>
    </w:pPr>
    <w:rPr>
      <w:rFonts w:ascii="Times New Roman" w:hAnsi="Times New Roman"/>
      <w:lang w:eastAsia="fr-BE"/>
    </w:rPr>
  </w:style>
  <w:style w:type="paragraph" w:customStyle="1" w:styleId="Par-numberI">
    <w:name w:val="Par-number I."/>
    <w:basedOn w:val="Normal"/>
    <w:next w:val="Normal"/>
    <w:uiPriority w:val="99"/>
    <w:rsid w:val="00FE577A"/>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FE577A"/>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FE577A"/>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FE577A"/>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FE577A"/>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FE577A"/>
    <w:pPr>
      <w:numPr>
        <w:numId w:val="11"/>
      </w:numPr>
      <w:tabs>
        <w:tab w:val="clear" w:pos="567"/>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FE577A"/>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FE577A"/>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FE577A"/>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FE577A"/>
    <w:pPr>
      <w:spacing w:line="240" w:lineRule="auto"/>
    </w:pPr>
    <w:rPr>
      <w:rFonts w:ascii="Times New Roman" w:hAnsi="Times New Roman"/>
      <w:lang w:val="en-GB" w:eastAsia="fr-BE"/>
    </w:rPr>
  </w:style>
  <w:style w:type="paragraph" w:customStyle="1" w:styleId="Tiret1">
    <w:name w:val="Tiret 1"/>
    <w:basedOn w:val="Normal"/>
    <w:uiPriority w:val="99"/>
    <w:rsid w:val="00FE577A"/>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FE577A"/>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FE577A"/>
    <w:pPr>
      <w:overflowPunct w:val="0"/>
      <w:autoSpaceDE w:val="0"/>
      <w:autoSpaceDN w:val="0"/>
      <w:adjustRightInd w:val="0"/>
      <w:ind w:left="1843"/>
      <w:textAlignment w:val="baseline"/>
    </w:pPr>
  </w:style>
  <w:style w:type="paragraph" w:customStyle="1" w:styleId="Brdtext0">
    <w:name w:val="Brˆdtext"/>
    <w:basedOn w:val="Normal"/>
    <w:uiPriority w:val="99"/>
    <w:rsid w:val="00FE577A"/>
    <w:pPr>
      <w:spacing w:line="320" w:lineRule="exact"/>
    </w:pPr>
    <w:rPr>
      <w:rFonts w:ascii="Times New Roman" w:hAnsi="Times New Roman"/>
    </w:rPr>
  </w:style>
  <w:style w:type="character" w:customStyle="1" w:styleId="term">
    <w:name w:val="term"/>
    <w:basedOn w:val="DefaultParagraphFont"/>
    <w:uiPriority w:val="99"/>
    <w:rsid w:val="00FE577A"/>
    <w:rPr>
      <w:rFonts w:cs="Times New Roman"/>
    </w:rPr>
  </w:style>
  <w:style w:type="paragraph" w:customStyle="1" w:styleId="Brdtexthuvud">
    <w:name w:val="Brödtext huvud"/>
    <w:basedOn w:val="Normal"/>
    <w:uiPriority w:val="99"/>
    <w:rsid w:val="00FE577A"/>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B77E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77E5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6975</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2011-11-29T13:00:00Z</cp:lastPrinted>
  <dcterms:created xsi:type="dcterms:W3CDTF">2011-12-01T12:23:00Z</dcterms:created>
  <dcterms:modified xsi:type="dcterms:W3CDTF">2011-12-01T12:23:00Z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CheckInComment">
    <vt:lpwstr/>
  </property>
  <property fmtid="{D5CDD505-2E9C-101B-9397-08002B2CF9AE}" pid="11" name="RKOrdnaSearchKeywords">
    <vt:lpwstr/>
  </property>
  <property fmtid="{D5CDD505-2E9C-101B-9397-08002B2CF9AE}" pid="12" name="RKOrdnaDepartement">
    <vt:lpwstr/>
  </property>
  <property fmtid="{D5CDD505-2E9C-101B-9397-08002B2CF9AE}" pid="13" name="RKOrdnaClass">
    <vt:lpwstr/>
  </property>
  <property fmtid="{D5CDD505-2E9C-101B-9397-08002B2CF9AE}" pid="14" name="RKOrdnaActivityCategory">
    <vt:lpwstr/>
  </property>
  <property fmtid="{D5CDD505-2E9C-101B-9397-08002B2CF9AE}" pid="15" name="RKOrdnaDiarienummer">
    <vt:lpwstr/>
  </property>
</Properties>
</file>