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5E80CAD4B0DE4CFD85D5C13B284997B8"/>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725E87" w:rsidP="000E7DFF">
                <w:pPr>
                  <w:pStyle w:val="Titelrubrik"/>
                </w:pPr>
                <w:fldSimple w:instr=" DOCPROPERTY  Typrubrik  \* MERGEFORMAT ">
                  <w:r w:rsidR="00F569C0">
                    <w:t>Redogörelse till riksdagen</w:t>
                  </w:r>
                </w:fldSimple>
              </w:p>
              <w:p w:rsidR="006F2BA6" w:rsidRPr="00BA4BC3" w:rsidRDefault="00725E87" w:rsidP="0039664C">
                <w:pPr>
                  <w:pStyle w:val="Titelrubrik"/>
                </w:pPr>
                <w:fldSimple w:instr=" DOCPROPERTY  Dokbeteckning  \* MERGEFORMAT ">
                  <w:r w:rsidR="00F569C0">
                    <w:t>2016/17:RS1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77C4FD9D" wp14:editId="5B427A0D">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725E87" w:rsidP="00FD63A9">
                <w:pPr>
                  <w:pStyle w:val="Titelrubrik2"/>
                </w:pPr>
                <w:fldSimple w:instr=" DOCPROPERTY  Dokrubrik  \* MERGEFORMAT ">
                  <w:r w:rsidR="00F569C0">
                    <w:t>Riksdagsförvaltningens årsredovisning för verksamhetsåret 2016</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9E7918"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B45DF6" w:rsidRDefault="00B45DF6" w:rsidP="00B45DF6">
      <w:r>
        <w:t xml:space="preserve">Riksdagsstyrelsen har vid sitt sammanträde den </w:t>
      </w:r>
      <w:r w:rsidR="00881562">
        <w:t>15</w:t>
      </w:r>
      <w:r>
        <w:t xml:space="preserve"> februari 201</w:t>
      </w:r>
      <w:r w:rsidR="00881562">
        <w:t>7</w:t>
      </w:r>
      <w:r>
        <w:t xml:space="preserve"> fastställt Riksdagsförvaltningens årsredovisning för verksamhetsåret 201</w:t>
      </w:r>
      <w:r w:rsidR="00881562">
        <w:t>6</w:t>
      </w:r>
      <w:r>
        <w:t xml:space="preserve">. </w:t>
      </w:r>
    </w:p>
    <w:p w:rsidR="00B45DF6" w:rsidRDefault="00B45DF6" w:rsidP="00B45DF6">
      <w:pPr>
        <w:pStyle w:val="Normaltindrag"/>
        <w:ind w:firstLine="0"/>
      </w:pPr>
    </w:p>
    <w:p w:rsidR="00B45DF6" w:rsidRPr="00A40ED9" w:rsidRDefault="00FD63A9" w:rsidP="00FD63A9">
      <w:pPr>
        <w:pStyle w:val="Normaltindrag"/>
        <w:tabs>
          <w:tab w:val="left" w:pos="3480"/>
        </w:tabs>
        <w:ind w:firstLine="0"/>
      </w:pPr>
      <w:r>
        <w:tab/>
      </w:r>
    </w:p>
    <w:tbl>
      <w:tblPr>
        <w:tblStyle w:val="Tabellrutnt"/>
        <w:tblW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84"/>
        <w:gridCol w:w="1980"/>
      </w:tblGrid>
      <w:tr w:rsidR="00B45DF6" w:rsidRPr="00F67AAB" w:rsidTr="00D035BF">
        <w:tc>
          <w:tcPr>
            <w:tcW w:w="2127" w:type="dxa"/>
          </w:tcPr>
          <w:p w:rsidR="00B45DF6" w:rsidRPr="00062016" w:rsidRDefault="00B45DF6" w:rsidP="00D035BF">
            <w:pPr>
              <w:jc w:val="left"/>
            </w:pPr>
            <w:r w:rsidRPr="00062016">
              <w:rPr>
                <w:i/>
              </w:rPr>
              <w:t>Urban Ahlin (S)</w:t>
            </w:r>
            <w:r w:rsidRPr="00062016">
              <w:t xml:space="preserve"> </w:t>
            </w:r>
            <w:r w:rsidRPr="00062016">
              <w:br/>
              <w:t>talman (ordförande)</w:t>
            </w:r>
          </w:p>
          <w:p w:rsidR="00B45DF6" w:rsidRPr="00062016" w:rsidRDefault="00B45DF6" w:rsidP="00D035BF">
            <w:pPr>
              <w:pStyle w:val="Normaltindrag"/>
              <w:jc w:val="left"/>
            </w:pPr>
          </w:p>
          <w:p w:rsidR="00B45DF6" w:rsidRPr="00062016" w:rsidRDefault="00B45DF6" w:rsidP="00D035BF">
            <w:pPr>
              <w:pStyle w:val="Normaltindrag"/>
              <w:jc w:val="left"/>
            </w:pPr>
          </w:p>
        </w:tc>
        <w:tc>
          <w:tcPr>
            <w:tcW w:w="1984" w:type="dxa"/>
          </w:tcPr>
          <w:p w:rsidR="00F67AAB" w:rsidRPr="00F67AAB" w:rsidRDefault="00F67AAB" w:rsidP="00F67AAB">
            <w:pPr>
              <w:jc w:val="left"/>
              <w:rPr>
                <w:i/>
                <w:lang w:val="en-GB"/>
              </w:rPr>
            </w:pPr>
            <w:r w:rsidRPr="00F67AAB">
              <w:rPr>
                <w:i/>
                <w:lang w:val="en-GB"/>
              </w:rPr>
              <w:t>Håkan Bergman (S)</w:t>
            </w:r>
          </w:p>
          <w:p w:rsidR="00B45DF6" w:rsidRPr="00F67AAB" w:rsidRDefault="00B45DF6" w:rsidP="00D035BF">
            <w:pPr>
              <w:jc w:val="left"/>
              <w:rPr>
                <w:i/>
                <w:lang w:val="en-GB"/>
              </w:rPr>
            </w:pPr>
          </w:p>
        </w:tc>
        <w:tc>
          <w:tcPr>
            <w:tcW w:w="1980" w:type="dxa"/>
          </w:tcPr>
          <w:p w:rsidR="00B45DF6" w:rsidRPr="00F67AAB" w:rsidRDefault="00F67AAB" w:rsidP="00F67AAB">
            <w:pPr>
              <w:jc w:val="left"/>
              <w:rPr>
                <w:i/>
                <w:lang w:val="en-GB"/>
              </w:rPr>
            </w:pPr>
            <w:r w:rsidRPr="00F67AAB">
              <w:rPr>
                <w:i/>
                <w:lang w:val="en-GB"/>
              </w:rPr>
              <w:t>Tomas Eneroth (S)</w:t>
            </w:r>
          </w:p>
        </w:tc>
      </w:tr>
      <w:tr w:rsidR="00B45DF6" w:rsidTr="00D035BF">
        <w:tc>
          <w:tcPr>
            <w:tcW w:w="2127" w:type="dxa"/>
          </w:tcPr>
          <w:p w:rsidR="00B45DF6" w:rsidRPr="00062016" w:rsidRDefault="00062016" w:rsidP="00D035BF">
            <w:pPr>
              <w:pStyle w:val="Normaltindrag"/>
              <w:spacing w:before="62"/>
              <w:ind w:firstLine="0"/>
              <w:jc w:val="left"/>
              <w:rPr>
                <w:i/>
              </w:rPr>
            </w:pPr>
            <w:r w:rsidRPr="00062016">
              <w:rPr>
                <w:i/>
              </w:rPr>
              <w:t>Berit Högman</w:t>
            </w:r>
            <w:r w:rsidR="00B45DF6" w:rsidRPr="00062016">
              <w:rPr>
                <w:i/>
              </w:rPr>
              <w:t xml:space="preserve"> (S)</w:t>
            </w:r>
          </w:p>
          <w:p w:rsidR="00B45DF6" w:rsidRPr="00062016" w:rsidRDefault="00B45DF6" w:rsidP="00D035BF">
            <w:pPr>
              <w:pStyle w:val="Normaltindrag"/>
              <w:jc w:val="left"/>
              <w:rPr>
                <w:i/>
              </w:rPr>
            </w:pPr>
          </w:p>
        </w:tc>
        <w:tc>
          <w:tcPr>
            <w:tcW w:w="1984" w:type="dxa"/>
          </w:tcPr>
          <w:p w:rsidR="00B45DF6" w:rsidRPr="00062016" w:rsidRDefault="00B45DF6" w:rsidP="00D035BF">
            <w:pPr>
              <w:jc w:val="left"/>
              <w:rPr>
                <w:i/>
              </w:rPr>
            </w:pPr>
            <w:r w:rsidRPr="00062016">
              <w:rPr>
                <w:i/>
              </w:rPr>
              <w:t>Eva Sonidsson (S)</w:t>
            </w:r>
          </w:p>
        </w:tc>
        <w:tc>
          <w:tcPr>
            <w:tcW w:w="1980" w:type="dxa"/>
          </w:tcPr>
          <w:p w:rsidR="00B45DF6" w:rsidRPr="00062016" w:rsidRDefault="00B45DF6" w:rsidP="00D035BF">
            <w:pPr>
              <w:jc w:val="left"/>
              <w:rPr>
                <w:i/>
              </w:rPr>
            </w:pPr>
            <w:r w:rsidRPr="00062016">
              <w:rPr>
                <w:i/>
              </w:rPr>
              <w:t>Jessica Polfjärd (M)</w:t>
            </w:r>
          </w:p>
          <w:p w:rsidR="00B45DF6" w:rsidRPr="00062016" w:rsidRDefault="00B45DF6" w:rsidP="00D035BF">
            <w:pPr>
              <w:pStyle w:val="Normaltindrag"/>
            </w:pPr>
          </w:p>
          <w:p w:rsidR="00B45DF6" w:rsidRPr="00062016" w:rsidRDefault="00B45DF6" w:rsidP="00D035BF">
            <w:pPr>
              <w:pStyle w:val="Normaltindrag"/>
            </w:pPr>
          </w:p>
        </w:tc>
      </w:tr>
      <w:tr w:rsidR="00B45DF6" w:rsidTr="00D035BF">
        <w:tc>
          <w:tcPr>
            <w:tcW w:w="2127" w:type="dxa"/>
          </w:tcPr>
          <w:p w:rsidR="00B45DF6" w:rsidRPr="00062016" w:rsidRDefault="00B45DF6" w:rsidP="00D035BF">
            <w:pPr>
              <w:pStyle w:val="Normaltindrag"/>
              <w:spacing w:before="62"/>
              <w:ind w:firstLine="0"/>
              <w:jc w:val="left"/>
              <w:rPr>
                <w:i/>
              </w:rPr>
            </w:pPr>
            <w:r w:rsidRPr="00062016">
              <w:rPr>
                <w:i/>
              </w:rPr>
              <w:t>Ewa Thalén Finné (M)</w:t>
            </w:r>
          </w:p>
          <w:p w:rsidR="00B45DF6" w:rsidRPr="00062016" w:rsidRDefault="00B45DF6" w:rsidP="00D035BF">
            <w:pPr>
              <w:pStyle w:val="Normaltindrag"/>
              <w:jc w:val="left"/>
              <w:rPr>
                <w:i/>
              </w:rPr>
            </w:pPr>
          </w:p>
        </w:tc>
        <w:tc>
          <w:tcPr>
            <w:tcW w:w="1984" w:type="dxa"/>
          </w:tcPr>
          <w:p w:rsidR="00B45DF6" w:rsidRPr="00062016" w:rsidRDefault="00B45DF6" w:rsidP="00D035BF">
            <w:pPr>
              <w:jc w:val="left"/>
              <w:rPr>
                <w:i/>
              </w:rPr>
            </w:pPr>
            <w:r w:rsidRPr="00062016">
              <w:rPr>
                <w:i/>
              </w:rPr>
              <w:t>Hans Wallmark (M)</w:t>
            </w:r>
          </w:p>
        </w:tc>
        <w:tc>
          <w:tcPr>
            <w:tcW w:w="1980" w:type="dxa"/>
          </w:tcPr>
          <w:p w:rsidR="00B45DF6" w:rsidRPr="00062016" w:rsidRDefault="00B45DF6" w:rsidP="00D035BF">
            <w:pPr>
              <w:jc w:val="left"/>
              <w:rPr>
                <w:i/>
              </w:rPr>
            </w:pPr>
            <w:r w:rsidRPr="00062016">
              <w:rPr>
                <w:i/>
              </w:rPr>
              <w:t>Mattias Karlsson (SD)</w:t>
            </w:r>
          </w:p>
          <w:p w:rsidR="00B45DF6" w:rsidRPr="00062016" w:rsidRDefault="00B45DF6" w:rsidP="00D035BF">
            <w:pPr>
              <w:jc w:val="left"/>
              <w:rPr>
                <w:i/>
              </w:rPr>
            </w:pPr>
          </w:p>
          <w:p w:rsidR="00B45DF6" w:rsidRPr="00062016" w:rsidRDefault="00B45DF6" w:rsidP="00D035BF">
            <w:pPr>
              <w:pStyle w:val="Normaltindrag"/>
            </w:pPr>
          </w:p>
        </w:tc>
      </w:tr>
      <w:tr w:rsidR="00B45DF6" w:rsidTr="00D035BF">
        <w:trPr>
          <w:trHeight w:val="610"/>
        </w:trPr>
        <w:tc>
          <w:tcPr>
            <w:tcW w:w="2127" w:type="dxa"/>
          </w:tcPr>
          <w:p w:rsidR="00B45DF6" w:rsidRPr="00062016" w:rsidRDefault="00062016" w:rsidP="00D035BF">
            <w:pPr>
              <w:jc w:val="left"/>
              <w:rPr>
                <w:i/>
              </w:rPr>
            </w:pPr>
            <w:r w:rsidRPr="00062016">
              <w:rPr>
                <w:i/>
              </w:rPr>
              <w:t>Jonas Eriksson</w:t>
            </w:r>
            <w:r w:rsidR="00B45DF6" w:rsidRPr="00062016">
              <w:rPr>
                <w:i/>
              </w:rPr>
              <w:t xml:space="preserve"> (MP)</w:t>
            </w:r>
          </w:p>
        </w:tc>
        <w:tc>
          <w:tcPr>
            <w:tcW w:w="1984" w:type="dxa"/>
          </w:tcPr>
          <w:p w:rsidR="00B45DF6" w:rsidRPr="00062016" w:rsidRDefault="00B45DF6" w:rsidP="00D035BF">
            <w:pPr>
              <w:jc w:val="left"/>
              <w:rPr>
                <w:i/>
              </w:rPr>
            </w:pPr>
            <w:r w:rsidRPr="00062016">
              <w:rPr>
                <w:i/>
              </w:rPr>
              <w:t>Anders W Jonsson (C)</w:t>
            </w:r>
          </w:p>
        </w:tc>
        <w:tc>
          <w:tcPr>
            <w:tcW w:w="1980" w:type="dxa"/>
          </w:tcPr>
          <w:p w:rsidR="00B45DF6" w:rsidRPr="00062016" w:rsidRDefault="00B45DF6" w:rsidP="00D035BF">
            <w:pPr>
              <w:jc w:val="left"/>
              <w:rPr>
                <w:i/>
              </w:rPr>
            </w:pPr>
          </w:p>
        </w:tc>
      </w:tr>
      <w:tr w:rsidR="00B45DF6" w:rsidTr="00D035BF">
        <w:tc>
          <w:tcPr>
            <w:tcW w:w="4111" w:type="dxa"/>
            <w:gridSpan w:val="2"/>
          </w:tcPr>
          <w:p w:rsidR="00B45DF6" w:rsidRDefault="00B45DF6" w:rsidP="00D035BF">
            <w:pPr>
              <w:jc w:val="left"/>
            </w:pPr>
            <w:r>
              <w:t>Föredragande i riksdagsstyrelsen</w:t>
            </w:r>
          </w:p>
          <w:p w:rsidR="00B45DF6" w:rsidRDefault="00B45DF6" w:rsidP="00D035BF">
            <w:pPr>
              <w:jc w:val="left"/>
            </w:pPr>
          </w:p>
        </w:tc>
        <w:tc>
          <w:tcPr>
            <w:tcW w:w="1980" w:type="dxa"/>
          </w:tcPr>
          <w:p w:rsidR="00B45DF6" w:rsidRDefault="00B45DF6" w:rsidP="00D035BF">
            <w:pPr>
              <w:jc w:val="left"/>
            </w:pPr>
          </w:p>
        </w:tc>
      </w:tr>
      <w:tr w:rsidR="00B45DF6" w:rsidTr="00D035BF">
        <w:tc>
          <w:tcPr>
            <w:tcW w:w="2127" w:type="dxa"/>
          </w:tcPr>
          <w:p w:rsidR="00B45DF6" w:rsidRDefault="00B45DF6" w:rsidP="00D035BF">
            <w:pPr>
              <w:jc w:val="left"/>
            </w:pPr>
          </w:p>
        </w:tc>
        <w:tc>
          <w:tcPr>
            <w:tcW w:w="1984" w:type="dxa"/>
          </w:tcPr>
          <w:p w:rsidR="00B45DF6" w:rsidRDefault="00B45DF6" w:rsidP="00D035BF">
            <w:pPr>
              <w:jc w:val="left"/>
            </w:pPr>
          </w:p>
        </w:tc>
        <w:tc>
          <w:tcPr>
            <w:tcW w:w="1980" w:type="dxa"/>
          </w:tcPr>
          <w:p w:rsidR="00B45DF6" w:rsidRDefault="00B45DF6" w:rsidP="00D035BF">
            <w:pPr>
              <w:jc w:val="left"/>
            </w:pPr>
          </w:p>
        </w:tc>
      </w:tr>
      <w:tr w:rsidR="00B45DF6" w:rsidTr="00D035BF">
        <w:tc>
          <w:tcPr>
            <w:tcW w:w="2127" w:type="dxa"/>
          </w:tcPr>
          <w:p w:rsidR="00B45DF6" w:rsidRDefault="00B45DF6" w:rsidP="00D035BF">
            <w:pPr>
              <w:jc w:val="left"/>
            </w:pPr>
            <w:r w:rsidRPr="00721AEF">
              <w:rPr>
                <w:i/>
              </w:rPr>
              <w:t>Kathrin Flossing</w:t>
            </w:r>
            <w:r>
              <w:t xml:space="preserve"> </w:t>
            </w:r>
            <w:r>
              <w:br/>
              <w:t>(riksdagsdirektör)</w:t>
            </w:r>
          </w:p>
        </w:tc>
        <w:tc>
          <w:tcPr>
            <w:tcW w:w="1984" w:type="dxa"/>
          </w:tcPr>
          <w:p w:rsidR="00B45DF6" w:rsidRDefault="00B45DF6" w:rsidP="00D035BF">
            <w:pPr>
              <w:jc w:val="left"/>
            </w:pPr>
          </w:p>
        </w:tc>
        <w:tc>
          <w:tcPr>
            <w:tcW w:w="1980" w:type="dxa"/>
          </w:tcPr>
          <w:p w:rsidR="00B45DF6" w:rsidRDefault="00B45DF6" w:rsidP="00D035BF">
            <w:pPr>
              <w:jc w:val="left"/>
            </w:pPr>
          </w:p>
        </w:tc>
      </w:tr>
    </w:tbl>
    <w:p w:rsidR="00417ACB" w:rsidRDefault="00417ACB" w:rsidP="00417ACB"/>
    <w:p w:rsidR="00B45DF6" w:rsidRDefault="00B45DF6">
      <w:pPr>
        <w:spacing w:before="0" w:after="200" w:line="276" w:lineRule="auto"/>
        <w:jc w:val="left"/>
      </w:pPr>
      <w:r>
        <w:br w:type="page"/>
      </w:r>
    </w:p>
    <w:tbl>
      <w:tblPr>
        <w:tblStyle w:val="Tabellrutnt"/>
        <w:tblW w:w="0" w:type="auto"/>
        <w:tblLook w:val="04A0" w:firstRow="1" w:lastRow="0" w:firstColumn="1" w:lastColumn="0" w:noHBand="0" w:noVBand="1"/>
      </w:tblPr>
      <w:tblGrid>
        <w:gridCol w:w="5887"/>
      </w:tblGrid>
      <w:tr w:rsidR="00B45DF6" w:rsidRPr="00B45DF6" w:rsidTr="00D035BF">
        <w:tc>
          <w:tcPr>
            <w:tcW w:w="5888" w:type="dxa"/>
          </w:tcPr>
          <w:p w:rsidR="00B45DF6" w:rsidRPr="00181F73" w:rsidRDefault="00B45DF6" w:rsidP="00097D91">
            <w:pPr>
              <w:pStyle w:val="R4"/>
            </w:pPr>
            <w:r w:rsidRPr="00181F73">
              <w:lastRenderedPageBreak/>
              <w:t>All offentlig makt i Sverige utgår från folket</w:t>
            </w:r>
          </w:p>
          <w:p w:rsidR="00B45DF6" w:rsidRPr="00181F73" w:rsidRDefault="00B45DF6" w:rsidP="00B45DF6">
            <w:r w:rsidRPr="00181F73">
              <w:t>Den svenska folkstyrelsen bygger på fri åsiktsbildning och på allmän och lika rösträtt och förverkligas genom ett representativt och parlamentariskt statsskick.</w:t>
            </w:r>
          </w:p>
          <w:p w:rsidR="00B45DF6" w:rsidRPr="00181F73" w:rsidRDefault="00B45DF6" w:rsidP="00097D91">
            <w:pPr>
              <w:pStyle w:val="R4"/>
            </w:pPr>
            <w:r w:rsidRPr="00181F73">
              <w:t>Riksdagen är folkets främsta företrädare</w:t>
            </w:r>
          </w:p>
          <w:p w:rsidR="00B45DF6" w:rsidRPr="00181F73" w:rsidRDefault="00B45DF6" w:rsidP="00B45DF6">
            <w:r w:rsidRPr="00181F73">
              <w:t>Riksdagens uppgift är att stifta lagar, besluta om skatt till staten och bestämma hur statens medel ska användas. Riksdagen ska också granska rikets styrelse och förvaltning.</w:t>
            </w:r>
          </w:p>
          <w:p w:rsidR="00B45DF6" w:rsidRPr="00181F73" w:rsidRDefault="00B45DF6" w:rsidP="00B45DF6">
            <w:pPr>
              <w:spacing w:before="0"/>
              <w:ind w:firstLine="227"/>
            </w:pPr>
            <w:r w:rsidRPr="00181F73">
              <w:t>Riksdagen utses genom fria, hemliga och direkta val. Ordinarie val till riksdagen hålls vart fjärde år. Rösträtt vid val till riksdagen har varje svensk medborgare som har fyllt 18 år och som är eller någon gång har varit bosatt i riket.</w:t>
            </w:r>
          </w:p>
          <w:p w:rsidR="00B45DF6" w:rsidRPr="00181F73" w:rsidRDefault="00B45DF6" w:rsidP="00B45DF6">
            <w:pPr>
              <w:spacing w:before="0"/>
              <w:ind w:firstLine="227"/>
            </w:pPr>
            <w:r w:rsidRPr="00181F73">
              <w:t>Riksdagen består av en kammare med 349 ledamöter. Riksdagen väljer inom sig för varje valperiod en talman och tre vice talmän som leder riksdagens arbete. Riksdagen väljer även 15 fackutskott som bereder ärenden inför beslut i kammaren samt en EU-nämnd för samråd med regeringen i vissa EU-frågor.</w:t>
            </w:r>
          </w:p>
          <w:p w:rsidR="00B45DF6" w:rsidRPr="00181F73" w:rsidRDefault="00B45DF6" w:rsidP="00097D91">
            <w:pPr>
              <w:pStyle w:val="R4"/>
            </w:pPr>
            <w:r w:rsidRPr="00181F73">
              <w:t>Riksdagsförvaltningen är riksdagens förvaltningsmyndighet</w:t>
            </w:r>
          </w:p>
          <w:p w:rsidR="00B45DF6" w:rsidRPr="00181F73" w:rsidRDefault="00B45DF6" w:rsidP="00B45DF6">
            <w:r w:rsidRPr="00181F73">
              <w:t>Huvuduppgiften för Riksdagsförvaltningen är att biträda vid behandlingen av riksdagens ärenden och tillhandahålla de resurser och den service som behövs för kammarens, utskottens och övriga riksdagsorgans verksamhet.</w:t>
            </w:r>
          </w:p>
          <w:p w:rsidR="00B45DF6" w:rsidRPr="00181F73" w:rsidRDefault="00B45DF6" w:rsidP="00B45DF6">
            <w:pPr>
              <w:spacing w:before="0"/>
              <w:ind w:firstLine="227"/>
            </w:pPr>
            <w:r w:rsidRPr="00181F73">
              <w:t>Riksdagsförvaltningen ska skapa bästa möjliga förutsättningar för riksdagens och ledamöternas arbete genom att</w:t>
            </w:r>
          </w:p>
          <w:p w:rsidR="00B45DF6" w:rsidRPr="007F218A" w:rsidRDefault="00B45DF6" w:rsidP="00097D91">
            <w:pPr>
              <w:pStyle w:val="Punktlistabomb"/>
            </w:pPr>
            <w:r w:rsidRPr="007F218A">
              <w:t>svara för väl fungerande stöd till arbetet i kammare och utskott m.m.</w:t>
            </w:r>
          </w:p>
          <w:p w:rsidR="00B45DF6" w:rsidRPr="007F218A" w:rsidRDefault="00B45DF6" w:rsidP="00097D91">
            <w:pPr>
              <w:pStyle w:val="Punktlistabomb"/>
            </w:pPr>
            <w:r w:rsidRPr="007F218A">
              <w:t>svara för väl fungerande stöd och service till ledamöter och partikanslier</w:t>
            </w:r>
          </w:p>
          <w:p w:rsidR="00B45DF6" w:rsidRPr="007F218A" w:rsidRDefault="00B45DF6" w:rsidP="00097D91">
            <w:pPr>
              <w:pStyle w:val="Punktlistabomb"/>
            </w:pPr>
            <w:r w:rsidRPr="007F218A">
              <w:t>främja kunskapen om riksdagen och riksdagens arbete</w:t>
            </w:r>
          </w:p>
          <w:p w:rsidR="00B45DF6" w:rsidRPr="007F218A" w:rsidRDefault="00B45DF6" w:rsidP="00097D91">
            <w:pPr>
              <w:pStyle w:val="Punktlistabomb"/>
            </w:pPr>
            <w:r w:rsidRPr="007F218A">
              <w:t>vårda och bevara riksdagens byggnader och samlingar</w:t>
            </w:r>
          </w:p>
          <w:p w:rsidR="00B45DF6" w:rsidRPr="007F218A" w:rsidRDefault="00B45DF6" w:rsidP="00097D91">
            <w:pPr>
              <w:pStyle w:val="Punktlistabomb"/>
            </w:pPr>
            <w:r w:rsidRPr="007F218A">
              <w:t>vara en väl fungerande myndighet och arbetsgivare.</w:t>
            </w:r>
          </w:p>
          <w:p w:rsidR="00B45DF6" w:rsidRPr="00B45DF6" w:rsidRDefault="00B45DF6" w:rsidP="00B45DF6">
            <w:pPr>
              <w:spacing w:before="0"/>
            </w:pPr>
          </w:p>
        </w:tc>
      </w:tr>
    </w:tbl>
    <w:p w:rsidR="00417ACB" w:rsidRDefault="00417ACB" w:rsidP="00417ACB"/>
    <w:p w:rsidR="000F149C" w:rsidRDefault="000F149C" w:rsidP="000F149C"/>
    <w:p w:rsidR="009B0A28" w:rsidRPr="003F12A0"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rsidR="005D44E2" w:rsidRPr="00A37486" w:rsidRDefault="00545856" w:rsidP="00A37486">
          <w:pPr>
            <w:pStyle w:val="Rubrik1TOC"/>
          </w:pPr>
          <w:r w:rsidRPr="00A37486">
            <w:rPr>
              <w:rStyle w:val="Kapitelrubrik"/>
            </w:rPr>
            <w:t>Innehållsförteckning</w:t>
          </w:r>
        </w:p>
        <w:p w:rsidR="00512E1E"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74168588" w:history="1">
            <w:r w:rsidR="00512E1E" w:rsidRPr="0087788E">
              <w:rPr>
                <w:rStyle w:val="Hyperlnk"/>
                <w:noProof/>
              </w:rPr>
              <w:t>Året som gått</w:t>
            </w:r>
            <w:r w:rsidR="00512E1E">
              <w:rPr>
                <w:noProof/>
                <w:webHidden/>
              </w:rPr>
              <w:tab/>
            </w:r>
            <w:r w:rsidR="00512E1E">
              <w:rPr>
                <w:noProof/>
                <w:webHidden/>
              </w:rPr>
              <w:fldChar w:fldCharType="begin"/>
            </w:r>
            <w:r w:rsidR="00512E1E">
              <w:rPr>
                <w:noProof/>
                <w:webHidden/>
              </w:rPr>
              <w:instrText xml:space="preserve"> PAGEREF _Toc474168588 \h </w:instrText>
            </w:r>
            <w:r w:rsidR="00512E1E">
              <w:rPr>
                <w:noProof/>
                <w:webHidden/>
              </w:rPr>
            </w:r>
            <w:r w:rsidR="00512E1E">
              <w:rPr>
                <w:noProof/>
                <w:webHidden/>
              </w:rPr>
              <w:fldChar w:fldCharType="separate"/>
            </w:r>
            <w:r w:rsidR="00EB39E7">
              <w:rPr>
                <w:noProof/>
                <w:webHidden/>
              </w:rPr>
              <w:t>5</w:t>
            </w:r>
            <w:r w:rsidR="00512E1E">
              <w:rPr>
                <w:noProof/>
                <w:webHidden/>
              </w:rPr>
              <w:fldChar w:fldCharType="end"/>
            </w:r>
          </w:hyperlink>
        </w:p>
        <w:p w:rsidR="00512E1E" w:rsidRDefault="009E7918">
          <w:pPr>
            <w:pStyle w:val="Innehll1"/>
            <w:rPr>
              <w:rFonts w:asciiTheme="minorHAnsi" w:eastAsiaTheme="minorEastAsia" w:hAnsiTheme="minorHAnsi" w:cstheme="minorBidi"/>
              <w:noProof/>
              <w:sz w:val="22"/>
              <w:szCs w:val="22"/>
              <w:lang w:eastAsia="sv-SE"/>
            </w:rPr>
          </w:pPr>
          <w:hyperlink w:anchor="_Toc474168589" w:history="1">
            <w:r w:rsidR="00512E1E" w:rsidRPr="0087788E">
              <w:rPr>
                <w:rStyle w:val="Hyperlnk"/>
                <w:noProof/>
              </w:rPr>
              <w:t>Resultatredovisning</w:t>
            </w:r>
            <w:r w:rsidR="00512E1E">
              <w:rPr>
                <w:noProof/>
                <w:webHidden/>
              </w:rPr>
              <w:tab/>
            </w:r>
            <w:r w:rsidR="00512E1E">
              <w:rPr>
                <w:noProof/>
                <w:webHidden/>
              </w:rPr>
              <w:fldChar w:fldCharType="begin"/>
            </w:r>
            <w:r w:rsidR="00512E1E">
              <w:rPr>
                <w:noProof/>
                <w:webHidden/>
              </w:rPr>
              <w:instrText xml:space="preserve"> PAGEREF _Toc474168589 \h </w:instrText>
            </w:r>
            <w:r w:rsidR="00512E1E">
              <w:rPr>
                <w:noProof/>
                <w:webHidden/>
              </w:rPr>
            </w:r>
            <w:r w:rsidR="00512E1E">
              <w:rPr>
                <w:noProof/>
                <w:webHidden/>
              </w:rPr>
              <w:fldChar w:fldCharType="separate"/>
            </w:r>
            <w:r w:rsidR="00EB39E7">
              <w:rPr>
                <w:noProof/>
                <w:webHidden/>
              </w:rPr>
              <w:t>6</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590" w:history="1">
            <w:r w:rsidR="00512E1E" w:rsidRPr="0087788E">
              <w:rPr>
                <w:rStyle w:val="Hyperlnk"/>
                <w:noProof/>
              </w:rPr>
              <w:t>1 Utgångspunkter</w:t>
            </w:r>
            <w:r w:rsidR="00512E1E">
              <w:rPr>
                <w:noProof/>
                <w:webHidden/>
              </w:rPr>
              <w:tab/>
            </w:r>
            <w:r w:rsidR="00512E1E">
              <w:rPr>
                <w:noProof/>
                <w:webHidden/>
              </w:rPr>
              <w:fldChar w:fldCharType="begin"/>
            </w:r>
            <w:r w:rsidR="00512E1E">
              <w:rPr>
                <w:noProof/>
                <w:webHidden/>
              </w:rPr>
              <w:instrText xml:space="preserve"> PAGEREF _Toc474168590 \h </w:instrText>
            </w:r>
            <w:r w:rsidR="00512E1E">
              <w:rPr>
                <w:noProof/>
                <w:webHidden/>
              </w:rPr>
            </w:r>
            <w:r w:rsidR="00512E1E">
              <w:rPr>
                <w:noProof/>
                <w:webHidden/>
              </w:rPr>
              <w:fldChar w:fldCharType="separate"/>
            </w:r>
            <w:r w:rsidR="00EB39E7">
              <w:rPr>
                <w:noProof/>
                <w:webHidden/>
              </w:rPr>
              <w:t>6</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1" w:history="1">
            <w:r w:rsidR="00512E1E" w:rsidRPr="0087788E">
              <w:rPr>
                <w:rStyle w:val="Hyperlnk"/>
                <w:noProof/>
              </w:rPr>
              <w:t>1.1 Riksdagsförvaltningens uppdrag</w:t>
            </w:r>
            <w:r w:rsidR="00512E1E">
              <w:rPr>
                <w:noProof/>
                <w:webHidden/>
              </w:rPr>
              <w:tab/>
            </w:r>
            <w:r w:rsidR="00512E1E">
              <w:rPr>
                <w:noProof/>
                <w:webHidden/>
              </w:rPr>
              <w:fldChar w:fldCharType="begin"/>
            </w:r>
            <w:r w:rsidR="00512E1E">
              <w:rPr>
                <w:noProof/>
                <w:webHidden/>
              </w:rPr>
              <w:instrText xml:space="preserve"> PAGEREF _Toc474168591 \h </w:instrText>
            </w:r>
            <w:r w:rsidR="00512E1E">
              <w:rPr>
                <w:noProof/>
                <w:webHidden/>
              </w:rPr>
            </w:r>
            <w:r w:rsidR="00512E1E">
              <w:rPr>
                <w:noProof/>
                <w:webHidden/>
              </w:rPr>
              <w:fldChar w:fldCharType="separate"/>
            </w:r>
            <w:r w:rsidR="00EB39E7">
              <w:rPr>
                <w:noProof/>
                <w:webHidden/>
              </w:rPr>
              <w:t>6</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2" w:history="1">
            <w:r w:rsidR="00512E1E" w:rsidRPr="0087788E">
              <w:rPr>
                <w:rStyle w:val="Hyperlnk"/>
                <w:noProof/>
              </w:rPr>
              <w:t>1.2 Ledning</w:t>
            </w:r>
            <w:r w:rsidR="00512E1E">
              <w:rPr>
                <w:noProof/>
                <w:webHidden/>
              </w:rPr>
              <w:tab/>
            </w:r>
            <w:r w:rsidR="00512E1E">
              <w:rPr>
                <w:noProof/>
                <w:webHidden/>
              </w:rPr>
              <w:fldChar w:fldCharType="begin"/>
            </w:r>
            <w:r w:rsidR="00512E1E">
              <w:rPr>
                <w:noProof/>
                <w:webHidden/>
              </w:rPr>
              <w:instrText xml:space="preserve"> PAGEREF _Toc474168592 \h </w:instrText>
            </w:r>
            <w:r w:rsidR="00512E1E">
              <w:rPr>
                <w:noProof/>
                <w:webHidden/>
              </w:rPr>
            </w:r>
            <w:r w:rsidR="00512E1E">
              <w:rPr>
                <w:noProof/>
                <w:webHidden/>
              </w:rPr>
              <w:fldChar w:fldCharType="separate"/>
            </w:r>
            <w:r w:rsidR="00EB39E7">
              <w:rPr>
                <w:noProof/>
                <w:webHidden/>
              </w:rPr>
              <w:t>6</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3" w:history="1">
            <w:r w:rsidR="00512E1E" w:rsidRPr="0087788E">
              <w:rPr>
                <w:rStyle w:val="Hyperlnk"/>
                <w:noProof/>
              </w:rPr>
              <w:t>1.3 Styrning och uppföljning</w:t>
            </w:r>
            <w:r w:rsidR="00512E1E">
              <w:rPr>
                <w:noProof/>
                <w:webHidden/>
              </w:rPr>
              <w:tab/>
            </w:r>
            <w:r w:rsidR="00512E1E">
              <w:rPr>
                <w:noProof/>
                <w:webHidden/>
              </w:rPr>
              <w:fldChar w:fldCharType="begin"/>
            </w:r>
            <w:r w:rsidR="00512E1E">
              <w:rPr>
                <w:noProof/>
                <w:webHidden/>
              </w:rPr>
              <w:instrText xml:space="preserve"> PAGEREF _Toc474168593 \h </w:instrText>
            </w:r>
            <w:r w:rsidR="00512E1E">
              <w:rPr>
                <w:noProof/>
                <w:webHidden/>
              </w:rPr>
            </w:r>
            <w:r w:rsidR="00512E1E">
              <w:rPr>
                <w:noProof/>
                <w:webHidden/>
              </w:rPr>
              <w:fldChar w:fldCharType="separate"/>
            </w:r>
            <w:r w:rsidR="00EB39E7">
              <w:rPr>
                <w:noProof/>
                <w:webHidden/>
              </w:rPr>
              <w:t>7</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4" w:history="1">
            <w:r w:rsidR="00512E1E" w:rsidRPr="0087788E">
              <w:rPr>
                <w:rStyle w:val="Hyperlnk"/>
                <w:noProof/>
              </w:rPr>
              <w:t>1.4 Personal och organisation</w:t>
            </w:r>
            <w:r w:rsidR="00512E1E">
              <w:rPr>
                <w:noProof/>
                <w:webHidden/>
              </w:rPr>
              <w:tab/>
            </w:r>
            <w:r w:rsidR="00512E1E">
              <w:rPr>
                <w:noProof/>
                <w:webHidden/>
              </w:rPr>
              <w:fldChar w:fldCharType="begin"/>
            </w:r>
            <w:r w:rsidR="00512E1E">
              <w:rPr>
                <w:noProof/>
                <w:webHidden/>
              </w:rPr>
              <w:instrText xml:space="preserve"> PAGEREF _Toc474168594 \h </w:instrText>
            </w:r>
            <w:r w:rsidR="00512E1E">
              <w:rPr>
                <w:noProof/>
                <w:webHidden/>
              </w:rPr>
            </w:r>
            <w:r w:rsidR="00512E1E">
              <w:rPr>
                <w:noProof/>
                <w:webHidden/>
              </w:rPr>
              <w:fldChar w:fldCharType="separate"/>
            </w:r>
            <w:r w:rsidR="00EB39E7">
              <w:rPr>
                <w:noProof/>
                <w:webHidden/>
              </w:rPr>
              <w:t>9</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595" w:history="1">
            <w:r w:rsidR="00512E1E" w:rsidRPr="0087788E">
              <w:rPr>
                <w:rStyle w:val="Hyperlnk"/>
                <w:noProof/>
              </w:rPr>
              <w:t>2 Sammanfattning – resultat och utveckling 2016</w:t>
            </w:r>
            <w:r w:rsidR="00512E1E">
              <w:rPr>
                <w:noProof/>
                <w:webHidden/>
              </w:rPr>
              <w:tab/>
            </w:r>
            <w:r w:rsidR="00512E1E">
              <w:rPr>
                <w:noProof/>
                <w:webHidden/>
              </w:rPr>
              <w:fldChar w:fldCharType="begin"/>
            </w:r>
            <w:r w:rsidR="00512E1E">
              <w:rPr>
                <w:noProof/>
                <w:webHidden/>
              </w:rPr>
              <w:instrText xml:space="preserve"> PAGEREF _Toc474168595 \h </w:instrText>
            </w:r>
            <w:r w:rsidR="00512E1E">
              <w:rPr>
                <w:noProof/>
                <w:webHidden/>
              </w:rPr>
            </w:r>
            <w:r w:rsidR="00512E1E">
              <w:rPr>
                <w:noProof/>
                <w:webHidden/>
              </w:rPr>
              <w:fldChar w:fldCharType="separate"/>
            </w:r>
            <w:r w:rsidR="00EB39E7">
              <w:rPr>
                <w:noProof/>
                <w:webHidden/>
              </w:rPr>
              <w:t>11</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596" w:history="1">
            <w:r w:rsidR="00512E1E" w:rsidRPr="0087788E">
              <w:rPr>
                <w:rStyle w:val="Hyperlnk"/>
                <w:noProof/>
              </w:rPr>
              <w:t>3 Uppdrag och resultat per uppdragsområde 2016</w:t>
            </w:r>
            <w:r w:rsidR="00512E1E">
              <w:rPr>
                <w:noProof/>
                <w:webHidden/>
              </w:rPr>
              <w:tab/>
            </w:r>
            <w:r w:rsidR="00512E1E">
              <w:rPr>
                <w:noProof/>
                <w:webHidden/>
              </w:rPr>
              <w:fldChar w:fldCharType="begin"/>
            </w:r>
            <w:r w:rsidR="00512E1E">
              <w:rPr>
                <w:noProof/>
                <w:webHidden/>
              </w:rPr>
              <w:instrText xml:space="preserve"> PAGEREF _Toc474168596 \h </w:instrText>
            </w:r>
            <w:r w:rsidR="00512E1E">
              <w:rPr>
                <w:noProof/>
                <w:webHidden/>
              </w:rPr>
            </w:r>
            <w:r w:rsidR="00512E1E">
              <w:rPr>
                <w:noProof/>
                <w:webHidden/>
              </w:rPr>
              <w:fldChar w:fldCharType="separate"/>
            </w:r>
            <w:r w:rsidR="00EB39E7">
              <w:rPr>
                <w:noProof/>
                <w:webHidden/>
              </w:rPr>
              <w:t>14</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7" w:history="1">
            <w:r w:rsidR="00512E1E" w:rsidRPr="0087788E">
              <w:rPr>
                <w:rStyle w:val="Hyperlnk"/>
                <w:noProof/>
              </w:rPr>
              <w:t>3.1 Kammare och utskott – uppdragsområde A</w:t>
            </w:r>
            <w:r w:rsidR="00512E1E">
              <w:rPr>
                <w:noProof/>
                <w:webHidden/>
              </w:rPr>
              <w:tab/>
            </w:r>
            <w:r w:rsidR="00512E1E">
              <w:rPr>
                <w:noProof/>
                <w:webHidden/>
              </w:rPr>
              <w:fldChar w:fldCharType="begin"/>
            </w:r>
            <w:r w:rsidR="00512E1E">
              <w:rPr>
                <w:noProof/>
                <w:webHidden/>
              </w:rPr>
              <w:instrText xml:space="preserve"> PAGEREF _Toc474168597 \h </w:instrText>
            </w:r>
            <w:r w:rsidR="00512E1E">
              <w:rPr>
                <w:noProof/>
                <w:webHidden/>
              </w:rPr>
            </w:r>
            <w:r w:rsidR="00512E1E">
              <w:rPr>
                <w:noProof/>
                <w:webHidden/>
              </w:rPr>
              <w:fldChar w:fldCharType="separate"/>
            </w:r>
            <w:r w:rsidR="00EB39E7">
              <w:rPr>
                <w:noProof/>
                <w:webHidden/>
              </w:rPr>
              <w:t>14</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8" w:history="1">
            <w:r w:rsidR="00512E1E" w:rsidRPr="0087788E">
              <w:rPr>
                <w:rStyle w:val="Hyperlnk"/>
                <w:noProof/>
              </w:rPr>
              <w:t>3.2 Ledamöter och partikanslier – uppdragsområde B</w:t>
            </w:r>
            <w:r w:rsidR="00512E1E">
              <w:rPr>
                <w:noProof/>
                <w:webHidden/>
              </w:rPr>
              <w:tab/>
            </w:r>
            <w:r w:rsidR="00512E1E">
              <w:rPr>
                <w:noProof/>
                <w:webHidden/>
              </w:rPr>
              <w:fldChar w:fldCharType="begin"/>
            </w:r>
            <w:r w:rsidR="00512E1E">
              <w:rPr>
                <w:noProof/>
                <w:webHidden/>
              </w:rPr>
              <w:instrText xml:space="preserve"> PAGEREF _Toc474168598 \h </w:instrText>
            </w:r>
            <w:r w:rsidR="00512E1E">
              <w:rPr>
                <w:noProof/>
                <w:webHidden/>
              </w:rPr>
            </w:r>
            <w:r w:rsidR="00512E1E">
              <w:rPr>
                <w:noProof/>
                <w:webHidden/>
              </w:rPr>
              <w:fldChar w:fldCharType="separate"/>
            </w:r>
            <w:r w:rsidR="00EB39E7">
              <w:rPr>
                <w:noProof/>
                <w:webHidden/>
              </w:rPr>
              <w:t>25</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599" w:history="1">
            <w:r w:rsidR="00512E1E" w:rsidRPr="0087788E">
              <w:rPr>
                <w:rStyle w:val="Hyperlnk"/>
                <w:noProof/>
              </w:rPr>
              <w:t>3.3 Kunskap om riksdagen – uppdragsområde C</w:t>
            </w:r>
            <w:r w:rsidR="00512E1E">
              <w:rPr>
                <w:noProof/>
                <w:webHidden/>
              </w:rPr>
              <w:tab/>
            </w:r>
            <w:r w:rsidR="00512E1E">
              <w:rPr>
                <w:noProof/>
                <w:webHidden/>
              </w:rPr>
              <w:fldChar w:fldCharType="begin"/>
            </w:r>
            <w:r w:rsidR="00512E1E">
              <w:rPr>
                <w:noProof/>
                <w:webHidden/>
              </w:rPr>
              <w:instrText xml:space="preserve"> PAGEREF _Toc474168599 \h </w:instrText>
            </w:r>
            <w:r w:rsidR="00512E1E">
              <w:rPr>
                <w:noProof/>
                <w:webHidden/>
              </w:rPr>
            </w:r>
            <w:r w:rsidR="00512E1E">
              <w:rPr>
                <w:noProof/>
                <w:webHidden/>
              </w:rPr>
              <w:fldChar w:fldCharType="separate"/>
            </w:r>
            <w:r w:rsidR="00EB39E7">
              <w:rPr>
                <w:noProof/>
                <w:webHidden/>
              </w:rPr>
              <w:t>34</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600" w:history="1">
            <w:r w:rsidR="00512E1E" w:rsidRPr="0087788E">
              <w:rPr>
                <w:rStyle w:val="Hyperlnk"/>
                <w:noProof/>
              </w:rPr>
              <w:t>3.4 Riksdagens byggnader och samlingar – uppdragsområde D</w:t>
            </w:r>
            <w:r w:rsidR="00512E1E">
              <w:rPr>
                <w:noProof/>
                <w:webHidden/>
              </w:rPr>
              <w:tab/>
            </w:r>
            <w:r w:rsidR="00512E1E">
              <w:rPr>
                <w:noProof/>
                <w:webHidden/>
              </w:rPr>
              <w:fldChar w:fldCharType="begin"/>
            </w:r>
            <w:r w:rsidR="00512E1E">
              <w:rPr>
                <w:noProof/>
                <w:webHidden/>
              </w:rPr>
              <w:instrText xml:space="preserve"> PAGEREF _Toc474168600 \h </w:instrText>
            </w:r>
            <w:r w:rsidR="00512E1E">
              <w:rPr>
                <w:noProof/>
                <w:webHidden/>
              </w:rPr>
            </w:r>
            <w:r w:rsidR="00512E1E">
              <w:rPr>
                <w:noProof/>
                <w:webHidden/>
              </w:rPr>
              <w:fldChar w:fldCharType="separate"/>
            </w:r>
            <w:r w:rsidR="00EB39E7">
              <w:rPr>
                <w:noProof/>
                <w:webHidden/>
              </w:rPr>
              <w:t>43</w:t>
            </w:r>
            <w:r w:rsidR="00512E1E">
              <w:rPr>
                <w:noProof/>
                <w:webHidden/>
              </w:rPr>
              <w:fldChar w:fldCharType="end"/>
            </w:r>
          </w:hyperlink>
        </w:p>
        <w:p w:rsidR="00512E1E" w:rsidRDefault="009E7918">
          <w:pPr>
            <w:pStyle w:val="Innehll3"/>
            <w:rPr>
              <w:rFonts w:asciiTheme="minorHAnsi" w:eastAsiaTheme="minorEastAsia" w:hAnsiTheme="minorHAnsi" w:cstheme="minorBidi"/>
              <w:noProof/>
              <w:sz w:val="22"/>
              <w:szCs w:val="22"/>
              <w:lang w:eastAsia="sv-SE"/>
            </w:rPr>
          </w:pPr>
          <w:hyperlink w:anchor="_Toc474168601" w:history="1">
            <w:r w:rsidR="00512E1E" w:rsidRPr="0087788E">
              <w:rPr>
                <w:rStyle w:val="Hyperlnk"/>
                <w:noProof/>
              </w:rPr>
              <w:t>3.5 Myndighet och arbetsgivare – uppdragsområde E</w:t>
            </w:r>
            <w:r w:rsidR="00512E1E">
              <w:rPr>
                <w:noProof/>
                <w:webHidden/>
              </w:rPr>
              <w:tab/>
            </w:r>
            <w:r w:rsidR="00512E1E">
              <w:rPr>
                <w:noProof/>
                <w:webHidden/>
              </w:rPr>
              <w:fldChar w:fldCharType="begin"/>
            </w:r>
            <w:r w:rsidR="00512E1E">
              <w:rPr>
                <w:noProof/>
                <w:webHidden/>
              </w:rPr>
              <w:instrText xml:space="preserve"> PAGEREF _Toc474168601 \h </w:instrText>
            </w:r>
            <w:r w:rsidR="00512E1E">
              <w:rPr>
                <w:noProof/>
                <w:webHidden/>
              </w:rPr>
            </w:r>
            <w:r w:rsidR="00512E1E">
              <w:rPr>
                <w:noProof/>
                <w:webHidden/>
              </w:rPr>
              <w:fldChar w:fldCharType="separate"/>
            </w:r>
            <w:r w:rsidR="00EB39E7">
              <w:rPr>
                <w:noProof/>
                <w:webHidden/>
              </w:rPr>
              <w:t>45</w:t>
            </w:r>
            <w:r w:rsidR="00512E1E">
              <w:rPr>
                <w:noProof/>
                <w:webHidden/>
              </w:rPr>
              <w:fldChar w:fldCharType="end"/>
            </w:r>
          </w:hyperlink>
        </w:p>
        <w:p w:rsidR="00512E1E" w:rsidRDefault="009E7918">
          <w:pPr>
            <w:pStyle w:val="Innehll1"/>
            <w:rPr>
              <w:rFonts w:asciiTheme="minorHAnsi" w:eastAsiaTheme="minorEastAsia" w:hAnsiTheme="minorHAnsi" w:cstheme="minorBidi"/>
              <w:noProof/>
              <w:sz w:val="22"/>
              <w:szCs w:val="22"/>
              <w:lang w:eastAsia="sv-SE"/>
            </w:rPr>
          </w:pPr>
          <w:hyperlink w:anchor="_Toc474168602" w:history="1">
            <w:r w:rsidR="00512E1E" w:rsidRPr="0087788E">
              <w:rPr>
                <w:rStyle w:val="Hyperlnk"/>
                <w:rFonts w:eastAsiaTheme="majorEastAsia"/>
                <w:bCs/>
                <w:noProof/>
              </w:rPr>
              <w:t>Finansiell redovisning</w:t>
            </w:r>
            <w:r w:rsidR="00512E1E">
              <w:rPr>
                <w:noProof/>
                <w:webHidden/>
              </w:rPr>
              <w:tab/>
            </w:r>
            <w:r w:rsidR="00512E1E">
              <w:rPr>
                <w:noProof/>
                <w:webHidden/>
              </w:rPr>
              <w:fldChar w:fldCharType="begin"/>
            </w:r>
            <w:r w:rsidR="00512E1E">
              <w:rPr>
                <w:noProof/>
                <w:webHidden/>
              </w:rPr>
              <w:instrText xml:space="preserve"> PAGEREF _Toc474168602 \h </w:instrText>
            </w:r>
            <w:r w:rsidR="00512E1E">
              <w:rPr>
                <w:noProof/>
                <w:webHidden/>
              </w:rPr>
            </w:r>
            <w:r w:rsidR="00512E1E">
              <w:rPr>
                <w:noProof/>
                <w:webHidden/>
              </w:rPr>
              <w:fldChar w:fldCharType="separate"/>
            </w:r>
            <w:r w:rsidR="00EB39E7">
              <w:rPr>
                <w:noProof/>
                <w:webHidden/>
              </w:rPr>
              <w:t>59</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603" w:history="1">
            <w:r w:rsidR="00512E1E" w:rsidRPr="0087788E">
              <w:rPr>
                <w:rStyle w:val="Hyperlnk"/>
                <w:rFonts w:eastAsia="Times New Roman"/>
                <w:bCs/>
                <w:noProof/>
                <w:lang w:eastAsia="sv-SE"/>
              </w:rPr>
              <w:t>4.1 Resultaträkning</w:t>
            </w:r>
            <w:r w:rsidR="00512E1E">
              <w:rPr>
                <w:noProof/>
                <w:webHidden/>
              </w:rPr>
              <w:tab/>
            </w:r>
            <w:r w:rsidR="00512E1E">
              <w:rPr>
                <w:noProof/>
                <w:webHidden/>
              </w:rPr>
              <w:fldChar w:fldCharType="begin"/>
            </w:r>
            <w:r w:rsidR="00512E1E">
              <w:rPr>
                <w:noProof/>
                <w:webHidden/>
              </w:rPr>
              <w:instrText xml:space="preserve"> PAGEREF _Toc474168603 \h </w:instrText>
            </w:r>
            <w:r w:rsidR="00512E1E">
              <w:rPr>
                <w:noProof/>
                <w:webHidden/>
              </w:rPr>
            </w:r>
            <w:r w:rsidR="00512E1E">
              <w:rPr>
                <w:noProof/>
                <w:webHidden/>
              </w:rPr>
              <w:fldChar w:fldCharType="separate"/>
            </w:r>
            <w:r w:rsidR="00EB39E7">
              <w:rPr>
                <w:noProof/>
                <w:webHidden/>
              </w:rPr>
              <w:t>59</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604" w:history="1">
            <w:r w:rsidR="00512E1E" w:rsidRPr="0087788E">
              <w:rPr>
                <w:rStyle w:val="Hyperlnk"/>
                <w:rFonts w:eastAsia="Times New Roman"/>
                <w:bCs/>
                <w:noProof/>
                <w:lang w:eastAsia="sv-SE"/>
              </w:rPr>
              <w:t>4.2 Balansräkning</w:t>
            </w:r>
            <w:r w:rsidR="00512E1E">
              <w:rPr>
                <w:noProof/>
                <w:webHidden/>
              </w:rPr>
              <w:tab/>
            </w:r>
            <w:r w:rsidR="00512E1E">
              <w:rPr>
                <w:noProof/>
                <w:webHidden/>
              </w:rPr>
              <w:fldChar w:fldCharType="begin"/>
            </w:r>
            <w:r w:rsidR="00512E1E">
              <w:rPr>
                <w:noProof/>
                <w:webHidden/>
              </w:rPr>
              <w:instrText xml:space="preserve"> PAGEREF _Toc474168604 \h </w:instrText>
            </w:r>
            <w:r w:rsidR="00512E1E">
              <w:rPr>
                <w:noProof/>
                <w:webHidden/>
              </w:rPr>
            </w:r>
            <w:r w:rsidR="00512E1E">
              <w:rPr>
                <w:noProof/>
                <w:webHidden/>
              </w:rPr>
              <w:fldChar w:fldCharType="separate"/>
            </w:r>
            <w:r w:rsidR="00EB39E7">
              <w:rPr>
                <w:noProof/>
                <w:webHidden/>
              </w:rPr>
              <w:t>60</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605" w:history="1">
            <w:r w:rsidR="00512E1E" w:rsidRPr="0087788E">
              <w:rPr>
                <w:rStyle w:val="Hyperlnk"/>
                <w:rFonts w:eastAsia="Times New Roman"/>
                <w:bCs/>
                <w:noProof/>
                <w:lang w:eastAsia="sv-SE"/>
              </w:rPr>
              <w:t>4.3 Anslagsredovisning</w:t>
            </w:r>
            <w:r w:rsidR="00512E1E">
              <w:rPr>
                <w:noProof/>
                <w:webHidden/>
              </w:rPr>
              <w:tab/>
            </w:r>
            <w:r w:rsidR="00512E1E">
              <w:rPr>
                <w:noProof/>
                <w:webHidden/>
              </w:rPr>
              <w:fldChar w:fldCharType="begin"/>
            </w:r>
            <w:r w:rsidR="00512E1E">
              <w:rPr>
                <w:noProof/>
                <w:webHidden/>
              </w:rPr>
              <w:instrText xml:space="preserve"> PAGEREF _Toc474168605 \h </w:instrText>
            </w:r>
            <w:r w:rsidR="00512E1E">
              <w:rPr>
                <w:noProof/>
                <w:webHidden/>
              </w:rPr>
            </w:r>
            <w:r w:rsidR="00512E1E">
              <w:rPr>
                <w:noProof/>
                <w:webHidden/>
              </w:rPr>
              <w:fldChar w:fldCharType="separate"/>
            </w:r>
            <w:r w:rsidR="00EB39E7">
              <w:rPr>
                <w:noProof/>
                <w:webHidden/>
              </w:rPr>
              <w:t>62</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606" w:history="1">
            <w:r w:rsidR="00512E1E" w:rsidRPr="0087788E">
              <w:rPr>
                <w:rStyle w:val="Hyperlnk"/>
                <w:rFonts w:eastAsiaTheme="majorEastAsia"/>
                <w:bCs/>
                <w:noProof/>
              </w:rPr>
              <w:t>4.4 Tilläggsupplysningar och noter</w:t>
            </w:r>
            <w:r w:rsidR="00512E1E">
              <w:rPr>
                <w:noProof/>
                <w:webHidden/>
              </w:rPr>
              <w:tab/>
            </w:r>
            <w:r w:rsidR="00512E1E">
              <w:rPr>
                <w:noProof/>
                <w:webHidden/>
              </w:rPr>
              <w:fldChar w:fldCharType="begin"/>
            </w:r>
            <w:r w:rsidR="00512E1E">
              <w:rPr>
                <w:noProof/>
                <w:webHidden/>
              </w:rPr>
              <w:instrText xml:space="preserve"> PAGEREF _Toc474168606 \h </w:instrText>
            </w:r>
            <w:r w:rsidR="00512E1E">
              <w:rPr>
                <w:noProof/>
                <w:webHidden/>
              </w:rPr>
            </w:r>
            <w:r w:rsidR="00512E1E">
              <w:rPr>
                <w:noProof/>
                <w:webHidden/>
              </w:rPr>
              <w:fldChar w:fldCharType="separate"/>
            </w:r>
            <w:r w:rsidR="00EB39E7">
              <w:rPr>
                <w:noProof/>
                <w:webHidden/>
              </w:rPr>
              <w:t>64</w:t>
            </w:r>
            <w:r w:rsidR="00512E1E">
              <w:rPr>
                <w:noProof/>
                <w:webHidden/>
              </w:rPr>
              <w:fldChar w:fldCharType="end"/>
            </w:r>
          </w:hyperlink>
        </w:p>
        <w:p w:rsidR="00512E1E" w:rsidRDefault="009E7918">
          <w:pPr>
            <w:pStyle w:val="Innehll2"/>
            <w:rPr>
              <w:rFonts w:asciiTheme="minorHAnsi" w:eastAsiaTheme="minorEastAsia" w:hAnsiTheme="minorHAnsi" w:cstheme="minorBidi"/>
              <w:noProof/>
              <w:sz w:val="22"/>
              <w:szCs w:val="22"/>
              <w:lang w:eastAsia="sv-SE"/>
            </w:rPr>
          </w:pPr>
          <w:hyperlink w:anchor="_Toc474168607" w:history="1">
            <w:r w:rsidR="00512E1E" w:rsidRPr="0087788E">
              <w:rPr>
                <w:rStyle w:val="Hyperlnk"/>
                <w:noProof/>
              </w:rPr>
              <w:t>4.5 Sammanställning över väsentliga uppgifter</w:t>
            </w:r>
            <w:r w:rsidR="00512E1E">
              <w:rPr>
                <w:noProof/>
                <w:webHidden/>
              </w:rPr>
              <w:tab/>
            </w:r>
            <w:r w:rsidR="00512E1E">
              <w:rPr>
                <w:noProof/>
                <w:webHidden/>
              </w:rPr>
              <w:fldChar w:fldCharType="begin"/>
            </w:r>
            <w:r w:rsidR="00512E1E">
              <w:rPr>
                <w:noProof/>
                <w:webHidden/>
              </w:rPr>
              <w:instrText xml:space="preserve"> PAGEREF _Toc474168607 \h </w:instrText>
            </w:r>
            <w:r w:rsidR="00512E1E">
              <w:rPr>
                <w:noProof/>
                <w:webHidden/>
              </w:rPr>
            </w:r>
            <w:r w:rsidR="00512E1E">
              <w:rPr>
                <w:noProof/>
                <w:webHidden/>
              </w:rPr>
              <w:fldChar w:fldCharType="separate"/>
            </w:r>
            <w:r w:rsidR="00EB39E7">
              <w:rPr>
                <w:noProof/>
                <w:webHidden/>
              </w:rPr>
              <w:t>77</w:t>
            </w:r>
            <w:r w:rsidR="00512E1E">
              <w:rPr>
                <w:noProof/>
                <w:webHidden/>
              </w:rPr>
              <w:fldChar w:fldCharType="end"/>
            </w:r>
          </w:hyperlink>
        </w:p>
        <w:p w:rsidR="00545856" w:rsidRDefault="00545856">
          <w:pPr>
            <w:rPr>
              <w:b/>
            </w:rPr>
          </w:pPr>
          <w:r>
            <w:rPr>
              <w:b/>
              <w:bCs/>
            </w:rPr>
            <w:fldChar w:fldCharType="end"/>
          </w:r>
        </w:p>
      </w:sdtContent>
    </w:sdt>
    <w:p w:rsidR="00FB5EC9" w:rsidRDefault="00FB5EC9" w:rsidP="00FB5EC9">
      <w:pPr>
        <w:pStyle w:val="Normaltindrag"/>
      </w:pPr>
    </w:p>
    <w:p w:rsidR="000C7375" w:rsidRDefault="000C7375" w:rsidP="00FB5EC9">
      <w:pPr>
        <w:pStyle w:val="Normaltindrag"/>
      </w:pPr>
    </w:p>
    <w:p w:rsidR="00D82A7A" w:rsidRDefault="00D82A7A">
      <w:pPr>
        <w:spacing w:before="0" w:after="200" w:line="276" w:lineRule="auto"/>
        <w:jc w:val="left"/>
      </w:pPr>
      <w:r>
        <w:br w:type="page"/>
      </w:r>
    </w:p>
    <w:p w:rsidR="000C7375" w:rsidRPr="00FB5EC9" w:rsidRDefault="000C7375" w:rsidP="00FB5EC9">
      <w:pPr>
        <w:pStyle w:val="Normaltindrag"/>
      </w:pPr>
    </w:p>
    <w:p w:rsidR="00792FF8" w:rsidRDefault="004F2BCD" w:rsidP="00743812">
      <w:pPr>
        <w:pStyle w:val="Rubrik1"/>
        <w:pageBreakBefore/>
      </w:pPr>
      <w:bookmarkStart w:id="0" w:name="_Toc474168588"/>
      <w:r>
        <w:rPr>
          <w:rStyle w:val="Kapitelrubrik"/>
        </w:rPr>
        <w:lastRenderedPageBreak/>
        <w:t>Året som gått</w:t>
      </w:r>
      <w:bookmarkEnd w:id="0"/>
    </w:p>
    <w:p w:rsidR="006E2DCA" w:rsidRPr="006E2DCA" w:rsidRDefault="006E2DCA" w:rsidP="00F02282">
      <w:pPr>
        <w:suppressAutoHyphens/>
      </w:pPr>
      <w:r w:rsidRPr="006E2DCA">
        <w:t>En fredag i december var vi många som samlades i riksdagens andrakam</w:t>
      </w:r>
      <w:r w:rsidR="00F02282">
        <w:softHyphen/>
      </w:r>
      <w:r w:rsidRPr="006E2DCA">
        <w:t>marsal för att högtidlighålla att tryckfrihetsförordningen fyllde 250 år. Reflek</w:t>
      </w:r>
      <w:r w:rsidR="00F02282">
        <w:softHyphen/>
      </w:r>
      <w:r w:rsidRPr="006E2DCA">
        <w:t xml:space="preserve">tioner och tillbakablickar svepte över mer än två sekel. </w:t>
      </w:r>
    </w:p>
    <w:p w:rsidR="006E2DCA" w:rsidRPr="006E2DCA" w:rsidRDefault="006E2DCA" w:rsidP="00E949EB">
      <w:pPr>
        <w:pStyle w:val="Normaltindrag"/>
      </w:pPr>
      <w:r w:rsidRPr="006E2DCA">
        <w:t>I denna årsredovisning är perspektivet kortare, men ändå viktigt. Det är i det dagliga stödet till den parlamentariska processen som vi lägger förutsättningarna för en långsiktig och hållbar verksamhet.</w:t>
      </w:r>
    </w:p>
    <w:p w:rsidR="006E2DCA" w:rsidRPr="006E2DCA" w:rsidRDefault="006E2DCA" w:rsidP="00E949EB">
      <w:pPr>
        <w:pStyle w:val="Normaltindrag"/>
      </w:pPr>
      <w:r w:rsidRPr="006E2DCA">
        <w:t xml:space="preserve">I år har vi kompletterat förvaltningens vision </w:t>
      </w:r>
      <w:r w:rsidRPr="0083178B">
        <w:rPr>
          <w:i/>
        </w:rPr>
        <w:t>Tillsammans för riksdagens bästa</w:t>
      </w:r>
      <w:r w:rsidRPr="006E2DCA">
        <w:t xml:space="preserve"> med </w:t>
      </w:r>
      <w:r w:rsidR="00F02282">
        <w:t>d</w:t>
      </w:r>
      <w:r w:rsidRPr="006E2DCA">
        <w:t>en gemensam</w:t>
      </w:r>
      <w:r w:rsidR="00F02282">
        <w:t>ma</w:t>
      </w:r>
      <w:r w:rsidRPr="006E2DCA">
        <w:t xml:space="preserve"> värdegrund</w:t>
      </w:r>
      <w:r w:rsidR="00F02282">
        <w:t>en</w:t>
      </w:r>
      <w:r w:rsidRPr="006E2DCA">
        <w:t xml:space="preserve"> </w:t>
      </w:r>
      <w:r w:rsidRPr="0083178B">
        <w:rPr>
          <w:i/>
        </w:rPr>
        <w:t>Professionellt stöd i demokratins tjänst – kvalitet, kompetens och engagemang</w:t>
      </w:r>
      <w:r w:rsidRPr="006E2DCA">
        <w:t xml:space="preserve">. Den ska genomsyra förvaltningens insatser i stort och smått. </w:t>
      </w:r>
    </w:p>
    <w:p w:rsidR="006E2DCA" w:rsidRPr="006E2DCA" w:rsidRDefault="006E2DCA" w:rsidP="00E949EB">
      <w:pPr>
        <w:pStyle w:val="Normaltindrag"/>
      </w:pPr>
      <w:r w:rsidRPr="006E2DCA">
        <w:t xml:space="preserve">Ett exempel på en större insats är det gemensamma servicecenter som öppnade i Bankhallen i oktober. Genom att samla all service på ett ställe och via ett telefonnummer ska servicen, som tidigare funnits på olika håll i förvaltningen, bli lätt tillgänglig, snabbare och av bättre kvalitet. </w:t>
      </w:r>
    </w:p>
    <w:p w:rsidR="006E2DCA" w:rsidRPr="006E2DCA" w:rsidRDefault="006E2DCA" w:rsidP="00E949EB">
      <w:pPr>
        <w:pStyle w:val="Normaltindrag"/>
      </w:pPr>
      <w:r w:rsidRPr="006E2DCA">
        <w:t>Också våra lokaler ska stödja de verksamhetsbehov som ledamöter och partikanslier har. Därför ska ledamotshuset genomgå en totalrenovering</w:t>
      </w:r>
      <w:r w:rsidR="00B40F34">
        <w:t>,</w:t>
      </w:r>
      <w:r w:rsidRPr="006E2DCA">
        <w:t xml:space="preserve"> och förberedelserna är i full gång. Både ledamöter och partikanslianställda är involverade.</w:t>
      </w:r>
    </w:p>
    <w:p w:rsidR="006E2DCA" w:rsidRPr="006E2DCA" w:rsidRDefault="006E2DCA" w:rsidP="00E949EB">
      <w:pPr>
        <w:pStyle w:val="Normaltindrag"/>
      </w:pPr>
      <w:r w:rsidRPr="006E2DCA">
        <w:t xml:space="preserve">Riksdagen ska vara både </w:t>
      </w:r>
      <w:r w:rsidR="00B40F34" w:rsidRPr="006E2DCA">
        <w:t xml:space="preserve">ett </w:t>
      </w:r>
      <w:r w:rsidRPr="006E2DCA">
        <w:t>säkert parlament och ett öppet parlament. Säkerhetsfrågor är viktiga komponenter i förvaltningens dagliga arbete. Under året har ett omfattande utvecklingsarbete pågått för att stärka säkerhetsarbetet. Samtidigt har vi haft ännu fler besökare än tidigare, vilket vi gläder oss åt. Därtill finns vår webbplats, riksdagen.se, som är öppen dygnet runt. Också den hade rekord i antal</w:t>
      </w:r>
      <w:r w:rsidR="00B40F34">
        <w:t>et</w:t>
      </w:r>
      <w:r w:rsidRPr="006E2DCA">
        <w:t xml:space="preserve"> besök. Webbplatsen lanserades i en ny version i april. Med den blir det enklare att följa riksdagens arbete och beslut.</w:t>
      </w:r>
    </w:p>
    <w:p w:rsidR="006E2DCA" w:rsidRPr="006E2DCA" w:rsidRDefault="006E2DCA" w:rsidP="00E949EB">
      <w:pPr>
        <w:pStyle w:val="Normaltindrag"/>
      </w:pPr>
      <w:r w:rsidRPr="006E2DCA">
        <w:t xml:space="preserve">En annan typ av säkerhet är den som rör våra it-system och dokumentflöden. Under året har flera delar av vårt ledningssystem för informationssäkerhet kommit på plats och arbetet fortsätter 2017. </w:t>
      </w:r>
    </w:p>
    <w:p w:rsidR="006E2DCA" w:rsidRPr="006E2DCA" w:rsidRDefault="006E2DCA" w:rsidP="0038214D">
      <w:pPr>
        <w:pStyle w:val="Normaltindrag"/>
        <w:suppressAutoHyphens/>
      </w:pPr>
      <w:r w:rsidRPr="006E2DCA">
        <w:t>Förvaltningen har under året kommit överens med de fackliga organisa</w:t>
      </w:r>
      <w:r w:rsidR="0038214D">
        <w:softHyphen/>
      </w:r>
      <w:r w:rsidRPr="006E2DCA">
        <w:t>tionerna om ett samverkansavtal. Det ska ge medarbetarna möjlighet till ökad delaktighet i arbetet, vilket bidrar till ett ännu bättre stöd i den parlamentariska processen.</w:t>
      </w:r>
    </w:p>
    <w:p w:rsidR="00D51504" w:rsidRPr="006E2DCA" w:rsidRDefault="0038214D" w:rsidP="00E949EB">
      <w:pPr>
        <w:pStyle w:val="Normaltindrag"/>
      </w:pPr>
      <w:r>
        <w:t>Avslutningsvis vill jag åter</w:t>
      </w:r>
      <w:r w:rsidR="006E2DCA" w:rsidRPr="006E2DCA">
        <w:t xml:space="preserve">igen lyfta blicken. Vi har många spännande uppgifter framför oss. Det är snart 100 år sedan demokratin fick sitt genombrott i Sverige i och med den </w:t>
      </w:r>
      <w:r>
        <w:t>allmänna och lika</w:t>
      </w:r>
      <w:r w:rsidR="006E2DCA" w:rsidRPr="006E2DCA">
        <w:t xml:space="preserve"> rösträtten. Riksdagsstyrelsen har beslutat att högtidlighållandet ska ske december 2018–januari 2022. Förberedelserna har börjat</w:t>
      </w:r>
      <w:r w:rsidR="00F02F69" w:rsidRPr="006E2DCA">
        <w:t>.</w:t>
      </w:r>
    </w:p>
    <w:p w:rsidR="00D51504" w:rsidRPr="00F02F69" w:rsidRDefault="00D51504" w:rsidP="00D51504">
      <w:pPr>
        <w:tabs>
          <w:tab w:val="center" w:pos="2949"/>
        </w:tabs>
        <w:spacing w:before="360"/>
        <w:jc w:val="left"/>
      </w:pPr>
      <w:r w:rsidRPr="00F02F69">
        <w:t xml:space="preserve">Kathrin Flossing </w:t>
      </w:r>
      <w:r w:rsidRPr="00F02F69">
        <w:tab/>
      </w:r>
      <w:r w:rsidRPr="00F02F69">
        <w:br/>
        <w:t>Riksdagsdirektör</w:t>
      </w:r>
    </w:p>
    <w:p w:rsidR="00D51504" w:rsidRPr="00145C3D" w:rsidRDefault="00D51504" w:rsidP="00D51504">
      <w:pPr>
        <w:pStyle w:val="Normaltindrag"/>
      </w:pPr>
    </w:p>
    <w:p w:rsidR="00792FF8" w:rsidRPr="001B3535" w:rsidRDefault="004F2BCD" w:rsidP="00FB5EC9">
      <w:pPr>
        <w:pStyle w:val="Rubrik1"/>
        <w:pageBreakBefore/>
      </w:pPr>
      <w:bookmarkStart w:id="1" w:name="_Toc474168589"/>
      <w:r>
        <w:rPr>
          <w:rStyle w:val="Kapitelrubrik"/>
        </w:rPr>
        <w:lastRenderedPageBreak/>
        <w:t>Resultatredovisning</w:t>
      </w:r>
      <w:bookmarkStart w:id="2" w:name="_GoBack"/>
      <w:bookmarkEnd w:id="1"/>
      <w:bookmarkEnd w:id="2"/>
    </w:p>
    <w:p w:rsidR="00D035BF" w:rsidRPr="002870E5" w:rsidRDefault="00D035BF" w:rsidP="00D035BF">
      <w:pPr>
        <w:pStyle w:val="Rubrik2"/>
        <w:spacing w:before="0"/>
      </w:pPr>
      <w:bookmarkStart w:id="3" w:name="_Toc411239629"/>
      <w:bookmarkStart w:id="4" w:name="_Toc474168590"/>
      <w:r w:rsidRPr="002870E5">
        <w:t>1 Utgångspunkter</w:t>
      </w:r>
      <w:bookmarkEnd w:id="3"/>
      <w:bookmarkEnd w:id="4"/>
    </w:p>
    <w:p w:rsidR="00D035BF" w:rsidRPr="00BC077E" w:rsidRDefault="00D035BF" w:rsidP="00D035BF">
      <w:pPr>
        <w:pStyle w:val="Rubrik3"/>
        <w:spacing w:before="125"/>
      </w:pPr>
      <w:bookmarkStart w:id="5" w:name="_Toc411239630"/>
      <w:bookmarkStart w:id="6" w:name="_Toc474168591"/>
      <w:r w:rsidRPr="00BC077E">
        <w:t>1.1 Riksdagsförvaltningens uppdrag</w:t>
      </w:r>
      <w:bookmarkEnd w:id="5"/>
      <w:bookmarkEnd w:id="6"/>
    </w:p>
    <w:p w:rsidR="00D035BF" w:rsidRPr="002870E5" w:rsidRDefault="00D035BF" w:rsidP="00D035BF">
      <w:r w:rsidRPr="002870E5">
        <w:t>Riksdagen är folkets främsta företrädare. Den stiftar lagar, beslutar om skatt till staten och bestämmer hur statens medel ska användas.</w:t>
      </w:r>
    </w:p>
    <w:p w:rsidR="00D035BF" w:rsidRPr="002870E5" w:rsidRDefault="00D035BF" w:rsidP="00D035BF">
      <w:pPr>
        <w:pStyle w:val="Normaltindrag"/>
      </w:pPr>
      <w:r w:rsidRPr="002870E5">
        <w:t xml:space="preserve">Riksdagsförvaltningen är riksdagens förvaltningsmyndighet och har till uppgift att stödja riksdagens arbete. Förvaltningen ska se till att kammaren, utskotten, EU-nämnden, </w:t>
      </w:r>
      <w:r w:rsidR="00CE1EBE" w:rsidRPr="002870E5">
        <w:t xml:space="preserve">övriga riksdagsorgan och </w:t>
      </w:r>
      <w:r w:rsidRPr="002870E5">
        <w:t>ledamöte</w:t>
      </w:r>
      <w:r w:rsidR="00CE1EBE" w:rsidRPr="002870E5">
        <w:t xml:space="preserve">rna </w:t>
      </w:r>
      <w:r w:rsidRPr="002870E5">
        <w:t>får det stöd och den service de behöver. Riksdagsförvaltningen ska också informera allmänheten om riksdagens arbete och om EU-frågor samt handlägga ärenden som rör riksdagens internationella kontakter. Dessutom ansvarar förvaltningen för att vårda riksdagens byggnader och samlingar samt för myndighets- och förvaltningsuppgifter.</w:t>
      </w:r>
    </w:p>
    <w:p w:rsidR="00D035BF" w:rsidRPr="002870E5" w:rsidRDefault="00D035BF" w:rsidP="00F93B20">
      <w:pPr>
        <w:pStyle w:val="Normaltindrag"/>
      </w:pPr>
      <w:r w:rsidRPr="002870E5">
        <w:t>Förvaltningens uppdrag är formulerat på följande sätt: Riksdagsförvaltningen ska skapa bästa möjliga förutsättningar för riksdagens och ledamöternas arbete genom att</w:t>
      </w:r>
    </w:p>
    <w:p w:rsidR="00D035BF" w:rsidRPr="002870E5" w:rsidRDefault="00D035BF" w:rsidP="00D035BF">
      <w:pPr>
        <w:pStyle w:val="Punktlistabomb"/>
      </w:pPr>
      <w:r w:rsidRPr="002870E5">
        <w:t>svara för väl fungerande stöd till arbetet i kammare och utskott m.m.</w:t>
      </w:r>
    </w:p>
    <w:p w:rsidR="00D035BF" w:rsidRPr="002870E5" w:rsidRDefault="00D035BF" w:rsidP="00D035BF">
      <w:pPr>
        <w:pStyle w:val="Punktlistabomb"/>
      </w:pPr>
      <w:r w:rsidRPr="002870E5">
        <w:t>svara för väl fungerande stöd och service till ledamöter och parti</w:t>
      </w:r>
      <w:r w:rsidR="002870E5" w:rsidRPr="002870E5">
        <w:softHyphen/>
      </w:r>
      <w:r w:rsidRPr="002870E5">
        <w:t xml:space="preserve">kanslier </w:t>
      </w:r>
    </w:p>
    <w:p w:rsidR="00D035BF" w:rsidRPr="002870E5" w:rsidRDefault="00D035BF" w:rsidP="00D035BF">
      <w:pPr>
        <w:pStyle w:val="Punktlistabomb"/>
      </w:pPr>
      <w:r w:rsidRPr="002870E5">
        <w:t xml:space="preserve">främja kunskapen om riksdagen och riksdagens arbete </w:t>
      </w:r>
    </w:p>
    <w:p w:rsidR="00D035BF" w:rsidRPr="002870E5" w:rsidRDefault="00D035BF" w:rsidP="00D035BF">
      <w:pPr>
        <w:pStyle w:val="Punktlistabomb"/>
      </w:pPr>
      <w:r w:rsidRPr="002870E5">
        <w:t xml:space="preserve">vårda och bevara riksdagens byggnader och samlingar </w:t>
      </w:r>
    </w:p>
    <w:p w:rsidR="00D035BF" w:rsidRPr="002870E5" w:rsidRDefault="00D035BF" w:rsidP="00D035BF">
      <w:pPr>
        <w:pStyle w:val="Punktlistabomb"/>
      </w:pPr>
      <w:r w:rsidRPr="002870E5">
        <w:t>vara en väl fungerande myndighet och arbetsgivare.</w:t>
      </w:r>
    </w:p>
    <w:p w:rsidR="00D035BF" w:rsidRPr="00980547" w:rsidRDefault="00D035BF" w:rsidP="00D035BF">
      <w:pPr>
        <w:pStyle w:val="Normaltindrag"/>
        <w:ind w:firstLine="0"/>
      </w:pPr>
      <w:r w:rsidRPr="00980547">
        <w:t>Riksdagsförvaltningens verksamhet regleras i lagar och föreskrifter. De grundläggande bestämmelserna finns i regeringsformen, riksdagsordningen och</w:t>
      </w:r>
      <w:r w:rsidR="00AF6AB6" w:rsidRPr="00980547">
        <w:t xml:space="preserve"> Riksdagsförvaltningens instruktion.</w:t>
      </w:r>
      <w:r w:rsidR="00AF6AB6" w:rsidRPr="00980547">
        <w:rPr>
          <w:rStyle w:val="Fotnotsreferens"/>
        </w:rPr>
        <w:footnoteReference w:id="1"/>
      </w:r>
      <w:r w:rsidRPr="00980547">
        <w:t xml:space="preserve"> Mer detaljerade bestämmelser finns i föreskriften om förvaltnin</w:t>
      </w:r>
      <w:r w:rsidR="00DF4E16" w:rsidRPr="00980547">
        <w:t>gens arbetsordning</w:t>
      </w:r>
      <w:r w:rsidRPr="00980547">
        <w:t>. I den så kallade REA-lagen finns ekonomiadministrativa bestämmelser.</w:t>
      </w:r>
      <w:r w:rsidRPr="00980547">
        <w:rPr>
          <w:rStyle w:val="Fotnotsreferens"/>
        </w:rPr>
        <w:footnoteReference w:id="2"/>
      </w:r>
      <w:r w:rsidRPr="00980547">
        <w:t xml:space="preserve"> </w:t>
      </w:r>
    </w:p>
    <w:p w:rsidR="00D035BF" w:rsidRPr="000B3E88" w:rsidRDefault="00D035BF" w:rsidP="00D035BF">
      <w:pPr>
        <w:pStyle w:val="Rubrik3"/>
      </w:pPr>
      <w:bookmarkStart w:id="7" w:name="_Toc411239631"/>
      <w:bookmarkStart w:id="8" w:name="_Toc474168592"/>
      <w:r w:rsidRPr="000B3E88">
        <w:t>1.2 Ledning</w:t>
      </w:r>
      <w:bookmarkEnd w:id="7"/>
      <w:bookmarkEnd w:id="8"/>
    </w:p>
    <w:p w:rsidR="00D035BF" w:rsidRPr="000B3E88" w:rsidRDefault="00D035BF" w:rsidP="00D035BF">
      <w:r w:rsidRPr="000B3E88">
        <w:t>Riksdagsförvaltningen leds av riksdagsstyrelsen. Styrelsen består av riksdagens talman, som är ordförande, och tio riksdagsledamöter. Riksdagsstyrelsen överlägger om planering av riksdagsarbetet och beslutar i ärenden</w:t>
      </w:r>
      <w:r w:rsidR="006C6C45">
        <w:t xml:space="preserve"> av större vikt</w:t>
      </w:r>
      <w:r w:rsidRPr="000B3E88">
        <w:t xml:space="preserve"> som rör förvaltningen. Vid styrelsens sammanträden deltar även de vice talmännen och gruppledarna för de partier som inte är representerade i styrelsen</w:t>
      </w:r>
      <w:r w:rsidR="000A7241">
        <w:t>. De har yttranderätt</w:t>
      </w:r>
      <w:r w:rsidR="00D32AD3">
        <w:t xml:space="preserve"> men </w:t>
      </w:r>
      <w:r w:rsidRPr="000B3E88">
        <w:t xml:space="preserve">deltar </w:t>
      </w:r>
      <w:r w:rsidR="00D32AD3">
        <w:t xml:space="preserve">inte </w:t>
      </w:r>
      <w:r w:rsidRPr="000B3E88">
        <w:t xml:space="preserve">i riksdagsstyrelsens beslut. </w:t>
      </w:r>
    </w:p>
    <w:p w:rsidR="00D035BF" w:rsidRPr="00587FC3" w:rsidRDefault="00D035BF" w:rsidP="00D035BF">
      <w:pPr>
        <w:pStyle w:val="Normaltindrag"/>
      </w:pPr>
      <w:r w:rsidRPr="00587FC3">
        <w:lastRenderedPageBreak/>
        <w:t xml:space="preserve">Riksdagsdirektören är chef för myndigheten Riksdagsförvaltningen och är föredragande i styrelsen. Under styrelsen leder riksdagsdirektören ledamotsrådet. I det samråder förvaltningen </w:t>
      </w:r>
      <w:r w:rsidR="000A4BAE">
        <w:t xml:space="preserve">och ledamöter om </w:t>
      </w:r>
      <w:r w:rsidRPr="00587FC3">
        <w:t xml:space="preserve">frågor som är av </w:t>
      </w:r>
      <w:r w:rsidR="007A3338">
        <w:t xml:space="preserve">större vikt eller principiell betydelse </w:t>
      </w:r>
      <w:r w:rsidRPr="00587FC3">
        <w:t>för ledamöterna</w:t>
      </w:r>
      <w:r w:rsidRPr="003A5ADC">
        <w:t xml:space="preserve">, </w:t>
      </w:r>
      <w:r w:rsidR="000A4BAE" w:rsidRPr="003A5ADC">
        <w:t xml:space="preserve">som </w:t>
      </w:r>
      <w:r w:rsidRPr="003A5ADC">
        <w:t xml:space="preserve">till exempel </w:t>
      </w:r>
      <w:r w:rsidR="000A4BAE" w:rsidRPr="003A5ADC">
        <w:t xml:space="preserve">deras administrativa stöd, </w:t>
      </w:r>
      <w:r w:rsidRPr="003A5ADC">
        <w:t>teknisk</w:t>
      </w:r>
      <w:r w:rsidR="000A4BAE" w:rsidRPr="003A5ADC">
        <w:t>a utrustning och lokaler</w:t>
      </w:r>
      <w:r w:rsidRPr="003A5ADC">
        <w:t>.</w:t>
      </w:r>
    </w:p>
    <w:p w:rsidR="00D035BF" w:rsidRPr="00587FC3" w:rsidRDefault="00D035BF" w:rsidP="00D035BF">
      <w:pPr>
        <w:pStyle w:val="Normaltindrag"/>
      </w:pPr>
      <w:r w:rsidRPr="00587FC3">
        <w:t>Förvaltningens ledningsgrupp samordnar och planerar övergripande frågor som rör förvaltningen. Gruppen består av riksdagsdirektören och avdelningschefern</w:t>
      </w:r>
      <w:r w:rsidR="00DF4E16" w:rsidRPr="00587FC3">
        <w:t>a</w:t>
      </w:r>
      <w:r w:rsidRPr="00587FC3">
        <w:t>.</w:t>
      </w:r>
    </w:p>
    <w:p w:rsidR="00D035BF" w:rsidRPr="00587FC3" w:rsidRDefault="00D035BF" w:rsidP="00D035BF">
      <w:pPr>
        <w:pStyle w:val="Rubrik3"/>
      </w:pPr>
      <w:bookmarkStart w:id="9" w:name="_Toc411239632"/>
      <w:bookmarkStart w:id="10" w:name="_Toc474168593"/>
      <w:r w:rsidRPr="00587FC3">
        <w:t>1.3 Styrning och uppföljning</w:t>
      </w:r>
      <w:bookmarkEnd w:id="9"/>
      <w:bookmarkEnd w:id="10"/>
    </w:p>
    <w:p w:rsidR="00D035BF" w:rsidRPr="00587FC3" w:rsidRDefault="00D035BF" w:rsidP="00D035BF">
      <w:r w:rsidRPr="00587FC3">
        <w:t xml:space="preserve">Riksdagsförvaltningens verksamhet ska bedrivas effektivt och enligt gällande rätt. Den ska också vara kostnadseffektiv. Förvaltningen arbetar systematiskt med planering och uppföljning för att säkerställa verksamhetens kvalitet och effektivitet. </w:t>
      </w:r>
    </w:p>
    <w:p w:rsidR="00D035BF" w:rsidRPr="00553B01" w:rsidRDefault="00D035BF" w:rsidP="00D035BF">
      <w:pPr>
        <w:pStyle w:val="Rubrik4"/>
        <w:rPr>
          <w:i w:val="0"/>
        </w:rPr>
      </w:pPr>
      <w:r w:rsidRPr="00553B01">
        <w:rPr>
          <w:i w:val="0"/>
        </w:rPr>
        <w:t>Planering och beslut</w:t>
      </w:r>
    </w:p>
    <w:p w:rsidR="00D035BF" w:rsidRPr="008C4AC6" w:rsidRDefault="00D035BF" w:rsidP="00D035BF">
      <w:r w:rsidRPr="008C4AC6">
        <w:t>Riksdagsstyrelsen fatt</w:t>
      </w:r>
      <w:r w:rsidR="002F3022" w:rsidRPr="008C4AC6">
        <w:t>ar beslut om en strategisk plan</w:t>
      </w:r>
      <w:r w:rsidRPr="008C4AC6">
        <w:t xml:space="preserve"> som anger </w:t>
      </w:r>
      <w:r w:rsidR="002F3022" w:rsidRPr="008C4AC6">
        <w:t xml:space="preserve">de </w:t>
      </w:r>
      <w:r w:rsidRPr="008C4AC6">
        <w:t>övergripande prioriteringar</w:t>
      </w:r>
      <w:r w:rsidR="002F3022" w:rsidRPr="008C4AC6">
        <w:t>na för de närmaste åren</w:t>
      </w:r>
      <w:r w:rsidRPr="008C4AC6">
        <w:t xml:space="preserve"> och om en årlig verksamhetsplan för förvaltningen.</w:t>
      </w:r>
      <w:r w:rsidR="00E33E14" w:rsidRPr="008C4AC6">
        <w:rPr>
          <w:rStyle w:val="Fotnotsreferens"/>
        </w:rPr>
        <w:footnoteReference w:id="3"/>
      </w:r>
      <w:r w:rsidRPr="008C4AC6">
        <w:t xml:space="preserve"> I styrelsens uppgifter ingår också att lägga förslag till anslag och besluta om anslagsdirektiv.</w:t>
      </w:r>
      <w:r w:rsidR="00862B2A" w:rsidRPr="008C4AC6">
        <w:rPr>
          <w:rStyle w:val="Fotnotsreferens"/>
        </w:rPr>
        <w:footnoteReference w:id="4"/>
      </w:r>
      <w:r w:rsidRPr="008C4AC6">
        <w:t xml:space="preserve"> Planeringsprocessen utgår från de lagar och föreskrifter som gäller för riksdagen och Riksdagsförvaltningen samt de uppgifter och uppdrag som riksdagsstyrelsen beslutar om.</w:t>
      </w:r>
    </w:p>
    <w:p w:rsidR="00D035BF" w:rsidRPr="00553B01" w:rsidRDefault="00D035BF" w:rsidP="00D035BF">
      <w:pPr>
        <w:pStyle w:val="Normaltindrag"/>
      </w:pPr>
      <w:r w:rsidRPr="00553B01">
        <w:t>Riksdagsdirektö</w:t>
      </w:r>
      <w:r w:rsidR="002F3022" w:rsidRPr="00553B01">
        <w:t>ren beslutar om en internbudget</w:t>
      </w:r>
      <w:r w:rsidRPr="00553B01">
        <w:t xml:space="preserve"> som tillsammans med bland annat verksamhetsplanen och anslagsdirektivet är styrande för verksamheten under året.</w:t>
      </w:r>
    </w:p>
    <w:p w:rsidR="00D035BF" w:rsidRPr="00553B01" w:rsidRDefault="00D035BF" w:rsidP="00D035BF">
      <w:pPr>
        <w:pStyle w:val="Normaltindrag"/>
      </w:pPr>
      <w:r w:rsidRPr="00553B01">
        <w:t xml:space="preserve">Verksamheten är indelad i </w:t>
      </w:r>
      <w:r w:rsidR="002F3022" w:rsidRPr="00553B01">
        <w:t xml:space="preserve">följande </w:t>
      </w:r>
      <w:r w:rsidRPr="00553B01">
        <w:t xml:space="preserve">fem uppdragsområden som utgår från </w:t>
      </w:r>
      <w:r w:rsidR="002F3022" w:rsidRPr="00553B01">
        <w:t>förvaltningens övergripande uppdrag</w:t>
      </w:r>
      <w:r w:rsidRPr="00553B01">
        <w:t xml:space="preserve">: </w:t>
      </w:r>
    </w:p>
    <w:p w:rsidR="00D035BF" w:rsidRPr="00553B01" w:rsidRDefault="00D035BF" w:rsidP="00D035BF">
      <w:pPr>
        <w:pStyle w:val="Normaltindrag"/>
        <w:spacing w:before="125"/>
        <w:ind w:firstLine="0"/>
      </w:pPr>
      <w:r w:rsidRPr="00553B01">
        <w:t>A. Stöd till arbetet i kammare och utskott m.m.</w:t>
      </w:r>
    </w:p>
    <w:p w:rsidR="00D035BF" w:rsidRPr="00553B01" w:rsidRDefault="00D035BF" w:rsidP="00D035BF">
      <w:pPr>
        <w:pStyle w:val="Normaltindrag"/>
        <w:ind w:firstLine="0"/>
      </w:pPr>
      <w:r w:rsidRPr="00553B01">
        <w:t>B. Stöd och service till ledamöter och partikanslier</w:t>
      </w:r>
    </w:p>
    <w:p w:rsidR="00D035BF" w:rsidRPr="00553B01" w:rsidRDefault="00D035BF" w:rsidP="00D035BF">
      <w:pPr>
        <w:pStyle w:val="Normaltindrag"/>
        <w:ind w:firstLine="0"/>
      </w:pPr>
      <w:r w:rsidRPr="00553B01">
        <w:t>C. Kunskap om riksdagen och riksdagens arbete</w:t>
      </w:r>
    </w:p>
    <w:p w:rsidR="00D035BF" w:rsidRPr="00553B01" w:rsidRDefault="00D035BF" w:rsidP="00D035BF">
      <w:pPr>
        <w:pStyle w:val="Normaltindrag"/>
        <w:ind w:firstLine="0"/>
      </w:pPr>
      <w:r w:rsidRPr="00553B01">
        <w:t>D. Vård och bevarande av byggnader och samlingar</w:t>
      </w:r>
    </w:p>
    <w:p w:rsidR="00D035BF" w:rsidRPr="00553B01" w:rsidRDefault="00D035BF" w:rsidP="00D035BF">
      <w:pPr>
        <w:pStyle w:val="Normaltindrag"/>
        <w:ind w:firstLine="0"/>
      </w:pPr>
      <w:r w:rsidRPr="00553B01">
        <w:t>E. Myndighet och arbetsgivare.</w:t>
      </w:r>
    </w:p>
    <w:p w:rsidR="00D035BF" w:rsidRPr="007A02C1" w:rsidRDefault="008C4AC6" w:rsidP="00D035BF">
      <w:pPr>
        <w:pStyle w:val="Rubrik4"/>
        <w:rPr>
          <w:i w:val="0"/>
        </w:rPr>
      </w:pPr>
      <w:r w:rsidRPr="007A02C1">
        <w:rPr>
          <w:i w:val="0"/>
        </w:rPr>
        <w:t>Prioriteringar 2016</w:t>
      </w:r>
    </w:p>
    <w:p w:rsidR="007A02C1" w:rsidRDefault="00DC2E75" w:rsidP="007A02C1">
      <w:pPr>
        <w:pStyle w:val="Normaltindrag"/>
        <w:ind w:firstLine="0"/>
        <w:rPr>
          <w:u w:val="single"/>
        </w:rPr>
      </w:pPr>
      <w:r>
        <w:t>Riksdagsstyrelsen fattade i december 2015 beslut om förvaltningens verksamhetsplan. P</w:t>
      </w:r>
      <w:r w:rsidR="007A02C1" w:rsidRPr="007A02C1">
        <w:t xml:space="preserve">lanen beskriver vad förvaltningen ska göra under </w:t>
      </w:r>
      <w:r>
        <w:t>2016</w:t>
      </w:r>
      <w:r w:rsidR="007A02C1" w:rsidRPr="007A02C1">
        <w:t xml:space="preserve"> för att nå de långsiktiga målen i den strategiska planen. Förvaltningen ska bland annat säkerställa att </w:t>
      </w:r>
      <w:r w:rsidR="008703CA">
        <w:t>de it-system</w:t>
      </w:r>
      <w:r w:rsidR="007A02C1" w:rsidRPr="007A02C1">
        <w:t xml:space="preserve"> som stöder den parlamentariska berednings- och beslutsprocessen är stabila och användarvänliga</w:t>
      </w:r>
      <w:r w:rsidR="007A02C1" w:rsidRPr="001C5342">
        <w:t xml:space="preserve">. </w:t>
      </w:r>
      <w:r w:rsidR="001C5342" w:rsidRPr="001C5342">
        <w:t>M</w:t>
      </w:r>
      <w:r w:rsidR="003715F8">
        <w:t>oderna</w:t>
      </w:r>
      <w:r w:rsidR="007A02C1" w:rsidRPr="001C5342">
        <w:t xml:space="preserve"> tekniska lösningar </w:t>
      </w:r>
      <w:r w:rsidR="00FE1CF9" w:rsidRPr="001C5342">
        <w:t xml:space="preserve">ska </w:t>
      </w:r>
      <w:r w:rsidR="001C5342" w:rsidRPr="001C5342">
        <w:lastRenderedPageBreak/>
        <w:t>också användas för att</w:t>
      </w:r>
      <w:r w:rsidR="00FE1CF9" w:rsidRPr="001C5342">
        <w:t xml:space="preserve"> förbättra</w:t>
      </w:r>
      <w:r w:rsidR="00333A2A" w:rsidRPr="001C5342">
        <w:t xml:space="preserve"> stöd</w:t>
      </w:r>
      <w:r w:rsidR="00FE1CF9" w:rsidRPr="001C5342">
        <w:t>et</w:t>
      </w:r>
      <w:r w:rsidR="00333A2A" w:rsidRPr="001C5342">
        <w:t xml:space="preserve"> till ledamöterna och </w:t>
      </w:r>
      <w:r w:rsidR="001C5342" w:rsidRPr="001C5342">
        <w:t>effektivisera</w:t>
      </w:r>
      <w:r w:rsidR="00333A2A" w:rsidRPr="001C5342">
        <w:t xml:space="preserve"> </w:t>
      </w:r>
      <w:r w:rsidR="001C5342" w:rsidRPr="001C5342">
        <w:t>förvaltningen ytterligare</w:t>
      </w:r>
      <w:r w:rsidR="00333A2A" w:rsidRPr="001C5342">
        <w:t>.</w:t>
      </w:r>
      <w:r w:rsidR="007A02C1" w:rsidRPr="001C5342">
        <w:t xml:space="preserve"> </w:t>
      </w:r>
      <w:r w:rsidR="007A02C1" w:rsidRPr="00333A2A">
        <w:t>Några ex</w:t>
      </w:r>
      <w:r w:rsidR="00F1340C">
        <w:t>empel är digitala samarbetsytor och</w:t>
      </w:r>
      <w:r w:rsidR="007A02C1" w:rsidRPr="00333A2A">
        <w:t xml:space="preserve"> utveckl</w:t>
      </w:r>
      <w:r w:rsidR="00F1340C">
        <w:t>ing av Intranätet</w:t>
      </w:r>
      <w:r w:rsidR="007A02C1" w:rsidRPr="00333A2A">
        <w:t>. Informationssäkerhetsarbetet ska stärkas och säkerhetsnivåerna för den fysiska säkerheten ska upprätthållas.</w:t>
      </w:r>
      <w:r w:rsidR="007A02C1" w:rsidRPr="007A02C1">
        <w:rPr>
          <w:u w:val="single"/>
        </w:rPr>
        <w:t xml:space="preserve"> </w:t>
      </w:r>
    </w:p>
    <w:p w:rsidR="007A02C1" w:rsidRPr="00FD0ED5" w:rsidRDefault="007A02C1" w:rsidP="003715F8">
      <w:pPr>
        <w:pStyle w:val="Normaltindrag"/>
      </w:pPr>
      <w:r w:rsidRPr="00FD0ED5">
        <w:t>Den digitala kommunikationen om riksdagen ska utvecklas både tekniskt och innehållsmässigt fö</w:t>
      </w:r>
      <w:r w:rsidR="001275B7">
        <w:t>r att göra riksdagens arbete mer</w:t>
      </w:r>
      <w:r w:rsidRPr="00FD0ED5">
        <w:t xml:space="preserve"> begripligt och intressant. Ledningen och styrningen av fastighetsverksamheten ska också vidareutvecklas, bland annat genom </w:t>
      </w:r>
      <w:r w:rsidR="003715F8">
        <w:t>strategisk lokalplanering och styrdokument.</w:t>
      </w:r>
    </w:p>
    <w:p w:rsidR="007A02C1" w:rsidRPr="00FD0ED5" w:rsidRDefault="007A02C1" w:rsidP="00745C30">
      <w:pPr>
        <w:pStyle w:val="Normaltindrag"/>
      </w:pPr>
      <w:r w:rsidRPr="00FD0ED5">
        <w:t xml:space="preserve">Förvaltningen ska fortsätta arbetet med värdegrunden och </w:t>
      </w:r>
      <w:r w:rsidR="009B5D63">
        <w:t xml:space="preserve">de </w:t>
      </w:r>
      <w:r w:rsidR="009B5D63" w:rsidRPr="00FD0ED5">
        <w:t xml:space="preserve">gemensamma </w:t>
      </w:r>
      <w:r w:rsidRPr="00FD0ED5">
        <w:t>principerna för arbetssätt, så att de blir ett naturligt stöd för medarbetarna i det dagliga arbetet.</w:t>
      </w:r>
      <w:r w:rsidR="00AF3687" w:rsidRPr="00FD0ED5">
        <w:t xml:space="preserve"> </w:t>
      </w:r>
    </w:p>
    <w:p w:rsidR="00D035BF" w:rsidRPr="007A02C1" w:rsidRDefault="00D035BF" w:rsidP="00745C30">
      <w:pPr>
        <w:pStyle w:val="Normaltindrag"/>
      </w:pPr>
      <w:r w:rsidRPr="007A02C1">
        <w:t>Riksdagsförvaltningen ska i alla sammanhang särskilt prioritera verksamhet</w:t>
      </w:r>
      <w:r w:rsidR="002B3723" w:rsidRPr="007A02C1">
        <w:t>en</w:t>
      </w:r>
      <w:r w:rsidRPr="007A02C1">
        <w:t xml:space="preserve"> inom uppdragsområdet Stöd till arbetet i kammare och utskott m.m. Därefter ska verksamheten inom uppdragsområdet Stöd och service till ledamöter och partikanslier prioriteras. </w:t>
      </w:r>
    </w:p>
    <w:p w:rsidR="00D035BF" w:rsidRPr="007A02C1" w:rsidRDefault="00B91ED0" w:rsidP="00D035BF">
      <w:pPr>
        <w:pStyle w:val="Normaltindrag"/>
      </w:pPr>
      <w:r w:rsidRPr="007A02C1">
        <w:t>Resultatet a</w:t>
      </w:r>
      <w:r w:rsidR="00286A5D">
        <w:t>v förvaltningens arbete</w:t>
      </w:r>
      <w:r w:rsidR="00D035BF" w:rsidRPr="007A02C1">
        <w:t xml:space="preserve"> redovisas i korthet i avsnitt 2 Sammanfattnin</w:t>
      </w:r>
      <w:r w:rsidR="007A02C1" w:rsidRPr="007A02C1">
        <w:t>g – resultat och utveckling 2016</w:t>
      </w:r>
      <w:r w:rsidR="00D035BF" w:rsidRPr="007A02C1">
        <w:t>.</w:t>
      </w:r>
    </w:p>
    <w:p w:rsidR="00D035BF" w:rsidRPr="001275B7" w:rsidRDefault="00D035BF" w:rsidP="00D035BF">
      <w:pPr>
        <w:pStyle w:val="Rubrik4"/>
        <w:rPr>
          <w:i w:val="0"/>
        </w:rPr>
      </w:pPr>
      <w:r w:rsidRPr="001275B7">
        <w:rPr>
          <w:i w:val="0"/>
        </w:rPr>
        <w:t>Uppföljning och kontroll</w:t>
      </w:r>
    </w:p>
    <w:p w:rsidR="008B34F3" w:rsidRPr="001275B7" w:rsidRDefault="00D035BF" w:rsidP="00D035BF">
      <w:r w:rsidRPr="001275B7">
        <w:t>Parallellt med planeringsarbetet pågår en kontinuerlig uppföljning och kontroll av verksamheten och budgeten. Den förvaltningsinterna uppföljningen r</w:t>
      </w:r>
      <w:r w:rsidR="00643699" w:rsidRPr="001275B7">
        <w:t xml:space="preserve">esulterar bland annat i tertialrapporter, </w:t>
      </w:r>
      <w:r w:rsidR="00AD49CE" w:rsidRPr="001275B7">
        <w:t xml:space="preserve">en </w:t>
      </w:r>
      <w:r w:rsidRPr="001275B7">
        <w:t>helårsrap</w:t>
      </w:r>
      <w:r w:rsidR="00643699" w:rsidRPr="001275B7">
        <w:t>port och</w:t>
      </w:r>
      <w:r w:rsidR="0081221D">
        <w:t xml:space="preserve"> en årsredovisning</w:t>
      </w:r>
      <w:r w:rsidR="008B34F3" w:rsidRPr="001275B7">
        <w:t>.</w:t>
      </w:r>
    </w:p>
    <w:p w:rsidR="00D035BF" w:rsidRPr="001275B7" w:rsidRDefault="00D035BF" w:rsidP="00B6306E">
      <w:pPr>
        <w:spacing w:before="0"/>
        <w:ind w:firstLine="227"/>
      </w:pPr>
      <w:r w:rsidRPr="001275B7">
        <w:t xml:space="preserve">Riksdagsförvaltningen arbetar också med intern styrning och kontroll utifrån bestämmelserna i REA-lagen. Intern styrning och kontroll är den årliga process som syftar till att med rimlig säkerhet säkerställa att en myndighet fullgör sitt verksamhetsansvar. </w:t>
      </w:r>
    </w:p>
    <w:p w:rsidR="00D035BF" w:rsidRPr="00CC4099" w:rsidRDefault="00D035BF" w:rsidP="00D035BF">
      <w:pPr>
        <w:pStyle w:val="Normaltindrag"/>
      </w:pPr>
      <w:r w:rsidRPr="00CC4099">
        <w:t>Und</w:t>
      </w:r>
      <w:r w:rsidR="00B6306E" w:rsidRPr="00CC4099">
        <w:t>er 201</w:t>
      </w:r>
      <w:r w:rsidR="001275B7" w:rsidRPr="00CC4099">
        <w:t>6</w:t>
      </w:r>
      <w:r w:rsidRPr="00CC4099">
        <w:t xml:space="preserve"> har förvaltningen identifierat ett antal risker som bedömts vara prioriterade med utgångspunkt från att de kan påverka myndighetens möjligheter att genomföra sina uppdrag. De prioriterade riskerna och åtgärderna för att minska dem har regelbundet redovisats för riksdagsstyrelsen. </w:t>
      </w:r>
    </w:p>
    <w:p w:rsidR="00D035BF" w:rsidRPr="00A41F30" w:rsidRDefault="00D035BF" w:rsidP="00D035BF">
      <w:pPr>
        <w:pStyle w:val="Normaltindrag"/>
        <w:rPr>
          <w:u w:val="single"/>
        </w:rPr>
      </w:pPr>
      <w:r w:rsidRPr="00CC4099">
        <w:t>Som ett komplement till riskanalyserna har samtliga budgetansvariga chefer genomfört en självutvärdering av den interna styrningen och kontrollen i den egna verksamheten.</w:t>
      </w:r>
      <w:r w:rsidRPr="00A41F30">
        <w:rPr>
          <w:u w:val="single"/>
        </w:rPr>
        <w:t xml:space="preserve"> </w:t>
      </w:r>
    </w:p>
    <w:p w:rsidR="00D035BF" w:rsidRPr="00EE43D8" w:rsidRDefault="00D035BF" w:rsidP="00D035BF">
      <w:pPr>
        <w:pStyle w:val="Normaltindrag"/>
      </w:pPr>
      <w:r w:rsidRPr="00EE43D8">
        <w:t>I samband med att årsredovisningen skrivs under intygar myndighetens ledning om den interna styrningen och kontrollen är betryggande och redovisar i förekommande fall eventuella brister.</w:t>
      </w:r>
    </w:p>
    <w:p w:rsidR="00D035BF" w:rsidRPr="00AA5881" w:rsidRDefault="00D035BF" w:rsidP="00D035BF">
      <w:pPr>
        <w:pStyle w:val="Rubrik4"/>
        <w:rPr>
          <w:i w:val="0"/>
        </w:rPr>
      </w:pPr>
      <w:r w:rsidRPr="00AA5881">
        <w:rPr>
          <w:i w:val="0"/>
        </w:rPr>
        <w:t>Revision</w:t>
      </w:r>
    </w:p>
    <w:p w:rsidR="00D035BF" w:rsidRPr="00AA5881" w:rsidRDefault="00D035BF" w:rsidP="00D035BF">
      <w:r w:rsidRPr="00AA5881">
        <w:t>Internrevisionen ska stödja Riksdagsförvaltningens ledning genom att självständigt granska, verifiera och bedöma kvaliteten i den interna styrningen och kontrollen. Internrevisionen är fristående från förvaltningens operativa verksamhet och bedrivs av ett företag m</w:t>
      </w:r>
      <w:r w:rsidR="00C37D20" w:rsidRPr="00AA5881">
        <w:t>ed expertis inom internrevision</w:t>
      </w:r>
      <w:r w:rsidRPr="00AA5881">
        <w:t>.</w:t>
      </w:r>
      <w:r w:rsidR="00C37D20" w:rsidRPr="00AA5881">
        <w:t xml:space="preserve"> </w:t>
      </w:r>
    </w:p>
    <w:p w:rsidR="00D035BF" w:rsidRPr="00AA5881" w:rsidRDefault="00D035BF" w:rsidP="00D035BF">
      <w:pPr>
        <w:pStyle w:val="Normaltindrag"/>
      </w:pPr>
      <w:r w:rsidRPr="00AA5881">
        <w:lastRenderedPageBreak/>
        <w:t xml:space="preserve">Varje år beslutar riksdagsstyrelsen om en internrevisionsplan som pekar ut de verksamheter i förvaltningen som internrevisionen ska granska. Internrevisionen rapporterar till riksdagsstyrelsen två gånger om året. </w:t>
      </w:r>
    </w:p>
    <w:p w:rsidR="00D035BF" w:rsidRPr="00AA5881" w:rsidRDefault="00D035BF" w:rsidP="00D035BF">
      <w:pPr>
        <w:pStyle w:val="Normaltindrag"/>
      </w:pPr>
      <w:r w:rsidRPr="00AA5881">
        <w:t>Den externa revisionen bedrivs av Riksrevisionen enligt lagen (2002:1022) om revision av statlig verksamhet m.m. Riksrevisionen granskar om Riksdagsförvaltningens årsredovisning är upprättad enligt gällande regelverk, ger en rättvisande bild i de finansiella delarna och i resultatredovisningen samt att anslag</w:t>
      </w:r>
      <w:r w:rsidR="00707C5B" w:rsidRPr="00AA5881">
        <w:t>smedel</w:t>
      </w:r>
      <w:r w:rsidRPr="00AA5881">
        <w:t xml:space="preserve"> och inkomster använts enligt anslagsdirektiv och övriga beslut för myndigheten.</w:t>
      </w:r>
    </w:p>
    <w:p w:rsidR="00D035BF" w:rsidRPr="00A41F30" w:rsidRDefault="00D035BF" w:rsidP="00D035BF">
      <w:pPr>
        <w:pStyle w:val="Normaltindrag"/>
        <w:rPr>
          <w:u w:val="single"/>
        </w:rPr>
      </w:pPr>
      <w:r w:rsidRPr="00AA5881">
        <w:t>Konstitutionsutskottet behandlar Riksdagsförvaltningens årsredovisning i samband med sin behandling av utgiftsområde 1 Rikets styrelse i budgetpropositionen. I utgiftsområdet ingår bland annat riksdagens förvaltningsanslag. Riksdagsdirektören informerar och svarar på ledamöternas frågor vid ett utskottssammanträde inom ramen för utskottets beredning.</w:t>
      </w:r>
    </w:p>
    <w:p w:rsidR="00D035BF" w:rsidRPr="00AA5881" w:rsidRDefault="00D035BF" w:rsidP="00D035BF">
      <w:pPr>
        <w:pStyle w:val="Rubrik3"/>
      </w:pPr>
      <w:bookmarkStart w:id="11" w:name="_Toc411239633"/>
      <w:bookmarkStart w:id="12" w:name="_Toc474168594"/>
      <w:r w:rsidRPr="00AA5881">
        <w:t>1.4 Personal och organisation</w:t>
      </w:r>
      <w:bookmarkEnd w:id="11"/>
      <w:bookmarkEnd w:id="12"/>
    </w:p>
    <w:p w:rsidR="00D035BF" w:rsidRPr="00AA5881" w:rsidRDefault="006A5458" w:rsidP="00D035BF">
      <w:r w:rsidRPr="00AA5881">
        <w:t xml:space="preserve">Riksdagsförvaltningen är en kunskapsintensiv organisation vars främsta tillgång är en kunnig och skicklig personal. </w:t>
      </w:r>
      <w:r w:rsidR="00D035BF" w:rsidRPr="00AA5881">
        <w:t>Yrkesgrupperna förenas i det gemensamma uppdraget att stödja den parlamentariska processen. Att kontinuerligt utveckla och höja kompetensen på olika områden är en grundläggande förutsättning för att verksamheten ska kunna ge det stöd och den service som ledamöterna och riksdagsarbetet kräver. Aktuella personaluppgifter och statistik redovisas i avsnitt 3.5.</w:t>
      </w:r>
    </w:p>
    <w:p w:rsidR="00D035BF" w:rsidRPr="00A41F30" w:rsidRDefault="001B5590" w:rsidP="00EB3563">
      <w:pPr>
        <w:spacing w:before="0"/>
        <w:ind w:firstLine="227"/>
        <w:rPr>
          <w:u w:val="single"/>
        </w:rPr>
      </w:pPr>
      <w:r w:rsidRPr="004A4914">
        <w:t>Vissa delar av förvaltningens organisation har setts över under året. Syftet är att göra verksamheten mer ändamålsenlig och effektiv. Stödet till riksdagsledamöterna har fö</w:t>
      </w:r>
      <w:r w:rsidR="004A4914" w:rsidRPr="004A4914">
        <w:t>rstärkts ytterligare genom ett utvecklat</w:t>
      </w:r>
      <w:r w:rsidRPr="004A4914">
        <w:t xml:space="preserve"> samarbete mellan utredningstjänsten</w:t>
      </w:r>
      <w:r w:rsidR="004A4914" w:rsidRPr="004A4914">
        <w:t>, utvärderings- och forskningssekretariatet samt</w:t>
      </w:r>
      <w:r w:rsidRPr="004A4914">
        <w:t xml:space="preserve"> Riksdagsbiblioteket. </w:t>
      </w:r>
      <w:r w:rsidRPr="00F127D2">
        <w:t xml:space="preserve">Arbetet vid säkerhetsenheten </w:t>
      </w:r>
      <w:r w:rsidR="0005705E" w:rsidRPr="00F127D2">
        <w:t>har omorganiserats</w:t>
      </w:r>
      <w:r w:rsidRPr="00F127D2">
        <w:t xml:space="preserve"> från två till tre </w:t>
      </w:r>
      <w:r w:rsidR="0005705E" w:rsidRPr="00F127D2">
        <w:t xml:space="preserve">sektioner och </w:t>
      </w:r>
      <w:r w:rsidR="00DD58AC">
        <w:t xml:space="preserve">enheten har </w:t>
      </w:r>
      <w:r w:rsidR="0005705E" w:rsidRPr="00F127D2">
        <w:t>fått</w:t>
      </w:r>
      <w:r w:rsidR="007776BB" w:rsidRPr="00F127D2">
        <w:t xml:space="preserve"> fler anställningar</w:t>
      </w:r>
      <w:r w:rsidRPr="00F127D2">
        <w:t>.</w:t>
      </w:r>
      <w:r w:rsidRPr="004A4914">
        <w:t xml:space="preserve"> I slutet av året beslutade riksdagsdirektören om ett par förändringar som ska gälla från den 1 januari 2017. Av den tidigare informationsenheten bildas två enheter: enheten kommunika</w:t>
      </w:r>
      <w:r w:rsidR="00846371">
        <w:softHyphen/>
      </w:r>
      <w:r w:rsidRPr="004A4914">
        <w:t xml:space="preserve">tionsplanering och enheten </w:t>
      </w:r>
      <w:r w:rsidR="001465E5">
        <w:t>press, redaktion</w:t>
      </w:r>
      <w:r w:rsidRPr="004A4914">
        <w:t xml:space="preserve"> och utveckling.</w:t>
      </w:r>
      <w:r w:rsidR="007577D2" w:rsidRPr="00A41F30">
        <w:rPr>
          <w:u w:val="single"/>
        </w:rPr>
        <w:t xml:space="preserve"> </w:t>
      </w:r>
    </w:p>
    <w:p w:rsidR="00D035BF" w:rsidRPr="00DF5D52" w:rsidRDefault="00D035BF" w:rsidP="00D035BF">
      <w:pPr>
        <w:pStyle w:val="Normaltindrag"/>
      </w:pPr>
    </w:p>
    <w:p w:rsidR="00D035BF" w:rsidRPr="00461C3F" w:rsidRDefault="009932E6" w:rsidP="00D035BF">
      <w:pPr>
        <w:spacing w:before="0" w:after="200" w:line="276" w:lineRule="auto"/>
        <w:jc w:val="left"/>
      </w:pPr>
      <w:r>
        <w:rPr>
          <w:noProof/>
          <w:lang w:eastAsia="sv-SE"/>
        </w:rPr>
        <w:lastRenderedPageBreak/>
        <w:drawing>
          <wp:inline distT="0" distB="0" distL="0" distR="0">
            <wp:extent cx="3745230" cy="3474085"/>
            <wp:effectExtent l="0" t="0" r="762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ganisation 161231_slutli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45230" cy="3474085"/>
                    </a:xfrm>
                    <a:prstGeom prst="rect">
                      <a:avLst/>
                    </a:prstGeom>
                  </pic:spPr>
                </pic:pic>
              </a:graphicData>
            </a:graphic>
          </wp:inline>
        </w:drawing>
      </w:r>
    </w:p>
    <w:p w:rsidR="00D035BF" w:rsidRDefault="00D035BF" w:rsidP="00D035BF">
      <w:pPr>
        <w:spacing w:before="0" w:after="200" w:line="276" w:lineRule="auto"/>
        <w:jc w:val="left"/>
        <w:rPr>
          <w:u w:val="single"/>
        </w:rPr>
      </w:pPr>
      <w:r>
        <w:rPr>
          <w:u w:val="single"/>
        </w:rPr>
        <w:br w:type="page"/>
      </w:r>
    </w:p>
    <w:p w:rsidR="00D035BF" w:rsidRDefault="00D035BF" w:rsidP="00D035BF">
      <w:pPr>
        <w:pStyle w:val="Rubrik2"/>
      </w:pPr>
      <w:bookmarkStart w:id="13" w:name="_Toc411239634"/>
      <w:bookmarkStart w:id="14" w:name="_Toc474168595"/>
      <w:r>
        <w:lastRenderedPageBreak/>
        <w:t>2 Sammanfattning – resultat och utveckling 201</w:t>
      </w:r>
      <w:bookmarkEnd w:id="13"/>
      <w:r w:rsidR="00A750D9">
        <w:t>6</w:t>
      </w:r>
      <w:bookmarkEnd w:id="14"/>
    </w:p>
    <w:p w:rsidR="00D035BF" w:rsidRPr="00461C3F" w:rsidRDefault="00D035BF" w:rsidP="00D035BF">
      <w:r w:rsidRPr="00461C3F">
        <w:t>I detta kapitel redovisas en sammanfattning av resultatet för samtliga uppdragsområden och viktigare utvecklingsinsatser. I kapitel 3 redovisas Riksdagsförvaltningens uppdrag, resultat, kostnader och intäkter för respektive uppdragsområde närmare.</w:t>
      </w:r>
    </w:p>
    <w:p w:rsidR="00D035BF" w:rsidRPr="000C38A4" w:rsidRDefault="00D035BF" w:rsidP="00D035BF">
      <w:pPr>
        <w:pStyle w:val="Rubrik4"/>
      </w:pPr>
      <w:r w:rsidRPr="000C38A4">
        <w:t>Kammare och utskott – uppdragsområde A</w:t>
      </w:r>
    </w:p>
    <w:p w:rsidR="00D035BF" w:rsidRPr="000C38A4" w:rsidRDefault="00D035BF" w:rsidP="00D035BF">
      <w:r w:rsidRPr="000C38A4">
        <w:t xml:space="preserve">Riksdagsförvaltningen har säkerställt att riksdagen har kunnat fullgöra sina uppgifter enligt bestämmelserna i regeringsformen och riksdagsordningen. Bedömningen baseras i huvudsak på följande fakta: </w:t>
      </w:r>
    </w:p>
    <w:p w:rsidR="00D035BF" w:rsidRPr="006F308B" w:rsidRDefault="00D035BF" w:rsidP="00D035BF">
      <w:pPr>
        <w:pStyle w:val="Punktlistabomb"/>
      </w:pPr>
      <w:r w:rsidRPr="006F308B">
        <w:t xml:space="preserve">Arbetet i kammaren har genomförts enligt </w:t>
      </w:r>
      <w:r w:rsidR="00922835" w:rsidRPr="006F308B">
        <w:t>plan</w:t>
      </w:r>
      <w:r w:rsidRPr="006F308B">
        <w:t xml:space="preserve">. </w:t>
      </w:r>
    </w:p>
    <w:p w:rsidR="00D035BF" w:rsidRPr="006F308B" w:rsidRDefault="00D035BF" w:rsidP="00D035BF">
      <w:pPr>
        <w:pStyle w:val="Punktlistabomb"/>
      </w:pPr>
      <w:r w:rsidRPr="006F308B">
        <w:t>Riksdagens protokoll har kommit ut i rätt tid.</w:t>
      </w:r>
    </w:p>
    <w:p w:rsidR="00D035BF" w:rsidRPr="006F308B" w:rsidRDefault="00D035BF" w:rsidP="00D035BF">
      <w:pPr>
        <w:pStyle w:val="Punktlistabomb"/>
      </w:pPr>
      <w:r w:rsidRPr="006F308B">
        <w:t xml:space="preserve">Utskotten och EU-nämnden har fått ett väl fungerande stöd. </w:t>
      </w:r>
    </w:p>
    <w:p w:rsidR="00D035BF" w:rsidRPr="006F308B" w:rsidRDefault="00ED720D" w:rsidP="00E25EA5">
      <w:pPr>
        <w:pStyle w:val="Punktlistabomb"/>
        <w:rPr>
          <w:u w:val="single"/>
        </w:rPr>
      </w:pPr>
      <w:r w:rsidRPr="006F308B">
        <w:t>Vid inkommande internationella besök</w:t>
      </w:r>
      <w:r w:rsidR="00E25EA5" w:rsidRPr="006F308B">
        <w:t xml:space="preserve"> </w:t>
      </w:r>
      <w:r w:rsidRPr="006F308B">
        <w:t xml:space="preserve">har </w:t>
      </w:r>
      <w:r w:rsidR="00E25EA5" w:rsidRPr="006F308B">
        <w:t>förutsättningar</w:t>
      </w:r>
      <w:r w:rsidR="006F308B" w:rsidRPr="006F308B">
        <w:t>na</w:t>
      </w:r>
      <w:r w:rsidR="00E25EA5" w:rsidRPr="006F308B">
        <w:t xml:space="preserve"> </w:t>
      </w:r>
      <w:r w:rsidRPr="006F308B">
        <w:t>varit goda för möten av hög kvalitet.</w:t>
      </w:r>
    </w:p>
    <w:p w:rsidR="00D035BF" w:rsidRPr="00976E78" w:rsidRDefault="00B137DB" w:rsidP="002317BB">
      <w:r w:rsidRPr="009932E6">
        <w:t>Under året har Riksdagsförvaltninge</w:t>
      </w:r>
      <w:r w:rsidR="00247573" w:rsidRPr="009932E6">
        <w:t>n formerat systemförvaltningsor</w:t>
      </w:r>
      <w:r w:rsidR="008F363E">
        <w:t>ganisa-</w:t>
      </w:r>
      <w:r w:rsidRPr="009932E6">
        <w:t>tionen för och fortsatt utveckla it-systemen som stöder den parlamentariska processen. Samtlig</w:t>
      </w:r>
      <w:r w:rsidR="00247573" w:rsidRPr="009932E6">
        <w:t>a utskott har fått fördjupad ut</w:t>
      </w:r>
      <w:r w:rsidRPr="009932E6">
        <w:t>bildning i den digitala mötestjänsten.</w:t>
      </w:r>
      <w:r w:rsidR="00247573" w:rsidRPr="009932E6">
        <w:t xml:space="preserve"> Förberedelserna för en moderni</w:t>
      </w:r>
      <w:r w:rsidRPr="009932E6">
        <w:t xml:space="preserve">sering av </w:t>
      </w:r>
      <w:r w:rsidR="00195D1C" w:rsidRPr="009932E6">
        <w:t>det tekniska kammarstödet</w:t>
      </w:r>
      <w:r w:rsidRPr="009932E6">
        <w:t xml:space="preserve"> har påbör</w:t>
      </w:r>
      <w:r w:rsidR="00247573" w:rsidRPr="009932E6">
        <w:t>jats och arbetet med att möjlig</w:t>
      </w:r>
      <w:r w:rsidRPr="009932E6">
        <w:t>göra en tillfällig flytt av kammarens sammanträden har fortsatt.</w:t>
      </w:r>
    </w:p>
    <w:p w:rsidR="00D035BF" w:rsidRPr="000C38A4" w:rsidRDefault="00D035BF" w:rsidP="00D035BF">
      <w:pPr>
        <w:pStyle w:val="Rubrik4"/>
      </w:pPr>
      <w:r w:rsidRPr="000C38A4">
        <w:t>Ledamöter och partikanslier – uppdragsområde B</w:t>
      </w:r>
    </w:p>
    <w:p w:rsidR="00D035BF" w:rsidRPr="000C38A4" w:rsidRDefault="00D035BF" w:rsidP="00D035BF">
      <w:r w:rsidRPr="000C38A4">
        <w:t>Riksdagsförvaltningen har säkerställt att ledamöter och partikanslier har fått ett väl fungerande stöd och en god service. Bedömningen baseras i huvudsak på följande fakta:</w:t>
      </w:r>
    </w:p>
    <w:p w:rsidR="00D035BF" w:rsidRPr="00A906D2" w:rsidRDefault="009D63EC" w:rsidP="009D63EC">
      <w:pPr>
        <w:pStyle w:val="Punktlistabomb"/>
      </w:pPr>
      <w:r w:rsidRPr="00A906D2">
        <w:t>Ledamöterna är nöjda med förvaltningen</w:t>
      </w:r>
      <w:r w:rsidR="000C38A4" w:rsidRPr="00A906D2">
        <w:t>s stöd och service.</w:t>
      </w:r>
      <w:r w:rsidR="00D035BF" w:rsidRPr="00A906D2">
        <w:t xml:space="preserve"> </w:t>
      </w:r>
    </w:p>
    <w:p w:rsidR="00D035BF" w:rsidRPr="00620553" w:rsidRDefault="00FE131F" w:rsidP="00D035BF">
      <w:pPr>
        <w:pStyle w:val="Punktlistabomb"/>
      </w:pPr>
      <w:r w:rsidRPr="00620553">
        <w:t>E</w:t>
      </w:r>
      <w:r w:rsidR="00D035BF" w:rsidRPr="00620553">
        <w:t>fterfrågan på faktaunderlag o</w:t>
      </w:r>
      <w:r w:rsidR="003F7844" w:rsidRPr="00620553">
        <w:t xml:space="preserve">ch utredningstjänster </w:t>
      </w:r>
      <w:r w:rsidR="000C38A4" w:rsidRPr="00620553">
        <w:t>fortsä</w:t>
      </w:r>
      <w:r w:rsidR="00D035BF" w:rsidRPr="00620553">
        <w:t>tt</w:t>
      </w:r>
      <w:r w:rsidR="000C38A4" w:rsidRPr="00620553">
        <w:t>er</w:t>
      </w:r>
      <w:r w:rsidR="003F7844" w:rsidRPr="00620553">
        <w:t xml:space="preserve"> att vara </w:t>
      </w:r>
      <w:r w:rsidR="00D035BF" w:rsidRPr="00620553">
        <w:t>hög.</w:t>
      </w:r>
    </w:p>
    <w:p w:rsidR="007C6885" w:rsidRPr="00620553" w:rsidRDefault="007C6885" w:rsidP="007C6885">
      <w:pPr>
        <w:pStyle w:val="Punktlistabomb"/>
        <w:rPr>
          <w:u w:val="single"/>
        </w:rPr>
      </w:pPr>
      <w:r w:rsidRPr="00620553">
        <w:t>It-stöd och arbetsverktyg</w:t>
      </w:r>
      <w:r w:rsidR="00577347" w:rsidRPr="00620553">
        <w:t>,</w:t>
      </w:r>
      <w:r w:rsidRPr="00620553">
        <w:t xml:space="preserve"> </w:t>
      </w:r>
      <w:r w:rsidR="00FE131F" w:rsidRPr="00620553">
        <w:t xml:space="preserve">som </w:t>
      </w:r>
      <w:r w:rsidRPr="00620553">
        <w:t>till exempel Intranätet och kammarappen, har fungerat stabilt och effektivt.</w:t>
      </w:r>
    </w:p>
    <w:p w:rsidR="007C6885" w:rsidRPr="00620553" w:rsidRDefault="000C38A4" w:rsidP="00CA78BF">
      <w:pPr>
        <w:pStyle w:val="Punktlistabomb"/>
      </w:pPr>
      <w:r w:rsidRPr="00620553">
        <w:t>Servicen till ledamöter</w:t>
      </w:r>
      <w:r w:rsidR="00FE131F" w:rsidRPr="00620553">
        <w:t>na</w:t>
      </w:r>
      <w:r w:rsidR="00CA78BF" w:rsidRPr="00620553">
        <w:t xml:space="preserve"> har fortsatt att utvecklas.</w:t>
      </w:r>
    </w:p>
    <w:p w:rsidR="001027E8" w:rsidRPr="00A906D2" w:rsidRDefault="004B5318" w:rsidP="001027E8">
      <w:pPr>
        <w:pStyle w:val="Punktlistabomb"/>
      </w:pPr>
      <w:r w:rsidRPr="00A906D2">
        <w:t>Rätt säkerhetsnivåer har upprätthållits.</w:t>
      </w:r>
    </w:p>
    <w:p w:rsidR="001027E8" w:rsidRPr="00976E78" w:rsidRDefault="00B25C67" w:rsidP="001027E8">
      <w:r w:rsidRPr="0046159F">
        <w:t>Arbetet med att införa ett ledningssystem för informationssäkerhet har fortsatt och under året fattade riksdagsdirektören beslut om ett antal styrdok</w:t>
      </w:r>
      <w:r w:rsidR="006E3C43">
        <w:t>u</w:t>
      </w:r>
      <w:r w:rsidRPr="0046159F">
        <w:t>ment som reglerar informationssäkerhetsområdet. Förvaltningen har även vidtagit åtgärder för att förbättra förmågan att upptäcka säkerhetsincidenter. För att underlätta ledamöternas löpande arbete med EU-frågor har förvaltningen börjat ta fram en digital EU-handledning. Förvaltningen har även fortsatt att införa digitala samarbetsytor till stöd för bland annat dokumenthantering.</w:t>
      </w:r>
    </w:p>
    <w:p w:rsidR="00D035BF" w:rsidRPr="00F6153C" w:rsidRDefault="00D035BF" w:rsidP="00D035BF">
      <w:pPr>
        <w:pStyle w:val="Rubrik4"/>
      </w:pPr>
      <w:r w:rsidRPr="00F6153C">
        <w:lastRenderedPageBreak/>
        <w:t>Kunskap om riksdagen – uppdragsområde C</w:t>
      </w:r>
    </w:p>
    <w:p w:rsidR="00D035BF" w:rsidRPr="00F6153C" w:rsidRDefault="00D035BF" w:rsidP="00D035BF">
      <w:r w:rsidRPr="00F6153C">
        <w:t>Riksdagsförvaltningen har säkerställt att allmänheten, massmedier, vidareinformatörer, skolor och speciella målgrupper har getts möjligheter till infor</w:t>
      </w:r>
      <w:r w:rsidR="00FF7EEE" w:rsidRPr="00F6153C">
        <w:softHyphen/>
        <w:t>-</w:t>
      </w:r>
      <w:r w:rsidRPr="00F6153C">
        <w:t>mation och kunskap om riksdagens arbete. Bedömningen baseras i huvudsak på följande fakta:</w:t>
      </w:r>
    </w:p>
    <w:p w:rsidR="00D035BF" w:rsidRPr="00A62EE2" w:rsidRDefault="0078211A" w:rsidP="0078211A">
      <w:pPr>
        <w:pStyle w:val="Punktlistabomb"/>
      </w:pPr>
      <w:r w:rsidRPr="00A62EE2">
        <w:t>Det har blivit enklare att söka, följa och bevaka riksdagens arbete och beslut i bland annat digitala kanaler</w:t>
      </w:r>
      <w:r w:rsidR="00D035BF" w:rsidRPr="00A62EE2">
        <w:t xml:space="preserve">. </w:t>
      </w:r>
    </w:p>
    <w:p w:rsidR="00D035BF" w:rsidRPr="00A62EE2" w:rsidRDefault="00D035BF" w:rsidP="00D035BF">
      <w:pPr>
        <w:pStyle w:val="Punktlistabomb"/>
      </w:pPr>
      <w:r w:rsidRPr="00A62EE2">
        <w:t xml:space="preserve">Tv-produktionen kring riksdagens arbete har fungerat väl. </w:t>
      </w:r>
    </w:p>
    <w:p w:rsidR="00D035BF" w:rsidRPr="00A62EE2" w:rsidRDefault="002A2EBF" w:rsidP="002A2EBF">
      <w:pPr>
        <w:pStyle w:val="Punktlistabomb"/>
      </w:pPr>
      <w:r w:rsidRPr="00A62EE2">
        <w:t xml:space="preserve">Intresset för visningar </w:t>
      </w:r>
      <w:r w:rsidR="00B87F2B" w:rsidRPr="00A62EE2">
        <w:t xml:space="preserve">av Riksdagshuset </w:t>
      </w:r>
      <w:r w:rsidR="00F6153C" w:rsidRPr="00A62EE2">
        <w:t>samt studiebesök för gymnasieskolan och besök i Demokrativerkstaden fortsätter</w:t>
      </w:r>
      <w:r w:rsidRPr="00A62EE2">
        <w:t xml:space="preserve"> att vara högt </w:t>
      </w:r>
      <w:r w:rsidR="00F6153C" w:rsidRPr="00A62EE2">
        <w:t>och verksamheten håller hög kvalitet</w:t>
      </w:r>
      <w:r w:rsidRPr="00A62EE2">
        <w:t>.</w:t>
      </w:r>
      <w:r w:rsidR="00D035BF" w:rsidRPr="00A62EE2">
        <w:t xml:space="preserve"> </w:t>
      </w:r>
    </w:p>
    <w:p w:rsidR="00D035BF" w:rsidRPr="00EB6EE6" w:rsidRDefault="00D035BF" w:rsidP="00D035BF">
      <w:pPr>
        <w:pStyle w:val="Punktlistabomb"/>
      </w:pPr>
      <w:r w:rsidRPr="00EB6EE6">
        <w:t xml:space="preserve">Kurser och fortbildningsdagar för externa målgrupper har hållit hög kvalitet. </w:t>
      </w:r>
    </w:p>
    <w:p w:rsidR="00B7481D" w:rsidRPr="00976E78" w:rsidRDefault="00377DA8" w:rsidP="00B7481D">
      <w:r w:rsidRPr="006E3C43">
        <w:t>Under året har Riksdagsförvaltningen arbetat med att utveckla EU-informationen till</w:t>
      </w:r>
      <w:r w:rsidR="00A12799">
        <w:t xml:space="preserve"> allmänheten. Arbete med</w:t>
      </w:r>
      <w:r w:rsidRPr="006E3C43">
        <w:t xml:space="preserve"> att ta fram en ny EU-webbplats pågår och under våren 2017 ska den nya webbplatsen lanseras. Förvaltningen har även utvecklat undervisningsmaterialet och kommunikationen med skolor. Det har gjorts utifrån resultatet av en enkätundersökning till landets grund- och gymnasieskolor.</w:t>
      </w:r>
      <w:r w:rsidRPr="00377DA8">
        <w:t xml:space="preserve"> </w:t>
      </w:r>
    </w:p>
    <w:p w:rsidR="00D035BF" w:rsidRPr="00B7481D" w:rsidRDefault="00D035BF" w:rsidP="00D035BF">
      <w:pPr>
        <w:pStyle w:val="Rubrik4"/>
      </w:pPr>
      <w:r w:rsidRPr="00B7481D">
        <w:t>Riksdagens byggnader och samlingar – uppdragsområde D</w:t>
      </w:r>
    </w:p>
    <w:p w:rsidR="00D035BF" w:rsidRPr="00B7481D" w:rsidRDefault="00D035BF" w:rsidP="00D035BF">
      <w:r w:rsidRPr="00B7481D">
        <w:t>Riksdagsförvaltningen har utvecklat sitt arbete med att vårda och bevara riksdagens byggnader och samlingar på ett systematiskt sätt. Bedömningen baseras i huvudsak på följande fakta:</w:t>
      </w:r>
    </w:p>
    <w:p w:rsidR="00D035BF" w:rsidRPr="00E32078" w:rsidRDefault="00D035BF" w:rsidP="00D035BF">
      <w:pPr>
        <w:pStyle w:val="Punktlistabomb"/>
      </w:pPr>
      <w:r w:rsidRPr="00E32078">
        <w:t>Styrningen och ledningen av fastighetsverksamheten har fo</w:t>
      </w:r>
      <w:r w:rsidR="00C70EFA" w:rsidRPr="00E32078">
        <w:t>rtsatt att utvecklas</w:t>
      </w:r>
      <w:r w:rsidRPr="00E32078">
        <w:t>.</w:t>
      </w:r>
    </w:p>
    <w:p w:rsidR="00D035BF" w:rsidRPr="00E32078" w:rsidRDefault="00D035BF" w:rsidP="00D035BF">
      <w:pPr>
        <w:pStyle w:val="Punktlistabomb"/>
      </w:pPr>
      <w:r w:rsidRPr="00E32078">
        <w:t>Fas</w:t>
      </w:r>
      <w:r w:rsidR="009111C2" w:rsidRPr="00E32078">
        <w:t xml:space="preserve">tighetsprojekten har </w:t>
      </w:r>
      <w:r w:rsidRPr="00E32078">
        <w:t xml:space="preserve">bedrivits enligt plan. </w:t>
      </w:r>
    </w:p>
    <w:p w:rsidR="00D035BF" w:rsidRPr="00E32078" w:rsidRDefault="00D035BF" w:rsidP="00D035BF">
      <w:pPr>
        <w:pStyle w:val="Punktlistabomb"/>
      </w:pPr>
      <w:r w:rsidRPr="00E32078">
        <w:t>Arbetet med att tillgängliggöra äld</w:t>
      </w:r>
      <w:r w:rsidR="00166DD7" w:rsidRPr="00E32078">
        <w:t>re riksdagsdokument har bedrivits enligt plan</w:t>
      </w:r>
      <w:r w:rsidRPr="00E32078">
        <w:t>.</w:t>
      </w:r>
    </w:p>
    <w:p w:rsidR="00D035BF" w:rsidRPr="0059245C" w:rsidRDefault="00D035BF" w:rsidP="00D035BF">
      <w:pPr>
        <w:pStyle w:val="Rubrik4"/>
      </w:pPr>
      <w:r w:rsidRPr="0059245C">
        <w:t>Myndighet och arbetsgivare – uppdragsområde E</w:t>
      </w:r>
    </w:p>
    <w:p w:rsidR="00D035BF" w:rsidRPr="0059245C" w:rsidRDefault="00D035BF" w:rsidP="00D035BF">
      <w:r w:rsidRPr="0059245C">
        <w:t>Förvaltningen bedömer att den har varit en väl fungerande myndighet och arbetsgivare</w:t>
      </w:r>
      <w:r w:rsidR="00E32078">
        <w:t>, även om sjukfrånvaron har ökat något</w:t>
      </w:r>
      <w:r w:rsidRPr="0059245C">
        <w:t>. Bedömningen baseras i huvudsak på följande fakta:</w:t>
      </w:r>
    </w:p>
    <w:p w:rsidR="00D035BF" w:rsidRPr="00E1330B" w:rsidRDefault="00D035BF" w:rsidP="00D035BF">
      <w:pPr>
        <w:pStyle w:val="Punktlistabomb"/>
      </w:pPr>
      <w:r w:rsidRPr="00E1330B">
        <w:t xml:space="preserve">Sjukfrånvaron </w:t>
      </w:r>
      <w:r w:rsidR="00E32078" w:rsidRPr="00E1330B">
        <w:t>har ökat något</w:t>
      </w:r>
      <w:r w:rsidRPr="00E1330B">
        <w:t xml:space="preserve">. </w:t>
      </w:r>
    </w:p>
    <w:p w:rsidR="00D035BF" w:rsidRPr="00E1330B" w:rsidRDefault="00E32078" w:rsidP="00D035BF">
      <w:pPr>
        <w:pStyle w:val="Punktlistabomb"/>
      </w:pPr>
      <w:r w:rsidRPr="00E1330B">
        <w:t>Kompetensanalyser genomför</w:t>
      </w:r>
      <w:r w:rsidR="0059245C" w:rsidRPr="00E1330B">
        <w:t>s för att säkerställa framtida kompetensförsörjning</w:t>
      </w:r>
      <w:r w:rsidR="00D035BF" w:rsidRPr="00E1330B">
        <w:t xml:space="preserve">. </w:t>
      </w:r>
    </w:p>
    <w:p w:rsidR="00D035BF" w:rsidRPr="00E1330B" w:rsidRDefault="00D035BF" w:rsidP="00D035BF">
      <w:pPr>
        <w:pStyle w:val="Punktlistabomb"/>
      </w:pPr>
      <w:r w:rsidRPr="00E1330B">
        <w:t>T</w:t>
      </w:r>
      <w:r w:rsidR="00E32078" w:rsidRPr="00E1330B">
        <w:t>illgången till it-stöd är</w:t>
      </w:r>
      <w:r w:rsidRPr="00E1330B">
        <w:t xml:space="preserve"> stabil. </w:t>
      </w:r>
    </w:p>
    <w:p w:rsidR="00D035BF" w:rsidRPr="00E1330B" w:rsidRDefault="00E32078" w:rsidP="009E6522">
      <w:pPr>
        <w:pStyle w:val="Punktlistabomb"/>
      </w:pPr>
      <w:r w:rsidRPr="00E1330B">
        <w:t>Förvaltningen når</w:t>
      </w:r>
      <w:r w:rsidR="0059245C" w:rsidRPr="00E1330B">
        <w:t xml:space="preserve"> sina miljömål</w:t>
      </w:r>
      <w:r w:rsidR="009E6522" w:rsidRPr="00E1330B">
        <w:t>.</w:t>
      </w:r>
      <w:r w:rsidR="00D035BF" w:rsidRPr="00E1330B">
        <w:t xml:space="preserve"> </w:t>
      </w:r>
    </w:p>
    <w:p w:rsidR="0059245C" w:rsidRPr="00976E78" w:rsidRDefault="0059245C" w:rsidP="0059245C">
      <w:r w:rsidRPr="00976E78">
        <w:lastRenderedPageBreak/>
        <w:t xml:space="preserve"> </w:t>
      </w:r>
      <w:r w:rsidR="003E60F0" w:rsidRPr="00651892">
        <w:t xml:space="preserve">Riksdagsförvaltningen har fortsatt att skapa förutsättningar för ett långsiktigt och hållbart förbättringsarbete. Under året har </w:t>
      </w:r>
      <w:r w:rsidR="00A12EFB" w:rsidRPr="00651892">
        <w:t xml:space="preserve">förvaltningen </w:t>
      </w:r>
      <w:r w:rsidR="003E60F0" w:rsidRPr="00651892">
        <w:t xml:space="preserve">bland annat </w:t>
      </w:r>
      <w:r w:rsidR="00A12EFB" w:rsidRPr="00651892">
        <w:t>arbetat med sin nya värdegrund</w:t>
      </w:r>
      <w:r w:rsidR="009A7887">
        <w:t>,</w:t>
      </w:r>
      <w:r w:rsidR="00A12EFB" w:rsidRPr="00651892">
        <w:t xml:space="preserve"> och </w:t>
      </w:r>
      <w:r w:rsidR="009A7887">
        <w:t xml:space="preserve">tagit fram </w:t>
      </w:r>
      <w:r w:rsidR="003E60F0" w:rsidRPr="00651892">
        <w:t xml:space="preserve">en handlingsplan för att etablera ett </w:t>
      </w:r>
      <w:r w:rsidR="009A7887">
        <w:t>systematiskt förbättringsarbete</w:t>
      </w:r>
      <w:r w:rsidR="00A12EFB" w:rsidRPr="00651892">
        <w:t>.</w:t>
      </w:r>
    </w:p>
    <w:p w:rsidR="00D035BF" w:rsidRPr="00D035BF" w:rsidRDefault="00D035BF" w:rsidP="0098555F">
      <w:pPr>
        <w:pStyle w:val="Rubrik4"/>
      </w:pPr>
      <w:r w:rsidRPr="00D035BF">
        <w:t>Intäkter, kostnader och transfereringar</w:t>
      </w:r>
    </w:p>
    <w:p w:rsidR="00D035BF" w:rsidRPr="00D035BF" w:rsidRDefault="00D035BF" w:rsidP="00DA1CF2">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23B7B">
        <w:rPr>
          <w:rFonts w:eastAsiaTheme="majorEastAsia" w:cstheme="majorBidi"/>
          <w:b/>
        </w:rPr>
        <w:t>Tabell 1 Intäkter, kostnader och transfereringar, samtliga uppdragsområden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76"/>
        <w:gridCol w:w="1275"/>
        <w:gridCol w:w="1300"/>
      </w:tblGrid>
      <w:tr w:rsidR="00D035BF" w:rsidRPr="00D035BF" w:rsidTr="00D035BF">
        <w:tc>
          <w:tcPr>
            <w:tcW w:w="1980" w:type="dxa"/>
            <w:tcBorders>
              <w:top w:val="single" w:sz="4" w:space="0" w:color="auto"/>
              <w:bottom w:val="single" w:sz="4" w:space="0" w:color="auto"/>
            </w:tcBorders>
          </w:tcPr>
          <w:p w:rsidR="00D035BF" w:rsidRPr="00D035BF" w:rsidRDefault="00D035BF" w:rsidP="00D035BF">
            <w:pPr>
              <w:spacing w:before="60" w:line="200" w:lineRule="exact"/>
            </w:pPr>
          </w:p>
        </w:tc>
        <w:tc>
          <w:tcPr>
            <w:tcW w:w="1276" w:type="dxa"/>
            <w:tcBorders>
              <w:top w:val="single" w:sz="4" w:space="0" w:color="auto"/>
              <w:bottom w:val="single" w:sz="4" w:space="0" w:color="auto"/>
            </w:tcBorders>
          </w:tcPr>
          <w:p w:rsidR="00D035BF" w:rsidRPr="00D035BF" w:rsidRDefault="00D035BF"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1626D9">
              <w:rPr>
                <w:rFonts w:eastAsia="Times New Roman"/>
                <w:b/>
                <w:sz w:val="16"/>
                <w:szCs w:val="16"/>
                <w:lang w:eastAsia="sv-SE"/>
              </w:rPr>
              <w:t>6</w:t>
            </w:r>
          </w:p>
        </w:tc>
        <w:tc>
          <w:tcPr>
            <w:tcW w:w="1275" w:type="dxa"/>
            <w:tcBorders>
              <w:top w:val="single" w:sz="4" w:space="0" w:color="auto"/>
              <w:bottom w:val="single" w:sz="4" w:space="0" w:color="auto"/>
            </w:tcBorders>
          </w:tcPr>
          <w:p w:rsidR="00D035BF" w:rsidRPr="00D035BF" w:rsidRDefault="00D035BF"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1626D9">
              <w:rPr>
                <w:rFonts w:eastAsia="Times New Roman"/>
                <w:b/>
                <w:sz w:val="16"/>
                <w:szCs w:val="16"/>
                <w:lang w:eastAsia="sv-SE"/>
              </w:rPr>
              <w:t>5</w:t>
            </w:r>
          </w:p>
        </w:tc>
        <w:tc>
          <w:tcPr>
            <w:tcW w:w="1300" w:type="dxa"/>
            <w:tcBorders>
              <w:top w:val="single" w:sz="4" w:space="0" w:color="auto"/>
              <w:bottom w:val="single" w:sz="4" w:space="0" w:color="auto"/>
            </w:tcBorders>
          </w:tcPr>
          <w:p w:rsidR="00D035BF" w:rsidRPr="00D035BF" w:rsidRDefault="00D035BF"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035BF">
              <w:rPr>
                <w:rFonts w:eastAsia="Times New Roman"/>
                <w:b/>
                <w:sz w:val="16"/>
                <w:szCs w:val="16"/>
                <w:lang w:eastAsia="sv-SE"/>
              </w:rPr>
              <w:t>201</w:t>
            </w:r>
            <w:r w:rsidR="001626D9">
              <w:rPr>
                <w:rFonts w:eastAsia="Times New Roman"/>
                <w:b/>
                <w:sz w:val="16"/>
                <w:szCs w:val="16"/>
                <w:lang w:eastAsia="sv-SE"/>
              </w:rPr>
              <w:t>4</w:t>
            </w:r>
          </w:p>
        </w:tc>
      </w:tr>
      <w:tr w:rsidR="001626D9" w:rsidRPr="00D035BF" w:rsidTr="00D035BF">
        <w:tc>
          <w:tcPr>
            <w:tcW w:w="1980" w:type="dxa"/>
            <w:tcBorders>
              <w:top w:val="single" w:sz="4" w:space="0" w:color="auto"/>
              <w:bottom w:val="nil"/>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Intäkter</w:t>
            </w:r>
            <w:r w:rsidR="006A22F5">
              <w:rPr>
                <w:rStyle w:val="Fotnotsreferens"/>
                <w:rFonts w:eastAsia="Times New Roman"/>
                <w:sz w:val="16"/>
                <w:szCs w:val="16"/>
                <w:lang w:eastAsia="sv-SE"/>
              </w:rPr>
              <w:footnoteReference w:id="5"/>
            </w:r>
          </w:p>
        </w:tc>
        <w:tc>
          <w:tcPr>
            <w:tcW w:w="1276" w:type="dxa"/>
            <w:tcBorders>
              <w:top w:val="single" w:sz="4" w:space="0" w:color="auto"/>
              <w:bottom w:val="nil"/>
            </w:tcBorders>
          </w:tcPr>
          <w:p w:rsidR="001626D9" w:rsidRPr="00651892" w:rsidRDefault="0095669C"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51892">
              <w:rPr>
                <w:rFonts w:eastAsia="Times New Roman"/>
                <w:sz w:val="16"/>
                <w:szCs w:val="16"/>
                <w:lang w:eastAsia="sv-SE"/>
              </w:rPr>
              <w:t>45 404</w:t>
            </w:r>
          </w:p>
        </w:tc>
        <w:tc>
          <w:tcPr>
            <w:tcW w:w="1275" w:type="dxa"/>
            <w:tcBorders>
              <w:top w:val="single" w:sz="4" w:space="0" w:color="auto"/>
              <w:bottom w:val="nil"/>
            </w:tcBorders>
          </w:tcPr>
          <w:p w:rsidR="001626D9" w:rsidRPr="00DD14A6" w:rsidRDefault="004B662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33 </w:t>
            </w:r>
            <w:r w:rsidR="001626D9" w:rsidRPr="00DD14A6">
              <w:rPr>
                <w:rFonts w:eastAsia="Times New Roman"/>
                <w:sz w:val="16"/>
                <w:szCs w:val="16"/>
                <w:lang w:eastAsia="sv-SE"/>
              </w:rPr>
              <w:t>330</w:t>
            </w:r>
          </w:p>
        </w:tc>
        <w:tc>
          <w:tcPr>
            <w:tcW w:w="1300" w:type="dxa"/>
            <w:tcBorders>
              <w:top w:val="single" w:sz="4" w:space="0" w:color="auto"/>
              <w:bottom w:val="nil"/>
            </w:tcBorders>
          </w:tcPr>
          <w:p w:rsidR="001626D9" w:rsidRPr="00D035BF" w:rsidRDefault="004B662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32 </w:t>
            </w:r>
            <w:r w:rsidR="001626D9" w:rsidRPr="00D035BF">
              <w:rPr>
                <w:rFonts w:eastAsia="Times New Roman"/>
                <w:sz w:val="16"/>
                <w:szCs w:val="16"/>
                <w:lang w:eastAsia="sv-SE"/>
              </w:rPr>
              <w:t>297</w:t>
            </w:r>
          </w:p>
        </w:tc>
      </w:tr>
      <w:tr w:rsidR="001626D9" w:rsidRPr="00D035BF" w:rsidTr="00D035BF">
        <w:tc>
          <w:tcPr>
            <w:tcW w:w="1980" w:type="dxa"/>
            <w:tcBorders>
              <w:top w:val="nil"/>
              <w:bottom w:val="single" w:sz="4" w:space="0" w:color="auto"/>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Kostnader</w:t>
            </w:r>
          </w:p>
        </w:tc>
        <w:tc>
          <w:tcPr>
            <w:tcW w:w="1276" w:type="dxa"/>
            <w:tcBorders>
              <w:top w:val="nil"/>
              <w:bottom w:val="single" w:sz="4" w:space="0" w:color="auto"/>
            </w:tcBorders>
          </w:tcPr>
          <w:p w:rsidR="001626D9" w:rsidRPr="00651892" w:rsidRDefault="0095669C"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sz w:val="16"/>
                <w:szCs w:val="16"/>
              </w:rPr>
            </w:pPr>
            <w:r w:rsidRPr="00651892">
              <w:rPr>
                <w:sz w:val="16"/>
                <w:szCs w:val="16"/>
              </w:rPr>
              <w:t>–1 997 239</w:t>
            </w:r>
          </w:p>
        </w:tc>
        <w:tc>
          <w:tcPr>
            <w:tcW w:w="1275" w:type="dxa"/>
            <w:tcBorders>
              <w:top w:val="nil"/>
              <w:bottom w:val="single" w:sz="4" w:space="0" w:color="auto"/>
            </w:tcBorders>
          </w:tcPr>
          <w:p w:rsidR="001626D9" w:rsidRPr="00DD14A6"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sz w:val="16"/>
                <w:szCs w:val="16"/>
              </w:rPr>
            </w:pPr>
            <w:r>
              <w:rPr>
                <w:rFonts w:eastAsia="Times New Roman"/>
                <w:sz w:val="16"/>
                <w:szCs w:val="16"/>
                <w:lang w:eastAsia="sv-SE"/>
              </w:rPr>
              <w:t>–</w:t>
            </w:r>
            <w:r w:rsidRPr="00DD14A6">
              <w:rPr>
                <w:rFonts w:eastAsia="Times New Roman"/>
                <w:sz w:val="16"/>
                <w:szCs w:val="16"/>
                <w:lang w:eastAsia="sv-SE"/>
              </w:rPr>
              <w:t>1</w:t>
            </w:r>
            <w:r w:rsidR="004B6629">
              <w:rPr>
                <w:rFonts w:eastAsia="Times New Roman"/>
                <w:sz w:val="16"/>
                <w:szCs w:val="16"/>
                <w:lang w:eastAsia="sv-SE"/>
              </w:rPr>
              <w:t> </w:t>
            </w:r>
            <w:r w:rsidR="004B6629">
              <w:rPr>
                <w:sz w:val="16"/>
                <w:szCs w:val="16"/>
              </w:rPr>
              <w:t>567 </w:t>
            </w:r>
            <w:r w:rsidRPr="00DD14A6">
              <w:rPr>
                <w:sz w:val="16"/>
                <w:szCs w:val="16"/>
              </w:rPr>
              <w:t>856</w:t>
            </w:r>
          </w:p>
        </w:tc>
        <w:tc>
          <w:tcPr>
            <w:tcW w:w="1300" w:type="dxa"/>
            <w:tcBorders>
              <w:top w:val="nil"/>
              <w:bottom w:val="single" w:sz="4" w:space="0" w:color="auto"/>
            </w:tcBorders>
          </w:tcPr>
          <w:p w:rsidR="001626D9" w:rsidRPr="00D035BF" w:rsidRDefault="004B662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–1 476 </w:t>
            </w:r>
            <w:r w:rsidR="001626D9" w:rsidRPr="00D035BF">
              <w:rPr>
                <w:rFonts w:eastAsia="Times New Roman"/>
                <w:sz w:val="16"/>
                <w:szCs w:val="16"/>
                <w:lang w:eastAsia="sv-SE"/>
              </w:rPr>
              <w:t>628</w:t>
            </w:r>
          </w:p>
        </w:tc>
      </w:tr>
      <w:tr w:rsidR="001626D9" w:rsidRPr="00D035BF" w:rsidTr="00D035BF">
        <w:tc>
          <w:tcPr>
            <w:tcW w:w="1980" w:type="dxa"/>
            <w:tcBorders>
              <w:top w:val="single" w:sz="4" w:space="0" w:color="auto"/>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i/>
                <w:sz w:val="16"/>
                <w:szCs w:val="16"/>
                <w:lang w:eastAsia="sv-SE"/>
              </w:rPr>
            </w:pPr>
            <w:r w:rsidRPr="00D035BF">
              <w:rPr>
                <w:rFonts w:eastAsia="Times New Roman"/>
                <w:i/>
                <w:sz w:val="16"/>
                <w:szCs w:val="16"/>
                <w:lang w:eastAsia="sv-SE"/>
              </w:rPr>
              <w:t>Nettokostnad</w:t>
            </w:r>
          </w:p>
        </w:tc>
        <w:tc>
          <w:tcPr>
            <w:tcW w:w="1276" w:type="dxa"/>
            <w:tcBorders>
              <w:top w:val="single" w:sz="4" w:space="0" w:color="auto"/>
            </w:tcBorders>
          </w:tcPr>
          <w:p w:rsidR="001626D9" w:rsidRPr="00651892" w:rsidRDefault="0095669C"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sidRPr="00651892">
              <w:rPr>
                <w:rFonts w:eastAsia="Times New Roman"/>
                <w:i/>
                <w:sz w:val="16"/>
                <w:szCs w:val="16"/>
                <w:lang w:eastAsia="sv-SE"/>
              </w:rPr>
              <w:t>–1 951 835</w:t>
            </w:r>
          </w:p>
        </w:tc>
        <w:tc>
          <w:tcPr>
            <w:tcW w:w="1275" w:type="dxa"/>
            <w:tcBorders>
              <w:top w:val="single" w:sz="4" w:space="0" w:color="auto"/>
            </w:tcBorders>
          </w:tcPr>
          <w:p w:rsidR="001626D9" w:rsidRPr="00DD14A6"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Pr>
                <w:rFonts w:eastAsia="Times New Roman"/>
                <w:i/>
                <w:sz w:val="16"/>
                <w:szCs w:val="16"/>
                <w:lang w:eastAsia="sv-SE"/>
              </w:rPr>
              <w:t>–</w:t>
            </w:r>
            <w:r w:rsidR="004B6629">
              <w:rPr>
                <w:rFonts w:eastAsia="Times New Roman"/>
                <w:i/>
                <w:sz w:val="16"/>
                <w:szCs w:val="16"/>
                <w:lang w:eastAsia="sv-SE"/>
              </w:rPr>
              <w:t>1 534 </w:t>
            </w:r>
            <w:r w:rsidRPr="00DD14A6">
              <w:rPr>
                <w:rFonts w:eastAsia="Times New Roman"/>
                <w:i/>
                <w:sz w:val="16"/>
                <w:szCs w:val="16"/>
                <w:lang w:eastAsia="sv-SE"/>
              </w:rPr>
              <w:t>526</w:t>
            </w:r>
          </w:p>
        </w:tc>
        <w:tc>
          <w:tcPr>
            <w:tcW w:w="1300" w:type="dxa"/>
            <w:tcBorders>
              <w:top w:val="single" w:sz="4" w:space="0" w:color="auto"/>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sidRPr="00D035BF">
              <w:rPr>
                <w:rFonts w:eastAsia="Times New Roman"/>
                <w:i/>
                <w:sz w:val="16"/>
                <w:szCs w:val="16"/>
                <w:lang w:eastAsia="sv-SE"/>
              </w:rPr>
              <w:t>–1</w:t>
            </w:r>
            <w:r w:rsidR="004B6629">
              <w:rPr>
                <w:rFonts w:eastAsia="Times New Roman"/>
                <w:i/>
                <w:sz w:val="16"/>
                <w:szCs w:val="16"/>
                <w:lang w:eastAsia="sv-SE"/>
              </w:rPr>
              <w:t> 444 </w:t>
            </w:r>
            <w:r w:rsidRPr="00D035BF">
              <w:rPr>
                <w:rFonts w:eastAsia="Times New Roman"/>
                <w:i/>
                <w:sz w:val="16"/>
                <w:szCs w:val="16"/>
                <w:lang w:eastAsia="sv-SE"/>
              </w:rPr>
              <w:t>331</w:t>
            </w:r>
          </w:p>
        </w:tc>
      </w:tr>
      <w:tr w:rsidR="001626D9" w:rsidRPr="00D035BF" w:rsidTr="00D035BF">
        <w:tc>
          <w:tcPr>
            <w:tcW w:w="1980" w:type="dxa"/>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p>
        </w:tc>
        <w:tc>
          <w:tcPr>
            <w:tcW w:w="1276" w:type="dxa"/>
          </w:tcPr>
          <w:p w:rsidR="001626D9" w:rsidRPr="00651892"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c>
          <w:tcPr>
            <w:tcW w:w="1275" w:type="dxa"/>
          </w:tcPr>
          <w:p w:rsidR="001626D9" w:rsidRPr="00DD14A6"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c>
          <w:tcPr>
            <w:tcW w:w="1300" w:type="dxa"/>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r>
      <w:tr w:rsidR="001626D9" w:rsidRPr="00D035BF" w:rsidTr="00D035BF">
        <w:tc>
          <w:tcPr>
            <w:tcW w:w="1980" w:type="dxa"/>
            <w:tcBorders>
              <w:bottom w:val="single" w:sz="4" w:space="0" w:color="auto"/>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D035BF">
              <w:rPr>
                <w:rFonts w:eastAsia="Times New Roman"/>
                <w:sz w:val="16"/>
                <w:szCs w:val="16"/>
                <w:lang w:eastAsia="sv-SE"/>
              </w:rPr>
              <w:t>Transfereringar</w:t>
            </w:r>
          </w:p>
        </w:tc>
        <w:tc>
          <w:tcPr>
            <w:tcW w:w="1276" w:type="dxa"/>
            <w:tcBorders>
              <w:bottom w:val="single" w:sz="4" w:space="0" w:color="auto"/>
            </w:tcBorders>
          </w:tcPr>
          <w:p w:rsidR="001626D9" w:rsidRPr="00651892" w:rsidRDefault="0095669C"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51892">
              <w:rPr>
                <w:rFonts w:eastAsia="Times New Roman"/>
                <w:sz w:val="16"/>
                <w:szCs w:val="16"/>
                <w:lang w:eastAsia="sv-SE"/>
              </w:rPr>
              <w:t>–500 670</w:t>
            </w:r>
          </w:p>
        </w:tc>
        <w:tc>
          <w:tcPr>
            <w:tcW w:w="1275" w:type="dxa"/>
            <w:tcBorders>
              <w:bottom w:val="single" w:sz="4" w:space="0" w:color="auto"/>
            </w:tcBorders>
          </w:tcPr>
          <w:p w:rsidR="001626D9" w:rsidRPr="00DD14A6"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w:t>
            </w:r>
            <w:r w:rsidR="004B6629">
              <w:rPr>
                <w:rFonts w:eastAsia="Times New Roman"/>
                <w:sz w:val="16"/>
                <w:szCs w:val="16"/>
                <w:lang w:eastAsia="sv-SE"/>
              </w:rPr>
              <w:t>495 </w:t>
            </w:r>
            <w:r w:rsidRPr="00DD14A6">
              <w:rPr>
                <w:rFonts w:eastAsia="Times New Roman"/>
                <w:sz w:val="16"/>
                <w:szCs w:val="16"/>
                <w:lang w:eastAsia="sv-SE"/>
              </w:rPr>
              <w:t>720</w:t>
            </w:r>
          </w:p>
        </w:tc>
        <w:tc>
          <w:tcPr>
            <w:tcW w:w="1300" w:type="dxa"/>
            <w:tcBorders>
              <w:bottom w:val="single" w:sz="4" w:space="0" w:color="auto"/>
            </w:tcBorders>
          </w:tcPr>
          <w:p w:rsidR="001626D9" w:rsidRPr="00D035BF" w:rsidRDefault="004B662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–490 </w:t>
            </w:r>
            <w:r w:rsidR="001626D9" w:rsidRPr="00D035BF">
              <w:rPr>
                <w:rFonts w:eastAsia="Times New Roman"/>
                <w:sz w:val="16"/>
                <w:szCs w:val="16"/>
                <w:lang w:eastAsia="sv-SE"/>
              </w:rPr>
              <w:t>156</w:t>
            </w:r>
          </w:p>
        </w:tc>
      </w:tr>
      <w:tr w:rsidR="001626D9" w:rsidRPr="00D035BF" w:rsidTr="00D035BF">
        <w:tc>
          <w:tcPr>
            <w:tcW w:w="1980" w:type="dxa"/>
            <w:tcBorders>
              <w:top w:val="single" w:sz="4" w:space="0" w:color="auto"/>
              <w:bottom w:val="single" w:sz="4" w:space="0" w:color="auto"/>
            </w:tcBorders>
          </w:tcPr>
          <w:p w:rsidR="001626D9" w:rsidRPr="00D035BF"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D035BF">
              <w:rPr>
                <w:rFonts w:eastAsia="Times New Roman"/>
                <w:b/>
                <w:sz w:val="16"/>
                <w:szCs w:val="16"/>
                <w:lang w:eastAsia="sv-SE"/>
              </w:rPr>
              <w:t>Totalt</w:t>
            </w:r>
          </w:p>
        </w:tc>
        <w:tc>
          <w:tcPr>
            <w:tcW w:w="1276" w:type="dxa"/>
            <w:tcBorders>
              <w:top w:val="single" w:sz="4" w:space="0" w:color="auto"/>
              <w:bottom w:val="single" w:sz="4" w:space="0" w:color="auto"/>
            </w:tcBorders>
          </w:tcPr>
          <w:p w:rsidR="001626D9" w:rsidRPr="00651892" w:rsidRDefault="0095669C"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651892">
              <w:rPr>
                <w:rFonts w:eastAsia="Times New Roman"/>
                <w:b/>
                <w:sz w:val="16"/>
                <w:szCs w:val="16"/>
                <w:lang w:eastAsia="sv-SE"/>
              </w:rPr>
              <w:t>–2 452 505</w:t>
            </w:r>
          </w:p>
        </w:tc>
        <w:tc>
          <w:tcPr>
            <w:tcW w:w="1275" w:type="dxa"/>
            <w:tcBorders>
              <w:top w:val="single" w:sz="4" w:space="0" w:color="auto"/>
              <w:bottom w:val="single" w:sz="4" w:space="0" w:color="auto"/>
            </w:tcBorders>
          </w:tcPr>
          <w:p w:rsidR="001626D9" w:rsidRPr="00DD14A6" w:rsidRDefault="001626D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w:t>
            </w:r>
            <w:r w:rsidR="004B6629">
              <w:rPr>
                <w:rFonts w:eastAsia="Times New Roman"/>
                <w:b/>
                <w:sz w:val="16"/>
                <w:szCs w:val="16"/>
                <w:lang w:eastAsia="sv-SE"/>
              </w:rPr>
              <w:t>2 030 </w:t>
            </w:r>
            <w:r w:rsidRPr="00DD14A6">
              <w:rPr>
                <w:rFonts w:eastAsia="Times New Roman"/>
                <w:b/>
                <w:sz w:val="16"/>
                <w:szCs w:val="16"/>
                <w:lang w:eastAsia="sv-SE"/>
              </w:rPr>
              <w:t>246</w:t>
            </w:r>
          </w:p>
        </w:tc>
        <w:tc>
          <w:tcPr>
            <w:tcW w:w="1300" w:type="dxa"/>
            <w:tcBorders>
              <w:top w:val="single" w:sz="4" w:space="0" w:color="auto"/>
              <w:bottom w:val="single" w:sz="4" w:space="0" w:color="auto"/>
            </w:tcBorders>
          </w:tcPr>
          <w:p w:rsidR="001626D9" w:rsidRPr="00D035BF" w:rsidRDefault="004B6629" w:rsidP="001626D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–1 934 </w:t>
            </w:r>
            <w:r w:rsidR="001626D9" w:rsidRPr="00D035BF">
              <w:rPr>
                <w:rFonts w:eastAsia="Times New Roman"/>
                <w:b/>
                <w:sz w:val="16"/>
                <w:szCs w:val="16"/>
                <w:lang w:eastAsia="sv-SE"/>
              </w:rPr>
              <w:t>487</w:t>
            </w:r>
          </w:p>
        </w:tc>
      </w:tr>
    </w:tbl>
    <w:p w:rsidR="00D035BF" w:rsidRPr="000542F1" w:rsidRDefault="005A6608" w:rsidP="00D035BF">
      <w:pPr>
        <w:spacing w:before="125"/>
      </w:pPr>
      <w:r>
        <w:t xml:space="preserve">Ökningen av intäkterna för 2016 jämfört med 2015 beror främst på ränteberäkningen i avsättningen för ledamöters pensioner. </w:t>
      </w:r>
      <w:r w:rsidR="00183B76" w:rsidRPr="00183B76">
        <w:t xml:space="preserve">De högre </w:t>
      </w:r>
      <w:r w:rsidR="002A749A">
        <w:t>kostnaderna för 2016 jämfört med</w:t>
      </w:r>
      <w:r w:rsidR="00183B76" w:rsidRPr="00183B76">
        <w:t xml:space="preserve"> 2015 beror främst på att årets förändring av avsättning för framtida pensioner och inkomstgarantier inklusive sociala avgifter har ökat jämfört med föregående år.</w:t>
      </w:r>
    </w:p>
    <w:p w:rsidR="00D035BF" w:rsidRPr="00D035BF" w:rsidRDefault="00D035BF" w:rsidP="00D035BF">
      <w:pPr>
        <w:spacing w:before="0" w:after="200" w:line="276" w:lineRule="auto"/>
        <w:jc w:val="left"/>
      </w:pPr>
      <w:r w:rsidRPr="00D035BF">
        <w:br w:type="page"/>
      </w:r>
    </w:p>
    <w:p w:rsidR="00D035BF" w:rsidRDefault="00D035BF" w:rsidP="00D035BF">
      <w:pPr>
        <w:pStyle w:val="Rubrik2"/>
      </w:pPr>
      <w:bookmarkStart w:id="15" w:name="_Toc411239635"/>
      <w:bookmarkStart w:id="16" w:name="_Toc474168596"/>
      <w:r>
        <w:lastRenderedPageBreak/>
        <w:t>3 Uppdrag och resultat per uppdragsområde 201</w:t>
      </w:r>
      <w:bookmarkEnd w:id="15"/>
      <w:r w:rsidR="00A750D9">
        <w:t>6</w:t>
      </w:r>
      <w:bookmarkEnd w:id="16"/>
    </w:p>
    <w:p w:rsidR="00D035BF" w:rsidRDefault="00D035BF" w:rsidP="00D035BF">
      <w:r>
        <w:t>I detta avsnitt redovisas verksamheten inom res</w:t>
      </w:r>
      <w:r w:rsidR="009754B7">
        <w:t>pektive uppdragsområde och de</w:t>
      </w:r>
      <w:r>
        <w:t xml:space="preserve"> resultat som har uppnåtts. </w:t>
      </w:r>
    </w:p>
    <w:p w:rsidR="00D035BF" w:rsidRDefault="00D035BF" w:rsidP="00D035BF">
      <w:pPr>
        <w:pStyle w:val="Rubrik3"/>
      </w:pPr>
      <w:bookmarkStart w:id="17" w:name="_Toc411239636"/>
      <w:bookmarkStart w:id="18" w:name="_Toc474168597"/>
      <w:r>
        <w:t>3.1 Kammare och utskott – uppdragsområde A</w:t>
      </w:r>
      <w:bookmarkEnd w:id="17"/>
      <w:bookmarkEnd w:id="18"/>
    </w:p>
    <w:p w:rsidR="00D035BF" w:rsidRDefault="00D035BF" w:rsidP="00D035BF">
      <w:r>
        <w:t>Riksdagsförvaltningens uppdrag inom område A är att svara för ett väl fungerande stöd till arbetet i kammaren och utskotten m.m. Riksdagens utskott bereder och kammaren beslutar om nya lagar.</w:t>
      </w:r>
      <w:r w:rsidR="00E66D26">
        <w:t xml:space="preserve"> Utskotten följer även upp och utvärderar riksdagsbeslut.</w:t>
      </w:r>
      <w:r>
        <w:t xml:space="preserve"> Tillsammans utgör de kärnan i riksdagens verksamhet, och förvaltningen ska i alla sammanhang särskilt prioritera detta uppdragsområde. </w:t>
      </w:r>
    </w:p>
    <w:p w:rsidR="00D035BF" w:rsidRDefault="00D035BF" w:rsidP="00D035BF">
      <w:pPr>
        <w:pStyle w:val="Normaltindrag"/>
        <w:spacing w:after="62"/>
      </w:pPr>
      <w:r>
        <w:t>I uppdraget ingår att stödja kammarens, utskottens, EU-nämndens samt talmannens och de vice talmännens arbete samt riksdagens internationella arbete. Förvaltningens produktion och försäljning av riksdagstryck hör också hit.</w:t>
      </w:r>
    </w:p>
    <w:tbl>
      <w:tblPr>
        <w:tblStyle w:val="Tabellrutnt"/>
        <w:tblW w:w="0" w:type="auto"/>
        <w:tblLook w:val="04A0" w:firstRow="1" w:lastRow="0" w:firstColumn="1" w:lastColumn="0" w:noHBand="0" w:noVBand="1"/>
      </w:tblPr>
      <w:tblGrid>
        <w:gridCol w:w="5887"/>
      </w:tblGrid>
      <w:tr w:rsidR="00D035BF" w:rsidTr="00D035BF">
        <w:tc>
          <w:tcPr>
            <w:tcW w:w="5887" w:type="dxa"/>
          </w:tcPr>
          <w:p w:rsidR="00D035BF" w:rsidRPr="001C0F2D" w:rsidRDefault="00D035BF" w:rsidP="00D035BF">
            <w:pPr>
              <w:spacing w:before="125"/>
              <w:rPr>
                <w:b/>
              </w:rPr>
            </w:pPr>
            <w:r w:rsidRPr="001C0F2D">
              <w:rPr>
                <w:b/>
              </w:rPr>
              <w:t>Resultat och utveckling – sammanfattning</w:t>
            </w:r>
          </w:p>
          <w:p w:rsidR="00D035BF" w:rsidRPr="00076C7A" w:rsidRDefault="00D035BF" w:rsidP="00D035BF">
            <w:r w:rsidRPr="00076C7A">
              <w:t xml:space="preserve">Riksdagsförvaltningen har säkerställt att riksdagen har kunnat fullgöra sina uppgifter enligt bestämmelserna i regeringsformen och riksdagsordningen. Bedömningen baseras i huvudsak på följande fakta: </w:t>
            </w:r>
          </w:p>
          <w:p w:rsidR="00D035BF" w:rsidRPr="002C70D5" w:rsidRDefault="00D035BF" w:rsidP="00D035BF">
            <w:pPr>
              <w:pStyle w:val="Punktlistabomb"/>
              <w:rPr>
                <w:rFonts w:eastAsiaTheme="majorEastAsia"/>
              </w:rPr>
            </w:pPr>
            <w:r w:rsidRPr="002C70D5">
              <w:rPr>
                <w:rFonts w:eastAsiaTheme="majorEastAsia"/>
                <w:i/>
              </w:rPr>
              <w:t xml:space="preserve">Arbetet i kammaren har </w:t>
            </w:r>
            <w:r w:rsidRPr="002C70D5">
              <w:rPr>
                <w:i/>
              </w:rPr>
              <w:t xml:space="preserve">genomförts enligt </w:t>
            </w:r>
            <w:r w:rsidR="00076C7A" w:rsidRPr="002C70D5">
              <w:rPr>
                <w:i/>
              </w:rPr>
              <w:t>plan</w:t>
            </w:r>
            <w:r w:rsidRPr="002C70D5">
              <w:t xml:space="preserve"> </w:t>
            </w:r>
          </w:p>
          <w:p w:rsidR="00D035BF" w:rsidRPr="002C70D5" w:rsidRDefault="00DF6848" w:rsidP="00D035BF">
            <w:pPr>
              <w:pStyle w:val="Punktlistabomb"/>
              <w:numPr>
                <w:ilvl w:val="0"/>
                <w:numId w:val="0"/>
              </w:numPr>
              <w:ind w:left="284"/>
              <w:rPr>
                <w:rFonts w:eastAsiaTheme="majorEastAsia"/>
              </w:rPr>
            </w:pPr>
            <w:r w:rsidRPr="002C70D5">
              <w:rPr>
                <w:rFonts w:eastAsiaTheme="majorEastAsia"/>
              </w:rPr>
              <w:t xml:space="preserve">Under 2016 har arbetet i kammaren genomförts </w:t>
            </w:r>
            <w:r w:rsidR="00EB47F9" w:rsidRPr="002C70D5">
              <w:rPr>
                <w:rFonts w:eastAsiaTheme="majorEastAsia"/>
              </w:rPr>
              <w:t xml:space="preserve">enligt plan </w:t>
            </w:r>
            <w:r w:rsidRPr="002C70D5">
              <w:rPr>
                <w:rFonts w:eastAsiaTheme="majorEastAsia"/>
              </w:rPr>
              <w:t>utan avvikelser.</w:t>
            </w:r>
          </w:p>
          <w:p w:rsidR="00D035BF" w:rsidRPr="002C70D5" w:rsidRDefault="00D035BF" w:rsidP="00D035BF">
            <w:pPr>
              <w:pStyle w:val="Punktlistabomb"/>
              <w:rPr>
                <w:rFonts w:eastAsiaTheme="majorEastAsia"/>
              </w:rPr>
            </w:pPr>
            <w:r w:rsidRPr="002C70D5">
              <w:rPr>
                <w:rFonts w:eastAsiaTheme="majorEastAsia"/>
                <w:i/>
              </w:rPr>
              <w:t>Riksdagens pro</w:t>
            </w:r>
            <w:r w:rsidRPr="002C70D5">
              <w:rPr>
                <w:i/>
              </w:rPr>
              <w:t>tokoll har kommit ut i rätt tid</w:t>
            </w:r>
            <w:r w:rsidRPr="002C70D5">
              <w:t xml:space="preserve"> </w:t>
            </w:r>
          </w:p>
          <w:p w:rsidR="00D035BF" w:rsidRPr="002C70D5" w:rsidRDefault="00DF6848" w:rsidP="00D035BF">
            <w:pPr>
              <w:pStyle w:val="Punktlistabomb"/>
              <w:numPr>
                <w:ilvl w:val="0"/>
                <w:numId w:val="0"/>
              </w:numPr>
              <w:ind w:left="284"/>
              <w:rPr>
                <w:rFonts w:eastAsiaTheme="majorEastAsia"/>
              </w:rPr>
            </w:pPr>
            <w:r w:rsidRPr="002C70D5">
              <w:rPr>
                <w:rFonts w:eastAsiaTheme="majorEastAsia"/>
              </w:rPr>
              <w:t>Samtliga snabbprotokoll har kommit ut senast dagen efter kammarens sammanträde.</w:t>
            </w:r>
          </w:p>
          <w:p w:rsidR="00D035BF" w:rsidRPr="002C70D5" w:rsidRDefault="00D035BF" w:rsidP="00D035BF">
            <w:pPr>
              <w:pStyle w:val="Punktlistabomb"/>
              <w:rPr>
                <w:rFonts w:eastAsiaTheme="majorEastAsia"/>
              </w:rPr>
            </w:pPr>
            <w:r w:rsidRPr="002C70D5">
              <w:rPr>
                <w:rFonts w:eastAsiaTheme="majorEastAsia"/>
                <w:i/>
              </w:rPr>
              <w:t>Utskotten och EU-nämnden ha</w:t>
            </w:r>
            <w:r w:rsidRPr="002C70D5">
              <w:rPr>
                <w:i/>
              </w:rPr>
              <w:t>r fått ett väl fungerande stöd</w:t>
            </w:r>
            <w:r w:rsidRPr="002C70D5">
              <w:t xml:space="preserve"> </w:t>
            </w:r>
          </w:p>
          <w:p w:rsidR="00D035BF" w:rsidRPr="007750C3" w:rsidRDefault="00EB47F9" w:rsidP="00D035BF">
            <w:pPr>
              <w:pStyle w:val="Punktlistabomb"/>
              <w:numPr>
                <w:ilvl w:val="0"/>
                <w:numId w:val="0"/>
              </w:numPr>
              <w:ind w:left="284"/>
              <w:rPr>
                <w:rFonts w:eastAsiaTheme="majorEastAsia"/>
                <w:highlight w:val="yellow"/>
                <w:u w:val="single"/>
              </w:rPr>
            </w:pPr>
            <w:r w:rsidRPr="00EB47F9">
              <w:rPr>
                <w:rFonts w:eastAsiaTheme="majorEastAsia"/>
              </w:rPr>
              <w:t>Förvaltningen har bistått vid utskottens och EU-nämndens planering och sammanträden</w:t>
            </w:r>
            <w:r w:rsidRPr="00B13029">
              <w:rPr>
                <w:rFonts w:eastAsiaTheme="majorEastAsia"/>
              </w:rPr>
              <w:t>. Tekniska avvikelser förek</w:t>
            </w:r>
            <w:r w:rsidR="007750C3" w:rsidRPr="00B13029">
              <w:rPr>
                <w:rFonts w:eastAsiaTheme="majorEastAsia"/>
              </w:rPr>
              <w:t xml:space="preserve">om i tre betänkanden under 2016. Felen </w:t>
            </w:r>
            <w:r w:rsidRPr="00B13029">
              <w:rPr>
                <w:rFonts w:eastAsiaTheme="majorEastAsia"/>
              </w:rPr>
              <w:t xml:space="preserve">påverkade </w:t>
            </w:r>
            <w:r w:rsidR="007750C3" w:rsidRPr="00B13029">
              <w:rPr>
                <w:rFonts w:eastAsiaTheme="majorEastAsia"/>
              </w:rPr>
              <w:t xml:space="preserve">inte </w:t>
            </w:r>
            <w:r w:rsidRPr="00B13029">
              <w:rPr>
                <w:rFonts w:eastAsiaTheme="majorEastAsia"/>
              </w:rPr>
              <w:t>riksdagens beslut.</w:t>
            </w:r>
          </w:p>
          <w:p w:rsidR="00D035BF" w:rsidRPr="00D7202F" w:rsidRDefault="00960070" w:rsidP="00D24E3B">
            <w:pPr>
              <w:pStyle w:val="Punktlistabomb"/>
              <w:rPr>
                <w:rFonts w:eastAsiaTheme="majorEastAsia"/>
              </w:rPr>
            </w:pPr>
            <w:r w:rsidRPr="00D7202F">
              <w:rPr>
                <w:rFonts w:eastAsiaTheme="majorEastAsia"/>
                <w:i/>
              </w:rPr>
              <w:t xml:space="preserve">Vid inkommande internationella besök har förutsättningarna varit goda för möten av hög kvalitet </w:t>
            </w:r>
          </w:p>
          <w:p w:rsidR="00D035BF" w:rsidRPr="00D72F61" w:rsidRDefault="00D72F61" w:rsidP="00D035BF">
            <w:pPr>
              <w:pStyle w:val="Punktlistabomb"/>
              <w:numPr>
                <w:ilvl w:val="0"/>
                <w:numId w:val="0"/>
              </w:numPr>
              <w:ind w:left="284"/>
              <w:rPr>
                <w:rFonts w:eastAsiaTheme="majorEastAsia"/>
                <w:highlight w:val="yellow"/>
              </w:rPr>
            </w:pPr>
            <w:r w:rsidRPr="00D72F61">
              <w:rPr>
                <w:rFonts w:eastAsiaTheme="majorEastAsia"/>
              </w:rPr>
              <w:t>Riksdagsledamöterna ska ges möjlighet att i första hand få möta sina motsvarigheter från ett gästande parlament. Vid samtliga inkommande internationella besök under året har riksdagsledamöterna träffat sina utländska motsvarigheter</w:t>
            </w:r>
            <w:r w:rsidR="00D035BF" w:rsidRPr="00D72F61">
              <w:rPr>
                <w:rFonts w:eastAsiaTheme="majorEastAsia"/>
              </w:rPr>
              <w:t>.</w:t>
            </w:r>
          </w:p>
          <w:p w:rsidR="00D035BF" w:rsidRPr="00A1409C" w:rsidRDefault="007750C3" w:rsidP="00D035BF">
            <w:r w:rsidRPr="0095669C">
              <w:t>Under året har Riksda</w:t>
            </w:r>
            <w:r w:rsidR="00A906D2" w:rsidRPr="0095669C">
              <w:t xml:space="preserve">gsförvaltningen </w:t>
            </w:r>
            <w:r w:rsidRPr="0095669C">
              <w:t>formera</w:t>
            </w:r>
            <w:r w:rsidR="00A906D2" w:rsidRPr="0095669C">
              <w:t xml:space="preserve">t </w:t>
            </w:r>
            <w:r w:rsidRPr="0095669C">
              <w:t>systemförvaltningsorganisation</w:t>
            </w:r>
            <w:r w:rsidR="00A906D2" w:rsidRPr="0095669C">
              <w:t>en</w:t>
            </w:r>
            <w:r w:rsidRPr="0095669C">
              <w:t xml:space="preserve"> för </w:t>
            </w:r>
            <w:r w:rsidR="00A906D2" w:rsidRPr="0095669C">
              <w:t xml:space="preserve">och fortsatt utveckla </w:t>
            </w:r>
            <w:r w:rsidRPr="0095669C">
              <w:t>it-systemen som stöder den parlamentariska processe</w:t>
            </w:r>
            <w:r w:rsidR="00A906D2" w:rsidRPr="0095669C">
              <w:t xml:space="preserve">n. Samtliga utskott har fått </w:t>
            </w:r>
            <w:r w:rsidRPr="0095669C">
              <w:t>fördjupad utbildni</w:t>
            </w:r>
            <w:r w:rsidR="00A906D2" w:rsidRPr="0095669C">
              <w:t xml:space="preserve">ng i den digitala mötestjänsten. Förberedelserna för en modernisering av </w:t>
            </w:r>
            <w:r w:rsidR="00825272" w:rsidRPr="0095669C">
              <w:t>det tekniska kammarstödet</w:t>
            </w:r>
            <w:r w:rsidR="00A906D2" w:rsidRPr="0095669C">
              <w:t xml:space="preserve"> har påbörjats</w:t>
            </w:r>
            <w:r w:rsidRPr="0095669C">
              <w:t xml:space="preserve"> och arbetet med att möjliggöra en tillfällig flytt av kammarens sammanträden har fortsatt.</w:t>
            </w:r>
          </w:p>
          <w:p w:rsidR="00D035BF" w:rsidRPr="00DD5C8D" w:rsidRDefault="00D035BF" w:rsidP="00D035BF">
            <w:pPr>
              <w:pStyle w:val="Normaltindrag"/>
            </w:pPr>
          </w:p>
        </w:tc>
      </w:tr>
    </w:tbl>
    <w:p w:rsidR="00D035BF" w:rsidRP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lastRenderedPageBreak/>
        <w:t>Tabell 2 Intäkter, kostnader och transfereringar inom uppdragsområde A (tkr)</w:t>
      </w:r>
    </w:p>
    <w:tbl>
      <w:tblPr>
        <w:tblStyle w:val="Tabellrut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D035BF" w:rsidRPr="00D035BF" w:rsidTr="00D035BF">
        <w:tc>
          <w:tcPr>
            <w:tcW w:w="1457" w:type="dxa"/>
            <w:tcBorders>
              <w:top w:val="single" w:sz="4" w:space="0" w:color="auto"/>
              <w:bottom w:val="single" w:sz="4" w:space="0" w:color="auto"/>
            </w:tcBorders>
          </w:tcPr>
          <w:p w:rsidR="00D035BF" w:rsidRPr="00D035BF" w:rsidRDefault="00D035BF" w:rsidP="00D035BF">
            <w:pPr>
              <w:spacing w:before="60" w:line="200" w:lineRule="exact"/>
              <w:rPr>
                <w:sz w:val="16"/>
                <w:szCs w:val="16"/>
              </w:rPr>
            </w:pP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9C2B70">
              <w:rPr>
                <w:rFonts w:eastAsia="Times New Roman"/>
                <w:b/>
                <w:sz w:val="17"/>
                <w:szCs w:val="24"/>
                <w:lang w:eastAsia="sv-SE"/>
              </w:rPr>
              <w:t>6</w:t>
            </w: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4D0FC5">
              <w:rPr>
                <w:rFonts w:eastAsia="Times New Roman"/>
                <w:b/>
                <w:sz w:val="17"/>
                <w:szCs w:val="24"/>
                <w:lang w:eastAsia="sv-SE"/>
              </w:rPr>
              <w:t>5</w:t>
            </w:r>
          </w:p>
        </w:tc>
        <w:tc>
          <w:tcPr>
            <w:tcW w:w="1458" w:type="dxa"/>
            <w:tcBorders>
              <w:top w:val="single" w:sz="4" w:space="0" w:color="auto"/>
              <w:bottom w:val="single" w:sz="4" w:space="0" w:color="auto"/>
            </w:tcBorders>
          </w:tcPr>
          <w:p w:rsidR="00D035BF" w:rsidRPr="00D035BF" w:rsidRDefault="00D035BF" w:rsidP="00D035BF">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w:t>
            </w:r>
            <w:r w:rsidR="004D0FC5">
              <w:rPr>
                <w:rFonts w:eastAsia="Times New Roman"/>
                <w:b/>
                <w:sz w:val="17"/>
                <w:szCs w:val="24"/>
                <w:lang w:eastAsia="sv-SE"/>
              </w:rPr>
              <w:t>4</w:t>
            </w:r>
          </w:p>
        </w:tc>
      </w:tr>
      <w:tr w:rsidR="009C2B70" w:rsidRPr="00D035BF" w:rsidTr="00D035BF">
        <w:tc>
          <w:tcPr>
            <w:tcW w:w="1457" w:type="dxa"/>
            <w:tcBorders>
              <w:top w:val="single" w:sz="4" w:space="0" w:color="auto"/>
            </w:tcBorders>
          </w:tcPr>
          <w:p w:rsidR="009C2B70" w:rsidRPr="00D035BF" w:rsidRDefault="009C2B70" w:rsidP="009C2B70">
            <w:pPr>
              <w:spacing w:before="60" w:line="200" w:lineRule="exact"/>
              <w:rPr>
                <w:sz w:val="16"/>
                <w:szCs w:val="16"/>
              </w:rPr>
            </w:pPr>
            <w:r w:rsidRPr="00D035BF">
              <w:rPr>
                <w:sz w:val="16"/>
                <w:szCs w:val="16"/>
              </w:rPr>
              <w:t>Intäkter</w:t>
            </w:r>
          </w:p>
        </w:tc>
        <w:tc>
          <w:tcPr>
            <w:tcW w:w="1458" w:type="dxa"/>
            <w:tcBorders>
              <w:top w:val="single" w:sz="4" w:space="0" w:color="auto"/>
            </w:tcBorders>
          </w:tcPr>
          <w:p w:rsidR="009C2B70" w:rsidRPr="00980A2A" w:rsidRDefault="00980A2A"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980A2A">
              <w:rPr>
                <w:rFonts w:eastAsia="Times New Roman"/>
                <w:sz w:val="16"/>
                <w:szCs w:val="16"/>
                <w:lang w:eastAsia="sv-SE"/>
              </w:rPr>
              <w:t>3 989</w:t>
            </w:r>
          </w:p>
        </w:tc>
        <w:tc>
          <w:tcPr>
            <w:tcW w:w="1458" w:type="dxa"/>
            <w:tcBorders>
              <w:top w:val="single" w:sz="4" w:space="0" w:color="auto"/>
            </w:tcBorders>
          </w:tcPr>
          <w:p w:rsidR="009C2B70" w:rsidRPr="00DE3431" w:rsidRDefault="009B67C1"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3 </w:t>
            </w:r>
            <w:r w:rsidR="009C2B70" w:rsidRPr="00DE3431">
              <w:rPr>
                <w:rFonts w:eastAsia="Times New Roman"/>
                <w:sz w:val="17"/>
                <w:szCs w:val="24"/>
                <w:lang w:eastAsia="sv-SE"/>
              </w:rPr>
              <w:t>077</w:t>
            </w:r>
          </w:p>
        </w:tc>
        <w:tc>
          <w:tcPr>
            <w:tcW w:w="1458" w:type="dxa"/>
            <w:tcBorders>
              <w:top w:val="single" w:sz="4" w:space="0" w:color="auto"/>
            </w:tcBorders>
          </w:tcPr>
          <w:p w:rsidR="009C2B70" w:rsidRPr="00D035BF" w:rsidRDefault="009B67C1"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3 </w:t>
            </w:r>
            <w:r w:rsidR="009C2B70" w:rsidRPr="00D035BF">
              <w:rPr>
                <w:rFonts w:eastAsia="Times New Roman"/>
                <w:sz w:val="17"/>
                <w:szCs w:val="24"/>
                <w:lang w:eastAsia="sv-SE"/>
              </w:rPr>
              <w:t>772</w:t>
            </w:r>
          </w:p>
        </w:tc>
      </w:tr>
      <w:tr w:rsidR="009C2B70" w:rsidRPr="00D035BF" w:rsidTr="00D035BF">
        <w:tc>
          <w:tcPr>
            <w:tcW w:w="1457" w:type="dxa"/>
            <w:tcBorders>
              <w:bottom w:val="single" w:sz="4" w:space="0" w:color="auto"/>
            </w:tcBorders>
          </w:tcPr>
          <w:p w:rsidR="009C2B70" w:rsidRPr="00D035BF" w:rsidRDefault="009C2B70" w:rsidP="009C2B70">
            <w:pPr>
              <w:spacing w:before="60" w:line="200" w:lineRule="exact"/>
              <w:rPr>
                <w:sz w:val="16"/>
                <w:szCs w:val="16"/>
              </w:rPr>
            </w:pPr>
            <w:r w:rsidRPr="00D035BF">
              <w:rPr>
                <w:sz w:val="16"/>
                <w:szCs w:val="16"/>
              </w:rPr>
              <w:t>Kostnader</w:t>
            </w:r>
          </w:p>
        </w:tc>
        <w:tc>
          <w:tcPr>
            <w:tcW w:w="1458" w:type="dxa"/>
            <w:tcBorders>
              <w:bottom w:val="single" w:sz="4" w:space="0" w:color="auto"/>
            </w:tcBorders>
          </w:tcPr>
          <w:p w:rsidR="009C2B70" w:rsidRPr="00980A2A" w:rsidRDefault="00980A2A"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sz w:val="16"/>
                <w:szCs w:val="16"/>
              </w:rPr>
            </w:pPr>
            <w:r w:rsidRPr="00980A2A">
              <w:rPr>
                <w:sz w:val="16"/>
                <w:szCs w:val="16"/>
              </w:rPr>
              <w:t>–195 892</w:t>
            </w:r>
          </w:p>
        </w:tc>
        <w:tc>
          <w:tcPr>
            <w:tcW w:w="1458" w:type="dxa"/>
            <w:tcBorders>
              <w:bottom w:val="single" w:sz="4" w:space="0" w:color="auto"/>
            </w:tcBorders>
          </w:tcPr>
          <w:p w:rsidR="009C2B70" w:rsidRPr="00DE3431"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w:t>
            </w:r>
            <w:r w:rsidR="009B67C1">
              <w:rPr>
                <w:rFonts w:eastAsia="Times New Roman"/>
                <w:sz w:val="17"/>
                <w:szCs w:val="24"/>
                <w:lang w:eastAsia="sv-SE"/>
              </w:rPr>
              <w:t>188 </w:t>
            </w:r>
            <w:r w:rsidRPr="00DE3431">
              <w:rPr>
                <w:rFonts w:eastAsia="Times New Roman"/>
                <w:sz w:val="17"/>
                <w:szCs w:val="24"/>
                <w:lang w:eastAsia="sv-SE"/>
              </w:rPr>
              <w:t>951</w:t>
            </w:r>
          </w:p>
        </w:tc>
        <w:tc>
          <w:tcPr>
            <w:tcW w:w="1458" w:type="dxa"/>
            <w:tcBorders>
              <w:bottom w:val="single" w:sz="4" w:space="0" w:color="auto"/>
            </w:tcBorders>
          </w:tcPr>
          <w:p w:rsidR="009C2B70" w:rsidRPr="00D035BF" w:rsidRDefault="009B67C1"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–191 </w:t>
            </w:r>
            <w:r w:rsidR="009C2B70" w:rsidRPr="00D035BF">
              <w:rPr>
                <w:rFonts w:eastAsia="Times New Roman"/>
                <w:sz w:val="17"/>
                <w:szCs w:val="24"/>
                <w:lang w:eastAsia="sv-SE"/>
              </w:rPr>
              <w:t>184</w:t>
            </w:r>
          </w:p>
        </w:tc>
      </w:tr>
      <w:tr w:rsidR="009C2B70" w:rsidRPr="00D035BF" w:rsidTr="00D035BF">
        <w:tc>
          <w:tcPr>
            <w:tcW w:w="1457" w:type="dxa"/>
            <w:tcBorders>
              <w:top w:val="single" w:sz="4" w:space="0" w:color="auto"/>
            </w:tcBorders>
          </w:tcPr>
          <w:p w:rsidR="009C2B70" w:rsidRPr="00D035BF" w:rsidRDefault="009C2B70" w:rsidP="009C2B70">
            <w:pPr>
              <w:spacing w:before="60" w:line="200" w:lineRule="exact"/>
              <w:rPr>
                <w:i/>
                <w:sz w:val="16"/>
                <w:szCs w:val="16"/>
              </w:rPr>
            </w:pPr>
            <w:r w:rsidRPr="00D035BF">
              <w:rPr>
                <w:i/>
                <w:sz w:val="16"/>
                <w:szCs w:val="16"/>
              </w:rPr>
              <w:t>Nettokostnad</w:t>
            </w:r>
          </w:p>
        </w:tc>
        <w:tc>
          <w:tcPr>
            <w:tcW w:w="1458" w:type="dxa"/>
            <w:tcBorders>
              <w:top w:val="single" w:sz="4" w:space="0" w:color="auto"/>
            </w:tcBorders>
          </w:tcPr>
          <w:p w:rsidR="009C2B70" w:rsidRPr="00980A2A" w:rsidRDefault="00980A2A" w:rsidP="00980A2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6"/>
                <w:szCs w:val="16"/>
                <w:lang w:eastAsia="sv-SE"/>
              </w:rPr>
            </w:pPr>
            <w:r w:rsidRPr="00980A2A">
              <w:rPr>
                <w:rFonts w:eastAsia="Times New Roman"/>
                <w:i/>
                <w:sz w:val="16"/>
                <w:szCs w:val="16"/>
                <w:lang w:eastAsia="sv-SE"/>
              </w:rPr>
              <w:t>–191 903</w:t>
            </w:r>
          </w:p>
        </w:tc>
        <w:tc>
          <w:tcPr>
            <w:tcW w:w="1458" w:type="dxa"/>
            <w:tcBorders>
              <w:top w:val="single" w:sz="4" w:space="0" w:color="auto"/>
            </w:tcBorders>
          </w:tcPr>
          <w:p w:rsidR="009C2B70" w:rsidRPr="00DE3431"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r>
              <w:rPr>
                <w:rFonts w:eastAsia="Times New Roman"/>
                <w:i/>
                <w:sz w:val="17"/>
                <w:szCs w:val="24"/>
                <w:lang w:eastAsia="sv-SE"/>
              </w:rPr>
              <w:t>–</w:t>
            </w:r>
            <w:r w:rsidR="009B67C1">
              <w:rPr>
                <w:rFonts w:eastAsia="Times New Roman"/>
                <w:i/>
                <w:sz w:val="17"/>
                <w:szCs w:val="24"/>
                <w:lang w:eastAsia="sv-SE"/>
              </w:rPr>
              <w:t>185 </w:t>
            </w:r>
            <w:r w:rsidRPr="00DE3431">
              <w:rPr>
                <w:rFonts w:eastAsia="Times New Roman"/>
                <w:i/>
                <w:sz w:val="17"/>
                <w:szCs w:val="24"/>
                <w:lang w:eastAsia="sv-SE"/>
              </w:rPr>
              <w:t>874</w:t>
            </w:r>
          </w:p>
        </w:tc>
        <w:tc>
          <w:tcPr>
            <w:tcW w:w="1458" w:type="dxa"/>
            <w:tcBorders>
              <w:top w:val="single" w:sz="4" w:space="0" w:color="auto"/>
            </w:tcBorders>
          </w:tcPr>
          <w:p w:rsidR="009C2B70" w:rsidRPr="00D035BF" w:rsidRDefault="009B67C1"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r>
              <w:rPr>
                <w:rFonts w:eastAsia="Times New Roman"/>
                <w:i/>
                <w:sz w:val="17"/>
                <w:szCs w:val="24"/>
                <w:lang w:eastAsia="sv-SE"/>
              </w:rPr>
              <w:t>–187 </w:t>
            </w:r>
            <w:r w:rsidR="009C2B70" w:rsidRPr="00D035BF">
              <w:rPr>
                <w:rFonts w:eastAsia="Times New Roman"/>
                <w:i/>
                <w:sz w:val="17"/>
                <w:szCs w:val="24"/>
                <w:lang w:eastAsia="sv-SE"/>
              </w:rPr>
              <w:t>412</w:t>
            </w:r>
          </w:p>
        </w:tc>
      </w:tr>
      <w:tr w:rsidR="009C2B70" w:rsidRPr="00D035BF" w:rsidTr="00D035BF">
        <w:tc>
          <w:tcPr>
            <w:tcW w:w="1457" w:type="dxa"/>
            <w:tcBorders>
              <w:top w:val="single" w:sz="4" w:space="0" w:color="auto"/>
            </w:tcBorders>
          </w:tcPr>
          <w:p w:rsidR="009C2B70" w:rsidRPr="00D035BF" w:rsidRDefault="009C2B70" w:rsidP="009C2B70">
            <w:pPr>
              <w:spacing w:before="60" w:line="200" w:lineRule="exact"/>
              <w:rPr>
                <w:i/>
                <w:sz w:val="16"/>
                <w:szCs w:val="16"/>
              </w:rPr>
            </w:pPr>
          </w:p>
        </w:tc>
        <w:tc>
          <w:tcPr>
            <w:tcW w:w="1458" w:type="dxa"/>
            <w:tcBorders>
              <w:top w:val="single" w:sz="4" w:space="0" w:color="auto"/>
            </w:tcBorders>
          </w:tcPr>
          <w:p w:rsidR="009C2B70" w:rsidRPr="00980A2A"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p>
        </w:tc>
        <w:tc>
          <w:tcPr>
            <w:tcW w:w="1458" w:type="dxa"/>
            <w:tcBorders>
              <w:top w:val="single" w:sz="4" w:space="0" w:color="auto"/>
            </w:tcBorders>
          </w:tcPr>
          <w:p w:rsidR="009C2B70"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p>
        </w:tc>
        <w:tc>
          <w:tcPr>
            <w:tcW w:w="1458" w:type="dxa"/>
            <w:tcBorders>
              <w:top w:val="single" w:sz="4" w:space="0" w:color="auto"/>
            </w:tcBorders>
          </w:tcPr>
          <w:p w:rsidR="009C2B70" w:rsidRPr="00D035BF"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i/>
                <w:sz w:val="17"/>
                <w:szCs w:val="24"/>
                <w:lang w:eastAsia="sv-SE"/>
              </w:rPr>
            </w:pPr>
          </w:p>
        </w:tc>
      </w:tr>
      <w:tr w:rsidR="009C2B70" w:rsidRPr="00D035BF" w:rsidTr="00D035BF">
        <w:tc>
          <w:tcPr>
            <w:tcW w:w="1457" w:type="dxa"/>
            <w:tcBorders>
              <w:bottom w:val="single" w:sz="4" w:space="0" w:color="auto"/>
            </w:tcBorders>
          </w:tcPr>
          <w:p w:rsidR="009C2B70" w:rsidRPr="00D035BF" w:rsidRDefault="009C2B70" w:rsidP="009C2B70">
            <w:pPr>
              <w:spacing w:before="60" w:line="200" w:lineRule="exact"/>
              <w:rPr>
                <w:sz w:val="16"/>
                <w:szCs w:val="16"/>
              </w:rPr>
            </w:pPr>
            <w:r w:rsidRPr="00D035BF">
              <w:rPr>
                <w:sz w:val="16"/>
                <w:szCs w:val="16"/>
              </w:rPr>
              <w:t>Transfereringar</w:t>
            </w:r>
          </w:p>
        </w:tc>
        <w:tc>
          <w:tcPr>
            <w:tcW w:w="1458" w:type="dxa"/>
            <w:tcBorders>
              <w:bottom w:val="single" w:sz="4" w:space="0" w:color="auto"/>
            </w:tcBorders>
          </w:tcPr>
          <w:p w:rsidR="009C2B70" w:rsidRPr="00980A2A" w:rsidRDefault="00980A2A"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980A2A">
              <w:rPr>
                <w:rFonts w:eastAsia="Times New Roman"/>
                <w:sz w:val="16"/>
                <w:szCs w:val="16"/>
                <w:lang w:eastAsia="sv-SE"/>
              </w:rPr>
              <w:t>–15 535</w:t>
            </w:r>
          </w:p>
        </w:tc>
        <w:tc>
          <w:tcPr>
            <w:tcW w:w="1458" w:type="dxa"/>
            <w:tcBorders>
              <w:bottom w:val="single" w:sz="4" w:space="0" w:color="auto"/>
            </w:tcBorders>
          </w:tcPr>
          <w:p w:rsidR="009C2B70" w:rsidRPr="00DE3431"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w:t>
            </w:r>
            <w:r w:rsidR="009B67C1">
              <w:rPr>
                <w:rFonts w:eastAsia="Times New Roman"/>
                <w:sz w:val="17"/>
                <w:szCs w:val="24"/>
                <w:lang w:eastAsia="sv-SE"/>
              </w:rPr>
              <w:t>15 </w:t>
            </w:r>
            <w:r w:rsidRPr="00DE3431">
              <w:rPr>
                <w:rFonts w:eastAsia="Times New Roman"/>
                <w:sz w:val="17"/>
                <w:szCs w:val="24"/>
                <w:lang w:eastAsia="sv-SE"/>
              </w:rPr>
              <w:t>913</w:t>
            </w:r>
          </w:p>
        </w:tc>
        <w:tc>
          <w:tcPr>
            <w:tcW w:w="1458" w:type="dxa"/>
            <w:tcBorders>
              <w:bottom w:val="single" w:sz="4" w:space="0" w:color="auto"/>
            </w:tcBorders>
          </w:tcPr>
          <w:p w:rsidR="009C2B70" w:rsidRPr="00D035BF" w:rsidRDefault="009B67C1"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7"/>
                <w:szCs w:val="24"/>
                <w:lang w:eastAsia="sv-SE"/>
              </w:rPr>
            </w:pPr>
            <w:r>
              <w:rPr>
                <w:rFonts w:eastAsia="Times New Roman"/>
                <w:sz w:val="17"/>
                <w:szCs w:val="24"/>
                <w:lang w:eastAsia="sv-SE"/>
              </w:rPr>
              <w:t>–13 </w:t>
            </w:r>
            <w:r w:rsidR="009C2B70" w:rsidRPr="00D035BF">
              <w:rPr>
                <w:rFonts w:eastAsia="Times New Roman"/>
                <w:sz w:val="17"/>
                <w:szCs w:val="24"/>
                <w:lang w:eastAsia="sv-SE"/>
              </w:rPr>
              <w:t>659</w:t>
            </w:r>
          </w:p>
        </w:tc>
      </w:tr>
      <w:tr w:rsidR="009C2B70" w:rsidRPr="00D035BF" w:rsidTr="00D035BF">
        <w:tc>
          <w:tcPr>
            <w:tcW w:w="1457" w:type="dxa"/>
            <w:tcBorders>
              <w:top w:val="single" w:sz="4" w:space="0" w:color="auto"/>
              <w:bottom w:val="single" w:sz="4" w:space="0" w:color="auto"/>
            </w:tcBorders>
          </w:tcPr>
          <w:p w:rsidR="009C2B70" w:rsidRPr="00D035BF" w:rsidRDefault="009C2B70" w:rsidP="009C2B70">
            <w:pPr>
              <w:spacing w:before="60" w:line="200" w:lineRule="exact"/>
              <w:rPr>
                <w:b/>
                <w:sz w:val="16"/>
                <w:szCs w:val="16"/>
              </w:rPr>
            </w:pPr>
            <w:r w:rsidRPr="00D035BF">
              <w:rPr>
                <w:b/>
                <w:sz w:val="16"/>
                <w:szCs w:val="16"/>
              </w:rPr>
              <w:t>Totalt</w:t>
            </w:r>
          </w:p>
        </w:tc>
        <w:tc>
          <w:tcPr>
            <w:tcW w:w="1458" w:type="dxa"/>
            <w:tcBorders>
              <w:top w:val="single" w:sz="4" w:space="0" w:color="auto"/>
              <w:bottom w:val="single" w:sz="4" w:space="0" w:color="auto"/>
            </w:tcBorders>
          </w:tcPr>
          <w:p w:rsidR="009C2B70" w:rsidRPr="00980A2A" w:rsidRDefault="00980A2A"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80A2A">
              <w:rPr>
                <w:rFonts w:eastAsia="Times New Roman"/>
                <w:b/>
                <w:sz w:val="16"/>
                <w:szCs w:val="16"/>
                <w:lang w:eastAsia="sv-SE"/>
              </w:rPr>
              <w:t>–207 438</w:t>
            </w:r>
          </w:p>
        </w:tc>
        <w:tc>
          <w:tcPr>
            <w:tcW w:w="1458" w:type="dxa"/>
            <w:tcBorders>
              <w:top w:val="single" w:sz="4" w:space="0" w:color="auto"/>
              <w:bottom w:val="single" w:sz="4" w:space="0" w:color="auto"/>
            </w:tcBorders>
          </w:tcPr>
          <w:p w:rsidR="009C2B70" w:rsidRPr="00DE3431"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Pr>
                <w:rFonts w:eastAsia="Times New Roman"/>
                <w:b/>
                <w:sz w:val="17"/>
                <w:szCs w:val="24"/>
                <w:lang w:eastAsia="sv-SE"/>
              </w:rPr>
              <w:t>–</w:t>
            </w:r>
            <w:r w:rsidR="009B67C1">
              <w:rPr>
                <w:rFonts w:eastAsia="Times New Roman"/>
                <w:b/>
                <w:sz w:val="17"/>
                <w:szCs w:val="24"/>
                <w:lang w:eastAsia="sv-SE"/>
              </w:rPr>
              <w:t>201 </w:t>
            </w:r>
            <w:r w:rsidRPr="00DE3431">
              <w:rPr>
                <w:rFonts w:eastAsia="Times New Roman"/>
                <w:b/>
                <w:sz w:val="17"/>
                <w:szCs w:val="24"/>
                <w:lang w:eastAsia="sv-SE"/>
              </w:rPr>
              <w:t>787</w:t>
            </w:r>
          </w:p>
        </w:tc>
        <w:tc>
          <w:tcPr>
            <w:tcW w:w="1458" w:type="dxa"/>
            <w:tcBorders>
              <w:top w:val="single" w:sz="4" w:space="0" w:color="auto"/>
              <w:bottom w:val="single" w:sz="4" w:space="0" w:color="auto"/>
            </w:tcBorders>
          </w:tcPr>
          <w:p w:rsidR="009C2B70" w:rsidRPr="00D035BF" w:rsidRDefault="009C2B70" w:rsidP="009C2B7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7"/>
                <w:szCs w:val="24"/>
                <w:lang w:eastAsia="sv-SE"/>
              </w:rPr>
            </w:pPr>
            <w:r w:rsidRPr="00D035BF">
              <w:rPr>
                <w:rFonts w:eastAsia="Times New Roman"/>
                <w:b/>
                <w:sz w:val="17"/>
                <w:szCs w:val="24"/>
                <w:lang w:eastAsia="sv-SE"/>
              </w:rPr>
              <w:t>–201 071</w:t>
            </w:r>
          </w:p>
        </w:tc>
      </w:tr>
    </w:tbl>
    <w:p w:rsidR="00D035BF" w:rsidRPr="00CC5F77" w:rsidRDefault="00602EBF" w:rsidP="00D035BF">
      <w:pPr>
        <w:spacing w:before="125"/>
      </w:pPr>
      <w:r w:rsidRPr="00840D2D">
        <w:t>Fördelningen för uppdragsområdet bedöms i huvudsak som jämförbar med föregående år. De något ökade kostnaderna jämfört med 2015 beror framför allt på fördelade lönekostnader till uppdragsområdet.</w:t>
      </w:r>
    </w:p>
    <w:p w:rsidR="00D035BF" w:rsidRPr="00D035BF" w:rsidRDefault="00D035BF" w:rsidP="0098555F">
      <w:pPr>
        <w:pStyle w:val="Rubrik4"/>
      </w:pPr>
      <w:r w:rsidRPr="00D035BF">
        <w:t>Talmannen och de vice talmännen</w:t>
      </w:r>
    </w:p>
    <w:p w:rsidR="00D035BF" w:rsidRPr="00D035BF" w:rsidRDefault="00D035BF" w:rsidP="00D035BF">
      <w:r w:rsidRPr="00D035BF">
        <w:t xml:space="preserve">Talmannen leder riksdagsarbetet och har därmed det yttersta ansvaret för hur riksdagsarbetet planeras och bedrivs. Talmannen leder även kammarens sammanträden och är riksdagens främste representant. </w:t>
      </w:r>
    </w:p>
    <w:p w:rsidR="00D035BF" w:rsidRPr="00D035BF" w:rsidRDefault="00D035BF" w:rsidP="00D035BF">
      <w:pPr>
        <w:spacing w:before="0"/>
        <w:ind w:firstLine="227"/>
      </w:pPr>
      <w:r w:rsidRPr="00D035BF">
        <w:t xml:space="preserve">Talmannen och de tre vice talmännen utgör tillsammans riksdagens </w:t>
      </w:r>
      <w:r w:rsidR="00EA4B31">
        <w:t>talmans</w:t>
      </w:r>
      <w:r w:rsidRPr="00D035BF">
        <w:t>presidium. Presidiet träffas regelbundet för att avhandla frågor som rör ledningen av riksdagens arbete. De vice talmännen kan i talmannens ställe leda riksdagens arbete och kammarens sammanträden. När de inte gör det deltar de vice talmännen i riksdagsarbetet på samma sätt som de andra riksdagsledamöterna. Talmannen har däremot en ersättare i kammaren.</w:t>
      </w:r>
    </w:p>
    <w:p w:rsidR="00D035BF" w:rsidRPr="0091383C" w:rsidRDefault="00D035BF" w:rsidP="0098555F">
      <w:pPr>
        <w:pStyle w:val="Rubrik4"/>
      </w:pPr>
      <w:r w:rsidRPr="0091383C">
        <w:t>Arbetet i och kring kammaren</w:t>
      </w:r>
    </w:p>
    <w:p w:rsidR="00D035BF" w:rsidRPr="000A7438" w:rsidRDefault="00D035BF" w:rsidP="00D035BF">
      <w:r w:rsidRPr="000A7438">
        <w:t>Varje år kommer det in ett stort antal ärenden till riksdagen som ska beredas i utskotten och därefter debatteras och beslutas i kammaren.</w:t>
      </w:r>
    </w:p>
    <w:p w:rsidR="00BB236B" w:rsidRDefault="00395F63" w:rsidP="008A402B">
      <w:pPr>
        <w:spacing w:before="0"/>
        <w:ind w:firstLine="227"/>
      </w:pPr>
      <w:r w:rsidRPr="000A7438">
        <w:t>Riksdagsförvaltningen</w:t>
      </w:r>
      <w:r w:rsidR="00D035BF" w:rsidRPr="000A7438">
        <w:t xml:space="preserve"> registrerar och kontrollerar alla ärenden</w:t>
      </w:r>
      <w:r w:rsidRPr="000A7438">
        <w:t>, inklusive EU-ärenden</w:t>
      </w:r>
      <w:r w:rsidR="000A7438" w:rsidRPr="000A7438">
        <w:rPr>
          <w:rStyle w:val="Fotnotsreferens"/>
        </w:rPr>
        <w:footnoteReference w:id="6"/>
      </w:r>
      <w:r w:rsidRPr="000A7438">
        <w:t>,</w:t>
      </w:r>
      <w:r w:rsidR="00D035BF" w:rsidRPr="000A7438">
        <w:t xml:space="preserve"> och föreslår till vilket utskott ärendena ska hänvisas.</w:t>
      </w:r>
      <w:r w:rsidRPr="000A7438">
        <w:t xml:space="preserve"> Förvaltningen </w:t>
      </w:r>
      <w:r w:rsidR="00D035BF" w:rsidRPr="000A7438">
        <w:t xml:space="preserve">ansvarar </w:t>
      </w:r>
      <w:r w:rsidRPr="000A7438">
        <w:t xml:space="preserve">även </w:t>
      </w:r>
      <w:r w:rsidR="00D035BF" w:rsidRPr="000A7438">
        <w:t xml:space="preserve">för det löpande arbetet i kammaren, för planeringen av riksdagsarbetet under riksmötet och valperioden samt för granskning av interpellationer, skriftliga frågor, motioner m.m. </w:t>
      </w:r>
    </w:p>
    <w:p w:rsidR="00D035BF" w:rsidRPr="00A750D9" w:rsidRDefault="00D035BF" w:rsidP="008A402B">
      <w:pPr>
        <w:spacing w:before="0"/>
        <w:ind w:firstLine="227"/>
        <w:rPr>
          <w:u w:val="single"/>
        </w:rPr>
      </w:pPr>
      <w:r w:rsidRPr="00B22E42">
        <w:t>En viktig uppgift för Riksdagsförvaltningen är att stödja planeringen av arbetet i kammaren. Utgångspunkten är att beslut ska kunna fattas i rätt tid och i rätt ordning, att det ska finnas utrymme för oförutsedda debatt</w:t>
      </w:r>
      <w:r w:rsidR="00EA63E6" w:rsidRPr="00B22E42">
        <w:t>er och att arbetsbelastningen ska vara</w:t>
      </w:r>
      <w:r w:rsidRPr="00B22E42">
        <w:t xml:space="preserve"> rimlig.</w:t>
      </w:r>
      <w:r w:rsidRPr="00F07AA8">
        <w:t xml:space="preserve"> Centralt är att kammarplaneringen ska göra det möjligt för riksdagen att </w:t>
      </w:r>
      <w:r w:rsidR="00F828A9">
        <w:t xml:space="preserve">i rätt tid </w:t>
      </w:r>
      <w:r w:rsidRPr="00F07AA8">
        <w:t xml:space="preserve">fatta beslut om </w:t>
      </w:r>
      <w:r w:rsidR="002271E1" w:rsidRPr="00F07AA8">
        <w:t>propositioner och skrivelser som lämnats in, och</w:t>
      </w:r>
      <w:r w:rsidRPr="00F07AA8">
        <w:t xml:space="preserve"> </w:t>
      </w:r>
      <w:r w:rsidR="002271E1" w:rsidRPr="00F07AA8">
        <w:t xml:space="preserve">som behandlats </w:t>
      </w:r>
      <w:r w:rsidRPr="00F07AA8">
        <w:t>i utskotten</w:t>
      </w:r>
      <w:r w:rsidR="002271E1" w:rsidRPr="00F07AA8">
        <w:t>.</w:t>
      </w:r>
      <w:r w:rsidRPr="00F07AA8">
        <w:t xml:space="preserve"> </w:t>
      </w:r>
      <w:r w:rsidR="00DF24BA" w:rsidRPr="00C624E2">
        <w:t>Kammarplanerna ska också underlätta för ledamöternas planering av eget arbete och ge utrymme för ledamöternas aktiviteter utanför riksdagen, till exempel för arbete i valkretsen.</w:t>
      </w:r>
    </w:p>
    <w:p w:rsidR="00725E2F" w:rsidRDefault="00D035BF" w:rsidP="00D035BF">
      <w:pPr>
        <w:spacing w:before="0"/>
        <w:ind w:firstLine="227"/>
        <w:rPr>
          <w:u w:val="single"/>
        </w:rPr>
      </w:pPr>
      <w:r w:rsidRPr="00091C55">
        <w:lastRenderedPageBreak/>
        <w:t>Kammarens sammanträdestillfällen fastställs i sammanträdesplaner som antas av talmannen efter samråd med riksdagsstyrelsen. För att anpassa kammararbetet efter förändrade förutsättningar har kompletterande ändringar i sammanträdesplanen gjorts under året. Det</w:t>
      </w:r>
      <w:r w:rsidR="009E4B40" w:rsidRPr="00091C55">
        <w:t>ta</w:t>
      </w:r>
      <w:r w:rsidRPr="00091C55">
        <w:t xml:space="preserve"> har till exempel </w:t>
      </w:r>
      <w:r w:rsidR="00102450">
        <w:t>gjorts</w:t>
      </w:r>
      <w:r w:rsidRPr="00091C55">
        <w:t xml:space="preserve"> för att kunna bereda plats för aktuella debatter och för att justera antalet tillfällen för interpellationssvar efter hur många interpellationer som har lämnats in.</w:t>
      </w:r>
      <w:r w:rsidR="00DB50E9">
        <w:t xml:space="preserve"> </w:t>
      </w:r>
      <w:r w:rsidR="00DB50E9" w:rsidRPr="00AC64AC">
        <w:t>Arbetet i kammaren har genomförts enligt plan.</w:t>
      </w:r>
    </w:p>
    <w:p w:rsidR="00D035BF" w:rsidRPr="0091383C" w:rsidRDefault="00725E2F" w:rsidP="00D035BF">
      <w:pPr>
        <w:spacing w:before="0"/>
        <w:ind w:firstLine="227"/>
      </w:pPr>
      <w:r w:rsidRPr="0091383C">
        <w:t xml:space="preserve">Under riksmötet 2015/16 inledde Riksdagsförvaltningen tillsammans med Regeringskansliet en försöksverksamhet </w:t>
      </w:r>
      <w:r w:rsidR="0091383C" w:rsidRPr="0091383C">
        <w:t>för att minska antalet försenade</w:t>
      </w:r>
      <w:r w:rsidR="009A6833" w:rsidRPr="0091383C">
        <w:t xml:space="preserve"> interpellationssvar</w:t>
      </w:r>
      <w:r w:rsidR="0091383C" w:rsidRPr="0091383C">
        <w:t>.</w:t>
      </w:r>
      <w:r w:rsidR="009A6833" w:rsidRPr="0091383C">
        <w:t xml:space="preserve"> Försöksverksamheten </w:t>
      </w:r>
      <w:r w:rsidR="0091383C" w:rsidRPr="0091383C">
        <w:t xml:space="preserve">har fortsatt under hela 2016 och kommer att utvärderas under 2017. </w:t>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t xml:space="preserve">Tabell 3 Antal inlämnade </w:t>
      </w:r>
      <w:r w:rsidR="00236D42" w:rsidRPr="00D035BF">
        <w:rPr>
          <w:rFonts w:eastAsiaTheme="majorEastAsia" w:cstheme="majorBidi"/>
          <w:b/>
        </w:rPr>
        <w:t xml:space="preserve">dokument </w:t>
      </w:r>
      <w:r w:rsidRPr="00D035BF">
        <w:rPr>
          <w:rFonts w:eastAsiaTheme="majorEastAsia" w:cstheme="majorBidi"/>
          <w:b/>
        </w:rPr>
        <w:t>till kammarkansliet</w:t>
      </w:r>
    </w:p>
    <w:tbl>
      <w:tblPr>
        <w:tblStyle w:val="Tabellrutnt2"/>
        <w:tblW w:w="5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704"/>
        <w:gridCol w:w="851"/>
        <w:gridCol w:w="874"/>
      </w:tblGrid>
      <w:tr w:rsidR="00242624" w:rsidRPr="00242624" w:rsidTr="00594C7B">
        <w:tc>
          <w:tcPr>
            <w:tcW w:w="3402" w:type="dxa"/>
            <w:tcBorders>
              <w:top w:val="single" w:sz="4" w:space="0" w:color="auto"/>
              <w:bottom w:val="single" w:sz="4" w:space="0" w:color="auto"/>
            </w:tcBorders>
          </w:tcPr>
          <w:p w:rsidR="00242624" w:rsidRPr="00242624" w:rsidRDefault="00242624" w:rsidP="00242624">
            <w:pPr>
              <w:spacing w:before="60" w:line="200" w:lineRule="exact"/>
              <w:ind w:left="1304"/>
              <w:rPr>
                <w:sz w:val="16"/>
                <w:szCs w:val="16"/>
              </w:rPr>
            </w:pPr>
          </w:p>
        </w:tc>
        <w:tc>
          <w:tcPr>
            <w:tcW w:w="704" w:type="dxa"/>
            <w:tcBorders>
              <w:top w:val="single" w:sz="4" w:space="0" w:color="auto"/>
              <w:bottom w:val="single" w:sz="4" w:space="0" w:color="auto"/>
            </w:tcBorders>
          </w:tcPr>
          <w:p w:rsidR="00242624" w:rsidRPr="00242624" w:rsidRDefault="00242624" w:rsidP="00044836">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362895">
              <w:rPr>
                <w:rFonts w:eastAsia="Times New Roman"/>
                <w:b/>
                <w:sz w:val="16"/>
                <w:szCs w:val="24"/>
                <w:lang w:eastAsia="sv-SE"/>
              </w:rPr>
              <w:t>6</w:t>
            </w:r>
          </w:p>
        </w:tc>
        <w:tc>
          <w:tcPr>
            <w:tcW w:w="851" w:type="dxa"/>
            <w:tcBorders>
              <w:top w:val="single" w:sz="4" w:space="0" w:color="auto"/>
              <w:bottom w:val="single" w:sz="4" w:space="0" w:color="auto"/>
            </w:tcBorders>
          </w:tcPr>
          <w:p w:rsidR="00242624" w:rsidRPr="00242624" w:rsidRDefault="00242624" w:rsidP="00362895">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362895">
              <w:rPr>
                <w:rFonts w:eastAsia="Times New Roman"/>
                <w:b/>
                <w:sz w:val="16"/>
                <w:szCs w:val="24"/>
                <w:lang w:eastAsia="sv-SE"/>
              </w:rPr>
              <w:t>5</w:t>
            </w:r>
          </w:p>
        </w:tc>
        <w:tc>
          <w:tcPr>
            <w:tcW w:w="874"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362895">
              <w:rPr>
                <w:rFonts w:eastAsia="Times New Roman"/>
                <w:b/>
                <w:sz w:val="16"/>
                <w:szCs w:val="24"/>
                <w:lang w:eastAsia="sv-SE"/>
              </w:rPr>
              <w:t>4</w:t>
            </w:r>
          </w:p>
        </w:tc>
      </w:tr>
      <w:tr w:rsidR="00362895" w:rsidRPr="00242624" w:rsidTr="00594C7B">
        <w:tc>
          <w:tcPr>
            <w:tcW w:w="3402" w:type="dxa"/>
            <w:tcBorders>
              <w:top w:val="single" w:sz="4" w:space="0" w:color="auto"/>
            </w:tcBorders>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Propositioner</w:t>
            </w:r>
          </w:p>
        </w:tc>
        <w:tc>
          <w:tcPr>
            <w:tcW w:w="704" w:type="dxa"/>
            <w:tcBorders>
              <w:top w:val="single" w:sz="4" w:space="0" w:color="auto"/>
            </w:tcBorders>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142</w:t>
            </w:r>
          </w:p>
        </w:tc>
        <w:tc>
          <w:tcPr>
            <w:tcW w:w="851" w:type="dxa"/>
            <w:tcBorders>
              <w:top w:val="single" w:sz="4" w:space="0" w:color="auto"/>
            </w:tcBorders>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129</w:t>
            </w:r>
          </w:p>
        </w:tc>
        <w:tc>
          <w:tcPr>
            <w:tcW w:w="874" w:type="dxa"/>
            <w:tcBorders>
              <w:top w:val="single" w:sz="4" w:space="0" w:color="auto"/>
            </w:tcBorders>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179</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Skrivelser</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52</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49</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60</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Framställningar</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8</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2</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5</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Redogörelser</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22</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22</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21</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Följdmotioner</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228</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153</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266</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Motioner från allmänna motionstiden</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3 409</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3 196</w:t>
            </w:r>
          </w:p>
        </w:tc>
        <w:tc>
          <w:tcPr>
            <w:tcW w:w="874" w:type="dxa"/>
          </w:tcPr>
          <w:p w:rsidR="00362895" w:rsidRPr="00242624" w:rsidRDefault="009B67C1" w:rsidP="00362895">
            <w:pPr>
              <w:spacing w:before="60" w:line="200" w:lineRule="exact"/>
              <w:jc w:val="right"/>
              <w:rPr>
                <w:rFonts w:eastAsia="Times New Roman"/>
                <w:sz w:val="16"/>
                <w:szCs w:val="24"/>
                <w:lang w:eastAsia="sv-SE"/>
              </w:rPr>
            </w:pPr>
            <w:r>
              <w:rPr>
                <w:rFonts w:eastAsia="Times New Roman"/>
                <w:sz w:val="16"/>
                <w:szCs w:val="24"/>
                <w:lang w:eastAsia="sv-SE"/>
              </w:rPr>
              <w:t>2 </w:t>
            </w:r>
            <w:r w:rsidR="00362895" w:rsidRPr="00242624">
              <w:rPr>
                <w:rFonts w:eastAsia="Times New Roman"/>
                <w:sz w:val="16"/>
                <w:szCs w:val="24"/>
                <w:lang w:eastAsia="sv-SE"/>
              </w:rPr>
              <w:t>902</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Händelsemotioner</w:t>
            </w:r>
          </w:p>
        </w:tc>
        <w:tc>
          <w:tcPr>
            <w:tcW w:w="704" w:type="dxa"/>
          </w:tcPr>
          <w:p w:rsidR="00362895" w:rsidRPr="00242624" w:rsidRDefault="008816AB" w:rsidP="00362895">
            <w:pPr>
              <w:spacing w:before="60" w:line="200" w:lineRule="exact"/>
              <w:jc w:val="right"/>
              <w:rPr>
                <w:rFonts w:eastAsia="Times New Roman"/>
                <w:sz w:val="16"/>
                <w:szCs w:val="24"/>
                <w:lang w:eastAsia="sv-SE"/>
              </w:rPr>
            </w:pPr>
            <w:r>
              <w:rPr>
                <w:rFonts w:eastAsia="Times New Roman"/>
                <w:sz w:val="16"/>
                <w:szCs w:val="24"/>
                <w:lang w:eastAsia="sv-SE"/>
              </w:rPr>
              <w:t>1</w:t>
            </w:r>
            <w:r w:rsidR="0074276B">
              <w:rPr>
                <w:rStyle w:val="Fotnotsreferens"/>
                <w:rFonts w:eastAsia="Times New Roman"/>
                <w:sz w:val="16"/>
                <w:szCs w:val="24"/>
                <w:lang w:eastAsia="sv-SE"/>
              </w:rPr>
              <w:footnoteReference w:id="7"/>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2</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2</w:t>
            </w:r>
            <w:r w:rsidRPr="00242624">
              <w:rPr>
                <w:rFonts w:eastAsia="Times New Roman"/>
                <w:sz w:val="16"/>
                <w:szCs w:val="16"/>
                <w:vertAlign w:val="superscript"/>
                <w:lang w:eastAsia="sv-SE"/>
              </w:rPr>
              <w:footnoteReference w:id="8"/>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Interpellationer</w:t>
            </w:r>
          </w:p>
        </w:tc>
        <w:tc>
          <w:tcPr>
            <w:tcW w:w="704" w:type="dxa"/>
          </w:tcPr>
          <w:p w:rsidR="00362895" w:rsidRPr="00242624" w:rsidRDefault="00543C58" w:rsidP="00362895">
            <w:pPr>
              <w:spacing w:before="60" w:line="200" w:lineRule="exact"/>
              <w:jc w:val="right"/>
              <w:rPr>
                <w:rFonts w:eastAsia="Times New Roman"/>
                <w:sz w:val="16"/>
                <w:szCs w:val="24"/>
                <w:lang w:eastAsia="sv-SE"/>
              </w:rPr>
            </w:pPr>
            <w:r>
              <w:rPr>
                <w:rFonts w:eastAsia="Times New Roman"/>
                <w:sz w:val="16"/>
                <w:szCs w:val="24"/>
                <w:lang w:eastAsia="sv-SE"/>
              </w:rPr>
              <w:t>719</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855</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523</w:t>
            </w:r>
          </w:p>
        </w:tc>
      </w:tr>
      <w:tr w:rsidR="00362895" w:rsidRPr="00242624" w:rsidTr="00594C7B">
        <w:tc>
          <w:tcPr>
            <w:tcW w:w="3402" w:type="dxa"/>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Skriftliga frågor</w:t>
            </w:r>
          </w:p>
        </w:tc>
        <w:tc>
          <w:tcPr>
            <w:tcW w:w="704" w:type="dxa"/>
          </w:tcPr>
          <w:p w:rsidR="00362895" w:rsidRPr="00242624" w:rsidRDefault="00543C58" w:rsidP="00543C58">
            <w:pPr>
              <w:spacing w:before="60" w:line="200" w:lineRule="exact"/>
              <w:ind w:right="-12"/>
              <w:jc w:val="right"/>
              <w:rPr>
                <w:rFonts w:eastAsia="Times New Roman"/>
                <w:sz w:val="16"/>
                <w:szCs w:val="24"/>
                <w:lang w:eastAsia="sv-SE"/>
              </w:rPr>
            </w:pPr>
            <w:r>
              <w:rPr>
                <w:rFonts w:eastAsia="Times New Roman"/>
                <w:sz w:val="16"/>
                <w:szCs w:val="24"/>
                <w:lang w:eastAsia="sv-SE"/>
              </w:rPr>
              <w:t>1 608</w:t>
            </w:r>
          </w:p>
        </w:tc>
        <w:tc>
          <w:tcPr>
            <w:tcW w:w="851" w:type="dxa"/>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1 201</w:t>
            </w:r>
          </w:p>
        </w:tc>
        <w:tc>
          <w:tcPr>
            <w:tcW w:w="874" w:type="dxa"/>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642</w:t>
            </w:r>
          </w:p>
        </w:tc>
      </w:tr>
      <w:tr w:rsidR="00362895" w:rsidRPr="00242624" w:rsidTr="00594C7B">
        <w:tc>
          <w:tcPr>
            <w:tcW w:w="3402" w:type="dxa"/>
          </w:tcPr>
          <w:p w:rsidR="00362895" w:rsidRPr="00D45E28" w:rsidRDefault="00362895" w:rsidP="00362895">
            <w:pPr>
              <w:spacing w:before="60" w:line="200" w:lineRule="exact"/>
              <w:jc w:val="left"/>
              <w:rPr>
                <w:rFonts w:eastAsia="Times New Roman"/>
                <w:sz w:val="16"/>
                <w:szCs w:val="24"/>
                <w:lang w:eastAsia="sv-SE"/>
              </w:rPr>
            </w:pPr>
            <w:r w:rsidRPr="00D45E28">
              <w:rPr>
                <w:rFonts w:eastAsia="Times New Roman"/>
                <w:sz w:val="16"/>
                <w:szCs w:val="24"/>
                <w:lang w:eastAsia="sv-SE"/>
              </w:rPr>
              <w:t>Betänkanden*</w:t>
            </w:r>
          </w:p>
        </w:tc>
        <w:tc>
          <w:tcPr>
            <w:tcW w:w="704" w:type="dxa"/>
          </w:tcPr>
          <w:p w:rsidR="00362895" w:rsidRPr="00D45E28" w:rsidRDefault="00543C58" w:rsidP="00362895">
            <w:pPr>
              <w:spacing w:before="60" w:line="200" w:lineRule="exact"/>
              <w:jc w:val="right"/>
              <w:rPr>
                <w:rFonts w:eastAsia="Times New Roman"/>
                <w:sz w:val="16"/>
                <w:szCs w:val="24"/>
                <w:lang w:eastAsia="sv-SE"/>
              </w:rPr>
            </w:pPr>
            <w:r w:rsidRPr="00D45E28">
              <w:rPr>
                <w:rFonts w:eastAsia="Times New Roman"/>
                <w:sz w:val="16"/>
                <w:szCs w:val="24"/>
                <w:lang w:eastAsia="sv-SE"/>
              </w:rPr>
              <w:t>31</w:t>
            </w:r>
            <w:r w:rsidR="0000099D" w:rsidRPr="00D45E28">
              <w:rPr>
                <w:rFonts w:eastAsia="Times New Roman"/>
                <w:sz w:val="16"/>
                <w:szCs w:val="24"/>
                <w:lang w:eastAsia="sv-SE"/>
              </w:rPr>
              <w:t>9</w:t>
            </w:r>
          </w:p>
        </w:tc>
        <w:tc>
          <w:tcPr>
            <w:tcW w:w="851" w:type="dxa"/>
          </w:tcPr>
          <w:p w:rsidR="00362895" w:rsidRPr="00D45E28" w:rsidRDefault="00362895" w:rsidP="00362895">
            <w:pPr>
              <w:spacing w:before="60" w:line="200" w:lineRule="exact"/>
              <w:jc w:val="right"/>
              <w:rPr>
                <w:rFonts w:eastAsia="Times New Roman"/>
                <w:sz w:val="16"/>
                <w:szCs w:val="24"/>
                <w:lang w:eastAsia="sv-SE"/>
              </w:rPr>
            </w:pPr>
            <w:r w:rsidRPr="00D45E28">
              <w:rPr>
                <w:rFonts w:eastAsia="Times New Roman"/>
                <w:sz w:val="16"/>
                <w:szCs w:val="24"/>
                <w:lang w:eastAsia="sv-SE"/>
              </w:rPr>
              <w:t>2</w:t>
            </w:r>
            <w:r w:rsidR="00543C58" w:rsidRPr="00D45E28">
              <w:rPr>
                <w:rFonts w:eastAsia="Times New Roman"/>
                <w:sz w:val="16"/>
                <w:szCs w:val="24"/>
                <w:lang w:eastAsia="sv-SE"/>
              </w:rPr>
              <w:t>8</w:t>
            </w:r>
            <w:r w:rsidRPr="00D45E28">
              <w:rPr>
                <w:rFonts w:eastAsia="Times New Roman"/>
                <w:sz w:val="16"/>
                <w:szCs w:val="24"/>
                <w:lang w:eastAsia="sv-SE"/>
              </w:rPr>
              <w:t>8</w:t>
            </w:r>
          </w:p>
        </w:tc>
        <w:tc>
          <w:tcPr>
            <w:tcW w:w="874" w:type="dxa"/>
          </w:tcPr>
          <w:p w:rsidR="00362895" w:rsidRPr="00090D89" w:rsidRDefault="00362895" w:rsidP="00362895">
            <w:pPr>
              <w:spacing w:before="60" w:line="200" w:lineRule="exact"/>
              <w:jc w:val="right"/>
              <w:rPr>
                <w:rFonts w:eastAsia="Times New Roman"/>
                <w:sz w:val="16"/>
                <w:szCs w:val="24"/>
                <w:lang w:eastAsia="sv-SE"/>
              </w:rPr>
            </w:pPr>
            <w:r w:rsidRPr="00D45E28">
              <w:rPr>
                <w:rFonts w:eastAsia="Times New Roman"/>
                <w:sz w:val="16"/>
                <w:szCs w:val="24"/>
                <w:lang w:eastAsia="sv-SE"/>
              </w:rPr>
              <w:t>369</w:t>
            </w:r>
          </w:p>
        </w:tc>
      </w:tr>
      <w:tr w:rsidR="00362895" w:rsidRPr="00242624" w:rsidTr="00594C7B">
        <w:tc>
          <w:tcPr>
            <w:tcW w:w="3402" w:type="dxa"/>
          </w:tcPr>
          <w:p w:rsidR="00362895" w:rsidRPr="001C45E3" w:rsidRDefault="00543C58" w:rsidP="00362895">
            <w:pPr>
              <w:spacing w:before="60" w:line="200" w:lineRule="exact"/>
              <w:jc w:val="left"/>
              <w:rPr>
                <w:rFonts w:eastAsia="Times New Roman"/>
                <w:sz w:val="16"/>
                <w:szCs w:val="24"/>
                <w:highlight w:val="yellow"/>
                <w:lang w:eastAsia="sv-SE"/>
              </w:rPr>
            </w:pPr>
            <w:r w:rsidRPr="00104D6F">
              <w:rPr>
                <w:rFonts w:eastAsia="Times New Roman"/>
                <w:sz w:val="16"/>
                <w:szCs w:val="24"/>
                <w:lang w:eastAsia="sv-SE"/>
              </w:rPr>
              <w:t>U</w:t>
            </w:r>
            <w:r w:rsidR="00362895" w:rsidRPr="00104D6F">
              <w:rPr>
                <w:rFonts w:eastAsia="Times New Roman"/>
                <w:sz w:val="16"/>
                <w:szCs w:val="24"/>
                <w:lang w:eastAsia="sv-SE"/>
              </w:rPr>
              <w:t>tlåtanden*</w:t>
            </w:r>
            <w:r w:rsidR="00C1093F" w:rsidRPr="00104D6F">
              <w:rPr>
                <w:rStyle w:val="Fotnotsreferens"/>
                <w:rFonts w:eastAsia="Times New Roman"/>
                <w:sz w:val="16"/>
                <w:szCs w:val="24"/>
                <w:lang w:eastAsia="sv-SE"/>
              </w:rPr>
              <w:footnoteReference w:id="9"/>
            </w:r>
          </w:p>
        </w:tc>
        <w:tc>
          <w:tcPr>
            <w:tcW w:w="704" w:type="dxa"/>
          </w:tcPr>
          <w:p w:rsidR="00362895" w:rsidRPr="00242624" w:rsidRDefault="00543C58" w:rsidP="00362895">
            <w:pPr>
              <w:spacing w:before="60" w:line="200" w:lineRule="exact"/>
              <w:jc w:val="right"/>
              <w:rPr>
                <w:rFonts w:eastAsia="Times New Roman"/>
                <w:sz w:val="16"/>
                <w:szCs w:val="24"/>
                <w:lang w:eastAsia="sv-SE"/>
              </w:rPr>
            </w:pPr>
            <w:r>
              <w:rPr>
                <w:rFonts w:eastAsia="Times New Roman"/>
                <w:sz w:val="16"/>
                <w:szCs w:val="24"/>
                <w:lang w:eastAsia="sv-SE"/>
              </w:rPr>
              <w:t>24</w:t>
            </w:r>
          </w:p>
        </w:tc>
        <w:tc>
          <w:tcPr>
            <w:tcW w:w="851" w:type="dxa"/>
          </w:tcPr>
          <w:p w:rsidR="00362895" w:rsidRPr="00242624" w:rsidRDefault="00362895" w:rsidP="00543C58">
            <w:pPr>
              <w:spacing w:before="60" w:line="200" w:lineRule="exact"/>
              <w:jc w:val="right"/>
              <w:rPr>
                <w:rFonts w:eastAsia="Times New Roman"/>
                <w:sz w:val="16"/>
                <w:szCs w:val="24"/>
                <w:lang w:eastAsia="sv-SE"/>
              </w:rPr>
            </w:pPr>
            <w:r>
              <w:rPr>
                <w:rFonts w:eastAsia="Times New Roman"/>
                <w:sz w:val="16"/>
                <w:szCs w:val="24"/>
                <w:lang w:eastAsia="sv-SE"/>
              </w:rPr>
              <w:t>1</w:t>
            </w:r>
            <w:r w:rsidR="00543C58">
              <w:rPr>
                <w:rFonts w:eastAsia="Times New Roman"/>
                <w:sz w:val="16"/>
                <w:szCs w:val="24"/>
                <w:lang w:eastAsia="sv-SE"/>
              </w:rPr>
              <w:t>1</w:t>
            </w:r>
          </w:p>
        </w:tc>
        <w:tc>
          <w:tcPr>
            <w:tcW w:w="874" w:type="dxa"/>
          </w:tcPr>
          <w:p w:rsidR="00362895" w:rsidRPr="00242624" w:rsidRDefault="00543C58" w:rsidP="00543C58">
            <w:pPr>
              <w:spacing w:before="60" w:line="200" w:lineRule="exact"/>
              <w:jc w:val="right"/>
              <w:rPr>
                <w:rFonts w:eastAsia="Times New Roman"/>
                <w:sz w:val="16"/>
                <w:szCs w:val="24"/>
                <w:lang w:eastAsia="sv-SE"/>
              </w:rPr>
            </w:pPr>
            <w:r>
              <w:rPr>
                <w:rFonts w:eastAsia="Times New Roman"/>
                <w:sz w:val="16"/>
                <w:szCs w:val="24"/>
                <w:lang w:eastAsia="sv-SE"/>
              </w:rPr>
              <w:t>11</w:t>
            </w:r>
          </w:p>
        </w:tc>
      </w:tr>
      <w:tr w:rsidR="00D45E28" w:rsidRPr="00242624" w:rsidTr="00594C7B">
        <w:tc>
          <w:tcPr>
            <w:tcW w:w="3402" w:type="dxa"/>
          </w:tcPr>
          <w:p w:rsidR="00D45E28" w:rsidRPr="00104D6F" w:rsidRDefault="00D45E28" w:rsidP="00362895">
            <w:pPr>
              <w:spacing w:before="60" w:line="200" w:lineRule="exact"/>
              <w:jc w:val="left"/>
              <w:rPr>
                <w:rFonts w:eastAsia="Times New Roman"/>
                <w:sz w:val="16"/>
                <w:szCs w:val="24"/>
                <w:lang w:eastAsia="sv-SE"/>
              </w:rPr>
            </w:pPr>
            <w:r>
              <w:rPr>
                <w:rFonts w:eastAsia="Times New Roman"/>
                <w:sz w:val="16"/>
                <w:szCs w:val="24"/>
                <w:lang w:eastAsia="sv-SE"/>
              </w:rPr>
              <w:t>EU-dokument</w:t>
            </w:r>
          </w:p>
        </w:tc>
        <w:tc>
          <w:tcPr>
            <w:tcW w:w="704" w:type="dxa"/>
          </w:tcPr>
          <w:p w:rsidR="00D45E28" w:rsidRDefault="00D45E28" w:rsidP="00362895">
            <w:pPr>
              <w:spacing w:before="60" w:line="200" w:lineRule="exact"/>
              <w:jc w:val="right"/>
              <w:rPr>
                <w:rFonts w:eastAsia="Times New Roman"/>
                <w:sz w:val="16"/>
                <w:szCs w:val="24"/>
                <w:lang w:eastAsia="sv-SE"/>
              </w:rPr>
            </w:pPr>
            <w:r>
              <w:rPr>
                <w:rFonts w:eastAsia="Times New Roman"/>
                <w:sz w:val="16"/>
                <w:szCs w:val="24"/>
                <w:lang w:eastAsia="sv-SE"/>
              </w:rPr>
              <w:t>2 624</w:t>
            </w:r>
          </w:p>
        </w:tc>
        <w:tc>
          <w:tcPr>
            <w:tcW w:w="851" w:type="dxa"/>
          </w:tcPr>
          <w:p w:rsidR="00D45E28" w:rsidRDefault="00D45E28" w:rsidP="00543C58">
            <w:pPr>
              <w:spacing w:before="60" w:line="200" w:lineRule="exact"/>
              <w:jc w:val="right"/>
              <w:rPr>
                <w:rFonts w:eastAsia="Times New Roman"/>
                <w:sz w:val="16"/>
                <w:szCs w:val="24"/>
                <w:lang w:eastAsia="sv-SE"/>
              </w:rPr>
            </w:pPr>
            <w:r>
              <w:rPr>
                <w:rFonts w:eastAsia="Times New Roman"/>
                <w:sz w:val="16"/>
                <w:szCs w:val="24"/>
                <w:lang w:eastAsia="sv-SE"/>
              </w:rPr>
              <w:t>1 963</w:t>
            </w:r>
          </w:p>
        </w:tc>
        <w:tc>
          <w:tcPr>
            <w:tcW w:w="874" w:type="dxa"/>
          </w:tcPr>
          <w:p w:rsidR="00D45E28" w:rsidRDefault="00D45E28" w:rsidP="00543C58">
            <w:pPr>
              <w:spacing w:before="60" w:line="200" w:lineRule="exact"/>
              <w:jc w:val="right"/>
              <w:rPr>
                <w:rFonts w:eastAsia="Times New Roman"/>
                <w:sz w:val="16"/>
                <w:szCs w:val="24"/>
                <w:lang w:eastAsia="sv-SE"/>
              </w:rPr>
            </w:pPr>
            <w:r>
              <w:rPr>
                <w:rFonts w:eastAsia="Times New Roman"/>
                <w:sz w:val="16"/>
                <w:szCs w:val="24"/>
                <w:lang w:eastAsia="sv-SE"/>
              </w:rPr>
              <w:t>2 304</w:t>
            </w:r>
          </w:p>
        </w:tc>
      </w:tr>
      <w:tr w:rsidR="00362895" w:rsidRPr="00242624" w:rsidTr="0008349E">
        <w:tc>
          <w:tcPr>
            <w:tcW w:w="3402" w:type="dxa"/>
            <w:tcBorders>
              <w:bottom w:val="single" w:sz="4" w:space="0" w:color="auto"/>
            </w:tcBorders>
          </w:tcPr>
          <w:p w:rsidR="00362895" w:rsidRPr="00242624" w:rsidRDefault="00362895" w:rsidP="00362895">
            <w:pPr>
              <w:spacing w:before="60" w:line="200" w:lineRule="exact"/>
              <w:jc w:val="left"/>
              <w:rPr>
                <w:rFonts w:eastAsia="Times New Roman"/>
                <w:sz w:val="16"/>
                <w:szCs w:val="24"/>
                <w:lang w:eastAsia="sv-SE"/>
              </w:rPr>
            </w:pPr>
            <w:r w:rsidRPr="00242624">
              <w:rPr>
                <w:rFonts w:eastAsia="Times New Roman"/>
                <w:sz w:val="16"/>
                <w:szCs w:val="24"/>
                <w:lang w:eastAsia="sv-SE"/>
              </w:rPr>
              <w:t>Riksrevisionens granskningsrapporter</w:t>
            </w:r>
          </w:p>
        </w:tc>
        <w:tc>
          <w:tcPr>
            <w:tcW w:w="704" w:type="dxa"/>
            <w:tcBorders>
              <w:bottom w:val="single" w:sz="4" w:space="0" w:color="auto"/>
            </w:tcBorders>
          </w:tcPr>
          <w:p w:rsidR="00362895" w:rsidRPr="00242624" w:rsidRDefault="00543C58" w:rsidP="00362895">
            <w:pPr>
              <w:spacing w:before="60" w:line="200" w:lineRule="exact"/>
              <w:jc w:val="right"/>
              <w:rPr>
                <w:rFonts w:eastAsia="Times New Roman"/>
                <w:sz w:val="16"/>
                <w:szCs w:val="24"/>
                <w:lang w:eastAsia="sv-SE"/>
              </w:rPr>
            </w:pPr>
            <w:r>
              <w:rPr>
                <w:rFonts w:eastAsia="Times New Roman"/>
                <w:sz w:val="16"/>
                <w:szCs w:val="24"/>
                <w:lang w:eastAsia="sv-SE"/>
              </w:rPr>
              <w:t>32</w:t>
            </w:r>
          </w:p>
        </w:tc>
        <w:tc>
          <w:tcPr>
            <w:tcW w:w="851" w:type="dxa"/>
            <w:tcBorders>
              <w:bottom w:val="single" w:sz="4" w:space="0" w:color="auto"/>
            </w:tcBorders>
          </w:tcPr>
          <w:p w:rsidR="00362895" w:rsidRPr="00242624" w:rsidRDefault="00362895" w:rsidP="00362895">
            <w:pPr>
              <w:spacing w:before="60" w:line="200" w:lineRule="exact"/>
              <w:jc w:val="right"/>
              <w:rPr>
                <w:rFonts w:eastAsia="Times New Roman"/>
                <w:sz w:val="16"/>
                <w:szCs w:val="24"/>
                <w:lang w:eastAsia="sv-SE"/>
              </w:rPr>
            </w:pPr>
            <w:r>
              <w:rPr>
                <w:rFonts w:eastAsia="Times New Roman"/>
                <w:sz w:val="16"/>
                <w:szCs w:val="24"/>
                <w:lang w:eastAsia="sv-SE"/>
              </w:rPr>
              <w:t>22</w:t>
            </w:r>
          </w:p>
        </w:tc>
        <w:tc>
          <w:tcPr>
            <w:tcW w:w="874" w:type="dxa"/>
            <w:tcBorders>
              <w:bottom w:val="single" w:sz="4" w:space="0" w:color="auto"/>
            </w:tcBorders>
          </w:tcPr>
          <w:p w:rsidR="00362895" w:rsidRPr="00242624" w:rsidRDefault="00362895" w:rsidP="00362895">
            <w:pPr>
              <w:spacing w:before="60" w:line="200" w:lineRule="exact"/>
              <w:jc w:val="right"/>
              <w:rPr>
                <w:rFonts w:eastAsia="Times New Roman"/>
                <w:sz w:val="16"/>
                <w:szCs w:val="24"/>
                <w:lang w:eastAsia="sv-SE"/>
              </w:rPr>
            </w:pPr>
            <w:r w:rsidRPr="00242624">
              <w:rPr>
                <w:rFonts w:eastAsia="Times New Roman"/>
                <w:sz w:val="16"/>
                <w:szCs w:val="24"/>
                <w:lang w:eastAsia="sv-SE"/>
              </w:rPr>
              <w:t>27</w:t>
            </w:r>
          </w:p>
        </w:tc>
      </w:tr>
      <w:tr w:rsidR="0008349E" w:rsidRPr="00242624" w:rsidTr="0008349E">
        <w:tc>
          <w:tcPr>
            <w:tcW w:w="3402" w:type="dxa"/>
            <w:tcBorders>
              <w:top w:val="single" w:sz="4" w:space="0" w:color="auto"/>
              <w:bottom w:val="single" w:sz="4" w:space="0" w:color="auto"/>
            </w:tcBorders>
          </w:tcPr>
          <w:p w:rsidR="0008349E" w:rsidRPr="00643B0E" w:rsidRDefault="008A558E" w:rsidP="00362895">
            <w:pPr>
              <w:spacing w:before="60" w:line="200" w:lineRule="exact"/>
              <w:jc w:val="left"/>
              <w:rPr>
                <w:rFonts w:eastAsia="Times New Roman"/>
                <w:b/>
                <w:sz w:val="16"/>
                <w:szCs w:val="24"/>
                <w:lang w:eastAsia="sv-SE"/>
              </w:rPr>
            </w:pPr>
            <w:r w:rsidRPr="00643B0E">
              <w:rPr>
                <w:rFonts w:eastAsia="Times New Roman"/>
                <w:b/>
                <w:sz w:val="16"/>
                <w:szCs w:val="24"/>
                <w:lang w:eastAsia="sv-SE"/>
              </w:rPr>
              <w:t>Totalt</w:t>
            </w:r>
          </w:p>
        </w:tc>
        <w:tc>
          <w:tcPr>
            <w:tcW w:w="704" w:type="dxa"/>
            <w:tcBorders>
              <w:top w:val="single" w:sz="4" w:space="0" w:color="auto"/>
              <w:bottom w:val="single" w:sz="4" w:space="0" w:color="auto"/>
            </w:tcBorders>
          </w:tcPr>
          <w:p w:rsidR="0008349E" w:rsidRPr="00643B0E" w:rsidRDefault="0008349E" w:rsidP="00362895">
            <w:pPr>
              <w:spacing w:before="60" w:line="200" w:lineRule="exact"/>
              <w:jc w:val="right"/>
              <w:rPr>
                <w:rFonts w:eastAsia="Times New Roman"/>
                <w:b/>
                <w:sz w:val="16"/>
                <w:szCs w:val="24"/>
                <w:lang w:eastAsia="sv-SE"/>
              </w:rPr>
            </w:pPr>
            <w:r w:rsidRPr="00643B0E">
              <w:rPr>
                <w:rFonts w:eastAsia="Times New Roman"/>
                <w:b/>
                <w:sz w:val="16"/>
                <w:szCs w:val="24"/>
                <w:lang w:eastAsia="sv-SE"/>
              </w:rPr>
              <w:t>9 188</w:t>
            </w:r>
          </w:p>
        </w:tc>
        <w:tc>
          <w:tcPr>
            <w:tcW w:w="851" w:type="dxa"/>
            <w:tcBorders>
              <w:top w:val="single" w:sz="4" w:space="0" w:color="auto"/>
              <w:bottom w:val="single" w:sz="4" w:space="0" w:color="auto"/>
            </w:tcBorders>
          </w:tcPr>
          <w:p w:rsidR="0008349E" w:rsidRPr="00643B0E" w:rsidRDefault="0008349E" w:rsidP="00362895">
            <w:pPr>
              <w:spacing w:before="60" w:line="200" w:lineRule="exact"/>
              <w:jc w:val="right"/>
              <w:rPr>
                <w:rFonts w:eastAsia="Times New Roman"/>
                <w:b/>
                <w:sz w:val="16"/>
                <w:szCs w:val="24"/>
                <w:lang w:eastAsia="sv-SE"/>
              </w:rPr>
            </w:pPr>
            <w:r w:rsidRPr="00643B0E">
              <w:rPr>
                <w:rFonts w:eastAsia="Times New Roman"/>
                <w:b/>
                <w:sz w:val="16"/>
                <w:szCs w:val="24"/>
                <w:lang w:eastAsia="sv-SE"/>
              </w:rPr>
              <w:t>7 893</w:t>
            </w:r>
          </w:p>
        </w:tc>
        <w:tc>
          <w:tcPr>
            <w:tcW w:w="874" w:type="dxa"/>
            <w:tcBorders>
              <w:top w:val="single" w:sz="4" w:space="0" w:color="auto"/>
              <w:bottom w:val="single" w:sz="4" w:space="0" w:color="auto"/>
            </w:tcBorders>
          </w:tcPr>
          <w:p w:rsidR="0008349E" w:rsidRPr="00643B0E" w:rsidRDefault="0008349E" w:rsidP="00362895">
            <w:pPr>
              <w:spacing w:before="60" w:line="200" w:lineRule="exact"/>
              <w:jc w:val="right"/>
              <w:rPr>
                <w:rFonts w:eastAsia="Times New Roman"/>
                <w:b/>
                <w:sz w:val="16"/>
                <w:szCs w:val="24"/>
                <w:lang w:eastAsia="sv-SE"/>
              </w:rPr>
            </w:pPr>
            <w:r w:rsidRPr="00643B0E">
              <w:rPr>
                <w:rFonts w:eastAsia="Times New Roman"/>
                <w:b/>
                <w:sz w:val="16"/>
                <w:szCs w:val="24"/>
                <w:lang w:eastAsia="sv-SE"/>
              </w:rPr>
              <w:t>7 311</w:t>
            </w:r>
          </w:p>
        </w:tc>
      </w:tr>
    </w:tbl>
    <w:p w:rsidR="00090D89" w:rsidRPr="00090D89" w:rsidRDefault="00090D89" w:rsidP="00A639F7">
      <w:pPr>
        <w:spacing w:before="60"/>
        <w:rPr>
          <w:sz w:val="16"/>
          <w:szCs w:val="16"/>
        </w:rPr>
      </w:pPr>
      <w:r w:rsidRPr="00090D89">
        <w:rPr>
          <w:sz w:val="16"/>
          <w:szCs w:val="16"/>
        </w:rPr>
        <w:t xml:space="preserve">* </w:t>
      </w:r>
      <w:r w:rsidR="00005D74">
        <w:rPr>
          <w:sz w:val="16"/>
          <w:szCs w:val="16"/>
        </w:rPr>
        <w:t>Ä</w:t>
      </w:r>
      <w:r w:rsidRPr="00090D89">
        <w:rPr>
          <w:sz w:val="16"/>
          <w:szCs w:val="16"/>
        </w:rPr>
        <w:t xml:space="preserve">renden som </w:t>
      </w:r>
      <w:r w:rsidR="00005D74">
        <w:rPr>
          <w:sz w:val="16"/>
          <w:szCs w:val="16"/>
        </w:rPr>
        <w:t xml:space="preserve">efter beredning </w:t>
      </w:r>
      <w:r w:rsidRPr="00090D89">
        <w:rPr>
          <w:sz w:val="16"/>
          <w:szCs w:val="16"/>
        </w:rPr>
        <w:t xml:space="preserve">har inkommit och behandlats av kammaren. </w:t>
      </w:r>
    </w:p>
    <w:p w:rsidR="00066265" w:rsidRDefault="009E4B40" w:rsidP="00066265">
      <w:pPr>
        <w:spacing w:before="125"/>
      </w:pPr>
      <w:r w:rsidRPr="00E4256A">
        <w:t>Antalet p</w:t>
      </w:r>
      <w:r w:rsidR="00DE2A08" w:rsidRPr="00E4256A">
        <w:t xml:space="preserve">ropositioner har </w:t>
      </w:r>
      <w:r w:rsidR="00E4256A" w:rsidRPr="00E4256A">
        <w:t>ökat</w:t>
      </w:r>
      <w:r w:rsidRPr="00E4256A">
        <w:t xml:space="preserve"> </w:t>
      </w:r>
      <w:r w:rsidR="00E4256A" w:rsidRPr="00E4256A">
        <w:t>under 2016</w:t>
      </w:r>
      <w:r w:rsidR="00DE2A08" w:rsidRPr="00E4256A">
        <w:t xml:space="preserve"> jämfört med </w:t>
      </w:r>
      <w:r w:rsidR="006C0031">
        <w:t>2015</w:t>
      </w:r>
      <w:r w:rsidR="00DE2A08" w:rsidRPr="00E4256A">
        <w:t xml:space="preserve">. </w:t>
      </w:r>
      <w:r w:rsidR="00F66E4B" w:rsidRPr="00E4256A">
        <w:t>Som en följd har ä</w:t>
      </w:r>
      <w:r w:rsidR="00DE2A08" w:rsidRPr="00E4256A">
        <w:t>ven anta</w:t>
      </w:r>
      <w:r w:rsidR="00E4256A" w:rsidRPr="00E4256A">
        <w:t>let följdmotioner ökat</w:t>
      </w:r>
      <w:r w:rsidR="00F66E4B" w:rsidRPr="00E4256A">
        <w:t>.</w:t>
      </w:r>
      <w:r w:rsidR="00DE2A08" w:rsidRPr="00E4256A">
        <w:t xml:space="preserve"> </w:t>
      </w:r>
      <w:r w:rsidR="00005D74">
        <w:t>Antalet skrivelser har ökat något.</w:t>
      </w:r>
      <w:r w:rsidR="00005D74" w:rsidRPr="00E4256A">
        <w:t xml:space="preserve"> </w:t>
      </w:r>
      <w:r w:rsidR="00E4256A" w:rsidRPr="00E4256A">
        <w:t xml:space="preserve">Antalet inlämnade skriftliga frågor har också ökat medan </w:t>
      </w:r>
      <w:r w:rsidR="00066265" w:rsidRPr="00E4256A">
        <w:t>interpellationer</w:t>
      </w:r>
      <w:r w:rsidR="00E4256A" w:rsidRPr="00E4256A">
        <w:t>na</w:t>
      </w:r>
      <w:r w:rsidR="00066265" w:rsidRPr="00E4256A">
        <w:t xml:space="preserve"> </w:t>
      </w:r>
      <w:r w:rsidR="00E4256A" w:rsidRPr="00E4256A">
        <w:t>har minskat i antal jämfört med 2015</w:t>
      </w:r>
      <w:r w:rsidR="00066265" w:rsidRPr="00E4256A">
        <w:t>.</w:t>
      </w:r>
      <w:r w:rsidR="00386C99">
        <w:t xml:space="preserve"> Antalet inkomna EU-dokument har ökat kraftigt jämfört med 2015, se vidare tabell 6.</w:t>
      </w:r>
    </w:p>
    <w:p w:rsidR="00F64059" w:rsidRDefault="00F64059">
      <w:pPr>
        <w:spacing w:before="0" w:after="200" w:line="276" w:lineRule="auto"/>
        <w:jc w:val="left"/>
      </w:pPr>
      <w:r>
        <w:br w:type="page"/>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035BF">
        <w:rPr>
          <w:rFonts w:eastAsiaTheme="majorEastAsia" w:cstheme="majorBidi"/>
          <w:b/>
        </w:rPr>
        <w:lastRenderedPageBreak/>
        <w:t>Tabell 4 Plenitimmar i kammaren fördelade på typ av aktivitet</w:t>
      </w:r>
    </w:p>
    <w:tbl>
      <w:tblPr>
        <w:tblStyle w:val="Tabellrut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851"/>
        <w:gridCol w:w="874"/>
      </w:tblGrid>
      <w:tr w:rsidR="00242624" w:rsidRPr="00242624" w:rsidTr="00594C7B">
        <w:tc>
          <w:tcPr>
            <w:tcW w:w="3256"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sz w:val="16"/>
                <w:szCs w:val="24"/>
                <w:lang w:eastAsia="sv-SE"/>
              </w:rPr>
            </w:pPr>
          </w:p>
        </w:tc>
        <w:tc>
          <w:tcPr>
            <w:tcW w:w="850" w:type="dxa"/>
            <w:tcBorders>
              <w:top w:val="single" w:sz="4" w:space="0" w:color="auto"/>
              <w:bottom w:val="single" w:sz="4" w:space="0" w:color="auto"/>
            </w:tcBorders>
          </w:tcPr>
          <w:p w:rsidR="00242624" w:rsidRPr="00242624" w:rsidRDefault="00242624" w:rsidP="000775A0">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DC1794">
              <w:rPr>
                <w:rFonts w:eastAsia="Times New Roman"/>
                <w:b/>
                <w:sz w:val="16"/>
                <w:szCs w:val="24"/>
                <w:lang w:eastAsia="sv-SE"/>
              </w:rPr>
              <w:t>6</w:t>
            </w:r>
          </w:p>
        </w:tc>
        <w:tc>
          <w:tcPr>
            <w:tcW w:w="851" w:type="dxa"/>
            <w:tcBorders>
              <w:top w:val="single" w:sz="4" w:space="0" w:color="auto"/>
              <w:bottom w:val="single" w:sz="4" w:space="0" w:color="auto"/>
            </w:tcBorders>
          </w:tcPr>
          <w:p w:rsidR="00242624" w:rsidRPr="00242624" w:rsidRDefault="00242624" w:rsidP="00242624">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DC1794">
              <w:rPr>
                <w:rFonts w:eastAsia="Times New Roman"/>
                <w:b/>
                <w:sz w:val="16"/>
                <w:szCs w:val="24"/>
                <w:lang w:eastAsia="sv-SE"/>
              </w:rPr>
              <w:t>5</w:t>
            </w:r>
          </w:p>
        </w:tc>
        <w:tc>
          <w:tcPr>
            <w:tcW w:w="874" w:type="dxa"/>
            <w:tcBorders>
              <w:top w:val="single" w:sz="4" w:space="0" w:color="auto"/>
              <w:bottom w:val="single" w:sz="4" w:space="0" w:color="auto"/>
            </w:tcBorders>
          </w:tcPr>
          <w:p w:rsidR="00242624" w:rsidRPr="00242624" w:rsidRDefault="00242624" w:rsidP="00CB671B">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sidR="00DC1794">
              <w:rPr>
                <w:rFonts w:eastAsia="Times New Roman"/>
                <w:b/>
                <w:sz w:val="16"/>
                <w:szCs w:val="24"/>
                <w:lang w:eastAsia="sv-SE"/>
              </w:rPr>
              <w:t>4</w:t>
            </w:r>
          </w:p>
        </w:tc>
      </w:tr>
      <w:tr w:rsidR="00DC1794" w:rsidRPr="00242624" w:rsidTr="00594C7B">
        <w:tc>
          <w:tcPr>
            <w:tcW w:w="3256" w:type="dxa"/>
            <w:tcBorders>
              <w:top w:val="single" w:sz="4" w:space="0" w:color="auto"/>
            </w:tcBorders>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Ärendebehandling</w:t>
            </w:r>
          </w:p>
        </w:tc>
        <w:tc>
          <w:tcPr>
            <w:tcW w:w="850" w:type="dxa"/>
            <w:tcBorders>
              <w:top w:val="single" w:sz="4" w:space="0" w:color="auto"/>
            </w:tcBorders>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302,5</w:t>
            </w:r>
          </w:p>
        </w:tc>
        <w:tc>
          <w:tcPr>
            <w:tcW w:w="851" w:type="dxa"/>
            <w:tcBorders>
              <w:top w:val="single" w:sz="4" w:space="0" w:color="auto"/>
            </w:tcBorders>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289,5</w:t>
            </w:r>
          </w:p>
        </w:tc>
        <w:tc>
          <w:tcPr>
            <w:tcW w:w="874" w:type="dxa"/>
            <w:tcBorders>
              <w:top w:val="single" w:sz="4" w:space="0" w:color="auto"/>
            </w:tcBorders>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331</w:t>
            </w:r>
          </w:p>
        </w:tc>
      </w:tr>
      <w:tr w:rsidR="00DC1794" w:rsidRPr="00242624" w:rsidTr="00594C7B">
        <w:tc>
          <w:tcPr>
            <w:tcW w:w="3256" w:type="dxa"/>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Voteringar</w:t>
            </w:r>
          </w:p>
        </w:tc>
        <w:tc>
          <w:tcPr>
            <w:tcW w:w="850" w:type="dxa"/>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11</w:t>
            </w:r>
          </w:p>
        </w:tc>
        <w:tc>
          <w:tcPr>
            <w:tcW w:w="851" w:type="dxa"/>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9,5</w:t>
            </w:r>
          </w:p>
        </w:tc>
        <w:tc>
          <w:tcPr>
            <w:tcW w:w="874" w:type="dxa"/>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12</w:t>
            </w:r>
          </w:p>
        </w:tc>
      </w:tr>
      <w:tr w:rsidR="00DC1794" w:rsidRPr="00242624" w:rsidTr="00594C7B">
        <w:tc>
          <w:tcPr>
            <w:tcW w:w="3256" w:type="dxa"/>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Interpellationsdebatter</w:t>
            </w:r>
          </w:p>
        </w:tc>
        <w:tc>
          <w:tcPr>
            <w:tcW w:w="850" w:type="dxa"/>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213</w:t>
            </w:r>
          </w:p>
        </w:tc>
        <w:tc>
          <w:tcPr>
            <w:tcW w:w="851" w:type="dxa"/>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270</w:t>
            </w:r>
          </w:p>
        </w:tc>
        <w:tc>
          <w:tcPr>
            <w:tcW w:w="874" w:type="dxa"/>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197,5</w:t>
            </w:r>
          </w:p>
        </w:tc>
      </w:tr>
      <w:tr w:rsidR="00DC1794" w:rsidRPr="00242624" w:rsidTr="00594C7B">
        <w:tc>
          <w:tcPr>
            <w:tcW w:w="3256" w:type="dxa"/>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Information från regeringen</w:t>
            </w:r>
            <w:r w:rsidRPr="00242624">
              <w:rPr>
                <w:rFonts w:eastAsia="Times New Roman"/>
                <w:sz w:val="16"/>
                <w:szCs w:val="16"/>
                <w:vertAlign w:val="superscript"/>
                <w:lang w:eastAsia="sv-SE"/>
              </w:rPr>
              <w:footnoteReference w:id="10"/>
            </w:r>
          </w:p>
        </w:tc>
        <w:tc>
          <w:tcPr>
            <w:tcW w:w="850" w:type="dxa"/>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7</w:t>
            </w:r>
          </w:p>
        </w:tc>
        <w:tc>
          <w:tcPr>
            <w:tcW w:w="851" w:type="dxa"/>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6,5</w:t>
            </w:r>
          </w:p>
        </w:tc>
        <w:tc>
          <w:tcPr>
            <w:tcW w:w="874" w:type="dxa"/>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2</w:t>
            </w:r>
          </w:p>
        </w:tc>
      </w:tr>
      <w:tr w:rsidR="00DC1794" w:rsidRPr="00242624" w:rsidTr="00594C7B">
        <w:tc>
          <w:tcPr>
            <w:tcW w:w="3256" w:type="dxa"/>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Frågestunder</w:t>
            </w:r>
          </w:p>
        </w:tc>
        <w:tc>
          <w:tcPr>
            <w:tcW w:w="850" w:type="dxa"/>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36</w:t>
            </w:r>
          </w:p>
        </w:tc>
        <w:tc>
          <w:tcPr>
            <w:tcW w:w="851" w:type="dxa"/>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27</w:t>
            </w:r>
          </w:p>
        </w:tc>
        <w:tc>
          <w:tcPr>
            <w:tcW w:w="874" w:type="dxa"/>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23</w:t>
            </w:r>
          </w:p>
        </w:tc>
      </w:tr>
      <w:tr w:rsidR="00DC1794" w:rsidRPr="00242624" w:rsidTr="00594C7B">
        <w:tc>
          <w:tcPr>
            <w:tcW w:w="3256" w:type="dxa"/>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Partiledardebatter, aktuella debatter m.m.</w:t>
            </w:r>
          </w:p>
        </w:tc>
        <w:tc>
          <w:tcPr>
            <w:tcW w:w="850" w:type="dxa"/>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34,5</w:t>
            </w:r>
          </w:p>
        </w:tc>
        <w:tc>
          <w:tcPr>
            <w:tcW w:w="851" w:type="dxa"/>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36,5</w:t>
            </w:r>
          </w:p>
        </w:tc>
        <w:tc>
          <w:tcPr>
            <w:tcW w:w="874" w:type="dxa"/>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58</w:t>
            </w:r>
          </w:p>
        </w:tc>
      </w:tr>
      <w:tr w:rsidR="00DC1794" w:rsidRPr="00242624" w:rsidTr="00594C7B">
        <w:tc>
          <w:tcPr>
            <w:tcW w:w="3256" w:type="dxa"/>
            <w:tcBorders>
              <w:bottom w:val="single" w:sz="4" w:space="0" w:color="auto"/>
            </w:tcBorders>
          </w:tcPr>
          <w:p w:rsidR="00DC1794" w:rsidRPr="00242624" w:rsidRDefault="00DC1794" w:rsidP="00DC1794">
            <w:pPr>
              <w:spacing w:before="60" w:line="200" w:lineRule="exact"/>
              <w:jc w:val="left"/>
              <w:rPr>
                <w:rFonts w:eastAsia="Times New Roman"/>
                <w:sz w:val="16"/>
                <w:szCs w:val="24"/>
                <w:lang w:eastAsia="sv-SE"/>
              </w:rPr>
            </w:pPr>
            <w:r w:rsidRPr="00242624">
              <w:rPr>
                <w:rFonts w:eastAsia="Times New Roman"/>
                <w:sz w:val="16"/>
                <w:szCs w:val="24"/>
                <w:lang w:eastAsia="sv-SE"/>
              </w:rPr>
              <w:t>Övrigt</w:t>
            </w:r>
          </w:p>
        </w:tc>
        <w:tc>
          <w:tcPr>
            <w:tcW w:w="850" w:type="dxa"/>
            <w:tcBorders>
              <w:bottom w:val="single" w:sz="4" w:space="0" w:color="auto"/>
            </w:tcBorders>
          </w:tcPr>
          <w:p w:rsidR="00DC1794" w:rsidRPr="00242624" w:rsidRDefault="00645ED0" w:rsidP="00DC1794">
            <w:pPr>
              <w:spacing w:before="60" w:line="200" w:lineRule="exact"/>
              <w:jc w:val="right"/>
              <w:rPr>
                <w:rFonts w:eastAsia="Times New Roman"/>
                <w:sz w:val="16"/>
                <w:szCs w:val="24"/>
                <w:lang w:eastAsia="sv-SE"/>
              </w:rPr>
            </w:pPr>
            <w:r>
              <w:rPr>
                <w:rFonts w:eastAsia="Times New Roman"/>
                <w:sz w:val="16"/>
                <w:szCs w:val="24"/>
                <w:lang w:eastAsia="sv-SE"/>
              </w:rPr>
              <w:t>5</w:t>
            </w:r>
          </w:p>
        </w:tc>
        <w:tc>
          <w:tcPr>
            <w:tcW w:w="851" w:type="dxa"/>
            <w:tcBorders>
              <w:bottom w:val="single" w:sz="4" w:space="0" w:color="auto"/>
            </w:tcBorders>
          </w:tcPr>
          <w:p w:rsidR="00DC1794" w:rsidRPr="00242624" w:rsidRDefault="00DC1794" w:rsidP="00DC1794">
            <w:pPr>
              <w:spacing w:before="60" w:line="200" w:lineRule="exact"/>
              <w:jc w:val="right"/>
              <w:rPr>
                <w:rFonts w:eastAsia="Times New Roman"/>
                <w:sz w:val="16"/>
                <w:szCs w:val="24"/>
                <w:lang w:eastAsia="sv-SE"/>
              </w:rPr>
            </w:pPr>
            <w:r>
              <w:rPr>
                <w:rFonts w:eastAsia="Times New Roman"/>
                <w:sz w:val="16"/>
                <w:szCs w:val="24"/>
                <w:lang w:eastAsia="sv-SE"/>
              </w:rPr>
              <w:t>5,5</w:t>
            </w:r>
          </w:p>
        </w:tc>
        <w:tc>
          <w:tcPr>
            <w:tcW w:w="874" w:type="dxa"/>
            <w:tcBorders>
              <w:bottom w:val="single" w:sz="4" w:space="0" w:color="auto"/>
            </w:tcBorders>
          </w:tcPr>
          <w:p w:rsidR="00DC1794" w:rsidRPr="00242624" w:rsidRDefault="00DC1794" w:rsidP="00DC1794">
            <w:pPr>
              <w:spacing w:before="60" w:line="200" w:lineRule="exact"/>
              <w:jc w:val="right"/>
              <w:rPr>
                <w:rFonts w:eastAsia="Times New Roman"/>
                <w:sz w:val="16"/>
                <w:szCs w:val="24"/>
                <w:lang w:eastAsia="sv-SE"/>
              </w:rPr>
            </w:pPr>
            <w:r w:rsidRPr="00242624">
              <w:rPr>
                <w:rFonts w:eastAsia="Times New Roman"/>
                <w:sz w:val="16"/>
                <w:szCs w:val="24"/>
                <w:lang w:eastAsia="sv-SE"/>
              </w:rPr>
              <w:t>9,5</w:t>
            </w:r>
          </w:p>
        </w:tc>
      </w:tr>
      <w:tr w:rsidR="00DC1794" w:rsidRPr="00242624" w:rsidTr="00594C7B">
        <w:tc>
          <w:tcPr>
            <w:tcW w:w="3256" w:type="dxa"/>
            <w:tcBorders>
              <w:top w:val="single" w:sz="4" w:space="0" w:color="auto"/>
              <w:bottom w:val="single" w:sz="4" w:space="0" w:color="auto"/>
            </w:tcBorders>
          </w:tcPr>
          <w:p w:rsidR="00DC1794" w:rsidRPr="00242624" w:rsidRDefault="00DC1794" w:rsidP="00DC1794">
            <w:pPr>
              <w:spacing w:before="60" w:line="200" w:lineRule="exact"/>
              <w:jc w:val="left"/>
              <w:rPr>
                <w:rFonts w:eastAsia="Times New Roman"/>
                <w:b/>
                <w:sz w:val="16"/>
                <w:szCs w:val="24"/>
                <w:lang w:eastAsia="sv-SE"/>
              </w:rPr>
            </w:pPr>
            <w:r w:rsidRPr="00242624">
              <w:rPr>
                <w:rFonts w:eastAsia="Times New Roman"/>
                <w:b/>
                <w:sz w:val="16"/>
                <w:szCs w:val="24"/>
                <w:lang w:eastAsia="sv-SE"/>
              </w:rPr>
              <w:t>Totalt</w:t>
            </w:r>
          </w:p>
        </w:tc>
        <w:tc>
          <w:tcPr>
            <w:tcW w:w="850" w:type="dxa"/>
            <w:tcBorders>
              <w:top w:val="single" w:sz="4" w:space="0" w:color="auto"/>
              <w:bottom w:val="single" w:sz="4" w:space="0" w:color="auto"/>
            </w:tcBorders>
          </w:tcPr>
          <w:p w:rsidR="00DC1794" w:rsidRPr="00242624" w:rsidRDefault="00645ED0" w:rsidP="00DC1794">
            <w:pPr>
              <w:spacing w:before="60" w:line="200" w:lineRule="exact"/>
              <w:jc w:val="right"/>
              <w:rPr>
                <w:rFonts w:eastAsia="Times New Roman"/>
                <w:b/>
                <w:sz w:val="16"/>
                <w:szCs w:val="24"/>
                <w:lang w:eastAsia="sv-SE"/>
              </w:rPr>
            </w:pPr>
            <w:r>
              <w:rPr>
                <w:rFonts w:eastAsia="Times New Roman"/>
                <w:b/>
                <w:sz w:val="16"/>
                <w:szCs w:val="24"/>
                <w:lang w:eastAsia="sv-SE"/>
              </w:rPr>
              <w:t>609</w:t>
            </w:r>
          </w:p>
        </w:tc>
        <w:tc>
          <w:tcPr>
            <w:tcW w:w="851" w:type="dxa"/>
            <w:tcBorders>
              <w:top w:val="single" w:sz="4" w:space="0" w:color="auto"/>
              <w:bottom w:val="single" w:sz="4" w:space="0" w:color="auto"/>
            </w:tcBorders>
          </w:tcPr>
          <w:p w:rsidR="00DC1794" w:rsidRPr="00242624" w:rsidRDefault="00DC1794" w:rsidP="00DC1794">
            <w:pPr>
              <w:spacing w:before="60" w:line="200" w:lineRule="exact"/>
              <w:jc w:val="right"/>
              <w:rPr>
                <w:rFonts w:eastAsia="Times New Roman"/>
                <w:b/>
                <w:sz w:val="16"/>
                <w:szCs w:val="24"/>
                <w:lang w:eastAsia="sv-SE"/>
              </w:rPr>
            </w:pPr>
            <w:r>
              <w:rPr>
                <w:rFonts w:eastAsia="Times New Roman"/>
                <w:b/>
                <w:sz w:val="16"/>
                <w:szCs w:val="24"/>
                <w:lang w:eastAsia="sv-SE"/>
              </w:rPr>
              <w:t>644,5</w:t>
            </w:r>
          </w:p>
        </w:tc>
        <w:tc>
          <w:tcPr>
            <w:tcW w:w="874" w:type="dxa"/>
            <w:tcBorders>
              <w:top w:val="single" w:sz="4" w:space="0" w:color="auto"/>
              <w:bottom w:val="single" w:sz="4" w:space="0" w:color="auto"/>
            </w:tcBorders>
          </w:tcPr>
          <w:p w:rsidR="00DC1794" w:rsidRPr="00242624" w:rsidRDefault="00DC1794" w:rsidP="00DC1794">
            <w:pPr>
              <w:spacing w:before="60" w:line="200" w:lineRule="exact"/>
              <w:jc w:val="right"/>
              <w:rPr>
                <w:rFonts w:eastAsia="Times New Roman"/>
                <w:b/>
                <w:sz w:val="16"/>
                <w:szCs w:val="24"/>
                <w:lang w:eastAsia="sv-SE"/>
              </w:rPr>
            </w:pPr>
            <w:r w:rsidRPr="00242624">
              <w:rPr>
                <w:rFonts w:eastAsia="Times New Roman"/>
                <w:b/>
                <w:sz w:val="16"/>
                <w:szCs w:val="24"/>
                <w:lang w:eastAsia="sv-SE"/>
              </w:rPr>
              <w:t>633</w:t>
            </w:r>
          </w:p>
        </w:tc>
      </w:tr>
    </w:tbl>
    <w:p w:rsidR="00E62370" w:rsidRPr="00A750D9" w:rsidRDefault="00E62370" w:rsidP="00D035BF">
      <w:pPr>
        <w:spacing w:before="125"/>
        <w:rPr>
          <w:u w:val="single"/>
        </w:rPr>
      </w:pPr>
      <w:r w:rsidRPr="00EF4086">
        <w:t>Det totala a</w:t>
      </w:r>
      <w:r w:rsidR="00D035BF" w:rsidRPr="00EF4086">
        <w:t>ntalet timmar</w:t>
      </w:r>
      <w:r w:rsidR="00357682" w:rsidRPr="00EF4086">
        <w:t xml:space="preserve"> som kammaren sammanträder</w:t>
      </w:r>
      <w:r w:rsidR="00D035BF" w:rsidRPr="00EF4086">
        <w:t xml:space="preserve"> </w:t>
      </w:r>
      <w:r w:rsidRPr="00EF4086">
        <w:t xml:space="preserve">har </w:t>
      </w:r>
      <w:r w:rsidR="00EF4086" w:rsidRPr="00EF4086">
        <w:t>minskat</w:t>
      </w:r>
      <w:r w:rsidR="004572D6" w:rsidRPr="00EF4086">
        <w:t xml:space="preserve"> jämfört med </w:t>
      </w:r>
      <w:r w:rsidR="00EF4086" w:rsidRPr="00EF4086">
        <w:t xml:space="preserve">2015 och </w:t>
      </w:r>
      <w:r w:rsidR="004572D6" w:rsidRPr="00EF4086">
        <w:t>2014</w:t>
      </w:r>
      <w:r w:rsidRPr="00EF4086">
        <w:t>.</w:t>
      </w:r>
      <w:r w:rsidRPr="008214D6">
        <w:t xml:space="preserve"> </w:t>
      </w:r>
      <w:r w:rsidR="008214D6" w:rsidRPr="008214D6">
        <w:t>Under 2016</w:t>
      </w:r>
      <w:r w:rsidRPr="008214D6">
        <w:t xml:space="preserve"> har interpella</w:t>
      </w:r>
      <w:r w:rsidR="008214D6" w:rsidRPr="008214D6">
        <w:t>tionsdebatter utgjort ungefär 35</w:t>
      </w:r>
      <w:r w:rsidRPr="008214D6">
        <w:t xml:space="preserve"> procent av kammarens tid. </w:t>
      </w:r>
      <w:r w:rsidRPr="004364F0">
        <w:t xml:space="preserve">Tiden för ärendebehandling har </w:t>
      </w:r>
      <w:r w:rsidR="00EC3E03" w:rsidRPr="004364F0">
        <w:t>ökat</w:t>
      </w:r>
      <w:r w:rsidRPr="004364F0">
        <w:t xml:space="preserve"> </w:t>
      </w:r>
      <w:r w:rsidR="00EC3E03" w:rsidRPr="004364F0">
        <w:t xml:space="preserve">i förhållande </w:t>
      </w:r>
      <w:r w:rsidR="004364F0" w:rsidRPr="004364F0">
        <w:t xml:space="preserve">till </w:t>
      </w:r>
      <w:r w:rsidRPr="004364F0">
        <w:t>föregående år</w:t>
      </w:r>
      <w:r w:rsidR="004364F0" w:rsidRPr="004364F0">
        <w:t xml:space="preserve"> men inte i förhållande till 2014</w:t>
      </w:r>
      <w:r w:rsidRPr="004364F0">
        <w:t>.</w:t>
      </w:r>
    </w:p>
    <w:p w:rsidR="00D035BF" w:rsidRPr="007822E6" w:rsidRDefault="00D035BF" w:rsidP="00E62370">
      <w:pPr>
        <w:spacing w:before="0"/>
        <w:ind w:firstLine="227"/>
      </w:pPr>
      <w:r w:rsidRPr="007822E6">
        <w:t>Tiden för information från regeringen, som</w:t>
      </w:r>
      <w:r w:rsidR="00E62370" w:rsidRPr="007822E6">
        <w:t xml:space="preserve"> huvudsakligen utgörs </w:t>
      </w:r>
      <w:r w:rsidR="007822E6" w:rsidRPr="007822E6">
        <w:t>av återrapportering</w:t>
      </w:r>
      <w:r w:rsidRPr="007822E6">
        <w:t xml:space="preserve"> från Europeiska rådets möten, har </w:t>
      </w:r>
      <w:r w:rsidR="00E62370" w:rsidRPr="007822E6">
        <w:t xml:space="preserve">ökat </w:t>
      </w:r>
      <w:r w:rsidR="007822E6" w:rsidRPr="007822E6">
        <w:t>marginellt under 2016</w:t>
      </w:r>
      <w:r w:rsidR="00E62370" w:rsidRPr="007822E6">
        <w:t>. Återrapportering från Europe</w:t>
      </w:r>
      <w:r w:rsidR="007822E6" w:rsidRPr="007822E6">
        <w:t>iska rådets möten har under 2016</w:t>
      </w:r>
      <w:r w:rsidR="00E62370" w:rsidRPr="007822E6">
        <w:t xml:space="preserve"> ägt rum vid sex tillfällen, </w:t>
      </w:r>
      <w:r w:rsidR="007822E6" w:rsidRPr="007822E6">
        <w:t>samma antal som under 2015,</w:t>
      </w:r>
      <w:r w:rsidR="008A0D10">
        <w:t xml:space="preserve"> </w:t>
      </w:r>
      <w:r w:rsidR="00E62370" w:rsidRPr="007822E6">
        <w:t>jämfört med ett tillfä</w:t>
      </w:r>
      <w:r w:rsidR="007822E6" w:rsidRPr="007822E6">
        <w:t>lle 2014</w:t>
      </w:r>
      <w:r w:rsidR="00E62370" w:rsidRPr="007822E6">
        <w:t>.</w:t>
      </w:r>
      <w:r w:rsidRPr="007822E6">
        <w:t xml:space="preserve"> </w:t>
      </w:r>
    </w:p>
    <w:p w:rsidR="00E62370" w:rsidRPr="008A0D10" w:rsidRDefault="00E62370" w:rsidP="00E62370">
      <w:pPr>
        <w:pStyle w:val="Normaltindrag"/>
      </w:pPr>
      <w:r w:rsidRPr="008A0D10">
        <w:t xml:space="preserve">Man kan också notera en </w:t>
      </w:r>
      <w:r w:rsidR="002A0170">
        <w:t>liten</w:t>
      </w:r>
      <w:r w:rsidR="008A0D10" w:rsidRPr="008A0D10">
        <w:t xml:space="preserve"> </w:t>
      </w:r>
      <w:r w:rsidRPr="008A0D10">
        <w:t>minskning</w:t>
      </w:r>
      <w:r w:rsidR="009D5A22">
        <w:t xml:space="preserve"> av tiden i plenum</w:t>
      </w:r>
      <w:r w:rsidRPr="008A0D10">
        <w:t xml:space="preserve"> för partiledardebatter, aktuella </w:t>
      </w:r>
      <w:r w:rsidR="008A0D10" w:rsidRPr="008A0D10">
        <w:t>debatter m.m. jämfört med 2015</w:t>
      </w:r>
      <w:r w:rsidRPr="008A0D10">
        <w:t xml:space="preserve">. </w:t>
      </w:r>
      <w:r w:rsidR="008A0D10" w:rsidRPr="002106E8">
        <w:t xml:space="preserve">Denna kategori omfattar även </w:t>
      </w:r>
      <w:r w:rsidR="004572D6" w:rsidRPr="002106E8">
        <w:t>allmänpolitisk</w:t>
      </w:r>
      <w:r w:rsidR="008A0D10" w:rsidRPr="002106E8">
        <w:t>a</w:t>
      </w:r>
      <w:r w:rsidR="004572D6" w:rsidRPr="002106E8">
        <w:t xml:space="preserve"> debatt</w:t>
      </w:r>
      <w:r w:rsidR="005A7716">
        <w:t>er men någon sådan ägde inte</w:t>
      </w:r>
      <w:r w:rsidR="002106E8" w:rsidRPr="002106E8">
        <w:t xml:space="preserve"> </w:t>
      </w:r>
      <w:r w:rsidR="008A0D10" w:rsidRPr="002106E8">
        <w:t xml:space="preserve">rum </w:t>
      </w:r>
      <w:r w:rsidR="005A7716">
        <w:t xml:space="preserve">vare sig </w:t>
      </w:r>
      <w:r w:rsidR="008A0D10" w:rsidRPr="002106E8">
        <w:t>2015 eller 2016, däremot 2014.</w:t>
      </w:r>
      <w:r w:rsidR="004572D6" w:rsidRPr="008A0D10">
        <w:t xml:space="preserve"> </w:t>
      </w:r>
    </w:p>
    <w:p w:rsidR="00D035BF" w:rsidRPr="00C511CD" w:rsidRDefault="00D035BF" w:rsidP="00D035BF">
      <w:pPr>
        <w:spacing w:before="0"/>
        <w:ind w:firstLine="227"/>
      </w:pPr>
      <w:r w:rsidRPr="00C511CD">
        <w:t>Teckentolkning</w:t>
      </w:r>
      <w:r w:rsidR="009500CD" w:rsidRPr="00C511CD">
        <w:t xml:space="preserve"> av kammarens</w:t>
      </w:r>
      <w:r w:rsidR="00C511CD" w:rsidRPr="00C511CD">
        <w:t xml:space="preserve"> sammanträden har skett vid sju</w:t>
      </w:r>
      <w:r w:rsidRPr="00C511CD">
        <w:t xml:space="preserve"> tillfällen</w:t>
      </w:r>
      <w:r w:rsidR="009500CD" w:rsidRPr="00C511CD">
        <w:t xml:space="preserve"> under året. Under </w:t>
      </w:r>
      <w:r w:rsidR="00C511CD" w:rsidRPr="00C511CD">
        <w:t xml:space="preserve">2015 skedde teckentolkning vid åtta tillfällen och under </w:t>
      </w:r>
      <w:r w:rsidR="009500CD" w:rsidRPr="00C511CD">
        <w:t xml:space="preserve">2014 vid tio tillfällen. </w:t>
      </w:r>
    </w:p>
    <w:p w:rsidR="00987A17" w:rsidRDefault="00B10504" w:rsidP="00987A17">
      <w:pPr>
        <w:spacing w:before="0"/>
        <w:ind w:firstLine="227"/>
      </w:pPr>
      <w:r w:rsidRPr="00731407">
        <w:t>Riksdagsf</w:t>
      </w:r>
      <w:r w:rsidR="00D035BF" w:rsidRPr="00731407">
        <w:t xml:space="preserve">örvaltningen svarar för att det förs fullständiga protokoll vid kammarens sammanträden. Riksdagens </w:t>
      </w:r>
      <w:r w:rsidR="006312F5">
        <w:t>snabb</w:t>
      </w:r>
      <w:r w:rsidR="00D035BF" w:rsidRPr="00731407">
        <w:t xml:space="preserve">protokoll har </w:t>
      </w:r>
      <w:r w:rsidR="00B6332F">
        <w:t xml:space="preserve">under 2016 </w:t>
      </w:r>
      <w:r w:rsidR="00D035BF" w:rsidRPr="00731407">
        <w:t xml:space="preserve">kommit </w:t>
      </w:r>
      <w:r w:rsidR="006312F5">
        <w:t>ut senast dagen efter kammarens sammanträde</w:t>
      </w:r>
      <w:r w:rsidR="00D035BF" w:rsidRPr="00731407">
        <w:t xml:space="preserve"> </w:t>
      </w:r>
      <w:r w:rsidR="006312F5">
        <w:t>i enlighet med</w:t>
      </w:r>
      <w:r w:rsidR="00D035BF" w:rsidRPr="00731407">
        <w:t xml:space="preserve"> reglerna i riksdagsordningen</w:t>
      </w:r>
      <w:r w:rsidR="00D035BF" w:rsidRPr="00987A17">
        <w:t>.</w:t>
      </w:r>
    </w:p>
    <w:p w:rsidR="00987A17" w:rsidRDefault="00987A17" w:rsidP="00C212C5">
      <w:pPr>
        <w:pStyle w:val="R5"/>
      </w:pPr>
      <w:r w:rsidRPr="008B14AE">
        <w:t>EU-samordning</w:t>
      </w:r>
    </w:p>
    <w:p w:rsidR="00987A17" w:rsidRDefault="007B074C" w:rsidP="007B074C">
      <w:r w:rsidRPr="007B074C">
        <w:t>Riksdagsförvaltningen ansvarar för att grundläggande skriftlig information om EU-frågor når ut till utskotten och EU-nämnden. Förvaltningen bidrar även i utvecklingen av riksdagens EU-kompetens genom seminarier för tjänstemän och i viss mån ledamöter. Under 2016 arrangerades tre sådana seminarier. Genom riksdagens representant vid EU:s institutioner följer förvaltningen den aktuella EU-politiken på plats i Bryssel. EU-representanten är också riksdagens länk till Europaparlamentet och till andra nationella parlament med representation vid EU:s institutioner. EU-representanten bistår vid behov även ledamöterna i deras deltagande i interparlamentariska möten inom ramen för EU-samarbetet. Under 2016 deltog ledamöter i 23 sådana möten.</w:t>
      </w:r>
    </w:p>
    <w:p w:rsidR="006126AB" w:rsidRDefault="006126AB" w:rsidP="00742F0E">
      <w:pPr>
        <w:pStyle w:val="Normaltindrag"/>
      </w:pPr>
    </w:p>
    <w:p w:rsidR="006126AB" w:rsidRDefault="006126AB" w:rsidP="00BC065E">
      <w:pPr>
        <w:pStyle w:val="Normaltindrag"/>
        <w:spacing w:line="200" w:lineRule="exact"/>
        <w:ind w:firstLine="0"/>
        <w:rPr>
          <w:rFonts w:eastAsiaTheme="majorEastAsia" w:cstheme="majorBidi"/>
          <w:b/>
        </w:rPr>
      </w:pPr>
      <w:r w:rsidRPr="006F1BD3">
        <w:rPr>
          <w:rFonts w:eastAsiaTheme="majorEastAsia" w:cstheme="majorBidi"/>
          <w:b/>
        </w:rPr>
        <w:lastRenderedPageBreak/>
        <w:t xml:space="preserve">Tabell </w:t>
      </w:r>
      <w:r w:rsidR="006B5B05">
        <w:rPr>
          <w:rFonts w:eastAsiaTheme="majorEastAsia" w:cstheme="majorBidi"/>
          <w:b/>
        </w:rPr>
        <w:t>5</w:t>
      </w:r>
      <w:r w:rsidRPr="006F1BD3">
        <w:rPr>
          <w:rFonts w:eastAsiaTheme="majorEastAsia" w:cstheme="majorBidi"/>
          <w:b/>
        </w:rPr>
        <w:t xml:space="preserve"> Riksdagsledamöters deltagande i interparlamentar</w:t>
      </w:r>
      <w:r w:rsidR="00A765C9">
        <w:rPr>
          <w:rFonts w:eastAsiaTheme="majorEastAsia" w:cstheme="majorBidi"/>
          <w:b/>
        </w:rPr>
        <w:t>iska EU-</w:t>
      </w:r>
      <w:r w:rsidRPr="006F1BD3">
        <w:rPr>
          <w:rFonts w:eastAsiaTheme="majorEastAsia" w:cstheme="majorBidi"/>
          <w:b/>
        </w:rPr>
        <w:t>konferenser</w:t>
      </w:r>
    </w:p>
    <w:tbl>
      <w:tblPr>
        <w:tblStyle w:val="Tabellrutnt6"/>
        <w:tblW w:w="58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261"/>
        <w:gridCol w:w="1261"/>
        <w:gridCol w:w="1233"/>
        <w:gridCol w:w="1134"/>
      </w:tblGrid>
      <w:tr w:rsidR="006F1BD3" w:rsidRPr="008D4280" w:rsidTr="005E073C">
        <w:tc>
          <w:tcPr>
            <w:tcW w:w="918" w:type="dxa"/>
            <w:tcBorders>
              <w:top w:val="single" w:sz="4" w:space="0" w:color="auto"/>
              <w:bottom w:val="single" w:sz="4" w:space="0" w:color="auto"/>
            </w:tcBorders>
          </w:tcPr>
          <w:p w:rsidR="006F1BD3" w:rsidRPr="008D4280" w:rsidRDefault="006F1BD3" w:rsidP="00924700">
            <w:pPr>
              <w:spacing w:before="60" w:line="200" w:lineRule="exact"/>
              <w:ind w:left="1304"/>
              <w:rPr>
                <w:sz w:val="16"/>
                <w:szCs w:val="16"/>
                <w:highlight w:val="yellow"/>
              </w:rPr>
            </w:pPr>
          </w:p>
        </w:tc>
        <w:tc>
          <w:tcPr>
            <w:tcW w:w="1261" w:type="dxa"/>
            <w:tcBorders>
              <w:top w:val="single" w:sz="4" w:space="0" w:color="auto"/>
              <w:bottom w:val="single" w:sz="4" w:space="0" w:color="auto"/>
            </w:tcBorders>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6F1BD3">
              <w:rPr>
                <w:rFonts w:eastAsia="Times New Roman"/>
                <w:b/>
                <w:sz w:val="16"/>
                <w:szCs w:val="16"/>
                <w:lang w:eastAsia="sv-SE"/>
              </w:rPr>
              <w:t>Inbjudningar</w:t>
            </w:r>
          </w:p>
        </w:tc>
        <w:tc>
          <w:tcPr>
            <w:tcW w:w="1261" w:type="dxa"/>
            <w:tcBorders>
              <w:top w:val="single" w:sz="4" w:space="0" w:color="auto"/>
              <w:bottom w:val="single" w:sz="4" w:space="0" w:color="auto"/>
            </w:tcBorders>
          </w:tcPr>
          <w:p w:rsidR="006F1BD3" w:rsidRPr="006F1BD3" w:rsidRDefault="00E9398F"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Antal möten med deltagare från riksdagen</w:t>
            </w:r>
          </w:p>
        </w:tc>
        <w:tc>
          <w:tcPr>
            <w:tcW w:w="1233" w:type="dxa"/>
            <w:tcBorders>
              <w:top w:val="single" w:sz="4" w:space="0" w:color="auto"/>
              <w:bottom w:val="single" w:sz="4" w:space="0" w:color="auto"/>
            </w:tcBorders>
          </w:tcPr>
          <w:p w:rsidR="006F1BD3" w:rsidRPr="006F1BD3" w:rsidRDefault="00E9398F"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Antal leda-möter totalt</w:t>
            </w:r>
          </w:p>
        </w:tc>
        <w:tc>
          <w:tcPr>
            <w:tcW w:w="1134" w:type="dxa"/>
            <w:tcBorders>
              <w:top w:val="single" w:sz="4" w:space="0" w:color="auto"/>
              <w:bottom w:val="single" w:sz="4" w:space="0" w:color="auto"/>
            </w:tcBorders>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6F1BD3">
              <w:rPr>
                <w:rFonts w:eastAsia="Times New Roman"/>
                <w:b/>
                <w:sz w:val="16"/>
                <w:szCs w:val="16"/>
                <w:lang w:eastAsia="sv-SE"/>
              </w:rPr>
              <w:t>Kostnad (tkr)</w:t>
            </w:r>
            <w:r w:rsidR="00BD64FB">
              <w:rPr>
                <w:rStyle w:val="Fotnotsreferens"/>
                <w:rFonts w:eastAsia="Times New Roman"/>
                <w:b/>
                <w:sz w:val="16"/>
                <w:szCs w:val="16"/>
                <w:lang w:eastAsia="sv-SE"/>
              </w:rPr>
              <w:footnoteReference w:id="11"/>
            </w:r>
          </w:p>
        </w:tc>
      </w:tr>
      <w:tr w:rsidR="00D33E58" w:rsidRPr="00FD5F8B" w:rsidTr="005E073C">
        <w:tc>
          <w:tcPr>
            <w:tcW w:w="918" w:type="dxa"/>
            <w:tcBorders>
              <w:top w:val="single" w:sz="4" w:space="0" w:color="auto"/>
              <w:bottom w:val="nil"/>
            </w:tcBorders>
          </w:tcPr>
          <w:p w:rsidR="00D33E58" w:rsidRPr="006F1BD3" w:rsidRDefault="00D33E58"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Pr>
                <w:rFonts w:eastAsia="Times New Roman"/>
                <w:sz w:val="16"/>
                <w:szCs w:val="16"/>
                <w:lang w:eastAsia="sv-SE"/>
              </w:rPr>
              <w:t>2016</w:t>
            </w:r>
          </w:p>
        </w:tc>
        <w:tc>
          <w:tcPr>
            <w:tcW w:w="1261" w:type="dxa"/>
            <w:tcBorders>
              <w:top w:val="single" w:sz="4" w:space="0" w:color="auto"/>
              <w:bottom w:val="nil"/>
            </w:tcBorders>
          </w:tcPr>
          <w:p w:rsidR="00D33E58" w:rsidRPr="006F1BD3" w:rsidRDefault="007B074C"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30</w:t>
            </w:r>
          </w:p>
        </w:tc>
        <w:tc>
          <w:tcPr>
            <w:tcW w:w="1261" w:type="dxa"/>
            <w:tcBorders>
              <w:top w:val="single" w:sz="4" w:space="0" w:color="auto"/>
              <w:bottom w:val="nil"/>
            </w:tcBorders>
          </w:tcPr>
          <w:p w:rsidR="00D33E58" w:rsidRPr="006F1BD3" w:rsidRDefault="007B074C" w:rsidP="007B074C">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23</w:t>
            </w:r>
          </w:p>
        </w:tc>
        <w:tc>
          <w:tcPr>
            <w:tcW w:w="1233" w:type="dxa"/>
            <w:tcBorders>
              <w:top w:val="single" w:sz="4" w:space="0" w:color="auto"/>
              <w:bottom w:val="nil"/>
            </w:tcBorders>
          </w:tcPr>
          <w:p w:rsidR="00D33E58" w:rsidRPr="006F1BD3" w:rsidRDefault="007B074C"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67</w:t>
            </w:r>
          </w:p>
        </w:tc>
        <w:tc>
          <w:tcPr>
            <w:tcW w:w="1134" w:type="dxa"/>
            <w:tcBorders>
              <w:top w:val="single" w:sz="4" w:space="0" w:color="auto"/>
              <w:bottom w:val="nil"/>
            </w:tcBorders>
          </w:tcPr>
          <w:p w:rsidR="00D33E58" w:rsidRPr="00A77C97" w:rsidRDefault="00B700CF"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B700CF">
              <w:rPr>
                <w:rFonts w:eastAsia="Times New Roman"/>
                <w:sz w:val="16"/>
                <w:szCs w:val="16"/>
                <w:lang w:eastAsia="sv-SE"/>
              </w:rPr>
              <w:t>654</w:t>
            </w:r>
          </w:p>
        </w:tc>
      </w:tr>
      <w:tr w:rsidR="006F1BD3" w:rsidRPr="00FD5F8B" w:rsidTr="005E073C">
        <w:tc>
          <w:tcPr>
            <w:tcW w:w="918" w:type="dxa"/>
            <w:tcBorders>
              <w:top w:val="nil"/>
            </w:tcBorders>
          </w:tcPr>
          <w:p w:rsidR="006F1BD3" w:rsidRPr="008D4280"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highlight w:val="yellow"/>
                <w:lang w:eastAsia="sv-SE"/>
              </w:rPr>
            </w:pPr>
            <w:r w:rsidRPr="006F1BD3">
              <w:rPr>
                <w:rFonts w:eastAsia="Times New Roman"/>
                <w:sz w:val="16"/>
                <w:szCs w:val="16"/>
                <w:lang w:eastAsia="sv-SE"/>
              </w:rPr>
              <w:t>2015</w:t>
            </w:r>
            <w:r w:rsidRPr="006F1BD3">
              <w:rPr>
                <w:rStyle w:val="Fotnotsreferens"/>
                <w:rFonts w:eastAsia="Times New Roman"/>
                <w:sz w:val="16"/>
                <w:szCs w:val="16"/>
                <w:lang w:eastAsia="sv-SE"/>
              </w:rPr>
              <w:footnoteReference w:id="12"/>
            </w:r>
          </w:p>
        </w:tc>
        <w:tc>
          <w:tcPr>
            <w:tcW w:w="1261" w:type="dxa"/>
            <w:tcBorders>
              <w:top w:val="nil"/>
            </w:tcBorders>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37</w:t>
            </w:r>
          </w:p>
        </w:tc>
        <w:tc>
          <w:tcPr>
            <w:tcW w:w="1261" w:type="dxa"/>
            <w:tcBorders>
              <w:top w:val="nil"/>
            </w:tcBorders>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28</w:t>
            </w:r>
          </w:p>
        </w:tc>
        <w:tc>
          <w:tcPr>
            <w:tcW w:w="1233" w:type="dxa"/>
            <w:tcBorders>
              <w:top w:val="nil"/>
            </w:tcBorders>
          </w:tcPr>
          <w:p w:rsidR="006F1BD3" w:rsidRPr="006F1BD3" w:rsidRDefault="006F1BD3" w:rsidP="00924700">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6F1BD3">
              <w:rPr>
                <w:rFonts w:eastAsia="Times New Roman"/>
                <w:sz w:val="16"/>
                <w:szCs w:val="16"/>
                <w:lang w:eastAsia="sv-SE"/>
              </w:rPr>
              <w:t>71</w:t>
            </w:r>
          </w:p>
        </w:tc>
        <w:tc>
          <w:tcPr>
            <w:tcW w:w="1134" w:type="dxa"/>
            <w:tcBorders>
              <w:top w:val="nil"/>
            </w:tcBorders>
          </w:tcPr>
          <w:p w:rsidR="006F1BD3" w:rsidRPr="006F1BD3" w:rsidRDefault="00A77C97" w:rsidP="00BD64F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B700CF">
              <w:rPr>
                <w:rFonts w:eastAsia="Times New Roman"/>
                <w:sz w:val="16"/>
                <w:szCs w:val="16"/>
                <w:lang w:eastAsia="sv-SE"/>
              </w:rPr>
              <w:t>661</w:t>
            </w:r>
          </w:p>
        </w:tc>
      </w:tr>
    </w:tbl>
    <w:p w:rsidR="00BD64FB" w:rsidRDefault="006254E0" w:rsidP="00EF263B">
      <w:pPr>
        <w:pStyle w:val="Rubrik4"/>
        <w:spacing w:before="120"/>
        <w:rPr>
          <w:rFonts w:eastAsiaTheme="minorHAnsi" w:cs="Times New Roman"/>
          <w:bCs w:val="0"/>
          <w:i w:val="0"/>
          <w:iCs w:val="0"/>
          <w:color w:val="auto"/>
          <w:sz w:val="19"/>
        </w:rPr>
      </w:pPr>
      <w:r w:rsidRPr="006254E0">
        <w:rPr>
          <w:rFonts w:eastAsiaTheme="minorHAnsi" w:cs="Times New Roman"/>
          <w:bCs w:val="0"/>
          <w:i w:val="0"/>
          <w:iCs w:val="0"/>
          <w:color w:val="auto"/>
          <w:sz w:val="19"/>
        </w:rPr>
        <w:t xml:space="preserve">Kammarplaneringen ska göra det möjligt för riksdagen att </w:t>
      </w:r>
      <w:r w:rsidR="00D07B41">
        <w:rPr>
          <w:rFonts w:eastAsiaTheme="minorHAnsi" w:cs="Times New Roman"/>
          <w:bCs w:val="0"/>
          <w:i w:val="0"/>
          <w:iCs w:val="0"/>
          <w:color w:val="auto"/>
          <w:sz w:val="19"/>
        </w:rPr>
        <w:t xml:space="preserve">inom åtta veckor </w:t>
      </w:r>
      <w:r w:rsidRPr="003D4DFD">
        <w:rPr>
          <w:rFonts w:eastAsiaTheme="minorHAnsi" w:cs="Times New Roman"/>
          <w:bCs w:val="0"/>
          <w:i w:val="0"/>
          <w:iCs w:val="0"/>
          <w:color w:val="auto"/>
          <w:sz w:val="19"/>
        </w:rPr>
        <w:t>ta ställning till om ett EU-förslag strider mot subsidiaritetsprincipen</w:t>
      </w:r>
      <w:r w:rsidR="00D07B41" w:rsidRPr="003D4DFD">
        <w:rPr>
          <w:rFonts w:eastAsiaTheme="minorHAnsi" w:cs="Times New Roman"/>
          <w:bCs w:val="0"/>
          <w:i w:val="0"/>
          <w:iCs w:val="0"/>
          <w:color w:val="auto"/>
          <w:sz w:val="19"/>
        </w:rPr>
        <w:t>. Åttaveckorsgränsen gäller enligt EU:s fördrag.</w:t>
      </w:r>
      <w:r w:rsidRPr="003D4DFD">
        <w:rPr>
          <w:rFonts w:eastAsiaTheme="minorHAnsi" w:cs="Times New Roman"/>
          <w:bCs w:val="0"/>
          <w:i w:val="0"/>
          <w:iCs w:val="0"/>
          <w:color w:val="auto"/>
          <w:sz w:val="19"/>
        </w:rPr>
        <w:t xml:space="preserve"> </w:t>
      </w:r>
      <w:r w:rsidRPr="006254E0">
        <w:rPr>
          <w:rFonts w:eastAsiaTheme="minorHAnsi" w:cs="Times New Roman"/>
          <w:bCs w:val="0"/>
          <w:i w:val="0"/>
          <w:iCs w:val="0"/>
          <w:color w:val="auto"/>
          <w:sz w:val="19"/>
        </w:rPr>
        <w:t xml:space="preserve">Under 2016 avgjordes 13 subsidiaritetsärenden av kammaren. </w:t>
      </w:r>
      <w:r w:rsidR="005A7716">
        <w:rPr>
          <w:rFonts w:eastAsiaTheme="minorHAnsi" w:cs="Times New Roman"/>
          <w:bCs w:val="0"/>
          <w:i w:val="0"/>
          <w:iCs w:val="0"/>
          <w:color w:val="auto"/>
          <w:sz w:val="19"/>
        </w:rPr>
        <w:t>Samtliga ärenden</w:t>
      </w:r>
      <w:r w:rsidRPr="006254E0">
        <w:rPr>
          <w:rFonts w:eastAsiaTheme="minorHAnsi" w:cs="Times New Roman"/>
          <w:bCs w:val="0"/>
          <w:i w:val="0"/>
          <w:iCs w:val="0"/>
          <w:color w:val="auto"/>
          <w:sz w:val="19"/>
        </w:rPr>
        <w:t xml:space="preserve"> avgjordes inom åttaveckorsfristen.</w:t>
      </w:r>
    </w:p>
    <w:p w:rsidR="00F52B51" w:rsidRDefault="00F52B51" w:rsidP="00F52B51">
      <w:pPr>
        <w:pStyle w:val="Normaltindrag"/>
        <w:spacing w:line="200" w:lineRule="exact"/>
        <w:ind w:firstLine="0"/>
        <w:rPr>
          <w:rFonts w:eastAsiaTheme="majorEastAsia" w:cstheme="majorBidi"/>
          <w:b/>
        </w:rPr>
      </w:pPr>
    </w:p>
    <w:p w:rsidR="00F52B51" w:rsidRPr="00F52B51" w:rsidRDefault="00F52B51" w:rsidP="00F52B51">
      <w:pPr>
        <w:pStyle w:val="Normaltindrag"/>
        <w:spacing w:line="200" w:lineRule="exact"/>
        <w:ind w:firstLine="0"/>
        <w:rPr>
          <w:rFonts w:eastAsiaTheme="majorEastAsia" w:cstheme="majorBidi"/>
          <w:b/>
        </w:rPr>
      </w:pPr>
      <w:r w:rsidRPr="006F1BD3">
        <w:rPr>
          <w:rFonts w:eastAsiaTheme="majorEastAsia" w:cstheme="majorBidi"/>
          <w:b/>
        </w:rPr>
        <w:t xml:space="preserve">Tabell </w:t>
      </w:r>
      <w:r>
        <w:rPr>
          <w:rFonts w:eastAsiaTheme="majorEastAsia" w:cstheme="majorBidi"/>
          <w:b/>
        </w:rPr>
        <w:t>6</w:t>
      </w:r>
      <w:r w:rsidRPr="006F1BD3">
        <w:rPr>
          <w:rFonts w:eastAsiaTheme="majorEastAsia" w:cstheme="majorBidi"/>
          <w:b/>
        </w:rPr>
        <w:t xml:space="preserve"> </w:t>
      </w:r>
      <w:r w:rsidR="00440100" w:rsidRPr="00A728D5">
        <w:rPr>
          <w:rFonts w:eastAsiaTheme="majorEastAsia" w:cstheme="majorBidi"/>
          <w:b/>
        </w:rPr>
        <w:t>Kammarens EU-ärenden</w:t>
      </w:r>
    </w:p>
    <w:tbl>
      <w:tblPr>
        <w:tblStyle w:val="Tabellrut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6"/>
        <w:gridCol w:w="851"/>
        <w:gridCol w:w="874"/>
      </w:tblGrid>
      <w:tr w:rsidR="00F52B51" w:rsidRPr="00242624" w:rsidTr="00FC03A8">
        <w:tc>
          <w:tcPr>
            <w:tcW w:w="3544" w:type="dxa"/>
            <w:tcBorders>
              <w:top w:val="single" w:sz="4" w:space="0" w:color="auto"/>
              <w:bottom w:val="single" w:sz="4" w:space="0" w:color="auto"/>
            </w:tcBorders>
          </w:tcPr>
          <w:p w:rsidR="00F52B51" w:rsidRPr="00242624" w:rsidRDefault="00F52B51" w:rsidP="00747638">
            <w:pPr>
              <w:spacing w:before="60" w:line="200" w:lineRule="exact"/>
              <w:jc w:val="right"/>
              <w:rPr>
                <w:rFonts w:eastAsia="Times New Roman"/>
                <w:sz w:val="16"/>
                <w:szCs w:val="24"/>
                <w:lang w:eastAsia="sv-SE"/>
              </w:rPr>
            </w:pPr>
          </w:p>
        </w:tc>
        <w:tc>
          <w:tcPr>
            <w:tcW w:w="576" w:type="dxa"/>
            <w:tcBorders>
              <w:top w:val="single" w:sz="4" w:space="0" w:color="auto"/>
              <w:bottom w:val="single" w:sz="4" w:space="0" w:color="auto"/>
            </w:tcBorders>
          </w:tcPr>
          <w:p w:rsidR="00F52B51" w:rsidRPr="00242624" w:rsidRDefault="00F52B51" w:rsidP="00747638">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Pr>
                <w:rFonts w:eastAsia="Times New Roman"/>
                <w:b/>
                <w:sz w:val="16"/>
                <w:szCs w:val="24"/>
                <w:lang w:eastAsia="sv-SE"/>
              </w:rPr>
              <w:t>6</w:t>
            </w:r>
          </w:p>
        </w:tc>
        <w:tc>
          <w:tcPr>
            <w:tcW w:w="851" w:type="dxa"/>
            <w:tcBorders>
              <w:top w:val="single" w:sz="4" w:space="0" w:color="auto"/>
              <w:bottom w:val="single" w:sz="4" w:space="0" w:color="auto"/>
            </w:tcBorders>
          </w:tcPr>
          <w:p w:rsidR="00F52B51" w:rsidRPr="00242624" w:rsidRDefault="00F52B51" w:rsidP="00747638">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Pr>
                <w:rFonts w:eastAsia="Times New Roman"/>
                <w:b/>
                <w:sz w:val="16"/>
                <w:szCs w:val="24"/>
                <w:lang w:eastAsia="sv-SE"/>
              </w:rPr>
              <w:t>5</w:t>
            </w:r>
          </w:p>
        </w:tc>
        <w:tc>
          <w:tcPr>
            <w:tcW w:w="874" w:type="dxa"/>
            <w:tcBorders>
              <w:top w:val="single" w:sz="4" w:space="0" w:color="auto"/>
              <w:bottom w:val="single" w:sz="4" w:space="0" w:color="auto"/>
            </w:tcBorders>
          </w:tcPr>
          <w:p w:rsidR="00F52B51" w:rsidRPr="00242624" w:rsidRDefault="00F52B51" w:rsidP="00747638">
            <w:pPr>
              <w:spacing w:before="60" w:line="200" w:lineRule="exact"/>
              <w:jc w:val="right"/>
              <w:rPr>
                <w:rFonts w:eastAsia="Times New Roman"/>
                <w:b/>
                <w:sz w:val="16"/>
                <w:szCs w:val="24"/>
                <w:lang w:eastAsia="sv-SE"/>
              </w:rPr>
            </w:pPr>
            <w:r w:rsidRPr="00242624">
              <w:rPr>
                <w:rFonts w:eastAsia="Times New Roman"/>
                <w:b/>
                <w:sz w:val="16"/>
                <w:szCs w:val="24"/>
                <w:lang w:eastAsia="sv-SE"/>
              </w:rPr>
              <w:t>201</w:t>
            </w:r>
            <w:r>
              <w:rPr>
                <w:rFonts w:eastAsia="Times New Roman"/>
                <w:b/>
                <w:sz w:val="16"/>
                <w:szCs w:val="24"/>
                <w:lang w:eastAsia="sv-SE"/>
              </w:rPr>
              <w:t>4</w:t>
            </w:r>
          </w:p>
        </w:tc>
      </w:tr>
      <w:tr w:rsidR="00F52B51" w:rsidRPr="00242624" w:rsidTr="00FC03A8">
        <w:tc>
          <w:tcPr>
            <w:tcW w:w="3544" w:type="dxa"/>
          </w:tcPr>
          <w:p w:rsidR="00F52B51" w:rsidRPr="00242624" w:rsidRDefault="00C070C0" w:rsidP="00747638">
            <w:pPr>
              <w:spacing w:before="60" w:line="200" w:lineRule="exact"/>
              <w:jc w:val="left"/>
              <w:rPr>
                <w:rFonts w:eastAsia="Times New Roman"/>
                <w:sz w:val="16"/>
                <w:szCs w:val="24"/>
                <w:lang w:eastAsia="sv-SE"/>
              </w:rPr>
            </w:pPr>
            <w:r>
              <w:rPr>
                <w:rFonts w:eastAsia="Times New Roman"/>
                <w:sz w:val="16"/>
                <w:szCs w:val="24"/>
                <w:lang w:eastAsia="sv-SE"/>
              </w:rPr>
              <w:t>EU-dokument</w:t>
            </w:r>
            <w:r w:rsidR="00A728D5">
              <w:rPr>
                <w:rFonts w:eastAsia="Times New Roman"/>
                <w:sz w:val="16"/>
                <w:szCs w:val="24"/>
                <w:lang w:eastAsia="sv-SE"/>
              </w:rPr>
              <w:t xml:space="preserve"> inlämnade</w:t>
            </w:r>
          </w:p>
        </w:tc>
        <w:tc>
          <w:tcPr>
            <w:tcW w:w="576" w:type="dxa"/>
          </w:tcPr>
          <w:p w:rsidR="00F52B51" w:rsidRPr="00242624" w:rsidRDefault="00C070C0" w:rsidP="00747638">
            <w:pPr>
              <w:spacing w:before="60" w:line="200" w:lineRule="exact"/>
              <w:jc w:val="right"/>
              <w:rPr>
                <w:rFonts w:eastAsia="Times New Roman"/>
                <w:sz w:val="16"/>
                <w:szCs w:val="24"/>
                <w:lang w:eastAsia="sv-SE"/>
              </w:rPr>
            </w:pPr>
            <w:r>
              <w:rPr>
                <w:rFonts w:eastAsia="Times New Roman"/>
                <w:sz w:val="16"/>
                <w:szCs w:val="24"/>
                <w:lang w:eastAsia="sv-SE"/>
              </w:rPr>
              <w:t>2 624</w:t>
            </w:r>
          </w:p>
        </w:tc>
        <w:tc>
          <w:tcPr>
            <w:tcW w:w="851" w:type="dxa"/>
          </w:tcPr>
          <w:p w:rsidR="00F52B51" w:rsidRPr="00242624" w:rsidRDefault="00C070C0" w:rsidP="00747638">
            <w:pPr>
              <w:spacing w:before="60" w:line="200" w:lineRule="exact"/>
              <w:jc w:val="right"/>
              <w:rPr>
                <w:rFonts w:eastAsia="Times New Roman"/>
                <w:sz w:val="16"/>
                <w:szCs w:val="24"/>
                <w:lang w:eastAsia="sv-SE"/>
              </w:rPr>
            </w:pPr>
            <w:r>
              <w:rPr>
                <w:rFonts w:eastAsia="Times New Roman"/>
                <w:sz w:val="16"/>
                <w:szCs w:val="24"/>
                <w:lang w:eastAsia="sv-SE"/>
              </w:rPr>
              <w:t>1 963</w:t>
            </w:r>
          </w:p>
        </w:tc>
        <w:tc>
          <w:tcPr>
            <w:tcW w:w="874" w:type="dxa"/>
          </w:tcPr>
          <w:p w:rsidR="00F52B51" w:rsidRPr="00242624" w:rsidRDefault="00C070C0" w:rsidP="00747638">
            <w:pPr>
              <w:spacing w:before="60" w:line="200" w:lineRule="exact"/>
              <w:jc w:val="right"/>
              <w:rPr>
                <w:rFonts w:eastAsia="Times New Roman"/>
                <w:sz w:val="16"/>
                <w:szCs w:val="24"/>
                <w:lang w:eastAsia="sv-SE"/>
              </w:rPr>
            </w:pPr>
            <w:r>
              <w:rPr>
                <w:rFonts w:eastAsia="Times New Roman"/>
                <w:sz w:val="16"/>
                <w:szCs w:val="24"/>
                <w:lang w:eastAsia="sv-SE"/>
              </w:rPr>
              <w:t>2 304</w:t>
            </w:r>
          </w:p>
        </w:tc>
      </w:tr>
      <w:tr w:rsidR="00F52B51" w:rsidRPr="00242624" w:rsidTr="00FC03A8">
        <w:tc>
          <w:tcPr>
            <w:tcW w:w="3544" w:type="dxa"/>
          </w:tcPr>
          <w:p w:rsidR="00F52B51" w:rsidRPr="00242624" w:rsidRDefault="00C070C0" w:rsidP="007F2E44">
            <w:pPr>
              <w:tabs>
                <w:tab w:val="left" w:pos="176"/>
              </w:tabs>
              <w:spacing w:before="60" w:line="200" w:lineRule="exact"/>
              <w:jc w:val="left"/>
              <w:rPr>
                <w:rFonts w:eastAsia="Times New Roman"/>
                <w:sz w:val="16"/>
                <w:szCs w:val="24"/>
                <w:lang w:eastAsia="sv-SE"/>
              </w:rPr>
            </w:pPr>
            <w:r>
              <w:rPr>
                <w:rFonts w:eastAsia="Times New Roman"/>
                <w:sz w:val="16"/>
                <w:szCs w:val="24"/>
                <w:lang w:eastAsia="sv-SE"/>
              </w:rPr>
              <w:t>EU-dokument hänvisade för granskning</w:t>
            </w:r>
          </w:p>
        </w:tc>
        <w:tc>
          <w:tcPr>
            <w:tcW w:w="576" w:type="dxa"/>
          </w:tcPr>
          <w:p w:rsidR="00F52B51" w:rsidRPr="00242624" w:rsidRDefault="00C070C0" w:rsidP="00C070C0">
            <w:pPr>
              <w:spacing w:before="60" w:line="200" w:lineRule="exact"/>
              <w:jc w:val="right"/>
              <w:rPr>
                <w:rFonts w:eastAsia="Times New Roman"/>
                <w:sz w:val="16"/>
                <w:szCs w:val="24"/>
                <w:lang w:eastAsia="sv-SE"/>
              </w:rPr>
            </w:pPr>
            <w:r>
              <w:rPr>
                <w:rFonts w:eastAsia="Times New Roman"/>
                <w:sz w:val="16"/>
                <w:szCs w:val="24"/>
                <w:lang w:eastAsia="sv-SE"/>
              </w:rPr>
              <w:t>11</w:t>
            </w:r>
          </w:p>
        </w:tc>
        <w:tc>
          <w:tcPr>
            <w:tcW w:w="851" w:type="dxa"/>
          </w:tcPr>
          <w:p w:rsidR="00F52B51" w:rsidRPr="00242624" w:rsidRDefault="00C070C0" w:rsidP="00747638">
            <w:pPr>
              <w:spacing w:before="60" w:line="200" w:lineRule="exact"/>
              <w:jc w:val="right"/>
              <w:rPr>
                <w:rFonts w:eastAsia="Times New Roman"/>
                <w:sz w:val="16"/>
                <w:szCs w:val="24"/>
                <w:lang w:eastAsia="sv-SE"/>
              </w:rPr>
            </w:pPr>
            <w:r>
              <w:rPr>
                <w:rFonts w:eastAsia="Times New Roman"/>
                <w:sz w:val="16"/>
                <w:szCs w:val="24"/>
                <w:lang w:eastAsia="sv-SE"/>
              </w:rPr>
              <w:t>13</w:t>
            </w:r>
          </w:p>
        </w:tc>
        <w:tc>
          <w:tcPr>
            <w:tcW w:w="874" w:type="dxa"/>
          </w:tcPr>
          <w:p w:rsidR="00F52B51" w:rsidRPr="00242624" w:rsidRDefault="00C070C0" w:rsidP="00747638">
            <w:pPr>
              <w:spacing w:before="60" w:line="200" w:lineRule="exact"/>
              <w:jc w:val="right"/>
              <w:rPr>
                <w:rFonts w:eastAsia="Times New Roman"/>
                <w:sz w:val="16"/>
                <w:szCs w:val="24"/>
                <w:lang w:eastAsia="sv-SE"/>
              </w:rPr>
            </w:pPr>
            <w:r>
              <w:rPr>
                <w:rFonts w:eastAsia="Times New Roman"/>
                <w:sz w:val="16"/>
                <w:szCs w:val="24"/>
                <w:lang w:eastAsia="sv-SE"/>
              </w:rPr>
              <w:t>9</w:t>
            </w:r>
          </w:p>
        </w:tc>
      </w:tr>
      <w:tr w:rsidR="00F52B51" w:rsidRPr="00242624" w:rsidTr="00FC03A8">
        <w:trPr>
          <w:trHeight w:val="181"/>
        </w:trPr>
        <w:tc>
          <w:tcPr>
            <w:tcW w:w="3544" w:type="dxa"/>
          </w:tcPr>
          <w:p w:rsidR="00F52B51" w:rsidRPr="00242624" w:rsidRDefault="00C070C0" w:rsidP="00312938">
            <w:pPr>
              <w:tabs>
                <w:tab w:val="left" w:pos="176"/>
              </w:tabs>
              <w:spacing w:before="60" w:line="200" w:lineRule="exact"/>
              <w:jc w:val="left"/>
              <w:rPr>
                <w:rFonts w:eastAsia="Times New Roman"/>
                <w:sz w:val="16"/>
                <w:szCs w:val="24"/>
                <w:lang w:eastAsia="sv-SE"/>
              </w:rPr>
            </w:pPr>
            <w:r>
              <w:rPr>
                <w:rFonts w:eastAsia="Times New Roman"/>
                <w:sz w:val="16"/>
                <w:szCs w:val="24"/>
                <w:lang w:eastAsia="sv-SE"/>
              </w:rPr>
              <w:t>EU-dokument hänvisade för subsidiaritetsprövning</w:t>
            </w:r>
          </w:p>
        </w:tc>
        <w:tc>
          <w:tcPr>
            <w:tcW w:w="576" w:type="dxa"/>
          </w:tcPr>
          <w:p w:rsidR="00F52B51" w:rsidRPr="00242624" w:rsidRDefault="00F91DEB" w:rsidP="00312938">
            <w:pPr>
              <w:spacing w:before="60" w:line="200" w:lineRule="exact"/>
              <w:jc w:val="right"/>
              <w:rPr>
                <w:rFonts w:eastAsia="Times New Roman"/>
                <w:sz w:val="16"/>
                <w:szCs w:val="24"/>
                <w:lang w:eastAsia="sv-SE"/>
              </w:rPr>
            </w:pPr>
            <w:r>
              <w:rPr>
                <w:rFonts w:eastAsia="Times New Roman"/>
                <w:sz w:val="16"/>
                <w:szCs w:val="24"/>
                <w:lang w:eastAsia="sv-SE"/>
              </w:rPr>
              <w:t>99</w:t>
            </w:r>
          </w:p>
        </w:tc>
        <w:tc>
          <w:tcPr>
            <w:tcW w:w="851" w:type="dxa"/>
          </w:tcPr>
          <w:p w:rsidR="00F52B51" w:rsidRPr="00242624" w:rsidRDefault="00F91DEB" w:rsidP="00312938">
            <w:pPr>
              <w:spacing w:before="60" w:line="200" w:lineRule="exact"/>
              <w:jc w:val="right"/>
              <w:rPr>
                <w:rFonts w:eastAsia="Times New Roman"/>
                <w:sz w:val="16"/>
                <w:szCs w:val="24"/>
                <w:lang w:eastAsia="sv-SE"/>
              </w:rPr>
            </w:pPr>
            <w:r>
              <w:rPr>
                <w:rFonts w:eastAsia="Times New Roman"/>
                <w:sz w:val="16"/>
                <w:szCs w:val="24"/>
                <w:lang w:eastAsia="sv-SE"/>
              </w:rPr>
              <w:t>27</w:t>
            </w:r>
          </w:p>
        </w:tc>
        <w:tc>
          <w:tcPr>
            <w:tcW w:w="874" w:type="dxa"/>
          </w:tcPr>
          <w:p w:rsidR="00F52B51" w:rsidRPr="00242624" w:rsidRDefault="00F91DEB" w:rsidP="00312938">
            <w:pPr>
              <w:spacing w:before="60" w:line="200" w:lineRule="exact"/>
              <w:jc w:val="right"/>
              <w:rPr>
                <w:rFonts w:eastAsia="Times New Roman"/>
                <w:sz w:val="16"/>
                <w:szCs w:val="24"/>
                <w:lang w:eastAsia="sv-SE"/>
              </w:rPr>
            </w:pPr>
            <w:r>
              <w:rPr>
                <w:rFonts w:eastAsia="Times New Roman"/>
                <w:sz w:val="16"/>
                <w:szCs w:val="24"/>
                <w:lang w:eastAsia="sv-SE"/>
              </w:rPr>
              <w:t>52</w:t>
            </w:r>
          </w:p>
        </w:tc>
      </w:tr>
      <w:tr w:rsidR="00FC03A8" w:rsidRPr="00242624" w:rsidTr="00312938">
        <w:trPr>
          <w:trHeight w:val="125"/>
        </w:trPr>
        <w:tc>
          <w:tcPr>
            <w:tcW w:w="3544" w:type="dxa"/>
          </w:tcPr>
          <w:p w:rsidR="00FC03A8" w:rsidRPr="00242624" w:rsidRDefault="00FC03A8" w:rsidP="000901CC">
            <w:pPr>
              <w:spacing w:before="60" w:line="200" w:lineRule="exact"/>
              <w:jc w:val="left"/>
              <w:rPr>
                <w:rFonts w:eastAsia="Times New Roman"/>
                <w:sz w:val="16"/>
                <w:szCs w:val="24"/>
                <w:lang w:eastAsia="sv-SE"/>
              </w:rPr>
            </w:pPr>
            <w:r>
              <w:rPr>
                <w:rFonts w:eastAsia="Times New Roman"/>
                <w:sz w:val="16"/>
                <w:szCs w:val="24"/>
                <w:lang w:eastAsia="sv-SE"/>
              </w:rPr>
              <w:t>Granskningsutlåtanden*</w:t>
            </w:r>
          </w:p>
        </w:tc>
        <w:tc>
          <w:tcPr>
            <w:tcW w:w="576" w:type="dxa"/>
          </w:tcPr>
          <w:p w:rsidR="00FC03A8" w:rsidRPr="00242624" w:rsidRDefault="00FC03A8" w:rsidP="000901CC">
            <w:pPr>
              <w:spacing w:before="60" w:line="200" w:lineRule="exact"/>
              <w:jc w:val="right"/>
              <w:rPr>
                <w:rFonts w:eastAsia="Times New Roman"/>
                <w:sz w:val="16"/>
                <w:szCs w:val="24"/>
                <w:lang w:eastAsia="sv-SE"/>
              </w:rPr>
            </w:pPr>
            <w:r w:rsidRPr="00D52E17">
              <w:rPr>
                <w:rFonts w:eastAsia="Times New Roman"/>
                <w:sz w:val="16"/>
                <w:szCs w:val="24"/>
                <w:lang w:eastAsia="sv-SE"/>
              </w:rPr>
              <w:t>11</w:t>
            </w:r>
            <w:r>
              <w:rPr>
                <w:rStyle w:val="Fotnotsreferens"/>
                <w:rFonts w:eastAsia="Times New Roman"/>
                <w:sz w:val="16"/>
                <w:szCs w:val="24"/>
                <w:lang w:eastAsia="sv-SE"/>
              </w:rPr>
              <w:footnoteReference w:id="13"/>
            </w:r>
          </w:p>
        </w:tc>
        <w:tc>
          <w:tcPr>
            <w:tcW w:w="851" w:type="dxa"/>
          </w:tcPr>
          <w:p w:rsidR="00FC03A8" w:rsidRPr="00242624" w:rsidRDefault="00FC03A8" w:rsidP="000901CC">
            <w:pPr>
              <w:spacing w:before="60" w:line="200" w:lineRule="exact"/>
              <w:jc w:val="right"/>
              <w:rPr>
                <w:rFonts w:eastAsia="Times New Roman"/>
                <w:sz w:val="16"/>
                <w:szCs w:val="24"/>
                <w:lang w:eastAsia="sv-SE"/>
              </w:rPr>
            </w:pPr>
            <w:r>
              <w:rPr>
                <w:rFonts w:eastAsia="Times New Roman"/>
                <w:sz w:val="16"/>
                <w:szCs w:val="24"/>
                <w:lang w:eastAsia="sv-SE"/>
              </w:rPr>
              <w:t>10</w:t>
            </w:r>
            <w:r>
              <w:rPr>
                <w:rStyle w:val="Fotnotsreferens"/>
                <w:rFonts w:eastAsia="Times New Roman"/>
                <w:sz w:val="16"/>
                <w:szCs w:val="24"/>
                <w:lang w:eastAsia="sv-SE"/>
              </w:rPr>
              <w:footnoteReference w:id="14"/>
            </w:r>
          </w:p>
        </w:tc>
        <w:tc>
          <w:tcPr>
            <w:tcW w:w="874" w:type="dxa"/>
          </w:tcPr>
          <w:p w:rsidR="00FC03A8" w:rsidRPr="00242624" w:rsidRDefault="00FC03A8" w:rsidP="000901CC">
            <w:pPr>
              <w:spacing w:before="60" w:line="200" w:lineRule="exact"/>
              <w:jc w:val="right"/>
              <w:rPr>
                <w:rFonts w:eastAsia="Times New Roman"/>
                <w:sz w:val="16"/>
                <w:szCs w:val="24"/>
                <w:lang w:eastAsia="sv-SE"/>
              </w:rPr>
            </w:pPr>
            <w:r>
              <w:rPr>
                <w:rFonts w:eastAsia="Times New Roman"/>
                <w:sz w:val="16"/>
                <w:szCs w:val="24"/>
                <w:lang w:eastAsia="sv-SE"/>
              </w:rPr>
              <w:t>8</w:t>
            </w:r>
            <w:r>
              <w:rPr>
                <w:rStyle w:val="Fotnotsreferens"/>
                <w:rFonts w:eastAsia="Times New Roman"/>
                <w:sz w:val="16"/>
                <w:szCs w:val="24"/>
                <w:lang w:eastAsia="sv-SE"/>
              </w:rPr>
              <w:footnoteReference w:id="15"/>
            </w:r>
          </w:p>
        </w:tc>
      </w:tr>
      <w:tr w:rsidR="00FC03A8" w:rsidRPr="00242624" w:rsidTr="00FC03A8">
        <w:tc>
          <w:tcPr>
            <w:tcW w:w="3544" w:type="dxa"/>
            <w:tcBorders>
              <w:bottom w:val="single" w:sz="4" w:space="0" w:color="auto"/>
            </w:tcBorders>
          </w:tcPr>
          <w:p w:rsidR="00FC03A8" w:rsidRPr="00242624" w:rsidRDefault="00FC03A8" w:rsidP="00FC03A8">
            <w:pPr>
              <w:spacing w:before="60" w:after="60" w:line="200" w:lineRule="exact"/>
              <w:jc w:val="left"/>
              <w:rPr>
                <w:rFonts w:eastAsia="Times New Roman"/>
                <w:sz w:val="16"/>
                <w:szCs w:val="24"/>
                <w:lang w:eastAsia="sv-SE"/>
              </w:rPr>
            </w:pPr>
            <w:r>
              <w:rPr>
                <w:rFonts w:eastAsia="Times New Roman"/>
                <w:sz w:val="16"/>
                <w:szCs w:val="24"/>
                <w:lang w:eastAsia="sv-SE"/>
              </w:rPr>
              <w:t>Prövningsutlåtanden*</w:t>
            </w:r>
          </w:p>
        </w:tc>
        <w:tc>
          <w:tcPr>
            <w:tcW w:w="576" w:type="dxa"/>
            <w:tcBorders>
              <w:bottom w:val="single" w:sz="4" w:space="0" w:color="auto"/>
            </w:tcBorders>
          </w:tcPr>
          <w:p w:rsidR="00FC03A8" w:rsidRPr="00242624" w:rsidRDefault="00FC03A8" w:rsidP="00FC03A8">
            <w:pPr>
              <w:spacing w:before="60" w:after="60" w:line="200" w:lineRule="exact"/>
              <w:jc w:val="right"/>
              <w:rPr>
                <w:rFonts w:eastAsia="Times New Roman"/>
                <w:sz w:val="16"/>
                <w:szCs w:val="24"/>
                <w:lang w:eastAsia="sv-SE"/>
              </w:rPr>
            </w:pPr>
            <w:r w:rsidRPr="00A728D5">
              <w:rPr>
                <w:rFonts w:eastAsia="Times New Roman"/>
                <w:sz w:val="16"/>
                <w:szCs w:val="24"/>
                <w:lang w:eastAsia="sv-SE"/>
              </w:rPr>
              <w:t>13</w:t>
            </w:r>
          </w:p>
        </w:tc>
        <w:tc>
          <w:tcPr>
            <w:tcW w:w="851" w:type="dxa"/>
            <w:tcBorders>
              <w:bottom w:val="single" w:sz="4" w:space="0" w:color="auto"/>
            </w:tcBorders>
          </w:tcPr>
          <w:p w:rsidR="00FC03A8" w:rsidRPr="00242624" w:rsidRDefault="00FC03A8" w:rsidP="00FC03A8">
            <w:pPr>
              <w:spacing w:before="60" w:after="60" w:line="200" w:lineRule="exact"/>
              <w:jc w:val="right"/>
              <w:rPr>
                <w:rFonts w:eastAsia="Times New Roman"/>
                <w:sz w:val="16"/>
                <w:szCs w:val="24"/>
                <w:lang w:eastAsia="sv-SE"/>
              </w:rPr>
            </w:pPr>
            <w:r>
              <w:rPr>
                <w:rFonts w:eastAsia="Times New Roman"/>
                <w:sz w:val="16"/>
                <w:szCs w:val="24"/>
                <w:lang w:eastAsia="sv-SE"/>
              </w:rPr>
              <w:t>1</w:t>
            </w:r>
          </w:p>
        </w:tc>
        <w:tc>
          <w:tcPr>
            <w:tcW w:w="874" w:type="dxa"/>
            <w:tcBorders>
              <w:bottom w:val="single" w:sz="4" w:space="0" w:color="auto"/>
            </w:tcBorders>
          </w:tcPr>
          <w:p w:rsidR="00FC03A8" w:rsidRPr="00242624" w:rsidRDefault="00FC03A8" w:rsidP="00FC03A8">
            <w:pPr>
              <w:spacing w:before="60" w:after="60" w:line="200" w:lineRule="exact"/>
              <w:jc w:val="right"/>
              <w:rPr>
                <w:rFonts w:eastAsia="Times New Roman"/>
                <w:sz w:val="16"/>
                <w:szCs w:val="24"/>
                <w:lang w:eastAsia="sv-SE"/>
              </w:rPr>
            </w:pPr>
            <w:r>
              <w:rPr>
                <w:rFonts w:eastAsia="Times New Roman"/>
                <w:sz w:val="16"/>
                <w:szCs w:val="24"/>
                <w:lang w:eastAsia="sv-SE"/>
              </w:rPr>
              <w:t>3</w:t>
            </w:r>
          </w:p>
        </w:tc>
      </w:tr>
    </w:tbl>
    <w:p w:rsidR="002A2B73" w:rsidRPr="008B14AE" w:rsidRDefault="006E5B7F" w:rsidP="00F91DEB">
      <w:pPr>
        <w:pStyle w:val="Normaltindrag"/>
        <w:ind w:firstLine="0"/>
        <w:rPr>
          <w:sz w:val="16"/>
          <w:szCs w:val="16"/>
        </w:rPr>
      </w:pPr>
      <w:r w:rsidRPr="008B14AE">
        <w:rPr>
          <w:sz w:val="16"/>
          <w:szCs w:val="16"/>
        </w:rPr>
        <w:t xml:space="preserve">* </w:t>
      </w:r>
      <w:r w:rsidR="0056645E">
        <w:rPr>
          <w:sz w:val="16"/>
          <w:szCs w:val="16"/>
        </w:rPr>
        <w:t>Ä</w:t>
      </w:r>
      <w:r w:rsidRPr="008B14AE">
        <w:rPr>
          <w:sz w:val="16"/>
          <w:szCs w:val="16"/>
        </w:rPr>
        <w:t xml:space="preserve">renden som </w:t>
      </w:r>
      <w:r w:rsidR="0056645E">
        <w:rPr>
          <w:sz w:val="16"/>
          <w:szCs w:val="16"/>
        </w:rPr>
        <w:t xml:space="preserve">efter beredning </w:t>
      </w:r>
      <w:r w:rsidRPr="008B14AE">
        <w:rPr>
          <w:sz w:val="16"/>
          <w:szCs w:val="16"/>
        </w:rPr>
        <w:t>har inkommit och behandlats av kammaren.</w:t>
      </w:r>
    </w:p>
    <w:p w:rsidR="002A2B73" w:rsidRDefault="002A2B73" w:rsidP="002A2B73">
      <w:r>
        <w:t>Mängden EU-dokument som inkom till riksdagen steg avsevärt under 2016 jämfört med 2015. Även antalet dokument hänvisade för subsidiaritetsprövning är väsentligt högre än 2015. En möjlig förklaring till den stora skillnaden är att kommissionen, som tillträdde 2014, ägnat de första två verksamhetsåren åt att bereda kommande lagstiftningsförslag och presentera övergripande, strategiska viljeinriktningar.</w:t>
      </w:r>
    </w:p>
    <w:p w:rsidR="002A2B73" w:rsidRPr="00F52B51" w:rsidRDefault="002A2B73" w:rsidP="002A2B73">
      <w:pPr>
        <w:pStyle w:val="Normaltindrag"/>
      </w:pPr>
      <w:r>
        <w:t>Riksdagsförvaltningen har under året också bistått riksdagens parlamentariska EU-kommitté i uppdraget att utreda riksdagens arbete med EU-frågor.</w:t>
      </w:r>
    </w:p>
    <w:p w:rsidR="00D035BF" w:rsidRPr="00D035BF" w:rsidRDefault="00D035BF" w:rsidP="0098555F">
      <w:pPr>
        <w:pStyle w:val="Rubrik4"/>
      </w:pPr>
      <w:r w:rsidRPr="00D035BF">
        <w:t>Utskotten och EU-nämnden</w:t>
      </w:r>
    </w:p>
    <w:p w:rsidR="00D035BF" w:rsidRPr="00AB253A" w:rsidRDefault="00D035BF" w:rsidP="00D035BF">
      <w:r w:rsidRPr="00AB253A">
        <w:t xml:space="preserve">De 15 utskotten bereder </w:t>
      </w:r>
      <w:r w:rsidR="00E02471" w:rsidRPr="00AB253A">
        <w:t xml:space="preserve">inkommande propositioner, skrivelser, </w:t>
      </w:r>
      <w:r w:rsidRPr="00AB253A">
        <w:t>motioner</w:t>
      </w:r>
      <w:r w:rsidR="00151EDA" w:rsidRPr="00AB253A">
        <w:t xml:space="preserve"> m</w:t>
      </w:r>
      <w:r w:rsidRPr="00AB253A">
        <w:t>.</w:t>
      </w:r>
      <w:r w:rsidR="00151EDA" w:rsidRPr="00AB253A">
        <w:t xml:space="preserve">m. </w:t>
      </w:r>
      <w:r w:rsidRPr="00AB253A">
        <w:t xml:space="preserve"> Konstitutionsutskottet granskar därutöver statsrådens tjänsteutövning och </w:t>
      </w:r>
      <w:r w:rsidR="00151EDA" w:rsidRPr="00AB253A">
        <w:t>handläggningen av regeringsärenden</w:t>
      </w:r>
      <w:r w:rsidRPr="00AB253A">
        <w:t xml:space="preserve">. Efter beredningen lämnar utskotten betänkanden med förslag till riksdagsbeslut. Utskotten kan även på eget initiativ lämna förslag till riksdagen. </w:t>
      </w:r>
    </w:p>
    <w:p w:rsidR="00D035BF" w:rsidRPr="00AB253A" w:rsidRDefault="00D035BF" w:rsidP="00D035BF">
      <w:pPr>
        <w:spacing w:before="0"/>
        <w:ind w:firstLine="227"/>
      </w:pPr>
      <w:r w:rsidRPr="00AB253A">
        <w:t xml:space="preserve">Till utskotten remitteras även EU-dokument som emellanåt innehåller utkast till lagförslag från EU. Om utskottet efter prövning anser att lagförslaget </w:t>
      </w:r>
      <w:r w:rsidRPr="00AB253A">
        <w:lastRenderedPageBreak/>
        <w:t>inte följer subsidiaritetsprincipen lämnar utskottet ett utlåtande till kammaren med förslag om att riksdagen ska lämna ett så kallat motiverat yttrande till EU. Utskottet ska också lämna ett utlåtande till kammaren om minst fem ledamöter i utskottet begär det.</w:t>
      </w:r>
      <w:r w:rsidR="0060181C">
        <w:t xml:space="preserve"> Vidare ska alla grön- och vitböcker samt vissa andra EU-dokument granskas av det utskott som berörs. Resultatet av granskningen ska redovisas i ett utlåtande till kammaren.</w:t>
      </w:r>
    </w:p>
    <w:p w:rsidR="00D035BF" w:rsidRPr="0075045F" w:rsidRDefault="00D035BF" w:rsidP="00D035BF">
      <w:pPr>
        <w:spacing w:before="0"/>
        <w:ind w:firstLine="227"/>
      </w:pPr>
      <w:r w:rsidRPr="0075045F">
        <w:t xml:space="preserve">Varje utskott biträds av ett kansli. Kanslierna planerar utskottens verksamhet och stöder utskotten genom att ta fram beredningsunderlag och skriva utskottens ställningstagande till propositioner, motioner, skrivelser m.m. i betänkanden, yttranden och utlåtanden. Utskottskanslierna stöder också utskotten i arbetet med EU-frågor. Kanslierna planerar och medverkar även vid utskottets utfrågningar, studiebesök och resor </w:t>
      </w:r>
      <w:r w:rsidR="00A445BE">
        <w:t>samt</w:t>
      </w:r>
      <w:r w:rsidRPr="0075045F">
        <w:t xml:space="preserve"> stöder utskotten i arbetet med uppföljning och utvärdering.</w:t>
      </w:r>
    </w:p>
    <w:p w:rsidR="00D035BF" w:rsidRPr="00253EF8" w:rsidRDefault="00D035BF" w:rsidP="00D035BF">
      <w:pPr>
        <w:spacing w:before="0"/>
        <w:ind w:firstLine="227"/>
      </w:pPr>
      <w:r w:rsidRPr="00253EF8">
        <w:t>Sammantaget bereder utskotten varje år ett stort antal ärenden.</w:t>
      </w:r>
      <w:r w:rsidR="00984194" w:rsidRPr="00253EF8">
        <w:t xml:space="preserve"> </w:t>
      </w:r>
      <w:r w:rsidR="00253EF8" w:rsidRPr="00B60C21">
        <w:t>T</w:t>
      </w:r>
      <w:r w:rsidR="00D754B3" w:rsidRPr="00B60C21">
        <w:t>eknisk</w:t>
      </w:r>
      <w:r w:rsidR="00253EF8" w:rsidRPr="00B60C21">
        <w:t>a</w:t>
      </w:r>
      <w:r w:rsidR="00D754B3" w:rsidRPr="00B60C21">
        <w:t xml:space="preserve"> avvikelse</w:t>
      </w:r>
      <w:r w:rsidR="00253EF8" w:rsidRPr="00B60C21">
        <w:t>r</w:t>
      </w:r>
      <w:r w:rsidR="00A8470B" w:rsidRPr="00B60C21">
        <w:t xml:space="preserve">, i form av </w:t>
      </w:r>
      <w:r w:rsidR="007C315A" w:rsidRPr="00B60C21">
        <w:t xml:space="preserve">smärre </w:t>
      </w:r>
      <w:r w:rsidR="00A8470B" w:rsidRPr="00B60C21">
        <w:t>bortfall av text,</w:t>
      </w:r>
      <w:r w:rsidR="00D754B3" w:rsidRPr="00B60C21">
        <w:t xml:space="preserve"> f</w:t>
      </w:r>
      <w:r w:rsidR="00984194" w:rsidRPr="00B60C21">
        <w:t>ör</w:t>
      </w:r>
      <w:r w:rsidR="00D754B3" w:rsidRPr="00B60C21">
        <w:t>ekom i</w:t>
      </w:r>
      <w:r w:rsidR="00984194" w:rsidRPr="00B60C21">
        <w:t xml:space="preserve"> </w:t>
      </w:r>
      <w:r w:rsidR="00253EF8" w:rsidRPr="00B60C21">
        <w:t>tre</w:t>
      </w:r>
      <w:r w:rsidR="00EE6147" w:rsidRPr="00B60C21">
        <w:t xml:space="preserve"> betänkande</w:t>
      </w:r>
      <w:r w:rsidR="00253EF8" w:rsidRPr="00B60C21">
        <w:t>n under 2016</w:t>
      </w:r>
      <w:r w:rsidR="009D6AB0" w:rsidRPr="00B60C21">
        <w:t>.</w:t>
      </w:r>
      <w:r w:rsidR="00D754B3" w:rsidRPr="00B60C21">
        <w:t xml:space="preserve"> </w:t>
      </w:r>
      <w:r w:rsidR="009D6AB0" w:rsidRPr="00B60C21">
        <w:t>Felen påverkade inte riksdagens beslut</w:t>
      </w:r>
      <w:r w:rsidR="00984194" w:rsidRPr="00B60C21">
        <w:t>.</w:t>
      </w:r>
      <w:r w:rsidR="00984194" w:rsidRPr="00253EF8">
        <w:t xml:space="preserve"> </w:t>
      </w:r>
      <w:r w:rsidRPr="00253EF8">
        <w:t>Nedan redo</w:t>
      </w:r>
      <w:r w:rsidR="00253EF8" w:rsidRPr="00253EF8">
        <w:t>visas antalet ärenden under 2016</w:t>
      </w:r>
      <w:r w:rsidRPr="00253EF8">
        <w:t xml:space="preserve"> uppdelat per utskott och totalt jämfört med föregående år.</w:t>
      </w:r>
    </w:p>
    <w:p w:rsidR="00D035BF" w:rsidRDefault="00D035BF"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440100">
        <w:rPr>
          <w:rFonts w:eastAsiaTheme="majorEastAsia" w:cstheme="majorBidi"/>
          <w:b/>
        </w:rPr>
        <w:t xml:space="preserve">Tabell </w:t>
      </w:r>
      <w:r w:rsidR="00F52B51" w:rsidRPr="00440100">
        <w:rPr>
          <w:rFonts w:eastAsiaTheme="majorEastAsia" w:cstheme="majorBidi"/>
          <w:b/>
        </w:rPr>
        <w:t>7</w:t>
      </w:r>
      <w:r w:rsidRPr="00440100">
        <w:rPr>
          <w:rFonts w:eastAsiaTheme="majorEastAsia" w:cstheme="majorBidi"/>
          <w:b/>
        </w:rPr>
        <w:t xml:space="preserve"> Utskottens ärendehantering och sammanträden 201</w:t>
      </w:r>
      <w:r w:rsidR="00A750D9" w:rsidRPr="00440100">
        <w:rPr>
          <w:rFonts w:eastAsiaTheme="majorEastAsia" w:cstheme="majorBidi"/>
          <w:b/>
        </w:rPr>
        <w:t>6</w:t>
      </w:r>
      <w:r w:rsidRPr="00440100">
        <w:rPr>
          <w:rFonts w:eastAsiaTheme="majorEastAsia" w:cstheme="majorBidi"/>
          <w:b/>
          <w:vertAlign w:val="superscript"/>
        </w:rPr>
        <w:footnoteReference w:id="16"/>
      </w:r>
    </w:p>
    <w:tbl>
      <w:tblPr>
        <w:tblStyle w:val="Tabellrutnt4"/>
        <w:tblW w:w="60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978"/>
        <w:gridCol w:w="919"/>
        <w:gridCol w:w="1010"/>
        <w:gridCol w:w="974"/>
        <w:gridCol w:w="1044"/>
      </w:tblGrid>
      <w:tr w:rsidR="00242624" w:rsidRPr="00242624" w:rsidTr="0091095E">
        <w:trPr>
          <w:tblHeader/>
        </w:trPr>
        <w:tc>
          <w:tcPr>
            <w:tcW w:w="1105" w:type="dxa"/>
            <w:tcBorders>
              <w:top w:val="single" w:sz="4" w:space="0" w:color="auto"/>
              <w:bottom w:val="single" w:sz="4" w:space="0" w:color="auto"/>
            </w:tcBorders>
          </w:tcPr>
          <w:p w:rsidR="00242624" w:rsidRPr="0091095E" w:rsidRDefault="0091095E" w:rsidP="0091095E">
            <w:pPr>
              <w:rPr>
                <w:b/>
                <w:sz w:val="16"/>
                <w:szCs w:val="16"/>
              </w:rPr>
            </w:pPr>
            <w:r w:rsidRPr="0091095E">
              <w:rPr>
                <w:b/>
                <w:sz w:val="16"/>
                <w:szCs w:val="16"/>
              </w:rPr>
              <w:t>Utskott</w:t>
            </w:r>
          </w:p>
        </w:tc>
        <w:tc>
          <w:tcPr>
            <w:tcW w:w="978" w:type="dxa"/>
            <w:tcBorders>
              <w:top w:val="single" w:sz="4" w:space="0" w:color="auto"/>
              <w:bottom w:val="single" w:sz="4" w:space="0" w:color="auto"/>
            </w:tcBorders>
          </w:tcPr>
          <w:p w:rsidR="00242624" w:rsidRPr="00242624" w:rsidRDefault="00242624" w:rsidP="001A597E">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Proposi</w:t>
            </w:r>
            <w:r w:rsidR="001A597E">
              <w:rPr>
                <w:rFonts w:eastAsia="Times New Roman"/>
                <w:b/>
                <w:sz w:val="16"/>
                <w:szCs w:val="16"/>
                <w:lang w:eastAsia="sv-SE"/>
              </w:rPr>
              <w:t>-</w:t>
            </w:r>
            <w:r w:rsidRPr="00242624">
              <w:rPr>
                <w:rFonts w:eastAsia="Times New Roman"/>
                <w:b/>
                <w:sz w:val="16"/>
                <w:szCs w:val="16"/>
                <w:lang w:eastAsia="sv-SE"/>
              </w:rPr>
              <w:t>tioner, skrivelser, framställningar, redogörelser</w:t>
            </w:r>
          </w:p>
        </w:tc>
        <w:tc>
          <w:tcPr>
            <w:tcW w:w="919"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Mo</w:t>
            </w:r>
            <w:r w:rsidR="004D2334">
              <w:rPr>
                <w:rFonts w:eastAsia="Times New Roman"/>
                <w:b/>
                <w:sz w:val="16"/>
                <w:szCs w:val="16"/>
                <w:lang w:eastAsia="sv-SE"/>
              </w:rPr>
              <w:t>-</w:t>
            </w:r>
            <w:r w:rsidRPr="00242624">
              <w:rPr>
                <w:rFonts w:eastAsia="Times New Roman"/>
                <w:b/>
                <w:sz w:val="16"/>
                <w:szCs w:val="16"/>
                <w:lang w:eastAsia="sv-SE"/>
              </w:rPr>
              <w:t>tioner</w:t>
            </w:r>
            <w:r w:rsidRPr="00242624">
              <w:rPr>
                <w:rFonts w:eastAsia="Times New Roman"/>
                <w:b/>
                <w:sz w:val="16"/>
                <w:szCs w:val="16"/>
                <w:vertAlign w:val="superscript"/>
                <w:lang w:eastAsia="sv-SE"/>
              </w:rPr>
              <w:footnoteReference w:id="17"/>
            </w:r>
          </w:p>
        </w:tc>
        <w:tc>
          <w:tcPr>
            <w:tcW w:w="1010"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EU-dokument</w:t>
            </w:r>
            <w:r w:rsidRPr="00242624">
              <w:rPr>
                <w:rFonts w:eastAsia="Times New Roman"/>
                <w:b/>
                <w:sz w:val="16"/>
                <w:szCs w:val="16"/>
                <w:vertAlign w:val="superscript"/>
                <w:lang w:eastAsia="sv-SE"/>
              </w:rPr>
              <w:footnoteReference w:id="18"/>
            </w:r>
          </w:p>
        </w:tc>
        <w:tc>
          <w:tcPr>
            <w:tcW w:w="974"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Antal sammanträden</w:t>
            </w:r>
          </w:p>
        </w:tc>
        <w:tc>
          <w:tcPr>
            <w:tcW w:w="1044" w:type="dxa"/>
            <w:tcBorders>
              <w:top w:val="single" w:sz="4" w:space="0" w:color="auto"/>
              <w:bottom w:val="single" w:sz="4" w:space="0" w:color="auto"/>
            </w:tcBorders>
          </w:tcPr>
          <w:p w:rsidR="00242624" w:rsidRPr="00242624" w:rsidRDefault="00242624" w:rsidP="00242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242624">
              <w:rPr>
                <w:rFonts w:eastAsia="Times New Roman"/>
                <w:b/>
                <w:sz w:val="16"/>
                <w:szCs w:val="16"/>
                <w:lang w:eastAsia="sv-SE"/>
              </w:rPr>
              <w:t>Betänkanden, utlåtanden, yttranden</w:t>
            </w:r>
          </w:p>
        </w:tc>
      </w:tr>
      <w:tr w:rsidR="00242624" w:rsidRPr="00242624" w:rsidTr="0091095E">
        <w:tc>
          <w:tcPr>
            <w:tcW w:w="1105" w:type="dxa"/>
            <w:tcBorders>
              <w:top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Konstitu-</w:t>
            </w:r>
            <w:r w:rsidRPr="00242624">
              <w:rPr>
                <w:rFonts w:eastAsia="Times New Roman"/>
                <w:sz w:val="16"/>
                <w:szCs w:val="24"/>
                <w:lang w:eastAsia="sv-SE"/>
              </w:rPr>
              <w:br/>
              <w:t>tionsutskottet</w:t>
            </w:r>
          </w:p>
        </w:tc>
        <w:tc>
          <w:tcPr>
            <w:tcW w:w="978" w:type="dxa"/>
            <w:tcBorders>
              <w:top w:val="single" w:sz="4" w:space="0" w:color="auto"/>
            </w:tcBorders>
            <w:vAlign w:val="bottom"/>
          </w:tcPr>
          <w:p w:rsidR="00242624" w:rsidRPr="00B65F9D" w:rsidRDefault="00B65F9D" w:rsidP="00242624">
            <w:pPr>
              <w:spacing w:before="60" w:line="200" w:lineRule="exact"/>
              <w:jc w:val="right"/>
              <w:rPr>
                <w:rFonts w:eastAsia="Times New Roman"/>
                <w:sz w:val="16"/>
                <w:szCs w:val="24"/>
                <w:lang w:eastAsia="sv-SE"/>
              </w:rPr>
            </w:pPr>
            <w:r w:rsidRPr="00B65F9D">
              <w:rPr>
                <w:rFonts w:eastAsia="Times New Roman"/>
                <w:sz w:val="16"/>
                <w:szCs w:val="24"/>
                <w:lang w:eastAsia="sv-SE"/>
              </w:rPr>
              <w:t>26</w:t>
            </w:r>
          </w:p>
        </w:tc>
        <w:tc>
          <w:tcPr>
            <w:tcW w:w="919" w:type="dxa"/>
            <w:tcBorders>
              <w:top w:val="single" w:sz="4" w:space="0" w:color="auto"/>
            </w:tcBorders>
            <w:vAlign w:val="bottom"/>
          </w:tcPr>
          <w:p w:rsidR="00242624" w:rsidRPr="00B65F9D" w:rsidRDefault="00B65F9D" w:rsidP="00242624">
            <w:pPr>
              <w:spacing w:before="60" w:line="200" w:lineRule="exact"/>
              <w:jc w:val="right"/>
              <w:rPr>
                <w:rFonts w:eastAsia="Times New Roman"/>
                <w:sz w:val="16"/>
                <w:szCs w:val="24"/>
                <w:lang w:eastAsia="sv-SE"/>
              </w:rPr>
            </w:pPr>
            <w:r w:rsidRPr="00B65F9D">
              <w:rPr>
                <w:rFonts w:eastAsia="Times New Roman"/>
                <w:sz w:val="16"/>
                <w:szCs w:val="24"/>
                <w:lang w:eastAsia="sv-SE"/>
              </w:rPr>
              <w:t>266</w:t>
            </w:r>
          </w:p>
        </w:tc>
        <w:tc>
          <w:tcPr>
            <w:tcW w:w="1010" w:type="dxa"/>
            <w:tcBorders>
              <w:top w:val="single" w:sz="4" w:space="0" w:color="auto"/>
            </w:tcBorders>
            <w:vAlign w:val="bottom"/>
          </w:tcPr>
          <w:p w:rsidR="00242624" w:rsidRPr="00B65F9D" w:rsidRDefault="00251D19" w:rsidP="00242624">
            <w:pPr>
              <w:spacing w:before="60" w:line="200" w:lineRule="exact"/>
              <w:jc w:val="right"/>
              <w:rPr>
                <w:rFonts w:eastAsia="Times New Roman"/>
                <w:sz w:val="16"/>
                <w:szCs w:val="24"/>
                <w:lang w:eastAsia="sv-SE"/>
              </w:rPr>
            </w:pPr>
            <w:r>
              <w:rPr>
                <w:rFonts w:eastAsia="Times New Roman"/>
                <w:sz w:val="16"/>
                <w:szCs w:val="24"/>
                <w:lang w:eastAsia="sv-SE"/>
              </w:rPr>
              <w:t>4</w:t>
            </w:r>
          </w:p>
        </w:tc>
        <w:tc>
          <w:tcPr>
            <w:tcW w:w="974" w:type="dxa"/>
            <w:tcBorders>
              <w:top w:val="single" w:sz="4" w:space="0" w:color="auto"/>
            </w:tcBorders>
            <w:vAlign w:val="bottom"/>
          </w:tcPr>
          <w:p w:rsidR="00242624" w:rsidRPr="00B65F9D" w:rsidRDefault="00D626ED" w:rsidP="00242624">
            <w:pPr>
              <w:spacing w:before="60" w:line="200" w:lineRule="exact"/>
              <w:jc w:val="right"/>
              <w:rPr>
                <w:rFonts w:eastAsia="Times New Roman"/>
                <w:sz w:val="16"/>
                <w:szCs w:val="24"/>
                <w:lang w:eastAsia="sv-SE"/>
              </w:rPr>
            </w:pPr>
            <w:r w:rsidRPr="00B65F9D">
              <w:rPr>
                <w:rFonts w:eastAsia="Times New Roman"/>
                <w:sz w:val="16"/>
                <w:szCs w:val="24"/>
                <w:lang w:eastAsia="sv-SE"/>
              </w:rPr>
              <w:t>5</w:t>
            </w:r>
            <w:r w:rsidR="00B65F9D" w:rsidRPr="00B65F9D">
              <w:rPr>
                <w:rFonts w:eastAsia="Times New Roman"/>
                <w:sz w:val="16"/>
                <w:szCs w:val="24"/>
                <w:lang w:eastAsia="sv-SE"/>
              </w:rPr>
              <w:t>8</w:t>
            </w:r>
          </w:p>
        </w:tc>
        <w:tc>
          <w:tcPr>
            <w:tcW w:w="1044" w:type="dxa"/>
            <w:tcBorders>
              <w:top w:val="single" w:sz="4" w:space="0" w:color="auto"/>
            </w:tcBorders>
            <w:vAlign w:val="bottom"/>
          </w:tcPr>
          <w:p w:rsidR="00242624" w:rsidRPr="00B65F9D" w:rsidRDefault="00B65F9D" w:rsidP="00242624">
            <w:pPr>
              <w:spacing w:before="60" w:line="200" w:lineRule="exact"/>
              <w:jc w:val="right"/>
              <w:rPr>
                <w:rFonts w:eastAsia="Times New Roman"/>
                <w:sz w:val="16"/>
                <w:szCs w:val="24"/>
                <w:lang w:eastAsia="sv-SE"/>
              </w:rPr>
            </w:pPr>
            <w:r w:rsidRPr="00B65F9D">
              <w:rPr>
                <w:rFonts w:eastAsia="Times New Roman"/>
                <w:sz w:val="16"/>
                <w:szCs w:val="24"/>
                <w:lang w:eastAsia="sv-SE"/>
              </w:rPr>
              <w:t>4</w:t>
            </w:r>
            <w:r w:rsidR="003B08A7" w:rsidRPr="00B65F9D">
              <w:rPr>
                <w:rFonts w:eastAsia="Times New Roman"/>
                <w:sz w:val="16"/>
                <w:szCs w:val="24"/>
                <w:lang w:eastAsia="sv-SE"/>
              </w:rPr>
              <w:t>2</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Finans-</w:t>
            </w:r>
            <w:r w:rsidRPr="00242624">
              <w:rPr>
                <w:rFonts w:eastAsia="Times New Roman"/>
                <w:sz w:val="16"/>
                <w:szCs w:val="24"/>
                <w:lang w:eastAsia="sv-SE"/>
              </w:rPr>
              <w:br/>
              <w:t>utskottet</w:t>
            </w:r>
          </w:p>
        </w:tc>
        <w:tc>
          <w:tcPr>
            <w:tcW w:w="978" w:type="dxa"/>
            <w:vAlign w:val="bottom"/>
          </w:tcPr>
          <w:p w:rsidR="00242624" w:rsidRPr="0021545D" w:rsidRDefault="0021545D" w:rsidP="00CB404E">
            <w:pPr>
              <w:spacing w:before="60" w:line="200" w:lineRule="exact"/>
              <w:jc w:val="right"/>
              <w:rPr>
                <w:rFonts w:eastAsia="Times New Roman"/>
                <w:sz w:val="16"/>
                <w:szCs w:val="24"/>
                <w:lang w:eastAsia="sv-SE"/>
              </w:rPr>
            </w:pPr>
            <w:r w:rsidRPr="0021545D">
              <w:rPr>
                <w:rFonts w:eastAsia="Times New Roman"/>
                <w:sz w:val="16"/>
                <w:szCs w:val="24"/>
                <w:lang w:eastAsia="sv-SE"/>
              </w:rPr>
              <w:t>31</w:t>
            </w:r>
          </w:p>
        </w:tc>
        <w:tc>
          <w:tcPr>
            <w:tcW w:w="919" w:type="dxa"/>
            <w:vAlign w:val="bottom"/>
          </w:tcPr>
          <w:p w:rsidR="00242624" w:rsidRPr="0021545D" w:rsidRDefault="0021545D" w:rsidP="00242624">
            <w:pPr>
              <w:spacing w:before="60" w:line="200" w:lineRule="exact"/>
              <w:jc w:val="right"/>
              <w:rPr>
                <w:rFonts w:eastAsia="Times New Roman"/>
                <w:sz w:val="16"/>
                <w:szCs w:val="24"/>
                <w:lang w:eastAsia="sv-SE"/>
              </w:rPr>
            </w:pPr>
            <w:r w:rsidRPr="0021545D">
              <w:rPr>
                <w:rFonts w:eastAsia="Times New Roman"/>
                <w:sz w:val="16"/>
                <w:szCs w:val="24"/>
                <w:lang w:eastAsia="sv-SE"/>
              </w:rPr>
              <w:t>24</w:t>
            </w:r>
            <w:r w:rsidR="00BD4BE1" w:rsidRPr="0021545D">
              <w:rPr>
                <w:rFonts w:eastAsia="Times New Roman"/>
                <w:sz w:val="16"/>
                <w:szCs w:val="24"/>
                <w:lang w:eastAsia="sv-SE"/>
              </w:rPr>
              <w:t>6</w:t>
            </w:r>
          </w:p>
        </w:tc>
        <w:tc>
          <w:tcPr>
            <w:tcW w:w="1010" w:type="dxa"/>
            <w:vAlign w:val="bottom"/>
          </w:tcPr>
          <w:p w:rsidR="00242624" w:rsidRPr="0021545D" w:rsidRDefault="0021545D" w:rsidP="00242624">
            <w:pPr>
              <w:spacing w:before="60" w:line="200" w:lineRule="exact"/>
              <w:jc w:val="right"/>
              <w:rPr>
                <w:rFonts w:eastAsia="Times New Roman"/>
                <w:sz w:val="16"/>
                <w:szCs w:val="24"/>
                <w:lang w:eastAsia="sv-SE"/>
              </w:rPr>
            </w:pPr>
            <w:r w:rsidRPr="0021545D">
              <w:rPr>
                <w:rFonts w:eastAsia="Times New Roman"/>
                <w:sz w:val="16"/>
                <w:szCs w:val="24"/>
                <w:lang w:eastAsia="sv-SE"/>
              </w:rPr>
              <w:t>1</w:t>
            </w:r>
            <w:r w:rsidR="00251D19">
              <w:rPr>
                <w:rFonts w:eastAsia="Times New Roman"/>
                <w:sz w:val="16"/>
                <w:szCs w:val="24"/>
                <w:lang w:eastAsia="sv-SE"/>
              </w:rPr>
              <w:t>6</w:t>
            </w:r>
          </w:p>
        </w:tc>
        <w:tc>
          <w:tcPr>
            <w:tcW w:w="974" w:type="dxa"/>
            <w:vAlign w:val="bottom"/>
          </w:tcPr>
          <w:p w:rsidR="00242624" w:rsidRPr="0021545D" w:rsidRDefault="0021545D" w:rsidP="00242624">
            <w:pPr>
              <w:spacing w:before="60" w:line="200" w:lineRule="exact"/>
              <w:jc w:val="right"/>
              <w:rPr>
                <w:rFonts w:eastAsia="Times New Roman"/>
                <w:sz w:val="16"/>
                <w:szCs w:val="24"/>
                <w:lang w:eastAsia="sv-SE"/>
              </w:rPr>
            </w:pPr>
            <w:r w:rsidRPr="0021545D">
              <w:rPr>
                <w:rFonts w:eastAsia="Times New Roman"/>
                <w:sz w:val="16"/>
                <w:szCs w:val="24"/>
                <w:lang w:eastAsia="sv-SE"/>
              </w:rPr>
              <w:t>51</w:t>
            </w:r>
          </w:p>
        </w:tc>
        <w:tc>
          <w:tcPr>
            <w:tcW w:w="1044" w:type="dxa"/>
            <w:vAlign w:val="bottom"/>
          </w:tcPr>
          <w:p w:rsidR="00242624" w:rsidRPr="0021545D" w:rsidRDefault="0021545D" w:rsidP="00242624">
            <w:pPr>
              <w:spacing w:before="60" w:line="200" w:lineRule="exact"/>
              <w:jc w:val="right"/>
              <w:rPr>
                <w:rFonts w:eastAsia="Times New Roman"/>
                <w:sz w:val="16"/>
                <w:szCs w:val="24"/>
                <w:lang w:eastAsia="sv-SE"/>
              </w:rPr>
            </w:pPr>
            <w:r w:rsidRPr="0021545D">
              <w:rPr>
                <w:rFonts w:eastAsia="Times New Roman"/>
                <w:sz w:val="16"/>
                <w:szCs w:val="24"/>
                <w:lang w:eastAsia="sv-SE"/>
              </w:rPr>
              <w:t>45</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Skatte-</w:t>
            </w:r>
            <w:r w:rsidRPr="00242624">
              <w:rPr>
                <w:rFonts w:eastAsia="Times New Roman"/>
                <w:sz w:val="16"/>
                <w:szCs w:val="24"/>
                <w:lang w:eastAsia="sv-SE"/>
              </w:rPr>
              <w:br/>
              <w:t>utskottet</w:t>
            </w:r>
          </w:p>
        </w:tc>
        <w:tc>
          <w:tcPr>
            <w:tcW w:w="978" w:type="dxa"/>
            <w:vAlign w:val="bottom"/>
          </w:tcPr>
          <w:p w:rsidR="00242624" w:rsidRPr="0038210B" w:rsidRDefault="0038210B" w:rsidP="00242624">
            <w:pPr>
              <w:spacing w:before="60" w:line="200" w:lineRule="exact"/>
              <w:jc w:val="right"/>
              <w:rPr>
                <w:rFonts w:eastAsia="Times New Roman"/>
                <w:sz w:val="16"/>
                <w:szCs w:val="24"/>
                <w:lang w:eastAsia="sv-SE"/>
              </w:rPr>
            </w:pPr>
            <w:r w:rsidRPr="0038210B">
              <w:rPr>
                <w:rFonts w:eastAsia="Times New Roman"/>
                <w:sz w:val="16"/>
                <w:szCs w:val="24"/>
                <w:lang w:eastAsia="sv-SE"/>
              </w:rPr>
              <w:t>18</w:t>
            </w:r>
          </w:p>
        </w:tc>
        <w:tc>
          <w:tcPr>
            <w:tcW w:w="919" w:type="dxa"/>
            <w:vAlign w:val="bottom"/>
          </w:tcPr>
          <w:p w:rsidR="00242624" w:rsidRPr="0038210B" w:rsidRDefault="0038210B" w:rsidP="00242624">
            <w:pPr>
              <w:spacing w:before="60" w:line="200" w:lineRule="exact"/>
              <w:jc w:val="right"/>
              <w:rPr>
                <w:rFonts w:eastAsia="Times New Roman"/>
                <w:sz w:val="16"/>
                <w:szCs w:val="24"/>
                <w:lang w:eastAsia="sv-SE"/>
              </w:rPr>
            </w:pPr>
            <w:r w:rsidRPr="0038210B">
              <w:rPr>
                <w:rFonts w:eastAsia="Times New Roman"/>
                <w:sz w:val="16"/>
                <w:szCs w:val="24"/>
                <w:lang w:eastAsia="sv-SE"/>
              </w:rPr>
              <w:t>334</w:t>
            </w:r>
          </w:p>
        </w:tc>
        <w:tc>
          <w:tcPr>
            <w:tcW w:w="1010" w:type="dxa"/>
            <w:vAlign w:val="bottom"/>
          </w:tcPr>
          <w:p w:rsidR="00242624" w:rsidRPr="0038210B" w:rsidRDefault="0038210B" w:rsidP="00242624">
            <w:pPr>
              <w:spacing w:before="60" w:line="200" w:lineRule="exact"/>
              <w:jc w:val="right"/>
              <w:rPr>
                <w:rFonts w:eastAsia="Times New Roman"/>
                <w:sz w:val="16"/>
                <w:szCs w:val="24"/>
                <w:lang w:eastAsia="sv-SE"/>
              </w:rPr>
            </w:pPr>
            <w:r w:rsidRPr="0038210B">
              <w:rPr>
                <w:rFonts w:eastAsia="Times New Roman"/>
                <w:sz w:val="16"/>
                <w:szCs w:val="24"/>
                <w:lang w:eastAsia="sv-SE"/>
              </w:rPr>
              <w:t>10</w:t>
            </w:r>
          </w:p>
        </w:tc>
        <w:tc>
          <w:tcPr>
            <w:tcW w:w="974" w:type="dxa"/>
            <w:vAlign w:val="bottom"/>
          </w:tcPr>
          <w:p w:rsidR="00242624" w:rsidRPr="0038210B" w:rsidRDefault="0038210B" w:rsidP="00242624">
            <w:pPr>
              <w:spacing w:before="60" w:line="200" w:lineRule="exact"/>
              <w:jc w:val="right"/>
              <w:rPr>
                <w:rFonts w:eastAsia="Times New Roman"/>
                <w:sz w:val="16"/>
                <w:szCs w:val="24"/>
                <w:lang w:eastAsia="sv-SE"/>
              </w:rPr>
            </w:pPr>
            <w:r w:rsidRPr="0038210B">
              <w:rPr>
                <w:rFonts w:eastAsia="Times New Roman"/>
                <w:sz w:val="16"/>
                <w:szCs w:val="24"/>
                <w:lang w:eastAsia="sv-SE"/>
              </w:rPr>
              <w:t>43</w:t>
            </w:r>
          </w:p>
        </w:tc>
        <w:tc>
          <w:tcPr>
            <w:tcW w:w="1044" w:type="dxa"/>
            <w:vAlign w:val="bottom"/>
          </w:tcPr>
          <w:p w:rsidR="00242624" w:rsidRPr="0038210B" w:rsidRDefault="0038210B" w:rsidP="00242624">
            <w:pPr>
              <w:spacing w:before="60" w:line="200" w:lineRule="exact"/>
              <w:jc w:val="right"/>
              <w:rPr>
                <w:rFonts w:eastAsia="Times New Roman"/>
                <w:sz w:val="16"/>
                <w:szCs w:val="24"/>
                <w:lang w:eastAsia="sv-SE"/>
              </w:rPr>
            </w:pPr>
            <w:r w:rsidRPr="0038210B">
              <w:rPr>
                <w:rFonts w:eastAsia="Times New Roman"/>
                <w:sz w:val="16"/>
                <w:szCs w:val="24"/>
                <w:lang w:eastAsia="sv-SE"/>
              </w:rPr>
              <w:t>40</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Justitie-</w:t>
            </w:r>
            <w:r w:rsidRPr="00242624">
              <w:rPr>
                <w:rFonts w:eastAsia="Times New Roman"/>
                <w:sz w:val="16"/>
                <w:szCs w:val="24"/>
                <w:lang w:eastAsia="sv-SE"/>
              </w:rPr>
              <w:br/>
              <w:t>utskottet</w:t>
            </w:r>
          </w:p>
        </w:tc>
        <w:tc>
          <w:tcPr>
            <w:tcW w:w="978" w:type="dxa"/>
            <w:vAlign w:val="bottom"/>
          </w:tcPr>
          <w:p w:rsidR="00242624" w:rsidRPr="003F4A7E" w:rsidRDefault="00242624" w:rsidP="00242624">
            <w:pPr>
              <w:spacing w:before="60" w:line="200" w:lineRule="exact"/>
              <w:jc w:val="right"/>
              <w:rPr>
                <w:rFonts w:eastAsia="Times New Roman"/>
                <w:sz w:val="16"/>
                <w:szCs w:val="24"/>
                <w:lang w:eastAsia="sv-SE"/>
              </w:rPr>
            </w:pPr>
            <w:r w:rsidRPr="003F4A7E">
              <w:rPr>
                <w:rFonts w:eastAsia="Times New Roman"/>
                <w:sz w:val="16"/>
                <w:szCs w:val="24"/>
                <w:lang w:eastAsia="sv-SE"/>
              </w:rPr>
              <w:t>2</w:t>
            </w:r>
            <w:r w:rsidR="003B638F" w:rsidRPr="003F4A7E">
              <w:rPr>
                <w:rFonts w:eastAsia="Times New Roman"/>
                <w:sz w:val="16"/>
                <w:szCs w:val="24"/>
                <w:lang w:eastAsia="sv-SE"/>
              </w:rPr>
              <w:t>4</w:t>
            </w:r>
          </w:p>
        </w:tc>
        <w:tc>
          <w:tcPr>
            <w:tcW w:w="919" w:type="dxa"/>
            <w:vAlign w:val="bottom"/>
          </w:tcPr>
          <w:p w:rsidR="00242624" w:rsidRPr="003F4A7E" w:rsidRDefault="003B638F" w:rsidP="00242624">
            <w:pPr>
              <w:spacing w:before="60" w:line="200" w:lineRule="exact"/>
              <w:jc w:val="right"/>
              <w:rPr>
                <w:rFonts w:eastAsia="Times New Roman"/>
                <w:sz w:val="16"/>
                <w:szCs w:val="24"/>
                <w:lang w:eastAsia="sv-SE"/>
              </w:rPr>
            </w:pPr>
            <w:r w:rsidRPr="003F4A7E">
              <w:rPr>
                <w:rFonts w:eastAsia="Times New Roman"/>
                <w:sz w:val="16"/>
                <w:szCs w:val="24"/>
                <w:lang w:eastAsia="sv-SE"/>
              </w:rPr>
              <w:t>375</w:t>
            </w:r>
          </w:p>
        </w:tc>
        <w:tc>
          <w:tcPr>
            <w:tcW w:w="1010" w:type="dxa"/>
            <w:vAlign w:val="bottom"/>
          </w:tcPr>
          <w:p w:rsidR="00242624" w:rsidRPr="003F4A7E" w:rsidRDefault="00251D19" w:rsidP="00242624">
            <w:pPr>
              <w:spacing w:before="60" w:line="200" w:lineRule="exact"/>
              <w:jc w:val="right"/>
              <w:rPr>
                <w:rFonts w:eastAsia="Times New Roman"/>
                <w:sz w:val="16"/>
                <w:szCs w:val="24"/>
                <w:lang w:eastAsia="sv-SE"/>
              </w:rPr>
            </w:pPr>
            <w:r>
              <w:rPr>
                <w:rFonts w:eastAsia="Times New Roman"/>
                <w:sz w:val="16"/>
                <w:szCs w:val="24"/>
                <w:lang w:eastAsia="sv-SE"/>
              </w:rPr>
              <w:t>8</w:t>
            </w:r>
          </w:p>
        </w:tc>
        <w:tc>
          <w:tcPr>
            <w:tcW w:w="974" w:type="dxa"/>
            <w:vAlign w:val="bottom"/>
          </w:tcPr>
          <w:p w:rsidR="00242624" w:rsidRPr="003F4A7E" w:rsidRDefault="00242624" w:rsidP="00242624">
            <w:pPr>
              <w:spacing w:before="60" w:line="200" w:lineRule="exact"/>
              <w:jc w:val="right"/>
              <w:rPr>
                <w:rFonts w:eastAsia="Times New Roman"/>
                <w:sz w:val="16"/>
                <w:szCs w:val="24"/>
                <w:lang w:eastAsia="sv-SE"/>
              </w:rPr>
            </w:pPr>
            <w:r w:rsidRPr="003F4A7E">
              <w:rPr>
                <w:rFonts w:eastAsia="Times New Roman"/>
                <w:sz w:val="16"/>
                <w:szCs w:val="24"/>
                <w:lang w:eastAsia="sv-SE"/>
              </w:rPr>
              <w:t>3</w:t>
            </w:r>
            <w:r w:rsidR="003B638F" w:rsidRPr="003F4A7E">
              <w:rPr>
                <w:rFonts w:eastAsia="Times New Roman"/>
                <w:sz w:val="16"/>
                <w:szCs w:val="24"/>
                <w:lang w:eastAsia="sv-SE"/>
              </w:rPr>
              <w:t>6</w:t>
            </w:r>
          </w:p>
        </w:tc>
        <w:tc>
          <w:tcPr>
            <w:tcW w:w="1044" w:type="dxa"/>
            <w:vAlign w:val="bottom"/>
          </w:tcPr>
          <w:p w:rsidR="00242624" w:rsidRPr="003F4A7E" w:rsidRDefault="003B638F" w:rsidP="00242624">
            <w:pPr>
              <w:spacing w:before="60" w:line="200" w:lineRule="exact"/>
              <w:jc w:val="right"/>
              <w:rPr>
                <w:rFonts w:eastAsia="Times New Roman"/>
                <w:sz w:val="16"/>
                <w:szCs w:val="24"/>
                <w:lang w:eastAsia="sv-SE"/>
              </w:rPr>
            </w:pPr>
            <w:r w:rsidRPr="003F4A7E">
              <w:rPr>
                <w:rFonts w:eastAsia="Times New Roman"/>
                <w:sz w:val="16"/>
                <w:szCs w:val="24"/>
                <w:lang w:eastAsia="sv-SE"/>
              </w:rPr>
              <w:t>42</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Civilutskottet</w:t>
            </w:r>
          </w:p>
        </w:tc>
        <w:tc>
          <w:tcPr>
            <w:tcW w:w="978" w:type="dxa"/>
            <w:vAlign w:val="bottom"/>
          </w:tcPr>
          <w:p w:rsidR="00242624" w:rsidRPr="00DA3058" w:rsidRDefault="00CB404E" w:rsidP="00242624">
            <w:pPr>
              <w:spacing w:before="60" w:line="200" w:lineRule="exact"/>
              <w:jc w:val="right"/>
              <w:rPr>
                <w:rFonts w:eastAsia="Times New Roman"/>
                <w:sz w:val="16"/>
                <w:szCs w:val="24"/>
                <w:lang w:eastAsia="sv-SE"/>
              </w:rPr>
            </w:pPr>
            <w:r w:rsidRPr="00DA3058">
              <w:rPr>
                <w:rFonts w:eastAsia="Times New Roman"/>
                <w:sz w:val="16"/>
                <w:szCs w:val="24"/>
                <w:lang w:eastAsia="sv-SE"/>
              </w:rPr>
              <w:t>1</w:t>
            </w:r>
            <w:r w:rsidR="00242624" w:rsidRPr="00DA3058">
              <w:rPr>
                <w:rFonts w:eastAsia="Times New Roman"/>
                <w:sz w:val="16"/>
                <w:szCs w:val="24"/>
                <w:lang w:eastAsia="sv-SE"/>
              </w:rPr>
              <w:t>6</w:t>
            </w:r>
          </w:p>
        </w:tc>
        <w:tc>
          <w:tcPr>
            <w:tcW w:w="919" w:type="dxa"/>
            <w:vAlign w:val="bottom"/>
          </w:tcPr>
          <w:p w:rsidR="00242624" w:rsidRPr="00DA3058" w:rsidRDefault="003F4A7E" w:rsidP="00242624">
            <w:pPr>
              <w:spacing w:before="60" w:line="200" w:lineRule="exact"/>
              <w:jc w:val="right"/>
              <w:rPr>
                <w:rFonts w:eastAsia="Times New Roman"/>
                <w:sz w:val="16"/>
                <w:szCs w:val="24"/>
                <w:lang w:eastAsia="sv-SE"/>
              </w:rPr>
            </w:pPr>
            <w:r w:rsidRPr="00DA3058">
              <w:rPr>
                <w:rFonts w:eastAsia="Times New Roman"/>
                <w:sz w:val="16"/>
                <w:szCs w:val="24"/>
                <w:lang w:eastAsia="sv-SE"/>
              </w:rPr>
              <w:t>150</w:t>
            </w:r>
          </w:p>
        </w:tc>
        <w:tc>
          <w:tcPr>
            <w:tcW w:w="1010" w:type="dxa"/>
            <w:vAlign w:val="bottom"/>
          </w:tcPr>
          <w:p w:rsidR="00242624" w:rsidRPr="00DA3058" w:rsidRDefault="00251D19" w:rsidP="00242624">
            <w:pPr>
              <w:spacing w:before="60" w:line="200" w:lineRule="exact"/>
              <w:jc w:val="right"/>
              <w:rPr>
                <w:rFonts w:eastAsia="Times New Roman"/>
                <w:sz w:val="16"/>
                <w:szCs w:val="24"/>
                <w:lang w:eastAsia="sv-SE"/>
              </w:rPr>
            </w:pPr>
            <w:r>
              <w:rPr>
                <w:rFonts w:eastAsia="Times New Roman"/>
                <w:sz w:val="16"/>
                <w:szCs w:val="24"/>
                <w:lang w:eastAsia="sv-SE"/>
              </w:rPr>
              <w:t>7</w:t>
            </w:r>
          </w:p>
        </w:tc>
        <w:tc>
          <w:tcPr>
            <w:tcW w:w="974" w:type="dxa"/>
            <w:vAlign w:val="bottom"/>
          </w:tcPr>
          <w:p w:rsidR="00242624" w:rsidRPr="00DA3058" w:rsidRDefault="00D626ED" w:rsidP="00242624">
            <w:pPr>
              <w:spacing w:before="60" w:line="200" w:lineRule="exact"/>
              <w:jc w:val="right"/>
              <w:rPr>
                <w:rFonts w:eastAsia="Times New Roman"/>
                <w:sz w:val="16"/>
                <w:szCs w:val="24"/>
                <w:lang w:eastAsia="sv-SE"/>
              </w:rPr>
            </w:pPr>
            <w:r w:rsidRPr="00DA3058">
              <w:rPr>
                <w:rFonts w:eastAsia="Times New Roman"/>
                <w:sz w:val="16"/>
                <w:szCs w:val="24"/>
                <w:lang w:eastAsia="sv-SE"/>
              </w:rPr>
              <w:t>2</w:t>
            </w:r>
            <w:r w:rsidR="003F4A7E" w:rsidRPr="00DA3058">
              <w:rPr>
                <w:rFonts w:eastAsia="Times New Roman"/>
                <w:sz w:val="16"/>
                <w:szCs w:val="24"/>
                <w:lang w:eastAsia="sv-SE"/>
              </w:rPr>
              <w:t>9</w:t>
            </w:r>
          </w:p>
        </w:tc>
        <w:tc>
          <w:tcPr>
            <w:tcW w:w="1044" w:type="dxa"/>
            <w:vAlign w:val="bottom"/>
          </w:tcPr>
          <w:p w:rsidR="00242624" w:rsidRPr="00DA3058" w:rsidRDefault="003B08A7" w:rsidP="00242624">
            <w:pPr>
              <w:spacing w:before="60" w:line="200" w:lineRule="exact"/>
              <w:jc w:val="right"/>
              <w:rPr>
                <w:rFonts w:eastAsia="Times New Roman"/>
                <w:sz w:val="16"/>
                <w:szCs w:val="24"/>
                <w:lang w:eastAsia="sv-SE"/>
              </w:rPr>
            </w:pPr>
            <w:r w:rsidRPr="00DA3058">
              <w:rPr>
                <w:rFonts w:eastAsia="Times New Roman"/>
                <w:sz w:val="16"/>
                <w:szCs w:val="24"/>
                <w:lang w:eastAsia="sv-SE"/>
              </w:rPr>
              <w:t>27</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Utrikes-</w:t>
            </w:r>
            <w:r w:rsidRPr="00242624">
              <w:rPr>
                <w:rFonts w:eastAsia="Times New Roman"/>
                <w:sz w:val="16"/>
                <w:szCs w:val="24"/>
                <w:lang w:eastAsia="sv-SE"/>
              </w:rPr>
              <w:br/>
              <w:t>utskottet</w:t>
            </w:r>
          </w:p>
        </w:tc>
        <w:tc>
          <w:tcPr>
            <w:tcW w:w="978" w:type="dxa"/>
            <w:vAlign w:val="bottom"/>
          </w:tcPr>
          <w:p w:rsidR="00242624" w:rsidRPr="00747869" w:rsidRDefault="00CB404E" w:rsidP="00242624">
            <w:pPr>
              <w:spacing w:before="60" w:line="200" w:lineRule="exact"/>
              <w:jc w:val="right"/>
              <w:rPr>
                <w:rFonts w:eastAsia="Times New Roman"/>
                <w:sz w:val="16"/>
                <w:szCs w:val="24"/>
                <w:lang w:eastAsia="sv-SE"/>
              </w:rPr>
            </w:pPr>
            <w:r w:rsidRPr="00747869">
              <w:rPr>
                <w:rFonts w:eastAsia="Times New Roman"/>
                <w:sz w:val="16"/>
                <w:szCs w:val="24"/>
                <w:lang w:eastAsia="sv-SE"/>
              </w:rPr>
              <w:t>1</w:t>
            </w:r>
            <w:r w:rsidR="00DA3058" w:rsidRPr="00747869">
              <w:rPr>
                <w:rFonts w:eastAsia="Times New Roman"/>
                <w:sz w:val="16"/>
                <w:szCs w:val="24"/>
                <w:lang w:eastAsia="sv-SE"/>
              </w:rPr>
              <w:t>2</w:t>
            </w:r>
          </w:p>
        </w:tc>
        <w:tc>
          <w:tcPr>
            <w:tcW w:w="919" w:type="dxa"/>
            <w:vAlign w:val="bottom"/>
          </w:tcPr>
          <w:p w:rsidR="00242624" w:rsidRPr="00747869" w:rsidRDefault="00DA3058" w:rsidP="00242624">
            <w:pPr>
              <w:spacing w:before="60" w:line="200" w:lineRule="exact"/>
              <w:jc w:val="right"/>
              <w:rPr>
                <w:rFonts w:eastAsia="Times New Roman"/>
                <w:sz w:val="16"/>
                <w:szCs w:val="24"/>
                <w:lang w:eastAsia="sv-SE"/>
              </w:rPr>
            </w:pPr>
            <w:r w:rsidRPr="00747869">
              <w:rPr>
                <w:rFonts w:eastAsia="Times New Roman"/>
                <w:sz w:val="16"/>
                <w:szCs w:val="24"/>
                <w:lang w:eastAsia="sv-SE"/>
              </w:rPr>
              <w:t>204</w:t>
            </w:r>
          </w:p>
        </w:tc>
        <w:tc>
          <w:tcPr>
            <w:tcW w:w="1010" w:type="dxa"/>
            <w:vAlign w:val="bottom"/>
          </w:tcPr>
          <w:p w:rsidR="00242624" w:rsidRPr="00747869" w:rsidRDefault="00DA3058" w:rsidP="00242624">
            <w:pPr>
              <w:spacing w:before="60" w:line="200" w:lineRule="exact"/>
              <w:jc w:val="right"/>
              <w:rPr>
                <w:rFonts w:eastAsia="Times New Roman"/>
                <w:sz w:val="16"/>
                <w:szCs w:val="24"/>
                <w:lang w:eastAsia="sv-SE"/>
              </w:rPr>
            </w:pPr>
            <w:r w:rsidRPr="00747869">
              <w:rPr>
                <w:rFonts w:eastAsia="Times New Roman"/>
                <w:sz w:val="16"/>
                <w:szCs w:val="24"/>
                <w:lang w:eastAsia="sv-SE"/>
              </w:rPr>
              <w:t>6</w:t>
            </w:r>
          </w:p>
        </w:tc>
        <w:tc>
          <w:tcPr>
            <w:tcW w:w="974" w:type="dxa"/>
            <w:vAlign w:val="bottom"/>
          </w:tcPr>
          <w:p w:rsidR="00242624" w:rsidRPr="00747869" w:rsidRDefault="00FD6B45" w:rsidP="00242624">
            <w:pPr>
              <w:spacing w:before="60" w:line="200" w:lineRule="exact"/>
              <w:jc w:val="right"/>
              <w:rPr>
                <w:rFonts w:eastAsia="Times New Roman"/>
                <w:sz w:val="16"/>
                <w:szCs w:val="24"/>
                <w:lang w:eastAsia="sv-SE"/>
              </w:rPr>
            </w:pPr>
            <w:r w:rsidRPr="00EC0148">
              <w:rPr>
                <w:rFonts w:eastAsia="Times New Roman"/>
                <w:sz w:val="16"/>
                <w:szCs w:val="24"/>
                <w:lang w:eastAsia="sv-SE"/>
              </w:rPr>
              <w:t>41</w:t>
            </w:r>
          </w:p>
        </w:tc>
        <w:tc>
          <w:tcPr>
            <w:tcW w:w="1044" w:type="dxa"/>
            <w:vAlign w:val="bottom"/>
          </w:tcPr>
          <w:p w:rsidR="00242624" w:rsidRPr="00747869" w:rsidRDefault="00242624" w:rsidP="00242624">
            <w:pPr>
              <w:spacing w:before="60" w:line="200" w:lineRule="exact"/>
              <w:jc w:val="right"/>
              <w:rPr>
                <w:rFonts w:eastAsia="Times New Roman"/>
                <w:sz w:val="16"/>
                <w:szCs w:val="24"/>
                <w:lang w:eastAsia="sv-SE"/>
              </w:rPr>
            </w:pPr>
            <w:r w:rsidRPr="00747869">
              <w:rPr>
                <w:rFonts w:eastAsia="Times New Roman"/>
                <w:sz w:val="16"/>
                <w:szCs w:val="24"/>
                <w:lang w:eastAsia="sv-SE"/>
              </w:rPr>
              <w:t>2</w:t>
            </w:r>
            <w:r w:rsidR="00DA3058" w:rsidRPr="00747869">
              <w:rPr>
                <w:rFonts w:eastAsia="Times New Roman"/>
                <w:sz w:val="16"/>
                <w:szCs w:val="24"/>
                <w:lang w:eastAsia="sv-SE"/>
              </w:rPr>
              <w:t>3</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Försvars-</w:t>
            </w:r>
            <w:r w:rsidRPr="00242624">
              <w:rPr>
                <w:rFonts w:eastAsia="Times New Roman"/>
                <w:sz w:val="16"/>
                <w:szCs w:val="24"/>
                <w:lang w:eastAsia="sv-SE"/>
              </w:rPr>
              <w:br/>
              <w:t>utskottet</w:t>
            </w:r>
          </w:p>
        </w:tc>
        <w:tc>
          <w:tcPr>
            <w:tcW w:w="978" w:type="dxa"/>
            <w:vAlign w:val="bottom"/>
          </w:tcPr>
          <w:p w:rsidR="00242624" w:rsidRPr="00747869" w:rsidRDefault="00747869" w:rsidP="00242624">
            <w:pPr>
              <w:spacing w:before="60" w:line="200" w:lineRule="exact"/>
              <w:jc w:val="right"/>
              <w:rPr>
                <w:rFonts w:eastAsia="Times New Roman"/>
                <w:sz w:val="16"/>
                <w:szCs w:val="24"/>
                <w:lang w:eastAsia="sv-SE"/>
              </w:rPr>
            </w:pPr>
            <w:r w:rsidRPr="00747869">
              <w:rPr>
                <w:rFonts w:eastAsia="Times New Roman"/>
                <w:sz w:val="16"/>
                <w:szCs w:val="24"/>
                <w:lang w:eastAsia="sv-SE"/>
              </w:rPr>
              <w:t>11</w:t>
            </w:r>
          </w:p>
        </w:tc>
        <w:tc>
          <w:tcPr>
            <w:tcW w:w="919" w:type="dxa"/>
            <w:vAlign w:val="bottom"/>
          </w:tcPr>
          <w:p w:rsidR="00242624" w:rsidRPr="00747869" w:rsidRDefault="00747869" w:rsidP="00242624">
            <w:pPr>
              <w:spacing w:before="60" w:line="200" w:lineRule="exact"/>
              <w:jc w:val="right"/>
              <w:rPr>
                <w:rFonts w:eastAsia="Times New Roman"/>
                <w:sz w:val="16"/>
                <w:szCs w:val="24"/>
                <w:lang w:eastAsia="sv-SE"/>
              </w:rPr>
            </w:pPr>
            <w:r w:rsidRPr="00747869">
              <w:rPr>
                <w:rFonts w:eastAsia="Times New Roman"/>
                <w:sz w:val="16"/>
                <w:szCs w:val="24"/>
                <w:lang w:eastAsia="sv-SE"/>
              </w:rPr>
              <w:t>77</w:t>
            </w:r>
          </w:p>
        </w:tc>
        <w:tc>
          <w:tcPr>
            <w:tcW w:w="1010" w:type="dxa"/>
            <w:vAlign w:val="bottom"/>
          </w:tcPr>
          <w:p w:rsidR="00242624" w:rsidRPr="00747869" w:rsidRDefault="00747869" w:rsidP="00242624">
            <w:pPr>
              <w:spacing w:before="60" w:line="200" w:lineRule="exact"/>
              <w:jc w:val="right"/>
              <w:rPr>
                <w:rFonts w:eastAsia="Times New Roman"/>
                <w:sz w:val="16"/>
                <w:szCs w:val="24"/>
                <w:lang w:eastAsia="sv-SE"/>
              </w:rPr>
            </w:pPr>
            <w:r w:rsidRPr="00747869">
              <w:rPr>
                <w:rFonts w:eastAsia="Times New Roman"/>
                <w:sz w:val="16"/>
                <w:szCs w:val="24"/>
                <w:lang w:eastAsia="sv-SE"/>
              </w:rPr>
              <w:t>1</w:t>
            </w:r>
          </w:p>
        </w:tc>
        <w:tc>
          <w:tcPr>
            <w:tcW w:w="974" w:type="dxa"/>
            <w:vAlign w:val="bottom"/>
          </w:tcPr>
          <w:p w:rsidR="00242624" w:rsidRPr="00747869" w:rsidRDefault="00522940" w:rsidP="00242624">
            <w:pPr>
              <w:spacing w:before="60" w:line="200" w:lineRule="exact"/>
              <w:jc w:val="right"/>
              <w:rPr>
                <w:rFonts w:eastAsia="Times New Roman"/>
                <w:sz w:val="16"/>
                <w:szCs w:val="24"/>
                <w:lang w:eastAsia="sv-SE"/>
              </w:rPr>
            </w:pPr>
            <w:r w:rsidRPr="00747869">
              <w:rPr>
                <w:rFonts w:eastAsia="Times New Roman"/>
                <w:sz w:val="16"/>
                <w:szCs w:val="24"/>
                <w:lang w:eastAsia="sv-SE"/>
              </w:rPr>
              <w:t>4</w:t>
            </w:r>
            <w:r w:rsidR="00747869" w:rsidRPr="00747869">
              <w:rPr>
                <w:rFonts w:eastAsia="Times New Roman"/>
                <w:sz w:val="16"/>
                <w:szCs w:val="24"/>
                <w:lang w:eastAsia="sv-SE"/>
              </w:rPr>
              <w:t>6</w:t>
            </w:r>
          </w:p>
        </w:tc>
        <w:tc>
          <w:tcPr>
            <w:tcW w:w="1044" w:type="dxa"/>
            <w:vAlign w:val="bottom"/>
          </w:tcPr>
          <w:p w:rsidR="00242624" w:rsidRPr="00747869" w:rsidRDefault="00242624" w:rsidP="00242624">
            <w:pPr>
              <w:spacing w:before="60" w:line="200" w:lineRule="exact"/>
              <w:jc w:val="right"/>
              <w:rPr>
                <w:rFonts w:eastAsia="Times New Roman"/>
                <w:sz w:val="16"/>
                <w:szCs w:val="24"/>
                <w:lang w:eastAsia="sv-SE"/>
              </w:rPr>
            </w:pPr>
            <w:r w:rsidRPr="00EA1D31">
              <w:rPr>
                <w:rFonts w:eastAsia="Times New Roman"/>
                <w:sz w:val="16"/>
                <w:szCs w:val="24"/>
                <w:lang w:eastAsia="sv-SE"/>
              </w:rPr>
              <w:t>1</w:t>
            </w:r>
            <w:r w:rsidR="00A01B08" w:rsidRPr="00EA1D31">
              <w:rPr>
                <w:rFonts w:eastAsia="Times New Roman"/>
                <w:sz w:val="16"/>
                <w:szCs w:val="24"/>
                <w:lang w:eastAsia="sv-SE"/>
              </w:rPr>
              <w:t>9</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Socialförsäkringsutskottet</w:t>
            </w:r>
          </w:p>
        </w:tc>
        <w:tc>
          <w:tcPr>
            <w:tcW w:w="978" w:type="dxa"/>
            <w:vAlign w:val="bottom"/>
          </w:tcPr>
          <w:p w:rsidR="00242624" w:rsidRPr="00B06800" w:rsidRDefault="00B06800" w:rsidP="00242624">
            <w:pPr>
              <w:spacing w:before="60" w:line="200" w:lineRule="exact"/>
              <w:jc w:val="right"/>
              <w:rPr>
                <w:rFonts w:eastAsia="Times New Roman"/>
                <w:sz w:val="16"/>
                <w:szCs w:val="24"/>
                <w:lang w:eastAsia="sv-SE"/>
              </w:rPr>
            </w:pPr>
            <w:r w:rsidRPr="00B06800">
              <w:rPr>
                <w:rFonts w:eastAsia="Times New Roman"/>
                <w:sz w:val="16"/>
                <w:szCs w:val="24"/>
                <w:lang w:eastAsia="sv-SE"/>
              </w:rPr>
              <w:t>6</w:t>
            </w:r>
          </w:p>
        </w:tc>
        <w:tc>
          <w:tcPr>
            <w:tcW w:w="919" w:type="dxa"/>
            <w:vAlign w:val="bottom"/>
          </w:tcPr>
          <w:p w:rsidR="00242624" w:rsidRPr="00B06800" w:rsidRDefault="00B06800" w:rsidP="00242624">
            <w:pPr>
              <w:spacing w:before="60" w:line="200" w:lineRule="exact"/>
              <w:jc w:val="right"/>
              <w:rPr>
                <w:rFonts w:eastAsia="Times New Roman"/>
                <w:sz w:val="16"/>
                <w:szCs w:val="24"/>
                <w:lang w:eastAsia="sv-SE"/>
              </w:rPr>
            </w:pPr>
            <w:r w:rsidRPr="00B06800">
              <w:rPr>
                <w:rFonts w:eastAsia="Times New Roman"/>
                <w:sz w:val="16"/>
                <w:szCs w:val="24"/>
                <w:lang w:eastAsia="sv-SE"/>
              </w:rPr>
              <w:t>24</w:t>
            </w:r>
            <w:r w:rsidR="00BD4BE1" w:rsidRPr="00B06800">
              <w:rPr>
                <w:rFonts w:eastAsia="Times New Roman"/>
                <w:sz w:val="16"/>
                <w:szCs w:val="24"/>
                <w:lang w:eastAsia="sv-SE"/>
              </w:rPr>
              <w:t>6</w:t>
            </w:r>
          </w:p>
        </w:tc>
        <w:tc>
          <w:tcPr>
            <w:tcW w:w="1010" w:type="dxa"/>
            <w:vAlign w:val="bottom"/>
          </w:tcPr>
          <w:p w:rsidR="00242624" w:rsidRPr="00B06800" w:rsidRDefault="00B06800" w:rsidP="00242624">
            <w:pPr>
              <w:spacing w:before="60" w:line="200" w:lineRule="exact"/>
              <w:jc w:val="right"/>
              <w:rPr>
                <w:rFonts w:eastAsia="Times New Roman"/>
                <w:sz w:val="16"/>
                <w:szCs w:val="24"/>
                <w:lang w:eastAsia="sv-SE"/>
              </w:rPr>
            </w:pPr>
            <w:r w:rsidRPr="00B06800">
              <w:rPr>
                <w:rFonts w:eastAsia="Times New Roman"/>
                <w:sz w:val="16"/>
                <w:szCs w:val="24"/>
                <w:lang w:eastAsia="sv-SE"/>
              </w:rPr>
              <w:t>11</w:t>
            </w:r>
          </w:p>
        </w:tc>
        <w:tc>
          <w:tcPr>
            <w:tcW w:w="974" w:type="dxa"/>
            <w:vAlign w:val="bottom"/>
          </w:tcPr>
          <w:p w:rsidR="00242624" w:rsidRPr="00B06800" w:rsidRDefault="00B06800" w:rsidP="00242624">
            <w:pPr>
              <w:spacing w:before="60" w:line="200" w:lineRule="exact"/>
              <w:jc w:val="right"/>
              <w:rPr>
                <w:rFonts w:eastAsia="Times New Roman"/>
                <w:sz w:val="16"/>
                <w:szCs w:val="24"/>
                <w:lang w:eastAsia="sv-SE"/>
              </w:rPr>
            </w:pPr>
            <w:r w:rsidRPr="00B06800">
              <w:rPr>
                <w:rFonts w:eastAsia="Times New Roman"/>
                <w:sz w:val="16"/>
                <w:szCs w:val="24"/>
                <w:lang w:eastAsia="sv-SE"/>
              </w:rPr>
              <w:t>41</w:t>
            </w:r>
          </w:p>
        </w:tc>
        <w:tc>
          <w:tcPr>
            <w:tcW w:w="1044" w:type="dxa"/>
            <w:vAlign w:val="bottom"/>
          </w:tcPr>
          <w:p w:rsidR="00242624" w:rsidRPr="00B06800" w:rsidRDefault="00B06800" w:rsidP="00242624">
            <w:pPr>
              <w:spacing w:before="60" w:line="200" w:lineRule="exact"/>
              <w:jc w:val="right"/>
              <w:rPr>
                <w:rFonts w:eastAsia="Times New Roman"/>
                <w:sz w:val="16"/>
                <w:szCs w:val="24"/>
                <w:lang w:eastAsia="sv-SE"/>
              </w:rPr>
            </w:pPr>
            <w:r w:rsidRPr="00B06800">
              <w:rPr>
                <w:rFonts w:eastAsia="Times New Roman"/>
                <w:sz w:val="16"/>
                <w:szCs w:val="24"/>
                <w:lang w:eastAsia="sv-SE"/>
              </w:rPr>
              <w:t>18</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lastRenderedPageBreak/>
              <w:t>Social-</w:t>
            </w:r>
            <w:r w:rsidRPr="00242624">
              <w:rPr>
                <w:rFonts w:eastAsia="Times New Roman"/>
                <w:sz w:val="16"/>
                <w:szCs w:val="24"/>
                <w:lang w:eastAsia="sv-SE"/>
              </w:rPr>
              <w:br/>
              <w:t>utskottet</w:t>
            </w:r>
          </w:p>
        </w:tc>
        <w:tc>
          <w:tcPr>
            <w:tcW w:w="978" w:type="dxa"/>
            <w:vAlign w:val="bottom"/>
          </w:tcPr>
          <w:p w:rsidR="00242624" w:rsidRPr="00A62506" w:rsidRDefault="00242624" w:rsidP="00242624">
            <w:pPr>
              <w:spacing w:before="60" w:line="200" w:lineRule="exact"/>
              <w:jc w:val="right"/>
              <w:rPr>
                <w:rFonts w:eastAsia="Times New Roman"/>
                <w:sz w:val="16"/>
                <w:szCs w:val="24"/>
                <w:lang w:eastAsia="sv-SE"/>
              </w:rPr>
            </w:pPr>
            <w:r w:rsidRPr="00A62506">
              <w:rPr>
                <w:rFonts w:eastAsia="Times New Roman"/>
                <w:sz w:val="16"/>
                <w:szCs w:val="24"/>
                <w:lang w:eastAsia="sv-SE"/>
              </w:rPr>
              <w:t>1</w:t>
            </w:r>
            <w:r w:rsidR="00A62506" w:rsidRPr="00A62506">
              <w:rPr>
                <w:rFonts w:eastAsia="Times New Roman"/>
                <w:sz w:val="16"/>
                <w:szCs w:val="24"/>
                <w:lang w:eastAsia="sv-SE"/>
              </w:rPr>
              <w:t>5</w:t>
            </w:r>
          </w:p>
        </w:tc>
        <w:tc>
          <w:tcPr>
            <w:tcW w:w="919" w:type="dxa"/>
            <w:vAlign w:val="bottom"/>
          </w:tcPr>
          <w:p w:rsidR="00242624" w:rsidRPr="00A62506" w:rsidRDefault="00A62506" w:rsidP="00242624">
            <w:pPr>
              <w:spacing w:before="60" w:line="200" w:lineRule="exact"/>
              <w:jc w:val="right"/>
              <w:rPr>
                <w:rFonts w:eastAsia="Times New Roman"/>
                <w:sz w:val="16"/>
                <w:szCs w:val="24"/>
                <w:lang w:eastAsia="sv-SE"/>
              </w:rPr>
            </w:pPr>
            <w:r w:rsidRPr="00A62506">
              <w:rPr>
                <w:rFonts w:eastAsia="Times New Roman"/>
                <w:sz w:val="16"/>
                <w:szCs w:val="24"/>
                <w:lang w:eastAsia="sv-SE"/>
              </w:rPr>
              <w:t>326</w:t>
            </w:r>
          </w:p>
        </w:tc>
        <w:tc>
          <w:tcPr>
            <w:tcW w:w="1010" w:type="dxa"/>
            <w:vAlign w:val="bottom"/>
          </w:tcPr>
          <w:p w:rsidR="00242624" w:rsidRPr="00A62506" w:rsidRDefault="00AF2DE2" w:rsidP="00242624">
            <w:pPr>
              <w:spacing w:before="60" w:line="200" w:lineRule="exact"/>
              <w:jc w:val="right"/>
              <w:rPr>
                <w:rFonts w:eastAsia="Times New Roman"/>
                <w:sz w:val="16"/>
                <w:szCs w:val="24"/>
                <w:lang w:eastAsia="sv-SE"/>
              </w:rPr>
            </w:pPr>
            <w:r w:rsidRPr="00A62506">
              <w:rPr>
                <w:rFonts w:eastAsia="Times New Roman"/>
                <w:sz w:val="16"/>
                <w:szCs w:val="24"/>
                <w:lang w:eastAsia="sv-SE"/>
              </w:rPr>
              <w:t>1</w:t>
            </w:r>
          </w:p>
        </w:tc>
        <w:tc>
          <w:tcPr>
            <w:tcW w:w="974" w:type="dxa"/>
            <w:vAlign w:val="bottom"/>
          </w:tcPr>
          <w:p w:rsidR="00242624" w:rsidRPr="00A62506" w:rsidRDefault="00A62506" w:rsidP="00242624">
            <w:pPr>
              <w:spacing w:before="60" w:line="200" w:lineRule="exact"/>
              <w:jc w:val="right"/>
              <w:rPr>
                <w:rFonts w:eastAsia="Times New Roman"/>
                <w:sz w:val="16"/>
                <w:szCs w:val="24"/>
                <w:lang w:eastAsia="sv-SE"/>
              </w:rPr>
            </w:pPr>
            <w:r w:rsidRPr="00A62506">
              <w:rPr>
                <w:rFonts w:eastAsia="Times New Roman"/>
                <w:sz w:val="16"/>
                <w:szCs w:val="24"/>
                <w:lang w:eastAsia="sv-SE"/>
              </w:rPr>
              <w:t>44</w:t>
            </w:r>
          </w:p>
        </w:tc>
        <w:tc>
          <w:tcPr>
            <w:tcW w:w="1044" w:type="dxa"/>
            <w:vAlign w:val="bottom"/>
          </w:tcPr>
          <w:p w:rsidR="00242624" w:rsidRPr="00A62506" w:rsidRDefault="00242624" w:rsidP="00242624">
            <w:pPr>
              <w:spacing w:before="60" w:line="200" w:lineRule="exact"/>
              <w:jc w:val="right"/>
              <w:rPr>
                <w:rFonts w:eastAsia="Times New Roman"/>
                <w:sz w:val="16"/>
                <w:szCs w:val="24"/>
                <w:lang w:eastAsia="sv-SE"/>
              </w:rPr>
            </w:pPr>
            <w:r w:rsidRPr="00A62506">
              <w:rPr>
                <w:rFonts w:eastAsia="Times New Roman"/>
                <w:sz w:val="16"/>
                <w:szCs w:val="24"/>
                <w:lang w:eastAsia="sv-SE"/>
              </w:rPr>
              <w:t>2</w:t>
            </w:r>
            <w:r w:rsidR="00A62506" w:rsidRPr="00A62506">
              <w:rPr>
                <w:rFonts w:eastAsia="Times New Roman"/>
                <w:sz w:val="16"/>
                <w:szCs w:val="24"/>
                <w:lang w:eastAsia="sv-SE"/>
              </w:rPr>
              <w:t>3</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Kultur-</w:t>
            </w:r>
            <w:r w:rsidRPr="00242624">
              <w:rPr>
                <w:rFonts w:eastAsia="Times New Roman"/>
                <w:sz w:val="16"/>
                <w:szCs w:val="24"/>
                <w:lang w:eastAsia="sv-SE"/>
              </w:rPr>
              <w:br/>
              <w:t>utskottet</w:t>
            </w:r>
          </w:p>
        </w:tc>
        <w:tc>
          <w:tcPr>
            <w:tcW w:w="978" w:type="dxa"/>
            <w:vAlign w:val="bottom"/>
          </w:tcPr>
          <w:p w:rsidR="00242624" w:rsidRPr="009460CE" w:rsidRDefault="009460CE" w:rsidP="00242624">
            <w:pPr>
              <w:spacing w:before="60" w:line="200" w:lineRule="exact"/>
              <w:jc w:val="right"/>
              <w:rPr>
                <w:rFonts w:eastAsia="Times New Roman"/>
                <w:sz w:val="16"/>
                <w:szCs w:val="24"/>
                <w:lang w:eastAsia="sv-SE"/>
              </w:rPr>
            </w:pPr>
            <w:r w:rsidRPr="009460CE">
              <w:rPr>
                <w:rFonts w:eastAsia="Times New Roman"/>
                <w:sz w:val="16"/>
                <w:szCs w:val="24"/>
                <w:lang w:eastAsia="sv-SE"/>
              </w:rPr>
              <w:t>3</w:t>
            </w:r>
          </w:p>
        </w:tc>
        <w:tc>
          <w:tcPr>
            <w:tcW w:w="919" w:type="dxa"/>
            <w:vAlign w:val="bottom"/>
          </w:tcPr>
          <w:p w:rsidR="00242624" w:rsidRPr="009460CE" w:rsidRDefault="009460CE" w:rsidP="00242624">
            <w:pPr>
              <w:spacing w:before="60" w:line="200" w:lineRule="exact"/>
              <w:jc w:val="right"/>
              <w:rPr>
                <w:rFonts w:eastAsia="Times New Roman"/>
                <w:sz w:val="16"/>
                <w:szCs w:val="24"/>
                <w:lang w:eastAsia="sv-SE"/>
              </w:rPr>
            </w:pPr>
            <w:r w:rsidRPr="009460CE">
              <w:rPr>
                <w:rFonts w:eastAsia="Times New Roman"/>
                <w:sz w:val="16"/>
                <w:szCs w:val="24"/>
                <w:lang w:eastAsia="sv-SE"/>
              </w:rPr>
              <w:t>171</w:t>
            </w:r>
          </w:p>
        </w:tc>
        <w:tc>
          <w:tcPr>
            <w:tcW w:w="1010" w:type="dxa"/>
            <w:vAlign w:val="bottom"/>
          </w:tcPr>
          <w:p w:rsidR="00242624" w:rsidRPr="009460CE" w:rsidRDefault="009460CE" w:rsidP="00242624">
            <w:pPr>
              <w:spacing w:before="60" w:line="200" w:lineRule="exact"/>
              <w:jc w:val="right"/>
              <w:rPr>
                <w:rFonts w:eastAsia="Times New Roman"/>
                <w:sz w:val="16"/>
                <w:szCs w:val="24"/>
                <w:lang w:eastAsia="sv-SE"/>
              </w:rPr>
            </w:pPr>
            <w:r w:rsidRPr="009460CE">
              <w:rPr>
                <w:rFonts w:eastAsia="Times New Roman"/>
                <w:sz w:val="16"/>
                <w:szCs w:val="24"/>
                <w:lang w:eastAsia="sv-SE"/>
              </w:rPr>
              <w:t>3</w:t>
            </w:r>
          </w:p>
        </w:tc>
        <w:tc>
          <w:tcPr>
            <w:tcW w:w="974" w:type="dxa"/>
            <w:vAlign w:val="bottom"/>
          </w:tcPr>
          <w:p w:rsidR="00242624" w:rsidRPr="009460CE" w:rsidRDefault="00242624" w:rsidP="00242624">
            <w:pPr>
              <w:spacing w:before="60" w:line="200" w:lineRule="exact"/>
              <w:jc w:val="right"/>
              <w:rPr>
                <w:rFonts w:eastAsia="Times New Roman"/>
                <w:sz w:val="16"/>
                <w:szCs w:val="24"/>
                <w:lang w:eastAsia="sv-SE"/>
              </w:rPr>
            </w:pPr>
            <w:r w:rsidRPr="009460CE">
              <w:rPr>
                <w:rFonts w:eastAsia="Times New Roman"/>
                <w:sz w:val="16"/>
                <w:szCs w:val="24"/>
                <w:lang w:eastAsia="sv-SE"/>
              </w:rPr>
              <w:t>3</w:t>
            </w:r>
            <w:r w:rsidR="009460CE" w:rsidRPr="009460CE">
              <w:rPr>
                <w:rFonts w:eastAsia="Times New Roman"/>
                <w:sz w:val="16"/>
                <w:szCs w:val="24"/>
                <w:lang w:eastAsia="sv-SE"/>
              </w:rPr>
              <w:t>4</w:t>
            </w:r>
          </w:p>
        </w:tc>
        <w:tc>
          <w:tcPr>
            <w:tcW w:w="1044" w:type="dxa"/>
            <w:vAlign w:val="bottom"/>
          </w:tcPr>
          <w:p w:rsidR="00242624" w:rsidRPr="009460CE" w:rsidRDefault="00242624" w:rsidP="00242624">
            <w:pPr>
              <w:spacing w:before="60" w:line="200" w:lineRule="exact"/>
              <w:jc w:val="right"/>
              <w:rPr>
                <w:rFonts w:eastAsia="Times New Roman"/>
                <w:sz w:val="16"/>
                <w:szCs w:val="24"/>
                <w:lang w:eastAsia="sv-SE"/>
              </w:rPr>
            </w:pPr>
            <w:r w:rsidRPr="009460CE">
              <w:rPr>
                <w:rFonts w:eastAsia="Times New Roman"/>
                <w:sz w:val="16"/>
                <w:szCs w:val="24"/>
                <w:lang w:eastAsia="sv-SE"/>
              </w:rPr>
              <w:t>1</w:t>
            </w:r>
            <w:r w:rsidR="009460CE" w:rsidRPr="009460CE">
              <w:rPr>
                <w:rFonts w:eastAsia="Times New Roman"/>
                <w:sz w:val="16"/>
                <w:szCs w:val="24"/>
                <w:lang w:eastAsia="sv-SE"/>
              </w:rPr>
              <w:t>1</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Utbildningsutskottet</w:t>
            </w:r>
          </w:p>
        </w:tc>
        <w:tc>
          <w:tcPr>
            <w:tcW w:w="978" w:type="dxa"/>
            <w:vAlign w:val="bottom"/>
          </w:tcPr>
          <w:p w:rsidR="00242624" w:rsidRPr="00291F16" w:rsidRDefault="00242624" w:rsidP="00CB404E">
            <w:pPr>
              <w:spacing w:before="60" w:line="200" w:lineRule="exact"/>
              <w:jc w:val="right"/>
              <w:rPr>
                <w:rFonts w:eastAsia="Times New Roman"/>
                <w:sz w:val="16"/>
                <w:szCs w:val="24"/>
                <w:lang w:eastAsia="sv-SE"/>
              </w:rPr>
            </w:pPr>
            <w:r w:rsidRPr="00291F16">
              <w:rPr>
                <w:rFonts w:eastAsia="Times New Roman"/>
                <w:sz w:val="16"/>
                <w:szCs w:val="24"/>
                <w:lang w:eastAsia="sv-SE"/>
              </w:rPr>
              <w:t>1</w:t>
            </w:r>
            <w:r w:rsidR="00CB404E" w:rsidRPr="00291F16">
              <w:rPr>
                <w:rFonts w:eastAsia="Times New Roman"/>
                <w:sz w:val="16"/>
                <w:szCs w:val="24"/>
                <w:lang w:eastAsia="sv-SE"/>
              </w:rPr>
              <w:t>5</w:t>
            </w:r>
          </w:p>
        </w:tc>
        <w:tc>
          <w:tcPr>
            <w:tcW w:w="919" w:type="dxa"/>
            <w:vAlign w:val="bottom"/>
          </w:tcPr>
          <w:p w:rsidR="00242624" w:rsidRPr="00291F16" w:rsidRDefault="00291F16" w:rsidP="00242624">
            <w:pPr>
              <w:spacing w:before="60" w:line="200" w:lineRule="exact"/>
              <w:jc w:val="right"/>
              <w:rPr>
                <w:rFonts w:eastAsia="Times New Roman"/>
                <w:sz w:val="16"/>
                <w:szCs w:val="24"/>
                <w:lang w:eastAsia="sv-SE"/>
              </w:rPr>
            </w:pPr>
            <w:r w:rsidRPr="00291F16">
              <w:rPr>
                <w:rFonts w:eastAsia="Times New Roman"/>
                <w:sz w:val="16"/>
                <w:szCs w:val="24"/>
                <w:lang w:eastAsia="sv-SE"/>
              </w:rPr>
              <w:t>508</w:t>
            </w:r>
          </w:p>
        </w:tc>
        <w:tc>
          <w:tcPr>
            <w:tcW w:w="1010" w:type="dxa"/>
            <w:vAlign w:val="bottom"/>
          </w:tcPr>
          <w:p w:rsidR="00242624" w:rsidRPr="00291F16" w:rsidRDefault="00291F16" w:rsidP="00242624">
            <w:pPr>
              <w:spacing w:before="60" w:line="200" w:lineRule="exact"/>
              <w:jc w:val="right"/>
              <w:rPr>
                <w:rFonts w:eastAsia="Times New Roman"/>
                <w:sz w:val="16"/>
                <w:szCs w:val="24"/>
                <w:lang w:eastAsia="sv-SE"/>
              </w:rPr>
            </w:pPr>
            <w:r w:rsidRPr="00291F16">
              <w:rPr>
                <w:rFonts w:eastAsia="Times New Roman"/>
                <w:sz w:val="16"/>
                <w:szCs w:val="24"/>
                <w:lang w:eastAsia="sv-SE"/>
              </w:rPr>
              <w:t>5</w:t>
            </w:r>
          </w:p>
        </w:tc>
        <w:tc>
          <w:tcPr>
            <w:tcW w:w="974" w:type="dxa"/>
            <w:vAlign w:val="bottom"/>
          </w:tcPr>
          <w:p w:rsidR="00242624" w:rsidRPr="00291F16" w:rsidRDefault="00291F16" w:rsidP="00242624">
            <w:pPr>
              <w:spacing w:before="60" w:line="200" w:lineRule="exact"/>
              <w:jc w:val="right"/>
              <w:rPr>
                <w:rFonts w:eastAsia="Times New Roman"/>
                <w:sz w:val="16"/>
                <w:szCs w:val="24"/>
                <w:lang w:eastAsia="sv-SE"/>
              </w:rPr>
            </w:pPr>
            <w:r w:rsidRPr="00291F16">
              <w:rPr>
                <w:rFonts w:eastAsia="Times New Roman"/>
                <w:sz w:val="16"/>
                <w:szCs w:val="24"/>
                <w:lang w:eastAsia="sv-SE"/>
              </w:rPr>
              <w:t>41</w:t>
            </w:r>
          </w:p>
        </w:tc>
        <w:tc>
          <w:tcPr>
            <w:tcW w:w="1044" w:type="dxa"/>
            <w:vAlign w:val="bottom"/>
          </w:tcPr>
          <w:p w:rsidR="00242624" w:rsidRPr="00291F16" w:rsidRDefault="00291F16" w:rsidP="00242624">
            <w:pPr>
              <w:spacing w:before="60" w:line="200" w:lineRule="exact"/>
              <w:jc w:val="right"/>
              <w:rPr>
                <w:rFonts w:eastAsia="Times New Roman"/>
                <w:sz w:val="16"/>
                <w:szCs w:val="24"/>
                <w:lang w:eastAsia="sv-SE"/>
              </w:rPr>
            </w:pPr>
            <w:r w:rsidRPr="00291F16">
              <w:rPr>
                <w:rFonts w:eastAsia="Times New Roman"/>
                <w:sz w:val="16"/>
                <w:szCs w:val="24"/>
                <w:lang w:eastAsia="sv-SE"/>
              </w:rPr>
              <w:t>33</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Trafik-</w:t>
            </w:r>
            <w:r w:rsidRPr="00242624">
              <w:rPr>
                <w:rFonts w:eastAsia="Times New Roman"/>
                <w:sz w:val="16"/>
                <w:szCs w:val="24"/>
                <w:lang w:eastAsia="sv-SE"/>
              </w:rPr>
              <w:br/>
              <w:t>utskottet</w:t>
            </w:r>
          </w:p>
        </w:tc>
        <w:tc>
          <w:tcPr>
            <w:tcW w:w="978" w:type="dxa"/>
            <w:vAlign w:val="bottom"/>
          </w:tcPr>
          <w:p w:rsidR="00242624" w:rsidRPr="00ED7224" w:rsidRDefault="00B61C70" w:rsidP="00242624">
            <w:pPr>
              <w:spacing w:before="60" w:line="200" w:lineRule="exact"/>
              <w:jc w:val="right"/>
              <w:rPr>
                <w:rFonts w:eastAsia="Times New Roman"/>
                <w:sz w:val="16"/>
                <w:szCs w:val="24"/>
                <w:lang w:eastAsia="sv-SE"/>
              </w:rPr>
            </w:pPr>
            <w:r w:rsidRPr="00ED7224">
              <w:rPr>
                <w:rFonts w:eastAsia="Times New Roman"/>
                <w:sz w:val="16"/>
                <w:szCs w:val="24"/>
                <w:lang w:eastAsia="sv-SE"/>
              </w:rPr>
              <w:t>12</w:t>
            </w:r>
          </w:p>
        </w:tc>
        <w:tc>
          <w:tcPr>
            <w:tcW w:w="919" w:type="dxa"/>
            <w:vAlign w:val="bottom"/>
          </w:tcPr>
          <w:p w:rsidR="00242624" w:rsidRPr="00ED7224" w:rsidRDefault="00B61C70" w:rsidP="00242624">
            <w:pPr>
              <w:spacing w:before="60" w:line="200" w:lineRule="exact"/>
              <w:jc w:val="right"/>
              <w:rPr>
                <w:rFonts w:eastAsia="Times New Roman"/>
                <w:sz w:val="16"/>
                <w:szCs w:val="24"/>
                <w:lang w:eastAsia="sv-SE"/>
              </w:rPr>
            </w:pPr>
            <w:r w:rsidRPr="00ED7224">
              <w:rPr>
                <w:rFonts w:eastAsia="Times New Roman"/>
                <w:sz w:val="16"/>
                <w:szCs w:val="24"/>
                <w:lang w:eastAsia="sv-SE"/>
              </w:rPr>
              <w:t>559</w:t>
            </w:r>
          </w:p>
        </w:tc>
        <w:tc>
          <w:tcPr>
            <w:tcW w:w="1010" w:type="dxa"/>
            <w:vAlign w:val="bottom"/>
          </w:tcPr>
          <w:p w:rsidR="00242624" w:rsidRPr="00ED7224" w:rsidRDefault="00B61C70" w:rsidP="00242624">
            <w:pPr>
              <w:spacing w:before="60" w:line="200" w:lineRule="exact"/>
              <w:jc w:val="right"/>
              <w:rPr>
                <w:rFonts w:eastAsia="Times New Roman"/>
                <w:sz w:val="16"/>
                <w:szCs w:val="24"/>
                <w:lang w:eastAsia="sv-SE"/>
              </w:rPr>
            </w:pPr>
            <w:r w:rsidRPr="00ED7224">
              <w:rPr>
                <w:rFonts w:eastAsia="Times New Roman"/>
                <w:sz w:val="16"/>
                <w:szCs w:val="24"/>
                <w:lang w:eastAsia="sv-SE"/>
              </w:rPr>
              <w:t>1</w:t>
            </w:r>
            <w:r w:rsidR="00251D19">
              <w:rPr>
                <w:rFonts w:eastAsia="Times New Roman"/>
                <w:sz w:val="16"/>
                <w:szCs w:val="24"/>
                <w:lang w:eastAsia="sv-SE"/>
              </w:rPr>
              <w:t>6</w:t>
            </w:r>
          </w:p>
        </w:tc>
        <w:tc>
          <w:tcPr>
            <w:tcW w:w="974" w:type="dxa"/>
            <w:vAlign w:val="bottom"/>
          </w:tcPr>
          <w:p w:rsidR="00242624" w:rsidRPr="00ED7224" w:rsidRDefault="00B61C70" w:rsidP="00242624">
            <w:pPr>
              <w:spacing w:before="60" w:line="200" w:lineRule="exact"/>
              <w:jc w:val="right"/>
              <w:rPr>
                <w:rFonts w:eastAsia="Times New Roman"/>
                <w:sz w:val="16"/>
                <w:szCs w:val="24"/>
                <w:lang w:eastAsia="sv-SE"/>
              </w:rPr>
            </w:pPr>
            <w:r w:rsidRPr="00ED7224">
              <w:rPr>
                <w:rFonts w:eastAsia="Times New Roman"/>
                <w:sz w:val="16"/>
                <w:szCs w:val="24"/>
                <w:lang w:eastAsia="sv-SE"/>
              </w:rPr>
              <w:t>45</w:t>
            </w:r>
          </w:p>
        </w:tc>
        <w:tc>
          <w:tcPr>
            <w:tcW w:w="1044" w:type="dxa"/>
            <w:vAlign w:val="bottom"/>
          </w:tcPr>
          <w:p w:rsidR="00242624" w:rsidRPr="00ED7224" w:rsidRDefault="00242624" w:rsidP="00242624">
            <w:pPr>
              <w:spacing w:before="60" w:line="200" w:lineRule="exact"/>
              <w:jc w:val="right"/>
              <w:rPr>
                <w:rFonts w:eastAsia="Times New Roman"/>
                <w:sz w:val="16"/>
                <w:szCs w:val="24"/>
                <w:lang w:eastAsia="sv-SE"/>
              </w:rPr>
            </w:pPr>
            <w:r w:rsidRPr="00ED7224">
              <w:rPr>
                <w:rFonts w:eastAsia="Times New Roman"/>
                <w:sz w:val="16"/>
                <w:szCs w:val="24"/>
                <w:lang w:eastAsia="sv-SE"/>
              </w:rPr>
              <w:t>2</w:t>
            </w:r>
            <w:r w:rsidR="00B61C70" w:rsidRPr="00ED7224">
              <w:rPr>
                <w:rFonts w:eastAsia="Times New Roman"/>
                <w:sz w:val="16"/>
                <w:szCs w:val="24"/>
                <w:lang w:eastAsia="sv-SE"/>
              </w:rPr>
              <w:t>6</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 xml:space="preserve">Miljö- och </w:t>
            </w:r>
            <w:r w:rsidRPr="00242624">
              <w:rPr>
                <w:rFonts w:eastAsia="Times New Roman"/>
                <w:sz w:val="16"/>
                <w:szCs w:val="24"/>
                <w:lang w:eastAsia="sv-SE"/>
              </w:rPr>
              <w:br/>
              <w:t>jordbruks-</w:t>
            </w:r>
            <w:r w:rsidRPr="00242624">
              <w:rPr>
                <w:rFonts w:eastAsia="Times New Roman"/>
                <w:sz w:val="16"/>
                <w:szCs w:val="24"/>
                <w:lang w:eastAsia="sv-SE"/>
              </w:rPr>
              <w:br/>
              <w:t>utskottet</w:t>
            </w:r>
          </w:p>
        </w:tc>
        <w:tc>
          <w:tcPr>
            <w:tcW w:w="978" w:type="dxa"/>
            <w:vAlign w:val="bottom"/>
          </w:tcPr>
          <w:p w:rsidR="00242624" w:rsidRPr="00A06F70" w:rsidRDefault="00ED7224" w:rsidP="00242624">
            <w:pPr>
              <w:spacing w:before="60" w:line="200" w:lineRule="exact"/>
              <w:jc w:val="right"/>
              <w:rPr>
                <w:rFonts w:eastAsia="Times New Roman"/>
                <w:sz w:val="16"/>
                <w:szCs w:val="24"/>
                <w:lang w:eastAsia="sv-SE"/>
              </w:rPr>
            </w:pPr>
            <w:r w:rsidRPr="00A06F70">
              <w:rPr>
                <w:rFonts w:eastAsia="Times New Roman"/>
                <w:sz w:val="16"/>
                <w:szCs w:val="24"/>
                <w:lang w:eastAsia="sv-SE"/>
              </w:rPr>
              <w:t>13</w:t>
            </w:r>
          </w:p>
        </w:tc>
        <w:tc>
          <w:tcPr>
            <w:tcW w:w="919" w:type="dxa"/>
            <w:vAlign w:val="bottom"/>
          </w:tcPr>
          <w:p w:rsidR="00242624" w:rsidRPr="00A06F70" w:rsidRDefault="00ED7224" w:rsidP="00242624">
            <w:pPr>
              <w:spacing w:before="60" w:line="200" w:lineRule="exact"/>
              <w:jc w:val="right"/>
              <w:rPr>
                <w:rFonts w:eastAsia="Times New Roman"/>
                <w:sz w:val="16"/>
                <w:szCs w:val="24"/>
                <w:lang w:eastAsia="sv-SE"/>
              </w:rPr>
            </w:pPr>
            <w:r w:rsidRPr="00A06F70">
              <w:rPr>
                <w:rFonts w:eastAsia="Times New Roman"/>
                <w:sz w:val="16"/>
                <w:szCs w:val="24"/>
                <w:lang w:eastAsia="sv-SE"/>
              </w:rPr>
              <w:t>32</w:t>
            </w:r>
            <w:r w:rsidR="00BD4BE1" w:rsidRPr="00A06F70">
              <w:rPr>
                <w:rFonts w:eastAsia="Times New Roman"/>
                <w:sz w:val="16"/>
                <w:szCs w:val="24"/>
                <w:lang w:eastAsia="sv-SE"/>
              </w:rPr>
              <w:t>4</w:t>
            </w:r>
          </w:p>
        </w:tc>
        <w:tc>
          <w:tcPr>
            <w:tcW w:w="1010" w:type="dxa"/>
            <w:vAlign w:val="bottom"/>
          </w:tcPr>
          <w:p w:rsidR="00242624" w:rsidRPr="00A06F70" w:rsidRDefault="00251D19" w:rsidP="00242624">
            <w:pPr>
              <w:spacing w:before="60" w:line="200" w:lineRule="exact"/>
              <w:jc w:val="right"/>
              <w:rPr>
                <w:rFonts w:eastAsia="Times New Roman"/>
                <w:sz w:val="16"/>
                <w:szCs w:val="24"/>
                <w:lang w:eastAsia="sv-SE"/>
              </w:rPr>
            </w:pPr>
            <w:r>
              <w:rPr>
                <w:rFonts w:eastAsia="Times New Roman"/>
                <w:sz w:val="16"/>
                <w:szCs w:val="24"/>
                <w:lang w:eastAsia="sv-SE"/>
              </w:rPr>
              <w:t>7</w:t>
            </w:r>
          </w:p>
        </w:tc>
        <w:tc>
          <w:tcPr>
            <w:tcW w:w="974" w:type="dxa"/>
            <w:vAlign w:val="bottom"/>
          </w:tcPr>
          <w:p w:rsidR="00242624" w:rsidRPr="00A06F70" w:rsidRDefault="00242624" w:rsidP="00242624">
            <w:pPr>
              <w:spacing w:before="60" w:line="200" w:lineRule="exact"/>
              <w:jc w:val="right"/>
              <w:rPr>
                <w:rFonts w:eastAsia="Times New Roman"/>
                <w:sz w:val="16"/>
                <w:szCs w:val="24"/>
                <w:lang w:eastAsia="sv-SE"/>
              </w:rPr>
            </w:pPr>
            <w:r w:rsidRPr="00A06F70">
              <w:rPr>
                <w:rFonts w:eastAsia="Times New Roman"/>
                <w:sz w:val="16"/>
                <w:szCs w:val="24"/>
                <w:lang w:eastAsia="sv-SE"/>
              </w:rPr>
              <w:t>4</w:t>
            </w:r>
            <w:r w:rsidR="00617FCC" w:rsidRPr="00A06F70">
              <w:rPr>
                <w:rFonts w:eastAsia="Times New Roman"/>
                <w:sz w:val="16"/>
                <w:szCs w:val="24"/>
                <w:lang w:eastAsia="sv-SE"/>
              </w:rPr>
              <w:t>2</w:t>
            </w:r>
          </w:p>
        </w:tc>
        <w:tc>
          <w:tcPr>
            <w:tcW w:w="1044" w:type="dxa"/>
            <w:vAlign w:val="bottom"/>
          </w:tcPr>
          <w:p w:rsidR="00242624" w:rsidRPr="00A06F70" w:rsidRDefault="00242624" w:rsidP="00242624">
            <w:pPr>
              <w:spacing w:before="60" w:line="200" w:lineRule="exact"/>
              <w:jc w:val="right"/>
              <w:rPr>
                <w:rFonts w:eastAsia="Times New Roman"/>
                <w:sz w:val="16"/>
                <w:szCs w:val="24"/>
                <w:lang w:eastAsia="sv-SE"/>
              </w:rPr>
            </w:pPr>
            <w:r w:rsidRPr="00A06F70">
              <w:rPr>
                <w:rFonts w:eastAsia="Times New Roman"/>
                <w:sz w:val="16"/>
                <w:szCs w:val="24"/>
                <w:lang w:eastAsia="sv-SE"/>
              </w:rPr>
              <w:t>2</w:t>
            </w:r>
            <w:r w:rsidR="00ED7224" w:rsidRPr="00A06F70">
              <w:rPr>
                <w:rFonts w:eastAsia="Times New Roman"/>
                <w:sz w:val="16"/>
                <w:szCs w:val="24"/>
                <w:lang w:eastAsia="sv-SE"/>
              </w:rPr>
              <w:t>9</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Närings-</w:t>
            </w:r>
            <w:r w:rsidRPr="00242624">
              <w:rPr>
                <w:rFonts w:eastAsia="Times New Roman"/>
                <w:sz w:val="16"/>
                <w:szCs w:val="24"/>
                <w:lang w:eastAsia="sv-SE"/>
              </w:rPr>
              <w:br/>
              <w:t>utskottet</w:t>
            </w:r>
          </w:p>
        </w:tc>
        <w:tc>
          <w:tcPr>
            <w:tcW w:w="978" w:type="dxa"/>
            <w:vAlign w:val="bottom"/>
          </w:tcPr>
          <w:p w:rsidR="00242624" w:rsidRPr="00E24354" w:rsidRDefault="00CB404E" w:rsidP="00242624">
            <w:pPr>
              <w:spacing w:before="60" w:line="200" w:lineRule="exact"/>
              <w:jc w:val="right"/>
              <w:rPr>
                <w:rFonts w:eastAsia="Times New Roman"/>
                <w:sz w:val="16"/>
                <w:szCs w:val="24"/>
                <w:lang w:eastAsia="sv-SE"/>
              </w:rPr>
            </w:pPr>
            <w:r w:rsidRPr="00E24354">
              <w:rPr>
                <w:rFonts w:eastAsia="Times New Roman"/>
                <w:sz w:val="16"/>
                <w:szCs w:val="24"/>
                <w:lang w:eastAsia="sv-SE"/>
              </w:rPr>
              <w:t>1</w:t>
            </w:r>
            <w:r w:rsidR="00A06F70" w:rsidRPr="00E24354">
              <w:rPr>
                <w:rFonts w:eastAsia="Times New Roman"/>
                <w:sz w:val="16"/>
                <w:szCs w:val="24"/>
                <w:lang w:eastAsia="sv-SE"/>
              </w:rPr>
              <w:t>5</w:t>
            </w:r>
          </w:p>
        </w:tc>
        <w:tc>
          <w:tcPr>
            <w:tcW w:w="919" w:type="dxa"/>
            <w:vAlign w:val="bottom"/>
          </w:tcPr>
          <w:p w:rsidR="00242624" w:rsidRPr="00E24354" w:rsidRDefault="00A06F70" w:rsidP="00242624">
            <w:pPr>
              <w:spacing w:before="60" w:line="200" w:lineRule="exact"/>
              <w:jc w:val="right"/>
              <w:rPr>
                <w:rFonts w:eastAsia="Times New Roman"/>
                <w:sz w:val="16"/>
                <w:szCs w:val="24"/>
                <w:lang w:eastAsia="sv-SE"/>
              </w:rPr>
            </w:pPr>
            <w:r w:rsidRPr="00E24354">
              <w:rPr>
                <w:rFonts w:eastAsia="Times New Roman"/>
                <w:sz w:val="16"/>
                <w:szCs w:val="24"/>
                <w:lang w:eastAsia="sv-SE"/>
              </w:rPr>
              <w:t>267</w:t>
            </w:r>
          </w:p>
        </w:tc>
        <w:tc>
          <w:tcPr>
            <w:tcW w:w="1010" w:type="dxa"/>
            <w:vAlign w:val="bottom"/>
          </w:tcPr>
          <w:p w:rsidR="00242624" w:rsidRPr="00E24354" w:rsidRDefault="00A06F70" w:rsidP="00242624">
            <w:pPr>
              <w:spacing w:before="60" w:line="200" w:lineRule="exact"/>
              <w:jc w:val="right"/>
              <w:rPr>
                <w:rFonts w:eastAsia="Times New Roman"/>
                <w:sz w:val="16"/>
                <w:szCs w:val="24"/>
                <w:lang w:eastAsia="sv-SE"/>
              </w:rPr>
            </w:pPr>
            <w:r w:rsidRPr="00E24354">
              <w:rPr>
                <w:rFonts w:eastAsia="Times New Roman"/>
                <w:sz w:val="16"/>
                <w:szCs w:val="24"/>
                <w:lang w:eastAsia="sv-SE"/>
              </w:rPr>
              <w:t>1</w:t>
            </w:r>
            <w:r w:rsidR="00251D19">
              <w:rPr>
                <w:rFonts w:eastAsia="Times New Roman"/>
                <w:sz w:val="16"/>
                <w:szCs w:val="24"/>
                <w:lang w:eastAsia="sv-SE"/>
              </w:rPr>
              <w:t>1</w:t>
            </w:r>
          </w:p>
        </w:tc>
        <w:tc>
          <w:tcPr>
            <w:tcW w:w="974" w:type="dxa"/>
            <w:vAlign w:val="bottom"/>
          </w:tcPr>
          <w:p w:rsidR="00242624" w:rsidRPr="00E24354" w:rsidRDefault="0024262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3</w:t>
            </w:r>
            <w:r w:rsidR="00A06F70" w:rsidRPr="00E24354">
              <w:rPr>
                <w:rFonts w:eastAsia="Times New Roman"/>
                <w:sz w:val="16"/>
                <w:szCs w:val="24"/>
                <w:lang w:eastAsia="sv-SE"/>
              </w:rPr>
              <w:t>3</w:t>
            </w:r>
          </w:p>
        </w:tc>
        <w:tc>
          <w:tcPr>
            <w:tcW w:w="1044" w:type="dxa"/>
            <w:vAlign w:val="bottom"/>
          </w:tcPr>
          <w:p w:rsidR="00242624" w:rsidRPr="00E24354" w:rsidRDefault="003E5D6F" w:rsidP="00242624">
            <w:pPr>
              <w:spacing w:before="60" w:line="200" w:lineRule="exact"/>
              <w:jc w:val="right"/>
              <w:rPr>
                <w:rFonts w:eastAsia="Times New Roman"/>
                <w:sz w:val="16"/>
                <w:szCs w:val="24"/>
                <w:lang w:eastAsia="sv-SE"/>
              </w:rPr>
            </w:pPr>
            <w:r w:rsidRPr="00E24354">
              <w:rPr>
                <w:rFonts w:eastAsia="Times New Roman"/>
                <w:sz w:val="16"/>
                <w:szCs w:val="24"/>
                <w:lang w:eastAsia="sv-SE"/>
              </w:rPr>
              <w:t>2</w:t>
            </w:r>
            <w:r w:rsidR="00A06F70" w:rsidRPr="00E24354">
              <w:rPr>
                <w:rFonts w:eastAsia="Times New Roman"/>
                <w:sz w:val="16"/>
                <w:szCs w:val="24"/>
                <w:lang w:eastAsia="sv-SE"/>
              </w:rPr>
              <w:t>7</w:t>
            </w:r>
          </w:p>
        </w:tc>
      </w:tr>
      <w:tr w:rsidR="00242624" w:rsidRPr="00242624" w:rsidTr="0091095E">
        <w:tc>
          <w:tcPr>
            <w:tcW w:w="1105" w:type="dxa"/>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Arbetsmarknadsutskottet</w:t>
            </w:r>
          </w:p>
        </w:tc>
        <w:tc>
          <w:tcPr>
            <w:tcW w:w="978" w:type="dxa"/>
            <w:vAlign w:val="bottom"/>
          </w:tcPr>
          <w:p w:rsidR="00242624" w:rsidRPr="00E24354" w:rsidRDefault="00E2435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9</w:t>
            </w:r>
          </w:p>
        </w:tc>
        <w:tc>
          <w:tcPr>
            <w:tcW w:w="919" w:type="dxa"/>
            <w:vAlign w:val="bottom"/>
          </w:tcPr>
          <w:p w:rsidR="00242624" w:rsidRPr="00E24354" w:rsidRDefault="00E2435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225</w:t>
            </w:r>
          </w:p>
        </w:tc>
        <w:tc>
          <w:tcPr>
            <w:tcW w:w="1010" w:type="dxa"/>
            <w:vAlign w:val="bottom"/>
          </w:tcPr>
          <w:p w:rsidR="00242624" w:rsidRPr="00E24354" w:rsidRDefault="00E2435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4</w:t>
            </w:r>
          </w:p>
        </w:tc>
        <w:tc>
          <w:tcPr>
            <w:tcW w:w="974" w:type="dxa"/>
            <w:vAlign w:val="bottom"/>
          </w:tcPr>
          <w:p w:rsidR="00242624" w:rsidRPr="00E24354" w:rsidRDefault="0024262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3</w:t>
            </w:r>
            <w:r w:rsidR="00E24354" w:rsidRPr="00E24354">
              <w:rPr>
                <w:rFonts w:eastAsia="Times New Roman"/>
                <w:sz w:val="16"/>
                <w:szCs w:val="24"/>
                <w:lang w:eastAsia="sv-SE"/>
              </w:rPr>
              <w:t>1</w:t>
            </w:r>
          </w:p>
        </w:tc>
        <w:tc>
          <w:tcPr>
            <w:tcW w:w="1044" w:type="dxa"/>
            <w:vAlign w:val="bottom"/>
          </w:tcPr>
          <w:p w:rsidR="00242624" w:rsidRPr="00E24354" w:rsidRDefault="00242624" w:rsidP="00242624">
            <w:pPr>
              <w:spacing w:before="60" w:line="200" w:lineRule="exact"/>
              <w:jc w:val="right"/>
              <w:rPr>
                <w:rFonts w:eastAsia="Times New Roman"/>
                <w:sz w:val="16"/>
                <w:szCs w:val="24"/>
                <w:lang w:eastAsia="sv-SE"/>
              </w:rPr>
            </w:pPr>
            <w:r w:rsidRPr="00E24354">
              <w:rPr>
                <w:rFonts w:eastAsia="Times New Roman"/>
                <w:sz w:val="16"/>
                <w:szCs w:val="24"/>
                <w:lang w:eastAsia="sv-SE"/>
              </w:rPr>
              <w:t>1</w:t>
            </w:r>
            <w:r w:rsidR="00E24354" w:rsidRPr="00E24354">
              <w:rPr>
                <w:rFonts w:eastAsia="Times New Roman"/>
                <w:sz w:val="16"/>
                <w:szCs w:val="24"/>
                <w:lang w:eastAsia="sv-SE"/>
              </w:rPr>
              <w:t>6</w:t>
            </w:r>
          </w:p>
        </w:tc>
      </w:tr>
      <w:tr w:rsidR="00242624" w:rsidRPr="00242624" w:rsidTr="0091095E">
        <w:tc>
          <w:tcPr>
            <w:tcW w:w="1105" w:type="dxa"/>
            <w:tcBorders>
              <w:bottom w:val="single" w:sz="4" w:space="0" w:color="auto"/>
            </w:tcBorders>
          </w:tcPr>
          <w:p w:rsidR="00242624" w:rsidRPr="00242624" w:rsidRDefault="00242624" w:rsidP="00242624">
            <w:pPr>
              <w:spacing w:before="60" w:line="200" w:lineRule="exact"/>
              <w:jc w:val="left"/>
              <w:rPr>
                <w:rFonts w:eastAsia="Times New Roman"/>
                <w:sz w:val="16"/>
                <w:szCs w:val="24"/>
                <w:lang w:eastAsia="sv-SE"/>
              </w:rPr>
            </w:pPr>
            <w:r w:rsidRPr="00242624">
              <w:rPr>
                <w:rFonts w:eastAsia="Times New Roman"/>
                <w:sz w:val="16"/>
                <w:szCs w:val="24"/>
                <w:lang w:eastAsia="sv-SE"/>
              </w:rPr>
              <w:t>Sammansatta utrikes- och försvarsutskottet</w:t>
            </w:r>
          </w:p>
        </w:tc>
        <w:tc>
          <w:tcPr>
            <w:tcW w:w="978" w:type="dxa"/>
            <w:tcBorders>
              <w:bottom w:val="single" w:sz="4" w:space="0" w:color="auto"/>
            </w:tcBorders>
            <w:vAlign w:val="bottom"/>
          </w:tcPr>
          <w:p w:rsidR="00242624" w:rsidRPr="0077664A" w:rsidRDefault="00CB404E" w:rsidP="00242624">
            <w:pPr>
              <w:spacing w:before="60" w:line="200" w:lineRule="exact"/>
              <w:jc w:val="right"/>
              <w:rPr>
                <w:rFonts w:eastAsia="Times New Roman"/>
                <w:sz w:val="16"/>
                <w:szCs w:val="24"/>
                <w:lang w:eastAsia="sv-SE"/>
              </w:rPr>
            </w:pPr>
            <w:r w:rsidRPr="0077664A">
              <w:rPr>
                <w:rFonts w:eastAsia="Times New Roman"/>
                <w:sz w:val="16"/>
                <w:szCs w:val="24"/>
                <w:lang w:eastAsia="sv-SE"/>
              </w:rPr>
              <w:t>4</w:t>
            </w:r>
          </w:p>
        </w:tc>
        <w:tc>
          <w:tcPr>
            <w:tcW w:w="919" w:type="dxa"/>
            <w:tcBorders>
              <w:bottom w:val="single" w:sz="4" w:space="0" w:color="auto"/>
            </w:tcBorders>
            <w:vAlign w:val="bottom"/>
          </w:tcPr>
          <w:p w:rsidR="00242624" w:rsidRPr="0077664A" w:rsidRDefault="0077664A" w:rsidP="00242624">
            <w:pPr>
              <w:spacing w:before="60" w:line="200" w:lineRule="exact"/>
              <w:jc w:val="right"/>
              <w:rPr>
                <w:rFonts w:eastAsia="Times New Roman"/>
                <w:sz w:val="16"/>
                <w:szCs w:val="24"/>
                <w:lang w:eastAsia="sv-SE"/>
              </w:rPr>
            </w:pPr>
            <w:r w:rsidRPr="0077664A">
              <w:rPr>
                <w:rFonts w:eastAsia="Times New Roman"/>
                <w:sz w:val="16"/>
                <w:szCs w:val="24"/>
                <w:lang w:eastAsia="sv-SE"/>
              </w:rPr>
              <w:t>1</w:t>
            </w:r>
            <w:r w:rsidR="00DD36A6" w:rsidRPr="0077664A">
              <w:rPr>
                <w:rFonts w:eastAsia="Times New Roman"/>
                <w:sz w:val="16"/>
                <w:szCs w:val="24"/>
                <w:lang w:eastAsia="sv-SE"/>
              </w:rPr>
              <w:t>8</w:t>
            </w:r>
          </w:p>
        </w:tc>
        <w:tc>
          <w:tcPr>
            <w:tcW w:w="1010" w:type="dxa"/>
            <w:tcBorders>
              <w:bottom w:val="single" w:sz="4" w:space="0" w:color="auto"/>
            </w:tcBorders>
            <w:vAlign w:val="bottom"/>
          </w:tcPr>
          <w:p w:rsidR="00242624" w:rsidRPr="0077664A" w:rsidRDefault="00242624" w:rsidP="00242624">
            <w:pPr>
              <w:spacing w:before="60" w:line="200" w:lineRule="exact"/>
              <w:jc w:val="right"/>
              <w:rPr>
                <w:rFonts w:eastAsia="Times New Roman"/>
                <w:sz w:val="16"/>
                <w:szCs w:val="24"/>
                <w:lang w:eastAsia="sv-SE"/>
              </w:rPr>
            </w:pPr>
            <w:r w:rsidRPr="0077664A">
              <w:rPr>
                <w:rFonts w:eastAsia="Times New Roman"/>
                <w:sz w:val="16"/>
                <w:szCs w:val="24"/>
                <w:lang w:eastAsia="sv-SE"/>
              </w:rPr>
              <w:t>–</w:t>
            </w:r>
          </w:p>
        </w:tc>
        <w:tc>
          <w:tcPr>
            <w:tcW w:w="974" w:type="dxa"/>
            <w:tcBorders>
              <w:bottom w:val="single" w:sz="4" w:space="0" w:color="auto"/>
            </w:tcBorders>
            <w:vAlign w:val="bottom"/>
          </w:tcPr>
          <w:p w:rsidR="00242624" w:rsidRPr="0077664A" w:rsidRDefault="00617FCC" w:rsidP="00242624">
            <w:pPr>
              <w:spacing w:before="60" w:line="200" w:lineRule="exact"/>
              <w:jc w:val="right"/>
              <w:rPr>
                <w:rFonts w:eastAsia="Times New Roman"/>
                <w:sz w:val="16"/>
                <w:szCs w:val="24"/>
                <w:lang w:eastAsia="sv-SE"/>
              </w:rPr>
            </w:pPr>
            <w:r w:rsidRPr="0077664A">
              <w:rPr>
                <w:rFonts w:eastAsia="Times New Roman"/>
                <w:sz w:val="16"/>
                <w:szCs w:val="24"/>
                <w:lang w:eastAsia="sv-SE"/>
              </w:rPr>
              <w:t>1</w:t>
            </w:r>
            <w:r w:rsidR="0077664A" w:rsidRPr="0077664A">
              <w:rPr>
                <w:rFonts w:eastAsia="Times New Roman"/>
                <w:sz w:val="16"/>
                <w:szCs w:val="24"/>
                <w:lang w:eastAsia="sv-SE"/>
              </w:rPr>
              <w:t>1</w:t>
            </w:r>
          </w:p>
        </w:tc>
        <w:tc>
          <w:tcPr>
            <w:tcW w:w="1044" w:type="dxa"/>
            <w:tcBorders>
              <w:bottom w:val="single" w:sz="4" w:space="0" w:color="auto"/>
            </w:tcBorders>
            <w:vAlign w:val="bottom"/>
          </w:tcPr>
          <w:p w:rsidR="00242624" w:rsidRPr="0077664A" w:rsidRDefault="0077664A" w:rsidP="00242624">
            <w:pPr>
              <w:spacing w:before="60" w:line="200" w:lineRule="exact"/>
              <w:jc w:val="right"/>
              <w:rPr>
                <w:rFonts w:eastAsia="Times New Roman"/>
                <w:sz w:val="16"/>
                <w:szCs w:val="24"/>
                <w:lang w:eastAsia="sv-SE"/>
              </w:rPr>
            </w:pPr>
            <w:r w:rsidRPr="0077664A">
              <w:rPr>
                <w:rFonts w:eastAsia="Times New Roman"/>
                <w:sz w:val="16"/>
                <w:szCs w:val="24"/>
                <w:lang w:eastAsia="sv-SE"/>
              </w:rPr>
              <w:t>4</w:t>
            </w:r>
          </w:p>
        </w:tc>
      </w:tr>
      <w:tr w:rsidR="00242624" w:rsidRPr="00464192" w:rsidTr="0091095E">
        <w:tc>
          <w:tcPr>
            <w:tcW w:w="1105" w:type="dxa"/>
            <w:tcBorders>
              <w:top w:val="single" w:sz="4" w:space="0" w:color="auto"/>
              <w:bottom w:val="single" w:sz="4" w:space="0" w:color="auto"/>
            </w:tcBorders>
          </w:tcPr>
          <w:p w:rsidR="00242624" w:rsidRPr="008F7C7E" w:rsidRDefault="008F7C7E" w:rsidP="00242624">
            <w:pPr>
              <w:spacing w:before="60" w:line="200" w:lineRule="exact"/>
              <w:jc w:val="left"/>
              <w:rPr>
                <w:rFonts w:eastAsia="Times New Roman"/>
                <w:b/>
                <w:sz w:val="16"/>
                <w:szCs w:val="24"/>
                <w:lang w:eastAsia="sv-SE"/>
              </w:rPr>
            </w:pPr>
            <w:r w:rsidRPr="008F7C7E">
              <w:rPr>
                <w:rFonts w:eastAsia="Times New Roman"/>
                <w:b/>
                <w:sz w:val="16"/>
                <w:szCs w:val="24"/>
                <w:lang w:eastAsia="sv-SE"/>
              </w:rPr>
              <w:t>Totalt 2016</w:t>
            </w:r>
          </w:p>
        </w:tc>
        <w:tc>
          <w:tcPr>
            <w:tcW w:w="978" w:type="dxa"/>
            <w:tcBorders>
              <w:top w:val="single" w:sz="4" w:space="0" w:color="auto"/>
              <w:bottom w:val="single" w:sz="4" w:space="0" w:color="auto"/>
            </w:tcBorders>
          </w:tcPr>
          <w:p w:rsidR="00242624" w:rsidRPr="00242624" w:rsidRDefault="00BA733E" w:rsidP="00242624">
            <w:pPr>
              <w:spacing w:before="60" w:line="200" w:lineRule="exact"/>
              <w:jc w:val="right"/>
              <w:rPr>
                <w:rFonts w:eastAsia="Times New Roman"/>
                <w:b/>
                <w:sz w:val="16"/>
                <w:szCs w:val="24"/>
                <w:lang w:eastAsia="sv-SE"/>
              </w:rPr>
            </w:pPr>
            <w:r>
              <w:rPr>
                <w:rFonts w:eastAsia="Times New Roman"/>
                <w:b/>
                <w:sz w:val="16"/>
                <w:szCs w:val="24"/>
                <w:lang w:eastAsia="sv-SE"/>
              </w:rPr>
              <w:t>230</w:t>
            </w:r>
          </w:p>
        </w:tc>
        <w:tc>
          <w:tcPr>
            <w:tcW w:w="919" w:type="dxa"/>
            <w:tcBorders>
              <w:top w:val="single" w:sz="4" w:space="0" w:color="auto"/>
              <w:bottom w:val="single" w:sz="4" w:space="0" w:color="auto"/>
            </w:tcBorders>
          </w:tcPr>
          <w:p w:rsidR="00242624" w:rsidRPr="00242624" w:rsidRDefault="00BA733E" w:rsidP="00242624">
            <w:pPr>
              <w:spacing w:before="60" w:line="200" w:lineRule="exact"/>
              <w:jc w:val="right"/>
              <w:rPr>
                <w:rFonts w:eastAsia="Times New Roman"/>
                <w:b/>
                <w:sz w:val="16"/>
                <w:szCs w:val="24"/>
                <w:lang w:eastAsia="sv-SE"/>
              </w:rPr>
            </w:pPr>
            <w:r w:rsidRPr="00A57BD6">
              <w:rPr>
                <w:rFonts w:eastAsia="Times New Roman"/>
                <w:b/>
                <w:sz w:val="16"/>
                <w:szCs w:val="24"/>
                <w:lang w:eastAsia="sv-SE"/>
              </w:rPr>
              <w:t>4 296</w:t>
            </w:r>
          </w:p>
        </w:tc>
        <w:tc>
          <w:tcPr>
            <w:tcW w:w="1010" w:type="dxa"/>
            <w:tcBorders>
              <w:top w:val="single" w:sz="4" w:space="0" w:color="auto"/>
              <w:bottom w:val="single" w:sz="4" w:space="0" w:color="auto"/>
            </w:tcBorders>
          </w:tcPr>
          <w:p w:rsidR="00242624" w:rsidRPr="00242624" w:rsidRDefault="00251D19" w:rsidP="00242624">
            <w:pPr>
              <w:spacing w:before="60" w:line="200" w:lineRule="exact"/>
              <w:jc w:val="right"/>
              <w:rPr>
                <w:rFonts w:eastAsia="Times New Roman"/>
                <w:b/>
                <w:sz w:val="16"/>
                <w:szCs w:val="24"/>
                <w:lang w:eastAsia="sv-SE"/>
              </w:rPr>
            </w:pPr>
            <w:r>
              <w:rPr>
                <w:rFonts w:eastAsia="Times New Roman"/>
                <w:b/>
                <w:sz w:val="16"/>
                <w:szCs w:val="24"/>
                <w:lang w:eastAsia="sv-SE"/>
              </w:rPr>
              <w:t>110</w:t>
            </w:r>
          </w:p>
        </w:tc>
        <w:tc>
          <w:tcPr>
            <w:tcW w:w="974" w:type="dxa"/>
            <w:tcBorders>
              <w:top w:val="single" w:sz="4" w:space="0" w:color="auto"/>
              <w:bottom w:val="single" w:sz="4" w:space="0" w:color="auto"/>
            </w:tcBorders>
          </w:tcPr>
          <w:p w:rsidR="00242624" w:rsidRPr="00242624" w:rsidRDefault="00BA733E" w:rsidP="00242624">
            <w:pPr>
              <w:spacing w:before="60" w:line="200" w:lineRule="exact"/>
              <w:jc w:val="right"/>
              <w:rPr>
                <w:rFonts w:eastAsia="Times New Roman"/>
                <w:b/>
                <w:sz w:val="16"/>
                <w:szCs w:val="24"/>
                <w:lang w:eastAsia="sv-SE"/>
              </w:rPr>
            </w:pPr>
            <w:r w:rsidRPr="00EC0148">
              <w:rPr>
                <w:rFonts w:eastAsia="Times New Roman"/>
                <w:b/>
                <w:sz w:val="16"/>
                <w:szCs w:val="24"/>
                <w:lang w:eastAsia="sv-SE"/>
              </w:rPr>
              <w:t>62</w:t>
            </w:r>
            <w:r w:rsidR="009F267B" w:rsidRPr="00EC0148">
              <w:rPr>
                <w:rFonts w:eastAsia="Times New Roman"/>
                <w:b/>
                <w:sz w:val="16"/>
                <w:szCs w:val="24"/>
                <w:lang w:eastAsia="sv-SE"/>
              </w:rPr>
              <w:t>6</w:t>
            </w:r>
          </w:p>
        </w:tc>
        <w:tc>
          <w:tcPr>
            <w:tcW w:w="1044" w:type="dxa"/>
            <w:tcBorders>
              <w:top w:val="single" w:sz="4" w:space="0" w:color="auto"/>
              <w:bottom w:val="single" w:sz="4" w:space="0" w:color="auto"/>
            </w:tcBorders>
          </w:tcPr>
          <w:p w:rsidR="00242624" w:rsidRPr="00464192" w:rsidRDefault="00BA733E" w:rsidP="00242624">
            <w:pPr>
              <w:spacing w:before="60" w:line="200" w:lineRule="exact"/>
              <w:jc w:val="right"/>
              <w:rPr>
                <w:rFonts w:eastAsia="Times New Roman"/>
                <w:b/>
                <w:sz w:val="16"/>
                <w:szCs w:val="24"/>
                <w:highlight w:val="yellow"/>
                <w:lang w:eastAsia="sv-SE"/>
              </w:rPr>
            </w:pPr>
            <w:r w:rsidRPr="00EA1D31">
              <w:rPr>
                <w:rFonts w:eastAsia="Times New Roman"/>
                <w:b/>
                <w:sz w:val="16"/>
                <w:szCs w:val="24"/>
                <w:lang w:eastAsia="sv-SE"/>
              </w:rPr>
              <w:t>42</w:t>
            </w:r>
            <w:r w:rsidR="00A01B08" w:rsidRPr="00EA1D31">
              <w:rPr>
                <w:rFonts w:eastAsia="Times New Roman"/>
                <w:b/>
                <w:sz w:val="16"/>
                <w:szCs w:val="24"/>
                <w:lang w:eastAsia="sv-SE"/>
              </w:rPr>
              <w:t>5</w:t>
            </w:r>
          </w:p>
        </w:tc>
      </w:tr>
      <w:tr w:rsidR="008F7C7E" w:rsidRPr="008F7C7E" w:rsidTr="0091095E">
        <w:tc>
          <w:tcPr>
            <w:tcW w:w="1105" w:type="dxa"/>
            <w:tcBorders>
              <w:top w:val="single" w:sz="4" w:space="0" w:color="auto"/>
              <w:bottom w:val="single" w:sz="4" w:space="0" w:color="auto"/>
            </w:tcBorders>
          </w:tcPr>
          <w:p w:rsidR="008F7C7E" w:rsidRPr="008F7C7E" w:rsidRDefault="008F7C7E" w:rsidP="008F7C7E">
            <w:pPr>
              <w:spacing w:before="60" w:line="200" w:lineRule="exact"/>
              <w:jc w:val="left"/>
              <w:rPr>
                <w:rFonts w:eastAsia="Times New Roman"/>
                <w:b/>
                <w:i/>
                <w:sz w:val="16"/>
                <w:szCs w:val="24"/>
                <w:lang w:eastAsia="sv-SE"/>
              </w:rPr>
            </w:pPr>
            <w:r w:rsidRPr="008F7C7E">
              <w:rPr>
                <w:rFonts w:eastAsia="Times New Roman"/>
                <w:b/>
                <w:i/>
                <w:sz w:val="16"/>
                <w:szCs w:val="24"/>
                <w:lang w:eastAsia="sv-SE"/>
              </w:rPr>
              <w:t>Totalt 2015</w:t>
            </w:r>
          </w:p>
        </w:tc>
        <w:tc>
          <w:tcPr>
            <w:tcW w:w="978" w:type="dxa"/>
            <w:tcBorders>
              <w:top w:val="single" w:sz="4" w:space="0" w:color="auto"/>
              <w:bottom w:val="single" w:sz="4" w:space="0" w:color="auto"/>
            </w:tcBorders>
          </w:tcPr>
          <w:p w:rsidR="008F7C7E" w:rsidRPr="008F7C7E" w:rsidRDefault="008F7C7E" w:rsidP="008F7C7E">
            <w:pPr>
              <w:spacing w:before="60" w:line="200" w:lineRule="exact"/>
              <w:jc w:val="right"/>
              <w:rPr>
                <w:rFonts w:eastAsia="Times New Roman"/>
                <w:b/>
                <w:i/>
                <w:sz w:val="16"/>
                <w:szCs w:val="24"/>
                <w:lang w:eastAsia="sv-SE"/>
              </w:rPr>
            </w:pPr>
            <w:r w:rsidRPr="008F7C7E">
              <w:rPr>
                <w:rFonts w:eastAsia="Times New Roman"/>
                <w:b/>
                <w:i/>
                <w:sz w:val="16"/>
                <w:szCs w:val="24"/>
                <w:lang w:eastAsia="sv-SE"/>
              </w:rPr>
              <w:t>209</w:t>
            </w:r>
          </w:p>
        </w:tc>
        <w:tc>
          <w:tcPr>
            <w:tcW w:w="919" w:type="dxa"/>
            <w:tcBorders>
              <w:top w:val="single" w:sz="4" w:space="0" w:color="auto"/>
              <w:bottom w:val="single" w:sz="4" w:space="0" w:color="auto"/>
            </w:tcBorders>
          </w:tcPr>
          <w:p w:rsidR="008F7C7E" w:rsidRPr="008F7C7E" w:rsidRDefault="008F7C7E" w:rsidP="008F7C7E">
            <w:pPr>
              <w:spacing w:before="60" w:line="200" w:lineRule="exact"/>
              <w:jc w:val="right"/>
              <w:rPr>
                <w:rFonts w:eastAsia="Times New Roman"/>
                <w:b/>
                <w:i/>
                <w:sz w:val="16"/>
                <w:szCs w:val="24"/>
                <w:lang w:eastAsia="sv-SE"/>
              </w:rPr>
            </w:pPr>
            <w:r w:rsidRPr="008F7C7E">
              <w:rPr>
                <w:rFonts w:eastAsia="Times New Roman"/>
                <w:b/>
                <w:i/>
                <w:sz w:val="16"/>
                <w:szCs w:val="24"/>
                <w:lang w:eastAsia="sv-SE"/>
              </w:rPr>
              <w:t>3 493</w:t>
            </w:r>
          </w:p>
        </w:tc>
        <w:tc>
          <w:tcPr>
            <w:tcW w:w="1010" w:type="dxa"/>
            <w:tcBorders>
              <w:top w:val="single" w:sz="4" w:space="0" w:color="auto"/>
              <w:bottom w:val="single" w:sz="4" w:space="0" w:color="auto"/>
            </w:tcBorders>
          </w:tcPr>
          <w:p w:rsidR="008F7C7E" w:rsidRPr="008F7C7E" w:rsidRDefault="008F7C7E" w:rsidP="008F7C7E">
            <w:pPr>
              <w:spacing w:before="60" w:line="200" w:lineRule="exact"/>
              <w:jc w:val="right"/>
              <w:rPr>
                <w:rFonts w:eastAsia="Times New Roman"/>
                <w:b/>
                <w:i/>
                <w:sz w:val="16"/>
                <w:szCs w:val="24"/>
                <w:lang w:eastAsia="sv-SE"/>
              </w:rPr>
            </w:pPr>
            <w:r w:rsidRPr="008F7C7E">
              <w:rPr>
                <w:rFonts w:eastAsia="Times New Roman"/>
                <w:b/>
                <w:i/>
                <w:sz w:val="16"/>
                <w:szCs w:val="24"/>
                <w:lang w:eastAsia="sv-SE"/>
              </w:rPr>
              <w:t>40</w:t>
            </w:r>
          </w:p>
        </w:tc>
        <w:tc>
          <w:tcPr>
            <w:tcW w:w="974" w:type="dxa"/>
            <w:tcBorders>
              <w:top w:val="single" w:sz="4" w:space="0" w:color="auto"/>
              <w:bottom w:val="single" w:sz="4" w:space="0" w:color="auto"/>
            </w:tcBorders>
          </w:tcPr>
          <w:p w:rsidR="008F7C7E" w:rsidRPr="008F7C7E" w:rsidRDefault="008F7C7E" w:rsidP="008F7C7E">
            <w:pPr>
              <w:spacing w:before="60" w:line="200" w:lineRule="exact"/>
              <w:jc w:val="right"/>
              <w:rPr>
                <w:rFonts w:eastAsia="Times New Roman"/>
                <w:b/>
                <w:i/>
                <w:sz w:val="16"/>
                <w:szCs w:val="24"/>
                <w:lang w:eastAsia="sv-SE"/>
              </w:rPr>
            </w:pPr>
            <w:r w:rsidRPr="008F7C7E">
              <w:rPr>
                <w:rFonts w:eastAsia="Times New Roman"/>
                <w:b/>
                <w:i/>
                <w:sz w:val="16"/>
                <w:szCs w:val="24"/>
                <w:lang w:eastAsia="sv-SE"/>
              </w:rPr>
              <w:t>580</w:t>
            </w:r>
          </w:p>
        </w:tc>
        <w:tc>
          <w:tcPr>
            <w:tcW w:w="1044" w:type="dxa"/>
            <w:tcBorders>
              <w:top w:val="single" w:sz="4" w:space="0" w:color="auto"/>
              <w:bottom w:val="single" w:sz="4" w:space="0" w:color="auto"/>
            </w:tcBorders>
          </w:tcPr>
          <w:p w:rsidR="008F7C7E" w:rsidRPr="008F7C7E" w:rsidRDefault="008F7C7E" w:rsidP="008F7C7E">
            <w:pPr>
              <w:spacing w:before="60" w:line="200" w:lineRule="exact"/>
              <w:jc w:val="right"/>
              <w:rPr>
                <w:rFonts w:eastAsia="Times New Roman"/>
                <w:b/>
                <w:i/>
                <w:sz w:val="16"/>
                <w:szCs w:val="24"/>
                <w:lang w:eastAsia="sv-SE"/>
              </w:rPr>
            </w:pPr>
            <w:r w:rsidRPr="008F7C7E">
              <w:rPr>
                <w:rFonts w:eastAsia="Times New Roman"/>
                <w:b/>
                <w:i/>
                <w:sz w:val="16"/>
                <w:szCs w:val="24"/>
                <w:lang w:eastAsia="sv-SE"/>
              </w:rPr>
              <w:t>371</w:t>
            </w:r>
          </w:p>
        </w:tc>
      </w:tr>
      <w:tr w:rsidR="008F7C7E" w:rsidRPr="00242624" w:rsidTr="0091095E">
        <w:tc>
          <w:tcPr>
            <w:tcW w:w="1105" w:type="dxa"/>
            <w:tcBorders>
              <w:top w:val="single" w:sz="4" w:space="0" w:color="auto"/>
              <w:bottom w:val="single" w:sz="4" w:space="0" w:color="auto"/>
            </w:tcBorders>
          </w:tcPr>
          <w:p w:rsidR="008F7C7E" w:rsidRPr="00242624" w:rsidRDefault="008F7C7E" w:rsidP="008F7C7E">
            <w:pPr>
              <w:spacing w:before="60" w:line="200" w:lineRule="exact"/>
              <w:jc w:val="left"/>
              <w:rPr>
                <w:rFonts w:eastAsia="Times New Roman"/>
                <w:b/>
                <w:i/>
                <w:sz w:val="16"/>
                <w:szCs w:val="24"/>
                <w:lang w:eastAsia="sv-SE"/>
              </w:rPr>
            </w:pPr>
            <w:r w:rsidRPr="00242624">
              <w:rPr>
                <w:rFonts w:eastAsia="Times New Roman"/>
                <w:b/>
                <w:i/>
                <w:sz w:val="16"/>
                <w:szCs w:val="24"/>
                <w:lang w:eastAsia="sv-SE"/>
              </w:rPr>
              <w:t>Totalt 201</w:t>
            </w:r>
            <w:r>
              <w:rPr>
                <w:rFonts w:eastAsia="Times New Roman"/>
                <w:b/>
                <w:i/>
                <w:sz w:val="16"/>
                <w:szCs w:val="24"/>
                <w:lang w:eastAsia="sv-SE"/>
              </w:rPr>
              <w:t>4</w:t>
            </w:r>
          </w:p>
        </w:tc>
        <w:tc>
          <w:tcPr>
            <w:tcW w:w="978" w:type="dxa"/>
            <w:tcBorders>
              <w:top w:val="single" w:sz="4" w:space="0" w:color="auto"/>
              <w:bottom w:val="single" w:sz="4" w:space="0" w:color="auto"/>
            </w:tcBorders>
          </w:tcPr>
          <w:p w:rsidR="008F7C7E" w:rsidRPr="00CB671B" w:rsidRDefault="008F7C7E" w:rsidP="008F7C7E">
            <w:pPr>
              <w:spacing w:before="60" w:line="200" w:lineRule="exact"/>
              <w:jc w:val="right"/>
              <w:rPr>
                <w:rFonts w:eastAsia="Times New Roman"/>
                <w:b/>
                <w:i/>
                <w:sz w:val="16"/>
                <w:szCs w:val="24"/>
                <w:lang w:eastAsia="sv-SE"/>
              </w:rPr>
            </w:pPr>
            <w:r w:rsidRPr="00CB671B">
              <w:rPr>
                <w:rFonts w:eastAsia="Times New Roman"/>
                <w:b/>
                <w:i/>
                <w:sz w:val="16"/>
                <w:szCs w:val="24"/>
                <w:lang w:eastAsia="sv-SE"/>
              </w:rPr>
              <w:t>272</w:t>
            </w:r>
          </w:p>
        </w:tc>
        <w:tc>
          <w:tcPr>
            <w:tcW w:w="919" w:type="dxa"/>
            <w:tcBorders>
              <w:top w:val="single" w:sz="4" w:space="0" w:color="auto"/>
              <w:bottom w:val="single" w:sz="4" w:space="0" w:color="auto"/>
            </w:tcBorders>
          </w:tcPr>
          <w:p w:rsidR="008F7C7E" w:rsidRPr="00CB671B" w:rsidRDefault="008F7C7E" w:rsidP="008F7C7E">
            <w:pPr>
              <w:spacing w:before="60" w:line="200" w:lineRule="exact"/>
              <w:jc w:val="right"/>
              <w:rPr>
                <w:rFonts w:eastAsia="Times New Roman"/>
                <w:b/>
                <w:i/>
                <w:sz w:val="16"/>
                <w:szCs w:val="24"/>
                <w:lang w:eastAsia="sv-SE"/>
              </w:rPr>
            </w:pPr>
            <w:r w:rsidRPr="00CB671B">
              <w:rPr>
                <w:rFonts w:eastAsia="Times New Roman"/>
                <w:b/>
                <w:i/>
                <w:sz w:val="16"/>
                <w:szCs w:val="24"/>
                <w:lang w:eastAsia="sv-SE"/>
              </w:rPr>
              <w:t>4</w:t>
            </w:r>
            <w:r>
              <w:rPr>
                <w:rFonts w:eastAsia="Times New Roman"/>
                <w:b/>
                <w:i/>
                <w:sz w:val="16"/>
                <w:szCs w:val="24"/>
                <w:lang w:eastAsia="sv-SE"/>
              </w:rPr>
              <w:t> </w:t>
            </w:r>
            <w:r w:rsidRPr="00CB671B">
              <w:rPr>
                <w:rFonts w:eastAsia="Times New Roman"/>
                <w:b/>
                <w:i/>
                <w:sz w:val="16"/>
                <w:szCs w:val="24"/>
                <w:lang w:eastAsia="sv-SE"/>
              </w:rPr>
              <w:t>239</w:t>
            </w:r>
          </w:p>
        </w:tc>
        <w:tc>
          <w:tcPr>
            <w:tcW w:w="1010" w:type="dxa"/>
            <w:tcBorders>
              <w:top w:val="single" w:sz="4" w:space="0" w:color="auto"/>
              <w:bottom w:val="single" w:sz="4" w:space="0" w:color="auto"/>
            </w:tcBorders>
          </w:tcPr>
          <w:p w:rsidR="008F7C7E" w:rsidRPr="00CB671B" w:rsidRDefault="008F7C7E" w:rsidP="008F7C7E">
            <w:pPr>
              <w:spacing w:before="60" w:line="200" w:lineRule="exact"/>
              <w:jc w:val="right"/>
              <w:rPr>
                <w:rFonts w:eastAsia="Times New Roman"/>
                <w:b/>
                <w:i/>
                <w:sz w:val="16"/>
                <w:szCs w:val="24"/>
                <w:lang w:eastAsia="sv-SE"/>
              </w:rPr>
            </w:pPr>
            <w:r w:rsidRPr="00CB671B">
              <w:rPr>
                <w:rFonts w:eastAsia="Times New Roman"/>
                <w:b/>
                <w:i/>
                <w:sz w:val="16"/>
                <w:szCs w:val="24"/>
                <w:lang w:eastAsia="sv-SE"/>
              </w:rPr>
              <w:t>61</w:t>
            </w:r>
          </w:p>
        </w:tc>
        <w:tc>
          <w:tcPr>
            <w:tcW w:w="974" w:type="dxa"/>
            <w:tcBorders>
              <w:top w:val="single" w:sz="4" w:space="0" w:color="auto"/>
              <w:bottom w:val="single" w:sz="4" w:space="0" w:color="auto"/>
            </w:tcBorders>
          </w:tcPr>
          <w:p w:rsidR="008F7C7E" w:rsidRPr="00CB671B" w:rsidRDefault="008F7C7E" w:rsidP="008F7C7E">
            <w:pPr>
              <w:spacing w:before="60" w:line="200" w:lineRule="exact"/>
              <w:jc w:val="right"/>
              <w:rPr>
                <w:rFonts w:eastAsia="Times New Roman"/>
                <w:b/>
                <w:i/>
                <w:sz w:val="16"/>
                <w:szCs w:val="24"/>
                <w:lang w:eastAsia="sv-SE"/>
              </w:rPr>
            </w:pPr>
            <w:r w:rsidRPr="00CB671B">
              <w:rPr>
                <w:rFonts w:eastAsia="Times New Roman"/>
                <w:b/>
                <w:i/>
                <w:sz w:val="16"/>
                <w:szCs w:val="24"/>
                <w:lang w:eastAsia="sv-SE"/>
              </w:rPr>
              <w:t>574</w:t>
            </w:r>
          </w:p>
        </w:tc>
        <w:tc>
          <w:tcPr>
            <w:tcW w:w="1044" w:type="dxa"/>
            <w:tcBorders>
              <w:top w:val="single" w:sz="4" w:space="0" w:color="auto"/>
              <w:bottom w:val="single" w:sz="4" w:space="0" w:color="auto"/>
            </w:tcBorders>
          </w:tcPr>
          <w:p w:rsidR="008F7C7E" w:rsidRPr="00CB671B" w:rsidRDefault="008F7C7E" w:rsidP="008F7C7E">
            <w:pPr>
              <w:spacing w:before="60" w:line="200" w:lineRule="exact"/>
              <w:jc w:val="right"/>
              <w:rPr>
                <w:rFonts w:eastAsia="Times New Roman"/>
                <w:b/>
                <w:i/>
                <w:sz w:val="16"/>
                <w:szCs w:val="24"/>
                <w:lang w:eastAsia="sv-SE"/>
              </w:rPr>
            </w:pPr>
            <w:r w:rsidRPr="00CB671B">
              <w:rPr>
                <w:rFonts w:eastAsia="Times New Roman"/>
                <w:b/>
                <w:i/>
                <w:sz w:val="16"/>
                <w:szCs w:val="24"/>
                <w:lang w:eastAsia="sv-SE"/>
              </w:rPr>
              <w:t>441</w:t>
            </w:r>
          </w:p>
        </w:tc>
      </w:tr>
    </w:tbl>
    <w:p w:rsidR="00D46496" w:rsidRPr="00A750D9" w:rsidRDefault="00D035BF" w:rsidP="00D035BF">
      <w:pPr>
        <w:spacing w:before="125"/>
        <w:rPr>
          <w:u w:val="single"/>
        </w:rPr>
      </w:pPr>
      <w:r w:rsidRPr="00AE7C13">
        <w:t xml:space="preserve">Mängden ärenden </w:t>
      </w:r>
      <w:r w:rsidR="00D754B3" w:rsidRPr="00AE7C13">
        <w:t>skiljer sig åt mellan utskotten</w:t>
      </w:r>
      <w:r w:rsidR="00F97457" w:rsidRPr="00AE7C13">
        <w:t>,</w:t>
      </w:r>
      <w:r w:rsidR="00D754B3" w:rsidRPr="00AE7C13">
        <w:t xml:space="preserve"> vilket </w:t>
      </w:r>
      <w:r w:rsidRPr="00AE7C13">
        <w:t xml:space="preserve">beror på respektive utskotts beredningsområde men också på vilka frågor som är politiskt aktuella. </w:t>
      </w:r>
      <w:r w:rsidR="00D46496" w:rsidRPr="00AE7C13">
        <w:t>Det sammanlagda a</w:t>
      </w:r>
      <w:r w:rsidRPr="00AE7C13">
        <w:t xml:space="preserve">ntalet </w:t>
      </w:r>
      <w:r w:rsidR="00347450" w:rsidRPr="00AE7C13">
        <w:t xml:space="preserve">behandlade </w:t>
      </w:r>
      <w:r w:rsidRPr="00AE7C13">
        <w:t xml:space="preserve">propositioner, skrivelser, framställningar och redogörelser </w:t>
      </w:r>
      <w:r w:rsidR="00347450" w:rsidRPr="00AE7C13">
        <w:t xml:space="preserve">ökade med cirka 10 procent under 2016 jämfört med </w:t>
      </w:r>
      <w:r w:rsidRPr="00AE7C13">
        <w:t>år</w:t>
      </w:r>
      <w:r w:rsidR="00347450" w:rsidRPr="00AE7C13">
        <w:t>et innan men var cirka 15 procent färre 2014</w:t>
      </w:r>
      <w:r w:rsidRPr="00AE7C13">
        <w:t>. Även antalet motioner</w:t>
      </w:r>
      <w:r w:rsidR="00D46496" w:rsidRPr="00AE7C13">
        <w:t>, liksom det totala antalet</w:t>
      </w:r>
      <w:r w:rsidRPr="00AE7C13">
        <w:t xml:space="preserve"> betänkanden, u</w:t>
      </w:r>
      <w:r w:rsidR="00D46496" w:rsidRPr="00AE7C13">
        <w:t>tlå</w:t>
      </w:r>
      <w:r w:rsidR="00CC5C20" w:rsidRPr="00AE7C13">
        <w:t>tanden och yttranden</w:t>
      </w:r>
      <w:r w:rsidR="0027662E">
        <w:t>,</w:t>
      </w:r>
      <w:r w:rsidR="00CC5C20" w:rsidRPr="00AE7C13">
        <w:t xml:space="preserve"> ökade under 2016 men låg på ungefär samma nivå som under 2014</w:t>
      </w:r>
      <w:r w:rsidRPr="00AE7C13">
        <w:t>.</w:t>
      </w:r>
      <w:r w:rsidR="00AE7C13">
        <w:t xml:space="preserve"> För inkomna EU-dokument noteras </w:t>
      </w:r>
      <w:r w:rsidR="00BB2256">
        <w:t>nära nog en tre</w:t>
      </w:r>
      <w:r w:rsidR="00AE7C13">
        <w:t>dubbling av antalet under 2016.</w:t>
      </w:r>
      <w:r w:rsidRPr="00AE7C13">
        <w:t xml:space="preserve"> </w:t>
      </w:r>
      <w:r w:rsidR="00AE7C13" w:rsidRPr="00AE7C13">
        <w:t>A</w:t>
      </w:r>
      <w:r w:rsidR="00D46496" w:rsidRPr="00AE7C13">
        <w:t xml:space="preserve">ntalet sammanträden </w:t>
      </w:r>
      <w:r w:rsidR="00AE7C13" w:rsidRPr="00AE7C13">
        <w:t xml:space="preserve">har </w:t>
      </w:r>
      <w:r w:rsidR="00D46496" w:rsidRPr="00AE7C13">
        <w:t>ök</w:t>
      </w:r>
      <w:r w:rsidR="00AE7C13" w:rsidRPr="00AE7C13">
        <w:t>at successivt</w:t>
      </w:r>
      <w:r w:rsidR="00D46496" w:rsidRPr="00AE7C13">
        <w:t xml:space="preserve"> under </w:t>
      </w:r>
      <w:r w:rsidR="00AE7C13" w:rsidRPr="00AE7C13">
        <w:t>valperioden och uppgic</w:t>
      </w:r>
      <w:r w:rsidR="00BB2256">
        <w:t>k under 2016 till sammanlagt 626</w:t>
      </w:r>
      <w:r w:rsidR="00D46496" w:rsidRPr="00AE7C13">
        <w:t>.</w:t>
      </w:r>
    </w:p>
    <w:p w:rsidR="00890252" w:rsidRPr="004534A5" w:rsidRDefault="002E7888" w:rsidP="00890252">
      <w:pPr>
        <w:spacing w:before="0"/>
        <w:ind w:firstLine="227"/>
      </w:pPr>
      <w:r w:rsidRPr="001750F9">
        <w:t>Utskotten ska följa upp och utvärdera tidigare riksdagsbeslut inom sina respektive ämnesområden och även arbeta med forsknings- och framtidsfrågor. Till stöd för detta arbete f</w:t>
      </w:r>
      <w:r w:rsidR="007D4051">
        <w:t>inns</w:t>
      </w:r>
      <w:r w:rsidRPr="001750F9">
        <w:t xml:space="preserve"> utvärderings- och forskningssekretariatet. På uppdrag av utskotten </w:t>
      </w:r>
      <w:r w:rsidR="00924819" w:rsidRPr="001750F9">
        <w:t xml:space="preserve">tar </w:t>
      </w:r>
      <w:r w:rsidRPr="001750F9">
        <w:t>sekretariatet, i nära samarbete me</w:t>
      </w:r>
      <w:r w:rsidR="00924819" w:rsidRPr="001750F9">
        <w:t>d utskottskanslierna,</w:t>
      </w:r>
      <w:r w:rsidRPr="001750F9">
        <w:t xml:space="preserve"> fram underlag till </w:t>
      </w:r>
      <w:r w:rsidR="00924819" w:rsidRPr="001750F9">
        <w:t>uppföljningar och utvärderingar samt forskningsöversikter och framtidsanalyser</w:t>
      </w:r>
      <w:r w:rsidR="00F92D7D" w:rsidRPr="001750F9">
        <w:t>.</w:t>
      </w:r>
      <w:r w:rsidR="006F0A64">
        <w:t xml:space="preserve"> Utskotten kan också beställa utvärderingar som utförs av externa utredare för utskottens räkning.</w:t>
      </w:r>
      <w:r w:rsidRPr="001750F9">
        <w:t xml:space="preserve"> </w:t>
      </w:r>
      <w:r w:rsidRPr="004534A5">
        <w:t>Utskottens uppföljningar, utvärderingar, forskningsöversikter och öppna utfrågning</w:t>
      </w:r>
      <w:r w:rsidR="00DC4608" w:rsidRPr="004534A5">
        <w:t>ar publiceras i serien Rapporter</w:t>
      </w:r>
      <w:r w:rsidR="00683BA4" w:rsidRPr="004534A5">
        <w:t xml:space="preserve"> från riksdagen. Under 2016 har sammanlagt 29</w:t>
      </w:r>
      <w:r w:rsidRPr="004534A5">
        <w:t xml:space="preserve"> rapporter publicerats</w:t>
      </w:r>
      <w:r w:rsidR="00683BA4" w:rsidRPr="004534A5">
        <w:t xml:space="preserve">, </w:t>
      </w:r>
      <w:r w:rsidR="00683BA4" w:rsidRPr="004534A5">
        <w:lastRenderedPageBreak/>
        <w:t>en ökning med 11 rapporter jämfört med 2015</w:t>
      </w:r>
      <w:r w:rsidRPr="004534A5">
        <w:t xml:space="preserve">. </w:t>
      </w:r>
      <w:r w:rsidR="00F92D7D" w:rsidRPr="004534A5">
        <w:t>Sekretariatet ger vidare kanslistöd till Sällskapet riksdagsledamöter och forskare (Rifo). Med stöd av sekr</w:t>
      </w:r>
      <w:r w:rsidR="00683BA4" w:rsidRPr="004534A5">
        <w:t>etariatet har Rifo arrangerat 17</w:t>
      </w:r>
      <w:r w:rsidR="00F92D7D" w:rsidRPr="004534A5">
        <w:t xml:space="preserve"> samm</w:t>
      </w:r>
      <w:r w:rsidR="00683BA4" w:rsidRPr="004534A5">
        <w:t>ankomster i riksdagen under 2016, ungefär lika många som året innan</w:t>
      </w:r>
      <w:r w:rsidR="00F92D7D" w:rsidRPr="004534A5">
        <w:t>.</w:t>
      </w:r>
    </w:p>
    <w:p w:rsidR="00131751" w:rsidRPr="00A750D9" w:rsidRDefault="00BF46CA" w:rsidP="003515D1">
      <w:pPr>
        <w:spacing w:before="0"/>
        <w:ind w:firstLine="227"/>
        <w:rPr>
          <w:u w:val="single"/>
        </w:rPr>
      </w:pPr>
      <w:r w:rsidRPr="004534A5">
        <w:t>A</w:t>
      </w:r>
      <w:r w:rsidR="00D035BF" w:rsidRPr="004534A5">
        <w:t xml:space="preserve">ntalet subsidiaritetsprövningar </w:t>
      </w:r>
      <w:r w:rsidR="006A4026" w:rsidRPr="004534A5">
        <w:t>ökade kraftigt under 2016 efter minsk</w:t>
      </w:r>
      <w:r w:rsidR="004534A5" w:rsidRPr="004534A5">
        <w:t>ningar under både 2014 och 2015</w:t>
      </w:r>
      <w:r w:rsidRPr="004E0019">
        <w:t>.</w:t>
      </w:r>
      <w:r w:rsidR="004E0019" w:rsidRPr="004E0019">
        <w:t xml:space="preserve"> Jämfört med 2013 var dock antalet cirka 10 procent lägre.</w:t>
      </w:r>
      <w:r w:rsidR="00D035BF" w:rsidRPr="002B3D72">
        <w:t xml:space="preserve"> </w:t>
      </w:r>
      <w:r w:rsidR="00D035BF" w:rsidRPr="00992B66">
        <w:t xml:space="preserve">Antalet </w:t>
      </w:r>
      <w:r w:rsidR="00992B66" w:rsidRPr="00992B66">
        <w:t xml:space="preserve">granskningsutlåtanden och antalet </w:t>
      </w:r>
      <w:r w:rsidR="00D035BF" w:rsidRPr="00992B66">
        <w:t xml:space="preserve">tillfällen när utskotten </w:t>
      </w:r>
      <w:r w:rsidR="006C122D" w:rsidRPr="00992B66">
        <w:t xml:space="preserve">har </w:t>
      </w:r>
      <w:r w:rsidR="00D035BF" w:rsidRPr="00992B66">
        <w:t xml:space="preserve">överlagt med regeringen </w:t>
      </w:r>
      <w:r w:rsidR="00B8262B" w:rsidRPr="00992B66">
        <w:t xml:space="preserve">om EU-frågor </w:t>
      </w:r>
      <w:r w:rsidR="00992B66" w:rsidRPr="00992B66">
        <w:t>låg under 2016 på ungefär samma nivå som under 2015.</w:t>
      </w:r>
      <w:r w:rsidR="00FA220B" w:rsidRPr="00A750D9">
        <w:rPr>
          <w:u w:val="single"/>
        </w:rPr>
        <w:t xml:space="preserve"> </w:t>
      </w:r>
    </w:p>
    <w:p w:rsidR="00D035BF" w:rsidRDefault="00A01871" w:rsidP="00D035BF">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 xml:space="preserve">Tabell </w:t>
      </w:r>
      <w:r w:rsidR="00F52B51">
        <w:rPr>
          <w:rFonts w:eastAsiaTheme="majorEastAsia" w:cstheme="majorBidi"/>
          <w:b/>
        </w:rPr>
        <w:t>8</w:t>
      </w:r>
      <w:r>
        <w:rPr>
          <w:rFonts w:eastAsiaTheme="majorEastAsia" w:cstheme="majorBidi"/>
          <w:b/>
        </w:rPr>
        <w:t xml:space="preserve"> </w:t>
      </w:r>
      <w:r w:rsidR="00B8262B" w:rsidRPr="006502EF">
        <w:rPr>
          <w:rFonts w:eastAsiaTheme="majorEastAsia" w:cstheme="majorBidi"/>
          <w:b/>
        </w:rPr>
        <w:t>Utskottens</w:t>
      </w:r>
      <w:r w:rsidR="00F871A3" w:rsidRPr="006502EF">
        <w:rPr>
          <w:rFonts w:eastAsiaTheme="majorEastAsia" w:cstheme="majorBidi"/>
          <w:b/>
        </w:rPr>
        <w:t xml:space="preserve"> EU-är</w:t>
      </w:r>
      <w:r w:rsidR="00165BCB" w:rsidRPr="006502EF">
        <w:rPr>
          <w:rFonts w:eastAsiaTheme="majorEastAsia" w:cstheme="majorBidi"/>
          <w:b/>
        </w:rPr>
        <w:t xml:space="preserve">enden </w:t>
      </w:r>
    </w:p>
    <w:tbl>
      <w:tblPr>
        <w:tblStyle w:val="Tabellrutnt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2"/>
        <w:gridCol w:w="850"/>
        <w:gridCol w:w="733"/>
      </w:tblGrid>
      <w:tr w:rsidR="009F535B" w:rsidRPr="009F535B" w:rsidTr="00594C7B">
        <w:tc>
          <w:tcPr>
            <w:tcW w:w="3686" w:type="dxa"/>
            <w:tcBorders>
              <w:top w:val="single" w:sz="4" w:space="0" w:color="auto"/>
              <w:bottom w:val="single" w:sz="4" w:space="0" w:color="auto"/>
            </w:tcBorders>
          </w:tcPr>
          <w:p w:rsidR="009F535B" w:rsidRPr="009F535B" w:rsidRDefault="009F535B" w:rsidP="009F535B">
            <w:pPr>
              <w:spacing w:before="60" w:line="200" w:lineRule="exact"/>
              <w:ind w:left="1304"/>
              <w:rPr>
                <w:sz w:val="16"/>
                <w:szCs w:val="16"/>
              </w:rPr>
            </w:pPr>
          </w:p>
        </w:tc>
        <w:tc>
          <w:tcPr>
            <w:tcW w:w="562"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F871A3">
              <w:rPr>
                <w:rFonts w:eastAsia="Times New Roman"/>
                <w:b/>
                <w:sz w:val="16"/>
                <w:szCs w:val="16"/>
                <w:lang w:eastAsia="sv-SE"/>
              </w:rPr>
              <w:t>6</w:t>
            </w:r>
          </w:p>
        </w:tc>
        <w:tc>
          <w:tcPr>
            <w:tcW w:w="850"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F871A3">
              <w:rPr>
                <w:rFonts w:eastAsia="Times New Roman"/>
                <w:b/>
                <w:sz w:val="16"/>
                <w:szCs w:val="16"/>
                <w:lang w:eastAsia="sv-SE"/>
              </w:rPr>
              <w:t>5</w:t>
            </w:r>
          </w:p>
        </w:tc>
        <w:tc>
          <w:tcPr>
            <w:tcW w:w="733" w:type="dxa"/>
            <w:tcBorders>
              <w:top w:val="single" w:sz="4" w:space="0" w:color="auto"/>
              <w:bottom w:val="single" w:sz="4" w:space="0" w:color="auto"/>
            </w:tcBorders>
          </w:tcPr>
          <w:p w:rsidR="009F535B" w:rsidRPr="009F535B" w:rsidRDefault="009F535B" w:rsidP="009F535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9F535B">
              <w:rPr>
                <w:rFonts w:eastAsia="Times New Roman"/>
                <w:b/>
                <w:sz w:val="16"/>
                <w:szCs w:val="16"/>
                <w:lang w:eastAsia="sv-SE"/>
              </w:rPr>
              <w:t>201</w:t>
            </w:r>
            <w:r w:rsidR="00F871A3">
              <w:rPr>
                <w:rFonts w:eastAsia="Times New Roman"/>
                <w:b/>
                <w:sz w:val="16"/>
                <w:szCs w:val="16"/>
                <w:lang w:eastAsia="sv-SE"/>
              </w:rPr>
              <w:t>4</w:t>
            </w:r>
          </w:p>
        </w:tc>
      </w:tr>
      <w:tr w:rsidR="00F871A3" w:rsidRPr="009F535B" w:rsidTr="00594C7B">
        <w:tc>
          <w:tcPr>
            <w:tcW w:w="3686" w:type="dxa"/>
            <w:tcBorders>
              <w:top w:val="single" w:sz="4" w:space="0" w:color="auto"/>
            </w:tcBorders>
          </w:tcPr>
          <w:p w:rsidR="00F871A3" w:rsidRPr="009F535B" w:rsidRDefault="005947AE" w:rsidP="00F871A3">
            <w:pPr>
              <w:spacing w:before="60" w:line="200" w:lineRule="exact"/>
              <w:jc w:val="left"/>
              <w:rPr>
                <w:rFonts w:eastAsia="Times New Roman"/>
                <w:sz w:val="16"/>
                <w:szCs w:val="24"/>
                <w:lang w:eastAsia="sv-SE"/>
              </w:rPr>
            </w:pPr>
            <w:r>
              <w:rPr>
                <w:rFonts w:eastAsia="Times New Roman"/>
                <w:sz w:val="16"/>
                <w:szCs w:val="24"/>
                <w:lang w:eastAsia="sv-SE"/>
              </w:rPr>
              <w:t>Genomförda s</w:t>
            </w:r>
            <w:r w:rsidR="00F871A3" w:rsidRPr="009F535B">
              <w:rPr>
                <w:rFonts w:eastAsia="Times New Roman"/>
                <w:sz w:val="16"/>
                <w:szCs w:val="24"/>
                <w:lang w:eastAsia="sv-SE"/>
              </w:rPr>
              <w:t>ubsidiaritetsprövningar</w:t>
            </w:r>
          </w:p>
        </w:tc>
        <w:tc>
          <w:tcPr>
            <w:tcW w:w="562" w:type="dxa"/>
            <w:tcBorders>
              <w:top w:val="single" w:sz="4" w:space="0" w:color="auto"/>
            </w:tcBorders>
          </w:tcPr>
          <w:p w:rsidR="00F871A3" w:rsidRPr="009F535B" w:rsidRDefault="005947AE" w:rsidP="00F871A3">
            <w:pPr>
              <w:spacing w:before="60" w:line="200" w:lineRule="exact"/>
              <w:jc w:val="right"/>
              <w:rPr>
                <w:rFonts w:eastAsia="Times New Roman"/>
                <w:sz w:val="16"/>
                <w:szCs w:val="24"/>
                <w:lang w:eastAsia="sv-SE"/>
              </w:rPr>
            </w:pPr>
            <w:r>
              <w:rPr>
                <w:rFonts w:eastAsia="Times New Roman"/>
                <w:sz w:val="16"/>
                <w:szCs w:val="24"/>
                <w:lang w:eastAsia="sv-SE"/>
              </w:rPr>
              <w:t>102</w:t>
            </w:r>
          </w:p>
        </w:tc>
        <w:tc>
          <w:tcPr>
            <w:tcW w:w="850" w:type="dxa"/>
            <w:tcBorders>
              <w:top w:val="single" w:sz="4" w:space="0" w:color="auto"/>
            </w:tcBorders>
          </w:tcPr>
          <w:p w:rsidR="00F871A3" w:rsidRPr="009F535B" w:rsidRDefault="00F871A3" w:rsidP="00F871A3">
            <w:pPr>
              <w:spacing w:before="60" w:line="200" w:lineRule="exact"/>
              <w:jc w:val="right"/>
              <w:rPr>
                <w:rFonts w:eastAsia="Times New Roman"/>
                <w:sz w:val="16"/>
                <w:szCs w:val="24"/>
                <w:lang w:eastAsia="sv-SE"/>
              </w:rPr>
            </w:pPr>
            <w:r>
              <w:rPr>
                <w:rFonts w:eastAsia="Times New Roman"/>
                <w:sz w:val="16"/>
                <w:szCs w:val="24"/>
                <w:lang w:eastAsia="sv-SE"/>
              </w:rPr>
              <w:t>21</w:t>
            </w:r>
          </w:p>
        </w:tc>
        <w:tc>
          <w:tcPr>
            <w:tcW w:w="733" w:type="dxa"/>
            <w:tcBorders>
              <w:top w:val="single" w:sz="4" w:space="0" w:color="auto"/>
            </w:tcBorders>
          </w:tcPr>
          <w:p w:rsidR="00F871A3" w:rsidRPr="009F535B" w:rsidRDefault="00F871A3" w:rsidP="00F871A3">
            <w:pPr>
              <w:spacing w:before="60" w:line="200" w:lineRule="exact"/>
              <w:jc w:val="right"/>
              <w:rPr>
                <w:rFonts w:eastAsia="Times New Roman"/>
                <w:sz w:val="16"/>
                <w:szCs w:val="24"/>
                <w:lang w:eastAsia="sv-SE"/>
              </w:rPr>
            </w:pPr>
            <w:r w:rsidRPr="009F535B">
              <w:rPr>
                <w:rFonts w:eastAsia="Times New Roman"/>
                <w:sz w:val="16"/>
                <w:szCs w:val="24"/>
                <w:lang w:eastAsia="sv-SE"/>
              </w:rPr>
              <w:t>58</w:t>
            </w:r>
          </w:p>
        </w:tc>
      </w:tr>
      <w:tr w:rsidR="00F871A3" w:rsidRPr="009F535B" w:rsidTr="00594C7B">
        <w:tc>
          <w:tcPr>
            <w:tcW w:w="3686" w:type="dxa"/>
          </w:tcPr>
          <w:p w:rsidR="00F871A3" w:rsidRPr="009F535B" w:rsidRDefault="00F871A3" w:rsidP="00F871A3">
            <w:pPr>
              <w:spacing w:before="60" w:line="200" w:lineRule="exact"/>
              <w:jc w:val="left"/>
              <w:rPr>
                <w:rFonts w:eastAsia="Times New Roman"/>
                <w:sz w:val="16"/>
                <w:szCs w:val="24"/>
                <w:lang w:eastAsia="sv-SE"/>
              </w:rPr>
            </w:pPr>
            <w:r>
              <w:rPr>
                <w:rFonts w:eastAsia="Times New Roman"/>
                <w:sz w:val="16"/>
                <w:szCs w:val="24"/>
                <w:lang w:eastAsia="sv-SE"/>
              </w:rPr>
              <w:t xml:space="preserve">– </w:t>
            </w:r>
            <w:r w:rsidRPr="009F535B">
              <w:rPr>
                <w:rFonts w:eastAsia="Times New Roman"/>
                <w:sz w:val="16"/>
                <w:szCs w:val="24"/>
                <w:lang w:eastAsia="sv-SE"/>
              </w:rPr>
              <w:t>därav prövningar som lett till ett prövningsutlåtande</w:t>
            </w:r>
          </w:p>
        </w:tc>
        <w:tc>
          <w:tcPr>
            <w:tcW w:w="562" w:type="dxa"/>
            <w:vAlign w:val="bottom"/>
          </w:tcPr>
          <w:p w:rsidR="00F871A3" w:rsidRPr="009F535B" w:rsidRDefault="005917BA" w:rsidP="00F871A3">
            <w:pPr>
              <w:spacing w:before="60" w:line="200" w:lineRule="exact"/>
              <w:jc w:val="right"/>
              <w:rPr>
                <w:rFonts w:eastAsia="Times New Roman"/>
                <w:sz w:val="16"/>
                <w:szCs w:val="24"/>
                <w:lang w:eastAsia="sv-SE"/>
              </w:rPr>
            </w:pPr>
            <w:r>
              <w:rPr>
                <w:rFonts w:eastAsia="Times New Roman"/>
                <w:sz w:val="16"/>
                <w:szCs w:val="24"/>
                <w:lang w:eastAsia="sv-SE"/>
              </w:rPr>
              <w:t>13</w:t>
            </w:r>
          </w:p>
        </w:tc>
        <w:tc>
          <w:tcPr>
            <w:tcW w:w="850" w:type="dxa"/>
            <w:vAlign w:val="bottom"/>
          </w:tcPr>
          <w:p w:rsidR="00F871A3" w:rsidRPr="009F535B" w:rsidRDefault="00F871A3" w:rsidP="00F871A3">
            <w:pPr>
              <w:spacing w:before="60" w:line="200" w:lineRule="exact"/>
              <w:jc w:val="right"/>
              <w:rPr>
                <w:rFonts w:eastAsia="Times New Roman"/>
                <w:sz w:val="16"/>
                <w:szCs w:val="24"/>
                <w:lang w:eastAsia="sv-SE"/>
              </w:rPr>
            </w:pPr>
            <w:r>
              <w:rPr>
                <w:rFonts w:eastAsia="Times New Roman"/>
                <w:sz w:val="16"/>
                <w:szCs w:val="24"/>
                <w:lang w:eastAsia="sv-SE"/>
              </w:rPr>
              <w:t>1</w:t>
            </w:r>
          </w:p>
        </w:tc>
        <w:tc>
          <w:tcPr>
            <w:tcW w:w="733" w:type="dxa"/>
            <w:vAlign w:val="bottom"/>
          </w:tcPr>
          <w:p w:rsidR="00F871A3" w:rsidRPr="009F535B" w:rsidRDefault="00F871A3" w:rsidP="00F871A3">
            <w:pPr>
              <w:spacing w:before="60" w:line="200" w:lineRule="exact"/>
              <w:jc w:val="right"/>
              <w:rPr>
                <w:rFonts w:eastAsia="Times New Roman"/>
                <w:sz w:val="16"/>
                <w:szCs w:val="24"/>
                <w:lang w:eastAsia="sv-SE"/>
              </w:rPr>
            </w:pPr>
            <w:r w:rsidRPr="009F535B">
              <w:rPr>
                <w:rFonts w:eastAsia="Times New Roman"/>
                <w:sz w:val="16"/>
                <w:szCs w:val="24"/>
                <w:lang w:eastAsia="sv-SE"/>
              </w:rPr>
              <w:t>3</w:t>
            </w:r>
          </w:p>
        </w:tc>
      </w:tr>
      <w:tr w:rsidR="00F871A3" w:rsidRPr="009F535B" w:rsidTr="00594C7B">
        <w:tc>
          <w:tcPr>
            <w:tcW w:w="3686" w:type="dxa"/>
          </w:tcPr>
          <w:p w:rsidR="00F871A3" w:rsidRPr="009F535B" w:rsidRDefault="00F871A3" w:rsidP="00F871A3">
            <w:pPr>
              <w:spacing w:before="60" w:line="200" w:lineRule="exact"/>
              <w:jc w:val="left"/>
              <w:rPr>
                <w:rFonts w:eastAsia="Times New Roman"/>
                <w:sz w:val="16"/>
                <w:szCs w:val="24"/>
                <w:lang w:eastAsia="sv-SE"/>
              </w:rPr>
            </w:pPr>
            <w:r w:rsidRPr="009F535B">
              <w:rPr>
                <w:rFonts w:eastAsia="Times New Roman"/>
                <w:sz w:val="16"/>
                <w:szCs w:val="24"/>
                <w:lang w:eastAsia="sv-SE"/>
              </w:rPr>
              <w:t>Granskningsutlåtanden</w:t>
            </w:r>
          </w:p>
        </w:tc>
        <w:tc>
          <w:tcPr>
            <w:tcW w:w="562" w:type="dxa"/>
          </w:tcPr>
          <w:p w:rsidR="00F871A3" w:rsidRPr="009F535B" w:rsidRDefault="005917BA" w:rsidP="00F871A3">
            <w:pPr>
              <w:spacing w:before="60" w:line="200" w:lineRule="exact"/>
              <w:jc w:val="right"/>
              <w:rPr>
                <w:rFonts w:eastAsia="Times New Roman"/>
                <w:sz w:val="16"/>
                <w:szCs w:val="24"/>
                <w:lang w:eastAsia="sv-SE"/>
              </w:rPr>
            </w:pPr>
            <w:r>
              <w:rPr>
                <w:rFonts w:eastAsia="Times New Roman"/>
                <w:sz w:val="16"/>
                <w:szCs w:val="24"/>
                <w:lang w:eastAsia="sv-SE"/>
              </w:rPr>
              <w:t>11</w:t>
            </w:r>
          </w:p>
        </w:tc>
        <w:tc>
          <w:tcPr>
            <w:tcW w:w="850" w:type="dxa"/>
          </w:tcPr>
          <w:p w:rsidR="00F871A3" w:rsidRPr="009F535B" w:rsidRDefault="00F871A3" w:rsidP="00F871A3">
            <w:pPr>
              <w:spacing w:before="60" w:line="200" w:lineRule="exact"/>
              <w:jc w:val="right"/>
              <w:rPr>
                <w:rFonts w:eastAsia="Times New Roman"/>
                <w:sz w:val="16"/>
                <w:szCs w:val="24"/>
                <w:lang w:eastAsia="sv-SE"/>
              </w:rPr>
            </w:pPr>
            <w:r>
              <w:rPr>
                <w:rFonts w:eastAsia="Times New Roman"/>
                <w:sz w:val="16"/>
                <w:szCs w:val="24"/>
                <w:lang w:eastAsia="sv-SE"/>
              </w:rPr>
              <w:t>10</w:t>
            </w:r>
          </w:p>
        </w:tc>
        <w:tc>
          <w:tcPr>
            <w:tcW w:w="733" w:type="dxa"/>
          </w:tcPr>
          <w:p w:rsidR="00F871A3" w:rsidRPr="009F535B" w:rsidRDefault="00F871A3" w:rsidP="00F871A3">
            <w:pPr>
              <w:spacing w:before="60" w:line="200" w:lineRule="exact"/>
              <w:jc w:val="right"/>
              <w:rPr>
                <w:rFonts w:eastAsia="Times New Roman"/>
                <w:sz w:val="16"/>
                <w:szCs w:val="24"/>
                <w:lang w:eastAsia="sv-SE"/>
              </w:rPr>
            </w:pPr>
            <w:r w:rsidRPr="009F535B">
              <w:rPr>
                <w:rFonts w:eastAsia="Times New Roman"/>
                <w:sz w:val="16"/>
                <w:szCs w:val="24"/>
                <w:lang w:eastAsia="sv-SE"/>
              </w:rPr>
              <w:t>8</w:t>
            </w:r>
          </w:p>
        </w:tc>
      </w:tr>
      <w:tr w:rsidR="00F871A3" w:rsidRPr="009F535B" w:rsidTr="00594C7B">
        <w:tc>
          <w:tcPr>
            <w:tcW w:w="3686" w:type="dxa"/>
          </w:tcPr>
          <w:p w:rsidR="00F871A3" w:rsidRPr="009F535B" w:rsidRDefault="00F871A3" w:rsidP="00F871A3">
            <w:pPr>
              <w:spacing w:before="60" w:line="200" w:lineRule="exact"/>
              <w:jc w:val="left"/>
              <w:rPr>
                <w:rFonts w:eastAsia="Times New Roman"/>
                <w:sz w:val="16"/>
                <w:szCs w:val="24"/>
                <w:lang w:eastAsia="sv-SE"/>
              </w:rPr>
            </w:pPr>
            <w:r w:rsidRPr="009F535B">
              <w:rPr>
                <w:rFonts w:eastAsia="Times New Roman"/>
                <w:sz w:val="16"/>
                <w:szCs w:val="24"/>
                <w:lang w:eastAsia="sv-SE"/>
              </w:rPr>
              <w:t>Överläggningar med regeringen i EU-ärenden</w:t>
            </w:r>
          </w:p>
        </w:tc>
        <w:tc>
          <w:tcPr>
            <w:tcW w:w="562" w:type="dxa"/>
          </w:tcPr>
          <w:p w:rsidR="00F871A3" w:rsidRPr="009F535B" w:rsidRDefault="005917BA" w:rsidP="00F871A3">
            <w:pPr>
              <w:spacing w:before="60" w:line="200" w:lineRule="exact"/>
              <w:jc w:val="right"/>
              <w:rPr>
                <w:rFonts w:eastAsia="Times New Roman"/>
                <w:sz w:val="16"/>
                <w:szCs w:val="24"/>
                <w:lang w:eastAsia="sv-SE"/>
              </w:rPr>
            </w:pPr>
            <w:r>
              <w:rPr>
                <w:rFonts w:eastAsia="Times New Roman"/>
                <w:sz w:val="16"/>
                <w:szCs w:val="24"/>
                <w:lang w:eastAsia="sv-SE"/>
              </w:rPr>
              <w:t>66</w:t>
            </w:r>
          </w:p>
        </w:tc>
        <w:tc>
          <w:tcPr>
            <w:tcW w:w="850" w:type="dxa"/>
          </w:tcPr>
          <w:p w:rsidR="00F871A3" w:rsidRPr="009F535B" w:rsidRDefault="00F871A3" w:rsidP="00F871A3">
            <w:pPr>
              <w:spacing w:before="60" w:line="200" w:lineRule="exact"/>
              <w:jc w:val="right"/>
              <w:rPr>
                <w:rFonts w:eastAsia="Times New Roman"/>
                <w:sz w:val="16"/>
                <w:szCs w:val="24"/>
                <w:lang w:eastAsia="sv-SE"/>
              </w:rPr>
            </w:pPr>
            <w:r>
              <w:rPr>
                <w:rFonts w:eastAsia="Times New Roman"/>
                <w:sz w:val="16"/>
                <w:szCs w:val="24"/>
                <w:lang w:eastAsia="sv-SE"/>
              </w:rPr>
              <w:t>63</w:t>
            </w:r>
          </w:p>
        </w:tc>
        <w:tc>
          <w:tcPr>
            <w:tcW w:w="733" w:type="dxa"/>
          </w:tcPr>
          <w:p w:rsidR="00F871A3" w:rsidRPr="009F535B" w:rsidRDefault="00F871A3" w:rsidP="00F871A3">
            <w:pPr>
              <w:spacing w:before="60" w:line="200" w:lineRule="exact"/>
              <w:jc w:val="right"/>
              <w:rPr>
                <w:rFonts w:eastAsia="Times New Roman"/>
                <w:sz w:val="16"/>
                <w:szCs w:val="24"/>
                <w:lang w:eastAsia="sv-SE"/>
              </w:rPr>
            </w:pPr>
            <w:r w:rsidRPr="009F535B">
              <w:rPr>
                <w:rFonts w:eastAsia="Times New Roman"/>
                <w:sz w:val="16"/>
                <w:szCs w:val="24"/>
                <w:lang w:eastAsia="sv-SE"/>
              </w:rPr>
              <w:t>43</w:t>
            </w:r>
          </w:p>
        </w:tc>
      </w:tr>
    </w:tbl>
    <w:p w:rsidR="00D035BF" w:rsidRPr="00F908FF" w:rsidRDefault="00D035BF" w:rsidP="00D035BF">
      <w:pPr>
        <w:spacing w:before="125"/>
      </w:pPr>
      <w:r w:rsidRPr="00F908FF">
        <w:t xml:space="preserve">Regeringen samråder med riksdagens EU-nämnd om hur Sverige ska ställa sig i frågor som EU:s ministerråd och Europeiska rådet ska fatta beslut om. Nämnden biträds av ett kansli. </w:t>
      </w:r>
      <w:r w:rsidR="00F908FF" w:rsidRPr="00F908FF">
        <w:t>Under 2016</w:t>
      </w:r>
      <w:r w:rsidR="00451D5D" w:rsidRPr="00F908FF">
        <w:t xml:space="preserve"> </w:t>
      </w:r>
      <w:r w:rsidR="00F908FF" w:rsidRPr="00F908FF">
        <w:t>sammanträdde nämnden lika många gånger som under året innan</w:t>
      </w:r>
      <w:r w:rsidR="00451D5D" w:rsidRPr="00F908FF">
        <w:t xml:space="preserve">. </w:t>
      </w:r>
    </w:p>
    <w:p w:rsidR="00FD5F8B" w:rsidRP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F52B51">
        <w:rPr>
          <w:rFonts w:eastAsiaTheme="majorEastAsia" w:cstheme="majorBidi"/>
          <w:b/>
        </w:rPr>
        <w:t>9</w:t>
      </w:r>
      <w:r w:rsidRPr="00FD5F8B">
        <w:rPr>
          <w:rFonts w:eastAsiaTheme="majorEastAsia" w:cstheme="majorBidi"/>
          <w:b/>
        </w:rPr>
        <w:t xml:space="preserve"> </w:t>
      </w:r>
      <w:r w:rsidRPr="005322AC">
        <w:rPr>
          <w:rFonts w:eastAsiaTheme="majorEastAsia" w:cstheme="majorBidi"/>
          <w:b/>
        </w:rPr>
        <w:t>Antal sammantr</w:t>
      </w:r>
      <w:r w:rsidR="00165BCB" w:rsidRPr="005322AC">
        <w:rPr>
          <w:rFonts w:eastAsiaTheme="majorEastAsia" w:cstheme="majorBidi"/>
          <w:b/>
        </w:rPr>
        <w:t xml:space="preserve">äden i EU-nämnden </w:t>
      </w:r>
    </w:p>
    <w:tbl>
      <w:tblPr>
        <w:tblStyle w:val="Tabellrutnt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945"/>
        <w:gridCol w:w="1276"/>
        <w:gridCol w:w="1153"/>
      </w:tblGrid>
      <w:tr w:rsidR="00FD5F8B" w:rsidRPr="00FD5F8B" w:rsidTr="00594C7B">
        <w:tc>
          <w:tcPr>
            <w:tcW w:w="1457" w:type="dxa"/>
            <w:tcBorders>
              <w:top w:val="single" w:sz="4" w:space="0" w:color="auto"/>
              <w:bottom w:val="single" w:sz="4" w:space="0" w:color="auto"/>
            </w:tcBorders>
          </w:tcPr>
          <w:p w:rsidR="00FD5F8B" w:rsidRPr="00FD5F8B" w:rsidRDefault="00FD5F8B" w:rsidP="00FD5F8B">
            <w:pPr>
              <w:spacing w:before="60" w:line="200" w:lineRule="exact"/>
              <w:ind w:left="1304"/>
              <w:rPr>
                <w:sz w:val="16"/>
                <w:szCs w:val="16"/>
              </w:rPr>
            </w:pPr>
          </w:p>
        </w:tc>
        <w:tc>
          <w:tcPr>
            <w:tcW w:w="1945"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F871A3">
              <w:rPr>
                <w:rFonts w:eastAsia="Times New Roman"/>
                <w:b/>
                <w:sz w:val="16"/>
                <w:szCs w:val="16"/>
                <w:lang w:eastAsia="sv-SE"/>
              </w:rPr>
              <w:t>6</w:t>
            </w:r>
          </w:p>
        </w:tc>
        <w:tc>
          <w:tcPr>
            <w:tcW w:w="1276"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F871A3">
              <w:rPr>
                <w:rFonts w:eastAsia="Times New Roman"/>
                <w:b/>
                <w:sz w:val="16"/>
                <w:szCs w:val="16"/>
                <w:lang w:eastAsia="sv-SE"/>
              </w:rPr>
              <w:t>5</w:t>
            </w:r>
          </w:p>
        </w:tc>
        <w:tc>
          <w:tcPr>
            <w:tcW w:w="1153"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FD5F8B">
              <w:rPr>
                <w:rFonts w:eastAsia="Times New Roman"/>
                <w:b/>
                <w:sz w:val="16"/>
                <w:szCs w:val="16"/>
                <w:lang w:eastAsia="sv-SE"/>
              </w:rPr>
              <w:t>201</w:t>
            </w:r>
            <w:r w:rsidR="00F871A3">
              <w:rPr>
                <w:rFonts w:eastAsia="Times New Roman"/>
                <w:b/>
                <w:sz w:val="16"/>
                <w:szCs w:val="16"/>
                <w:lang w:eastAsia="sv-SE"/>
              </w:rPr>
              <w:t>4</w:t>
            </w:r>
          </w:p>
        </w:tc>
      </w:tr>
      <w:tr w:rsidR="00FD5F8B" w:rsidRPr="00FD5F8B" w:rsidTr="00594C7B">
        <w:tc>
          <w:tcPr>
            <w:tcW w:w="1457" w:type="dxa"/>
            <w:tcBorders>
              <w:top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r w:rsidRPr="00FD5F8B">
              <w:rPr>
                <w:rFonts w:eastAsia="Times New Roman"/>
                <w:sz w:val="16"/>
                <w:szCs w:val="16"/>
                <w:lang w:eastAsia="sv-SE"/>
              </w:rPr>
              <w:t>Sammanträden</w:t>
            </w:r>
          </w:p>
        </w:tc>
        <w:tc>
          <w:tcPr>
            <w:tcW w:w="1945" w:type="dxa"/>
            <w:tcBorders>
              <w:top w:val="single" w:sz="4" w:space="0" w:color="auto"/>
            </w:tcBorders>
          </w:tcPr>
          <w:p w:rsidR="00FD5F8B" w:rsidRPr="00FD5F8B" w:rsidRDefault="00F82FDE"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51</w:t>
            </w:r>
          </w:p>
        </w:tc>
        <w:tc>
          <w:tcPr>
            <w:tcW w:w="1276" w:type="dxa"/>
            <w:tcBorders>
              <w:top w:val="single" w:sz="4" w:space="0" w:color="auto"/>
            </w:tcBorders>
          </w:tcPr>
          <w:p w:rsidR="00FD5F8B" w:rsidRPr="00FD5F8B" w:rsidRDefault="00F871A3"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Pr>
                <w:rFonts w:eastAsia="Times New Roman"/>
                <w:sz w:val="16"/>
                <w:szCs w:val="16"/>
                <w:lang w:eastAsia="sv-SE"/>
              </w:rPr>
              <w:t>51</w:t>
            </w:r>
          </w:p>
        </w:tc>
        <w:tc>
          <w:tcPr>
            <w:tcW w:w="1153" w:type="dxa"/>
            <w:tcBorders>
              <w:top w:val="single" w:sz="4" w:space="0" w:color="auto"/>
            </w:tcBorders>
          </w:tcPr>
          <w:p w:rsidR="00FD5F8B" w:rsidRPr="00FD5F8B" w:rsidRDefault="00F871A3"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sz w:val="16"/>
                <w:szCs w:val="16"/>
                <w:lang w:eastAsia="sv-SE"/>
              </w:rPr>
            </w:pPr>
            <w:r w:rsidRPr="00AA306F">
              <w:rPr>
                <w:rFonts w:eastAsia="Times New Roman"/>
                <w:sz w:val="16"/>
                <w:szCs w:val="16"/>
                <w:lang w:eastAsia="sv-SE"/>
              </w:rPr>
              <w:t>57</w:t>
            </w:r>
          </w:p>
        </w:tc>
      </w:tr>
    </w:tbl>
    <w:p w:rsidR="00FD5F8B" w:rsidRPr="00FD5F8B" w:rsidRDefault="00FD5F8B" w:rsidP="0098555F">
      <w:pPr>
        <w:pStyle w:val="Rubrik4"/>
      </w:pPr>
      <w:r w:rsidRPr="00FD5F8B">
        <w:t>Internationell verksamhet</w:t>
      </w:r>
    </w:p>
    <w:p w:rsidR="00FD5F8B" w:rsidRPr="001175DA" w:rsidRDefault="00FD5F8B" w:rsidP="00FD5F8B">
      <w:r w:rsidRPr="001175DA">
        <w:t xml:space="preserve">Riksdagen har ett omfattande internationellt besöksutbyte där förvaltningen bistår riksdagens </w:t>
      </w:r>
      <w:r w:rsidR="002A7F47" w:rsidRPr="001175DA">
        <w:t>talman</w:t>
      </w:r>
      <w:r w:rsidR="001175DA" w:rsidRPr="001175DA">
        <w:t>, vice talmän</w:t>
      </w:r>
      <w:r w:rsidR="002A7F47" w:rsidRPr="001175DA">
        <w:t xml:space="preserve"> och </w:t>
      </w:r>
      <w:r w:rsidRPr="001175DA">
        <w:t xml:space="preserve">ledamöter vid planering, genomförande och uppföljning av besök och resor. Det gäller också vid deltagande i internationella parlamentariska församlingar och i samband med ledamöternas uppdrag som valobservatörer i andra länder. </w:t>
      </w:r>
    </w:p>
    <w:p w:rsidR="00FD5F8B" w:rsidRPr="00A750D9" w:rsidRDefault="00FD5F8B" w:rsidP="00FD5F8B">
      <w:pPr>
        <w:pStyle w:val="Normaltindrag"/>
        <w:rPr>
          <w:u w:val="single"/>
        </w:rPr>
      </w:pPr>
      <w:r w:rsidRPr="00C84ADC">
        <w:t xml:space="preserve">Många av </w:t>
      </w:r>
      <w:r w:rsidR="00C84ADC" w:rsidRPr="00C84ADC">
        <w:t>de internationella åtagandena för riksdagens ledamöter</w:t>
      </w:r>
      <w:r w:rsidRPr="00C84ADC">
        <w:t xml:space="preserve"> ryms inom ramen för de interparlamentariska församlingarna. Sammanlagt ingår ett hundratal riksdagsledamöter i riksdagens delegationer till de interparlamentariska församlingarna</w:t>
      </w:r>
      <w:r w:rsidRPr="004335E5">
        <w:t xml:space="preserve">. Förvaltningen ansvarar för sekretariatsstödet till riksdagens delegationer till Nordiska rådet, Europarådets parlamentariska församling, OSSE:s parlamentariska församling (Organisationen för säkerhet och samarbete i Europa), den parlamentariska församlingen </w:t>
      </w:r>
      <w:r w:rsidR="002A7F47" w:rsidRPr="004335E5">
        <w:t>för Unionen för Medelhavet</w:t>
      </w:r>
      <w:r w:rsidRPr="004335E5">
        <w:t>, Interparlamentariska unionen och Natos parlamentariska församling (se tabell</w:t>
      </w:r>
      <w:r w:rsidR="00282A86" w:rsidRPr="004335E5">
        <w:t>en</w:t>
      </w:r>
      <w:r w:rsidRPr="004335E5">
        <w:t xml:space="preserve"> nedan).</w:t>
      </w:r>
      <w:r w:rsidRPr="002D308B">
        <w:t xml:space="preserve"> Vidare biträder förvaltningen riksdagsledamöterna i det arktiska samarbetet, Östersjösamarbetet samt vid en rad andra interna</w:t>
      </w:r>
      <w:r w:rsidRPr="002D308B">
        <w:softHyphen/>
        <w:t xml:space="preserve">tionella möten och konferenser. </w:t>
      </w:r>
    </w:p>
    <w:p w:rsidR="00F02E5F" w:rsidRPr="001D7479" w:rsidRDefault="00FD5F8B" w:rsidP="00A32080">
      <w:pPr>
        <w:pStyle w:val="Normaltindrag"/>
        <w:suppressAutoHyphens/>
      </w:pPr>
      <w:r w:rsidRPr="00567371">
        <w:t xml:space="preserve">Förvaltningen har också </w:t>
      </w:r>
      <w:r w:rsidR="008243FD">
        <w:t xml:space="preserve">bistått vid </w:t>
      </w:r>
      <w:r w:rsidRPr="00567371">
        <w:t>ledamöte</w:t>
      </w:r>
      <w:r w:rsidR="00567371" w:rsidRPr="00567371">
        <w:t xml:space="preserve">rs deltagande i </w:t>
      </w:r>
      <w:r w:rsidR="00567371" w:rsidRPr="00840D2D">
        <w:t>valobserva</w:t>
      </w:r>
      <w:r w:rsidR="00504ED8" w:rsidRPr="00840D2D">
        <w:softHyphen/>
      </w:r>
      <w:r w:rsidR="00633671" w:rsidRPr="00840D2D">
        <w:t>t</w:t>
      </w:r>
      <w:r w:rsidR="00567371" w:rsidRPr="00567371">
        <w:t>ioner</w:t>
      </w:r>
      <w:r w:rsidRPr="00567371">
        <w:t>. Under 201</w:t>
      </w:r>
      <w:r w:rsidR="00567371" w:rsidRPr="00567371">
        <w:t>6</w:t>
      </w:r>
      <w:r w:rsidRPr="00567371">
        <w:t xml:space="preserve"> </w:t>
      </w:r>
      <w:r w:rsidR="00276B98">
        <w:t>medverkade</w:t>
      </w:r>
      <w:r w:rsidRPr="00567371">
        <w:t xml:space="preserve"> </w:t>
      </w:r>
      <w:r w:rsidR="00567371" w:rsidRPr="00567371">
        <w:t>36</w:t>
      </w:r>
      <w:r w:rsidRPr="00567371">
        <w:t xml:space="preserve"> svenska riksdagsledam</w:t>
      </w:r>
      <w:r w:rsidR="0004013B" w:rsidRPr="00567371">
        <w:t xml:space="preserve">öter </w:t>
      </w:r>
      <w:r w:rsidR="00276B98">
        <w:t>vid</w:t>
      </w:r>
      <w:r w:rsidR="0004013B" w:rsidRPr="00567371">
        <w:t xml:space="preserve"> totalt </w:t>
      </w:r>
      <w:r w:rsidR="00276B98">
        <w:t>tio</w:t>
      </w:r>
      <w:r w:rsidRPr="00567371">
        <w:t xml:space="preserve"> </w:t>
      </w:r>
      <w:r w:rsidRPr="00567371">
        <w:lastRenderedPageBreak/>
        <w:t>val i följande länder</w:t>
      </w:r>
      <w:r w:rsidRPr="001D7479">
        <w:t xml:space="preserve">: </w:t>
      </w:r>
      <w:r w:rsidR="00F02E5F" w:rsidRPr="001D7479">
        <w:t>Kazakstan, Vitryssland, Ryssland, Georgien (två valom</w:t>
      </w:r>
      <w:r w:rsidR="00A32080">
        <w:softHyphen/>
      </w:r>
      <w:r w:rsidR="00F02E5F" w:rsidRPr="001D7479">
        <w:t>gångar), Montenegro, Moldavien (två valomgångar), USA och Makedonien.</w:t>
      </w:r>
    </w:p>
    <w:p w:rsidR="009A6833" w:rsidRDefault="001D7479" w:rsidP="00633671">
      <w:pPr>
        <w:pStyle w:val="Normaltindrag"/>
      </w:pPr>
      <w:r w:rsidRPr="001D7479">
        <w:t>Vid valen</w:t>
      </w:r>
      <w:r w:rsidR="0004013B" w:rsidRPr="001D7479">
        <w:t xml:space="preserve"> i </w:t>
      </w:r>
      <w:r w:rsidR="007232CD" w:rsidRPr="001D7479">
        <w:t xml:space="preserve">Vitryssland och Montenegro </w:t>
      </w:r>
      <w:r w:rsidR="0004013B" w:rsidRPr="001D7479">
        <w:t>ledde en riksdagsledamot</w:t>
      </w:r>
      <w:r w:rsidR="007232CD" w:rsidRPr="001D7479">
        <w:t xml:space="preserve"> hela val</w:t>
      </w:r>
      <w:r w:rsidR="00D74050">
        <w:t>-</w:t>
      </w:r>
      <w:r w:rsidR="007232CD" w:rsidRPr="001D7479">
        <w:t>observationen</w:t>
      </w:r>
      <w:r w:rsidR="0004013B" w:rsidRPr="001D7479">
        <w:t>.</w:t>
      </w:r>
    </w:p>
    <w:p w:rsid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F52B51">
        <w:rPr>
          <w:rFonts w:eastAsiaTheme="majorEastAsia" w:cstheme="majorBidi"/>
          <w:b/>
        </w:rPr>
        <w:t>10</w:t>
      </w:r>
      <w:r w:rsidRPr="00FD5F8B">
        <w:rPr>
          <w:rFonts w:eastAsiaTheme="majorEastAsia" w:cstheme="majorBidi"/>
          <w:b/>
        </w:rPr>
        <w:t xml:space="preserve"> De interparlamentariska församlingarnas sessioner och större möten samt medel utbetalda av Riksdagsförvaltningen</w:t>
      </w:r>
    </w:p>
    <w:tbl>
      <w:tblPr>
        <w:tblStyle w:val="Tabellrutnt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992"/>
        <w:gridCol w:w="1134"/>
        <w:gridCol w:w="993"/>
        <w:gridCol w:w="874"/>
      </w:tblGrid>
      <w:tr w:rsidR="00FD5F8B" w:rsidRPr="00FD5F8B" w:rsidTr="00594C7B">
        <w:trPr>
          <w:cantSplit/>
          <w:tblHeader/>
        </w:trPr>
        <w:tc>
          <w:tcPr>
            <w:tcW w:w="1838"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Interparlamentarisk församling</w:t>
            </w:r>
          </w:p>
        </w:tc>
        <w:tc>
          <w:tcPr>
            <w:tcW w:w="992"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Delegation</w:t>
            </w:r>
          </w:p>
        </w:tc>
        <w:tc>
          <w:tcPr>
            <w:tcW w:w="1134"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 xml:space="preserve">Antal </w:t>
            </w:r>
            <w:r w:rsidRPr="00FD5F8B">
              <w:rPr>
                <w:rFonts w:eastAsia="Times New Roman"/>
                <w:b/>
                <w:sz w:val="17"/>
                <w:szCs w:val="24"/>
                <w:lang w:eastAsia="sv-SE"/>
              </w:rPr>
              <w:br/>
              <w:t xml:space="preserve">sessioner och större </w:t>
            </w:r>
          </w:p>
          <w:p w:rsidR="00FD5F8B" w:rsidRPr="00FD5F8B" w:rsidRDefault="00FD5F8B" w:rsidP="00AE0658">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b/>
                <w:sz w:val="17"/>
                <w:szCs w:val="24"/>
                <w:lang w:eastAsia="sv-SE"/>
              </w:rPr>
            </w:pPr>
            <w:r w:rsidRPr="00FD5F8B">
              <w:rPr>
                <w:rFonts w:eastAsia="Times New Roman"/>
                <w:b/>
                <w:sz w:val="17"/>
                <w:szCs w:val="24"/>
                <w:lang w:eastAsia="sv-SE"/>
              </w:rPr>
              <w:t>möten</w:t>
            </w:r>
          </w:p>
        </w:tc>
        <w:tc>
          <w:tcPr>
            <w:tcW w:w="993"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Kostnader (tkr)</w:t>
            </w:r>
          </w:p>
        </w:tc>
        <w:tc>
          <w:tcPr>
            <w:tcW w:w="874" w:type="dxa"/>
            <w:tcBorders>
              <w:top w:val="single" w:sz="4" w:space="0" w:color="auto"/>
              <w:bottom w:val="single" w:sz="4" w:space="0" w:color="auto"/>
            </w:tcBorders>
          </w:tcPr>
          <w:p w:rsidR="00FD5F8B" w:rsidRPr="00FD5F8B" w:rsidRDefault="00FD5F8B" w:rsidP="00FD5F8B">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7"/>
                <w:szCs w:val="24"/>
                <w:lang w:eastAsia="sv-SE"/>
              </w:rPr>
            </w:pPr>
            <w:r w:rsidRPr="00FD5F8B">
              <w:rPr>
                <w:rFonts w:eastAsia="Times New Roman"/>
                <w:b/>
                <w:sz w:val="17"/>
                <w:szCs w:val="24"/>
                <w:lang w:eastAsia="sv-SE"/>
              </w:rPr>
              <w:t>Utbetalt bidrag</w:t>
            </w:r>
            <w:r w:rsidRPr="00FD5F8B">
              <w:rPr>
                <w:rFonts w:eastAsia="Times New Roman"/>
                <w:sz w:val="17"/>
                <w:szCs w:val="24"/>
                <w:vertAlign w:val="superscript"/>
                <w:lang w:eastAsia="sv-SE"/>
              </w:rPr>
              <w:footnoteReference w:id="19"/>
            </w:r>
            <w:r w:rsidRPr="00FD5F8B">
              <w:rPr>
                <w:rFonts w:eastAsia="Times New Roman"/>
                <w:sz w:val="17"/>
                <w:szCs w:val="24"/>
                <w:lang w:eastAsia="sv-SE"/>
              </w:rPr>
              <w:t xml:space="preserve"> </w:t>
            </w:r>
            <w:r w:rsidRPr="00FD5F8B">
              <w:rPr>
                <w:rFonts w:eastAsia="Times New Roman"/>
                <w:b/>
                <w:sz w:val="17"/>
                <w:szCs w:val="24"/>
                <w:lang w:eastAsia="sv-SE"/>
              </w:rPr>
              <w:t>(tkr)</w:t>
            </w:r>
          </w:p>
        </w:tc>
      </w:tr>
      <w:tr w:rsidR="00FD5F8B" w:rsidRPr="00A750D9" w:rsidTr="00594C7B">
        <w:trPr>
          <w:cantSplit/>
        </w:trPr>
        <w:tc>
          <w:tcPr>
            <w:tcW w:w="1838" w:type="dxa"/>
            <w:tcBorders>
              <w:top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Nordiska rådet</w:t>
            </w:r>
          </w:p>
        </w:tc>
        <w:tc>
          <w:tcPr>
            <w:tcW w:w="992" w:type="dxa"/>
            <w:tcBorders>
              <w:top w:val="single" w:sz="4" w:space="0" w:color="auto"/>
            </w:tcBorders>
          </w:tcPr>
          <w:p w:rsidR="00FD5F8B" w:rsidRPr="0063419C" w:rsidRDefault="00FD5F8B" w:rsidP="00FD5F8B">
            <w:pPr>
              <w:spacing w:before="60" w:line="200" w:lineRule="exact"/>
              <w:jc w:val="left"/>
              <w:rPr>
                <w:rFonts w:eastAsia="Times New Roman"/>
                <w:sz w:val="16"/>
                <w:szCs w:val="24"/>
                <w:lang w:eastAsia="sv-SE"/>
              </w:rPr>
            </w:pPr>
            <w:r w:rsidRPr="0063419C">
              <w:rPr>
                <w:rFonts w:eastAsia="Times New Roman"/>
                <w:sz w:val="16"/>
                <w:szCs w:val="24"/>
                <w:lang w:eastAsia="sv-SE"/>
              </w:rPr>
              <w:t>20 ord.</w:t>
            </w:r>
          </w:p>
          <w:p w:rsidR="00FD5F8B" w:rsidRPr="0063419C" w:rsidRDefault="00FD5F8B" w:rsidP="00FD5F8B">
            <w:pPr>
              <w:spacing w:before="60" w:line="200" w:lineRule="exact"/>
              <w:jc w:val="left"/>
              <w:rPr>
                <w:rFonts w:eastAsia="Times New Roman"/>
                <w:sz w:val="16"/>
                <w:szCs w:val="24"/>
                <w:lang w:eastAsia="sv-SE"/>
              </w:rPr>
            </w:pPr>
            <w:r w:rsidRPr="0063419C">
              <w:rPr>
                <w:rFonts w:eastAsia="Times New Roman"/>
                <w:sz w:val="16"/>
                <w:szCs w:val="24"/>
                <w:lang w:eastAsia="sv-SE"/>
              </w:rPr>
              <w:t>20 suppl.</w:t>
            </w:r>
          </w:p>
        </w:tc>
        <w:tc>
          <w:tcPr>
            <w:tcW w:w="1134" w:type="dxa"/>
            <w:tcBorders>
              <w:top w:val="single" w:sz="4" w:space="0" w:color="auto"/>
            </w:tcBorders>
          </w:tcPr>
          <w:p w:rsidR="00FD5F8B" w:rsidRPr="0063419C" w:rsidRDefault="00FD5F8B" w:rsidP="00FD5F8B">
            <w:pPr>
              <w:spacing w:before="60" w:line="200" w:lineRule="exact"/>
              <w:jc w:val="left"/>
              <w:rPr>
                <w:rFonts w:eastAsia="Times New Roman"/>
                <w:sz w:val="16"/>
                <w:szCs w:val="24"/>
                <w:lang w:eastAsia="sv-SE"/>
              </w:rPr>
            </w:pPr>
            <w:r w:rsidRPr="0063419C">
              <w:rPr>
                <w:rFonts w:eastAsia="Times New Roman"/>
                <w:sz w:val="16"/>
                <w:szCs w:val="24"/>
                <w:lang w:eastAsia="sv-SE"/>
              </w:rPr>
              <w:t>1 session</w:t>
            </w:r>
          </w:p>
          <w:p w:rsidR="00FD5F8B" w:rsidRPr="0063419C" w:rsidRDefault="00FD5F8B" w:rsidP="00FD5F8B">
            <w:pPr>
              <w:spacing w:before="60" w:line="200" w:lineRule="exact"/>
              <w:jc w:val="left"/>
              <w:rPr>
                <w:rFonts w:eastAsia="Times New Roman"/>
                <w:sz w:val="16"/>
                <w:szCs w:val="24"/>
                <w:lang w:eastAsia="sv-SE"/>
              </w:rPr>
            </w:pPr>
            <w:r w:rsidRPr="0063419C">
              <w:rPr>
                <w:rFonts w:eastAsia="Times New Roman"/>
                <w:sz w:val="16"/>
                <w:szCs w:val="24"/>
                <w:lang w:eastAsia="sv-SE"/>
              </w:rPr>
              <w:t xml:space="preserve">4 presidie- </w:t>
            </w:r>
            <w:r w:rsidRPr="0063419C">
              <w:rPr>
                <w:rFonts w:eastAsia="Times New Roman"/>
                <w:sz w:val="16"/>
                <w:szCs w:val="24"/>
                <w:lang w:eastAsia="sv-SE"/>
              </w:rPr>
              <w:br/>
              <w:t>och utskottsmöten</w:t>
            </w:r>
          </w:p>
        </w:tc>
        <w:tc>
          <w:tcPr>
            <w:tcW w:w="993" w:type="dxa"/>
            <w:tcBorders>
              <w:top w:val="single" w:sz="4" w:space="0" w:color="auto"/>
            </w:tcBorders>
          </w:tcPr>
          <w:p w:rsidR="00FD5F8B" w:rsidRPr="00645AA0" w:rsidRDefault="007E0C58" w:rsidP="00FD5F8B">
            <w:pPr>
              <w:spacing w:before="60" w:line="200" w:lineRule="exact"/>
              <w:jc w:val="right"/>
              <w:rPr>
                <w:rFonts w:eastAsia="Times New Roman"/>
                <w:sz w:val="16"/>
                <w:szCs w:val="24"/>
                <w:lang w:eastAsia="sv-SE"/>
              </w:rPr>
            </w:pPr>
            <w:r w:rsidRPr="00645AA0">
              <w:rPr>
                <w:rFonts w:eastAsia="Times New Roman"/>
                <w:sz w:val="16"/>
                <w:szCs w:val="24"/>
                <w:lang w:eastAsia="sv-SE"/>
              </w:rPr>
              <w:t>1 </w:t>
            </w:r>
            <w:r w:rsidR="00495FCD" w:rsidRPr="00645AA0">
              <w:rPr>
                <w:rFonts w:eastAsia="Times New Roman"/>
                <w:sz w:val="16"/>
                <w:szCs w:val="24"/>
                <w:lang w:eastAsia="sv-SE"/>
              </w:rPr>
              <w:t>998</w:t>
            </w:r>
          </w:p>
        </w:tc>
        <w:tc>
          <w:tcPr>
            <w:tcW w:w="874" w:type="dxa"/>
            <w:tcBorders>
              <w:top w:val="single" w:sz="4" w:space="0" w:color="auto"/>
            </w:tcBorders>
          </w:tcPr>
          <w:p w:rsidR="00FD5F8B" w:rsidRPr="0063419C" w:rsidRDefault="0063419C" w:rsidP="00FD5F8B">
            <w:pPr>
              <w:spacing w:before="60" w:line="200" w:lineRule="exact"/>
              <w:jc w:val="right"/>
              <w:rPr>
                <w:rFonts w:eastAsia="Times New Roman"/>
                <w:sz w:val="16"/>
                <w:szCs w:val="24"/>
                <w:lang w:eastAsia="sv-SE"/>
              </w:rPr>
            </w:pPr>
            <w:r w:rsidRPr="0063419C">
              <w:rPr>
                <w:rFonts w:eastAsia="Times New Roman"/>
                <w:sz w:val="16"/>
                <w:szCs w:val="24"/>
                <w:lang w:eastAsia="sv-SE"/>
              </w:rPr>
              <w:t>13 4</w:t>
            </w:r>
            <w:r w:rsidR="00C315C6" w:rsidRPr="0063419C">
              <w:rPr>
                <w:rFonts w:eastAsia="Times New Roman"/>
                <w:sz w:val="16"/>
                <w:szCs w:val="24"/>
                <w:lang w:eastAsia="sv-SE"/>
              </w:rPr>
              <w:t>9</w:t>
            </w:r>
            <w:r w:rsidR="0098443D" w:rsidRPr="0063419C">
              <w:rPr>
                <w:rFonts w:eastAsia="Times New Roman"/>
                <w:sz w:val="16"/>
                <w:szCs w:val="24"/>
                <w:lang w:eastAsia="sv-SE"/>
              </w:rPr>
              <w:t>5</w:t>
            </w:r>
          </w:p>
        </w:tc>
      </w:tr>
      <w:tr w:rsidR="00FD5F8B" w:rsidRPr="00A750D9" w:rsidTr="00594C7B">
        <w:trPr>
          <w:cantSplit/>
          <w:trHeight w:val="560"/>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Europarådets parlamentariska församling</w:t>
            </w:r>
          </w:p>
        </w:tc>
        <w:tc>
          <w:tcPr>
            <w:tcW w:w="992" w:type="dxa"/>
          </w:tcPr>
          <w:p w:rsidR="00FD5F8B" w:rsidRPr="002F45BF" w:rsidRDefault="00FD5F8B" w:rsidP="00FD5F8B">
            <w:pPr>
              <w:spacing w:before="60" w:line="200" w:lineRule="exact"/>
              <w:jc w:val="left"/>
              <w:rPr>
                <w:rFonts w:eastAsia="Times New Roman"/>
                <w:sz w:val="16"/>
                <w:szCs w:val="24"/>
                <w:lang w:eastAsia="sv-SE"/>
              </w:rPr>
            </w:pPr>
            <w:r w:rsidRPr="002F45BF">
              <w:rPr>
                <w:rFonts w:eastAsia="Times New Roman"/>
                <w:sz w:val="16"/>
                <w:szCs w:val="24"/>
                <w:lang w:eastAsia="sv-SE"/>
              </w:rPr>
              <w:t>6 ord.</w:t>
            </w:r>
          </w:p>
          <w:p w:rsidR="00FD5F8B" w:rsidRPr="002F45BF" w:rsidRDefault="00FD5F8B" w:rsidP="00FD5F8B">
            <w:pPr>
              <w:spacing w:before="60" w:line="200" w:lineRule="exact"/>
              <w:jc w:val="left"/>
              <w:rPr>
                <w:rFonts w:eastAsia="Times New Roman"/>
                <w:sz w:val="16"/>
                <w:szCs w:val="24"/>
                <w:lang w:eastAsia="sv-SE"/>
              </w:rPr>
            </w:pPr>
            <w:r w:rsidRPr="002F45BF">
              <w:rPr>
                <w:rFonts w:eastAsia="Times New Roman"/>
                <w:sz w:val="16"/>
                <w:szCs w:val="24"/>
                <w:lang w:eastAsia="sv-SE"/>
              </w:rPr>
              <w:t>6 suppl.</w:t>
            </w:r>
          </w:p>
        </w:tc>
        <w:tc>
          <w:tcPr>
            <w:tcW w:w="1134" w:type="dxa"/>
          </w:tcPr>
          <w:p w:rsidR="00FD5F8B" w:rsidRPr="002F45BF" w:rsidRDefault="00FD5F8B" w:rsidP="00FD5F8B">
            <w:pPr>
              <w:spacing w:before="60" w:line="200" w:lineRule="exact"/>
              <w:jc w:val="left"/>
              <w:rPr>
                <w:rFonts w:eastAsia="Times New Roman"/>
                <w:sz w:val="16"/>
                <w:szCs w:val="24"/>
                <w:lang w:eastAsia="sv-SE"/>
              </w:rPr>
            </w:pPr>
            <w:r w:rsidRPr="002F45BF">
              <w:rPr>
                <w:rFonts w:eastAsia="Times New Roman"/>
                <w:sz w:val="16"/>
                <w:szCs w:val="24"/>
                <w:lang w:eastAsia="sv-SE"/>
              </w:rPr>
              <w:t>4 sessioner</w:t>
            </w:r>
          </w:p>
        </w:tc>
        <w:tc>
          <w:tcPr>
            <w:tcW w:w="993" w:type="dxa"/>
          </w:tcPr>
          <w:p w:rsidR="00FD5F8B" w:rsidRPr="00645AA0" w:rsidRDefault="001F70DB" w:rsidP="007E0C58">
            <w:pPr>
              <w:spacing w:before="60" w:line="200" w:lineRule="exact"/>
              <w:jc w:val="right"/>
              <w:rPr>
                <w:rFonts w:eastAsia="Times New Roman"/>
                <w:sz w:val="16"/>
                <w:szCs w:val="24"/>
                <w:lang w:eastAsia="sv-SE"/>
              </w:rPr>
            </w:pPr>
            <w:r w:rsidRPr="00645AA0">
              <w:rPr>
                <w:rFonts w:eastAsia="Times New Roman"/>
                <w:sz w:val="16"/>
                <w:szCs w:val="24"/>
                <w:lang w:eastAsia="sv-SE"/>
              </w:rPr>
              <w:t>1</w:t>
            </w:r>
            <w:r w:rsidR="007E0C58" w:rsidRPr="00645AA0">
              <w:rPr>
                <w:rFonts w:eastAsia="Times New Roman"/>
                <w:sz w:val="16"/>
                <w:szCs w:val="24"/>
                <w:lang w:eastAsia="sv-SE"/>
              </w:rPr>
              <w:t> </w:t>
            </w:r>
            <w:r w:rsidR="00495FCD" w:rsidRPr="00645AA0">
              <w:rPr>
                <w:rFonts w:eastAsia="Times New Roman"/>
                <w:sz w:val="16"/>
                <w:szCs w:val="24"/>
                <w:lang w:eastAsia="sv-SE"/>
              </w:rPr>
              <w:t>417</w:t>
            </w:r>
          </w:p>
        </w:tc>
        <w:tc>
          <w:tcPr>
            <w:tcW w:w="874" w:type="dxa"/>
          </w:tcPr>
          <w:p w:rsidR="00FD5F8B" w:rsidRPr="002F45BF" w:rsidRDefault="00FD5F8B" w:rsidP="00FD5F8B">
            <w:pPr>
              <w:spacing w:before="60" w:line="200" w:lineRule="exact"/>
              <w:jc w:val="right"/>
              <w:rPr>
                <w:rFonts w:eastAsia="Times New Roman"/>
                <w:sz w:val="16"/>
                <w:szCs w:val="24"/>
                <w:lang w:eastAsia="sv-SE"/>
              </w:rPr>
            </w:pPr>
            <w:r w:rsidRPr="002F45BF">
              <w:rPr>
                <w:rFonts w:eastAsia="Times New Roman"/>
                <w:sz w:val="16"/>
                <w:szCs w:val="24"/>
                <w:lang w:eastAsia="sv-SE"/>
              </w:rPr>
              <w:t>–</w:t>
            </w:r>
          </w:p>
        </w:tc>
      </w:tr>
      <w:tr w:rsidR="00FD5F8B" w:rsidRPr="00A750D9" w:rsidTr="00594C7B">
        <w:trPr>
          <w:cantSplit/>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OSSE:s parlamentariska församling</w:t>
            </w:r>
          </w:p>
        </w:tc>
        <w:tc>
          <w:tcPr>
            <w:tcW w:w="992" w:type="dxa"/>
          </w:tcPr>
          <w:p w:rsidR="00FD5F8B" w:rsidRPr="005C4F39" w:rsidRDefault="00FD5F8B" w:rsidP="00FD5F8B">
            <w:pPr>
              <w:spacing w:before="60" w:line="200" w:lineRule="exact"/>
              <w:jc w:val="left"/>
              <w:rPr>
                <w:rFonts w:eastAsia="Times New Roman"/>
                <w:sz w:val="16"/>
                <w:szCs w:val="24"/>
                <w:lang w:eastAsia="sv-SE"/>
              </w:rPr>
            </w:pPr>
            <w:r w:rsidRPr="005C4F39">
              <w:rPr>
                <w:rFonts w:eastAsia="Times New Roman"/>
                <w:sz w:val="16"/>
                <w:szCs w:val="24"/>
                <w:lang w:eastAsia="sv-SE"/>
              </w:rPr>
              <w:t>8 ord.</w:t>
            </w:r>
          </w:p>
          <w:p w:rsidR="00FD5F8B" w:rsidRPr="005C4F39" w:rsidRDefault="00FD5F8B" w:rsidP="00FD5F8B">
            <w:pPr>
              <w:spacing w:before="60" w:line="200" w:lineRule="exact"/>
              <w:jc w:val="left"/>
              <w:rPr>
                <w:rFonts w:eastAsia="Times New Roman"/>
                <w:sz w:val="16"/>
                <w:szCs w:val="24"/>
                <w:lang w:eastAsia="sv-SE"/>
              </w:rPr>
            </w:pPr>
            <w:r w:rsidRPr="005C4F39">
              <w:rPr>
                <w:rFonts w:eastAsia="Times New Roman"/>
                <w:sz w:val="16"/>
                <w:szCs w:val="24"/>
                <w:lang w:eastAsia="sv-SE"/>
              </w:rPr>
              <w:t>8 suppl.</w:t>
            </w:r>
          </w:p>
        </w:tc>
        <w:tc>
          <w:tcPr>
            <w:tcW w:w="1134" w:type="dxa"/>
          </w:tcPr>
          <w:p w:rsidR="00FD5F8B" w:rsidRPr="005C4F39" w:rsidRDefault="00FD5F8B" w:rsidP="00FD5F8B">
            <w:pPr>
              <w:spacing w:before="60" w:line="200" w:lineRule="exact"/>
              <w:jc w:val="left"/>
              <w:rPr>
                <w:rFonts w:eastAsia="Times New Roman"/>
                <w:sz w:val="16"/>
                <w:szCs w:val="24"/>
                <w:lang w:eastAsia="sv-SE"/>
              </w:rPr>
            </w:pPr>
            <w:r w:rsidRPr="005C4F39">
              <w:rPr>
                <w:rFonts w:eastAsia="Times New Roman"/>
                <w:sz w:val="16"/>
                <w:szCs w:val="24"/>
                <w:lang w:eastAsia="sv-SE"/>
              </w:rPr>
              <w:t>1 session</w:t>
            </w:r>
          </w:p>
          <w:p w:rsidR="00FD5F8B" w:rsidRPr="005C4F39" w:rsidRDefault="00FD5F8B" w:rsidP="00FD5F8B">
            <w:pPr>
              <w:spacing w:before="60" w:line="200" w:lineRule="exact"/>
              <w:jc w:val="left"/>
              <w:rPr>
                <w:rFonts w:eastAsia="Times New Roman"/>
                <w:sz w:val="16"/>
                <w:szCs w:val="24"/>
                <w:lang w:eastAsia="sv-SE"/>
              </w:rPr>
            </w:pPr>
            <w:r w:rsidRPr="005C4F39">
              <w:rPr>
                <w:rFonts w:eastAsia="Times New Roman"/>
                <w:sz w:val="16"/>
                <w:szCs w:val="24"/>
                <w:lang w:eastAsia="sv-SE"/>
              </w:rPr>
              <w:t>1 vintermöte</w:t>
            </w:r>
          </w:p>
          <w:p w:rsidR="00FD5F8B" w:rsidRPr="005C4F39" w:rsidRDefault="00FD5F8B" w:rsidP="00FD5F8B">
            <w:pPr>
              <w:spacing w:before="60" w:line="200" w:lineRule="exact"/>
              <w:jc w:val="left"/>
              <w:rPr>
                <w:rFonts w:eastAsia="Times New Roman"/>
                <w:sz w:val="16"/>
                <w:szCs w:val="24"/>
                <w:lang w:eastAsia="sv-SE"/>
              </w:rPr>
            </w:pPr>
            <w:r w:rsidRPr="005C4F39">
              <w:rPr>
                <w:rFonts w:eastAsia="Times New Roman"/>
                <w:sz w:val="16"/>
                <w:szCs w:val="24"/>
                <w:lang w:eastAsia="sv-SE"/>
              </w:rPr>
              <w:t>1 höstmöte</w:t>
            </w:r>
          </w:p>
        </w:tc>
        <w:tc>
          <w:tcPr>
            <w:tcW w:w="993" w:type="dxa"/>
          </w:tcPr>
          <w:p w:rsidR="00FD5F8B" w:rsidRPr="00645AA0" w:rsidRDefault="007E0C58" w:rsidP="00FD5F8B">
            <w:pPr>
              <w:spacing w:before="60" w:line="200" w:lineRule="exact"/>
              <w:jc w:val="right"/>
              <w:rPr>
                <w:rFonts w:eastAsia="Times New Roman"/>
                <w:sz w:val="16"/>
                <w:szCs w:val="24"/>
                <w:lang w:eastAsia="sv-SE"/>
              </w:rPr>
            </w:pPr>
            <w:r w:rsidRPr="00645AA0">
              <w:rPr>
                <w:rFonts w:eastAsia="Times New Roman"/>
                <w:sz w:val="16"/>
                <w:szCs w:val="24"/>
                <w:lang w:eastAsia="sv-SE"/>
              </w:rPr>
              <w:t>1 </w:t>
            </w:r>
            <w:r w:rsidR="00495FCD" w:rsidRPr="00645AA0">
              <w:rPr>
                <w:rFonts w:eastAsia="Times New Roman"/>
                <w:sz w:val="16"/>
                <w:szCs w:val="24"/>
                <w:lang w:eastAsia="sv-SE"/>
              </w:rPr>
              <w:t>302</w:t>
            </w:r>
          </w:p>
        </w:tc>
        <w:tc>
          <w:tcPr>
            <w:tcW w:w="874" w:type="dxa"/>
          </w:tcPr>
          <w:p w:rsidR="00FD5F8B" w:rsidRPr="00D471D1" w:rsidRDefault="00D471D1" w:rsidP="00FD5F8B">
            <w:pPr>
              <w:spacing w:before="60" w:line="200" w:lineRule="exact"/>
              <w:jc w:val="right"/>
              <w:rPr>
                <w:rFonts w:eastAsia="Times New Roman"/>
                <w:sz w:val="16"/>
                <w:szCs w:val="24"/>
                <w:lang w:eastAsia="sv-SE"/>
              </w:rPr>
            </w:pPr>
            <w:r w:rsidRPr="00D471D1">
              <w:rPr>
                <w:rFonts w:eastAsia="Times New Roman"/>
                <w:sz w:val="16"/>
                <w:szCs w:val="24"/>
                <w:lang w:eastAsia="sv-SE"/>
              </w:rPr>
              <w:t>993</w:t>
            </w:r>
          </w:p>
        </w:tc>
      </w:tr>
      <w:tr w:rsidR="00FD5F8B" w:rsidRPr="00A750D9" w:rsidTr="00594C7B">
        <w:trPr>
          <w:cantSplit/>
        </w:trPr>
        <w:tc>
          <w:tcPr>
            <w:tcW w:w="1838" w:type="dxa"/>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 xml:space="preserve">Interparlamentariska </w:t>
            </w:r>
            <w:r w:rsidRPr="00FD5F8B">
              <w:rPr>
                <w:rFonts w:eastAsia="Times New Roman"/>
                <w:sz w:val="16"/>
                <w:szCs w:val="24"/>
                <w:lang w:eastAsia="sv-SE"/>
              </w:rPr>
              <w:br/>
              <w:t>unionen</w:t>
            </w:r>
          </w:p>
        </w:tc>
        <w:tc>
          <w:tcPr>
            <w:tcW w:w="992" w:type="dxa"/>
          </w:tcPr>
          <w:p w:rsidR="00FD5F8B" w:rsidRPr="00D471D1" w:rsidRDefault="00FD5F8B" w:rsidP="00FD5F8B">
            <w:pPr>
              <w:spacing w:before="60" w:line="200" w:lineRule="exact"/>
              <w:jc w:val="left"/>
              <w:rPr>
                <w:rFonts w:eastAsia="Times New Roman"/>
                <w:sz w:val="16"/>
                <w:szCs w:val="24"/>
                <w:lang w:eastAsia="sv-SE"/>
              </w:rPr>
            </w:pPr>
            <w:r w:rsidRPr="00D471D1">
              <w:rPr>
                <w:rFonts w:eastAsia="Times New Roman"/>
                <w:sz w:val="16"/>
                <w:szCs w:val="24"/>
                <w:lang w:eastAsia="sv-SE"/>
              </w:rPr>
              <w:t>5 ord.</w:t>
            </w:r>
          </w:p>
          <w:p w:rsidR="00FD5F8B" w:rsidRPr="00D471D1" w:rsidRDefault="002B5FFF" w:rsidP="00FD5F8B">
            <w:pPr>
              <w:spacing w:before="60" w:line="200" w:lineRule="exact"/>
              <w:jc w:val="left"/>
              <w:rPr>
                <w:rFonts w:eastAsia="Times New Roman"/>
                <w:sz w:val="16"/>
                <w:szCs w:val="24"/>
                <w:lang w:eastAsia="sv-SE"/>
              </w:rPr>
            </w:pPr>
            <w:r w:rsidRPr="00D471D1">
              <w:rPr>
                <w:rFonts w:eastAsia="Times New Roman"/>
                <w:sz w:val="16"/>
                <w:szCs w:val="24"/>
                <w:lang w:eastAsia="sv-SE"/>
              </w:rPr>
              <w:t>T</w:t>
            </w:r>
            <w:r w:rsidR="00FD5F8B" w:rsidRPr="00D471D1">
              <w:rPr>
                <w:rFonts w:eastAsia="Times New Roman"/>
                <w:sz w:val="16"/>
                <w:szCs w:val="24"/>
                <w:lang w:eastAsia="sv-SE"/>
              </w:rPr>
              <w:t>alman och 2 utskottsledamöter</w:t>
            </w:r>
            <w:r w:rsidR="00FD5F8B" w:rsidRPr="00D471D1">
              <w:rPr>
                <w:rFonts w:eastAsia="Times New Roman"/>
                <w:sz w:val="16"/>
                <w:szCs w:val="24"/>
                <w:vertAlign w:val="superscript"/>
                <w:lang w:eastAsia="sv-SE"/>
              </w:rPr>
              <w:footnoteReference w:id="20"/>
            </w:r>
          </w:p>
        </w:tc>
        <w:tc>
          <w:tcPr>
            <w:tcW w:w="1134" w:type="dxa"/>
          </w:tcPr>
          <w:p w:rsidR="00FD5F8B" w:rsidRPr="00D471D1" w:rsidRDefault="00FD5F8B" w:rsidP="00FD5F8B">
            <w:pPr>
              <w:spacing w:before="60" w:line="200" w:lineRule="exact"/>
              <w:jc w:val="left"/>
              <w:rPr>
                <w:rFonts w:eastAsia="Times New Roman"/>
                <w:sz w:val="16"/>
                <w:szCs w:val="24"/>
                <w:lang w:eastAsia="sv-SE"/>
              </w:rPr>
            </w:pPr>
            <w:r w:rsidRPr="00D471D1">
              <w:rPr>
                <w:rFonts w:eastAsia="Times New Roman"/>
                <w:sz w:val="16"/>
                <w:szCs w:val="24"/>
                <w:lang w:eastAsia="sv-SE"/>
              </w:rPr>
              <w:t>1 vårsession</w:t>
            </w:r>
          </w:p>
          <w:p w:rsidR="00FD5F8B" w:rsidRPr="00D471D1" w:rsidRDefault="00FD5F8B" w:rsidP="00FD5F8B">
            <w:pPr>
              <w:spacing w:before="60" w:line="200" w:lineRule="exact"/>
              <w:jc w:val="left"/>
              <w:rPr>
                <w:rFonts w:eastAsia="Times New Roman"/>
                <w:sz w:val="16"/>
                <w:szCs w:val="24"/>
                <w:lang w:eastAsia="sv-SE"/>
              </w:rPr>
            </w:pPr>
            <w:r w:rsidRPr="00D471D1">
              <w:rPr>
                <w:rFonts w:eastAsia="Times New Roman"/>
                <w:sz w:val="16"/>
                <w:szCs w:val="24"/>
                <w:lang w:eastAsia="sv-SE"/>
              </w:rPr>
              <w:t>1 höstsession</w:t>
            </w:r>
          </w:p>
        </w:tc>
        <w:tc>
          <w:tcPr>
            <w:tcW w:w="993" w:type="dxa"/>
          </w:tcPr>
          <w:p w:rsidR="00FD5F8B" w:rsidRPr="00645AA0" w:rsidRDefault="00495FCD" w:rsidP="00FD5F8B">
            <w:pPr>
              <w:spacing w:before="60" w:line="200" w:lineRule="exact"/>
              <w:jc w:val="right"/>
              <w:rPr>
                <w:rFonts w:eastAsia="Times New Roman"/>
                <w:sz w:val="16"/>
                <w:szCs w:val="24"/>
                <w:lang w:eastAsia="sv-SE"/>
              </w:rPr>
            </w:pPr>
            <w:r w:rsidRPr="00645AA0">
              <w:rPr>
                <w:rFonts w:eastAsia="Times New Roman"/>
                <w:sz w:val="16"/>
                <w:szCs w:val="24"/>
                <w:lang w:eastAsia="sv-SE"/>
              </w:rPr>
              <w:t>914</w:t>
            </w:r>
          </w:p>
        </w:tc>
        <w:tc>
          <w:tcPr>
            <w:tcW w:w="874" w:type="dxa"/>
          </w:tcPr>
          <w:p w:rsidR="00FD5F8B" w:rsidRPr="00D471D1" w:rsidRDefault="00D471D1" w:rsidP="00FD5F8B">
            <w:pPr>
              <w:spacing w:before="60" w:line="200" w:lineRule="exact"/>
              <w:jc w:val="right"/>
              <w:rPr>
                <w:rFonts w:eastAsia="Times New Roman"/>
                <w:sz w:val="16"/>
                <w:szCs w:val="24"/>
                <w:lang w:eastAsia="sv-SE"/>
              </w:rPr>
            </w:pPr>
            <w:r w:rsidRPr="00D471D1">
              <w:rPr>
                <w:rFonts w:eastAsia="Times New Roman"/>
                <w:sz w:val="16"/>
                <w:szCs w:val="24"/>
                <w:lang w:eastAsia="sv-SE"/>
              </w:rPr>
              <w:t>1 035</w:t>
            </w:r>
          </w:p>
        </w:tc>
      </w:tr>
      <w:tr w:rsidR="00FD5F8B" w:rsidRPr="00A750D9" w:rsidTr="00594C7B">
        <w:trPr>
          <w:cantSplit/>
          <w:trHeight w:val="934"/>
        </w:trPr>
        <w:tc>
          <w:tcPr>
            <w:tcW w:w="1838" w:type="dxa"/>
            <w:tcBorders>
              <w:bottom w:val="nil"/>
            </w:tcBorders>
          </w:tcPr>
          <w:p w:rsidR="00FD5F8B" w:rsidRPr="00FD5F8B" w:rsidRDefault="00FD5F8B" w:rsidP="00AE0658">
            <w:pPr>
              <w:spacing w:before="60" w:line="200" w:lineRule="exact"/>
              <w:jc w:val="left"/>
              <w:rPr>
                <w:rFonts w:eastAsia="Times New Roman"/>
                <w:sz w:val="16"/>
                <w:szCs w:val="24"/>
                <w:lang w:eastAsia="sv-SE"/>
              </w:rPr>
            </w:pPr>
            <w:r w:rsidRPr="00FD5F8B">
              <w:rPr>
                <w:rFonts w:eastAsia="Times New Roman"/>
                <w:sz w:val="16"/>
                <w:szCs w:val="24"/>
                <w:lang w:eastAsia="sv-SE"/>
              </w:rPr>
              <w:t>Den parlamentariska församlingen</w:t>
            </w:r>
            <w:r w:rsidR="000E7AA1">
              <w:rPr>
                <w:rFonts w:eastAsia="Times New Roman"/>
                <w:sz w:val="16"/>
                <w:szCs w:val="24"/>
                <w:lang w:eastAsia="sv-SE"/>
              </w:rPr>
              <w:t xml:space="preserve"> för </w:t>
            </w:r>
            <w:r w:rsidR="00AE0658">
              <w:rPr>
                <w:rFonts w:eastAsia="Times New Roman"/>
                <w:sz w:val="16"/>
                <w:szCs w:val="24"/>
                <w:lang w:eastAsia="sv-SE"/>
              </w:rPr>
              <w:t>U</w:t>
            </w:r>
            <w:r w:rsidR="000E7AA1">
              <w:rPr>
                <w:rFonts w:eastAsia="Times New Roman"/>
                <w:sz w:val="16"/>
                <w:szCs w:val="24"/>
                <w:lang w:eastAsia="sv-SE"/>
              </w:rPr>
              <w:t>nionen för Medelhavet</w:t>
            </w:r>
          </w:p>
        </w:tc>
        <w:tc>
          <w:tcPr>
            <w:tcW w:w="992" w:type="dxa"/>
            <w:tcBorders>
              <w:bottom w:val="nil"/>
            </w:tcBorders>
          </w:tcPr>
          <w:p w:rsidR="00FD5F8B" w:rsidRPr="00CE77ED" w:rsidRDefault="00FD5F8B" w:rsidP="00FD5F8B">
            <w:pPr>
              <w:spacing w:before="60" w:line="200" w:lineRule="exact"/>
              <w:jc w:val="left"/>
              <w:rPr>
                <w:rFonts w:eastAsia="Times New Roman"/>
                <w:sz w:val="16"/>
                <w:szCs w:val="24"/>
                <w:lang w:eastAsia="sv-SE"/>
              </w:rPr>
            </w:pPr>
            <w:r w:rsidRPr="00CE77ED">
              <w:rPr>
                <w:rFonts w:eastAsia="Times New Roman"/>
                <w:sz w:val="16"/>
                <w:szCs w:val="24"/>
                <w:lang w:eastAsia="sv-SE"/>
              </w:rPr>
              <w:t>3 ord.</w:t>
            </w:r>
          </w:p>
          <w:p w:rsidR="00FD5F8B" w:rsidRPr="00CE77ED" w:rsidRDefault="00FD5F8B" w:rsidP="00FD5F8B">
            <w:pPr>
              <w:spacing w:before="60" w:line="200" w:lineRule="exact"/>
              <w:jc w:val="left"/>
              <w:rPr>
                <w:rFonts w:eastAsia="Times New Roman"/>
                <w:sz w:val="16"/>
                <w:szCs w:val="24"/>
                <w:lang w:eastAsia="sv-SE"/>
              </w:rPr>
            </w:pPr>
            <w:r w:rsidRPr="00CE77ED">
              <w:rPr>
                <w:rFonts w:eastAsia="Times New Roman"/>
                <w:sz w:val="16"/>
                <w:szCs w:val="24"/>
                <w:lang w:eastAsia="sv-SE"/>
              </w:rPr>
              <w:t>3 suppl.</w:t>
            </w:r>
          </w:p>
        </w:tc>
        <w:tc>
          <w:tcPr>
            <w:tcW w:w="1134" w:type="dxa"/>
            <w:tcBorders>
              <w:bottom w:val="nil"/>
            </w:tcBorders>
          </w:tcPr>
          <w:p w:rsidR="00FD5F8B" w:rsidRPr="00CE77ED" w:rsidRDefault="00FD5F8B" w:rsidP="00FD5F8B">
            <w:pPr>
              <w:spacing w:before="60" w:line="200" w:lineRule="exact"/>
              <w:jc w:val="left"/>
              <w:rPr>
                <w:rFonts w:eastAsia="Times New Roman"/>
                <w:sz w:val="16"/>
                <w:szCs w:val="24"/>
                <w:lang w:eastAsia="sv-SE"/>
              </w:rPr>
            </w:pPr>
            <w:r w:rsidRPr="00CE77ED">
              <w:rPr>
                <w:rFonts w:eastAsia="Times New Roman"/>
                <w:sz w:val="16"/>
                <w:szCs w:val="24"/>
                <w:lang w:eastAsia="sv-SE"/>
              </w:rPr>
              <w:t>1 session</w:t>
            </w:r>
          </w:p>
        </w:tc>
        <w:tc>
          <w:tcPr>
            <w:tcW w:w="993" w:type="dxa"/>
            <w:tcBorders>
              <w:bottom w:val="nil"/>
            </w:tcBorders>
          </w:tcPr>
          <w:p w:rsidR="00FD5F8B" w:rsidRPr="00645AA0" w:rsidRDefault="00CE77ED" w:rsidP="00FD5F8B">
            <w:pPr>
              <w:spacing w:before="60" w:line="200" w:lineRule="exact"/>
              <w:jc w:val="right"/>
              <w:rPr>
                <w:rFonts w:eastAsia="Times New Roman"/>
                <w:sz w:val="16"/>
                <w:szCs w:val="24"/>
                <w:lang w:eastAsia="sv-SE"/>
              </w:rPr>
            </w:pPr>
            <w:r w:rsidRPr="00645AA0">
              <w:rPr>
                <w:rFonts w:eastAsia="Times New Roman"/>
                <w:sz w:val="16"/>
                <w:szCs w:val="24"/>
                <w:lang w:eastAsia="sv-SE"/>
              </w:rPr>
              <w:t>90</w:t>
            </w:r>
          </w:p>
        </w:tc>
        <w:tc>
          <w:tcPr>
            <w:tcW w:w="874" w:type="dxa"/>
            <w:tcBorders>
              <w:bottom w:val="nil"/>
            </w:tcBorders>
          </w:tcPr>
          <w:p w:rsidR="00FD5F8B" w:rsidRPr="00B63FA5" w:rsidRDefault="005472EB" w:rsidP="00FD5F8B">
            <w:pPr>
              <w:spacing w:before="60" w:line="200" w:lineRule="exact"/>
              <w:jc w:val="right"/>
              <w:rPr>
                <w:rFonts w:eastAsia="Times New Roman"/>
                <w:sz w:val="16"/>
                <w:szCs w:val="24"/>
                <w:lang w:eastAsia="sv-SE"/>
              </w:rPr>
            </w:pPr>
            <w:r w:rsidRPr="00B63FA5">
              <w:rPr>
                <w:rFonts w:eastAsia="Times New Roman"/>
                <w:sz w:val="16"/>
                <w:szCs w:val="24"/>
                <w:lang w:eastAsia="sv-SE"/>
              </w:rPr>
              <w:t>–</w:t>
            </w:r>
          </w:p>
        </w:tc>
      </w:tr>
      <w:tr w:rsidR="00FD5F8B" w:rsidRPr="00A750D9" w:rsidTr="00594C7B">
        <w:trPr>
          <w:cantSplit/>
          <w:trHeight w:val="564"/>
        </w:trPr>
        <w:tc>
          <w:tcPr>
            <w:tcW w:w="1838" w:type="dxa"/>
            <w:tcBorders>
              <w:top w:val="nil"/>
              <w:bottom w:val="nil"/>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Natos parlamentariska församling</w:t>
            </w:r>
          </w:p>
        </w:tc>
        <w:tc>
          <w:tcPr>
            <w:tcW w:w="992" w:type="dxa"/>
            <w:tcBorders>
              <w:top w:val="nil"/>
              <w:bottom w:val="nil"/>
            </w:tcBorders>
          </w:tcPr>
          <w:p w:rsidR="00FD5F8B" w:rsidRPr="00475ACA" w:rsidRDefault="00FD5F8B" w:rsidP="00FD5F8B">
            <w:pPr>
              <w:spacing w:before="60" w:line="200" w:lineRule="exact"/>
              <w:jc w:val="left"/>
              <w:rPr>
                <w:rFonts w:eastAsia="Times New Roman"/>
                <w:sz w:val="16"/>
                <w:szCs w:val="24"/>
                <w:lang w:eastAsia="sv-SE"/>
              </w:rPr>
            </w:pPr>
            <w:r w:rsidRPr="00475ACA">
              <w:rPr>
                <w:rFonts w:eastAsia="Times New Roman"/>
                <w:sz w:val="16"/>
                <w:szCs w:val="24"/>
                <w:lang w:eastAsia="sv-SE"/>
              </w:rPr>
              <w:t>5 ord.</w:t>
            </w:r>
          </w:p>
          <w:p w:rsidR="00FD5F8B" w:rsidRPr="00475ACA" w:rsidRDefault="00FD5F8B" w:rsidP="00FD5F8B">
            <w:pPr>
              <w:spacing w:before="60" w:line="200" w:lineRule="exact"/>
              <w:jc w:val="left"/>
              <w:rPr>
                <w:rFonts w:eastAsia="Times New Roman"/>
                <w:sz w:val="16"/>
                <w:szCs w:val="24"/>
                <w:lang w:eastAsia="sv-SE"/>
              </w:rPr>
            </w:pPr>
            <w:r w:rsidRPr="00475ACA">
              <w:rPr>
                <w:rFonts w:eastAsia="Times New Roman"/>
                <w:sz w:val="16"/>
                <w:szCs w:val="24"/>
                <w:lang w:eastAsia="sv-SE"/>
              </w:rPr>
              <w:t>5 suppl.</w:t>
            </w:r>
          </w:p>
        </w:tc>
        <w:tc>
          <w:tcPr>
            <w:tcW w:w="1134" w:type="dxa"/>
            <w:tcBorders>
              <w:top w:val="nil"/>
              <w:bottom w:val="nil"/>
            </w:tcBorders>
          </w:tcPr>
          <w:p w:rsidR="00FD5F8B" w:rsidRPr="00475ACA" w:rsidRDefault="00FD5F8B" w:rsidP="00FD5F8B">
            <w:pPr>
              <w:spacing w:before="60" w:line="200" w:lineRule="exact"/>
              <w:jc w:val="left"/>
              <w:rPr>
                <w:rFonts w:eastAsia="Times New Roman"/>
                <w:sz w:val="16"/>
                <w:szCs w:val="24"/>
                <w:lang w:eastAsia="sv-SE"/>
              </w:rPr>
            </w:pPr>
            <w:r w:rsidRPr="00475ACA">
              <w:rPr>
                <w:rFonts w:eastAsia="Times New Roman"/>
                <w:sz w:val="16"/>
                <w:szCs w:val="24"/>
                <w:lang w:eastAsia="sv-SE"/>
              </w:rPr>
              <w:t>1 höstsession</w:t>
            </w:r>
          </w:p>
          <w:p w:rsidR="00FD5F8B" w:rsidRPr="00475ACA" w:rsidRDefault="00FD5F8B" w:rsidP="00FD5F8B">
            <w:pPr>
              <w:spacing w:before="60" w:line="200" w:lineRule="exact"/>
              <w:jc w:val="left"/>
              <w:rPr>
                <w:rFonts w:eastAsia="Times New Roman"/>
                <w:sz w:val="16"/>
                <w:szCs w:val="24"/>
                <w:lang w:eastAsia="sv-SE"/>
              </w:rPr>
            </w:pPr>
            <w:r w:rsidRPr="00475ACA">
              <w:rPr>
                <w:rFonts w:eastAsia="Times New Roman"/>
                <w:sz w:val="16"/>
                <w:szCs w:val="24"/>
                <w:lang w:eastAsia="sv-SE"/>
              </w:rPr>
              <w:t>1 vårsession</w:t>
            </w:r>
          </w:p>
        </w:tc>
        <w:tc>
          <w:tcPr>
            <w:tcW w:w="993" w:type="dxa"/>
            <w:tcBorders>
              <w:top w:val="nil"/>
              <w:bottom w:val="nil"/>
            </w:tcBorders>
          </w:tcPr>
          <w:p w:rsidR="00FD5F8B" w:rsidRPr="00645AA0" w:rsidRDefault="00495FCD" w:rsidP="00FD5F8B">
            <w:pPr>
              <w:spacing w:before="60" w:line="200" w:lineRule="exact"/>
              <w:jc w:val="right"/>
              <w:rPr>
                <w:rFonts w:eastAsia="Times New Roman"/>
                <w:sz w:val="16"/>
                <w:szCs w:val="24"/>
                <w:lang w:eastAsia="sv-SE"/>
              </w:rPr>
            </w:pPr>
            <w:r w:rsidRPr="00645AA0">
              <w:rPr>
                <w:rFonts w:eastAsia="Times New Roman"/>
                <w:sz w:val="16"/>
                <w:szCs w:val="24"/>
                <w:lang w:eastAsia="sv-SE"/>
              </w:rPr>
              <w:t>411</w:t>
            </w:r>
          </w:p>
        </w:tc>
        <w:tc>
          <w:tcPr>
            <w:tcW w:w="874" w:type="dxa"/>
            <w:tcBorders>
              <w:top w:val="nil"/>
              <w:bottom w:val="nil"/>
            </w:tcBorders>
          </w:tcPr>
          <w:p w:rsidR="00FD5F8B" w:rsidRPr="00B63FA5" w:rsidRDefault="00FD5F8B" w:rsidP="00FD5F8B">
            <w:pPr>
              <w:spacing w:before="60" w:line="200" w:lineRule="exact"/>
              <w:jc w:val="right"/>
              <w:rPr>
                <w:rFonts w:eastAsia="Times New Roman"/>
                <w:sz w:val="16"/>
                <w:szCs w:val="24"/>
                <w:lang w:eastAsia="sv-SE"/>
              </w:rPr>
            </w:pPr>
            <w:r w:rsidRPr="00B63FA5">
              <w:rPr>
                <w:rFonts w:eastAsia="Times New Roman"/>
                <w:sz w:val="16"/>
                <w:szCs w:val="24"/>
                <w:lang w:eastAsia="sv-SE"/>
              </w:rPr>
              <w:t>–</w:t>
            </w:r>
          </w:p>
        </w:tc>
      </w:tr>
      <w:tr w:rsidR="00FD5F8B" w:rsidRPr="00A750D9" w:rsidTr="00594C7B">
        <w:trPr>
          <w:cantSplit/>
          <w:trHeight w:val="417"/>
        </w:trPr>
        <w:tc>
          <w:tcPr>
            <w:tcW w:w="1838" w:type="dxa"/>
            <w:tcBorders>
              <w:top w:val="nil"/>
              <w:bottom w:val="nil"/>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Cosacsekretariatet</w:t>
            </w:r>
            <w:r w:rsidRPr="00FD5F8B">
              <w:rPr>
                <w:rFonts w:eastAsia="Times New Roman"/>
                <w:sz w:val="16"/>
                <w:szCs w:val="24"/>
                <w:vertAlign w:val="superscript"/>
                <w:lang w:eastAsia="sv-SE"/>
              </w:rPr>
              <w:footnoteReference w:id="21"/>
            </w:r>
          </w:p>
        </w:tc>
        <w:tc>
          <w:tcPr>
            <w:tcW w:w="992" w:type="dxa"/>
            <w:tcBorders>
              <w:top w:val="nil"/>
              <w:bottom w:val="nil"/>
            </w:tcBorders>
          </w:tcPr>
          <w:p w:rsidR="00FD5F8B" w:rsidRPr="00A750D9" w:rsidRDefault="00FD5F8B" w:rsidP="00FD5F8B">
            <w:pPr>
              <w:spacing w:before="60" w:line="200" w:lineRule="exact"/>
              <w:jc w:val="left"/>
              <w:rPr>
                <w:rFonts w:eastAsia="Times New Roman"/>
                <w:sz w:val="16"/>
                <w:szCs w:val="24"/>
                <w:u w:val="single"/>
                <w:lang w:eastAsia="sv-SE"/>
              </w:rPr>
            </w:pPr>
          </w:p>
        </w:tc>
        <w:tc>
          <w:tcPr>
            <w:tcW w:w="1134" w:type="dxa"/>
            <w:tcBorders>
              <w:top w:val="nil"/>
              <w:bottom w:val="nil"/>
            </w:tcBorders>
          </w:tcPr>
          <w:p w:rsidR="00FD5F8B" w:rsidRPr="00A750D9" w:rsidRDefault="00FD5F8B" w:rsidP="00FD5F8B">
            <w:pPr>
              <w:spacing w:before="60" w:line="200" w:lineRule="exact"/>
              <w:jc w:val="left"/>
              <w:rPr>
                <w:rFonts w:eastAsia="Times New Roman"/>
                <w:sz w:val="16"/>
                <w:szCs w:val="24"/>
                <w:u w:val="single"/>
                <w:lang w:eastAsia="sv-SE"/>
              </w:rPr>
            </w:pPr>
          </w:p>
        </w:tc>
        <w:tc>
          <w:tcPr>
            <w:tcW w:w="993" w:type="dxa"/>
            <w:tcBorders>
              <w:top w:val="nil"/>
              <w:bottom w:val="nil"/>
            </w:tcBorders>
          </w:tcPr>
          <w:p w:rsidR="00FD5F8B" w:rsidRPr="00645AA0" w:rsidRDefault="00FD5F8B" w:rsidP="00FD5F8B">
            <w:pPr>
              <w:spacing w:before="60" w:line="200" w:lineRule="exact"/>
              <w:jc w:val="right"/>
              <w:rPr>
                <w:rFonts w:eastAsia="Times New Roman"/>
                <w:sz w:val="16"/>
                <w:szCs w:val="24"/>
                <w:lang w:eastAsia="sv-SE"/>
              </w:rPr>
            </w:pPr>
          </w:p>
        </w:tc>
        <w:tc>
          <w:tcPr>
            <w:tcW w:w="874" w:type="dxa"/>
            <w:tcBorders>
              <w:top w:val="nil"/>
              <w:bottom w:val="nil"/>
            </w:tcBorders>
          </w:tcPr>
          <w:p w:rsidR="00FD5F8B" w:rsidRPr="00475ACA" w:rsidRDefault="00FD5F8B" w:rsidP="008234A4">
            <w:pPr>
              <w:spacing w:before="60" w:line="200" w:lineRule="exact"/>
              <w:jc w:val="right"/>
              <w:rPr>
                <w:rFonts w:eastAsia="Times New Roman"/>
                <w:sz w:val="16"/>
                <w:szCs w:val="24"/>
                <w:lang w:eastAsia="sv-SE"/>
              </w:rPr>
            </w:pPr>
            <w:r w:rsidRPr="00475ACA">
              <w:rPr>
                <w:rFonts w:eastAsia="Times New Roman"/>
                <w:sz w:val="16"/>
                <w:szCs w:val="24"/>
                <w:lang w:eastAsia="sv-SE"/>
              </w:rPr>
              <w:t>1</w:t>
            </w:r>
            <w:r w:rsidR="008234A4" w:rsidRPr="00475ACA">
              <w:rPr>
                <w:rFonts w:eastAsia="Times New Roman"/>
                <w:sz w:val="16"/>
                <w:szCs w:val="24"/>
                <w:lang w:eastAsia="sv-SE"/>
              </w:rPr>
              <w:t>7</w:t>
            </w:r>
          </w:p>
        </w:tc>
      </w:tr>
      <w:tr w:rsidR="00FD5F8B" w:rsidRPr="00A750D9" w:rsidTr="00594C7B">
        <w:trPr>
          <w:cantSplit/>
          <w:trHeight w:val="818"/>
        </w:trPr>
        <w:tc>
          <w:tcPr>
            <w:tcW w:w="1838" w:type="dxa"/>
            <w:tcBorders>
              <w:top w:val="nil"/>
              <w:bottom w:val="single" w:sz="4" w:space="0" w:color="auto"/>
            </w:tcBorders>
          </w:tcPr>
          <w:p w:rsidR="00FD5F8B" w:rsidRPr="00FD5F8B" w:rsidRDefault="00FD5F8B" w:rsidP="00FD5F8B">
            <w:pPr>
              <w:spacing w:before="60" w:line="200" w:lineRule="exact"/>
              <w:jc w:val="left"/>
              <w:rPr>
                <w:rFonts w:eastAsia="Times New Roman"/>
                <w:sz w:val="16"/>
                <w:szCs w:val="24"/>
                <w:lang w:eastAsia="sv-SE"/>
              </w:rPr>
            </w:pPr>
            <w:r w:rsidRPr="00FD5F8B">
              <w:rPr>
                <w:rFonts w:eastAsia="Times New Roman"/>
                <w:sz w:val="16"/>
                <w:szCs w:val="24"/>
                <w:lang w:eastAsia="sv-SE"/>
              </w:rPr>
              <w:t>Särskilda uppdrag inom de interparlamentariska församlingarna</w:t>
            </w:r>
          </w:p>
        </w:tc>
        <w:tc>
          <w:tcPr>
            <w:tcW w:w="992" w:type="dxa"/>
            <w:tcBorders>
              <w:top w:val="nil"/>
              <w:bottom w:val="single" w:sz="4" w:space="0" w:color="auto"/>
            </w:tcBorders>
            <w:vAlign w:val="bottom"/>
          </w:tcPr>
          <w:p w:rsidR="00FD5F8B" w:rsidRPr="00A750D9" w:rsidRDefault="00FD5F8B" w:rsidP="00FD5F8B">
            <w:pPr>
              <w:spacing w:before="60" w:line="200" w:lineRule="exact"/>
              <w:jc w:val="left"/>
              <w:rPr>
                <w:rFonts w:eastAsia="Times New Roman"/>
                <w:sz w:val="16"/>
                <w:szCs w:val="24"/>
                <w:u w:val="single"/>
                <w:lang w:eastAsia="sv-SE"/>
              </w:rPr>
            </w:pPr>
          </w:p>
        </w:tc>
        <w:tc>
          <w:tcPr>
            <w:tcW w:w="1134" w:type="dxa"/>
            <w:tcBorders>
              <w:top w:val="nil"/>
              <w:bottom w:val="single" w:sz="4" w:space="0" w:color="auto"/>
            </w:tcBorders>
            <w:vAlign w:val="bottom"/>
          </w:tcPr>
          <w:p w:rsidR="00FD5F8B" w:rsidRPr="00A750D9" w:rsidRDefault="00FD5F8B" w:rsidP="00FD5F8B">
            <w:pPr>
              <w:spacing w:before="60" w:line="200" w:lineRule="exact"/>
              <w:jc w:val="left"/>
              <w:rPr>
                <w:rFonts w:eastAsia="Times New Roman"/>
                <w:sz w:val="16"/>
                <w:szCs w:val="24"/>
                <w:u w:val="single"/>
                <w:lang w:eastAsia="sv-SE"/>
              </w:rPr>
            </w:pPr>
          </w:p>
        </w:tc>
        <w:tc>
          <w:tcPr>
            <w:tcW w:w="993" w:type="dxa"/>
            <w:tcBorders>
              <w:top w:val="nil"/>
              <w:bottom w:val="single" w:sz="4" w:space="0" w:color="auto"/>
            </w:tcBorders>
            <w:vAlign w:val="bottom"/>
          </w:tcPr>
          <w:p w:rsidR="00FD5F8B" w:rsidRPr="00645AA0" w:rsidRDefault="00466131" w:rsidP="00FD5F8B">
            <w:pPr>
              <w:spacing w:before="60" w:line="200" w:lineRule="exact"/>
              <w:jc w:val="right"/>
              <w:rPr>
                <w:rFonts w:eastAsia="Times New Roman"/>
                <w:sz w:val="16"/>
                <w:szCs w:val="24"/>
                <w:lang w:eastAsia="sv-SE"/>
              </w:rPr>
            </w:pPr>
            <w:r w:rsidRPr="00645AA0">
              <w:rPr>
                <w:rFonts w:eastAsia="Times New Roman"/>
                <w:sz w:val="16"/>
                <w:szCs w:val="24"/>
                <w:lang w:eastAsia="sv-SE"/>
              </w:rPr>
              <w:t>0</w:t>
            </w:r>
          </w:p>
          <w:p w:rsidR="00466131" w:rsidRPr="00645AA0" w:rsidRDefault="00466131" w:rsidP="00466131">
            <w:pPr>
              <w:pStyle w:val="Normaltindrag"/>
              <w:rPr>
                <w:lang w:eastAsia="sv-SE"/>
              </w:rPr>
            </w:pPr>
          </w:p>
          <w:p w:rsidR="00466131" w:rsidRPr="00645AA0" w:rsidRDefault="00466131" w:rsidP="00466131">
            <w:pPr>
              <w:pStyle w:val="Normaltindrag"/>
              <w:ind w:firstLine="0"/>
              <w:rPr>
                <w:lang w:eastAsia="sv-SE"/>
              </w:rPr>
            </w:pPr>
          </w:p>
        </w:tc>
        <w:tc>
          <w:tcPr>
            <w:tcW w:w="874" w:type="dxa"/>
            <w:tcBorders>
              <w:top w:val="nil"/>
              <w:bottom w:val="single" w:sz="4" w:space="0" w:color="auto"/>
            </w:tcBorders>
            <w:vAlign w:val="bottom"/>
          </w:tcPr>
          <w:p w:rsidR="00FD5F8B" w:rsidRPr="00A750D9" w:rsidRDefault="00FD5F8B" w:rsidP="00FD5F8B">
            <w:pPr>
              <w:spacing w:before="60" w:line="200" w:lineRule="exact"/>
              <w:jc w:val="right"/>
              <w:rPr>
                <w:rFonts w:eastAsia="Times New Roman"/>
                <w:sz w:val="16"/>
                <w:szCs w:val="24"/>
                <w:u w:val="single"/>
                <w:lang w:eastAsia="sv-SE"/>
              </w:rPr>
            </w:pPr>
          </w:p>
        </w:tc>
      </w:tr>
      <w:tr w:rsidR="00FD5F8B" w:rsidRPr="00E13E12" w:rsidTr="00594C7B">
        <w:trPr>
          <w:cantSplit/>
        </w:trPr>
        <w:tc>
          <w:tcPr>
            <w:tcW w:w="1838" w:type="dxa"/>
            <w:tcBorders>
              <w:top w:val="single" w:sz="4" w:space="0" w:color="auto"/>
              <w:bottom w:val="single" w:sz="4" w:space="0" w:color="auto"/>
            </w:tcBorders>
          </w:tcPr>
          <w:p w:rsidR="00FD5F8B" w:rsidRPr="00E13E12" w:rsidRDefault="00E13E12" w:rsidP="00FD5F8B">
            <w:pPr>
              <w:spacing w:before="60" w:line="200" w:lineRule="exact"/>
              <w:jc w:val="left"/>
              <w:rPr>
                <w:rFonts w:eastAsia="Times New Roman"/>
                <w:b/>
                <w:sz w:val="16"/>
                <w:szCs w:val="24"/>
                <w:lang w:eastAsia="sv-SE"/>
              </w:rPr>
            </w:pPr>
            <w:r w:rsidRPr="00E13E12">
              <w:rPr>
                <w:rFonts w:eastAsia="Times New Roman"/>
                <w:b/>
                <w:sz w:val="16"/>
                <w:szCs w:val="24"/>
                <w:lang w:eastAsia="sv-SE"/>
              </w:rPr>
              <w:t>Summa 2016</w:t>
            </w:r>
          </w:p>
        </w:tc>
        <w:tc>
          <w:tcPr>
            <w:tcW w:w="992" w:type="dxa"/>
            <w:tcBorders>
              <w:top w:val="single" w:sz="4" w:space="0" w:color="auto"/>
              <w:bottom w:val="single" w:sz="4" w:space="0" w:color="auto"/>
            </w:tcBorders>
          </w:tcPr>
          <w:p w:rsidR="00FD5F8B" w:rsidRPr="00E13E12" w:rsidRDefault="00FD5F8B" w:rsidP="00FD5F8B">
            <w:pPr>
              <w:spacing w:before="60" w:line="200" w:lineRule="exact"/>
              <w:jc w:val="left"/>
              <w:rPr>
                <w:rFonts w:eastAsia="Times New Roman"/>
                <w:b/>
                <w:sz w:val="16"/>
                <w:szCs w:val="24"/>
                <w:lang w:eastAsia="sv-SE"/>
              </w:rPr>
            </w:pPr>
          </w:p>
        </w:tc>
        <w:tc>
          <w:tcPr>
            <w:tcW w:w="1134" w:type="dxa"/>
            <w:tcBorders>
              <w:top w:val="single" w:sz="4" w:space="0" w:color="auto"/>
              <w:bottom w:val="single" w:sz="4" w:space="0" w:color="auto"/>
            </w:tcBorders>
          </w:tcPr>
          <w:p w:rsidR="00FD5F8B" w:rsidRPr="00E13E12" w:rsidRDefault="00FD5F8B" w:rsidP="00FD5F8B">
            <w:pPr>
              <w:spacing w:before="60" w:line="200" w:lineRule="exact"/>
              <w:jc w:val="left"/>
              <w:rPr>
                <w:rFonts w:eastAsia="Times New Roman"/>
                <w:b/>
                <w:sz w:val="16"/>
                <w:szCs w:val="24"/>
                <w:lang w:eastAsia="sv-SE"/>
              </w:rPr>
            </w:pPr>
          </w:p>
        </w:tc>
        <w:tc>
          <w:tcPr>
            <w:tcW w:w="993" w:type="dxa"/>
            <w:tcBorders>
              <w:top w:val="single" w:sz="4" w:space="0" w:color="auto"/>
              <w:bottom w:val="single" w:sz="4" w:space="0" w:color="auto"/>
            </w:tcBorders>
          </w:tcPr>
          <w:p w:rsidR="00FD5F8B" w:rsidRPr="00645AA0" w:rsidRDefault="00495FCD" w:rsidP="00FD5F8B">
            <w:pPr>
              <w:spacing w:before="60" w:line="200" w:lineRule="exact"/>
              <w:jc w:val="right"/>
              <w:rPr>
                <w:rFonts w:eastAsia="Times New Roman"/>
                <w:b/>
                <w:sz w:val="16"/>
                <w:szCs w:val="24"/>
                <w:lang w:eastAsia="sv-SE"/>
              </w:rPr>
            </w:pPr>
            <w:r w:rsidRPr="00645AA0">
              <w:rPr>
                <w:rFonts w:eastAsia="Times New Roman"/>
                <w:b/>
                <w:sz w:val="16"/>
                <w:szCs w:val="24"/>
                <w:lang w:eastAsia="sv-SE"/>
              </w:rPr>
              <w:t>6 132</w:t>
            </w:r>
          </w:p>
        </w:tc>
        <w:tc>
          <w:tcPr>
            <w:tcW w:w="874" w:type="dxa"/>
            <w:tcBorders>
              <w:top w:val="single" w:sz="4" w:space="0" w:color="auto"/>
              <w:bottom w:val="single" w:sz="4" w:space="0" w:color="auto"/>
            </w:tcBorders>
          </w:tcPr>
          <w:p w:rsidR="00FD5F8B" w:rsidRPr="00E13E12" w:rsidRDefault="00DF36C4" w:rsidP="00FD5F8B">
            <w:pPr>
              <w:spacing w:before="60" w:line="200" w:lineRule="exact"/>
              <w:jc w:val="right"/>
              <w:rPr>
                <w:rFonts w:eastAsia="Times New Roman"/>
                <w:b/>
                <w:sz w:val="16"/>
                <w:szCs w:val="24"/>
                <w:lang w:eastAsia="sv-SE"/>
              </w:rPr>
            </w:pPr>
            <w:r>
              <w:rPr>
                <w:rFonts w:eastAsia="Times New Roman"/>
                <w:b/>
                <w:sz w:val="16"/>
                <w:szCs w:val="24"/>
                <w:lang w:eastAsia="sv-SE"/>
              </w:rPr>
              <w:t>15 540</w:t>
            </w:r>
          </w:p>
        </w:tc>
      </w:tr>
      <w:tr w:rsidR="00E13E12" w:rsidRPr="0008543C" w:rsidTr="002E6E3E">
        <w:trPr>
          <w:cantSplit/>
        </w:trPr>
        <w:tc>
          <w:tcPr>
            <w:tcW w:w="1838"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i/>
                <w:sz w:val="16"/>
                <w:szCs w:val="24"/>
                <w:lang w:eastAsia="sv-SE"/>
              </w:rPr>
            </w:pPr>
            <w:r w:rsidRPr="00603CA8">
              <w:rPr>
                <w:rFonts w:eastAsia="Times New Roman"/>
                <w:b/>
                <w:i/>
                <w:sz w:val="16"/>
                <w:szCs w:val="24"/>
                <w:lang w:eastAsia="sv-SE"/>
              </w:rPr>
              <w:t>Summa 2015</w:t>
            </w:r>
          </w:p>
        </w:tc>
        <w:tc>
          <w:tcPr>
            <w:tcW w:w="992"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i/>
                <w:sz w:val="16"/>
                <w:szCs w:val="24"/>
                <w:lang w:eastAsia="sv-SE"/>
              </w:rPr>
            </w:pPr>
          </w:p>
        </w:tc>
        <w:tc>
          <w:tcPr>
            <w:tcW w:w="1134"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i/>
                <w:sz w:val="16"/>
                <w:szCs w:val="24"/>
                <w:lang w:eastAsia="sv-SE"/>
              </w:rPr>
            </w:pPr>
          </w:p>
        </w:tc>
        <w:tc>
          <w:tcPr>
            <w:tcW w:w="993" w:type="dxa"/>
            <w:tcBorders>
              <w:top w:val="single" w:sz="4" w:space="0" w:color="auto"/>
              <w:bottom w:val="single" w:sz="4" w:space="0" w:color="auto"/>
            </w:tcBorders>
          </w:tcPr>
          <w:p w:rsidR="00E13E12" w:rsidRPr="00603CA8" w:rsidRDefault="00E13E12" w:rsidP="002E6E3E">
            <w:pPr>
              <w:spacing w:before="60" w:line="200" w:lineRule="exact"/>
              <w:jc w:val="right"/>
              <w:rPr>
                <w:rFonts w:eastAsia="Times New Roman"/>
                <w:b/>
                <w:i/>
                <w:sz w:val="16"/>
                <w:szCs w:val="24"/>
                <w:highlight w:val="yellow"/>
                <w:lang w:eastAsia="sv-SE"/>
              </w:rPr>
            </w:pPr>
            <w:r w:rsidRPr="00603CA8">
              <w:rPr>
                <w:rFonts w:eastAsia="Times New Roman"/>
                <w:b/>
                <w:i/>
                <w:sz w:val="16"/>
                <w:szCs w:val="24"/>
                <w:lang w:eastAsia="sv-SE"/>
              </w:rPr>
              <w:t>5 867</w:t>
            </w:r>
          </w:p>
        </w:tc>
        <w:tc>
          <w:tcPr>
            <w:tcW w:w="874" w:type="dxa"/>
            <w:tcBorders>
              <w:top w:val="single" w:sz="4" w:space="0" w:color="auto"/>
              <w:bottom w:val="single" w:sz="4" w:space="0" w:color="auto"/>
            </w:tcBorders>
          </w:tcPr>
          <w:p w:rsidR="00E13E12" w:rsidRPr="00603CA8" w:rsidRDefault="00E13E12" w:rsidP="002E6E3E">
            <w:pPr>
              <w:spacing w:before="60" w:line="200" w:lineRule="exact"/>
              <w:jc w:val="right"/>
              <w:rPr>
                <w:rFonts w:eastAsia="Times New Roman"/>
                <w:b/>
                <w:i/>
                <w:sz w:val="16"/>
                <w:szCs w:val="24"/>
                <w:lang w:eastAsia="sv-SE"/>
              </w:rPr>
            </w:pPr>
            <w:r w:rsidRPr="00603CA8">
              <w:rPr>
                <w:rFonts w:eastAsia="Times New Roman"/>
                <w:b/>
                <w:i/>
                <w:sz w:val="16"/>
                <w:szCs w:val="24"/>
                <w:lang w:eastAsia="sv-SE"/>
              </w:rPr>
              <w:t>15 913</w:t>
            </w:r>
          </w:p>
        </w:tc>
      </w:tr>
      <w:tr w:rsidR="00E13E12" w:rsidRPr="0008543C" w:rsidTr="002E6E3E">
        <w:trPr>
          <w:cantSplit/>
        </w:trPr>
        <w:tc>
          <w:tcPr>
            <w:tcW w:w="1838"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i/>
                <w:sz w:val="16"/>
                <w:szCs w:val="24"/>
                <w:lang w:eastAsia="sv-SE"/>
              </w:rPr>
            </w:pPr>
            <w:r w:rsidRPr="00603CA8">
              <w:rPr>
                <w:rFonts w:eastAsia="Times New Roman"/>
                <w:b/>
                <w:i/>
                <w:sz w:val="16"/>
                <w:szCs w:val="24"/>
                <w:lang w:eastAsia="sv-SE"/>
              </w:rPr>
              <w:t>Summa 2014</w:t>
            </w:r>
          </w:p>
        </w:tc>
        <w:tc>
          <w:tcPr>
            <w:tcW w:w="992"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sz w:val="16"/>
                <w:szCs w:val="24"/>
                <w:lang w:eastAsia="sv-SE"/>
              </w:rPr>
            </w:pPr>
          </w:p>
        </w:tc>
        <w:tc>
          <w:tcPr>
            <w:tcW w:w="1134" w:type="dxa"/>
            <w:tcBorders>
              <w:top w:val="single" w:sz="4" w:space="0" w:color="auto"/>
              <w:bottom w:val="single" w:sz="4" w:space="0" w:color="auto"/>
            </w:tcBorders>
          </w:tcPr>
          <w:p w:rsidR="00E13E12" w:rsidRPr="00603CA8" w:rsidRDefault="00E13E12" w:rsidP="002E6E3E">
            <w:pPr>
              <w:spacing w:before="60" w:line="200" w:lineRule="exact"/>
              <w:jc w:val="left"/>
              <w:rPr>
                <w:rFonts w:eastAsia="Times New Roman"/>
                <w:b/>
                <w:sz w:val="16"/>
                <w:szCs w:val="24"/>
                <w:lang w:eastAsia="sv-SE"/>
              </w:rPr>
            </w:pPr>
          </w:p>
        </w:tc>
        <w:tc>
          <w:tcPr>
            <w:tcW w:w="993" w:type="dxa"/>
            <w:tcBorders>
              <w:top w:val="single" w:sz="4" w:space="0" w:color="auto"/>
              <w:bottom w:val="single" w:sz="4" w:space="0" w:color="auto"/>
            </w:tcBorders>
          </w:tcPr>
          <w:p w:rsidR="00E13E12" w:rsidRPr="00603CA8" w:rsidRDefault="00E13E12" w:rsidP="002E6E3E">
            <w:pPr>
              <w:spacing w:before="60" w:line="200" w:lineRule="exact"/>
              <w:jc w:val="right"/>
              <w:rPr>
                <w:rFonts w:eastAsia="Times New Roman"/>
                <w:b/>
                <w:i/>
                <w:sz w:val="16"/>
                <w:szCs w:val="24"/>
                <w:lang w:eastAsia="sv-SE"/>
              </w:rPr>
            </w:pPr>
            <w:r w:rsidRPr="00603CA8">
              <w:rPr>
                <w:rFonts w:eastAsia="Times New Roman"/>
                <w:b/>
                <w:i/>
                <w:sz w:val="16"/>
                <w:szCs w:val="24"/>
                <w:lang w:eastAsia="sv-SE"/>
              </w:rPr>
              <w:t>7 861</w:t>
            </w:r>
          </w:p>
        </w:tc>
        <w:tc>
          <w:tcPr>
            <w:tcW w:w="874" w:type="dxa"/>
            <w:tcBorders>
              <w:top w:val="single" w:sz="4" w:space="0" w:color="auto"/>
              <w:bottom w:val="single" w:sz="4" w:space="0" w:color="auto"/>
            </w:tcBorders>
          </w:tcPr>
          <w:p w:rsidR="00E13E12" w:rsidRPr="00603CA8" w:rsidRDefault="007E0C58" w:rsidP="002E6E3E">
            <w:pPr>
              <w:spacing w:before="60" w:line="200" w:lineRule="exact"/>
              <w:jc w:val="right"/>
              <w:rPr>
                <w:rFonts w:eastAsia="Times New Roman"/>
                <w:b/>
                <w:i/>
                <w:sz w:val="16"/>
                <w:szCs w:val="24"/>
                <w:lang w:eastAsia="sv-SE"/>
              </w:rPr>
            </w:pPr>
            <w:r w:rsidRPr="00603CA8">
              <w:rPr>
                <w:rFonts w:eastAsia="Times New Roman"/>
                <w:b/>
                <w:i/>
                <w:sz w:val="16"/>
                <w:szCs w:val="24"/>
                <w:lang w:eastAsia="sv-SE"/>
              </w:rPr>
              <w:t>13 </w:t>
            </w:r>
            <w:r w:rsidR="00E13E12" w:rsidRPr="00603CA8">
              <w:rPr>
                <w:rFonts w:eastAsia="Times New Roman"/>
                <w:b/>
                <w:i/>
                <w:sz w:val="16"/>
                <w:szCs w:val="24"/>
                <w:lang w:eastAsia="sv-SE"/>
              </w:rPr>
              <w:t>660</w:t>
            </w:r>
          </w:p>
        </w:tc>
      </w:tr>
    </w:tbl>
    <w:p w:rsidR="00FD5F8B" w:rsidRPr="007346FA" w:rsidRDefault="00BD5C18" w:rsidP="00966DAE">
      <w:pPr>
        <w:suppressAutoHyphens/>
        <w:spacing w:before="120"/>
        <w:rPr>
          <w:u w:val="single"/>
        </w:rPr>
      </w:pPr>
      <w:r w:rsidRPr="00BD5C18">
        <w:lastRenderedPageBreak/>
        <w:t xml:space="preserve">Riksdagen har under de senaste åren deltagit regelbundet med delegationer som studerat verksamheten vid FN i New York. Under 2016 beslutades att lägga om inriktningen från studiebesök till ett mer aktivt deltagande. Under hösten deltog de två gruppledarna från Socialdemokraterna och Moderaterna i den svenska regeringsdelegationen vid öppnandet av </w:t>
      </w:r>
      <w:r w:rsidR="00FD5F8B" w:rsidRPr="00BD5C18">
        <w:t>generalförsamling</w:t>
      </w:r>
      <w:r w:rsidRPr="00BD5C18">
        <w:t>en.</w:t>
      </w:r>
      <w:r w:rsidR="00B1593C">
        <w:t xml:space="preserve"> Riksdagsförvaltn</w:t>
      </w:r>
      <w:r w:rsidR="004546BC">
        <w:t>ingen tog i nära samarbete med U</w:t>
      </w:r>
      <w:r w:rsidR="00B1593C">
        <w:t>trikesdepartementet fram program för gruppledarna och gav tjänstemannastöd på plats.</w:t>
      </w:r>
      <w:r w:rsidRPr="00BD5C18">
        <w:t xml:space="preserve"> </w:t>
      </w:r>
      <w:r w:rsidRPr="00966DAE">
        <w:t>De två delega</w:t>
      </w:r>
      <w:r w:rsidR="00966DAE" w:rsidRPr="00966DAE">
        <w:softHyphen/>
      </w:r>
      <w:r w:rsidRPr="00966DAE">
        <w:t>tioner</w:t>
      </w:r>
      <w:r w:rsidRPr="00BD5C18">
        <w:t xml:space="preserve"> med riksdagsledamöter som tidigare besökt FN under hösten ska i</w:t>
      </w:r>
      <w:r w:rsidR="00F31A92">
        <w:t xml:space="preserve"> </w:t>
      </w:r>
      <w:r w:rsidRPr="00BD5C18">
        <w:t>stället delta under våren 2017 och då ha en mer arbetande roll</w:t>
      </w:r>
      <w:r w:rsidRPr="004C14AD">
        <w:t>.</w:t>
      </w:r>
      <w:r w:rsidR="00B1593C" w:rsidRPr="004C14AD">
        <w:t xml:space="preserve"> Förvaltningen började</w:t>
      </w:r>
      <w:r w:rsidR="004D5A37">
        <w:t xml:space="preserve"> med</w:t>
      </w:r>
      <w:r w:rsidR="00B1593C" w:rsidRPr="004C14AD">
        <w:t xml:space="preserve"> </w:t>
      </w:r>
      <w:r w:rsidR="004D5A37" w:rsidRPr="004C14AD">
        <w:t xml:space="preserve">förberedelserna </w:t>
      </w:r>
      <w:r w:rsidR="004D5A37">
        <w:t>för dessa delegationer under sommaren</w:t>
      </w:r>
      <w:r w:rsidR="00B1593C" w:rsidRPr="004C14AD">
        <w:t>.</w:t>
      </w:r>
      <w:r w:rsidRPr="003D36C4">
        <w:rPr>
          <w:highlight w:val="yellow"/>
          <w:u w:val="single"/>
        </w:rPr>
        <w:t xml:space="preserve"> </w:t>
      </w:r>
    </w:p>
    <w:p w:rsidR="00FD5F8B" w:rsidRPr="004C00A5" w:rsidRDefault="00B10D74" w:rsidP="00FD5F8B">
      <w:pPr>
        <w:spacing w:before="0"/>
        <w:ind w:firstLine="227"/>
      </w:pPr>
      <w:r w:rsidRPr="0022544C">
        <w:t>R</w:t>
      </w:r>
      <w:r w:rsidR="00FD5F8B" w:rsidRPr="0022544C">
        <w:t xml:space="preserve">iksdagsledamöter </w:t>
      </w:r>
      <w:r w:rsidRPr="0022544C">
        <w:t xml:space="preserve">som är intresserade av närmare parlamentariska kontakter med ett visst land kan bilda en vänskapsförening eller ett nätverk för det landet. I riksdagen finns ett femtiotal sådana föreningar. </w:t>
      </w:r>
      <w:r w:rsidR="00C20C84" w:rsidRPr="0022544C">
        <w:t>Förvaltningen bistår intresserade med information om kontaktväga</w:t>
      </w:r>
      <w:r w:rsidR="00F019E1">
        <w:t xml:space="preserve">r. </w:t>
      </w:r>
    </w:p>
    <w:p w:rsidR="00FD5F8B" w:rsidRPr="00FD5F8B" w:rsidRDefault="00FD5F8B" w:rsidP="0098555F">
      <w:pPr>
        <w:pStyle w:val="Rubrik4"/>
      </w:pPr>
      <w:r w:rsidRPr="00FD5F8B">
        <w:t>Internationella besök i riksdagen</w:t>
      </w:r>
    </w:p>
    <w:p w:rsidR="00FD5F8B" w:rsidRPr="00E333A7" w:rsidRDefault="00735E3C" w:rsidP="00E21047">
      <w:pPr>
        <w:suppressAutoHyphens/>
      </w:pPr>
      <w:r w:rsidRPr="00EA6CD5">
        <w:t>Under 201</w:t>
      </w:r>
      <w:r w:rsidR="007A076D">
        <w:t>6</w:t>
      </w:r>
      <w:r w:rsidR="002E53F2" w:rsidRPr="00EA6CD5">
        <w:t xml:space="preserve"> tog riksdagen emot </w:t>
      </w:r>
      <w:r w:rsidR="00EA6CD5" w:rsidRPr="00E51020">
        <w:t>72</w:t>
      </w:r>
      <w:r w:rsidR="00FD5F8B" w:rsidRPr="00E51020">
        <w:t xml:space="preserve"> besök från </w:t>
      </w:r>
      <w:r w:rsidR="00EA6CD5" w:rsidRPr="001903D0">
        <w:t>47</w:t>
      </w:r>
      <w:r w:rsidR="00FD5F8B" w:rsidRPr="001903D0">
        <w:t xml:space="preserve"> länder</w:t>
      </w:r>
      <w:r w:rsidR="00FD5F8B" w:rsidRPr="00EA6CD5">
        <w:t xml:space="preserve"> världen över.</w:t>
      </w:r>
      <w:r w:rsidR="0051148F" w:rsidRPr="00EA6CD5">
        <w:rPr>
          <w:rStyle w:val="Fotnotsreferens"/>
        </w:rPr>
        <w:footnoteReference w:id="22"/>
      </w:r>
      <w:r w:rsidR="00FD5F8B" w:rsidRPr="00EA6CD5">
        <w:t xml:space="preserve"> Besöken av talmän, stats</w:t>
      </w:r>
      <w:r w:rsidR="00EA6CD5" w:rsidRPr="00EA6CD5">
        <w:t>- och regerings</w:t>
      </w:r>
      <w:r w:rsidR="00FD5F8B" w:rsidRPr="00EA6CD5">
        <w:t>chefer, ministrar, parlam</w:t>
      </w:r>
      <w:r w:rsidR="00EA6CD5" w:rsidRPr="00EA6CD5">
        <w:t>entariker och representanter från</w:t>
      </w:r>
      <w:r w:rsidR="00FD5F8B" w:rsidRPr="00EA6CD5">
        <w:t xml:space="preserve"> internationella organisationer är en stor del av den </w:t>
      </w:r>
      <w:r w:rsidR="00FD5F8B" w:rsidRPr="00E21047">
        <w:t>interna</w:t>
      </w:r>
      <w:r w:rsidR="00D7300D" w:rsidRPr="00E21047">
        <w:softHyphen/>
      </w:r>
      <w:r w:rsidR="00FD5F8B" w:rsidRPr="00E21047">
        <w:t>t</w:t>
      </w:r>
      <w:r w:rsidR="00FD5F8B" w:rsidRPr="00EA6CD5">
        <w:t>ionella verksamheten</w:t>
      </w:r>
      <w:r w:rsidR="00FD5F8B" w:rsidRPr="00E333A7">
        <w:t>. Förvaltningen arbeta</w:t>
      </w:r>
      <w:r w:rsidR="00F04EA9" w:rsidRPr="00E333A7">
        <w:t>r med att planera,</w:t>
      </w:r>
      <w:r w:rsidR="00FD5F8B" w:rsidRPr="00E333A7">
        <w:t xml:space="preserve"> </w:t>
      </w:r>
      <w:r w:rsidR="00E333A7" w:rsidRPr="00E333A7">
        <w:t xml:space="preserve">programlägga, </w:t>
      </w:r>
      <w:r w:rsidR="00FD5F8B" w:rsidRPr="00E333A7">
        <w:t>genomföra och följa upp den internationella besöksverksamheten. Kostnaden för inkomman</w:t>
      </w:r>
      <w:r w:rsidR="006E7F38" w:rsidRPr="00E333A7">
        <w:t xml:space="preserve">de besök varierar beroende </w:t>
      </w:r>
      <w:r w:rsidR="00BD5BF5" w:rsidRPr="00E333A7">
        <w:t xml:space="preserve">på hur </w:t>
      </w:r>
      <w:r w:rsidR="00BD5BF5" w:rsidRPr="007728CF">
        <w:t>många besök av statschefer och talmän</w:t>
      </w:r>
      <w:r w:rsidR="006E7F38" w:rsidRPr="00E333A7">
        <w:t xml:space="preserve"> som hålls per år och </w:t>
      </w:r>
      <w:r w:rsidR="00FD5F8B" w:rsidRPr="00E333A7">
        <w:t>på hur stora delegationerna är.</w:t>
      </w:r>
    </w:p>
    <w:p w:rsidR="00FD5F8B" w:rsidRPr="007346FA" w:rsidRDefault="00FD5F8B" w:rsidP="00FD5F8B">
      <w:pPr>
        <w:spacing w:before="0"/>
        <w:ind w:firstLine="227"/>
        <w:rPr>
          <w:u w:val="single"/>
        </w:rPr>
      </w:pPr>
      <w:r w:rsidRPr="00E333A7">
        <w:t>Utgångspunkten för all programplanering är att ge bästa möjliga förutsättningar för mötet. Riksdagsledamöterna ska få möjlighet att i första hand möta sin</w:t>
      </w:r>
      <w:r w:rsidR="00735E3C" w:rsidRPr="00E333A7">
        <w:t>a</w:t>
      </w:r>
      <w:r w:rsidRPr="00E333A7">
        <w:t xml:space="preserve"> motsvarighet</w:t>
      </w:r>
      <w:r w:rsidR="00735E3C" w:rsidRPr="00E333A7">
        <w:t>er</w:t>
      </w:r>
      <w:r w:rsidRPr="00E333A7">
        <w:t xml:space="preserve"> från det gästande parlamentet. Det är en princip som alltid har tillämpats vid programläggning, men fördes in som ett kvalitetsmått i redovisningen 2013. Vid samtliga inkommande internationella besök under året har riksdagens ledamöter träffat sina utländska motsvarigheter.</w:t>
      </w:r>
    </w:p>
    <w:p w:rsidR="00FD5F8B" w:rsidRDefault="00FD5F8B" w:rsidP="00FD5F8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FD5F8B">
        <w:rPr>
          <w:rFonts w:eastAsiaTheme="majorEastAsia" w:cstheme="majorBidi"/>
          <w:b/>
        </w:rPr>
        <w:t xml:space="preserve">Tabell </w:t>
      </w:r>
      <w:r w:rsidR="00F52B51">
        <w:rPr>
          <w:rFonts w:eastAsiaTheme="majorEastAsia" w:cstheme="majorBidi"/>
          <w:b/>
        </w:rPr>
        <w:t>11</w:t>
      </w:r>
      <w:r w:rsidRPr="00FD5F8B">
        <w:rPr>
          <w:rFonts w:eastAsiaTheme="majorEastAsia" w:cstheme="majorBidi"/>
          <w:b/>
        </w:rPr>
        <w:t xml:space="preserve"> Internationella besök i riksdagen</w:t>
      </w:r>
      <w:r w:rsidR="00873DC8">
        <w:rPr>
          <w:rFonts w:eastAsiaTheme="majorEastAsia" w:cstheme="majorBidi"/>
          <w:b/>
        </w:rPr>
        <w:t xml:space="preserve"> </w:t>
      </w:r>
    </w:p>
    <w:tbl>
      <w:tblPr>
        <w:tblStyle w:val="Tabellrutnt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275"/>
        <w:gridCol w:w="1300"/>
      </w:tblGrid>
      <w:tr w:rsidR="00FD5F8B" w:rsidRPr="00FD5F8B" w:rsidTr="00594C7B">
        <w:tc>
          <w:tcPr>
            <w:tcW w:w="1838" w:type="dxa"/>
            <w:tcBorders>
              <w:top w:val="single" w:sz="4" w:space="0" w:color="auto"/>
              <w:bottom w:val="single" w:sz="4" w:space="0" w:color="auto"/>
            </w:tcBorders>
          </w:tcPr>
          <w:p w:rsidR="00FD5F8B" w:rsidRPr="005E073C" w:rsidRDefault="00FD5F8B" w:rsidP="00FD5F8B">
            <w:pPr>
              <w:spacing w:before="60" w:line="200" w:lineRule="exact"/>
              <w:jc w:val="left"/>
              <w:rPr>
                <w:rFonts w:eastAsia="Times New Roman"/>
                <w:b/>
                <w:sz w:val="16"/>
                <w:szCs w:val="24"/>
                <w:lang w:eastAsia="sv-SE"/>
              </w:rPr>
            </w:pPr>
          </w:p>
        </w:tc>
        <w:tc>
          <w:tcPr>
            <w:tcW w:w="1418" w:type="dxa"/>
            <w:tcBorders>
              <w:top w:val="single" w:sz="4" w:space="0" w:color="auto"/>
              <w:bottom w:val="single" w:sz="4" w:space="0" w:color="auto"/>
            </w:tcBorders>
          </w:tcPr>
          <w:p w:rsidR="00FD5F8B" w:rsidRPr="005E073C" w:rsidRDefault="00FD5F8B" w:rsidP="00FD5F8B">
            <w:pPr>
              <w:spacing w:before="60" w:line="200" w:lineRule="exact"/>
              <w:jc w:val="right"/>
              <w:rPr>
                <w:rFonts w:eastAsia="Times New Roman"/>
                <w:b/>
                <w:sz w:val="16"/>
                <w:szCs w:val="24"/>
                <w:lang w:eastAsia="sv-SE"/>
              </w:rPr>
            </w:pPr>
            <w:r w:rsidRPr="005E073C">
              <w:rPr>
                <w:rFonts w:eastAsia="Times New Roman"/>
                <w:b/>
                <w:sz w:val="16"/>
                <w:szCs w:val="24"/>
                <w:lang w:eastAsia="sv-SE"/>
              </w:rPr>
              <w:t>201</w:t>
            </w:r>
            <w:r w:rsidR="00830E28" w:rsidRPr="005E073C">
              <w:rPr>
                <w:rFonts w:eastAsia="Times New Roman"/>
                <w:b/>
                <w:sz w:val="16"/>
                <w:szCs w:val="24"/>
                <w:lang w:eastAsia="sv-SE"/>
              </w:rPr>
              <w:t>6</w:t>
            </w:r>
          </w:p>
        </w:tc>
        <w:tc>
          <w:tcPr>
            <w:tcW w:w="1275" w:type="dxa"/>
            <w:tcBorders>
              <w:top w:val="single" w:sz="4" w:space="0" w:color="auto"/>
              <w:bottom w:val="single" w:sz="4" w:space="0" w:color="auto"/>
            </w:tcBorders>
          </w:tcPr>
          <w:p w:rsidR="00FD5F8B" w:rsidRPr="005E073C" w:rsidRDefault="00FD5F8B" w:rsidP="00FD5F8B">
            <w:pPr>
              <w:spacing w:before="60" w:line="200" w:lineRule="exact"/>
              <w:jc w:val="right"/>
              <w:rPr>
                <w:rFonts w:eastAsia="Times New Roman"/>
                <w:b/>
                <w:sz w:val="16"/>
                <w:szCs w:val="24"/>
                <w:lang w:eastAsia="sv-SE"/>
              </w:rPr>
            </w:pPr>
            <w:r w:rsidRPr="005E073C">
              <w:rPr>
                <w:rFonts w:eastAsia="Times New Roman"/>
                <w:b/>
                <w:sz w:val="16"/>
                <w:szCs w:val="24"/>
                <w:lang w:eastAsia="sv-SE"/>
              </w:rPr>
              <w:t>201</w:t>
            </w:r>
            <w:r w:rsidR="00830E28" w:rsidRPr="005E073C">
              <w:rPr>
                <w:rFonts w:eastAsia="Times New Roman"/>
                <w:b/>
                <w:sz w:val="16"/>
                <w:szCs w:val="24"/>
                <w:lang w:eastAsia="sv-SE"/>
              </w:rPr>
              <w:t>5</w:t>
            </w:r>
          </w:p>
        </w:tc>
        <w:tc>
          <w:tcPr>
            <w:tcW w:w="1300" w:type="dxa"/>
            <w:tcBorders>
              <w:top w:val="single" w:sz="4" w:space="0" w:color="auto"/>
              <w:bottom w:val="single" w:sz="4" w:space="0" w:color="auto"/>
            </w:tcBorders>
          </w:tcPr>
          <w:p w:rsidR="00FD5F8B" w:rsidRPr="005E073C" w:rsidRDefault="00FD5F8B" w:rsidP="000133C9">
            <w:pPr>
              <w:spacing w:before="60" w:line="200" w:lineRule="exact"/>
              <w:jc w:val="right"/>
              <w:rPr>
                <w:rFonts w:eastAsia="Times New Roman"/>
                <w:b/>
                <w:sz w:val="16"/>
                <w:szCs w:val="24"/>
                <w:lang w:eastAsia="sv-SE"/>
              </w:rPr>
            </w:pPr>
            <w:r w:rsidRPr="005E073C">
              <w:rPr>
                <w:rFonts w:eastAsia="Times New Roman"/>
                <w:b/>
                <w:sz w:val="16"/>
                <w:szCs w:val="24"/>
                <w:lang w:eastAsia="sv-SE"/>
              </w:rPr>
              <w:t>201</w:t>
            </w:r>
            <w:r w:rsidR="00830E28" w:rsidRPr="005E073C">
              <w:rPr>
                <w:rFonts w:eastAsia="Times New Roman"/>
                <w:b/>
                <w:sz w:val="16"/>
                <w:szCs w:val="24"/>
                <w:lang w:eastAsia="sv-SE"/>
              </w:rPr>
              <w:t>4</w:t>
            </w:r>
          </w:p>
        </w:tc>
      </w:tr>
      <w:tr w:rsidR="00830E28" w:rsidRPr="00FD5F8B" w:rsidTr="00594C7B">
        <w:tc>
          <w:tcPr>
            <w:tcW w:w="1838" w:type="dxa"/>
            <w:tcBorders>
              <w:top w:val="single" w:sz="4" w:space="0" w:color="auto"/>
            </w:tcBorders>
          </w:tcPr>
          <w:p w:rsidR="00830E28" w:rsidRPr="00FD5F8B" w:rsidRDefault="00830E28" w:rsidP="00830E28">
            <w:pPr>
              <w:spacing w:before="60" w:line="200" w:lineRule="exact"/>
              <w:jc w:val="left"/>
              <w:rPr>
                <w:rFonts w:eastAsia="Times New Roman"/>
                <w:sz w:val="16"/>
                <w:szCs w:val="24"/>
                <w:lang w:eastAsia="sv-SE"/>
              </w:rPr>
            </w:pPr>
            <w:r w:rsidRPr="00FD5F8B">
              <w:rPr>
                <w:rFonts w:eastAsia="Times New Roman"/>
                <w:sz w:val="16"/>
                <w:szCs w:val="24"/>
                <w:lang w:eastAsia="sv-SE"/>
              </w:rPr>
              <w:t>Antal besök</w:t>
            </w:r>
          </w:p>
        </w:tc>
        <w:tc>
          <w:tcPr>
            <w:tcW w:w="1418" w:type="dxa"/>
            <w:tcBorders>
              <w:top w:val="single" w:sz="4" w:space="0" w:color="auto"/>
            </w:tcBorders>
          </w:tcPr>
          <w:p w:rsidR="00830E28" w:rsidRPr="00E51020" w:rsidRDefault="00520305" w:rsidP="00830E28">
            <w:pPr>
              <w:spacing w:before="60" w:line="200" w:lineRule="exact"/>
              <w:jc w:val="right"/>
              <w:rPr>
                <w:rFonts w:eastAsia="Times New Roman"/>
                <w:sz w:val="16"/>
                <w:szCs w:val="24"/>
                <w:highlight w:val="yellow"/>
                <w:lang w:eastAsia="sv-SE"/>
              </w:rPr>
            </w:pPr>
            <w:r w:rsidRPr="00E51020">
              <w:rPr>
                <w:rFonts w:eastAsia="Times New Roman"/>
                <w:sz w:val="16"/>
                <w:szCs w:val="24"/>
                <w:lang w:eastAsia="sv-SE"/>
              </w:rPr>
              <w:t>72</w:t>
            </w:r>
          </w:p>
        </w:tc>
        <w:tc>
          <w:tcPr>
            <w:tcW w:w="1275" w:type="dxa"/>
            <w:tcBorders>
              <w:top w:val="single" w:sz="4" w:space="0" w:color="auto"/>
            </w:tcBorders>
          </w:tcPr>
          <w:p w:rsidR="00830E28" w:rsidRPr="00FD5F8B" w:rsidRDefault="00830E28" w:rsidP="00830E28">
            <w:pPr>
              <w:spacing w:before="60" w:line="200" w:lineRule="exact"/>
              <w:jc w:val="right"/>
              <w:rPr>
                <w:rFonts w:eastAsia="Times New Roman"/>
                <w:sz w:val="16"/>
                <w:szCs w:val="24"/>
                <w:lang w:eastAsia="sv-SE"/>
              </w:rPr>
            </w:pPr>
            <w:r>
              <w:rPr>
                <w:rFonts w:eastAsia="Times New Roman"/>
                <w:sz w:val="16"/>
                <w:szCs w:val="24"/>
                <w:lang w:eastAsia="sv-SE"/>
              </w:rPr>
              <w:t>76</w:t>
            </w:r>
          </w:p>
        </w:tc>
        <w:tc>
          <w:tcPr>
            <w:tcW w:w="1300" w:type="dxa"/>
            <w:tcBorders>
              <w:top w:val="single" w:sz="4" w:space="0" w:color="auto"/>
            </w:tcBorders>
          </w:tcPr>
          <w:p w:rsidR="00830E28" w:rsidRPr="00FD5F8B" w:rsidRDefault="00830E28" w:rsidP="00830E28">
            <w:pPr>
              <w:spacing w:before="60" w:line="200" w:lineRule="exact"/>
              <w:jc w:val="right"/>
              <w:rPr>
                <w:rFonts w:eastAsia="Times New Roman"/>
                <w:sz w:val="16"/>
                <w:szCs w:val="24"/>
                <w:lang w:eastAsia="sv-SE"/>
              </w:rPr>
            </w:pPr>
            <w:r w:rsidRPr="00FD5F8B">
              <w:rPr>
                <w:rFonts w:eastAsia="Times New Roman"/>
                <w:sz w:val="16"/>
                <w:szCs w:val="24"/>
                <w:lang w:eastAsia="sv-SE"/>
              </w:rPr>
              <w:t>54</w:t>
            </w:r>
          </w:p>
        </w:tc>
      </w:tr>
      <w:tr w:rsidR="00830E28" w:rsidRPr="00FD5F8B" w:rsidTr="00594C7B">
        <w:tc>
          <w:tcPr>
            <w:tcW w:w="1838" w:type="dxa"/>
          </w:tcPr>
          <w:p w:rsidR="00830E28" w:rsidRPr="00FD5F8B" w:rsidRDefault="00830E28" w:rsidP="00830E28">
            <w:pPr>
              <w:spacing w:before="60" w:line="200" w:lineRule="exact"/>
              <w:jc w:val="left"/>
              <w:rPr>
                <w:rFonts w:eastAsia="Times New Roman"/>
                <w:sz w:val="16"/>
                <w:szCs w:val="24"/>
                <w:lang w:eastAsia="sv-SE"/>
              </w:rPr>
            </w:pPr>
            <w:r w:rsidRPr="00FD5F8B">
              <w:rPr>
                <w:rFonts w:eastAsia="Times New Roman"/>
                <w:sz w:val="16"/>
                <w:szCs w:val="24"/>
                <w:lang w:eastAsia="sv-SE"/>
              </w:rPr>
              <w:t>Antal länder</w:t>
            </w:r>
          </w:p>
        </w:tc>
        <w:tc>
          <w:tcPr>
            <w:tcW w:w="1418" w:type="dxa"/>
          </w:tcPr>
          <w:p w:rsidR="00830E28" w:rsidRPr="00E51020" w:rsidRDefault="00520305" w:rsidP="00830E28">
            <w:pPr>
              <w:spacing w:before="60" w:line="200" w:lineRule="exact"/>
              <w:jc w:val="right"/>
              <w:rPr>
                <w:rFonts w:eastAsia="Times New Roman"/>
                <w:sz w:val="16"/>
                <w:szCs w:val="24"/>
                <w:highlight w:val="yellow"/>
                <w:lang w:eastAsia="sv-SE"/>
              </w:rPr>
            </w:pPr>
            <w:r w:rsidRPr="001903D0">
              <w:rPr>
                <w:rFonts w:eastAsia="Times New Roman"/>
                <w:sz w:val="16"/>
                <w:szCs w:val="24"/>
                <w:lang w:eastAsia="sv-SE"/>
              </w:rPr>
              <w:t>4</w:t>
            </w:r>
            <w:r w:rsidR="001903D0" w:rsidRPr="001903D0">
              <w:rPr>
                <w:rFonts w:eastAsia="Times New Roman"/>
                <w:sz w:val="16"/>
                <w:szCs w:val="24"/>
                <w:lang w:eastAsia="sv-SE"/>
              </w:rPr>
              <w:t>7</w:t>
            </w:r>
          </w:p>
        </w:tc>
        <w:tc>
          <w:tcPr>
            <w:tcW w:w="1275" w:type="dxa"/>
          </w:tcPr>
          <w:p w:rsidR="00830E28" w:rsidRPr="00FD5F8B" w:rsidRDefault="00830E28" w:rsidP="00830E28">
            <w:pPr>
              <w:spacing w:before="60" w:line="200" w:lineRule="exact"/>
              <w:jc w:val="right"/>
              <w:rPr>
                <w:rFonts w:eastAsia="Times New Roman"/>
                <w:sz w:val="16"/>
                <w:szCs w:val="24"/>
                <w:lang w:eastAsia="sv-SE"/>
              </w:rPr>
            </w:pPr>
            <w:r>
              <w:rPr>
                <w:rFonts w:eastAsia="Times New Roman"/>
                <w:sz w:val="16"/>
                <w:szCs w:val="24"/>
                <w:lang w:eastAsia="sv-SE"/>
              </w:rPr>
              <w:t>45</w:t>
            </w:r>
          </w:p>
        </w:tc>
        <w:tc>
          <w:tcPr>
            <w:tcW w:w="1300" w:type="dxa"/>
          </w:tcPr>
          <w:p w:rsidR="00830E28" w:rsidRPr="00FD5F8B" w:rsidRDefault="00830E28" w:rsidP="00830E28">
            <w:pPr>
              <w:spacing w:before="60" w:line="200" w:lineRule="exact"/>
              <w:jc w:val="right"/>
              <w:rPr>
                <w:rFonts w:eastAsia="Times New Roman"/>
                <w:sz w:val="16"/>
                <w:szCs w:val="24"/>
                <w:lang w:eastAsia="sv-SE"/>
              </w:rPr>
            </w:pPr>
            <w:r w:rsidRPr="00FD5F8B">
              <w:rPr>
                <w:rFonts w:eastAsia="Times New Roman"/>
                <w:sz w:val="16"/>
                <w:szCs w:val="24"/>
                <w:lang w:eastAsia="sv-SE"/>
              </w:rPr>
              <w:t>34</w:t>
            </w:r>
          </w:p>
        </w:tc>
      </w:tr>
      <w:tr w:rsidR="00830E28" w:rsidRPr="00FD5F8B" w:rsidTr="00594C7B">
        <w:tc>
          <w:tcPr>
            <w:tcW w:w="1838" w:type="dxa"/>
          </w:tcPr>
          <w:p w:rsidR="00830E28" w:rsidRPr="00FD5F8B" w:rsidRDefault="00830E28" w:rsidP="00830E28">
            <w:pPr>
              <w:spacing w:before="60" w:line="200" w:lineRule="exact"/>
              <w:jc w:val="left"/>
              <w:rPr>
                <w:rFonts w:eastAsia="Times New Roman"/>
                <w:sz w:val="16"/>
                <w:szCs w:val="24"/>
                <w:lang w:eastAsia="sv-SE"/>
              </w:rPr>
            </w:pPr>
            <w:r w:rsidRPr="00FD5F8B">
              <w:rPr>
                <w:rFonts w:eastAsia="Times New Roman"/>
                <w:sz w:val="16"/>
                <w:szCs w:val="24"/>
                <w:lang w:eastAsia="sv-SE"/>
              </w:rPr>
              <w:t>Antal besökare (ca)</w:t>
            </w:r>
          </w:p>
        </w:tc>
        <w:tc>
          <w:tcPr>
            <w:tcW w:w="1418" w:type="dxa"/>
          </w:tcPr>
          <w:p w:rsidR="00830E28" w:rsidRPr="00FD5F8B" w:rsidRDefault="00520305" w:rsidP="00830E28">
            <w:pPr>
              <w:spacing w:before="60" w:line="200" w:lineRule="exact"/>
              <w:jc w:val="right"/>
              <w:rPr>
                <w:rFonts w:eastAsia="Times New Roman"/>
                <w:sz w:val="16"/>
                <w:szCs w:val="24"/>
                <w:lang w:eastAsia="sv-SE"/>
              </w:rPr>
            </w:pPr>
            <w:r w:rsidRPr="00D97A9F">
              <w:rPr>
                <w:rFonts w:eastAsia="Times New Roman"/>
                <w:sz w:val="16"/>
                <w:szCs w:val="24"/>
                <w:lang w:eastAsia="sv-SE"/>
              </w:rPr>
              <w:t>738</w:t>
            </w:r>
          </w:p>
        </w:tc>
        <w:tc>
          <w:tcPr>
            <w:tcW w:w="1275" w:type="dxa"/>
          </w:tcPr>
          <w:p w:rsidR="00830E28" w:rsidRPr="00FD5F8B" w:rsidRDefault="00830E28" w:rsidP="00830E28">
            <w:pPr>
              <w:spacing w:before="60" w:line="200" w:lineRule="exact"/>
              <w:jc w:val="right"/>
              <w:rPr>
                <w:rFonts w:eastAsia="Times New Roman"/>
                <w:sz w:val="16"/>
                <w:szCs w:val="24"/>
                <w:lang w:eastAsia="sv-SE"/>
              </w:rPr>
            </w:pPr>
            <w:r>
              <w:rPr>
                <w:rFonts w:eastAsia="Times New Roman"/>
                <w:sz w:val="16"/>
                <w:szCs w:val="24"/>
                <w:lang w:eastAsia="sv-SE"/>
              </w:rPr>
              <w:t>805</w:t>
            </w:r>
          </w:p>
        </w:tc>
        <w:tc>
          <w:tcPr>
            <w:tcW w:w="1300" w:type="dxa"/>
          </w:tcPr>
          <w:p w:rsidR="00830E28" w:rsidRPr="00FD5F8B" w:rsidRDefault="00830E28" w:rsidP="00830E28">
            <w:pPr>
              <w:spacing w:before="60" w:line="200" w:lineRule="exact"/>
              <w:jc w:val="right"/>
              <w:rPr>
                <w:rFonts w:eastAsia="Times New Roman"/>
                <w:sz w:val="16"/>
                <w:szCs w:val="24"/>
                <w:lang w:eastAsia="sv-SE"/>
              </w:rPr>
            </w:pPr>
            <w:r w:rsidRPr="00FD5F8B">
              <w:rPr>
                <w:rFonts w:eastAsia="Times New Roman"/>
                <w:sz w:val="16"/>
                <w:szCs w:val="24"/>
                <w:lang w:eastAsia="sv-SE"/>
              </w:rPr>
              <w:t>547</w:t>
            </w:r>
          </w:p>
        </w:tc>
      </w:tr>
      <w:tr w:rsidR="00830E28" w:rsidRPr="00FD5F8B" w:rsidTr="00594C7B">
        <w:tc>
          <w:tcPr>
            <w:tcW w:w="1838" w:type="dxa"/>
          </w:tcPr>
          <w:p w:rsidR="00830E28" w:rsidRPr="00FD5F8B" w:rsidRDefault="00830E28" w:rsidP="00830E28">
            <w:pPr>
              <w:spacing w:before="60" w:line="200" w:lineRule="exact"/>
              <w:jc w:val="left"/>
              <w:rPr>
                <w:rFonts w:eastAsia="Times New Roman"/>
                <w:sz w:val="16"/>
                <w:szCs w:val="24"/>
                <w:lang w:eastAsia="sv-SE"/>
              </w:rPr>
            </w:pPr>
            <w:r w:rsidRPr="00FD5F8B">
              <w:rPr>
                <w:rFonts w:eastAsia="Times New Roman"/>
                <w:sz w:val="16"/>
                <w:szCs w:val="24"/>
                <w:lang w:eastAsia="sv-SE"/>
              </w:rPr>
              <w:t>Kostnad inkommande besök (tkr)</w:t>
            </w:r>
          </w:p>
        </w:tc>
        <w:tc>
          <w:tcPr>
            <w:tcW w:w="1418" w:type="dxa"/>
            <w:vAlign w:val="bottom"/>
          </w:tcPr>
          <w:p w:rsidR="00830E28" w:rsidRPr="00FD5F8B" w:rsidRDefault="00D43454" w:rsidP="00830E28">
            <w:pPr>
              <w:spacing w:before="60" w:line="200" w:lineRule="exact"/>
              <w:jc w:val="right"/>
              <w:rPr>
                <w:rFonts w:eastAsia="Times New Roman"/>
                <w:sz w:val="16"/>
                <w:szCs w:val="24"/>
                <w:lang w:eastAsia="sv-SE"/>
              </w:rPr>
            </w:pPr>
            <w:r w:rsidRPr="00D43454">
              <w:rPr>
                <w:rFonts w:eastAsia="Times New Roman"/>
                <w:sz w:val="16"/>
                <w:szCs w:val="24"/>
                <w:lang w:eastAsia="sv-SE"/>
              </w:rPr>
              <w:t>566</w:t>
            </w:r>
          </w:p>
        </w:tc>
        <w:tc>
          <w:tcPr>
            <w:tcW w:w="1275" w:type="dxa"/>
            <w:vAlign w:val="bottom"/>
          </w:tcPr>
          <w:p w:rsidR="00830E28" w:rsidRPr="00FD5F8B" w:rsidRDefault="00830E28" w:rsidP="00830E28">
            <w:pPr>
              <w:spacing w:before="60" w:line="200" w:lineRule="exact"/>
              <w:jc w:val="right"/>
              <w:rPr>
                <w:rFonts w:eastAsia="Times New Roman"/>
                <w:sz w:val="16"/>
                <w:szCs w:val="24"/>
                <w:lang w:eastAsia="sv-SE"/>
              </w:rPr>
            </w:pPr>
            <w:r>
              <w:rPr>
                <w:rFonts w:eastAsia="Times New Roman"/>
                <w:sz w:val="16"/>
                <w:szCs w:val="24"/>
                <w:lang w:eastAsia="sv-SE"/>
              </w:rPr>
              <w:t>463</w:t>
            </w:r>
          </w:p>
        </w:tc>
        <w:tc>
          <w:tcPr>
            <w:tcW w:w="1300" w:type="dxa"/>
            <w:vAlign w:val="bottom"/>
          </w:tcPr>
          <w:p w:rsidR="00830E28" w:rsidRPr="00FD5F8B" w:rsidRDefault="00830E28" w:rsidP="00830E28">
            <w:pPr>
              <w:spacing w:before="60" w:line="200" w:lineRule="exact"/>
              <w:jc w:val="right"/>
              <w:rPr>
                <w:rFonts w:eastAsia="Times New Roman"/>
                <w:sz w:val="16"/>
                <w:szCs w:val="24"/>
                <w:lang w:eastAsia="sv-SE"/>
              </w:rPr>
            </w:pPr>
            <w:r w:rsidRPr="00FD5F8B">
              <w:rPr>
                <w:rFonts w:eastAsia="Times New Roman"/>
                <w:sz w:val="16"/>
                <w:szCs w:val="24"/>
                <w:lang w:eastAsia="sv-SE"/>
              </w:rPr>
              <w:t>441</w:t>
            </w:r>
          </w:p>
        </w:tc>
      </w:tr>
    </w:tbl>
    <w:p w:rsidR="001135FB" w:rsidRDefault="001135FB" w:rsidP="001135FB">
      <w:pPr>
        <w:pStyle w:val="Normaltindrag"/>
      </w:pPr>
      <w:r w:rsidRPr="00683FB5">
        <w:t xml:space="preserve">Förutom inkommande besök biträder förvaltningen talmannen och riksdagsdirektören vid planering och genomförande av deras utgående resor. Under 2016 har 21 utgående talmansresor genomförts till 23 länder. Motsvarande antal resor 2015 var 27 till 24 länder. </w:t>
      </w:r>
    </w:p>
    <w:p w:rsidR="00C56C5A" w:rsidRPr="00C56C5A" w:rsidRDefault="00C56C5A" w:rsidP="00C56C5A">
      <w:pPr>
        <w:pStyle w:val="Rubrik4"/>
      </w:pPr>
      <w:r w:rsidRPr="00C56C5A">
        <w:lastRenderedPageBreak/>
        <w:t>Riksdagstrycket</w:t>
      </w:r>
    </w:p>
    <w:p w:rsidR="00C56C5A" w:rsidRPr="008E199C" w:rsidRDefault="00C56C5A" w:rsidP="00C56C5A">
      <w:r w:rsidRPr="008E199C">
        <w:t>Riksdagstrycket är en viktig förutsättning för den parlamentariska beslutsprocessen. Förvaltningen ska se till att riksdagstrycket produceras och distribueras så att kammarens tidsplan kan hållas. Förutom riksdagstrycket produceras rapporter, utredningar, informationsmaterial och böcker om riksdagen.</w:t>
      </w:r>
    </w:p>
    <w:p w:rsidR="00C56C5A" w:rsidRDefault="00F52B51" w:rsidP="00C56C5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12</w:t>
      </w:r>
      <w:r w:rsidR="00C56C5A" w:rsidRPr="00C56C5A">
        <w:rPr>
          <w:rFonts w:eastAsiaTheme="majorEastAsia" w:cstheme="majorBidi"/>
          <w:b/>
        </w:rPr>
        <w:t xml:space="preserve"> Antal originalsidor i riksdagstrycket</w:t>
      </w:r>
    </w:p>
    <w:tbl>
      <w:tblPr>
        <w:tblStyle w:val="Tabellrutnt1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0"/>
        <w:gridCol w:w="851"/>
        <w:gridCol w:w="874"/>
      </w:tblGrid>
      <w:tr w:rsidR="00C56C5A" w:rsidRPr="00C56C5A" w:rsidTr="00594C7B">
        <w:tc>
          <w:tcPr>
            <w:tcW w:w="3256" w:type="dxa"/>
            <w:tcBorders>
              <w:top w:val="single" w:sz="4" w:space="0" w:color="auto"/>
              <w:bottom w:val="single" w:sz="4" w:space="0" w:color="auto"/>
            </w:tcBorders>
          </w:tcPr>
          <w:p w:rsidR="00C56C5A" w:rsidRPr="00C56C5A" w:rsidRDefault="00C56C5A" w:rsidP="00C56C5A">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sz w:val="16"/>
                <w:szCs w:val="16"/>
                <w:lang w:eastAsia="sv-SE"/>
              </w:rPr>
            </w:pPr>
          </w:p>
        </w:tc>
        <w:tc>
          <w:tcPr>
            <w:tcW w:w="850" w:type="dxa"/>
            <w:tcBorders>
              <w:top w:val="single" w:sz="4" w:space="0" w:color="auto"/>
              <w:bottom w:val="single" w:sz="4" w:space="0" w:color="auto"/>
            </w:tcBorders>
          </w:tcPr>
          <w:p w:rsidR="00C56C5A" w:rsidRPr="00C56C5A" w:rsidRDefault="00C56C5A" w:rsidP="00A542B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981DB8">
              <w:rPr>
                <w:rFonts w:eastAsia="Times New Roman"/>
                <w:b/>
                <w:sz w:val="16"/>
                <w:szCs w:val="24"/>
                <w:lang w:eastAsia="sv-SE"/>
              </w:rPr>
              <w:t>6</w:t>
            </w:r>
          </w:p>
        </w:tc>
        <w:tc>
          <w:tcPr>
            <w:tcW w:w="851" w:type="dxa"/>
            <w:tcBorders>
              <w:top w:val="single" w:sz="4" w:space="0" w:color="auto"/>
              <w:bottom w:val="single" w:sz="4" w:space="0" w:color="auto"/>
            </w:tcBorders>
          </w:tcPr>
          <w:p w:rsidR="00C56C5A" w:rsidRPr="00C56C5A" w:rsidRDefault="00C56C5A"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981DB8">
              <w:rPr>
                <w:rFonts w:eastAsia="Times New Roman"/>
                <w:b/>
                <w:sz w:val="16"/>
                <w:szCs w:val="24"/>
                <w:lang w:eastAsia="sv-SE"/>
              </w:rPr>
              <w:t>5</w:t>
            </w:r>
          </w:p>
        </w:tc>
        <w:tc>
          <w:tcPr>
            <w:tcW w:w="874" w:type="dxa"/>
            <w:tcBorders>
              <w:top w:val="single" w:sz="4" w:space="0" w:color="auto"/>
              <w:bottom w:val="single" w:sz="4" w:space="0" w:color="auto"/>
            </w:tcBorders>
          </w:tcPr>
          <w:p w:rsidR="00C56C5A" w:rsidRPr="00C56C5A" w:rsidRDefault="00C56C5A" w:rsidP="00C56C5A">
            <w:pPr>
              <w:spacing w:before="60" w:line="200" w:lineRule="exact"/>
              <w:jc w:val="right"/>
              <w:rPr>
                <w:rFonts w:eastAsia="Times New Roman"/>
                <w:b/>
                <w:sz w:val="16"/>
                <w:szCs w:val="24"/>
                <w:lang w:eastAsia="sv-SE"/>
              </w:rPr>
            </w:pPr>
            <w:r w:rsidRPr="00C56C5A">
              <w:rPr>
                <w:rFonts w:eastAsia="Times New Roman"/>
                <w:b/>
                <w:sz w:val="16"/>
                <w:szCs w:val="24"/>
                <w:lang w:eastAsia="sv-SE"/>
              </w:rPr>
              <w:t>201</w:t>
            </w:r>
            <w:r w:rsidR="00981DB8">
              <w:rPr>
                <w:rFonts w:eastAsia="Times New Roman"/>
                <w:b/>
                <w:sz w:val="16"/>
                <w:szCs w:val="24"/>
                <w:lang w:eastAsia="sv-SE"/>
              </w:rPr>
              <w:t>4</w:t>
            </w:r>
          </w:p>
        </w:tc>
      </w:tr>
      <w:tr w:rsidR="00981DB8" w:rsidRPr="00C56C5A" w:rsidTr="00594C7B">
        <w:tc>
          <w:tcPr>
            <w:tcW w:w="3256" w:type="dxa"/>
            <w:tcBorders>
              <w:top w:val="single" w:sz="4" w:space="0" w:color="auto"/>
            </w:tcBorders>
          </w:tcPr>
          <w:p w:rsidR="00981DB8" w:rsidRPr="00C56C5A" w:rsidRDefault="00981DB8" w:rsidP="00981DB8">
            <w:pPr>
              <w:spacing w:before="60" w:line="200" w:lineRule="exact"/>
              <w:jc w:val="left"/>
              <w:rPr>
                <w:rFonts w:eastAsia="Times New Roman"/>
                <w:sz w:val="16"/>
                <w:szCs w:val="24"/>
                <w:lang w:eastAsia="sv-SE"/>
              </w:rPr>
            </w:pPr>
            <w:r w:rsidRPr="00C56C5A">
              <w:rPr>
                <w:rFonts w:eastAsia="Times New Roman"/>
                <w:sz w:val="16"/>
                <w:szCs w:val="24"/>
                <w:lang w:eastAsia="sv-SE"/>
              </w:rPr>
              <w:t>Propositioner</w:t>
            </w:r>
          </w:p>
        </w:tc>
        <w:tc>
          <w:tcPr>
            <w:tcW w:w="850" w:type="dxa"/>
            <w:tcBorders>
              <w:top w:val="single" w:sz="4" w:space="0" w:color="auto"/>
            </w:tcBorders>
          </w:tcPr>
          <w:p w:rsidR="00981DB8" w:rsidRPr="00C56C5A" w:rsidRDefault="008E199C" w:rsidP="00981DB8">
            <w:pPr>
              <w:spacing w:before="60" w:line="200" w:lineRule="exact"/>
              <w:jc w:val="right"/>
              <w:rPr>
                <w:rFonts w:eastAsia="Times New Roman"/>
                <w:sz w:val="16"/>
                <w:szCs w:val="24"/>
                <w:lang w:eastAsia="sv-SE"/>
              </w:rPr>
            </w:pPr>
            <w:r>
              <w:rPr>
                <w:rFonts w:eastAsia="Times New Roman"/>
                <w:sz w:val="16"/>
                <w:szCs w:val="24"/>
                <w:lang w:eastAsia="sv-SE"/>
              </w:rPr>
              <w:t>17 500</w:t>
            </w:r>
          </w:p>
        </w:tc>
        <w:tc>
          <w:tcPr>
            <w:tcW w:w="851" w:type="dxa"/>
            <w:tcBorders>
              <w:top w:val="single" w:sz="4" w:space="0" w:color="auto"/>
            </w:tcBorders>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19 400</w:t>
            </w:r>
          </w:p>
        </w:tc>
        <w:tc>
          <w:tcPr>
            <w:tcW w:w="874" w:type="dxa"/>
            <w:tcBorders>
              <w:top w:val="single" w:sz="4" w:space="0" w:color="auto"/>
            </w:tcBorders>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33 </w:t>
            </w:r>
            <w:r w:rsidRPr="00C56C5A">
              <w:rPr>
                <w:rFonts w:eastAsia="Times New Roman"/>
                <w:sz w:val="16"/>
                <w:szCs w:val="24"/>
                <w:lang w:eastAsia="sv-SE"/>
              </w:rPr>
              <w:t>700</w:t>
            </w:r>
          </w:p>
        </w:tc>
      </w:tr>
      <w:tr w:rsidR="00981DB8" w:rsidRPr="00C56C5A" w:rsidTr="00594C7B">
        <w:tc>
          <w:tcPr>
            <w:tcW w:w="3256" w:type="dxa"/>
          </w:tcPr>
          <w:p w:rsidR="00981DB8" w:rsidRPr="00C56C5A" w:rsidRDefault="00981DB8" w:rsidP="00981DB8">
            <w:pPr>
              <w:spacing w:before="60" w:line="200" w:lineRule="exact"/>
              <w:jc w:val="left"/>
              <w:rPr>
                <w:rFonts w:eastAsia="Times New Roman"/>
                <w:sz w:val="16"/>
                <w:szCs w:val="24"/>
                <w:lang w:eastAsia="sv-SE"/>
              </w:rPr>
            </w:pPr>
            <w:r w:rsidRPr="00C56C5A">
              <w:rPr>
                <w:rFonts w:eastAsia="Times New Roman"/>
                <w:sz w:val="16"/>
                <w:szCs w:val="24"/>
                <w:lang w:eastAsia="sv-SE"/>
              </w:rPr>
              <w:t>Motioner</w:t>
            </w:r>
          </w:p>
        </w:tc>
        <w:tc>
          <w:tcPr>
            <w:tcW w:w="850" w:type="dxa"/>
          </w:tcPr>
          <w:p w:rsidR="00981DB8" w:rsidRPr="00C56C5A" w:rsidRDefault="008E199C" w:rsidP="00981DB8">
            <w:pPr>
              <w:spacing w:before="60" w:line="200" w:lineRule="exact"/>
              <w:jc w:val="right"/>
              <w:rPr>
                <w:rFonts w:eastAsia="Times New Roman"/>
                <w:sz w:val="16"/>
                <w:szCs w:val="24"/>
                <w:lang w:eastAsia="sv-SE"/>
              </w:rPr>
            </w:pPr>
            <w:r>
              <w:rPr>
                <w:rFonts w:eastAsia="Times New Roman"/>
                <w:sz w:val="16"/>
                <w:szCs w:val="24"/>
                <w:lang w:eastAsia="sv-SE"/>
              </w:rPr>
              <w:t>11 400</w:t>
            </w:r>
          </w:p>
        </w:tc>
        <w:tc>
          <w:tcPr>
            <w:tcW w:w="851"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8 100</w:t>
            </w:r>
          </w:p>
        </w:tc>
        <w:tc>
          <w:tcPr>
            <w:tcW w:w="874"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11 </w:t>
            </w:r>
            <w:r w:rsidRPr="00C56C5A">
              <w:rPr>
                <w:rFonts w:eastAsia="Times New Roman"/>
                <w:sz w:val="16"/>
                <w:szCs w:val="24"/>
                <w:lang w:eastAsia="sv-SE"/>
              </w:rPr>
              <w:t>100</w:t>
            </w:r>
          </w:p>
        </w:tc>
      </w:tr>
      <w:tr w:rsidR="00981DB8" w:rsidRPr="00C56C5A" w:rsidTr="00594C7B">
        <w:tc>
          <w:tcPr>
            <w:tcW w:w="3256" w:type="dxa"/>
          </w:tcPr>
          <w:p w:rsidR="00981DB8" w:rsidRPr="00C56C5A" w:rsidRDefault="00981DB8" w:rsidP="00981DB8">
            <w:pPr>
              <w:spacing w:before="60" w:line="200" w:lineRule="exact"/>
              <w:jc w:val="left"/>
              <w:rPr>
                <w:rFonts w:eastAsia="Times New Roman"/>
                <w:sz w:val="16"/>
                <w:szCs w:val="24"/>
                <w:lang w:eastAsia="sv-SE"/>
              </w:rPr>
            </w:pPr>
            <w:r w:rsidRPr="00C56C5A">
              <w:rPr>
                <w:rFonts w:eastAsia="Times New Roman"/>
                <w:sz w:val="16"/>
                <w:szCs w:val="24"/>
                <w:lang w:eastAsia="sv-SE"/>
              </w:rPr>
              <w:t>Betänkanden</w:t>
            </w:r>
          </w:p>
        </w:tc>
        <w:tc>
          <w:tcPr>
            <w:tcW w:w="850" w:type="dxa"/>
          </w:tcPr>
          <w:p w:rsidR="00981DB8" w:rsidRPr="00C56C5A" w:rsidRDefault="008E199C" w:rsidP="00981DB8">
            <w:pPr>
              <w:spacing w:before="60" w:line="200" w:lineRule="exact"/>
              <w:jc w:val="right"/>
              <w:rPr>
                <w:rFonts w:eastAsia="Times New Roman"/>
                <w:sz w:val="16"/>
                <w:szCs w:val="24"/>
                <w:lang w:eastAsia="sv-SE"/>
              </w:rPr>
            </w:pPr>
            <w:r>
              <w:rPr>
                <w:rFonts w:eastAsia="Times New Roman"/>
                <w:sz w:val="16"/>
                <w:szCs w:val="24"/>
                <w:lang w:eastAsia="sv-SE"/>
              </w:rPr>
              <w:t>19 400</w:t>
            </w:r>
          </w:p>
        </w:tc>
        <w:tc>
          <w:tcPr>
            <w:tcW w:w="851"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16 300</w:t>
            </w:r>
          </w:p>
        </w:tc>
        <w:tc>
          <w:tcPr>
            <w:tcW w:w="874"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17 </w:t>
            </w:r>
            <w:r w:rsidRPr="00C56C5A">
              <w:rPr>
                <w:rFonts w:eastAsia="Times New Roman"/>
                <w:sz w:val="16"/>
                <w:szCs w:val="24"/>
                <w:lang w:eastAsia="sv-SE"/>
              </w:rPr>
              <w:t>600</w:t>
            </w:r>
          </w:p>
        </w:tc>
      </w:tr>
      <w:tr w:rsidR="00981DB8" w:rsidRPr="00C56C5A" w:rsidTr="00594C7B">
        <w:tc>
          <w:tcPr>
            <w:tcW w:w="3256" w:type="dxa"/>
          </w:tcPr>
          <w:p w:rsidR="00981DB8" w:rsidRPr="00C56C5A" w:rsidRDefault="00981DB8" w:rsidP="00981DB8">
            <w:pPr>
              <w:spacing w:before="60" w:line="200" w:lineRule="exact"/>
              <w:jc w:val="left"/>
              <w:rPr>
                <w:rFonts w:eastAsia="Times New Roman"/>
                <w:sz w:val="16"/>
                <w:szCs w:val="24"/>
                <w:lang w:eastAsia="sv-SE"/>
              </w:rPr>
            </w:pPr>
            <w:r w:rsidRPr="00C56C5A">
              <w:rPr>
                <w:rFonts w:eastAsia="Times New Roman"/>
                <w:sz w:val="16"/>
                <w:szCs w:val="24"/>
                <w:lang w:eastAsia="sv-SE"/>
              </w:rPr>
              <w:t>Protokoll</w:t>
            </w:r>
          </w:p>
        </w:tc>
        <w:tc>
          <w:tcPr>
            <w:tcW w:w="850" w:type="dxa"/>
          </w:tcPr>
          <w:p w:rsidR="00981DB8" w:rsidRPr="00C56C5A" w:rsidRDefault="008E199C" w:rsidP="00981DB8">
            <w:pPr>
              <w:spacing w:before="60" w:line="200" w:lineRule="exact"/>
              <w:jc w:val="right"/>
              <w:rPr>
                <w:rFonts w:eastAsia="Times New Roman"/>
                <w:sz w:val="16"/>
                <w:szCs w:val="24"/>
                <w:lang w:eastAsia="sv-SE"/>
              </w:rPr>
            </w:pPr>
            <w:r>
              <w:rPr>
                <w:rFonts w:eastAsia="Times New Roman"/>
                <w:sz w:val="16"/>
                <w:szCs w:val="24"/>
                <w:lang w:eastAsia="sv-SE"/>
              </w:rPr>
              <w:t>10 500</w:t>
            </w:r>
          </w:p>
        </w:tc>
        <w:tc>
          <w:tcPr>
            <w:tcW w:w="851"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10 900</w:t>
            </w:r>
          </w:p>
        </w:tc>
        <w:tc>
          <w:tcPr>
            <w:tcW w:w="874" w:type="dxa"/>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12 </w:t>
            </w:r>
            <w:r w:rsidRPr="00C56C5A">
              <w:rPr>
                <w:rFonts w:eastAsia="Times New Roman"/>
                <w:sz w:val="16"/>
                <w:szCs w:val="24"/>
                <w:lang w:eastAsia="sv-SE"/>
              </w:rPr>
              <w:t>200</w:t>
            </w:r>
          </w:p>
        </w:tc>
      </w:tr>
      <w:tr w:rsidR="00981DB8" w:rsidRPr="00C56C5A" w:rsidTr="00594C7B">
        <w:tc>
          <w:tcPr>
            <w:tcW w:w="3256" w:type="dxa"/>
            <w:tcBorders>
              <w:bottom w:val="single" w:sz="4" w:space="0" w:color="auto"/>
            </w:tcBorders>
          </w:tcPr>
          <w:p w:rsidR="00981DB8" w:rsidRPr="00C56C5A" w:rsidRDefault="00981DB8" w:rsidP="00981DB8">
            <w:pPr>
              <w:spacing w:before="60" w:line="200" w:lineRule="exact"/>
              <w:jc w:val="left"/>
              <w:rPr>
                <w:rFonts w:eastAsia="Times New Roman"/>
                <w:sz w:val="16"/>
                <w:szCs w:val="24"/>
                <w:lang w:eastAsia="sv-SE"/>
              </w:rPr>
            </w:pPr>
            <w:r w:rsidRPr="0046333D">
              <w:rPr>
                <w:rFonts w:eastAsia="Times New Roman"/>
                <w:sz w:val="16"/>
                <w:szCs w:val="24"/>
                <w:lang w:eastAsia="sv-SE"/>
              </w:rPr>
              <w:t>Framställningar och redogörelser</w:t>
            </w:r>
          </w:p>
        </w:tc>
        <w:tc>
          <w:tcPr>
            <w:tcW w:w="850" w:type="dxa"/>
            <w:tcBorders>
              <w:bottom w:val="single" w:sz="4" w:space="0" w:color="auto"/>
            </w:tcBorders>
          </w:tcPr>
          <w:p w:rsidR="00981DB8" w:rsidRPr="00C56C5A" w:rsidRDefault="008E199C" w:rsidP="00981DB8">
            <w:pPr>
              <w:spacing w:before="60" w:line="200" w:lineRule="exact"/>
              <w:jc w:val="right"/>
              <w:rPr>
                <w:rFonts w:eastAsia="Times New Roman"/>
                <w:sz w:val="16"/>
                <w:szCs w:val="24"/>
                <w:lang w:eastAsia="sv-SE"/>
              </w:rPr>
            </w:pPr>
            <w:r>
              <w:rPr>
                <w:rFonts w:eastAsia="Times New Roman"/>
                <w:sz w:val="16"/>
                <w:szCs w:val="24"/>
                <w:lang w:eastAsia="sv-SE"/>
              </w:rPr>
              <w:t>1 400</w:t>
            </w:r>
          </w:p>
        </w:tc>
        <w:tc>
          <w:tcPr>
            <w:tcW w:w="851" w:type="dxa"/>
            <w:tcBorders>
              <w:bottom w:val="single" w:sz="4" w:space="0" w:color="auto"/>
            </w:tcBorders>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1 700</w:t>
            </w:r>
          </w:p>
        </w:tc>
        <w:tc>
          <w:tcPr>
            <w:tcW w:w="874" w:type="dxa"/>
            <w:tcBorders>
              <w:bottom w:val="single" w:sz="4" w:space="0" w:color="auto"/>
            </w:tcBorders>
          </w:tcPr>
          <w:p w:rsidR="00981DB8" w:rsidRPr="00C56C5A" w:rsidRDefault="00981DB8" w:rsidP="00981DB8">
            <w:pPr>
              <w:spacing w:before="60" w:line="200" w:lineRule="exact"/>
              <w:jc w:val="right"/>
              <w:rPr>
                <w:rFonts w:eastAsia="Times New Roman"/>
                <w:sz w:val="16"/>
                <w:szCs w:val="24"/>
                <w:lang w:eastAsia="sv-SE"/>
              </w:rPr>
            </w:pPr>
            <w:r>
              <w:rPr>
                <w:rFonts w:eastAsia="Times New Roman"/>
                <w:sz w:val="16"/>
                <w:szCs w:val="24"/>
                <w:lang w:eastAsia="sv-SE"/>
              </w:rPr>
              <w:t>2 </w:t>
            </w:r>
            <w:r w:rsidRPr="00C56C5A">
              <w:rPr>
                <w:rFonts w:eastAsia="Times New Roman"/>
                <w:sz w:val="16"/>
                <w:szCs w:val="24"/>
                <w:lang w:eastAsia="sv-SE"/>
              </w:rPr>
              <w:t>300</w:t>
            </w:r>
          </w:p>
        </w:tc>
      </w:tr>
      <w:tr w:rsidR="00981DB8" w:rsidRPr="00C56C5A" w:rsidTr="00594C7B">
        <w:tc>
          <w:tcPr>
            <w:tcW w:w="3256" w:type="dxa"/>
            <w:tcBorders>
              <w:top w:val="single" w:sz="4" w:space="0" w:color="auto"/>
              <w:bottom w:val="single" w:sz="4" w:space="0" w:color="auto"/>
            </w:tcBorders>
          </w:tcPr>
          <w:p w:rsidR="00981DB8" w:rsidRPr="00C56C5A" w:rsidRDefault="00981DB8" w:rsidP="00981DB8">
            <w:pPr>
              <w:spacing w:before="60" w:line="200" w:lineRule="exact"/>
              <w:jc w:val="left"/>
              <w:rPr>
                <w:rFonts w:eastAsia="Times New Roman"/>
                <w:b/>
                <w:sz w:val="16"/>
                <w:szCs w:val="24"/>
                <w:lang w:eastAsia="sv-SE"/>
              </w:rPr>
            </w:pPr>
            <w:r w:rsidRPr="00C56C5A">
              <w:rPr>
                <w:rFonts w:eastAsia="Times New Roman"/>
                <w:b/>
                <w:sz w:val="16"/>
                <w:szCs w:val="24"/>
                <w:lang w:eastAsia="sv-SE"/>
              </w:rPr>
              <w:t>Totalt</w:t>
            </w:r>
          </w:p>
        </w:tc>
        <w:tc>
          <w:tcPr>
            <w:tcW w:w="850" w:type="dxa"/>
            <w:tcBorders>
              <w:top w:val="single" w:sz="4" w:space="0" w:color="auto"/>
              <w:bottom w:val="single" w:sz="4" w:space="0" w:color="auto"/>
            </w:tcBorders>
          </w:tcPr>
          <w:p w:rsidR="00981DB8" w:rsidRPr="00C56C5A" w:rsidRDefault="008E199C" w:rsidP="00981DB8">
            <w:pPr>
              <w:spacing w:before="60" w:line="200" w:lineRule="exact"/>
              <w:jc w:val="right"/>
              <w:rPr>
                <w:rFonts w:eastAsia="Times New Roman"/>
                <w:b/>
                <w:sz w:val="16"/>
                <w:szCs w:val="24"/>
                <w:lang w:eastAsia="sv-SE"/>
              </w:rPr>
            </w:pPr>
            <w:r>
              <w:rPr>
                <w:rFonts w:eastAsia="Times New Roman"/>
                <w:b/>
                <w:sz w:val="16"/>
                <w:szCs w:val="24"/>
                <w:lang w:eastAsia="sv-SE"/>
              </w:rPr>
              <w:t>60 200</w:t>
            </w:r>
          </w:p>
        </w:tc>
        <w:tc>
          <w:tcPr>
            <w:tcW w:w="851" w:type="dxa"/>
            <w:tcBorders>
              <w:top w:val="single" w:sz="4" w:space="0" w:color="auto"/>
              <w:bottom w:val="single" w:sz="4" w:space="0" w:color="auto"/>
            </w:tcBorders>
          </w:tcPr>
          <w:p w:rsidR="00981DB8" w:rsidRPr="00C56C5A" w:rsidRDefault="00981DB8" w:rsidP="00981DB8">
            <w:pPr>
              <w:spacing w:before="60" w:line="200" w:lineRule="exact"/>
              <w:jc w:val="right"/>
              <w:rPr>
                <w:rFonts w:eastAsia="Times New Roman"/>
                <w:b/>
                <w:sz w:val="16"/>
                <w:szCs w:val="24"/>
                <w:lang w:eastAsia="sv-SE"/>
              </w:rPr>
            </w:pPr>
            <w:r>
              <w:rPr>
                <w:rFonts w:eastAsia="Times New Roman"/>
                <w:b/>
                <w:sz w:val="16"/>
                <w:szCs w:val="24"/>
                <w:lang w:eastAsia="sv-SE"/>
              </w:rPr>
              <w:t>56 400</w:t>
            </w:r>
          </w:p>
        </w:tc>
        <w:tc>
          <w:tcPr>
            <w:tcW w:w="874" w:type="dxa"/>
            <w:tcBorders>
              <w:top w:val="single" w:sz="4" w:space="0" w:color="auto"/>
              <w:bottom w:val="single" w:sz="4" w:space="0" w:color="auto"/>
            </w:tcBorders>
          </w:tcPr>
          <w:p w:rsidR="00981DB8" w:rsidRPr="00C56C5A" w:rsidRDefault="00981DB8" w:rsidP="00981DB8">
            <w:pPr>
              <w:spacing w:before="60" w:line="200" w:lineRule="exact"/>
              <w:jc w:val="right"/>
              <w:rPr>
                <w:rFonts w:eastAsia="Times New Roman"/>
                <w:b/>
                <w:sz w:val="16"/>
                <w:szCs w:val="24"/>
                <w:lang w:eastAsia="sv-SE"/>
              </w:rPr>
            </w:pPr>
            <w:r>
              <w:rPr>
                <w:rFonts w:eastAsia="Times New Roman"/>
                <w:b/>
                <w:sz w:val="16"/>
                <w:szCs w:val="24"/>
                <w:lang w:eastAsia="sv-SE"/>
              </w:rPr>
              <w:t>76 </w:t>
            </w:r>
            <w:r w:rsidRPr="00C56C5A">
              <w:rPr>
                <w:rFonts w:eastAsia="Times New Roman"/>
                <w:b/>
                <w:sz w:val="16"/>
                <w:szCs w:val="24"/>
                <w:lang w:eastAsia="sv-SE"/>
              </w:rPr>
              <w:t>900</w:t>
            </w:r>
          </w:p>
        </w:tc>
      </w:tr>
    </w:tbl>
    <w:p w:rsidR="00C56C5A" w:rsidRPr="00BC1A92" w:rsidRDefault="00C56C5A" w:rsidP="00C56C5A">
      <w:r w:rsidRPr="00BC1A92">
        <w:t>Antalet originaltrycksidor är ett mått på hur stor textmängd som producerats i beslutsprocessens olika dokument. Det är de politiska förslagen som styr variationerna i utfallet</w:t>
      </w:r>
      <w:r w:rsidR="00F0174A" w:rsidRPr="00BC1A92">
        <w:t xml:space="preserve"> år från år</w:t>
      </w:r>
      <w:r w:rsidRPr="00BC1A92">
        <w:t>.</w:t>
      </w:r>
    </w:p>
    <w:p w:rsidR="00E76697" w:rsidRDefault="0095280E" w:rsidP="00E76697">
      <w:pPr>
        <w:pStyle w:val="Rubrik4"/>
      </w:pPr>
      <w:r>
        <w:t xml:space="preserve">Utveckling av </w:t>
      </w:r>
      <w:r w:rsidR="0046333D">
        <w:t>stöd</w:t>
      </w:r>
      <w:r w:rsidR="00486467">
        <w:t>et</w:t>
      </w:r>
      <w:r w:rsidR="0046333D">
        <w:t xml:space="preserve"> </w:t>
      </w:r>
      <w:r>
        <w:t xml:space="preserve">till </w:t>
      </w:r>
      <w:r w:rsidR="0046333D">
        <w:t>kammaren och utskotten m.m.</w:t>
      </w:r>
    </w:p>
    <w:p w:rsidR="009C2689" w:rsidRDefault="00E76697" w:rsidP="00414F78">
      <w:pPr>
        <w:rPr>
          <w:u w:val="single"/>
        </w:rPr>
      </w:pPr>
      <w:r w:rsidRPr="00C165B0">
        <w:t xml:space="preserve">Att möjliggöra en tillfällig flytt av kammarens sammanträden är en del av Riksdagsförvaltningens kontinuitetsförmåga. </w:t>
      </w:r>
      <w:r w:rsidR="00A12EFB">
        <w:t>U</w:t>
      </w:r>
      <w:r w:rsidR="00A12EFB" w:rsidRPr="004F7325">
        <w:t xml:space="preserve">nder 2016 </w:t>
      </w:r>
      <w:r w:rsidR="00A12EFB">
        <w:t>påbörjades</w:t>
      </w:r>
      <w:r w:rsidR="00A12EFB" w:rsidRPr="004F7325">
        <w:t xml:space="preserve"> f</w:t>
      </w:r>
      <w:r w:rsidR="00C165B0" w:rsidRPr="004F7325">
        <w:t>örberedelser</w:t>
      </w:r>
      <w:r w:rsidR="00A12EFB">
        <w:t>na f</w:t>
      </w:r>
      <w:r w:rsidR="00FE79A2">
        <w:t>ör en övning av tillfällig</w:t>
      </w:r>
      <w:r w:rsidR="00C165B0" w:rsidRPr="004F7325">
        <w:t xml:space="preserve"> fl</w:t>
      </w:r>
      <w:r w:rsidR="00FE79A2">
        <w:t>ytt till annan lokal.</w:t>
      </w:r>
      <w:r w:rsidR="00C165B0" w:rsidRPr="004F7325">
        <w:t xml:space="preserve"> </w:t>
      </w:r>
      <w:r w:rsidR="00C165B0" w:rsidRPr="00C165B0">
        <w:t>Övningen kommer att genomföras under 2017.</w:t>
      </w:r>
      <w:r w:rsidR="009C2689" w:rsidRPr="009C2689">
        <w:rPr>
          <w:u w:val="single"/>
        </w:rPr>
        <w:t xml:space="preserve"> </w:t>
      </w:r>
    </w:p>
    <w:p w:rsidR="00E835F1" w:rsidRPr="00C54FC7" w:rsidRDefault="009C2689" w:rsidP="00E835F1">
      <w:pPr>
        <w:pStyle w:val="Normaltindrag"/>
      </w:pPr>
      <w:r w:rsidRPr="00C05A59">
        <w:t xml:space="preserve">Under 2016 har </w:t>
      </w:r>
      <w:r w:rsidR="00F912E4" w:rsidRPr="00C05A59">
        <w:t xml:space="preserve">förvaltningen </w:t>
      </w:r>
      <w:r w:rsidR="0034169E">
        <w:t xml:space="preserve">också </w:t>
      </w:r>
      <w:r w:rsidR="00F912E4" w:rsidRPr="00C05A59">
        <w:t xml:space="preserve">förberett </w:t>
      </w:r>
      <w:r w:rsidRPr="00C05A59">
        <w:t xml:space="preserve">för </w:t>
      </w:r>
      <w:r w:rsidR="00453941">
        <w:t>en utredning av hur</w:t>
      </w:r>
      <w:r w:rsidRPr="00C05A59">
        <w:t xml:space="preserve"> </w:t>
      </w:r>
      <w:r w:rsidR="00453941" w:rsidRPr="00C05A59">
        <w:t xml:space="preserve">det tekniska kammarstödet </w:t>
      </w:r>
      <w:r w:rsidR="00453941">
        <w:t>kan moderniseras</w:t>
      </w:r>
      <w:r w:rsidR="00E835F1" w:rsidRPr="00C05A59">
        <w:t xml:space="preserve">. </w:t>
      </w:r>
      <w:r w:rsidR="00C05A59" w:rsidRPr="00C05A59">
        <w:t>En u</w:t>
      </w:r>
      <w:r w:rsidR="00E835F1" w:rsidRPr="00C05A59">
        <w:t xml:space="preserve">tredning </w:t>
      </w:r>
      <w:r w:rsidR="00847D9A">
        <w:t xml:space="preserve">har </w:t>
      </w:r>
      <w:r w:rsidR="00847D9A" w:rsidRPr="00C05A59">
        <w:t xml:space="preserve">påbörjats </w:t>
      </w:r>
      <w:r w:rsidR="00E835F1" w:rsidRPr="00C05A59">
        <w:t xml:space="preserve">av de juridiska förutsättningarna för elektronisk överföring av vissa produkter </w:t>
      </w:r>
      <w:r w:rsidR="00847D9A">
        <w:t>mellan riksdagen och regeringen</w:t>
      </w:r>
      <w:r w:rsidR="00E835F1" w:rsidRPr="00C54FC7">
        <w:t>.</w:t>
      </w:r>
    </w:p>
    <w:p w:rsidR="00E835F1" w:rsidRDefault="00E14208" w:rsidP="00E835F1">
      <w:pPr>
        <w:pStyle w:val="Normaltindrag"/>
      </w:pPr>
      <w:r>
        <w:t>Vidare</w:t>
      </w:r>
      <w:r w:rsidR="00E835F1" w:rsidRPr="00E835F1">
        <w:t xml:space="preserve"> har förvaltningen arbetat för att formera systemförvaltningsorganisationen för </w:t>
      </w:r>
      <w:r w:rsidR="00AB153A">
        <w:t xml:space="preserve">och fortsatt utveckla </w:t>
      </w:r>
      <w:r w:rsidR="00E835F1" w:rsidRPr="00E835F1">
        <w:t>it-system</w:t>
      </w:r>
      <w:r w:rsidR="00941D84">
        <w:t>en</w:t>
      </w:r>
      <w:r w:rsidR="00E835F1" w:rsidRPr="00E835F1">
        <w:t xml:space="preserve"> som stöder den parlamentariska processen.</w:t>
      </w:r>
      <w:r w:rsidR="005D6C26">
        <w:t xml:space="preserve"> </w:t>
      </w:r>
      <w:r w:rsidR="005D6C26" w:rsidRPr="005D6C26">
        <w:t xml:space="preserve">Både kammarkansliet och utskottsavdelningen </w:t>
      </w:r>
      <w:r w:rsidR="00CD3631">
        <w:t xml:space="preserve">har </w:t>
      </w:r>
      <w:r w:rsidR="005D6C26" w:rsidRPr="005D6C26">
        <w:t>rekryterat systemförvaltare</w:t>
      </w:r>
      <w:r w:rsidR="005D6C26">
        <w:t>.</w:t>
      </w:r>
      <w:r w:rsidR="00E835F1" w:rsidRPr="00E835F1">
        <w:t xml:space="preserve"> Arbete pågår kring arbetssätt och utvecklingsprocess m.m. </w:t>
      </w:r>
      <w:r w:rsidR="000E1F2A">
        <w:t>A</w:t>
      </w:r>
      <w:r w:rsidR="00E835F1" w:rsidRPr="00E835F1">
        <w:t>rbetet med att säkerställa stabiliteten och funktionaliteten i it-systemen</w:t>
      </w:r>
      <w:r w:rsidR="000E1F2A">
        <w:t xml:space="preserve"> kommer</w:t>
      </w:r>
      <w:r w:rsidR="00E835F1" w:rsidRPr="00E835F1">
        <w:t xml:space="preserve"> att fort</w:t>
      </w:r>
      <w:r w:rsidR="00414F78">
        <w:t>sätta</w:t>
      </w:r>
      <w:r w:rsidR="00E835F1" w:rsidRPr="00E835F1">
        <w:t xml:space="preserve"> under 2017.</w:t>
      </w:r>
    </w:p>
    <w:p w:rsidR="00E76697" w:rsidRPr="00C165B0" w:rsidRDefault="005F5C24" w:rsidP="00414F78">
      <w:pPr>
        <w:pStyle w:val="Normaltindrag"/>
      </w:pPr>
      <w:r w:rsidRPr="005F5C24">
        <w:t>Tillämpningen</w:t>
      </w:r>
      <w:r w:rsidR="00E835F1" w:rsidRPr="005F5C24">
        <w:t xml:space="preserve"> av den nya riksdagsordningen har </w:t>
      </w:r>
      <w:r w:rsidRPr="005F5C24">
        <w:t xml:space="preserve">följts upp </w:t>
      </w:r>
      <w:r w:rsidR="00E835F1" w:rsidRPr="005F5C24">
        <w:t>löpande under 2016 och slutsatser kommer att sammanställas under 2017.</w:t>
      </w:r>
      <w:r w:rsidR="00E835F1" w:rsidRPr="00414F78">
        <w:t xml:space="preserve"> </w:t>
      </w:r>
    </w:p>
    <w:p w:rsidR="003D7AAB" w:rsidRDefault="003F1D27" w:rsidP="0012312F">
      <w:pPr>
        <w:pStyle w:val="Normaltindrag"/>
      </w:pPr>
      <w:r w:rsidRPr="009C75DF">
        <w:t xml:space="preserve">Sedan 2014 använder samtliga utskott och EU-nämnden den digitala mötestjänsten där kallelser och sammanträdeshandlingar sänds ut till ledamöterna digitalt i pekplattor och </w:t>
      </w:r>
      <w:r w:rsidR="006373B2">
        <w:t>datorer</w:t>
      </w:r>
      <w:r w:rsidRPr="009C75DF">
        <w:t>. Mötestjänsten skapar en enklare hantering för ledamöterna och snabbare distribution av handlingar. Systemet följs u</w:t>
      </w:r>
      <w:r w:rsidR="003C1309" w:rsidRPr="009C75DF">
        <w:t xml:space="preserve">pp och utvecklas löpande. </w:t>
      </w:r>
      <w:r w:rsidR="009C75DF" w:rsidRPr="009C75DF">
        <w:t>Under 2016 har samtliga utskott fått en fördjupad utbildning om den digitala mötestjänsten. Därutöver har både ledamöter och tjänstemän fått möjlighet till enskild utbildning om tjänsten.</w:t>
      </w:r>
      <w:r w:rsidR="003D7AAB" w:rsidRPr="003D7AAB">
        <w:t xml:space="preserve"> </w:t>
      </w:r>
    </w:p>
    <w:p w:rsidR="002A736E" w:rsidRDefault="00CD3631" w:rsidP="0012312F">
      <w:pPr>
        <w:pStyle w:val="Normaltindrag"/>
      </w:pPr>
      <w:r>
        <w:t xml:space="preserve">Under 2016 har </w:t>
      </w:r>
      <w:r w:rsidR="002A736E" w:rsidRPr="002A736E">
        <w:t xml:space="preserve">utskottsavdelningen </w:t>
      </w:r>
      <w:r>
        <w:t xml:space="preserve">gjort </w:t>
      </w:r>
      <w:r w:rsidR="002A736E" w:rsidRPr="002A736E">
        <w:t>oli</w:t>
      </w:r>
      <w:r>
        <w:t xml:space="preserve">ka insatser </w:t>
      </w:r>
      <w:r w:rsidR="00236804">
        <w:t xml:space="preserve">för att bland annat </w:t>
      </w:r>
      <w:r w:rsidR="002A736E" w:rsidRPr="002A736E">
        <w:t>öka kunskapen om författningsarbete och resultatstyrning.</w:t>
      </w:r>
    </w:p>
    <w:p w:rsidR="00C56C5A" w:rsidRPr="00C56C5A" w:rsidRDefault="00C56C5A" w:rsidP="0098555F">
      <w:pPr>
        <w:pStyle w:val="Rubrik3"/>
      </w:pPr>
      <w:bookmarkStart w:id="19" w:name="_Toc411239637"/>
      <w:bookmarkStart w:id="20" w:name="_Toc474168598"/>
      <w:r w:rsidRPr="00C56C5A">
        <w:lastRenderedPageBreak/>
        <w:t xml:space="preserve">3.2 Ledamöter och partikanslier – uppdragsområde </w:t>
      </w:r>
      <w:bookmarkEnd w:id="19"/>
      <w:r w:rsidR="00771374">
        <w:t>B</w:t>
      </w:r>
      <w:bookmarkEnd w:id="20"/>
    </w:p>
    <w:p w:rsidR="00C56C5A" w:rsidRPr="00C56C5A" w:rsidRDefault="00C56C5A" w:rsidP="00C56C5A">
      <w:r w:rsidRPr="00C56C5A">
        <w:t xml:space="preserve">Riksdagsförvaltningens uppdrag inom område B är att svara för ett väl fungerande stöd och </w:t>
      </w:r>
      <w:r w:rsidR="00A85F41">
        <w:t xml:space="preserve">en god </w:t>
      </w:r>
      <w:r w:rsidRPr="00C56C5A">
        <w:t xml:space="preserve">service till ledamöterna och partikanslierna. Stödet ska ge riksdagsledamöterna förutsättningar att utföra sitt förtroendeuppdrag i riksdagen. Förvaltningen ska se till att ledamöterna har tillgång till bland annat </w:t>
      </w:r>
      <w:r w:rsidR="00CE562B">
        <w:t>utredningstjänst</w:t>
      </w:r>
      <w:r w:rsidR="003A4C27">
        <w:t xml:space="preserve">, intranät, </w:t>
      </w:r>
      <w:r w:rsidR="003A4C27" w:rsidRPr="00C56C5A">
        <w:t>bibl</w:t>
      </w:r>
      <w:r w:rsidR="003A4C27">
        <w:t>iotek,</w:t>
      </w:r>
      <w:r w:rsidR="003A4C27" w:rsidRPr="00C56C5A">
        <w:t xml:space="preserve"> </w:t>
      </w:r>
      <w:r w:rsidR="003A4C27">
        <w:t>arbetsrum och teknisk utrustning</w:t>
      </w:r>
      <w:r w:rsidRPr="00C56C5A">
        <w:t>. Dessutom hanterar och betalar förvaltningen ut arvoden, resekostnad</w:t>
      </w:r>
      <w:r w:rsidR="00672C05">
        <w:t xml:space="preserve">sersättningar, traktamenten, </w:t>
      </w:r>
      <w:r w:rsidRPr="00C56C5A">
        <w:t>pensioner m.m. Förvaltningen ska prioritera detta uppdragsområde efter område A, men före övriga områden.</w:t>
      </w:r>
    </w:p>
    <w:p w:rsidR="00C56C5A" w:rsidRPr="00C56C5A" w:rsidRDefault="00C56C5A" w:rsidP="00C56C5A"/>
    <w:tbl>
      <w:tblPr>
        <w:tblStyle w:val="Tabellrutnt12"/>
        <w:tblW w:w="0" w:type="auto"/>
        <w:tblLook w:val="04A0" w:firstRow="1" w:lastRow="0" w:firstColumn="1" w:lastColumn="0" w:noHBand="0" w:noVBand="1"/>
      </w:tblPr>
      <w:tblGrid>
        <w:gridCol w:w="5887"/>
      </w:tblGrid>
      <w:tr w:rsidR="00594C7B" w:rsidRPr="00594C7B" w:rsidTr="00594C7B">
        <w:tc>
          <w:tcPr>
            <w:tcW w:w="5887" w:type="dxa"/>
          </w:tcPr>
          <w:p w:rsidR="00594C7B" w:rsidRPr="00594C7B" w:rsidRDefault="00594C7B" w:rsidP="00594C7B">
            <w:pPr>
              <w:rPr>
                <w:b/>
              </w:rPr>
            </w:pPr>
            <w:r w:rsidRPr="00594C7B">
              <w:rPr>
                <w:b/>
              </w:rPr>
              <w:t>Resultat och utveckling – sammanfattning</w:t>
            </w:r>
          </w:p>
          <w:p w:rsidR="00594C7B" w:rsidRPr="006C0EF8" w:rsidRDefault="00594C7B" w:rsidP="00594C7B">
            <w:pPr>
              <w:spacing w:before="0"/>
            </w:pPr>
            <w:r w:rsidRPr="006C0EF8">
              <w:t>Riksdagsförvaltningen har säkerställt att ledamöter och partikanslier har fått ett väl fungerande stöd och en god service. Bedömningen baseras i huvudsak på följande fakta:</w:t>
            </w:r>
          </w:p>
          <w:p w:rsidR="00594C7B" w:rsidRPr="00980A2A" w:rsidRDefault="00104C4C" w:rsidP="00594C7B">
            <w:pPr>
              <w:pStyle w:val="Punktlistabomb"/>
              <w:spacing w:after="0"/>
              <w:rPr>
                <w:i/>
              </w:rPr>
            </w:pPr>
            <w:r w:rsidRPr="00980A2A">
              <w:rPr>
                <w:i/>
              </w:rPr>
              <w:t>L</w:t>
            </w:r>
            <w:r w:rsidR="00594C7B" w:rsidRPr="00980A2A">
              <w:rPr>
                <w:i/>
              </w:rPr>
              <w:t xml:space="preserve">edamöterna är nöjda med </w:t>
            </w:r>
            <w:r w:rsidRPr="00980A2A">
              <w:rPr>
                <w:i/>
              </w:rPr>
              <w:t>förva</w:t>
            </w:r>
            <w:r w:rsidR="00D63E6B" w:rsidRPr="00980A2A">
              <w:rPr>
                <w:i/>
              </w:rPr>
              <w:t>ltningens stöd och service</w:t>
            </w:r>
            <w:r w:rsidRPr="00980A2A">
              <w:rPr>
                <w:i/>
              </w:rPr>
              <w:t xml:space="preserve"> </w:t>
            </w:r>
          </w:p>
          <w:p w:rsidR="00594C7B" w:rsidRPr="00D63E6B" w:rsidRDefault="009E70C3" w:rsidP="00B76AB7">
            <w:pPr>
              <w:tabs>
                <w:tab w:val="left" w:pos="284"/>
              </w:tabs>
              <w:spacing w:before="0"/>
              <w:ind w:left="284"/>
              <w:contextualSpacing/>
              <w:rPr>
                <w:rFonts w:eastAsia="Times New Roman"/>
                <w:szCs w:val="24"/>
                <w:lang w:eastAsia="sv-SE"/>
              </w:rPr>
            </w:pPr>
            <w:r w:rsidRPr="00980A2A">
              <w:rPr>
                <w:rFonts w:eastAsia="Times New Roman"/>
                <w:szCs w:val="24"/>
                <w:lang w:eastAsia="sv-SE"/>
              </w:rPr>
              <w:t xml:space="preserve">Enligt </w:t>
            </w:r>
            <w:r w:rsidR="00B76AB7" w:rsidRPr="00980A2A">
              <w:rPr>
                <w:rFonts w:eastAsia="Times New Roman"/>
                <w:szCs w:val="24"/>
                <w:lang w:eastAsia="sv-SE"/>
              </w:rPr>
              <w:t>serviceundersökning</w:t>
            </w:r>
            <w:r w:rsidRPr="00980A2A">
              <w:rPr>
                <w:rFonts w:eastAsia="Times New Roman"/>
                <w:szCs w:val="24"/>
                <w:lang w:eastAsia="sv-SE"/>
              </w:rPr>
              <w:t xml:space="preserve">en från hösten 2015 var </w:t>
            </w:r>
            <w:r w:rsidR="00B76AB7" w:rsidRPr="00980A2A">
              <w:rPr>
                <w:rFonts w:eastAsia="Times New Roman"/>
                <w:szCs w:val="24"/>
                <w:lang w:eastAsia="sv-SE"/>
              </w:rPr>
              <w:t xml:space="preserve">ledamöterna överlag </w:t>
            </w:r>
            <w:r w:rsidRPr="00980A2A">
              <w:rPr>
                <w:rFonts w:eastAsia="Times New Roman"/>
                <w:szCs w:val="24"/>
                <w:lang w:eastAsia="sv-SE"/>
              </w:rPr>
              <w:t>mycket</w:t>
            </w:r>
            <w:r w:rsidR="00B76AB7" w:rsidRPr="00980A2A">
              <w:rPr>
                <w:rFonts w:eastAsia="Times New Roman"/>
                <w:szCs w:val="24"/>
                <w:lang w:eastAsia="sv-SE"/>
              </w:rPr>
              <w:t xml:space="preserve"> nöjda med förvaltningens service. Utifrån enkäten har förvaltningen arbetat vidare med ett antal</w:t>
            </w:r>
            <w:r w:rsidR="00F54377" w:rsidRPr="00980A2A">
              <w:rPr>
                <w:rFonts w:eastAsia="Times New Roman"/>
                <w:szCs w:val="24"/>
                <w:lang w:eastAsia="sv-SE"/>
              </w:rPr>
              <w:t xml:space="preserve"> förbättringsåtgärder</w:t>
            </w:r>
            <w:r w:rsidR="00B76AB7" w:rsidRPr="00980A2A">
              <w:rPr>
                <w:rFonts w:eastAsia="Times New Roman"/>
                <w:szCs w:val="24"/>
                <w:lang w:eastAsia="sv-SE"/>
              </w:rPr>
              <w:t xml:space="preserve">. Exempelvis har ett nytt ärendehanteringssystem </w:t>
            </w:r>
            <w:r w:rsidR="00BA2546" w:rsidRPr="00980A2A">
              <w:rPr>
                <w:rFonts w:eastAsia="Times New Roman"/>
                <w:szCs w:val="24"/>
                <w:lang w:eastAsia="sv-SE"/>
              </w:rPr>
              <w:t xml:space="preserve">för utredningsuppdrag </w:t>
            </w:r>
            <w:r w:rsidR="00F54377" w:rsidRPr="00980A2A">
              <w:rPr>
                <w:rFonts w:eastAsia="Times New Roman"/>
                <w:szCs w:val="24"/>
                <w:lang w:eastAsia="sv-SE"/>
              </w:rPr>
              <w:t>tagits fram för att</w:t>
            </w:r>
            <w:r w:rsidR="00B76AB7" w:rsidRPr="00980A2A">
              <w:rPr>
                <w:rFonts w:eastAsia="Times New Roman"/>
                <w:szCs w:val="24"/>
                <w:lang w:eastAsia="sv-SE"/>
              </w:rPr>
              <w:t xml:space="preserve"> för</w:t>
            </w:r>
            <w:r w:rsidR="00A11798" w:rsidRPr="00980A2A">
              <w:rPr>
                <w:rFonts w:eastAsia="Times New Roman"/>
                <w:szCs w:val="24"/>
                <w:lang w:eastAsia="sv-SE"/>
              </w:rPr>
              <w:t>enkla</w:t>
            </w:r>
            <w:r w:rsidR="00B76AB7" w:rsidRPr="00980A2A">
              <w:rPr>
                <w:rFonts w:eastAsia="Times New Roman"/>
                <w:szCs w:val="24"/>
                <w:lang w:eastAsia="sv-SE"/>
              </w:rPr>
              <w:t xml:space="preserve"> </w:t>
            </w:r>
            <w:r w:rsidR="00A11798" w:rsidRPr="00980A2A">
              <w:rPr>
                <w:rFonts w:eastAsia="Times New Roman"/>
                <w:szCs w:val="24"/>
                <w:lang w:eastAsia="sv-SE"/>
              </w:rPr>
              <w:t>för ledamöterna</w:t>
            </w:r>
            <w:r w:rsidR="00B76AB7" w:rsidRPr="00980A2A">
              <w:rPr>
                <w:rFonts w:eastAsia="Times New Roman"/>
                <w:szCs w:val="24"/>
                <w:lang w:eastAsia="sv-SE"/>
              </w:rPr>
              <w:t>.</w:t>
            </w:r>
          </w:p>
          <w:p w:rsidR="00594C7B" w:rsidRPr="002A2EA0" w:rsidRDefault="00454167" w:rsidP="00594C7B">
            <w:pPr>
              <w:pStyle w:val="Punktlistabomb"/>
              <w:spacing w:before="0" w:after="0"/>
              <w:rPr>
                <w:i/>
              </w:rPr>
            </w:pPr>
            <w:r w:rsidRPr="002A2EA0">
              <w:rPr>
                <w:i/>
              </w:rPr>
              <w:t>E</w:t>
            </w:r>
            <w:r w:rsidR="00594C7B" w:rsidRPr="002A2EA0">
              <w:rPr>
                <w:i/>
              </w:rPr>
              <w:t>fterfrågan på faktaunderlag o</w:t>
            </w:r>
            <w:r w:rsidR="00D63E6B" w:rsidRPr="002A2EA0">
              <w:rPr>
                <w:i/>
              </w:rPr>
              <w:t>ch utredningstjänster</w:t>
            </w:r>
            <w:r w:rsidR="00C02762" w:rsidRPr="002A2EA0">
              <w:rPr>
                <w:i/>
              </w:rPr>
              <w:t xml:space="preserve"> </w:t>
            </w:r>
            <w:r w:rsidR="00D63E6B" w:rsidRPr="002A2EA0">
              <w:rPr>
                <w:i/>
              </w:rPr>
              <w:t>fortsätter</w:t>
            </w:r>
            <w:r w:rsidR="00C02762" w:rsidRPr="002A2EA0">
              <w:rPr>
                <w:i/>
              </w:rPr>
              <w:t xml:space="preserve"> att vara</w:t>
            </w:r>
            <w:r w:rsidR="002C4885" w:rsidRPr="002A2EA0">
              <w:rPr>
                <w:i/>
              </w:rPr>
              <w:t xml:space="preserve"> hög</w:t>
            </w:r>
            <w:r w:rsidR="00594C7B" w:rsidRPr="002A2EA0">
              <w:rPr>
                <w:i/>
              </w:rPr>
              <w:t xml:space="preserve"> </w:t>
            </w:r>
          </w:p>
          <w:p w:rsidR="00594C7B" w:rsidRPr="001411B5" w:rsidRDefault="00977A40" w:rsidP="003B10DF">
            <w:pPr>
              <w:tabs>
                <w:tab w:val="left" w:pos="284"/>
              </w:tabs>
              <w:spacing w:before="0"/>
              <w:ind w:left="284"/>
              <w:rPr>
                <w:rFonts w:eastAsia="Times New Roman"/>
                <w:szCs w:val="24"/>
                <w:highlight w:val="yellow"/>
                <w:lang w:eastAsia="sv-SE"/>
              </w:rPr>
            </w:pPr>
            <w:r w:rsidRPr="00977A40">
              <w:rPr>
                <w:rFonts w:eastAsia="Times New Roman"/>
                <w:szCs w:val="24"/>
                <w:lang w:eastAsia="sv-SE"/>
              </w:rPr>
              <w:t>Riksda</w:t>
            </w:r>
            <w:r w:rsidR="00193C66">
              <w:rPr>
                <w:rFonts w:eastAsia="Times New Roman"/>
                <w:szCs w:val="24"/>
                <w:lang w:eastAsia="sv-SE"/>
              </w:rPr>
              <w:t>gens utredningstjänst tog emot 2 </w:t>
            </w:r>
            <w:r w:rsidRPr="00977A40">
              <w:rPr>
                <w:rFonts w:eastAsia="Times New Roman"/>
                <w:szCs w:val="24"/>
                <w:lang w:eastAsia="sv-SE"/>
              </w:rPr>
              <w:t>185 uppdrag under året, vilket är en ökning i jämförelse med föregående år. Även Riksdagsbiblioteket har fått betydligt fler uppdrag</w:t>
            </w:r>
            <w:r w:rsidR="009066FA">
              <w:rPr>
                <w:rFonts w:eastAsia="Times New Roman"/>
                <w:szCs w:val="24"/>
                <w:lang w:eastAsia="sv-SE"/>
              </w:rPr>
              <w:t xml:space="preserve"> än tidigare</w:t>
            </w:r>
            <w:r w:rsidRPr="00977A40">
              <w:rPr>
                <w:rFonts w:eastAsia="Times New Roman"/>
                <w:szCs w:val="24"/>
                <w:lang w:eastAsia="sv-SE"/>
              </w:rPr>
              <w:t>.</w:t>
            </w:r>
          </w:p>
          <w:p w:rsidR="008D1D0E" w:rsidRPr="002A2EA0" w:rsidRDefault="00BC7639" w:rsidP="003B10DF">
            <w:pPr>
              <w:pStyle w:val="Punktlistabomb"/>
              <w:spacing w:before="0"/>
            </w:pPr>
            <w:r w:rsidRPr="002A2EA0">
              <w:rPr>
                <w:i/>
              </w:rPr>
              <w:t>It-stöd och arbetsverktyg,</w:t>
            </w:r>
            <w:r w:rsidR="008D1D0E" w:rsidRPr="002A2EA0">
              <w:rPr>
                <w:i/>
              </w:rPr>
              <w:t xml:space="preserve"> </w:t>
            </w:r>
            <w:r w:rsidR="00D63E6B" w:rsidRPr="002A2EA0">
              <w:rPr>
                <w:i/>
              </w:rPr>
              <w:t xml:space="preserve">som </w:t>
            </w:r>
            <w:r w:rsidR="008D1D0E" w:rsidRPr="002A2EA0">
              <w:rPr>
                <w:i/>
              </w:rPr>
              <w:t>till exempel Intranätet och kammarappen, har fungerat stabilt och effektivt</w:t>
            </w:r>
            <w:r w:rsidR="000D78D0" w:rsidRPr="002A2EA0">
              <w:t xml:space="preserve"> </w:t>
            </w:r>
          </w:p>
          <w:p w:rsidR="000D78D0" w:rsidRPr="001411B5" w:rsidRDefault="002A2EA0" w:rsidP="000D78D0">
            <w:pPr>
              <w:pStyle w:val="Punktlistabomb"/>
              <w:numPr>
                <w:ilvl w:val="0"/>
                <w:numId w:val="0"/>
              </w:numPr>
              <w:ind w:left="284"/>
              <w:rPr>
                <w:highlight w:val="yellow"/>
              </w:rPr>
            </w:pPr>
            <w:r w:rsidRPr="002A2EA0">
              <w:t>Förvaltningen har fortsatt att utveckla Intranätet för att möta användarnas behov</w:t>
            </w:r>
            <w:r w:rsidRPr="00BD5345">
              <w:t>. Under 2016 utsågs riksdagens intranät till ett av de tio bästa i världen.</w:t>
            </w:r>
            <w:r w:rsidRPr="002A2EA0">
              <w:t xml:space="preserve"> Kammarappen har fått nya funktioner och förvaltningen har förbättrat möjligheterna till effektiva möten på distans.</w:t>
            </w:r>
          </w:p>
          <w:p w:rsidR="00527FC9" w:rsidRPr="00974793" w:rsidRDefault="00527FC9" w:rsidP="00527FC9">
            <w:pPr>
              <w:pStyle w:val="Punktlistabomb"/>
              <w:rPr>
                <w:i/>
              </w:rPr>
            </w:pPr>
            <w:r w:rsidRPr="00974793">
              <w:rPr>
                <w:i/>
              </w:rPr>
              <w:t>Servicen till ledamöt</w:t>
            </w:r>
            <w:r w:rsidR="002C4885" w:rsidRPr="00974793">
              <w:rPr>
                <w:i/>
              </w:rPr>
              <w:t>erna har fortsatt att utvecklas</w:t>
            </w:r>
          </w:p>
          <w:p w:rsidR="00432AD4" w:rsidRPr="001411B5" w:rsidRDefault="00974793" w:rsidP="00527FC9">
            <w:pPr>
              <w:pStyle w:val="Punktlistabomb"/>
              <w:numPr>
                <w:ilvl w:val="0"/>
                <w:numId w:val="0"/>
              </w:numPr>
              <w:ind w:left="284"/>
              <w:rPr>
                <w:highlight w:val="yellow"/>
              </w:rPr>
            </w:pPr>
            <w:r w:rsidRPr="00974793">
              <w:t xml:space="preserve">Arbetet med att förbättra servicen till ledamöterna har fortsatt. Bland annat har förvaltningen öppnat ett gemensamt servicecenter för ledamöter, partikanslier och anställda. Genom att samla all service på ett ställe ska servicen bli lätt tillgänglig, snabbare och av bättre kvalitet. </w:t>
            </w:r>
          </w:p>
          <w:p w:rsidR="00B86C4E" w:rsidRPr="00DD36CC" w:rsidRDefault="00B86C4E" w:rsidP="00B86C4E">
            <w:pPr>
              <w:pStyle w:val="Punktlistabomb"/>
            </w:pPr>
            <w:r w:rsidRPr="00DD36CC">
              <w:rPr>
                <w:i/>
              </w:rPr>
              <w:t>Rätt säkerhetsnivåer har upprätthållits</w:t>
            </w:r>
            <w:r w:rsidRPr="00DD36CC">
              <w:t xml:space="preserve"> </w:t>
            </w:r>
          </w:p>
          <w:p w:rsidR="00594C7B" w:rsidRPr="00DD36CC" w:rsidRDefault="00723BDA" w:rsidP="005D7012">
            <w:pPr>
              <w:pStyle w:val="Punktlistabomb"/>
              <w:numPr>
                <w:ilvl w:val="0"/>
                <w:numId w:val="0"/>
              </w:numPr>
              <w:ind w:left="284"/>
            </w:pPr>
            <w:r w:rsidRPr="00DD36CC">
              <w:t xml:space="preserve">Säkerhetsarbetet har </w:t>
            </w:r>
            <w:r w:rsidR="00BD5345" w:rsidRPr="00DD36CC">
              <w:t xml:space="preserve">utvecklats </w:t>
            </w:r>
            <w:r w:rsidRPr="00DD36CC">
              <w:t>under året, bland annat genom en ny organisation och nya arbetssätt.</w:t>
            </w:r>
            <w:r w:rsidR="00BD5345" w:rsidRPr="00DD36CC">
              <w:t xml:space="preserve"> Användningen av säkerhetsanalyser har ökat, vilket ska bidra till att förvaltningen vidtar rätt åtgärder för att upprätthålla rätt säkerhetsnivåer.</w:t>
            </w:r>
            <w:r w:rsidRPr="00DD36CC">
              <w:t xml:space="preserve"> De säkerhetsåtgärder som infördes hösten 2015 har bestått under 2016</w:t>
            </w:r>
            <w:r w:rsidR="00BD5345" w:rsidRPr="00DD36CC">
              <w:t xml:space="preserve"> och trots utökade säkerhetskontroller i riksdagens entréer har inpasseringen fungerat väl</w:t>
            </w:r>
            <w:r w:rsidR="00B86C4E" w:rsidRPr="00DD36CC">
              <w:t>.</w:t>
            </w:r>
          </w:p>
          <w:p w:rsidR="001411B5" w:rsidRPr="001411B5" w:rsidRDefault="009C7533" w:rsidP="00AC7CB7">
            <w:pPr>
              <w:spacing w:after="120"/>
            </w:pPr>
            <w:r w:rsidRPr="0072400B">
              <w:lastRenderedPageBreak/>
              <w:t>Arbetet med att införa ett ledningssystem för informationssäkerhet har fortsatt och under året fattade riksdagsdirektö</w:t>
            </w:r>
            <w:r w:rsidR="00941D84">
              <w:t>ren beslut om ett antal styrdoku</w:t>
            </w:r>
            <w:r w:rsidRPr="0072400B">
              <w:t>ment som reglerar informationssäkerhetsområdet. Förvaltningen har även vidtagit åtgärder för att förbättra förmågan att upptäcka säkerhetsincidenter</w:t>
            </w:r>
            <w:r w:rsidR="001411B5" w:rsidRPr="0072400B">
              <w:t>.</w:t>
            </w:r>
            <w:r w:rsidR="007E626E" w:rsidRPr="0072400B">
              <w:t xml:space="preserve"> För att underlätta ledamöterna</w:t>
            </w:r>
            <w:r w:rsidR="00861E8B" w:rsidRPr="0072400B">
              <w:t>s</w:t>
            </w:r>
            <w:r w:rsidR="007E626E" w:rsidRPr="0072400B">
              <w:t xml:space="preserve"> löpande arbete med EU-frågor </w:t>
            </w:r>
            <w:r w:rsidR="00B25C67" w:rsidRPr="0072400B">
              <w:t>har</w:t>
            </w:r>
            <w:r w:rsidR="00861E8B" w:rsidRPr="0072400B">
              <w:t xml:space="preserve"> </w:t>
            </w:r>
            <w:r w:rsidR="007E626E" w:rsidRPr="0072400B">
              <w:t xml:space="preserve">förvaltningen </w:t>
            </w:r>
            <w:r w:rsidR="00B25C67" w:rsidRPr="0072400B">
              <w:t xml:space="preserve">börjat ta </w:t>
            </w:r>
            <w:r w:rsidR="007E626E" w:rsidRPr="0072400B">
              <w:t>fram en digital EU-handledning.</w:t>
            </w:r>
            <w:r w:rsidR="003F5B06" w:rsidRPr="0072400B">
              <w:t xml:space="preserve"> Förvaltningen har även fortsatt att införa digitala samarbetsytor till stöd för bland annat dokumenthantering.</w:t>
            </w:r>
          </w:p>
        </w:tc>
      </w:tr>
    </w:tbl>
    <w:p w:rsidR="00594C7B" w:rsidRDefault="00594C7B" w:rsidP="00594C7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94C7B">
        <w:rPr>
          <w:rFonts w:eastAsiaTheme="majorEastAsia" w:cstheme="majorBidi"/>
          <w:b/>
        </w:rPr>
        <w:lastRenderedPageBreak/>
        <w:t>Tabell 1</w:t>
      </w:r>
      <w:r w:rsidR="00F52B51">
        <w:rPr>
          <w:rFonts w:eastAsiaTheme="majorEastAsia" w:cstheme="majorBidi"/>
          <w:b/>
        </w:rPr>
        <w:t>3</w:t>
      </w:r>
      <w:r w:rsidRPr="00594C7B">
        <w:rPr>
          <w:rFonts w:eastAsiaTheme="majorEastAsia" w:cstheme="majorBidi"/>
          <w:b/>
        </w:rPr>
        <w:t xml:space="preserve"> Intäkter, kostnader och transfereringar inom uppdragsområde B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C628E2" w:rsidRPr="00C628E2" w:rsidTr="00284485">
        <w:tc>
          <w:tcPr>
            <w:tcW w:w="1457" w:type="dxa"/>
            <w:tcBorders>
              <w:top w:val="single" w:sz="4" w:space="0" w:color="auto"/>
              <w:bottom w:val="single" w:sz="4" w:space="0" w:color="auto"/>
            </w:tcBorders>
          </w:tcPr>
          <w:p w:rsidR="00C628E2" w:rsidRPr="00C628E2" w:rsidRDefault="00C628E2" w:rsidP="00C628E2">
            <w:pPr>
              <w:spacing w:before="60" w:line="200" w:lineRule="exact"/>
              <w:rPr>
                <w:b/>
                <w:sz w:val="16"/>
                <w:szCs w:val="16"/>
              </w:rPr>
            </w:pP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981DB8">
              <w:rPr>
                <w:b/>
                <w:sz w:val="16"/>
                <w:szCs w:val="16"/>
              </w:rPr>
              <w:t>6</w:t>
            </w: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981DB8">
              <w:rPr>
                <w:b/>
                <w:sz w:val="16"/>
                <w:szCs w:val="16"/>
              </w:rPr>
              <w:t>5</w:t>
            </w:r>
          </w:p>
        </w:tc>
        <w:tc>
          <w:tcPr>
            <w:tcW w:w="1458" w:type="dxa"/>
            <w:tcBorders>
              <w:top w:val="single" w:sz="4" w:space="0" w:color="auto"/>
              <w:bottom w:val="single" w:sz="4" w:space="0" w:color="auto"/>
            </w:tcBorders>
          </w:tcPr>
          <w:p w:rsidR="00C628E2" w:rsidRPr="00C628E2" w:rsidRDefault="00C628E2" w:rsidP="00C628E2">
            <w:pPr>
              <w:spacing w:before="60" w:line="200" w:lineRule="exact"/>
              <w:jc w:val="right"/>
              <w:rPr>
                <w:b/>
                <w:sz w:val="16"/>
                <w:szCs w:val="16"/>
              </w:rPr>
            </w:pPr>
            <w:r w:rsidRPr="00C628E2">
              <w:rPr>
                <w:b/>
                <w:sz w:val="16"/>
                <w:szCs w:val="16"/>
              </w:rPr>
              <w:t>201</w:t>
            </w:r>
            <w:r w:rsidR="00981DB8">
              <w:rPr>
                <w:b/>
                <w:sz w:val="16"/>
                <w:szCs w:val="16"/>
              </w:rPr>
              <w:t>4</w:t>
            </w:r>
          </w:p>
        </w:tc>
      </w:tr>
      <w:tr w:rsidR="00981DB8" w:rsidRPr="00C628E2" w:rsidTr="00284485">
        <w:tc>
          <w:tcPr>
            <w:tcW w:w="1457" w:type="dxa"/>
            <w:tcBorders>
              <w:top w:val="single" w:sz="4" w:space="0" w:color="auto"/>
            </w:tcBorders>
          </w:tcPr>
          <w:p w:rsidR="00981DB8" w:rsidRPr="00C628E2" w:rsidRDefault="00981DB8" w:rsidP="00981DB8">
            <w:pPr>
              <w:spacing w:before="60" w:line="200" w:lineRule="exact"/>
              <w:rPr>
                <w:sz w:val="16"/>
                <w:szCs w:val="16"/>
              </w:rPr>
            </w:pPr>
            <w:r w:rsidRPr="00C628E2">
              <w:rPr>
                <w:sz w:val="16"/>
                <w:szCs w:val="16"/>
              </w:rPr>
              <w:t>Intäkter</w:t>
            </w:r>
            <w:r w:rsidR="00802854">
              <w:rPr>
                <w:rStyle w:val="Fotnotsreferens"/>
                <w:sz w:val="16"/>
                <w:szCs w:val="16"/>
              </w:rPr>
              <w:footnoteReference w:id="23"/>
            </w:r>
          </w:p>
        </w:tc>
        <w:tc>
          <w:tcPr>
            <w:tcW w:w="1458" w:type="dxa"/>
            <w:tcBorders>
              <w:top w:val="single" w:sz="4" w:space="0" w:color="auto"/>
            </w:tcBorders>
          </w:tcPr>
          <w:p w:rsidR="00981DB8" w:rsidRPr="0072400B" w:rsidRDefault="00A95C4F" w:rsidP="00981DB8">
            <w:pPr>
              <w:spacing w:before="60" w:line="200" w:lineRule="exact"/>
              <w:jc w:val="right"/>
              <w:rPr>
                <w:sz w:val="16"/>
                <w:szCs w:val="16"/>
              </w:rPr>
            </w:pPr>
            <w:r w:rsidRPr="0072400B">
              <w:rPr>
                <w:sz w:val="16"/>
                <w:szCs w:val="16"/>
              </w:rPr>
              <w:t>13 048</w:t>
            </w:r>
          </w:p>
        </w:tc>
        <w:tc>
          <w:tcPr>
            <w:tcW w:w="1458" w:type="dxa"/>
            <w:tcBorders>
              <w:top w:val="single" w:sz="4" w:space="0" w:color="auto"/>
            </w:tcBorders>
          </w:tcPr>
          <w:p w:rsidR="00981DB8" w:rsidRPr="00DE3431" w:rsidRDefault="0017486A" w:rsidP="00981DB8">
            <w:pPr>
              <w:spacing w:before="60" w:line="200" w:lineRule="exact"/>
              <w:jc w:val="right"/>
              <w:rPr>
                <w:sz w:val="16"/>
                <w:szCs w:val="16"/>
              </w:rPr>
            </w:pPr>
            <w:r>
              <w:rPr>
                <w:sz w:val="16"/>
                <w:szCs w:val="16"/>
              </w:rPr>
              <w:t>1 </w:t>
            </w:r>
            <w:r w:rsidR="00981DB8" w:rsidRPr="00DE3431">
              <w:rPr>
                <w:sz w:val="16"/>
                <w:szCs w:val="16"/>
              </w:rPr>
              <w:t>869</w:t>
            </w:r>
          </w:p>
        </w:tc>
        <w:tc>
          <w:tcPr>
            <w:tcW w:w="1458" w:type="dxa"/>
            <w:tcBorders>
              <w:top w:val="single" w:sz="4" w:space="0" w:color="auto"/>
            </w:tcBorders>
          </w:tcPr>
          <w:p w:rsidR="00981DB8" w:rsidRPr="00C628E2" w:rsidRDefault="0017486A" w:rsidP="00981DB8">
            <w:pPr>
              <w:spacing w:before="60" w:line="200" w:lineRule="exact"/>
              <w:jc w:val="right"/>
              <w:rPr>
                <w:sz w:val="16"/>
                <w:szCs w:val="16"/>
              </w:rPr>
            </w:pPr>
            <w:r>
              <w:rPr>
                <w:sz w:val="16"/>
                <w:szCs w:val="16"/>
              </w:rPr>
              <w:t>2 </w:t>
            </w:r>
            <w:r w:rsidR="00981DB8" w:rsidRPr="00C628E2">
              <w:rPr>
                <w:sz w:val="16"/>
                <w:szCs w:val="16"/>
              </w:rPr>
              <w:t>095</w:t>
            </w:r>
          </w:p>
        </w:tc>
      </w:tr>
      <w:tr w:rsidR="00981DB8" w:rsidRPr="00C628E2" w:rsidTr="00284485">
        <w:tc>
          <w:tcPr>
            <w:tcW w:w="1457" w:type="dxa"/>
            <w:tcBorders>
              <w:bottom w:val="single" w:sz="4" w:space="0" w:color="auto"/>
            </w:tcBorders>
          </w:tcPr>
          <w:p w:rsidR="00981DB8" w:rsidRPr="00C628E2" w:rsidRDefault="00981DB8" w:rsidP="00981DB8">
            <w:pPr>
              <w:spacing w:before="60" w:line="200" w:lineRule="exact"/>
              <w:rPr>
                <w:sz w:val="16"/>
                <w:szCs w:val="16"/>
              </w:rPr>
            </w:pPr>
            <w:r w:rsidRPr="00C628E2">
              <w:rPr>
                <w:sz w:val="16"/>
                <w:szCs w:val="16"/>
              </w:rPr>
              <w:t>Kostnader</w:t>
            </w:r>
          </w:p>
        </w:tc>
        <w:tc>
          <w:tcPr>
            <w:tcW w:w="1458" w:type="dxa"/>
            <w:tcBorders>
              <w:bottom w:val="single" w:sz="4" w:space="0" w:color="auto"/>
            </w:tcBorders>
          </w:tcPr>
          <w:p w:rsidR="00981DB8" w:rsidRPr="0072400B" w:rsidRDefault="00A95C4F" w:rsidP="00981DB8">
            <w:pPr>
              <w:spacing w:before="60" w:line="200" w:lineRule="exact"/>
              <w:jc w:val="right"/>
              <w:rPr>
                <w:sz w:val="16"/>
                <w:szCs w:val="16"/>
              </w:rPr>
            </w:pPr>
            <w:r w:rsidRPr="0072400B">
              <w:rPr>
                <w:sz w:val="16"/>
                <w:szCs w:val="16"/>
              </w:rPr>
              <w:t>–1 332 582</w:t>
            </w:r>
          </w:p>
        </w:tc>
        <w:tc>
          <w:tcPr>
            <w:tcW w:w="1458" w:type="dxa"/>
            <w:tcBorders>
              <w:bottom w:val="single" w:sz="4" w:space="0" w:color="auto"/>
            </w:tcBorders>
          </w:tcPr>
          <w:p w:rsidR="00981DB8" w:rsidRPr="00DE3431" w:rsidRDefault="00981DB8" w:rsidP="00981DB8">
            <w:pPr>
              <w:spacing w:before="60" w:line="200" w:lineRule="exact"/>
              <w:jc w:val="right"/>
              <w:rPr>
                <w:sz w:val="16"/>
                <w:szCs w:val="16"/>
              </w:rPr>
            </w:pPr>
            <w:r>
              <w:rPr>
                <w:sz w:val="16"/>
                <w:szCs w:val="16"/>
              </w:rPr>
              <w:t>–</w:t>
            </w:r>
            <w:r w:rsidR="0017486A">
              <w:rPr>
                <w:sz w:val="16"/>
                <w:szCs w:val="16"/>
              </w:rPr>
              <w:t>865 </w:t>
            </w:r>
            <w:r w:rsidRPr="00DE3431">
              <w:rPr>
                <w:sz w:val="16"/>
                <w:szCs w:val="16"/>
              </w:rPr>
              <w:t>069</w:t>
            </w:r>
          </w:p>
        </w:tc>
        <w:tc>
          <w:tcPr>
            <w:tcW w:w="1458" w:type="dxa"/>
            <w:tcBorders>
              <w:bottom w:val="single" w:sz="4" w:space="0" w:color="auto"/>
            </w:tcBorders>
          </w:tcPr>
          <w:p w:rsidR="00981DB8" w:rsidRPr="00C628E2" w:rsidRDefault="0017486A" w:rsidP="00981DB8">
            <w:pPr>
              <w:spacing w:before="60" w:line="200" w:lineRule="exact"/>
              <w:jc w:val="right"/>
              <w:rPr>
                <w:sz w:val="16"/>
                <w:szCs w:val="16"/>
              </w:rPr>
            </w:pPr>
            <w:r>
              <w:rPr>
                <w:sz w:val="16"/>
                <w:szCs w:val="16"/>
              </w:rPr>
              <w:t>–796 </w:t>
            </w:r>
            <w:r w:rsidR="00981DB8" w:rsidRPr="00C628E2">
              <w:rPr>
                <w:sz w:val="16"/>
                <w:szCs w:val="16"/>
              </w:rPr>
              <w:t>399</w:t>
            </w:r>
          </w:p>
        </w:tc>
      </w:tr>
      <w:tr w:rsidR="00981DB8" w:rsidRPr="00C628E2" w:rsidTr="00894894">
        <w:tc>
          <w:tcPr>
            <w:tcW w:w="1457" w:type="dxa"/>
            <w:tcBorders>
              <w:top w:val="single" w:sz="4" w:space="0" w:color="auto"/>
              <w:bottom w:val="nil"/>
            </w:tcBorders>
          </w:tcPr>
          <w:p w:rsidR="00981DB8" w:rsidRPr="00C628E2" w:rsidRDefault="00981DB8" w:rsidP="00981DB8">
            <w:pPr>
              <w:spacing w:before="60" w:line="200" w:lineRule="exact"/>
              <w:rPr>
                <w:i/>
                <w:sz w:val="16"/>
                <w:szCs w:val="16"/>
              </w:rPr>
            </w:pPr>
            <w:r w:rsidRPr="00C628E2">
              <w:rPr>
                <w:i/>
                <w:sz w:val="16"/>
                <w:szCs w:val="16"/>
              </w:rPr>
              <w:t>Nettokostnad</w:t>
            </w:r>
          </w:p>
        </w:tc>
        <w:tc>
          <w:tcPr>
            <w:tcW w:w="1458" w:type="dxa"/>
            <w:tcBorders>
              <w:top w:val="single" w:sz="4" w:space="0" w:color="auto"/>
              <w:bottom w:val="nil"/>
            </w:tcBorders>
          </w:tcPr>
          <w:p w:rsidR="00981DB8" w:rsidRPr="0072400B" w:rsidRDefault="00A95C4F" w:rsidP="00981DB8">
            <w:pPr>
              <w:spacing w:before="60" w:line="200" w:lineRule="exact"/>
              <w:jc w:val="right"/>
              <w:rPr>
                <w:i/>
                <w:sz w:val="16"/>
                <w:szCs w:val="16"/>
              </w:rPr>
            </w:pPr>
            <w:r w:rsidRPr="0072400B">
              <w:rPr>
                <w:i/>
                <w:sz w:val="16"/>
                <w:szCs w:val="16"/>
              </w:rPr>
              <w:t>–1 319 534</w:t>
            </w:r>
          </w:p>
        </w:tc>
        <w:tc>
          <w:tcPr>
            <w:tcW w:w="1458" w:type="dxa"/>
            <w:tcBorders>
              <w:top w:val="single" w:sz="4" w:space="0" w:color="auto"/>
              <w:bottom w:val="nil"/>
            </w:tcBorders>
          </w:tcPr>
          <w:p w:rsidR="00981DB8" w:rsidRPr="00DE3431" w:rsidRDefault="00981DB8" w:rsidP="00981DB8">
            <w:pPr>
              <w:spacing w:before="60" w:line="200" w:lineRule="exact"/>
              <w:jc w:val="right"/>
              <w:rPr>
                <w:i/>
                <w:sz w:val="16"/>
                <w:szCs w:val="16"/>
              </w:rPr>
            </w:pPr>
            <w:r>
              <w:rPr>
                <w:i/>
                <w:sz w:val="16"/>
                <w:szCs w:val="16"/>
              </w:rPr>
              <w:t>–</w:t>
            </w:r>
            <w:r w:rsidR="0017486A">
              <w:rPr>
                <w:i/>
                <w:sz w:val="16"/>
                <w:szCs w:val="16"/>
              </w:rPr>
              <w:t>863 </w:t>
            </w:r>
            <w:r w:rsidRPr="00DE3431">
              <w:rPr>
                <w:i/>
                <w:sz w:val="16"/>
                <w:szCs w:val="16"/>
              </w:rPr>
              <w:t>200</w:t>
            </w:r>
          </w:p>
        </w:tc>
        <w:tc>
          <w:tcPr>
            <w:tcW w:w="1458" w:type="dxa"/>
            <w:tcBorders>
              <w:top w:val="single" w:sz="4" w:space="0" w:color="auto"/>
              <w:bottom w:val="nil"/>
            </w:tcBorders>
          </w:tcPr>
          <w:p w:rsidR="00981DB8" w:rsidRPr="00C628E2" w:rsidRDefault="0017486A" w:rsidP="00981DB8">
            <w:pPr>
              <w:spacing w:before="60" w:line="200" w:lineRule="exact"/>
              <w:jc w:val="right"/>
              <w:rPr>
                <w:i/>
                <w:sz w:val="16"/>
                <w:szCs w:val="16"/>
              </w:rPr>
            </w:pPr>
            <w:r>
              <w:rPr>
                <w:i/>
                <w:sz w:val="16"/>
                <w:szCs w:val="16"/>
              </w:rPr>
              <w:t>–794 </w:t>
            </w:r>
            <w:r w:rsidR="00981DB8" w:rsidRPr="00C628E2">
              <w:rPr>
                <w:i/>
                <w:sz w:val="16"/>
                <w:szCs w:val="16"/>
              </w:rPr>
              <w:t>304</w:t>
            </w:r>
          </w:p>
        </w:tc>
      </w:tr>
      <w:tr w:rsidR="00894894" w:rsidRPr="00C628E2" w:rsidTr="00894894">
        <w:tc>
          <w:tcPr>
            <w:tcW w:w="1457" w:type="dxa"/>
            <w:tcBorders>
              <w:top w:val="nil"/>
              <w:bottom w:val="nil"/>
            </w:tcBorders>
          </w:tcPr>
          <w:p w:rsidR="00894894" w:rsidRPr="00C628E2" w:rsidRDefault="00894894" w:rsidP="00981DB8">
            <w:pPr>
              <w:spacing w:before="60" w:line="200" w:lineRule="exact"/>
              <w:rPr>
                <w:sz w:val="16"/>
                <w:szCs w:val="16"/>
              </w:rPr>
            </w:pPr>
          </w:p>
        </w:tc>
        <w:tc>
          <w:tcPr>
            <w:tcW w:w="1458" w:type="dxa"/>
            <w:tcBorders>
              <w:top w:val="nil"/>
              <w:bottom w:val="nil"/>
            </w:tcBorders>
          </w:tcPr>
          <w:p w:rsidR="00894894" w:rsidRPr="0072400B" w:rsidRDefault="00894894" w:rsidP="00981DB8">
            <w:pPr>
              <w:spacing w:before="60" w:line="200" w:lineRule="exact"/>
              <w:jc w:val="right"/>
              <w:rPr>
                <w:sz w:val="16"/>
                <w:szCs w:val="16"/>
              </w:rPr>
            </w:pPr>
          </w:p>
        </w:tc>
        <w:tc>
          <w:tcPr>
            <w:tcW w:w="1458" w:type="dxa"/>
            <w:tcBorders>
              <w:top w:val="nil"/>
              <w:bottom w:val="nil"/>
            </w:tcBorders>
          </w:tcPr>
          <w:p w:rsidR="00894894" w:rsidRDefault="00894894" w:rsidP="00981DB8">
            <w:pPr>
              <w:spacing w:before="60" w:line="200" w:lineRule="exact"/>
              <w:jc w:val="right"/>
              <w:rPr>
                <w:sz w:val="16"/>
                <w:szCs w:val="16"/>
              </w:rPr>
            </w:pPr>
          </w:p>
        </w:tc>
        <w:tc>
          <w:tcPr>
            <w:tcW w:w="1458" w:type="dxa"/>
            <w:tcBorders>
              <w:top w:val="nil"/>
              <w:bottom w:val="nil"/>
            </w:tcBorders>
          </w:tcPr>
          <w:p w:rsidR="00894894" w:rsidRDefault="00894894" w:rsidP="00981DB8">
            <w:pPr>
              <w:spacing w:before="60" w:line="200" w:lineRule="exact"/>
              <w:jc w:val="right"/>
              <w:rPr>
                <w:sz w:val="16"/>
                <w:szCs w:val="16"/>
              </w:rPr>
            </w:pPr>
          </w:p>
        </w:tc>
      </w:tr>
      <w:tr w:rsidR="00981DB8" w:rsidRPr="00C628E2" w:rsidTr="00894894">
        <w:tc>
          <w:tcPr>
            <w:tcW w:w="1457" w:type="dxa"/>
            <w:tcBorders>
              <w:top w:val="nil"/>
              <w:bottom w:val="single" w:sz="4" w:space="0" w:color="auto"/>
            </w:tcBorders>
          </w:tcPr>
          <w:p w:rsidR="00981DB8" w:rsidRPr="00C628E2" w:rsidRDefault="00981DB8" w:rsidP="00981DB8">
            <w:pPr>
              <w:spacing w:before="60" w:line="200" w:lineRule="exact"/>
              <w:rPr>
                <w:sz w:val="16"/>
                <w:szCs w:val="16"/>
              </w:rPr>
            </w:pPr>
            <w:r w:rsidRPr="00C628E2">
              <w:rPr>
                <w:sz w:val="16"/>
                <w:szCs w:val="16"/>
              </w:rPr>
              <w:t>Transfereringar</w:t>
            </w:r>
          </w:p>
        </w:tc>
        <w:tc>
          <w:tcPr>
            <w:tcW w:w="1458" w:type="dxa"/>
            <w:tcBorders>
              <w:top w:val="nil"/>
              <w:bottom w:val="single" w:sz="4" w:space="0" w:color="auto"/>
            </w:tcBorders>
          </w:tcPr>
          <w:p w:rsidR="00981DB8" w:rsidRPr="0072400B" w:rsidRDefault="00A95C4F" w:rsidP="00981DB8">
            <w:pPr>
              <w:spacing w:before="60" w:line="200" w:lineRule="exact"/>
              <w:jc w:val="right"/>
              <w:rPr>
                <w:sz w:val="16"/>
                <w:szCs w:val="16"/>
              </w:rPr>
            </w:pPr>
            <w:r w:rsidRPr="0072400B">
              <w:rPr>
                <w:sz w:val="16"/>
                <w:szCs w:val="16"/>
              </w:rPr>
              <w:t>–482 029</w:t>
            </w:r>
          </w:p>
        </w:tc>
        <w:tc>
          <w:tcPr>
            <w:tcW w:w="1458" w:type="dxa"/>
            <w:tcBorders>
              <w:top w:val="nil"/>
              <w:bottom w:val="single" w:sz="4" w:space="0" w:color="auto"/>
            </w:tcBorders>
          </w:tcPr>
          <w:p w:rsidR="00981DB8" w:rsidRPr="00DE3431" w:rsidRDefault="00981DB8" w:rsidP="00981DB8">
            <w:pPr>
              <w:spacing w:before="60" w:line="200" w:lineRule="exact"/>
              <w:jc w:val="right"/>
              <w:rPr>
                <w:sz w:val="16"/>
                <w:szCs w:val="16"/>
              </w:rPr>
            </w:pPr>
            <w:r>
              <w:rPr>
                <w:sz w:val="16"/>
                <w:szCs w:val="16"/>
              </w:rPr>
              <w:t>–</w:t>
            </w:r>
            <w:r w:rsidR="0017486A">
              <w:rPr>
                <w:sz w:val="16"/>
                <w:szCs w:val="16"/>
              </w:rPr>
              <w:t>477 </w:t>
            </w:r>
            <w:r w:rsidRPr="00DE3431">
              <w:rPr>
                <w:sz w:val="16"/>
                <w:szCs w:val="16"/>
              </w:rPr>
              <w:t>281</w:t>
            </w:r>
          </w:p>
        </w:tc>
        <w:tc>
          <w:tcPr>
            <w:tcW w:w="1458" w:type="dxa"/>
            <w:tcBorders>
              <w:top w:val="nil"/>
              <w:bottom w:val="single" w:sz="4" w:space="0" w:color="auto"/>
            </w:tcBorders>
          </w:tcPr>
          <w:p w:rsidR="00981DB8" w:rsidRPr="00C628E2" w:rsidRDefault="0017486A" w:rsidP="00981DB8">
            <w:pPr>
              <w:spacing w:before="60" w:line="200" w:lineRule="exact"/>
              <w:jc w:val="right"/>
              <w:rPr>
                <w:sz w:val="16"/>
                <w:szCs w:val="16"/>
              </w:rPr>
            </w:pPr>
            <w:r>
              <w:rPr>
                <w:sz w:val="16"/>
                <w:szCs w:val="16"/>
              </w:rPr>
              <w:t>–474 </w:t>
            </w:r>
            <w:r w:rsidR="00981DB8" w:rsidRPr="00C628E2">
              <w:rPr>
                <w:sz w:val="16"/>
                <w:szCs w:val="16"/>
              </w:rPr>
              <w:t>439</w:t>
            </w:r>
          </w:p>
        </w:tc>
      </w:tr>
      <w:tr w:rsidR="00981DB8" w:rsidRPr="00C628E2" w:rsidTr="00284485">
        <w:tc>
          <w:tcPr>
            <w:tcW w:w="1457" w:type="dxa"/>
            <w:tcBorders>
              <w:top w:val="single" w:sz="4" w:space="0" w:color="auto"/>
              <w:bottom w:val="single" w:sz="4" w:space="0" w:color="auto"/>
            </w:tcBorders>
          </w:tcPr>
          <w:p w:rsidR="00981DB8" w:rsidRPr="00C628E2" w:rsidRDefault="00981DB8" w:rsidP="00981DB8">
            <w:pPr>
              <w:spacing w:before="60" w:line="200" w:lineRule="exact"/>
              <w:rPr>
                <w:b/>
                <w:sz w:val="16"/>
                <w:szCs w:val="16"/>
              </w:rPr>
            </w:pPr>
            <w:r w:rsidRPr="00C628E2">
              <w:rPr>
                <w:b/>
                <w:sz w:val="16"/>
                <w:szCs w:val="16"/>
              </w:rPr>
              <w:t>Totalt</w:t>
            </w:r>
          </w:p>
        </w:tc>
        <w:tc>
          <w:tcPr>
            <w:tcW w:w="1458" w:type="dxa"/>
            <w:tcBorders>
              <w:top w:val="single" w:sz="4" w:space="0" w:color="auto"/>
              <w:bottom w:val="single" w:sz="4" w:space="0" w:color="auto"/>
            </w:tcBorders>
          </w:tcPr>
          <w:p w:rsidR="00981DB8" w:rsidRPr="0072400B" w:rsidRDefault="00A95C4F" w:rsidP="00981DB8">
            <w:pPr>
              <w:spacing w:before="60" w:line="200" w:lineRule="exact"/>
              <w:jc w:val="right"/>
              <w:rPr>
                <w:b/>
                <w:sz w:val="16"/>
                <w:szCs w:val="16"/>
              </w:rPr>
            </w:pPr>
            <w:r w:rsidRPr="0072400B">
              <w:rPr>
                <w:b/>
                <w:sz w:val="16"/>
                <w:szCs w:val="16"/>
              </w:rPr>
              <w:t>–1 801 563</w:t>
            </w:r>
          </w:p>
        </w:tc>
        <w:tc>
          <w:tcPr>
            <w:tcW w:w="1458" w:type="dxa"/>
            <w:tcBorders>
              <w:top w:val="single" w:sz="4" w:space="0" w:color="auto"/>
              <w:bottom w:val="single" w:sz="4" w:space="0" w:color="auto"/>
            </w:tcBorders>
          </w:tcPr>
          <w:p w:rsidR="00981DB8" w:rsidRPr="00DE3431" w:rsidRDefault="00981DB8" w:rsidP="00981DB8">
            <w:pPr>
              <w:spacing w:before="60" w:line="200" w:lineRule="exact"/>
              <w:jc w:val="right"/>
              <w:rPr>
                <w:b/>
                <w:sz w:val="16"/>
                <w:szCs w:val="16"/>
              </w:rPr>
            </w:pPr>
            <w:r>
              <w:rPr>
                <w:b/>
                <w:sz w:val="16"/>
                <w:szCs w:val="16"/>
              </w:rPr>
              <w:t>–</w:t>
            </w:r>
            <w:r w:rsidR="0017486A">
              <w:rPr>
                <w:b/>
                <w:sz w:val="16"/>
                <w:szCs w:val="16"/>
              </w:rPr>
              <w:t>1 340 </w:t>
            </w:r>
            <w:r w:rsidRPr="00DE3431">
              <w:rPr>
                <w:b/>
                <w:sz w:val="16"/>
                <w:szCs w:val="16"/>
              </w:rPr>
              <w:t>481</w:t>
            </w:r>
          </w:p>
        </w:tc>
        <w:tc>
          <w:tcPr>
            <w:tcW w:w="1458" w:type="dxa"/>
            <w:tcBorders>
              <w:top w:val="single" w:sz="4" w:space="0" w:color="auto"/>
              <w:bottom w:val="single" w:sz="4" w:space="0" w:color="auto"/>
            </w:tcBorders>
          </w:tcPr>
          <w:p w:rsidR="00981DB8" w:rsidRPr="00C628E2" w:rsidRDefault="0017486A" w:rsidP="00981DB8">
            <w:pPr>
              <w:spacing w:before="60" w:line="200" w:lineRule="exact"/>
              <w:jc w:val="right"/>
              <w:rPr>
                <w:b/>
                <w:sz w:val="16"/>
                <w:szCs w:val="16"/>
              </w:rPr>
            </w:pPr>
            <w:r>
              <w:rPr>
                <w:b/>
                <w:sz w:val="16"/>
                <w:szCs w:val="16"/>
              </w:rPr>
              <w:t>–1 268 </w:t>
            </w:r>
            <w:r w:rsidR="00981DB8" w:rsidRPr="00C628E2">
              <w:rPr>
                <w:b/>
                <w:sz w:val="16"/>
                <w:szCs w:val="16"/>
              </w:rPr>
              <w:t>743</w:t>
            </w:r>
          </w:p>
        </w:tc>
      </w:tr>
    </w:tbl>
    <w:p w:rsidR="00156CF2" w:rsidRPr="004515CD" w:rsidRDefault="009100A4" w:rsidP="00156CF2">
      <w:pPr>
        <w:spacing w:before="125"/>
      </w:pPr>
      <w:r>
        <w:t xml:space="preserve">Ökningen av intäkterna för 2016 jämfört med 2015 beror främst på ränteberäkningen i avsättningen för ledamöters pensioner. </w:t>
      </w:r>
      <w:r w:rsidR="009D56B0" w:rsidRPr="00802854">
        <w:t xml:space="preserve">De högre kostnaderna jämfört med </w:t>
      </w:r>
      <w:r w:rsidR="004515CD" w:rsidRPr="00802854">
        <w:t>förra året beror i huvudsak på att årets förändring av avsättning för framtida pensioner och inkomstgarantier inklusive sociala avgifter har ökat.</w:t>
      </w:r>
    </w:p>
    <w:p w:rsidR="00594C7B" w:rsidRPr="00594C7B" w:rsidRDefault="00594C7B" w:rsidP="00DA64DA">
      <w:pPr>
        <w:pStyle w:val="Rubrik4"/>
      </w:pPr>
      <w:r w:rsidRPr="00594C7B">
        <w:t>Administrativt ledamotsstöd</w:t>
      </w:r>
    </w:p>
    <w:p w:rsidR="00594C7B" w:rsidRPr="00372DEE" w:rsidRDefault="00594C7B" w:rsidP="00594C7B">
      <w:r w:rsidRPr="00372DEE">
        <w:t>Inom det administrativa ledamotsstödet hanteras riksdagsledamöternas ekonomiska ersättningar, till exempel arvoden, traktame</w:t>
      </w:r>
      <w:r w:rsidR="00372DEE" w:rsidRPr="00372DEE">
        <w:t xml:space="preserve">nten, resekostnadsersättningar och avgångsförmåner </w:t>
      </w:r>
      <w:r w:rsidRPr="00372DEE">
        <w:t>för avgångna ledamöter.</w:t>
      </w:r>
    </w:p>
    <w:p w:rsidR="00E00F7E" w:rsidRDefault="00594C7B" w:rsidP="00A375F3">
      <w:pPr>
        <w:spacing w:before="0" w:after="240"/>
        <w:ind w:firstLine="227"/>
      </w:pPr>
      <w:r w:rsidRPr="00372DEE">
        <w:t xml:space="preserve">Utbetalningarna för inkomstgarantin, inklusive </w:t>
      </w:r>
      <w:r w:rsidR="00830C46" w:rsidRPr="00372DEE">
        <w:t xml:space="preserve">sociala avgifter, har </w:t>
      </w:r>
      <w:r w:rsidR="00372DEE" w:rsidRPr="00372DEE">
        <w:t>varit lägre</w:t>
      </w:r>
      <w:r w:rsidR="00051C5A" w:rsidRPr="00372DEE">
        <w:t xml:space="preserve"> </w:t>
      </w:r>
      <w:r w:rsidR="00372DEE" w:rsidRPr="00372DEE">
        <w:t>under 2016 än under 2015</w:t>
      </w:r>
      <w:r w:rsidRPr="00372DEE">
        <w:t xml:space="preserve">. </w:t>
      </w:r>
      <w:r w:rsidR="00830C46" w:rsidRPr="00372DEE">
        <w:t>Det</w:t>
      </w:r>
      <w:r w:rsidRPr="00372DEE">
        <w:t xml:space="preserve"> hänger samman med </w:t>
      </w:r>
      <w:r w:rsidR="00B10152" w:rsidRPr="00372DEE">
        <w:t xml:space="preserve">att </w:t>
      </w:r>
      <w:r w:rsidR="00830C46" w:rsidRPr="00372DEE">
        <w:t>de ett</w:t>
      </w:r>
      <w:r w:rsidRPr="00372DEE">
        <w:t>åriga inkomstgarantierna</w:t>
      </w:r>
      <w:r w:rsidR="00B10152" w:rsidRPr="00372DEE">
        <w:t xml:space="preserve"> </w:t>
      </w:r>
      <w:r w:rsidR="000430FF">
        <w:t xml:space="preserve">som </w:t>
      </w:r>
      <w:r w:rsidR="00372DEE" w:rsidRPr="00372DEE">
        <w:t>beslutade</w:t>
      </w:r>
      <w:r w:rsidR="000430FF">
        <w:t>s</w:t>
      </w:r>
      <w:r w:rsidR="00372DEE" w:rsidRPr="00372DEE">
        <w:t xml:space="preserve"> efter valet 2014 </w:t>
      </w:r>
      <w:r w:rsidR="00C61F77">
        <w:t xml:space="preserve">har </w:t>
      </w:r>
      <w:r w:rsidR="00372DEE" w:rsidRPr="00372DEE">
        <w:t>löpt</w:t>
      </w:r>
      <w:r w:rsidR="000430FF">
        <w:t xml:space="preserve"> ut</w:t>
      </w:r>
      <w:r w:rsidR="00D559CB" w:rsidRPr="00D559CB">
        <w:t xml:space="preserve"> </w:t>
      </w:r>
      <w:r w:rsidR="00D559CB" w:rsidRPr="00372DEE">
        <w:t>under året</w:t>
      </w:r>
      <w:r w:rsidR="00372DEE" w:rsidRPr="00372DEE">
        <w:t xml:space="preserve">. </w:t>
      </w:r>
      <w:r w:rsidR="00830C46" w:rsidRPr="00372DEE">
        <w:t>Generellt är utbetalningarna av inkomstgarantier som högst året efter valår och sjunker sedan fram till nästa riksdagsval</w:t>
      </w:r>
      <w:r w:rsidRPr="00372DEE">
        <w:t>.</w:t>
      </w:r>
    </w:p>
    <w:p w:rsidR="007E51EE" w:rsidRDefault="007E51EE">
      <w:pPr>
        <w:spacing w:before="0" w:after="200" w:line="276" w:lineRule="auto"/>
        <w:jc w:val="left"/>
      </w:pPr>
      <w:r>
        <w:br w:type="page"/>
      </w:r>
    </w:p>
    <w:p w:rsidR="007E51EE" w:rsidRPr="007E51EE" w:rsidRDefault="007E51EE" w:rsidP="007E51EE">
      <w:pPr>
        <w:pStyle w:val="Normaltindrag"/>
      </w:pPr>
    </w:p>
    <w:p w:rsidR="00594C7B" w:rsidRPr="00B245B9" w:rsidRDefault="00594C7B" w:rsidP="00594C7B">
      <w:pPr>
        <w:pBdr>
          <w:top w:val="single" w:sz="4" w:space="4" w:color="auto"/>
          <w:left w:val="single" w:sz="4" w:space="4" w:color="auto"/>
          <w:right w:val="single" w:sz="4" w:space="4" w:color="auto"/>
        </w:pBdr>
        <w:ind w:left="113" w:right="113"/>
        <w:contextualSpacing/>
        <w:rPr>
          <w:b/>
        </w:rPr>
      </w:pPr>
      <w:r w:rsidRPr="00B245B9">
        <w:rPr>
          <w:b/>
        </w:rPr>
        <w:t xml:space="preserve">Riksdagsledamöternas ekonomiska villkor </w:t>
      </w:r>
    </w:p>
    <w:p w:rsidR="00594C7B" w:rsidRPr="00B245B9" w:rsidRDefault="00594C7B" w:rsidP="00594C7B">
      <w:pPr>
        <w:keepLines/>
        <w:pBdr>
          <w:top w:val="single" w:sz="4" w:space="4" w:color="auto"/>
          <w:left w:val="single" w:sz="4" w:space="4" w:color="auto"/>
          <w:right w:val="single" w:sz="4" w:space="4" w:color="auto"/>
        </w:pBdr>
        <w:spacing w:before="0"/>
        <w:ind w:left="113" w:right="113"/>
        <w:contextualSpacing/>
      </w:pPr>
      <w:r w:rsidRPr="00B245B9">
        <w:t xml:space="preserve">Ledamöterna </w:t>
      </w:r>
      <w:r w:rsidR="00C33705" w:rsidRPr="00B245B9">
        <w:t>har</w:t>
      </w:r>
      <w:r w:rsidRPr="00B245B9">
        <w:t xml:space="preserve"> ett grundarvode för sitt förtroendeuppdrag som </w:t>
      </w:r>
      <w:r w:rsidR="0077025E" w:rsidRPr="00B245B9">
        <w:t>från och med</w:t>
      </w:r>
      <w:r w:rsidR="00B245B9" w:rsidRPr="00B245B9">
        <w:t xml:space="preserve"> den 1 november 2016 är 63 8</w:t>
      </w:r>
      <w:r w:rsidRPr="00B245B9">
        <w:t xml:space="preserve">00 kronor i månaden. De kan dessutom få tilläggsarvoden för särskilda uppdrag, till exempel </w:t>
      </w:r>
      <w:r w:rsidR="0077025E" w:rsidRPr="00B245B9">
        <w:t xml:space="preserve">som ordförande eller vice ordförande i utskotten, som ledamot </w:t>
      </w:r>
      <w:r w:rsidRPr="00B245B9">
        <w:t>i riksdagss</w:t>
      </w:r>
      <w:r w:rsidR="0077025E" w:rsidRPr="00B245B9">
        <w:t>tyrelsen</w:t>
      </w:r>
      <w:r w:rsidR="004E4544" w:rsidRPr="00B245B9">
        <w:t xml:space="preserve">, </w:t>
      </w:r>
      <w:r w:rsidR="0077025E" w:rsidRPr="00B245B9">
        <w:t>i ledamotsrådet eller i utredningar</w:t>
      </w:r>
      <w:r w:rsidRPr="00B245B9">
        <w:t xml:space="preserve">. Alla ersättningar är skattepliktiga.  </w:t>
      </w:r>
    </w:p>
    <w:p w:rsidR="00594C7B" w:rsidRPr="00AF0056"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AF0056">
        <w:t>De resor som ledamöterna gör inom ramen för sitt riksdagsuppdrag betraktas som tjä</w:t>
      </w:r>
      <w:r w:rsidR="00032C5A" w:rsidRPr="00AF0056">
        <w:t>nsteresor. Ledamöterna beslutar</w:t>
      </w:r>
      <w:r w:rsidRPr="00AF0056">
        <w:t xml:space="preserve"> själva vilka tjänsteresor de ska göra inom Sverige och vilket färdsätt som är lämpligast med hänsyn till kostnader, tid och miljö. De har rätt till traktamente enligt bestämmelserna i lagen (1994:1065) om ekonomiska villkor för riksdagens ledamöter.</w:t>
      </w:r>
    </w:p>
    <w:p w:rsidR="00594C7B" w:rsidRPr="006B52E9"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6B52E9">
        <w:t>En ledamot som bor mer än 50 kilometer</w:t>
      </w:r>
      <w:r w:rsidR="00917D1B" w:rsidRPr="006B52E9">
        <w:t xml:space="preserve"> (närmaste färdväg)</w:t>
      </w:r>
      <w:r w:rsidRPr="006B52E9">
        <w:t xml:space="preserve"> från Riksdagshuset har rätt till en övernattningsbostad i Riksdagsförvaltningens bostadsbestånd i Stockholm eller till ersättning för en privat övernattningsbostad inom 50 kilometer från Riksdagshuset.</w:t>
      </w:r>
    </w:p>
    <w:p w:rsidR="00594C7B" w:rsidRPr="003206BA"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3206BA">
        <w:t xml:space="preserve">Sedan den 1 maj 2014 finns det två system för avgångsförmåner för ledamöter som </w:t>
      </w:r>
      <w:r w:rsidR="00711178" w:rsidRPr="003206BA">
        <w:t xml:space="preserve">slutar sitt uppdrag och </w:t>
      </w:r>
      <w:r w:rsidRPr="003206BA">
        <w:t>ännu inte fyllt 65 år</w:t>
      </w:r>
      <w:r w:rsidR="00F65607">
        <w:t>,</w:t>
      </w:r>
      <w:r w:rsidR="00E574C6" w:rsidRPr="003206BA">
        <w:t xml:space="preserve"> nämligen</w:t>
      </w:r>
      <w:r w:rsidR="00711178" w:rsidRPr="003206BA">
        <w:t xml:space="preserve"> </w:t>
      </w:r>
      <w:r w:rsidRPr="003206BA">
        <w:t xml:space="preserve">inkomstgaranti </w:t>
      </w:r>
      <w:r w:rsidR="00051C5A" w:rsidRPr="003206BA">
        <w:t>och</w:t>
      </w:r>
      <w:r w:rsidRPr="003206BA">
        <w:t xml:space="preserve"> ekonomiskt omställningsstöd. Båda systemen innebär att riksdagen garanterar en</w:t>
      </w:r>
      <w:r w:rsidR="00843454" w:rsidRPr="003206BA">
        <w:t xml:space="preserve"> före detta ledamot </w:t>
      </w:r>
      <w:r w:rsidR="002A38E0" w:rsidRPr="003206BA">
        <w:t xml:space="preserve">en viss månatlig inkomstnivå i syfte </w:t>
      </w:r>
      <w:r w:rsidRPr="003206BA">
        <w:t>att skapa en ekonomisk trygghet i den omställningssituation som uppstår när ledamoten lämnar riksdagen. Systemen är inte avsedda som en var</w:t>
      </w:r>
      <w:r w:rsidR="002A38E0" w:rsidRPr="003206BA">
        <w:t>aktig försörjning. Andra inkomster</w:t>
      </w:r>
      <w:r w:rsidR="00E574C6" w:rsidRPr="003206BA">
        <w:t xml:space="preserve"> </w:t>
      </w:r>
      <w:r w:rsidR="003206BA" w:rsidRPr="003206BA">
        <w:t>reducerar</w:t>
      </w:r>
      <w:r w:rsidR="00E574C6" w:rsidRPr="003206BA">
        <w:t xml:space="preserve"> avgångsförmånen</w:t>
      </w:r>
      <w:r w:rsidRPr="003206BA">
        <w:t xml:space="preserve"> enligt särskilda </w:t>
      </w:r>
      <w:r w:rsidR="002A38E0" w:rsidRPr="003206BA">
        <w:t>samordnings</w:t>
      </w:r>
      <w:r w:rsidRPr="003206BA">
        <w:t>regler.</w:t>
      </w:r>
    </w:p>
    <w:p w:rsidR="00594C7B" w:rsidRPr="00C102DD" w:rsidRDefault="00594C7B" w:rsidP="00594C7B">
      <w:pPr>
        <w:keepLines/>
        <w:pBdr>
          <w:top w:val="single" w:sz="4" w:space="4" w:color="auto"/>
          <w:left w:val="single" w:sz="4" w:space="4" w:color="auto"/>
          <w:right w:val="single" w:sz="4" w:space="4" w:color="auto"/>
        </w:pBdr>
        <w:spacing w:before="0"/>
        <w:ind w:left="113" w:right="113" w:firstLine="227"/>
        <w:contextualSpacing/>
      </w:pPr>
      <w:r w:rsidRPr="00C102DD">
        <w:t>Ink</w:t>
      </w:r>
      <w:r w:rsidR="00C102DD" w:rsidRPr="00C102DD">
        <w:t>omstgaranti</w:t>
      </w:r>
      <w:r w:rsidRPr="00C102DD">
        <w:t xml:space="preserve"> gäller </w:t>
      </w:r>
      <w:r w:rsidR="00E8647A" w:rsidRPr="00C102DD">
        <w:t xml:space="preserve">för </w:t>
      </w:r>
      <w:r w:rsidRPr="00C102DD">
        <w:t>de ledamöter som valts in i riksdagen före valet 2014. För att vara berättigad till inkomstgaranti krävs att en ledamot haft minst tre års sammanhängande tjänstgöring. Ekonomiskt oms</w:t>
      </w:r>
      <w:r w:rsidR="00C102DD" w:rsidRPr="00C102DD">
        <w:t>tällningsstöd</w:t>
      </w:r>
      <w:r w:rsidRPr="00C102DD">
        <w:t xml:space="preserve"> gäller dem som valdes in i ri</w:t>
      </w:r>
      <w:r w:rsidR="00F64042" w:rsidRPr="00C102DD">
        <w:t xml:space="preserve">ksdagen för första gången i </w:t>
      </w:r>
      <w:r w:rsidRPr="00C102DD">
        <w:t>valet 2014 eller senare. För att vara berättigad till</w:t>
      </w:r>
      <w:r w:rsidR="000C12EF" w:rsidRPr="00C102DD">
        <w:t xml:space="preserve"> </w:t>
      </w:r>
      <w:r w:rsidR="002679C4" w:rsidRPr="00C102DD">
        <w:t>ekonomiskt</w:t>
      </w:r>
      <w:r w:rsidRPr="00C102DD">
        <w:t xml:space="preserve"> omställningsstöd krävs att en ledamot haft minst ett års sammanhängande tjänstgöring. Skillnaderna mellan systemen är bland annat att ersättning inte betalas ut under lika lång tid </w:t>
      </w:r>
      <w:r w:rsidR="002679C4" w:rsidRPr="00C102DD">
        <w:t>i det nya</w:t>
      </w:r>
      <w:r w:rsidRPr="00C102DD">
        <w:t xml:space="preserve"> systemet.</w:t>
      </w:r>
    </w:p>
    <w:p w:rsidR="00594C7B" w:rsidRPr="00C14265" w:rsidRDefault="00594C7B" w:rsidP="00594C7B">
      <w:pPr>
        <w:keepLines/>
        <w:pBdr>
          <w:left w:val="single" w:sz="4" w:space="4" w:color="auto"/>
          <w:right w:val="single" w:sz="4" w:space="4" w:color="auto"/>
        </w:pBdr>
        <w:spacing w:before="0"/>
        <w:ind w:left="113" w:right="113" w:firstLine="227"/>
        <w:contextualSpacing/>
      </w:pPr>
      <w:r w:rsidRPr="00C14265">
        <w:t xml:space="preserve">Båda systemen ger </w:t>
      </w:r>
      <w:r w:rsidR="004E5B25" w:rsidRPr="00C14265">
        <w:t xml:space="preserve">även </w:t>
      </w:r>
      <w:r w:rsidRPr="00C14265">
        <w:t>rätt till stödåtgärder</w:t>
      </w:r>
      <w:r w:rsidR="004E5B25" w:rsidRPr="00C14265">
        <w:t xml:space="preserve"> för att kunna övergå till förvärvs</w:t>
      </w:r>
      <w:r w:rsidRPr="00C14265">
        <w:t>verksamhet</w:t>
      </w:r>
      <w:r w:rsidR="004E5B25" w:rsidRPr="00C14265">
        <w:t xml:space="preserve"> (se nedan)</w:t>
      </w:r>
      <w:r w:rsidRPr="00C14265">
        <w:t>. Det</w:t>
      </w:r>
      <w:r w:rsidR="00220727">
        <w:t>ta stöd kan bestå av rådgivning</w:t>
      </w:r>
      <w:r w:rsidR="004E5B25" w:rsidRPr="00C14265">
        <w:t xml:space="preserve"> </w:t>
      </w:r>
      <w:r w:rsidR="00220727">
        <w:t>och kompetensutveckling</w:t>
      </w:r>
      <w:r w:rsidR="004E5B25" w:rsidRPr="00C14265">
        <w:t xml:space="preserve">. </w:t>
      </w:r>
    </w:p>
    <w:p w:rsidR="00594C7B" w:rsidRPr="007E0645" w:rsidRDefault="00594C7B" w:rsidP="00594C7B">
      <w:pPr>
        <w:keepLines/>
        <w:pBdr>
          <w:left w:val="single" w:sz="4" w:space="4" w:color="auto"/>
          <w:right w:val="single" w:sz="4" w:space="4" w:color="auto"/>
        </w:pBdr>
        <w:spacing w:before="0"/>
        <w:ind w:left="113" w:right="113" w:firstLine="227"/>
        <w:contextualSpacing/>
      </w:pPr>
      <w:r w:rsidRPr="007E0645">
        <w:t xml:space="preserve">Ledamöter som </w:t>
      </w:r>
      <w:r w:rsidR="0093757C" w:rsidRPr="007E0645">
        <w:t xml:space="preserve">vid avgången </w:t>
      </w:r>
      <w:r w:rsidRPr="007E0645">
        <w:t xml:space="preserve">har fyllt 65 år omfattas av bestämmelser för ålderspension från riksdagen. </w:t>
      </w:r>
      <w:r w:rsidR="0093757C" w:rsidRPr="007E0645">
        <w:t>P</w:t>
      </w:r>
      <w:r w:rsidRPr="007E0645">
        <w:t xml:space="preserve">ensionen </w:t>
      </w:r>
      <w:r w:rsidR="0093757C" w:rsidRPr="007E0645">
        <w:t>från riksdagen är ett komplement till den allmänna pensionen</w:t>
      </w:r>
      <w:r w:rsidRPr="007E0645">
        <w:t>.</w:t>
      </w:r>
    </w:p>
    <w:p w:rsidR="00594C7B" w:rsidRPr="00D716EE" w:rsidRDefault="00594C7B" w:rsidP="00594C7B">
      <w:pPr>
        <w:keepLines/>
        <w:pBdr>
          <w:left w:val="single" w:sz="4" w:space="4" w:color="auto"/>
          <w:bottom w:val="single" w:sz="4" w:space="4" w:color="auto"/>
          <w:right w:val="single" w:sz="4" w:space="4" w:color="auto"/>
        </w:pBdr>
        <w:spacing w:before="0"/>
        <w:ind w:left="113" w:right="113" w:firstLine="227"/>
        <w:contextualSpacing/>
        <w:rPr>
          <w:rFonts w:eastAsiaTheme="majorEastAsia" w:cstheme="majorBidi"/>
          <w:bCs/>
          <w:iCs/>
          <w:color w:val="000000" w:themeColor="text1"/>
        </w:rPr>
      </w:pPr>
      <w:r w:rsidRPr="00190954">
        <w:lastRenderedPageBreak/>
        <w:t xml:space="preserve">Riksdagsstyrelsen beslutade i september 2012 om en översyn av riksdagsledamöternas ekonomiska villkor. I december 2014 </w:t>
      </w:r>
      <w:r w:rsidR="00DE481D" w:rsidRPr="00190954">
        <w:t>överlämnade</w:t>
      </w:r>
      <w:r w:rsidRPr="00190954">
        <w:t xml:space="preserve"> riksdagsstyrelsen </w:t>
      </w:r>
      <w:r w:rsidR="00DE481D" w:rsidRPr="00190954">
        <w:t>en framställning med förslag till bland annat en ny lag om ersättning till riksdagens ledamöter</w:t>
      </w:r>
      <w:r w:rsidRPr="00190954">
        <w:t>.</w:t>
      </w:r>
      <w:r w:rsidRPr="00190954">
        <w:rPr>
          <w:vertAlign w:val="superscript"/>
        </w:rPr>
        <w:footnoteReference w:id="24"/>
      </w:r>
      <w:r w:rsidRPr="00190954">
        <w:t xml:space="preserve"> </w:t>
      </w:r>
      <w:r w:rsidR="00DE481D" w:rsidRPr="00190954">
        <w:t>Förslagen remitterades till</w:t>
      </w:r>
      <w:r w:rsidRPr="00190954">
        <w:t xml:space="preserve"> </w:t>
      </w:r>
      <w:r w:rsidRPr="00D94266">
        <w:t>kons</w:t>
      </w:r>
      <w:r w:rsidR="00DE481D" w:rsidRPr="00D94266">
        <w:t>titut</w:t>
      </w:r>
      <w:r w:rsidR="00DE481D" w:rsidRPr="00190954">
        <w:t>ionsutskottet som inhämtade Lagrådets yttrande</w:t>
      </w:r>
      <w:r w:rsidRPr="00190954">
        <w:t>.</w:t>
      </w:r>
      <w:r w:rsidR="00DE481D" w:rsidRPr="00190954">
        <w:t xml:space="preserve"> Mot bakgrund av Lagrådets synpunkter bedömde riksdagsstyrelsen att förslagen borde beredas ytterligare inom Riksdagsförvaltningen. Den 16 december 2015 beslutade riksdagsstyrelsen om remiss av ett omarbetat förslag till ny lagstiftning om riksdagsledamöternas ersättning.</w:t>
      </w:r>
      <w:r w:rsidR="00DE481D" w:rsidRPr="00190954">
        <w:rPr>
          <w:rStyle w:val="Fotnotsreferens"/>
        </w:rPr>
        <w:footnoteReference w:id="25"/>
      </w:r>
      <w:r w:rsidR="0079173B" w:rsidRPr="00190954">
        <w:t xml:space="preserve"> I juni 2016 överlämnade riksdagsstyrelsen en ny framställning med förslag till ny ersättningslag.</w:t>
      </w:r>
      <w:r w:rsidR="00D716EE" w:rsidRPr="00190954">
        <w:rPr>
          <w:rStyle w:val="Fotnotsreferens"/>
        </w:rPr>
        <w:footnoteReference w:id="26"/>
      </w:r>
      <w:r w:rsidR="00D716EE" w:rsidRPr="00190954">
        <w:t xml:space="preserve"> </w:t>
      </w:r>
      <w:r w:rsidR="00D716EE" w:rsidRPr="00190954">
        <w:rPr>
          <w:rFonts w:eastAsiaTheme="majorEastAsia" w:cstheme="majorBidi"/>
          <w:bCs/>
          <w:iCs/>
          <w:color w:val="000000" w:themeColor="text1"/>
        </w:rPr>
        <w:t>Förslagen remitterades till konstitutionsutskottet som sa ja till riksdagsstyrelsens förslag.</w:t>
      </w:r>
      <w:r w:rsidR="00D716EE" w:rsidRPr="00190954">
        <w:rPr>
          <w:rStyle w:val="Fotnotsreferens"/>
          <w:rFonts w:eastAsiaTheme="majorEastAsia" w:cstheme="majorBidi"/>
          <w:bCs/>
          <w:iCs/>
          <w:color w:val="000000" w:themeColor="text1"/>
        </w:rPr>
        <w:footnoteReference w:id="27"/>
      </w:r>
      <w:r w:rsidR="00D716EE" w:rsidRPr="00190954">
        <w:rPr>
          <w:rFonts w:eastAsiaTheme="majorEastAsia" w:cstheme="majorBidi"/>
          <w:bCs/>
          <w:iCs/>
          <w:color w:val="000000" w:themeColor="text1"/>
        </w:rPr>
        <w:t xml:space="preserve"> Beslut om en ny ersättningslag fattades av kammaren den 16 november 2016. Lagen träder i kraft den 1 januari 2017.</w:t>
      </w:r>
    </w:p>
    <w:p w:rsidR="00594C7B" w:rsidRPr="00594C7B" w:rsidRDefault="00594C7B" w:rsidP="00DA64DA">
      <w:pPr>
        <w:pStyle w:val="Rubrik4"/>
      </w:pPr>
      <w:r w:rsidRPr="00594C7B">
        <w:t>Omställningsstöd för övergång till yrkesverksamhet</w:t>
      </w:r>
    </w:p>
    <w:p w:rsidR="00594C7B" w:rsidRPr="00507C70" w:rsidRDefault="00594C7B" w:rsidP="0045745B">
      <w:r w:rsidRPr="00507C70">
        <w:t xml:space="preserve">Omställningsstödet motsvarar det stöd som erbjuds genom trygghetsavtalen på arbetsmarknaden, till exempel via Trygghetsstiftelsen och Trygghetsrådet. Riksdagsförvaltningen ansvarar för att tillhandahålla detta stöd och har upphandlat dessa tjänster. Som framgår ovan kan stödet bestå av både rådgivningsinsatser, till exempel kompetenskartläggning och individuell behovsanalys, och kompletterande utbildning. Utbildningsinsatserna ska godkännas av Riksdagsförvaltningen. Rätten till stödet infördes den 1 maj 2014. </w:t>
      </w:r>
      <w:r w:rsidR="00904104" w:rsidRPr="00507C70">
        <w:t xml:space="preserve">Sedan dess </w:t>
      </w:r>
      <w:r w:rsidR="00ED1481">
        <w:t xml:space="preserve">har </w:t>
      </w:r>
      <w:r w:rsidR="004E5BD3">
        <w:t xml:space="preserve">möjligheten att få </w:t>
      </w:r>
      <w:r w:rsidR="00E21047">
        <w:t xml:space="preserve">rådgivning utnyttjats </w:t>
      </w:r>
      <w:r w:rsidR="00ED1481">
        <w:t>28</w:t>
      </w:r>
      <w:r w:rsidR="00E21047">
        <w:t xml:space="preserve"> gånger</w:t>
      </w:r>
      <w:r w:rsidR="00FF02D4" w:rsidRPr="00507C70">
        <w:t xml:space="preserve"> </w:t>
      </w:r>
      <w:r w:rsidR="00E21047">
        <w:t>och möjligheten till utbildning utnyttjats 12 gånger.</w:t>
      </w:r>
    </w:p>
    <w:p w:rsidR="00594C7B" w:rsidRPr="00594C7B" w:rsidRDefault="00594C7B" w:rsidP="00DA64DA">
      <w:pPr>
        <w:pStyle w:val="Rubrik4"/>
      </w:pPr>
      <w:r w:rsidRPr="00594C7B">
        <w:t>Stöd till partigrupper</w:t>
      </w:r>
    </w:p>
    <w:p w:rsidR="00594C7B" w:rsidRPr="002C7A9B" w:rsidRDefault="00594C7B" w:rsidP="00A375F3">
      <w:pPr>
        <w:spacing w:after="240"/>
        <w:rPr>
          <w:u w:val="single"/>
        </w:rPr>
      </w:pPr>
      <w:r w:rsidRPr="0029035C">
        <w:t>Riksdagspartierna får bidrag till partigruppernas och ledamöternas arbete i riksdagen genom Riksdagsförvaltningens anslag.</w:t>
      </w:r>
      <w:r w:rsidRPr="0029035C">
        <w:rPr>
          <w:vertAlign w:val="superscript"/>
        </w:rPr>
        <w:footnoteReference w:id="28"/>
      </w:r>
      <w:r w:rsidRPr="0029035C">
        <w:t xml:space="preserve"> Bidragen delas ut i form av basstöd, stöd till ledamöternas politiska sekreterare och stöd till ledamöternas resor utomlands.</w:t>
      </w:r>
    </w:p>
    <w:p w:rsidR="00594C7B" w:rsidRPr="002B37BB" w:rsidRDefault="00594C7B" w:rsidP="00594C7B">
      <w:pPr>
        <w:keepLines/>
        <w:pBdr>
          <w:top w:val="single" w:sz="4" w:space="4" w:color="auto"/>
          <w:left w:val="single" w:sz="4" w:space="4" w:color="auto"/>
          <w:right w:val="single" w:sz="4" w:space="4" w:color="auto"/>
        </w:pBdr>
        <w:ind w:left="113" w:right="113"/>
        <w:contextualSpacing/>
        <w:rPr>
          <w:b/>
        </w:rPr>
      </w:pPr>
      <w:r w:rsidRPr="002B37BB">
        <w:rPr>
          <w:b/>
        </w:rPr>
        <w:t>Stödet till partigrupperna i riksdagen</w:t>
      </w:r>
    </w:p>
    <w:p w:rsidR="00594C7B" w:rsidRPr="00430963" w:rsidRDefault="00594C7B" w:rsidP="00594C7B">
      <w:pPr>
        <w:keepLines/>
        <w:pBdr>
          <w:top w:val="single" w:sz="4" w:space="4" w:color="auto"/>
          <w:left w:val="single" w:sz="4" w:space="4" w:color="auto"/>
          <w:right w:val="single" w:sz="4" w:space="4" w:color="auto"/>
        </w:pBdr>
        <w:ind w:left="113" w:right="113"/>
        <w:contextualSpacing/>
      </w:pPr>
      <w:r w:rsidRPr="00430963">
        <w:t xml:space="preserve">Basstödet består dels av ett grundbelopp, dels av ett tilläggsbelopp beroende av antalet riksdagsledamöter. Grundbeloppet är 1,7 miljoner kronor per år. En partigrupp som företräder regeringen har rätt till ett grundbelopp. Övriga partigrupper har rätt till två grundbelopp. Tilläggsbeloppet är 57 000 kronor per ledamot och år. </w:t>
      </w:r>
    </w:p>
    <w:p w:rsidR="00594C7B" w:rsidRPr="00AA0C67" w:rsidRDefault="00604F4E" w:rsidP="00594C7B">
      <w:pPr>
        <w:keepLines/>
        <w:pBdr>
          <w:left w:val="single" w:sz="4" w:space="4" w:color="auto"/>
          <w:right w:val="single" w:sz="4" w:space="4" w:color="auto"/>
        </w:pBdr>
        <w:spacing w:before="0"/>
        <w:ind w:left="113" w:right="113" w:firstLine="227"/>
        <w:contextualSpacing/>
      </w:pPr>
      <w:r>
        <w:lastRenderedPageBreak/>
        <w:t>Det</w:t>
      </w:r>
      <w:r w:rsidR="00B4074F" w:rsidRPr="00AA0C67">
        <w:t xml:space="preserve"> finns </w:t>
      </w:r>
      <w:r>
        <w:t xml:space="preserve">dessutom </w:t>
      </w:r>
      <w:r w:rsidR="00B4074F" w:rsidRPr="00AA0C67">
        <w:t xml:space="preserve">ett stöd </w:t>
      </w:r>
      <w:r w:rsidR="00594C7B" w:rsidRPr="00AA0C67">
        <w:t>till politiska sekreterare</w:t>
      </w:r>
      <w:r w:rsidR="00B4074F" w:rsidRPr="00AA0C67">
        <w:t>. Stödet</w:t>
      </w:r>
      <w:r w:rsidR="00594C7B" w:rsidRPr="00AA0C67">
        <w:t xml:space="preserve"> ska bekosta handläggarhjälp åt ledamöterna. De politiska sekreterarna samlar in information, utformar förslag till politiska texter, sköter kontakter med medierna, svarar på e-post och fungerar som rådgivare åt ledamöterna. Partierna beslutar själva hur stödet ska användas. Stödet ska motsvara kostnaderna för en politisk sekreterare per ledamot. Beloppet 5</w:t>
      </w:r>
      <w:r w:rsidR="00AA0C67" w:rsidRPr="00AA0C67">
        <w:t>9 3</w:t>
      </w:r>
      <w:r w:rsidR="00594C7B" w:rsidRPr="00AA0C67">
        <w:t xml:space="preserve">00 kronor per politisk sekreterare och månad ligger till grund för beräkningen. </w:t>
      </w:r>
    </w:p>
    <w:p w:rsidR="00880553" w:rsidRPr="00D22C63" w:rsidRDefault="00594C7B" w:rsidP="00C467D8">
      <w:pPr>
        <w:keepLines/>
        <w:pBdr>
          <w:left w:val="single" w:sz="4" w:space="4" w:color="auto"/>
          <w:bottom w:val="single" w:sz="4" w:space="4" w:color="auto"/>
          <w:right w:val="single" w:sz="4" w:space="4" w:color="auto"/>
        </w:pBdr>
        <w:spacing w:before="0"/>
        <w:ind w:left="113" w:right="113" w:firstLine="227"/>
        <w:contextualSpacing/>
      </w:pPr>
      <w:r w:rsidRPr="00D22C63">
        <w:t>Stödet till resor utomlands ges till ledamöter för att till exempel delta i internationella konferenser. Bidraget är 5 000 kronor per</w:t>
      </w:r>
      <w:r w:rsidR="00370F8A" w:rsidRPr="00D22C63">
        <w:t xml:space="preserve"> år och</w:t>
      </w:r>
      <w:r w:rsidRPr="00D22C63">
        <w:t xml:space="preserve"> ledamot för de första 20 riksdagsplatserna</w:t>
      </w:r>
      <w:r w:rsidRPr="00D22C63">
        <w:rPr>
          <w:sz w:val="21"/>
        </w:rPr>
        <w:t xml:space="preserve"> </w:t>
      </w:r>
      <w:r w:rsidRPr="00D22C63">
        <w:t>och 2 500 kronor för riksdagsplatser utöver dessa. En ledamot kan dessutom få 2 500 kronor per år för resor som har koppling till samarbetet inom EU.</w:t>
      </w:r>
    </w:p>
    <w:p w:rsidR="006153C9" w:rsidRDefault="006153C9" w:rsidP="00776449">
      <w:pPr>
        <w:spacing w:before="0" w:after="120" w:line="276" w:lineRule="auto"/>
        <w:jc w:val="left"/>
        <w:rPr>
          <w:rFonts w:eastAsiaTheme="majorEastAsia" w:cstheme="majorBidi"/>
          <w:b/>
        </w:rPr>
      </w:pPr>
    </w:p>
    <w:p w:rsidR="00594C7B" w:rsidRDefault="00594C7B" w:rsidP="005B0E21">
      <w:pPr>
        <w:spacing w:before="0" w:after="60" w:line="276" w:lineRule="auto"/>
        <w:jc w:val="left"/>
        <w:rPr>
          <w:rFonts w:eastAsiaTheme="majorEastAsia" w:cstheme="majorBidi"/>
          <w:b/>
        </w:rPr>
      </w:pPr>
      <w:r w:rsidRPr="00594C7B">
        <w:rPr>
          <w:rFonts w:eastAsiaTheme="majorEastAsia" w:cstheme="majorBidi"/>
          <w:b/>
        </w:rPr>
        <w:t>Tabell 1</w:t>
      </w:r>
      <w:r w:rsidR="00F52B51">
        <w:rPr>
          <w:rFonts w:eastAsiaTheme="majorEastAsia" w:cstheme="majorBidi"/>
          <w:b/>
        </w:rPr>
        <w:t>4</w:t>
      </w:r>
      <w:r w:rsidRPr="00594C7B">
        <w:rPr>
          <w:rFonts w:eastAsiaTheme="majorEastAsia" w:cstheme="majorBidi"/>
          <w:b/>
        </w:rPr>
        <w:t xml:space="preserve"> Stödet till partigrupperna (tkr)</w:t>
      </w:r>
    </w:p>
    <w:tbl>
      <w:tblPr>
        <w:tblStyle w:val="Tabellrutnt1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33"/>
        <w:gridCol w:w="833"/>
        <w:gridCol w:w="833"/>
        <w:gridCol w:w="833"/>
        <w:gridCol w:w="833"/>
      </w:tblGrid>
      <w:tr w:rsidR="00DA64DA" w:rsidRPr="00DA64DA" w:rsidTr="00284485">
        <w:trPr>
          <w:tblHeader/>
        </w:trPr>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DA64DA">
              <w:rPr>
                <w:rFonts w:eastAsia="Times New Roman"/>
                <w:b/>
                <w:sz w:val="16"/>
                <w:szCs w:val="16"/>
                <w:lang w:eastAsia="sv-SE"/>
              </w:rPr>
              <w:t>Parti</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Grundbelopp</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Tilläggsbelopp</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Stöd till politiska sekreterare</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EU-</w:t>
            </w:r>
            <w:r w:rsidRPr="00DA64DA">
              <w:rPr>
                <w:rFonts w:eastAsia="Times New Roman"/>
                <w:b/>
                <w:sz w:val="16"/>
                <w:szCs w:val="16"/>
                <w:lang w:eastAsia="sv-SE"/>
              </w:rPr>
              <w:br/>
              <w:t>resor</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Rese-</w:t>
            </w:r>
            <w:r w:rsidRPr="00DA64DA">
              <w:rPr>
                <w:rFonts w:eastAsia="Times New Roman"/>
                <w:b/>
                <w:sz w:val="16"/>
                <w:szCs w:val="16"/>
                <w:lang w:eastAsia="sv-SE"/>
              </w:rPr>
              <w:br/>
              <w:t>bidrag</w:t>
            </w:r>
          </w:p>
        </w:tc>
        <w:tc>
          <w:tcPr>
            <w:tcW w:w="833" w:type="dxa"/>
            <w:tcBorders>
              <w:top w:val="single" w:sz="4" w:space="0" w:color="auto"/>
              <w:bottom w:val="single" w:sz="4" w:space="0" w:color="auto"/>
            </w:tcBorders>
          </w:tcPr>
          <w:p w:rsidR="00DA64DA" w:rsidRPr="00DA64DA" w:rsidRDefault="00DA64DA" w:rsidP="00DA64DA">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DA64DA">
              <w:rPr>
                <w:rFonts w:eastAsia="Times New Roman"/>
                <w:b/>
                <w:sz w:val="16"/>
                <w:szCs w:val="16"/>
                <w:lang w:eastAsia="sv-SE"/>
              </w:rPr>
              <w:t>Totalt</w:t>
            </w:r>
          </w:p>
        </w:tc>
      </w:tr>
      <w:tr w:rsidR="00DA64DA" w:rsidRPr="00DA64DA" w:rsidTr="00284485">
        <w:tc>
          <w:tcPr>
            <w:tcW w:w="833" w:type="dxa"/>
            <w:tcBorders>
              <w:top w:val="single" w:sz="4" w:space="0" w:color="auto"/>
            </w:tcBorders>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S</w:t>
            </w:r>
          </w:p>
        </w:tc>
        <w:tc>
          <w:tcPr>
            <w:tcW w:w="833" w:type="dxa"/>
            <w:tcBorders>
              <w:top w:val="single" w:sz="4" w:space="0" w:color="auto"/>
            </w:tcBorders>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1 </w:t>
            </w:r>
            <w:r w:rsidR="004311E3" w:rsidRPr="001D23EF">
              <w:rPr>
                <w:rFonts w:eastAsia="Times New Roman"/>
                <w:sz w:val="16"/>
                <w:szCs w:val="24"/>
                <w:lang w:eastAsia="sv-SE"/>
              </w:rPr>
              <w:t>700</w:t>
            </w:r>
          </w:p>
        </w:tc>
        <w:tc>
          <w:tcPr>
            <w:tcW w:w="833" w:type="dxa"/>
            <w:tcBorders>
              <w:top w:val="single" w:sz="4" w:space="0" w:color="auto"/>
            </w:tcBorders>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6 </w:t>
            </w:r>
            <w:r w:rsidR="004311E3" w:rsidRPr="001D23EF">
              <w:rPr>
                <w:rFonts w:eastAsia="Times New Roman"/>
                <w:sz w:val="16"/>
                <w:szCs w:val="24"/>
                <w:lang w:eastAsia="sv-SE"/>
              </w:rPr>
              <w:t>441</w:t>
            </w:r>
          </w:p>
        </w:tc>
        <w:tc>
          <w:tcPr>
            <w:tcW w:w="833" w:type="dxa"/>
            <w:tcBorders>
              <w:top w:val="single" w:sz="4" w:space="0" w:color="auto"/>
            </w:tcBorders>
          </w:tcPr>
          <w:p w:rsidR="00DA64DA" w:rsidRPr="00320E3E" w:rsidRDefault="00805C9F" w:rsidP="00DA64DA">
            <w:pPr>
              <w:spacing w:before="60" w:line="200" w:lineRule="exact"/>
              <w:jc w:val="right"/>
              <w:rPr>
                <w:rFonts w:eastAsia="Times New Roman"/>
                <w:sz w:val="16"/>
                <w:szCs w:val="24"/>
                <w:lang w:eastAsia="sv-SE"/>
              </w:rPr>
            </w:pPr>
            <w:r w:rsidRPr="00320E3E">
              <w:rPr>
                <w:rFonts w:eastAsia="Times New Roman"/>
                <w:sz w:val="16"/>
                <w:szCs w:val="24"/>
                <w:lang w:eastAsia="sv-SE"/>
              </w:rPr>
              <w:t>80</w:t>
            </w:r>
            <w:r w:rsidR="009B52B0" w:rsidRPr="00320E3E">
              <w:rPr>
                <w:rFonts w:eastAsia="Times New Roman"/>
                <w:sz w:val="16"/>
                <w:szCs w:val="24"/>
                <w:lang w:eastAsia="sv-SE"/>
              </w:rPr>
              <w:t> </w:t>
            </w:r>
            <w:r w:rsidRPr="00320E3E">
              <w:rPr>
                <w:rFonts w:eastAsia="Times New Roman"/>
                <w:sz w:val="16"/>
                <w:szCs w:val="24"/>
                <w:lang w:eastAsia="sv-SE"/>
              </w:rPr>
              <w:t>4</w:t>
            </w:r>
            <w:r w:rsidR="004311E3" w:rsidRPr="00320E3E">
              <w:rPr>
                <w:rFonts w:eastAsia="Times New Roman"/>
                <w:sz w:val="16"/>
                <w:szCs w:val="24"/>
                <w:lang w:eastAsia="sv-SE"/>
              </w:rPr>
              <w:t>1</w:t>
            </w:r>
            <w:r w:rsidRPr="00320E3E">
              <w:rPr>
                <w:rFonts w:eastAsia="Times New Roman"/>
                <w:sz w:val="16"/>
                <w:szCs w:val="24"/>
                <w:lang w:eastAsia="sv-SE"/>
              </w:rPr>
              <w:t>1</w:t>
            </w:r>
          </w:p>
        </w:tc>
        <w:tc>
          <w:tcPr>
            <w:tcW w:w="833" w:type="dxa"/>
            <w:tcBorders>
              <w:top w:val="single" w:sz="4" w:space="0" w:color="auto"/>
            </w:tcBorders>
          </w:tcPr>
          <w:p w:rsidR="00DA64DA" w:rsidRPr="00320E3E" w:rsidRDefault="00DA64DA" w:rsidP="00DA64DA">
            <w:pPr>
              <w:spacing w:before="60" w:line="200" w:lineRule="exact"/>
              <w:jc w:val="right"/>
              <w:rPr>
                <w:rFonts w:eastAsia="Times New Roman"/>
                <w:sz w:val="16"/>
                <w:szCs w:val="24"/>
                <w:lang w:eastAsia="sv-SE"/>
              </w:rPr>
            </w:pPr>
            <w:r w:rsidRPr="00320E3E">
              <w:rPr>
                <w:rFonts w:eastAsia="Times New Roman"/>
                <w:sz w:val="16"/>
                <w:szCs w:val="24"/>
                <w:lang w:eastAsia="sv-SE"/>
              </w:rPr>
              <w:t>28</w:t>
            </w:r>
            <w:r w:rsidR="004311E3" w:rsidRPr="00320E3E">
              <w:rPr>
                <w:rFonts w:eastAsia="Times New Roman"/>
                <w:sz w:val="16"/>
                <w:szCs w:val="24"/>
                <w:lang w:eastAsia="sv-SE"/>
              </w:rPr>
              <w:t>3</w:t>
            </w:r>
          </w:p>
        </w:tc>
        <w:tc>
          <w:tcPr>
            <w:tcW w:w="833" w:type="dxa"/>
            <w:tcBorders>
              <w:top w:val="single" w:sz="4" w:space="0" w:color="auto"/>
            </w:tcBorders>
          </w:tcPr>
          <w:p w:rsidR="00DA64DA" w:rsidRPr="00320E3E" w:rsidRDefault="00DA64DA" w:rsidP="00DA64DA">
            <w:pPr>
              <w:spacing w:before="60" w:line="200" w:lineRule="exact"/>
              <w:jc w:val="right"/>
              <w:rPr>
                <w:rFonts w:eastAsia="Times New Roman"/>
                <w:sz w:val="16"/>
                <w:szCs w:val="24"/>
                <w:lang w:eastAsia="sv-SE"/>
              </w:rPr>
            </w:pPr>
            <w:r w:rsidRPr="00320E3E">
              <w:rPr>
                <w:rFonts w:eastAsia="Times New Roman"/>
                <w:sz w:val="16"/>
                <w:szCs w:val="24"/>
                <w:lang w:eastAsia="sv-SE"/>
              </w:rPr>
              <w:t>33</w:t>
            </w:r>
            <w:r w:rsidR="004311E3" w:rsidRPr="00320E3E">
              <w:rPr>
                <w:rFonts w:eastAsia="Times New Roman"/>
                <w:sz w:val="16"/>
                <w:szCs w:val="24"/>
                <w:lang w:eastAsia="sv-SE"/>
              </w:rPr>
              <w:t>2</w:t>
            </w:r>
          </w:p>
        </w:tc>
        <w:tc>
          <w:tcPr>
            <w:tcW w:w="833" w:type="dxa"/>
            <w:tcBorders>
              <w:top w:val="single" w:sz="4" w:space="0" w:color="auto"/>
            </w:tcBorders>
          </w:tcPr>
          <w:p w:rsidR="00DA64DA" w:rsidRPr="00320E3E" w:rsidRDefault="00805C9F" w:rsidP="00DA64DA">
            <w:pPr>
              <w:spacing w:before="60" w:line="200" w:lineRule="exact"/>
              <w:jc w:val="right"/>
              <w:rPr>
                <w:rFonts w:eastAsia="Times New Roman"/>
                <w:b/>
                <w:sz w:val="16"/>
                <w:szCs w:val="24"/>
                <w:lang w:eastAsia="sv-SE"/>
              </w:rPr>
            </w:pPr>
            <w:r w:rsidRPr="00320E3E">
              <w:rPr>
                <w:rFonts w:eastAsia="Times New Roman"/>
                <w:b/>
                <w:sz w:val="16"/>
                <w:szCs w:val="24"/>
                <w:lang w:eastAsia="sv-SE"/>
              </w:rPr>
              <w:t>89</w:t>
            </w:r>
            <w:r w:rsidR="009B52B0" w:rsidRPr="00320E3E">
              <w:rPr>
                <w:rFonts w:eastAsia="Times New Roman"/>
                <w:b/>
                <w:sz w:val="16"/>
                <w:szCs w:val="24"/>
                <w:lang w:eastAsia="sv-SE"/>
              </w:rPr>
              <w:t> </w:t>
            </w:r>
            <w:r w:rsidRPr="00320E3E">
              <w:rPr>
                <w:rFonts w:eastAsia="Times New Roman"/>
                <w:b/>
                <w:sz w:val="16"/>
                <w:szCs w:val="24"/>
                <w:lang w:eastAsia="sv-SE"/>
              </w:rPr>
              <w:t>1</w:t>
            </w:r>
            <w:r w:rsidR="004311E3" w:rsidRPr="00320E3E">
              <w:rPr>
                <w:rFonts w:eastAsia="Times New Roman"/>
                <w:b/>
                <w:sz w:val="16"/>
                <w:szCs w:val="24"/>
                <w:lang w:eastAsia="sv-SE"/>
              </w:rPr>
              <w:t>6</w:t>
            </w:r>
            <w:r w:rsidRPr="00320E3E">
              <w:rPr>
                <w:rFonts w:eastAsia="Times New Roman"/>
                <w:b/>
                <w:sz w:val="16"/>
                <w:szCs w:val="24"/>
                <w:lang w:eastAsia="sv-SE"/>
              </w:rPr>
              <w:t>7</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M</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3 </w:t>
            </w:r>
            <w:r w:rsidR="00DB47E4" w:rsidRPr="001D23EF">
              <w:rPr>
                <w:rFonts w:eastAsia="Times New Roman"/>
                <w:sz w:val="16"/>
                <w:szCs w:val="24"/>
                <w:lang w:eastAsia="sv-SE"/>
              </w:rPr>
              <w:t>400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4 </w:t>
            </w:r>
            <w:r w:rsidR="00DB47E4" w:rsidRPr="001D23EF">
              <w:rPr>
                <w:rFonts w:eastAsia="Times New Roman"/>
                <w:sz w:val="16"/>
                <w:szCs w:val="24"/>
                <w:lang w:eastAsia="sv-SE"/>
              </w:rPr>
              <w:t>788</w:t>
            </w:r>
          </w:p>
        </w:tc>
        <w:tc>
          <w:tcPr>
            <w:tcW w:w="833" w:type="dxa"/>
          </w:tcPr>
          <w:p w:rsidR="00DA64DA" w:rsidRPr="00EE6564" w:rsidRDefault="009B52B0" w:rsidP="00DA64DA">
            <w:pPr>
              <w:spacing w:before="60" w:line="200" w:lineRule="exact"/>
              <w:jc w:val="right"/>
              <w:rPr>
                <w:rFonts w:eastAsia="Times New Roman"/>
                <w:sz w:val="16"/>
                <w:szCs w:val="24"/>
                <w:lang w:eastAsia="sv-SE"/>
              </w:rPr>
            </w:pPr>
            <w:r w:rsidRPr="00EE6564">
              <w:rPr>
                <w:rFonts w:eastAsia="Times New Roman"/>
                <w:sz w:val="16"/>
                <w:szCs w:val="24"/>
                <w:lang w:eastAsia="sv-SE"/>
              </w:rPr>
              <w:t>59 </w:t>
            </w:r>
            <w:r w:rsidR="00EE6564" w:rsidRPr="00EE6564">
              <w:rPr>
                <w:rFonts w:eastAsia="Times New Roman"/>
                <w:sz w:val="16"/>
                <w:szCs w:val="24"/>
                <w:lang w:eastAsia="sv-SE"/>
              </w:rPr>
              <w:t>774</w:t>
            </w:r>
          </w:p>
        </w:tc>
        <w:tc>
          <w:tcPr>
            <w:tcW w:w="833" w:type="dxa"/>
          </w:tcPr>
          <w:p w:rsidR="00DA64DA" w:rsidRPr="00EE6564" w:rsidRDefault="00DB47E4" w:rsidP="00DA64DA">
            <w:pPr>
              <w:spacing w:before="60" w:line="200" w:lineRule="exact"/>
              <w:jc w:val="right"/>
              <w:rPr>
                <w:rFonts w:eastAsia="Times New Roman"/>
                <w:sz w:val="16"/>
                <w:szCs w:val="24"/>
                <w:lang w:eastAsia="sv-SE"/>
              </w:rPr>
            </w:pPr>
            <w:r w:rsidRPr="00EE6564">
              <w:rPr>
                <w:rFonts w:eastAsia="Times New Roman"/>
                <w:sz w:val="16"/>
                <w:szCs w:val="24"/>
                <w:lang w:eastAsia="sv-SE"/>
              </w:rPr>
              <w:t>210</w:t>
            </w:r>
          </w:p>
        </w:tc>
        <w:tc>
          <w:tcPr>
            <w:tcW w:w="833" w:type="dxa"/>
          </w:tcPr>
          <w:p w:rsidR="00DA64DA" w:rsidRPr="00EE6564" w:rsidRDefault="00DB47E4" w:rsidP="00DA64DA">
            <w:pPr>
              <w:spacing w:before="60" w:line="200" w:lineRule="exact"/>
              <w:jc w:val="right"/>
              <w:rPr>
                <w:rFonts w:eastAsia="Times New Roman"/>
                <w:sz w:val="16"/>
                <w:szCs w:val="24"/>
                <w:lang w:eastAsia="sv-SE"/>
              </w:rPr>
            </w:pPr>
            <w:r w:rsidRPr="00EE6564">
              <w:rPr>
                <w:rFonts w:eastAsia="Times New Roman"/>
                <w:sz w:val="16"/>
                <w:szCs w:val="24"/>
                <w:lang w:eastAsia="sv-SE"/>
              </w:rPr>
              <w:t>260</w:t>
            </w:r>
          </w:p>
        </w:tc>
        <w:tc>
          <w:tcPr>
            <w:tcW w:w="833" w:type="dxa"/>
          </w:tcPr>
          <w:p w:rsidR="00DA64DA" w:rsidRPr="00EE6564" w:rsidRDefault="009B52B0" w:rsidP="00DA64DA">
            <w:pPr>
              <w:spacing w:before="60" w:line="200" w:lineRule="exact"/>
              <w:jc w:val="right"/>
              <w:rPr>
                <w:rFonts w:eastAsia="Times New Roman"/>
                <w:b/>
                <w:sz w:val="16"/>
                <w:szCs w:val="24"/>
                <w:lang w:eastAsia="sv-SE"/>
              </w:rPr>
            </w:pPr>
            <w:r w:rsidRPr="00EE6564">
              <w:rPr>
                <w:rFonts w:eastAsia="Times New Roman"/>
                <w:b/>
                <w:sz w:val="16"/>
                <w:szCs w:val="24"/>
                <w:lang w:eastAsia="sv-SE"/>
              </w:rPr>
              <w:t>68 </w:t>
            </w:r>
            <w:r w:rsidR="00EE6564" w:rsidRPr="00EE6564">
              <w:rPr>
                <w:rFonts w:eastAsia="Times New Roman"/>
                <w:b/>
                <w:sz w:val="16"/>
                <w:szCs w:val="24"/>
                <w:lang w:eastAsia="sv-SE"/>
              </w:rPr>
              <w:t>432</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SD</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3 </w:t>
            </w:r>
            <w:r w:rsidR="00DA64DA" w:rsidRPr="001D23EF">
              <w:rPr>
                <w:rFonts w:eastAsia="Times New Roman"/>
                <w:sz w:val="16"/>
                <w:szCs w:val="24"/>
                <w:lang w:eastAsia="sv-SE"/>
              </w:rPr>
              <w:t>400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2 </w:t>
            </w:r>
            <w:r w:rsidR="001F2EEC" w:rsidRPr="001D23EF">
              <w:rPr>
                <w:rFonts w:eastAsia="Times New Roman"/>
                <w:sz w:val="16"/>
                <w:szCs w:val="24"/>
                <w:lang w:eastAsia="sv-SE"/>
              </w:rPr>
              <w:t>793</w:t>
            </w:r>
          </w:p>
        </w:tc>
        <w:tc>
          <w:tcPr>
            <w:tcW w:w="833" w:type="dxa"/>
          </w:tcPr>
          <w:p w:rsidR="00DA64DA" w:rsidRPr="00E8570E" w:rsidRDefault="009B52B0" w:rsidP="00DA64DA">
            <w:pPr>
              <w:spacing w:before="60" w:line="200" w:lineRule="exact"/>
              <w:jc w:val="right"/>
              <w:rPr>
                <w:rFonts w:eastAsia="Times New Roman"/>
                <w:sz w:val="16"/>
                <w:szCs w:val="24"/>
                <w:lang w:eastAsia="sv-SE"/>
              </w:rPr>
            </w:pPr>
            <w:r w:rsidRPr="00E8570E">
              <w:rPr>
                <w:rFonts w:eastAsia="Times New Roman"/>
                <w:sz w:val="16"/>
                <w:szCs w:val="24"/>
                <w:lang w:eastAsia="sv-SE"/>
              </w:rPr>
              <w:t>34 </w:t>
            </w:r>
            <w:r w:rsidR="00E8570E" w:rsidRPr="00E8570E">
              <w:rPr>
                <w:rFonts w:eastAsia="Times New Roman"/>
                <w:sz w:val="16"/>
                <w:szCs w:val="24"/>
                <w:lang w:eastAsia="sv-SE"/>
              </w:rPr>
              <w:t>157</w:t>
            </w:r>
          </w:p>
        </w:tc>
        <w:tc>
          <w:tcPr>
            <w:tcW w:w="833" w:type="dxa"/>
          </w:tcPr>
          <w:p w:rsidR="00DA64DA" w:rsidRPr="00E8570E" w:rsidRDefault="001F2EEC" w:rsidP="00DA64DA">
            <w:pPr>
              <w:spacing w:before="60" w:line="200" w:lineRule="exact"/>
              <w:jc w:val="right"/>
              <w:rPr>
                <w:rFonts w:eastAsia="Times New Roman"/>
                <w:sz w:val="16"/>
                <w:szCs w:val="24"/>
                <w:lang w:eastAsia="sv-SE"/>
              </w:rPr>
            </w:pPr>
            <w:r w:rsidRPr="00E8570E">
              <w:rPr>
                <w:rFonts w:eastAsia="Times New Roman"/>
                <w:sz w:val="16"/>
                <w:szCs w:val="24"/>
                <w:lang w:eastAsia="sv-SE"/>
              </w:rPr>
              <w:t>12</w:t>
            </w:r>
            <w:r w:rsidR="00E8570E" w:rsidRPr="00E8570E">
              <w:rPr>
                <w:rFonts w:eastAsia="Times New Roman"/>
                <w:sz w:val="16"/>
                <w:szCs w:val="24"/>
                <w:lang w:eastAsia="sv-SE"/>
              </w:rPr>
              <w:t>0</w:t>
            </w:r>
          </w:p>
        </w:tc>
        <w:tc>
          <w:tcPr>
            <w:tcW w:w="833" w:type="dxa"/>
          </w:tcPr>
          <w:p w:rsidR="00DA64DA" w:rsidRPr="00E8570E" w:rsidRDefault="001F2EEC" w:rsidP="00DA64DA">
            <w:pPr>
              <w:spacing w:before="60" w:line="200" w:lineRule="exact"/>
              <w:jc w:val="right"/>
              <w:rPr>
                <w:rFonts w:eastAsia="Times New Roman"/>
                <w:sz w:val="16"/>
                <w:szCs w:val="24"/>
                <w:lang w:eastAsia="sv-SE"/>
              </w:rPr>
            </w:pPr>
            <w:r w:rsidRPr="00E8570E">
              <w:rPr>
                <w:rFonts w:eastAsia="Times New Roman"/>
                <w:sz w:val="16"/>
                <w:szCs w:val="24"/>
                <w:lang w:eastAsia="sv-SE"/>
              </w:rPr>
              <w:t>172</w:t>
            </w:r>
          </w:p>
        </w:tc>
        <w:tc>
          <w:tcPr>
            <w:tcW w:w="833" w:type="dxa"/>
          </w:tcPr>
          <w:p w:rsidR="00DA64DA" w:rsidRPr="00E8570E" w:rsidRDefault="009B52B0" w:rsidP="00DA64DA">
            <w:pPr>
              <w:spacing w:before="60" w:line="200" w:lineRule="exact"/>
              <w:jc w:val="right"/>
              <w:rPr>
                <w:rFonts w:eastAsia="Times New Roman"/>
                <w:b/>
                <w:sz w:val="16"/>
                <w:szCs w:val="24"/>
                <w:lang w:eastAsia="sv-SE"/>
              </w:rPr>
            </w:pPr>
            <w:r w:rsidRPr="00E8570E">
              <w:rPr>
                <w:rFonts w:eastAsia="Times New Roman"/>
                <w:b/>
                <w:sz w:val="16"/>
                <w:szCs w:val="24"/>
                <w:lang w:eastAsia="sv-SE"/>
              </w:rPr>
              <w:t>40 </w:t>
            </w:r>
            <w:r w:rsidR="00E8570E" w:rsidRPr="00E8570E">
              <w:rPr>
                <w:rFonts w:eastAsia="Times New Roman"/>
                <w:b/>
                <w:sz w:val="16"/>
                <w:szCs w:val="24"/>
                <w:lang w:eastAsia="sv-SE"/>
              </w:rPr>
              <w:t>642</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MP</w:t>
            </w:r>
          </w:p>
        </w:tc>
        <w:tc>
          <w:tcPr>
            <w:tcW w:w="833" w:type="dxa"/>
          </w:tcPr>
          <w:p w:rsidR="00DA64DA" w:rsidRPr="001D23EF" w:rsidRDefault="009B52B0" w:rsidP="00DA64DA">
            <w:pPr>
              <w:spacing w:before="60" w:line="200" w:lineRule="exact"/>
              <w:jc w:val="right"/>
              <w:rPr>
                <w:rFonts w:eastAsia="Times New Roman"/>
                <w:sz w:val="16"/>
                <w:szCs w:val="24"/>
                <w:highlight w:val="yellow"/>
                <w:lang w:eastAsia="sv-SE"/>
              </w:rPr>
            </w:pPr>
            <w:r w:rsidRPr="001D23EF">
              <w:rPr>
                <w:rFonts w:eastAsia="Times New Roman"/>
                <w:sz w:val="16"/>
                <w:szCs w:val="24"/>
                <w:lang w:eastAsia="sv-SE"/>
              </w:rPr>
              <w:t>1 </w:t>
            </w:r>
            <w:r w:rsidR="00C66654" w:rsidRPr="001D23EF">
              <w:rPr>
                <w:rFonts w:eastAsia="Times New Roman"/>
                <w:sz w:val="16"/>
                <w:szCs w:val="24"/>
                <w:lang w:eastAsia="sv-SE"/>
              </w:rPr>
              <w:t>700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1 </w:t>
            </w:r>
            <w:r w:rsidR="00DA64DA" w:rsidRPr="001D23EF">
              <w:rPr>
                <w:rFonts w:eastAsia="Times New Roman"/>
                <w:sz w:val="16"/>
                <w:szCs w:val="24"/>
                <w:lang w:eastAsia="sv-SE"/>
              </w:rPr>
              <w:t>425</w:t>
            </w:r>
          </w:p>
        </w:tc>
        <w:tc>
          <w:tcPr>
            <w:tcW w:w="833" w:type="dxa"/>
          </w:tcPr>
          <w:p w:rsidR="00DA64DA" w:rsidRPr="003A0316" w:rsidRDefault="009B52B0" w:rsidP="00DA64DA">
            <w:pPr>
              <w:spacing w:before="60" w:line="200" w:lineRule="exact"/>
              <w:jc w:val="right"/>
              <w:rPr>
                <w:rFonts w:eastAsia="Times New Roman"/>
                <w:sz w:val="16"/>
                <w:szCs w:val="24"/>
                <w:lang w:eastAsia="sv-SE"/>
              </w:rPr>
            </w:pPr>
            <w:r w:rsidRPr="003A0316">
              <w:rPr>
                <w:rFonts w:eastAsia="Times New Roman"/>
                <w:sz w:val="16"/>
                <w:szCs w:val="24"/>
                <w:lang w:eastAsia="sv-SE"/>
              </w:rPr>
              <w:t>17 </w:t>
            </w:r>
            <w:r w:rsidR="00CF6C94" w:rsidRPr="003A0316">
              <w:rPr>
                <w:rFonts w:eastAsia="Times New Roman"/>
                <w:sz w:val="16"/>
                <w:szCs w:val="24"/>
                <w:lang w:eastAsia="sv-SE"/>
              </w:rPr>
              <w:t>79</w:t>
            </w:r>
            <w:r w:rsidR="00AF283F" w:rsidRPr="003A0316">
              <w:rPr>
                <w:rFonts w:eastAsia="Times New Roman"/>
                <w:sz w:val="16"/>
                <w:szCs w:val="24"/>
                <w:lang w:eastAsia="sv-SE"/>
              </w:rPr>
              <w:t>0</w:t>
            </w:r>
          </w:p>
        </w:tc>
        <w:tc>
          <w:tcPr>
            <w:tcW w:w="833" w:type="dxa"/>
          </w:tcPr>
          <w:p w:rsidR="00DA64DA" w:rsidRPr="003A0316" w:rsidRDefault="00DA64DA" w:rsidP="00DA64DA">
            <w:pPr>
              <w:spacing w:before="60" w:line="200" w:lineRule="exact"/>
              <w:jc w:val="right"/>
              <w:rPr>
                <w:rFonts w:eastAsia="Times New Roman"/>
                <w:sz w:val="16"/>
                <w:szCs w:val="24"/>
                <w:lang w:eastAsia="sv-SE"/>
              </w:rPr>
            </w:pPr>
            <w:r w:rsidRPr="003A0316">
              <w:rPr>
                <w:rFonts w:eastAsia="Times New Roman"/>
                <w:sz w:val="16"/>
                <w:szCs w:val="24"/>
                <w:lang w:eastAsia="sv-SE"/>
              </w:rPr>
              <w:t>6</w:t>
            </w:r>
            <w:r w:rsidR="00AF283F" w:rsidRPr="003A0316">
              <w:rPr>
                <w:rFonts w:eastAsia="Times New Roman"/>
                <w:sz w:val="16"/>
                <w:szCs w:val="24"/>
                <w:lang w:eastAsia="sv-SE"/>
              </w:rPr>
              <w:t>2</w:t>
            </w:r>
          </w:p>
        </w:tc>
        <w:tc>
          <w:tcPr>
            <w:tcW w:w="833" w:type="dxa"/>
          </w:tcPr>
          <w:p w:rsidR="00DA64DA" w:rsidRPr="003A0316" w:rsidRDefault="00DA64DA" w:rsidP="00DA64DA">
            <w:pPr>
              <w:spacing w:before="60" w:line="200" w:lineRule="exact"/>
              <w:jc w:val="right"/>
              <w:rPr>
                <w:rFonts w:eastAsia="Times New Roman"/>
                <w:sz w:val="16"/>
                <w:szCs w:val="24"/>
                <w:lang w:eastAsia="sv-SE"/>
              </w:rPr>
            </w:pPr>
            <w:r w:rsidRPr="003A0316">
              <w:rPr>
                <w:rFonts w:eastAsia="Times New Roman"/>
                <w:sz w:val="16"/>
                <w:szCs w:val="24"/>
                <w:lang w:eastAsia="sv-SE"/>
              </w:rPr>
              <w:t>113</w:t>
            </w:r>
          </w:p>
        </w:tc>
        <w:tc>
          <w:tcPr>
            <w:tcW w:w="833" w:type="dxa"/>
          </w:tcPr>
          <w:p w:rsidR="00DA64DA" w:rsidRPr="003A0316" w:rsidRDefault="00DA64DA" w:rsidP="006C6745">
            <w:pPr>
              <w:spacing w:before="60" w:line="200" w:lineRule="exact"/>
              <w:jc w:val="right"/>
              <w:rPr>
                <w:rFonts w:eastAsia="Times New Roman"/>
                <w:b/>
                <w:sz w:val="16"/>
                <w:szCs w:val="24"/>
                <w:lang w:eastAsia="sv-SE"/>
              </w:rPr>
            </w:pPr>
            <w:r w:rsidRPr="003A0316">
              <w:rPr>
                <w:rFonts w:eastAsia="Times New Roman"/>
                <w:b/>
                <w:sz w:val="16"/>
                <w:szCs w:val="24"/>
                <w:lang w:eastAsia="sv-SE"/>
              </w:rPr>
              <w:t>2</w:t>
            </w:r>
            <w:r w:rsidR="00CF6C94" w:rsidRPr="003A0316">
              <w:rPr>
                <w:rFonts w:eastAsia="Times New Roman"/>
                <w:b/>
                <w:sz w:val="16"/>
                <w:szCs w:val="24"/>
                <w:lang w:eastAsia="sv-SE"/>
              </w:rPr>
              <w:t>1</w:t>
            </w:r>
            <w:r w:rsidR="009B52B0" w:rsidRPr="003A0316">
              <w:rPr>
                <w:rFonts w:eastAsia="Times New Roman"/>
                <w:b/>
                <w:sz w:val="16"/>
                <w:szCs w:val="24"/>
                <w:lang w:eastAsia="sv-SE"/>
              </w:rPr>
              <w:t> </w:t>
            </w:r>
            <w:r w:rsidR="00CF6C94" w:rsidRPr="003A0316">
              <w:rPr>
                <w:rFonts w:eastAsia="Times New Roman"/>
                <w:b/>
                <w:sz w:val="16"/>
                <w:szCs w:val="24"/>
                <w:lang w:eastAsia="sv-SE"/>
              </w:rPr>
              <w:t>09</w:t>
            </w:r>
            <w:r w:rsidR="006C6745" w:rsidRPr="003A0316">
              <w:rPr>
                <w:rFonts w:eastAsia="Times New Roman"/>
                <w:b/>
                <w:sz w:val="16"/>
                <w:szCs w:val="24"/>
                <w:lang w:eastAsia="sv-SE"/>
              </w:rPr>
              <w:t>0</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C</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3 </w:t>
            </w:r>
            <w:r w:rsidR="00151764" w:rsidRPr="001D23EF">
              <w:rPr>
                <w:rFonts w:eastAsia="Times New Roman"/>
                <w:sz w:val="16"/>
                <w:szCs w:val="24"/>
                <w:lang w:eastAsia="sv-SE"/>
              </w:rPr>
              <w:t>400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1 </w:t>
            </w:r>
            <w:r w:rsidR="00151764" w:rsidRPr="001D23EF">
              <w:rPr>
                <w:rFonts w:eastAsia="Times New Roman"/>
                <w:sz w:val="16"/>
                <w:szCs w:val="24"/>
                <w:lang w:eastAsia="sv-SE"/>
              </w:rPr>
              <w:t>254</w:t>
            </w:r>
          </w:p>
        </w:tc>
        <w:tc>
          <w:tcPr>
            <w:tcW w:w="833" w:type="dxa"/>
          </w:tcPr>
          <w:p w:rsidR="00DA64DA" w:rsidRPr="003A0316" w:rsidRDefault="009B52B0" w:rsidP="00DA64DA">
            <w:pPr>
              <w:spacing w:before="60" w:line="200" w:lineRule="exact"/>
              <w:jc w:val="right"/>
              <w:rPr>
                <w:rFonts w:eastAsia="Times New Roman"/>
                <w:sz w:val="16"/>
                <w:szCs w:val="24"/>
                <w:lang w:eastAsia="sv-SE"/>
              </w:rPr>
            </w:pPr>
            <w:r w:rsidRPr="003A0316">
              <w:rPr>
                <w:rFonts w:eastAsia="Times New Roman"/>
                <w:sz w:val="16"/>
                <w:szCs w:val="24"/>
                <w:lang w:eastAsia="sv-SE"/>
              </w:rPr>
              <w:t>15 </w:t>
            </w:r>
            <w:r w:rsidR="00BA7BCD" w:rsidRPr="003A0316">
              <w:rPr>
                <w:rFonts w:eastAsia="Times New Roman"/>
                <w:sz w:val="16"/>
                <w:szCs w:val="24"/>
                <w:lang w:eastAsia="sv-SE"/>
              </w:rPr>
              <w:t>655</w:t>
            </w:r>
          </w:p>
        </w:tc>
        <w:tc>
          <w:tcPr>
            <w:tcW w:w="833" w:type="dxa"/>
          </w:tcPr>
          <w:p w:rsidR="00DA64DA" w:rsidRPr="003A0316" w:rsidRDefault="00DA64DA" w:rsidP="00DA64DA">
            <w:pPr>
              <w:spacing w:before="60" w:line="200" w:lineRule="exact"/>
              <w:jc w:val="right"/>
              <w:rPr>
                <w:rFonts w:eastAsia="Times New Roman"/>
                <w:sz w:val="16"/>
                <w:szCs w:val="24"/>
                <w:lang w:eastAsia="sv-SE"/>
              </w:rPr>
            </w:pPr>
            <w:r w:rsidRPr="003A0316">
              <w:rPr>
                <w:rFonts w:eastAsia="Times New Roman"/>
                <w:sz w:val="16"/>
                <w:szCs w:val="24"/>
                <w:lang w:eastAsia="sv-SE"/>
              </w:rPr>
              <w:t>5</w:t>
            </w:r>
            <w:r w:rsidR="00151764" w:rsidRPr="003A0316">
              <w:rPr>
                <w:rFonts w:eastAsia="Times New Roman"/>
                <w:sz w:val="16"/>
                <w:szCs w:val="24"/>
                <w:lang w:eastAsia="sv-SE"/>
              </w:rPr>
              <w:t>5</w:t>
            </w:r>
          </w:p>
        </w:tc>
        <w:tc>
          <w:tcPr>
            <w:tcW w:w="833" w:type="dxa"/>
          </w:tcPr>
          <w:p w:rsidR="00DA64DA" w:rsidRPr="003A0316" w:rsidRDefault="00DA64DA" w:rsidP="00DA64DA">
            <w:pPr>
              <w:spacing w:before="60" w:line="200" w:lineRule="exact"/>
              <w:jc w:val="right"/>
              <w:rPr>
                <w:rFonts w:eastAsia="Times New Roman"/>
                <w:sz w:val="16"/>
                <w:szCs w:val="24"/>
                <w:lang w:eastAsia="sv-SE"/>
              </w:rPr>
            </w:pPr>
            <w:r w:rsidRPr="003A0316">
              <w:rPr>
                <w:rFonts w:eastAsia="Times New Roman"/>
                <w:sz w:val="16"/>
                <w:szCs w:val="24"/>
                <w:lang w:eastAsia="sv-SE"/>
              </w:rPr>
              <w:t>10</w:t>
            </w:r>
            <w:r w:rsidR="00151764" w:rsidRPr="003A0316">
              <w:rPr>
                <w:rFonts w:eastAsia="Times New Roman"/>
                <w:sz w:val="16"/>
                <w:szCs w:val="24"/>
                <w:lang w:eastAsia="sv-SE"/>
              </w:rPr>
              <w:t>5</w:t>
            </w:r>
          </w:p>
        </w:tc>
        <w:tc>
          <w:tcPr>
            <w:tcW w:w="833" w:type="dxa"/>
          </w:tcPr>
          <w:p w:rsidR="00DA64DA" w:rsidRPr="003A0316" w:rsidRDefault="009B52B0" w:rsidP="00DA64DA">
            <w:pPr>
              <w:spacing w:before="60" w:line="200" w:lineRule="exact"/>
              <w:jc w:val="right"/>
              <w:rPr>
                <w:rFonts w:eastAsia="Times New Roman"/>
                <w:b/>
                <w:sz w:val="16"/>
                <w:szCs w:val="24"/>
                <w:lang w:eastAsia="sv-SE"/>
              </w:rPr>
            </w:pPr>
            <w:r w:rsidRPr="003A0316">
              <w:rPr>
                <w:rFonts w:eastAsia="Times New Roman"/>
                <w:b/>
                <w:sz w:val="16"/>
                <w:szCs w:val="24"/>
                <w:lang w:eastAsia="sv-SE"/>
              </w:rPr>
              <w:t>20 </w:t>
            </w:r>
            <w:r w:rsidR="00BA7BCD" w:rsidRPr="003A0316">
              <w:rPr>
                <w:rFonts w:eastAsia="Times New Roman"/>
                <w:b/>
                <w:sz w:val="16"/>
                <w:szCs w:val="24"/>
                <w:lang w:eastAsia="sv-SE"/>
              </w:rPr>
              <w:t>469</w:t>
            </w:r>
          </w:p>
        </w:tc>
      </w:tr>
      <w:tr w:rsidR="00DA64DA" w:rsidRPr="00DA64DA" w:rsidTr="00284485">
        <w:tc>
          <w:tcPr>
            <w:tcW w:w="833" w:type="dxa"/>
          </w:tcPr>
          <w:p w:rsidR="00DA64DA" w:rsidRPr="00DA64DA" w:rsidRDefault="00DA64DA" w:rsidP="00DA64DA">
            <w:pPr>
              <w:spacing w:before="60" w:line="200" w:lineRule="exact"/>
              <w:jc w:val="left"/>
              <w:rPr>
                <w:rFonts w:eastAsia="Times New Roman"/>
                <w:sz w:val="16"/>
                <w:szCs w:val="24"/>
                <w:lang w:eastAsia="sv-SE"/>
              </w:rPr>
            </w:pPr>
            <w:r w:rsidRPr="00DA64DA">
              <w:rPr>
                <w:rFonts w:eastAsia="Times New Roman"/>
                <w:sz w:val="16"/>
                <w:szCs w:val="24"/>
                <w:lang w:eastAsia="sv-SE"/>
              </w:rPr>
              <w:t>V</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3 </w:t>
            </w:r>
            <w:r w:rsidR="00DA64DA" w:rsidRPr="001D23EF">
              <w:rPr>
                <w:rFonts w:eastAsia="Times New Roman"/>
                <w:sz w:val="16"/>
                <w:szCs w:val="24"/>
                <w:lang w:eastAsia="sv-SE"/>
              </w:rPr>
              <w:t>400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1 </w:t>
            </w:r>
            <w:r w:rsidR="003B3A94" w:rsidRPr="001D23EF">
              <w:rPr>
                <w:rFonts w:eastAsia="Times New Roman"/>
                <w:sz w:val="16"/>
                <w:szCs w:val="24"/>
                <w:lang w:eastAsia="sv-SE"/>
              </w:rPr>
              <w:t>197</w:t>
            </w:r>
          </w:p>
        </w:tc>
        <w:tc>
          <w:tcPr>
            <w:tcW w:w="833" w:type="dxa"/>
          </w:tcPr>
          <w:p w:rsidR="00DA64DA" w:rsidRPr="00803D60" w:rsidRDefault="009B52B0" w:rsidP="00DA64DA">
            <w:pPr>
              <w:spacing w:before="60" w:line="200" w:lineRule="exact"/>
              <w:jc w:val="right"/>
              <w:rPr>
                <w:rFonts w:eastAsia="Times New Roman"/>
                <w:sz w:val="16"/>
                <w:szCs w:val="24"/>
                <w:lang w:eastAsia="sv-SE"/>
              </w:rPr>
            </w:pPr>
            <w:r w:rsidRPr="00803D60">
              <w:rPr>
                <w:rFonts w:eastAsia="Times New Roman"/>
                <w:sz w:val="16"/>
                <w:szCs w:val="24"/>
                <w:lang w:eastAsia="sv-SE"/>
              </w:rPr>
              <w:t>14 </w:t>
            </w:r>
            <w:r w:rsidR="003A0316" w:rsidRPr="00803D60">
              <w:rPr>
                <w:rFonts w:eastAsia="Times New Roman"/>
                <w:sz w:val="16"/>
                <w:szCs w:val="24"/>
                <w:lang w:eastAsia="sv-SE"/>
              </w:rPr>
              <w:t>944</w:t>
            </w:r>
          </w:p>
        </w:tc>
        <w:tc>
          <w:tcPr>
            <w:tcW w:w="833" w:type="dxa"/>
          </w:tcPr>
          <w:p w:rsidR="00DA64DA" w:rsidRPr="00803D60" w:rsidRDefault="003B3A94" w:rsidP="00DA64DA">
            <w:pPr>
              <w:spacing w:before="60" w:line="200" w:lineRule="exact"/>
              <w:jc w:val="right"/>
              <w:rPr>
                <w:rFonts w:eastAsia="Times New Roman"/>
                <w:sz w:val="16"/>
                <w:szCs w:val="24"/>
                <w:lang w:eastAsia="sv-SE"/>
              </w:rPr>
            </w:pPr>
            <w:r w:rsidRPr="00803D60">
              <w:rPr>
                <w:rFonts w:eastAsia="Times New Roman"/>
                <w:sz w:val="16"/>
                <w:szCs w:val="24"/>
                <w:lang w:eastAsia="sv-SE"/>
              </w:rPr>
              <w:t>52</w:t>
            </w:r>
          </w:p>
        </w:tc>
        <w:tc>
          <w:tcPr>
            <w:tcW w:w="833" w:type="dxa"/>
          </w:tcPr>
          <w:p w:rsidR="00DA64DA" w:rsidRPr="00803D60" w:rsidRDefault="003B3A94" w:rsidP="00DA64DA">
            <w:pPr>
              <w:spacing w:before="60" w:line="200" w:lineRule="exact"/>
              <w:jc w:val="right"/>
              <w:rPr>
                <w:rFonts w:eastAsia="Times New Roman"/>
                <w:sz w:val="16"/>
                <w:szCs w:val="24"/>
                <w:lang w:eastAsia="sv-SE"/>
              </w:rPr>
            </w:pPr>
            <w:r w:rsidRPr="00803D60">
              <w:rPr>
                <w:rFonts w:eastAsia="Times New Roman"/>
                <w:sz w:val="16"/>
                <w:szCs w:val="24"/>
                <w:lang w:eastAsia="sv-SE"/>
              </w:rPr>
              <w:t>103</w:t>
            </w:r>
          </w:p>
        </w:tc>
        <w:tc>
          <w:tcPr>
            <w:tcW w:w="833" w:type="dxa"/>
          </w:tcPr>
          <w:p w:rsidR="00DA64DA" w:rsidRPr="00803D60" w:rsidRDefault="009B52B0" w:rsidP="00DA64DA">
            <w:pPr>
              <w:spacing w:before="60" w:line="200" w:lineRule="exact"/>
              <w:jc w:val="right"/>
              <w:rPr>
                <w:rFonts w:eastAsia="Times New Roman"/>
                <w:b/>
                <w:sz w:val="16"/>
                <w:szCs w:val="24"/>
                <w:lang w:eastAsia="sv-SE"/>
              </w:rPr>
            </w:pPr>
            <w:r w:rsidRPr="00803D60">
              <w:rPr>
                <w:rFonts w:eastAsia="Times New Roman"/>
                <w:b/>
                <w:sz w:val="16"/>
                <w:szCs w:val="24"/>
                <w:lang w:eastAsia="sv-SE"/>
              </w:rPr>
              <w:t>19 </w:t>
            </w:r>
            <w:r w:rsidR="003A0316" w:rsidRPr="00803D60">
              <w:rPr>
                <w:rFonts w:eastAsia="Times New Roman"/>
                <w:b/>
                <w:sz w:val="16"/>
                <w:szCs w:val="24"/>
                <w:lang w:eastAsia="sv-SE"/>
              </w:rPr>
              <w:t>696</w:t>
            </w:r>
          </w:p>
        </w:tc>
      </w:tr>
      <w:tr w:rsidR="00DA64DA" w:rsidRPr="00DA64DA" w:rsidTr="00284485">
        <w:tc>
          <w:tcPr>
            <w:tcW w:w="833" w:type="dxa"/>
          </w:tcPr>
          <w:p w:rsidR="00DA64DA" w:rsidRPr="00DA64DA" w:rsidRDefault="00BC035E" w:rsidP="00DA64DA">
            <w:pPr>
              <w:spacing w:before="60" w:line="200" w:lineRule="exact"/>
              <w:jc w:val="left"/>
              <w:rPr>
                <w:rFonts w:eastAsia="Times New Roman"/>
                <w:sz w:val="16"/>
                <w:szCs w:val="24"/>
                <w:lang w:eastAsia="sv-SE"/>
              </w:rPr>
            </w:pPr>
            <w:r>
              <w:rPr>
                <w:rFonts w:eastAsia="Times New Roman"/>
                <w:sz w:val="16"/>
                <w:szCs w:val="24"/>
                <w:lang w:eastAsia="sv-SE"/>
              </w:rPr>
              <w:t>L</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3 </w:t>
            </w:r>
            <w:r w:rsidR="00846406" w:rsidRPr="001D23EF">
              <w:rPr>
                <w:rFonts w:eastAsia="Times New Roman"/>
                <w:sz w:val="16"/>
                <w:szCs w:val="24"/>
                <w:lang w:eastAsia="sv-SE"/>
              </w:rPr>
              <w:t>400</w:t>
            </w:r>
          </w:p>
        </w:tc>
        <w:tc>
          <w:tcPr>
            <w:tcW w:w="833" w:type="dxa"/>
          </w:tcPr>
          <w:p w:rsidR="00DA64DA" w:rsidRPr="001D23EF" w:rsidRDefault="009B52B0" w:rsidP="00DA64DA">
            <w:pPr>
              <w:spacing w:before="60" w:line="200" w:lineRule="exact"/>
              <w:jc w:val="right"/>
              <w:rPr>
                <w:rFonts w:eastAsia="Times New Roman"/>
                <w:sz w:val="16"/>
                <w:szCs w:val="24"/>
                <w:lang w:eastAsia="sv-SE"/>
              </w:rPr>
            </w:pPr>
            <w:r w:rsidRPr="001D23EF">
              <w:rPr>
                <w:rFonts w:eastAsia="Times New Roman"/>
                <w:sz w:val="16"/>
                <w:szCs w:val="24"/>
                <w:lang w:eastAsia="sv-SE"/>
              </w:rPr>
              <w:t>1 </w:t>
            </w:r>
            <w:r w:rsidR="00846406" w:rsidRPr="001D23EF">
              <w:rPr>
                <w:rFonts w:eastAsia="Times New Roman"/>
                <w:sz w:val="16"/>
                <w:szCs w:val="24"/>
                <w:lang w:eastAsia="sv-SE"/>
              </w:rPr>
              <w:t>083</w:t>
            </w:r>
          </w:p>
        </w:tc>
        <w:tc>
          <w:tcPr>
            <w:tcW w:w="833" w:type="dxa"/>
          </w:tcPr>
          <w:p w:rsidR="00DA64DA" w:rsidRPr="00320E3E" w:rsidRDefault="009B52B0" w:rsidP="00DA64DA">
            <w:pPr>
              <w:spacing w:before="60" w:line="200" w:lineRule="exact"/>
              <w:jc w:val="right"/>
              <w:rPr>
                <w:rFonts w:eastAsia="Times New Roman"/>
                <w:sz w:val="16"/>
                <w:szCs w:val="24"/>
                <w:lang w:eastAsia="sv-SE"/>
              </w:rPr>
            </w:pPr>
            <w:r w:rsidRPr="00320E3E">
              <w:rPr>
                <w:rFonts w:eastAsia="Times New Roman"/>
                <w:sz w:val="16"/>
                <w:szCs w:val="24"/>
                <w:lang w:eastAsia="sv-SE"/>
              </w:rPr>
              <w:t>13 </w:t>
            </w:r>
            <w:r w:rsidR="00AE0020" w:rsidRPr="00320E3E">
              <w:rPr>
                <w:rFonts w:eastAsia="Times New Roman"/>
                <w:sz w:val="16"/>
                <w:szCs w:val="24"/>
                <w:lang w:eastAsia="sv-SE"/>
              </w:rPr>
              <w:t>520</w:t>
            </w:r>
          </w:p>
        </w:tc>
        <w:tc>
          <w:tcPr>
            <w:tcW w:w="833" w:type="dxa"/>
          </w:tcPr>
          <w:p w:rsidR="00DA64DA" w:rsidRPr="00320E3E" w:rsidRDefault="00846406" w:rsidP="00DA64DA">
            <w:pPr>
              <w:spacing w:before="60" w:line="200" w:lineRule="exact"/>
              <w:jc w:val="right"/>
              <w:rPr>
                <w:rFonts w:eastAsia="Times New Roman"/>
                <w:sz w:val="16"/>
                <w:szCs w:val="24"/>
                <w:lang w:eastAsia="sv-SE"/>
              </w:rPr>
            </w:pPr>
            <w:r w:rsidRPr="00320E3E">
              <w:rPr>
                <w:rFonts w:eastAsia="Times New Roman"/>
                <w:sz w:val="16"/>
                <w:szCs w:val="24"/>
                <w:lang w:eastAsia="sv-SE"/>
              </w:rPr>
              <w:t>48</w:t>
            </w:r>
          </w:p>
        </w:tc>
        <w:tc>
          <w:tcPr>
            <w:tcW w:w="833" w:type="dxa"/>
          </w:tcPr>
          <w:p w:rsidR="00DA64DA" w:rsidRPr="00320E3E" w:rsidRDefault="00846406" w:rsidP="00DA64DA">
            <w:pPr>
              <w:spacing w:before="60" w:line="200" w:lineRule="exact"/>
              <w:jc w:val="right"/>
              <w:rPr>
                <w:rFonts w:eastAsia="Times New Roman"/>
                <w:sz w:val="16"/>
                <w:szCs w:val="24"/>
                <w:lang w:eastAsia="sv-SE"/>
              </w:rPr>
            </w:pPr>
            <w:r w:rsidRPr="00320E3E">
              <w:rPr>
                <w:rFonts w:eastAsia="Times New Roman"/>
                <w:sz w:val="16"/>
                <w:szCs w:val="24"/>
                <w:lang w:eastAsia="sv-SE"/>
              </w:rPr>
              <w:t>95</w:t>
            </w:r>
          </w:p>
        </w:tc>
        <w:tc>
          <w:tcPr>
            <w:tcW w:w="833" w:type="dxa"/>
          </w:tcPr>
          <w:p w:rsidR="00DA64DA" w:rsidRPr="00320E3E" w:rsidRDefault="009B52B0" w:rsidP="00DA64DA">
            <w:pPr>
              <w:spacing w:before="60" w:line="200" w:lineRule="exact"/>
              <w:jc w:val="right"/>
              <w:rPr>
                <w:rFonts w:eastAsia="Times New Roman"/>
                <w:b/>
                <w:sz w:val="16"/>
                <w:szCs w:val="24"/>
                <w:lang w:eastAsia="sv-SE"/>
              </w:rPr>
            </w:pPr>
            <w:r w:rsidRPr="00320E3E">
              <w:rPr>
                <w:rFonts w:eastAsia="Times New Roman"/>
                <w:b/>
                <w:sz w:val="16"/>
                <w:szCs w:val="24"/>
                <w:lang w:eastAsia="sv-SE"/>
              </w:rPr>
              <w:t>18 </w:t>
            </w:r>
            <w:r w:rsidR="00AE0020" w:rsidRPr="00320E3E">
              <w:rPr>
                <w:rFonts w:eastAsia="Times New Roman"/>
                <w:b/>
                <w:sz w:val="16"/>
                <w:szCs w:val="24"/>
                <w:lang w:eastAsia="sv-SE"/>
              </w:rPr>
              <w:t>146</w:t>
            </w:r>
          </w:p>
        </w:tc>
      </w:tr>
      <w:tr w:rsidR="00DA64DA" w:rsidRPr="00DA64DA" w:rsidTr="002C7A9B">
        <w:tc>
          <w:tcPr>
            <w:tcW w:w="833" w:type="dxa"/>
            <w:tcBorders>
              <w:bottom w:val="single" w:sz="4" w:space="0" w:color="auto"/>
            </w:tcBorders>
          </w:tcPr>
          <w:p w:rsidR="009F336E" w:rsidRPr="002C7A9B" w:rsidRDefault="00DA64DA" w:rsidP="002C7A9B">
            <w:pPr>
              <w:spacing w:before="60" w:line="200" w:lineRule="exact"/>
              <w:jc w:val="left"/>
              <w:rPr>
                <w:rFonts w:eastAsia="Times New Roman"/>
                <w:sz w:val="16"/>
                <w:szCs w:val="24"/>
                <w:lang w:eastAsia="sv-SE"/>
              </w:rPr>
            </w:pPr>
            <w:r w:rsidRPr="00DA64DA">
              <w:rPr>
                <w:rFonts w:eastAsia="Times New Roman"/>
                <w:sz w:val="16"/>
                <w:szCs w:val="24"/>
                <w:lang w:eastAsia="sv-SE"/>
              </w:rPr>
              <w:t>KD</w:t>
            </w:r>
          </w:p>
        </w:tc>
        <w:tc>
          <w:tcPr>
            <w:tcW w:w="833" w:type="dxa"/>
            <w:tcBorders>
              <w:bottom w:val="single" w:sz="4" w:space="0" w:color="auto"/>
            </w:tcBorders>
          </w:tcPr>
          <w:p w:rsidR="00DA64DA" w:rsidRPr="001D23EF" w:rsidRDefault="009B52B0" w:rsidP="00DA64DA">
            <w:pPr>
              <w:spacing w:before="60" w:line="200" w:lineRule="exact"/>
              <w:jc w:val="right"/>
              <w:rPr>
                <w:rFonts w:eastAsia="Times New Roman"/>
                <w:sz w:val="16"/>
                <w:szCs w:val="24"/>
                <w:highlight w:val="yellow"/>
                <w:lang w:eastAsia="sv-SE"/>
              </w:rPr>
            </w:pPr>
            <w:r w:rsidRPr="001D23EF">
              <w:rPr>
                <w:rFonts w:eastAsia="Times New Roman"/>
                <w:sz w:val="16"/>
                <w:szCs w:val="24"/>
                <w:lang w:eastAsia="sv-SE"/>
              </w:rPr>
              <w:t>3 </w:t>
            </w:r>
            <w:r w:rsidR="00846406" w:rsidRPr="001D23EF">
              <w:rPr>
                <w:rFonts w:eastAsia="Times New Roman"/>
                <w:sz w:val="16"/>
                <w:szCs w:val="24"/>
                <w:lang w:eastAsia="sv-SE"/>
              </w:rPr>
              <w:t>400</w:t>
            </w:r>
          </w:p>
        </w:tc>
        <w:tc>
          <w:tcPr>
            <w:tcW w:w="833" w:type="dxa"/>
            <w:tcBorders>
              <w:bottom w:val="single" w:sz="4" w:space="0" w:color="auto"/>
            </w:tcBorders>
          </w:tcPr>
          <w:p w:rsidR="00DA64DA" w:rsidRPr="001D23EF" w:rsidRDefault="00846406" w:rsidP="00DA64DA">
            <w:pPr>
              <w:spacing w:before="60" w:line="200" w:lineRule="exact"/>
              <w:jc w:val="right"/>
              <w:rPr>
                <w:rFonts w:eastAsia="Times New Roman"/>
                <w:sz w:val="16"/>
                <w:szCs w:val="24"/>
                <w:highlight w:val="yellow"/>
                <w:lang w:eastAsia="sv-SE"/>
              </w:rPr>
            </w:pPr>
            <w:r w:rsidRPr="001D23EF">
              <w:rPr>
                <w:rFonts w:eastAsia="Times New Roman"/>
                <w:sz w:val="16"/>
                <w:szCs w:val="24"/>
                <w:lang w:eastAsia="sv-SE"/>
              </w:rPr>
              <w:t>912</w:t>
            </w:r>
          </w:p>
        </w:tc>
        <w:tc>
          <w:tcPr>
            <w:tcW w:w="833" w:type="dxa"/>
            <w:tcBorders>
              <w:bottom w:val="single" w:sz="4" w:space="0" w:color="auto"/>
            </w:tcBorders>
          </w:tcPr>
          <w:p w:rsidR="00DA64DA" w:rsidRPr="00320E3E" w:rsidRDefault="009B52B0" w:rsidP="00DA64DA">
            <w:pPr>
              <w:spacing w:before="60" w:line="200" w:lineRule="exact"/>
              <w:jc w:val="right"/>
              <w:rPr>
                <w:rFonts w:eastAsia="Times New Roman"/>
                <w:sz w:val="16"/>
                <w:szCs w:val="24"/>
                <w:highlight w:val="yellow"/>
                <w:lang w:eastAsia="sv-SE"/>
              </w:rPr>
            </w:pPr>
            <w:r w:rsidRPr="00320E3E">
              <w:rPr>
                <w:rFonts w:eastAsia="Times New Roman"/>
                <w:sz w:val="16"/>
                <w:szCs w:val="24"/>
                <w:lang w:eastAsia="sv-SE"/>
              </w:rPr>
              <w:t>11 </w:t>
            </w:r>
            <w:r w:rsidR="00320E3E" w:rsidRPr="00320E3E">
              <w:rPr>
                <w:rFonts w:eastAsia="Times New Roman"/>
                <w:sz w:val="16"/>
                <w:szCs w:val="24"/>
                <w:lang w:eastAsia="sv-SE"/>
              </w:rPr>
              <w:t>386</w:t>
            </w:r>
          </w:p>
        </w:tc>
        <w:tc>
          <w:tcPr>
            <w:tcW w:w="833" w:type="dxa"/>
            <w:tcBorders>
              <w:bottom w:val="single" w:sz="4" w:space="0" w:color="auto"/>
            </w:tcBorders>
          </w:tcPr>
          <w:p w:rsidR="00DA64DA" w:rsidRPr="00320E3E" w:rsidRDefault="00DA64DA" w:rsidP="00DA64DA">
            <w:pPr>
              <w:spacing w:before="60" w:line="200" w:lineRule="exact"/>
              <w:jc w:val="right"/>
              <w:rPr>
                <w:rFonts w:eastAsia="Times New Roman"/>
                <w:sz w:val="16"/>
                <w:szCs w:val="24"/>
                <w:highlight w:val="yellow"/>
                <w:lang w:eastAsia="sv-SE"/>
              </w:rPr>
            </w:pPr>
            <w:r w:rsidRPr="00320E3E">
              <w:rPr>
                <w:rFonts w:eastAsia="Times New Roman"/>
                <w:sz w:val="16"/>
                <w:szCs w:val="24"/>
                <w:lang w:eastAsia="sv-SE"/>
              </w:rPr>
              <w:t>4</w:t>
            </w:r>
            <w:r w:rsidR="00846406" w:rsidRPr="00320E3E">
              <w:rPr>
                <w:rFonts w:eastAsia="Times New Roman"/>
                <w:sz w:val="16"/>
                <w:szCs w:val="24"/>
                <w:lang w:eastAsia="sv-SE"/>
              </w:rPr>
              <w:t>0</w:t>
            </w:r>
          </w:p>
        </w:tc>
        <w:tc>
          <w:tcPr>
            <w:tcW w:w="833" w:type="dxa"/>
            <w:tcBorders>
              <w:bottom w:val="single" w:sz="4" w:space="0" w:color="auto"/>
            </w:tcBorders>
          </w:tcPr>
          <w:p w:rsidR="00DA64DA" w:rsidRPr="00320E3E" w:rsidRDefault="00846406" w:rsidP="00DA64DA">
            <w:pPr>
              <w:spacing w:before="60" w:line="200" w:lineRule="exact"/>
              <w:jc w:val="right"/>
              <w:rPr>
                <w:rFonts w:eastAsia="Times New Roman"/>
                <w:sz w:val="16"/>
                <w:szCs w:val="24"/>
                <w:highlight w:val="yellow"/>
                <w:lang w:eastAsia="sv-SE"/>
              </w:rPr>
            </w:pPr>
            <w:r w:rsidRPr="00320E3E">
              <w:rPr>
                <w:rFonts w:eastAsia="Times New Roman"/>
                <w:sz w:val="16"/>
                <w:szCs w:val="24"/>
                <w:lang w:eastAsia="sv-SE"/>
              </w:rPr>
              <w:t>80</w:t>
            </w:r>
          </w:p>
        </w:tc>
        <w:tc>
          <w:tcPr>
            <w:tcW w:w="833" w:type="dxa"/>
            <w:tcBorders>
              <w:bottom w:val="single" w:sz="4" w:space="0" w:color="auto"/>
            </w:tcBorders>
          </w:tcPr>
          <w:p w:rsidR="009F336E" w:rsidRPr="00320E3E" w:rsidRDefault="00DA64DA" w:rsidP="002C7A9B">
            <w:pPr>
              <w:spacing w:before="60" w:line="200" w:lineRule="exact"/>
              <w:jc w:val="right"/>
              <w:rPr>
                <w:rFonts w:eastAsia="Times New Roman"/>
                <w:b/>
                <w:sz w:val="16"/>
                <w:szCs w:val="24"/>
                <w:lang w:eastAsia="sv-SE"/>
              </w:rPr>
            </w:pPr>
            <w:r w:rsidRPr="00320E3E">
              <w:rPr>
                <w:rFonts w:eastAsia="Times New Roman"/>
                <w:b/>
                <w:sz w:val="16"/>
                <w:szCs w:val="24"/>
                <w:lang w:eastAsia="sv-SE"/>
              </w:rPr>
              <w:t>1</w:t>
            </w:r>
            <w:r w:rsidR="00846406" w:rsidRPr="00320E3E">
              <w:rPr>
                <w:rFonts w:eastAsia="Times New Roman"/>
                <w:b/>
                <w:sz w:val="16"/>
                <w:szCs w:val="24"/>
                <w:lang w:eastAsia="sv-SE"/>
              </w:rPr>
              <w:t>5</w:t>
            </w:r>
            <w:r w:rsidR="009F336E" w:rsidRPr="00320E3E">
              <w:rPr>
                <w:rFonts w:eastAsia="Times New Roman"/>
                <w:b/>
                <w:sz w:val="16"/>
                <w:szCs w:val="24"/>
                <w:lang w:eastAsia="sv-SE"/>
              </w:rPr>
              <w:t> </w:t>
            </w:r>
            <w:r w:rsidR="00320E3E" w:rsidRPr="00320E3E">
              <w:rPr>
                <w:rFonts w:eastAsia="Times New Roman"/>
                <w:b/>
                <w:sz w:val="16"/>
                <w:szCs w:val="24"/>
                <w:lang w:eastAsia="sv-SE"/>
              </w:rPr>
              <w:t>81</w:t>
            </w:r>
            <w:r w:rsidR="00846406" w:rsidRPr="00320E3E">
              <w:rPr>
                <w:rFonts w:eastAsia="Times New Roman"/>
                <w:b/>
                <w:sz w:val="16"/>
                <w:szCs w:val="24"/>
                <w:lang w:eastAsia="sv-SE"/>
              </w:rPr>
              <w:t>8</w:t>
            </w:r>
          </w:p>
        </w:tc>
      </w:tr>
      <w:tr w:rsidR="002C7A9B" w:rsidRPr="00DA64DA" w:rsidTr="002C7A9B">
        <w:tc>
          <w:tcPr>
            <w:tcW w:w="833" w:type="dxa"/>
            <w:tcBorders>
              <w:top w:val="single" w:sz="4" w:space="0" w:color="auto"/>
              <w:bottom w:val="nil"/>
            </w:tcBorders>
          </w:tcPr>
          <w:p w:rsidR="002C7A9B" w:rsidRPr="00DA64DA" w:rsidRDefault="002C7A9B" w:rsidP="00DA64DA">
            <w:pPr>
              <w:spacing w:before="60" w:line="200" w:lineRule="exact"/>
              <w:jc w:val="left"/>
              <w:rPr>
                <w:rFonts w:eastAsia="Times New Roman"/>
                <w:sz w:val="16"/>
                <w:szCs w:val="24"/>
                <w:lang w:eastAsia="sv-SE"/>
              </w:rPr>
            </w:pPr>
            <w:r>
              <w:rPr>
                <w:rFonts w:eastAsia="Times New Roman"/>
                <w:sz w:val="16"/>
                <w:szCs w:val="24"/>
                <w:lang w:eastAsia="sv-SE"/>
              </w:rPr>
              <w:t>Totalt</w:t>
            </w:r>
          </w:p>
        </w:tc>
        <w:tc>
          <w:tcPr>
            <w:tcW w:w="833" w:type="dxa"/>
            <w:tcBorders>
              <w:top w:val="single" w:sz="4" w:space="0" w:color="auto"/>
              <w:bottom w:val="nil"/>
            </w:tcBorders>
          </w:tcPr>
          <w:p w:rsidR="002C7A9B" w:rsidRDefault="002C7A9B" w:rsidP="00DA64DA">
            <w:pPr>
              <w:spacing w:before="60" w:line="200" w:lineRule="exact"/>
              <w:jc w:val="right"/>
              <w:rPr>
                <w:rFonts w:eastAsia="Times New Roman"/>
                <w:sz w:val="16"/>
                <w:szCs w:val="24"/>
                <w:lang w:eastAsia="sv-SE"/>
              </w:rPr>
            </w:pPr>
          </w:p>
        </w:tc>
        <w:tc>
          <w:tcPr>
            <w:tcW w:w="833" w:type="dxa"/>
            <w:tcBorders>
              <w:top w:val="single" w:sz="4" w:space="0" w:color="auto"/>
              <w:bottom w:val="nil"/>
            </w:tcBorders>
          </w:tcPr>
          <w:p w:rsidR="002C7A9B" w:rsidRPr="00846406" w:rsidRDefault="002C7A9B" w:rsidP="00DA64DA">
            <w:pPr>
              <w:spacing w:before="60" w:line="200" w:lineRule="exact"/>
              <w:jc w:val="right"/>
              <w:rPr>
                <w:rFonts w:eastAsia="Times New Roman"/>
                <w:sz w:val="16"/>
                <w:szCs w:val="24"/>
                <w:lang w:eastAsia="sv-SE"/>
              </w:rPr>
            </w:pPr>
          </w:p>
        </w:tc>
        <w:tc>
          <w:tcPr>
            <w:tcW w:w="833" w:type="dxa"/>
            <w:tcBorders>
              <w:top w:val="single" w:sz="4" w:space="0" w:color="auto"/>
              <w:bottom w:val="nil"/>
            </w:tcBorders>
          </w:tcPr>
          <w:p w:rsidR="002C7A9B" w:rsidRDefault="002C7A9B" w:rsidP="00DA64DA">
            <w:pPr>
              <w:spacing w:before="60" w:line="200" w:lineRule="exact"/>
              <w:jc w:val="right"/>
              <w:rPr>
                <w:rFonts w:eastAsia="Times New Roman"/>
                <w:sz w:val="16"/>
                <w:szCs w:val="24"/>
                <w:lang w:eastAsia="sv-SE"/>
              </w:rPr>
            </w:pPr>
          </w:p>
        </w:tc>
        <w:tc>
          <w:tcPr>
            <w:tcW w:w="833" w:type="dxa"/>
            <w:tcBorders>
              <w:top w:val="single" w:sz="4" w:space="0" w:color="auto"/>
              <w:bottom w:val="nil"/>
            </w:tcBorders>
          </w:tcPr>
          <w:p w:rsidR="002C7A9B" w:rsidRPr="00846406" w:rsidRDefault="002C7A9B" w:rsidP="00DA64DA">
            <w:pPr>
              <w:spacing w:before="60" w:line="200" w:lineRule="exact"/>
              <w:jc w:val="right"/>
              <w:rPr>
                <w:rFonts w:eastAsia="Times New Roman"/>
                <w:sz w:val="16"/>
                <w:szCs w:val="24"/>
                <w:lang w:eastAsia="sv-SE"/>
              </w:rPr>
            </w:pPr>
          </w:p>
        </w:tc>
        <w:tc>
          <w:tcPr>
            <w:tcW w:w="833" w:type="dxa"/>
            <w:tcBorders>
              <w:top w:val="single" w:sz="4" w:space="0" w:color="auto"/>
              <w:bottom w:val="nil"/>
            </w:tcBorders>
          </w:tcPr>
          <w:p w:rsidR="002C7A9B" w:rsidRPr="0075364A" w:rsidRDefault="002C7A9B" w:rsidP="00DA64DA">
            <w:pPr>
              <w:spacing w:before="60" w:line="200" w:lineRule="exact"/>
              <w:jc w:val="right"/>
              <w:rPr>
                <w:rFonts w:eastAsia="Times New Roman"/>
                <w:sz w:val="16"/>
                <w:szCs w:val="24"/>
                <w:lang w:eastAsia="sv-SE"/>
              </w:rPr>
            </w:pPr>
          </w:p>
        </w:tc>
        <w:tc>
          <w:tcPr>
            <w:tcW w:w="833" w:type="dxa"/>
            <w:tcBorders>
              <w:top w:val="single" w:sz="4" w:space="0" w:color="auto"/>
              <w:bottom w:val="nil"/>
            </w:tcBorders>
          </w:tcPr>
          <w:p w:rsidR="002C7A9B" w:rsidRPr="0075364A" w:rsidRDefault="002C7A9B" w:rsidP="002C7A9B">
            <w:pPr>
              <w:spacing w:before="60" w:line="200" w:lineRule="exact"/>
              <w:jc w:val="right"/>
              <w:rPr>
                <w:rFonts w:eastAsia="Times New Roman"/>
                <w:b/>
                <w:sz w:val="16"/>
                <w:szCs w:val="24"/>
                <w:lang w:eastAsia="sv-SE"/>
              </w:rPr>
            </w:pPr>
          </w:p>
        </w:tc>
      </w:tr>
      <w:tr w:rsidR="00DA64DA" w:rsidRPr="00DA64DA" w:rsidTr="002C7A9B">
        <w:tc>
          <w:tcPr>
            <w:tcW w:w="833" w:type="dxa"/>
            <w:tcBorders>
              <w:top w:val="nil"/>
              <w:bottom w:val="single" w:sz="4" w:space="0" w:color="auto"/>
            </w:tcBorders>
          </w:tcPr>
          <w:p w:rsidR="00DA64DA" w:rsidRPr="00DA64DA" w:rsidRDefault="009F336E" w:rsidP="009F294A">
            <w:pPr>
              <w:spacing w:before="0" w:line="200" w:lineRule="exact"/>
              <w:jc w:val="left"/>
              <w:rPr>
                <w:rFonts w:eastAsia="Times New Roman"/>
                <w:b/>
                <w:sz w:val="16"/>
                <w:szCs w:val="24"/>
                <w:lang w:eastAsia="sv-SE"/>
              </w:rPr>
            </w:pPr>
            <w:r>
              <w:rPr>
                <w:rFonts w:eastAsia="Times New Roman"/>
                <w:b/>
                <w:sz w:val="16"/>
                <w:szCs w:val="24"/>
                <w:lang w:eastAsia="sv-SE"/>
              </w:rPr>
              <w:t>2016</w:t>
            </w:r>
          </w:p>
        </w:tc>
        <w:tc>
          <w:tcPr>
            <w:tcW w:w="833" w:type="dxa"/>
            <w:tcBorders>
              <w:top w:val="nil"/>
              <w:bottom w:val="single" w:sz="4" w:space="0" w:color="auto"/>
            </w:tcBorders>
            <w:vAlign w:val="bottom"/>
          </w:tcPr>
          <w:p w:rsidR="00DA64DA" w:rsidRPr="00E86EB4" w:rsidRDefault="001D23EF" w:rsidP="001D23EF">
            <w:pPr>
              <w:spacing w:before="0" w:line="200" w:lineRule="exact"/>
              <w:jc w:val="right"/>
              <w:rPr>
                <w:rFonts w:eastAsia="Times New Roman"/>
                <w:b/>
                <w:sz w:val="16"/>
                <w:szCs w:val="24"/>
                <w:highlight w:val="yellow"/>
                <w:lang w:eastAsia="sv-SE"/>
              </w:rPr>
            </w:pPr>
            <w:r>
              <w:rPr>
                <w:rFonts w:eastAsia="Times New Roman"/>
                <w:b/>
                <w:sz w:val="16"/>
                <w:szCs w:val="24"/>
                <w:lang w:eastAsia="sv-SE"/>
              </w:rPr>
              <w:t>23 800</w:t>
            </w:r>
          </w:p>
        </w:tc>
        <w:tc>
          <w:tcPr>
            <w:tcW w:w="833" w:type="dxa"/>
            <w:tcBorders>
              <w:top w:val="nil"/>
              <w:bottom w:val="single" w:sz="4" w:space="0" w:color="auto"/>
            </w:tcBorders>
            <w:vAlign w:val="bottom"/>
          </w:tcPr>
          <w:p w:rsidR="00DA64DA" w:rsidRPr="00BD0AC0" w:rsidRDefault="00805C9F" w:rsidP="009F294A">
            <w:pPr>
              <w:spacing w:before="0" w:line="200" w:lineRule="exact"/>
              <w:jc w:val="right"/>
              <w:rPr>
                <w:rFonts w:eastAsia="Times New Roman"/>
                <w:b/>
                <w:sz w:val="16"/>
                <w:szCs w:val="24"/>
                <w:lang w:eastAsia="sv-SE"/>
              </w:rPr>
            </w:pPr>
            <w:r>
              <w:rPr>
                <w:rFonts w:eastAsia="Times New Roman"/>
                <w:b/>
                <w:sz w:val="16"/>
                <w:szCs w:val="24"/>
                <w:lang w:eastAsia="sv-SE"/>
              </w:rPr>
              <w:t>19 893</w:t>
            </w:r>
          </w:p>
        </w:tc>
        <w:tc>
          <w:tcPr>
            <w:tcW w:w="833" w:type="dxa"/>
            <w:tcBorders>
              <w:top w:val="nil"/>
              <w:bottom w:val="single" w:sz="4" w:space="0" w:color="auto"/>
            </w:tcBorders>
            <w:vAlign w:val="bottom"/>
          </w:tcPr>
          <w:p w:rsidR="00DA64DA" w:rsidRPr="00BD0AC0" w:rsidRDefault="00320E3E" w:rsidP="009F294A">
            <w:pPr>
              <w:spacing w:before="0" w:line="200" w:lineRule="exact"/>
              <w:jc w:val="right"/>
              <w:rPr>
                <w:rFonts w:eastAsia="Times New Roman"/>
                <w:b/>
                <w:sz w:val="16"/>
                <w:szCs w:val="24"/>
                <w:lang w:eastAsia="sv-SE"/>
              </w:rPr>
            </w:pPr>
            <w:r>
              <w:rPr>
                <w:rFonts w:eastAsia="Times New Roman"/>
                <w:b/>
                <w:sz w:val="16"/>
                <w:szCs w:val="24"/>
                <w:lang w:eastAsia="sv-SE"/>
              </w:rPr>
              <w:t>247 637</w:t>
            </w:r>
          </w:p>
        </w:tc>
        <w:tc>
          <w:tcPr>
            <w:tcW w:w="833" w:type="dxa"/>
            <w:tcBorders>
              <w:top w:val="nil"/>
              <w:bottom w:val="single" w:sz="4" w:space="0" w:color="auto"/>
            </w:tcBorders>
            <w:vAlign w:val="bottom"/>
          </w:tcPr>
          <w:p w:rsidR="00DA64DA" w:rsidRPr="00BD0AC0" w:rsidRDefault="00320E3E" w:rsidP="009F294A">
            <w:pPr>
              <w:spacing w:before="0" w:line="200" w:lineRule="exact"/>
              <w:jc w:val="right"/>
              <w:rPr>
                <w:rFonts w:eastAsia="Times New Roman"/>
                <w:b/>
                <w:sz w:val="16"/>
                <w:szCs w:val="24"/>
                <w:lang w:eastAsia="sv-SE"/>
              </w:rPr>
            </w:pPr>
            <w:r>
              <w:rPr>
                <w:rFonts w:eastAsia="Times New Roman"/>
                <w:b/>
                <w:sz w:val="16"/>
                <w:szCs w:val="24"/>
                <w:lang w:eastAsia="sv-SE"/>
              </w:rPr>
              <w:t>870</w:t>
            </w:r>
          </w:p>
        </w:tc>
        <w:tc>
          <w:tcPr>
            <w:tcW w:w="833" w:type="dxa"/>
            <w:tcBorders>
              <w:top w:val="nil"/>
              <w:bottom w:val="single" w:sz="4" w:space="0" w:color="auto"/>
            </w:tcBorders>
            <w:vAlign w:val="bottom"/>
          </w:tcPr>
          <w:p w:rsidR="00DA64DA" w:rsidRPr="00BD0AC0" w:rsidRDefault="00320E3E" w:rsidP="009F294A">
            <w:pPr>
              <w:spacing w:before="0" w:line="200" w:lineRule="exact"/>
              <w:jc w:val="right"/>
              <w:rPr>
                <w:rFonts w:eastAsia="Times New Roman"/>
                <w:b/>
                <w:sz w:val="16"/>
                <w:szCs w:val="24"/>
                <w:lang w:eastAsia="sv-SE"/>
              </w:rPr>
            </w:pPr>
            <w:r>
              <w:rPr>
                <w:rFonts w:eastAsia="Times New Roman"/>
                <w:b/>
                <w:sz w:val="16"/>
                <w:szCs w:val="24"/>
                <w:lang w:eastAsia="sv-SE"/>
              </w:rPr>
              <w:t>1 260</w:t>
            </w:r>
          </w:p>
        </w:tc>
        <w:tc>
          <w:tcPr>
            <w:tcW w:w="833" w:type="dxa"/>
            <w:tcBorders>
              <w:top w:val="nil"/>
              <w:bottom w:val="single" w:sz="4" w:space="0" w:color="auto"/>
            </w:tcBorders>
            <w:vAlign w:val="bottom"/>
          </w:tcPr>
          <w:p w:rsidR="00DA64DA" w:rsidRPr="00BD0AC0" w:rsidRDefault="00320E3E" w:rsidP="009F294A">
            <w:pPr>
              <w:spacing w:before="0" w:line="200" w:lineRule="exact"/>
              <w:jc w:val="right"/>
              <w:rPr>
                <w:rFonts w:eastAsia="Times New Roman"/>
                <w:b/>
                <w:sz w:val="16"/>
                <w:szCs w:val="24"/>
                <w:lang w:eastAsia="sv-SE"/>
              </w:rPr>
            </w:pPr>
            <w:r>
              <w:rPr>
                <w:rFonts w:eastAsia="Times New Roman"/>
                <w:b/>
                <w:sz w:val="16"/>
                <w:szCs w:val="24"/>
                <w:lang w:eastAsia="sv-SE"/>
              </w:rPr>
              <w:t>293 460</w:t>
            </w:r>
          </w:p>
        </w:tc>
      </w:tr>
      <w:tr w:rsidR="009F336E" w:rsidRPr="00E86EB4" w:rsidTr="002E6E3E">
        <w:tc>
          <w:tcPr>
            <w:tcW w:w="833" w:type="dxa"/>
            <w:tcBorders>
              <w:top w:val="nil"/>
              <w:bottom w:val="single" w:sz="4" w:space="0" w:color="auto"/>
            </w:tcBorders>
          </w:tcPr>
          <w:p w:rsidR="009F336E" w:rsidRPr="00836244" w:rsidRDefault="009F336E" w:rsidP="002E6E3E">
            <w:pPr>
              <w:spacing w:before="60" w:line="200" w:lineRule="exact"/>
              <w:jc w:val="left"/>
              <w:rPr>
                <w:rFonts w:eastAsia="Times New Roman"/>
                <w:b/>
                <w:i/>
                <w:sz w:val="16"/>
                <w:szCs w:val="24"/>
                <w:lang w:eastAsia="sv-SE"/>
              </w:rPr>
            </w:pPr>
            <w:r w:rsidRPr="00836244">
              <w:rPr>
                <w:rFonts w:eastAsia="Times New Roman"/>
                <w:b/>
                <w:i/>
                <w:sz w:val="16"/>
                <w:szCs w:val="24"/>
                <w:lang w:eastAsia="sv-SE"/>
              </w:rPr>
              <w:t>2015</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23 800</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19 893</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244 113</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873</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1 260</w:t>
            </w:r>
          </w:p>
        </w:tc>
        <w:tc>
          <w:tcPr>
            <w:tcW w:w="833" w:type="dxa"/>
            <w:tcBorders>
              <w:top w:val="nil"/>
              <w:bottom w:val="single" w:sz="4" w:space="0" w:color="auto"/>
            </w:tcBorders>
            <w:vAlign w:val="bottom"/>
          </w:tcPr>
          <w:p w:rsidR="009F336E" w:rsidRPr="00836244" w:rsidRDefault="009F336E" w:rsidP="002E6E3E">
            <w:pPr>
              <w:spacing w:before="60" w:line="200" w:lineRule="exact"/>
              <w:jc w:val="right"/>
              <w:rPr>
                <w:rFonts w:eastAsia="Times New Roman"/>
                <w:b/>
                <w:i/>
                <w:sz w:val="16"/>
                <w:szCs w:val="24"/>
                <w:highlight w:val="yellow"/>
                <w:lang w:eastAsia="sv-SE"/>
              </w:rPr>
            </w:pPr>
            <w:r w:rsidRPr="00836244">
              <w:rPr>
                <w:rFonts w:eastAsia="Times New Roman"/>
                <w:b/>
                <w:i/>
                <w:sz w:val="16"/>
                <w:szCs w:val="24"/>
                <w:lang w:eastAsia="sv-SE"/>
              </w:rPr>
              <w:t>289 939</w:t>
            </w:r>
          </w:p>
        </w:tc>
      </w:tr>
      <w:tr w:rsidR="009F336E" w:rsidRPr="00DA64DA" w:rsidTr="00284485">
        <w:tc>
          <w:tcPr>
            <w:tcW w:w="833" w:type="dxa"/>
            <w:tcBorders>
              <w:top w:val="single" w:sz="4" w:space="0" w:color="auto"/>
            </w:tcBorders>
          </w:tcPr>
          <w:p w:rsidR="009F336E" w:rsidRPr="00836244" w:rsidRDefault="009F336E" w:rsidP="009F336E">
            <w:pPr>
              <w:spacing w:before="60" w:line="200" w:lineRule="exact"/>
              <w:jc w:val="left"/>
              <w:rPr>
                <w:rFonts w:eastAsia="Times New Roman"/>
                <w:b/>
                <w:i/>
                <w:sz w:val="16"/>
                <w:szCs w:val="24"/>
                <w:lang w:eastAsia="sv-SE"/>
              </w:rPr>
            </w:pPr>
            <w:r w:rsidRPr="00836244">
              <w:rPr>
                <w:rFonts w:eastAsia="Times New Roman"/>
                <w:b/>
                <w:i/>
                <w:sz w:val="16"/>
                <w:szCs w:val="24"/>
                <w:lang w:eastAsia="sv-SE"/>
              </w:rPr>
              <w:t>2014</w:t>
            </w:r>
          </w:p>
        </w:tc>
        <w:tc>
          <w:tcPr>
            <w:tcW w:w="833" w:type="dxa"/>
            <w:tcBorders>
              <w:top w:val="single" w:sz="4" w:space="0" w:color="auto"/>
            </w:tcBorders>
          </w:tcPr>
          <w:p w:rsidR="009F336E" w:rsidRPr="00641B75" w:rsidRDefault="009F336E" w:rsidP="009F336E">
            <w:pPr>
              <w:spacing w:before="60" w:line="200" w:lineRule="exact"/>
              <w:jc w:val="right"/>
              <w:rPr>
                <w:rFonts w:eastAsia="Times New Roman"/>
                <w:b/>
                <w:i/>
                <w:sz w:val="16"/>
                <w:szCs w:val="24"/>
                <w:lang w:eastAsia="sv-SE"/>
              </w:rPr>
            </w:pPr>
            <w:r w:rsidRPr="00641B75">
              <w:rPr>
                <w:rFonts w:eastAsia="Times New Roman"/>
                <w:b/>
                <w:i/>
                <w:sz w:val="16"/>
                <w:szCs w:val="24"/>
                <w:lang w:eastAsia="sv-SE"/>
              </w:rPr>
              <w:t>22 100</w:t>
            </w:r>
          </w:p>
        </w:tc>
        <w:tc>
          <w:tcPr>
            <w:tcW w:w="833" w:type="dxa"/>
            <w:tcBorders>
              <w:top w:val="single" w:sz="4" w:space="0" w:color="auto"/>
            </w:tcBorders>
          </w:tcPr>
          <w:p w:rsidR="009F336E" w:rsidRPr="002C7A9B" w:rsidRDefault="009F336E" w:rsidP="009F336E">
            <w:pPr>
              <w:spacing w:before="60" w:line="200" w:lineRule="exact"/>
              <w:jc w:val="right"/>
              <w:rPr>
                <w:rFonts w:eastAsia="Times New Roman"/>
                <w:b/>
                <w:i/>
                <w:sz w:val="16"/>
                <w:szCs w:val="24"/>
                <w:lang w:eastAsia="sv-SE"/>
              </w:rPr>
            </w:pPr>
            <w:r w:rsidRPr="002C7A9B">
              <w:rPr>
                <w:rFonts w:eastAsia="Times New Roman"/>
                <w:b/>
                <w:i/>
                <w:sz w:val="16"/>
                <w:szCs w:val="24"/>
                <w:lang w:eastAsia="sv-SE"/>
              </w:rPr>
              <w:t>20 045</w:t>
            </w:r>
          </w:p>
        </w:tc>
        <w:tc>
          <w:tcPr>
            <w:tcW w:w="833" w:type="dxa"/>
            <w:tcBorders>
              <w:top w:val="single" w:sz="4" w:space="0" w:color="auto"/>
            </w:tcBorders>
          </w:tcPr>
          <w:p w:rsidR="009F336E" w:rsidRPr="00B844B0" w:rsidRDefault="009F336E" w:rsidP="009F336E">
            <w:pPr>
              <w:spacing w:before="60" w:line="200" w:lineRule="exact"/>
              <w:jc w:val="right"/>
              <w:rPr>
                <w:rFonts w:eastAsia="Times New Roman"/>
                <w:b/>
                <w:i/>
                <w:sz w:val="16"/>
                <w:szCs w:val="24"/>
                <w:lang w:eastAsia="sv-SE"/>
              </w:rPr>
            </w:pPr>
            <w:r w:rsidRPr="00B844B0">
              <w:rPr>
                <w:rFonts w:eastAsia="Times New Roman"/>
                <w:b/>
                <w:i/>
                <w:sz w:val="16"/>
                <w:szCs w:val="24"/>
                <w:lang w:eastAsia="sv-SE"/>
              </w:rPr>
              <w:t>244 285</w:t>
            </w:r>
          </w:p>
        </w:tc>
        <w:tc>
          <w:tcPr>
            <w:tcW w:w="833" w:type="dxa"/>
            <w:tcBorders>
              <w:top w:val="single" w:sz="4" w:space="0" w:color="auto"/>
            </w:tcBorders>
          </w:tcPr>
          <w:p w:rsidR="009F336E" w:rsidRPr="00B844B0" w:rsidRDefault="009F336E" w:rsidP="009F336E">
            <w:pPr>
              <w:spacing w:before="60" w:line="200" w:lineRule="exact"/>
              <w:jc w:val="right"/>
              <w:rPr>
                <w:rFonts w:eastAsia="Times New Roman"/>
                <w:b/>
                <w:i/>
                <w:sz w:val="16"/>
                <w:szCs w:val="24"/>
                <w:lang w:eastAsia="sv-SE"/>
              </w:rPr>
            </w:pPr>
            <w:r w:rsidRPr="00B844B0">
              <w:rPr>
                <w:rFonts w:eastAsia="Times New Roman"/>
                <w:b/>
                <w:i/>
                <w:sz w:val="16"/>
                <w:szCs w:val="24"/>
                <w:lang w:eastAsia="sv-SE"/>
              </w:rPr>
              <w:t>873</w:t>
            </w:r>
          </w:p>
        </w:tc>
        <w:tc>
          <w:tcPr>
            <w:tcW w:w="833" w:type="dxa"/>
            <w:tcBorders>
              <w:top w:val="single" w:sz="4" w:space="0" w:color="auto"/>
            </w:tcBorders>
          </w:tcPr>
          <w:p w:rsidR="009F336E" w:rsidRPr="00B844B0" w:rsidRDefault="009B52B0" w:rsidP="009F336E">
            <w:pPr>
              <w:spacing w:before="60" w:line="200" w:lineRule="exact"/>
              <w:jc w:val="right"/>
              <w:rPr>
                <w:rFonts w:eastAsia="Times New Roman"/>
                <w:b/>
                <w:i/>
                <w:sz w:val="16"/>
                <w:szCs w:val="24"/>
                <w:lang w:eastAsia="sv-SE"/>
              </w:rPr>
            </w:pPr>
            <w:r>
              <w:rPr>
                <w:rFonts w:eastAsia="Times New Roman"/>
                <w:b/>
                <w:i/>
                <w:sz w:val="16"/>
                <w:szCs w:val="24"/>
                <w:lang w:eastAsia="sv-SE"/>
              </w:rPr>
              <w:t>1 </w:t>
            </w:r>
            <w:r w:rsidR="009F336E" w:rsidRPr="00B844B0">
              <w:rPr>
                <w:rFonts w:eastAsia="Times New Roman"/>
                <w:b/>
                <w:i/>
                <w:sz w:val="16"/>
                <w:szCs w:val="24"/>
                <w:lang w:eastAsia="sv-SE"/>
              </w:rPr>
              <w:t>266</w:t>
            </w:r>
          </w:p>
        </w:tc>
        <w:tc>
          <w:tcPr>
            <w:tcW w:w="833" w:type="dxa"/>
            <w:tcBorders>
              <w:top w:val="single" w:sz="4" w:space="0" w:color="auto"/>
            </w:tcBorders>
          </w:tcPr>
          <w:p w:rsidR="009F336E" w:rsidRPr="00B844B0" w:rsidRDefault="009B52B0" w:rsidP="009F336E">
            <w:pPr>
              <w:spacing w:before="60" w:line="200" w:lineRule="exact"/>
              <w:jc w:val="right"/>
              <w:rPr>
                <w:rFonts w:eastAsia="Times New Roman"/>
                <w:b/>
                <w:i/>
                <w:sz w:val="16"/>
                <w:szCs w:val="24"/>
                <w:lang w:eastAsia="sv-SE"/>
              </w:rPr>
            </w:pPr>
            <w:r>
              <w:rPr>
                <w:rFonts w:eastAsia="Times New Roman"/>
                <w:b/>
                <w:i/>
                <w:sz w:val="16"/>
                <w:szCs w:val="24"/>
                <w:lang w:eastAsia="sv-SE"/>
              </w:rPr>
              <w:t>288 </w:t>
            </w:r>
            <w:r w:rsidR="009F336E" w:rsidRPr="00B844B0">
              <w:rPr>
                <w:rFonts w:eastAsia="Times New Roman"/>
                <w:b/>
                <w:i/>
                <w:sz w:val="16"/>
                <w:szCs w:val="24"/>
                <w:lang w:eastAsia="sv-SE"/>
              </w:rPr>
              <w:t>569</w:t>
            </w:r>
          </w:p>
        </w:tc>
      </w:tr>
    </w:tbl>
    <w:p w:rsidR="00594C7B" w:rsidRPr="003A01B2" w:rsidRDefault="00594C7B" w:rsidP="00DA64DA">
      <w:pPr>
        <w:pStyle w:val="Rubrik4"/>
      </w:pPr>
      <w:r w:rsidRPr="003A01B2">
        <w:t>Utredningstjänster</w:t>
      </w:r>
    </w:p>
    <w:p w:rsidR="00594C7B" w:rsidRPr="003A01B2" w:rsidRDefault="00594C7B" w:rsidP="00594C7B">
      <w:r w:rsidRPr="003A01B2">
        <w:t xml:space="preserve">Förvaltningen (riksdagens utredningstjänst) gör utredningar på uppdrag av framför allt ledamöter och partikanslier. </w:t>
      </w:r>
      <w:r w:rsidR="00293F60" w:rsidRPr="003A01B2">
        <w:t>Förvaltningen har under 201</w:t>
      </w:r>
      <w:r w:rsidR="003A01B2" w:rsidRPr="003A01B2">
        <w:t>6 tagit emot 2 185</w:t>
      </w:r>
      <w:r w:rsidR="00293F60" w:rsidRPr="003A01B2">
        <w:t xml:space="preserve"> uppdrag</w:t>
      </w:r>
      <w:r w:rsidRPr="003A01B2">
        <w:t xml:space="preserve">. Detta kan jämföras med </w:t>
      </w:r>
      <w:r w:rsidR="003A01B2" w:rsidRPr="003A01B2">
        <w:t>2 118 uppdrag 2015 och 1 766 uppdrag 2014</w:t>
      </w:r>
      <w:r w:rsidRPr="003A01B2">
        <w:t xml:space="preserve">. </w:t>
      </w:r>
    </w:p>
    <w:p w:rsidR="005B0E21" w:rsidRDefault="00EA3DAB" w:rsidP="005B0E21">
      <w:pPr>
        <w:pStyle w:val="Normaltindrag"/>
      </w:pPr>
      <w:r w:rsidRPr="00EA3DAB">
        <w:t>T</w:t>
      </w:r>
      <w:r w:rsidR="00831F91" w:rsidRPr="00EA3DAB">
        <w:t xml:space="preserve">vå tredjedelar av uppdragen kommer från partikanslierna. </w:t>
      </w:r>
      <w:r w:rsidRPr="00EA3DAB">
        <w:t>En femt</w:t>
      </w:r>
      <w:r w:rsidR="00831F91" w:rsidRPr="00EA3DAB">
        <w:t>edel kommer från enskilda ledamöter. Drygt en tiondel av uppdragen kommer från utländska parlament. Fördelningen på olika uppdragsgivare har varit relativt stabil de senaste tre åren.</w:t>
      </w:r>
    </w:p>
    <w:p w:rsidR="005B0E21" w:rsidRDefault="005B0E21">
      <w:pPr>
        <w:spacing w:before="0" w:after="200" w:line="276" w:lineRule="auto"/>
        <w:jc w:val="left"/>
      </w:pPr>
      <w:r>
        <w:br w:type="page"/>
      </w:r>
    </w:p>
    <w:p w:rsidR="005D3678" w:rsidRPr="005D3678" w:rsidRDefault="005D3678" w:rsidP="005D3678">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D3678">
        <w:rPr>
          <w:rFonts w:eastAsiaTheme="majorEastAsia" w:cstheme="majorBidi"/>
          <w:b/>
        </w:rPr>
        <w:lastRenderedPageBreak/>
        <w:t>Tabell 1</w:t>
      </w:r>
      <w:r w:rsidR="00F52B51">
        <w:rPr>
          <w:rFonts w:eastAsiaTheme="majorEastAsia" w:cstheme="majorBidi"/>
          <w:b/>
        </w:rPr>
        <w:t>5</w:t>
      </w:r>
      <w:r w:rsidRPr="005D3678">
        <w:rPr>
          <w:rFonts w:eastAsiaTheme="majorEastAsia" w:cstheme="majorBidi"/>
          <w:b/>
        </w:rPr>
        <w:t xml:space="preserve"> Fördelningen av </w:t>
      </w:r>
      <w:r w:rsidR="008927AF">
        <w:rPr>
          <w:rFonts w:eastAsiaTheme="majorEastAsia" w:cstheme="majorBidi"/>
          <w:b/>
        </w:rPr>
        <w:t xml:space="preserve">inkomna </w:t>
      </w:r>
      <w:r w:rsidRPr="005D3678">
        <w:rPr>
          <w:rFonts w:eastAsiaTheme="majorEastAsia" w:cstheme="majorBidi"/>
          <w:b/>
        </w:rPr>
        <w:t>utredningsuppdrag, antal och procent</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9"/>
        <w:gridCol w:w="567"/>
        <w:gridCol w:w="850"/>
        <w:gridCol w:w="567"/>
        <w:gridCol w:w="709"/>
        <w:gridCol w:w="591"/>
      </w:tblGrid>
      <w:tr w:rsidR="005D3678" w:rsidRPr="005D3678" w:rsidTr="00097D91">
        <w:tc>
          <w:tcPr>
            <w:tcW w:w="1838"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rPr>
                <w:rFonts w:eastAsia="Times New Roman"/>
                <w:b/>
                <w:sz w:val="16"/>
                <w:szCs w:val="16"/>
                <w:lang w:eastAsia="sv-SE"/>
              </w:rPr>
            </w:pPr>
            <w:r w:rsidRPr="005D3678">
              <w:rPr>
                <w:rFonts w:eastAsia="Times New Roman"/>
                <w:b/>
                <w:sz w:val="16"/>
                <w:szCs w:val="16"/>
                <w:lang w:eastAsia="sv-SE"/>
              </w:rPr>
              <w:t>Uppdragsgivare</w:t>
            </w:r>
          </w:p>
        </w:tc>
        <w:tc>
          <w:tcPr>
            <w:tcW w:w="709"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D33E58">
              <w:rPr>
                <w:rFonts w:eastAsia="Times New Roman"/>
                <w:b/>
                <w:sz w:val="16"/>
                <w:szCs w:val="16"/>
                <w:lang w:eastAsia="sv-SE"/>
              </w:rPr>
              <w:t>6</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67"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c>
          <w:tcPr>
            <w:tcW w:w="850"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D33E58">
              <w:rPr>
                <w:rFonts w:eastAsia="Times New Roman"/>
                <w:b/>
                <w:sz w:val="16"/>
                <w:szCs w:val="16"/>
                <w:lang w:eastAsia="sv-SE"/>
              </w:rPr>
              <w:t>5</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67"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c>
          <w:tcPr>
            <w:tcW w:w="709"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sidR="00D33E58">
              <w:rPr>
                <w:rFonts w:eastAsia="Times New Roman"/>
                <w:b/>
                <w:sz w:val="16"/>
                <w:szCs w:val="16"/>
                <w:lang w:eastAsia="sv-SE"/>
              </w:rPr>
              <w:t>4</w:t>
            </w:r>
          </w:p>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Antal</w:t>
            </w:r>
          </w:p>
        </w:tc>
        <w:tc>
          <w:tcPr>
            <w:tcW w:w="591" w:type="dxa"/>
            <w:tcBorders>
              <w:top w:val="single" w:sz="4" w:space="0" w:color="auto"/>
              <w:bottom w:val="single" w:sz="4" w:space="0" w:color="auto"/>
            </w:tcBorders>
          </w:tcPr>
          <w:p w:rsidR="005D3678" w:rsidRPr="005D3678" w:rsidRDefault="005D3678" w:rsidP="005D3678">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w:t>
            </w:r>
          </w:p>
        </w:tc>
      </w:tr>
      <w:tr w:rsidR="00D33E58" w:rsidRPr="005D3678" w:rsidTr="00097D91">
        <w:tc>
          <w:tcPr>
            <w:tcW w:w="1838" w:type="dxa"/>
            <w:tcBorders>
              <w:top w:val="single" w:sz="4" w:space="0" w:color="auto"/>
            </w:tcBorders>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Ledamöter</w:t>
            </w:r>
          </w:p>
        </w:tc>
        <w:tc>
          <w:tcPr>
            <w:tcW w:w="709" w:type="dxa"/>
            <w:tcBorders>
              <w:top w:val="single" w:sz="4" w:space="0" w:color="auto"/>
            </w:tcBorders>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430</w:t>
            </w:r>
          </w:p>
        </w:tc>
        <w:tc>
          <w:tcPr>
            <w:tcW w:w="567" w:type="dxa"/>
            <w:tcBorders>
              <w:top w:val="single" w:sz="4" w:space="0" w:color="auto"/>
            </w:tcBorders>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20</w:t>
            </w:r>
          </w:p>
        </w:tc>
        <w:tc>
          <w:tcPr>
            <w:tcW w:w="850" w:type="dxa"/>
            <w:tcBorders>
              <w:top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497</w:t>
            </w:r>
          </w:p>
        </w:tc>
        <w:tc>
          <w:tcPr>
            <w:tcW w:w="567" w:type="dxa"/>
            <w:tcBorders>
              <w:top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23</w:t>
            </w:r>
          </w:p>
        </w:tc>
        <w:tc>
          <w:tcPr>
            <w:tcW w:w="709" w:type="dxa"/>
            <w:tcBorders>
              <w:top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394</w:t>
            </w:r>
          </w:p>
        </w:tc>
        <w:tc>
          <w:tcPr>
            <w:tcW w:w="591" w:type="dxa"/>
            <w:tcBorders>
              <w:top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sidRPr="005D3678">
              <w:rPr>
                <w:rFonts w:eastAsia="Times New Roman"/>
                <w:sz w:val="16"/>
                <w:szCs w:val="24"/>
                <w:lang w:eastAsia="sv-SE"/>
              </w:rPr>
              <w:t>2</w:t>
            </w:r>
            <w:r>
              <w:rPr>
                <w:rFonts w:eastAsia="Times New Roman"/>
                <w:sz w:val="16"/>
                <w:szCs w:val="24"/>
                <w:lang w:eastAsia="sv-SE"/>
              </w:rPr>
              <w:t>2</w:t>
            </w:r>
          </w:p>
        </w:tc>
      </w:tr>
      <w:tr w:rsidR="00D33E58" w:rsidRPr="005D3678" w:rsidTr="00097D91">
        <w:tc>
          <w:tcPr>
            <w:tcW w:w="1838" w:type="dxa"/>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Partikanslier</w:t>
            </w:r>
          </w:p>
        </w:tc>
        <w:tc>
          <w:tcPr>
            <w:tcW w:w="709" w:type="dxa"/>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1 441</w:t>
            </w:r>
          </w:p>
        </w:tc>
        <w:tc>
          <w:tcPr>
            <w:tcW w:w="567" w:type="dxa"/>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66</w:t>
            </w:r>
          </w:p>
        </w:tc>
        <w:tc>
          <w:tcPr>
            <w:tcW w:w="850"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1 288</w:t>
            </w:r>
          </w:p>
        </w:tc>
        <w:tc>
          <w:tcPr>
            <w:tcW w:w="567"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61</w:t>
            </w:r>
          </w:p>
        </w:tc>
        <w:tc>
          <w:tcPr>
            <w:tcW w:w="709" w:type="dxa"/>
          </w:tcPr>
          <w:p w:rsidR="00D33E58" w:rsidRPr="005D3678" w:rsidRDefault="00663E59" w:rsidP="00D33E58">
            <w:pPr>
              <w:spacing w:before="60" w:line="200" w:lineRule="exact"/>
              <w:jc w:val="right"/>
              <w:rPr>
                <w:rFonts w:eastAsia="Times New Roman"/>
                <w:sz w:val="16"/>
                <w:szCs w:val="24"/>
                <w:lang w:eastAsia="sv-SE"/>
              </w:rPr>
            </w:pPr>
            <w:r>
              <w:rPr>
                <w:rFonts w:eastAsia="Times New Roman"/>
                <w:sz w:val="16"/>
                <w:szCs w:val="24"/>
                <w:lang w:eastAsia="sv-SE"/>
              </w:rPr>
              <w:t>1 </w:t>
            </w:r>
            <w:r w:rsidR="00D33E58">
              <w:rPr>
                <w:rFonts w:eastAsia="Times New Roman"/>
                <w:sz w:val="16"/>
                <w:szCs w:val="24"/>
                <w:lang w:eastAsia="sv-SE"/>
              </w:rPr>
              <w:t>039</w:t>
            </w:r>
          </w:p>
        </w:tc>
        <w:tc>
          <w:tcPr>
            <w:tcW w:w="591"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59</w:t>
            </w:r>
          </w:p>
        </w:tc>
      </w:tr>
      <w:tr w:rsidR="00D33E58" w:rsidRPr="005D3678" w:rsidTr="00097D91">
        <w:tc>
          <w:tcPr>
            <w:tcW w:w="1838" w:type="dxa"/>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Utskott</w:t>
            </w:r>
            <w:r w:rsidRPr="005D3678">
              <w:rPr>
                <w:rFonts w:eastAsia="Times New Roman"/>
                <w:sz w:val="16"/>
                <w:szCs w:val="16"/>
                <w:vertAlign w:val="superscript"/>
                <w:lang w:eastAsia="sv-SE"/>
              </w:rPr>
              <w:footnoteReference w:id="29"/>
            </w:r>
          </w:p>
        </w:tc>
        <w:tc>
          <w:tcPr>
            <w:tcW w:w="709" w:type="dxa"/>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3</w:t>
            </w:r>
          </w:p>
        </w:tc>
        <w:tc>
          <w:tcPr>
            <w:tcW w:w="567" w:type="dxa"/>
          </w:tcPr>
          <w:p w:rsidR="00D33E58" w:rsidRPr="005D3678" w:rsidRDefault="008927AF" w:rsidP="00D33E58">
            <w:pPr>
              <w:spacing w:before="60" w:line="200" w:lineRule="exact"/>
              <w:jc w:val="right"/>
              <w:rPr>
                <w:rFonts w:eastAsia="Times New Roman"/>
                <w:sz w:val="16"/>
                <w:szCs w:val="24"/>
                <w:lang w:eastAsia="sv-SE"/>
              </w:rPr>
            </w:pPr>
            <w:r>
              <w:rPr>
                <w:rFonts w:eastAsia="Times New Roman"/>
                <w:sz w:val="16"/>
                <w:szCs w:val="24"/>
                <w:lang w:eastAsia="sv-SE"/>
              </w:rPr>
              <w:t>0</w:t>
            </w:r>
          </w:p>
        </w:tc>
        <w:tc>
          <w:tcPr>
            <w:tcW w:w="850"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11</w:t>
            </w:r>
            <w:r w:rsidRPr="005D3678">
              <w:rPr>
                <w:rFonts w:eastAsia="Times New Roman"/>
                <w:sz w:val="16"/>
                <w:szCs w:val="24"/>
                <w:lang w:eastAsia="sv-SE"/>
              </w:rPr>
              <w:t xml:space="preserve"> </w:t>
            </w:r>
          </w:p>
        </w:tc>
        <w:tc>
          <w:tcPr>
            <w:tcW w:w="567"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w:t>
            </w:r>
          </w:p>
        </w:tc>
        <w:tc>
          <w:tcPr>
            <w:tcW w:w="709"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13</w:t>
            </w:r>
          </w:p>
        </w:tc>
        <w:tc>
          <w:tcPr>
            <w:tcW w:w="591"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w:t>
            </w:r>
          </w:p>
        </w:tc>
      </w:tr>
      <w:tr w:rsidR="00D33E58" w:rsidRPr="005D3678" w:rsidTr="00097D91">
        <w:tc>
          <w:tcPr>
            <w:tcW w:w="1838" w:type="dxa"/>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Övriga förvaltningen</w:t>
            </w:r>
            <w:r w:rsidRPr="005D3678">
              <w:rPr>
                <w:rFonts w:eastAsia="Times New Roman"/>
                <w:sz w:val="16"/>
                <w:szCs w:val="16"/>
                <w:vertAlign w:val="superscript"/>
                <w:lang w:eastAsia="sv-SE"/>
              </w:rPr>
              <w:footnoteReference w:id="30"/>
            </w:r>
          </w:p>
        </w:tc>
        <w:tc>
          <w:tcPr>
            <w:tcW w:w="709" w:type="dxa"/>
          </w:tcPr>
          <w:p w:rsidR="00D33E58" w:rsidRPr="005D3678" w:rsidRDefault="0097258D" w:rsidP="00D33E58">
            <w:pPr>
              <w:spacing w:before="60" w:line="200" w:lineRule="exact"/>
              <w:jc w:val="right"/>
              <w:rPr>
                <w:rFonts w:eastAsia="Times New Roman"/>
                <w:sz w:val="16"/>
                <w:szCs w:val="24"/>
                <w:lang w:eastAsia="sv-SE"/>
              </w:rPr>
            </w:pPr>
            <w:r>
              <w:rPr>
                <w:rFonts w:eastAsia="Times New Roman"/>
                <w:sz w:val="16"/>
                <w:szCs w:val="24"/>
                <w:lang w:eastAsia="sv-SE"/>
              </w:rPr>
              <w:t>19</w:t>
            </w:r>
          </w:p>
        </w:tc>
        <w:tc>
          <w:tcPr>
            <w:tcW w:w="567" w:type="dxa"/>
          </w:tcPr>
          <w:p w:rsidR="00D33E58" w:rsidRPr="005D3678" w:rsidRDefault="0097258D" w:rsidP="00D33E58">
            <w:pPr>
              <w:spacing w:before="60" w:line="200" w:lineRule="exact"/>
              <w:jc w:val="right"/>
              <w:rPr>
                <w:rFonts w:eastAsia="Times New Roman"/>
                <w:sz w:val="16"/>
                <w:szCs w:val="24"/>
                <w:lang w:eastAsia="sv-SE"/>
              </w:rPr>
            </w:pPr>
            <w:r>
              <w:rPr>
                <w:rFonts w:eastAsia="Times New Roman"/>
                <w:sz w:val="16"/>
                <w:szCs w:val="24"/>
                <w:lang w:eastAsia="sv-SE"/>
              </w:rPr>
              <w:t>1</w:t>
            </w:r>
          </w:p>
        </w:tc>
        <w:tc>
          <w:tcPr>
            <w:tcW w:w="850"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48</w:t>
            </w:r>
          </w:p>
        </w:tc>
        <w:tc>
          <w:tcPr>
            <w:tcW w:w="567"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2</w:t>
            </w:r>
          </w:p>
        </w:tc>
        <w:tc>
          <w:tcPr>
            <w:tcW w:w="709" w:type="dxa"/>
          </w:tcPr>
          <w:p w:rsidR="00D33E58" w:rsidRPr="005D3678" w:rsidRDefault="00D33E58" w:rsidP="00D33E58">
            <w:pPr>
              <w:spacing w:before="60" w:line="200" w:lineRule="exact"/>
              <w:jc w:val="right"/>
              <w:rPr>
                <w:rFonts w:eastAsia="Times New Roman"/>
                <w:sz w:val="16"/>
                <w:szCs w:val="24"/>
                <w:lang w:eastAsia="sv-SE"/>
              </w:rPr>
            </w:pPr>
            <w:r w:rsidRPr="005D3678">
              <w:rPr>
                <w:rFonts w:eastAsia="Times New Roman"/>
                <w:sz w:val="16"/>
                <w:szCs w:val="24"/>
                <w:lang w:eastAsia="sv-SE"/>
              </w:rPr>
              <w:t>4</w:t>
            </w:r>
            <w:r>
              <w:rPr>
                <w:rFonts w:eastAsia="Times New Roman"/>
                <w:sz w:val="16"/>
                <w:szCs w:val="24"/>
                <w:lang w:eastAsia="sv-SE"/>
              </w:rPr>
              <w:t>4</w:t>
            </w:r>
          </w:p>
        </w:tc>
        <w:tc>
          <w:tcPr>
            <w:tcW w:w="591"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3</w:t>
            </w:r>
          </w:p>
        </w:tc>
      </w:tr>
      <w:tr w:rsidR="00D33E58" w:rsidRPr="005D3678" w:rsidTr="00097D91">
        <w:tc>
          <w:tcPr>
            <w:tcW w:w="1838" w:type="dxa"/>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Utländska parlament</w:t>
            </w:r>
            <w:r w:rsidRPr="005D3678">
              <w:rPr>
                <w:rFonts w:eastAsia="Times New Roman"/>
                <w:sz w:val="16"/>
                <w:szCs w:val="16"/>
                <w:vertAlign w:val="superscript"/>
                <w:lang w:eastAsia="sv-SE"/>
              </w:rPr>
              <w:footnoteReference w:id="31"/>
            </w:r>
          </w:p>
        </w:tc>
        <w:tc>
          <w:tcPr>
            <w:tcW w:w="709" w:type="dxa"/>
          </w:tcPr>
          <w:p w:rsidR="00D33E58" w:rsidRPr="005D3678" w:rsidRDefault="00F93CAA" w:rsidP="00D33E58">
            <w:pPr>
              <w:spacing w:before="60" w:line="200" w:lineRule="exact"/>
              <w:jc w:val="right"/>
              <w:rPr>
                <w:rFonts w:eastAsia="Times New Roman"/>
                <w:sz w:val="16"/>
                <w:szCs w:val="24"/>
                <w:lang w:eastAsia="sv-SE"/>
              </w:rPr>
            </w:pPr>
            <w:r>
              <w:rPr>
                <w:rFonts w:eastAsia="Times New Roman"/>
                <w:sz w:val="16"/>
                <w:szCs w:val="24"/>
                <w:lang w:eastAsia="sv-SE"/>
              </w:rPr>
              <w:t>261</w:t>
            </w:r>
          </w:p>
        </w:tc>
        <w:tc>
          <w:tcPr>
            <w:tcW w:w="567" w:type="dxa"/>
          </w:tcPr>
          <w:p w:rsidR="00D33E58" w:rsidRPr="005D3678" w:rsidRDefault="00F93CAA" w:rsidP="00D33E58">
            <w:pPr>
              <w:spacing w:before="60" w:line="200" w:lineRule="exact"/>
              <w:jc w:val="right"/>
              <w:rPr>
                <w:rFonts w:eastAsia="Times New Roman"/>
                <w:sz w:val="16"/>
                <w:szCs w:val="24"/>
                <w:lang w:eastAsia="sv-SE"/>
              </w:rPr>
            </w:pPr>
            <w:r>
              <w:rPr>
                <w:rFonts w:eastAsia="Times New Roman"/>
                <w:sz w:val="16"/>
                <w:szCs w:val="24"/>
                <w:lang w:eastAsia="sv-SE"/>
              </w:rPr>
              <w:t>12</w:t>
            </w:r>
          </w:p>
        </w:tc>
        <w:tc>
          <w:tcPr>
            <w:tcW w:w="850"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232</w:t>
            </w:r>
          </w:p>
        </w:tc>
        <w:tc>
          <w:tcPr>
            <w:tcW w:w="567" w:type="dxa"/>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11</w:t>
            </w:r>
          </w:p>
        </w:tc>
        <w:tc>
          <w:tcPr>
            <w:tcW w:w="709" w:type="dxa"/>
          </w:tcPr>
          <w:p w:rsidR="00D33E58" w:rsidRPr="005D3678" w:rsidRDefault="00D33E58" w:rsidP="00D33E58">
            <w:pPr>
              <w:spacing w:before="60" w:line="200" w:lineRule="exact"/>
              <w:jc w:val="right"/>
              <w:rPr>
                <w:rFonts w:eastAsia="Times New Roman"/>
                <w:sz w:val="16"/>
                <w:szCs w:val="24"/>
                <w:lang w:eastAsia="sv-SE"/>
              </w:rPr>
            </w:pPr>
            <w:r w:rsidRPr="005D3678">
              <w:rPr>
                <w:rFonts w:eastAsia="Times New Roman"/>
                <w:sz w:val="16"/>
                <w:szCs w:val="24"/>
                <w:lang w:eastAsia="sv-SE"/>
              </w:rPr>
              <w:t>2</w:t>
            </w:r>
            <w:r>
              <w:rPr>
                <w:rFonts w:eastAsia="Times New Roman"/>
                <w:sz w:val="16"/>
                <w:szCs w:val="24"/>
                <w:lang w:eastAsia="sv-SE"/>
              </w:rPr>
              <w:t>55</w:t>
            </w:r>
          </w:p>
        </w:tc>
        <w:tc>
          <w:tcPr>
            <w:tcW w:w="591" w:type="dxa"/>
          </w:tcPr>
          <w:p w:rsidR="00D33E58" w:rsidRPr="005D3678" w:rsidRDefault="00D33E58" w:rsidP="00D33E58">
            <w:pPr>
              <w:spacing w:before="60" w:line="200" w:lineRule="exact"/>
              <w:jc w:val="right"/>
              <w:rPr>
                <w:rFonts w:eastAsia="Times New Roman"/>
                <w:sz w:val="16"/>
                <w:szCs w:val="24"/>
                <w:lang w:eastAsia="sv-SE"/>
              </w:rPr>
            </w:pPr>
            <w:r w:rsidRPr="005D3678">
              <w:rPr>
                <w:rFonts w:eastAsia="Times New Roman"/>
                <w:sz w:val="16"/>
                <w:szCs w:val="24"/>
                <w:lang w:eastAsia="sv-SE"/>
              </w:rPr>
              <w:t>1</w:t>
            </w:r>
            <w:r>
              <w:rPr>
                <w:rFonts w:eastAsia="Times New Roman"/>
                <w:sz w:val="16"/>
                <w:szCs w:val="24"/>
                <w:lang w:eastAsia="sv-SE"/>
              </w:rPr>
              <w:t>4</w:t>
            </w:r>
          </w:p>
        </w:tc>
      </w:tr>
      <w:tr w:rsidR="00D33E58" w:rsidRPr="005D3678" w:rsidTr="00097D91">
        <w:tc>
          <w:tcPr>
            <w:tcW w:w="1838" w:type="dxa"/>
            <w:tcBorders>
              <w:bottom w:val="single" w:sz="4" w:space="0" w:color="auto"/>
            </w:tcBorders>
          </w:tcPr>
          <w:p w:rsidR="00D33E58" w:rsidRPr="005D3678" w:rsidRDefault="00D33E58" w:rsidP="00D33E58">
            <w:pPr>
              <w:spacing w:before="60" w:line="200" w:lineRule="exact"/>
              <w:jc w:val="left"/>
              <w:rPr>
                <w:rFonts w:eastAsia="Times New Roman"/>
                <w:sz w:val="16"/>
                <w:szCs w:val="24"/>
                <w:lang w:eastAsia="sv-SE"/>
              </w:rPr>
            </w:pPr>
            <w:r w:rsidRPr="005D3678">
              <w:rPr>
                <w:rFonts w:eastAsia="Times New Roman"/>
                <w:sz w:val="16"/>
                <w:szCs w:val="24"/>
                <w:lang w:eastAsia="sv-SE"/>
              </w:rPr>
              <w:t>Övriga</w:t>
            </w:r>
            <w:r w:rsidRPr="005D3678">
              <w:rPr>
                <w:rFonts w:eastAsia="Times New Roman"/>
                <w:sz w:val="16"/>
                <w:szCs w:val="16"/>
                <w:vertAlign w:val="superscript"/>
                <w:lang w:eastAsia="sv-SE"/>
              </w:rPr>
              <w:footnoteReference w:id="32"/>
            </w:r>
          </w:p>
        </w:tc>
        <w:tc>
          <w:tcPr>
            <w:tcW w:w="709" w:type="dxa"/>
            <w:tcBorders>
              <w:bottom w:val="single" w:sz="4" w:space="0" w:color="auto"/>
            </w:tcBorders>
          </w:tcPr>
          <w:p w:rsidR="00D33E58" w:rsidRPr="005D3678" w:rsidRDefault="00F93CAA" w:rsidP="00D33E58">
            <w:pPr>
              <w:spacing w:before="60" w:line="200" w:lineRule="exact"/>
              <w:jc w:val="right"/>
              <w:rPr>
                <w:rFonts w:eastAsia="Times New Roman"/>
                <w:sz w:val="16"/>
                <w:szCs w:val="24"/>
                <w:lang w:eastAsia="sv-SE"/>
              </w:rPr>
            </w:pPr>
            <w:r>
              <w:rPr>
                <w:rFonts w:eastAsia="Times New Roman"/>
                <w:sz w:val="16"/>
                <w:szCs w:val="24"/>
                <w:lang w:eastAsia="sv-SE"/>
              </w:rPr>
              <w:t>31</w:t>
            </w:r>
          </w:p>
        </w:tc>
        <w:tc>
          <w:tcPr>
            <w:tcW w:w="567" w:type="dxa"/>
            <w:tcBorders>
              <w:bottom w:val="single" w:sz="4" w:space="0" w:color="auto"/>
            </w:tcBorders>
          </w:tcPr>
          <w:p w:rsidR="00D33E58" w:rsidRPr="005D3678" w:rsidRDefault="00F93CAA" w:rsidP="00D33E58">
            <w:pPr>
              <w:spacing w:before="60" w:line="200" w:lineRule="exact"/>
              <w:jc w:val="right"/>
              <w:rPr>
                <w:rFonts w:eastAsia="Times New Roman"/>
                <w:sz w:val="16"/>
                <w:szCs w:val="24"/>
                <w:lang w:eastAsia="sv-SE"/>
              </w:rPr>
            </w:pPr>
            <w:r>
              <w:rPr>
                <w:rFonts w:eastAsia="Times New Roman"/>
                <w:sz w:val="16"/>
                <w:szCs w:val="24"/>
                <w:lang w:eastAsia="sv-SE"/>
              </w:rPr>
              <w:t>1</w:t>
            </w:r>
          </w:p>
        </w:tc>
        <w:tc>
          <w:tcPr>
            <w:tcW w:w="850" w:type="dxa"/>
            <w:tcBorders>
              <w:bottom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42</w:t>
            </w:r>
          </w:p>
        </w:tc>
        <w:tc>
          <w:tcPr>
            <w:tcW w:w="567" w:type="dxa"/>
            <w:tcBorders>
              <w:bottom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2</w:t>
            </w:r>
          </w:p>
        </w:tc>
        <w:tc>
          <w:tcPr>
            <w:tcW w:w="709" w:type="dxa"/>
            <w:tcBorders>
              <w:bottom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2</w:t>
            </w:r>
            <w:r w:rsidRPr="005D3678">
              <w:rPr>
                <w:rFonts w:eastAsia="Times New Roman"/>
                <w:sz w:val="16"/>
                <w:szCs w:val="24"/>
                <w:lang w:eastAsia="sv-SE"/>
              </w:rPr>
              <w:t>1</w:t>
            </w:r>
          </w:p>
        </w:tc>
        <w:tc>
          <w:tcPr>
            <w:tcW w:w="591" w:type="dxa"/>
            <w:tcBorders>
              <w:bottom w:val="single" w:sz="4" w:space="0" w:color="auto"/>
            </w:tcBorders>
          </w:tcPr>
          <w:p w:rsidR="00D33E58" w:rsidRPr="005D3678" w:rsidRDefault="00D33E58" w:rsidP="00D33E58">
            <w:pPr>
              <w:spacing w:before="60" w:line="200" w:lineRule="exact"/>
              <w:jc w:val="right"/>
              <w:rPr>
                <w:rFonts w:eastAsia="Times New Roman"/>
                <w:sz w:val="16"/>
                <w:szCs w:val="24"/>
                <w:lang w:eastAsia="sv-SE"/>
              </w:rPr>
            </w:pPr>
            <w:r>
              <w:rPr>
                <w:rFonts w:eastAsia="Times New Roman"/>
                <w:sz w:val="16"/>
                <w:szCs w:val="24"/>
                <w:lang w:eastAsia="sv-SE"/>
              </w:rPr>
              <w:t>1</w:t>
            </w:r>
          </w:p>
        </w:tc>
      </w:tr>
      <w:tr w:rsidR="00D33E58" w:rsidRPr="005D3678" w:rsidTr="00097D91">
        <w:tc>
          <w:tcPr>
            <w:tcW w:w="1838" w:type="dxa"/>
            <w:tcBorders>
              <w:top w:val="single" w:sz="4" w:space="0" w:color="auto"/>
              <w:bottom w:val="single" w:sz="4" w:space="0" w:color="auto"/>
            </w:tcBorders>
          </w:tcPr>
          <w:p w:rsidR="00D33E58" w:rsidRPr="005D3678" w:rsidRDefault="00D33E58" w:rsidP="00D33E58">
            <w:pPr>
              <w:spacing w:before="60" w:line="200" w:lineRule="exact"/>
              <w:jc w:val="left"/>
              <w:rPr>
                <w:rFonts w:eastAsia="Times New Roman"/>
                <w:b/>
                <w:sz w:val="16"/>
                <w:szCs w:val="24"/>
                <w:lang w:eastAsia="sv-SE"/>
              </w:rPr>
            </w:pPr>
            <w:r w:rsidRPr="005D3678">
              <w:rPr>
                <w:rFonts w:eastAsia="Times New Roman"/>
                <w:b/>
                <w:sz w:val="16"/>
                <w:szCs w:val="24"/>
                <w:lang w:eastAsia="sv-SE"/>
              </w:rPr>
              <w:t>Totalt</w:t>
            </w:r>
          </w:p>
        </w:tc>
        <w:tc>
          <w:tcPr>
            <w:tcW w:w="709" w:type="dxa"/>
            <w:tcBorders>
              <w:top w:val="single" w:sz="4" w:space="0" w:color="auto"/>
              <w:bottom w:val="single" w:sz="4" w:space="0" w:color="auto"/>
            </w:tcBorders>
          </w:tcPr>
          <w:p w:rsidR="00D33E58" w:rsidRPr="005D3678" w:rsidRDefault="00130545" w:rsidP="00D33E58">
            <w:pPr>
              <w:spacing w:before="60" w:line="200" w:lineRule="exact"/>
              <w:jc w:val="right"/>
              <w:rPr>
                <w:rFonts w:eastAsia="Times New Roman"/>
                <w:b/>
                <w:sz w:val="16"/>
                <w:szCs w:val="24"/>
                <w:lang w:eastAsia="sv-SE"/>
              </w:rPr>
            </w:pPr>
            <w:r>
              <w:rPr>
                <w:rFonts w:eastAsia="Times New Roman"/>
                <w:b/>
                <w:sz w:val="16"/>
                <w:szCs w:val="24"/>
                <w:lang w:eastAsia="sv-SE"/>
              </w:rPr>
              <w:t>2 185</w:t>
            </w:r>
          </w:p>
        </w:tc>
        <w:tc>
          <w:tcPr>
            <w:tcW w:w="567" w:type="dxa"/>
            <w:tcBorders>
              <w:top w:val="single" w:sz="4" w:space="0" w:color="auto"/>
              <w:bottom w:val="single" w:sz="4" w:space="0" w:color="auto"/>
            </w:tcBorders>
          </w:tcPr>
          <w:p w:rsidR="00D33E58" w:rsidRPr="005D3678" w:rsidRDefault="00D33E58" w:rsidP="00D33E5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c>
          <w:tcPr>
            <w:tcW w:w="850" w:type="dxa"/>
            <w:tcBorders>
              <w:top w:val="single" w:sz="4" w:space="0" w:color="auto"/>
              <w:bottom w:val="single" w:sz="4" w:space="0" w:color="auto"/>
            </w:tcBorders>
          </w:tcPr>
          <w:p w:rsidR="00D33E58" w:rsidRPr="005D3678" w:rsidRDefault="00D33E58" w:rsidP="00D33E58">
            <w:pPr>
              <w:spacing w:before="60" w:line="200" w:lineRule="exact"/>
              <w:jc w:val="right"/>
              <w:rPr>
                <w:rFonts w:eastAsia="Times New Roman"/>
                <w:b/>
                <w:sz w:val="16"/>
                <w:szCs w:val="24"/>
                <w:lang w:eastAsia="sv-SE"/>
              </w:rPr>
            </w:pPr>
            <w:r>
              <w:rPr>
                <w:rFonts w:eastAsia="Times New Roman"/>
                <w:b/>
                <w:sz w:val="16"/>
                <w:szCs w:val="24"/>
                <w:lang w:eastAsia="sv-SE"/>
              </w:rPr>
              <w:t>2 118</w:t>
            </w:r>
          </w:p>
        </w:tc>
        <w:tc>
          <w:tcPr>
            <w:tcW w:w="567" w:type="dxa"/>
            <w:tcBorders>
              <w:top w:val="single" w:sz="4" w:space="0" w:color="auto"/>
              <w:bottom w:val="single" w:sz="4" w:space="0" w:color="auto"/>
            </w:tcBorders>
          </w:tcPr>
          <w:p w:rsidR="00D33E58" w:rsidRPr="005D3678" w:rsidRDefault="00D33E58" w:rsidP="00D33E5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c>
          <w:tcPr>
            <w:tcW w:w="709" w:type="dxa"/>
            <w:tcBorders>
              <w:top w:val="single" w:sz="4" w:space="0" w:color="auto"/>
              <w:bottom w:val="single" w:sz="4" w:space="0" w:color="auto"/>
            </w:tcBorders>
          </w:tcPr>
          <w:p w:rsidR="00D33E58" w:rsidRPr="005D3678" w:rsidRDefault="00663E59" w:rsidP="00D33E58">
            <w:pPr>
              <w:spacing w:before="60" w:line="200" w:lineRule="exact"/>
              <w:jc w:val="right"/>
              <w:rPr>
                <w:rFonts w:eastAsia="Times New Roman"/>
                <w:b/>
                <w:sz w:val="16"/>
                <w:szCs w:val="24"/>
                <w:lang w:eastAsia="sv-SE"/>
              </w:rPr>
            </w:pPr>
            <w:r>
              <w:rPr>
                <w:rFonts w:eastAsia="Times New Roman"/>
                <w:b/>
                <w:sz w:val="16"/>
                <w:szCs w:val="24"/>
                <w:lang w:eastAsia="sv-SE"/>
              </w:rPr>
              <w:t>1 </w:t>
            </w:r>
            <w:r w:rsidR="00D33E58">
              <w:rPr>
                <w:rFonts w:eastAsia="Times New Roman"/>
                <w:b/>
                <w:sz w:val="16"/>
                <w:szCs w:val="24"/>
                <w:lang w:eastAsia="sv-SE"/>
              </w:rPr>
              <w:t>766</w:t>
            </w:r>
          </w:p>
        </w:tc>
        <w:tc>
          <w:tcPr>
            <w:tcW w:w="591" w:type="dxa"/>
            <w:tcBorders>
              <w:top w:val="single" w:sz="4" w:space="0" w:color="auto"/>
              <w:bottom w:val="single" w:sz="4" w:space="0" w:color="auto"/>
            </w:tcBorders>
          </w:tcPr>
          <w:p w:rsidR="00D33E58" w:rsidRPr="005D3678" w:rsidRDefault="00D33E58" w:rsidP="00D33E58">
            <w:pPr>
              <w:spacing w:before="60" w:line="200" w:lineRule="exact"/>
              <w:jc w:val="right"/>
              <w:rPr>
                <w:rFonts w:eastAsia="Times New Roman"/>
                <w:b/>
                <w:sz w:val="16"/>
                <w:szCs w:val="24"/>
                <w:lang w:eastAsia="sv-SE"/>
              </w:rPr>
            </w:pPr>
            <w:r w:rsidRPr="005D3678">
              <w:rPr>
                <w:rFonts w:eastAsia="Times New Roman"/>
                <w:b/>
                <w:sz w:val="16"/>
                <w:szCs w:val="24"/>
                <w:lang w:eastAsia="sv-SE"/>
              </w:rPr>
              <w:t>100</w:t>
            </w:r>
          </w:p>
        </w:tc>
      </w:tr>
    </w:tbl>
    <w:p w:rsidR="00C77609" w:rsidRPr="00350CB2" w:rsidRDefault="00500931" w:rsidP="0088728C">
      <w:pPr>
        <w:pStyle w:val="Normaltindrag"/>
        <w:spacing w:before="120"/>
        <w:ind w:firstLine="0"/>
        <w:rPr>
          <w:u w:val="single"/>
        </w:rPr>
      </w:pPr>
      <w:r w:rsidRPr="00E7201A">
        <w:t>Rapporter från r</w:t>
      </w:r>
      <w:r w:rsidR="00344F5E" w:rsidRPr="00E7201A">
        <w:t xml:space="preserve">iksdagens utredningstjänst omfattas av uppdragssekretess. Det betyder att rapporterna blir offentliga endast om uppdragsgivaren hänvisar till utredningen i ett offentligt sammanhang. </w:t>
      </w:r>
      <w:r w:rsidR="00424836" w:rsidRPr="00E7201A">
        <w:t>Antalet offentliggjorda rapporter har ökat.</w:t>
      </w:r>
      <w:r w:rsidR="00BA4D32" w:rsidRPr="007A5065">
        <w:t xml:space="preserve"> År</w:t>
      </w:r>
      <w:r w:rsidR="007A5065" w:rsidRPr="007A5065">
        <w:t xml:space="preserve"> 2016 offentliggjordes 152</w:t>
      </w:r>
      <w:r w:rsidR="00424836" w:rsidRPr="007A5065">
        <w:t xml:space="preserve"> rapporter, vilket är fler än 201</w:t>
      </w:r>
      <w:r w:rsidR="007A5065" w:rsidRPr="007A5065">
        <w:t>5 (143) och 2014 (105)</w:t>
      </w:r>
      <w:r w:rsidR="00424836" w:rsidRPr="007A5065">
        <w:t>.</w:t>
      </w:r>
    </w:p>
    <w:p w:rsidR="005D3678" w:rsidRPr="005D3678" w:rsidRDefault="005D3678" w:rsidP="005D3678">
      <w:pPr>
        <w:pStyle w:val="Rubrik4"/>
      </w:pPr>
      <w:r w:rsidRPr="005D3678">
        <w:t>Riksdagsbiblioteket</w:t>
      </w:r>
    </w:p>
    <w:p w:rsidR="005D3678" w:rsidRPr="003B3DEE" w:rsidRDefault="005D3678" w:rsidP="005D3678">
      <w:r w:rsidRPr="003B3DEE">
        <w:t>På uppdrag av riksdagsledamöter, partikanslier och anställda gör förvaltningen informationssökningar och tar fram faktaunderlag</w:t>
      </w:r>
      <w:r w:rsidR="00EB6449" w:rsidRPr="003B3DEE">
        <w:t xml:space="preserve"> i syfte att förse riksdagen med goda beslutsunderlag</w:t>
      </w:r>
      <w:r w:rsidRPr="003B3DEE">
        <w:t xml:space="preserve">. </w:t>
      </w:r>
      <w:r w:rsidR="006217D9">
        <w:t>U</w:t>
      </w:r>
      <w:r w:rsidR="006217D9" w:rsidRPr="003B3DEE">
        <w:t>nder 2016</w:t>
      </w:r>
      <w:r w:rsidR="006217D9">
        <w:t xml:space="preserve"> har antalet uppdrag ökat markant</w:t>
      </w:r>
      <w:r w:rsidR="00EB6449" w:rsidRPr="003B3DEE">
        <w:t xml:space="preserve">. </w:t>
      </w:r>
      <w:r w:rsidR="005C5BEB" w:rsidRPr="003B3DEE">
        <w:t>Forskningsöversikterna har medfört ett utvecklat samarbete mellan biblioteket och bestä</w:t>
      </w:r>
      <w:r w:rsidR="00884C2F" w:rsidRPr="003B3DEE">
        <w:t>llarna</w:t>
      </w:r>
      <w:r w:rsidR="005C5BEB" w:rsidRPr="003B3DEE">
        <w:t xml:space="preserve">. </w:t>
      </w:r>
    </w:p>
    <w:p w:rsidR="005D3678" w:rsidRPr="005D3678" w:rsidRDefault="005D3678" w:rsidP="005D3678">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5D3678">
        <w:rPr>
          <w:rFonts w:eastAsiaTheme="majorEastAsia" w:cstheme="majorBidi"/>
          <w:b/>
        </w:rPr>
        <w:t xml:space="preserve">Tabell </w:t>
      </w:r>
      <w:r w:rsidR="007151BF">
        <w:rPr>
          <w:rFonts w:eastAsiaTheme="majorEastAsia" w:cstheme="majorBidi"/>
          <w:b/>
        </w:rPr>
        <w:t>16</w:t>
      </w:r>
      <w:r w:rsidR="000C1BE5">
        <w:rPr>
          <w:rFonts w:eastAsiaTheme="majorEastAsia" w:cstheme="majorBidi"/>
          <w:b/>
        </w:rPr>
        <w:t xml:space="preserve"> </w:t>
      </w:r>
      <w:r w:rsidRPr="005D3678">
        <w:rPr>
          <w:rFonts w:eastAsiaTheme="majorEastAsia" w:cstheme="majorBidi"/>
          <w:b/>
        </w:rPr>
        <w:t>Antal uppdrag informationssökningar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2366"/>
        <w:gridCol w:w="1016"/>
        <w:gridCol w:w="1016"/>
      </w:tblGrid>
      <w:tr w:rsidR="00914059" w:rsidRPr="005D3678" w:rsidTr="00914059">
        <w:tc>
          <w:tcPr>
            <w:tcW w:w="1457" w:type="dxa"/>
            <w:tcBorders>
              <w:top w:val="single" w:sz="4" w:space="0" w:color="auto"/>
              <w:bottom w:val="single" w:sz="4" w:space="0" w:color="auto"/>
            </w:tcBorders>
          </w:tcPr>
          <w:p w:rsidR="00914059" w:rsidRPr="005D3678" w:rsidRDefault="00914059" w:rsidP="00914059">
            <w:pPr>
              <w:spacing w:before="60" w:line="200" w:lineRule="exact"/>
              <w:ind w:left="1304"/>
              <w:rPr>
                <w:sz w:val="16"/>
                <w:szCs w:val="16"/>
              </w:rPr>
            </w:pPr>
          </w:p>
        </w:tc>
        <w:tc>
          <w:tcPr>
            <w:tcW w:w="2366" w:type="dxa"/>
            <w:tcBorders>
              <w:top w:val="single" w:sz="4" w:space="0" w:color="auto"/>
              <w:bottom w:val="single" w:sz="4" w:space="0" w:color="auto"/>
            </w:tcBorders>
          </w:tcPr>
          <w:p w:rsidR="00914059" w:rsidRPr="005D3678" w:rsidRDefault="00914059" w:rsidP="0091405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2016</w:t>
            </w:r>
          </w:p>
        </w:tc>
        <w:tc>
          <w:tcPr>
            <w:tcW w:w="1016" w:type="dxa"/>
            <w:tcBorders>
              <w:top w:val="single" w:sz="4" w:space="0" w:color="auto"/>
              <w:bottom w:val="single" w:sz="4" w:space="0" w:color="auto"/>
            </w:tcBorders>
          </w:tcPr>
          <w:p w:rsidR="00914059" w:rsidRPr="005D3678" w:rsidRDefault="00914059" w:rsidP="0091405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Pr>
                <w:rFonts w:eastAsia="Times New Roman"/>
                <w:b/>
                <w:sz w:val="16"/>
                <w:szCs w:val="16"/>
                <w:lang w:eastAsia="sv-SE"/>
              </w:rPr>
              <w:t>2015</w:t>
            </w:r>
          </w:p>
        </w:tc>
        <w:tc>
          <w:tcPr>
            <w:tcW w:w="1016" w:type="dxa"/>
            <w:tcBorders>
              <w:top w:val="single" w:sz="4" w:space="0" w:color="auto"/>
              <w:bottom w:val="single" w:sz="4" w:space="0" w:color="auto"/>
            </w:tcBorders>
          </w:tcPr>
          <w:p w:rsidR="00914059" w:rsidRPr="005D3678" w:rsidRDefault="00914059" w:rsidP="00914059">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r w:rsidRPr="005D3678">
              <w:rPr>
                <w:rFonts w:eastAsia="Times New Roman"/>
                <w:b/>
                <w:sz w:val="16"/>
                <w:szCs w:val="16"/>
                <w:lang w:eastAsia="sv-SE"/>
              </w:rPr>
              <w:t>201</w:t>
            </w:r>
            <w:r>
              <w:rPr>
                <w:rFonts w:eastAsia="Times New Roman"/>
                <w:b/>
                <w:sz w:val="16"/>
                <w:szCs w:val="16"/>
                <w:lang w:eastAsia="sv-SE"/>
              </w:rPr>
              <w:t>4</w:t>
            </w:r>
          </w:p>
        </w:tc>
      </w:tr>
      <w:tr w:rsidR="00914059" w:rsidRPr="005D3678" w:rsidTr="00914059">
        <w:tc>
          <w:tcPr>
            <w:tcW w:w="1457" w:type="dxa"/>
            <w:tcBorders>
              <w:top w:val="single" w:sz="4" w:space="0" w:color="auto"/>
            </w:tcBorders>
          </w:tcPr>
          <w:p w:rsidR="00914059" w:rsidRPr="005D3678" w:rsidRDefault="00914059" w:rsidP="00914059">
            <w:pPr>
              <w:spacing w:before="60" w:line="200" w:lineRule="exact"/>
              <w:jc w:val="left"/>
              <w:rPr>
                <w:rFonts w:eastAsia="Times New Roman"/>
                <w:sz w:val="16"/>
                <w:szCs w:val="24"/>
                <w:lang w:eastAsia="sv-SE"/>
              </w:rPr>
            </w:pPr>
            <w:r w:rsidRPr="005D3678">
              <w:rPr>
                <w:rFonts w:eastAsia="Times New Roman"/>
                <w:sz w:val="16"/>
                <w:szCs w:val="24"/>
                <w:lang w:eastAsia="sv-SE"/>
              </w:rPr>
              <w:t>Uppdrag</w:t>
            </w:r>
          </w:p>
        </w:tc>
        <w:tc>
          <w:tcPr>
            <w:tcW w:w="2366" w:type="dxa"/>
            <w:tcBorders>
              <w:top w:val="single" w:sz="4" w:space="0" w:color="auto"/>
            </w:tcBorders>
          </w:tcPr>
          <w:p w:rsidR="00914059" w:rsidRPr="005D3678" w:rsidRDefault="00EB6449" w:rsidP="00914059">
            <w:pPr>
              <w:spacing w:before="60" w:line="200" w:lineRule="exact"/>
              <w:jc w:val="right"/>
              <w:rPr>
                <w:rFonts w:eastAsia="Times New Roman"/>
                <w:sz w:val="16"/>
                <w:szCs w:val="24"/>
                <w:lang w:eastAsia="sv-SE"/>
              </w:rPr>
            </w:pPr>
            <w:r>
              <w:rPr>
                <w:rFonts w:eastAsia="Times New Roman"/>
                <w:sz w:val="16"/>
                <w:szCs w:val="24"/>
                <w:lang w:eastAsia="sv-SE"/>
              </w:rPr>
              <w:t>261</w:t>
            </w:r>
          </w:p>
        </w:tc>
        <w:tc>
          <w:tcPr>
            <w:tcW w:w="1016" w:type="dxa"/>
            <w:tcBorders>
              <w:top w:val="single" w:sz="4" w:space="0" w:color="auto"/>
            </w:tcBorders>
          </w:tcPr>
          <w:p w:rsidR="00914059" w:rsidRPr="005D3678" w:rsidRDefault="00914059" w:rsidP="00914059">
            <w:pPr>
              <w:spacing w:before="60" w:line="200" w:lineRule="exact"/>
              <w:jc w:val="right"/>
              <w:rPr>
                <w:rFonts w:eastAsia="Times New Roman"/>
                <w:sz w:val="16"/>
                <w:szCs w:val="24"/>
                <w:lang w:eastAsia="sv-SE"/>
              </w:rPr>
            </w:pPr>
            <w:r>
              <w:rPr>
                <w:rFonts w:eastAsia="Times New Roman"/>
                <w:sz w:val="16"/>
                <w:szCs w:val="24"/>
                <w:lang w:eastAsia="sv-SE"/>
              </w:rPr>
              <w:t>123</w:t>
            </w:r>
          </w:p>
        </w:tc>
        <w:tc>
          <w:tcPr>
            <w:tcW w:w="1016" w:type="dxa"/>
            <w:tcBorders>
              <w:top w:val="single" w:sz="4" w:space="0" w:color="auto"/>
            </w:tcBorders>
          </w:tcPr>
          <w:p w:rsidR="00914059" w:rsidRPr="005D3678" w:rsidRDefault="00914059" w:rsidP="00914059">
            <w:pPr>
              <w:spacing w:before="60" w:line="200" w:lineRule="exact"/>
              <w:jc w:val="right"/>
              <w:rPr>
                <w:rFonts w:eastAsia="Times New Roman"/>
                <w:sz w:val="16"/>
                <w:szCs w:val="24"/>
                <w:lang w:eastAsia="sv-SE"/>
              </w:rPr>
            </w:pPr>
            <w:r>
              <w:rPr>
                <w:rFonts w:eastAsia="Times New Roman"/>
                <w:sz w:val="16"/>
                <w:szCs w:val="24"/>
                <w:lang w:eastAsia="sv-SE"/>
              </w:rPr>
              <w:t>117</w:t>
            </w:r>
          </w:p>
        </w:tc>
      </w:tr>
    </w:tbl>
    <w:p w:rsidR="000C1BE5" w:rsidRPr="00F767AB" w:rsidRDefault="005D3678" w:rsidP="000C1BE5">
      <w:pPr>
        <w:spacing w:before="125"/>
        <w:rPr>
          <w:u w:val="single"/>
        </w:rPr>
      </w:pPr>
      <w:r w:rsidRPr="00037B4E">
        <w:t>Ledamöterna, partikanslierna och anställda i förvaltningen har tillgång till en nyhets- och mediebevakningstjänst</w:t>
      </w:r>
      <w:r w:rsidR="0034393D">
        <w:t>, en nyhetsportal,</w:t>
      </w:r>
      <w:r w:rsidRPr="00037B4E">
        <w:t xml:space="preserve"> med möjlighet till individuellt anpassad bevakning. </w:t>
      </w:r>
      <w:r w:rsidR="00E7001D" w:rsidRPr="00EC22EC">
        <w:t xml:space="preserve">Under 2016 har användningen av </w:t>
      </w:r>
      <w:r w:rsidR="0034393D">
        <w:t>nyhetsportalen</w:t>
      </w:r>
      <w:r w:rsidR="00E7001D" w:rsidRPr="00EC22EC">
        <w:t xml:space="preserve"> ökat.</w:t>
      </w:r>
      <w:r w:rsidR="00E7001D" w:rsidRPr="00E7001D">
        <w:t xml:space="preserve"> </w:t>
      </w:r>
      <w:r w:rsidR="000E2C57">
        <w:t>Under</w:t>
      </w:r>
      <w:r w:rsidR="00C36403">
        <w:t xml:space="preserve"> året</w:t>
      </w:r>
      <w:r w:rsidR="000E2C57">
        <w:t xml:space="preserve"> har </w:t>
      </w:r>
      <w:r w:rsidR="0034393D">
        <w:t xml:space="preserve">förvaltningen </w:t>
      </w:r>
      <w:r w:rsidR="00C36403">
        <w:t xml:space="preserve">också </w:t>
      </w:r>
      <w:r w:rsidR="0034393D">
        <w:t xml:space="preserve">förberett för </w:t>
      </w:r>
      <w:r w:rsidR="000E2C57">
        <w:t>upphandling av</w:t>
      </w:r>
      <w:r w:rsidR="0034393D">
        <w:t xml:space="preserve"> </w:t>
      </w:r>
      <w:r w:rsidR="00F87ECC">
        <w:t xml:space="preserve">en </w:t>
      </w:r>
      <w:r w:rsidR="0034393D">
        <w:t>ny nyhetsportal</w:t>
      </w:r>
      <w:r w:rsidR="000E2C57">
        <w:t xml:space="preserve">. </w:t>
      </w:r>
    </w:p>
    <w:p w:rsidR="005D3678" w:rsidRPr="00664C8D" w:rsidRDefault="000C1BE5" w:rsidP="004F2CD6">
      <w:pPr>
        <w:pStyle w:val="Normaltindrag"/>
      </w:pPr>
      <w:r w:rsidRPr="00D62100">
        <w:t xml:space="preserve">Förvaltningen har en digital </w:t>
      </w:r>
      <w:r w:rsidR="00664C8D" w:rsidRPr="00D62100">
        <w:t>nyhets</w:t>
      </w:r>
      <w:r w:rsidRPr="00D62100">
        <w:t xml:space="preserve">tjänst som innehåller cirka </w:t>
      </w:r>
      <w:r w:rsidR="00B67D88" w:rsidRPr="00D62100">
        <w:t>3</w:t>
      </w:r>
      <w:r w:rsidRPr="00D62100">
        <w:t> </w:t>
      </w:r>
      <w:r w:rsidR="00B67D88" w:rsidRPr="00D62100">
        <w:t>7</w:t>
      </w:r>
      <w:r w:rsidRPr="00D62100">
        <w:t>00 dagstidningar</w:t>
      </w:r>
      <w:r w:rsidR="00B67D88" w:rsidRPr="00D62100">
        <w:t xml:space="preserve"> och tidskrifter </w:t>
      </w:r>
      <w:r w:rsidR="005D69D5" w:rsidRPr="00D62100">
        <w:t>från</w:t>
      </w:r>
      <w:r w:rsidR="00A759AB" w:rsidRPr="00D62100">
        <w:t xml:space="preserve"> </w:t>
      </w:r>
      <w:r w:rsidR="00B67D88" w:rsidRPr="00D62100">
        <w:t>101 länder och 60 språk.</w:t>
      </w:r>
      <w:r w:rsidRPr="00664C8D">
        <w:t xml:space="preserve"> </w:t>
      </w:r>
      <w:r w:rsidR="00B67D88" w:rsidRPr="00664C8D">
        <w:t>Tjänsten är</w:t>
      </w:r>
      <w:r w:rsidRPr="00664C8D">
        <w:t xml:space="preserve"> tillgänglig </w:t>
      </w:r>
      <w:r w:rsidR="00B67D88" w:rsidRPr="00664C8D">
        <w:t xml:space="preserve">för ledamöter och kan användas på datorer, </w:t>
      </w:r>
      <w:r w:rsidRPr="00664C8D">
        <w:t>pekplattor</w:t>
      </w:r>
      <w:r w:rsidR="00B67D88" w:rsidRPr="00664C8D">
        <w:t xml:space="preserve"> och </w:t>
      </w:r>
      <w:r w:rsidR="00F30290" w:rsidRPr="00664C8D">
        <w:t>mobil</w:t>
      </w:r>
      <w:r w:rsidRPr="00664C8D">
        <w:t>.</w:t>
      </w:r>
      <w:r w:rsidR="00D90808" w:rsidRPr="00664C8D">
        <w:t xml:space="preserve"> </w:t>
      </w:r>
    </w:p>
    <w:p w:rsidR="005D3678" w:rsidRPr="005D3678" w:rsidRDefault="00D33E76" w:rsidP="005D3678">
      <w:pPr>
        <w:pStyle w:val="Rubrik4"/>
      </w:pPr>
      <w:r>
        <w:t>I</w:t>
      </w:r>
      <w:r w:rsidR="005D3678" w:rsidRPr="005D3678">
        <w:t>ntranät</w:t>
      </w:r>
      <w:r>
        <w:t>et</w:t>
      </w:r>
    </w:p>
    <w:p w:rsidR="002C4299" w:rsidRPr="002C4299" w:rsidRDefault="00C42EA4" w:rsidP="00305BAA">
      <w:r>
        <w:t>Intranätet</w:t>
      </w:r>
      <w:r w:rsidR="002C4299" w:rsidRPr="002C4299">
        <w:t xml:space="preserve"> ska vara ett effektivt arbetsverktyg för både ledamöter, partikanslier och chefer och medarbetare i Riksdagsförvaltningen. Under 2016 lanserades </w:t>
      </w:r>
      <w:r w:rsidR="002C4299" w:rsidRPr="002C4299">
        <w:lastRenderedPageBreak/>
        <w:t xml:space="preserve">Intranätets nya startsida. Bakgrunden är resultatet av en användarundersökning och en statistikmätning som genomfördes hösten 2015. Syftet med förändringarna var att göra startsidan mer tydlig, aktuell och flexibel. Förändringarna innebär i korthet mer rollstyrning, en uppdelning av aktuelltflödet baserad på typ av innehåll samt anpassningar till den grafiska profilen. </w:t>
      </w:r>
    </w:p>
    <w:p w:rsidR="002C4299" w:rsidRPr="002C4299" w:rsidRDefault="002C4299" w:rsidP="00305BAA">
      <w:pPr>
        <w:pStyle w:val="Normaltindrag"/>
      </w:pPr>
      <w:r w:rsidRPr="002C4299">
        <w:t xml:space="preserve">Under hösten uppgraderades publiceringsverktyget till en ny version som </w:t>
      </w:r>
      <w:r w:rsidR="00C42EA4">
        <w:t xml:space="preserve">gör det lättare att göra </w:t>
      </w:r>
      <w:r w:rsidRPr="002C4299">
        <w:t>kontinuerlig</w:t>
      </w:r>
      <w:r w:rsidR="00C42EA4">
        <w:t>a</w:t>
      </w:r>
      <w:r w:rsidRPr="002C4299">
        <w:t xml:space="preserve"> uppdatering</w:t>
      </w:r>
      <w:r w:rsidR="00C42EA4">
        <w:t>ar</w:t>
      </w:r>
      <w:r w:rsidRPr="002C4299">
        <w:t>. Anpassningar på Intranäte</w:t>
      </w:r>
      <w:r w:rsidR="00351FE0">
        <w:t xml:space="preserve">t gjordes för att </w:t>
      </w:r>
      <w:r w:rsidRPr="002C4299">
        <w:t>utredningstjänstens nya ärendehanteringssystem</w:t>
      </w:r>
      <w:r w:rsidR="00351FE0">
        <w:t xml:space="preserve"> skulle bli tillgängligt</w:t>
      </w:r>
      <w:r w:rsidRPr="002C4299">
        <w:t xml:space="preserve">. </w:t>
      </w:r>
      <w:r w:rsidR="00351FE0">
        <w:t xml:space="preserve">Det ska göra det enklare att beställa och hitta rapporter. </w:t>
      </w:r>
      <w:r w:rsidRPr="002C4299">
        <w:t>Statistiken visar att antalet besök</w:t>
      </w:r>
      <w:r w:rsidR="007378A8">
        <w:t xml:space="preserve"> på Intranätet</w:t>
      </w:r>
      <w:r w:rsidR="00C42EA4">
        <w:t xml:space="preserve">, i genomsnitt 33 000 </w:t>
      </w:r>
      <w:r w:rsidRPr="002C4299">
        <w:t xml:space="preserve">i månaden, är stabilt i förhållande till tidigare år. Det gäller även den mobila användningen som i genomsnitt står för 14 procent av besöken. </w:t>
      </w:r>
    </w:p>
    <w:p w:rsidR="002C4299" w:rsidRPr="00305BAA" w:rsidRDefault="00305BAA" w:rsidP="00305BAA">
      <w:pPr>
        <w:pStyle w:val="Normaltindrag"/>
      </w:pPr>
      <w:r w:rsidRPr="00305BAA">
        <w:t>Efter det att r</w:t>
      </w:r>
      <w:r w:rsidR="002C4299" w:rsidRPr="00305BAA">
        <w:t xml:space="preserve">iksdagens intranät </w:t>
      </w:r>
      <w:r w:rsidRPr="00305BAA">
        <w:t xml:space="preserve">i januari 2016 </w:t>
      </w:r>
      <w:r w:rsidR="002C4299" w:rsidRPr="00305BAA">
        <w:t>utsågs till ett av de tio bästa intranäten i värld</w:t>
      </w:r>
      <w:r w:rsidRPr="00305BAA">
        <w:t>en av Nielsen Norman Group</w:t>
      </w:r>
      <w:r w:rsidR="002C4299" w:rsidRPr="00305BAA">
        <w:t xml:space="preserve"> har </w:t>
      </w:r>
      <w:r w:rsidRPr="00305BAA">
        <w:t>förvaltningen</w:t>
      </w:r>
      <w:r w:rsidR="002C4299" w:rsidRPr="00305BAA">
        <w:t xml:space="preserve"> på efterfrågan anordnat en rad seminarier för andra myndigheter och organisationer. Intranätet fick även ta emot Episerver Awards Nordics 2016 för bästa intranät och ett hedersomnämnande för bästa struktur och medarbetaranpassning i samband med utmärkelsen Nordens bästa digitala arbetsplats.</w:t>
      </w:r>
    </w:p>
    <w:p w:rsidR="005D3678" w:rsidRPr="00BF3B79" w:rsidRDefault="005D3678" w:rsidP="005D3678">
      <w:pPr>
        <w:pStyle w:val="Rubrik4"/>
      </w:pPr>
      <w:r w:rsidRPr="00BF3B79">
        <w:t>Säkerhetsarbetet</w:t>
      </w:r>
    </w:p>
    <w:p w:rsidR="00A60D0C" w:rsidRPr="009A2F7A" w:rsidRDefault="00A60D0C" w:rsidP="00A60D0C">
      <w:r w:rsidRPr="009A2F7A">
        <w:t>Planen för säkerhetsarbetet under 2016 har varit att anpassa, etablera och upprätthålla fastställda säkerhetsnivåer. I syfte att säkerställa att de säkerhetsåtgärder som vidtas i ri</w:t>
      </w:r>
      <w:r w:rsidR="009A2F7A" w:rsidRPr="009A2F7A">
        <w:t xml:space="preserve">ksdagen är rätt dimensionerade </w:t>
      </w:r>
      <w:r w:rsidRPr="009A2F7A">
        <w:t>bör arbetet baseras på bedömningar av vad som är skyddsvärt, vad som hotar det skyddsvärda och vilka sårbarheter (brister i skyddet) som finns hos det skyddsvärda. Detta görs genom framtagande av säkerhetsanalyser. Under 2016 har detta arbetssätt använts i ökad utsträckning i Riksda</w:t>
      </w:r>
      <w:r w:rsidR="009A2F7A" w:rsidRPr="009A2F7A">
        <w:t>gsförvaltningen</w:t>
      </w:r>
      <w:r w:rsidR="00C42EA4">
        <w:t>s</w:t>
      </w:r>
      <w:r w:rsidR="00C42EA4" w:rsidRPr="00C42EA4">
        <w:t xml:space="preserve"> </w:t>
      </w:r>
      <w:r w:rsidR="00C42EA4">
        <w:t>säkerhetsarbete</w:t>
      </w:r>
      <w:r w:rsidR="009A2F7A" w:rsidRPr="009A2F7A">
        <w:t>.</w:t>
      </w:r>
    </w:p>
    <w:p w:rsidR="00A60D0C" w:rsidRPr="00632417" w:rsidRDefault="00A60D0C" w:rsidP="00A60D0C">
      <w:pPr>
        <w:pStyle w:val="Normaltindrag"/>
      </w:pPr>
      <w:r w:rsidRPr="009A2F7A">
        <w:t>Vidare har ett omfattande utvecklingsarbete påbörjats</w:t>
      </w:r>
      <w:r w:rsidR="004A4D08">
        <w:t>,</w:t>
      </w:r>
      <w:r w:rsidRPr="009A2F7A">
        <w:t xml:space="preserve"> vilket har medfört en ny organisation </w:t>
      </w:r>
      <w:r w:rsidR="009A2F7A" w:rsidRPr="009A2F7A">
        <w:t>och</w:t>
      </w:r>
      <w:r w:rsidRPr="009A2F7A">
        <w:t xml:space="preserve"> nya arbetssätt</w:t>
      </w:r>
      <w:r w:rsidR="009A2F7A" w:rsidRPr="009A2F7A">
        <w:t xml:space="preserve"> för säkerhetsarbetet</w:t>
      </w:r>
      <w:r w:rsidRPr="009A2F7A">
        <w:t xml:space="preserve">. </w:t>
      </w:r>
      <w:r w:rsidR="00632417" w:rsidRPr="00632417">
        <w:t>Syftet är</w:t>
      </w:r>
      <w:r w:rsidRPr="00632417">
        <w:t xml:space="preserve"> att </w:t>
      </w:r>
      <w:r w:rsidR="0056069D" w:rsidRPr="00632417">
        <w:t>förvaltningen bättre ska svara</w:t>
      </w:r>
      <w:r w:rsidR="005622DA">
        <w:t xml:space="preserve"> upp mot </w:t>
      </w:r>
      <w:r w:rsidRPr="00632417">
        <w:t>omvärldsförändringar</w:t>
      </w:r>
      <w:r w:rsidR="00632417" w:rsidRPr="00632417">
        <w:t xml:space="preserve"> samt </w:t>
      </w:r>
      <w:r w:rsidR="0056069D" w:rsidRPr="00632417">
        <w:t>arbeta</w:t>
      </w:r>
      <w:r w:rsidRPr="00632417">
        <w:t xml:space="preserve"> systematiskt, analysbaserat och mer effektivt med att skydda det skyddsvärda i riksdagen.</w:t>
      </w:r>
    </w:p>
    <w:p w:rsidR="0056069D" w:rsidRPr="0056069D" w:rsidRDefault="00A60D0C" w:rsidP="0056069D">
      <w:pPr>
        <w:pStyle w:val="Normaltindrag"/>
      </w:pPr>
      <w:r w:rsidRPr="0056069D">
        <w:t>Den långsiktiga ambitionen för 2015</w:t>
      </w:r>
      <w:r w:rsidR="00CF3558">
        <w:t>–</w:t>
      </w:r>
      <w:r w:rsidRPr="0056069D">
        <w:t xml:space="preserve">2018 är att säkerheten i riksdagen ska stärkas med bibehållen öppenhet. Säkerhetsarbetet i riksdagen innebär en ständig balansgång mellan att upprätthålla säkerheten </w:t>
      </w:r>
      <w:r w:rsidR="006E0C0B">
        <w:t xml:space="preserve">och att </w:t>
      </w:r>
      <w:r w:rsidR="006E0C0B" w:rsidRPr="0056069D">
        <w:t xml:space="preserve">i största möjliga mån </w:t>
      </w:r>
      <w:r w:rsidR="006E0C0B">
        <w:t>garantera</w:t>
      </w:r>
      <w:r w:rsidR="006E0C0B" w:rsidRPr="0056069D">
        <w:t xml:space="preserve"> </w:t>
      </w:r>
      <w:r w:rsidRPr="0056069D">
        <w:t>öpp</w:t>
      </w:r>
      <w:r w:rsidR="006E0C0B">
        <w:t>enheten för allmänhet och media</w:t>
      </w:r>
      <w:r w:rsidRPr="0056069D">
        <w:t xml:space="preserve">. De </w:t>
      </w:r>
      <w:r w:rsidR="0056069D" w:rsidRPr="0056069D">
        <w:t xml:space="preserve">säkerhetsåtgärder </w:t>
      </w:r>
      <w:r w:rsidRPr="0056069D">
        <w:t>i form av utökad bevakning och säkerhetskontroll i riksdagens entréer som vidtogs i samband med höjningen av terrorhotnivån i november 2015 har bestått under hela 2016. A</w:t>
      </w:r>
      <w:r w:rsidR="00004EA7">
        <w:t>ntalet säkerhetskontroller vid r</w:t>
      </w:r>
      <w:r w:rsidR="005606AF">
        <w:t>iksmötets öppnande 2016 var 8</w:t>
      </w:r>
      <w:r w:rsidRPr="0056069D">
        <w:t xml:space="preserve"> till ant</w:t>
      </w:r>
      <w:r w:rsidR="005606AF">
        <w:t>alet, vilket kan jämföras med 1</w:t>
      </w:r>
      <w:r w:rsidRPr="0056069D">
        <w:t xml:space="preserve"> vid samma händelse 2015. Trots dessa säkerhetsåtgärder uppgav samtliga svarande i en enkät som riktar sig till ansvariga för gruppbesök i riksdagen under den första delen av 2016 att inpasse</w:t>
      </w:r>
      <w:r w:rsidRPr="0056069D">
        <w:lastRenderedPageBreak/>
        <w:t>ringen fungerar bra elle</w:t>
      </w:r>
      <w:r w:rsidR="0056069D" w:rsidRPr="0056069D">
        <w:t>r mycket bra. Siffran var till och med</w:t>
      </w:r>
      <w:r w:rsidRPr="0056069D">
        <w:t xml:space="preserve"> högre än för m</w:t>
      </w:r>
      <w:r w:rsidR="0056069D" w:rsidRPr="0056069D">
        <w:t>otsvarande period föregående år</w:t>
      </w:r>
      <w:r w:rsidRPr="0056069D">
        <w:t>. Detta ger en god indikation på att säkerheten har kunnat upprätthållas utan att göra m</w:t>
      </w:r>
      <w:r w:rsidR="0056069D" w:rsidRPr="0056069D">
        <w:t>ärkbart avkall på öppenheten.</w:t>
      </w:r>
    </w:p>
    <w:p w:rsidR="00782479" w:rsidRDefault="00A60D0C" w:rsidP="007713E3">
      <w:pPr>
        <w:pStyle w:val="Normaltindrag"/>
        <w:rPr>
          <w:u w:val="single"/>
        </w:rPr>
      </w:pPr>
      <w:r w:rsidRPr="00486AF0">
        <w:t>En prioriterad risk för 2016 har varit hot och våld i eller utanför riksdagens lokaler som kan skada ledamöter, personal och besökand</w:t>
      </w:r>
      <w:r w:rsidR="00D62B2F">
        <w:t xml:space="preserve">e. Under 2016 har förmågan att upptäcka </w:t>
      </w:r>
      <w:r w:rsidRPr="00486AF0">
        <w:t>farliga föremål och andra typer av avvikel</w:t>
      </w:r>
      <w:r w:rsidR="00486AF0" w:rsidRPr="00486AF0">
        <w:t xml:space="preserve">ser stärkts genom att </w:t>
      </w:r>
      <w:r w:rsidRPr="00486AF0">
        <w:t>olika typer av säkerhetsåtgärder</w:t>
      </w:r>
      <w:r w:rsidR="00486AF0" w:rsidRPr="00486AF0">
        <w:t xml:space="preserve"> har vidtagits</w:t>
      </w:r>
      <w:r w:rsidRPr="00486AF0">
        <w:t>, såsom utökad bevakning och s</w:t>
      </w:r>
      <w:r w:rsidR="00486AF0" w:rsidRPr="00486AF0">
        <w:t>äkerhetskontroll i entréerna.</w:t>
      </w:r>
    </w:p>
    <w:p w:rsidR="00782479" w:rsidRPr="00D11285" w:rsidRDefault="00782479" w:rsidP="00782479">
      <w:pPr>
        <w:pStyle w:val="Rubrik4"/>
      </w:pPr>
      <w:r w:rsidRPr="00D11285">
        <w:t>Informationssäkerhet</w:t>
      </w:r>
    </w:p>
    <w:p w:rsidR="00782479" w:rsidRPr="00D11285" w:rsidRDefault="00782479" w:rsidP="00782479">
      <w:r w:rsidRPr="00D11285">
        <w:t>Arbetet med att införa ett ledningssystem för informationssäkerhet</w:t>
      </w:r>
      <w:r w:rsidR="00AC63DE" w:rsidRPr="00D11285">
        <w:t xml:space="preserve"> i Riksdagsförvaltningen fortsätter</w:t>
      </w:r>
      <w:r w:rsidRPr="00D11285">
        <w:t xml:space="preserve">. Under </w:t>
      </w:r>
      <w:r w:rsidR="00AC63DE" w:rsidRPr="00D11285">
        <w:t>hösten</w:t>
      </w:r>
      <w:r w:rsidRPr="00D11285">
        <w:t xml:space="preserve"> </w:t>
      </w:r>
      <w:r w:rsidR="00AC63DE" w:rsidRPr="00D11285">
        <w:t>2016</w:t>
      </w:r>
      <w:r w:rsidRPr="00D11285">
        <w:t xml:space="preserve"> beslutade riksdagsdirektören om </w:t>
      </w:r>
      <w:r w:rsidR="00AC63DE" w:rsidRPr="00D11285">
        <w:t xml:space="preserve">en föreskrift och tre instruktioner som reglerar </w:t>
      </w:r>
      <w:r w:rsidR="00AC63DE" w:rsidRPr="00EB5F27">
        <w:t>informationssäkerhetsområdet</w:t>
      </w:r>
      <w:r w:rsidRPr="00EB5F27">
        <w:t>.</w:t>
      </w:r>
      <w:r w:rsidR="00AC63DE" w:rsidRPr="00D11285">
        <w:t xml:space="preserve"> Regleringen anger bland a</w:t>
      </w:r>
      <w:r w:rsidR="00EB5F27">
        <w:t>nnat roller och ansvar</w:t>
      </w:r>
      <w:r w:rsidR="00AC63DE" w:rsidRPr="00D11285">
        <w:t>.</w:t>
      </w:r>
      <w:r w:rsidRPr="00D11285">
        <w:t xml:space="preserve"> </w:t>
      </w:r>
      <w:r w:rsidR="00AC63DE" w:rsidRPr="00D11285">
        <w:t>Merparten av styrdokumenten är därmed på plats.</w:t>
      </w:r>
    </w:p>
    <w:p w:rsidR="00782479" w:rsidRPr="00DB6552" w:rsidRDefault="00782479" w:rsidP="00782479">
      <w:pPr>
        <w:spacing w:before="0"/>
        <w:ind w:firstLine="227"/>
      </w:pPr>
      <w:r w:rsidRPr="00DB6552">
        <w:t>Informationssäkerhetsarbetet kan beskrivas utifrån förmågor. Det handlar o</w:t>
      </w:r>
      <w:r w:rsidR="00D17B76">
        <w:t>m att kunna skydda information</w:t>
      </w:r>
      <w:r w:rsidRPr="00DB6552">
        <w:t xml:space="preserve"> samt upptäcka och hantera säkerhetsincidenter.</w:t>
      </w:r>
      <w:r w:rsidR="0027490B" w:rsidRPr="00DB6552">
        <w:t xml:space="preserve"> Antalet säkerhetsincidenter har ökat i omfattning under 2016 men ligger inom ett förväntat intervall.</w:t>
      </w:r>
      <w:r w:rsidRPr="00DB6552">
        <w:t xml:space="preserve"> </w:t>
      </w:r>
      <w:r w:rsidR="00B52F87" w:rsidRPr="00DB6552">
        <w:t>F</w:t>
      </w:r>
      <w:r w:rsidR="00AC63DE" w:rsidRPr="00DB6552">
        <w:t xml:space="preserve">örvaltningen </w:t>
      </w:r>
      <w:r w:rsidR="00B52F87" w:rsidRPr="00DB6552">
        <w:t xml:space="preserve">har </w:t>
      </w:r>
      <w:r w:rsidR="00AC63DE" w:rsidRPr="00DB6552">
        <w:t>vidtagit åtgärder som vid ingången av 2017 ska förbättra förmågan att upptäcka säkerhetsincidenter</w:t>
      </w:r>
      <w:r w:rsidRPr="00DB6552">
        <w:t>.</w:t>
      </w:r>
    </w:p>
    <w:p w:rsidR="00782479" w:rsidRDefault="00782479" w:rsidP="002E56D6">
      <w:pPr>
        <w:spacing w:before="0"/>
        <w:ind w:firstLine="227"/>
      </w:pPr>
      <w:r w:rsidRPr="00DB6552">
        <w:t>I samband med förändringarna i</w:t>
      </w:r>
      <w:r w:rsidR="0065494E" w:rsidRPr="00DB6552">
        <w:t xml:space="preserve"> förvaltningens it-miljö har förvaltningen genomfört</w:t>
      </w:r>
      <w:r w:rsidRPr="00DB6552">
        <w:t xml:space="preserve"> analyser f</w:t>
      </w:r>
      <w:r w:rsidR="00D17B76">
        <w:t>ör att identifiera skyddsvärden</w:t>
      </w:r>
      <w:r w:rsidRPr="00DB6552">
        <w:t xml:space="preserve"> och tekniska analyser för att identifiera sårbarheter. Förvaltningen har därigenom kunnat ta bort </w:t>
      </w:r>
      <w:r w:rsidR="00AC63DE" w:rsidRPr="00DB6552">
        <w:t xml:space="preserve">ytterligare </w:t>
      </w:r>
      <w:r w:rsidRPr="00DB6552">
        <w:t>sårbarheter i it-miljön.</w:t>
      </w:r>
      <w:r w:rsidRPr="00D11285">
        <w:t xml:space="preserve">  </w:t>
      </w:r>
    </w:p>
    <w:p w:rsidR="001F2486" w:rsidRPr="001F2486" w:rsidRDefault="001F2486" w:rsidP="001F2486">
      <w:pPr>
        <w:pStyle w:val="Normaltindrag"/>
      </w:pPr>
      <w:r w:rsidRPr="001F2486">
        <w:t>I december gjordes ett misstag i en rutin i samband med en uppdatering av en programvara som ledde till att inte alla användare fick den nya och säkra</w:t>
      </w:r>
      <w:r w:rsidR="00F343F8">
        <w:t>re</w:t>
      </w:r>
      <w:r w:rsidRPr="001F2486">
        <w:t xml:space="preserve"> versionen. Förvaltningens it-miljö bygger emellertid på flera säkerhetsbarriärer, där uppdateringen bara </w:t>
      </w:r>
      <w:r>
        <w:t xml:space="preserve">är en av dem. </w:t>
      </w:r>
      <w:r w:rsidRPr="001F2486">
        <w:t xml:space="preserve">Sårbarheter i programvaror är helt enkelt en faktor som säkerhetssystemet är uppbyggt efter. </w:t>
      </w:r>
      <w:r w:rsidR="00F343F8">
        <w:t xml:space="preserve">Risken bedöms därför som liten. </w:t>
      </w:r>
      <w:r w:rsidRPr="001F2486">
        <w:t>Det finns inget som tyder på att incidenten orsakat någon skada. Felet har rättats till och åtgärder genomförs för att det inte ska uppträda igen.</w:t>
      </w:r>
    </w:p>
    <w:p w:rsidR="00782479" w:rsidRDefault="007151BF" w:rsidP="00782479">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17</w:t>
      </w:r>
      <w:r w:rsidR="00782479" w:rsidRPr="00D62233">
        <w:rPr>
          <w:rFonts w:eastAsiaTheme="majorEastAsia" w:cstheme="majorBidi"/>
          <w:b/>
        </w:rPr>
        <w:t xml:space="preserve"> Inform</w:t>
      </w:r>
      <w:r w:rsidR="00782479">
        <w:rPr>
          <w:rFonts w:eastAsiaTheme="majorEastAsia" w:cstheme="majorBidi"/>
          <w:b/>
        </w:rPr>
        <w:t xml:space="preserve">ationssäkerhet – </w:t>
      </w:r>
      <w:r w:rsidR="00782479" w:rsidRPr="00D62233">
        <w:rPr>
          <w:rFonts w:eastAsiaTheme="majorEastAsia" w:cstheme="majorBidi"/>
          <w:b/>
        </w:rPr>
        <w:t>analyser</w:t>
      </w:r>
      <w:r w:rsidR="00782479">
        <w:rPr>
          <w:rFonts w:eastAsiaTheme="majorEastAsia" w:cstheme="majorBidi"/>
          <w:b/>
        </w:rPr>
        <w:t xml:space="preserve"> och it-säkerhetsincidenter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9"/>
        <w:gridCol w:w="708"/>
        <w:gridCol w:w="733"/>
      </w:tblGrid>
      <w:tr w:rsidR="00782479" w:rsidRPr="00C430D6" w:rsidTr="008C4D59">
        <w:tc>
          <w:tcPr>
            <w:tcW w:w="3681" w:type="dxa"/>
            <w:tcBorders>
              <w:top w:val="single" w:sz="4" w:space="0" w:color="auto"/>
              <w:bottom w:val="single" w:sz="4" w:space="0" w:color="auto"/>
            </w:tcBorders>
          </w:tcPr>
          <w:p w:rsidR="00782479" w:rsidRPr="00C430D6" w:rsidRDefault="00782479" w:rsidP="008C4D59">
            <w:pPr>
              <w:pStyle w:val="Normaltindrag"/>
              <w:spacing w:before="60" w:line="200" w:lineRule="exact"/>
              <w:ind w:firstLine="0"/>
              <w:rPr>
                <w:sz w:val="16"/>
                <w:szCs w:val="16"/>
              </w:rPr>
            </w:pPr>
          </w:p>
        </w:tc>
        <w:tc>
          <w:tcPr>
            <w:tcW w:w="709" w:type="dxa"/>
            <w:tcBorders>
              <w:top w:val="single" w:sz="4" w:space="0" w:color="auto"/>
              <w:bottom w:val="single" w:sz="4" w:space="0" w:color="auto"/>
            </w:tcBorders>
          </w:tcPr>
          <w:p w:rsidR="00782479" w:rsidRPr="00925C01" w:rsidRDefault="00782479" w:rsidP="008C4D59">
            <w:pPr>
              <w:pStyle w:val="Tabell-Siffror"/>
              <w:spacing w:before="60" w:line="200" w:lineRule="exact"/>
              <w:rPr>
                <w:b/>
              </w:rPr>
            </w:pPr>
            <w:r w:rsidRPr="00925C01">
              <w:rPr>
                <w:b/>
              </w:rPr>
              <w:t>201</w:t>
            </w:r>
            <w:r>
              <w:rPr>
                <w:b/>
              </w:rPr>
              <w:t>6</w:t>
            </w:r>
          </w:p>
        </w:tc>
        <w:tc>
          <w:tcPr>
            <w:tcW w:w="708" w:type="dxa"/>
            <w:tcBorders>
              <w:top w:val="single" w:sz="4" w:space="0" w:color="auto"/>
              <w:bottom w:val="single" w:sz="4" w:space="0" w:color="auto"/>
            </w:tcBorders>
          </w:tcPr>
          <w:p w:rsidR="00782479" w:rsidRPr="00925C01" w:rsidRDefault="00782479" w:rsidP="008C4D59">
            <w:pPr>
              <w:pStyle w:val="Tabell-Siffror"/>
              <w:spacing w:before="60" w:line="200" w:lineRule="exact"/>
              <w:rPr>
                <w:b/>
              </w:rPr>
            </w:pPr>
            <w:r w:rsidRPr="00925C01">
              <w:rPr>
                <w:b/>
              </w:rPr>
              <w:t>201</w:t>
            </w:r>
            <w:r>
              <w:rPr>
                <w:b/>
              </w:rPr>
              <w:t>5</w:t>
            </w:r>
          </w:p>
        </w:tc>
        <w:tc>
          <w:tcPr>
            <w:tcW w:w="733" w:type="dxa"/>
            <w:tcBorders>
              <w:top w:val="single" w:sz="4" w:space="0" w:color="auto"/>
              <w:bottom w:val="single" w:sz="4" w:space="0" w:color="auto"/>
            </w:tcBorders>
          </w:tcPr>
          <w:p w:rsidR="00782479" w:rsidRPr="00925C01" w:rsidRDefault="00782479" w:rsidP="008C4D59">
            <w:pPr>
              <w:pStyle w:val="Tabell-Siffror"/>
              <w:spacing w:before="60" w:line="200" w:lineRule="exact"/>
              <w:rPr>
                <w:b/>
              </w:rPr>
            </w:pPr>
            <w:r w:rsidRPr="00925C01">
              <w:rPr>
                <w:b/>
              </w:rPr>
              <w:t>201</w:t>
            </w:r>
            <w:r>
              <w:rPr>
                <w:b/>
              </w:rPr>
              <w:t>4</w:t>
            </w:r>
          </w:p>
        </w:tc>
      </w:tr>
      <w:tr w:rsidR="00782479" w:rsidRPr="00C430D6" w:rsidTr="008C4D59">
        <w:tc>
          <w:tcPr>
            <w:tcW w:w="3681" w:type="dxa"/>
            <w:tcBorders>
              <w:top w:val="single" w:sz="4" w:space="0" w:color="auto"/>
              <w:bottom w:val="nil"/>
            </w:tcBorders>
          </w:tcPr>
          <w:p w:rsidR="00782479" w:rsidRPr="00C430D6" w:rsidRDefault="00782479" w:rsidP="008C4D59">
            <w:pPr>
              <w:pStyle w:val="Tabell-Text"/>
              <w:spacing w:before="60" w:line="200" w:lineRule="exact"/>
            </w:pPr>
            <w:r>
              <w:t>Tekniska säkerhetsgranskningar</w:t>
            </w:r>
          </w:p>
        </w:tc>
        <w:tc>
          <w:tcPr>
            <w:tcW w:w="709" w:type="dxa"/>
            <w:tcBorders>
              <w:top w:val="single" w:sz="4" w:space="0" w:color="auto"/>
              <w:bottom w:val="nil"/>
            </w:tcBorders>
          </w:tcPr>
          <w:p w:rsidR="00782479" w:rsidRPr="00C430D6" w:rsidRDefault="00AC63DE" w:rsidP="008C4D59">
            <w:pPr>
              <w:pStyle w:val="Tabell-Siffror"/>
              <w:spacing w:before="60" w:line="200" w:lineRule="exact"/>
            </w:pPr>
            <w:r>
              <w:t>4</w:t>
            </w:r>
          </w:p>
        </w:tc>
        <w:tc>
          <w:tcPr>
            <w:tcW w:w="708" w:type="dxa"/>
            <w:tcBorders>
              <w:top w:val="single" w:sz="4" w:space="0" w:color="auto"/>
              <w:bottom w:val="nil"/>
            </w:tcBorders>
          </w:tcPr>
          <w:p w:rsidR="00782479" w:rsidRPr="00C430D6" w:rsidRDefault="00782479" w:rsidP="008C4D59">
            <w:pPr>
              <w:pStyle w:val="Tabell-Siffror"/>
              <w:spacing w:before="60" w:line="200" w:lineRule="exact"/>
            </w:pPr>
            <w:r>
              <w:t>6</w:t>
            </w:r>
          </w:p>
        </w:tc>
        <w:tc>
          <w:tcPr>
            <w:tcW w:w="733" w:type="dxa"/>
            <w:tcBorders>
              <w:top w:val="single" w:sz="4" w:space="0" w:color="auto"/>
              <w:bottom w:val="nil"/>
            </w:tcBorders>
          </w:tcPr>
          <w:p w:rsidR="00782479" w:rsidRPr="00C430D6" w:rsidRDefault="00782479" w:rsidP="008C4D59">
            <w:pPr>
              <w:pStyle w:val="Tabell-Siffror"/>
              <w:spacing w:before="60" w:line="200" w:lineRule="exact"/>
            </w:pPr>
            <w:r>
              <w:t>3</w:t>
            </w:r>
          </w:p>
        </w:tc>
      </w:tr>
      <w:tr w:rsidR="00782479" w:rsidRPr="00C430D6" w:rsidTr="008C4D59">
        <w:tc>
          <w:tcPr>
            <w:tcW w:w="3681" w:type="dxa"/>
            <w:tcBorders>
              <w:top w:val="nil"/>
            </w:tcBorders>
          </w:tcPr>
          <w:p w:rsidR="00782479" w:rsidRPr="00C430D6" w:rsidRDefault="00782479" w:rsidP="008C4D59">
            <w:pPr>
              <w:pStyle w:val="Tabell-Text"/>
              <w:spacing w:before="60" w:line="200" w:lineRule="exact"/>
            </w:pPr>
            <w:r w:rsidRPr="00C430D6">
              <w:t>It-säkerhetsincidenter</w:t>
            </w:r>
          </w:p>
        </w:tc>
        <w:tc>
          <w:tcPr>
            <w:tcW w:w="709" w:type="dxa"/>
            <w:tcBorders>
              <w:top w:val="nil"/>
            </w:tcBorders>
          </w:tcPr>
          <w:p w:rsidR="00782479" w:rsidRPr="00C430D6" w:rsidRDefault="007A0012" w:rsidP="008C4D59">
            <w:pPr>
              <w:pStyle w:val="Tabell-Siffror"/>
              <w:spacing w:before="60" w:line="200" w:lineRule="exact"/>
            </w:pPr>
            <w:r w:rsidRPr="00E53DCB">
              <w:t>162</w:t>
            </w:r>
          </w:p>
        </w:tc>
        <w:tc>
          <w:tcPr>
            <w:tcW w:w="708" w:type="dxa"/>
            <w:tcBorders>
              <w:top w:val="nil"/>
            </w:tcBorders>
          </w:tcPr>
          <w:p w:rsidR="00782479" w:rsidRPr="00C430D6" w:rsidRDefault="00782479" w:rsidP="008C4D59">
            <w:pPr>
              <w:pStyle w:val="Tabell-Siffror"/>
              <w:spacing w:before="60" w:line="200" w:lineRule="exact"/>
            </w:pPr>
            <w:r>
              <w:t>87</w:t>
            </w:r>
          </w:p>
        </w:tc>
        <w:tc>
          <w:tcPr>
            <w:tcW w:w="733" w:type="dxa"/>
            <w:tcBorders>
              <w:top w:val="nil"/>
            </w:tcBorders>
          </w:tcPr>
          <w:p w:rsidR="00782479" w:rsidRPr="00C430D6" w:rsidRDefault="00782479" w:rsidP="008C4D59">
            <w:pPr>
              <w:pStyle w:val="Tabell-Siffror"/>
              <w:spacing w:before="60" w:line="200" w:lineRule="exact"/>
            </w:pPr>
            <w:r w:rsidRPr="00C430D6">
              <w:t>1</w:t>
            </w:r>
            <w:r>
              <w:t>16</w:t>
            </w:r>
          </w:p>
        </w:tc>
      </w:tr>
    </w:tbl>
    <w:p w:rsidR="005B5991" w:rsidRDefault="005B5991" w:rsidP="003F292D">
      <w:pPr>
        <w:pStyle w:val="Normaltindrag"/>
        <w:rPr>
          <w:u w:val="single"/>
        </w:rPr>
      </w:pPr>
    </w:p>
    <w:p w:rsidR="005B5991" w:rsidRDefault="005B5991">
      <w:pPr>
        <w:spacing w:before="0" w:after="200" w:line="276" w:lineRule="auto"/>
        <w:jc w:val="left"/>
        <w:rPr>
          <w:u w:val="single"/>
        </w:rPr>
      </w:pPr>
      <w:r>
        <w:rPr>
          <w:u w:val="single"/>
        </w:rPr>
        <w:br w:type="page"/>
      </w:r>
    </w:p>
    <w:tbl>
      <w:tblPr>
        <w:tblStyle w:val="Tabellrutnt"/>
        <w:tblW w:w="0" w:type="auto"/>
        <w:tblLook w:val="04A0" w:firstRow="1" w:lastRow="0" w:firstColumn="1" w:lastColumn="0" w:noHBand="0" w:noVBand="1"/>
      </w:tblPr>
      <w:tblGrid>
        <w:gridCol w:w="5888"/>
      </w:tblGrid>
      <w:tr w:rsidR="003D4E0A" w:rsidTr="00063845">
        <w:tc>
          <w:tcPr>
            <w:tcW w:w="5888" w:type="dxa"/>
          </w:tcPr>
          <w:p w:rsidR="003D4E0A" w:rsidRPr="006306D2" w:rsidRDefault="004D2122" w:rsidP="00971D9E">
            <w:pPr>
              <w:pStyle w:val="R5"/>
              <w:spacing w:before="120"/>
            </w:pPr>
            <w:r w:rsidRPr="006306D2">
              <w:lastRenderedPageBreak/>
              <w:t>Gemensamt servicecenter öppnat</w:t>
            </w:r>
          </w:p>
          <w:p w:rsidR="004D2122" w:rsidRPr="006306D2" w:rsidRDefault="004D2122" w:rsidP="004D2122">
            <w:r w:rsidRPr="006306D2">
              <w:t>I oktober öppnade ett gemensamt servicecenter i Bankhallen</w:t>
            </w:r>
            <w:r w:rsidR="00F343F8">
              <w:t xml:space="preserve">. </w:t>
            </w:r>
            <w:r w:rsidR="00F343F8" w:rsidRPr="006306D2">
              <w:t>Hit kan alla</w:t>
            </w:r>
            <w:r w:rsidR="00F343F8">
              <w:t xml:space="preserve"> –</w:t>
            </w:r>
            <w:r w:rsidRPr="006306D2">
              <w:t xml:space="preserve">ledamöter, </w:t>
            </w:r>
            <w:r w:rsidR="00383B60" w:rsidRPr="006306D2">
              <w:t>partikanslier</w:t>
            </w:r>
            <w:r w:rsidR="00383B60">
              <w:t xml:space="preserve"> och</w:t>
            </w:r>
            <w:r w:rsidR="00383B60" w:rsidRPr="006306D2">
              <w:t xml:space="preserve"> </w:t>
            </w:r>
            <w:r w:rsidRPr="006306D2">
              <w:t>anstä</w:t>
            </w:r>
            <w:r w:rsidR="00383B60">
              <w:t>llda i Riksdagsförvaltningen</w:t>
            </w:r>
            <w:r w:rsidR="00F343F8">
              <w:t xml:space="preserve"> –</w:t>
            </w:r>
            <w:r w:rsidRPr="006306D2">
              <w:t xml:space="preserve"> vända sig med felanmälningar och frågor om till exempel utrustning och behörigheter, reseräkningar samt sammanträdeslokaler och rum. Centret har ett </w:t>
            </w:r>
            <w:r w:rsidR="00383B60">
              <w:t xml:space="preserve">gemensamt telefonnummer </w:t>
            </w:r>
            <w:r w:rsidRPr="006306D2">
              <w:t>för alla ärenden.</w:t>
            </w:r>
          </w:p>
          <w:p w:rsidR="004D2122" w:rsidRPr="006306D2" w:rsidRDefault="004D2122" w:rsidP="004D2122">
            <w:pPr>
              <w:pStyle w:val="Normaltindrag"/>
            </w:pPr>
            <w:r w:rsidRPr="006306D2">
              <w:t xml:space="preserve">Genom att samla all service på ett ställe och via ett telefonnummer ska servicen, som tidigare funnits på olika håll i förvaltningen, bli lätt tillgänglig, snabbare och av bättre kvalitet. </w:t>
            </w:r>
          </w:p>
          <w:p w:rsidR="004D2122" w:rsidRPr="006306D2" w:rsidRDefault="00D17B76" w:rsidP="004D2122">
            <w:pPr>
              <w:pStyle w:val="Normaltindrag"/>
            </w:pPr>
            <w:r>
              <w:t>I s</w:t>
            </w:r>
            <w:r w:rsidR="004D2122" w:rsidRPr="006306D2">
              <w:t>ervicecentret i Bankhallen ingår även de arbetsuppgifter som tidigare fanns i informationsdisken</w:t>
            </w:r>
            <w:r w:rsidR="00F343F8">
              <w:t xml:space="preserve">, som till exempel </w:t>
            </w:r>
            <w:r w:rsidR="004D2122" w:rsidRPr="006306D2">
              <w:t>information om aktuella frågor i kammaren</w:t>
            </w:r>
            <w:r w:rsidR="00F343F8">
              <w:t xml:space="preserve"> samt försäljning av presentartiklar</w:t>
            </w:r>
            <w:r w:rsidR="004D2122" w:rsidRPr="006306D2">
              <w:t xml:space="preserve"> m.m. Det går också att boka tid med handläggare från enheten ledamotsadministration angående frågor om resor m.m.</w:t>
            </w:r>
          </w:p>
          <w:p w:rsidR="009A0C7A" w:rsidRPr="006306D2" w:rsidRDefault="00D17B76" w:rsidP="004D2122">
            <w:pPr>
              <w:pStyle w:val="Normaltindrag"/>
              <w:rPr>
                <w:b/>
              </w:rPr>
            </w:pPr>
            <w:r>
              <w:t>Tidigare h</w:t>
            </w:r>
            <w:r w:rsidR="009A0C7A" w:rsidRPr="006306D2">
              <w:t>elpdesk för</w:t>
            </w:r>
            <w:r>
              <w:t xml:space="preserve"> it-frågor är numera en del av s</w:t>
            </w:r>
            <w:r w:rsidR="009A0C7A" w:rsidRPr="006306D2">
              <w:t>ervicecentret och nås på samma telefonnummer men är inte placerat i Bankhallen.</w:t>
            </w:r>
            <w:r w:rsidR="00F343F8">
              <w:t xml:space="preserve"> Förslag har arbetats fram om en ny placering i Bankhallen.</w:t>
            </w:r>
          </w:p>
          <w:p w:rsidR="003D4E0A" w:rsidRPr="003D4E0A" w:rsidRDefault="004D2122" w:rsidP="00A11B12">
            <w:pPr>
              <w:pStyle w:val="Normaltindrag"/>
              <w:spacing w:after="120"/>
            </w:pPr>
            <w:r w:rsidRPr="006306D2">
              <w:t>Förberedelserna för servicecentret har pågåt</w:t>
            </w:r>
            <w:r w:rsidR="00E13F7E">
              <w:t xml:space="preserve">t under en längre tid med </w:t>
            </w:r>
            <w:r w:rsidR="00DF2B82">
              <w:t xml:space="preserve">ett </w:t>
            </w:r>
            <w:r w:rsidR="00E13F7E">
              <w:t>brett</w:t>
            </w:r>
            <w:r w:rsidRPr="006306D2">
              <w:t xml:space="preserve"> samarbete mellan olika funktioner i förvaltningen. Arbetet har utgått från förvaltningens vi</w:t>
            </w:r>
            <w:r w:rsidR="00D17B76">
              <w:t>sion, värdegrund och principer</w:t>
            </w:r>
            <w:r w:rsidRPr="006306D2">
              <w:t xml:space="preserve"> om bland annat processinriktat arbetssätt och ständiga förbättringar.</w:t>
            </w:r>
          </w:p>
        </w:tc>
      </w:tr>
    </w:tbl>
    <w:p w:rsidR="005D3678" w:rsidRDefault="00305517" w:rsidP="005D3678">
      <w:pPr>
        <w:pStyle w:val="Rubrik4"/>
      </w:pPr>
      <w:r w:rsidRPr="00EB3000">
        <w:t>Servicen till ledamöter har fortsatt att utvecklats</w:t>
      </w:r>
    </w:p>
    <w:p w:rsidR="00AB232A" w:rsidRPr="00EB3000" w:rsidRDefault="00AB232A" w:rsidP="005A230B">
      <w:r w:rsidRPr="00EB3000">
        <w:t>Arbetet med att förbättra servicen till ledamöterna har fortsatt. Förvaltningen informerar och samråder löpande med bland annat ledamotsrådet där varje partigrupp är representerad av en ledamot.</w:t>
      </w:r>
    </w:p>
    <w:p w:rsidR="00AB232A" w:rsidRPr="00EB3000" w:rsidRDefault="00AB232A" w:rsidP="00AB232A">
      <w:pPr>
        <w:pStyle w:val="Normaltindrag"/>
      </w:pPr>
      <w:r w:rsidRPr="00EB3000">
        <w:t xml:space="preserve">En viktig utgångspunkt för förbättringsarbetet är resultaten av den serviceundersökning som förvaltningen genomförde hösten 2015 för att ta reda på hur ledamöterna ser på förvaltningens service och tjänster. Trots det </w:t>
      </w:r>
      <w:r w:rsidR="00D032F0">
        <w:t xml:space="preserve">överlag </w:t>
      </w:r>
      <w:r w:rsidRPr="00EB3000">
        <w:t>mycket goda resultatet finns möjligheter till förbättring</w:t>
      </w:r>
      <w:r w:rsidR="00194398">
        <w:t>ar</w:t>
      </w:r>
      <w:r w:rsidRPr="00EB3000">
        <w:t xml:space="preserve">. Alla delar </w:t>
      </w:r>
      <w:r w:rsidR="00481784" w:rsidRPr="00EB3000">
        <w:t xml:space="preserve">inom förvaltningen </w:t>
      </w:r>
      <w:r w:rsidRPr="00EB3000">
        <w:t xml:space="preserve">som berörs har analyserat utfallet och planerat för vilka åtgärder som kan vidtas. </w:t>
      </w:r>
      <w:r w:rsidR="006B5236" w:rsidRPr="00AB1227">
        <w:t>Bland annat har e</w:t>
      </w:r>
      <w:r w:rsidRPr="00AB1227">
        <w:t>tt nytt ärendehanteringssystem</w:t>
      </w:r>
      <w:r w:rsidR="006B5236" w:rsidRPr="00AB1227">
        <w:t xml:space="preserve"> för utredningsuppdrag</w:t>
      </w:r>
      <w:r w:rsidR="002B30EB" w:rsidRPr="00AB1227">
        <w:t xml:space="preserve"> tagits fram för att underlätta</w:t>
      </w:r>
      <w:r w:rsidRPr="00AB1227">
        <w:t xml:space="preserve"> för ledamöterna </w:t>
      </w:r>
      <w:r w:rsidR="002B30EB" w:rsidRPr="00AB1227">
        <w:t>att beställa och hitta sina utredningar</w:t>
      </w:r>
      <w:r w:rsidR="005A230B" w:rsidRPr="00AB1227">
        <w:t>.</w:t>
      </w:r>
      <w:r w:rsidRPr="00AB1227">
        <w:t xml:space="preserve"> En arbetsgrupp </w:t>
      </w:r>
      <w:r w:rsidR="002B30EB" w:rsidRPr="00AB1227">
        <w:t xml:space="preserve">har skapats för att </w:t>
      </w:r>
      <w:r w:rsidRPr="00AB1227">
        <w:t>in</w:t>
      </w:r>
      <w:r w:rsidR="002B30EB" w:rsidRPr="00AB1227">
        <w:t>hämta</w:t>
      </w:r>
      <w:r w:rsidRPr="00AB1227">
        <w:t xml:space="preserve"> synpunkter</w:t>
      </w:r>
      <w:r w:rsidR="00F00DF5" w:rsidRPr="00AB1227">
        <w:t xml:space="preserve"> på utformningen av ledamotshuset</w:t>
      </w:r>
      <w:r w:rsidRPr="00AB1227">
        <w:t xml:space="preserve"> från</w:t>
      </w:r>
      <w:r w:rsidR="00F00DF5" w:rsidRPr="00AB1227">
        <w:t xml:space="preserve"> bland andra</w:t>
      </w:r>
      <w:r w:rsidRPr="00AB1227">
        <w:t xml:space="preserve"> ledamöter och partikanslier </w:t>
      </w:r>
      <w:r w:rsidR="005A230B" w:rsidRPr="00EB3000">
        <w:t>(se vidare uppdragsområde D</w:t>
      </w:r>
      <w:r w:rsidRPr="00EB3000">
        <w:t>)</w:t>
      </w:r>
      <w:r w:rsidR="005A230B" w:rsidRPr="00EB3000">
        <w:t>.</w:t>
      </w:r>
    </w:p>
    <w:p w:rsidR="00AB232A" w:rsidRPr="00EB3000" w:rsidRDefault="00AB232A" w:rsidP="00AB232A">
      <w:pPr>
        <w:pStyle w:val="Normaltindrag"/>
      </w:pPr>
      <w:r w:rsidRPr="00EB3000">
        <w:t xml:space="preserve">I oktober öppnade ett gemensamt servicecenter i Bankhallen för ledamöter, partikanslier och anställda i Riksdagsförvaltningen. Genom att samla all service på ett ställe och via ett telefonnummer ska servicen, som tidigare funnits på olika håll i förvaltningen, bli lätt tillgänglig, snabbare och av bättre kvalitet (se vidare faktaruta ovan). </w:t>
      </w:r>
    </w:p>
    <w:p w:rsidR="005A230B" w:rsidRDefault="00AB232A" w:rsidP="005A230B">
      <w:pPr>
        <w:pStyle w:val="Normaltindrag"/>
        <w:rPr>
          <w:strike/>
        </w:rPr>
      </w:pPr>
      <w:r w:rsidRPr="00EB3000">
        <w:t>Förvaltningen arbetar kontinuerligt med att förbättra informationen till ledamöter i interna informationskanaler (kammarappen och Intranätet).</w:t>
      </w:r>
      <w:r>
        <w:t xml:space="preserve"> En ny </w:t>
      </w:r>
      <w:r>
        <w:lastRenderedPageBreak/>
        <w:t>version av kammarappen släpptes i juni 2016. I den nya versionen är det bland annat möjligt att följa kammardebatten i en liten tv-bild samtidigt som man arbetar i andra appar.</w:t>
      </w:r>
      <w:r w:rsidR="009410B8" w:rsidRPr="00AB232A">
        <w:rPr>
          <w:strike/>
        </w:rPr>
        <w:t xml:space="preserve"> </w:t>
      </w:r>
    </w:p>
    <w:p w:rsidR="00CF0ABA" w:rsidRDefault="009410B8" w:rsidP="00CF0ABA">
      <w:pPr>
        <w:pStyle w:val="Normaltindrag"/>
      </w:pPr>
      <w:r w:rsidRPr="00523502">
        <w:t xml:space="preserve">I samband med införandet av Office 2013 infördes även programvaran Skype för företag. Den möjliggör möten på distans. Under året har förvaltningen </w:t>
      </w:r>
      <w:r w:rsidR="00262CDE">
        <w:t>färdigställt 3</w:t>
      </w:r>
      <w:r w:rsidR="00523502" w:rsidRPr="00523502">
        <w:t xml:space="preserve"> mötesrum med modern teknik för att stödja effektiva möten på distans.</w:t>
      </w:r>
    </w:p>
    <w:p w:rsidR="006153C9" w:rsidRDefault="00BC6171" w:rsidP="001939EC">
      <w:pPr>
        <w:pStyle w:val="Normaltindrag"/>
      </w:pPr>
      <w:r w:rsidRPr="00AB1227">
        <w:t>Förvaltningen håller också på att</w:t>
      </w:r>
      <w:r w:rsidR="008B0D6B" w:rsidRPr="00AB1227">
        <w:t xml:space="preserve"> ta fram en digital EU-handledning </w:t>
      </w:r>
      <w:r w:rsidRPr="00AB1227">
        <w:t>som ska underlätta ledamöternas löpande arbete med EU-frågor</w:t>
      </w:r>
      <w:r w:rsidR="008B0D6B" w:rsidRPr="00AB1227">
        <w:t xml:space="preserve">. Projektet initierades i oktober 2016 och </w:t>
      </w:r>
      <w:r w:rsidRPr="00AB1227">
        <w:t>den första etappen ska vara avslutad i</w:t>
      </w:r>
      <w:r w:rsidR="008B0D6B" w:rsidRPr="00AB1227">
        <w:t xml:space="preserve"> mars 201</w:t>
      </w:r>
      <w:r w:rsidRPr="00AB1227">
        <w:t>7.</w:t>
      </w:r>
    </w:p>
    <w:p w:rsidR="00CF0ABA" w:rsidRDefault="00CF0ABA" w:rsidP="00CF0ABA">
      <w:pPr>
        <w:pStyle w:val="R4"/>
      </w:pPr>
      <w:r>
        <w:t>Digitala samarbetsytor</w:t>
      </w:r>
      <w:r w:rsidRPr="00CF0ABA">
        <w:t xml:space="preserve"> </w:t>
      </w:r>
    </w:p>
    <w:p w:rsidR="00CF0ABA" w:rsidRPr="00523502" w:rsidRDefault="00EA5DC3" w:rsidP="002A2328">
      <w:r>
        <w:t xml:space="preserve">Under </w:t>
      </w:r>
      <w:r w:rsidR="00CF0ABA" w:rsidRPr="00872B9C">
        <w:t>2015 genomfördes ett projekt för att införa digitala samarbetsytor. Samarbetsytorna erbjuder bland annat stöd för dokumenthantering och samarbete kring dokument i realtid, med versionshantering. Under 2016 har införandet fortsatt och nu används ett flertal digitala samarbetsytor i förvaltnin</w:t>
      </w:r>
      <w:r w:rsidR="00CF0ABA">
        <w:t>gen. Det har även genomförts 63</w:t>
      </w:r>
      <w:r w:rsidR="00CF0ABA" w:rsidRPr="00872B9C">
        <w:t xml:space="preserve"> utbildningstillfällen för att säkerställa att användarna får kunskap om hur ytorna använda på bästa sätt. </w:t>
      </w:r>
    </w:p>
    <w:p w:rsidR="005D3678" w:rsidRPr="005D3678" w:rsidRDefault="005D3678" w:rsidP="005D3678">
      <w:pPr>
        <w:pStyle w:val="Rubrik3"/>
      </w:pPr>
      <w:bookmarkStart w:id="21" w:name="_Toc411239638"/>
      <w:bookmarkStart w:id="22" w:name="_Toc474168599"/>
      <w:r w:rsidRPr="005D3678">
        <w:t>3.3 Kunskap om riksdagen – uppdragsområde C</w:t>
      </w:r>
      <w:bookmarkEnd w:id="21"/>
      <w:bookmarkEnd w:id="22"/>
    </w:p>
    <w:p w:rsidR="005B0F22" w:rsidRDefault="005D3678" w:rsidP="000D5978">
      <w:pPr>
        <w:spacing w:after="125"/>
      </w:pPr>
      <w:r w:rsidRPr="005D3678">
        <w:t xml:space="preserve">Riksdagsförvaltningens uppdrag inom område C syftar till att främja </w:t>
      </w:r>
      <w:r w:rsidR="002753B8">
        <w:t xml:space="preserve">insynen i och </w:t>
      </w:r>
      <w:r w:rsidRPr="005D3678">
        <w:t>kunskap</w:t>
      </w:r>
      <w:r w:rsidR="002753B8">
        <w:t>en</w:t>
      </w:r>
      <w:r w:rsidRPr="005D3678">
        <w:t xml:space="preserve"> om</w:t>
      </w:r>
      <w:r w:rsidR="002753B8">
        <w:t xml:space="preserve"> riksdagens </w:t>
      </w:r>
      <w:r w:rsidRPr="005D3678">
        <w:t>arbete</w:t>
      </w:r>
      <w:r w:rsidR="002753B8">
        <w:t xml:space="preserve"> och beslut samt göra information och tjänster användbara och lättillgängliga</w:t>
      </w:r>
      <w:r w:rsidRPr="005D3678">
        <w:t>.</w:t>
      </w:r>
      <w:r w:rsidR="002753B8">
        <w:t xml:space="preserve"> I området ingår också att informera om EU.</w:t>
      </w:r>
      <w:r w:rsidRPr="005D3678">
        <w:t xml:space="preserve"> </w:t>
      </w:r>
      <w:r w:rsidR="002753B8">
        <w:t xml:space="preserve">Viktiga </w:t>
      </w:r>
      <w:r w:rsidRPr="005D3678">
        <w:t>målgrupper</w:t>
      </w:r>
      <w:r w:rsidR="002753B8">
        <w:t xml:space="preserve"> för den externa kommunikationen är </w:t>
      </w:r>
      <w:r w:rsidRPr="005D3678">
        <w:t>allmänhet</w:t>
      </w:r>
      <w:r w:rsidR="002753B8">
        <w:t>en</w:t>
      </w:r>
      <w:r w:rsidRPr="005D3678">
        <w:t>,</w:t>
      </w:r>
      <w:r w:rsidR="002753B8">
        <w:t xml:space="preserve"> regeringen, myndigheter, landsting, regioner, kommuner, medier, organisa</w:t>
      </w:r>
      <w:r w:rsidR="00636F27">
        <w:t>-</w:t>
      </w:r>
      <w:r w:rsidR="002753B8">
        <w:t xml:space="preserve">tioner, näringsliv, skolor, högskolor, universitet och internationella organ. </w:t>
      </w:r>
    </w:p>
    <w:p w:rsidR="008C5287" w:rsidRPr="008C5287" w:rsidRDefault="008C5287" w:rsidP="008C5287">
      <w:pPr>
        <w:pStyle w:val="Normaltindrag"/>
      </w:pPr>
    </w:p>
    <w:tbl>
      <w:tblPr>
        <w:tblStyle w:val="Tabellrutnt"/>
        <w:tblW w:w="0" w:type="auto"/>
        <w:tblLook w:val="04A0" w:firstRow="1" w:lastRow="0" w:firstColumn="1" w:lastColumn="0" w:noHBand="0" w:noVBand="1"/>
      </w:tblPr>
      <w:tblGrid>
        <w:gridCol w:w="5887"/>
      </w:tblGrid>
      <w:tr w:rsidR="005D3678" w:rsidRPr="005D3678" w:rsidTr="00097D91">
        <w:tc>
          <w:tcPr>
            <w:tcW w:w="5887" w:type="dxa"/>
          </w:tcPr>
          <w:p w:rsidR="005D3678" w:rsidRPr="005D3678" w:rsidRDefault="005D3678" w:rsidP="005D3678">
            <w:pPr>
              <w:spacing w:before="125"/>
              <w:rPr>
                <w:b/>
              </w:rPr>
            </w:pPr>
            <w:r w:rsidRPr="005D3678">
              <w:rPr>
                <w:b/>
              </w:rPr>
              <w:t>Resultat och utveckling – sammanfattning</w:t>
            </w:r>
          </w:p>
          <w:p w:rsidR="005D3678" w:rsidRPr="00B21D99" w:rsidRDefault="005D3678" w:rsidP="005D3678">
            <w:r w:rsidRPr="00B21D99">
              <w:t>Riksdagsförvaltningen har säkerställt att allmänheten, massmedier, vidare-informatörer, skolor och speciella målgr</w:t>
            </w:r>
            <w:r w:rsidR="00EA5DC3">
              <w:t>upper har getts möjligheter att få</w:t>
            </w:r>
            <w:r w:rsidRPr="00B21D99">
              <w:t xml:space="preserve"> information och kunskap om riksdagens arbete. Bedömningen baseras i huvudsak på följande fakta:</w:t>
            </w:r>
          </w:p>
          <w:p w:rsidR="00B21D99" w:rsidRPr="006A585A" w:rsidRDefault="00B21D99" w:rsidP="00B21D99">
            <w:pPr>
              <w:pStyle w:val="Punktlistabomb"/>
              <w:rPr>
                <w:i/>
                <w:iCs/>
              </w:rPr>
            </w:pPr>
            <w:r w:rsidRPr="006A585A">
              <w:rPr>
                <w:i/>
                <w:iCs/>
              </w:rPr>
              <w:t>Det har blivit enklare att söka, följa och bevaka riksdagens arbete och beslut</w:t>
            </w:r>
            <w:r w:rsidR="004807B2" w:rsidRPr="006A585A">
              <w:rPr>
                <w:i/>
                <w:iCs/>
              </w:rPr>
              <w:t xml:space="preserve"> i bland annat digitala kanaler</w:t>
            </w:r>
            <w:r w:rsidR="005D3678" w:rsidRPr="006A585A">
              <w:rPr>
                <w:i/>
                <w:iCs/>
              </w:rPr>
              <w:t xml:space="preserve"> </w:t>
            </w:r>
          </w:p>
          <w:p w:rsidR="005D3678" w:rsidRPr="0058431E" w:rsidRDefault="00032C98" w:rsidP="00B21D99">
            <w:pPr>
              <w:pStyle w:val="Punktlistabomb"/>
              <w:numPr>
                <w:ilvl w:val="0"/>
                <w:numId w:val="0"/>
              </w:numPr>
              <w:ind w:left="284"/>
              <w:rPr>
                <w:i/>
                <w:iCs/>
              </w:rPr>
            </w:pPr>
            <w:r w:rsidRPr="00032C98">
              <w:t>Under året har riksdagens webbplats och öppna data fortsatt att utvecklas. Det har blivit enklare att söka bland beslutsprocessens dokument och på webbplatsen. Antalet besök på riksdagens webbplats och öppna data likväl som besökare på eu-upplysningen.se har ökat i jämförelse med föregående år. Även antal</w:t>
            </w:r>
            <w:r w:rsidR="00EA5DC3">
              <w:t>et</w:t>
            </w:r>
            <w:r w:rsidRPr="00032C98">
              <w:t xml:space="preserve"> följare på riksdagens Twitterkonto har ökat.</w:t>
            </w:r>
          </w:p>
          <w:p w:rsidR="005D3678" w:rsidRPr="00037D56" w:rsidRDefault="005D3678" w:rsidP="003B5093">
            <w:pPr>
              <w:pStyle w:val="Punktlistabomb"/>
              <w:spacing w:before="0" w:after="0"/>
              <w:rPr>
                <w:i/>
                <w:iCs/>
              </w:rPr>
            </w:pPr>
            <w:r w:rsidRPr="00037D56">
              <w:rPr>
                <w:i/>
                <w:iCs/>
              </w:rPr>
              <w:t>Tv-produktionen kring rik</w:t>
            </w:r>
            <w:r w:rsidR="004807B2" w:rsidRPr="00037D56">
              <w:rPr>
                <w:i/>
                <w:iCs/>
              </w:rPr>
              <w:t>sdagens arbete har fungerat väl</w:t>
            </w:r>
            <w:r w:rsidRPr="00037D56">
              <w:rPr>
                <w:i/>
                <w:iCs/>
              </w:rPr>
              <w:t xml:space="preserve"> </w:t>
            </w:r>
          </w:p>
          <w:p w:rsidR="005D3678" w:rsidRPr="0058431E" w:rsidRDefault="00037D56" w:rsidP="003B5093">
            <w:pPr>
              <w:tabs>
                <w:tab w:val="left" w:pos="284"/>
              </w:tabs>
              <w:spacing w:before="0"/>
              <w:ind w:left="284"/>
              <w:contextualSpacing/>
              <w:rPr>
                <w:rFonts w:eastAsia="Times New Roman"/>
                <w:szCs w:val="24"/>
                <w:lang w:eastAsia="sv-SE"/>
              </w:rPr>
            </w:pPr>
            <w:r w:rsidRPr="00037D56">
              <w:rPr>
                <w:rFonts w:eastAsia="Times New Roman"/>
                <w:szCs w:val="24"/>
                <w:lang w:eastAsia="sv-SE"/>
              </w:rPr>
              <w:lastRenderedPageBreak/>
              <w:t>Det totala antalet sändningstimmar från riksdagen har ökat jämfört med förra året. Sändningarna har genomförts utan att det inträffat några incidenter eller drifts</w:t>
            </w:r>
            <w:r w:rsidR="00EA5DC3">
              <w:rPr>
                <w:rFonts w:eastAsia="Times New Roman"/>
                <w:szCs w:val="24"/>
                <w:lang w:eastAsia="sv-SE"/>
              </w:rPr>
              <w:t>s</w:t>
            </w:r>
            <w:r w:rsidRPr="00037D56">
              <w:rPr>
                <w:rFonts w:eastAsia="Times New Roman"/>
                <w:szCs w:val="24"/>
                <w:lang w:eastAsia="sv-SE"/>
              </w:rPr>
              <w:t>topp.</w:t>
            </w:r>
          </w:p>
          <w:p w:rsidR="00146413" w:rsidRPr="00165804" w:rsidRDefault="00146413" w:rsidP="00114CA4">
            <w:pPr>
              <w:pStyle w:val="Punktlistabomb"/>
              <w:spacing w:before="0" w:after="0"/>
            </w:pPr>
            <w:r w:rsidRPr="00165804">
              <w:rPr>
                <w:i/>
                <w:iCs/>
              </w:rPr>
              <w:t>Intresset för visningar av Riksdagshuset samt studiebesök för gymnasieskolan och besök i Demokrativerkstaden fortsätter att vara högt och verksamheten håller hög kvalitet</w:t>
            </w:r>
          </w:p>
          <w:p w:rsidR="005D3678" w:rsidRPr="00165804" w:rsidRDefault="00165804" w:rsidP="00146413">
            <w:pPr>
              <w:pStyle w:val="Punktlistabomb"/>
              <w:numPr>
                <w:ilvl w:val="0"/>
                <w:numId w:val="0"/>
              </w:numPr>
              <w:ind w:left="284"/>
            </w:pPr>
            <w:r w:rsidRPr="00165804">
              <w:t xml:space="preserve">Det finns ett fortsatt stort intresse </w:t>
            </w:r>
            <w:r w:rsidR="00EA5DC3">
              <w:t>för att besöka R</w:t>
            </w:r>
            <w:r w:rsidRPr="00165804">
              <w:t>i</w:t>
            </w:r>
            <w:r w:rsidR="00EA5DC3">
              <w:t>ksdagshuset och 2016 slogs åter</w:t>
            </w:r>
            <w:r w:rsidRPr="00165804">
              <w:t>igen rekord i antalet besökare i riksdagen. Fr</w:t>
            </w:r>
            <w:r w:rsidR="00804C1D">
              <w:t xml:space="preserve">amför allt </w:t>
            </w:r>
            <w:r w:rsidRPr="00165804">
              <w:t xml:space="preserve">ökade antalet besök i Demokrativerkstaden. </w:t>
            </w:r>
            <w:r w:rsidRPr="00736928">
              <w:t xml:space="preserve">Samtliga lärare som under våren 2016 svarade på en enkät om sitt besök </w:t>
            </w:r>
            <w:r w:rsidR="00257D6C">
              <w:t xml:space="preserve">i Demokrativerkstaden </w:t>
            </w:r>
            <w:r w:rsidRPr="00736928">
              <w:t>hade ett mycket bra eller ganska bra övergripande intryck av besöket.</w:t>
            </w:r>
          </w:p>
          <w:p w:rsidR="005D3678" w:rsidRPr="00754CB6" w:rsidRDefault="005D3678" w:rsidP="00B05EC9">
            <w:pPr>
              <w:pStyle w:val="Punktlistabomb"/>
              <w:spacing w:before="0" w:after="0"/>
              <w:rPr>
                <w:i/>
                <w:iCs/>
              </w:rPr>
            </w:pPr>
            <w:r w:rsidRPr="00754CB6">
              <w:rPr>
                <w:i/>
                <w:iCs/>
              </w:rPr>
              <w:t>Kurser och fortbildningsdagar för externa målg</w:t>
            </w:r>
            <w:r w:rsidR="004807B2" w:rsidRPr="00754CB6">
              <w:rPr>
                <w:i/>
                <w:iCs/>
              </w:rPr>
              <w:t>rupper har hållit hög kvalitet</w:t>
            </w:r>
          </w:p>
          <w:p w:rsidR="005D3678" w:rsidRPr="00754CB6" w:rsidRDefault="00754CB6" w:rsidP="00B05EC9">
            <w:pPr>
              <w:tabs>
                <w:tab w:val="left" w:pos="284"/>
              </w:tabs>
              <w:spacing w:before="0"/>
              <w:ind w:left="284"/>
              <w:contextualSpacing/>
              <w:rPr>
                <w:rFonts w:eastAsia="Times New Roman"/>
                <w:szCs w:val="24"/>
                <w:lang w:eastAsia="sv-SE"/>
              </w:rPr>
            </w:pPr>
            <w:r w:rsidRPr="00754CB6">
              <w:rPr>
                <w:rFonts w:eastAsia="Times New Roman"/>
                <w:szCs w:val="24"/>
                <w:lang w:eastAsia="sv-SE"/>
              </w:rPr>
              <w:t>90 procent av de lärare som deltagit i kurser och fortbildningsdagar ansåg att kurserna som helhet var bra eller mycket bra. När det gäller kurserna för bibliotekarier ansåg i genomsnitt 97 procent av deltagarna att kursens olika delar var relevanta eller mycket relevanta.</w:t>
            </w:r>
          </w:p>
          <w:p w:rsidR="00247F7A" w:rsidRPr="0058431E" w:rsidRDefault="0020005F" w:rsidP="0020005F">
            <w:pPr>
              <w:spacing w:before="125" w:after="120"/>
            </w:pPr>
            <w:r w:rsidRPr="00CA61B3">
              <w:t>Under året har Riksdagsförvaltningen arbetat med att utveckla EU-informatio</w:t>
            </w:r>
            <w:r w:rsidR="00DA6035">
              <w:t>nen till allmänheten. Arbete med</w:t>
            </w:r>
            <w:r w:rsidRPr="00CA61B3">
              <w:t xml:space="preserve"> att ta fram en ny EU-webbplats pågår och under våren </w:t>
            </w:r>
            <w:r w:rsidR="00377DA8" w:rsidRPr="00CA61B3">
              <w:t xml:space="preserve">2017 </w:t>
            </w:r>
            <w:r w:rsidRPr="00CA61B3">
              <w:t>ska den nya webbplatsen lanseras. Förvaltningen har även utvecklat undervisningsmaterialet och kommunikationen med skolor. Det har gjorts utifrån resultatet av en enkätundersökning till landets grund- och gymnasieskolor.</w:t>
            </w:r>
            <w:r w:rsidRPr="0020005F">
              <w:t xml:space="preserve"> </w:t>
            </w:r>
          </w:p>
        </w:tc>
      </w:tr>
    </w:tbl>
    <w:p w:rsidR="000405F0" w:rsidRDefault="000405F0" w:rsidP="000405F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lastRenderedPageBreak/>
        <w:t>Tabell 1</w:t>
      </w:r>
      <w:r w:rsidR="007151BF">
        <w:rPr>
          <w:rFonts w:eastAsiaTheme="majorEastAsia" w:cstheme="majorBidi"/>
          <w:b/>
        </w:rPr>
        <w:t>8</w:t>
      </w:r>
      <w:r w:rsidRPr="000405F0">
        <w:rPr>
          <w:rFonts w:eastAsiaTheme="majorEastAsia" w:cstheme="majorBidi"/>
          <w:b/>
        </w:rPr>
        <w:t xml:space="preserve"> Intäkter, kostnader och transfereringar inom uppdragsområde C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0405F0" w:rsidRPr="00C430D6" w:rsidTr="00097D91">
        <w:tc>
          <w:tcPr>
            <w:tcW w:w="1457" w:type="dxa"/>
            <w:tcBorders>
              <w:top w:val="single" w:sz="4" w:space="0" w:color="auto"/>
              <w:bottom w:val="single" w:sz="4" w:space="0" w:color="auto"/>
            </w:tcBorders>
          </w:tcPr>
          <w:p w:rsidR="000405F0" w:rsidRPr="00C430D6" w:rsidRDefault="000405F0" w:rsidP="00097D91">
            <w:pPr>
              <w:pStyle w:val="Normaltindrag"/>
              <w:spacing w:before="60" w:line="200" w:lineRule="exact"/>
              <w:ind w:firstLine="0"/>
              <w:rPr>
                <w:sz w:val="16"/>
                <w:szCs w:val="16"/>
              </w:rPr>
            </w:pPr>
          </w:p>
        </w:tc>
        <w:tc>
          <w:tcPr>
            <w:tcW w:w="1458" w:type="dxa"/>
            <w:tcBorders>
              <w:top w:val="single" w:sz="4" w:space="0" w:color="auto"/>
              <w:bottom w:val="single" w:sz="4" w:space="0" w:color="auto"/>
            </w:tcBorders>
          </w:tcPr>
          <w:p w:rsidR="000405F0" w:rsidRPr="00127C5D" w:rsidRDefault="000405F0" w:rsidP="00A973AC">
            <w:pPr>
              <w:pStyle w:val="Tabell-Siffror"/>
              <w:spacing w:before="60" w:line="200" w:lineRule="exact"/>
              <w:rPr>
                <w:b/>
              </w:rPr>
            </w:pPr>
            <w:r w:rsidRPr="00127C5D">
              <w:rPr>
                <w:b/>
              </w:rPr>
              <w:t>201</w:t>
            </w:r>
            <w:r w:rsidR="007E2B23">
              <w:rPr>
                <w:b/>
              </w:rPr>
              <w:t>6</w:t>
            </w:r>
          </w:p>
        </w:tc>
        <w:tc>
          <w:tcPr>
            <w:tcW w:w="1458" w:type="dxa"/>
            <w:tcBorders>
              <w:top w:val="single" w:sz="4" w:space="0" w:color="auto"/>
              <w:bottom w:val="single" w:sz="4" w:space="0" w:color="auto"/>
            </w:tcBorders>
          </w:tcPr>
          <w:p w:rsidR="000405F0" w:rsidRPr="00127C5D" w:rsidRDefault="000405F0" w:rsidP="00A973AC">
            <w:pPr>
              <w:pStyle w:val="Tabell-Siffror"/>
              <w:spacing w:before="60" w:line="200" w:lineRule="exact"/>
              <w:rPr>
                <w:b/>
              </w:rPr>
            </w:pPr>
            <w:r w:rsidRPr="00127C5D">
              <w:rPr>
                <w:b/>
              </w:rPr>
              <w:t>201</w:t>
            </w:r>
            <w:r w:rsidR="002C1E08">
              <w:rPr>
                <w:b/>
              </w:rPr>
              <w:t>5</w:t>
            </w:r>
          </w:p>
        </w:tc>
        <w:tc>
          <w:tcPr>
            <w:tcW w:w="1458" w:type="dxa"/>
            <w:tcBorders>
              <w:top w:val="single" w:sz="4" w:space="0" w:color="auto"/>
              <w:bottom w:val="single" w:sz="4" w:space="0" w:color="auto"/>
            </w:tcBorders>
          </w:tcPr>
          <w:p w:rsidR="000405F0" w:rsidRPr="00127C5D" w:rsidRDefault="000405F0" w:rsidP="00004D29">
            <w:pPr>
              <w:pStyle w:val="Tabell-Siffror"/>
              <w:spacing w:before="60" w:line="200" w:lineRule="exact"/>
              <w:rPr>
                <w:b/>
              </w:rPr>
            </w:pPr>
            <w:r w:rsidRPr="00127C5D">
              <w:rPr>
                <w:b/>
              </w:rPr>
              <w:t>201</w:t>
            </w:r>
            <w:r w:rsidR="002C1E08">
              <w:rPr>
                <w:b/>
              </w:rPr>
              <w:t>4</w:t>
            </w:r>
            <w:r w:rsidR="00426DB9">
              <w:rPr>
                <w:rStyle w:val="Fotnotsreferens"/>
                <w:b/>
              </w:rPr>
              <w:footnoteReference w:id="33"/>
            </w:r>
          </w:p>
        </w:tc>
      </w:tr>
      <w:tr w:rsidR="002C1E08" w:rsidRPr="00C430D6" w:rsidTr="00097D91">
        <w:tc>
          <w:tcPr>
            <w:tcW w:w="1457" w:type="dxa"/>
            <w:tcBorders>
              <w:top w:val="single" w:sz="4" w:space="0" w:color="auto"/>
            </w:tcBorders>
          </w:tcPr>
          <w:p w:rsidR="002C1E08" w:rsidRPr="00C430D6" w:rsidRDefault="002C1E08" w:rsidP="00426DB9">
            <w:pPr>
              <w:pStyle w:val="Tabell-Text"/>
              <w:spacing w:before="60" w:line="200" w:lineRule="exact"/>
            </w:pPr>
            <w:r>
              <w:t>Intäkter</w:t>
            </w:r>
          </w:p>
        </w:tc>
        <w:tc>
          <w:tcPr>
            <w:tcW w:w="1458" w:type="dxa"/>
            <w:tcBorders>
              <w:top w:val="single" w:sz="4" w:space="0" w:color="auto"/>
            </w:tcBorders>
          </w:tcPr>
          <w:p w:rsidR="002C1E08" w:rsidRPr="000D1F1C" w:rsidRDefault="00E26893" w:rsidP="002C1E08">
            <w:pPr>
              <w:pStyle w:val="Tabell-Siffror"/>
              <w:spacing w:before="60" w:line="200" w:lineRule="exact"/>
            </w:pPr>
            <w:r w:rsidRPr="000D1F1C">
              <w:t>229</w:t>
            </w:r>
          </w:p>
        </w:tc>
        <w:tc>
          <w:tcPr>
            <w:tcW w:w="1458" w:type="dxa"/>
            <w:tcBorders>
              <w:top w:val="single" w:sz="4" w:space="0" w:color="auto"/>
            </w:tcBorders>
          </w:tcPr>
          <w:p w:rsidR="002C1E08" w:rsidRPr="008A1D3C" w:rsidRDefault="002C1E08" w:rsidP="002C1E08">
            <w:pPr>
              <w:pStyle w:val="Tabell-Siffror"/>
              <w:spacing w:before="60" w:line="200" w:lineRule="exact"/>
            </w:pPr>
            <w:r w:rsidRPr="008A1D3C">
              <w:t>191</w:t>
            </w:r>
          </w:p>
        </w:tc>
        <w:tc>
          <w:tcPr>
            <w:tcW w:w="1458" w:type="dxa"/>
            <w:tcBorders>
              <w:top w:val="single" w:sz="4" w:space="0" w:color="auto"/>
            </w:tcBorders>
          </w:tcPr>
          <w:p w:rsidR="002C1E08" w:rsidRPr="00A4685D" w:rsidRDefault="00012C30" w:rsidP="002C1E08">
            <w:pPr>
              <w:pStyle w:val="Tabell-Siffror"/>
              <w:spacing w:before="60" w:line="200" w:lineRule="exact"/>
            </w:pPr>
            <w:r>
              <w:t>1 </w:t>
            </w:r>
            <w:r w:rsidR="002C1E08">
              <w:t>354</w:t>
            </w:r>
          </w:p>
        </w:tc>
      </w:tr>
      <w:tr w:rsidR="002C1E08" w:rsidRPr="00C430D6" w:rsidTr="00097D91">
        <w:tc>
          <w:tcPr>
            <w:tcW w:w="1457" w:type="dxa"/>
            <w:tcBorders>
              <w:bottom w:val="single" w:sz="4" w:space="0" w:color="auto"/>
            </w:tcBorders>
          </w:tcPr>
          <w:p w:rsidR="002C1E08" w:rsidRPr="00C430D6" w:rsidRDefault="002C1E08" w:rsidP="002C1E08">
            <w:pPr>
              <w:pStyle w:val="Tabell-Text"/>
              <w:spacing w:before="60" w:line="200" w:lineRule="exact"/>
            </w:pPr>
            <w:r>
              <w:t>Kostnader</w:t>
            </w:r>
          </w:p>
        </w:tc>
        <w:tc>
          <w:tcPr>
            <w:tcW w:w="1458" w:type="dxa"/>
            <w:tcBorders>
              <w:bottom w:val="single" w:sz="4" w:space="0" w:color="auto"/>
            </w:tcBorders>
          </w:tcPr>
          <w:p w:rsidR="002C1E08" w:rsidRPr="000D1F1C" w:rsidRDefault="00E26893" w:rsidP="002C1E08">
            <w:pPr>
              <w:pStyle w:val="Tabell-Siffror"/>
              <w:spacing w:before="60" w:line="200" w:lineRule="exact"/>
            </w:pPr>
            <w:r w:rsidRPr="000D1F1C">
              <w:t>–49 066</w:t>
            </w:r>
          </w:p>
        </w:tc>
        <w:tc>
          <w:tcPr>
            <w:tcW w:w="1458" w:type="dxa"/>
            <w:tcBorders>
              <w:bottom w:val="single" w:sz="4" w:space="0" w:color="auto"/>
            </w:tcBorders>
          </w:tcPr>
          <w:p w:rsidR="002C1E08" w:rsidRPr="008A1D3C" w:rsidRDefault="002C1E08" w:rsidP="002C1E08">
            <w:pPr>
              <w:pStyle w:val="Tabell-Siffror"/>
              <w:spacing w:before="60" w:line="200" w:lineRule="exact"/>
            </w:pPr>
            <w:r w:rsidRPr="008A1D3C">
              <w:t>–</w:t>
            </w:r>
            <w:r w:rsidR="00012C30">
              <w:t>45 </w:t>
            </w:r>
            <w:r w:rsidRPr="008A1D3C">
              <w:t>276</w:t>
            </w:r>
          </w:p>
        </w:tc>
        <w:tc>
          <w:tcPr>
            <w:tcW w:w="1458" w:type="dxa"/>
            <w:tcBorders>
              <w:bottom w:val="single" w:sz="4" w:space="0" w:color="auto"/>
            </w:tcBorders>
          </w:tcPr>
          <w:p w:rsidR="002C1E08" w:rsidRPr="00A4685D" w:rsidRDefault="00012C30" w:rsidP="002C1E08">
            <w:pPr>
              <w:pStyle w:val="Tabell-Siffror"/>
              <w:spacing w:before="60" w:line="200" w:lineRule="exact"/>
            </w:pPr>
            <w:r>
              <w:t>–54 </w:t>
            </w:r>
            <w:r w:rsidR="002C1E08">
              <w:t>240</w:t>
            </w:r>
          </w:p>
        </w:tc>
      </w:tr>
      <w:tr w:rsidR="002C1E08" w:rsidRPr="00656A8D" w:rsidTr="00097D91">
        <w:tc>
          <w:tcPr>
            <w:tcW w:w="1457" w:type="dxa"/>
            <w:tcBorders>
              <w:top w:val="single" w:sz="4" w:space="0" w:color="auto"/>
              <w:bottom w:val="nil"/>
            </w:tcBorders>
          </w:tcPr>
          <w:p w:rsidR="002C1E08" w:rsidRPr="00D80560" w:rsidRDefault="002C1E08" w:rsidP="002C1E08">
            <w:pPr>
              <w:pStyle w:val="Tabell-Text"/>
              <w:spacing w:before="60" w:line="200" w:lineRule="exact"/>
              <w:rPr>
                <w:i/>
              </w:rPr>
            </w:pPr>
            <w:r w:rsidRPr="00D80560">
              <w:rPr>
                <w:i/>
              </w:rPr>
              <w:t>Nettokostnad</w:t>
            </w:r>
          </w:p>
        </w:tc>
        <w:tc>
          <w:tcPr>
            <w:tcW w:w="1458" w:type="dxa"/>
            <w:tcBorders>
              <w:top w:val="single" w:sz="4" w:space="0" w:color="auto"/>
              <w:bottom w:val="nil"/>
            </w:tcBorders>
          </w:tcPr>
          <w:p w:rsidR="002C1E08" w:rsidRPr="000D1F1C" w:rsidRDefault="00E26893" w:rsidP="002C1E08">
            <w:pPr>
              <w:pStyle w:val="Tabell-Siffror"/>
              <w:spacing w:before="60" w:line="200" w:lineRule="exact"/>
              <w:rPr>
                <w:i/>
              </w:rPr>
            </w:pPr>
            <w:r w:rsidRPr="000D1F1C">
              <w:rPr>
                <w:i/>
              </w:rPr>
              <w:t>–48 837</w:t>
            </w:r>
          </w:p>
        </w:tc>
        <w:tc>
          <w:tcPr>
            <w:tcW w:w="1458" w:type="dxa"/>
            <w:tcBorders>
              <w:top w:val="single" w:sz="4" w:space="0" w:color="auto"/>
              <w:bottom w:val="nil"/>
            </w:tcBorders>
          </w:tcPr>
          <w:p w:rsidR="002C1E08" w:rsidRPr="00656A8D" w:rsidRDefault="002C1E08" w:rsidP="002C1E08">
            <w:pPr>
              <w:pStyle w:val="Tabell-Siffror"/>
              <w:spacing w:before="60" w:line="200" w:lineRule="exact"/>
              <w:rPr>
                <w:i/>
              </w:rPr>
            </w:pPr>
            <w:r w:rsidRPr="008A1D3C">
              <w:rPr>
                <w:i/>
              </w:rPr>
              <w:t>–</w:t>
            </w:r>
            <w:r w:rsidR="00012C30">
              <w:rPr>
                <w:i/>
              </w:rPr>
              <w:t>45 </w:t>
            </w:r>
            <w:r w:rsidRPr="008A1D3C">
              <w:rPr>
                <w:i/>
              </w:rPr>
              <w:t>085</w:t>
            </w:r>
          </w:p>
        </w:tc>
        <w:tc>
          <w:tcPr>
            <w:tcW w:w="1458" w:type="dxa"/>
            <w:tcBorders>
              <w:top w:val="single" w:sz="4" w:space="0" w:color="auto"/>
              <w:bottom w:val="nil"/>
            </w:tcBorders>
          </w:tcPr>
          <w:p w:rsidR="002C1E08" w:rsidRPr="00656A8D" w:rsidRDefault="002C1E08" w:rsidP="002C1E08">
            <w:pPr>
              <w:pStyle w:val="Tabell-Siffror"/>
              <w:spacing w:before="60" w:line="200" w:lineRule="exact"/>
              <w:rPr>
                <w:i/>
              </w:rPr>
            </w:pPr>
            <w:r>
              <w:rPr>
                <w:i/>
              </w:rPr>
              <w:t>–52</w:t>
            </w:r>
            <w:r w:rsidR="00012C30">
              <w:rPr>
                <w:i/>
              </w:rPr>
              <w:t> </w:t>
            </w:r>
            <w:r>
              <w:rPr>
                <w:i/>
              </w:rPr>
              <w:t>886</w:t>
            </w:r>
          </w:p>
          <w:p w:rsidR="002C1E08" w:rsidRPr="00656A8D" w:rsidRDefault="002C1E08" w:rsidP="002C1E08">
            <w:pPr>
              <w:pStyle w:val="Tabell-Siffror"/>
              <w:spacing w:before="60" w:line="200" w:lineRule="exact"/>
              <w:rPr>
                <w:i/>
              </w:rPr>
            </w:pPr>
          </w:p>
        </w:tc>
      </w:tr>
      <w:tr w:rsidR="007E2B23" w:rsidRPr="00C430D6" w:rsidTr="00097D91">
        <w:tc>
          <w:tcPr>
            <w:tcW w:w="1457" w:type="dxa"/>
            <w:tcBorders>
              <w:top w:val="nil"/>
              <w:bottom w:val="single" w:sz="4" w:space="0" w:color="auto"/>
            </w:tcBorders>
          </w:tcPr>
          <w:p w:rsidR="007E2B23" w:rsidRPr="00C430D6" w:rsidRDefault="007E2B23" w:rsidP="007E2B23">
            <w:pPr>
              <w:pStyle w:val="Tabell-Text"/>
              <w:spacing w:before="60" w:line="200" w:lineRule="exact"/>
            </w:pPr>
            <w:r>
              <w:t>Transfereringar</w:t>
            </w:r>
          </w:p>
        </w:tc>
        <w:tc>
          <w:tcPr>
            <w:tcW w:w="1458" w:type="dxa"/>
            <w:tcBorders>
              <w:top w:val="nil"/>
              <w:bottom w:val="single" w:sz="4" w:space="0" w:color="auto"/>
            </w:tcBorders>
          </w:tcPr>
          <w:p w:rsidR="007E2B23" w:rsidRPr="000D1F1C" w:rsidRDefault="000D1F1C" w:rsidP="007E2B23">
            <w:pPr>
              <w:pStyle w:val="Tabell-Siffror"/>
              <w:spacing w:before="60" w:line="200" w:lineRule="exact"/>
            </w:pPr>
            <w:r w:rsidRPr="000D1F1C">
              <w:t>–</w:t>
            </w:r>
            <w:r w:rsidR="00E26893" w:rsidRPr="000D1F1C">
              <w:t>3 100</w:t>
            </w:r>
          </w:p>
        </w:tc>
        <w:tc>
          <w:tcPr>
            <w:tcW w:w="1458" w:type="dxa"/>
            <w:tcBorders>
              <w:top w:val="nil"/>
              <w:bottom w:val="single" w:sz="4" w:space="0" w:color="auto"/>
            </w:tcBorders>
          </w:tcPr>
          <w:p w:rsidR="007E2B23" w:rsidRPr="008A1D3C" w:rsidRDefault="007E2B23" w:rsidP="007E2B23">
            <w:pPr>
              <w:pStyle w:val="Tabell-Siffror"/>
              <w:spacing w:before="60" w:line="200" w:lineRule="exact"/>
            </w:pPr>
            <w:r w:rsidRPr="008A1D3C">
              <w:t>–</w:t>
            </w:r>
            <w:r w:rsidR="00012C30">
              <w:t>2 </w:t>
            </w:r>
            <w:r w:rsidRPr="008A1D3C">
              <w:t>520</w:t>
            </w:r>
          </w:p>
        </w:tc>
        <w:tc>
          <w:tcPr>
            <w:tcW w:w="1458" w:type="dxa"/>
            <w:tcBorders>
              <w:top w:val="nil"/>
              <w:bottom w:val="single" w:sz="4" w:space="0" w:color="auto"/>
            </w:tcBorders>
          </w:tcPr>
          <w:p w:rsidR="007E2B23" w:rsidRPr="00A4685D" w:rsidRDefault="00012C30" w:rsidP="007E2B23">
            <w:pPr>
              <w:pStyle w:val="Tabell-Siffror"/>
              <w:spacing w:before="60" w:line="200" w:lineRule="exact"/>
            </w:pPr>
            <w:r>
              <w:t>–2 </w:t>
            </w:r>
            <w:r w:rsidR="007E2B23">
              <w:t>052</w:t>
            </w:r>
          </w:p>
        </w:tc>
      </w:tr>
      <w:tr w:rsidR="007E2B23" w:rsidRPr="00C430D6" w:rsidTr="00097D91">
        <w:tc>
          <w:tcPr>
            <w:tcW w:w="1457" w:type="dxa"/>
            <w:tcBorders>
              <w:top w:val="single" w:sz="4" w:space="0" w:color="auto"/>
              <w:bottom w:val="single" w:sz="4" w:space="0" w:color="auto"/>
            </w:tcBorders>
          </w:tcPr>
          <w:p w:rsidR="007E2B23" w:rsidRPr="00D80560" w:rsidRDefault="007E2B23" w:rsidP="007E2B23">
            <w:pPr>
              <w:pStyle w:val="Tabell-Text"/>
              <w:spacing w:before="60" w:line="200" w:lineRule="exact"/>
              <w:rPr>
                <w:b/>
              </w:rPr>
            </w:pPr>
            <w:r w:rsidRPr="00D80560">
              <w:rPr>
                <w:b/>
              </w:rPr>
              <w:t>Totalt</w:t>
            </w:r>
          </w:p>
        </w:tc>
        <w:tc>
          <w:tcPr>
            <w:tcW w:w="1458" w:type="dxa"/>
            <w:tcBorders>
              <w:top w:val="single" w:sz="4" w:space="0" w:color="auto"/>
              <w:bottom w:val="single" w:sz="4" w:space="0" w:color="auto"/>
            </w:tcBorders>
          </w:tcPr>
          <w:p w:rsidR="007E2B23" w:rsidRPr="000D1F1C" w:rsidRDefault="00E26893" w:rsidP="007E2B23">
            <w:pPr>
              <w:pStyle w:val="Tabell-Siffror"/>
              <w:spacing w:before="60" w:line="200" w:lineRule="exact"/>
              <w:rPr>
                <w:b/>
              </w:rPr>
            </w:pPr>
            <w:r w:rsidRPr="000D1F1C">
              <w:rPr>
                <w:b/>
              </w:rPr>
              <w:t>–51 937</w:t>
            </w:r>
          </w:p>
        </w:tc>
        <w:tc>
          <w:tcPr>
            <w:tcW w:w="1458" w:type="dxa"/>
            <w:tcBorders>
              <w:top w:val="single" w:sz="4" w:space="0" w:color="auto"/>
              <w:bottom w:val="single" w:sz="4" w:space="0" w:color="auto"/>
            </w:tcBorders>
          </w:tcPr>
          <w:p w:rsidR="007E2B23" w:rsidRPr="008A1D3C" w:rsidRDefault="007E2B23" w:rsidP="007E2B23">
            <w:pPr>
              <w:pStyle w:val="Tabell-Siffror"/>
              <w:spacing w:before="60" w:line="200" w:lineRule="exact"/>
              <w:rPr>
                <w:b/>
              </w:rPr>
            </w:pPr>
            <w:r w:rsidRPr="008A1D3C">
              <w:rPr>
                <w:b/>
              </w:rPr>
              <w:t>–</w:t>
            </w:r>
            <w:r w:rsidR="00012C30">
              <w:rPr>
                <w:b/>
              </w:rPr>
              <w:t>47 </w:t>
            </w:r>
            <w:r w:rsidRPr="008A1D3C">
              <w:rPr>
                <w:b/>
              </w:rPr>
              <w:t>605</w:t>
            </w:r>
          </w:p>
        </w:tc>
        <w:tc>
          <w:tcPr>
            <w:tcW w:w="1458" w:type="dxa"/>
            <w:tcBorders>
              <w:top w:val="single" w:sz="4" w:space="0" w:color="auto"/>
              <w:bottom w:val="single" w:sz="4" w:space="0" w:color="auto"/>
            </w:tcBorders>
          </w:tcPr>
          <w:p w:rsidR="007E2B23" w:rsidRPr="00A4685D" w:rsidRDefault="00012C30" w:rsidP="007E2B23">
            <w:pPr>
              <w:pStyle w:val="Tabell-Siffror"/>
              <w:spacing w:before="60" w:line="200" w:lineRule="exact"/>
              <w:rPr>
                <w:b/>
              </w:rPr>
            </w:pPr>
            <w:r>
              <w:rPr>
                <w:b/>
              </w:rPr>
              <w:t>–54 </w:t>
            </w:r>
            <w:r w:rsidR="007E2B23">
              <w:rPr>
                <w:b/>
              </w:rPr>
              <w:t>938</w:t>
            </w:r>
          </w:p>
        </w:tc>
      </w:tr>
    </w:tbl>
    <w:p w:rsidR="000405F0" w:rsidRPr="00C925FA" w:rsidRDefault="00584656" w:rsidP="000405F0">
      <w:pPr>
        <w:spacing w:before="125"/>
      </w:pPr>
      <w:r w:rsidRPr="00584656">
        <w:t xml:space="preserve">Fördelningen för uppdragsområdet bedöms i huvudsak som jämförbar med föregående år. De något högre kostnaderna </w:t>
      </w:r>
      <w:r w:rsidR="00E94CAB">
        <w:t>för 2016 jämfört med</w:t>
      </w:r>
      <w:r w:rsidRPr="00584656">
        <w:t xml:space="preserve"> 2015 beror framför allt på högre kostnader för riksdagen.se.</w:t>
      </w:r>
    </w:p>
    <w:p w:rsidR="000405F0" w:rsidRPr="00EA18ED" w:rsidRDefault="000405F0" w:rsidP="00914909">
      <w:pPr>
        <w:pStyle w:val="Rubrik4"/>
      </w:pPr>
      <w:r w:rsidRPr="00EA18ED">
        <w:t>Riksdagens webbplats, riksdagen.se</w:t>
      </w:r>
    </w:p>
    <w:p w:rsidR="00F973FB" w:rsidRDefault="00EA18ED" w:rsidP="00EA18ED">
      <w:r w:rsidRPr="00EA18ED">
        <w:t>Under 2016 hade webbplatsen över 12,2 miljoner besök</w:t>
      </w:r>
      <w:r w:rsidR="00DE5906">
        <w:t>, vilket är en ökning jä</w:t>
      </w:r>
      <w:r w:rsidR="00F973FB">
        <w:t>mfört med de två föregående åren.</w:t>
      </w:r>
      <w:r w:rsidRPr="00EA18ED">
        <w:t xml:space="preserve"> Ökningen </w:t>
      </w:r>
      <w:r w:rsidR="006E0BDC">
        <w:t>var störst under slutet av året</w:t>
      </w:r>
      <w:r w:rsidRPr="00EA18ED">
        <w:t xml:space="preserve">, </w:t>
      </w:r>
      <w:r w:rsidRPr="00EA18ED">
        <w:lastRenderedPageBreak/>
        <w:t xml:space="preserve">efter att riksmötet 2016/17 </w:t>
      </w:r>
      <w:r w:rsidR="006E0BDC">
        <w:t xml:space="preserve">hade </w:t>
      </w:r>
      <w:r w:rsidRPr="00EA18ED">
        <w:t xml:space="preserve">öppnat. Det är främst användningen via mobiler och pekplattor som </w:t>
      </w:r>
      <w:r w:rsidRPr="006E0BDC">
        <w:t>står för ökningen</w:t>
      </w:r>
      <w:r w:rsidRPr="00EA18ED">
        <w:t xml:space="preserve">.  </w:t>
      </w:r>
    </w:p>
    <w:p w:rsidR="00F973FB" w:rsidRPr="001D6ADD" w:rsidRDefault="00F973FB" w:rsidP="00F973FB">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 xml:space="preserve">Tabell </w:t>
      </w:r>
      <w:r w:rsidR="007151BF">
        <w:rPr>
          <w:rFonts w:eastAsiaTheme="majorEastAsia" w:cstheme="majorBidi"/>
          <w:b/>
        </w:rPr>
        <w:t>19</w:t>
      </w:r>
      <w:r>
        <w:rPr>
          <w:rFonts w:eastAsiaTheme="majorEastAsia" w:cstheme="majorBidi"/>
          <w:b/>
        </w:rPr>
        <w:t xml:space="preserve"> </w:t>
      </w:r>
      <w:r w:rsidRPr="000405F0">
        <w:rPr>
          <w:rFonts w:eastAsiaTheme="majorEastAsia" w:cstheme="majorBidi"/>
          <w:b/>
        </w:rPr>
        <w:t>Antal besök på riksdagens webbplats, riksdagen.se</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072"/>
        <w:gridCol w:w="1458"/>
        <w:gridCol w:w="1458"/>
      </w:tblGrid>
      <w:tr w:rsidR="00F973FB" w:rsidRPr="00C430D6" w:rsidTr="00C17624">
        <w:tc>
          <w:tcPr>
            <w:tcW w:w="1843" w:type="dxa"/>
            <w:tcBorders>
              <w:top w:val="single" w:sz="4" w:space="0" w:color="auto"/>
              <w:bottom w:val="single" w:sz="4" w:space="0" w:color="auto"/>
            </w:tcBorders>
          </w:tcPr>
          <w:p w:rsidR="00F973FB" w:rsidRPr="00C430D6" w:rsidRDefault="00F973FB" w:rsidP="00C17624">
            <w:pPr>
              <w:pStyle w:val="Normaltindrag"/>
              <w:spacing w:before="60" w:line="200" w:lineRule="exact"/>
              <w:ind w:firstLine="0"/>
              <w:rPr>
                <w:sz w:val="16"/>
                <w:szCs w:val="16"/>
              </w:rPr>
            </w:pPr>
          </w:p>
        </w:tc>
        <w:tc>
          <w:tcPr>
            <w:tcW w:w="1072" w:type="dxa"/>
            <w:tcBorders>
              <w:top w:val="single" w:sz="4" w:space="0" w:color="auto"/>
              <w:bottom w:val="single" w:sz="4" w:space="0" w:color="auto"/>
            </w:tcBorders>
          </w:tcPr>
          <w:p w:rsidR="00F973FB" w:rsidRPr="00CF41B8" w:rsidRDefault="00F973FB" w:rsidP="00C17624">
            <w:pPr>
              <w:pStyle w:val="Tabelltextsiffror"/>
              <w:spacing w:before="60"/>
              <w:rPr>
                <w:b/>
                <w:sz w:val="16"/>
                <w:szCs w:val="16"/>
              </w:rPr>
            </w:pPr>
            <w:r w:rsidRPr="00CF41B8">
              <w:rPr>
                <w:b/>
                <w:sz w:val="16"/>
                <w:szCs w:val="16"/>
              </w:rPr>
              <w:t>201</w:t>
            </w:r>
            <w:r>
              <w:rPr>
                <w:b/>
                <w:sz w:val="16"/>
                <w:szCs w:val="16"/>
              </w:rPr>
              <w:t>6</w:t>
            </w:r>
          </w:p>
        </w:tc>
        <w:tc>
          <w:tcPr>
            <w:tcW w:w="1458" w:type="dxa"/>
            <w:tcBorders>
              <w:top w:val="single" w:sz="4" w:space="0" w:color="auto"/>
              <w:bottom w:val="single" w:sz="4" w:space="0" w:color="auto"/>
            </w:tcBorders>
          </w:tcPr>
          <w:p w:rsidR="00F973FB" w:rsidRPr="00CF41B8" w:rsidRDefault="00F973FB" w:rsidP="00C17624">
            <w:pPr>
              <w:pStyle w:val="Tabelltextsiffror"/>
              <w:spacing w:before="60"/>
              <w:rPr>
                <w:b/>
                <w:sz w:val="16"/>
                <w:szCs w:val="16"/>
              </w:rPr>
            </w:pPr>
            <w:r w:rsidRPr="00CF41B8">
              <w:rPr>
                <w:b/>
                <w:sz w:val="16"/>
                <w:szCs w:val="16"/>
              </w:rPr>
              <w:t>201</w:t>
            </w:r>
            <w:r>
              <w:rPr>
                <w:b/>
                <w:sz w:val="16"/>
                <w:szCs w:val="16"/>
              </w:rPr>
              <w:t>5</w:t>
            </w:r>
          </w:p>
        </w:tc>
        <w:tc>
          <w:tcPr>
            <w:tcW w:w="1458" w:type="dxa"/>
            <w:tcBorders>
              <w:top w:val="single" w:sz="4" w:space="0" w:color="auto"/>
              <w:bottom w:val="single" w:sz="4" w:space="0" w:color="auto"/>
            </w:tcBorders>
          </w:tcPr>
          <w:p w:rsidR="00F973FB" w:rsidRPr="00CF41B8" w:rsidRDefault="00F973FB" w:rsidP="00C17624">
            <w:pPr>
              <w:pStyle w:val="Tabelltextsiffror"/>
              <w:spacing w:before="60"/>
              <w:rPr>
                <w:b/>
                <w:sz w:val="16"/>
                <w:szCs w:val="16"/>
              </w:rPr>
            </w:pPr>
            <w:r w:rsidRPr="00CF41B8">
              <w:rPr>
                <w:b/>
                <w:sz w:val="16"/>
                <w:szCs w:val="16"/>
              </w:rPr>
              <w:t>201</w:t>
            </w:r>
            <w:r>
              <w:rPr>
                <w:b/>
                <w:sz w:val="16"/>
                <w:szCs w:val="16"/>
              </w:rPr>
              <w:t>4</w:t>
            </w:r>
          </w:p>
        </w:tc>
      </w:tr>
      <w:tr w:rsidR="00F973FB" w:rsidRPr="00C430D6" w:rsidTr="00C17624">
        <w:tc>
          <w:tcPr>
            <w:tcW w:w="1843" w:type="dxa"/>
            <w:tcBorders>
              <w:top w:val="single" w:sz="4" w:space="0" w:color="auto"/>
              <w:bottom w:val="single" w:sz="4" w:space="0" w:color="auto"/>
            </w:tcBorders>
          </w:tcPr>
          <w:p w:rsidR="00F973FB" w:rsidRPr="00C430D6" w:rsidRDefault="00F973FB" w:rsidP="00C17624">
            <w:pPr>
              <w:pStyle w:val="Tabelltext"/>
              <w:spacing w:before="60"/>
              <w:jc w:val="left"/>
              <w:rPr>
                <w:sz w:val="16"/>
                <w:szCs w:val="16"/>
              </w:rPr>
            </w:pPr>
            <w:r>
              <w:rPr>
                <w:sz w:val="16"/>
                <w:szCs w:val="16"/>
              </w:rPr>
              <w:t>Antal besök på www.riksdagen.se</w:t>
            </w:r>
          </w:p>
        </w:tc>
        <w:tc>
          <w:tcPr>
            <w:tcW w:w="1072" w:type="dxa"/>
            <w:tcBorders>
              <w:top w:val="single" w:sz="4" w:space="0" w:color="auto"/>
              <w:bottom w:val="single" w:sz="4" w:space="0" w:color="auto"/>
            </w:tcBorders>
            <w:vAlign w:val="bottom"/>
          </w:tcPr>
          <w:p w:rsidR="00F973FB" w:rsidRPr="001D6ADD" w:rsidRDefault="00F973FB" w:rsidP="00C17624">
            <w:pPr>
              <w:pStyle w:val="Tabell-Siffror"/>
              <w:spacing w:before="60" w:line="200" w:lineRule="exact"/>
            </w:pPr>
            <w:r>
              <w:t>12 235 024</w:t>
            </w:r>
          </w:p>
        </w:tc>
        <w:tc>
          <w:tcPr>
            <w:tcW w:w="1458" w:type="dxa"/>
            <w:tcBorders>
              <w:top w:val="single" w:sz="4" w:space="0" w:color="auto"/>
              <w:bottom w:val="single" w:sz="4" w:space="0" w:color="auto"/>
            </w:tcBorders>
            <w:vAlign w:val="bottom"/>
          </w:tcPr>
          <w:p w:rsidR="00F973FB" w:rsidRPr="00C430D6" w:rsidRDefault="00F973FB" w:rsidP="00C17624">
            <w:pPr>
              <w:pStyle w:val="Tabell-Siffror"/>
              <w:spacing w:before="60" w:line="200" w:lineRule="exact"/>
            </w:pPr>
            <w:r>
              <w:rPr>
                <w:bCs/>
                <w:color w:val="000000"/>
              </w:rPr>
              <w:t>10 265 </w:t>
            </w:r>
            <w:r w:rsidRPr="001D6ADD">
              <w:rPr>
                <w:bCs/>
                <w:color w:val="000000"/>
              </w:rPr>
              <w:t>924</w:t>
            </w:r>
          </w:p>
        </w:tc>
        <w:tc>
          <w:tcPr>
            <w:tcW w:w="1458" w:type="dxa"/>
            <w:tcBorders>
              <w:top w:val="single" w:sz="4" w:space="0" w:color="auto"/>
              <w:bottom w:val="single" w:sz="4" w:space="0" w:color="auto"/>
            </w:tcBorders>
            <w:vAlign w:val="bottom"/>
          </w:tcPr>
          <w:p w:rsidR="00F973FB" w:rsidRPr="00C430D6" w:rsidRDefault="00F973FB" w:rsidP="00C17624">
            <w:pPr>
              <w:pStyle w:val="Tabell-Siffror"/>
              <w:spacing w:before="60" w:line="200" w:lineRule="exact"/>
            </w:pPr>
            <w:r>
              <w:t>9 824 322</w:t>
            </w:r>
          </w:p>
        </w:tc>
      </w:tr>
    </w:tbl>
    <w:p w:rsidR="00EA18ED" w:rsidRPr="00EA18ED" w:rsidRDefault="00422288" w:rsidP="00EA18ED">
      <w:r>
        <w:t>I</w:t>
      </w:r>
      <w:r w:rsidR="00EA18ED" w:rsidRPr="00EA18ED">
        <w:t xml:space="preserve"> april 2016 lanserades den nya versionen av riksdagen.se enligt den reviderade tid</w:t>
      </w:r>
      <w:r w:rsidR="001777EF">
        <w:t>s</w:t>
      </w:r>
      <w:r w:rsidR="00EA18ED" w:rsidRPr="00EA18ED">
        <w:t xml:space="preserve">planen från 2015. Projektet avslutades formellt i maj. Den nya webbplatsen anpassar sig efter skärmstorlek för att det ska vara lättare att använda webbplatsen i mobil, pekplatta och dator. </w:t>
      </w:r>
      <w:r w:rsidR="00EA18ED" w:rsidRPr="001C51DF">
        <w:t xml:space="preserve">Det har blivit enklare att söka bland beslutsprocessens dokument </w:t>
      </w:r>
      <w:r w:rsidR="001777EF" w:rsidRPr="001C51DF">
        <w:t xml:space="preserve">och bland annan information </w:t>
      </w:r>
      <w:r w:rsidR="00EA18ED" w:rsidRPr="001C51DF">
        <w:t xml:space="preserve">på webbplatsen enligt </w:t>
      </w:r>
      <w:r w:rsidR="006066B3" w:rsidRPr="001C51DF">
        <w:t xml:space="preserve">en </w:t>
      </w:r>
      <w:r w:rsidR="00EA18ED" w:rsidRPr="001C51DF">
        <w:t>användarundersökning som genomfördes efter lanseringen.</w:t>
      </w:r>
      <w:r w:rsidR="00EA18ED" w:rsidRPr="00EA18ED">
        <w:t xml:space="preserve"> Webbplatsen är också anpassad efter de ökade krav</w:t>
      </w:r>
      <w:r w:rsidR="00B273A7">
        <w:t>en</w:t>
      </w:r>
      <w:r w:rsidR="00EA18ED" w:rsidRPr="00EA18ED">
        <w:t xml:space="preserve"> på informations- och it-säkerhet som finns. </w:t>
      </w:r>
    </w:p>
    <w:p w:rsidR="00EA18ED" w:rsidRPr="00F5521A" w:rsidRDefault="00EA18ED" w:rsidP="00F5521A">
      <w:pPr>
        <w:pStyle w:val="Normaltindrag"/>
      </w:pPr>
      <w:r w:rsidRPr="00465662">
        <w:t>Efter lansering</w:t>
      </w:r>
      <w:r w:rsidR="001777EF" w:rsidRPr="00465662">
        <w:t>en</w:t>
      </w:r>
      <w:r w:rsidR="005C008B">
        <w:t xml:space="preserve"> har arbetet med</w:t>
      </w:r>
      <w:r w:rsidRPr="00465662">
        <w:t xml:space="preserve"> vidareutveckling av tjänster och innehåll</w:t>
      </w:r>
      <w:r w:rsidR="005A0619">
        <w:t xml:space="preserve"> fortsatt</w:t>
      </w:r>
      <w:r w:rsidR="00F5521A" w:rsidRPr="00465662">
        <w:t xml:space="preserve">. </w:t>
      </w:r>
      <w:r w:rsidRPr="00465662">
        <w:t>Projekt</w:t>
      </w:r>
      <w:r w:rsidR="00B273A7">
        <w:t>et</w:t>
      </w:r>
      <w:r w:rsidRPr="00465662">
        <w:t xml:space="preserve"> </w:t>
      </w:r>
      <w:r w:rsidR="008B2972" w:rsidRPr="00465662">
        <w:t>Ut</w:t>
      </w:r>
      <w:r w:rsidR="00C25BE7">
        <w:t>veckling av riksdagen.se del 2</w:t>
      </w:r>
      <w:r w:rsidRPr="00465662">
        <w:t xml:space="preserve"> omfattar bland annat förbättrad presentation av ledamöternas uppdrag, möjligheten att läsa protokollet samtidigt som man tittar på en debatt och införande av prenumeration på kalenderhä</w:t>
      </w:r>
      <w:r w:rsidR="00EE4D69" w:rsidRPr="00465662">
        <w:t xml:space="preserve">ndelser. Projektet pågår </w:t>
      </w:r>
      <w:r w:rsidR="00E37848" w:rsidRPr="00465662">
        <w:t xml:space="preserve">den </w:t>
      </w:r>
      <w:r w:rsidR="00EE4D69" w:rsidRPr="00465662">
        <w:t>1 oktober 2016–</w:t>
      </w:r>
      <w:r w:rsidRPr="00465662">
        <w:t>31 januari 2017.</w:t>
      </w:r>
      <w:r w:rsidRPr="00F5521A">
        <w:t xml:space="preserve"> </w:t>
      </w:r>
    </w:p>
    <w:p w:rsidR="00EA18ED" w:rsidRPr="00F5521A" w:rsidRDefault="00EA18ED" w:rsidP="00D94266">
      <w:pPr>
        <w:pStyle w:val="Normaltindrag"/>
        <w:suppressAutoHyphens/>
      </w:pPr>
      <w:r w:rsidRPr="00F5521A">
        <w:t>Arbete</w:t>
      </w:r>
      <w:r w:rsidR="007370AA">
        <w:t>t</w:t>
      </w:r>
      <w:r w:rsidRPr="00F5521A">
        <w:t xml:space="preserve"> med att digitalisera riksdagstrycket har fortsatt under 2016. Förslag och redogörelser från 1971 till 1989/90 har publicerats och tidigare pub</w:t>
      </w:r>
      <w:r w:rsidR="00D94266">
        <w:softHyphen/>
      </w:r>
      <w:r w:rsidRPr="00F5521A">
        <w:t xml:space="preserve">licerade motioner från samma period </w:t>
      </w:r>
      <w:r w:rsidR="00F5521A" w:rsidRPr="007370AA">
        <w:t>har kompletterats med 54 000 pdf</w:t>
      </w:r>
      <w:r w:rsidRPr="007370AA">
        <w:t>-filer</w:t>
      </w:r>
      <w:r w:rsidR="007370AA">
        <w:t xml:space="preserve">. </w:t>
      </w:r>
      <w:r w:rsidR="007370AA" w:rsidRPr="00D94266">
        <w:t>Motionerna</w:t>
      </w:r>
      <w:r w:rsidR="007370AA">
        <w:t xml:space="preserve"> finns därmed även i pdf-format. </w:t>
      </w:r>
    </w:p>
    <w:p w:rsidR="00EA18ED" w:rsidRPr="00CE7493" w:rsidRDefault="00B47858" w:rsidP="00F5521A">
      <w:pPr>
        <w:pStyle w:val="Normaltindrag"/>
      </w:pPr>
      <w:r>
        <w:t>Under 2017 ska också</w:t>
      </w:r>
      <w:r w:rsidR="00EA18ED" w:rsidRPr="00CE7493">
        <w:t xml:space="preserve"> delar av förvaltningens diarium </w:t>
      </w:r>
      <w:r>
        <w:t xml:space="preserve">göras </w:t>
      </w:r>
      <w:r w:rsidR="00EA18ED" w:rsidRPr="00CE7493">
        <w:t>tillgängligt på webbplatsen.</w:t>
      </w:r>
    </w:p>
    <w:p w:rsidR="00EA18ED" w:rsidRPr="00EE4D69" w:rsidRDefault="00EA18ED" w:rsidP="00F5521A">
      <w:pPr>
        <w:pStyle w:val="Normaltindrag"/>
      </w:pPr>
      <w:r w:rsidRPr="00EE4D69">
        <w:t>I förstudien Upplev riksdagen utreds förutsättningar för att ge alla en möjlighet att uppleva riksdagen digitalt. Genom upplevelse kan användarna bättre förstå riksdagen, riksdagens roll i samhället och den demokratiska processen. Förstudien påbörjades</w:t>
      </w:r>
      <w:r w:rsidR="00EE4D69" w:rsidRPr="00EE4D69">
        <w:t xml:space="preserve"> under hösten och ska vara klar</w:t>
      </w:r>
      <w:r w:rsidRPr="00EE4D69">
        <w:t xml:space="preserve"> </w:t>
      </w:r>
      <w:r w:rsidR="0056644F">
        <w:t xml:space="preserve">den </w:t>
      </w:r>
      <w:r w:rsidRPr="00EE4D69">
        <w:t>31 januari 2017.</w:t>
      </w:r>
    </w:p>
    <w:p w:rsidR="00EA18ED" w:rsidRPr="00EE4D69" w:rsidRDefault="00EA18ED" w:rsidP="00731A2B">
      <w:pPr>
        <w:pStyle w:val="Normaltindrag"/>
        <w:suppressAutoHyphens/>
      </w:pPr>
      <w:r w:rsidRPr="00EE4D69">
        <w:t xml:space="preserve">Utvecklingsbloggen uppgraderades under sommaren till den senaste </w:t>
      </w:r>
      <w:r w:rsidRPr="00731A2B">
        <w:t>ver</w:t>
      </w:r>
      <w:r w:rsidR="00731A2B">
        <w:softHyphen/>
      </w:r>
      <w:r w:rsidR="005A25A1" w:rsidRPr="00731A2B">
        <w:t>sionen</w:t>
      </w:r>
      <w:r w:rsidR="005A25A1">
        <w:t xml:space="preserve"> av publiceringsverktyget</w:t>
      </w:r>
      <w:r w:rsidRPr="00EE4D69">
        <w:t>. Bloggens syfte är att berätta om utvecklingen av riksdagens externa kommunikationskanaler och tjänster med möjlighet för användarna att kommentera och ställa frågor.</w:t>
      </w:r>
    </w:p>
    <w:p w:rsidR="000405F0" w:rsidRPr="00CF7BE0" w:rsidRDefault="000405F0" w:rsidP="00914909">
      <w:pPr>
        <w:pStyle w:val="Rubrik4"/>
      </w:pPr>
      <w:r w:rsidRPr="00CF7BE0">
        <w:t>Riksdagens öppna data</w:t>
      </w:r>
    </w:p>
    <w:p w:rsidR="00306C02" w:rsidRDefault="00335EEC" w:rsidP="000405F0">
      <w:r w:rsidRPr="00CF7BE0">
        <w:t xml:space="preserve">Riksdagens öppna data, data.riksdagen.se, har fortsatt </w:t>
      </w:r>
      <w:r w:rsidR="00A12295" w:rsidRPr="00CF7BE0">
        <w:t>att utveckla</w:t>
      </w:r>
      <w:r w:rsidR="00CF7BE0" w:rsidRPr="00CF7BE0">
        <w:t>s under 2016</w:t>
      </w:r>
      <w:r w:rsidRPr="00CF7BE0">
        <w:t>. Det är öppna data som förser riksdagen.se och delvis också Intranätet med dokument och information om beslutsprocessen.</w:t>
      </w:r>
      <w:r w:rsidR="00306C02">
        <w:t xml:space="preserve"> </w:t>
      </w:r>
    </w:p>
    <w:p w:rsidR="00306C02" w:rsidRDefault="00444AF0" w:rsidP="00B815BE">
      <w:pPr>
        <w:pStyle w:val="Normaltindrag"/>
        <w:suppressAutoHyphens/>
      </w:pPr>
      <w:r w:rsidRPr="00444AF0">
        <w:t xml:space="preserve">Publiceringsverktyget </w:t>
      </w:r>
      <w:r w:rsidR="00306C02" w:rsidRPr="00444AF0">
        <w:t xml:space="preserve">för öppna data uppgraderades </w:t>
      </w:r>
      <w:r w:rsidRPr="00444AF0">
        <w:t>under sommaren. Sök</w:t>
      </w:r>
      <w:r w:rsidR="00B815BE">
        <w:softHyphen/>
      </w:r>
      <w:r w:rsidRPr="00444AF0">
        <w:t xml:space="preserve">funktionen </w:t>
      </w:r>
      <w:r w:rsidR="00306C02" w:rsidRPr="00444AF0">
        <w:t xml:space="preserve">som </w:t>
      </w:r>
      <w:r w:rsidRPr="00444AF0">
        <w:t>används för ö</w:t>
      </w:r>
      <w:r w:rsidR="00D954AD">
        <w:t>ppna data</w:t>
      </w:r>
      <w:r w:rsidR="00306C02" w:rsidRPr="00444AF0">
        <w:t xml:space="preserve"> har</w:t>
      </w:r>
      <w:r w:rsidR="00896502" w:rsidRPr="00444AF0">
        <w:t xml:space="preserve"> under</w:t>
      </w:r>
      <w:r w:rsidR="00306C02" w:rsidRPr="00444AF0">
        <w:t xml:space="preserve"> året utvecklats i en ny </w:t>
      </w:r>
      <w:r w:rsidR="00306C02" w:rsidRPr="0035590A">
        <w:t>ver</w:t>
      </w:r>
      <w:r w:rsidR="00B815BE">
        <w:softHyphen/>
      </w:r>
      <w:r w:rsidR="00306C02" w:rsidRPr="0035590A">
        <w:t>sion.</w:t>
      </w:r>
      <w:r w:rsidR="00306C02" w:rsidRPr="00444AF0">
        <w:t xml:space="preserve"> Planerad lansering är januari 2017.</w:t>
      </w:r>
    </w:p>
    <w:p w:rsidR="00306C02" w:rsidRPr="00306C02" w:rsidRDefault="00306C02" w:rsidP="00306C02">
      <w:pPr>
        <w:pStyle w:val="Normaltindrag"/>
      </w:pPr>
      <w:r>
        <w:t>Under 2016 hade riksdagens öppna data nästan 2,2 miljoner besök. Det är första året webbplatsen har mer än 2 miljoner besök.</w:t>
      </w:r>
    </w:p>
    <w:p w:rsidR="00306C02" w:rsidRDefault="00306C02" w:rsidP="00306C02">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lastRenderedPageBreak/>
        <w:t xml:space="preserve">Tabell </w:t>
      </w:r>
      <w:r w:rsidR="007151BF">
        <w:rPr>
          <w:rFonts w:eastAsiaTheme="majorEastAsia" w:cstheme="majorBidi"/>
          <w:b/>
        </w:rPr>
        <w:t>20</w:t>
      </w:r>
      <w:r w:rsidRPr="000405F0">
        <w:rPr>
          <w:rFonts w:eastAsiaTheme="majorEastAsia" w:cstheme="majorBidi"/>
          <w:b/>
        </w:rPr>
        <w:t xml:space="preserve"> Antal besök riksdagens öppna data, data.riksdagen.se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3"/>
        <w:gridCol w:w="992"/>
        <w:gridCol w:w="1016"/>
      </w:tblGrid>
      <w:tr w:rsidR="00306C02" w:rsidRPr="00C430D6" w:rsidTr="00C17624">
        <w:tc>
          <w:tcPr>
            <w:tcW w:w="2410" w:type="dxa"/>
            <w:tcBorders>
              <w:top w:val="single" w:sz="4" w:space="0" w:color="auto"/>
              <w:bottom w:val="single" w:sz="4" w:space="0" w:color="auto"/>
            </w:tcBorders>
          </w:tcPr>
          <w:p w:rsidR="00306C02" w:rsidRPr="00C430D6" w:rsidRDefault="00306C02" w:rsidP="00C17624">
            <w:pPr>
              <w:pStyle w:val="Normaltindrag"/>
              <w:spacing w:before="60" w:line="200" w:lineRule="exact"/>
              <w:ind w:firstLine="0"/>
              <w:rPr>
                <w:sz w:val="16"/>
                <w:szCs w:val="16"/>
              </w:rPr>
            </w:pPr>
          </w:p>
        </w:tc>
        <w:tc>
          <w:tcPr>
            <w:tcW w:w="1413" w:type="dxa"/>
            <w:tcBorders>
              <w:top w:val="single" w:sz="4" w:space="0" w:color="auto"/>
              <w:bottom w:val="single" w:sz="4" w:space="0" w:color="auto"/>
            </w:tcBorders>
          </w:tcPr>
          <w:p w:rsidR="00306C02" w:rsidRPr="00C430D6" w:rsidRDefault="00306C02" w:rsidP="00C17624">
            <w:pPr>
              <w:pStyle w:val="Tabelltextsiffror"/>
              <w:spacing w:before="60"/>
              <w:rPr>
                <w:b/>
                <w:sz w:val="16"/>
                <w:szCs w:val="16"/>
              </w:rPr>
            </w:pPr>
            <w:r>
              <w:rPr>
                <w:b/>
                <w:sz w:val="16"/>
                <w:szCs w:val="16"/>
              </w:rPr>
              <w:t>2016</w:t>
            </w:r>
          </w:p>
        </w:tc>
        <w:tc>
          <w:tcPr>
            <w:tcW w:w="992" w:type="dxa"/>
            <w:tcBorders>
              <w:top w:val="single" w:sz="4" w:space="0" w:color="auto"/>
              <w:bottom w:val="single" w:sz="4" w:space="0" w:color="auto"/>
            </w:tcBorders>
          </w:tcPr>
          <w:p w:rsidR="00306C02" w:rsidRPr="00E66BA8" w:rsidRDefault="00306C02" w:rsidP="00C17624">
            <w:pPr>
              <w:pStyle w:val="Tabell-Siffror"/>
              <w:spacing w:before="60" w:line="200" w:lineRule="exact"/>
              <w:rPr>
                <w:b/>
              </w:rPr>
            </w:pPr>
            <w:r w:rsidRPr="00E66BA8">
              <w:rPr>
                <w:b/>
              </w:rPr>
              <w:t>201</w:t>
            </w:r>
            <w:r>
              <w:rPr>
                <w:b/>
              </w:rPr>
              <w:t>5</w:t>
            </w:r>
          </w:p>
        </w:tc>
        <w:tc>
          <w:tcPr>
            <w:tcW w:w="1016" w:type="dxa"/>
            <w:tcBorders>
              <w:top w:val="single" w:sz="4" w:space="0" w:color="auto"/>
              <w:bottom w:val="single" w:sz="4" w:space="0" w:color="auto"/>
            </w:tcBorders>
          </w:tcPr>
          <w:p w:rsidR="00306C02" w:rsidRPr="00E66BA8" w:rsidRDefault="00306C02" w:rsidP="00C17624">
            <w:pPr>
              <w:pStyle w:val="Tabell-Siffror"/>
              <w:spacing w:before="60" w:line="200" w:lineRule="exact"/>
              <w:rPr>
                <w:b/>
              </w:rPr>
            </w:pPr>
            <w:r w:rsidRPr="00E66BA8">
              <w:rPr>
                <w:b/>
              </w:rPr>
              <w:t>201</w:t>
            </w:r>
            <w:r>
              <w:rPr>
                <w:b/>
              </w:rPr>
              <w:t>4</w:t>
            </w:r>
          </w:p>
        </w:tc>
      </w:tr>
      <w:tr w:rsidR="00306C02" w:rsidRPr="00C430D6" w:rsidTr="00C17624">
        <w:tc>
          <w:tcPr>
            <w:tcW w:w="2410" w:type="dxa"/>
            <w:tcBorders>
              <w:top w:val="single" w:sz="4" w:space="0" w:color="auto"/>
              <w:bottom w:val="single" w:sz="4" w:space="0" w:color="auto"/>
            </w:tcBorders>
          </w:tcPr>
          <w:p w:rsidR="00306C02" w:rsidRPr="00C430D6" w:rsidRDefault="00306C02" w:rsidP="00C17624">
            <w:pPr>
              <w:pStyle w:val="Tabell-Text"/>
              <w:spacing w:before="60" w:line="200" w:lineRule="exact"/>
            </w:pPr>
            <w:r>
              <w:t>Antal besök på data.riksdagen.se</w:t>
            </w:r>
          </w:p>
        </w:tc>
        <w:tc>
          <w:tcPr>
            <w:tcW w:w="1413" w:type="dxa"/>
            <w:tcBorders>
              <w:top w:val="single" w:sz="4" w:space="0" w:color="auto"/>
              <w:bottom w:val="single" w:sz="4" w:space="0" w:color="auto"/>
            </w:tcBorders>
          </w:tcPr>
          <w:p w:rsidR="00306C02" w:rsidRPr="00C430D6" w:rsidRDefault="006C6091" w:rsidP="00C17624">
            <w:pPr>
              <w:pStyle w:val="Tabell-Siffror"/>
              <w:spacing w:before="60" w:line="200" w:lineRule="exact"/>
            </w:pPr>
            <w:r>
              <w:t>2 185 951</w:t>
            </w:r>
          </w:p>
        </w:tc>
        <w:tc>
          <w:tcPr>
            <w:tcW w:w="992" w:type="dxa"/>
            <w:tcBorders>
              <w:top w:val="single" w:sz="4" w:space="0" w:color="auto"/>
              <w:bottom w:val="single" w:sz="4" w:space="0" w:color="auto"/>
            </w:tcBorders>
          </w:tcPr>
          <w:p w:rsidR="00306C02" w:rsidRPr="00C430D6" w:rsidRDefault="00306C02" w:rsidP="00C17624">
            <w:pPr>
              <w:pStyle w:val="Tabell-Siffror"/>
              <w:spacing w:before="60" w:line="200" w:lineRule="exact"/>
            </w:pPr>
            <w:r>
              <w:t>1 455 </w:t>
            </w:r>
            <w:r w:rsidRPr="00335EEC">
              <w:t>688</w:t>
            </w:r>
          </w:p>
        </w:tc>
        <w:tc>
          <w:tcPr>
            <w:tcW w:w="1016" w:type="dxa"/>
            <w:tcBorders>
              <w:top w:val="single" w:sz="4" w:space="0" w:color="auto"/>
              <w:bottom w:val="single" w:sz="4" w:space="0" w:color="auto"/>
            </w:tcBorders>
          </w:tcPr>
          <w:p w:rsidR="00306C02" w:rsidRPr="00203547" w:rsidRDefault="00306C02" w:rsidP="00C17624">
            <w:pPr>
              <w:pStyle w:val="Tabell-Siffror"/>
              <w:spacing w:before="60" w:line="200" w:lineRule="exact"/>
            </w:pPr>
            <w:r>
              <w:t>844 364</w:t>
            </w:r>
          </w:p>
        </w:tc>
      </w:tr>
    </w:tbl>
    <w:p w:rsidR="000405F0" w:rsidRPr="000405F0" w:rsidRDefault="000405F0" w:rsidP="00914909">
      <w:pPr>
        <w:pStyle w:val="Rubrik4"/>
      </w:pPr>
      <w:r w:rsidRPr="000405F0">
        <w:t>Twitter</w:t>
      </w:r>
    </w:p>
    <w:p w:rsidR="00DD3926" w:rsidRPr="0069113E" w:rsidRDefault="00816BE0" w:rsidP="00DD3926">
      <w:r w:rsidRPr="0069113E">
        <w:t>Syftet med att Riksdagsförvaltningen använder Twitter är att öka kunskapen om riksdagen och riksdagens arbete. Via kontot @Sverigesriksdag kan alla följa och ställa frågor om riksdagen och riksdagens arbete. Under 2016 har R</w:t>
      </w:r>
      <w:r w:rsidR="00AE6404">
        <w:t xml:space="preserve">iksdagsförvaltningen skrivit </w:t>
      </w:r>
      <w:r w:rsidR="003430D9">
        <w:t>1 079</w:t>
      </w:r>
      <w:r w:rsidR="004B2FFB">
        <w:t xml:space="preserve"> tweetar</w:t>
      </w:r>
      <w:r w:rsidRPr="0069113E">
        <w:t xml:space="preserve">. Antalet följare har under 2016 ökat med cirka 28 procent till 16 395 </w:t>
      </w:r>
      <w:r w:rsidR="0069113E" w:rsidRPr="0069113E">
        <w:t>jämfört med 2015, då det var 12 </w:t>
      </w:r>
      <w:r w:rsidRPr="0069113E">
        <w:t>835 följare.</w:t>
      </w:r>
      <w:r w:rsidR="00981F56" w:rsidRPr="0069113E">
        <w:t xml:space="preserve"> Under 2014 var antalet följare drygt 9 100.</w:t>
      </w:r>
      <w:r w:rsidRPr="0069113E">
        <w:t xml:space="preserve"> </w:t>
      </w:r>
    </w:p>
    <w:p w:rsidR="004F1044" w:rsidRDefault="004F1044" w:rsidP="004F1044">
      <w:pPr>
        <w:pStyle w:val="Rubrik4"/>
      </w:pPr>
      <w:r>
        <w:t>Trycksaker</w:t>
      </w:r>
      <w:r w:rsidR="00B90E52">
        <w:t xml:space="preserve"> och digitala produktioner</w:t>
      </w:r>
    </w:p>
    <w:p w:rsidR="00FA6A1D" w:rsidRDefault="004F1044" w:rsidP="007763D7">
      <w:r w:rsidRPr="00863798">
        <w:t>Riksdagsförvaltni</w:t>
      </w:r>
      <w:r w:rsidR="00861E38">
        <w:t>ngen</w:t>
      </w:r>
      <w:r w:rsidRPr="00863798">
        <w:t xml:space="preserve"> tillhandahåller både interna och externa trycksaker</w:t>
      </w:r>
      <w:r w:rsidR="00E57159" w:rsidRPr="00863798">
        <w:t xml:space="preserve"> samt digitaliserade produktioner av informationsmaterial som uppdateras varje år</w:t>
      </w:r>
      <w:r w:rsidRPr="00863798">
        <w:t>.</w:t>
      </w:r>
      <w:r w:rsidR="00863798">
        <w:t xml:space="preserve"> </w:t>
      </w:r>
    </w:p>
    <w:p w:rsidR="00443CB2" w:rsidRDefault="003863D8" w:rsidP="008A32E0">
      <w:pPr>
        <w:pStyle w:val="Normaltindrag"/>
        <w:suppressAutoHyphens/>
      </w:pPr>
      <w:r>
        <w:t>Riksdagens å</w:t>
      </w:r>
      <w:r w:rsidR="00443CB2">
        <w:t xml:space="preserve">rsbok gjordes 2016, liksom förra året, </w:t>
      </w:r>
      <w:r w:rsidR="002D7852">
        <w:t>enbart i en digital</w:t>
      </w:r>
      <w:r w:rsidR="00443CB2">
        <w:t xml:space="preserve"> </w:t>
      </w:r>
      <w:r w:rsidR="00443CB2" w:rsidRPr="008A32E0">
        <w:t>ver</w:t>
      </w:r>
      <w:r w:rsidR="008A32E0">
        <w:softHyphen/>
      </w:r>
      <w:r w:rsidR="00443CB2" w:rsidRPr="008A32E0">
        <w:t>sion</w:t>
      </w:r>
      <w:r w:rsidR="00443CB2">
        <w:t xml:space="preserve"> för mobil och pekplatta med länkar till fördjupande </w:t>
      </w:r>
      <w:r>
        <w:t>information om</w:t>
      </w:r>
      <w:r w:rsidR="00443CB2">
        <w:t xml:space="preserve"> riksdagens arbete och beslut på riksdagen.se. </w:t>
      </w:r>
      <w:r w:rsidR="00443CB2" w:rsidRPr="00D274B9">
        <w:t>I september uppgraderades Pops</w:t>
      </w:r>
      <w:r w:rsidR="00D274B9" w:rsidRPr="00D274B9">
        <w:t>, ett system för information om riksdagens ledamöter,</w:t>
      </w:r>
      <w:r w:rsidR="002D7852">
        <w:t xml:space="preserve"> i syfte att göra l</w:t>
      </w:r>
      <w:r w:rsidR="00443CB2" w:rsidRPr="00D274B9">
        <w:t>edamots</w:t>
      </w:r>
      <w:r w:rsidR="008A32E0">
        <w:softHyphen/>
      </w:r>
      <w:r w:rsidR="00443CB2" w:rsidRPr="00D274B9">
        <w:t>förteckningen</w:t>
      </w:r>
      <w:r w:rsidR="002D7852">
        <w:t xml:space="preserve"> helt digital</w:t>
      </w:r>
      <w:r w:rsidR="00443CB2">
        <w:t>. Förteckningen kan nu tryckas vid behov direkt och med aktuella uppgifter.</w:t>
      </w:r>
    </w:p>
    <w:p w:rsidR="00443CB2" w:rsidRPr="00443CB2" w:rsidRDefault="00443CB2" w:rsidP="00443CB2">
      <w:pPr>
        <w:pStyle w:val="Normaltindrag"/>
      </w:pPr>
      <w:r>
        <w:t>Under hösten 2016 formgavs och bildsattes j</w:t>
      </w:r>
      <w:r w:rsidR="004E2BDA">
        <w:t xml:space="preserve">ubileumsboken Fritt ord 250 år – </w:t>
      </w:r>
      <w:r>
        <w:t>Tryckfrihet och offentlighet i Sverige och Finland – ett levande arv från 1766 i sa</w:t>
      </w:r>
      <w:r w:rsidR="00174FA9">
        <w:t>marbete med konstitutionsutskottet</w:t>
      </w:r>
      <w:r>
        <w:t xml:space="preserve"> och Finlands riksdag. Den sven</w:t>
      </w:r>
      <w:r w:rsidR="00DF4719">
        <w:softHyphen/>
      </w:r>
      <w:r>
        <w:t>ska utgåvan har tryckts och di</w:t>
      </w:r>
      <w:r w:rsidR="00B52C4E">
        <w:t xml:space="preserve">stribuerats till </w:t>
      </w:r>
      <w:r>
        <w:t xml:space="preserve">bibliotek, universitet och museer samt till myndigheter och organisationer inom tryckfrihets- och yttrandefrihetsgrundlagens område. </w:t>
      </w:r>
    </w:p>
    <w:p w:rsidR="00FA6A1D" w:rsidRDefault="003F439A" w:rsidP="00FA6A1D">
      <w:pPr>
        <w:pStyle w:val="Rubrik4"/>
      </w:pPr>
      <w:r>
        <w:t>Bokmässan i Göteborg</w:t>
      </w:r>
    </w:p>
    <w:p w:rsidR="0065515B" w:rsidRPr="0065515B" w:rsidRDefault="0065515B" w:rsidP="002F16A3">
      <w:r w:rsidRPr="0065515B">
        <w:t xml:space="preserve">Riksdagsförvaltningen deltog tillsammans med </w:t>
      </w:r>
      <w:r w:rsidR="002D7852">
        <w:t>44 riksdagsledamöter vid årets b</w:t>
      </w:r>
      <w:r w:rsidRPr="0065515B">
        <w:t>okmässa i Göteborg. Syftet med deltagandet var att främja insynen och öka kunskapen och intresset för riksdagens arb</w:t>
      </w:r>
      <w:r w:rsidR="002D7852">
        <w:t>ete och beslut. Temat för hela bokmässan var yttrandefrihet, eftersom</w:t>
      </w:r>
      <w:r w:rsidRPr="0065515B">
        <w:t xml:space="preserve"> tryckfrihetsförordningen fyllde 250 år. Temat lyftes fram genom förvaltningens utställning i mo</w:t>
      </w:r>
      <w:r w:rsidR="00ED5D65">
        <w:t>ntern och i ett seminarium med k</w:t>
      </w:r>
      <w:r w:rsidRPr="0065515B">
        <w:t xml:space="preserve">onstitutionsutskottets ledamöter. </w:t>
      </w:r>
    </w:p>
    <w:p w:rsidR="0065515B" w:rsidRPr="0065515B" w:rsidRDefault="0065515B" w:rsidP="0065515B">
      <w:pPr>
        <w:pStyle w:val="Normaltindrag"/>
      </w:pPr>
      <w:r w:rsidRPr="0065515B">
        <w:t>Ett av målen med monterverksamheten var att minst 50 procent av besökarna skulle tala med en riksdagsledamot. Enligt besöksenkäten samtalade cirka 55 procent av besökarna med någon ledamot. Enkäten besvarades av 989 personer.</w:t>
      </w:r>
    </w:p>
    <w:p w:rsidR="005655E2" w:rsidRPr="000405F0" w:rsidRDefault="004D57B4" w:rsidP="005655E2">
      <w:pPr>
        <w:pStyle w:val="Rubrik4"/>
      </w:pPr>
      <w:r>
        <w:lastRenderedPageBreak/>
        <w:t>Grafisk profil och varumärke</w:t>
      </w:r>
    </w:p>
    <w:p w:rsidR="005655E2" w:rsidRPr="003E424F" w:rsidRDefault="004D57B4" w:rsidP="003E5CA4">
      <w:pPr>
        <w:suppressAutoHyphens/>
        <w:rPr>
          <w:u w:val="single"/>
        </w:rPr>
      </w:pPr>
      <w:r w:rsidRPr="004D57B4">
        <w:t xml:space="preserve">Den grafiska profilen syftar till att riksdagen och </w:t>
      </w:r>
      <w:r w:rsidR="008C74A6">
        <w:t xml:space="preserve">förvaltningens </w:t>
      </w:r>
      <w:r w:rsidR="008C74A6" w:rsidRPr="003E5CA4">
        <w:t>kommunika</w:t>
      </w:r>
      <w:r w:rsidR="003E5CA4">
        <w:softHyphen/>
      </w:r>
      <w:r w:rsidR="008C74A6" w:rsidRPr="003E5CA4">
        <w:t>tion</w:t>
      </w:r>
      <w:r w:rsidR="008C74A6">
        <w:t xml:space="preserve"> med</w:t>
      </w:r>
      <w:r w:rsidRPr="004D57B4">
        <w:t xml:space="preserve"> omvärlden ska vara tydlig, konsekvent, användbar och förtroende</w:t>
      </w:r>
      <w:r w:rsidR="003E5CA4">
        <w:softHyphen/>
      </w:r>
      <w:r w:rsidRPr="004D57B4">
        <w:t xml:space="preserve">ingivande. Den grafiska manualen – ett styrdokument som anger principer för hur profilen ska användas – har utvecklats och beslutats under 2016. Profilen är nu anpassad för </w:t>
      </w:r>
      <w:r w:rsidR="001D6326" w:rsidRPr="004D57B4">
        <w:t xml:space="preserve">både </w:t>
      </w:r>
      <w:r w:rsidRPr="004D57B4">
        <w:t>tryckta och digitala plattformar.</w:t>
      </w:r>
      <w:r>
        <w:rPr>
          <w:u w:val="single"/>
        </w:rPr>
        <w:t xml:space="preserve"> </w:t>
      </w:r>
    </w:p>
    <w:p w:rsidR="00E936B7" w:rsidRPr="00E936B7" w:rsidRDefault="00D56005" w:rsidP="00914909">
      <w:pPr>
        <w:pStyle w:val="Rubrik4"/>
      </w:pPr>
      <w:r>
        <w:t>Webbplats för EU-i</w:t>
      </w:r>
      <w:r w:rsidR="00E936B7" w:rsidRPr="00E936B7">
        <w:t xml:space="preserve">nformation </w:t>
      </w:r>
    </w:p>
    <w:p w:rsidR="00D56005" w:rsidRPr="00D56005" w:rsidRDefault="00D56005" w:rsidP="007D58BB">
      <w:r w:rsidRPr="00D56005">
        <w:t xml:space="preserve">Riksdagsförvaltningen har i uppdrag att ge opartisk och allsidig information om EU, det svenska EU-medlemskapet och EU-arbetet i riksdagen. </w:t>
      </w:r>
    </w:p>
    <w:p w:rsidR="00D56005" w:rsidRPr="00D56005" w:rsidRDefault="00D56005" w:rsidP="007D58BB">
      <w:pPr>
        <w:pStyle w:val="Normaltindrag"/>
      </w:pPr>
      <w:r w:rsidRPr="00D56005">
        <w:t>Riksdagsdirektören beslutade 2015 om inriktningen för EU-information till allmänheten. Utifrån beslutet genomfördes under våren 2016 en förstudie om vilken information som ska finnas på en framtida EU-webbplats. Under hösten 2016 startade ett projekt för att ta fram en ny webbplats för riksdagens EU-information. Den nya webbplatsen ska ersätta eu-upplysningen.se och lanseras under våren 2017.</w:t>
      </w:r>
    </w:p>
    <w:p w:rsidR="00D56005" w:rsidRPr="00D775B2" w:rsidRDefault="00D56005" w:rsidP="007D58BB">
      <w:pPr>
        <w:pStyle w:val="Normaltindrag"/>
      </w:pPr>
      <w:r w:rsidRPr="00D775B2">
        <w:t>År 2016 ökade antalet b</w:t>
      </w:r>
      <w:r w:rsidR="00D775B2" w:rsidRPr="00D775B2">
        <w:t>esök på eu</w:t>
      </w:r>
      <w:r w:rsidRPr="00D775B2">
        <w:t xml:space="preserve">-upplysningen.se med </w:t>
      </w:r>
      <w:r w:rsidR="00D54492">
        <w:t>knappt 7</w:t>
      </w:r>
      <w:r w:rsidRPr="00D775B2">
        <w:t xml:space="preserve"> procent. Det var mer än 950 000 besök under 2016, jämfört med knappt 900 000 året före. Den långsiktiga trenden har hittills varit att besöken till webbplatsen ökar, men ökningen </w:t>
      </w:r>
      <w:r w:rsidR="001D6326" w:rsidRPr="00D775B2">
        <w:t xml:space="preserve">verkar </w:t>
      </w:r>
      <w:r w:rsidRPr="00D775B2">
        <w:t>nu plana ut något.</w:t>
      </w:r>
    </w:p>
    <w:p w:rsidR="00D56005" w:rsidRPr="004B0024" w:rsidRDefault="00D56005" w:rsidP="004B0024">
      <w:pPr>
        <w:pStyle w:val="Normaltindrag"/>
      </w:pPr>
      <w:r w:rsidRPr="00D775B2">
        <w:t>Andelen</w:t>
      </w:r>
      <w:r w:rsidR="00D775B2" w:rsidRPr="00D775B2">
        <w:t xml:space="preserve"> besök från mobiler till eu</w:t>
      </w:r>
      <w:r w:rsidRPr="00D775B2">
        <w:t>-upplysningen.se fortsatte att öka under 2016 medan andelen besök via pekplattor</w:t>
      </w:r>
      <w:r w:rsidR="001D6326">
        <w:t xml:space="preserve"> i stort sett var oförändrad. Eu</w:t>
      </w:r>
      <w:r w:rsidRPr="00D775B2">
        <w:t xml:space="preserve">-upplysningen.se hade en kraftig ökning av antalet besök dagarna runt Storbritanniens folkomröstning om EU-medlemskapet den 23 juni. </w:t>
      </w:r>
    </w:p>
    <w:p w:rsidR="00D775B2" w:rsidRDefault="007151BF" w:rsidP="00D775B2">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color w:val="000000" w:themeColor="text1"/>
        </w:rPr>
      </w:pPr>
      <w:r>
        <w:rPr>
          <w:rFonts w:eastAsiaTheme="majorEastAsia" w:cstheme="majorBidi"/>
          <w:b/>
        </w:rPr>
        <w:t>Tabell 21</w:t>
      </w:r>
      <w:r w:rsidR="00D775B2" w:rsidRPr="00E936B7">
        <w:rPr>
          <w:rFonts w:eastAsiaTheme="majorEastAsia" w:cstheme="majorBidi"/>
          <w:b/>
        </w:rPr>
        <w:t xml:space="preserve"> Antal besök på </w:t>
      </w:r>
      <w:hyperlink r:id="rId15" w:history="1">
        <w:r w:rsidR="00D775B2" w:rsidRPr="00E936B7">
          <w:rPr>
            <w:rFonts w:eastAsiaTheme="majorEastAsia" w:cstheme="majorBidi"/>
            <w:b/>
            <w:color w:val="000000" w:themeColor="text1"/>
          </w:rPr>
          <w:t>eu-upplysningen.se</w:t>
        </w:r>
      </w:hyperlink>
    </w:p>
    <w:tbl>
      <w:tblPr>
        <w:tblStyle w:val="Tabellrutnt"/>
        <w:tblW w:w="5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612"/>
        <w:gridCol w:w="1078"/>
        <w:gridCol w:w="1078"/>
        <w:gridCol w:w="1078"/>
      </w:tblGrid>
      <w:tr w:rsidR="00D775B2" w:rsidRPr="001F1004" w:rsidTr="00C17624">
        <w:tc>
          <w:tcPr>
            <w:tcW w:w="2082" w:type="dxa"/>
            <w:tcBorders>
              <w:top w:val="single" w:sz="4" w:space="0" w:color="auto"/>
              <w:bottom w:val="single" w:sz="4" w:space="0" w:color="auto"/>
            </w:tcBorders>
          </w:tcPr>
          <w:p w:rsidR="00D775B2" w:rsidRPr="001F1004" w:rsidRDefault="00D775B2" w:rsidP="00C17624">
            <w:pPr>
              <w:spacing w:before="60" w:line="200" w:lineRule="exact"/>
              <w:ind w:left="1304"/>
              <w:rPr>
                <w:sz w:val="16"/>
                <w:szCs w:val="16"/>
              </w:rPr>
            </w:pPr>
          </w:p>
        </w:tc>
        <w:tc>
          <w:tcPr>
            <w:tcW w:w="612" w:type="dxa"/>
            <w:tcBorders>
              <w:top w:val="single" w:sz="4" w:space="0" w:color="auto"/>
              <w:bottom w:val="single" w:sz="4" w:space="0" w:color="auto"/>
            </w:tcBorders>
          </w:tcPr>
          <w:p w:rsidR="00D775B2" w:rsidRPr="001F1004" w:rsidRDefault="00D775B2" w:rsidP="00C17624">
            <w:pPr>
              <w:tabs>
                <w:tab w:val="left" w:pos="567"/>
                <w:tab w:val="left" w:pos="850"/>
                <w:tab w:val="left" w:pos="1701"/>
                <w:tab w:val="left" w:pos="2551"/>
                <w:tab w:val="left" w:pos="3402"/>
                <w:tab w:val="center" w:pos="4252"/>
                <w:tab w:val="left" w:pos="5102"/>
                <w:tab w:val="right" w:pos="5839"/>
                <w:tab w:val="right" w:pos="7370"/>
              </w:tabs>
              <w:spacing w:before="60" w:line="200" w:lineRule="exact"/>
              <w:jc w:val="right"/>
              <w:rPr>
                <w:rFonts w:eastAsia="Times New Roman"/>
                <w:b/>
                <w:sz w:val="16"/>
                <w:szCs w:val="16"/>
                <w:lang w:eastAsia="sv-SE"/>
              </w:rPr>
            </w:pPr>
          </w:p>
        </w:tc>
        <w:tc>
          <w:tcPr>
            <w:tcW w:w="1078"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b/>
                <w:sz w:val="16"/>
                <w:szCs w:val="24"/>
                <w:lang w:eastAsia="sv-SE"/>
              </w:rPr>
            </w:pPr>
            <w:r>
              <w:rPr>
                <w:rFonts w:eastAsia="Times New Roman"/>
                <w:b/>
                <w:sz w:val="16"/>
                <w:szCs w:val="24"/>
                <w:lang w:eastAsia="sv-SE"/>
              </w:rPr>
              <w:t>2016</w:t>
            </w:r>
          </w:p>
        </w:tc>
        <w:tc>
          <w:tcPr>
            <w:tcW w:w="1078"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b/>
                <w:sz w:val="16"/>
                <w:szCs w:val="24"/>
                <w:lang w:eastAsia="sv-SE"/>
              </w:rPr>
            </w:pPr>
            <w:r>
              <w:rPr>
                <w:rFonts w:eastAsia="Times New Roman"/>
                <w:b/>
                <w:sz w:val="16"/>
                <w:szCs w:val="24"/>
                <w:lang w:eastAsia="sv-SE"/>
              </w:rPr>
              <w:t>2015</w:t>
            </w:r>
          </w:p>
        </w:tc>
        <w:tc>
          <w:tcPr>
            <w:tcW w:w="1078"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b/>
                <w:sz w:val="16"/>
                <w:szCs w:val="24"/>
                <w:lang w:eastAsia="sv-SE"/>
              </w:rPr>
            </w:pPr>
            <w:r w:rsidRPr="001F1004">
              <w:rPr>
                <w:rFonts w:eastAsia="Times New Roman"/>
                <w:b/>
                <w:sz w:val="16"/>
                <w:szCs w:val="24"/>
                <w:lang w:eastAsia="sv-SE"/>
              </w:rPr>
              <w:t>201</w:t>
            </w:r>
            <w:r>
              <w:rPr>
                <w:rFonts w:eastAsia="Times New Roman"/>
                <w:b/>
                <w:sz w:val="16"/>
                <w:szCs w:val="24"/>
                <w:lang w:eastAsia="sv-SE"/>
              </w:rPr>
              <w:t>4</w:t>
            </w:r>
          </w:p>
        </w:tc>
      </w:tr>
      <w:tr w:rsidR="00D775B2" w:rsidRPr="001F1004" w:rsidTr="00C17624">
        <w:tc>
          <w:tcPr>
            <w:tcW w:w="2082" w:type="dxa"/>
            <w:tcBorders>
              <w:top w:val="single" w:sz="4" w:space="0" w:color="auto"/>
              <w:bottom w:val="single" w:sz="4" w:space="0" w:color="auto"/>
            </w:tcBorders>
          </w:tcPr>
          <w:p w:rsidR="00D775B2" w:rsidRPr="001F1004" w:rsidRDefault="00D775B2" w:rsidP="00C17624">
            <w:pPr>
              <w:spacing w:before="60" w:line="200" w:lineRule="exact"/>
              <w:jc w:val="left"/>
              <w:rPr>
                <w:rFonts w:eastAsia="Times New Roman"/>
                <w:sz w:val="16"/>
                <w:szCs w:val="24"/>
                <w:lang w:eastAsia="sv-SE"/>
              </w:rPr>
            </w:pPr>
            <w:r w:rsidRPr="001F1004">
              <w:rPr>
                <w:rFonts w:eastAsia="Times New Roman"/>
                <w:sz w:val="16"/>
                <w:szCs w:val="24"/>
                <w:lang w:eastAsia="sv-SE"/>
              </w:rPr>
              <w:t xml:space="preserve">Antal besök på </w:t>
            </w:r>
            <w:r>
              <w:rPr>
                <w:rFonts w:eastAsia="Times New Roman"/>
                <w:sz w:val="16"/>
                <w:szCs w:val="24"/>
                <w:lang w:eastAsia="sv-SE"/>
              </w:rPr>
              <w:br/>
              <w:t>www.eu-upplysningen.se</w:t>
            </w:r>
          </w:p>
        </w:tc>
        <w:tc>
          <w:tcPr>
            <w:tcW w:w="612"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sz w:val="16"/>
                <w:szCs w:val="24"/>
                <w:lang w:eastAsia="sv-SE"/>
              </w:rPr>
            </w:pPr>
          </w:p>
        </w:tc>
        <w:tc>
          <w:tcPr>
            <w:tcW w:w="1078" w:type="dxa"/>
            <w:tcBorders>
              <w:top w:val="single" w:sz="4" w:space="0" w:color="auto"/>
              <w:bottom w:val="single" w:sz="4" w:space="0" w:color="auto"/>
            </w:tcBorders>
          </w:tcPr>
          <w:p w:rsidR="00D775B2" w:rsidRPr="001F1004" w:rsidRDefault="00023690" w:rsidP="00C17624">
            <w:pPr>
              <w:spacing w:before="60" w:line="200" w:lineRule="exact"/>
              <w:jc w:val="right"/>
              <w:rPr>
                <w:rFonts w:eastAsia="Times New Roman"/>
                <w:sz w:val="16"/>
                <w:szCs w:val="24"/>
                <w:lang w:eastAsia="sv-SE"/>
              </w:rPr>
            </w:pPr>
            <w:r w:rsidRPr="00AB5DA7">
              <w:rPr>
                <w:rFonts w:eastAsia="Times New Roman"/>
                <w:sz w:val="16"/>
                <w:szCs w:val="24"/>
                <w:lang w:eastAsia="sv-SE"/>
              </w:rPr>
              <w:t>956 692</w:t>
            </w:r>
          </w:p>
        </w:tc>
        <w:tc>
          <w:tcPr>
            <w:tcW w:w="1078"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sz w:val="16"/>
                <w:szCs w:val="24"/>
                <w:lang w:eastAsia="sv-SE"/>
              </w:rPr>
            </w:pPr>
            <w:r>
              <w:rPr>
                <w:rFonts w:eastAsia="Times New Roman"/>
                <w:sz w:val="16"/>
                <w:szCs w:val="24"/>
                <w:lang w:eastAsia="sv-SE"/>
              </w:rPr>
              <w:t>896 132</w:t>
            </w:r>
          </w:p>
        </w:tc>
        <w:tc>
          <w:tcPr>
            <w:tcW w:w="1078" w:type="dxa"/>
            <w:tcBorders>
              <w:top w:val="single" w:sz="4" w:space="0" w:color="auto"/>
              <w:bottom w:val="single" w:sz="4" w:space="0" w:color="auto"/>
            </w:tcBorders>
          </w:tcPr>
          <w:p w:rsidR="00D775B2" w:rsidRPr="001F1004" w:rsidRDefault="00D775B2" w:rsidP="00C17624">
            <w:pPr>
              <w:spacing w:before="60" w:line="200" w:lineRule="exact"/>
              <w:jc w:val="right"/>
              <w:rPr>
                <w:rFonts w:eastAsia="Times New Roman"/>
                <w:sz w:val="16"/>
                <w:szCs w:val="24"/>
                <w:lang w:eastAsia="sv-SE"/>
              </w:rPr>
            </w:pPr>
            <w:r>
              <w:rPr>
                <w:rFonts w:eastAsia="Times New Roman"/>
                <w:sz w:val="16"/>
                <w:szCs w:val="24"/>
                <w:lang w:eastAsia="sv-SE"/>
              </w:rPr>
              <w:t>1 271 586</w:t>
            </w:r>
          </w:p>
        </w:tc>
      </w:tr>
    </w:tbl>
    <w:p w:rsidR="00773A01" w:rsidRPr="000405F0" w:rsidRDefault="00B94B00" w:rsidP="00773A01">
      <w:pPr>
        <w:pStyle w:val="Rubrik4"/>
      </w:pPr>
      <w:r>
        <w:t>Svarsservice för r</w:t>
      </w:r>
      <w:r w:rsidR="00773A01" w:rsidRPr="000405F0">
        <w:t>iksdagsinformation</w:t>
      </w:r>
      <w:r>
        <w:t xml:space="preserve"> och EU-information</w:t>
      </w:r>
    </w:p>
    <w:p w:rsidR="00DC5F8D" w:rsidRDefault="00DC5F8D" w:rsidP="00DC5F8D">
      <w:r>
        <w:t xml:space="preserve">Riksdagsförvaltningen har ett 020-nummer dit allmänheten kan ringa för att få svar på frågor om riksdagen och riksdagens arbete och beslut. Förvaltningen svarar även på frågor via e-post. </w:t>
      </w:r>
      <w:r w:rsidRPr="003E3FE4">
        <w:t>Antalet förfrågningar per telefon och e-post</w:t>
      </w:r>
      <w:r>
        <w:t xml:space="preserve"> till riksdagsinformation har minskat något under 2016 jämfört med 2015. Andelen telefonsamtal har under året minskat med c</w:t>
      </w:r>
      <w:r w:rsidR="0083065D">
        <w:t>irk</w:t>
      </w:r>
      <w:r>
        <w:t xml:space="preserve">a 25 procent samtidigt som </w:t>
      </w:r>
      <w:r w:rsidR="0083065D">
        <w:t xml:space="preserve">antalet </w:t>
      </w:r>
      <w:r>
        <w:t>frågor via e-post har ökat något.</w:t>
      </w:r>
    </w:p>
    <w:p w:rsidR="00773A01" w:rsidRPr="000405F0" w:rsidRDefault="00773A01" w:rsidP="00773A0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405F0">
        <w:rPr>
          <w:rFonts w:eastAsiaTheme="majorEastAsia" w:cstheme="majorBidi"/>
          <w:b/>
        </w:rPr>
        <w:t xml:space="preserve">Tabell </w:t>
      </w:r>
      <w:r w:rsidR="007151BF">
        <w:rPr>
          <w:rFonts w:eastAsiaTheme="majorEastAsia" w:cstheme="majorBidi"/>
          <w:b/>
        </w:rPr>
        <w:t>22</w:t>
      </w:r>
      <w:r w:rsidRPr="000405F0">
        <w:rPr>
          <w:rFonts w:eastAsiaTheme="majorEastAsia" w:cstheme="majorBidi"/>
          <w:b/>
        </w:rPr>
        <w:t xml:space="preserve"> Antal förfrågningar till riksdagsinformation</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34"/>
        <w:gridCol w:w="1134"/>
        <w:gridCol w:w="1011"/>
      </w:tblGrid>
      <w:tr w:rsidR="00773A01" w:rsidRPr="00C430D6" w:rsidTr="00C17624">
        <w:tc>
          <w:tcPr>
            <w:tcW w:w="2552" w:type="dxa"/>
            <w:tcBorders>
              <w:top w:val="single" w:sz="4" w:space="0" w:color="auto"/>
              <w:bottom w:val="single" w:sz="4" w:space="0" w:color="auto"/>
            </w:tcBorders>
          </w:tcPr>
          <w:p w:rsidR="00773A01" w:rsidRPr="00C430D6" w:rsidRDefault="00773A01" w:rsidP="00C17624">
            <w:pPr>
              <w:pStyle w:val="Normaltindrag"/>
              <w:spacing w:before="60" w:line="200" w:lineRule="exact"/>
              <w:ind w:firstLine="0"/>
              <w:rPr>
                <w:sz w:val="16"/>
                <w:szCs w:val="16"/>
              </w:rPr>
            </w:pPr>
          </w:p>
        </w:tc>
        <w:tc>
          <w:tcPr>
            <w:tcW w:w="1134" w:type="dxa"/>
            <w:tcBorders>
              <w:top w:val="single" w:sz="4" w:space="0" w:color="auto"/>
              <w:bottom w:val="single" w:sz="4" w:space="0" w:color="auto"/>
            </w:tcBorders>
          </w:tcPr>
          <w:p w:rsidR="00773A01" w:rsidRPr="00CF41B8" w:rsidRDefault="00773A01" w:rsidP="00C17624">
            <w:pPr>
              <w:pStyle w:val="Tabelltextsiffror"/>
              <w:spacing w:before="60"/>
              <w:rPr>
                <w:b/>
                <w:sz w:val="16"/>
                <w:szCs w:val="16"/>
              </w:rPr>
            </w:pPr>
            <w:r w:rsidRPr="00CF41B8">
              <w:rPr>
                <w:b/>
                <w:sz w:val="16"/>
                <w:szCs w:val="16"/>
              </w:rPr>
              <w:t>201</w:t>
            </w:r>
            <w:r>
              <w:rPr>
                <w:b/>
                <w:sz w:val="16"/>
                <w:szCs w:val="16"/>
              </w:rPr>
              <w:t>6</w:t>
            </w:r>
          </w:p>
        </w:tc>
        <w:tc>
          <w:tcPr>
            <w:tcW w:w="1134" w:type="dxa"/>
            <w:tcBorders>
              <w:top w:val="single" w:sz="4" w:space="0" w:color="auto"/>
              <w:bottom w:val="single" w:sz="4" w:space="0" w:color="auto"/>
            </w:tcBorders>
          </w:tcPr>
          <w:p w:rsidR="00773A01" w:rsidRPr="00CF41B8" w:rsidRDefault="00773A01" w:rsidP="00C17624">
            <w:pPr>
              <w:pStyle w:val="Tabelltextsiffror"/>
              <w:spacing w:before="60"/>
              <w:rPr>
                <w:b/>
                <w:sz w:val="16"/>
                <w:szCs w:val="16"/>
              </w:rPr>
            </w:pPr>
            <w:r w:rsidRPr="00CF41B8">
              <w:rPr>
                <w:b/>
                <w:sz w:val="16"/>
                <w:szCs w:val="16"/>
              </w:rPr>
              <w:t>201</w:t>
            </w:r>
            <w:r>
              <w:rPr>
                <w:b/>
                <w:sz w:val="16"/>
                <w:szCs w:val="16"/>
              </w:rPr>
              <w:t>5</w:t>
            </w:r>
          </w:p>
        </w:tc>
        <w:tc>
          <w:tcPr>
            <w:tcW w:w="1011" w:type="dxa"/>
            <w:tcBorders>
              <w:top w:val="single" w:sz="4" w:space="0" w:color="auto"/>
              <w:bottom w:val="single" w:sz="4" w:space="0" w:color="auto"/>
            </w:tcBorders>
          </w:tcPr>
          <w:p w:rsidR="00773A01" w:rsidRPr="00CF41B8" w:rsidRDefault="00773A01" w:rsidP="00C17624">
            <w:pPr>
              <w:pStyle w:val="Tabelltextsiffror"/>
              <w:spacing w:before="60"/>
              <w:rPr>
                <w:b/>
                <w:sz w:val="16"/>
                <w:szCs w:val="16"/>
              </w:rPr>
            </w:pPr>
            <w:r w:rsidRPr="00CF41B8">
              <w:rPr>
                <w:b/>
                <w:sz w:val="16"/>
                <w:szCs w:val="16"/>
              </w:rPr>
              <w:t>201</w:t>
            </w:r>
            <w:r>
              <w:rPr>
                <w:b/>
                <w:sz w:val="16"/>
                <w:szCs w:val="16"/>
              </w:rPr>
              <w:t>4</w:t>
            </w:r>
          </w:p>
        </w:tc>
      </w:tr>
      <w:tr w:rsidR="00773A01" w:rsidRPr="00C430D6" w:rsidTr="00C17624">
        <w:tc>
          <w:tcPr>
            <w:tcW w:w="2552" w:type="dxa"/>
            <w:tcBorders>
              <w:top w:val="single" w:sz="4" w:space="0" w:color="auto"/>
            </w:tcBorders>
          </w:tcPr>
          <w:p w:rsidR="00773A01" w:rsidRPr="00C430D6" w:rsidRDefault="00773A01" w:rsidP="00C17624">
            <w:pPr>
              <w:pStyle w:val="Tabelltext"/>
              <w:spacing w:before="60"/>
              <w:jc w:val="left"/>
              <w:rPr>
                <w:sz w:val="16"/>
                <w:szCs w:val="16"/>
              </w:rPr>
            </w:pPr>
            <w:r w:rsidRPr="00C430D6">
              <w:rPr>
                <w:sz w:val="16"/>
                <w:szCs w:val="16"/>
              </w:rPr>
              <w:t>Telefonf</w:t>
            </w:r>
            <w:r>
              <w:rPr>
                <w:sz w:val="16"/>
                <w:szCs w:val="16"/>
              </w:rPr>
              <w:t xml:space="preserve">örfrågningar </w:t>
            </w:r>
            <w:r w:rsidRPr="00330407">
              <w:rPr>
                <w:sz w:val="16"/>
              </w:rPr>
              <w:t>020-349 000</w:t>
            </w:r>
          </w:p>
        </w:tc>
        <w:tc>
          <w:tcPr>
            <w:tcW w:w="1134" w:type="dxa"/>
            <w:tcBorders>
              <w:top w:val="single" w:sz="4" w:space="0" w:color="auto"/>
            </w:tcBorders>
            <w:vAlign w:val="bottom"/>
          </w:tcPr>
          <w:p w:rsidR="00773A01" w:rsidRPr="00C430D6" w:rsidRDefault="003B723D" w:rsidP="00C17624">
            <w:pPr>
              <w:pStyle w:val="Tabell-Siffror"/>
              <w:spacing w:before="60" w:line="200" w:lineRule="exact"/>
            </w:pPr>
            <w:r>
              <w:t>4 150</w:t>
            </w:r>
          </w:p>
        </w:tc>
        <w:tc>
          <w:tcPr>
            <w:tcW w:w="1134" w:type="dxa"/>
            <w:tcBorders>
              <w:top w:val="single" w:sz="4" w:space="0" w:color="auto"/>
            </w:tcBorders>
            <w:vAlign w:val="bottom"/>
          </w:tcPr>
          <w:p w:rsidR="00773A01" w:rsidRPr="00C430D6" w:rsidRDefault="00773A01" w:rsidP="00C17624">
            <w:pPr>
              <w:pStyle w:val="Tabell-Siffror"/>
              <w:spacing w:before="60" w:line="200" w:lineRule="exact"/>
            </w:pPr>
            <w:r>
              <w:t>5 430</w:t>
            </w:r>
          </w:p>
        </w:tc>
        <w:tc>
          <w:tcPr>
            <w:tcW w:w="1011" w:type="dxa"/>
            <w:tcBorders>
              <w:top w:val="single" w:sz="4" w:space="0" w:color="auto"/>
            </w:tcBorders>
            <w:vAlign w:val="bottom"/>
          </w:tcPr>
          <w:p w:rsidR="00773A01" w:rsidRPr="00C430D6" w:rsidRDefault="00773A01" w:rsidP="00C17624">
            <w:pPr>
              <w:pStyle w:val="Tabell-Siffror"/>
              <w:spacing w:before="60" w:line="200" w:lineRule="exact"/>
            </w:pPr>
            <w:r>
              <w:t>7 619</w:t>
            </w:r>
          </w:p>
        </w:tc>
      </w:tr>
      <w:tr w:rsidR="00773A01" w:rsidRPr="00C430D6" w:rsidTr="00C17624">
        <w:tc>
          <w:tcPr>
            <w:tcW w:w="2552" w:type="dxa"/>
            <w:tcBorders>
              <w:bottom w:val="single" w:sz="4" w:space="0" w:color="auto"/>
            </w:tcBorders>
          </w:tcPr>
          <w:p w:rsidR="00773A01" w:rsidRPr="00C430D6" w:rsidRDefault="00773A01" w:rsidP="00C17624">
            <w:pPr>
              <w:pStyle w:val="Tabell-Text"/>
              <w:spacing w:before="60" w:line="200" w:lineRule="exact"/>
            </w:pPr>
            <w:r w:rsidRPr="00C430D6">
              <w:t>E-postfrågor</w:t>
            </w:r>
            <w:r w:rsidR="002D642A">
              <w:t xml:space="preserve"> (inkl. brev)</w:t>
            </w:r>
          </w:p>
        </w:tc>
        <w:tc>
          <w:tcPr>
            <w:tcW w:w="1134" w:type="dxa"/>
            <w:tcBorders>
              <w:bottom w:val="single" w:sz="4" w:space="0" w:color="auto"/>
            </w:tcBorders>
          </w:tcPr>
          <w:p w:rsidR="00773A01" w:rsidRPr="00C430D6" w:rsidRDefault="00EF69B3" w:rsidP="002D642A">
            <w:pPr>
              <w:pStyle w:val="Tabell-Siffror"/>
              <w:spacing w:before="60" w:line="200" w:lineRule="exact"/>
            </w:pPr>
            <w:r w:rsidRPr="00DA7A61">
              <w:t>5 2</w:t>
            </w:r>
            <w:r w:rsidR="002D642A" w:rsidRPr="00DA7A61">
              <w:t>17</w:t>
            </w:r>
          </w:p>
        </w:tc>
        <w:tc>
          <w:tcPr>
            <w:tcW w:w="1134" w:type="dxa"/>
            <w:tcBorders>
              <w:bottom w:val="single" w:sz="4" w:space="0" w:color="auto"/>
            </w:tcBorders>
          </w:tcPr>
          <w:p w:rsidR="00773A01" w:rsidRPr="00C430D6" w:rsidRDefault="00773A01" w:rsidP="00C17624">
            <w:pPr>
              <w:pStyle w:val="Tabell-Siffror"/>
              <w:spacing w:before="60" w:line="200" w:lineRule="exact"/>
            </w:pPr>
            <w:r>
              <w:t>4 652</w:t>
            </w:r>
          </w:p>
        </w:tc>
        <w:tc>
          <w:tcPr>
            <w:tcW w:w="1011" w:type="dxa"/>
            <w:tcBorders>
              <w:bottom w:val="single" w:sz="4" w:space="0" w:color="auto"/>
            </w:tcBorders>
          </w:tcPr>
          <w:p w:rsidR="00773A01" w:rsidRPr="00C430D6" w:rsidRDefault="00773A01" w:rsidP="00C17624">
            <w:pPr>
              <w:pStyle w:val="Tabell-Siffror"/>
              <w:spacing w:before="60" w:line="200" w:lineRule="exact"/>
            </w:pPr>
            <w:r>
              <w:t>5 65</w:t>
            </w:r>
            <w:r w:rsidRPr="00C430D6">
              <w:t>5</w:t>
            </w:r>
          </w:p>
        </w:tc>
      </w:tr>
      <w:tr w:rsidR="00773A01" w:rsidRPr="00CF41B8" w:rsidTr="00C17624">
        <w:tc>
          <w:tcPr>
            <w:tcW w:w="2552" w:type="dxa"/>
            <w:tcBorders>
              <w:top w:val="single" w:sz="4" w:space="0" w:color="auto"/>
              <w:bottom w:val="single" w:sz="4" w:space="0" w:color="auto"/>
            </w:tcBorders>
          </w:tcPr>
          <w:p w:rsidR="00773A01" w:rsidRPr="00CF41B8" w:rsidRDefault="00773A01" w:rsidP="00C17624">
            <w:pPr>
              <w:pStyle w:val="Tabelltext"/>
              <w:spacing w:before="60"/>
              <w:jc w:val="left"/>
              <w:rPr>
                <w:b/>
                <w:sz w:val="16"/>
                <w:szCs w:val="16"/>
              </w:rPr>
            </w:pPr>
            <w:r w:rsidRPr="00CF41B8">
              <w:rPr>
                <w:b/>
                <w:sz w:val="16"/>
                <w:szCs w:val="16"/>
              </w:rPr>
              <w:t>Totalt</w:t>
            </w:r>
          </w:p>
        </w:tc>
        <w:tc>
          <w:tcPr>
            <w:tcW w:w="1134" w:type="dxa"/>
            <w:tcBorders>
              <w:top w:val="single" w:sz="4" w:space="0" w:color="auto"/>
              <w:bottom w:val="single" w:sz="4" w:space="0" w:color="auto"/>
            </w:tcBorders>
          </w:tcPr>
          <w:p w:rsidR="00773A01" w:rsidRPr="00CF41B8" w:rsidRDefault="003B723D" w:rsidP="00C17624">
            <w:pPr>
              <w:pStyle w:val="Tabell-Siffror"/>
              <w:spacing w:before="60" w:line="200" w:lineRule="exact"/>
              <w:rPr>
                <w:b/>
              </w:rPr>
            </w:pPr>
            <w:r>
              <w:rPr>
                <w:b/>
              </w:rPr>
              <w:t>9 367</w:t>
            </w:r>
          </w:p>
        </w:tc>
        <w:tc>
          <w:tcPr>
            <w:tcW w:w="1134" w:type="dxa"/>
            <w:tcBorders>
              <w:top w:val="single" w:sz="4" w:space="0" w:color="auto"/>
              <w:bottom w:val="single" w:sz="4" w:space="0" w:color="auto"/>
            </w:tcBorders>
          </w:tcPr>
          <w:p w:rsidR="00773A01" w:rsidRPr="00CF41B8" w:rsidRDefault="00773A01" w:rsidP="00C17624">
            <w:pPr>
              <w:pStyle w:val="Tabell-Siffror"/>
              <w:spacing w:before="60" w:line="200" w:lineRule="exact"/>
              <w:rPr>
                <w:b/>
              </w:rPr>
            </w:pPr>
            <w:r>
              <w:rPr>
                <w:b/>
              </w:rPr>
              <w:t>10 082</w:t>
            </w:r>
          </w:p>
        </w:tc>
        <w:tc>
          <w:tcPr>
            <w:tcW w:w="1011" w:type="dxa"/>
            <w:tcBorders>
              <w:top w:val="single" w:sz="4" w:space="0" w:color="auto"/>
              <w:bottom w:val="single" w:sz="4" w:space="0" w:color="auto"/>
            </w:tcBorders>
          </w:tcPr>
          <w:p w:rsidR="00773A01" w:rsidRPr="00CF41B8" w:rsidRDefault="00773A01" w:rsidP="00C17624">
            <w:pPr>
              <w:pStyle w:val="Tabell-Siffror"/>
              <w:spacing w:before="60" w:line="200" w:lineRule="exact"/>
              <w:rPr>
                <w:b/>
              </w:rPr>
            </w:pPr>
            <w:r>
              <w:rPr>
                <w:b/>
              </w:rPr>
              <w:t>13 2</w:t>
            </w:r>
            <w:r w:rsidRPr="00CF41B8">
              <w:rPr>
                <w:b/>
              </w:rPr>
              <w:t>7</w:t>
            </w:r>
            <w:r>
              <w:rPr>
                <w:b/>
              </w:rPr>
              <w:t>4</w:t>
            </w:r>
          </w:p>
        </w:tc>
      </w:tr>
    </w:tbl>
    <w:p w:rsidR="00D56005" w:rsidRPr="00B94B00" w:rsidRDefault="00DC5F8D" w:rsidP="00B94B00">
      <w:r>
        <w:lastRenderedPageBreak/>
        <w:t>EU-information och svar på EU-frågor lämnas också av svarsservice via telefon och e-post</w:t>
      </w:r>
      <w:r w:rsidRPr="0036148E">
        <w:t>. Antalet förfrågningar till svarsservice för EU-frågor</w:t>
      </w:r>
      <w:r>
        <w:t xml:space="preserve"> per telefon och e-post ligger på samma nivå under 2016 </w:t>
      </w:r>
      <w:r w:rsidR="0083065D">
        <w:t>som</w:t>
      </w:r>
      <w:r>
        <w:t xml:space="preserve"> 2015.</w:t>
      </w:r>
    </w:p>
    <w:p w:rsidR="00847933" w:rsidRPr="00701920" w:rsidRDefault="00701920" w:rsidP="00701920">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E936B7">
        <w:rPr>
          <w:rFonts w:eastAsiaTheme="majorEastAsia" w:cstheme="majorBidi"/>
          <w:b/>
        </w:rPr>
        <w:t xml:space="preserve">Tabell </w:t>
      </w:r>
      <w:r w:rsidR="007151BF">
        <w:rPr>
          <w:rFonts w:eastAsiaTheme="majorEastAsia" w:cstheme="majorBidi"/>
          <w:b/>
        </w:rPr>
        <w:t>23</w:t>
      </w:r>
      <w:r w:rsidRPr="00E936B7">
        <w:rPr>
          <w:rFonts w:eastAsiaTheme="majorEastAsia" w:cstheme="majorBidi"/>
          <w:b/>
        </w:rPr>
        <w:t xml:space="preserve"> Antal förfrågningar till </w:t>
      </w:r>
      <w:r w:rsidR="00EC1E35">
        <w:rPr>
          <w:rFonts w:eastAsiaTheme="majorEastAsia" w:cstheme="majorBidi"/>
          <w:b/>
        </w:rPr>
        <w:t>svarsservice om</w:t>
      </w:r>
      <w:r w:rsidR="00B94B00">
        <w:rPr>
          <w:rFonts w:eastAsiaTheme="majorEastAsia" w:cstheme="majorBidi"/>
          <w:b/>
        </w:rPr>
        <w:t xml:space="preserve"> </w:t>
      </w:r>
      <w:r w:rsidRPr="00E936B7">
        <w:rPr>
          <w:rFonts w:eastAsiaTheme="majorEastAsia" w:cstheme="majorBidi"/>
          <w:b/>
        </w:rPr>
        <w:t>EU</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016"/>
        <w:gridCol w:w="1016"/>
        <w:gridCol w:w="1016"/>
      </w:tblGrid>
      <w:tr w:rsidR="003D2A56" w:rsidRPr="00C430D6" w:rsidTr="002E6E3E">
        <w:tc>
          <w:tcPr>
            <w:tcW w:w="2689" w:type="dxa"/>
            <w:tcBorders>
              <w:top w:val="single" w:sz="4" w:space="0" w:color="auto"/>
              <w:bottom w:val="single" w:sz="4" w:space="0" w:color="auto"/>
            </w:tcBorders>
          </w:tcPr>
          <w:p w:rsidR="003D2A56" w:rsidRPr="00C430D6" w:rsidRDefault="003D2A56" w:rsidP="003D2A56">
            <w:pPr>
              <w:pStyle w:val="Normaltindrag"/>
              <w:spacing w:before="60" w:line="200" w:lineRule="exact"/>
              <w:ind w:firstLine="0"/>
              <w:rPr>
                <w:sz w:val="16"/>
                <w:szCs w:val="16"/>
              </w:rPr>
            </w:pPr>
          </w:p>
        </w:tc>
        <w:tc>
          <w:tcPr>
            <w:tcW w:w="1016" w:type="dxa"/>
            <w:tcBorders>
              <w:top w:val="single" w:sz="4" w:space="0" w:color="auto"/>
              <w:bottom w:val="single" w:sz="4" w:space="0" w:color="auto"/>
            </w:tcBorders>
          </w:tcPr>
          <w:p w:rsidR="003D2A56" w:rsidRPr="00C430D6" w:rsidRDefault="003D2A56" w:rsidP="003D2A56">
            <w:pPr>
              <w:pStyle w:val="Tabelltextsiffror"/>
              <w:spacing w:before="60"/>
              <w:rPr>
                <w:b/>
                <w:sz w:val="16"/>
                <w:szCs w:val="16"/>
              </w:rPr>
            </w:pPr>
            <w:r>
              <w:rPr>
                <w:b/>
                <w:sz w:val="16"/>
                <w:szCs w:val="16"/>
              </w:rPr>
              <w:t>2016</w:t>
            </w:r>
          </w:p>
        </w:tc>
        <w:tc>
          <w:tcPr>
            <w:tcW w:w="1016" w:type="dxa"/>
            <w:tcBorders>
              <w:top w:val="single" w:sz="4" w:space="0" w:color="auto"/>
              <w:bottom w:val="single" w:sz="4" w:space="0" w:color="auto"/>
            </w:tcBorders>
          </w:tcPr>
          <w:p w:rsidR="003D2A56" w:rsidRPr="00C430D6" w:rsidRDefault="003D2A56" w:rsidP="003D2A56">
            <w:pPr>
              <w:pStyle w:val="Tabelltextsiffror"/>
              <w:spacing w:before="60"/>
              <w:rPr>
                <w:b/>
                <w:sz w:val="16"/>
                <w:szCs w:val="16"/>
              </w:rPr>
            </w:pPr>
            <w:r w:rsidRPr="00C430D6">
              <w:rPr>
                <w:b/>
                <w:sz w:val="16"/>
                <w:szCs w:val="16"/>
              </w:rPr>
              <w:t>201</w:t>
            </w:r>
            <w:r>
              <w:rPr>
                <w:b/>
                <w:sz w:val="16"/>
                <w:szCs w:val="16"/>
              </w:rPr>
              <w:t>5</w:t>
            </w:r>
          </w:p>
        </w:tc>
        <w:tc>
          <w:tcPr>
            <w:tcW w:w="1016" w:type="dxa"/>
            <w:tcBorders>
              <w:top w:val="single" w:sz="4" w:space="0" w:color="auto"/>
              <w:bottom w:val="single" w:sz="4" w:space="0" w:color="auto"/>
            </w:tcBorders>
          </w:tcPr>
          <w:p w:rsidR="003D2A56" w:rsidRPr="00C430D6" w:rsidRDefault="003D2A56" w:rsidP="003D2A56">
            <w:pPr>
              <w:pStyle w:val="Tabelltextsiffror"/>
              <w:spacing w:before="60"/>
              <w:rPr>
                <w:b/>
                <w:sz w:val="16"/>
                <w:szCs w:val="16"/>
              </w:rPr>
            </w:pPr>
            <w:r w:rsidRPr="00C430D6">
              <w:rPr>
                <w:b/>
                <w:sz w:val="16"/>
                <w:szCs w:val="16"/>
              </w:rPr>
              <w:t>201</w:t>
            </w:r>
            <w:r>
              <w:rPr>
                <w:b/>
                <w:sz w:val="16"/>
                <w:szCs w:val="16"/>
              </w:rPr>
              <w:t>4</w:t>
            </w:r>
          </w:p>
        </w:tc>
      </w:tr>
      <w:tr w:rsidR="003D2A56" w:rsidRPr="00C430D6" w:rsidTr="002E6E3E">
        <w:tc>
          <w:tcPr>
            <w:tcW w:w="2689" w:type="dxa"/>
            <w:tcBorders>
              <w:top w:val="single" w:sz="4" w:space="0" w:color="auto"/>
            </w:tcBorders>
          </w:tcPr>
          <w:p w:rsidR="003D2A56" w:rsidRPr="00C430D6" w:rsidRDefault="003D2A56" w:rsidP="003D2A56">
            <w:pPr>
              <w:pStyle w:val="Tabell-Text"/>
              <w:spacing w:before="60" w:line="200" w:lineRule="exact"/>
            </w:pPr>
            <w:r w:rsidRPr="00C430D6">
              <w:t>Telefonförfrågningar 020-250 000</w:t>
            </w:r>
          </w:p>
        </w:tc>
        <w:tc>
          <w:tcPr>
            <w:tcW w:w="1016" w:type="dxa"/>
            <w:tcBorders>
              <w:top w:val="single" w:sz="4" w:space="0" w:color="auto"/>
            </w:tcBorders>
          </w:tcPr>
          <w:p w:rsidR="003D2A56" w:rsidRPr="00C430D6" w:rsidRDefault="003B723D" w:rsidP="003D2A56">
            <w:pPr>
              <w:pStyle w:val="Tabell-Siffror"/>
              <w:spacing w:before="60" w:line="200" w:lineRule="exact"/>
            </w:pPr>
            <w:r>
              <w:t>869</w:t>
            </w:r>
          </w:p>
        </w:tc>
        <w:tc>
          <w:tcPr>
            <w:tcW w:w="1016" w:type="dxa"/>
            <w:tcBorders>
              <w:top w:val="single" w:sz="4" w:space="0" w:color="auto"/>
            </w:tcBorders>
          </w:tcPr>
          <w:p w:rsidR="003D2A56" w:rsidRPr="00C430D6" w:rsidRDefault="003D2A56" w:rsidP="003D2A56">
            <w:pPr>
              <w:pStyle w:val="Tabell-Siffror"/>
              <w:spacing w:before="60" w:line="200" w:lineRule="exact"/>
            </w:pPr>
            <w:r>
              <w:t>816</w:t>
            </w:r>
          </w:p>
        </w:tc>
        <w:tc>
          <w:tcPr>
            <w:tcW w:w="1016" w:type="dxa"/>
            <w:tcBorders>
              <w:top w:val="single" w:sz="4" w:space="0" w:color="auto"/>
            </w:tcBorders>
          </w:tcPr>
          <w:p w:rsidR="003D2A56" w:rsidRPr="00C430D6" w:rsidRDefault="003D2A56" w:rsidP="003D2A56">
            <w:pPr>
              <w:pStyle w:val="Tabell-Siffror"/>
              <w:spacing w:before="60" w:line="200" w:lineRule="exact"/>
            </w:pPr>
            <w:r>
              <w:t>886</w:t>
            </w:r>
          </w:p>
        </w:tc>
      </w:tr>
      <w:tr w:rsidR="003D2A56" w:rsidRPr="00C430D6" w:rsidTr="002E6E3E">
        <w:tc>
          <w:tcPr>
            <w:tcW w:w="2689" w:type="dxa"/>
          </w:tcPr>
          <w:p w:rsidR="003D2A56" w:rsidRPr="00C430D6" w:rsidRDefault="003D2A56" w:rsidP="003D2A56">
            <w:pPr>
              <w:pStyle w:val="Tabell-Text"/>
              <w:spacing w:before="60" w:line="200" w:lineRule="exact"/>
            </w:pPr>
            <w:r w:rsidRPr="00C430D6">
              <w:t>E-postfrågor</w:t>
            </w:r>
            <w:r w:rsidR="002D642A">
              <w:t xml:space="preserve"> (inkl. brev</w:t>
            </w:r>
            <w:r>
              <w:t>)</w:t>
            </w:r>
          </w:p>
        </w:tc>
        <w:tc>
          <w:tcPr>
            <w:tcW w:w="1016" w:type="dxa"/>
          </w:tcPr>
          <w:p w:rsidR="003D2A56" w:rsidRPr="00C430D6" w:rsidRDefault="00EA5DFC" w:rsidP="003D2A56">
            <w:pPr>
              <w:pStyle w:val="Tabell-Siffror"/>
              <w:spacing w:before="60" w:line="200" w:lineRule="exact"/>
            </w:pPr>
            <w:r w:rsidRPr="00DA7A61">
              <w:t>2 23</w:t>
            </w:r>
            <w:r w:rsidR="002D642A" w:rsidRPr="00DA7A61">
              <w:t>5</w:t>
            </w:r>
          </w:p>
        </w:tc>
        <w:tc>
          <w:tcPr>
            <w:tcW w:w="1016" w:type="dxa"/>
          </w:tcPr>
          <w:p w:rsidR="003D2A56" w:rsidRPr="00C430D6" w:rsidRDefault="003D2A56" w:rsidP="003D2A56">
            <w:pPr>
              <w:pStyle w:val="Tabell-Siffror"/>
              <w:spacing w:before="60" w:line="200" w:lineRule="exact"/>
            </w:pPr>
            <w:r>
              <w:t>2 325</w:t>
            </w:r>
          </w:p>
        </w:tc>
        <w:tc>
          <w:tcPr>
            <w:tcW w:w="1016" w:type="dxa"/>
          </w:tcPr>
          <w:p w:rsidR="003D2A56" w:rsidRPr="00C430D6" w:rsidRDefault="003D2A56" w:rsidP="003D2A56">
            <w:pPr>
              <w:pStyle w:val="Tabell-Siffror"/>
              <w:spacing w:before="60" w:line="200" w:lineRule="exact"/>
            </w:pPr>
            <w:r>
              <w:t>2 841</w:t>
            </w:r>
          </w:p>
        </w:tc>
      </w:tr>
      <w:tr w:rsidR="003D2A56" w:rsidRPr="00C430D6" w:rsidTr="002E6E3E">
        <w:tc>
          <w:tcPr>
            <w:tcW w:w="2689" w:type="dxa"/>
            <w:tcBorders>
              <w:top w:val="single" w:sz="4" w:space="0" w:color="auto"/>
              <w:bottom w:val="single" w:sz="4" w:space="0" w:color="auto"/>
            </w:tcBorders>
          </w:tcPr>
          <w:p w:rsidR="003D2A56" w:rsidRPr="00C430D6" w:rsidRDefault="003D2A56" w:rsidP="003D2A56">
            <w:pPr>
              <w:pStyle w:val="Tabell-Text"/>
              <w:spacing w:before="60" w:line="200" w:lineRule="exact"/>
              <w:rPr>
                <w:b/>
              </w:rPr>
            </w:pPr>
            <w:r w:rsidRPr="00C430D6">
              <w:rPr>
                <w:b/>
              </w:rPr>
              <w:t>Totalt</w:t>
            </w:r>
          </w:p>
        </w:tc>
        <w:tc>
          <w:tcPr>
            <w:tcW w:w="1016" w:type="dxa"/>
            <w:tcBorders>
              <w:top w:val="single" w:sz="4" w:space="0" w:color="auto"/>
              <w:bottom w:val="single" w:sz="4" w:space="0" w:color="auto"/>
            </w:tcBorders>
          </w:tcPr>
          <w:p w:rsidR="003D2A56" w:rsidRPr="00C430D6" w:rsidRDefault="003B723D" w:rsidP="003D2A56">
            <w:pPr>
              <w:pStyle w:val="Tabell-Siffror"/>
              <w:spacing w:before="60" w:line="200" w:lineRule="exact"/>
              <w:rPr>
                <w:b/>
              </w:rPr>
            </w:pPr>
            <w:r>
              <w:rPr>
                <w:b/>
              </w:rPr>
              <w:t>3 104</w:t>
            </w:r>
          </w:p>
        </w:tc>
        <w:tc>
          <w:tcPr>
            <w:tcW w:w="1016" w:type="dxa"/>
            <w:tcBorders>
              <w:top w:val="single" w:sz="4" w:space="0" w:color="auto"/>
              <w:bottom w:val="single" w:sz="4" w:space="0" w:color="auto"/>
            </w:tcBorders>
          </w:tcPr>
          <w:p w:rsidR="003D2A56" w:rsidRPr="00C430D6" w:rsidRDefault="003D2A56" w:rsidP="003D2A56">
            <w:pPr>
              <w:pStyle w:val="Tabell-Siffror"/>
              <w:spacing w:before="60" w:line="200" w:lineRule="exact"/>
              <w:rPr>
                <w:b/>
              </w:rPr>
            </w:pPr>
            <w:r>
              <w:rPr>
                <w:b/>
              </w:rPr>
              <w:t>3 141</w:t>
            </w:r>
          </w:p>
        </w:tc>
        <w:tc>
          <w:tcPr>
            <w:tcW w:w="1016" w:type="dxa"/>
            <w:tcBorders>
              <w:top w:val="single" w:sz="4" w:space="0" w:color="auto"/>
              <w:bottom w:val="single" w:sz="4" w:space="0" w:color="auto"/>
            </w:tcBorders>
          </w:tcPr>
          <w:p w:rsidR="003D2A56" w:rsidRPr="00C430D6" w:rsidRDefault="003D2A56" w:rsidP="003D2A56">
            <w:pPr>
              <w:pStyle w:val="Tabell-Siffror"/>
              <w:spacing w:before="60" w:line="200" w:lineRule="exact"/>
              <w:rPr>
                <w:b/>
              </w:rPr>
            </w:pPr>
            <w:r>
              <w:rPr>
                <w:b/>
              </w:rPr>
              <w:t>3 727</w:t>
            </w:r>
          </w:p>
        </w:tc>
      </w:tr>
    </w:tbl>
    <w:p w:rsidR="00B94B00" w:rsidRDefault="00B94B00" w:rsidP="00B94B00">
      <w:r>
        <w:t>Under början av året fick den gemensamma svarsservicefunktionen för riksdagsinformation och EU-information ett nytt telefonköhanteringssystem. Genom det nya systemet kopplas frågeställaren snabbare till rätt kompetens för bättre service.</w:t>
      </w:r>
    </w:p>
    <w:p w:rsidR="00B94B00" w:rsidRPr="0039654B" w:rsidRDefault="00B94B00" w:rsidP="00AF0AE9">
      <w:pPr>
        <w:pStyle w:val="Normaltindrag"/>
      </w:pPr>
      <w:r>
        <w:t>Svarsservicefunktionen följer årligen upp inkomna förfrågningar under januari, maj och september. Allmänheten står för den största andelen inkomna förfrågningar. Media och press står för ungefär 20 procent av hanterade förfrågningar, och där ingår pressackreditering till riksdagens lokaler. Frågorna handlar till största delen om riksdagens arbete och beslut. Ungefär 20 procent av hanterade förfrågningar handlar om EU-information.</w:t>
      </w:r>
    </w:p>
    <w:p w:rsidR="00E936B7" w:rsidRPr="00E936B7" w:rsidRDefault="00E936B7" w:rsidP="00914909">
      <w:pPr>
        <w:pStyle w:val="Rubrik4"/>
      </w:pPr>
      <w:r w:rsidRPr="00E936B7">
        <w:t>Tv-produktion</w:t>
      </w:r>
    </w:p>
    <w:p w:rsidR="00D907E0" w:rsidRDefault="007D09DE" w:rsidP="00E936B7">
      <w:r w:rsidRPr="007D09DE">
        <w:t>Det t</w:t>
      </w:r>
      <w:r>
        <w:t>otala antalet sändningstimmar</w:t>
      </w:r>
      <w:r w:rsidR="00890CA5">
        <w:t xml:space="preserve"> från riksdagen (tv, webb, bandning)</w:t>
      </w:r>
      <w:r>
        <w:t xml:space="preserve"> har ökat under 2016 jämfört med föregående år. </w:t>
      </w:r>
      <w:r w:rsidR="00E3683D">
        <w:t>Den s</w:t>
      </w:r>
      <w:r>
        <w:t>törsta ökningen har skett i kammaren. Inga incidenter eller drift</w:t>
      </w:r>
      <w:r w:rsidR="00E3683D">
        <w:t>s</w:t>
      </w:r>
      <w:r>
        <w:t xml:space="preserve">stopp </w:t>
      </w:r>
      <w:r w:rsidR="006B3B89">
        <w:t>har hindrat sändningarna under året</w:t>
      </w:r>
      <w:r>
        <w:t>.</w:t>
      </w:r>
    </w:p>
    <w:p w:rsidR="008017B5" w:rsidRDefault="001D3D71" w:rsidP="00520E10">
      <w:pPr>
        <w:pStyle w:val="Normaltindrag"/>
      </w:pPr>
      <w:r w:rsidRPr="001D3D71">
        <w:t>En stor del av sändningarna produceras från sammanträden i plenisalen. Härifrån sändes även Ungdomens riksdag i februari.</w:t>
      </w:r>
      <w:r w:rsidR="00D907E0" w:rsidRPr="001D3D71">
        <w:t xml:space="preserve"> I övriga produktionslokaler har ett stort antal offentliga utskottsutfrågningar, seminarier och presskonferenser producerats. Bland dessa kan nämnas </w:t>
      </w:r>
      <w:r w:rsidRPr="001D3D71">
        <w:t>två</w:t>
      </w:r>
      <w:r w:rsidR="00D907E0" w:rsidRPr="001D3D71">
        <w:t xml:space="preserve"> konferenser för Nordiska rådet, Sverige 20 år i EU samt Nobels fredsprisseminarium i december.</w:t>
      </w:r>
    </w:p>
    <w:p w:rsidR="00E936B7" w:rsidRDefault="007151BF"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24</w:t>
      </w:r>
      <w:r w:rsidR="00E936B7" w:rsidRPr="00E936B7">
        <w:rPr>
          <w:rFonts w:eastAsiaTheme="majorEastAsia" w:cstheme="majorBidi"/>
          <w:b/>
        </w:rPr>
        <w:t xml:space="preserve"> Sändningstimmar från riksdagen (tv, webb, bandning), antal</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47"/>
        <w:gridCol w:w="1458"/>
        <w:gridCol w:w="1458"/>
      </w:tblGrid>
      <w:tr w:rsidR="00C070CD" w:rsidRPr="00C430D6" w:rsidTr="002E6E3E">
        <w:tc>
          <w:tcPr>
            <w:tcW w:w="2268" w:type="dxa"/>
            <w:tcBorders>
              <w:top w:val="single" w:sz="4" w:space="0" w:color="auto"/>
              <w:bottom w:val="single" w:sz="4" w:space="0" w:color="auto"/>
            </w:tcBorders>
          </w:tcPr>
          <w:p w:rsidR="00C070CD" w:rsidRPr="00C430D6" w:rsidRDefault="00C070CD" w:rsidP="00C070CD">
            <w:pPr>
              <w:pStyle w:val="Normaltindrag"/>
              <w:spacing w:before="60" w:line="200" w:lineRule="exact"/>
              <w:ind w:firstLine="0"/>
              <w:rPr>
                <w:sz w:val="16"/>
                <w:szCs w:val="16"/>
              </w:rPr>
            </w:pPr>
          </w:p>
        </w:tc>
        <w:tc>
          <w:tcPr>
            <w:tcW w:w="647" w:type="dxa"/>
            <w:tcBorders>
              <w:top w:val="single" w:sz="4" w:space="0" w:color="auto"/>
              <w:bottom w:val="single" w:sz="4" w:space="0" w:color="auto"/>
            </w:tcBorders>
          </w:tcPr>
          <w:p w:rsidR="00C070CD" w:rsidRPr="00E012CF" w:rsidRDefault="00C070CD" w:rsidP="00C070CD">
            <w:pPr>
              <w:pStyle w:val="Tabell-Siffror"/>
              <w:spacing w:before="60" w:line="200" w:lineRule="exact"/>
              <w:rPr>
                <w:b/>
              </w:rPr>
            </w:pPr>
            <w:r w:rsidRPr="00E012CF">
              <w:rPr>
                <w:b/>
              </w:rPr>
              <w:t>201</w:t>
            </w:r>
            <w:r>
              <w:rPr>
                <w:b/>
              </w:rPr>
              <w:t>6</w:t>
            </w:r>
          </w:p>
        </w:tc>
        <w:tc>
          <w:tcPr>
            <w:tcW w:w="1458" w:type="dxa"/>
            <w:tcBorders>
              <w:top w:val="single" w:sz="4" w:space="0" w:color="auto"/>
              <w:bottom w:val="single" w:sz="4" w:space="0" w:color="auto"/>
            </w:tcBorders>
          </w:tcPr>
          <w:p w:rsidR="00C070CD" w:rsidRPr="00E012CF" w:rsidRDefault="00C070CD" w:rsidP="00C070CD">
            <w:pPr>
              <w:pStyle w:val="Tabell-Siffror"/>
              <w:spacing w:before="60" w:line="200" w:lineRule="exact"/>
              <w:rPr>
                <w:b/>
              </w:rPr>
            </w:pPr>
            <w:r>
              <w:rPr>
                <w:b/>
              </w:rPr>
              <w:t>2015</w:t>
            </w:r>
          </w:p>
        </w:tc>
        <w:tc>
          <w:tcPr>
            <w:tcW w:w="1458" w:type="dxa"/>
            <w:tcBorders>
              <w:top w:val="single" w:sz="4" w:space="0" w:color="auto"/>
              <w:bottom w:val="single" w:sz="4" w:space="0" w:color="auto"/>
            </w:tcBorders>
          </w:tcPr>
          <w:p w:rsidR="00C070CD" w:rsidRPr="00E012CF" w:rsidRDefault="00C070CD" w:rsidP="00C070CD">
            <w:pPr>
              <w:pStyle w:val="Tabell-Siffror"/>
              <w:spacing w:before="60" w:line="200" w:lineRule="exact"/>
              <w:rPr>
                <w:b/>
              </w:rPr>
            </w:pPr>
            <w:r w:rsidRPr="00E012CF">
              <w:rPr>
                <w:b/>
              </w:rPr>
              <w:t>201</w:t>
            </w:r>
            <w:r>
              <w:rPr>
                <w:b/>
              </w:rPr>
              <w:t>4</w:t>
            </w:r>
          </w:p>
        </w:tc>
      </w:tr>
      <w:tr w:rsidR="00C070CD" w:rsidRPr="00C430D6" w:rsidTr="002E6E3E">
        <w:tc>
          <w:tcPr>
            <w:tcW w:w="2268" w:type="dxa"/>
            <w:tcBorders>
              <w:top w:val="single" w:sz="4" w:space="0" w:color="auto"/>
            </w:tcBorders>
          </w:tcPr>
          <w:p w:rsidR="00C070CD" w:rsidRPr="00C430D6" w:rsidRDefault="00C070CD" w:rsidP="00C070CD">
            <w:pPr>
              <w:pStyle w:val="Tabell-Text"/>
              <w:spacing w:before="60" w:line="200" w:lineRule="exact"/>
            </w:pPr>
            <w:r w:rsidRPr="00C430D6">
              <w:t>Plenisalen</w:t>
            </w:r>
          </w:p>
        </w:tc>
        <w:tc>
          <w:tcPr>
            <w:tcW w:w="647" w:type="dxa"/>
            <w:tcBorders>
              <w:top w:val="single" w:sz="4" w:space="0" w:color="auto"/>
            </w:tcBorders>
          </w:tcPr>
          <w:p w:rsidR="00C070CD" w:rsidRPr="00C430D6" w:rsidRDefault="00D907E0" w:rsidP="00C070CD">
            <w:pPr>
              <w:pStyle w:val="Tabell-Siffror"/>
              <w:spacing w:before="60" w:line="200" w:lineRule="exact"/>
            </w:pPr>
            <w:r>
              <w:t>735</w:t>
            </w:r>
          </w:p>
        </w:tc>
        <w:tc>
          <w:tcPr>
            <w:tcW w:w="1458" w:type="dxa"/>
            <w:tcBorders>
              <w:top w:val="single" w:sz="4" w:space="0" w:color="auto"/>
            </w:tcBorders>
          </w:tcPr>
          <w:p w:rsidR="00C070CD" w:rsidRPr="00C430D6" w:rsidRDefault="00C070CD" w:rsidP="00C070CD">
            <w:pPr>
              <w:pStyle w:val="Tabell-Siffror"/>
              <w:spacing w:before="60" w:line="200" w:lineRule="exact"/>
            </w:pPr>
            <w:r>
              <w:t>649</w:t>
            </w:r>
          </w:p>
        </w:tc>
        <w:tc>
          <w:tcPr>
            <w:tcW w:w="1458" w:type="dxa"/>
            <w:tcBorders>
              <w:top w:val="single" w:sz="4" w:space="0" w:color="auto"/>
            </w:tcBorders>
          </w:tcPr>
          <w:p w:rsidR="00C070CD" w:rsidRPr="00C430D6" w:rsidRDefault="00C070CD" w:rsidP="00C070CD">
            <w:pPr>
              <w:pStyle w:val="Tabell-Siffror"/>
              <w:spacing w:before="60" w:line="200" w:lineRule="exact"/>
            </w:pPr>
            <w:r w:rsidRPr="00C430D6">
              <w:t>67</w:t>
            </w:r>
            <w:r>
              <w:t>1</w:t>
            </w:r>
          </w:p>
        </w:tc>
      </w:tr>
      <w:tr w:rsidR="00C070CD" w:rsidRPr="00C430D6" w:rsidTr="002E6E3E">
        <w:tc>
          <w:tcPr>
            <w:tcW w:w="2268" w:type="dxa"/>
          </w:tcPr>
          <w:p w:rsidR="00C070CD" w:rsidRPr="00C430D6" w:rsidRDefault="00C070CD" w:rsidP="00C070CD">
            <w:pPr>
              <w:pStyle w:val="Tabell-Text"/>
              <w:spacing w:before="60" w:line="200" w:lineRule="exact"/>
            </w:pPr>
            <w:r w:rsidRPr="00C430D6">
              <w:t>Förstakammar</w:t>
            </w:r>
            <w:r>
              <w:softHyphen/>
            </w:r>
            <w:r w:rsidRPr="00C430D6">
              <w:t>salen</w:t>
            </w:r>
          </w:p>
        </w:tc>
        <w:tc>
          <w:tcPr>
            <w:tcW w:w="647" w:type="dxa"/>
            <w:vAlign w:val="bottom"/>
          </w:tcPr>
          <w:p w:rsidR="00C070CD" w:rsidRPr="00C430D6" w:rsidRDefault="00D907E0" w:rsidP="00C070CD">
            <w:pPr>
              <w:pStyle w:val="Tabell-Siffror"/>
              <w:spacing w:before="60" w:line="200" w:lineRule="exact"/>
            </w:pPr>
            <w:r>
              <w:t>56</w:t>
            </w:r>
          </w:p>
        </w:tc>
        <w:tc>
          <w:tcPr>
            <w:tcW w:w="1458" w:type="dxa"/>
            <w:vAlign w:val="bottom"/>
          </w:tcPr>
          <w:p w:rsidR="00C070CD" w:rsidRPr="00C430D6" w:rsidRDefault="00C070CD" w:rsidP="00C070CD">
            <w:pPr>
              <w:pStyle w:val="Tabell-Siffror"/>
              <w:spacing w:before="60" w:line="200" w:lineRule="exact"/>
            </w:pPr>
            <w:r>
              <w:t>56</w:t>
            </w:r>
          </w:p>
        </w:tc>
        <w:tc>
          <w:tcPr>
            <w:tcW w:w="1458" w:type="dxa"/>
            <w:vAlign w:val="bottom"/>
          </w:tcPr>
          <w:p w:rsidR="00C070CD" w:rsidRPr="00C430D6" w:rsidRDefault="00C070CD" w:rsidP="00C070CD">
            <w:pPr>
              <w:pStyle w:val="Tabell-Siffror"/>
              <w:spacing w:before="60" w:line="200" w:lineRule="exact"/>
            </w:pPr>
            <w:r>
              <w:t>34</w:t>
            </w:r>
          </w:p>
        </w:tc>
      </w:tr>
      <w:tr w:rsidR="00C070CD" w:rsidRPr="00C430D6" w:rsidTr="002E6E3E">
        <w:tc>
          <w:tcPr>
            <w:tcW w:w="2268" w:type="dxa"/>
          </w:tcPr>
          <w:p w:rsidR="00C070CD" w:rsidRPr="00C430D6" w:rsidRDefault="00C070CD" w:rsidP="00C070CD">
            <w:pPr>
              <w:pStyle w:val="Tabell-Text"/>
              <w:spacing w:before="60" w:line="200" w:lineRule="exact"/>
            </w:pPr>
            <w:r w:rsidRPr="00C430D6">
              <w:t>Andrakammarsalen</w:t>
            </w:r>
          </w:p>
        </w:tc>
        <w:tc>
          <w:tcPr>
            <w:tcW w:w="647" w:type="dxa"/>
            <w:vAlign w:val="bottom"/>
          </w:tcPr>
          <w:p w:rsidR="00C070CD" w:rsidRPr="00C430D6" w:rsidRDefault="00D907E0" w:rsidP="00C070CD">
            <w:pPr>
              <w:pStyle w:val="Tabell-Siffror"/>
              <w:spacing w:before="60" w:line="200" w:lineRule="exact"/>
            </w:pPr>
            <w:r>
              <w:t>74</w:t>
            </w:r>
          </w:p>
        </w:tc>
        <w:tc>
          <w:tcPr>
            <w:tcW w:w="1458" w:type="dxa"/>
            <w:vAlign w:val="bottom"/>
          </w:tcPr>
          <w:p w:rsidR="00C070CD" w:rsidRPr="00C430D6" w:rsidRDefault="00C070CD" w:rsidP="00C070CD">
            <w:pPr>
              <w:pStyle w:val="Tabell-Siffror"/>
              <w:spacing w:before="60" w:line="200" w:lineRule="exact"/>
            </w:pPr>
            <w:r>
              <w:t>75</w:t>
            </w:r>
          </w:p>
        </w:tc>
        <w:tc>
          <w:tcPr>
            <w:tcW w:w="1458" w:type="dxa"/>
            <w:vAlign w:val="bottom"/>
          </w:tcPr>
          <w:p w:rsidR="00C070CD" w:rsidRPr="00C430D6" w:rsidRDefault="00C070CD" w:rsidP="00C070CD">
            <w:pPr>
              <w:pStyle w:val="Tabell-Siffror"/>
              <w:spacing w:before="60" w:line="200" w:lineRule="exact"/>
            </w:pPr>
            <w:r>
              <w:t>32</w:t>
            </w:r>
          </w:p>
        </w:tc>
      </w:tr>
      <w:tr w:rsidR="00C070CD" w:rsidRPr="00C430D6" w:rsidTr="002E6E3E">
        <w:tc>
          <w:tcPr>
            <w:tcW w:w="2268" w:type="dxa"/>
          </w:tcPr>
          <w:p w:rsidR="00C070CD" w:rsidRPr="00C430D6" w:rsidRDefault="00C070CD" w:rsidP="00C070CD">
            <w:pPr>
              <w:pStyle w:val="Tabell-Text"/>
              <w:spacing w:before="60" w:line="200" w:lineRule="exact"/>
            </w:pPr>
            <w:r w:rsidRPr="00C430D6">
              <w:t>Skandiasalen</w:t>
            </w:r>
          </w:p>
        </w:tc>
        <w:tc>
          <w:tcPr>
            <w:tcW w:w="647" w:type="dxa"/>
          </w:tcPr>
          <w:p w:rsidR="00C070CD" w:rsidRPr="00C430D6" w:rsidRDefault="00D907E0" w:rsidP="00C070CD">
            <w:pPr>
              <w:pStyle w:val="Tabell-Siffror"/>
              <w:spacing w:before="60" w:line="200" w:lineRule="exact"/>
            </w:pPr>
            <w:r>
              <w:t>41</w:t>
            </w:r>
          </w:p>
        </w:tc>
        <w:tc>
          <w:tcPr>
            <w:tcW w:w="1458" w:type="dxa"/>
          </w:tcPr>
          <w:p w:rsidR="00C070CD" w:rsidRPr="00C430D6" w:rsidRDefault="00C070CD" w:rsidP="00C070CD">
            <w:pPr>
              <w:pStyle w:val="Tabell-Siffror"/>
              <w:spacing w:before="60" w:line="200" w:lineRule="exact"/>
            </w:pPr>
            <w:r>
              <w:t>48</w:t>
            </w:r>
          </w:p>
        </w:tc>
        <w:tc>
          <w:tcPr>
            <w:tcW w:w="1458" w:type="dxa"/>
          </w:tcPr>
          <w:p w:rsidR="00C070CD" w:rsidRPr="00C430D6" w:rsidRDefault="00C070CD" w:rsidP="00C070CD">
            <w:pPr>
              <w:pStyle w:val="Tabell-Siffror"/>
              <w:spacing w:before="60" w:line="200" w:lineRule="exact"/>
            </w:pPr>
            <w:r w:rsidRPr="00C430D6">
              <w:t>5</w:t>
            </w:r>
            <w:r>
              <w:t>4</w:t>
            </w:r>
          </w:p>
        </w:tc>
      </w:tr>
      <w:tr w:rsidR="00C070CD" w:rsidRPr="00C430D6" w:rsidTr="002E6E3E">
        <w:tc>
          <w:tcPr>
            <w:tcW w:w="2268" w:type="dxa"/>
            <w:tcBorders>
              <w:bottom w:val="single" w:sz="4" w:space="0" w:color="auto"/>
            </w:tcBorders>
          </w:tcPr>
          <w:p w:rsidR="00C070CD" w:rsidRPr="00C430D6" w:rsidRDefault="00C070CD" w:rsidP="00C070CD">
            <w:pPr>
              <w:pStyle w:val="Tabell-Text"/>
              <w:spacing w:before="60" w:line="200" w:lineRule="exact"/>
            </w:pPr>
            <w:r>
              <w:t>Presscenter</w:t>
            </w:r>
          </w:p>
        </w:tc>
        <w:tc>
          <w:tcPr>
            <w:tcW w:w="647" w:type="dxa"/>
            <w:tcBorders>
              <w:bottom w:val="single" w:sz="4" w:space="0" w:color="auto"/>
            </w:tcBorders>
          </w:tcPr>
          <w:p w:rsidR="00C070CD" w:rsidRPr="00C430D6" w:rsidRDefault="00D907E0" w:rsidP="00C070CD">
            <w:pPr>
              <w:pStyle w:val="Tabell-Siffror"/>
              <w:spacing w:before="60" w:line="200" w:lineRule="exact"/>
            </w:pPr>
            <w:r>
              <w:t>4</w:t>
            </w:r>
          </w:p>
        </w:tc>
        <w:tc>
          <w:tcPr>
            <w:tcW w:w="1458" w:type="dxa"/>
            <w:tcBorders>
              <w:bottom w:val="single" w:sz="4" w:space="0" w:color="auto"/>
            </w:tcBorders>
          </w:tcPr>
          <w:p w:rsidR="00C070CD" w:rsidRPr="00C430D6" w:rsidRDefault="00C070CD" w:rsidP="00C070CD">
            <w:pPr>
              <w:pStyle w:val="Tabell-Siffror"/>
              <w:spacing w:before="60" w:line="200" w:lineRule="exact"/>
            </w:pPr>
            <w:r>
              <w:t>22</w:t>
            </w:r>
          </w:p>
        </w:tc>
        <w:tc>
          <w:tcPr>
            <w:tcW w:w="1458" w:type="dxa"/>
            <w:tcBorders>
              <w:bottom w:val="single" w:sz="4" w:space="0" w:color="auto"/>
            </w:tcBorders>
          </w:tcPr>
          <w:p w:rsidR="00C070CD" w:rsidRPr="00C430D6" w:rsidRDefault="00C070CD" w:rsidP="00C070CD">
            <w:pPr>
              <w:pStyle w:val="Tabell-Siffror"/>
              <w:spacing w:before="60" w:line="200" w:lineRule="exact"/>
            </w:pPr>
            <w:r>
              <w:t>19</w:t>
            </w:r>
          </w:p>
        </w:tc>
      </w:tr>
      <w:tr w:rsidR="00C070CD" w:rsidRPr="00C430D6" w:rsidTr="002E6E3E">
        <w:tc>
          <w:tcPr>
            <w:tcW w:w="2268" w:type="dxa"/>
            <w:tcBorders>
              <w:top w:val="single" w:sz="4" w:space="0" w:color="auto"/>
              <w:bottom w:val="single" w:sz="4" w:space="0" w:color="auto"/>
            </w:tcBorders>
          </w:tcPr>
          <w:p w:rsidR="00C070CD" w:rsidRPr="00F67E10" w:rsidRDefault="00C070CD" w:rsidP="00C070CD">
            <w:pPr>
              <w:pStyle w:val="Tabell-Text"/>
              <w:spacing w:before="60" w:line="200" w:lineRule="exact"/>
              <w:rPr>
                <w:b/>
              </w:rPr>
            </w:pPr>
            <w:r w:rsidRPr="00F67E10">
              <w:rPr>
                <w:b/>
              </w:rPr>
              <w:t>Totalt</w:t>
            </w:r>
          </w:p>
        </w:tc>
        <w:tc>
          <w:tcPr>
            <w:tcW w:w="647" w:type="dxa"/>
            <w:tcBorders>
              <w:top w:val="single" w:sz="4" w:space="0" w:color="auto"/>
              <w:bottom w:val="single" w:sz="4" w:space="0" w:color="auto"/>
            </w:tcBorders>
          </w:tcPr>
          <w:p w:rsidR="00C070CD" w:rsidRPr="00F67E10" w:rsidRDefault="00D907E0" w:rsidP="00C070CD">
            <w:pPr>
              <w:pStyle w:val="Tabell-Siffror"/>
              <w:spacing w:before="60" w:line="200" w:lineRule="exact"/>
              <w:rPr>
                <w:b/>
              </w:rPr>
            </w:pPr>
            <w:r>
              <w:rPr>
                <w:b/>
              </w:rPr>
              <w:t>910</w:t>
            </w:r>
          </w:p>
        </w:tc>
        <w:tc>
          <w:tcPr>
            <w:tcW w:w="1458" w:type="dxa"/>
            <w:tcBorders>
              <w:top w:val="single" w:sz="4" w:space="0" w:color="auto"/>
              <w:bottom w:val="single" w:sz="4" w:space="0" w:color="auto"/>
            </w:tcBorders>
          </w:tcPr>
          <w:p w:rsidR="00C070CD" w:rsidRPr="00F67E10" w:rsidRDefault="00C070CD" w:rsidP="00C070CD">
            <w:pPr>
              <w:pStyle w:val="Tabell-Siffror"/>
              <w:spacing w:before="60" w:line="200" w:lineRule="exact"/>
              <w:rPr>
                <w:b/>
              </w:rPr>
            </w:pPr>
            <w:r>
              <w:rPr>
                <w:b/>
              </w:rPr>
              <w:t>850</w:t>
            </w:r>
          </w:p>
        </w:tc>
        <w:tc>
          <w:tcPr>
            <w:tcW w:w="1458" w:type="dxa"/>
            <w:tcBorders>
              <w:top w:val="single" w:sz="4" w:space="0" w:color="auto"/>
              <w:bottom w:val="single" w:sz="4" w:space="0" w:color="auto"/>
            </w:tcBorders>
          </w:tcPr>
          <w:p w:rsidR="00C070CD" w:rsidRPr="00F67E10" w:rsidRDefault="00C070CD" w:rsidP="00C070CD">
            <w:pPr>
              <w:pStyle w:val="Tabell-Siffror"/>
              <w:spacing w:before="60" w:line="200" w:lineRule="exact"/>
              <w:rPr>
                <w:b/>
              </w:rPr>
            </w:pPr>
            <w:r w:rsidRPr="00F67E10">
              <w:rPr>
                <w:b/>
              </w:rPr>
              <w:t>8</w:t>
            </w:r>
            <w:r>
              <w:rPr>
                <w:b/>
              </w:rPr>
              <w:t>10</w:t>
            </w:r>
          </w:p>
        </w:tc>
      </w:tr>
    </w:tbl>
    <w:p w:rsidR="00E936B7" w:rsidRPr="00E936B7" w:rsidRDefault="00E936B7" w:rsidP="00FD2D1A">
      <w:pPr>
        <w:pStyle w:val="Rubrik4"/>
      </w:pPr>
      <w:r w:rsidRPr="00E936B7">
        <w:t>Riksdagsbibliotekets service för allmänheten</w:t>
      </w:r>
    </w:p>
    <w:p w:rsidR="00E936B7" w:rsidRPr="003E424F" w:rsidRDefault="00CB062F" w:rsidP="00F504FB">
      <w:pPr>
        <w:suppressAutoHyphens/>
        <w:rPr>
          <w:u w:val="single"/>
        </w:rPr>
      </w:pPr>
      <w:r w:rsidRPr="00CB062F">
        <w:t>I Riksdagsbibliot</w:t>
      </w:r>
      <w:r>
        <w:t xml:space="preserve">eket finns riksdagsdokument, </w:t>
      </w:r>
      <w:r w:rsidRPr="00CB062F">
        <w:t xml:space="preserve">lagar, litteratur och söktjänster </w:t>
      </w:r>
      <w:r>
        <w:t>i samhällsvetenskap och juridik samt</w:t>
      </w:r>
      <w:r w:rsidRPr="00CB062F">
        <w:t xml:space="preserve"> EU-doku</w:t>
      </w:r>
      <w:r>
        <w:t>ment och FN-dokument m.m</w:t>
      </w:r>
      <w:r w:rsidR="00E936B7" w:rsidRPr="00295DD9">
        <w:t>. Biblioteket är öppet för allmänheten</w:t>
      </w:r>
      <w:r w:rsidR="006F2B62" w:rsidRPr="00295DD9">
        <w:t xml:space="preserve">. Under 2016 var antalet besökare </w:t>
      </w:r>
      <w:r w:rsidR="006F2B62" w:rsidRPr="00295DD9">
        <w:lastRenderedPageBreak/>
        <w:t>51 952.</w:t>
      </w:r>
      <w:r w:rsidR="00F96B97" w:rsidRPr="00295DD9">
        <w:rPr>
          <w:rStyle w:val="Fotnotsreferens"/>
        </w:rPr>
        <w:footnoteReference w:id="34"/>
      </w:r>
      <w:r w:rsidR="006F2B62" w:rsidRPr="00295DD9">
        <w:t xml:space="preserve"> </w:t>
      </w:r>
      <w:r w:rsidR="009D1265" w:rsidRPr="00295DD9">
        <w:t xml:space="preserve">Det </w:t>
      </w:r>
      <w:r w:rsidR="00CE3C12">
        <w:t>saknas</w:t>
      </w:r>
      <w:r w:rsidR="009D1265" w:rsidRPr="00295DD9">
        <w:t xml:space="preserve"> besökssiff</w:t>
      </w:r>
      <w:r w:rsidR="00880C2C" w:rsidRPr="00295DD9">
        <w:t xml:space="preserve">ror </w:t>
      </w:r>
      <w:r w:rsidR="00043F28" w:rsidRPr="00295DD9">
        <w:t xml:space="preserve">för 2015, då besöksräknarna var </w:t>
      </w:r>
      <w:r w:rsidR="009505B3" w:rsidRPr="00295DD9">
        <w:t xml:space="preserve">ur </w:t>
      </w:r>
      <w:r w:rsidR="009505B3" w:rsidRPr="00F504FB">
        <w:t>funk</w:t>
      </w:r>
      <w:r w:rsidR="00F504FB">
        <w:softHyphen/>
      </w:r>
      <w:r w:rsidR="009505B3" w:rsidRPr="00F504FB">
        <w:t>tion</w:t>
      </w:r>
      <w:r w:rsidR="00043F28" w:rsidRPr="0079367E">
        <w:t>,</w:t>
      </w:r>
      <w:r w:rsidR="00E3683D">
        <w:t xml:space="preserve"> år</w:t>
      </w:r>
      <w:r w:rsidR="00043F28">
        <w:t xml:space="preserve"> 2014 var antalet besökare 37 408. </w:t>
      </w:r>
      <w:r w:rsidR="00E936B7" w:rsidRPr="00F6599E">
        <w:t xml:space="preserve">Svarsservicen besvarade </w:t>
      </w:r>
      <w:r w:rsidR="00370ED6" w:rsidRPr="00F6599E">
        <w:t>2 356</w:t>
      </w:r>
      <w:r w:rsidR="009D1265" w:rsidRPr="00F6599E">
        <w:t xml:space="preserve"> för</w:t>
      </w:r>
      <w:r w:rsidR="00F504FB">
        <w:softHyphen/>
      </w:r>
      <w:r w:rsidR="009D1265" w:rsidRPr="00F6599E">
        <w:t xml:space="preserve">frågningar, jämfört med </w:t>
      </w:r>
      <w:r w:rsidR="00370ED6" w:rsidRPr="00F6599E">
        <w:t xml:space="preserve">2 738 under 2015 och </w:t>
      </w:r>
      <w:r w:rsidR="00E936B7" w:rsidRPr="00F6599E">
        <w:t xml:space="preserve">3 098 </w:t>
      </w:r>
      <w:r w:rsidR="008F1985" w:rsidRPr="00F6599E">
        <w:t>under</w:t>
      </w:r>
      <w:r w:rsidR="009D1265" w:rsidRPr="00F6599E">
        <w:t xml:space="preserve"> 2014</w:t>
      </w:r>
      <w:r w:rsidR="00E936B7" w:rsidRPr="00F6599E">
        <w:t>.</w:t>
      </w:r>
      <w:r w:rsidR="000F24A5">
        <w:rPr>
          <w:u w:val="single"/>
        </w:rPr>
        <w:t xml:space="preserve"> </w:t>
      </w:r>
    </w:p>
    <w:p w:rsidR="00E936B7" w:rsidRDefault="007151BF"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25</w:t>
      </w:r>
      <w:r w:rsidR="00E936B7" w:rsidRPr="00E936B7">
        <w:rPr>
          <w:rFonts w:eastAsiaTheme="majorEastAsia" w:cstheme="majorBidi"/>
          <w:b/>
        </w:rPr>
        <w:t xml:space="preserve"> Antal förfrågningar till bibliotekets svarsservice</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35"/>
        <w:gridCol w:w="1458"/>
        <w:gridCol w:w="1458"/>
      </w:tblGrid>
      <w:tr w:rsidR="006412D8" w:rsidRPr="00C430D6" w:rsidTr="002E6E3E">
        <w:tc>
          <w:tcPr>
            <w:tcW w:w="1980" w:type="dxa"/>
            <w:tcBorders>
              <w:top w:val="single" w:sz="4" w:space="0" w:color="auto"/>
              <w:bottom w:val="single" w:sz="4" w:space="0" w:color="auto"/>
            </w:tcBorders>
          </w:tcPr>
          <w:p w:rsidR="006412D8" w:rsidRPr="00C430D6" w:rsidRDefault="006412D8" w:rsidP="006412D8">
            <w:pPr>
              <w:pStyle w:val="Tabelltext"/>
              <w:spacing w:before="60"/>
              <w:rPr>
                <w:sz w:val="16"/>
                <w:szCs w:val="16"/>
              </w:rPr>
            </w:pPr>
          </w:p>
        </w:tc>
        <w:tc>
          <w:tcPr>
            <w:tcW w:w="935" w:type="dxa"/>
            <w:tcBorders>
              <w:top w:val="single" w:sz="4" w:space="0" w:color="auto"/>
              <w:bottom w:val="single" w:sz="4" w:space="0" w:color="auto"/>
            </w:tcBorders>
          </w:tcPr>
          <w:p w:rsidR="006412D8" w:rsidRPr="0063785D" w:rsidRDefault="006412D8" w:rsidP="006412D8">
            <w:pPr>
              <w:pStyle w:val="Tabell-Siffror"/>
              <w:spacing w:before="60" w:line="200" w:lineRule="exact"/>
              <w:rPr>
                <w:b/>
              </w:rPr>
            </w:pPr>
            <w:r w:rsidRPr="0063785D">
              <w:rPr>
                <w:b/>
              </w:rPr>
              <w:t>201</w:t>
            </w:r>
            <w:r>
              <w:rPr>
                <w:b/>
              </w:rPr>
              <w:t>6</w:t>
            </w:r>
          </w:p>
        </w:tc>
        <w:tc>
          <w:tcPr>
            <w:tcW w:w="1458" w:type="dxa"/>
            <w:tcBorders>
              <w:top w:val="single" w:sz="4" w:space="0" w:color="auto"/>
              <w:bottom w:val="single" w:sz="4" w:space="0" w:color="auto"/>
            </w:tcBorders>
          </w:tcPr>
          <w:p w:rsidR="006412D8" w:rsidRPr="0063785D" w:rsidRDefault="006412D8" w:rsidP="006412D8">
            <w:pPr>
              <w:pStyle w:val="Tabell-Siffror"/>
              <w:spacing w:before="60" w:line="200" w:lineRule="exact"/>
              <w:rPr>
                <w:b/>
              </w:rPr>
            </w:pPr>
            <w:r>
              <w:rPr>
                <w:b/>
              </w:rPr>
              <w:t>2015</w:t>
            </w:r>
          </w:p>
        </w:tc>
        <w:tc>
          <w:tcPr>
            <w:tcW w:w="1458" w:type="dxa"/>
            <w:tcBorders>
              <w:top w:val="single" w:sz="4" w:space="0" w:color="auto"/>
              <w:bottom w:val="single" w:sz="4" w:space="0" w:color="auto"/>
            </w:tcBorders>
          </w:tcPr>
          <w:p w:rsidR="006412D8" w:rsidRPr="0063785D" w:rsidRDefault="006412D8" w:rsidP="006412D8">
            <w:pPr>
              <w:pStyle w:val="Tabell-Siffror"/>
              <w:spacing w:before="60" w:line="200" w:lineRule="exact"/>
              <w:rPr>
                <w:b/>
              </w:rPr>
            </w:pPr>
            <w:r w:rsidRPr="0063785D">
              <w:rPr>
                <w:b/>
              </w:rPr>
              <w:t>201</w:t>
            </w:r>
            <w:r>
              <w:rPr>
                <w:b/>
              </w:rPr>
              <w:t>4</w:t>
            </w:r>
          </w:p>
        </w:tc>
      </w:tr>
      <w:tr w:rsidR="006412D8" w:rsidRPr="00C430D6" w:rsidTr="002E6E3E">
        <w:tc>
          <w:tcPr>
            <w:tcW w:w="1980" w:type="dxa"/>
            <w:tcBorders>
              <w:top w:val="single" w:sz="4" w:space="0" w:color="auto"/>
            </w:tcBorders>
          </w:tcPr>
          <w:p w:rsidR="006412D8" w:rsidRPr="00C430D6" w:rsidRDefault="006412D8" w:rsidP="006412D8">
            <w:pPr>
              <w:pStyle w:val="Tabell-Text"/>
              <w:spacing w:before="60" w:line="200" w:lineRule="exact"/>
            </w:pPr>
            <w:r w:rsidRPr="00C430D6">
              <w:t>Telefonförfrågningar</w:t>
            </w:r>
          </w:p>
        </w:tc>
        <w:tc>
          <w:tcPr>
            <w:tcW w:w="935" w:type="dxa"/>
            <w:tcBorders>
              <w:top w:val="single" w:sz="4" w:space="0" w:color="auto"/>
            </w:tcBorders>
          </w:tcPr>
          <w:p w:rsidR="006412D8" w:rsidRPr="008C3778" w:rsidRDefault="0053459F" w:rsidP="006412D8">
            <w:pPr>
              <w:pStyle w:val="Tabell-Siffror"/>
              <w:spacing w:before="60" w:line="200" w:lineRule="exact"/>
            </w:pPr>
            <w:r w:rsidRPr="008C3778">
              <w:t>1 156</w:t>
            </w:r>
          </w:p>
        </w:tc>
        <w:tc>
          <w:tcPr>
            <w:tcW w:w="1458" w:type="dxa"/>
            <w:tcBorders>
              <w:top w:val="single" w:sz="4" w:space="0" w:color="auto"/>
            </w:tcBorders>
          </w:tcPr>
          <w:p w:rsidR="006412D8" w:rsidRPr="00C430D6" w:rsidRDefault="006412D8" w:rsidP="006412D8">
            <w:pPr>
              <w:pStyle w:val="Tabell-Siffror"/>
              <w:spacing w:before="60" w:line="200" w:lineRule="exact"/>
            </w:pPr>
            <w:r>
              <w:t>1 321</w:t>
            </w:r>
          </w:p>
        </w:tc>
        <w:tc>
          <w:tcPr>
            <w:tcW w:w="1458" w:type="dxa"/>
            <w:tcBorders>
              <w:top w:val="single" w:sz="4" w:space="0" w:color="auto"/>
            </w:tcBorders>
          </w:tcPr>
          <w:p w:rsidR="006412D8" w:rsidRPr="00C430D6" w:rsidRDefault="006412D8" w:rsidP="006412D8">
            <w:pPr>
              <w:pStyle w:val="Tabell-Siffror"/>
              <w:spacing w:before="60" w:line="200" w:lineRule="exact"/>
            </w:pPr>
            <w:r w:rsidRPr="00C430D6">
              <w:t xml:space="preserve">1 </w:t>
            </w:r>
            <w:r>
              <w:t>690</w:t>
            </w:r>
          </w:p>
        </w:tc>
      </w:tr>
      <w:tr w:rsidR="006412D8" w:rsidRPr="00C430D6" w:rsidTr="002E6E3E">
        <w:tc>
          <w:tcPr>
            <w:tcW w:w="1980" w:type="dxa"/>
            <w:tcBorders>
              <w:bottom w:val="single" w:sz="4" w:space="0" w:color="auto"/>
            </w:tcBorders>
          </w:tcPr>
          <w:p w:rsidR="006412D8" w:rsidRPr="00C430D6" w:rsidRDefault="006412D8" w:rsidP="006412D8">
            <w:pPr>
              <w:pStyle w:val="Tabell-Text"/>
              <w:spacing w:before="60" w:line="200" w:lineRule="exact"/>
            </w:pPr>
            <w:r w:rsidRPr="00C430D6">
              <w:t>E-postf</w:t>
            </w:r>
            <w:r>
              <w:t>örf</w:t>
            </w:r>
            <w:r w:rsidRPr="00C430D6">
              <w:t>rågningar</w:t>
            </w:r>
          </w:p>
        </w:tc>
        <w:tc>
          <w:tcPr>
            <w:tcW w:w="935" w:type="dxa"/>
            <w:tcBorders>
              <w:bottom w:val="single" w:sz="4" w:space="0" w:color="auto"/>
            </w:tcBorders>
          </w:tcPr>
          <w:p w:rsidR="006412D8" w:rsidRPr="008C3778" w:rsidRDefault="0053459F" w:rsidP="006412D8">
            <w:pPr>
              <w:pStyle w:val="Tabell-Siffror"/>
              <w:spacing w:before="60" w:line="200" w:lineRule="exact"/>
            </w:pPr>
            <w:r w:rsidRPr="008C3778">
              <w:t>1 200</w:t>
            </w:r>
          </w:p>
        </w:tc>
        <w:tc>
          <w:tcPr>
            <w:tcW w:w="1458" w:type="dxa"/>
            <w:tcBorders>
              <w:bottom w:val="single" w:sz="4" w:space="0" w:color="auto"/>
            </w:tcBorders>
          </w:tcPr>
          <w:p w:rsidR="006412D8" w:rsidRPr="00C430D6" w:rsidRDefault="006412D8" w:rsidP="006412D8">
            <w:pPr>
              <w:pStyle w:val="Tabell-Siffror"/>
              <w:spacing w:before="60" w:line="200" w:lineRule="exact"/>
            </w:pPr>
            <w:r>
              <w:t>1 417</w:t>
            </w:r>
          </w:p>
        </w:tc>
        <w:tc>
          <w:tcPr>
            <w:tcW w:w="1458" w:type="dxa"/>
            <w:tcBorders>
              <w:bottom w:val="single" w:sz="4" w:space="0" w:color="auto"/>
            </w:tcBorders>
          </w:tcPr>
          <w:p w:rsidR="006412D8" w:rsidRPr="00C430D6" w:rsidRDefault="006412D8" w:rsidP="006412D8">
            <w:pPr>
              <w:pStyle w:val="Tabell-Siffror"/>
              <w:spacing w:before="60" w:line="200" w:lineRule="exact"/>
            </w:pPr>
            <w:r>
              <w:t>1 408</w:t>
            </w:r>
          </w:p>
        </w:tc>
      </w:tr>
      <w:tr w:rsidR="006412D8" w:rsidRPr="00C430D6" w:rsidTr="0053459F">
        <w:trPr>
          <w:trHeight w:val="50"/>
        </w:trPr>
        <w:tc>
          <w:tcPr>
            <w:tcW w:w="1980" w:type="dxa"/>
            <w:tcBorders>
              <w:top w:val="single" w:sz="4" w:space="0" w:color="auto"/>
              <w:bottom w:val="single" w:sz="4" w:space="0" w:color="auto"/>
            </w:tcBorders>
          </w:tcPr>
          <w:p w:rsidR="006412D8" w:rsidRPr="0063785D" w:rsidRDefault="006412D8" w:rsidP="006412D8">
            <w:pPr>
              <w:pStyle w:val="Tabell-Text"/>
              <w:spacing w:before="60" w:line="200" w:lineRule="exact"/>
              <w:rPr>
                <w:b/>
              </w:rPr>
            </w:pPr>
            <w:r w:rsidRPr="0063785D">
              <w:rPr>
                <w:b/>
              </w:rPr>
              <w:t>Totalt</w:t>
            </w:r>
          </w:p>
        </w:tc>
        <w:tc>
          <w:tcPr>
            <w:tcW w:w="935" w:type="dxa"/>
            <w:tcBorders>
              <w:top w:val="single" w:sz="4" w:space="0" w:color="auto"/>
              <w:bottom w:val="single" w:sz="4" w:space="0" w:color="auto"/>
            </w:tcBorders>
          </w:tcPr>
          <w:p w:rsidR="006412D8" w:rsidRPr="008C3778" w:rsidRDefault="0053459F" w:rsidP="006412D8">
            <w:pPr>
              <w:pStyle w:val="Tabell-Siffror"/>
              <w:spacing w:before="60" w:line="200" w:lineRule="exact"/>
              <w:rPr>
                <w:b/>
              </w:rPr>
            </w:pPr>
            <w:r w:rsidRPr="008C3778">
              <w:rPr>
                <w:b/>
              </w:rPr>
              <w:t>2 356</w:t>
            </w:r>
          </w:p>
        </w:tc>
        <w:tc>
          <w:tcPr>
            <w:tcW w:w="1458" w:type="dxa"/>
            <w:tcBorders>
              <w:top w:val="single" w:sz="4" w:space="0" w:color="auto"/>
              <w:bottom w:val="single" w:sz="4" w:space="0" w:color="auto"/>
            </w:tcBorders>
          </w:tcPr>
          <w:p w:rsidR="006412D8" w:rsidRPr="0063785D" w:rsidRDefault="006412D8" w:rsidP="006412D8">
            <w:pPr>
              <w:pStyle w:val="Tabell-Siffror"/>
              <w:spacing w:before="60" w:line="200" w:lineRule="exact"/>
              <w:rPr>
                <w:b/>
              </w:rPr>
            </w:pPr>
            <w:r>
              <w:rPr>
                <w:b/>
              </w:rPr>
              <w:t>2 738</w:t>
            </w:r>
          </w:p>
        </w:tc>
        <w:tc>
          <w:tcPr>
            <w:tcW w:w="1458" w:type="dxa"/>
            <w:tcBorders>
              <w:top w:val="single" w:sz="4" w:space="0" w:color="auto"/>
              <w:bottom w:val="single" w:sz="4" w:space="0" w:color="auto"/>
            </w:tcBorders>
          </w:tcPr>
          <w:p w:rsidR="006412D8" w:rsidRPr="0063785D" w:rsidRDefault="006412D8" w:rsidP="006412D8">
            <w:pPr>
              <w:pStyle w:val="Tabell-Siffror"/>
              <w:spacing w:before="60" w:line="200" w:lineRule="exact"/>
              <w:rPr>
                <w:b/>
              </w:rPr>
            </w:pPr>
            <w:r>
              <w:rPr>
                <w:b/>
              </w:rPr>
              <w:t>3 098</w:t>
            </w:r>
          </w:p>
        </w:tc>
      </w:tr>
    </w:tbl>
    <w:p w:rsidR="007E38D2" w:rsidRPr="003E424F" w:rsidRDefault="005A786D" w:rsidP="00E936B7">
      <w:pPr>
        <w:spacing w:before="125"/>
        <w:rPr>
          <w:u w:val="single"/>
        </w:rPr>
      </w:pPr>
      <w:r w:rsidRPr="002F3549">
        <w:t xml:space="preserve">Varje år ger </w:t>
      </w:r>
      <w:r w:rsidR="00E936B7" w:rsidRPr="002F3549">
        <w:t>Rik</w:t>
      </w:r>
      <w:r w:rsidRPr="002F3549">
        <w:t xml:space="preserve">sdagsförvaltningen </w:t>
      </w:r>
      <w:r w:rsidR="00E936B7" w:rsidRPr="002F3549">
        <w:t xml:space="preserve">en kurs i riksdagskunskap för bibliotekarier. </w:t>
      </w:r>
      <w:r w:rsidR="00B56A94" w:rsidRPr="002F3549">
        <w:t xml:space="preserve">Kursens olika delar ansågs vara relevanta eller mycket relevanta av i genomsnitt 97 procent av deltagarna (2015 låg motsvarande siffra </w:t>
      </w:r>
      <w:r w:rsidR="00D20973" w:rsidRPr="002F3549">
        <w:t>också på 97</w:t>
      </w:r>
      <w:r w:rsidR="00CE3C12" w:rsidRPr="002F3549">
        <w:t xml:space="preserve"> procent</w:t>
      </w:r>
      <w:r w:rsidR="00D20973" w:rsidRPr="002F3549">
        <w:t xml:space="preserve">, </w:t>
      </w:r>
      <w:r w:rsidR="00B56A94" w:rsidRPr="002F3549">
        <w:t>2014 på 90 procent).</w:t>
      </w:r>
      <w:r w:rsidR="00E936B7" w:rsidRPr="007C45DA">
        <w:t xml:space="preserve"> </w:t>
      </w:r>
    </w:p>
    <w:p w:rsidR="00E936B7" w:rsidRPr="0049511C" w:rsidRDefault="0049511C" w:rsidP="007E38D2">
      <w:pPr>
        <w:spacing w:before="0"/>
        <w:ind w:firstLine="227"/>
      </w:pPr>
      <w:r w:rsidRPr="0049511C">
        <w:t>Biblioteket deltog för femte</w:t>
      </w:r>
      <w:r w:rsidR="007E38D2" w:rsidRPr="0049511C">
        <w:t xml:space="preserve"> året</w:t>
      </w:r>
      <w:r w:rsidR="00E936B7" w:rsidRPr="0049511C">
        <w:t xml:space="preserve"> i evenemanget Kulturnatt Stockholm, som </w:t>
      </w:r>
      <w:r w:rsidR="002461C5" w:rsidRPr="0049511C">
        <w:t xml:space="preserve">arrangeras av </w:t>
      </w:r>
      <w:r w:rsidR="00E936B7" w:rsidRPr="0049511C">
        <w:t>Stockholms kultu</w:t>
      </w:r>
      <w:r w:rsidR="007E38D2" w:rsidRPr="0049511C">
        <w:t xml:space="preserve">rförvaltning. I år låg fokus på </w:t>
      </w:r>
      <w:r w:rsidRPr="0049511C">
        <w:t>tryckfrihetsförordningen 250 år</w:t>
      </w:r>
      <w:r w:rsidR="007E38D2" w:rsidRPr="0049511C">
        <w:t xml:space="preserve">. Besökarna kunde </w:t>
      </w:r>
      <w:r w:rsidRPr="0049511C">
        <w:t>bland annat lyssna på ett samtal om tryckfrihet med ledamöter från konstitutionsutskottet</w:t>
      </w:r>
      <w:r w:rsidR="00E936B7" w:rsidRPr="0049511C">
        <w:t>.</w:t>
      </w:r>
    </w:p>
    <w:p w:rsidR="00E936B7" w:rsidRPr="00E936B7" w:rsidRDefault="00E936B7" w:rsidP="00FD2D1A">
      <w:pPr>
        <w:pStyle w:val="Rubrik4"/>
      </w:pPr>
      <w:r w:rsidRPr="00E936B7">
        <w:t>Skolverksamhet och besök i riksdagen</w:t>
      </w:r>
    </w:p>
    <w:p w:rsidR="00E936B7" w:rsidRPr="00A61E88" w:rsidRDefault="00E936B7" w:rsidP="00E936B7">
      <w:r w:rsidRPr="00A61E88">
        <w:t>Riksdagens skolverksamhet ska främja kunskapen om riksdagen och dess arbete. Verksamheten omfattar dels studiebesök för studerande på gymnasienivå, dels besök i riksdagens demokrativerkstad för elever i årskurs 7–9.</w:t>
      </w:r>
    </w:p>
    <w:p w:rsidR="00E936B7" w:rsidRPr="003E424F" w:rsidRDefault="00E936B7" w:rsidP="00E936B7">
      <w:pPr>
        <w:spacing w:before="0"/>
        <w:ind w:firstLine="227"/>
        <w:rPr>
          <w:u w:val="single"/>
        </w:rPr>
      </w:pPr>
      <w:r w:rsidRPr="007719A9">
        <w:t xml:space="preserve">Skolor kan ansöka om resebidrag till studiebesök </w:t>
      </w:r>
      <w:r w:rsidR="00FC4A61" w:rsidRPr="007719A9">
        <w:t>på</w:t>
      </w:r>
      <w:r w:rsidRPr="007719A9">
        <w:t xml:space="preserve"> riksdagen för studerande på gymnasienivå när de har bokat ett besök. Under 201</w:t>
      </w:r>
      <w:r w:rsidR="009F3595" w:rsidRPr="007719A9">
        <w:t>6 kom det in 183</w:t>
      </w:r>
      <w:r w:rsidRPr="007719A9">
        <w:t xml:space="preserve"> ansöknin</w:t>
      </w:r>
      <w:r w:rsidR="009F3595" w:rsidRPr="007719A9">
        <w:t>gar om resebidrag, vilket är 8 fler än 2015</w:t>
      </w:r>
      <w:r w:rsidRPr="007719A9">
        <w:t xml:space="preserve"> </w:t>
      </w:r>
      <w:r w:rsidR="00556F50" w:rsidRPr="007719A9">
        <w:t xml:space="preserve">och </w:t>
      </w:r>
      <w:r w:rsidR="009F3595" w:rsidRPr="007719A9">
        <w:t>30 fler än 2014. Av dessa beviljades 176, vilket är 23 fler än 2015</w:t>
      </w:r>
      <w:r w:rsidRPr="007719A9">
        <w:t xml:space="preserve"> och </w:t>
      </w:r>
      <w:r w:rsidR="009F3595" w:rsidRPr="007719A9">
        <w:t>47 fler än 2014</w:t>
      </w:r>
      <w:r w:rsidRPr="00B30C19">
        <w:t xml:space="preserve">. Principen för prioritering är att yrkesförberedande och studieförberedande grupper ska få </w:t>
      </w:r>
      <w:r w:rsidR="00B30C19" w:rsidRPr="00B30C19">
        <w:t>lika stor</w:t>
      </w:r>
      <w:r w:rsidRPr="00B30C19">
        <w:t xml:space="preserve"> andel av pengarna </w:t>
      </w:r>
      <w:r w:rsidR="00B30C19" w:rsidRPr="00B30C19">
        <w:t>som</w:t>
      </w:r>
      <w:r w:rsidRPr="00B30C19">
        <w:t xml:space="preserve"> andelen elever </w:t>
      </w:r>
      <w:r w:rsidR="00B30C19" w:rsidRPr="00B30C19">
        <w:t xml:space="preserve">utgör </w:t>
      </w:r>
      <w:r w:rsidRPr="00B30C19">
        <w:t>i riket.</w:t>
      </w:r>
      <w:r w:rsidRPr="007719A9">
        <w:t xml:space="preserve"> Inom respektive grupp prioriteras sedan de skolor som har längst resväg.</w:t>
      </w:r>
      <w:r w:rsidR="007719A9" w:rsidRPr="007719A9">
        <w:t xml:space="preserve"> Under 2016</w:t>
      </w:r>
      <w:r w:rsidR="00BB785A" w:rsidRPr="007719A9">
        <w:t xml:space="preserve"> </w:t>
      </w:r>
      <w:r w:rsidR="007719A9" w:rsidRPr="007719A9">
        <w:t>ökade budgeten för resebidrag med 1 miljon kronor till 3,5 miljoner</w:t>
      </w:r>
      <w:r w:rsidR="00E3683D">
        <w:t xml:space="preserve"> kronor</w:t>
      </w:r>
      <w:r w:rsidR="00BB785A" w:rsidRPr="007719A9">
        <w:t>.</w:t>
      </w:r>
      <w:r w:rsidRPr="003E424F">
        <w:rPr>
          <w:u w:val="single"/>
        </w:rPr>
        <w:t xml:space="preserve"> </w:t>
      </w:r>
    </w:p>
    <w:p w:rsidR="008C4D59" w:rsidRDefault="00A865FA" w:rsidP="000D5978">
      <w:pPr>
        <w:spacing w:before="0"/>
        <w:ind w:firstLine="227"/>
      </w:pPr>
      <w:r w:rsidRPr="0078069F">
        <w:t xml:space="preserve">År </w:t>
      </w:r>
      <w:r w:rsidR="00096BCC" w:rsidRPr="0078069F">
        <w:t>2016</w:t>
      </w:r>
      <w:r w:rsidR="006D7D59" w:rsidRPr="0078069F">
        <w:t xml:space="preserve"> slogs </w:t>
      </w:r>
      <w:r w:rsidR="00096BCC" w:rsidRPr="0078069F">
        <w:t xml:space="preserve">återigen </w:t>
      </w:r>
      <w:r w:rsidR="006D7D59" w:rsidRPr="0078069F">
        <w:t>rekord</w:t>
      </w:r>
      <w:r w:rsidRPr="0078069F">
        <w:t xml:space="preserve"> i antalet besökare till </w:t>
      </w:r>
      <w:r w:rsidR="006D7D59" w:rsidRPr="0078069F">
        <w:t>riksdagen</w:t>
      </w:r>
      <w:r w:rsidR="00E936B7" w:rsidRPr="0078069F">
        <w:t>.</w:t>
      </w:r>
      <w:r w:rsidR="006D7D59" w:rsidRPr="0078069F">
        <w:t xml:space="preserve"> </w:t>
      </w:r>
      <w:r w:rsidR="00096BCC" w:rsidRPr="0078069F">
        <w:t xml:space="preserve">Det beror främst på att antalet bokningsbara tillfällen i Demokrativerkstaden har ökat i och med att den nya Demokrativerkstaden öppnade 2015. </w:t>
      </w:r>
      <w:r w:rsidR="006D7D59" w:rsidRPr="0078069F">
        <w:t xml:space="preserve">Det finns ett fortsatt stort intresse bland elever och lärare </w:t>
      </w:r>
      <w:r w:rsidR="00E3683D">
        <w:t xml:space="preserve">för </w:t>
      </w:r>
      <w:r w:rsidR="006D7D59" w:rsidRPr="0078069F">
        <w:t xml:space="preserve">att besöka Riksdagshuset. Bokningsgraden för </w:t>
      </w:r>
      <w:r w:rsidR="00096BCC" w:rsidRPr="0078069F">
        <w:t>Demokrativerkstaden var 8</w:t>
      </w:r>
      <w:r w:rsidR="00F86872">
        <w:t>4</w:t>
      </w:r>
      <w:r w:rsidR="00096BCC" w:rsidRPr="0078069F">
        <w:t xml:space="preserve"> procent under 2016 och för studiebesök för studerande på gymnasienivå 95</w:t>
      </w:r>
      <w:r w:rsidR="000C5718">
        <w:t xml:space="preserve"> procent. Totalt har nästan </w:t>
      </w:r>
      <w:r w:rsidR="00A23090" w:rsidRPr="00C36362">
        <w:t>19 75</w:t>
      </w:r>
      <w:r w:rsidR="00096BCC" w:rsidRPr="00C36362">
        <w:t>0</w:t>
      </w:r>
      <w:r w:rsidR="00096BCC" w:rsidRPr="00F86872">
        <w:t xml:space="preserve"> </w:t>
      </w:r>
      <w:r w:rsidR="00096BCC" w:rsidRPr="0078069F">
        <w:t>elever och lärare besökt Riksdagshuset på detta sätt.</w:t>
      </w:r>
      <w:r w:rsidR="00641421">
        <w:t xml:space="preserve"> </w:t>
      </w:r>
    </w:p>
    <w:p w:rsidR="008E663C" w:rsidRPr="008E663C" w:rsidRDefault="008E663C" w:rsidP="008E663C">
      <w:pPr>
        <w:pStyle w:val="Normaltindrag"/>
      </w:pPr>
    </w:p>
    <w:tbl>
      <w:tblPr>
        <w:tblStyle w:val="Tabellrutnt"/>
        <w:tblW w:w="0" w:type="auto"/>
        <w:tblLook w:val="04A0" w:firstRow="1" w:lastRow="0" w:firstColumn="1" w:lastColumn="0" w:noHBand="0" w:noVBand="1"/>
      </w:tblPr>
      <w:tblGrid>
        <w:gridCol w:w="5888"/>
      </w:tblGrid>
      <w:tr w:rsidR="008C4D59" w:rsidTr="008C4D59">
        <w:tc>
          <w:tcPr>
            <w:tcW w:w="5888" w:type="dxa"/>
          </w:tcPr>
          <w:p w:rsidR="008C4D59" w:rsidRPr="000C5718" w:rsidRDefault="008C4D59" w:rsidP="00E936B7">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0C5718">
              <w:rPr>
                <w:rFonts w:eastAsiaTheme="majorEastAsia" w:cstheme="majorBidi"/>
                <w:b/>
              </w:rPr>
              <w:lastRenderedPageBreak/>
              <w:t xml:space="preserve">Demokrativerkstaden – </w:t>
            </w:r>
            <w:r w:rsidR="00E3683D">
              <w:rPr>
                <w:rFonts w:eastAsiaTheme="majorEastAsia" w:cstheme="majorBidi"/>
                <w:b/>
              </w:rPr>
              <w:t>u</w:t>
            </w:r>
            <w:r w:rsidR="00D37A99" w:rsidRPr="000C5718">
              <w:rPr>
                <w:rFonts w:eastAsiaTheme="majorEastAsia" w:cstheme="majorBidi"/>
                <w:b/>
              </w:rPr>
              <w:t>ngdomar</w:t>
            </w:r>
            <w:r w:rsidRPr="000C5718">
              <w:rPr>
                <w:rFonts w:eastAsiaTheme="majorEastAsia" w:cstheme="majorBidi"/>
                <w:b/>
              </w:rPr>
              <w:t xml:space="preserve"> får prova på rollen som politiker</w:t>
            </w:r>
          </w:p>
          <w:p w:rsidR="00B30CB3" w:rsidRPr="000C5718" w:rsidRDefault="00B30CB3" w:rsidP="00B30CB3">
            <w:pPr>
              <w:pStyle w:val="Normaltindrag"/>
              <w:ind w:firstLine="0"/>
            </w:pPr>
            <w:r w:rsidRPr="000C5718">
              <w:t>Demokrativerkstaden är ett spel som bygger på pedagogiken upplevelsebaserat lärande. Under ledning av en skolinformatör från Riksdagsförvaltningen får elever i årskurs 7</w:t>
            </w:r>
            <w:r w:rsidR="00D37A99" w:rsidRPr="000C5718">
              <w:t>–</w:t>
            </w:r>
            <w:r w:rsidRPr="000C5718">
              <w:t>9 på besök i riksdagen prova på rollen som ledamot. I partigruppsmöten, utskott och kammare ska de förhandla med varandra i några viktiga samhällsfrågor och komma fram till beslut för att lösa sitt uppdrag som folkvalda.</w:t>
            </w:r>
          </w:p>
          <w:p w:rsidR="00FC4DF4" w:rsidRPr="000C5718" w:rsidRDefault="000C5718" w:rsidP="00777743">
            <w:pPr>
              <w:pStyle w:val="Normaltindrag"/>
              <w:suppressAutoHyphens/>
            </w:pPr>
            <w:r w:rsidRPr="000C5718">
              <w:t>Under 2016 har cirka</w:t>
            </w:r>
            <w:r w:rsidR="00B30CB3" w:rsidRPr="000C5718">
              <w:t xml:space="preserve"> 8 700 elever och lärare besökt Demokrativerksta</w:t>
            </w:r>
            <w:r w:rsidR="00777743">
              <w:softHyphen/>
            </w:r>
            <w:r w:rsidR="00B30CB3" w:rsidRPr="000C5718">
              <w:t xml:space="preserve">den. Det är </w:t>
            </w:r>
            <w:r w:rsidRPr="000C5718">
              <w:t xml:space="preserve">ungefär </w:t>
            </w:r>
            <w:r w:rsidR="00B30CB3" w:rsidRPr="000C5718">
              <w:t>3 200 fler än motsvarande period i den g</w:t>
            </w:r>
            <w:r w:rsidRPr="000C5718">
              <w:t xml:space="preserve">amla </w:t>
            </w:r>
            <w:r w:rsidRPr="00777743">
              <w:t>Demo</w:t>
            </w:r>
            <w:r w:rsidR="00777743">
              <w:softHyphen/>
            </w:r>
            <w:r w:rsidRPr="00777743">
              <w:t>krativerkstaden</w:t>
            </w:r>
            <w:r w:rsidRPr="000C5718">
              <w:t xml:space="preserve"> (2014</w:t>
            </w:r>
            <w:r w:rsidR="00B30CB3" w:rsidRPr="000C5718">
              <w:t>)</w:t>
            </w:r>
            <w:r w:rsidRPr="000C5718">
              <w:t>.</w:t>
            </w:r>
            <w:r w:rsidRPr="000C5718">
              <w:rPr>
                <w:rStyle w:val="Fotnotsreferens"/>
              </w:rPr>
              <w:footnoteReference w:id="35"/>
            </w:r>
            <w:r w:rsidR="005867CE">
              <w:t xml:space="preserve"> </w:t>
            </w:r>
            <w:r w:rsidR="005867CE" w:rsidRPr="00736928">
              <w:t>S</w:t>
            </w:r>
            <w:r w:rsidR="005867CE" w:rsidRPr="00736928">
              <w:rPr>
                <w:shd w:val="clear" w:color="auto" w:fill="FFFFFF" w:themeFill="background1"/>
              </w:rPr>
              <w:t>amtliga lärare som under våren 2016 svarade på en enkät om sitt besök hade ett mycket bra eller ganska bra övergripande intryck av besöket</w:t>
            </w:r>
            <w:r w:rsidR="005867CE" w:rsidRPr="00736928">
              <w:t>.</w:t>
            </w:r>
            <w:r w:rsidR="00B30CB3" w:rsidRPr="000C5718">
              <w:t xml:space="preserve"> </w:t>
            </w:r>
            <w:r w:rsidR="00B30CB3" w:rsidRPr="005C008B">
              <w:t xml:space="preserve">En utvärdering </w:t>
            </w:r>
            <w:r w:rsidR="00736928" w:rsidRPr="005C008B">
              <w:t>av</w:t>
            </w:r>
            <w:r w:rsidR="00B30CB3" w:rsidRPr="005C008B">
              <w:t xml:space="preserve"> eleverna</w:t>
            </w:r>
            <w:r w:rsidR="00736928" w:rsidRPr="005C008B">
              <w:t>s</w:t>
            </w:r>
            <w:r w:rsidR="00B30CB3" w:rsidRPr="005C008B">
              <w:t xml:space="preserve"> </w:t>
            </w:r>
            <w:r w:rsidR="00736928" w:rsidRPr="005C008B">
              <w:t>erfarenheter av</w:t>
            </w:r>
            <w:r w:rsidR="00B30CB3" w:rsidRPr="005C008B">
              <w:t xml:space="preserve"> Demokrati</w:t>
            </w:r>
            <w:r w:rsidR="00777743">
              <w:softHyphen/>
            </w:r>
            <w:r w:rsidR="00B30CB3" w:rsidRPr="005C008B">
              <w:t>verkstadens innehåll och arbetssätt</w:t>
            </w:r>
            <w:r w:rsidR="00736928" w:rsidRPr="005C008B">
              <w:t xml:space="preserve"> pågår och blir klar 2017</w:t>
            </w:r>
            <w:r w:rsidR="00B30CB3" w:rsidRPr="005C008B">
              <w:t>.</w:t>
            </w:r>
          </w:p>
          <w:p w:rsidR="008C4D59" w:rsidRPr="008C4D59" w:rsidRDefault="008C4D59" w:rsidP="008C4D59">
            <w:pPr>
              <w:pStyle w:val="Normaltindrag"/>
              <w:ind w:firstLine="0"/>
            </w:pPr>
          </w:p>
        </w:tc>
      </w:tr>
    </w:tbl>
    <w:p w:rsidR="00E936B7" w:rsidRDefault="00E936B7" w:rsidP="00C85322">
      <w:pPr>
        <w:keepNext/>
        <w:keepLines/>
        <w:tabs>
          <w:tab w:val="left" w:pos="284"/>
          <w:tab w:val="left" w:pos="567"/>
          <w:tab w:val="left" w:pos="851"/>
          <w:tab w:val="left" w:pos="1134"/>
          <w:tab w:val="left" w:pos="1418"/>
        </w:tabs>
        <w:suppressAutoHyphens/>
        <w:spacing w:before="240" w:line="200" w:lineRule="exact"/>
        <w:jc w:val="left"/>
        <w:rPr>
          <w:rFonts w:eastAsiaTheme="majorEastAsia" w:cstheme="majorBidi"/>
          <w:b/>
        </w:rPr>
      </w:pPr>
      <w:r w:rsidRPr="00E936B7">
        <w:rPr>
          <w:rFonts w:eastAsiaTheme="majorEastAsia" w:cstheme="majorBidi"/>
          <w:b/>
        </w:rPr>
        <w:t>Tabell 2</w:t>
      </w:r>
      <w:r w:rsidR="007151BF">
        <w:rPr>
          <w:rFonts w:eastAsiaTheme="majorEastAsia" w:cstheme="majorBidi"/>
          <w:b/>
        </w:rPr>
        <w:t>6</w:t>
      </w:r>
      <w:r w:rsidRPr="00E936B7">
        <w:rPr>
          <w:rFonts w:eastAsiaTheme="majorEastAsia" w:cstheme="majorBidi"/>
          <w:b/>
        </w:rPr>
        <w:t xml:space="preserve"> Besök i riksdagen, antal personer</w:t>
      </w:r>
    </w:p>
    <w:tbl>
      <w:tblPr>
        <w:tblStyle w:val="Tabellrutnt"/>
        <w:tblW w:w="5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34"/>
        <w:gridCol w:w="992"/>
        <w:gridCol w:w="1085"/>
      </w:tblGrid>
      <w:tr w:rsidR="007E3FD6" w:rsidRPr="00C430D6" w:rsidTr="006933B2">
        <w:tc>
          <w:tcPr>
            <w:tcW w:w="2689" w:type="dxa"/>
            <w:tcBorders>
              <w:top w:val="single" w:sz="4" w:space="0" w:color="auto"/>
              <w:bottom w:val="single" w:sz="4" w:space="0" w:color="auto"/>
            </w:tcBorders>
          </w:tcPr>
          <w:p w:rsidR="007E3FD6" w:rsidRPr="00C430D6" w:rsidRDefault="007E3FD6" w:rsidP="00097D91">
            <w:pPr>
              <w:pStyle w:val="Normaltindrag"/>
              <w:spacing w:before="60" w:line="200" w:lineRule="exact"/>
              <w:ind w:firstLine="0"/>
              <w:rPr>
                <w:sz w:val="16"/>
                <w:szCs w:val="16"/>
              </w:rPr>
            </w:pPr>
          </w:p>
        </w:tc>
        <w:tc>
          <w:tcPr>
            <w:tcW w:w="1134" w:type="dxa"/>
            <w:tcBorders>
              <w:top w:val="single" w:sz="4" w:space="0" w:color="auto"/>
              <w:bottom w:val="single" w:sz="4" w:space="0" w:color="auto"/>
            </w:tcBorders>
          </w:tcPr>
          <w:p w:rsidR="007E3FD6" w:rsidRPr="008B156A" w:rsidRDefault="007E3FD6" w:rsidP="00097D91">
            <w:pPr>
              <w:pStyle w:val="Tabell-Siffror"/>
              <w:spacing w:before="60" w:line="200" w:lineRule="exact"/>
              <w:rPr>
                <w:b/>
              </w:rPr>
            </w:pPr>
            <w:r w:rsidRPr="008B156A">
              <w:rPr>
                <w:b/>
              </w:rPr>
              <w:t>201</w:t>
            </w:r>
            <w:r w:rsidR="008B33FE">
              <w:rPr>
                <w:b/>
              </w:rPr>
              <w:t>6</w:t>
            </w:r>
          </w:p>
        </w:tc>
        <w:tc>
          <w:tcPr>
            <w:tcW w:w="992" w:type="dxa"/>
            <w:tcBorders>
              <w:top w:val="single" w:sz="4" w:space="0" w:color="auto"/>
              <w:bottom w:val="single" w:sz="4" w:space="0" w:color="auto"/>
            </w:tcBorders>
          </w:tcPr>
          <w:p w:rsidR="007E3FD6" w:rsidRPr="008B156A" w:rsidRDefault="007E3FD6" w:rsidP="00097D91">
            <w:pPr>
              <w:pStyle w:val="Tabell-Siffror"/>
              <w:spacing w:before="60" w:line="200" w:lineRule="exact"/>
              <w:rPr>
                <w:b/>
              </w:rPr>
            </w:pPr>
            <w:r w:rsidRPr="008B156A">
              <w:rPr>
                <w:b/>
              </w:rPr>
              <w:t>201</w:t>
            </w:r>
            <w:r w:rsidR="008B33FE">
              <w:rPr>
                <w:b/>
              </w:rPr>
              <w:t>5</w:t>
            </w:r>
          </w:p>
        </w:tc>
        <w:tc>
          <w:tcPr>
            <w:tcW w:w="1085" w:type="dxa"/>
            <w:tcBorders>
              <w:top w:val="single" w:sz="4" w:space="0" w:color="auto"/>
              <w:bottom w:val="single" w:sz="4" w:space="0" w:color="auto"/>
            </w:tcBorders>
          </w:tcPr>
          <w:p w:rsidR="007E3FD6" w:rsidRPr="008B156A" w:rsidRDefault="007E3FD6" w:rsidP="008B33FE">
            <w:pPr>
              <w:pStyle w:val="Tabell-Siffror"/>
              <w:spacing w:before="60" w:line="200" w:lineRule="exact"/>
              <w:rPr>
                <w:b/>
              </w:rPr>
            </w:pPr>
            <w:r w:rsidRPr="008B156A">
              <w:rPr>
                <w:b/>
              </w:rPr>
              <w:t>201</w:t>
            </w:r>
            <w:r w:rsidR="008B33FE">
              <w:rPr>
                <w:b/>
              </w:rPr>
              <w:t>4</w:t>
            </w:r>
          </w:p>
        </w:tc>
      </w:tr>
      <w:tr w:rsidR="008B33FE" w:rsidRPr="00C430D6" w:rsidTr="006933B2">
        <w:tc>
          <w:tcPr>
            <w:tcW w:w="2689" w:type="dxa"/>
            <w:tcBorders>
              <w:top w:val="single" w:sz="4" w:space="0" w:color="auto"/>
            </w:tcBorders>
          </w:tcPr>
          <w:p w:rsidR="008B33FE" w:rsidRPr="00C430D6" w:rsidRDefault="008B33FE" w:rsidP="008B33FE">
            <w:pPr>
              <w:pStyle w:val="Tabell-Text"/>
              <w:spacing w:before="60" w:line="200" w:lineRule="exact"/>
            </w:pPr>
            <w:r w:rsidRPr="00C430D6">
              <w:t>Ledamotsgrupper och grupper som partikanslierna tar emot</w:t>
            </w:r>
          </w:p>
        </w:tc>
        <w:tc>
          <w:tcPr>
            <w:tcW w:w="1134" w:type="dxa"/>
            <w:tcBorders>
              <w:top w:val="single" w:sz="4" w:space="0" w:color="auto"/>
            </w:tcBorders>
            <w:vAlign w:val="bottom"/>
          </w:tcPr>
          <w:p w:rsidR="008B33FE" w:rsidRPr="0075482E" w:rsidRDefault="00BF669C" w:rsidP="008B33FE">
            <w:pPr>
              <w:pStyle w:val="Tabell-Siffror"/>
              <w:spacing w:before="60" w:line="200" w:lineRule="exact"/>
              <w:rPr>
                <w:highlight w:val="yellow"/>
              </w:rPr>
            </w:pPr>
            <w:r w:rsidRPr="0075482E">
              <w:t>17 680</w:t>
            </w:r>
          </w:p>
        </w:tc>
        <w:tc>
          <w:tcPr>
            <w:tcW w:w="992" w:type="dxa"/>
            <w:tcBorders>
              <w:top w:val="single" w:sz="4" w:space="0" w:color="auto"/>
            </w:tcBorders>
            <w:vAlign w:val="bottom"/>
          </w:tcPr>
          <w:p w:rsidR="008B33FE" w:rsidRPr="00C430D6" w:rsidRDefault="008B33FE" w:rsidP="008B33FE">
            <w:pPr>
              <w:pStyle w:val="Tabell-Siffror"/>
              <w:spacing w:before="60" w:line="200" w:lineRule="exact"/>
            </w:pPr>
            <w:r>
              <w:t>17 589</w:t>
            </w:r>
          </w:p>
        </w:tc>
        <w:tc>
          <w:tcPr>
            <w:tcW w:w="1085" w:type="dxa"/>
            <w:tcBorders>
              <w:top w:val="single" w:sz="4" w:space="0" w:color="auto"/>
            </w:tcBorders>
            <w:vAlign w:val="bottom"/>
          </w:tcPr>
          <w:p w:rsidR="008B33FE" w:rsidRPr="00C430D6" w:rsidRDefault="008B33FE" w:rsidP="008B33FE">
            <w:pPr>
              <w:pStyle w:val="Tabell-Siffror"/>
              <w:spacing w:before="60" w:line="200" w:lineRule="exact"/>
            </w:pPr>
            <w:r w:rsidRPr="00C430D6">
              <w:t>1</w:t>
            </w:r>
            <w:r>
              <w:t>7</w:t>
            </w:r>
            <w:r w:rsidRPr="00C430D6">
              <w:t xml:space="preserve"> </w:t>
            </w:r>
            <w:r>
              <w:t>609</w:t>
            </w:r>
          </w:p>
        </w:tc>
      </w:tr>
      <w:tr w:rsidR="008B33FE" w:rsidRPr="00C430D6" w:rsidTr="006933B2">
        <w:tc>
          <w:tcPr>
            <w:tcW w:w="2689" w:type="dxa"/>
          </w:tcPr>
          <w:p w:rsidR="008B33FE" w:rsidRPr="00C430D6" w:rsidRDefault="008B33FE" w:rsidP="008B33FE">
            <w:pPr>
              <w:pStyle w:val="Tabell-Text"/>
              <w:spacing w:before="60" w:line="200" w:lineRule="exact"/>
            </w:pPr>
            <w:r w:rsidRPr="00C430D6">
              <w:t>Gruppvisningar</w:t>
            </w:r>
            <w:r w:rsidRPr="00C430D6">
              <w:rPr>
                <w:rStyle w:val="Fotnotsreferens"/>
                <w:szCs w:val="16"/>
              </w:rPr>
              <w:footnoteReference w:id="36"/>
            </w:r>
          </w:p>
        </w:tc>
        <w:tc>
          <w:tcPr>
            <w:tcW w:w="1134" w:type="dxa"/>
          </w:tcPr>
          <w:p w:rsidR="008B33FE" w:rsidRPr="0075482E" w:rsidRDefault="00F86872" w:rsidP="008B33FE">
            <w:pPr>
              <w:pStyle w:val="Tabell-Siffror"/>
              <w:spacing w:before="60" w:line="200" w:lineRule="exact"/>
              <w:rPr>
                <w:highlight w:val="yellow"/>
              </w:rPr>
            </w:pPr>
            <w:r w:rsidRPr="00542A01">
              <w:t>30 33</w:t>
            </w:r>
            <w:r w:rsidR="00BF669C" w:rsidRPr="00542A01">
              <w:t>5</w:t>
            </w:r>
          </w:p>
        </w:tc>
        <w:tc>
          <w:tcPr>
            <w:tcW w:w="992" w:type="dxa"/>
          </w:tcPr>
          <w:p w:rsidR="008B33FE" w:rsidRPr="00C430D6" w:rsidRDefault="008B33FE" w:rsidP="008B33FE">
            <w:pPr>
              <w:pStyle w:val="Tabell-Siffror"/>
              <w:spacing w:before="60" w:line="200" w:lineRule="exact"/>
            </w:pPr>
            <w:r>
              <w:t>31 748</w:t>
            </w:r>
          </w:p>
        </w:tc>
        <w:tc>
          <w:tcPr>
            <w:tcW w:w="1085" w:type="dxa"/>
          </w:tcPr>
          <w:p w:rsidR="008B33FE" w:rsidRPr="00C430D6" w:rsidRDefault="008B33FE" w:rsidP="008B33FE">
            <w:pPr>
              <w:pStyle w:val="Tabell-Siffror"/>
              <w:spacing w:before="60" w:line="200" w:lineRule="exact"/>
            </w:pPr>
            <w:r>
              <w:t>30</w:t>
            </w:r>
            <w:r w:rsidRPr="00C430D6">
              <w:t xml:space="preserve"> </w:t>
            </w:r>
            <w:r>
              <w:t>056</w:t>
            </w:r>
          </w:p>
        </w:tc>
      </w:tr>
      <w:tr w:rsidR="008B33FE" w:rsidRPr="00C430D6" w:rsidTr="006933B2">
        <w:tc>
          <w:tcPr>
            <w:tcW w:w="2689" w:type="dxa"/>
          </w:tcPr>
          <w:p w:rsidR="008B33FE" w:rsidRPr="00C430D6" w:rsidRDefault="008B33FE" w:rsidP="008B33FE">
            <w:pPr>
              <w:pStyle w:val="Tabell-Text"/>
              <w:spacing w:before="60" w:line="200" w:lineRule="exact"/>
            </w:pPr>
            <w:r w:rsidRPr="00C430D6">
              <w:t>Extravisningar</w:t>
            </w:r>
            <w:r w:rsidRPr="00C430D6">
              <w:rPr>
                <w:rStyle w:val="Fotnotsreferens"/>
                <w:szCs w:val="16"/>
              </w:rPr>
              <w:footnoteReference w:id="37"/>
            </w:r>
          </w:p>
        </w:tc>
        <w:tc>
          <w:tcPr>
            <w:tcW w:w="1134" w:type="dxa"/>
          </w:tcPr>
          <w:p w:rsidR="008B33FE" w:rsidRPr="0075482E" w:rsidRDefault="00F86872" w:rsidP="008B33FE">
            <w:pPr>
              <w:pStyle w:val="Tabell-Siffror"/>
              <w:spacing w:before="60" w:line="200" w:lineRule="exact"/>
              <w:rPr>
                <w:highlight w:val="yellow"/>
              </w:rPr>
            </w:pPr>
            <w:r w:rsidRPr="00542A01">
              <w:t>1 899</w:t>
            </w:r>
          </w:p>
        </w:tc>
        <w:tc>
          <w:tcPr>
            <w:tcW w:w="992" w:type="dxa"/>
          </w:tcPr>
          <w:p w:rsidR="008B33FE" w:rsidRPr="00C430D6" w:rsidRDefault="008B33FE" w:rsidP="008B33FE">
            <w:pPr>
              <w:pStyle w:val="Tabell-Siffror"/>
              <w:spacing w:before="60" w:line="200" w:lineRule="exact"/>
            </w:pPr>
            <w:r>
              <w:t>2 355</w:t>
            </w:r>
          </w:p>
        </w:tc>
        <w:tc>
          <w:tcPr>
            <w:tcW w:w="1085" w:type="dxa"/>
          </w:tcPr>
          <w:p w:rsidR="008B33FE" w:rsidRPr="00C430D6" w:rsidRDefault="008B33FE" w:rsidP="008B33FE">
            <w:pPr>
              <w:pStyle w:val="Tabell-Siffror"/>
              <w:spacing w:before="60" w:line="200" w:lineRule="exact"/>
            </w:pPr>
            <w:r>
              <w:t>2</w:t>
            </w:r>
            <w:r w:rsidRPr="00C430D6">
              <w:t xml:space="preserve"> </w:t>
            </w:r>
            <w:r>
              <w:t>137</w:t>
            </w:r>
          </w:p>
        </w:tc>
      </w:tr>
      <w:tr w:rsidR="008B33FE" w:rsidRPr="00C430D6" w:rsidTr="006933B2">
        <w:tc>
          <w:tcPr>
            <w:tcW w:w="2689" w:type="dxa"/>
            <w:tcBorders>
              <w:bottom w:val="single" w:sz="4" w:space="0" w:color="auto"/>
            </w:tcBorders>
          </w:tcPr>
          <w:p w:rsidR="008B33FE" w:rsidRPr="00C430D6" w:rsidRDefault="008B33FE" w:rsidP="008B33FE">
            <w:pPr>
              <w:pStyle w:val="Tabell-Text"/>
              <w:spacing w:before="60" w:line="200" w:lineRule="exact"/>
            </w:pPr>
            <w:r w:rsidRPr="00C430D6">
              <w:t>Skolvisningar</w:t>
            </w:r>
            <w:r w:rsidRPr="00C430D6">
              <w:rPr>
                <w:rStyle w:val="Fotnotsreferens"/>
                <w:szCs w:val="16"/>
              </w:rPr>
              <w:footnoteReference w:id="38"/>
            </w:r>
          </w:p>
        </w:tc>
        <w:tc>
          <w:tcPr>
            <w:tcW w:w="1134" w:type="dxa"/>
            <w:tcBorders>
              <w:bottom w:val="single" w:sz="4" w:space="0" w:color="auto"/>
            </w:tcBorders>
          </w:tcPr>
          <w:p w:rsidR="008B33FE" w:rsidRPr="0075482E" w:rsidRDefault="00F86872" w:rsidP="008B33FE">
            <w:pPr>
              <w:pStyle w:val="Tabell-Siffror"/>
              <w:spacing w:before="60" w:line="200" w:lineRule="exact"/>
              <w:rPr>
                <w:highlight w:val="yellow"/>
              </w:rPr>
            </w:pPr>
            <w:r w:rsidRPr="0075482E">
              <w:t>19 734</w:t>
            </w:r>
          </w:p>
        </w:tc>
        <w:tc>
          <w:tcPr>
            <w:tcW w:w="992" w:type="dxa"/>
            <w:tcBorders>
              <w:bottom w:val="single" w:sz="4" w:space="0" w:color="auto"/>
            </w:tcBorders>
          </w:tcPr>
          <w:p w:rsidR="008B33FE" w:rsidRPr="00C430D6" w:rsidRDefault="008B33FE" w:rsidP="008B33FE">
            <w:pPr>
              <w:pStyle w:val="Tabell-Siffror"/>
              <w:spacing w:before="60" w:line="200" w:lineRule="exact"/>
            </w:pPr>
            <w:r>
              <w:t>17 797</w:t>
            </w:r>
          </w:p>
        </w:tc>
        <w:tc>
          <w:tcPr>
            <w:tcW w:w="1085" w:type="dxa"/>
            <w:tcBorders>
              <w:bottom w:val="single" w:sz="4" w:space="0" w:color="auto"/>
            </w:tcBorders>
          </w:tcPr>
          <w:p w:rsidR="008B33FE" w:rsidRPr="00C430D6" w:rsidRDefault="008B33FE" w:rsidP="008B33FE">
            <w:pPr>
              <w:pStyle w:val="Tabell-Siffror"/>
              <w:spacing w:before="60" w:line="200" w:lineRule="exact"/>
            </w:pPr>
            <w:r w:rsidRPr="00C430D6">
              <w:t xml:space="preserve">16 </w:t>
            </w:r>
            <w:r>
              <w:t>643</w:t>
            </w:r>
          </w:p>
        </w:tc>
      </w:tr>
      <w:tr w:rsidR="008B33FE" w:rsidRPr="00C430D6" w:rsidTr="006933B2">
        <w:tc>
          <w:tcPr>
            <w:tcW w:w="2689" w:type="dxa"/>
            <w:tcBorders>
              <w:top w:val="single" w:sz="4" w:space="0" w:color="auto"/>
              <w:bottom w:val="single" w:sz="4" w:space="0" w:color="auto"/>
            </w:tcBorders>
          </w:tcPr>
          <w:p w:rsidR="008B33FE" w:rsidRPr="008B156A" w:rsidRDefault="008B33FE" w:rsidP="008B33FE">
            <w:pPr>
              <w:pStyle w:val="Tabell-Text"/>
              <w:spacing w:before="60" w:line="200" w:lineRule="exact"/>
              <w:rPr>
                <w:b/>
              </w:rPr>
            </w:pPr>
            <w:r w:rsidRPr="008B156A">
              <w:rPr>
                <w:b/>
              </w:rPr>
              <w:t>Totalt</w:t>
            </w:r>
          </w:p>
        </w:tc>
        <w:tc>
          <w:tcPr>
            <w:tcW w:w="1134" w:type="dxa"/>
            <w:tcBorders>
              <w:top w:val="single" w:sz="4" w:space="0" w:color="auto"/>
              <w:bottom w:val="single" w:sz="4" w:space="0" w:color="auto"/>
            </w:tcBorders>
          </w:tcPr>
          <w:p w:rsidR="008B33FE" w:rsidRPr="0075482E" w:rsidRDefault="00F86872" w:rsidP="008B33FE">
            <w:pPr>
              <w:pStyle w:val="Tabell-Siffror"/>
              <w:spacing w:before="60" w:line="200" w:lineRule="exact"/>
              <w:rPr>
                <w:b/>
                <w:highlight w:val="yellow"/>
              </w:rPr>
            </w:pPr>
            <w:r w:rsidRPr="00542A01">
              <w:rPr>
                <w:b/>
              </w:rPr>
              <w:t>69 648</w:t>
            </w:r>
          </w:p>
        </w:tc>
        <w:tc>
          <w:tcPr>
            <w:tcW w:w="992" w:type="dxa"/>
            <w:tcBorders>
              <w:top w:val="single" w:sz="4" w:space="0" w:color="auto"/>
              <w:bottom w:val="single" w:sz="4" w:space="0" w:color="auto"/>
            </w:tcBorders>
          </w:tcPr>
          <w:p w:rsidR="008B33FE" w:rsidRPr="008B156A" w:rsidRDefault="008B33FE" w:rsidP="008B33FE">
            <w:pPr>
              <w:pStyle w:val="Tabell-Siffror"/>
              <w:spacing w:before="60" w:line="200" w:lineRule="exact"/>
              <w:rPr>
                <w:b/>
              </w:rPr>
            </w:pPr>
            <w:r>
              <w:rPr>
                <w:b/>
              </w:rPr>
              <w:t>69 489</w:t>
            </w:r>
          </w:p>
        </w:tc>
        <w:tc>
          <w:tcPr>
            <w:tcW w:w="1085" w:type="dxa"/>
            <w:tcBorders>
              <w:top w:val="single" w:sz="4" w:space="0" w:color="auto"/>
              <w:bottom w:val="single" w:sz="4" w:space="0" w:color="auto"/>
            </w:tcBorders>
          </w:tcPr>
          <w:p w:rsidR="008B33FE" w:rsidRPr="008B156A" w:rsidRDefault="008B33FE" w:rsidP="008B33FE">
            <w:pPr>
              <w:pStyle w:val="Tabell-Siffror"/>
              <w:spacing w:before="60" w:line="200" w:lineRule="exact"/>
              <w:rPr>
                <w:b/>
              </w:rPr>
            </w:pPr>
            <w:r w:rsidRPr="008B156A">
              <w:rPr>
                <w:b/>
              </w:rPr>
              <w:t>6</w:t>
            </w:r>
            <w:r>
              <w:rPr>
                <w:b/>
              </w:rPr>
              <w:t>6</w:t>
            </w:r>
            <w:r w:rsidRPr="008B156A">
              <w:rPr>
                <w:b/>
              </w:rPr>
              <w:t xml:space="preserve"> </w:t>
            </w:r>
            <w:r>
              <w:rPr>
                <w:b/>
              </w:rPr>
              <w:t>445</w:t>
            </w:r>
          </w:p>
        </w:tc>
      </w:tr>
    </w:tbl>
    <w:p w:rsidR="002457B2" w:rsidRPr="002457B2" w:rsidRDefault="00E936B7" w:rsidP="00640C87">
      <w:pPr>
        <w:spacing w:before="125"/>
      </w:pPr>
      <w:r w:rsidRPr="006335D2">
        <w:t xml:space="preserve">Riksdagsförvaltningen har genomfört </w:t>
      </w:r>
      <w:r w:rsidR="00ED7B28" w:rsidRPr="006335D2">
        <w:t>fyra</w:t>
      </w:r>
      <w:r w:rsidR="006335D2" w:rsidRPr="006335D2">
        <w:t xml:space="preserve"> två</w:t>
      </w:r>
      <w:r w:rsidRPr="006335D2">
        <w:t>dagarskurser i riksdagskunskap och två fortbil</w:t>
      </w:r>
      <w:r w:rsidR="006335D2" w:rsidRPr="006335D2">
        <w:t xml:space="preserve">dningsdagar för </w:t>
      </w:r>
      <w:r w:rsidRPr="006335D2">
        <w:t xml:space="preserve">lärare. </w:t>
      </w:r>
      <w:r w:rsidR="006335D2" w:rsidRPr="006335D2">
        <w:t xml:space="preserve">Totalt </w:t>
      </w:r>
      <w:r w:rsidR="00870B22">
        <w:t>antogs</w:t>
      </w:r>
      <w:r w:rsidR="006335D2" w:rsidRPr="006335D2">
        <w:t xml:space="preserve"> </w:t>
      </w:r>
      <w:r w:rsidR="006335D2" w:rsidRPr="00870B22">
        <w:t>396</w:t>
      </w:r>
      <w:r w:rsidR="002D1725" w:rsidRPr="006335D2">
        <w:t xml:space="preserve"> lärare</w:t>
      </w:r>
      <w:r w:rsidR="00870B22">
        <w:t xml:space="preserve"> till kurserna</w:t>
      </w:r>
      <w:r w:rsidR="002D1725" w:rsidRPr="006335D2">
        <w:t xml:space="preserve">. Det är </w:t>
      </w:r>
      <w:r w:rsidR="006335D2" w:rsidRPr="006335D2">
        <w:t>något färre än 2015 och 2014</w:t>
      </w:r>
      <w:r w:rsidR="002D1725" w:rsidRPr="006335D2">
        <w:t xml:space="preserve">. </w:t>
      </w:r>
      <w:r w:rsidR="00947744" w:rsidRPr="00640C87">
        <w:t>A</w:t>
      </w:r>
      <w:r w:rsidR="006335D2" w:rsidRPr="00640C87">
        <w:t>v de lärare som deltog tyckte 90</w:t>
      </w:r>
      <w:r w:rsidR="00947744" w:rsidRPr="00640C87">
        <w:t xml:space="preserve"> procent att kurserna som helhet var bra eller mycket bra </w:t>
      </w:r>
      <w:r w:rsidR="006335D2" w:rsidRPr="00640C87">
        <w:t xml:space="preserve">(93 procent 2015, </w:t>
      </w:r>
      <w:r w:rsidR="00947744" w:rsidRPr="00640C87">
        <w:t>97 procent 2</w:t>
      </w:r>
      <w:r w:rsidR="006335D2" w:rsidRPr="00640C87">
        <w:t>014</w:t>
      </w:r>
      <w:r w:rsidR="00947744" w:rsidRPr="00640C87">
        <w:t xml:space="preserve">). </w:t>
      </w:r>
      <w:r w:rsidR="00A865FA" w:rsidRPr="00640C87">
        <w:t xml:space="preserve">Vidare anger </w:t>
      </w:r>
      <w:r w:rsidR="006335D2" w:rsidRPr="00640C87">
        <w:t>88</w:t>
      </w:r>
      <w:r w:rsidR="00A865FA" w:rsidRPr="00640C87">
        <w:t xml:space="preserve"> procent </w:t>
      </w:r>
      <w:r w:rsidRPr="00640C87">
        <w:t xml:space="preserve">att det är troligt eller mycket troligt att de kommer att ha användning av kursen i </w:t>
      </w:r>
      <w:r w:rsidR="009F4258" w:rsidRPr="00640C87">
        <w:t>sin undervisning (</w:t>
      </w:r>
      <w:r w:rsidR="006335D2" w:rsidRPr="00640C87">
        <w:t>90 procent 2015, 92 procent 2014</w:t>
      </w:r>
      <w:r w:rsidRPr="00640C87">
        <w:t xml:space="preserve">). </w:t>
      </w:r>
    </w:p>
    <w:p w:rsidR="00E936B7" w:rsidRPr="00E936B7" w:rsidRDefault="008B289E" w:rsidP="00FF04A4">
      <w:pPr>
        <w:pStyle w:val="R4"/>
      </w:pPr>
      <w:r>
        <w:t>Ungdomens riksdag</w:t>
      </w:r>
    </w:p>
    <w:p w:rsidR="00A5222F" w:rsidRPr="00A5222F" w:rsidRDefault="00A5222F" w:rsidP="00A5222F">
      <w:pPr>
        <w:spacing w:before="0"/>
      </w:pPr>
      <w:r w:rsidRPr="00A5222F">
        <w:t xml:space="preserve">I februari genomfördes Ungdomens riksdag för nionde gången. Då kom </w:t>
      </w:r>
      <w:r w:rsidR="009C52B0">
        <w:t xml:space="preserve">349 elever </w:t>
      </w:r>
      <w:r w:rsidRPr="00A5222F">
        <w:t xml:space="preserve">från Trelleborg i söder till Malmberget i norr till riksdagen för att vara ledamöter för en dag. </w:t>
      </w:r>
    </w:p>
    <w:p w:rsidR="00A5222F" w:rsidRPr="009C52B0" w:rsidRDefault="00A5222F" w:rsidP="00603112">
      <w:pPr>
        <w:pStyle w:val="Normaltindrag"/>
      </w:pPr>
      <w:r w:rsidRPr="009C52B0">
        <w:t xml:space="preserve">Till årets Ungdomens riksdag hade 140 gymnasieklasser anmält sig. Som förberedande uppgift för att få skicka representanter till finalen i Riksdagshuset hade alla fått till uppgift att skriva en fristående motion och ett debattinlägg </w:t>
      </w:r>
      <w:r w:rsidRPr="009C52B0">
        <w:lastRenderedPageBreak/>
        <w:t>till en aktuell debatt. 124 klasser fullföljde uppgiften och fick skicka i genomsn</w:t>
      </w:r>
      <w:r w:rsidR="00603112" w:rsidRPr="009C52B0">
        <w:t>itt tre representanter var</w:t>
      </w:r>
      <w:r w:rsidRPr="009C52B0">
        <w:t>.</w:t>
      </w:r>
    </w:p>
    <w:p w:rsidR="00A5222F" w:rsidRPr="009C52B0" w:rsidRDefault="00A5222F" w:rsidP="00603112">
      <w:pPr>
        <w:pStyle w:val="Normaltindrag"/>
      </w:pPr>
      <w:r w:rsidRPr="009C52B0">
        <w:t xml:space="preserve">Eleverna diskuterade sina fristående motioner i utskott under ledning av en </w:t>
      </w:r>
      <w:r w:rsidR="00AF7669">
        <w:t>ledamot. Motionen tog avstamp i</w:t>
      </w:r>
      <w:r w:rsidRPr="009C52B0">
        <w:t xml:space="preserve"> rapporten om regeringens övergripande prioriteringar för EU-arbetet. Därefter följde en aktuell debatt som handlade om framtiden</w:t>
      </w:r>
      <w:r w:rsidR="00AF7669">
        <w:t>s</w:t>
      </w:r>
      <w:r w:rsidRPr="009C52B0">
        <w:t xml:space="preserve"> energi</w:t>
      </w:r>
      <w:r w:rsidR="009C52B0" w:rsidRPr="009C52B0">
        <w:t>. Representanter från E</w:t>
      </w:r>
      <w:r w:rsidRPr="009C52B0">
        <w:t xml:space="preserve">nergikommissionen </w:t>
      </w:r>
      <w:r w:rsidR="009C52B0" w:rsidRPr="009C52B0">
        <w:t>och</w:t>
      </w:r>
      <w:r w:rsidRPr="009C52B0">
        <w:t xml:space="preserve"> energiministern var på plats och lyssnade på elevernas inlägg. Slutligen fick eleverna möjlighet att ställa frågor till fem ministrar. Delar av programmet i kammaren direktsändes i SVT Forum.</w:t>
      </w:r>
    </w:p>
    <w:p w:rsidR="00CC190E" w:rsidRPr="00A63730" w:rsidRDefault="00A5222F" w:rsidP="00FF04A4">
      <w:pPr>
        <w:pStyle w:val="Normaltindrag"/>
      </w:pPr>
      <w:r w:rsidRPr="00A63730">
        <w:t>Utvärderingen visar att 99,5 procent av eleverna o</w:t>
      </w:r>
      <w:r w:rsidR="00AF7669">
        <w:t>ch 100 procent av lärarna tyckte</w:t>
      </w:r>
      <w:r w:rsidRPr="00A63730">
        <w:t xml:space="preserve"> att Ungdomens r</w:t>
      </w:r>
      <w:r w:rsidR="00DF060C" w:rsidRPr="00A63730">
        <w:t xml:space="preserve">iksdag var bra eller mycket bra. </w:t>
      </w:r>
      <w:r w:rsidR="00537AA4" w:rsidRPr="006B4C1A">
        <w:t>R</w:t>
      </w:r>
      <w:r w:rsidR="008B7054" w:rsidRPr="006B4C1A">
        <w:t>esultatet är</w:t>
      </w:r>
      <w:r w:rsidR="00AF7669">
        <w:t xml:space="preserve"> bättre än</w:t>
      </w:r>
      <w:r w:rsidR="00537AA4" w:rsidRPr="006B4C1A">
        <w:t xml:space="preserve"> d</w:t>
      </w:r>
      <w:r w:rsidR="00DF060C" w:rsidRPr="006B4C1A">
        <w:t xml:space="preserve">et uppsatta målet </w:t>
      </w:r>
      <w:r w:rsidR="00537AA4" w:rsidRPr="006B4C1A">
        <w:t xml:space="preserve">om </w:t>
      </w:r>
      <w:r w:rsidR="006B4C1A" w:rsidRPr="006B4C1A">
        <w:t>90</w:t>
      </w:r>
      <w:r w:rsidR="00DF060C" w:rsidRPr="006B4C1A">
        <w:t xml:space="preserve"> procent. </w:t>
      </w:r>
      <w:r w:rsidRPr="006B4C1A">
        <w:t xml:space="preserve">Målsättningen att 80 procent av </w:t>
      </w:r>
      <w:r w:rsidR="00537AA4" w:rsidRPr="006B4C1A">
        <w:t xml:space="preserve">eleverna </w:t>
      </w:r>
      <w:r w:rsidR="004A2BDE">
        <w:t>skulle uppleva</w:t>
      </w:r>
      <w:r w:rsidRPr="006B4C1A">
        <w:t xml:space="preserve"> att de fått ökad kunskap om den demokratiska</w:t>
      </w:r>
      <w:r w:rsidR="0016678E">
        <w:t xml:space="preserve"> processen</w:t>
      </w:r>
      <w:r w:rsidR="009C52B0" w:rsidRPr="006B4C1A">
        <w:t>, med fokus på r</w:t>
      </w:r>
      <w:r w:rsidRPr="006B4C1A">
        <w:t>iksdagens arbete och uppgifter</w:t>
      </w:r>
      <w:r w:rsidR="006B4C1A" w:rsidRPr="006B4C1A">
        <w:t>,</w:t>
      </w:r>
      <w:r w:rsidRPr="006B4C1A">
        <w:t xml:space="preserve"> uppfylldes också mycket väl.</w:t>
      </w:r>
      <w:r w:rsidR="00537AA4" w:rsidRPr="006B4C1A">
        <w:t xml:space="preserve"> Cirka </w:t>
      </w:r>
      <w:r w:rsidR="006B4C1A" w:rsidRPr="006B4C1A">
        <w:t>90</w:t>
      </w:r>
      <w:r w:rsidR="00AF7669">
        <w:t xml:space="preserve"> procent av eleverna upp</w:t>
      </w:r>
      <w:r w:rsidR="00537AA4" w:rsidRPr="006B4C1A">
        <w:t>gav att de fått ökade kunskaper.</w:t>
      </w:r>
    </w:p>
    <w:p w:rsidR="00CC190E" w:rsidRDefault="00FF04A4" w:rsidP="00FF04A4">
      <w:pPr>
        <w:pStyle w:val="R4"/>
      </w:pPr>
      <w:r>
        <w:t>Utveckla undervisningsmaterial och kommunikation med skolor</w:t>
      </w:r>
    </w:p>
    <w:p w:rsidR="00604193" w:rsidRDefault="00ED19F0" w:rsidP="00604193">
      <w:r w:rsidRPr="00ED19F0">
        <w:t xml:space="preserve">I början av året skickades en omfattande enkät till landets </w:t>
      </w:r>
      <w:r w:rsidR="00AF230C" w:rsidRPr="002B27A3">
        <w:t>alla grund- och gymnasie</w:t>
      </w:r>
      <w:r w:rsidRPr="002B27A3">
        <w:t>skolor</w:t>
      </w:r>
      <w:r w:rsidR="009C5775">
        <w:t xml:space="preserve"> med frågor om</w:t>
      </w:r>
      <w:r w:rsidRPr="00ED19F0">
        <w:t xml:space="preserve"> Riksdagsförvaltningens undervisningsm</w:t>
      </w:r>
      <w:r>
        <w:t xml:space="preserve">aterial </w:t>
      </w:r>
      <w:r w:rsidRPr="00ED19F0">
        <w:t>och kommunikation med skolor. Totalt svarade 1 064 personer. Efter analys av svaren har ett elektroniskt nyhetsbrev till lärare skapats, studiematerialet Rik</w:t>
      </w:r>
      <w:r>
        <w:t>sdagen en kort vägledning översa</w:t>
      </w:r>
      <w:r w:rsidRPr="00ED19F0">
        <w:t xml:space="preserve">tts till arabiska och en del av studiematerialet har publicerats på </w:t>
      </w:r>
      <w:r>
        <w:t xml:space="preserve">webbplatsen </w:t>
      </w:r>
      <w:r w:rsidRPr="00ED19F0">
        <w:t>SO-rummet. Dessutom finns nu fördjupningsbroschyrerna Riksdagen i samhället och Demokratin i samhället</w:t>
      </w:r>
      <w:r w:rsidR="009C5775">
        <w:t xml:space="preserve"> nedladdningsbara i m</w:t>
      </w:r>
      <w:r w:rsidRPr="00ED19F0">
        <w:t xml:space="preserve">p3-format att lyssna på. </w:t>
      </w:r>
      <w:r w:rsidR="00366F07">
        <w:t xml:space="preserve">Det finns också en efterfrågan på </w:t>
      </w:r>
      <w:r w:rsidR="00F57047">
        <w:t xml:space="preserve">film som </w:t>
      </w:r>
      <w:r w:rsidR="00366F07">
        <w:t>un</w:t>
      </w:r>
      <w:r w:rsidR="00F57047">
        <w:t>dervisningsmaterial</w:t>
      </w:r>
      <w:r w:rsidR="00751953">
        <w:t>. Denna fråga kommer att tas upp i</w:t>
      </w:r>
      <w:r w:rsidRPr="00ED19F0">
        <w:t xml:space="preserve"> projektet Upplev riksdagen.</w:t>
      </w:r>
    </w:p>
    <w:p w:rsidR="00604193" w:rsidRDefault="00604193" w:rsidP="00604193">
      <w:pPr>
        <w:pStyle w:val="R4"/>
      </w:pPr>
      <w:r>
        <w:t>Arenor för dialog om riksdagen</w:t>
      </w:r>
    </w:p>
    <w:p w:rsidR="00823FCA" w:rsidRDefault="00604193" w:rsidP="00C16D51">
      <w:r>
        <w:t>Förvaltningen har analyserat vilka arenor och mötesplatser som Sveriges riksdag skulle kunna medverka i för att främja dialog och kunskap om riksdagen</w:t>
      </w:r>
      <w:r w:rsidRPr="00604193">
        <w:t>. Tre arenor</w:t>
      </w:r>
      <w:r>
        <w:t xml:space="preserve"> –</w:t>
      </w:r>
      <w:r w:rsidR="001105BE">
        <w:t xml:space="preserve"> Almedalen, b</w:t>
      </w:r>
      <w:r w:rsidRPr="00604193">
        <w:t>okmässan</w:t>
      </w:r>
      <w:r>
        <w:t xml:space="preserve"> i Göteborg</w:t>
      </w:r>
      <w:r w:rsidRPr="00604193">
        <w:t xml:space="preserve"> och Skolforum</w:t>
      </w:r>
      <w:r>
        <w:t xml:space="preserve"> –</w:t>
      </w:r>
      <w:r w:rsidRPr="00604193">
        <w:t xml:space="preserve"> </w:t>
      </w:r>
      <w:r>
        <w:t>har</w:t>
      </w:r>
      <w:r w:rsidRPr="00604193">
        <w:t xml:space="preserve"> analyserats grundligare genom att en tjänsteman från Riksdagsförvaltningen </w:t>
      </w:r>
      <w:r>
        <w:t>varit på plats</w:t>
      </w:r>
      <w:r w:rsidRPr="00604193">
        <w:t xml:space="preserve">. </w:t>
      </w:r>
    </w:p>
    <w:p w:rsidR="00823FCA" w:rsidRPr="00B633B8" w:rsidRDefault="00823FCA" w:rsidP="00823FCA">
      <w:pPr>
        <w:pStyle w:val="R4"/>
      </w:pPr>
      <w:r w:rsidRPr="00B633B8">
        <w:t>Förberedelser för demokratijubileum</w:t>
      </w:r>
    </w:p>
    <w:p w:rsidR="00823FCA" w:rsidRPr="00823FCA" w:rsidRDefault="002564A4" w:rsidP="00823FCA">
      <w:r w:rsidRPr="00B633B8">
        <w:t xml:space="preserve">Riksdagen beslutade 2013 att riksdagen bör uppmärksamma att det snart har förflutit 100 år sedan demokratin fick sitt genombrott i Sverige i och med den </w:t>
      </w:r>
      <w:r w:rsidR="005D3DAF">
        <w:t>allmänna och lika</w:t>
      </w:r>
      <w:r w:rsidRPr="00B633B8">
        <w:t xml:space="preserve"> rösträtten. Riksdagsstyrelsen har beslutat att </w:t>
      </w:r>
      <w:r w:rsidR="00732FE7">
        <w:t>högtidlighållandet</w:t>
      </w:r>
      <w:r w:rsidRPr="00B633B8">
        <w:t xml:space="preserve"> ska ske december 2018–januari 2022</w:t>
      </w:r>
      <w:r w:rsidR="00D40805" w:rsidRPr="00B633B8">
        <w:t>.</w:t>
      </w:r>
      <w:r w:rsidRPr="00B633B8">
        <w:t xml:space="preserve"> En parlamentarisk kommitté, med talmannen som ordförande och en representant per parti, arbetar med att förbereda högtidlighålla</w:t>
      </w:r>
      <w:r w:rsidR="00732FE7">
        <w:t xml:space="preserve">ndet. Under 2016 har kommittén </w:t>
      </w:r>
      <w:r w:rsidR="008B2972">
        <w:t>diskuterat</w:t>
      </w:r>
      <w:r w:rsidRPr="00B633B8">
        <w:t xml:space="preserve"> olika möjliga aktiviteter. Kommittén vill dels använda befintliga plattformar för att </w:t>
      </w:r>
      <w:r w:rsidR="005D3DAF">
        <w:t>upp</w:t>
      </w:r>
      <w:r w:rsidR="005D3DAF">
        <w:lastRenderedPageBreak/>
        <w:t xml:space="preserve">märksamma </w:t>
      </w:r>
      <w:r w:rsidRPr="00B633B8">
        <w:t>demokra</w:t>
      </w:r>
      <w:r w:rsidR="001105BE">
        <w:t>ti</w:t>
      </w:r>
      <w:r w:rsidR="005D3DAF">
        <w:t>ns genombrott</w:t>
      </w:r>
      <w:r w:rsidR="001105BE">
        <w:t xml:space="preserve"> så</w:t>
      </w:r>
      <w:r w:rsidR="00D40805" w:rsidRPr="00B633B8">
        <w:t>som riksmötets öppnande, Ungdomens riksdag, Öppet hus och D</w:t>
      </w:r>
      <w:r w:rsidRPr="00B633B8">
        <w:t>emokrativerkstaden, dels finna nya vägar.</w:t>
      </w:r>
      <w:r w:rsidR="00D40805" w:rsidRPr="00B633B8">
        <w:t xml:space="preserve"> Förvaltningen bistår kommittén med </w:t>
      </w:r>
      <w:r w:rsidR="005D3DAF">
        <w:t xml:space="preserve">sekretariatstöd, </w:t>
      </w:r>
      <w:r w:rsidR="00D40805" w:rsidRPr="00B633B8">
        <w:t>utredningar och beslutsunderlag.</w:t>
      </w:r>
    </w:p>
    <w:p w:rsidR="00E936B7" w:rsidRPr="00E936B7" w:rsidRDefault="00E936B7" w:rsidP="00FD2D1A">
      <w:pPr>
        <w:pStyle w:val="Rubrik3"/>
      </w:pPr>
      <w:bookmarkStart w:id="23" w:name="_Toc411239639"/>
      <w:bookmarkStart w:id="24" w:name="_Toc474168600"/>
      <w:r w:rsidRPr="00E936B7">
        <w:t>3.4 Riksdagens byggnader och samlingar – uppdragsområde D</w:t>
      </w:r>
      <w:bookmarkEnd w:id="23"/>
      <w:bookmarkEnd w:id="24"/>
    </w:p>
    <w:p w:rsidR="00E936B7" w:rsidRPr="00E936B7" w:rsidRDefault="00E936B7" w:rsidP="00E936B7">
      <w:pPr>
        <w:spacing w:after="62"/>
      </w:pPr>
      <w:r w:rsidRPr="00E936B7">
        <w:t>Riksdagsförvaltningens uppdrag inom område D är att vårda och bevara riksdagens byggnader och samlingar så att de kan användas i dag och i framtiden. Arbetet omfattar bland annat underhåll, fastighetsförvaltning, renovering av byggnader samt lokalvård och digitalisering av äldre riksdagsdokument.</w:t>
      </w:r>
    </w:p>
    <w:p w:rsidR="00E936B7" w:rsidRPr="00E936B7" w:rsidRDefault="00E936B7" w:rsidP="00E936B7"/>
    <w:tbl>
      <w:tblPr>
        <w:tblStyle w:val="Tabellrutnt"/>
        <w:tblW w:w="0" w:type="auto"/>
        <w:tblLook w:val="04A0" w:firstRow="1" w:lastRow="0" w:firstColumn="1" w:lastColumn="0" w:noHBand="0" w:noVBand="1"/>
      </w:tblPr>
      <w:tblGrid>
        <w:gridCol w:w="5887"/>
      </w:tblGrid>
      <w:tr w:rsidR="00880651" w:rsidRPr="00880651" w:rsidTr="00097D91">
        <w:tc>
          <w:tcPr>
            <w:tcW w:w="5887" w:type="dxa"/>
          </w:tcPr>
          <w:p w:rsidR="00880651" w:rsidRPr="00FB7472" w:rsidRDefault="00880651" w:rsidP="00880651">
            <w:pPr>
              <w:spacing w:before="125"/>
              <w:rPr>
                <w:b/>
              </w:rPr>
            </w:pPr>
            <w:r w:rsidRPr="00FB7472">
              <w:rPr>
                <w:b/>
              </w:rPr>
              <w:t>Resultat och utveckling – sammanfattning</w:t>
            </w:r>
          </w:p>
          <w:p w:rsidR="00880651" w:rsidRPr="006A24F7" w:rsidRDefault="00880651" w:rsidP="00880651">
            <w:pPr>
              <w:spacing w:before="0"/>
              <w:rPr>
                <w:u w:val="single"/>
              </w:rPr>
            </w:pPr>
            <w:r w:rsidRPr="00FB7472">
              <w:t>Riksdagsförvaltningen har utvecklat sitt arbete med att vårda och bevara riksdagens byggnader och samlingar på ett systematiskt sätt. Bedömningen baseras i huvudsak på följande fakta</w:t>
            </w:r>
            <w:r w:rsidRPr="00361AA2">
              <w:t>:</w:t>
            </w:r>
          </w:p>
          <w:p w:rsidR="00880651" w:rsidRPr="00F565E2" w:rsidRDefault="00880651" w:rsidP="00880651">
            <w:pPr>
              <w:pStyle w:val="Punktlistabomb"/>
              <w:spacing w:after="0"/>
              <w:rPr>
                <w:i/>
                <w:iCs/>
              </w:rPr>
            </w:pPr>
            <w:r w:rsidRPr="00F565E2">
              <w:rPr>
                <w:i/>
                <w:iCs/>
              </w:rPr>
              <w:t>Styrningen och ledningen av fastighetsverksamheten har fo</w:t>
            </w:r>
            <w:r w:rsidR="00FB7472" w:rsidRPr="00F565E2">
              <w:rPr>
                <w:i/>
                <w:iCs/>
              </w:rPr>
              <w:t>rtsatt att utvecklas</w:t>
            </w:r>
            <w:r w:rsidRPr="00F565E2">
              <w:rPr>
                <w:i/>
                <w:iCs/>
              </w:rPr>
              <w:t xml:space="preserve"> </w:t>
            </w:r>
          </w:p>
          <w:p w:rsidR="00880651" w:rsidRPr="00F56285" w:rsidRDefault="008400F0" w:rsidP="00880651">
            <w:pPr>
              <w:tabs>
                <w:tab w:val="left" w:pos="284"/>
              </w:tabs>
              <w:spacing w:before="0"/>
              <w:ind w:left="284"/>
              <w:contextualSpacing/>
              <w:rPr>
                <w:rFonts w:eastAsia="Times New Roman"/>
                <w:szCs w:val="24"/>
                <w:lang w:eastAsia="sv-SE"/>
              </w:rPr>
            </w:pPr>
            <w:r w:rsidRPr="008400F0">
              <w:rPr>
                <w:rFonts w:eastAsia="Times New Roman"/>
                <w:szCs w:val="24"/>
                <w:lang w:eastAsia="sv-SE"/>
              </w:rPr>
              <w:t xml:space="preserve">Förvaltningen fortsätter att se över och utveckla de processer som ingår i uppdragsområdet, och projektmodellen för fastighetsprojekt utvecklas kontinuerligt. Under året har förvaltningen fastställt en vägledning för konst i riksdagens byggnader och ett vårdprogram för fastigheten Neptunus. </w:t>
            </w:r>
          </w:p>
          <w:p w:rsidR="00880651" w:rsidRPr="00F565E2" w:rsidRDefault="00880651" w:rsidP="00880651">
            <w:pPr>
              <w:pStyle w:val="Punktlistabomb"/>
              <w:spacing w:before="0" w:after="0"/>
              <w:rPr>
                <w:i/>
                <w:iCs/>
              </w:rPr>
            </w:pPr>
            <w:r w:rsidRPr="00F565E2">
              <w:rPr>
                <w:i/>
                <w:iCs/>
              </w:rPr>
              <w:t>Fastighetsproj</w:t>
            </w:r>
            <w:r w:rsidR="00476F8A" w:rsidRPr="00F565E2">
              <w:rPr>
                <w:i/>
                <w:iCs/>
              </w:rPr>
              <w:t>ekten har bedrivits enligt plan</w:t>
            </w:r>
            <w:r w:rsidRPr="00F565E2">
              <w:rPr>
                <w:i/>
                <w:iCs/>
              </w:rPr>
              <w:t xml:space="preserve"> </w:t>
            </w:r>
          </w:p>
          <w:p w:rsidR="00880651" w:rsidRPr="006A4928" w:rsidRDefault="00223F69" w:rsidP="00880651">
            <w:pPr>
              <w:tabs>
                <w:tab w:val="left" w:pos="284"/>
              </w:tabs>
              <w:spacing w:before="0"/>
              <w:ind w:left="284"/>
              <w:contextualSpacing/>
              <w:rPr>
                <w:rFonts w:eastAsia="Times New Roman"/>
                <w:szCs w:val="24"/>
                <w:highlight w:val="yellow"/>
                <w:lang w:eastAsia="sv-SE"/>
              </w:rPr>
            </w:pPr>
            <w:r w:rsidRPr="00223F69">
              <w:rPr>
                <w:rFonts w:eastAsia="Times New Roman"/>
                <w:szCs w:val="24"/>
                <w:lang w:eastAsia="sv-SE"/>
              </w:rPr>
              <w:t xml:space="preserve">Projekten har i huvudsak bedrivits enligt plan med avseende på kvalitet, tid och kostnad. Bland annat pågår ett programarbete med syfte att förbereda för </w:t>
            </w:r>
            <w:r w:rsidR="001105BE">
              <w:rPr>
                <w:rFonts w:eastAsia="Times New Roman"/>
                <w:szCs w:val="24"/>
                <w:lang w:eastAsia="sv-SE"/>
              </w:rPr>
              <w:t xml:space="preserve">den </w:t>
            </w:r>
            <w:r w:rsidRPr="00223F69">
              <w:rPr>
                <w:rFonts w:eastAsia="Times New Roman"/>
                <w:szCs w:val="24"/>
                <w:lang w:eastAsia="sv-SE"/>
              </w:rPr>
              <w:t>kommande renovering</w:t>
            </w:r>
            <w:r w:rsidR="001105BE">
              <w:rPr>
                <w:rFonts w:eastAsia="Times New Roman"/>
                <w:szCs w:val="24"/>
                <w:lang w:eastAsia="sv-SE"/>
              </w:rPr>
              <w:t>en</w:t>
            </w:r>
            <w:r w:rsidRPr="00223F69">
              <w:rPr>
                <w:rFonts w:eastAsia="Times New Roman"/>
                <w:szCs w:val="24"/>
                <w:lang w:eastAsia="sv-SE"/>
              </w:rPr>
              <w:t xml:space="preserve"> av ledamotshuset.</w:t>
            </w:r>
          </w:p>
          <w:p w:rsidR="00695AA7" w:rsidRPr="00F565E2" w:rsidRDefault="00880651" w:rsidP="00797D43">
            <w:pPr>
              <w:pStyle w:val="Punktlistabomb"/>
              <w:spacing w:before="0"/>
            </w:pPr>
            <w:r w:rsidRPr="00F565E2">
              <w:rPr>
                <w:i/>
              </w:rPr>
              <w:t xml:space="preserve">Arbetet med att tillgängliggöra äldre </w:t>
            </w:r>
            <w:r w:rsidR="005F2716" w:rsidRPr="00F565E2">
              <w:rPr>
                <w:i/>
              </w:rPr>
              <w:t>riksdagsdokument har bedrivits enligt plan</w:t>
            </w:r>
            <w:r w:rsidRPr="00F565E2">
              <w:t xml:space="preserve"> </w:t>
            </w:r>
          </w:p>
          <w:p w:rsidR="00257D6C" w:rsidRPr="00695AA7" w:rsidRDefault="00F565E2" w:rsidP="00971D9E">
            <w:pPr>
              <w:pStyle w:val="Punktlistabomb"/>
              <w:numPr>
                <w:ilvl w:val="0"/>
                <w:numId w:val="0"/>
              </w:numPr>
              <w:spacing w:before="0"/>
              <w:ind w:left="284"/>
            </w:pPr>
            <w:r w:rsidRPr="00F565E2">
              <w:t>Arbetet med att transkribera handskrivna protokoll från ståndsriksdagen har fortsatt och digitaliseringen av cirka 2 500 000 sidor från tvåkammarriksdagen har slutförts.</w:t>
            </w:r>
          </w:p>
        </w:tc>
      </w:tr>
    </w:tbl>
    <w:p w:rsidR="00880651" w:rsidRDefault="006C18C5" w:rsidP="0088065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w:t>
      </w:r>
      <w:r w:rsidR="007151BF">
        <w:rPr>
          <w:rFonts w:eastAsiaTheme="majorEastAsia" w:cstheme="majorBidi"/>
          <w:b/>
        </w:rPr>
        <w:t>ell 27</w:t>
      </w:r>
      <w:r w:rsidR="00880651" w:rsidRPr="00880651">
        <w:rPr>
          <w:rFonts w:eastAsiaTheme="majorEastAsia" w:cstheme="majorBidi"/>
          <w:b/>
        </w:rPr>
        <w:t xml:space="preserve"> Intäkter, kostnader och transfereringar inom uppdragsområde D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D72648" w:rsidRPr="00C430D6" w:rsidTr="00097D91">
        <w:tc>
          <w:tcPr>
            <w:tcW w:w="1457" w:type="dxa"/>
            <w:tcBorders>
              <w:top w:val="single" w:sz="4" w:space="0" w:color="auto"/>
              <w:bottom w:val="single" w:sz="4" w:space="0" w:color="auto"/>
            </w:tcBorders>
          </w:tcPr>
          <w:p w:rsidR="00D72648" w:rsidRPr="00C430D6" w:rsidRDefault="00D72648" w:rsidP="00097D91">
            <w:pPr>
              <w:pStyle w:val="Normaltindrag"/>
              <w:ind w:firstLine="0"/>
              <w:rPr>
                <w:sz w:val="16"/>
                <w:szCs w:val="16"/>
              </w:rPr>
            </w:pPr>
          </w:p>
        </w:tc>
        <w:tc>
          <w:tcPr>
            <w:tcW w:w="1458" w:type="dxa"/>
            <w:tcBorders>
              <w:top w:val="single" w:sz="4" w:space="0" w:color="auto"/>
              <w:bottom w:val="single" w:sz="4" w:space="0" w:color="auto"/>
            </w:tcBorders>
          </w:tcPr>
          <w:p w:rsidR="00D72648" w:rsidRPr="00C97BE1" w:rsidRDefault="00D72648" w:rsidP="00097D91">
            <w:pPr>
              <w:pStyle w:val="Tabell-Siffror"/>
              <w:rPr>
                <w:b/>
              </w:rPr>
            </w:pPr>
            <w:r w:rsidRPr="00C97BE1">
              <w:rPr>
                <w:b/>
              </w:rPr>
              <w:t>201</w:t>
            </w:r>
            <w:r w:rsidR="007622FF">
              <w:rPr>
                <w:b/>
              </w:rPr>
              <w:t>6</w:t>
            </w:r>
          </w:p>
        </w:tc>
        <w:tc>
          <w:tcPr>
            <w:tcW w:w="1458" w:type="dxa"/>
            <w:tcBorders>
              <w:top w:val="single" w:sz="4" w:space="0" w:color="auto"/>
              <w:bottom w:val="single" w:sz="4" w:space="0" w:color="auto"/>
            </w:tcBorders>
          </w:tcPr>
          <w:p w:rsidR="00D72648" w:rsidRPr="00C97BE1" w:rsidRDefault="00D72648" w:rsidP="00097D91">
            <w:pPr>
              <w:pStyle w:val="Tabell-Siffror"/>
              <w:rPr>
                <w:b/>
              </w:rPr>
            </w:pPr>
            <w:r w:rsidRPr="00C97BE1">
              <w:rPr>
                <w:b/>
              </w:rPr>
              <w:t>201</w:t>
            </w:r>
            <w:r w:rsidR="007622FF">
              <w:rPr>
                <w:b/>
              </w:rPr>
              <w:t>5</w:t>
            </w:r>
          </w:p>
        </w:tc>
        <w:tc>
          <w:tcPr>
            <w:tcW w:w="1458" w:type="dxa"/>
            <w:tcBorders>
              <w:top w:val="single" w:sz="4" w:space="0" w:color="auto"/>
              <w:bottom w:val="single" w:sz="4" w:space="0" w:color="auto"/>
            </w:tcBorders>
          </w:tcPr>
          <w:p w:rsidR="00D72648" w:rsidRPr="00C97BE1" w:rsidRDefault="00D72648" w:rsidP="00DE6E7F">
            <w:pPr>
              <w:pStyle w:val="Tabell-Siffror"/>
              <w:rPr>
                <w:b/>
              </w:rPr>
            </w:pPr>
            <w:r w:rsidRPr="00C97BE1">
              <w:rPr>
                <w:b/>
              </w:rPr>
              <w:t>201</w:t>
            </w:r>
            <w:r w:rsidR="007622FF">
              <w:rPr>
                <w:b/>
              </w:rPr>
              <w:t>4</w:t>
            </w:r>
          </w:p>
        </w:tc>
      </w:tr>
      <w:tr w:rsidR="007622FF" w:rsidRPr="00C430D6" w:rsidTr="00097D91">
        <w:tc>
          <w:tcPr>
            <w:tcW w:w="1457" w:type="dxa"/>
            <w:tcBorders>
              <w:top w:val="single" w:sz="4" w:space="0" w:color="auto"/>
              <w:bottom w:val="nil"/>
            </w:tcBorders>
          </w:tcPr>
          <w:p w:rsidR="007622FF" w:rsidRPr="00C430D6" w:rsidRDefault="007622FF" w:rsidP="007622FF">
            <w:pPr>
              <w:pStyle w:val="Normaltindrag"/>
              <w:ind w:firstLine="0"/>
              <w:rPr>
                <w:sz w:val="16"/>
                <w:szCs w:val="16"/>
              </w:rPr>
            </w:pPr>
            <w:r>
              <w:rPr>
                <w:sz w:val="16"/>
                <w:szCs w:val="16"/>
              </w:rPr>
              <w:t>Intäkter</w:t>
            </w:r>
          </w:p>
        </w:tc>
        <w:tc>
          <w:tcPr>
            <w:tcW w:w="1458" w:type="dxa"/>
            <w:tcBorders>
              <w:top w:val="single" w:sz="4" w:space="0" w:color="auto"/>
              <w:bottom w:val="nil"/>
            </w:tcBorders>
          </w:tcPr>
          <w:p w:rsidR="007622FF" w:rsidRPr="00E67ECB" w:rsidRDefault="00764C57" w:rsidP="007622FF">
            <w:pPr>
              <w:pStyle w:val="Tabell-Siffror"/>
            </w:pPr>
            <w:r w:rsidRPr="00E67ECB">
              <w:t>1 936</w:t>
            </w:r>
          </w:p>
        </w:tc>
        <w:tc>
          <w:tcPr>
            <w:tcW w:w="1458" w:type="dxa"/>
            <w:tcBorders>
              <w:top w:val="single" w:sz="4" w:space="0" w:color="auto"/>
              <w:bottom w:val="nil"/>
            </w:tcBorders>
          </w:tcPr>
          <w:p w:rsidR="007622FF" w:rsidRPr="00261753" w:rsidRDefault="007622FF" w:rsidP="007622FF">
            <w:pPr>
              <w:pStyle w:val="Tabell-Siffror"/>
            </w:pPr>
            <w:r w:rsidRPr="00261753">
              <w:t>1 030</w:t>
            </w:r>
          </w:p>
        </w:tc>
        <w:tc>
          <w:tcPr>
            <w:tcW w:w="1458" w:type="dxa"/>
            <w:tcBorders>
              <w:top w:val="single" w:sz="4" w:space="0" w:color="auto"/>
              <w:bottom w:val="nil"/>
            </w:tcBorders>
          </w:tcPr>
          <w:p w:rsidR="007622FF" w:rsidRPr="00A4685D" w:rsidRDefault="007622FF" w:rsidP="007622FF">
            <w:pPr>
              <w:pStyle w:val="Tabell-Siffror"/>
            </w:pPr>
            <w:r>
              <w:t>19</w:t>
            </w:r>
          </w:p>
        </w:tc>
      </w:tr>
      <w:tr w:rsidR="007622FF" w:rsidRPr="00C430D6" w:rsidTr="00097D91">
        <w:tc>
          <w:tcPr>
            <w:tcW w:w="1457" w:type="dxa"/>
            <w:tcBorders>
              <w:top w:val="nil"/>
              <w:bottom w:val="single" w:sz="4" w:space="0" w:color="auto"/>
            </w:tcBorders>
          </w:tcPr>
          <w:p w:rsidR="007622FF" w:rsidRPr="00C430D6" w:rsidRDefault="007622FF" w:rsidP="007622FF">
            <w:pPr>
              <w:pStyle w:val="Normaltindrag"/>
              <w:ind w:firstLine="0"/>
              <w:rPr>
                <w:sz w:val="16"/>
                <w:szCs w:val="16"/>
              </w:rPr>
            </w:pPr>
            <w:r>
              <w:rPr>
                <w:sz w:val="16"/>
                <w:szCs w:val="16"/>
              </w:rPr>
              <w:t>Kostnader</w:t>
            </w:r>
          </w:p>
        </w:tc>
        <w:tc>
          <w:tcPr>
            <w:tcW w:w="1458" w:type="dxa"/>
            <w:tcBorders>
              <w:top w:val="nil"/>
              <w:bottom w:val="single" w:sz="4" w:space="0" w:color="auto"/>
            </w:tcBorders>
          </w:tcPr>
          <w:p w:rsidR="007622FF" w:rsidRPr="00E67ECB" w:rsidRDefault="00764C57" w:rsidP="007622FF">
            <w:pPr>
              <w:pStyle w:val="Tabell-Siffror"/>
            </w:pPr>
            <w:r w:rsidRPr="00E67ECB">
              <w:t>–118 409</w:t>
            </w:r>
          </w:p>
        </w:tc>
        <w:tc>
          <w:tcPr>
            <w:tcW w:w="1458" w:type="dxa"/>
            <w:tcBorders>
              <w:top w:val="nil"/>
              <w:bottom w:val="single" w:sz="4" w:space="0" w:color="auto"/>
            </w:tcBorders>
          </w:tcPr>
          <w:p w:rsidR="007622FF" w:rsidRPr="00261753" w:rsidRDefault="007622FF" w:rsidP="007622FF">
            <w:pPr>
              <w:pStyle w:val="Tabell-Siffror"/>
            </w:pPr>
            <w:r>
              <w:t>–</w:t>
            </w:r>
            <w:r w:rsidRPr="00261753">
              <w:t>157 552</w:t>
            </w:r>
          </w:p>
        </w:tc>
        <w:tc>
          <w:tcPr>
            <w:tcW w:w="1458" w:type="dxa"/>
            <w:tcBorders>
              <w:top w:val="nil"/>
              <w:bottom w:val="single" w:sz="4" w:space="0" w:color="auto"/>
            </w:tcBorders>
          </w:tcPr>
          <w:p w:rsidR="007622FF" w:rsidRPr="00A4685D" w:rsidRDefault="007622FF" w:rsidP="007622FF">
            <w:pPr>
              <w:pStyle w:val="Tabell-Siffror"/>
            </w:pPr>
            <w:r>
              <w:t>–138 000</w:t>
            </w:r>
          </w:p>
        </w:tc>
      </w:tr>
      <w:tr w:rsidR="007622FF" w:rsidRPr="00C430D6" w:rsidTr="002E6E3E">
        <w:tc>
          <w:tcPr>
            <w:tcW w:w="1457" w:type="dxa"/>
            <w:tcBorders>
              <w:top w:val="single" w:sz="4" w:space="0" w:color="auto"/>
            </w:tcBorders>
          </w:tcPr>
          <w:p w:rsidR="007622FF" w:rsidRPr="001E15AD" w:rsidRDefault="007622FF" w:rsidP="007622FF">
            <w:pPr>
              <w:pStyle w:val="Tabell-Text"/>
              <w:rPr>
                <w:i/>
              </w:rPr>
            </w:pPr>
            <w:r w:rsidRPr="001E15AD">
              <w:rPr>
                <w:i/>
              </w:rPr>
              <w:t>Nettokostnad</w:t>
            </w:r>
          </w:p>
        </w:tc>
        <w:tc>
          <w:tcPr>
            <w:tcW w:w="1458" w:type="dxa"/>
            <w:tcBorders>
              <w:top w:val="single" w:sz="4" w:space="0" w:color="auto"/>
            </w:tcBorders>
          </w:tcPr>
          <w:p w:rsidR="007622FF" w:rsidRPr="00E67ECB" w:rsidRDefault="00764C57" w:rsidP="007622FF">
            <w:pPr>
              <w:pStyle w:val="Tabell-Siffror"/>
              <w:rPr>
                <w:i/>
              </w:rPr>
            </w:pPr>
            <w:r w:rsidRPr="00E67ECB">
              <w:rPr>
                <w:i/>
              </w:rPr>
              <w:t>–116 473</w:t>
            </w:r>
          </w:p>
        </w:tc>
        <w:tc>
          <w:tcPr>
            <w:tcW w:w="1458" w:type="dxa"/>
            <w:tcBorders>
              <w:top w:val="single" w:sz="4" w:space="0" w:color="auto"/>
            </w:tcBorders>
          </w:tcPr>
          <w:p w:rsidR="007622FF" w:rsidRPr="00261753" w:rsidRDefault="007622FF" w:rsidP="007622FF">
            <w:pPr>
              <w:pStyle w:val="Tabell-Siffror"/>
              <w:rPr>
                <w:i/>
              </w:rPr>
            </w:pPr>
            <w:r>
              <w:rPr>
                <w:i/>
              </w:rPr>
              <w:t>–</w:t>
            </w:r>
            <w:r w:rsidRPr="00261753">
              <w:rPr>
                <w:i/>
              </w:rPr>
              <w:t>156 522</w:t>
            </w:r>
          </w:p>
        </w:tc>
        <w:tc>
          <w:tcPr>
            <w:tcW w:w="1458" w:type="dxa"/>
            <w:tcBorders>
              <w:top w:val="single" w:sz="4" w:space="0" w:color="auto"/>
            </w:tcBorders>
            <w:vAlign w:val="bottom"/>
          </w:tcPr>
          <w:p w:rsidR="007622FF" w:rsidRPr="00E2574F" w:rsidRDefault="007622FF" w:rsidP="007622FF">
            <w:pPr>
              <w:pStyle w:val="Tabell-Siffror"/>
              <w:rPr>
                <w:i/>
              </w:rPr>
            </w:pPr>
            <w:r w:rsidRPr="00E2574F">
              <w:rPr>
                <w:i/>
              </w:rPr>
              <w:t>–</w:t>
            </w:r>
            <w:r>
              <w:rPr>
                <w:i/>
              </w:rPr>
              <w:t>137 981</w:t>
            </w:r>
          </w:p>
        </w:tc>
      </w:tr>
      <w:tr w:rsidR="007622FF" w:rsidRPr="00C430D6" w:rsidTr="00097D91">
        <w:tc>
          <w:tcPr>
            <w:tcW w:w="1457" w:type="dxa"/>
          </w:tcPr>
          <w:p w:rsidR="007622FF" w:rsidRPr="00E2574F" w:rsidRDefault="007622FF" w:rsidP="007622FF">
            <w:pPr>
              <w:pStyle w:val="Normaltindrag"/>
              <w:ind w:firstLine="0"/>
              <w:rPr>
                <w:i/>
                <w:sz w:val="16"/>
                <w:szCs w:val="16"/>
              </w:rPr>
            </w:pPr>
          </w:p>
        </w:tc>
        <w:tc>
          <w:tcPr>
            <w:tcW w:w="1458" w:type="dxa"/>
          </w:tcPr>
          <w:p w:rsidR="007622FF" w:rsidRPr="00E67ECB" w:rsidRDefault="007622FF" w:rsidP="007622FF">
            <w:pPr>
              <w:pStyle w:val="Tabelltextsiffror"/>
              <w:rPr>
                <w:i/>
                <w:sz w:val="16"/>
                <w:szCs w:val="16"/>
              </w:rPr>
            </w:pPr>
          </w:p>
        </w:tc>
        <w:tc>
          <w:tcPr>
            <w:tcW w:w="1458" w:type="dxa"/>
            <w:vAlign w:val="bottom"/>
          </w:tcPr>
          <w:p w:rsidR="007622FF" w:rsidRPr="00E2574F" w:rsidRDefault="007622FF" w:rsidP="007622FF">
            <w:pPr>
              <w:pStyle w:val="Tabelltextsiffror"/>
              <w:rPr>
                <w:i/>
                <w:sz w:val="16"/>
                <w:szCs w:val="16"/>
              </w:rPr>
            </w:pPr>
          </w:p>
        </w:tc>
        <w:tc>
          <w:tcPr>
            <w:tcW w:w="1458" w:type="dxa"/>
            <w:vAlign w:val="bottom"/>
          </w:tcPr>
          <w:p w:rsidR="007622FF" w:rsidRPr="00E2574F" w:rsidRDefault="007622FF" w:rsidP="007622FF">
            <w:pPr>
              <w:pStyle w:val="Tabelltextsiffror"/>
              <w:rPr>
                <w:i/>
                <w:sz w:val="16"/>
                <w:szCs w:val="16"/>
              </w:rPr>
            </w:pPr>
          </w:p>
        </w:tc>
      </w:tr>
      <w:tr w:rsidR="007622FF" w:rsidRPr="00C430D6" w:rsidTr="00097D91">
        <w:tc>
          <w:tcPr>
            <w:tcW w:w="1457" w:type="dxa"/>
            <w:tcBorders>
              <w:bottom w:val="single" w:sz="4" w:space="0" w:color="auto"/>
            </w:tcBorders>
          </w:tcPr>
          <w:p w:rsidR="007622FF" w:rsidRPr="00C430D6" w:rsidRDefault="007622FF" w:rsidP="007622FF">
            <w:pPr>
              <w:pStyle w:val="Tabell-Text"/>
            </w:pPr>
            <w:r>
              <w:t>Transfereringar</w:t>
            </w:r>
          </w:p>
        </w:tc>
        <w:tc>
          <w:tcPr>
            <w:tcW w:w="1458" w:type="dxa"/>
            <w:tcBorders>
              <w:bottom w:val="single" w:sz="4" w:space="0" w:color="auto"/>
            </w:tcBorders>
          </w:tcPr>
          <w:p w:rsidR="007622FF" w:rsidRPr="00E67ECB" w:rsidRDefault="007622FF" w:rsidP="007622FF">
            <w:pPr>
              <w:pStyle w:val="Tabell-Siffror"/>
            </w:pPr>
            <w:r w:rsidRPr="00E67ECB">
              <w:t>–</w:t>
            </w:r>
          </w:p>
        </w:tc>
        <w:tc>
          <w:tcPr>
            <w:tcW w:w="1458" w:type="dxa"/>
            <w:tcBorders>
              <w:bottom w:val="single" w:sz="4" w:space="0" w:color="auto"/>
            </w:tcBorders>
          </w:tcPr>
          <w:p w:rsidR="007622FF" w:rsidRPr="00A4685D" w:rsidRDefault="007622FF" w:rsidP="007622FF">
            <w:pPr>
              <w:pStyle w:val="Tabell-Siffror"/>
            </w:pPr>
            <w:r w:rsidRPr="00A4685D">
              <w:t>–</w:t>
            </w:r>
          </w:p>
        </w:tc>
        <w:tc>
          <w:tcPr>
            <w:tcW w:w="1458" w:type="dxa"/>
            <w:tcBorders>
              <w:bottom w:val="single" w:sz="4" w:space="0" w:color="auto"/>
            </w:tcBorders>
          </w:tcPr>
          <w:p w:rsidR="007622FF" w:rsidRPr="00A4685D" w:rsidRDefault="007622FF" w:rsidP="007622FF">
            <w:pPr>
              <w:pStyle w:val="Tabell-Siffror"/>
            </w:pPr>
            <w:r w:rsidRPr="00A4685D">
              <w:t>–</w:t>
            </w:r>
          </w:p>
        </w:tc>
      </w:tr>
      <w:tr w:rsidR="007622FF" w:rsidRPr="00C430D6" w:rsidTr="00097D91">
        <w:tc>
          <w:tcPr>
            <w:tcW w:w="1457" w:type="dxa"/>
            <w:tcBorders>
              <w:top w:val="single" w:sz="4" w:space="0" w:color="auto"/>
              <w:bottom w:val="single" w:sz="4" w:space="0" w:color="auto"/>
            </w:tcBorders>
          </w:tcPr>
          <w:p w:rsidR="007622FF" w:rsidRPr="00B35719" w:rsidRDefault="007622FF" w:rsidP="007622FF">
            <w:pPr>
              <w:pStyle w:val="Tabell-Text"/>
              <w:rPr>
                <w:b/>
              </w:rPr>
            </w:pPr>
            <w:r w:rsidRPr="00B35719">
              <w:rPr>
                <w:b/>
              </w:rPr>
              <w:t>Totalt</w:t>
            </w:r>
          </w:p>
        </w:tc>
        <w:tc>
          <w:tcPr>
            <w:tcW w:w="1458" w:type="dxa"/>
            <w:tcBorders>
              <w:top w:val="single" w:sz="4" w:space="0" w:color="auto"/>
              <w:bottom w:val="single" w:sz="4" w:space="0" w:color="auto"/>
            </w:tcBorders>
          </w:tcPr>
          <w:p w:rsidR="007622FF" w:rsidRPr="00E67ECB" w:rsidRDefault="00764C57" w:rsidP="007622FF">
            <w:pPr>
              <w:pStyle w:val="Tabell-Siffror"/>
              <w:rPr>
                <w:b/>
              </w:rPr>
            </w:pPr>
            <w:r w:rsidRPr="00E67ECB">
              <w:rPr>
                <w:b/>
              </w:rPr>
              <w:t>–116 473</w:t>
            </w:r>
          </w:p>
        </w:tc>
        <w:tc>
          <w:tcPr>
            <w:tcW w:w="1458" w:type="dxa"/>
            <w:tcBorders>
              <w:top w:val="single" w:sz="4" w:space="0" w:color="auto"/>
              <w:bottom w:val="single" w:sz="4" w:space="0" w:color="auto"/>
            </w:tcBorders>
          </w:tcPr>
          <w:p w:rsidR="007622FF" w:rsidRPr="00B35719" w:rsidRDefault="007622FF" w:rsidP="007622FF">
            <w:pPr>
              <w:pStyle w:val="Tabell-Siffror"/>
              <w:rPr>
                <w:b/>
              </w:rPr>
            </w:pPr>
            <w:r>
              <w:rPr>
                <w:b/>
              </w:rPr>
              <w:t>–</w:t>
            </w:r>
            <w:r w:rsidRPr="00261753">
              <w:rPr>
                <w:b/>
              </w:rPr>
              <w:t>156 522</w:t>
            </w:r>
          </w:p>
        </w:tc>
        <w:tc>
          <w:tcPr>
            <w:tcW w:w="1458" w:type="dxa"/>
            <w:tcBorders>
              <w:top w:val="single" w:sz="4" w:space="0" w:color="auto"/>
              <w:bottom w:val="single" w:sz="4" w:space="0" w:color="auto"/>
            </w:tcBorders>
          </w:tcPr>
          <w:p w:rsidR="007622FF" w:rsidRPr="00B35719" w:rsidRDefault="007622FF" w:rsidP="007622FF">
            <w:pPr>
              <w:pStyle w:val="Tabell-Siffror"/>
              <w:rPr>
                <w:b/>
              </w:rPr>
            </w:pPr>
            <w:r w:rsidRPr="00B35719">
              <w:rPr>
                <w:b/>
              </w:rPr>
              <w:t>–</w:t>
            </w:r>
            <w:r>
              <w:rPr>
                <w:b/>
              </w:rPr>
              <w:t>137 981</w:t>
            </w:r>
          </w:p>
        </w:tc>
      </w:tr>
    </w:tbl>
    <w:p w:rsidR="00880651" w:rsidRPr="0073523F" w:rsidRDefault="00244E09" w:rsidP="00B0031D">
      <w:r w:rsidRPr="00244E09">
        <w:lastRenderedPageBreak/>
        <w:t>I samband med övergången till komponentredovisning gjordes en översyn av avskrivningstiden för fastigheterna</w:t>
      </w:r>
      <w:r w:rsidR="003140AD">
        <w:t>,</w:t>
      </w:r>
      <w:r w:rsidRPr="00244E09">
        <w:t xml:space="preserve"> vilket innebar en ändring av avskrivningstiden och lägre avskrivningskostnader</w:t>
      </w:r>
      <w:r w:rsidR="00DA65F5">
        <w:t xml:space="preserve"> med drygt 20 miljoner kronor</w:t>
      </w:r>
      <w:r w:rsidRPr="00244E09">
        <w:t>. Uppdragsområdet uppv</w:t>
      </w:r>
      <w:r w:rsidR="009E1898">
        <w:t>isar även ett lägre utfall bland annat</w:t>
      </w:r>
      <w:r w:rsidRPr="00244E09">
        <w:t xml:space="preserve"> för planerat och felavhjälpande underhåll.</w:t>
      </w:r>
    </w:p>
    <w:p w:rsidR="00880651" w:rsidRPr="006F5521" w:rsidRDefault="00880651" w:rsidP="002C5239">
      <w:pPr>
        <w:pStyle w:val="Rubrik4"/>
      </w:pPr>
      <w:r w:rsidRPr="006F5521">
        <w:t>Fastigheter och lokaler</w:t>
      </w:r>
    </w:p>
    <w:p w:rsidR="00880651" w:rsidRPr="006F5521" w:rsidRDefault="00880651" w:rsidP="00880651">
      <w:r w:rsidRPr="006F5521">
        <w:t>Riksdagsförvaltningen förvaltar riks</w:t>
      </w:r>
      <w:r w:rsidR="00984575" w:rsidRPr="006F5521">
        <w:t xml:space="preserve">byggnaderna på Helgeandsholmen och </w:t>
      </w:r>
      <w:r w:rsidRPr="006F5521">
        <w:t>ett antal kontorsfastigheter i Gamla</w:t>
      </w:r>
      <w:r w:rsidR="00CF3AA1" w:rsidRPr="006F5521">
        <w:t xml:space="preserve"> s</w:t>
      </w:r>
      <w:r w:rsidR="00887456" w:rsidRPr="006F5521">
        <w:t>tan</w:t>
      </w:r>
      <w:r w:rsidR="00B74F98" w:rsidRPr="006F5521">
        <w:t>. L</w:t>
      </w:r>
      <w:r w:rsidR="00984575" w:rsidRPr="006F5521">
        <w:t>okalerna omfattar cirka 92 500 m²</w:t>
      </w:r>
      <w:r w:rsidRPr="006F5521">
        <w:t>. Dessutom förvaltas fastigheter med övernattningsbostäder och ett antal bostadsrättslägenheter som riksdagens ledamöter disponerar. I förvaltningens fastighetsbestånd ingår även Villa Bonnier som bland annat används för talmannens representation.</w:t>
      </w:r>
      <w:r w:rsidR="004604B9" w:rsidRPr="006F5521">
        <w:t xml:space="preserve"> Riksdagsförvaltningen ansvarar även för inhyrda kontorslokaler.</w:t>
      </w:r>
      <w:r w:rsidRPr="006F5521">
        <w:t xml:space="preserve"> </w:t>
      </w:r>
    </w:p>
    <w:p w:rsidR="00864B4C" w:rsidRDefault="00880651" w:rsidP="00053AA7">
      <w:pPr>
        <w:spacing w:before="0"/>
        <w:ind w:firstLine="227"/>
        <w:rPr>
          <w:u w:val="single"/>
        </w:rPr>
      </w:pPr>
      <w:r w:rsidRPr="00043305">
        <w:t>Riksdag</w:t>
      </w:r>
      <w:r w:rsidR="00B91371" w:rsidRPr="00043305">
        <w:t>sförvaltningen ska bedriva en attraktiv lokalförsörjning för riksda</w:t>
      </w:r>
      <w:r w:rsidR="000C543E">
        <w:t>gen genom att erbjuda trivsamma och</w:t>
      </w:r>
      <w:r w:rsidR="00B91371" w:rsidRPr="00043305">
        <w:t xml:space="preserve"> funktionella </w:t>
      </w:r>
      <w:r w:rsidR="000C543E" w:rsidRPr="000C543E">
        <w:t>lokaler</w:t>
      </w:r>
      <w:r w:rsidR="000C543E" w:rsidRPr="00043305">
        <w:t xml:space="preserve"> </w:t>
      </w:r>
      <w:r w:rsidR="000C543E">
        <w:t>som</w:t>
      </w:r>
      <w:r w:rsidR="00B91371" w:rsidRPr="00043305">
        <w:t xml:space="preserve"> </w:t>
      </w:r>
      <w:r w:rsidR="003140AD">
        <w:t>stöd</w:t>
      </w:r>
      <w:r w:rsidR="000C543E" w:rsidRPr="000C543E">
        <w:t>er verksamheten</w:t>
      </w:r>
      <w:r w:rsidR="00F27930">
        <w:t xml:space="preserve">. Riksdagens lokaler ska </w:t>
      </w:r>
      <w:r w:rsidR="00B91371" w:rsidRPr="00043305">
        <w:t>vå</w:t>
      </w:r>
      <w:r w:rsidR="00F078D7" w:rsidRPr="00043305">
        <w:t>rdas med hög medveten</w:t>
      </w:r>
      <w:r w:rsidR="00B91371" w:rsidRPr="00043305">
        <w:t>het om estetik, kvalitet och funktion kombinerat med hänsyn till kulturhistoriska värden.</w:t>
      </w:r>
      <w:r w:rsidR="00B91371" w:rsidRPr="00C772A0">
        <w:t xml:space="preserve"> Fastigheterna ska utnyttjas effektivt utifrån ett hållbarhetsperspektiv, till exempel </w:t>
      </w:r>
      <w:r w:rsidR="003140AD">
        <w:t xml:space="preserve">när det gäller </w:t>
      </w:r>
      <w:r w:rsidR="00B91371" w:rsidRPr="00C772A0">
        <w:t>miljö, energi och materialval.</w:t>
      </w:r>
      <w:r w:rsidR="00864B4C" w:rsidRPr="00C772A0">
        <w:t xml:space="preserve"> Tillgänglighet och säkerhet ska också beaktas.</w:t>
      </w:r>
    </w:p>
    <w:p w:rsidR="00B91371" w:rsidRPr="003E424F" w:rsidRDefault="00B91371" w:rsidP="00B91371">
      <w:pPr>
        <w:spacing w:before="0"/>
        <w:ind w:firstLine="227"/>
        <w:rPr>
          <w:u w:val="single"/>
        </w:rPr>
      </w:pPr>
      <w:r w:rsidRPr="00053AA7">
        <w:t xml:space="preserve"> Flera </w:t>
      </w:r>
      <w:r w:rsidR="00880651" w:rsidRPr="00053AA7">
        <w:t xml:space="preserve">av byggnaderna utgör en central del av det svenska kulturarvet. Dessa ska vårdas och bevaras så att de kan visas upp för allmänheten. Under året har förvaltningen vidtagit ett </w:t>
      </w:r>
      <w:r w:rsidRPr="00053AA7">
        <w:t xml:space="preserve">stort </w:t>
      </w:r>
      <w:r w:rsidR="00880651" w:rsidRPr="00053AA7">
        <w:t>antal åtgärder för att vårda och bevara fastighetsbeståndet.</w:t>
      </w:r>
      <w:r w:rsidRPr="00053AA7">
        <w:t xml:space="preserve"> </w:t>
      </w:r>
      <w:r w:rsidR="00880651" w:rsidRPr="007C5A50">
        <w:t>Fastighetsprojekt</w:t>
      </w:r>
      <w:r w:rsidR="00700551" w:rsidRPr="007C5A50">
        <w:t>en</w:t>
      </w:r>
      <w:r w:rsidR="00880651" w:rsidRPr="007C5A50">
        <w:t xml:space="preserve"> har bedrivits enligt plan</w:t>
      </w:r>
      <w:r w:rsidRPr="007C5A50">
        <w:t xml:space="preserve"> och </w:t>
      </w:r>
      <w:r w:rsidR="007C5A50" w:rsidRPr="007C5A50">
        <w:t xml:space="preserve">den </w:t>
      </w:r>
      <w:r w:rsidRPr="007C5A50">
        <w:t>har i huvudsak följts när det gäller kvalitet, tid och kostnad</w:t>
      </w:r>
      <w:r w:rsidR="00880651" w:rsidRPr="00053AA7">
        <w:t>.</w:t>
      </w:r>
      <w:r w:rsidR="00880651" w:rsidRPr="003E424F">
        <w:rPr>
          <w:u w:val="single"/>
        </w:rPr>
        <w:t xml:space="preserve"> </w:t>
      </w:r>
    </w:p>
    <w:p w:rsidR="00554DAD" w:rsidRPr="003E424F" w:rsidRDefault="00BB5D67" w:rsidP="00554DAD">
      <w:pPr>
        <w:pStyle w:val="Normaltindrag"/>
        <w:rPr>
          <w:u w:val="single"/>
        </w:rPr>
      </w:pPr>
      <w:r w:rsidRPr="00BB5D67">
        <w:t>Programarbete</w:t>
      </w:r>
      <w:r w:rsidR="00476F8A" w:rsidRPr="00BB5D67">
        <w:t xml:space="preserve"> pågår med </w:t>
      </w:r>
      <w:r w:rsidR="00554DAD" w:rsidRPr="00BB5D67">
        <w:t xml:space="preserve">syfte att </w:t>
      </w:r>
      <w:r w:rsidRPr="00BB5D67">
        <w:t xml:space="preserve">förbereda </w:t>
      </w:r>
      <w:r w:rsidR="003140AD">
        <w:t xml:space="preserve">den </w:t>
      </w:r>
      <w:r w:rsidRPr="00BB5D67">
        <w:t>kommande renovering</w:t>
      </w:r>
      <w:r w:rsidR="003140AD">
        <w:t>en</w:t>
      </w:r>
      <w:r w:rsidRPr="00BB5D67">
        <w:t xml:space="preserve"> av ledamotshuset</w:t>
      </w:r>
      <w:r w:rsidRPr="00A13B62">
        <w:t xml:space="preserve">. </w:t>
      </w:r>
      <w:r w:rsidR="00A13B62" w:rsidRPr="00A13B62">
        <w:t>I projektet</w:t>
      </w:r>
      <w:r w:rsidR="00554DAD" w:rsidRPr="00A13B62">
        <w:t xml:space="preserve"> ingår att säkerställa att </w:t>
      </w:r>
      <w:r w:rsidR="00F27930">
        <w:t>fastigheten</w:t>
      </w:r>
      <w:r w:rsidR="00554DAD" w:rsidRPr="00A13B62">
        <w:t xml:space="preserve"> anpassas till de verksamhetsbehov som finns hos ledamöterna, partikanslierna och Riksdagsförvaltningen.</w:t>
      </w:r>
      <w:r w:rsidR="00554DAD" w:rsidRPr="00B860B2">
        <w:t xml:space="preserve"> </w:t>
      </w:r>
      <w:r w:rsidR="00554DAD" w:rsidRPr="00A13B62">
        <w:t xml:space="preserve">Ledamöter och partikanslianställda </w:t>
      </w:r>
      <w:r w:rsidR="00A13B62" w:rsidRPr="00A13B62">
        <w:t xml:space="preserve">har varit delaktiga i </w:t>
      </w:r>
      <w:r w:rsidR="00554DAD" w:rsidRPr="00A13B62">
        <w:t>en verksamh</w:t>
      </w:r>
      <w:r w:rsidR="00A13B62" w:rsidRPr="00A13B62">
        <w:t>etsbeskrivning som har</w:t>
      </w:r>
      <w:r w:rsidR="00554DAD" w:rsidRPr="00A13B62">
        <w:t xml:space="preserve"> upprätta</w:t>
      </w:r>
      <w:r w:rsidR="00A13B62" w:rsidRPr="00A13B62">
        <w:t>t</w:t>
      </w:r>
      <w:r w:rsidR="00554DAD" w:rsidRPr="00A13B62">
        <w:t>s</w:t>
      </w:r>
      <w:r w:rsidR="00A13B62" w:rsidRPr="00A13B62">
        <w:t xml:space="preserve"> i förstudien och de kommer också att delta i en brukargrupp under projektets gång</w:t>
      </w:r>
      <w:r w:rsidR="00554DAD" w:rsidRPr="00A13B62">
        <w:t xml:space="preserve">. </w:t>
      </w:r>
      <w:r w:rsidR="00D61B3D">
        <w:t>Resultatet av programarbetet kommer att redovisas för riksdagsstyrelsen under första halvåret 2017.</w:t>
      </w:r>
    </w:p>
    <w:p w:rsidR="00880651" w:rsidRPr="003E424F" w:rsidRDefault="00880651" w:rsidP="00880651">
      <w:pPr>
        <w:spacing w:before="0"/>
        <w:ind w:firstLine="227"/>
        <w:rPr>
          <w:u w:val="single"/>
        </w:rPr>
      </w:pPr>
      <w:r w:rsidRPr="005E3F85">
        <w:t xml:space="preserve">Förvaltningen </w:t>
      </w:r>
      <w:r w:rsidR="005E3F85" w:rsidRPr="005E3F85">
        <w:t xml:space="preserve">fortsätter att </w:t>
      </w:r>
      <w:r w:rsidRPr="005E3F85">
        <w:t>se</w:t>
      </w:r>
      <w:r w:rsidR="005E3F85" w:rsidRPr="005E3F85">
        <w:t xml:space="preserve"> över och utveckla</w:t>
      </w:r>
      <w:r w:rsidRPr="005E3F85">
        <w:t xml:space="preserve"> de processer som ingår i uppdragsområdet.</w:t>
      </w:r>
      <w:r w:rsidR="005E3F85">
        <w:t xml:space="preserve"> </w:t>
      </w:r>
      <w:r w:rsidR="005E3F85" w:rsidRPr="00B860B2">
        <w:t>P</w:t>
      </w:r>
      <w:r w:rsidR="008943EA" w:rsidRPr="005E3F85">
        <w:t>rojektmodell</w:t>
      </w:r>
      <w:r w:rsidR="005E3F85" w:rsidRPr="005E3F85">
        <w:t>en</w:t>
      </w:r>
      <w:r w:rsidR="008943EA" w:rsidRPr="005E3F85">
        <w:t xml:space="preserve"> för att genomföra fastighetsprojekt förbättras kontinuerligt utifrån erfarenheter och lärdomar från de projekt som genomförs</w:t>
      </w:r>
      <w:r w:rsidR="008943EA" w:rsidRPr="00387A34">
        <w:t>. Under året har förvaltni</w:t>
      </w:r>
      <w:r w:rsidR="00476F8A" w:rsidRPr="00387A34">
        <w:t xml:space="preserve">ngen fastställt </w:t>
      </w:r>
      <w:r w:rsidR="005E3F85" w:rsidRPr="00387A34">
        <w:t xml:space="preserve">en vägledning för konst i riksdagens byggnader och </w:t>
      </w:r>
      <w:r w:rsidR="003140AD">
        <w:t xml:space="preserve">ett </w:t>
      </w:r>
      <w:r w:rsidR="005E3F85" w:rsidRPr="00387A34">
        <w:t xml:space="preserve">vårdprogram för </w:t>
      </w:r>
      <w:r w:rsidR="005E27BD" w:rsidRPr="00387A34">
        <w:t>interiör</w:t>
      </w:r>
      <w:r w:rsidR="005E27BD">
        <w:t xml:space="preserve"> i</w:t>
      </w:r>
      <w:r w:rsidR="005E27BD" w:rsidRPr="00387A34">
        <w:t xml:space="preserve"> </w:t>
      </w:r>
      <w:r w:rsidR="005E3F85" w:rsidRPr="00387A34">
        <w:t>fastigheten Neptunus</w:t>
      </w:r>
      <w:r w:rsidR="008943EA" w:rsidRPr="00387A34">
        <w:t>.</w:t>
      </w:r>
    </w:p>
    <w:p w:rsidR="00880651" w:rsidRPr="009C50B1" w:rsidRDefault="00880651" w:rsidP="002C5239">
      <w:pPr>
        <w:pStyle w:val="Rubrik4"/>
      </w:pPr>
      <w:r w:rsidRPr="009C50B1">
        <w:t>Konst och inredning</w:t>
      </w:r>
    </w:p>
    <w:p w:rsidR="00880651" w:rsidRPr="009C50B1" w:rsidRDefault="00880651" w:rsidP="00880651">
      <w:r w:rsidRPr="009C50B1">
        <w:t>Förvaltningen ska vårda och bevara riksdagens konstsamling och inred</w:t>
      </w:r>
      <w:r w:rsidR="00B601DC" w:rsidRPr="009C50B1">
        <w:t>ning. Konstsamlingen omfattar cirka</w:t>
      </w:r>
      <w:r w:rsidRPr="009C50B1">
        <w:t xml:space="preserve"> 4 000 konstverk</w:t>
      </w:r>
      <w:r w:rsidR="003140AD">
        <w:t>,</w:t>
      </w:r>
      <w:r w:rsidRPr="009C50B1">
        <w:t xml:space="preserve"> varav huvuddelen utgörs av svensk 1900-talskonst. Samlingen består av såväl måleri och </w:t>
      </w:r>
      <w:r w:rsidR="00115BCF" w:rsidRPr="009C50B1">
        <w:t xml:space="preserve">teckningar </w:t>
      </w:r>
      <w:r w:rsidR="00115BCF">
        <w:t xml:space="preserve">som skulptur </w:t>
      </w:r>
      <w:r w:rsidRPr="009C50B1">
        <w:t xml:space="preserve">och textilkonst. Särskilda konstvisningar arrangeras regelbundet för </w:t>
      </w:r>
      <w:r w:rsidRPr="009C50B1">
        <w:lastRenderedPageBreak/>
        <w:t xml:space="preserve">allmänheten och speciella grupper. Förvaltningens eget snickeri ansvarar för reparation och underhåll av möbler och inventarier. </w:t>
      </w:r>
    </w:p>
    <w:p w:rsidR="00880651" w:rsidRPr="00B02E98" w:rsidRDefault="00880651" w:rsidP="002C5239">
      <w:pPr>
        <w:pStyle w:val="Rubrik4"/>
      </w:pPr>
      <w:r w:rsidRPr="00B02E98">
        <w:t>Äldre riksdagsdokument</w:t>
      </w:r>
    </w:p>
    <w:p w:rsidR="00880651" w:rsidRPr="00B02E98" w:rsidRDefault="00B02E98" w:rsidP="00880651">
      <w:r w:rsidRPr="00B02E98">
        <w:t>Under 2016</w:t>
      </w:r>
      <w:r w:rsidR="00880651" w:rsidRPr="00B02E98">
        <w:t xml:space="preserve"> har arbetet med att transkribera handskrivna protokoll från ståndsriksdagen fortsatt. </w:t>
      </w:r>
      <w:r w:rsidR="00DE3A36" w:rsidRPr="00B02E98">
        <w:t>Enligt utgivningsplanen kommer Borgarståndens och Prästeståndens protokoll 1760–1762 (</w:t>
      </w:r>
      <w:r w:rsidR="00941AB4" w:rsidRPr="00B02E98">
        <w:t>sju</w:t>
      </w:r>
      <w:r w:rsidRPr="00B02E98">
        <w:t xml:space="preserve"> band) att ges ut </w:t>
      </w:r>
      <w:r w:rsidR="00DE3A36" w:rsidRPr="00B02E98">
        <w:t xml:space="preserve">2017. </w:t>
      </w:r>
    </w:p>
    <w:p w:rsidR="00880651" w:rsidRPr="00C17466" w:rsidRDefault="00636D19" w:rsidP="00C17466">
      <w:pPr>
        <w:spacing w:before="0"/>
        <w:ind w:firstLine="227"/>
      </w:pPr>
      <w:r w:rsidRPr="00636D19">
        <w:t>Den digitalisering</w:t>
      </w:r>
      <w:r w:rsidR="00880651" w:rsidRPr="00636D19">
        <w:t xml:space="preserve"> av c</w:t>
      </w:r>
      <w:r w:rsidR="00A04C0B" w:rsidRPr="00636D19">
        <w:t>irk</w:t>
      </w:r>
      <w:r w:rsidR="00880651" w:rsidRPr="00636D19">
        <w:t xml:space="preserve">a </w:t>
      </w:r>
      <w:r w:rsidR="00DE3A36" w:rsidRPr="00636D19">
        <w:t>2 </w:t>
      </w:r>
      <w:r w:rsidR="00880651" w:rsidRPr="00636D19">
        <w:t>5</w:t>
      </w:r>
      <w:r w:rsidR="00DE3A36" w:rsidRPr="00636D19">
        <w:t>0</w:t>
      </w:r>
      <w:r w:rsidR="00880651" w:rsidRPr="00636D19">
        <w:t xml:space="preserve">0 000 sidor från </w:t>
      </w:r>
      <w:r w:rsidR="00DE3A36" w:rsidRPr="00636D19">
        <w:t>två</w:t>
      </w:r>
      <w:r w:rsidR="00880651" w:rsidRPr="00636D19">
        <w:t>kam</w:t>
      </w:r>
      <w:r w:rsidR="00DE3A36" w:rsidRPr="00636D19">
        <w:t xml:space="preserve">marriksdagen </w:t>
      </w:r>
      <w:r w:rsidRPr="00636D19">
        <w:t>som påbörjades 2015 har slutförts under 2016.</w:t>
      </w:r>
      <w:r>
        <w:t xml:space="preserve"> Materialet kontrollgranskas och </w:t>
      </w:r>
      <w:r w:rsidR="00C17466">
        <w:t xml:space="preserve">det </w:t>
      </w:r>
      <w:r>
        <w:t>arbetet kommer att slutföras under 2017.</w:t>
      </w:r>
    </w:p>
    <w:p w:rsidR="00880651" w:rsidRPr="00880651" w:rsidRDefault="00880651" w:rsidP="002C5239">
      <w:pPr>
        <w:pStyle w:val="Rubrik3"/>
      </w:pPr>
      <w:bookmarkStart w:id="25" w:name="_Toc411239640"/>
      <w:bookmarkStart w:id="26" w:name="_Toc474168601"/>
      <w:r w:rsidRPr="00880651">
        <w:t>3.5 Myndighet och arbetsgivare – uppdragsområde E</w:t>
      </w:r>
      <w:bookmarkEnd w:id="25"/>
      <w:bookmarkEnd w:id="26"/>
    </w:p>
    <w:p w:rsidR="00880651" w:rsidRDefault="00880651" w:rsidP="00880651">
      <w:pPr>
        <w:spacing w:after="62"/>
      </w:pPr>
      <w:r w:rsidRPr="00880651">
        <w:t>Riksdagsförvaltningens uppdrag inom område E är att vara en väl fungerande myndi</w:t>
      </w:r>
      <w:r w:rsidR="00663ECE">
        <w:t>ghet och arbetsgivare för</w:t>
      </w:r>
      <w:r w:rsidRPr="00880651">
        <w:t xml:space="preserve"> att på bästa sätt kunna stödja den parlamentariska processen. Till detta område hör bland annat verksamhetsplanering</w:t>
      </w:r>
      <w:r w:rsidR="00663ECE">
        <w:t xml:space="preserve"> och uppföljning</w:t>
      </w:r>
      <w:r w:rsidRPr="00880651">
        <w:t>, budget</w:t>
      </w:r>
      <w:r w:rsidR="00663ECE">
        <w:t xml:space="preserve">arbete, </w:t>
      </w:r>
      <w:r w:rsidRPr="00880651">
        <w:t>kompe</w:t>
      </w:r>
      <w:r w:rsidR="00663ECE">
        <w:t xml:space="preserve">tensförsörjning, </w:t>
      </w:r>
      <w:r w:rsidRPr="00880651">
        <w:t xml:space="preserve">it-stöd </w:t>
      </w:r>
      <w:r w:rsidR="00663ECE">
        <w:t>och</w:t>
      </w:r>
      <w:r w:rsidRPr="00880651">
        <w:t xml:space="preserve"> administrativa uppgifter </w:t>
      </w:r>
      <w:r w:rsidR="00663ECE">
        <w:t xml:space="preserve">inom ekonomi </w:t>
      </w:r>
      <w:r w:rsidRPr="00880651">
        <w:t xml:space="preserve">och förvaltningsjuridik m.m. Dessutom ger Riksdagsförvaltningen stöd till riksdagens myndigheter och nämnder. </w:t>
      </w:r>
    </w:p>
    <w:p w:rsidR="006153C9" w:rsidRPr="006153C9" w:rsidRDefault="006153C9" w:rsidP="006153C9">
      <w:pPr>
        <w:pStyle w:val="Normaltindrag"/>
      </w:pPr>
    </w:p>
    <w:tbl>
      <w:tblPr>
        <w:tblStyle w:val="Tabellrutnt"/>
        <w:tblW w:w="0" w:type="auto"/>
        <w:tblLook w:val="04A0" w:firstRow="1" w:lastRow="0" w:firstColumn="1" w:lastColumn="0" w:noHBand="0" w:noVBand="1"/>
      </w:tblPr>
      <w:tblGrid>
        <w:gridCol w:w="5887"/>
      </w:tblGrid>
      <w:tr w:rsidR="00880651" w:rsidRPr="00880651" w:rsidTr="00F3314A">
        <w:trPr>
          <w:trHeight w:val="985"/>
        </w:trPr>
        <w:tc>
          <w:tcPr>
            <w:tcW w:w="5887" w:type="dxa"/>
            <w:tcBorders>
              <w:bottom w:val="nil"/>
            </w:tcBorders>
          </w:tcPr>
          <w:p w:rsidR="00880651" w:rsidRPr="0047787A" w:rsidRDefault="00880651" w:rsidP="00880651">
            <w:pPr>
              <w:spacing w:before="125"/>
              <w:rPr>
                <w:b/>
              </w:rPr>
            </w:pPr>
            <w:r w:rsidRPr="0047787A">
              <w:rPr>
                <w:b/>
              </w:rPr>
              <w:t>Resultat och utveckling – sammanfattning</w:t>
            </w:r>
          </w:p>
          <w:p w:rsidR="00880651" w:rsidRPr="0047787A" w:rsidRDefault="00880651" w:rsidP="00880651">
            <w:pPr>
              <w:spacing w:before="0"/>
            </w:pPr>
            <w:r w:rsidRPr="0047787A">
              <w:t>Förvaltningen bedömer att den har varit en väl fungerande myndighet och arbetsgivare</w:t>
            </w:r>
            <w:r w:rsidR="00E833CB">
              <w:t>, även om sjukfrånvaron har ökat något</w:t>
            </w:r>
            <w:r w:rsidRPr="0047787A">
              <w:t>. Bedömningen baseras i huvudsak på följande fakta:</w:t>
            </w:r>
          </w:p>
          <w:p w:rsidR="00880651" w:rsidRPr="00405665" w:rsidRDefault="00880651" w:rsidP="008F2D65">
            <w:pPr>
              <w:pStyle w:val="Punktlistabomb"/>
              <w:spacing w:after="0"/>
              <w:rPr>
                <w:i/>
                <w:iCs/>
              </w:rPr>
            </w:pPr>
            <w:r w:rsidRPr="00405665">
              <w:rPr>
                <w:i/>
                <w:iCs/>
              </w:rPr>
              <w:t xml:space="preserve">Sjukfrånvaron </w:t>
            </w:r>
            <w:r w:rsidR="00E833CB" w:rsidRPr="00405665">
              <w:rPr>
                <w:i/>
                <w:iCs/>
              </w:rPr>
              <w:t>har ökat något</w:t>
            </w:r>
            <w:r w:rsidRPr="00405665">
              <w:rPr>
                <w:i/>
                <w:iCs/>
              </w:rPr>
              <w:t xml:space="preserve"> </w:t>
            </w:r>
          </w:p>
          <w:p w:rsidR="00880651" w:rsidRPr="00E833CB" w:rsidRDefault="00E833CB" w:rsidP="008F2D65">
            <w:pPr>
              <w:tabs>
                <w:tab w:val="left" w:pos="284"/>
              </w:tabs>
              <w:spacing w:before="0"/>
              <w:ind w:left="284"/>
              <w:rPr>
                <w:rFonts w:eastAsia="Times New Roman"/>
                <w:szCs w:val="24"/>
                <w:lang w:eastAsia="sv-SE"/>
              </w:rPr>
            </w:pPr>
            <w:r w:rsidRPr="00E833CB">
              <w:rPr>
                <w:rFonts w:eastAsia="Times New Roman"/>
                <w:szCs w:val="24"/>
                <w:lang w:eastAsia="sv-SE"/>
              </w:rPr>
              <w:t>Den totala sjukfrånvaron i procent av tillgänglig arbetstid var 3,4 procent 2016, vilket är en ökning jämfört med de senaste åren (2,9 procent 2015 och 2,6</w:t>
            </w:r>
            <w:r w:rsidR="00544521">
              <w:rPr>
                <w:rFonts w:eastAsia="Times New Roman"/>
                <w:szCs w:val="24"/>
                <w:lang w:eastAsia="sv-SE"/>
              </w:rPr>
              <w:t xml:space="preserve"> procent</w:t>
            </w:r>
            <w:r w:rsidRPr="00E833CB">
              <w:rPr>
                <w:rFonts w:eastAsia="Times New Roman"/>
                <w:szCs w:val="24"/>
                <w:lang w:eastAsia="sv-SE"/>
              </w:rPr>
              <w:t xml:space="preserve"> 2014). </w:t>
            </w:r>
          </w:p>
          <w:p w:rsidR="00D803F9" w:rsidRPr="00405665" w:rsidRDefault="007818E4" w:rsidP="00D32B85">
            <w:pPr>
              <w:pStyle w:val="Punktlistabomb"/>
            </w:pPr>
            <w:r w:rsidRPr="00405665">
              <w:rPr>
                <w:i/>
              </w:rPr>
              <w:t>Kompetensanalyser genomför</w:t>
            </w:r>
            <w:r w:rsidR="00D32B85" w:rsidRPr="00405665">
              <w:rPr>
                <w:i/>
              </w:rPr>
              <w:t>s för att säkerställa framtida kompetensförsörjning</w:t>
            </w:r>
          </w:p>
          <w:p w:rsidR="00880651" w:rsidRPr="009B69DB" w:rsidRDefault="004855DF" w:rsidP="00D803F9">
            <w:pPr>
              <w:pStyle w:val="Punktlistabomb"/>
              <w:numPr>
                <w:ilvl w:val="0"/>
                <w:numId w:val="0"/>
              </w:numPr>
              <w:spacing w:before="0" w:after="0"/>
              <w:ind w:left="284"/>
              <w:contextualSpacing w:val="0"/>
            </w:pPr>
            <w:r w:rsidRPr="004855DF">
              <w:t>Under hösten har kompetensanalyser genomförts på alla nivåer i förvaltningen. Analyserna har sedan legat till grund för det strategiska kompetensförsörjningsarbetet i förvaltningen.</w:t>
            </w:r>
            <w:r w:rsidR="00380E05" w:rsidRPr="009B69DB">
              <w:t xml:space="preserve"> </w:t>
            </w:r>
          </w:p>
        </w:tc>
      </w:tr>
      <w:tr w:rsidR="00880651" w:rsidRPr="00880651" w:rsidTr="00A861AC">
        <w:trPr>
          <w:trHeight w:val="644"/>
        </w:trPr>
        <w:tc>
          <w:tcPr>
            <w:tcW w:w="5887" w:type="dxa"/>
            <w:tcBorders>
              <w:top w:val="nil"/>
            </w:tcBorders>
          </w:tcPr>
          <w:p w:rsidR="00880651" w:rsidRPr="00405665" w:rsidRDefault="00880651" w:rsidP="008F2D65">
            <w:pPr>
              <w:pStyle w:val="Punktlistabomb"/>
              <w:spacing w:before="0" w:after="0"/>
              <w:rPr>
                <w:i/>
                <w:iCs/>
              </w:rPr>
            </w:pPr>
            <w:r w:rsidRPr="00405665">
              <w:rPr>
                <w:i/>
                <w:iCs/>
              </w:rPr>
              <w:t>Tillgånge</w:t>
            </w:r>
            <w:r w:rsidR="00DD2837" w:rsidRPr="00405665">
              <w:rPr>
                <w:i/>
                <w:iCs/>
              </w:rPr>
              <w:t xml:space="preserve">n till it-stöd </w:t>
            </w:r>
            <w:r w:rsidR="007818E4" w:rsidRPr="00405665">
              <w:rPr>
                <w:i/>
                <w:iCs/>
              </w:rPr>
              <w:t>är</w:t>
            </w:r>
            <w:r w:rsidR="00DD2837" w:rsidRPr="00405665">
              <w:rPr>
                <w:i/>
                <w:iCs/>
              </w:rPr>
              <w:t xml:space="preserve"> stabil</w:t>
            </w:r>
            <w:r w:rsidRPr="00405665">
              <w:rPr>
                <w:i/>
                <w:iCs/>
              </w:rPr>
              <w:t xml:space="preserve"> </w:t>
            </w:r>
          </w:p>
          <w:p w:rsidR="00880651" w:rsidRPr="004855DF" w:rsidRDefault="004855DF" w:rsidP="008F2D65">
            <w:pPr>
              <w:tabs>
                <w:tab w:val="left" w:pos="284"/>
              </w:tabs>
              <w:spacing w:before="0"/>
              <w:ind w:left="284"/>
              <w:contextualSpacing/>
              <w:rPr>
                <w:rFonts w:eastAsia="Times New Roman"/>
                <w:szCs w:val="24"/>
                <w:lang w:eastAsia="sv-SE"/>
              </w:rPr>
            </w:pPr>
            <w:r w:rsidRPr="004855DF">
              <w:rPr>
                <w:rFonts w:eastAsia="Times New Roman"/>
                <w:szCs w:val="24"/>
                <w:lang w:eastAsia="sv-SE"/>
              </w:rPr>
              <w:t>De kritiska incidenterna har minskat i jämförelse med 2014 och</w:t>
            </w:r>
            <w:r w:rsidR="003D7456">
              <w:rPr>
                <w:rFonts w:eastAsia="Times New Roman"/>
                <w:szCs w:val="24"/>
                <w:lang w:eastAsia="sv-SE"/>
              </w:rPr>
              <w:t xml:space="preserve"> 2015. Under året inträffade 2</w:t>
            </w:r>
            <w:r w:rsidRPr="004855DF">
              <w:rPr>
                <w:rFonts w:eastAsia="Times New Roman"/>
                <w:szCs w:val="24"/>
                <w:lang w:eastAsia="sv-SE"/>
              </w:rPr>
              <w:t xml:space="preserve"> kritiska </w:t>
            </w:r>
            <w:r w:rsidR="003D7456">
              <w:rPr>
                <w:rFonts w:eastAsia="Times New Roman"/>
                <w:szCs w:val="24"/>
                <w:lang w:eastAsia="sv-SE"/>
              </w:rPr>
              <w:t>incidenter, 2015 inträffade 4</w:t>
            </w:r>
            <w:r w:rsidRPr="004855DF">
              <w:rPr>
                <w:rFonts w:eastAsia="Times New Roman"/>
                <w:szCs w:val="24"/>
                <w:lang w:eastAsia="sv-SE"/>
              </w:rPr>
              <w:t xml:space="preserve"> och 2014 inträffade 19 kritiska incidenter.</w:t>
            </w:r>
          </w:p>
          <w:p w:rsidR="00880651" w:rsidRPr="00405665" w:rsidRDefault="001875E2" w:rsidP="00670CCD">
            <w:pPr>
              <w:pStyle w:val="Punktlistabomb"/>
              <w:spacing w:before="0" w:after="0"/>
              <w:rPr>
                <w:i/>
                <w:iCs/>
              </w:rPr>
            </w:pPr>
            <w:r w:rsidRPr="00405665">
              <w:rPr>
                <w:i/>
                <w:iCs/>
              </w:rPr>
              <w:t>F</w:t>
            </w:r>
            <w:r w:rsidR="007818E4" w:rsidRPr="00405665">
              <w:rPr>
                <w:i/>
                <w:iCs/>
              </w:rPr>
              <w:t>örvaltningen når</w:t>
            </w:r>
            <w:r w:rsidR="00670CCD" w:rsidRPr="00405665">
              <w:rPr>
                <w:i/>
                <w:iCs/>
              </w:rPr>
              <w:t xml:space="preserve"> </w:t>
            </w:r>
            <w:r w:rsidR="00C66D19" w:rsidRPr="00405665">
              <w:rPr>
                <w:i/>
                <w:iCs/>
              </w:rPr>
              <w:t>sina miljömål</w:t>
            </w:r>
          </w:p>
          <w:p w:rsidR="009B69DB" w:rsidRPr="009B69DB" w:rsidRDefault="0042013F" w:rsidP="009B69DB">
            <w:pPr>
              <w:pStyle w:val="Punktlistabomb"/>
              <w:numPr>
                <w:ilvl w:val="0"/>
                <w:numId w:val="0"/>
              </w:numPr>
              <w:spacing w:before="0" w:after="0"/>
              <w:ind w:left="284"/>
              <w:rPr>
                <w:iCs/>
                <w:highlight w:val="yellow"/>
              </w:rPr>
            </w:pPr>
            <w:r w:rsidRPr="0042013F">
              <w:rPr>
                <w:iCs/>
              </w:rPr>
              <w:t>Förvaltningen har i enlighet med miljömål</w:t>
            </w:r>
            <w:r w:rsidR="00AD7667">
              <w:rPr>
                <w:iCs/>
              </w:rPr>
              <w:t>en minskat koldioxidutsläppen från</w:t>
            </w:r>
            <w:r w:rsidRPr="0042013F">
              <w:rPr>
                <w:iCs/>
              </w:rPr>
              <w:t xml:space="preserve"> sina fordon, reducerat antalet tekniska apparater för att minska förekomsten av farliga ämnen, tagit fram miljöprogram för renoveringen av ledamotshuset samt ställt miljökrav i en rad upphandlingar.</w:t>
            </w:r>
          </w:p>
          <w:p w:rsidR="00CB32F9" w:rsidRPr="0073523F" w:rsidRDefault="00927DE8" w:rsidP="00CB32F9">
            <w:pPr>
              <w:spacing w:after="120"/>
            </w:pPr>
            <w:r w:rsidRPr="004C56EA">
              <w:lastRenderedPageBreak/>
              <w:t xml:space="preserve">Riksdagsförvaltningen har fortsatt att skapa förutsättningar för ett långsiktigt och hållbart förbättringsarbete. Under året har förvaltningen bland annat arbetat med sin nya värdegrund och </w:t>
            </w:r>
            <w:r w:rsidR="009A20F1">
              <w:t xml:space="preserve">tagit fram </w:t>
            </w:r>
            <w:r w:rsidRPr="004C56EA">
              <w:t>en handlingsplan för att etablera ett systematiskt fö</w:t>
            </w:r>
            <w:r w:rsidR="009A20F1">
              <w:t>rbättringsarbete</w:t>
            </w:r>
            <w:r w:rsidRPr="004C56EA">
              <w:t>.</w:t>
            </w:r>
          </w:p>
        </w:tc>
      </w:tr>
    </w:tbl>
    <w:p w:rsidR="00880651" w:rsidRDefault="00AF0EF8" w:rsidP="00880651">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lastRenderedPageBreak/>
        <w:t>Tabell 28</w:t>
      </w:r>
      <w:r w:rsidR="00880651" w:rsidRPr="00880651">
        <w:rPr>
          <w:rFonts w:eastAsiaTheme="majorEastAsia" w:cstheme="majorBidi"/>
          <w:b/>
        </w:rPr>
        <w:t xml:space="preserve"> Intäkter, kostnader och transfereringar inom uppdrags-</w:t>
      </w:r>
      <w:r w:rsidR="00880651" w:rsidRPr="00880651">
        <w:rPr>
          <w:rFonts w:eastAsiaTheme="majorEastAsia" w:cstheme="majorBidi"/>
          <w:b/>
        </w:rPr>
        <w:br/>
        <w:t>område E (tkr)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458"/>
        <w:gridCol w:w="1458"/>
        <w:gridCol w:w="1458"/>
      </w:tblGrid>
      <w:tr w:rsidR="00327FE7" w:rsidRPr="00C430D6" w:rsidTr="00097D91">
        <w:tc>
          <w:tcPr>
            <w:tcW w:w="1457" w:type="dxa"/>
            <w:tcBorders>
              <w:top w:val="single" w:sz="4" w:space="0" w:color="auto"/>
              <w:bottom w:val="single" w:sz="4" w:space="0" w:color="auto"/>
            </w:tcBorders>
          </w:tcPr>
          <w:p w:rsidR="00327FE7" w:rsidRPr="00C430D6" w:rsidRDefault="00327FE7" w:rsidP="00097D91">
            <w:pPr>
              <w:pStyle w:val="Normaltindrag"/>
              <w:spacing w:before="60" w:line="200" w:lineRule="exact"/>
              <w:ind w:firstLine="0"/>
              <w:rPr>
                <w:sz w:val="16"/>
                <w:szCs w:val="16"/>
              </w:rPr>
            </w:pPr>
          </w:p>
        </w:tc>
        <w:tc>
          <w:tcPr>
            <w:tcW w:w="1458" w:type="dxa"/>
            <w:tcBorders>
              <w:top w:val="single" w:sz="4" w:space="0" w:color="auto"/>
              <w:bottom w:val="single" w:sz="4" w:space="0" w:color="auto"/>
            </w:tcBorders>
          </w:tcPr>
          <w:p w:rsidR="00327FE7" w:rsidRPr="004C56EA" w:rsidRDefault="00327FE7" w:rsidP="00097D91">
            <w:pPr>
              <w:pStyle w:val="Tabell-Siffror"/>
              <w:spacing w:before="60" w:line="200" w:lineRule="exact"/>
              <w:rPr>
                <w:b/>
              </w:rPr>
            </w:pPr>
            <w:r w:rsidRPr="004C56EA">
              <w:rPr>
                <w:b/>
              </w:rPr>
              <w:t>201</w:t>
            </w:r>
            <w:r w:rsidR="00BA5E4B" w:rsidRPr="004C56EA">
              <w:rPr>
                <w:b/>
              </w:rPr>
              <w:t>6</w:t>
            </w:r>
          </w:p>
        </w:tc>
        <w:tc>
          <w:tcPr>
            <w:tcW w:w="1458" w:type="dxa"/>
            <w:tcBorders>
              <w:top w:val="single" w:sz="4" w:space="0" w:color="auto"/>
              <w:bottom w:val="single" w:sz="4" w:space="0" w:color="auto"/>
            </w:tcBorders>
          </w:tcPr>
          <w:p w:rsidR="00327FE7" w:rsidRPr="00746A8C" w:rsidRDefault="00327FE7" w:rsidP="00097D91">
            <w:pPr>
              <w:pStyle w:val="Tabell-Siffror"/>
              <w:spacing w:before="60" w:line="200" w:lineRule="exact"/>
              <w:rPr>
                <w:b/>
              </w:rPr>
            </w:pPr>
            <w:r w:rsidRPr="00746A8C">
              <w:rPr>
                <w:b/>
              </w:rPr>
              <w:t>201</w:t>
            </w:r>
            <w:r w:rsidR="00BA5E4B">
              <w:rPr>
                <w:b/>
              </w:rPr>
              <w:t>5</w:t>
            </w:r>
          </w:p>
        </w:tc>
        <w:tc>
          <w:tcPr>
            <w:tcW w:w="1458" w:type="dxa"/>
            <w:tcBorders>
              <w:top w:val="single" w:sz="4" w:space="0" w:color="auto"/>
              <w:bottom w:val="single" w:sz="4" w:space="0" w:color="auto"/>
            </w:tcBorders>
          </w:tcPr>
          <w:p w:rsidR="00327FE7" w:rsidRPr="00746A8C" w:rsidRDefault="00327FE7" w:rsidP="00BA6D78">
            <w:pPr>
              <w:pStyle w:val="Tabell-Siffror"/>
              <w:spacing w:before="60" w:line="200" w:lineRule="exact"/>
              <w:rPr>
                <w:b/>
              </w:rPr>
            </w:pPr>
            <w:r w:rsidRPr="00746A8C">
              <w:rPr>
                <w:b/>
              </w:rPr>
              <w:t>201</w:t>
            </w:r>
            <w:r w:rsidR="00BA5E4B">
              <w:rPr>
                <w:b/>
              </w:rPr>
              <w:t>4</w:t>
            </w:r>
          </w:p>
        </w:tc>
      </w:tr>
      <w:tr w:rsidR="00BA5E4B" w:rsidRPr="00C430D6" w:rsidTr="00097D91">
        <w:tc>
          <w:tcPr>
            <w:tcW w:w="1457" w:type="dxa"/>
            <w:tcBorders>
              <w:top w:val="single" w:sz="4" w:space="0" w:color="auto"/>
            </w:tcBorders>
          </w:tcPr>
          <w:p w:rsidR="00BA5E4B" w:rsidRPr="00C430D6" w:rsidRDefault="00BA5E4B" w:rsidP="00BA5E4B">
            <w:pPr>
              <w:pStyle w:val="Normaltindrag"/>
              <w:spacing w:before="60" w:line="200" w:lineRule="exact"/>
              <w:ind w:firstLine="0"/>
              <w:rPr>
                <w:sz w:val="16"/>
                <w:szCs w:val="16"/>
              </w:rPr>
            </w:pPr>
            <w:r>
              <w:rPr>
                <w:sz w:val="16"/>
                <w:szCs w:val="16"/>
              </w:rPr>
              <w:t>Intäkter</w:t>
            </w:r>
          </w:p>
        </w:tc>
        <w:tc>
          <w:tcPr>
            <w:tcW w:w="1458" w:type="dxa"/>
            <w:tcBorders>
              <w:top w:val="single" w:sz="4" w:space="0" w:color="auto"/>
            </w:tcBorders>
          </w:tcPr>
          <w:p w:rsidR="00BA5E4B" w:rsidRPr="004C56EA" w:rsidRDefault="00D92AC8" w:rsidP="00BA5E4B">
            <w:pPr>
              <w:pStyle w:val="Tabell-Siffror"/>
              <w:spacing w:before="60" w:line="200" w:lineRule="exact"/>
            </w:pPr>
            <w:r w:rsidRPr="004C56EA">
              <w:t>26 202</w:t>
            </w:r>
          </w:p>
        </w:tc>
        <w:tc>
          <w:tcPr>
            <w:tcW w:w="1458" w:type="dxa"/>
            <w:tcBorders>
              <w:top w:val="single" w:sz="4" w:space="0" w:color="auto"/>
            </w:tcBorders>
          </w:tcPr>
          <w:p w:rsidR="00BA5E4B" w:rsidRPr="00A4685D" w:rsidRDefault="00C4598B" w:rsidP="00BA5E4B">
            <w:pPr>
              <w:pStyle w:val="Tabell-Siffror"/>
              <w:spacing w:before="60" w:line="200" w:lineRule="exact"/>
            </w:pPr>
            <w:r>
              <w:t>27 </w:t>
            </w:r>
            <w:r w:rsidR="00BA5E4B" w:rsidRPr="001858A5">
              <w:t>163</w:t>
            </w:r>
          </w:p>
        </w:tc>
        <w:tc>
          <w:tcPr>
            <w:tcW w:w="1458" w:type="dxa"/>
            <w:tcBorders>
              <w:top w:val="single" w:sz="4" w:space="0" w:color="auto"/>
            </w:tcBorders>
          </w:tcPr>
          <w:p w:rsidR="00BA5E4B" w:rsidRPr="00A4685D" w:rsidRDefault="00C4598B" w:rsidP="00BA5E4B">
            <w:pPr>
              <w:pStyle w:val="Tabell-Siffror"/>
              <w:spacing w:before="60" w:line="200" w:lineRule="exact"/>
            </w:pPr>
            <w:r>
              <w:t>25 </w:t>
            </w:r>
            <w:r w:rsidR="00BA5E4B">
              <w:t>057</w:t>
            </w:r>
          </w:p>
        </w:tc>
      </w:tr>
      <w:tr w:rsidR="00BA5E4B" w:rsidRPr="00C430D6" w:rsidTr="00097D91">
        <w:tc>
          <w:tcPr>
            <w:tcW w:w="1457" w:type="dxa"/>
            <w:tcBorders>
              <w:bottom w:val="single" w:sz="4" w:space="0" w:color="auto"/>
            </w:tcBorders>
          </w:tcPr>
          <w:p w:rsidR="00BA5E4B" w:rsidRPr="00C430D6" w:rsidRDefault="00BA5E4B" w:rsidP="00BA5E4B">
            <w:pPr>
              <w:pStyle w:val="Normaltindrag"/>
              <w:spacing w:before="60" w:line="200" w:lineRule="exact"/>
              <w:ind w:firstLine="0"/>
              <w:rPr>
                <w:sz w:val="16"/>
                <w:szCs w:val="16"/>
              </w:rPr>
            </w:pPr>
            <w:r>
              <w:rPr>
                <w:sz w:val="16"/>
                <w:szCs w:val="16"/>
              </w:rPr>
              <w:t>Kostnader</w:t>
            </w:r>
          </w:p>
        </w:tc>
        <w:tc>
          <w:tcPr>
            <w:tcW w:w="1458" w:type="dxa"/>
            <w:tcBorders>
              <w:bottom w:val="single" w:sz="4" w:space="0" w:color="auto"/>
            </w:tcBorders>
          </w:tcPr>
          <w:p w:rsidR="00BA5E4B" w:rsidRPr="004C56EA" w:rsidRDefault="00D92AC8" w:rsidP="00BA5E4B">
            <w:pPr>
              <w:pStyle w:val="Tabell-Siffror"/>
              <w:spacing w:before="60" w:line="200" w:lineRule="exact"/>
            </w:pPr>
            <w:r w:rsidRPr="004C56EA">
              <w:t>–301 290</w:t>
            </w:r>
          </w:p>
        </w:tc>
        <w:tc>
          <w:tcPr>
            <w:tcW w:w="1458" w:type="dxa"/>
            <w:tcBorders>
              <w:bottom w:val="single" w:sz="4" w:space="0" w:color="auto"/>
            </w:tcBorders>
          </w:tcPr>
          <w:p w:rsidR="00BA5E4B" w:rsidRPr="00A4685D" w:rsidRDefault="00BA5E4B" w:rsidP="00BA5E4B">
            <w:pPr>
              <w:pStyle w:val="Tabell-Siffror"/>
              <w:spacing w:before="60" w:line="200" w:lineRule="exact"/>
            </w:pPr>
            <w:r>
              <w:t>–</w:t>
            </w:r>
            <w:r w:rsidR="00C4598B">
              <w:t>311 </w:t>
            </w:r>
            <w:r w:rsidRPr="001858A5">
              <w:t>008</w:t>
            </w:r>
          </w:p>
        </w:tc>
        <w:tc>
          <w:tcPr>
            <w:tcW w:w="1458" w:type="dxa"/>
            <w:tcBorders>
              <w:bottom w:val="single" w:sz="4" w:space="0" w:color="auto"/>
            </w:tcBorders>
          </w:tcPr>
          <w:p w:rsidR="00BA5E4B" w:rsidRPr="00A4685D" w:rsidRDefault="00C4598B" w:rsidP="00BA5E4B">
            <w:pPr>
              <w:pStyle w:val="Tabell-Siffror"/>
              <w:spacing w:before="60" w:line="200" w:lineRule="exact"/>
            </w:pPr>
            <w:r>
              <w:t>–296 </w:t>
            </w:r>
            <w:r w:rsidR="00BA5E4B">
              <w:t>805</w:t>
            </w:r>
          </w:p>
        </w:tc>
      </w:tr>
      <w:tr w:rsidR="00BA5E4B" w:rsidRPr="00C430D6" w:rsidTr="00097D91">
        <w:tc>
          <w:tcPr>
            <w:tcW w:w="1457" w:type="dxa"/>
            <w:tcBorders>
              <w:top w:val="single" w:sz="4" w:space="0" w:color="auto"/>
              <w:bottom w:val="nil"/>
            </w:tcBorders>
          </w:tcPr>
          <w:p w:rsidR="00BA5E4B" w:rsidRPr="006A3282" w:rsidRDefault="00BA5E4B" w:rsidP="00BA5E4B">
            <w:pPr>
              <w:pStyle w:val="Normaltindrag"/>
              <w:spacing w:before="60" w:line="200" w:lineRule="exact"/>
              <w:ind w:firstLine="0"/>
              <w:rPr>
                <w:i/>
                <w:sz w:val="16"/>
                <w:szCs w:val="16"/>
              </w:rPr>
            </w:pPr>
            <w:r w:rsidRPr="006A3282">
              <w:rPr>
                <w:i/>
                <w:sz w:val="16"/>
                <w:szCs w:val="16"/>
              </w:rPr>
              <w:t>Nettokostnad</w:t>
            </w:r>
          </w:p>
        </w:tc>
        <w:tc>
          <w:tcPr>
            <w:tcW w:w="1458" w:type="dxa"/>
            <w:tcBorders>
              <w:top w:val="single" w:sz="4" w:space="0" w:color="auto"/>
              <w:bottom w:val="nil"/>
            </w:tcBorders>
          </w:tcPr>
          <w:p w:rsidR="00BA5E4B" w:rsidRPr="004C56EA" w:rsidRDefault="00BA5E4B" w:rsidP="00D92AC8">
            <w:pPr>
              <w:pStyle w:val="Tabell-Siffror"/>
              <w:spacing w:before="60" w:line="200" w:lineRule="exact"/>
              <w:rPr>
                <w:i/>
              </w:rPr>
            </w:pPr>
            <w:r w:rsidRPr="004C56EA">
              <w:rPr>
                <w:i/>
              </w:rPr>
              <w:t>–</w:t>
            </w:r>
            <w:r w:rsidR="00D92AC8" w:rsidRPr="004C56EA">
              <w:rPr>
                <w:i/>
              </w:rPr>
              <w:t>275 088</w:t>
            </w:r>
          </w:p>
        </w:tc>
        <w:tc>
          <w:tcPr>
            <w:tcW w:w="1458" w:type="dxa"/>
            <w:tcBorders>
              <w:top w:val="single" w:sz="4" w:space="0" w:color="auto"/>
              <w:bottom w:val="nil"/>
            </w:tcBorders>
          </w:tcPr>
          <w:p w:rsidR="00BA5E4B" w:rsidRPr="00746A8C" w:rsidRDefault="00BA5E4B" w:rsidP="00BA5E4B">
            <w:pPr>
              <w:pStyle w:val="Tabell-Siffror"/>
              <w:spacing w:before="60" w:line="200" w:lineRule="exact"/>
              <w:rPr>
                <w:i/>
              </w:rPr>
            </w:pPr>
            <w:r w:rsidRPr="00746A8C">
              <w:rPr>
                <w:i/>
              </w:rPr>
              <w:t>–</w:t>
            </w:r>
            <w:r>
              <w:rPr>
                <w:i/>
              </w:rPr>
              <w:t>283 845</w:t>
            </w:r>
          </w:p>
        </w:tc>
        <w:tc>
          <w:tcPr>
            <w:tcW w:w="1458" w:type="dxa"/>
            <w:tcBorders>
              <w:top w:val="single" w:sz="4" w:space="0" w:color="auto"/>
              <w:bottom w:val="nil"/>
            </w:tcBorders>
          </w:tcPr>
          <w:p w:rsidR="00BA5E4B" w:rsidRPr="00746A8C" w:rsidRDefault="00BA5E4B" w:rsidP="00BA5E4B">
            <w:pPr>
              <w:pStyle w:val="Tabell-Siffror"/>
              <w:spacing w:before="60" w:line="200" w:lineRule="exact"/>
              <w:rPr>
                <w:i/>
              </w:rPr>
            </w:pPr>
            <w:r w:rsidRPr="00746A8C">
              <w:rPr>
                <w:i/>
              </w:rPr>
              <w:t>–2</w:t>
            </w:r>
            <w:r>
              <w:rPr>
                <w:i/>
              </w:rPr>
              <w:t>71</w:t>
            </w:r>
            <w:r w:rsidR="00C4598B">
              <w:rPr>
                <w:i/>
              </w:rPr>
              <w:t> </w:t>
            </w:r>
            <w:r>
              <w:rPr>
                <w:i/>
              </w:rPr>
              <w:t>748</w:t>
            </w:r>
          </w:p>
          <w:p w:rsidR="00BA5E4B" w:rsidRPr="00746A8C" w:rsidRDefault="00BA5E4B" w:rsidP="00BA5E4B">
            <w:pPr>
              <w:pStyle w:val="Tabell-Siffror"/>
              <w:spacing w:before="60" w:line="200" w:lineRule="exact"/>
              <w:rPr>
                <w:i/>
              </w:rPr>
            </w:pPr>
          </w:p>
        </w:tc>
      </w:tr>
      <w:tr w:rsidR="00BA5E4B" w:rsidRPr="00C430D6" w:rsidTr="00097D91">
        <w:tc>
          <w:tcPr>
            <w:tcW w:w="1457" w:type="dxa"/>
            <w:tcBorders>
              <w:top w:val="nil"/>
              <w:bottom w:val="single" w:sz="4" w:space="0" w:color="auto"/>
            </w:tcBorders>
          </w:tcPr>
          <w:p w:rsidR="00BA5E4B" w:rsidRPr="00C430D6" w:rsidRDefault="00BA5E4B" w:rsidP="00BA5E4B">
            <w:pPr>
              <w:pStyle w:val="Tabell-Text"/>
              <w:spacing w:before="60" w:line="200" w:lineRule="exact"/>
            </w:pPr>
            <w:r>
              <w:t>Transfereringar</w:t>
            </w:r>
          </w:p>
        </w:tc>
        <w:tc>
          <w:tcPr>
            <w:tcW w:w="1458" w:type="dxa"/>
            <w:tcBorders>
              <w:top w:val="nil"/>
              <w:bottom w:val="single" w:sz="4" w:space="0" w:color="auto"/>
            </w:tcBorders>
          </w:tcPr>
          <w:p w:rsidR="00BA5E4B" w:rsidRPr="004C56EA" w:rsidRDefault="00BA5E4B" w:rsidP="00EB2EE3">
            <w:pPr>
              <w:pStyle w:val="Tabell-Siffror"/>
              <w:spacing w:before="60" w:line="200" w:lineRule="exact"/>
            </w:pPr>
            <w:r w:rsidRPr="004C56EA">
              <w:t>–</w:t>
            </w:r>
            <w:r w:rsidR="00EB2EE3" w:rsidRPr="004C56EA">
              <w:t>6</w:t>
            </w:r>
          </w:p>
        </w:tc>
        <w:tc>
          <w:tcPr>
            <w:tcW w:w="1458" w:type="dxa"/>
            <w:tcBorders>
              <w:top w:val="nil"/>
              <w:bottom w:val="single" w:sz="4" w:space="0" w:color="auto"/>
            </w:tcBorders>
          </w:tcPr>
          <w:p w:rsidR="00BA5E4B" w:rsidRPr="00A4685D" w:rsidRDefault="00BA5E4B" w:rsidP="00BA5E4B">
            <w:pPr>
              <w:pStyle w:val="Tabell-Siffror"/>
              <w:spacing w:before="60" w:line="200" w:lineRule="exact"/>
            </w:pPr>
            <w:r>
              <w:t>–6</w:t>
            </w:r>
          </w:p>
        </w:tc>
        <w:tc>
          <w:tcPr>
            <w:tcW w:w="1458" w:type="dxa"/>
            <w:tcBorders>
              <w:top w:val="nil"/>
              <w:bottom w:val="single" w:sz="4" w:space="0" w:color="auto"/>
            </w:tcBorders>
          </w:tcPr>
          <w:p w:rsidR="00BA5E4B" w:rsidRPr="00A4685D" w:rsidRDefault="00BA5E4B" w:rsidP="00BA5E4B">
            <w:pPr>
              <w:pStyle w:val="Tabell-Siffror"/>
              <w:spacing w:before="60" w:line="200" w:lineRule="exact"/>
            </w:pPr>
            <w:r w:rsidRPr="00A4685D">
              <w:t>–</w:t>
            </w:r>
            <w:r>
              <w:t>6</w:t>
            </w:r>
          </w:p>
        </w:tc>
      </w:tr>
      <w:tr w:rsidR="00BA5E4B" w:rsidRPr="00C430D6" w:rsidTr="00655779">
        <w:trPr>
          <w:trHeight w:val="50"/>
        </w:trPr>
        <w:tc>
          <w:tcPr>
            <w:tcW w:w="1457" w:type="dxa"/>
            <w:tcBorders>
              <w:top w:val="single" w:sz="4" w:space="0" w:color="auto"/>
              <w:bottom w:val="single" w:sz="4" w:space="0" w:color="auto"/>
            </w:tcBorders>
          </w:tcPr>
          <w:p w:rsidR="00BA5E4B" w:rsidRPr="00746A8C" w:rsidRDefault="00BA5E4B" w:rsidP="00BA5E4B">
            <w:pPr>
              <w:pStyle w:val="Tabell-Text"/>
              <w:spacing w:before="60" w:line="200" w:lineRule="exact"/>
              <w:rPr>
                <w:b/>
              </w:rPr>
            </w:pPr>
            <w:r w:rsidRPr="00746A8C">
              <w:rPr>
                <w:b/>
              </w:rPr>
              <w:t>Totalt</w:t>
            </w:r>
          </w:p>
        </w:tc>
        <w:tc>
          <w:tcPr>
            <w:tcW w:w="1458" w:type="dxa"/>
            <w:tcBorders>
              <w:top w:val="single" w:sz="4" w:space="0" w:color="auto"/>
              <w:bottom w:val="single" w:sz="4" w:space="0" w:color="auto"/>
            </w:tcBorders>
          </w:tcPr>
          <w:p w:rsidR="00BA5E4B" w:rsidRPr="004C56EA" w:rsidRDefault="0037174F" w:rsidP="00EB2EE3">
            <w:pPr>
              <w:pStyle w:val="Tabell-Siffror"/>
              <w:spacing w:before="60" w:line="200" w:lineRule="exact"/>
              <w:rPr>
                <w:b/>
              </w:rPr>
            </w:pPr>
            <w:r w:rsidRPr="004C56EA">
              <w:rPr>
                <w:i/>
              </w:rPr>
              <w:t>–</w:t>
            </w:r>
            <w:r w:rsidR="00EB2EE3" w:rsidRPr="004C56EA">
              <w:rPr>
                <w:b/>
              </w:rPr>
              <w:t>275 094</w:t>
            </w:r>
          </w:p>
        </w:tc>
        <w:tc>
          <w:tcPr>
            <w:tcW w:w="1458" w:type="dxa"/>
            <w:tcBorders>
              <w:top w:val="single" w:sz="4" w:space="0" w:color="auto"/>
              <w:bottom w:val="single" w:sz="4" w:space="0" w:color="auto"/>
            </w:tcBorders>
          </w:tcPr>
          <w:p w:rsidR="00BA5E4B" w:rsidRPr="00746A8C" w:rsidRDefault="00BA5E4B" w:rsidP="00BA5E4B">
            <w:pPr>
              <w:pStyle w:val="Tabell-Siffror"/>
              <w:spacing w:before="60" w:line="200" w:lineRule="exact"/>
              <w:rPr>
                <w:b/>
              </w:rPr>
            </w:pPr>
            <w:r>
              <w:rPr>
                <w:b/>
              </w:rPr>
              <w:t>–</w:t>
            </w:r>
            <w:r w:rsidR="00C4598B">
              <w:rPr>
                <w:b/>
              </w:rPr>
              <w:t>283 </w:t>
            </w:r>
            <w:r w:rsidRPr="001858A5">
              <w:rPr>
                <w:b/>
              </w:rPr>
              <w:t>851</w:t>
            </w:r>
          </w:p>
        </w:tc>
        <w:tc>
          <w:tcPr>
            <w:tcW w:w="1458" w:type="dxa"/>
            <w:tcBorders>
              <w:top w:val="single" w:sz="4" w:space="0" w:color="auto"/>
              <w:bottom w:val="single" w:sz="4" w:space="0" w:color="auto"/>
            </w:tcBorders>
          </w:tcPr>
          <w:p w:rsidR="00BA5E4B" w:rsidRPr="00746A8C" w:rsidRDefault="00BA5E4B" w:rsidP="00BA5E4B">
            <w:pPr>
              <w:pStyle w:val="Tabell-Siffror"/>
              <w:spacing w:before="60" w:line="200" w:lineRule="exact"/>
              <w:rPr>
                <w:b/>
              </w:rPr>
            </w:pPr>
            <w:r w:rsidRPr="00746A8C">
              <w:rPr>
                <w:b/>
              </w:rPr>
              <w:t>–</w:t>
            </w:r>
            <w:r w:rsidR="00C4598B">
              <w:rPr>
                <w:b/>
              </w:rPr>
              <w:t>271 </w:t>
            </w:r>
            <w:r>
              <w:rPr>
                <w:b/>
              </w:rPr>
              <w:t>754</w:t>
            </w:r>
          </w:p>
        </w:tc>
      </w:tr>
    </w:tbl>
    <w:p w:rsidR="00880651" w:rsidRPr="0073523F" w:rsidRDefault="00E30B00" w:rsidP="00880651">
      <w:pPr>
        <w:spacing w:before="125"/>
      </w:pPr>
      <w:r w:rsidRPr="00E30B00">
        <w:t xml:space="preserve">Fördelningen för uppdragsområdet bedöms i huvudsak som jämförbar med </w:t>
      </w:r>
      <w:r w:rsidR="00317E03">
        <w:t>föregående år. De något lägre</w:t>
      </w:r>
      <w:r w:rsidRPr="00E30B00">
        <w:t xml:space="preserve"> </w:t>
      </w:r>
      <w:r w:rsidR="00317E03">
        <w:t>kostnaderna för 2016 jämfört med</w:t>
      </w:r>
      <w:r w:rsidRPr="00E30B00">
        <w:t xml:space="preserve"> 2015 beror </w:t>
      </w:r>
      <w:r w:rsidR="00317E03">
        <w:t>framför allt på något minskade</w:t>
      </w:r>
      <w:r w:rsidRPr="00E30B00">
        <w:t xml:space="preserve"> it-kostnader,</w:t>
      </w:r>
      <w:r w:rsidR="00317E03">
        <w:t xml:space="preserve"> främst för konsulter, samt </w:t>
      </w:r>
      <w:r w:rsidRPr="00E30B00">
        <w:t>fördelade lönekostnader till uppdragsområdet.</w:t>
      </w:r>
    </w:p>
    <w:p w:rsidR="00880651" w:rsidRPr="0008052E" w:rsidRDefault="00C64DA6" w:rsidP="002C5239">
      <w:pPr>
        <w:pStyle w:val="Rubrik4"/>
      </w:pPr>
      <w:r w:rsidRPr="0008052E">
        <w:t xml:space="preserve">Fortsatt utvecklingsarbete i förvaltningen – vision, värdegrund och principer </w:t>
      </w:r>
    </w:p>
    <w:p w:rsidR="007C3F2A" w:rsidRDefault="0008052E" w:rsidP="00FD6273">
      <w:r>
        <w:t xml:space="preserve">Förvaltningen </w:t>
      </w:r>
      <w:r w:rsidR="00AA27FA">
        <w:t xml:space="preserve">har en </w:t>
      </w:r>
      <w:r w:rsidR="00C8676C">
        <w:t>ambition om</w:t>
      </w:r>
      <w:r w:rsidR="007C3F2A" w:rsidRPr="007C3F2A">
        <w:t xml:space="preserve"> ett långsiktigt och hållbart förbättrings</w:t>
      </w:r>
      <w:r w:rsidR="007C3F2A" w:rsidRPr="0008052E">
        <w:t>arbete</w:t>
      </w:r>
      <w:r w:rsidR="007C3F2A">
        <w:t xml:space="preserve">. </w:t>
      </w:r>
      <w:r w:rsidR="007C3F2A" w:rsidRPr="00FD6273">
        <w:t xml:space="preserve">Arbetet består av flera delar </w:t>
      </w:r>
      <w:r w:rsidR="00270242">
        <w:t>som</w:t>
      </w:r>
      <w:r w:rsidR="00E434D9">
        <w:t xml:space="preserve"> </w:t>
      </w:r>
      <w:r w:rsidR="00270242">
        <w:t>finns illustrerade i</w:t>
      </w:r>
      <w:r w:rsidR="00E434D9">
        <w:t xml:space="preserve"> </w:t>
      </w:r>
      <w:r w:rsidR="007C3F2A" w:rsidRPr="00FD6273">
        <w:t>Riksdagsförvaltningens hus (nedan).</w:t>
      </w:r>
    </w:p>
    <w:p w:rsidR="006B2E1E" w:rsidRDefault="006B2E1E" w:rsidP="006B2E1E">
      <w:pPr>
        <w:pStyle w:val="Normaltindrag"/>
      </w:pPr>
      <w:r>
        <w:t xml:space="preserve">Arbetet med att </w:t>
      </w:r>
      <w:r w:rsidRPr="0013332E">
        <w:t>ta fr</w:t>
      </w:r>
      <w:r w:rsidR="0013332E" w:rsidRPr="0013332E">
        <w:t>am en ny värdegrund började 2015</w:t>
      </w:r>
      <w:r w:rsidRPr="0013332E">
        <w:t>. Under 2015 och våren 2016 bedrevs detta</w:t>
      </w:r>
      <w:r>
        <w:t xml:space="preserve"> </w:t>
      </w:r>
      <w:r w:rsidR="00AA27FA">
        <w:t>arbete inom en särskild grupp</w:t>
      </w:r>
      <w:r>
        <w:t xml:space="preserve"> men också genom aktivt deltagande av anställda i hela förvaltningen och i en part</w:t>
      </w:r>
      <w:r w:rsidR="00AA27FA">
        <w:t>s</w:t>
      </w:r>
      <w:r>
        <w:t xml:space="preserve">sammansatt grupp. I maj 2016 fattade riksdagsdirektören beslut om </w:t>
      </w:r>
      <w:r w:rsidR="00805554">
        <w:t>d</w:t>
      </w:r>
      <w:r>
        <w:t>en ny</w:t>
      </w:r>
      <w:r w:rsidR="00805554">
        <w:t>a</w:t>
      </w:r>
      <w:r>
        <w:t xml:space="preserve"> värdegrund</w:t>
      </w:r>
      <w:r w:rsidR="00805554">
        <w:t>en</w:t>
      </w:r>
      <w:r>
        <w:t>: Professionellt stöd i demokratins tjänst – Kvalitet, Kompetens, Engagemang. Under hösten har samtliga verksamheter inom Riksdagsförvaltningen fört diskussioner om hur värdegrunden kan omsättas inom den egna verksamheten.</w:t>
      </w:r>
    </w:p>
    <w:p w:rsidR="006B2E1E" w:rsidRDefault="006B2E1E" w:rsidP="006B2E1E">
      <w:pPr>
        <w:pStyle w:val="Normaltindrag"/>
      </w:pPr>
      <w:r>
        <w:t xml:space="preserve">Under året har </w:t>
      </w:r>
      <w:r w:rsidR="00805554">
        <w:t xml:space="preserve">också </w:t>
      </w:r>
      <w:r>
        <w:t xml:space="preserve">en arbetsgrupp tillsatts med uppdrag att hålla ihop arbetet med vision, värdegrund, principer, ledarskap och medarbetarskap. </w:t>
      </w:r>
      <w:r w:rsidR="00BB52A0" w:rsidRPr="00BB52A0">
        <w:t>En handlingsplan har tagits fram</w:t>
      </w:r>
      <w:r w:rsidR="00BB52A0">
        <w:t xml:space="preserve"> för att etablera ett systematiskt förbättringsarbete enligt principerna i Riksdagsförvaltningens hus. Handlingsplanen har varit en </w:t>
      </w:r>
      <w:r>
        <w:t>utg</w:t>
      </w:r>
      <w:r w:rsidR="00BB52A0">
        <w:t>ångspunkt för gruppens arbete.</w:t>
      </w:r>
      <w:r>
        <w:t xml:space="preserve"> Under året har </w:t>
      </w:r>
      <w:r w:rsidR="00831115">
        <w:t>även</w:t>
      </w:r>
      <w:r>
        <w:t xml:space="preserve"> tvärfunktionella samarbeten utvecklats i enlighet med byggstenarna i huset. Det gäller bland annat samarbetet i det nya servicecentret (se vidare under uppdragsområde B).</w:t>
      </w:r>
    </w:p>
    <w:p w:rsidR="00E434D9" w:rsidRPr="008B1F3E" w:rsidRDefault="00124A55" w:rsidP="006B2E1E">
      <w:pPr>
        <w:pStyle w:val="Normaltindrag"/>
      </w:pPr>
      <w:r>
        <w:t xml:space="preserve">Förvaltningen har också arbetat för att </w:t>
      </w:r>
      <w:r w:rsidR="006B2E1E">
        <w:t>utveckla medarbetarskapet</w:t>
      </w:r>
      <w:r>
        <w:t>,</w:t>
      </w:r>
      <w:r w:rsidR="006B2E1E">
        <w:t xml:space="preserve"> bland annat </w:t>
      </w:r>
      <w:r>
        <w:t>genom att delta</w:t>
      </w:r>
      <w:r w:rsidR="006B2E1E">
        <w:t xml:space="preserve"> i Arbetsgivarverkets aktivitetsserie Medarbetarskap i arbetsgivarsamverkan. Inom förvaltningen har en partssammansatt arbetsgrupp bildats</w:t>
      </w:r>
      <w:r w:rsidR="00AA27FA">
        <w:t>,</w:t>
      </w:r>
      <w:r w:rsidR="006B2E1E">
        <w:t xml:space="preserve"> och en medarbeta</w:t>
      </w:r>
      <w:r w:rsidR="00C476EB">
        <w:t xml:space="preserve">rskapsidé har börjat ta </w:t>
      </w:r>
      <w:r w:rsidR="006B2E1E">
        <w:t>form.</w:t>
      </w:r>
    </w:p>
    <w:p w:rsidR="00810BD0" w:rsidRPr="00CF55F3" w:rsidRDefault="00810BD0" w:rsidP="00810BD0">
      <w:pPr>
        <w:pStyle w:val="Normaltindrag"/>
        <w:rPr>
          <w:u w:val="single"/>
        </w:rPr>
      </w:pPr>
    </w:p>
    <w:p w:rsidR="00810BD0" w:rsidRPr="00810BD0" w:rsidRDefault="009E536D" w:rsidP="00810BD0">
      <w:pPr>
        <w:pStyle w:val="Normaltindrag"/>
        <w:jc w:val="center"/>
      </w:pPr>
      <w:r>
        <w:rPr>
          <w:noProof/>
          <w:lang w:eastAsia="sv-SE"/>
        </w:rPr>
        <w:lastRenderedPageBreak/>
        <w:drawing>
          <wp:inline distT="0" distB="0" distL="0" distR="0" wp14:anchorId="65B0498A" wp14:editId="1D4824F2">
            <wp:extent cx="3536950" cy="1662331"/>
            <wp:effectExtent l="0" t="0" r="635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uset_150127_mind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4225" cy="1665750"/>
                    </a:xfrm>
                    <a:prstGeom prst="rect">
                      <a:avLst/>
                    </a:prstGeom>
                  </pic:spPr>
                </pic:pic>
              </a:graphicData>
            </a:graphic>
          </wp:inline>
        </w:drawing>
      </w:r>
    </w:p>
    <w:p w:rsidR="00387A34" w:rsidRPr="00C535CE" w:rsidRDefault="00C535CE" w:rsidP="00884FB3">
      <w:pPr>
        <w:pStyle w:val="R4"/>
      </w:pPr>
      <w:r w:rsidRPr="00C535CE">
        <w:t>Ny modell för systemförvaltning</w:t>
      </w:r>
    </w:p>
    <w:p w:rsidR="00177AEE" w:rsidRPr="00177AEE" w:rsidRDefault="00387A34" w:rsidP="007752D6">
      <w:r w:rsidRPr="00884FB3">
        <w:t>Utvecklingen av systemförvaltningsmodellen har fortsatt under</w:t>
      </w:r>
      <w:r w:rsidR="00AA27FA">
        <w:t xml:space="preserve"> året</w:t>
      </w:r>
      <w:r w:rsidRPr="00884FB3">
        <w:t xml:space="preserve">. Systemförvaltningen syftar till att säkerställa att </w:t>
      </w:r>
      <w:r w:rsidR="00C63BC0" w:rsidRPr="00C535CE">
        <w:t>it-</w:t>
      </w:r>
      <w:r w:rsidRPr="00C535CE">
        <w:t>systemen</w:t>
      </w:r>
      <w:r w:rsidR="003D5B54">
        <w:t xml:space="preserve"> är stabila och stöd</w:t>
      </w:r>
      <w:r w:rsidRPr="00884FB3">
        <w:t xml:space="preserve">er verksamhetens mål och behov. En särskild arbetsgrupp </w:t>
      </w:r>
      <w:r w:rsidR="00D02F7D">
        <w:t>har arbetat</w:t>
      </w:r>
      <w:r w:rsidRPr="00884FB3">
        <w:t xml:space="preserve"> parallellt med att fo</w:t>
      </w:r>
      <w:r w:rsidR="00D02F7D">
        <w:t xml:space="preserve">rmera </w:t>
      </w:r>
      <w:r w:rsidRPr="00884FB3">
        <w:t>systemförvaltningsorganisation</w:t>
      </w:r>
      <w:r w:rsidR="00D02F7D">
        <w:t>en</w:t>
      </w:r>
      <w:r w:rsidR="003D5B54">
        <w:t xml:space="preserve"> för de system som stöd</w:t>
      </w:r>
      <w:r w:rsidRPr="00884FB3">
        <w:t xml:space="preserve">er den parlamentariska processen. Det finns nu en överenskommen metod och process för </w:t>
      </w:r>
      <w:r w:rsidR="00C63BC0">
        <w:t xml:space="preserve">att planera och prioritera </w:t>
      </w:r>
      <w:r w:rsidRPr="00884FB3">
        <w:t>utvecklingsinsatser för dessa system. Gruppens erfarenheter har tagits om hand i utvecklingen av systemförvaltningsmodellen. Under 2017 ska den nya modellen beslutas och det nya arbetssättet införas.</w:t>
      </w:r>
    </w:p>
    <w:p w:rsidR="00EA4F40" w:rsidRDefault="00EA4F40" w:rsidP="00884FB3">
      <w:pPr>
        <w:spacing w:before="0"/>
        <w:rPr>
          <w:u w:val="single"/>
        </w:rPr>
      </w:pPr>
    </w:p>
    <w:tbl>
      <w:tblPr>
        <w:tblStyle w:val="Tabellrutnt"/>
        <w:tblW w:w="0" w:type="auto"/>
        <w:tblLook w:val="04A0" w:firstRow="1" w:lastRow="0" w:firstColumn="1" w:lastColumn="0" w:noHBand="0" w:noVBand="1"/>
      </w:tblPr>
      <w:tblGrid>
        <w:gridCol w:w="5888"/>
      </w:tblGrid>
      <w:tr w:rsidR="00EA4F40" w:rsidTr="00F05E98">
        <w:tc>
          <w:tcPr>
            <w:tcW w:w="5888" w:type="dxa"/>
          </w:tcPr>
          <w:p w:rsidR="00EA4F40" w:rsidRPr="00177AEE" w:rsidRDefault="00EA4F40" w:rsidP="007752D6">
            <w:pPr>
              <w:pStyle w:val="Normaltindrag"/>
              <w:spacing w:before="120"/>
              <w:ind w:firstLine="0"/>
              <w:rPr>
                <w:b/>
              </w:rPr>
            </w:pPr>
            <w:r w:rsidRPr="00177AEE">
              <w:rPr>
                <w:b/>
              </w:rPr>
              <w:t>Klarspråk</w:t>
            </w:r>
            <w:r w:rsidR="006538AC" w:rsidRPr="00177AEE">
              <w:rPr>
                <w:b/>
              </w:rPr>
              <w:t xml:space="preserve"> </w:t>
            </w:r>
            <w:r w:rsidR="003239C2" w:rsidRPr="00177AEE">
              <w:rPr>
                <w:b/>
              </w:rPr>
              <w:t>i förvaltningen</w:t>
            </w:r>
          </w:p>
          <w:p w:rsidR="006538AC" w:rsidRDefault="006538AC" w:rsidP="006538AC">
            <w:pPr>
              <w:pStyle w:val="Normaltindrag"/>
              <w:ind w:firstLine="0"/>
            </w:pPr>
            <w:r w:rsidRPr="001002B6">
              <w:t xml:space="preserve">Språklagen slår fast att myndigheternas språk ska vara vårdat, enkelt och begripligt. Riksdagsförvaltningen arbetar systematiskt med klarspråk, med en flerårig handlingsplan som grund. </w:t>
            </w:r>
            <w:r w:rsidR="001002B6" w:rsidRPr="001002B6">
              <w:t>En del i det arbetet är att integrera klarspråk som metod, både i den löpande verksamheten och i de projekt som förvaltningen driver. En annan del är att ge medarbetarna möjlighet att utvecklas som skribenter, exempelvis genom utbildning och rådgivning.</w:t>
            </w:r>
            <w:r>
              <w:t xml:space="preserve"> </w:t>
            </w:r>
          </w:p>
          <w:p w:rsidR="006538AC" w:rsidRDefault="006538AC" w:rsidP="006538AC">
            <w:pPr>
              <w:pStyle w:val="Normaltindrag"/>
            </w:pPr>
            <w:r>
              <w:t>Efterfrågan på klarspråk i förvaltningen ökar, vilket var särskilt tydligt under andra halvåret</w:t>
            </w:r>
            <w:r w:rsidR="00F362BD">
              <w:t xml:space="preserve"> 2016</w:t>
            </w:r>
            <w:r>
              <w:t>. De största enskilda insatserna under året har varit att få in klarspråksperspektivet i arbetet med den nya värdegrunden och den digitala EU-handledningen för ledamöterna. Förvaltningen har under 2016 också inlett ett arbete med att ytterligare höja graden av klarspråk i texterna på Intranätet.</w:t>
            </w:r>
          </w:p>
          <w:p w:rsidR="006538AC" w:rsidRPr="006538AC" w:rsidRDefault="006538AC" w:rsidP="006538AC">
            <w:pPr>
              <w:pStyle w:val="Normaltindrag"/>
            </w:pPr>
            <w:r>
              <w:t>Under året har 57 medarbetare deltagit i förvaltningens grundutbildning i klarspråk. Det är nu sammanlagt 464 personer som har gått utbildningen sedan den startade 2013.</w:t>
            </w:r>
          </w:p>
          <w:p w:rsidR="00EA4F40" w:rsidRPr="00EA4F40" w:rsidRDefault="00EA4F40" w:rsidP="00942311">
            <w:pPr>
              <w:pStyle w:val="Normaltindrag"/>
              <w:ind w:firstLine="0"/>
            </w:pPr>
          </w:p>
        </w:tc>
      </w:tr>
    </w:tbl>
    <w:p w:rsidR="00880651" w:rsidRPr="005A0674" w:rsidRDefault="00880651" w:rsidP="002C5239">
      <w:pPr>
        <w:pStyle w:val="Rubrik4"/>
      </w:pPr>
      <w:r w:rsidRPr="005A0674">
        <w:t xml:space="preserve">It-stödet till ledamöter och anställda </w:t>
      </w:r>
    </w:p>
    <w:p w:rsidR="00880651" w:rsidRPr="005A0674" w:rsidRDefault="00880651" w:rsidP="00880651">
      <w:r w:rsidRPr="005A0674">
        <w:t xml:space="preserve">Förvaltningen ska tillhandahålla den support och de redskap som ledamöter och anställda behöver när det gäller teknik, utrustning och programvaror. </w:t>
      </w:r>
    </w:p>
    <w:p w:rsidR="00880651" w:rsidRPr="005A0674" w:rsidRDefault="00880651" w:rsidP="00880651">
      <w:pPr>
        <w:spacing w:before="0"/>
        <w:ind w:firstLine="227"/>
      </w:pPr>
      <w:r w:rsidRPr="005A0674">
        <w:lastRenderedPageBreak/>
        <w:t>Tillgången till it-stöd i förvaltningens verksamhet har varit stabil under året. Antalet incidenter har minskat jämfört med tidigare år</w:t>
      </w:r>
      <w:r w:rsidR="001D7E9F" w:rsidRPr="005A0674">
        <w:t>.</w:t>
      </w:r>
      <w:r w:rsidRPr="005A0674">
        <w:t xml:space="preserve"> </w:t>
      </w:r>
    </w:p>
    <w:p w:rsidR="00E81CB4" w:rsidRPr="005A0674" w:rsidRDefault="00DC6396" w:rsidP="00E81CB4">
      <w:pPr>
        <w:pStyle w:val="Normaltindrag"/>
      </w:pPr>
      <w:r w:rsidRPr="005A0674">
        <w:t xml:space="preserve">Under </w:t>
      </w:r>
      <w:r w:rsidR="00E81CB4" w:rsidRPr="005A0674">
        <w:t>2015 tog</w:t>
      </w:r>
      <w:r w:rsidR="00D76A35">
        <w:t xml:space="preserve">s möjligheten att registrera </w:t>
      </w:r>
      <w:r w:rsidR="0036529C">
        <w:t xml:space="preserve">incidenter på begreppet </w:t>
      </w:r>
      <w:r w:rsidR="00E81CB4" w:rsidRPr="005A0674">
        <w:t>allvarlig</w:t>
      </w:r>
      <w:r w:rsidR="00D76A35">
        <w:t>a</w:t>
      </w:r>
      <w:r w:rsidR="00E81CB4" w:rsidRPr="005A0674">
        <w:t xml:space="preserve"> incident</w:t>
      </w:r>
      <w:r w:rsidR="00D76A35">
        <w:t>er bort</w:t>
      </w:r>
      <w:r w:rsidR="0097602A" w:rsidRPr="005A0674">
        <w:t xml:space="preserve"> (prio 0-incident)</w:t>
      </w:r>
      <w:r w:rsidR="00E81CB4" w:rsidRPr="005A0674">
        <w:t xml:space="preserve">. </w:t>
      </w:r>
      <w:r w:rsidR="00A80D3C" w:rsidRPr="005A0674">
        <w:t xml:space="preserve">En ny rapporteringsrutin infördes som </w:t>
      </w:r>
      <w:r w:rsidR="00E81CB4" w:rsidRPr="005A0674">
        <w:t xml:space="preserve">innebär att en allvarlig incident numera rapporteras som en </w:t>
      </w:r>
      <w:r w:rsidR="00A80D3C" w:rsidRPr="005A0674">
        <w:t xml:space="preserve">så kallad </w:t>
      </w:r>
      <w:r w:rsidR="00E81CB4" w:rsidRPr="005A0674">
        <w:t xml:space="preserve">prio 1-incident. </w:t>
      </w:r>
    </w:p>
    <w:p w:rsidR="00E81CB4" w:rsidRPr="00826FBF" w:rsidRDefault="00E81CB4" w:rsidP="00E81CB4">
      <w:pPr>
        <w:pStyle w:val="Normaltindrag"/>
      </w:pPr>
      <w:r w:rsidRPr="00826FBF">
        <w:t>De kritiska incidenterna (allvarliga incidenter och prio 1-incidenter) har varit färr</w:t>
      </w:r>
      <w:r w:rsidR="00DC6396" w:rsidRPr="00826FBF">
        <w:t xml:space="preserve">e till antalet </w:t>
      </w:r>
      <w:r w:rsidR="005A0674" w:rsidRPr="00826FBF">
        <w:t xml:space="preserve">under 2016 </w:t>
      </w:r>
      <w:r w:rsidR="00DC6396" w:rsidRPr="00826FBF">
        <w:t>än under</w:t>
      </w:r>
      <w:r w:rsidR="005A0674" w:rsidRPr="00826FBF">
        <w:t xml:space="preserve"> 2014 och 2015</w:t>
      </w:r>
      <w:r w:rsidRPr="00826FBF">
        <w:t xml:space="preserve">. </w:t>
      </w:r>
      <w:r w:rsidR="00DA2CC8">
        <w:t>Ingen av de 2</w:t>
      </w:r>
      <w:r w:rsidR="005A0674" w:rsidRPr="00826FBF">
        <w:t xml:space="preserve"> </w:t>
      </w:r>
      <w:r w:rsidRPr="00826FBF">
        <w:t>incidenter</w:t>
      </w:r>
      <w:r w:rsidR="005A0674" w:rsidRPr="00826FBF">
        <w:t>na</w:t>
      </w:r>
      <w:r w:rsidR="00D76A35">
        <w:t xml:space="preserve"> </w:t>
      </w:r>
      <w:r w:rsidR="00443AD3">
        <w:t xml:space="preserve">som inträffade under året </w:t>
      </w:r>
      <w:r w:rsidRPr="00826FBF">
        <w:t>löst</w:t>
      </w:r>
      <w:r w:rsidR="00D76A35">
        <w:t>e</w:t>
      </w:r>
      <w:r w:rsidRPr="00826FBF">
        <w:t>s inom utlovad tid</w:t>
      </w:r>
      <w:r w:rsidR="009B132C">
        <w:t>, men dagen efter</w:t>
      </w:r>
      <w:r w:rsidRPr="00826FBF">
        <w:t xml:space="preserve">. År </w:t>
      </w:r>
      <w:r w:rsidR="00DA2CC8">
        <w:t>2015 löstes 2 av 4</w:t>
      </w:r>
      <w:r w:rsidR="005A0674" w:rsidRPr="00826FBF">
        <w:t xml:space="preserve"> kritiska incidenter inom utlovad tid och </w:t>
      </w:r>
      <w:r w:rsidR="00DA2CC8">
        <w:t>2014 löstes 9</w:t>
      </w:r>
      <w:r w:rsidRPr="00826FBF">
        <w:t xml:space="preserve"> av </w:t>
      </w:r>
      <w:r w:rsidR="00DA2CC8">
        <w:t>19</w:t>
      </w:r>
      <w:r w:rsidR="005A0674" w:rsidRPr="00826FBF">
        <w:t>.</w:t>
      </w:r>
    </w:p>
    <w:p w:rsidR="00D62233" w:rsidRDefault="00D62233" w:rsidP="00D62233">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D62233">
        <w:rPr>
          <w:rFonts w:eastAsiaTheme="majorEastAsia" w:cstheme="majorBidi"/>
          <w:b/>
        </w:rPr>
        <w:t xml:space="preserve">Tabell </w:t>
      </w:r>
      <w:r w:rsidR="00AF0EF8">
        <w:rPr>
          <w:rFonts w:eastAsiaTheme="majorEastAsia" w:cstheme="majorBidi"/>
          <w:b/>
        </w:rPr>
        <w:t>29</w:t>
      </w:r>
      <w:r w:rsidRPr="00D62233">
        <w:rPr>
          <w:rFonts w:eastAsiaTheme="majorEastAsia" w:cstheme="majorBidi"/>
          <w:b/>
        </w:rPr>
        <w:t xml:space="preserve"> Antal kritiska it-incidenter</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707"/>
        <w:gridCol w:w="768"/>
        <w:gridCol w:w="770"/>
      </w:tblGrid>
      <w:tr w:rsidR="00E637B3" w:rsidRPr="00C430D6" w:rsidTr="002751FF">
        <w:tc>
          <w:tcPr>
            <w:tcW w:w="3653" w:type="dxa"/>
            <w:tcBorders>
              <w:top w:val="single" w:sz="4" w:space="0" w:color="auto"/>
              <w:bottom w:val="single" w:sz="4" w:space="0" w:color="auto"/>
            </w:tcBorders>
          </w:tcPr>
          <w:p w:rsidR="00E637B3" w:rsidRPr="00474D0D" w:rsidRDefault="00E637B3" w:rsidP="00097D91">
            <w:pPr>
              <w:pStyle w:val="Tabell-Text"/>
              <w:spacing w:before="60" w:line="200" w:lineRule="exact"/>
              <w:rPr>
                <w:b/>
              </w:rPr>
            </w:pPr>
          </w:p>
        </w:tc>
        <w:tc>
          <w:tcPr>
            <w:tcW w:w="707" w:type="dxa"/>
            <w:tcBorders>
              <w:top w:val="single" w:sz="4" w:space="0" w:color="auto"/>
              <w:bottom w:val="single" w:sz="4" w:space="0" w:color="auto"/>
            </w:tcBorders>
          </w:tcPr>
          <w:p w:rsidR="00E637B3" w:rsidRPr="00925C01" w:rsidRDefault="00E637B3" w:rsidP="00C979B8">
            <w:pPr>
              <w:pStyle w:val="Tabell-Siffror"/>
              <w:spacing w:before="60" w:line="200" w:lineRule="exact"/>
              <w:rPr>
                <w:b/>
              </w:rPr>
            </w:pPr>
            <w:r w:rsidRPr="00925C01">
              <w:rPr>
                <w:b/>
              </w:rPr>
              <w:t>201</w:t>
            </w:r>
            <w:r w:rsidR="002751FF">
              <w:rPr>
                <w:b/>
              </w:rPr>
              <w:t>6</w:t>
            </w:r>
          </w:p>
        </w:tc>
        <w:tc>
          <w:tcPr>
            <w:tcW w:w="768" w:type="dxa"/>
            <w:tcBorders>
              <w:top w:val="single" w:sz="4" w:space="0" w:color="auto"/>
              <w:bottom w:val="single" w:sz="4" w:space="0" w:color="auto"/>
            </w:tcBorders>
          </w:tcPr>
          <w:p w:rsidR="00E637B3" w:rsidRPr="00925C01" w:rsidRDefault="00E637B3" w:rsidP="00097D91">
            <w:pPr>
              <w:pStyle w:val="Tabell-Siffror"/>
              <w:spacing w:before="60" w:line="200" w:lineRule="exact"/>
              <w:rPr>
                <w:b/>
              </w:rPr>
            </w:pPr>
            <w:r w:rsidRPr="00925C01">
              <w:rPr>
                <w:b/>
              </w:rPr>
              <w:t>201</w:t>
            </w:r>
            <w:r w:rsidR="002751FF">
              <w:rPr>
                <w:b/>
              </w:rPr>
              <w:t>5</w:t>
            </w:r>
          </w:p>
        </w:tc>
        <w:tc>
          <w:tcPr>
            <w:tcW w:w="770" w:type="dxa"/>
            <w:tcBorders>
              <w:top w:val="single" w:sz="4" w:space="0" w:color="auto"/>
              <w:bottom w:val="single" w:sz="4" w:space="0" w:color="auto"/>
            </w:tcBorders>
          </w:tcPr>
          <w:p w:rsidR="00E637B3" w:rsidRPr="00925C01" w:rsidRDefault="00E637B3" w:rsidP="00C979B8">
            <w:pPr>
              <w:pStyle w:val="Tabell-Siffror"/>
              <w:spacing w:before="60" w:line="200" w:lineRule="exact"/>
              <w:rPr>
                <w:b/>
              </w:rPr>
            </w:pPr>
            <w:r w:rsidRPr="00925C01">
              <w:rPr>
                <w:b/>
              </w:rPr>
              <w:t>201</w:t>
            </w:r>
            <w:r w:rsidR="002751FF">
              <w:rPr>
                <w:b/>
              </w:rPr>
              <w:t>4</w:t>
            </w:r>
          </w:p>
        </w:tc>
      </w:tr>
      <w:tr w:rsidR="002751FF" w:rsidRPr="00C430D6" w:rsidTr="002751FF">
        <w:tc>
          <w:tcPr>
            <w:tcW w:w="3653" w:type="dxa"/>
            <w:tcBorders>
              <w:top w:val="single" w:sz="4" w:space="0" w:color="auto"/>
              <w:bottom w:val="nil"/>
            </w:tcBorders>
          </w:tcPr>
          <w:p w:rsidR="002751FF" w:rsidRPr="00C430D6" w:rsidRDefault="002751FF" w:rsidP="002751FF">
            <w:pPr>
              <w:pStyle w:val="Tabell-Text"/>
              <w:spacing w:before="60" w:line="200" w:lineRule="exact"/>
            </w:pPr>
            <w:r>
              <w:t>Allvarliga incidenter</w:t>
            </w:r>
          </w:p>
        </w:tc>
        <w:tc>
          <w:tcPr>
            <w:tcW w:w="707" w:type="dxa"/>
            <w:tcBorders>
              <w:top w:val="single" w:sz="4" w:space="0" w:color="auto"/>
              <w:bottom w:val="nil"/>
            </w:tcBorders>
          </w:tcPr>
          <w:p w:rsidR="002751FF" w:rsidRPr="00C430D6" w:rsidRDefault="000B1B91" w:rsidP="002751FF">
            <w:pPr>
              <w:pStyle w:val="Tabell-Siffror"/>
              <w:spacing w:before="60" w:line="200" w:lineRule="exact"/>
            </w:pPr>
            <w:r>
              <w:t>–</w:t>
            </w:r>
          </w:p>
        </w:tc>
        <w:tc>
          <w:tcPr>
            <w:tcW w:w="768" w:type="dxa"/>
            <w:tcBorders>
              <w:top w:val="single" w:sz="4" w:space="0" w:color="auto"/>
              <w:bottom w:val="nil"/>
            </w:tcBorders>
          </w:tcPr>
          <w:p w:rsidR="002751FF" w:rsidRPr="00C430D6" w:rsidRDefault="002751FF" w:rsidP="002751FF">
            <w:pPr>
              <w:pStyle w:val="Tabell-Siffror"/>
              <w:spacing w:before="60" w:line="200" w:lineRule="exact"/>
            </w:pPr>
            <w:r>
              <w:t>–</w:t>
            </w:r>
          </w:p>
        </w:tc>
        <w:tc>
          <w:tcPr>
            <w:tcW w:w="770" w:type="dxa"/>
            <w:tcBorders>
              <w:top w:val="single" w:sz="4" w:space="0" w:color="auto"/>
              <w:bottom w:val="nil"/>
            </w:tcBorders>
          </w:tcPr>
          <w:p w:rsidR="002751FF" w:rsidRPr="00C430D6" w:rsidRDefault="002751FF" w:rsidP="002751FF">
            <w:pPr>
              <w:pStyle w:val="Tabell-Siffror"/>
              <w:spacing w:before="60" w:line="200" w:lineRule="exact"/>
            </w:pPr>
            <w:r>
              <w:t>1</w:t>
            </w:r>
          </w:p>
        </w:tc>
      </w:tr>
      <w:tr w:rsidR="002751FF" w:rsidRPr="00C430D6" w:rsidTr="002751FF">
        <w:tc>
          <w:tcPr>
            <w:tcW w:w="3653" w:type="dxa"/>
            <w:tcBorders>
              <w:top w:val="nil"/>
              <w:bottom w:val="single" w:sz="4" w:space="0" w:color="auto"/>
            </w:tcBorders>
          </w:tcPr>
          <w:p w:rsidR="002751FF" w:rsidRPr="00C430D6" w:rsidRDefault="002751FF" w:rsidP="002751FF">
            <w:pPr>
              <w:pStyle w:val="Tabell-Text"/>
              <w:spacing w:before="60" w:line="200" w:lineRule="exact"/>
            </w:pPr>
            <w:r>
              <w:t>Prio 1-incidenter</w:t>
            </w:r>
          </w:p>
        </w:tc>
        <w:tc>
          <w:tcPr>
            <w:tcW w:w="707" w:type="dxa"/>
            <w:tcBorders>
              <w:top w:val="nil"/>
              <w:bottom w:val="single" w:sz="4" w:space="0" w:color="auto"/>
            </w:tcBorders>
          </w:tcPr>
          <w:p w:rsidR="002751FF" w:rsidRPr="00C430D6" w:rsidRDefault="00236D8D" w:rsidP="002751FF">
            <w:pPr>
              <w:pStyle w:val="Tabell-Siffror"/>
              <w:spacing w:before="60" w:line="200" w:lineRule="exact"/>
            </w:pPr>
            <w:r>
              <w:t>2</w:t>
            </w:r>
          </w:p>
        </w:tc>
        <w:tc>
          <w:tcPr>
            <w:tcW w:w="768" w:type="dxa"/>
            <w:tcBorders>
              <w:top w:val="nil"/>
              <w:bottom w:val="single" w:sz="4" w:space="0" w:color="auto"/>
            </w:tcBorders>
          </w:tcPr>
          <w:p w:rsidR="002751FF" w:rsidRPr="00C430D6" w:rsidRDefault="002751FF" w:rsidP="002751FF">
            <w:pPr>
              <w:pStyle w:val="Tabell-Siffror"/>
              <w:spacing w:before="60" w:line="200" w:lineRule="exact"/>
            </w:pPr>
            <w:r>
              <w:t>4</w:t>
            </w:r>
          </w:p>
        </w:tc>
        <w:tc>
          <w:tcPr>
            <w:tcW w:w="770" w:type="dxa"/>
            <w:tcBorders>
              <w:top w:val="nil"/>
              <w:bottom w:val="single" w:sz="4" w:space="0" w:color="auto"/>
            </w:tcBorders>
          </w:tcPr>
          <w:p w:rsidR="002751FF" w:rsidRPr="00C430D6" w:rsidRDefault="002751FF" w:rsidP="002751FF">
            <w:pPr>
              <w:pStyle w:val="Tabell-Siffror"/>
              <w:spacing w:before="60" w:line="200" w:lineRule="exact"/>
            </w:pPr>
            <w:r>
              <w:t>18</w:t>
            </w:r>
          </w:p>
        </w:tc>
      </w:tr>
      <w:tr w:rsidR="002751FF" w:rsidRPr="00C430D6" w:rsidTr="002751FF">
        <w:tc>
          <w:tcPr>
            <w:tcW w:w="3653" w:type="dxa"/>
            <w:tcBorders>
              <w:top w:val="single" w:sz="4" w:space="0" w:color="auto"/>
              <w:bottom w:val="nil"/>
            </w:tcBorders>
          </w:tcPr>
          <w:p w:rsidR="002751FF" w:rsidRPr="00C543C9" w:rsidRDefault="002751FF" w:rsidP="002751FF">
            <w:pPr>
              <w:pStyle w:val="Tabell-Text"/>
              <w:spacing w:before="60" w:line="200" w:lineRule="exact"/>
              <w:rPr>
                <w:b/>
              </w:rPr>
            </w:pPr>
            <w:r w:rsidRPr="00C543C9">
              <w:rPr>
                <w:b/>
              </w:rPr>
              <w:t>Summa kritiska incidenter</w:t>
            </w:r>
          </w:p>
        </w:tc>
        <w:tc>
          <w:tcPr>
            <w:tcW w:w="707" w:type="dxa"/>
            <w:tcBorders>
              <w:top w:val="single" w:sz="4" w:space="0" w:color="auto"/>
              <w:bottom w:val="nil"/>
            </w:tcBorders>
          </w:tcPr>
          <w:p w:rsidR="002751FF" w:rsidRPr="00C543C9" w:rsidRDefault="000B1B91" w:rsidP="002751FF">
            <w:pPr>
              <w:pStyle w:val="Tabell-Siffror"/>
              <w:tabs>
                <w:tab w:val="left" w:pos="307"/>
                <w:tab w:val="right" w:pos="493"/>
              </w:tabs>
              <w:spacing w:before="60" w:line="200" w:lineRule="exact"/>
              <w:rPr>
                <w:b/>
              </w:rPr>
            </w:pPr>
            <w:r>
              <w:rPr>
                <w:b/>
              </w:rPr>
              <w:t>2</w:t>
            </w:r>
          </w:p>
        </w:tc>
        <w:tc>
          <w:tcPr>
            <w:tcW w:w="768" w:type="dxa"/>
            <w:tcBorders>
              <w:top w:val="single" w:sz="4" w:space="0" w:color="auto"/>
              <w:bottom w:val="nil"/>
            </w:tcBorders>
          </w:tcPr>
          <w:p w:rsidR="002751FF" w:rsidRPr="00C543C9" w:rsidRDefault="002751FF" w:rsidP="002751FF">
            <w:pPr>
              <w:pStyle w:val="Tabell-Siffror"/>
              <w:tabs>
                <w:tab w:val="left" w:pos="307"/>
                <w:tab w:val="right" w:pos="493"/>
              </w:tabs>
              <w:spacing w:before="60" w:line="200" w:lineRule="exact"/>
              <w:rPr>
                <w:b/>
              </w:rPr>
            </w:pPr>
            <w:r>
              <w:rPr>
                <w:b/>
              </w:rPr>
              <w:tab/>
            </w:r>
            <w:r>
              <w:rPr>
                <w:b/>
              </w:rPr>
              <w:tab/>
              <w:t>4</w:t>
            </w:r>
          </w:p>
        </w:tc>
        <w:tc>
          <w:tcPr>
            <w:tcW w:w="770" w:type="dxa"/>
            <w:tcBorders>
              <w:top w:val="single" w:sz="4" w:space="0" w:color="auto"/>
              <w:bottom w:val="nil"/>
            </w:tcBorders>
          </w:tcPr>
          <w:p w:rsidR="002751FF" w:rsidRPr="00C543C9" w:rsidRDefault="002751FF" w:rsidP="002751FF">
            <w:pPr>
              <w:pStyle w:val="Tabell-Siffror"/>
              <w:tabs>
                <w:tab w:val="left" w:pos="394"/>
              </w:tabs>
              <w:spacing w:before="60" w:line="200" w:lineRule="exact"/>
              <w:jc w:val="both"/>
              <w:rPr>
                <w:b/>
              </w:rPr>
            </w:pPr>
            <w:r>
              <w:rPr>
                <w:b/>
              </w:rPr>
              <w:tab/>
              <w:t>19</w:t>
            </w:r>
          </w:p>
        </w:tc>
      </w:tr>
      <w:tr w:rsidR="002751FF" w:rsidRPr="00C430D6" w:rsidTr="002751FF">
        <w:tc>
          <w:tcPr>
            <w:tcW w:w="3653" w:type="dxa"/>
            <w:tcBorders>
              <w:top w:val="nil"/>
              <w:bottom w:val="single" w:sz="4" w:space="0" w:color="auto"/>
            </w:tcBorders>
          </w:tcPr>
          <w:p w:rsidR="002751FF" w:rsidRDefault="002751FF" w:rsidP="002751FF">
            <w:pPr>
              <w:pStyle w:val="Tabell-Text"/>
              <w:spacing w:before="60" w:line="200" w:lineRule="exact"/>
            </w:pPr>
            <w:r>
              <w:t>Varav lösta i tid</w:t>
            </w:r>
          </w:p>
        </w:tc>
        <w:tc>
          <w:tcPr>
            <w:tcW w:w="707" w:type="dxa"/>
            <w:tcBorders>
              <w:top w:val="nil"/>
              <w:bottom w:val="single" w:sz="4" w:space="0" w:color="auto"/>
            </w:tcBorders>
          </w:tcPr>
          <w:p w:rsidR="002751FF" w:rsidRDefault="000B1B91" w:rsidP="002751FF">
            <w:pPr>
              <w:pStyle w:val="Tabell-Siffror"/>
              <w:spacing w:before="60" w:line="200" w:lineRule="exact"/>
            </w:pPr>
            <w:r>
              <w:t>0</w:t>
            </w:r>
          </w:p>
        </w:tc>
        <w:tc>
          <w:tcPr>
            <w:tcW w:w="768" w:type="dxa"/>
            <w:tcBorders>
              <w:top w:val="nil"/>
              <w:bottom w:val="single" w:sz="4" w:space="0" w:color="auto"/>
            </w:tcBorders>
          </w:tcPr>
          <w:p w:rsidR="002751FF" w:rsidRDefault="002751FF" w:rsidP="002751FF">
            <w:pPr>
              <w:pStyle w:val="Tabell-Siffror"/>
              <w:spacing w:before="60" w:line="200" w:lineRule="exact"/>
            </w:pPr>
            <w:r>
              <w:t>2</w:t>
            </w:r>
          </w:p>
        </w:tc>
        <w:tc>
          <w:tcPr>
            <w:tcW w:w="770" w:type="dxa"/>
            <w:tcBorders>
              <w:top w:val="nil"/>
              <w:bottom w:val="single" w:sz="4" w:space="0" w:color="auto"/>
            </w:tcBorders>
          </w:tcPr>
          <w:p w:rsidR="002751FF" w:rsidRDefault="002751FF" w:rsidP="002751FF">
            <w:pPr>
              <w:pStyle w:val="Tabell-Siffror"/>
              <w:spacing w:before="60" w:line="200" w:lineRule="exact"/>
            </w:pPr>
            <w:r>
              <w:t>9</w:t>
            </w:r>
          </w:p>
        </w:tc>
      </w:tr>
    </w:tbl>
    <w:p w:rsidR="00D62233" w:rsidRPr="0032670E" w:rsidRDefault="00D62233" w:rsidP="00D62233">
      <w:pPr>
        <w:spacing w:before="125"/>
      </w:pPr>
      <w:r w:rsidRPr="0032670E">
        <w:t>Arbetet med att förnya Riksdagsförvaltningens tekniska miljö har fortsatt. Den grundläggande tekniken inom datanätverk, telefoni, serverteknik, lagringslösningar, datahallar och arbetsplatsstöd är</w:t>
      </w:r>
      <w:r w:rsidR="00D53204">
        <w:t xml:space="preserve"> </w:t>
      </w:r>
      <w:r w:rsidRPr="0032670E">
        <w:t>modern, säker och anpassad för att klara morgondagens krav.</w:t>
      </w:r>
    </w:p>
    <w:p w:rsidR="005F38BB" w:rsidRPr="0032670E" w:rsidRDefault="005F38BB" w:rsidP="0032670E">
      <w:pPr>
        <w:pStyle w:val="Normaltindrag"/>
        <w:rPr>
          <w:u w:val="single"/>
        </w:rPr>
      </w:pPr>
      <w:r w:rsidRPr="0032670E">
        <w:t>Under året har pc-kliente</w:t>
      </w:r>
      <w:r w:rsidR="00F00D5F" w:rsidRPr="0032670E">
        <w:t xml:space="preserve">rna </w:t>
      </w:r>
      <w:r w:rsidR="0032670E" w:rsidRPr="0032670E">
        <w:t>börjat uppdateras till Windows 10 och Office 2016. Arbetet fortsätter under 2017</w:t>
      </w:r>
      <w:r w:rsidR="0032670E" w:rsidRPr="00156518">
        <w:t xml:space="preserve">. </w:t>
      </w:r>
      <w:r w:rsidRPr="00156518">
        <w:t>En utfasn</w:t>
      </w:r>
      <w:r w:rsidR="00DE0D5E" w:rsidRPr="00156518">
        <w:t xml:space="preserve">ing av Lotus Notes har påbörjats </w:t>
      </w:r>
      <w:r w:rsidRPr="00156518">
        <w:t>under året o</w:t>
      </w:r>
      <w:r w:rsidR="006A6FAF" w:rsidRPr="00156518">
        <w:t>ch planeras fortsätta under 2017</w:t>
      </w:r>
      <w:r w:rsidRPr="00156518">
        <w:t>.</w:t>
      </w:r>
    </w:p>
    <w:p w:rsidR="00D62233" w:rsidRPr="00D62233" w:rsidRDefault="00D62233" w:rsidP="00D62233">
      <w:pPr>
        <w:keepNext/>
        <w:keepLines/>
        <w:tabs>
          <w:tab w:val="left" w:pos="284"/>
          <w:tab w:val="left" w:pos="567"/>
          <w:tab w:val="left" w:pos="851"/>
          <w:tab w:val="left" w:pos="1134"/>
          <w:tab w:val="left" w:pos="1418"/>
        </w:tabs>
        <w:suppressAutoHyphens/>
        <w:spacing w:before="300"/>
        <w:jc w:val="left"/>
        <w:outlineLvl w:val="3"/>
        <w:rPr>
          <w:rFonts w:eastAsiaTheme="majorEastAsia" w:cstheme="majorBidi"/>
          <w:bCs/>
          <w:i/>
          <w:iCs/>
          <w:color w:val="000000" w:themeColor="text1"/>
          <w:sz w:val="21"/>
        </w:rPr>
      </w:pPr>
      <w:r w:rsidRPr="00D62233">
        <w:rPr>
          <w:rFonts w:eastAsiaTheme="majorEastAsia" w:cstheme="majorBidi"/>
          <w:bCs/>
          <w:i/>
          <w:iCs/>
          <w:color w:val="000000" w:themeColor="text1"/>
          <w:sz w:val="21"/>
        </w:rPr>
        <w:t>Beredskaps-, kris- och kontinuitetsplanering</w:t>
      </w:r>
    </w:p>
    <w:p w:rsidR="00697901" w:rsidRDefault="007F3847" w:rsidP="00945490">
      <w:r w:rsidRPr="007F3847">
        <w:t>S</w:t>
      </w:r>
      <w:r w:rsidR="00945490" w:rsidRPr="007F3847">
        <w:t>amverkan</w:t>
      </w:r>
      <w:r w:rsidR="00945490" w:rsidRPr="00945490">
        <w:t xml:space="preserve"> och planering med externa intressenter </w:t>
      </w:r>
      <w:r>
        <w:t xml:space="preserve">har ur </w:t>
      </w:r>
      <w:r w:rsidRPr="007F3847">
        <w:t xml:space="preserve">beredskapssynpunkt </w:t>
      </w:r>
      <w:r w:rsidR="00945490" w:rsidRPr="00945490">
        <w:t xml:space="preserve">genomförts enligt plan. Vidare har krigsdelegationens beslut att genomföra en övning i mitten av mandatperioden medfört att </w:t>
      </w:r>
      <w:r w:rsidR="00EE0130">
        <w:t>stora</w:t>
      </w:r>
      <w:r w:rsidR="00945490" w:rsidRPr="00945490">
        <w:t xml:space="preserve"> personella resurser har avdelats </w:t>
      </w:r>
      <w:r w:rsidR="00EE0130">
        <w:t>till</w:t>
      </w:r>
      <w:r w:rsidR="00945490" w:rsidRPr="00945490">
        <w:t xml:space="preserve"> övningsplanering</w:t>
      </w:r>
      <w:r w:rsidR="00EE0130">
        <w:t>en</w:t>
      </w:r>
      <w:r w:rsidR="00945490">
        <w:t>.</w:t>
      </w:r>
    </w:p>
    <w:p w:rsidR="002F6617" w:rsidRDefault="004736E9" w:rsidP="004736E9">
      <w:pPr>
        <w:pStyle w:val="Normaltindrag"/>
      </w:pPr>
      <w:r>
        <w:t>Under året har förvaltningen också inlett e</w:t>
      </w:r>
      <w:r w:rsidR="00BA00C4">
        <w:t xml:space="preserve">n översyn och revidering av </w:t>
      </w:r>
      <w:r w:rsidR="009B132C">
        <w:t>funktionen</w:t>
      </w:r>
      <w:r w:rsidR="00945490" w:rsidRPr="00945490">
        <w:t xml:space="preserve"> tjänsteman i beredskap (</w:t>
      </w:r>
      <w:r>
        <w:t>TiB)</w:t>
      </w:r>
      <w:r w:rsidR="00697901">
        <w:t>.</w:t>
      </w:r>
    </w:p>
    <w:p w:rsidR="00312F46" w:rsidRPr="003333B3" w:rsidRDefault="00945490" w:rsidP="002F6617">
      <w:pPr>
        <w:pStyle w:val="Normaltindrag"/>
      </w:pPr>
      <w:r w:rsidRPr="003333B3">
        <w:t>Under 2016 har krishanteringsförmågan vidmakthållits</w:t>
      </w:r>
      <w:r w:rsidR="00C835B0">
        <w:t>.</w:t>
      </w:r>
      <w:r w:rsidRPr="003333B3">
        <w:t xml:space="preserve"> </w:t>
      </w:r>
      <w:r w:rsidR="00C835B0">
        <w:t>F</w:t>
      </w:r>
      <w:r w:rsidR="007059D9">
        <w:t xml:space="preserve">örvaltningen har </w:t>
      </w:r>
      <w:r w:rsidR="00C835B0">
        <w:t>dragit lärdom av</w:t>
      </w:r>
      <w:r w:rsidR="007059D9">
        <w:t xml:space="preserve"> </w:t>
      </w:r>
      <w:r w:rsidRPr="003333B3">
        <w:t xml:space="preserve">slutsatserna från arbetet </w:t>
      </w:r>
      <w:r w:rsidR="00220C56" w:rsidRPr="003333B3">
        <w:t xml:space="preserve">efter </w:t>
      </w:r>
      <w:r w:rsidRPr="003333B3">
        <w:t>höjningen av terrorhotnivån mot Sverige hösten 2015</w:t>
      </w:r>
      <w:r w:rsidR="00C835B0">
        <w:t xml:space="preserve"> </w:t>
      </w:r>
      <w:r w:rsidRPr="003333B3">
        <w:t>i syfte att utveckla förmågan att hantera kriser och a</w:t>
      </w:r>
      <w:r w:rsidR="007059D9">
        <w:t xml:space="preserve">llvarliga händelser. Det </w:t>
      </w:r>
      <w:r w:rsidR="00DC51B9" w:rsidRPr="003333B3">
        <w:t>har bland annat</w:t>
      </w:r>
      <w:r w:rsidRPr="003333B3">
        <w:t xml:space="preserve"> </w:t>
      </w:r>
      <w:r w:rsidR="008A7E80">
        <w:t xml:space="preserve">resulterat i </w:t>
      </w:r>
      <w:r w:rsidR="00DC51B9" w:rsidRPr="003333B3">
        <w:t>rekrytering</w:t>
      </w:r>
      <w:r w:rsidRPr="003333B3">
        <w:t xml:space="preserve"> av specialistkompetens </w:t>
      </w:r>
      <w:r w:rsidR="00DC51B9" w:rsidRPr="003333B3">
        <w:t>i förvaltningen</w:t>
      </w:r>
      <w:r w:rsidR="00312F46" w:rsidRPr="003333B3">
        <w:t>.</w:t>
      </w:r>
    </w:p>
    <w:p w:rsidR="00945490" w:rsidRPr="000B2D5F" w:rsidRDefault="00945490" w:rsidP="000B2D5F">
      <w:pPr>
        <w:pStyle w:val="Normaltindrag"/>
      </w:pPr>
      <w:r w:rsidRPr="00945490">
        <w:t>Förvaltningens UPS- och reservkraft</w:t>
      </w:r>
      <w:r w:rsidR="00D63F46">
        <w:rPr>
          <w:rStyle w:val="Fotnotsreferens"/>
        </w:rPr>
        <w:footnoteReference w:id="39"/>
      </w:r>
      <w:r w:rsidRPr="00945490">
        <w:t xml:space="preserve"> har varit föremål för revisionsbesiktning och systematiska driftskontroller. Besiktningen och kontrollerna har genomförts utan några konstaterade brister, vilket innebär att UPS- och reservkraftförsörjning </w:t>
      </w:r>
      <w:r w:rsidR="00A60ABC">
        <w:t>ska förse</w:t>
      </w:r>
      <w:r w:rsidRPr="00945490">
        <w:t xml:space="preserve"> prioriterade system och verksamheter med elkraft. </w:t>
      </w:r>
    </w:p>
    <w:p w:rsidR="00F60A1A" w:rsidRDefault="00945490" w:rsidP="000B2D5F">
      <w:pPr>
        <w:pStyle w:val="Normaltindrag"/>
      </w:pPr>
      <w:r w:rsidRPr="00945490">
        <w:lastRenderedPageBreak/>
        <w:t xml:space="preserve">För att ytterligare utveckla kontinuitetsförmågan pågår ett arbete med att skapa en tydlig struktur och systematik för kontinuitetsplaneringen. Detta innebär exempelvis att förvaltningen under 2016 har påbörjat </w:t>
      </w:r>
      <w:r w:rsidR="00BA00C4">
        <w:t xml:space="preserve">ett </w:t>
      </w:r>
      <w:r w:rsidRPr="00945490">
        <w:t xml:space="preserve">arbete med att upprätta relevanta styrdokument. I det fortsatta arbetet med att fastställa och </w:t>
      </w:r>
      <w:r w:rsidR="00504954">
        <w:t>tillämpa</w:t>
      </w:r>
      <w:r w:rsidRPr="00945490">
        <w:t xml:space="preserve"> dessa styrdokument kommer samtliga pågående aktiviteter som rör utvecklingen av kontinuitetsförmågan att samordnas.</w:t>
      </w:r>
    </w:p>
    <w:p w:rsidR="00D62233" w:rsidRPr="000A4A39" w:rsidRDefault="00D62233" w:rsidP="00D62233">
      <w:pPr>
        <w:spacing w:before="0"/>
        <w:ind w:firstLine="227"/>
      </w:pPr>
      <w:r w:rsidRPr="000A4A39">
        <w:t xml:space="preserve">Genom ovanstående åtgärder bedöms Riksdagsförvaltningen ha </w:t>
      </w:r>
      <w:r w:rsidR="00562C92" w:rsidRPr="000A4A39">
        <w:t xml:space="preserve">vidmakthållit och </w:t>
      </w:r>
      <w:r w:rsidR="000A4A39" w:rsidRPr="000A4A39">
        <w:t xml:space="preserve">i vissa fall stärkt </w:t>
      </w:r>
      <w:r w:rsidRPr="000A4A39">
        <w:t>sin</w:t>
      </w:r>
      <w:r w:rsidR="000A4A39" w:rsidRPr="000A4A39">
        <w:t xml:space="preserve"> förmåga till beredskaps-, kris- och kontinuitetsplanering</w:t>
      </w:r>
      <w:r w:rsidRPr="000A4A39">
        <w:t>.</w:t>
      </w:r>
    </w:p>
    <w:p w:rsidR="00D62233" w:rsidRPr="000258A1" w:rsidRDefault="00D62233" w:rsidP="002C5239">
      <w:pPr>
        <w:pStyle w:val="Rubrik4"/>
      </w:pPr>
      <w:r w:rsidRPr="000258A1">
        <w:t>Centrala utvecklingsprojekt</w:t>
      </w:r>
    </w:p>
    <w:p w:rsidR="00D62233" w:rsidRPr="000258A1" w:rsidRDefault="003D10AC" w:rsidP="00D62233">
      <w:r>
        <w:t>F</w:t>
      </w:r>
      <w:r w:rsidR="00D62233" w:rsidRPr="000258A1">
        <w:t>ör att underlätta prioriteringar av utvecklingsarbetet</w:t>
      </w:r>
      <w:r>
        <w:t xml:space="preserve"> har förvaltningen en central budgetpost för större projekt. (</w:t>
      </w:r>
      <w:r w:rsidR="00D62233" w:rsidRPr="000258A1">
        <w:t>Fastighetsprojekten ingår inte i denna budget utan finansieras främst från fastighetsanslaget.</w:t>
      </w:r>
      <w:r>
        <w:t>)</w:t>
      </w:r>
      <w:r w:rsidR="00D62233" w:rsidRPr="000258A1">
        <w:t xml:space="preserve"> </w:t>
      </w:r>
    </w:p>
    <w:p w:rsidR="00351AFE" w:rsidRPr="00B40C75" w:rsidRDefault="00D62233" w:rsidP="00B40C75">
      <w:pPr>
        <w:spacing w:before="0"/>
        <w:ind w:firstLine="227"/>
        <w:rPr>
          <w:u w:val="single"/>
        </w:rPr>
      </w:pPr>
      <w:r w:rsidRPr="000258A1">
        <w:t>Under året</w:t>
      </w:r>
      <w:r w:rsidR="000258A1" w:rsidRPr="000258A1">
        <w:t xml:space="preserve"> </w:t>
      </w:r>
      <w:r w:rsidR="001059DB">
        <w:t>har förvaltningen arbetat med 10</w:t>
      </w:r>
      <w:r w:rsidRPr="000258A1">
        <w:t xml:space="preserve"> förstudier och </w:t>
      </w:r>
      <w:r w:rsidR="000258A1" w:rsidRPr="000258A1">
        <w:t>14</w:t>
      </w:r>
      <w:r w:rsidR="00EB2489" w:rsidRPr="000258A1">
        <w:t xml:space="preserve"> projekt</w:t>
      </w:r>
      <w:r w:rsidR="003D10AC">
        <w:t xml:space="preserve"> som finansierats av den centrala projektbudgeten</w:t>
      </w:r>
      <w:r w:rsidRPr="000258A1">
        <w:t>.</w:t>
      </w:r>
      <w:r w:rsidR="000258A1" w:rsidRPr="000258A1">
        <w:t xml:space="preserve"> Här kommenteras några av dem.</w:t>
      </w:r>
      <w:r w:rsidRPr="002E6E3E">
        <w:rPr>
          <w:u w:val="single"/>
        </w:rPr>
        <w:t xml:space="preserve"> </w:t>
      </w:r>
    </w:p>
    <w:p w:rsidR="00D62233" w:rsidRPr="003F1B56" w:rsidRDefault="00D62233" w:rsidP="002C5239">
      <w:pPr>
        <w:spacing w:before="250"/>
        <w:rPr>
          <w:b/>
          <w:bCs/>
        </w:rPr>
      </w:pPr>
      <w:r w:rsidRPr="003F1B56">
        <w:rPr>
          <w:b/>
          <w:bCs/>
        </w:rPr>
        <w:t>A. Stöd till kammare och utskott</w:t>
      </w:r>
    </w:p>
    <w:p w:rsidR="00A7443F" w:rsidRPr="00D23024" w:rsidRDefault="00D23024" w:rsidP="00A7443F">
      <w:r w:rsidRPr="00D23024">
        <w:t xml:space="preserve">Projektet Triad ska ersätta viktiga funktioner för bland annat planering av propositioner och skrivelser som i dag finns i ett system som snart ska fasas ut (Urix). Förstudien Systemstöd för statistik om den parlamentariska processen ska utreda hur förvaltningen ska kunna ta fram tillförlitlig statistik om den parlamentariska processen till olika intressenter.  </w:t>
      </w:r>
      <w:r w:rsidR="00A7443F" w:rsidRPr="00D23024">
        <w:t xml:space="preserve"> </w:t>
      </w:r>
    </w:p>
    <w:p w:rsidR="00D62233" w:rsidRPr="00BF792A" w:rsidRDefault="00D62233" w:rsidP="002C5239">
      <w:pPr>
        <w:spacing w:before="125"/>
        <w:rPr>
          <w:b/>
          <w:bCs/>
        </w:rPr>
      </w:pPr>
      <w:r w:rsidRPr="00BF792A">
        <w:rPr>
          <w:b/>
          <w:bCs/>
        </w:rPr>
        <w:t>B. Stöd och service till ledamöter och partikanslier</w:t>
      </w:r>
    </w:p>
    <w:p w:rsidR="00BF792A" w:rsidRPr="00BF792A" w:rsidRDefault="00BF792A" w:rsidP="00671282">
      <w:r w:rsidRPr="00BF792A">
        <w:t xml:space="preserve">Riksdagens utredningstjänst har fått ett nytt ärendehanteringssystem som gör det enklare att beställa och hantera beställningar av utredningar. Ett gemensamt servicecenter har etablerats. En förstudie utreder nu om ett gemensamt ärendehanteringssystem för serviceärenden ytterligare kan förbättra servicen i servicecentret. En digital EU-handledning ska tas fram som ska </w:t>
      </w:r>
      <w:r w:rsidR="004E1873">
        <w:t>bidra till att underlätta ledamö</w:t>
      </w:r>
      <w:r w:rsidRPr="00BF792A">
        <w:t>te</w:t>
      </w:r>
      <w:r w:rsidR="004E1873">
        <w:t>r</w:t>
      </w:r>
      <w:r w:rsidRPr="00BF792A">
        <w:t>n</w:t>
      </w:r>
      <w:r w:rsidR="004E1873">
        <w:t>a</w:t>
      </w:r>
      <w:r w:rsidRPr="00BF792A">
        <w:t>s löpande arbete med EU-frågor. Biblioteket ska upphandla en ny bibliotekssystemmiljö eftersom nuvarande avtal har löpt ut. Den fördjupade förstudien om en ny godsmottagning utreder frågan om godsmottagningens placering ur effektivitets- och säkerhetssynpunkt. Arbetet med att förbättra passersystemet fortsätter.</w:t>
      </w:r>
      <w:r w:rsidR="00B32707" w:rsidRPr="00BF792A">
        <w:t xml:space="preserve"> </w:t>
      </w:r>
    </w:p>
    <w:p w:rsidR="00D62233" w:rsidRPr="00F54C85" w:rsidRDefault="00D62233" w:rsidP="002C5239">
      <w:pPr>
        <w:spacing w:before="125"/>
        <w:rPr>
          <w:b/>
          <w:bCs/>
        </w:rPr>
      </w:pPr>
      <w:r w:rsidRPr="00F54C85">
        <w:rPr>
          <w:b/>
          <w:bCs/>
        </w:rPr>
        <w:t>C. Kunskap om riksdagen och riksdagens arbete</w:t>
      </w:r>
    </w:p>
    <w:p w:rsidR="002B1DF0" w:rsidRPr="00F54C85" w:rsidRDefault="00D62233" w:rsidP="002B1DF0">
      <w:r w:rsidRPr="00F54C85">
        <w:t>Projekt</w:t>
      </w:r>
      <w:r w:rsidR="007E5D14" w:rsidRPr="00F54C85">
        <w:t>et</w:t>
      </w:r>
      <w:r w:rsidRPr="00F54C85">
        <w:t xml:space="preserve"> Utveckling av riksdagen.se </w:t>
      </w:r>
      <w:r w:rsidR="00F30E4E" w:rsidRPr="00F54C85">
        <w:t xml:space="preserve">har förbättrat webbplatsen och det har blivit enklare att söka, följa, bevaka och dela information. En fortsättning, del två, av projektet har startat för att fortsätta </w:t>
      </w:r>
      <w:r w:rsidR="000311A4">
        <w:t xml:space="preserve">att </w:t>
      </w:r>
      <w:r w:rsidR="00F30E4E" w:rsidRPr="00F54C85">
        <w:t>förbättra användargränssnitt och prestanda</w:t>
      </w:r>
      <w:r w:rsidR="007E5D14" w:rsidRPr="00F54C85">
        <w:t>.</w:t>
      </w:r>
      <w:r w:rsidR="00F30E4E" w:rsidRPr="00F54C85">
        <w:t xml:space="preserve"> En uppgradering av gruppbokningssystemet kommer att förenkla hanteringen av bokningar för grupper som besöker riksdagen. En ny EU-webbplats ska tas fram som ersätter EU-upplysningens webbplats med delvis ändrad inriktning.</w:t>
      </w:r>
    </w:p>
    <w:p w:rsidR="00D62233" w:rsidRPr="00721C24" w:rsidRDefault="00D62233" w:rsidP="002C5239">
      <w:pPr>
        <w:spacing w:before="125"/>
        <w:rPr>
          <w:b/>
          <w:bCs/>
        </w:rPr>
      </w:pPr>
      <w:r w:rsidRPr="00721C24">
        <w:rPr>
          <w:b/>
          <w:bCs/>
        </w:rPr>
        <w:lastRenderedPageBreak/>
        <w:t xml:space="preserve">E. </w:t>
      </w:r>
      <w:r w:rsidR="000311A4">
        <w:rPr>
          <w:b/>
          <w:bCs/>
        </w:rPr>
        <w:t>V</w:t>
      </w:r>
      <w:r w:rsidR="00EC0126" w:rsidRPr="00721C24">
        <w:rPr>
          <w:b/>
          <w:bCs/>
        </w:rPr>
        <w:t>äl fungerande m</w:t>
      </w:r>
      <w:r w:rsidRPr="00721C24">
        <w:rPr>
          <w:b/>
          <w:bCs/>
        </w:rPr>
        <w:t>yndighet och arbetsgivare</w:t>
      </w:r>
    </w:p>
    <w:p w:rsidR="005A25A1" w:rsidRDefault="00D3460D" w:rsidP="000A0AE8">
      <w:r>
        <w:t>Projektet Riksdagens skrivråd undersöker</w:t>
      </w:r>
      <w:r w:rsidR="00AA2240">
        <w:t xml:space="preserve"> hur de som skriver texter</w:t>
      </w:r>
      <w:r w:rsidR="00721C24" w:rsidRPr="00721C24">
        <w:t xml:space="preserve"> ska få tillgång till ett lättanvänt skrivstöd på Intranätet</w:t>
      </w:r>
      <w:r>
        <w:t xml:space="preserve"> och kommer att ta fram </w:t>
      </w:r>
      <w:r w:rsidR="00AA2240">
        <w:t>ett sådant</w:t>
      </w:r>
      <w:r>
        <w:t xml:space="preserve"> under 2017</w:t>
      </w:r>
      <w:r w:rsidR="00721C24" w:rsidRPr="00721C24">
        <w:t xml:space="preserve">. Projektet Diariet på webben syftar till att tillgängliggöra uppgifter ur Riksdagsförvaltningens diarium på riksdagens webbplats. </w:t>
      </w:r>
      <w:r w:rsidR="00D72EAD">
        <w:t>I en förstudie undersöks</w:t>
      </w:r>
      <w:r w:rsidR="00721C24" w:rsidRPr="00721C24">
        <w:t xml:space="preserve"> förutsättningarna för att uppgradera mediehanteringssystemet. Systemet används bland annat för tv-inspelningar av riksdagsaktiviteter och webb-tv-sändningar på riksdagen.se. Arbetet med att införa ett nytt personal- och lönesystem fortsätter. Konferenslokalerna i Bååtska rummet har renoverats och erbjuder nu en modern och trevlig konferensmiljö. En översyn av riksdagens olika larmsystem har genomförts. Den tekniska miljön i tryckeriet har setts över och ett förbättringsarbete har initierats. </w:t>
      </w:r>
      <w:r w:rsidR="00361F27" w:rsidRPr="00AA2A8A">
        <w:t>Riksdagsförvaltningen ska skaffa och driftsätta ett system för långtidslagring av elektroniska handlingar. Under året har ett projektdirektiv färdigs</w:t>
      </w:r>
      <w:r w:rsidR="00333149">
        <w:t>tällts för beslut</w:t>
      </w:r>
      <w:r w:rsidR="00361F27" w:rsidRPr="00AA2A8A">
        <w:t>. Förstudien kommer att inledas under första kvartalet 2017.</w:t>
      </w:r>
    </w:p>
    <w:p w:rsidR="00D62233" w:rsidRPr="0091447F" w:rsidRDefault="005B04C0" w:rsidP="002C5239">
      <w:pPr>
        <w:pStyle w:val="Rubrik4"/>
      </w:pPr>
      <w:r>
        <w:t xml:space="preserve">Stöd till riksdagens </w:t>
      </w:r>
      <w:r w:rsidR="00D62233" w:rsidRPr="0091447F">
        <w:t>myndigheter</w:t>
      </w:r>
    </w:p>
    <w:p w:rsidR="00361F27" w:rsidRPr="00361F27" w:rsidRDefault="00D62233" w:rsidP="00857DC1">
      <w:pPr>
        <w:spacing w:before="0"/>
      </w:pPr>
      <w:r w:rsidRPr="0091447F">
        <w:t xml:space="preserve">Riksdagsförvaltningen ska enligt förvaltningens instruktion erbjuda stöd till riksdagens myndigheter. I stödet ingår bland annat att upprätta anslagsdirektiv för var och en av riksdagens myndigheter (förutom Riksbanken) och att ingå centrala kollektivavtal. Mot en avgift utför förvaltningen även bland annat administrativa och it-relaterade tjänster för </w:t>
      </w:r>
      <w:r w:rsidR="00651583">
        <w:t>Riksdagens ombudsmän</w:t>
      </w:r>
      <w:r w:rsidRPr="0091447F">
        <w:t xml:space="preserve"> (JO). </w:t>
      </w:r>
    </w:p>
    <w:p w:rsidR="00D62233" w:rsidRPr="00F52E00" w:rsidRDefault="00D62233" w:rsidP="002C5239">
      <w:pPr>
        <w:pStyle w:val="Rubrik4"/>
      </w:pPr>
      <w:r w:rsidRPr="00F52E00">
        <w:t>Stöd till riksdagens nämndmyndigheter</w:t>
      </w:r>
    </w:p>
    <w:p w:rsidR="00D62233" w:rsidRPr="00F52E00" w:rsidRDefault="00D62233" w:rsidP="00D62233">
      <w:r w:rsidRPr="00F52E00">
        <w:t>Riksdagens nämndmyndigheter är självständiga myndigheter under riksdagen med eget verksamhetsansvar. Nämndernas verksamhet finansieras av Riksdagsförvaltningens anslag.</w:t>
      </w:r>
      <w:r w:rsidR="009968D6" w:rsidRPr="00F52E00">
        <w:t xml:space="preserve"> </w:t>
      </w:r>
      <w:r w:rsidR="00F52E00" w:rsidRPr="00F52E00">
        <w:t>Det finns e</w:t>
      </w:r>
      <w:r w:rsidR="00C55589" w:rsidRPr="00F52E00">
        <w:t>n instruktion inom Riksdagsförvaltningen för samordningen av stödet till nämndmyndigheter.</w:t>
      </w:r>
      <w:r w:rsidR="00885191" w:rsidRPr="00F52E00">
        <w:rPr>
          <w:rStyle w:val="Fotnotsreferens"/>
        </w:rPr>
        <w:footnoteReference w:id="40"/>
      </w:r>
      <w:r w:rsidRPr="00F52E00">
        <w:t xml:space="preserve"> </w:t>
      </w:r>
    </w:p>
    <w:p w:rsidR="00D62233" w:rsidRPr="00F52E00" w:rsidRDefault="00D62233" w:rsidP="00D62233">
      <w:pPr>
        <w:spacing w:before="0"/>
        <w:ind w:firstLine="227"/>
      </w:pPr>
      <w:r w:rsidRPr="00F52E00">
        <w:t>Riksdagsförvaltn</w:t>
      </w:r>
      <w:r w:rsidR="00F52E00" w:rsidRPr="00F52E00">
        <w:t xml:space="preserve">ingen ska enligt </w:t>
      </w:r>
      <w:r w:rsidR="00642D94">
        <w:t xml:space="preserve">förvaltningens </w:t>
      </w:r>
      <w:r w:rsidRPr="00F52E00">
        <w:t>instruktion erbjuda nämndmyndigheterna kanslistöd.</w:t>
      </w:r>
      <w:r w:rsidR="00A25867" w:rsidRPr="00F52E00">
        <w:t xml:space="preserve"> Överenskommelser om sådant stöd finns mellan Riksdagsförvaltningen och samtliga nämnder. Överenskommelserna följs löpan</w:t>
      </w:r>
      <w:r w:rsidR="00F346BB" w:rsidRPr="00F52E00">
        <w:t xml:space="preserve">de upp av parterna (minst </w:t>
      </w:r>
      <w:r w:rsidR="00A25867" w:rsidRPr="00F52E00">
        <w:t>vartannat år) och revideras vid behov.</w:t>
      </w:r>
      <w:r w:rsidRPr="00F52E00">
        <w:t xml:space="preserve"> Riksdagsförvaltningen följer REA-lagen för den verksamhet som förvaltningen ansvarar för, vilket innefattar även det ekonomiadministrativa stöd som erbjuds nämndmyndigheterna. </w:t>
      </w:r>
    </w:p>
    <w:p w:rsidR="00D62233" w:rsidRPr="006F0A76" w:rsidRDefault="00D62233" w:rsidP="00D62233">
      <w:pPr>
        <w:spacing w:before="0"/>
        <w:ind w:firstLine="227"/>
      </w:pPr>
      <w:r w:rsidRPr="006F0A76">
        <w:t xml:space="preserve">Respektive nämndmyndighet lämnar en årlig verksamhetsredogörelse till riksdagen. Enligt förarbetena </w:t>
      </w:r>
      <w:r w:rsidR="00252F14">
        <w:t xml:space="preserve">till REA-lagen </w:t>
      </w:r>
      <w:r w:rsidRPr="006F0A76">
        <w:t xml:space="preserve">bör verksamhetsredogörelsen innehålla uppgifter om nämndens arbetsuppgifter, ledamöter, hur verksamheten bedrivs </w:t>
      </w:r>
      <w:r w:rsidR="008027B7" w:rsidRPr="006F0A76">
        <w:t>samt</w:t>
      </w:r>
      <w:r w:rsidRPr="006F0A76">
        <w:t xml:space="preserve"> de övriga upplysningar som behövs för att ge en rättvisande bild av verksamheten.</w:t>
      </w:r>
      <w:r w:rsidR="00252F14" w:rsidRPr="00252F14">
        <w:t xml:space="preserve"> Lagen ersätts den 1 </w:t>
      </w:r>
      <w:r w:rsidR="00252F14">
        <w:t>januari 2017 av BEA-lagen, lagen</w:t>
      </w:r>
      <w:r w:rsidR="00252F14" w:rsidRPr="00252F14">
        <w:t xml:space="preserve"> (2016:1091) om budget- och ekonomiadministration för riksdagens myndigheter.</w:t>
      </w:r>
      <w:r w:rsidR="00252F14">
        <w:t xml:space="preserve"> </w:t>
      </w:r>
      <w:r w:rsidRPr="006F0A76">
        <w:t xml:space="preserve"> </w:t>
      </w:r>
    </w:p>
    <w:p w:rsidR="00D62233" w:rsidRDefault="00550F23" w:rsidP="00D62233">
      <w:pPr>
        <w:spacing w:before="0"/>
        <w:ind w:firstLine="227"/>
      </w:pPr>
      <w:r w:rsidRPr="006F0A76">
        <w:lastRenderedPageBreak/>
        <w:t>En sammanställning över uppgifter om antal</w:t>
      </w:r>
      <w:r w:rsidR="00197489">
        <w:t>et</w:t>
      </w:r>
      <w:r w:rsidRPr="006F0A76">
        <w:t xml:space="preserve"> sammanträden, ledamöter och kostnader redovisas nedan</w:t>
      </w:r>
      <w:r w:rsidR="00D62233" w:rsidRPr="006F0A76">
        <w:t>. För ytterligare uppgifter om näm</w:t>
      </w:r>
      <w:r w:rsidR="006F0A76" w:rsidRPr="006F0A76">
        <w:t>ndmyndigheternas verksamhet 2016</w:t>
      </w:r>
      <w:r w:rsidR="00D62233" w:rsidRPr="006F0A76">
        <w:t xml:space="preserve"> hänvisas till respektive nämnds särskilda </w:t>
      </w:r>
      <w:r w:rsidR="00D62233" w:rsidRPr="002E6E3E">
        <w:t>verksamhetsredogörelse.</w:t>
      </w:r>
      <w:r w:rsidR="006F0A76">
        <w:t xml:space="preserve"> Dessa finns publicerade på riksdagens webbplats.</w:t>
      </w:r>
    </w:p>
    <w:p w:rsidR="00422C6A" w:rsidRDefault="00724DBC"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Tabell 3</w:t>
      </w:r>
      <w:r w:rsidR="00AF0EF8">
        <w:rPr>
          <w:rFonts w:eastAsiaTheme="majorEastAsia" w:cstheme="majorBidi"/>
          <w:b/>
        </w:rPr>
        <w:t>0</w:t>
      </w:r>
      <w:r w:rsidR="00422C6A" w:rsidRPr="00422C6A">
        <w:rPr>
          <w:rFonts w:eastAsiaTheme="majorEastAsia" w:cstheme="majorBidi"/>
          <w:b/>
        </w:rPr>
        <w:t xml:space="preserve"> Riksdagens nämndmyndigheter – sammanträden, ledamöter och kostnader (tkr)</w:t>
      </w:r>
    </w:p>
    <w:tbl>
      <w:tblPr>
        <w:tblStyle w:val="Tabellrutnt"/>
        <w:tblW w:w="5846" w:type="dxa"/>
        <w:tblLook w:val="04A0" w:firstRow="1" w:lastRow="0" w:firstColumn="1" w:lastColumn="0" w:noHBand="0" w:noVBand="1"/>
      </w:tblPr>
      <w:tblGrid>
        <w:gridCol w:w="2552"/>
        <w:gridCol w:w="1276"/>
        <w:gridCol w:w="992"/>
        <w:gridCol w:w="1026"/>
      </w:tblGrid>
      <w:tr w:rsidR="00422C6A" w:rsidRPr="00C430D6" w:rsidTr="00097D91">
        <w:trPr>
          <w:trHeight w:val="534"/>
        </w:trPr>
        <w:tc>
          <w:tcPr>
            <w:tcW w:w="2552" w:type="dxa"/>
            <w:tcBorders>
              <w:left w:val="nil"/>
              <w:bottom w:val="single" w:sz="4" w:space="0" w:color="auto"/>
              <w:right w:val="nil"/>
            </w:tcBorders>
          </w:tcPr>
          <w:p w:rsidR="00422C6A" w:rsidRPr="00C430D6" w:rsidRDefault="00422C6A" w:rsidP="00097D91">
            <w:pPr>
              <w:pStyle w:val="Normaltindrag"/>
              <w:spacing w:before="60" w:line="200" w:lineRule="exact"/>
              <w:ind w:firstLine="0"/>
              <w:rPr>
                <w:sz w:val="16"/>
                <w:szCs w:val="16"/>
              </w:rPr>
            </w:pPr>
          </w:p>
        </w:tc>
        <w:tc>
          <w:tcPr>
            <w:tcW w:w="1276"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Antal </w:t>
            </w:r>
            <w:r w:rsidRPr="00492D3A">
              <w:rPr>
                <w:b/>
              </w:rPr>
              <w:br/>
              <w:t>sammanträden</w:t>
            </w:r>
          </w:p>
        </w:tc>
        <w:tc>
          <w:tcPr>
            <w:tcW w:w="992"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Antal </w:t>
            </w:r>
            <w:r w:rsidRPr="00492D3A">
              <w:rPr>
                <w:b/>
              </w:rPr>
              <w:br/>
              <w:t>ledamöter</w:t>
            </w:r>
          </w:p>
        </w:tc>
        <w:tc>
          <w:tcPr>
            <w:tcW w:w="1026" w:type="dxa"/>
            <w:tcBorders>
              <w:left w:val="nil"/>
              <w:bottom w:val="single" w:sz="4" w:space="0" w:color="auto"/>
              <w:right w:val="nil"/>
            </w:tcBorders>
          </w:tcPr>
          <w:p w:rsidR="00422C6A" w:rsidRPr="00492D3A" w:rsidRDefault="00422C6A" w:rsidP="00097D91">
            <w:pPr>
              <w:pStyle w:val="Tabell-Siffror"/>
              <w:spacing w:before="60" w:line="200" w:lineRule="exact"/>
              <w:rPr>
                <w:b/>
              </w:rPr>
            </w:pPr>
            <w:r w:rsidRPr="00492D3A">
              <w:rPr>
                <w:b/>
              </w:rPr>
              <w:t xml:space="preserve">Summa </w:t>
            </w:r>
            <w:r w:rsidRPr="00492D3A">
              <w:rPr>
                <w:b/>
              </w:rPr>
              <w:br/>
              <w:t>kostnader</w:t>
            </w:r>
          </w:p>
        </w:tc>
      </w:tr>
      <w:tr w:rsidR="00422C6A" w:rsidRPr="001E0896" w:rsidTr="00097D91">
        <w:trPr>
          <w:trHeight w:val="259"/>
        </w:trPr>
        <w:tc>
          <w:tcPr>
            <w:tcW w:w="2552" w:type="dxa"/>
            <w:tcBorders>
              <w:top w:val="single" w:sz="4" w:space="0" w:color="auto"/>
              <w:left w:val="nil"/>
              <w:bottom w:val="nil"/>
              <w:right w:val="nil"/>
            </w:tcBorders>
          </w:tcPr>
          <w:p w:rsidR="00422C6A" w:rsidRPr="00C430D6" w:rsidRDefault="00422C6A" w:rsidP="00097D91">
            <w:pPr>
              <w:pStyle w:val="Tabell-Text"/>
              <w:spacing w:before="60" w:line="200" w:lineRule="exact"/>
            </w:pPr>
            <w:r>
              <w:t>Riksdagens överklagande</w:t>
            </w:r>
            <w:r w:rsidRPr="00C430D6">
              <w:t>nämn</w:t>
            </w:r>
            <w:r>
              <w:t>d</w:t>
            </w:r>
          </w:p>
        </w:tc>
        <w:tc>
          <w:tcPr>
            <w:tcW w:w="1276" w:type="dxa"/>
            <w:tcBorders>
              <w:top w:val="single" w:sz="4" w:space="0" w:color="auto"/>
              <w:left w:val="nil"/>
              <w:bottom w:val="nil"/>
              <w:right w:val="nil"/>
            </w:tcBorders>
            <w:vAlign w:val="bottom"/>
          </w:tcPr>
          <w:p w:rsidR="00422C6A" w:rsidRPr="00393D96" w:rsidRDefault="00393D96" w:rsidP="00097D91">
            <w:pPr>
              <w:pStyle w:val="Tabell-Siffror"/>
              <w:spacing w:before="60" w:line="200" w:lineRule="exact"/>
            </w:pPr>
            <w:r w:rsidRPr="00393D96">
              <w:t>2</w:t>
            </w:r>
          </w:p>
        </w:tc>
        <w:tc>
          <w:tcPr>
            <w:tcW w:w="992" w:type="dxa"/>
            <w:tcBorders>
              <w:top w:val="single" w:sz="4" w:space="0" w:color="auto"/>
              <w:left w:val="nil"/>
              <w:bottom w:val="nil"/>
              <w:right w:val="nil"/>
            </w:tcBorders>
            <w:vAlign w:val="bottom"/>
          </w:tcPr>
          <w:p w:rsidR="00422C6A" w:rsidRPr="00857DC1" w:rsidRDefault="00422C6A" w:rsidP="00097D91">
            <w:pPr>
              <w:pStyle w:val="Tabell-Siffror"/>
              <w:spacing w:before="60" w:line="200" w:lineRule="exact"/>
            </w:pPr>
            <w:r w:rsidRPr="00857DC1">
              <w:t>5</w:t>
            </w:r>
          </w:p>
        </w:tc>
        <w:tc>
          <w:tcPr>
            <w:tcW w:w="1026" w:type="dxa"/>
            <w:tcBorders>
              <w:top w:val="single" w:sz="4" w:space="0" w:color="auto"/>
              <w:left w:val="nil"/>
              <w:bottom w:val="nil"/>
              <w:right w:val="nil"/>
            </w:tcBorders>
            <w:vAlign w:val="bottom"/>
          </w:tcPr>
          <w:p w:rsidR="00422C6A" w:rsidRPr="003C2867" w:rsidRDefault="002667DA" w:rsidP="00097D91">
            <w:pPr>
              <w:pStyle w:val="Tabell-Siffror"/>
              <w:spacing w:before="60" w:line="200" w:lineRule="exact"/>
            </w:pPr>
            <w:r w:rsidRPr="003C2867">
              <w:t>67</w:t>
            </w:r>
          </w:p>
        </w:tc>
      </w:tr>
      <w:tr w:rsidR="00422C6A" w:rsidRPr="001E0896" w:rsidTr="00097D91">
        <w:trPr>
          <w:trHeight w:val="219"/>
        </w:trPr>
        <w:tc>
          <w:tcPr>
            <w:tcW w:w="2552" w:type="dxa"/>
            <w:tcBorders>
              <w:top w:val="nil"/>
              <w:left w:val="nil"/>
              <w:bottom w:val="nil"/>
              <w:right w:val="nil"/>
            </w:tcBorders>
          </w:tcPr>
          <w:p w:rsidR="00422C6A" w:rsidRPr="00C430D6" w:rsidRDefault="00422C6A" w:rsidP="00097D91">
            <w:pPr>
              <w:pStyle w:val="Tabell-Text"/>
              <w:spacing w:before="60" w:line="200" w:lineRule="exact"/>
            </w:pPr>
            <w:r>
              <w:t>P</w:t>
            </w:r>
            <w:r w:rsidRPr="00C430D6">
              <w:t>artibidragsnämnden</w:t>
            </w:r>
          </w:p>
        </w:tc>
        <w:tc>
          <w:tcPr>
            <w:tcW w:w="1276" w:type="dxa"/>
            <w:tcBorders>
              <w:top w:val="nil"/>
              <w:left w:val="nil"/>
              <w:bottom w:val="nil"/>
              <w:right w:val="nil"/>
            </w:tcBorders>
            <w:vAlign w:val="bottom"/>
          </w:tcPr>
          <w:p w:rsidR="00422C6A" w:rsidRPr="00393D96" w:rsidRDefault="00422C6A" w:rsidP="00097D91">
            <w:pPr>
              <w:pStyle w:val="Tabell-Siffror"/>
              <w:spacing w:before="60" w:line="200" w:lineRule="exact"/>
            </w:pPr>
            <w:r w:rsidRPr="00393D96">
              <w:t>3</w:t>
            </w:r>
          </w:p>
        </w:tc>
        <w:tc>
          <w:tcPr>
            <w:tcW w:w="992" w:type="dxa"/>
            <w:tcBorders>
              <w:top w:val="nil"/>
              <w:left w:val="nil"/>
              <w:bottom w:val="nil"/>
              <w:right w:val="nil"/>
            </w:tcBorders>
            <w:vAlign w:val="bottom"/>
          </w:tcPr>
          <w:p w:rsidR="00422C6A" w:rsidRPr="00857DC1" w:rsidRDefault="00422C6A" w:rsidP="00097D91">
            <w:pPr>
              <w:pStyle w:val="Tabell-Siffror"/>
              <w:spacing w:before="60" w:line="200" w:lineRule="exact"/>
            </w:pPr>
            <w:r w:rsidRPr="00857DC1">
              <w:t>3</w:t>
            </w:r>
          </w:p>
        </w:tc>
        <w:tc>
          <w:tcPr>
            <w:tcW w:w="1026" w:type="dxa"/>
            <w:tcBorders>
              <w:top w:val="nil"/>
              <w:left w:val="nil"/>
              <w:bottom w:val="nil"/>
              <w:right w:val="nil"/>
            </w:tcBorders>
            <w:vAlign w:val="bottom"/>
          </w:tcPr>
          <w:p w:rsidR="00422C6A" w:rsidRPr="003C2867" w:rsidRDefault="002667DA" w:rsidP="00097D91">
            <w:pPr>
              <w:pStyle w:val="Tabell-Siffror"/>
              <w:spacing w:before="60" w:line="200" w:lineRule="exact"/>
            </w:pPr>
            <w:r w:rsidRPr="003C2867">
              <w:t>152</w:t>
            </w:r>
          </w:p>
        </w:tc>
      </w:tr>
      <w:tr w:rsidR="00422C6A" w:rsidRPr="001E0896" w:rsidTr="00097D91">
        <w:trPr>
          <w:trHeight w:val="191"/>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Riksdagens arvodesnämnd</w:t>
            </w:r>
          </w:p>
        </w:tc>
        <w:tc>
          <w:tcPr>
            <w:tcW w:w="1276" w:type="dxa"/>
            <w:tcBorders>
              <w:top w:val="nil"/>
              <w:left w:val="nil"/>
              <w:bottom w:val="nil"/>
              <w:right w:val="nil"/>
            </w:tcBorders>
            <w:vAlign w:val="bottom"/>
          </w:tcPr>
          <w:p w:rsidR="00422C6A" w:rsidRPr="00393D96" w:rsidRDefault="00393D96" w:rsidP="00097D91">
            <w:pPr>
              <w:pStyle w:val="Tabell-Siffror"/>
              <w:spacing w:before="60" w:line="200" w:lineRule="exact"/>
            </w:pPr>
            <w:r w:rsidRPr="00393D96">
              <w:t>9</w:t>
            </w:r>
          </w:p>
        </w:tc>
        <w:tc>
          <w:tcPr>
            <w:tcW w:w="992" w:type="dxa"/>
            <w:tcBorders>
              <w:top w:val="nil"/>
              <w:left w:val="nil"/>
              <w:bottom w:val="nil"/>
              <w:right w:val="nil"/>
            </w:tcBorders>
            <w:vAlign w:val="bottom"/>
          </w:tcPr>
          <w:p w:rsidR="00422C6A" w:rsidRPr="00857DC1" w:rsidRDefault="00422C6A" w:rsidP="00097D91">
            <w:pPr>
              <w:pStyle w:val="Tabell-Siffror"/>
              <w:spacing w:before="60" w:line="200" w:lineRule="exact"/>
            </w:pPr>
            <w:r w:rsidRPr="00857DC1">
              <w:t>3</w:t>
            </w:r>
          </w:p>
        </w:tc>
        <w:tc>
          <w:tcPr>
            <w:tcW w:w="1026" w:type="dxa"/>
            <w:tcBorders>
              <w:top w:val="nil"/>
              <w:left w:val="nil"/>
              <w:bottom w:val="nil"/>
              <w:right w:val="nil"/>
            </w:tcBorders>
            <w:vAlign w:val="bottom"/>
          </w:tcPr>
          <w:p w:rsidR="00422C6A" w:rsidRPr="003C2867" w:rsidRDefault="002667DA" w:rsidP="00097D91">
            <w:pPr>
              <w:pStyle w:val="Tabell-Siffror"/>
              <w:spacing w:before="60" w:line="200" w:lineRule="exact"/>
            </w:pPr>
            <w:r w:rsidRPr="003C2867">
              <w:t>359</w:t>
            </w:r>
          </w:p>
        </w:tc>
      </w:tr>
      <w:tr w:rsidR="00422C6A" w:rsidRPr="001E0896" w:rsidTr="00097D91">
        <w:trPr>
          <w:trHeight w:val="236"/>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Statsrådsarvodesnämnden</w:t>
            </w:r>
          </w:p>
        </w:tc>
        <w:tc>
          <w:tcPr>
            <w:tcW w:w="1276" w:type="dxa"/>
            <w:tcBorders>
              <w:top w:val="nil"/>
              <w:left w:val="nil"/>
              <w:bottom w:val="nil"/>
              <w:right w:val="nil"/>
            </w:tcBorders>
            <w:vAlign w:val="bottom"/>
          </w:tcPr>
          <w:p w:rsidR="00422C6A" w:rsidRPr="00393D96" w:rsidRDefault="00393D96" w:rsidP="00097D91">
            <w:pPr>
              <w:pStyle w:val="Tabell-Siffror"/>
              <w:spacing w:before="60" w:line="200" w:lineRule="exact"/>
            </w:pPr>
            <w:r w:rsidRPr="00393D96">
              <w:t>4</w:t>
            </w:r>
          </w:p>
        </w:tc>
        <w:tc>
          <w:tcPr>
            <w:tcW w:w="992" w:type="dxa"/>
            <w:tcBorders>
              <w:top w:val="nil"/>
              <w:left w:val="nil"/>
              <w:bottom w:val="nil"/>
              <w:right w:val="nil"/>
            </w:tcBorders>
            <w:vAlign w:val="bottom"/>
          </w:tcPr>
          <w:p w:rsidR="00422C6A" w:rsidRPr="00857DC1" w:rsidRDefault="00422C6A" w:rsidP="00097D91">
            <w:pPr>
              <w:pStyle w:val="Tabell-Siffror"/>
              <w:spacing w:before="60" w:line="200" w:lineRule="exact"/>
            </w:pPr>
            <w:r w:rsidRPr="00857DC1">
              <w:t>3</w:t>
            </w:r>
          </w:p>
        </w:tc>
        <w:tc>
          <w:tcPr>
            <w:tcW w:w="1026" w:type="dxa"/>
            <w:tcBorders>
              <w:top w:val="nil"/>
              <w:left w:val="nil"/>
              <w:bottom w:val="nil"/>
              <w:right w:val="nil"/>
            </w:tcBorders>
            <w:vAlign w:val="bottom"/>
          </w:tcPr>
          <w:p w:rsidR="00422C6A" w:rsidRPr="003C2867" w:rsidRDefault="002667DA" w:rsidP="00097D91">
            <w:pPr>
              <w:pStyle w:val="Tabell-Siffror"/>
              <w:spacing w:before="60" w:line="200" w:lineRule="exact"/>
            </w:pPr>
            <w:r w:rsidRPr="003C2867">
              <w:t>157</w:t>
            </w:r>
          </w:p>
        </w:tc>
      </w:tr>
      <w:tr w:rsidR="00422C6A" w:rsidRPr="001E0896" w:rsidTr="00097D91">
        <w:trPr>
          <w:trHeight w:val="470"/>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EC7C30">
              <w:t xml:space="preserve">Nämnden för lön till riksdagens </w:t>
            </w:r>
            <w:r w:rsidRPr="00EC7C30">
              <w:br/>
              <w:t>ombudsmän och riksrevisorerna</w:t>
            </w:r>
          </w:p>
        </w:tc>
        <w:tc>
          <w:tcPr>
            <w:tcW w:w="1276" w:type="dxa"/>
            <w:tcBorders>
              <w:top w:val="nil"/>
              <w:left w:val="nil"/>
              <w:bottom w:val="nil"/>
              <w:right w:val="nil"/>
            </w:tcBorders>
            <w:vAlign w:val="bottom"/>
          </w:tcPr>
          <w:p w:rsidR="00422C6A" w:rsidRPr="00393D96" w:rsidRDefault="00393D96" w:rsidP="00097D91">
            <w:pPr>
              <w:pStyle w:val="Tabell-Siffror"/>
              <w:spacing w:before="60" w:line="200" w:lineRule="exact"/>
            </w:pPr>
            <w:r w:rsidRPr="00393D96">
              <w:t>6</w:t>
            </w:r>
          </w:p>
        </w:tc>
        <w:tc>
          <w:tcPr>
            <w:tcW w:w="992" w:type="dxa"/>
            <w:tcBorders>
              <w:top w:val="nil"/>
              <w:left w:val="nil"/>
              <w:bottom w:val="nil"/>
              <w:right w:val="nil"/>
            </w:tcBorders>
            <w:vAlign w:val="bottom"/>
          </w:tcPr>
          <w:p w:rsidR="00422C6A" w:rsidRPr="00857DC1" w:rsidRDefault="00422C6A" w:rsidP="00097D91">
            <w:pPr>
              <w:pStyle w:val="Tabell-Siffror"/>
              <w:spacing w:before="60" w:line="200" w:lineRule="exact"/>
            </w:pPr>
            <w:r w:rsidRPr="00857DC1">
              <w:t>3</w:t>
            </w:r>
          </w:p>
        </w:tc>
        <w:tc>
          <w:tcPr>
            <w:tcW w:w="1026" w:type="dxa"/>
            <w:tcBorders>
              <w:top w:val="nil"/>
              <w:left w:val="nil"/>
              <w:bottom w:val="nil"/>
              <w:right w:val="nil"/>
            </w:tcBorders>
            <w:vAlign w:val="bottom"/>
          </w:tcPr>
          <w:p w:rsidR="00422C6A" w:rsidRPr="003C2867" w:rsidRDefault="002667DA" w:rsidP="00097D91">
            <w:pPr>
              <w:pStyle w:val="Tabell-Siffror"/>
              <w:spacing w:before="60" w:line="200" w:lineRule="exact"/>
            </w:pPr>
            <w:r w:rsidRPr="003C2867">
              <w:t>159</w:t>
            </w:r>
          </w:p>
        </w:tc>
      </w:tr>
      <w:tr w:rsidR="00422C6A" w:rsidRPr="001E0896" w:rsidTr="00097D91">
        <w:trPr>
          <w:trHeight w:val="205"/>
        </w:trPr>
        <w:tc>
          <w:tcPr>
            <w:tcW w:w="2552" w:type="dxa"/>
            <w:tcBorders>
              <w:top w:val="nil"/>
              <w:left w:val="nil"/>
              <w:bottom w:val="nil"/>
              <w:right w:val="nil"/>
            </w:tcBorders>
          </w:tcPr>
          <w:p w:rsidR="00422C6A" w:rsidRPr="00C430D6" w:rsidRDefault="00422C6A" w:rsidP="00097D91">
            <w:pPr>
              <w:pStyle w:val="Tabell-Text"/>
              <w:spacing w:before="60" w:line="200" w:lineRule="exact"/>
            </w:pPr>
            <w:r w:rsidRPr="00C430D6">
              <w:t>Valprövningsnämnden</w:t>
            </w:r>
          </w:p>
        </w:tc>
        <w:tc>
          <w:tcPr>
            <w:tcW w:w="1276" w:type="dxa"/>
            <w:tcBorders>
              <w:top w:val="nil"/>
              <w:left w:val="nil"/>
              <w:bottom w:val="nil"/>
              <w:right w:val="nil"/>
            </w:tcBorders>
            <w:vAlign w:val="bottom"/>
          </w:tcPr>
          <w:p w:rsidR="00422C6A" w:rsidRPr="00393D96" w:rsidRDefault="00393D96" w:rsidP="00097D91">
            <w:pPr>
              <w:pStyle w:val="Tabell-Siffror"/>
              <w:spacing w:before="60" w:line="200" w:lineRule="exact"/>
            </w:pPr>
            <w:r w:rsidRPr="00393D96">
              <w:t>14</w:t>
            </w:r>
          </w:p>
        </w:tc>
        <w:tc>
          <w:tcPr>
            <w:tcW w:w="992" w:type="dxa"/>
            <w:tcBorders>
              <w:top w:val="nil"/>
              <w:left w:val="nil"/>
              <w:bottom w:val="nil"/>
              <w:right w:val="nil"/>
            </w:tcBorders>
            <w:vAlign w:val="bottom"/>
          </w:tcPr>
          <w:p w:rsidR="00422C6A" w:rsidRPr="00857DC1" w:rsidRDefault="00422C6A" w:rsidP="00097D91">
            <w:pPr>
              <w:pStyle w:val="Tabell-Siffror"/>
              <w:spacing w:before="60" w:line="200" w:lineRule="exact"/>
            </w:pPr>
            <w:r w:rsidRPr="00857DC1">
              <w:t>7</w:t>
            </w:r>
          </w:p>
        </w:tc>
        <w:tc>
          <w:tcPr>
            <w:tcW w:w="1026" w:type="dxa"/>
            <w:tcBorders>
              <w:top w:val="nil"/>
              <w:left w:val="nil"/>
              <w:bottom w:val="nil"/>
              <w:right w:val="nil"/>
            </w:tcBorders>
            <w:vAlign w:val="bottom"/>
          </w:tcPr>
          <w:p w:rsidR="00422C6A" w:rsidRPr="003C2867" w:rsidRDefault="002667DA" w:rsidP="00097D91">
            <w:pPr>
              <w:pStyle w:val="Tabell-Siffror"/>
              <w:spacing w:before="60" w:line="200" w:lineRule="exact"/>
            </w:pPr>
            <w:r w:rsidRPr="003C2867">
              <w:t>370</w:t>
            </w:r>
          </w:p>
        </w:tc>
      </w:tr>
      <w:tr w:rsidR="00422C6A" w:rsidRPr="001E0896" w:rsidTr="00097D91">
        <w:trPr>
          <w:trHeight w:val="311"/>
        </w:trPr>
        <w:tc>
          <w:tcPr>
            <w:tcW w:w="2552" w:type="dxa"/>
            <w:tcBorders>
              <w:top w:val="nil"/>
              <w:left w:val="nil"/>
              <w:bottom w:val="single" w:sz="4" w:space="0" w:color="auto"/>
              <w:right w:val="nil"/>
            </w:tcBorders>
          </w:tcPr>
          <w:p w:rsidR="00422C6A" w:rsidRPr="00C430D6" w:rsidRDefault="00422C6A" w:rsidP="00097D91">
            <w:pPr>
              <w:pStyle w:val="Tabell-Text"/>
              <w:spacing w:before="60" w:line="200" w:lineRule="exact"/>
            </w:pPr>
            <w:r>
              <w:t>Riksdagens ansva</w:t>
            </w:r>
            <w:r w:rsidRPr="00C430D6">
              <w:t>r</w:t>
            </w:r>
            <w:r>
              <w:t>snämnd</w:t>
            </w:r>
          </w:p>
        </w:tc>
        <w:tc>
          <w:tcPr>
            <w:tcW w:w="1276" w:type="dxa"/>
            <w:tcBorders>
              <w:top w:val="nil"/>
              <w:left w:val="nil"/>
              <w:bottom w:val="single" w:sz="4" w:space="0" w:color="auto"/>
              <w:right w:val="nil"/>
            </w:tcBorders>
          </w:tcPr>
          <w:p w:rsidR="00422C6A" w:rsidRPr="00393D96" w:rsidRDefault="00422C6A" w:rsidP="00097D91">
            <w:pPr>
              <w:pStyle w:val="Tabell-Siffror"/>
              <w:spacing w:before="60" w:line="200" w:lineRule="exact"/>
            </w:pPr>
            <w:r w:rsidRPr="00393D96">
              <w:t>–</w:t>
            </w:r>
          </w:p>
        </w:tc>
        <w:tc>
          <w:tcPr>
            <w:tcW w:w="992" w:type="dxa"/>
            <w:tcBorders>
              <w:top w:val="nil"/>
              <w:left w:val="nil"/>
              <w:bottom w:val="single" w:sz="4" w:space="0" w:color="auto"/>
              <w:right w:val="nil"/>
            </w:tcBorders>
          </w:tcPr>
          <w:p w:rsidR="00422C6A" w:rsidRPr="00857DC1" w:rsidRDefault="00422C6A" w:rsidP="00097D91">
            <w:pPr>
              <w:pStyle w:val="Tabell-Siffror"/>
              <w:spacing w:before="60" w:line="200" w:lineRule="exact"/>
            </w:pPr>
            <w:r w:rsidRPr="00857DC1">
              <w:t>5</w:t>
            </w:r>
          </w:p>
        </w:tc>
        <w:tc>
          <w:tcPr>
            <w:tcW w:w="1026" w:type="dxa"/>
            <w:tcBorders>
              <w:top w:val="nil"/>
              <w:left w:val="nil"/>
              <w:bottom w:val="single" w:sz="4" w:space="0" w:color="auto"/>
              <w:right w:val="nil"/>
            </w:tcBorders>
          </w:tcPr>
          <w:p w:rsidR="00422C6A" w:rsidRPr="003C2867" w:rsidRDefault="002667DA" w:rsidP="00097D91">
            <w:pPr>
              <w:pStyle w:val="Tabell-Siffror"/>
              <w:spacing w:before="60" w:line="200" w:lineRule="exact"/>
            </w:pPr>
            <w:r w:rsidRPr="003C2867">
              <w:t>7</w:t>
            </w:r>
          </w:p>
        </w:tc>
      </w:tr>
      <w:tr w:rsidR="00422C6A" w:rsidRPr="001E0896" w:rsidTr="00097D91">
        <w:trPr>
          <w:trHeight w:val="262"/>
        </w:trPr>
        <w:tc>
          <w:tcPr>
            <w:tcW w:w="2552" w:type="dxa"/>
            <w:tcBorders>
              <w:left w:val="nil"/>
              <w:right w:val="nil"/>
            </w:tcBorders>
          </w:tcPr>
          <w:p w:rsidR="00422C6A" w:rsidRPr="00296779" w:rsidRDefault="00422C6A" w:rsidP="00097D91">
            <w:pPr>
              <w:pStyle w:val="Tabell-Text"/>
              <w:spacing w:before="60" w:line="200" w:lineRule="exact"/>
              <w:rPr>
                <w:b/>
              </w:rPr>
            </w:pPr>
            <w:r w:rsidRPr="00296779">
              <w:rPr>
                <w:b/>
              </w:rPr>
              <w:t>Totalt 201</w:t>
            </w:r>
            <w:r w:rsidR="00703196">
              <w:rPr>
                <w:b/>
              </w:rPr>
              <w:t>6</w:t>
            </w:r>
          </w:p>
        </w:tc>
        <w:tc>
          <w:tcPr>
            <w:tcW w:w="1276" w:type="dxa"/>
            <w:tcBorders>
              <w:left w:val="nil"/>
              <w:right w:val="nil"/>
            </w:tcBorders>
          </w:tcPr>
          <w:p w:rsidR="00422C6A" w:rsidRPr="00296779" w:rsidRDefault="005D155E" w:rsidP="00097D91">
            <w:pPr>
              <w:pStyle w:val="Tabell-Siffror"/>
              <w:spacing w:before="60" w:line="200" w:lineRule="exact"/>
              <w:rPr>
                <w:b/>
              </w:rPr>
            </w:pPr>
            <w:r>
              <w:rPr>
                <w:b/>
              </w:rPr>
              <w:t>38</w:t>
            </w:r>
          </w:p>
        </w:tc>
        <w:tc>
          <w:tcPr>
            <w:tcW w:w="992" w:type="dxa"/>
            <w:tcBorders>
              <w:left w:val="nil"/>
              <w:right w:val="nil"/>
            </w:tcBorders>
          </w:tcPr>
          <w:p w:rsidR="00422C6A" w:rsidRPr="00857DC1" w:rsidRDefault="00B829A8" w:rsidP="00097D91">
            <w:pPr>
              <w:pStyle w:val="Tabell-Siffror"/>
              <w:spacing w:before="60" w:line="200" w:lineRule="exact"/>
              <w:rPr>
                <w:b/>
              </w:rPr>
            </w:pPr>
            <w:r w:rsidRPr="00857DC1">
              <w:rPr>
                <w:b/>
              </w:rPr>
              <w:t>29</w:t>
            </w:r>
          </w:p>
        </w:tc>
        <w:tc>
          <w:tcPr>
            <w:tcW w:w="1026" w:type="dxa"/>
            <w:tcBorders>
              <w:left w:val="nil"/>
              <w:right w:val="nil"/>
            </w:tcBorders>
          </w:tcPr>
          <w:p w:rsidR="00422C6A" w:rsidRPr="003C2867" w:rsidRDefault="00B663FE" w:rsidP="00097D91">
            <w:pPr>
              <w:pStyle w:val="Tabell-Siffror"/>
              <w:spacing w:before="60" w:line="200" w:lineRule="exact"/>
              <w:rPr>
                <w:b/>
              </w:rPr>
            </w:pPr>
            <w:r w:rsidRPr="003C2867">
              <w:rPr>
                <w:b/>
              </w:rPr>
              <w:t>1 271</w:t>
            </w:r>
          </w:p>
        </w:tc>
      </w:tr>
      <w:tr w:rsidR="00CE4DC6" w:rsidRPr="00C430D6" w:rsidTr="00097D91">
        <w:trPr>
          <w:trHeight w:val="262"/>
        </w:trPr>
        <w:tc>
          <w:tcPr>
            <w:tcW w:w="2552" w:type="dxa"/>
            <w:tcBorders>
              <w:left w:val="nil"/>
              <w:right w:val="nil"/>
            </w:tcBorders>
          </w:tcPr>
          <w:p w:rsidR="00CE4DC6" w:rsidRPr="00296779" w:rsidRDefault="00CE4DC6" w:rsidP="00CE4DC6">
            <w:pPr>
              <w:pStyle w:val="Tabell-Text"/>
              <w:spacing w:before="60" w:line="200" w:lineRule="exact"/>
              <w:rPr>
                <w:b/>
                <w:i/>
              </w:rPr>
            </w:pPr>
            <w:r w:rsidRPr="00296779">
              <w:rPr>
                <w:b/>
                <w:i/>
              </w:rPr>
              <w:t>Totalt 201</w:t>
            </w:r>
            <w:r>
              <w:rPr>
                <w:b/>
                <w:i/>
              </w:rPr>
              <w:t>5</w:t>
            </w:r>
          </w:p>
        </w:tc>
        <w:tc>
          <w:tcPr>
            <w:tcW w:w="1276" w:type="dxa"/>
            <w:tcBorders>
              <w:left w:val="nil"/>
              <w:right w:val="nil"/>
            </w:tcBorders>
          </w:tcPr>
          <w:p w:rsidR="00CE4DC6" w:rsidRPr="00CE4DC6" w:rsidRDefault="00CE4DC6" w:rsidP="00CE4DC6">
            <w:pPr>
              <w:pStyle w:val="Tabell-Siffror"/>
              <w:spacing w:before="60" w:line="200" w:lineRule="exact"/>
              <w:rPr>
                <w:b/>
                <w:i/>
              </w:rPr>
            </w:pPr>
            <w:r w:rsidRPr="00CE4DC6">
              <w:rPr>
                <w:b/>
                <w:i/>
              </w:rPr>
              <w:t>23</w:t>
            </w:r>
          </w:p>
        </w:tc>
        <w:tc>
          <w:tcPr>
            <w:tcW w:w="992" w:type="dxa"/>
            <w:tcBorders>
              <w:left w:val="nil"/>
              <w:right w:val="nil"/>
            </w:tcBorders>
          </w:tcPr>
          <w:p w:rsidR="00CE4DC6" w:rsidRPr="00CE4DC6" w:rsidRDefault="00CE4DC6" w:rsidP="00CE4DC6">
            <w:pPr>
              <w:pStyle w:val="Tabell-Siffror"/>
              <w:spacing w:before="60" w:line="200" w:lineRule="exact"/>
              <w:rPr>
                <w:b/>
                <w:i/>
              </w:rPr>
            </w:pPr>
            <w:r w:rsidRPr="00CE4DC6">
              <w:rPr>
                <w:b/>
                <w:i/>
              </w:rPr>
              <w:t>29</w:t>
            </w:r>
          </w:p>
        </w:tc>
        <w:tc>
          <w:tcPr>
            <w:tcW w:w="1026" w:type="dxa"/>
            <w:tcBorders>
              <w:left w:val="nil"/>
              <w:right w:val="nil"/>
            </w:tcBorders>
          </w:tcPr>
          <w:p w:rsidR="00CE4DC6" w:rsidRPr="00CE4DC6" w:rsidRDefault="00CE4DC6" w:rsidP="00CE4DC6">
            <w:pPr>
              <w:pStyle w:val="Tabell-Siffror"/>
              <w:spacing w:before="60" w:line="200" w:lineRule="exact"/>
              <w:rPr>
                <w:b/>
                <w:i/>
              </w:rPr>
            </w:pPr>
            <w:r w:rsidRPr="00CE4DC6">
              <w:rPr>
                <w:b/>
                <w:i/>
              </w:rPr>
              <w:t>1 531</w:t>
            </w:r>
          </w:p>
        </w:tc>
      </w:tr>
      <w:tr w:rsidR="00CE4DC6" w:rsidRPr="00C430D6" w:rsidTr="00097D91">
        <w:trPr>
          <w:trHeight w:val="262"/>
        </w:trPr>
        <w:tc>
          <w:tcPr>
            <w:tcW w:w="2552" w:type="dxa"/>
            <w:tcBorders>
              <w:left w:val="nil"/>
              <w:right w:val="nil"/>
            </w:tcBorders>
          </w:tcPr>
          <w:p w:rsidR="00CE4DC6" w:rsidRPr="00296779" w:rsidRDefault="00CE4DC6" w:rsidP="00CE4DC6">
            <w:pPr>
              <w:pStyle w:val="Tabell-Text"/>
              <w:spacing w:before="60" w:line="200" w:lineRule="exact"/>
              <w:rPr>
                <w:b/>
                <w:i/>
              </w:rPr>
            </w:pPr>
            <w:r w:rsidRPr="00296779">
              <w:rPr>
                <w:b/>
                <w:i/>
              </w:rPr>
              <w:t>Totalt 201</w:t>
            </w:r>
            <w:r>
              <w:rPr>
                <w:b/>
                <w:i/>
              </w:rPr>
              <w:t>4</w:t>
            </w:r>
          </w:p>
        </w:tc>
        <w:tc>
          <w:tcPr>
            <w:tcW w:w="1276" w:type="dxa"/>
            <w:tcBorders>
              <w:left w:val="nil"/>
              <w:right w:val="nil"/>
            </w:tcBorders>
          </w:tcPr>
          <w:p w:rsidR="00CE4DC6" w:rsidRPr="00296779" w:rsidRDefault="00CE4DC6" w:rsidP="00CE4DC6">
            <w:pPr>
              <w:pStyle w:val="Tabell-Siffror"/>
              <w:spacing w:before="60" w:line="200" w:lineRule="exact"/>
              <w:rPr>
                <w:b/>
                <w:i/>
              </w:rPr>
            </w:pPr>
            <w:r>
              <w:rPr>
                <w:b/>
                <w:i/>
              </w:rPr>
              <w:t>31</w:t>
            </w:r>
          </w:p>
        </w:tc>
        <w:tc>
          <w:tcPr>
            <w:tcW w:w="992" w:type="dxa"/>
            <w:tcBorders>
              <w:left w:val="nil"/>
              <w:right w:val="nil"/>
            </w:tcBorders>
          </w:tcPr>
          <w:p w:rsidR="00CE4DC6" w:rsidRPr="00296779" w:rsidRDefault="00CE4DC6" w:rsidP="00CE4DC6">
            <w:pPr>
              <w:pStyle w:val="Tabell-Siffror"/>
              <w:spacing w:before="60" w:line="200" w:lineRule="exact"/>
              <w:rPr>
                <w:b/>
                <w:i/>
              </w:rPr>
            </w:pPr>
            <w:r>
              <w:rPr>
                <w:b/>
                <w:i/>
              </w:rPr>
              <w:t>29</w:t>
            </w:r>
          </w:p>
        </w:tc>
        <w:tc>
          <w:tcPr>
            <w:tcW w:w="1026" w:type="dxa"/>
            <w:tcBorders>
              <w:left w:val="nil"/>
              <w:right w:val="nil"/>
            </w:tcBorders>
          </w:tcPr>
          <w:p w:rsidR="00CE4DC6" w:rsidRPr="00296779" w:rsidRDefault="00CE4DC6" w:rsidP="00CE4DC6">
            <w:pPr>
              <w:pStyle w:val="Tabell-Siffror"/>
              <w:spacing w:before="60" w:line="200" w:lineRule="exact"/>
              <w:rPr>
                <w:b/>
                <w:i/>
              </w:rPr>
            </w:pPr>
            <w:r>
              <w:rPr>
                <w:b/>
                <w:i/>
              </w:rPr>
              <w:t>1 677</w:t>
            </w:r>
          </w:p>
        </w:tc>
      </w:tr>
    </w:tbl>
    <w:p w:rsidR="00422C6A" w:rsidRPr="005B3898" w:rsidRDefault="00422C6A" w:rsidP="002C5239">
      <w:pPr>
        <w:pStyle w:val="Rubrik4"/>
      </w:pPr>
      <w:r w:rsidRPr="005B3898">
        <w:t>Personalfrågor</w:t>
      </w:r>
    </w:p>
    <w:p w:rsidR="00422C6A" w:rsidRPr="0026465E" w:rsidRDefault="00422C6A" w:rsidP="00080C90">
      <w:r w:rsidRPr="0026465E">
        <w:t>Antalet anställda inom Riksdagsförvaltningen med en tillsvidare- eller t</w:t>
      </w:r>
      <w:r w:rsidR="00E64762" w:rsidRPr="0026465E">
        <w:t>idsbegränsad anställning var 647 vid utgången av 2016</w:t>
      </w:r>
      <w:r w:rsidRPr="0026465E">
        <w:t xml:space="preserve">, </w:t>
      </w:r>
      <w:r w:rsidR="00E64762" w:rsidRPr="0026465E">
        <w:t>vilket är 15 fler än 2015 (632) och</w:t>
      </w:r>
      <w:r w:rsidRPr="0026465E">
        <w:t xml:space="preserve"> </w:t>
      </w:r>
      <w:r w:rsidR="00E64762" w:rsidRPr="0026465E">
        <w:t>11 fler</w:t>
      </w:r>
      <w:r w:rsidRPr="0026465E">
        <w:t xml:space="preserve"> än 201</w:t>
      </w:r>
      <w:r w:rsidR="00E64762" w:rsidRPr="0026465E">
        <w:t>4 (636).</w:t>
      </w:r>
      <w:r w:rsidRPr="0026465E">
        <w:t xml:space="preserve"> Antalet å</w:t>
      </w:r>
      <w:r w:rsidR="00E64762" w:rsidRPr="0026465E">
        <w:t>rsarbetskrafter uppgick till 583</w:t>
      </w:r>
      <w:r w:rsidRPr="0026465E">
        <w:t>, vilket är</w:t>
      </w:r>
      <w:r w:rsidR="00E64762" w:rsidRPr="0026465E">
        <w:t xml:space="preserve"> lägre</w:t>
      </w:r>
      <w:r w:rsidR="004E6278" w:rsidRPr="0026465E">
        <w:t xml:space="preserve"> jämfört med </w:t>
      </w:r>
      <w:r w:rsidR="0026465E" w:rsidRPr="0026465E">
        <w:t>2015 (591) och 2014 (591)</w:t>
      </w:r>
      <w:r w:rsidRPr="0026465E">
        <w:t>.</w:t>
      </w:r>
      <w:r w:rsidR="00080C90" w:rsidRPr="0026465E">
        <w:t xml:space="preserve"> </w:t>
      </w:r>
      <w:r w:rsidR="0026465E" w:rsidRPr="0026465E">
        <w:t>Antalet anställda har alltså varit fler 2016, men samtidigt har fler varit lediga, därav det lägre antalet årsarbetskrafter.</w:t>
      </w:r>
      <w:r w:rsidRPr="0026465E">
        <w:t xml:space="preserve"> </w:t>
      </w:r>
    </w:p>
    <w:p w:rsidR="00422C6A" w:rsidRPr="002E6E3E" w:rsidRDefault="008C49B2" w:rsidP="00422C6A">
      <w:pPr>
        <w:spacing w:before="0"/>
        <w:ind w:firstLine="227"/>
        <w:rPr>
          <w:u w:val="single"/>
        </w:rPr>
      </w:pPr>
      <w:r w:rsidRPr="00B440F1">
        <w:t>F</w:t>
      </w:r>
      <w:r w:rsidR="00422C6A" w:rsidRPr="00B440F1">
        <w:t xml:space="preserve">örvaltningens ledningsgrupp har </w:t>
      </w:r>
      <w:r w:rsidRPr="00B440F1">
        <w:t xml:space="preserve">fortsatt </w:t>
      </w:r>
      <w:r w:rsidR="00B66DFA" w:rsidRPr="00B440F1">
        <w:t xml:space="preserve">att </w:t>
      </w:r>
      <w:r w:rsidRPr="00B440F1">
        <w:t>arbeta med strategisk kompetensförsörjning</w:t>
      </w:r>
      <w:r w:rsidR="00422C6A" w:rsidRPr="00B440F1">
        <w:t xml:space="preserve"> och </w:t>
      </w:r>
      <w:r w:rsidRPr="00B440F1">
        <w:t xml:space="preserve">att tillämpa </w:t>
      </w:r>
      <w:r w:rsidR="00422C6A" w:rsidRPr="00B440F1">
        <w:t>modellen för v</w:t>
      </w:r>
      <w:r w:rsidR="003B4597" w:rsidRPr="00B440F1">
        <w:t>akansprövning. Vakansprövningen</w:t>
      </w:r>
      <w:r w:rsidR="00422C6A" w:rsidRPr="00B440F1">
        <w:t xml:space="preserve"> </w:t>
      </w:r>
      <w:r w:rsidR="003B4597" w:rsidRPr="00B440F1">
        <w:t>leder till</w:t>
      </w:r>
      <w:r w:rsidR="00422C6A" w:rsidRPr="00B440F1">
        <w:t xml:space="preserve"> ett bättre r</w:t>
      </w:r>
      <w:r w:rsidRPr="00B440F1">
        <w:t>esursutnyttjande genom att det går att</w:t>
      </w:r>
      <w:r w:rsidR="00422C6A" w:rsidRPr="00B440F1">
        <w:t xml:space="preserve"> växla kompetenser </w:t>
      </w:r>
      <w:r w:rsidRPr="00B440F1">
        <w:t xml:space="preserve">och omfördela resurser samt </w:t>
      </w:r>
      <w:r w:rsidR="00422C6A" w:rsidRPr="00B440F1">
        <w:t xml:space="preserve">ha en god kontroll över lönekostnaderna. </w:t>
      </w:r>
    </w:p>
    <w:p w:rsidR="00422C6A" w:rsidRDefault="00301D7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 xml:space="preserve">Tabell </w:t>
      </w:r>
      <w:r w:rsidR="00AF0EF8">
        <w:rPr>
          <w:rFonts w:eastAsiaTheme="majorEastAsia" w:cstheme="majorBidi"/>
          <w:b/>
        </w:rPr>
        <w:t>31</w:t>
      </w:r>
      <w:r w:rsidR="00422C6A" w:rsidRPr="00422C6A">
        <w:rPr>
          <w:rFonts w:eastAsiaTheme="majorEastAsia" w:cstheme="majorBidi"/>
          <w:b/>
        </w:rPr>
        <w:t xml:space="preserve"> Antalet anställd</w:t>
      </w:r>
      <w:r w:rsidR="00EB0B40">
        <w:rPr>
          <w:rFonts w:eastAsiaTheme="majorEastAsia" w:cstheme="majorBidi"/>
          <w:b/>
        </w:rPr>
        <w:t>a fördelat på ålder och kön 2016</w:t>
      </w:r>
      <w:r w:rsidR="00422C6A" w:rsidRPr="00422C6A">
        <w:rPr>
          <w:rFonts w:eastAsiaTheme="majorEastAsia" w:cstheme="majorBidi"/>
          <w:b/>
        </w:rPr>
        <w:t>-12-31</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74"/>
        <w:gridCol w:w="567"/>
        <w:gridCol w:w="927"/>
        <w:gridCol w:w="1058"/>
        <w:gridCol w:w="708"/>
        <w:gridCol w:w="733"/>
      </w:tblGrid>
      <w:tr w:rsidR="00E77652" w:rsidRPr="00C430D6" w:rsidTr="00D8301B">
        <w:tc>
          <w:tcPr>
            <w:tcW w:w="988" w:type="dxa"/>
            <w:tcBorders>
              <w:top w:val="single" w:sz="4" w:space="0" w:color="auto"/>
              <w:bottom w:val="single" w:sz="4" w:space="0" w:color="auto"/>
            </w:tcBorders>
          </w:tcPr>
          <w:p w:rsidR="00E77652" w:rsidRPr="00892667" w:rsidRDefault="00E77652" w:rsidP="00097D91">
            <w:pPr>
              <w:pStyle w:val="Tabell-Text"/>
              <w:spacing w:before="60" w:line="200" w:lineRule="exact"/>
              <w:rPr>
                <w:b/>
              </w:rPr>
            </w:pPr>
            <w:r w:rsidRPr="00892667">
              <w:rPr>
                <w:b/>
              </w:rPr>
              <w:t>Åldersintervall</w:t>
            </w:r>
          </w:p>
        </w:tc>
        <w:tc>
          <w:tcPr>
            <w:tcW w:w="874"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Kvinnor</w:t>
            </w:r>
          </w:p>
        </w:tc>
        <w:tc>
          <w:tcPr>
            <w:tcW w:w="567"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Män</w:t>
            </w:r>
          </w:p>
        </w:tc>
        <w:tc>
          <w:tcPr>
            <w:tcW w:w="927"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 xml:space="preserve">Totalt </w:t>
            </w:r>
            <w:r w:rsidRPr="00892667">
              <w:rPr>
                <w:b/>
              </w:rPr>
              <w:br/>
              <w:t>antal 201</w:t>
            </w:r>
            <w:r w:rsidR="00BB033F">
              <w:rPr>
                <w:b/>
              </w:rPr>
              <w:t>6</w:t>
            </w:r>
          </w:p>
        </w:tc>
        <w:tc>
          <w:tcPr>
            <w:tcW w:w="1058"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Ålder, andel av samtliga (%)</w:t>
            </w:r>
          </w:p>
        </w:tc>
        <w:tc>
          <w:tcPr>
            <w:tcW w:w="708" w:type="dxa"/>
            <w:tcBorders>
              <w:top w:val="single" w:sz="4" w:space="0" w:color="auto"/>
              <w:bottom w:val="single" w:sz="4" w:space="0" w:color="auto"/>
            </w:tcBorders>
          </w:tcPr>
          <w:p w:rsidR="00E77652" w:rsidRPr="00892667" w:rsidRDefault="00E77652" w:rsidP="00097D91">
            <w:pPr>
              <w:pStyle w:val="Tabell-Siffror"/>
              <w:spacing w:before="60" w:line="200" w:lineRule="exact"/>
              <w:rPr>
                <w:b/>
              </w:rPr>
            </w:pPr>
            <w:r w:rsidRPr="00892667">
              <w:rPr>
                <w:b/>
              </w:rPr>
              <w:t>Totalt antal 201</w:t>
            </w:r>
            <w:r w:rsidR="00F2108B">
              <w:rPr>
                <w:b/>
              </w:rPr>
              <w:t>5</w:t>
            </w:r>
          </w:p>
        </w:tc>
        <w:tc>
          <w:tcPr>
            <w:tcW w:w="733" w:type="dxa"/>
            <w:tcBorders>
              <w:top w:val="single" w:sz="4" w:space="0" w:color="auto"/>
              <w:bottom w:val="single" w:sz="4" w:space="0" w:color="auto"/>
            </w:tcBorders>
          </w:tcPr>
          <w:p w:rsidR="00E77652" w:rsidRPr="00892667" w:rsidRDefault="00E77652" w:rsidP="00F2108B">
            <w:pPr>
              <w:pStyle w:val="Tabell-Siffror"/>
              <w:spacing w:before="60" w:line="200" w:lineRule="exact"/>
              <w:rPr>
                <w:b/>
              </w:rPr>
            </w:pPr>
            <w:r w:rsidRPr="00892667">
              <w:rPr>
                <w:b/>
              </w:rPr>
              <w:t>Totalt antal 201</w:t>
            </w:r>
            <w:r w:rsidR="00F2108B">
              <w:rPr>
                <w:b/>
              </w:rPr>
              <w:t>4</w:t>
            </w:r>
          </w:p>
        </w:tc>
      </w:tr>
      <w:tr w:rsidR="00E77652" w:rsidRPr="00C430D6" w:rsidTr="00D8301B">
        <w:tc>
          <w:tcPr>
            <w:tcW w:w="988" w:type="dxa"/>
            <w:tcBorders>
              <w:top w:val="single" w:sz="4" w:space="0" w:color="auto"/>
            </w:tcBorders>
          </w:tcPr>
          <w:p w:rsidR="00E77652" w:rsidRPr="00C430D6" w:rsidRDefault="00E77652" w:rsidP="00097D91">
            <w:pPr>
              <w:pStyle w:val="Tabell-Text"/>
              <w:spacing w:before="60" w:line="200" w:lineRule="exact"/>
            </w:pPr>
            <w:r w:rsidRPr="00C430D6">
              <w:t>&lt;24 år</w:t>
            </w:r>
          </w:p>
        </w:tc>
        <w:tc>
          <w:tcPr>
            <w:tcW w:w="874" w:type="dxa"/>
            <w:tcBorders>
              <w:top w:val="single" w:sz="4" w:space="0" w:color="auto"/>
            </w:tcBorders>
          </w:tcPr>
          <w:p w:rsidR="00E77652" w:rsidRPr="00027B77" w:rsidRDefault="00E77652" w:rsidP="00097D91">
            <w:pPr>
              <w:pStyle w:val="Tabell-Siffror"/>
              <w:spacing w:before="60" w:line="200" w:lineRule="exact"/>
            </w:pPr>
            <w:r w:rsidRPr="00027B77">
              <w:t>–</w:t>
            </w:r>
          </w:p>
        </w:tc>
        <w:tc>
          <w:tcPr>
            <w:tcW w:w="567" w:type="dxa"/>
            <w:tcBorders>
              <w:top w:val="single" w:sz="4" w:space="0" w:color="auto"/>
            </w:tcBorders>
          </w:tcPr>
          <w:p w:rsidR="00E77652" w:rsidRPr="00027B77" w:rsidRDefault="007E0CAF" w:rsidP="00097D91">
            <w:pPr>
              <w:pStyle w:val="Tabell-Siffror"/>
              <w:spacing w:before="60" w:line="200" w:lineRule="exact"/>
            </w:pPr>
            <w:r>
              <w:t>1</w:t>
            </w:r>
          </w:p>
        </w:tc>
        <w:tc>
          <w:tcPr>
            <w:tcW w:w="927" w:type="dxa"/>
            <w:tcBorders>
              <w:top w:val="single" w:sz="4" w:space="0" w:color="auto"/>
            </w:tcBorders>
          </w:tcPr>
          <w:p w:rsidR="00E77652" w:rsidRPr="00D8301B" w:rsidRDefault="007E0CAF" w:rsidP="00097D91">
            <w:pPr>
              <w:pStyle w:val="Tabell-Siffror"/>
              <w:spacing w:before="60" w:line="200" w:lineRule="exact"/>
            </w:pPr>
            <w:r>
              <w:t>1</w:t>
            </w:r>
          </w:p>
        </w:tc>
        <w:tc>
          <w:tcPr>
            <w:tcW w:w="1058" w:type="dxa"/>
            <w:tcBorders>
              <w:top w:val="single" w:sz="4" w:space="0" w:color="auto"/>
            </w:tcBorders>
          </w:tcPr>
          <w:p w:rsidR="00E77652" w:rsidRPr="00027B77" w:rsidRDefault="007E0CAF" w:rsidP="00097D91">
            <w:pPr>
              <w:pStyle w:val="Tabell-Siffror"/>
              <w:spacing w:before="60" w:line="200" w:lineRule="exact"/>
            </w:pPr>
            <w:r>
              <w:t>0</w:t>
            </w:r>
          </w:p>
        </w:tc>
        <w:tc>
          <w:tcPr>
            <w:tcW w:w="708" w:type="dxa"/>
            <w:tcBorders>
              <w:top w:val="single" w:sz="4" w:space="0" w:color="auto"/>
            </w:tcBorders>
          </w:tcPr>
          <w:p w:rsidR="00E77652" w:rsidRPr="00D8301B" w:rsidRDefault="00D8301B" w:rsidP="00097D91">
            <w:pPr>
              <w:pStyle w:val="Tabell-Siffror"/>
              <w:spacing w:before="60" w:line="200" w:lineRule="exact"/>
            </w:pPr>
            <w:r w:rsidRPr="00D8301B">
              <w:t>–</w:t>
            </w:r>
          </w:p>
        </w:tc>
        <w:tc>
          <w:tcPr>
            <w:tcW w:w="733" w:type="dxa"/>
            <w:tcBorders>
              <w:top w:val="single" w:sz="4" w:space="0" w:color="auto"/>
            </w:tcBorders>
          </w:tcPr>
          <w:p w:rsidR="00E77652" w:rsidRPr="00D8301B" w:rsidRDefault="00027B77" w:rsidP="00097D91">
            <w:pPr>
              <w:pStyle w:val="Tabell-Siffror"/>
              <w:spacing w:before="60" w:line="200" w:lineRule="exact"/>
            </w:pPr>
            <w:r w:rsidRPr="00D8301B">
              <w:t>–</w:t>
            </w:r>
          </w:p>
        </w:tc>
      </w:tr>
      <w:tr w:rsidR="00F2108B" w:rsidRPr="00C430D6" w:rsidTr="00D8301B">
        <w:tc>
          <w:tcPr>
            <w:tcW w:w="988" w:type="dxa"/>
          </w:tcPr>
          <w:p w:rsidR="00F2108B" w:rsidRPr="00C430D6" w:rsidRDefault="00F2108B" w:rsidP="00F2108B">
            <w:pPr>
              <w:pStyle w:val="Tabell-Text"/>
              <w:spacing w:before="60" w:line="200" w:lineRule="exact"/>
            </w:pPr>
            <w:r w:rsidRPr="00C430D6">
              <w:t>25–34 år</w:t>
            </w:r>
          </w:p>
        </w:tc>
        <w:tc>
          <w:tcPr>
            <w:tcW w:w="874" w:type="dxa"/>
          </w:tcPr>
          <w:p w:rsidR="00F2108B" w:rsidRPr="00EC07DA" w:rsidRDefault="007E0CAF" w:rsidP="00F2108B">
            <w:pPr>
              <w:pStyle w:val="Tabell-Siffror"/>
              <w:spacing w:before="60" w:line="200" w:lineRule="exact"/>
            </w:pPr>
            <w:r>
              <w:t>24</w:t>
            </w:r>
          </w:p>
        </w:tc>
        <w:tc>
          <w:tcPr>
            <w:tcW w:w="567" w:type="dxa"/>
          </w:tcPr>
          <w:p w:rsidR="00F2108B" w:rsidRPr="00EC07DA" w:rsidRDefault="007E0CAF" w:rsidP="00F2108B">
            <w:pPr>
              <w:pStyle w:val="Tabell-Siffror"/>
              <w:spacing w:before="60" w:line="200" w:lineRule="exact"/>
            </w:pPr>
            <w:r>
              <w:t>17</w:t>
            </w:r>
          </w:p>
        </w:tc>
        <w:tc>
          <w:tcPr>
            <w:tcW w:w="927" w:type="dxa"/>
          </w:tcPr>
          <w:p w:rsidR="00F2108B" w:rsidRPr="00D8301B" w:rsidRDefault="007E0CAF" w:rsidP="00F2108B">
            <w:pPr>
              <w:pStyle w:val="Tabell-Siffror"/>
              <w:spacing w:before="60" w:line="200" w:lineRule="exact"/>
            </w:pPr>
            <w:r>
              <w:t>41</w:t>
            </w:r>
          </w:p>
        </w:tc>
        <w:tc>
          <w:tcPr>
            <w:tcW w:w="1058" w:type="dxa"/>
          </w:tcPr>
          <w:p w:rsidR="00F2108B" w:rsidRPr="00EC07DA" w:rsidRDefault="007E0CAF" w:rsidP="00F2108B">
            <w:pPr>
              <w:pStyle w:val="Tabell-Siffror"/>
              <w:spacing w:before="60" w:line="200" w:lineRule="exact"/>
            </w:pPr>
            <w:r>
              <w:t>6</w:t>
            </w:r>
          </w:p>
        </w:tc>
        <w:tc>
          <w:tcPr>
            <w:tcW w:w="708" w:type="dxa"/>
          </w:tcPr>
          <w:p w:rsidR="00F2108B" w:rsidRPr="00D8301B" w:rsidRDefault="00F2108B" w:rsidP="00F2108B">
            <w:pPr>
              <w:pStyle w:val="Tabell-Siffror"/>
              <w:spacing w:before="60" w:line="200" w:lineRule="exact"/>
            </w:pPr>
            <w:r>
              <w:t>42</w:t>
            </w:r>
          </w:p>
        </w:tc>
        <w:tc>
          <w:tcPr>
            <w:tcW w:w="733" w:type="dxa"/>
          </w:tcPr>
          <w:p w:rsidR="00F2108B" w:rsidRPr="00D8301B" w:rsidRDefault="00F2108B" w:rsidP="00F2108B">
            <w:pPr>
              <w:pStyle w:val="Tabell-Siffror"/>
              <w:spacing w:before="60" w:line="200" w:lineRule="exact"/>
            </w:pPr>
            <w:r w:rsidRPr="00D8301B">
              <w:t>51</w:t>
            </w:r>
          </w:p>
        </w:tc>
      </w:tr>
      <w:tr w:rsidR="00F2108B" w:rsidRPr="00C430D6" w:rsidTr="00D8301B">
        <w:tc>
          <w:tcPr>
            <w:tcW w:w="988" w:type="dxa"/>
          </w:tcPr>
          <w:p w:rsidR="00F2108B" w:rsidRPr="00C430D6" w:rsidRDefault="00F2108B" w:rsidP="00F2108B">
            <w:pPr>
              <w:pStyle w:val="Tabell-Text"/>
              <w:spacing w:before="60" w:line="200" w:lineRule="exact"/>
            </w:pPr>
            <w:r w:rsidRPr="00C430D6">
              <w:t>35–44 år</w:t>
            </w:r>
          </w:p>
        </w:tc>
        <w:tc>
          <w:tcPr>
            <w:tcW w:w="874" w:type="dxa"/>
          </w:tcPr>
          <w:p w:rsidR="00F2108B" w:rsidRPr="009F5BB5" w:rsidRDefault="00191968" w:rsidP="00F2108B">
            <w:pPr>
              <w:pStyle w:val="Tabell-Siffror"/>
              <w:spacing w:before="60" w:line="200" w:lineRule="exact"/>
            </w:pPr>
            <w:r>
              <w:t>120</w:t>
            </w:r>
          </w:p>
        </w:tc>
        <w:tc>
          <w:tcPr>
            <w:tcW w:w="567" w:type="dxa"/>
          </w:tcPr>
          <w:p w:rsidR="00F2108B" w:rsidRPr="009F5BB5" w:rsidRDefault="00191968" w:rsidP="00F2108B">
            <w:pPr>
              <w:pStyle w:val="Tabell-Siffror"/>
              <w:spacing w:before="60" w:line="200" w:lineRule="exact"/>
            </w:pPr>
            <w:r>
              <w:t>61</w:t>
            </w:r>
          </w:p>
        </w:tc>
        <w:tc>
          <w:tcPr>
            <w:tcW w:w="927" w:type="dxa"/>
          </w:tcPr>
          <w:p w:rsidR="00F2108B" w:rsidRPr="00D8301B" w:rsidRDefault="00191968" w:rsidP="00F2108B">
            <w:pPr>
              <w:pStyle w:val="Tabell-Siffror"/>
              <w:spacing w:before="60" w:line="200" w:lineRule="exact"/>
            </w:pPr>
            <w:r>
              <w:t>181</w:t>
            </w:r>
          </w:p>
        </w:tc>
        <w:tc>
          <w:tcPr>
            <w:tcW w:w="1058" w:type="dxa"/>
          </w:tcPr>
          <w:p w:rsidR="00F2108B" w:rsidRPr="009F5BB5" w:rsidRDefault="00191968" w:rsidP="00F2108B">
            <w:pPr>
              <w:pStyle w:val="Tabell-Siffror"/>
              <w:spacing w:before="60" w:line="200" w:lineRule="exact"/>
            </w:pPr>
            <w:r>
              <w:t>28</w:t>
            </w:r>
          </w:p>
        </w:tc>
        <w:tc>
          <w:tcPr>
            <w:tcW w:w="708" w:type="dxa"/>
          </w:tcPr>
          <w:p w:rsidR="00F2108B" w:rsidRPr="00D8301B" w:rsidRDefault="00F2108B" w:rsidP="00F2108B">
            <w:pPr>
              <w:pStyle w:val="Tabell-Siffror"/>
              <w:spacing w:before="60" w:line="200" w:lineRule="exact"/>
            </w:pPr>
            <w:r>
              <w:t>180</w:t>
            </w:r>
          </w:p>
        </w:tc>
        <w:tc>
          <w:tcPr>
            <w:tcW w:w="733" w:type="dxa"/>
          </w:tcPr>
          <w:p w:rsidR="00F2108B" w:rsidRPr="00D8301B" w:rsidRDefault="00F2108B" w:rsidP="00F2108B">
            <w:pPr>
              <w:pStyle w:val="Tabell-Siffror"/>
              <w:spacing w:before="60" w:line="200" w:lineRule="exact"/>
            </w:pPr>
            <w:r w:rsidRPr="00D8301B">
              <w:t>177</w:t>
            </w:r>
          </w:p>
        </w:tc>
      </w:tr>
      <w:tr w:rsidR="00F2108B" w:rsidRPr="00C430D6" w:rsidTr="00D8301B">
        <w:tc>
          <w:tcPr>
            <w:tcW w:w="988" w:type="dxa"/>
          </w:tcPr>
          <w:p w:rsidR="00F2108B" w:rsidRPr="00C430D6" w:rsidRDefault="00F2108B" w:rsidP="00F2108B">
            <w:pPr>
              <w:pStyle w:val="Tabell-Text"/>
              <w:spacing w:before="60" w:line="200" w:lineRule="exact"/>
            </w:pPr>
            <w:r w:rsidRPr="00C430D6">
              <w:t>45–54 år</w:t>
            </w:r>
          </w:p>
        </w:tc>
        <w:tc>
          <w:tcPr>
            <w:tcW w:w="874" w:type="dxa"/>
          </w:tcPr>
          <w:p w:rsidR="00F2108B" w:rsidRPr="0014309E" w:rsidRDefault="008C1929" w:rsidP="00F2108B">
            <w:pPr>
              <w:pStyle w:val="Tabell-Siffror"/>
              <w:spacing w:before="60" w:line="200" w:lineRule="exact"/>
            </w:pPr>
            <w:r>
              <w:t>153</w:t>
            </w:r>
          </w:p>
        </w:tc>
        <w:tc>
          <w:tcPr>
            <w:tcW w:w="567" w:type="dxa"/>
          </w:tcPr>
          <w:p w:rsidR="00F2108B" w:rsidRPr="0014309E" w:rsidRDefault="008C1929" w:rsidP="00F2108B">
            <w:pPr>
              <w:pStyle w:val="Tabell-Siffror"/>
              <w:spacing w:before="60" w:line="200" w:lineRule="exact"/>
            </w:pPr>
            <w:r>
              <w:t>102</w:t>
            </w:r>
          </w:p>
        </w:tc>
        <w:tc>
          <w:tcPr>
            <w:tcW w:w="927" w:type="dxa"/>
          </w:tcPr>
          <w:p w:rsidR="00F2108B" w:rsidRPr="00D8301B" w:rsidRDefault="008C1929" w:rsidP="00F2108B">
            <w:pPr>
              <w:pStyle w:val="Tabell-Siffror"/>
              <w:spacing w:before="60" w:line="200" w:lineRule="exact"/>
            </w:pPr>
            <w:r>
              <w:t>255</w:t>
            </w:r>
          </w:p>
        </w:tc>
        <w:tc>
          <w:tcPr>
            <w:tcW w:w="1058" w:type="dxa"/>
          </w:tcPr>
          <w:p w:rsidR="00F2108B" w:rsidRPr="0014309E" w:rsidRDefault="008C1929" w:rsidP="00F2108B">
            <w:pPr>
              <w:pStyle w:val="Tabell-Siffror"/>
              <w:spacing w:before="60" w:line="200" w:lineRule="exact"/>
            </w:pPr>
            <w:r>
              <w:t>40</w:t>
            </w:r>
          </w:p>
        </w:tc>
        <w:tc>
          <w:tcPr>
            <w:tcW w:w="708" w:type="dxa"/>
          </w:tcPr>
          <w:p w:rsidR="00F2108B" w:rsidRPr="00D8301B" w:rsidRDefault="00F2108B" w:rsidP="00F2108B">
            <w:pPr>
              <w:pStyle w:val="Tabell-Siffror"/>
              <w:spacing w:before="60" w:line="200" w:lineRule="exact"/>
            </w:pPr>
            <w:r>
              <w:t>243</w:t>
            </w:r>
          </w:p>
        </w:tc>
        <w:tc>
          <w:tcPr>
            <w:tcW w:w="733" w:type="dxa"/>
          </w:tcPr>
          <w:p w:rsidR="00F2108B" w:rsidRPr="00D8301B" w:rsidRDefault="00F2108B" w:rsidP="00F2108B">
            <w:pPr>
              <w:pStyle w:val="Tabell-Siffror"/>
              <w:spacing w:before="60" w:line="200" w:lineRule="exact"/>
            </w:pPr>
            <w:r w:rsidRPr="00D8301B">
              <w:t>253</w:t>
            </w:r>
          </w:p>
        </w:tc>
      </w:tr>
      <w:tr w:rsidR="00F2108B" w:rsidRPr="00C430D6" w:rsidTr="00D8301B">
        <w:tc>
          <w:tcPr>
            <w:tcW w:w="988" w:type="dxa"/>
          </w:tcPr>
          <w:p w:rsidR="00F2108B" w:rsidRPr="00C430D6" w:rsidRDefault="00F2108B" w:rsidP="00F2108B">
            <w:pPr>
              <w:pStyle w:val="Tabell-Text"/>
              <w:spacing w:before="60" w:line="200" w:lineRule="exact"/>
            </w:pPr>
            <w:r w:rsidRPr="00C430D6">
              <w:t>55–59 år</w:t>
            </w:r>
          </w:p>
        </w:tc>
        <w:tc>
          <w:tcPr>
            <w:tcW w:w="874" w:type="dxa"/>
          </w:tcPr>
          <w:p w:rsidR="00F2108B" w:rsidRPr="00C87D6E" w:rsidRDefault="008C1929" w:rsidP="00F2108B">
            <w:pPr>
              <w:pStyle w:val="Tabell-Siffror"/>
              <w:spacing w:before="60" w:line="200" w:lineRule="exact"/>
            </w:pPr>
            <w:r>
              <w:t>57</w:t>
            </w:r>
          </w:p>
        </w:tc>
        <w:tc>
          <w:tcPr>
            <w:tcW w:w="567" w:type="dxa"/>
          </w:tcPr>
          <w:p w:rsidR="00F2108B" w:rsidRPr="00C87D6E" w:rsidRDefault="008C1929" w:rsidP="00F2108B">
            <w:pPr>
              <w:pStyle w:val="Tabell-Siffror"/>
              <w:spacing w:before="60" w:line="200" w:lineRule="exact"/>
            </w:pPr>
            <w:r>
              <w:t>48</w:t>
            </w:r>
          </w:p>
        </w:tc>
        <w:tc>
          <w:tcPr>
            <w:tcW w:w="927" w:type="dxa"/>
          </w:tcPr>
          <w:p w:rsidR="00F2108B" w:rsidRPr="00D8301B" w:rsidRDefault="008C1929" w:rsidP="00F2108B">
            <w:pPr>
              <w:pStyle w:val="Tabell-Siffror"/>
              <w:spacing w:before="60" w:line="200" w:lineRule="exact"/>
            </w:pPr>
            <w:r>
              <w:t>105</w:t>
            </w:r>
          </w:p>
        </w:tc>
        <w:tc>
          <w:tcPr>
            <w:tcW w:w="1058" w:type="dxa"/>
          </w:tcPr>
          <w:p w:rsidR="00F2108B" w:rsidRPr="00C87D6E" w:rsidRDefault="008C1929" w:rsidP="00F2108B">
            <w:pPr>
              <w:pStyle w:val="Tabell-Siffror"/>
              <w:spacing w:before="60" w:line="200" w:lineRule="exact"/>
            </w:pPr>
            <w:r>
              <w:t>16</w:t>
            </w:r>
          </w:p>
        </w:tc>
        <w:tc>
          <w:tcPr>
            <w:tcW w:w="708" w:type="dxa"/>
          </w:tcPr>
          <w:p w:rsidR="00F2108B" w:rsidRPr="00D8301B" w:rsidRDefault="00F2108B" w:rsidP="00F2108B">
            <w:pPr>
              <w:pStyle w:val="Tabell-Siffror"/>
              <w:spacing w:before="60" w:line="200" w:lineRule="exact"/>
            </w:pPr>
            <w:r>
              <w:t>91</w:t>
            </w:r>
          </w:p>
        </w:tc>
        <w:tc>
          <w:tcPr>
            <w:tcW w:w="733" w:type="dxa"/>
          </w:tcPr>
          <w:p w:rsidR="00F2108B" w:rsidRPr="00D8301B" w:rsidRDefault="00F2108B" w:rsidP="00F2108B">
            <w:pPr>
              <w:pStyle w:val="Tabell-Siffror"/>
              <w:spacing w:before="60" w:line="200" w:lineRule="exact"/>
            </w:pPr>
            <w:r w:rsidRPr="00D8301B">
              <w:t>78</w:t>
            </w:r>
          </w:p>
        </w:tc>
      </w:tr>
      <w:tr w:rsidR="00F2108B" w:rsidRPr="00C430D6" w:rsidTr="00D8301B">
        <w:tc>
          <w:tcPr>
            <w:tcW w:w="988" w:type="dxa"/>
            <w:tcBorders>
              <w:bottom w:val="single" w:sz="4" w:space="0" w:color="auto"/>
            </w:tcBorders>
          </w:tcPr>
          <w:p w:rsidR="00F2108B" w:rsidRPr="00C430D6" w:rsidRDefault="00F2108B" w:rsidP="00F2108B">
            <w:pPr>
              <w:pStyle w:val="Tabell-Text"/>
              <w:spacing w:before="60" w:line="200" w:lineRule="exact"/>
            </w:pPr>
            <w:r w:rsidRPr="00C430D6">
              <w:t>&gt;59 år</w:t>
            </w:r>
          </w:p>
        </w:tc>
        <w:tc>
          <w:tcPr>
            <w:tcW w:w="874" w:type="dxa"/>
            <w:tcBorders>
              <w:bottom w:val="single" w:sz="4" w:space="0" w:color="auto"/>
            </w:tcBorders>
          </w:tcPr>
          <w:p w:rsidR="00F2108B" w:rsidRPr="00FE1E55" w:rsidRDefault="008C1929" w:rsidP="00F2108B">
            <w:pPr>
              <w:pStyle w:val="Tabell-Siffror"/>
              <w:spacing w:before="60" w:line="200" w:lineRule="exact"/>
            </w:pPr>
            <w:r>
              <w:t>39</w:t>
            </w:r>
          </w:p>
        </w:tc>
        <w:tc>
          <w:tcPr>
            <w:tcW w:w="567" w:type="dxa"/>
            <w:tcBorders>
              <w:bottom w:val="single" w:sz="4" w:space="0" w:color="auto"/>
            </w:tcBorders>
          </w:tcPr>
          <w:p w:rsidR="00F2108B" w:rsidRPr="00FE1E55" w:rsidRDefault="008C1929" w:rsidP="00F2108B">
            <w:pPr>
              <w:pStyle w:val="Tabell-Siffror"/>
              <w:spacing w:before="60" w:line="200" w:lineRule="exact"/>
            </w:pPr>
            <w:r>
              <w:t>25</w:t>
            </w:r>
          </w:p>
        </w:tc>
        <w:tc>
          <w:tcPr>
            <w:tcW w:w="927" w:type="dxa"/>
            <w:tcBorders>
              <w:bottom w:val="single" w:sz="4" w:space="0" w:color="auto"/>
            </w:tcBorders>
          </w:tcPr>
          <w:p w:rsidR="00F2108B" w:rsidRPr="00D8301B" w:rsidRDefault="008C1929" w:rsidP="00F2108B">
            <w:pPr>
              <w:pStyle w:val="Tabell-Siffror"/>
              <w:spacing w:before="60" w:line="200" w:lineRule="exact"/>
            </w:pPr>
            <w:r>
              <w:t>64</w:t>
            </w:r>
          </w:p>
        </w:tc>
        <w:tc>
          <w:tcPr>
            <w:tcW w:w="1058" w:type="dxa"/>
            <w:tcBorders>
              <w:bottom w:val="single" w:sz="4" w:space="0" w:color="auto"/>
            </w:tcBorders>
          </w:tcPr>
          <w:p w:rsidR="00F2108B" w:rsidRPr="00B3698C" w:rsidRDefault="008C1929" w:rsidP="00F2108B">
            <w:pPr>
              <w:pStyle w:val="Tabell-Siffror"/>
              <w:spacing w:before="60" w:line="200" w:lineRule="exact"/>
            </w:pPr>
            <w:r>
              <w:t>10</w:t>
            </w:r>
          </w:p>
        </w:tc>
        <w:tc>
          <w:tcPr>
            <w:tcW w:w="708" w:type="dxa"/>
            <w:tcBorders>
              <w:bottom w:val="single" w:sz="4" w:space="0" w:color="auto"/>
            </w:tcBorders>
          </w:tcPr>
          <w:p w:rsidR="00F2108B" w:rsidRPr="00D8301B" w:rsidRDefault="00F2108B" w:rsidP="00F2108B">
            <w:pPr>
              <w:pStyle w:val="Tabell-Siffror"/>
              <w:spacing w:before="60" w:line="200" w:lineRule="exact"/>
            </w:pPr>
            <w:r>
              <w:t>76</w:t>
            </w:r>
          </w:p>
        </w:tc>
        <w:tc>
          <w:tcPr>
            <w:tcW w:w="733" w:type="dxa"/>
            <w:tcBorders>
              <w:bottom w:val="single" w:sz="4" w:space="0" w:color="auto"/>
            </w:tcBorders>
          </w:tcPr>
          <w:p w:rsidR="00F2108B" w:rsidRPr="00D8301B" w:rsidRDefault="00F2108B" w:rsidP="00F2108B">
            <w:pPr>
              <w:pStyle w:val="Tabell-Siffror"/>
              <w:spacing w:before="60" w:line="200" w:lineRule="exact"/>
            </w:pPr>
            <w:r w:rsidRPr="00D8301B">
              <w:t>77</w:t>
            </w:r>
          </w:p>
        </w:tc>
      </w:tr>
      <w:tr w:rsidR="00F2108B" w:rsidRPr="00C430D6" w:rsidTr="00D8301B">
        <w:tc>
          <w:tcPr>
            <w:tcW w:w="988" w:type="dxa"/>
            <w:tcBorders>
              <w:top w:val="single" w:sz="4" w:space="0" w:color="auto"/>
              <w:bottom w:val="single" w:sz="4" w:space="0" w:color="auto"/>
            </w:tcBorders>
          </w:tcPr>
          <w:p w:rsidR="00F2108B" w:rsidRPr="00C430D6" w:rsidRDefault="00F2108B" w:rsidP="00F2108B">
            <w:pPr>
              <w:pStyle w:val="Tabell-Text"/>
              <w:spacing w:before="60" w:line="200" w:lineRule="exact"/>
              <w:rPr>
                <w:b/>
              </w:rPr>
            </w:pPr>
            <w:r w:rsidRPr="00C430D6">
              <w:rPr>
                <w:b/>
              </w:rPr>
              <w:t>Totalt</w:t>
            </w:r>
          </w:p>
        </w:tc>
        <w:tc>
          <w:tcPr>
            <w:tcW w:w="874" w:type="dxa"/>
            <w:tcBorders>
              <w:top w:val="single" w:sz="4" w:space="0" w:color="auto"/>
              <w:bottom w:val="single" w:sz="4" w:space="0" w:color="auto"/>
            </w:tcBorders>
          </w:tcPr>
          <w:p w:rsidR="00F2108B" w:rsidRPr="00B3698C" w:rsidRDefault="008C1929" w:rsidP="00F2108B">
            <w:pPr>
              <w:pStyle w:val="Tabell-Siffror"/>
              <w:spacing w:before="60" w:line="200" w:lineRule="exact"/>
              <w:rPr>
                <w:b/>
              </w:rPr>
            </w:pPr>
            <w:r>
              <w:rPr>
                <w:b/>
              </w:rPr>
              <w:t>3</w:t>
            </w:r>
            <w:r w:rsidR="00086272">
              <w:rPr>
                <w:b/>
              </w:rPr>
              <w:t>93</w:t>
            </w:r>
          </w:p>
        </w:tc>
        <w:tc>
          <w:tcPr>
            <w:tcW w:w="567" w:type="dxa"/>
            <w:tcBorders>
              <w:top w:val="single" w:sz="4" w:space="0" w:color="auto"/>
              <w:bottom w:val="single" w:sz="4" w:space="0" w:color="auto"/>
            </w:tcBorders>
          </w:tcPr>
          <w:p w:rsidR="00F2108B" w:rsidRPr="00B3698C" w:rsidRDefault="008C1929" w:rsidP="00F2108B">
            <w:pPr>
              <w:pStyle w:val="Tabell-Siffror"/>
              <w:spacing w:before="60" w:line="200" w:lineRule="exact"/>
              <w:rPr>
                <w:b/>
              </w:rPr>
            </w:pPr>
            <w:r>
              <w:rPr>
                <w:b/>
              </w:rPr>
              <w:t>254</w:t>
            </w:r>
          </w:p>
        </w:tc>
        <w:tc>
          <w:tcPr>
            <w:tcW w:w="927" w:type="dxa"/>
            <w:tcBorders>
              <w:top w:val="single" w:sz="4" w:space="0" w:color="auto"/>
              <w:bottom w:val="single" w:sz="4" w:space="0" w:color="auto"/>
            </w:tcBorders>
          </w:tcPr>
          <w:p w:rsidR="00F2108B" w:rsidRPr="00D8301B" w:rsidRDefault="008C1929" w:rsidP="00F2108B">
            <w:pPr>
              <w:pStyle w:val="Tabell-Siffror"/>
              <w:spacing w:before="60" w:line="200" w:lineRule="exact"/>
              <w:rPr>
                <w:b/>
              </w:rPr>
            </w:pPr>
            <w:r>
              <w:rPr>
                <w:b/>
              </w:rPr>
              <w:t>6</w:t>
            </w:r>
            <w:r w:rsidR="00086272">
              <w:rPr>
                <w:b/>
              </w:rPr>
              <w:t>47</w:t>
            </w:r>
          </w:p>
        </w:tc>
        <w:tc>
          <w:tcPr>
            <w:tcW w:w="1058" w:type="dxa"/>
            <w:tcBorders>
              <w:top w:val="single" w:sz="4" w:space="0" w:color="auto"/>
              <w:bottom w:val="single" w:sz="4" w:space="0" w:color="auto"/>
            </w:tcBorders>
          </w:tcPr>
          <w:p w:rsidR="00F2108B" w:rsidRPr="00B3698C" w:rsidRDefault="00F2108B" w:rsidP="00F2108B">
            <w:pPr>
              <w:pStyle w:val="Tabell-Siffror"/>
              <w:spacing w:before="60" w:line="200" w:lineRule="exact"/>
              <w:rPr>
                <w:b/>
              </w:rPr>
            </w:pPr>
            <w:r w:rsidRPr="00B3698C">
              <w:rPr>
                <w:b/>
              </w:rPr>
              <w:t>100</w:t>
            </w:r>
          </w:p>
        </w:tc>
        <w:tc>
          <w:tcPr>
            <w:tcW w:w="708" w:type="dxa"/>
            <w:tcBorders>
              <w:top w:val="single" w:sz="4" w:space="0" w:color="auto"/>
              <w:bottom w:val="single" w:sz="4" w:space="0" w:color="auto"/>
            </w:tcBorders>
          </w:tcPr>
          <w:p w:rsidR="00F2108B" w:rsidRPr="00D8301B" w:rsidRDefault="00F2108B" w:rsidP="00F2108B">
            <w:pPr>
              <w:pStyle w:val="Tabell-Siffror"/>
              <w:spacing w:before="60" w:line="200" w:lineRule="exact"/>
              <w:rPr>
                <w:b/>
              </w:rPr>
            </w:pPr>
            <w:r>
              <w:rPr>
                <w:b/>
              </w:rPr>
              <w:t>632</w:t>
            </w:r>
          </w:p>
        </w:tc>
        <w:tc>
          <w:tcPr>
            <w:tcW w:w="733" w:type="dxa"/>
            <w:tcBorders>
              <w:top w:val="single" w:sz="4" w:space="0" w:color="auto"/>
              <w:bottom w:val="single" w:sz="4" w:space="0" w:color="auto"/>
            </w:tcBorders>
          </w:tcPr>
          <w:p w:rsidR="00F2108B" w:rsidRPr="00D8301B" w:rsidRDefault="00F2108B" w:rsidP="00F2108B">
            <w:pPr>
              <w:pStyle w:val="Tabell-Siffror"/>
              <w:spacing w:before="60" w:line="200" w:lineRule="exact"/>
              <w:rPr>
                <w:b/>
              </w:rPr>
            </w:pPr>
            <w:r>
              <w:rPr>
                <w:b/>
              </w:rPr>
              <w:t>636</w:t>
            </w:r>
          </w:p>
        </w:tc>
      </w:tr>
    </w:tbl>
    <w:p w:rsidR="00422C6A" w:rsidRPr="00DA0F91" w:rsidRDefault="00DA0F91" w:rsidP="00422C6A">
      <w:pPr>
        <w:spacing w:before="125"/>
      </w:pPr>
      <w:r w:rsidRPr="00DA0F91">
        <w:lastRenderedPageBreak/>
        <w:t xml:space="preserve">Medelåldern för de anställda var 48 år, vilket är oförändrat jämfört med 2015 och 2014. Både kvinnornas och männens medelålder var 48 år, en marginell förändring jämfört med tidigare år (2015 och 2014: kvinnorna 48 år och männen 49 år). </w:t>
      </w:r>
      <w:r w:rsidR="00422C6A" w:rsidRPr="00DA0F91">
        <w:t xml:space="preserve"> </w:t>
      </w:r>
    </w:p>
    <w:p w:rsidR="00422C6A" w:rsidRPr="00BB033F" w:rsidRDefault="008815C0" w:rsidP="00422C6A">
      <w:pPr>
        <w:spacing w:before="0"/>
        <w:ind w:firstLine="227"/>
      </w:pPr>
      <w:r w:rsidRPr="00BB033F">
        <w:t xml:space="preserve">Personalomsättningen var </w:t>
      </w:r>
      <w:r w:rsidR="007738FC">
        <w:t>12,</w:t>
      </w:r>
      <w:r w:rsidR="00BB033F" w:rsidRPr="00BB033F">
        <w:t xml:space="preserve">0 procent, jämfört med </w:t>
      </w:r>
      <w:r w:rsidRPr="00BB033F">
        <w:t>7,1</w:t>
      </w:r>
      <w:r w:rsidR="00422C6A" w:rsidRPr="00BB033F">
        <w:t xml:space="preserve"> pr</w:t>
      </w:r>
      <w:r w:rsidR="007738FC">
        <w:t>ocent 2015</w:t>
      </w:r>
      <w:r w:rsidR="00EC2680" w:rsidRPr="00BB033F">
        <w:t xml:space="preserve"> </w:t>
      </w:r>
      <w:r w:rsidR="00BB033F" w:rsidRPr="00BB033F">
        <w:t>och</w:t>
      </w:r>
      <w:r w:rsidRPr="00BB033F">
        <w:t xml:space="preserve"> 8,2 p</w:t>
      </w:r>
      <w:r w:rsidR="00BB033F" w:rsidRPr="00BB033F">
        <w:t>rocent 2014</w:t>
      </w:r>
      <w:r w:rsidR="00422C6A" w:rsidRPr="00BB033F">
        <w:t>.</w:t>
      </w:r>
      <w:r w:rsidR="00680FF8">
        <w:t xml:space="preserve"> Förändringen beror bland annat på en ökning av antalet pensioneringar 2016.</w:t>
      </w:r>
      <w:r w:rsidR="00422C6A" w:rsidRPr="00BB033F">
        <w:t xml:space="preserve"> </w:t>
      </w:r>
    </w:p>
    <w:p w:rsidR="00422C6A" w:rsidRDefault="004979D0" w:rsidP="00422C6A">
      <w:pPr>
        <w:spacing w:before="0"/>
        <w:ind w:firstLine="227"/>
      </w:pPr>
      <w:r w:rsidRPr="004979D0">
        <w:t>Andelen kvinnor av samtliga anställda var cirka 61 procent vid utgången av 2016, vilket är marginellt högre än 2015 (60 procent) och samma som 2014 (61 procent).</w:t>
      </w:r>
    </w:p>
    <w:p w:rsidR="00422C6A" w:rsidRDefault="00301D7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Pr>
          <w:rFonts w:eastAsiaTheme="majorEastAsia" w:cstheme="majorBidi"/>
          <w:b/>
        </w:rPr>
        <w:t xml:space="preserve">Tabell </w:t>
      </w:r>
      <w:r w:rsidR="00755018">
        <w:rPr>
          <w:rFonts w:eastAsiaTheme="majorEastAsia" w:cstheme="majorBidi"/>
          <w:b/>
        </w:rPr>
        <w:t>3</w:t>
      </w:r>
      <w:r w:rsidR="00AF0EF8">
        <w:rPr>
          <w:rFonts w:eastAsiaTheme="majorEastAsia" w:cstheme="majorBidi"/>
          <w:b/>
        </w:rPr>
        <w:t>2</w:t>
      </w:r>
      <w:r w:rsidR="00EB0B40">
        <w:rPr>
          <w:rFonts w:eastAsiaTheme="majorEastAsia" w:cstheme="majorBidi"/>
          <w:b/>
        </w:rPr>
        <w:t xml:space="preserve"> Sjukfrånvaro 2011–2016</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50"/>
        <w:gridCol w:w="596"/>
        <w:gridCol w:w="596"/>
        <w:gridCol w:w="675"/>
        <w:gridCol w:w="636"/>
        <w:gridCol w:w="596"/>
      </w:tblGrid>
      <w:tr w:rsidR="000B0570" w:rsidRPr="00C430D6" w:rsidTr="00EB0B40">
        <w:trPr>
          <w:tblHeader/>
        </w:trPr>
        <w:tc>
          <w:tcPr>
            <w:tcW w:w="2122" w:type="dxa"/>
            <w:tcBorders>
              <w:top w:val="single" w:sz="4" w:space="0" w:color="auto"/>
              <w:bottom w:val="single" w:sz="4" w:space="0" w:color="auto"/>
            </w:tcBorders>
          </w:tcPr>
          <w:p w:rsidR="000B0570" w:rsidRPr="00C430D6" w:rsidRDefault="000B0570" w:rsidP="00097D91">
            <w:pPr>
              <w:pStyle w:val="Normaltindrag"/>
              <w:spacing w:before="60" w:line="200" w:lineRule="exact"/>
              <w:ind w:firstLine="0"/>
              <w:rPr>
                <w:sz w:val="16"/>
                <w:szCs w:val="16"/>
              </w:rPr>
            </w:pPr>
          </w:p>
        </w:tc>
        <w:tc>
          <w:tcPr>
            <w:tcW w:w="650"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201</w:t>
            </w:r>
            <w:r w:rsidR="00220165">
              <w:rPr>
                <w:b/>
              </w:rPr>
              <w:t>6</w:t>
            </w:r>
          </w:p>
        </w:tc>
        <w:tc>
          <w:tcPr>
            <w:tcW w:w="596"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201</w:t>
            </w:r>
            <w:r w:rsidR="00EB0B40">
              <w:rPr>
                <w:b/>
              </w:rPr>
              <w:t>5</w:t>
            </w:r>
          </w:p>
        </w:tc>
        <w:tc>
          <w:tcPr>
            <w:tcW w:w="596" w:type="dxa"/>
            <w:tcBorders>
              <w:top w:val="single" w:sz="4" w:space="0" w:color="auto"/>
              <w:bottom w:val="single" w:sz="4" w:space="0" w:color="auto"/>
            </w:tcBorders>
          </w:tcPr>
          <w:p w:rsidR="000B0570" w:rsidRPr="007C727B" w:rsidRDefault="007C5515" w:rsidP="00097D91">
            <w:pPr>
              <w:pStyle w:val="Tabell-Siffror"/>
              <w:spacing w:before="60" w:line="200" w:lineRule="exact"/>
              <w:rPr>
                <w:b/>
              </w:rPr>
            </w:pPr>
            <w:r>
              <w:rPr>
                <w:b/>
              </w:rPr>
              <w:t>201</w:t>
            </w:r>
            <w:r w:rsidR="00EB0B40">
              <w:rPr>
                <w:b/>
              </w:rPr>
              <w:t>4</w:t>
            </w:r>
          </w:p>
        </w:tc>
        <w:tc>
          <w:tcPr>
            <w:tcW w:w="675" w:type="dxa"/>
            <w:tcBorders>
              <w:top w:val="single" w:sz="4" w:space="0" w:color="auto"/>
              <w:bottom w:val="single" w:sz="4" w:space="0" w:color="auto"/>
            </w:tcBorders>
          </w:tcPr>
          <w:p w:rsidR="000B0570" w:rsidRPr="007C727B" w:rsidRDefault="007C5515" w:rsidP="00EB0B40">
            <w:pPr>
              <w:pStyle w:val="Tabell-Siffror"/>
              <w:spacing w:before="60" w:line="200" w:lineRule="exact"/>
              <w:rPr>
                <w:b/>
              </w:rPr>
            </w:pPr>
            <w:r w:rsidRPr="007C727B">
              <w:rPr>
                <w:b/>
              </w:rPr>
              <w:t>201</w:t>
            </w:r>
            <w:r w:rsidR="00EB0B40">
              <w:rPr>
                <w:b/>
              </w:rPr>
              <w:t>3</w:t>
            </w:r>
          </w:p>
        </w:tc>
        <w:tc>
          <w:tcPr>
            <w:tcW w:w="636" w:type="dxa"/>
            <w:tcBorders>
              <w:top w:val="single" w:sz="4" w:space="0" w:color="auto"/>
              <w:bottom w:val="single" w:sz="4" w:space="0" w:color="auto"/>
            </w:tcBorders>
          </w:tcPr>
          <w:p w:rsidR="000B0570" w:rsidRPr="007C727B" w:rsidRDefault="000B0570" w:rsidP="00097D91">
            <w:pPr>
              <w:pStyle w:val="Tabell-Siffror"/>
              <w:spacing w:before="60" w:line="200" w:lineRule="exact"/>
              <w:rPr>
                <w:b/>
              </w:rPr>
            </w:pPr>
            <w:r w:rsidRPr="007C727B">
              <w:rPr>
                <w:b/>
              </w:rPr>
              <w:t>20</w:t>
            </w:r>
            <w:r>
              <w:rPr>
                <w:b/>
              </w:rPr>
              <w:t>1</w:t>
            </w:r>
            <w:r w:rsidR="00EB0B40">
              <w:rPr>
                <w:b/>
              </w:rPr>
              <w:t>2</w:t>
            </w:r>
            <w:r w:rsidR="00EB0B40">
              <w:rPr>
                <w:rStyle w:val="Fotnotsreferens"/>
                <w:b/>
              </w:rPr>
              <w:footnoteReference w:id="41"/>
            </w:r>
          </w:p>
        </w:tc>
        <w:tc>
          <w:tcPr>
            <w:tcW w:w="596" w:type="dxa"/>
            <w:tcBorders>
              <w:top w:val="single" w:sz="4" w:space="0" w:color="auto"/>
              <w:bottom w:val="single" w:sz="4" w:space="0" w:color="auto"/>
            </w:tcBorders>
          </w:tcPr>
          <w:p w:rsidR="000B0570" w:rsidRPr="007C727B" w:rsidRDefault="004E186E" w:rsidP="00097D91">
            <w:pPr>
              <w:pStyle w:val="Tabell-Siffror"/>
              <w:spacing w:before="60" w:line="200" w:lineRule="exact"/>
              <w:rPr>
                <w:b/>
              </w:rPr>
            </w:pPr>
            <w:r>
              <w:rPr>
                <w:b/>
              </w:rPr>
              <w:t>201</w:t>
            </w:r>
            <w:r w:rsidR="00EB0B40">
              <w:rPr>
                <w:b/>
              </w:rPr>
              <w:t>1</w:t>
            </w:r>
          </w:p>
        </w:tc>
      </w:tr>
      <w:tr w:rsidR="00220165" w:rsidRPr="00C430D6" w:rsidTr="00EB0B40">
        <w:tc>
          <w:tcPr>
            <w:tcW w:w="2122" w:type="dxa"/>
            <w:tcBorders>
              <w:top w:val="single" w:sz="4" w:space="0" w:color="auto"/>
            </w:tcBorders>
          </w:tcPr>
          <w:p w:rsidR="00220165" w:rsidRPr="00C430D6" w:rsidRDefault="00220165" w:rsidP="00220165">
            <w:pPr>
              <w:pStyle w:val="Tabell-Text"/>
              <w:spacing w:before="60" w:line="200" w:lineRule="exact"/>
            </w:pPr>
            <w:r w:rsidRPr="00C430D6">
              <w:t>Total sjukfrånvaro i % av tillgänglig arbetstid</w:t>
            </w:r>
          </w:p>
        </w:tc>
        <w:tc>
          <w:tcPr>
            <w:tcW w:w="650" w:type="dxa"/>
            <w:tcBorders>
              <w:top w:val="single" w:sz="4" w:space="0" w:color="auto"/>
            </w:tcBorders>
            <w:vAlign w:val="bottom"/>
          </w:tcPr>
          <w:p w:rsidR="00220165" w:rsidRPr="00C430D6" w:rsidRDefault="006363B3" w:rsidP="00220165">
            <w:pPr>
              <w:pStyle w:val="Tabell-Siffror"/>
              <w:spacing w:before="60" w:line="200" w:lineRule="exact"/>
            </w:pPr>
            <w:r>
              <w:t>3,4</w:t>
            </w:r>
          </w:p>
        </w:tc>
        <w:tc>
          <w:tcPr>
            <w:tcW w:w="596" w:type="dxa"/>
            <w:tcBorders>
              <w:top w:val="single" w:sz="4" w:space="0" w:color="auto"/>
            </w:tcBorders>
            <w:vAlign w:val="bottom"/>
          </w:tcPr>
          <w:p w:rsidR="00220165" w:rsidRPr="00C430D6" w:rsidRDefault="00220165" w:rsidP="00220165">
            <w:pPr>
              <w:pStyle w:val="Tabell-Siffror"/>
              <w:spacing w:before="60" w:line="200" w:lineRule="exact"/>
            </w:pPr>
            <w:r>
              <w:t>2,9</w:t>
            </w:r>
          </w:p>
        </w:tc>
        <w:tc>
          <w:tcPr>
            <w:tcW w:w="596" w:type="dxa"/>
            <w:tcBorders>
              <w:top w:val="single" w:sz="4" w:space="0" w:color="auto"/>
            </w:tcBorders>
            <w:vAlign w:val="bottom"/>
          </w:tcPr>
          <w:p w:rsidR="00220165" w:rsidRPr="00C430D6" w:rsidRDefault="00220165" w:rsidP="00220165">
            <w:pPr>
              <w:pStyle w:val="Tabell-Siffror"/>
              <w:spacing w:before="60" w:line="200" w:lineRule="exact"/>
            </w:pPr>
            <w:r w:rsidRPr="00C430D6">
              <w:t>2,</w:t>
            </w:r>
            <w:r>
              <w:t>6</w:t>
            </w:r>
          </w:p>
        </w:tc>
        <w:tc>
          <w:tcPr>
            <w:tcW w:w="675" w:type="dxa"/>
            <w:tcBorders>
              <w:top w:val="single" w:sz="4" w:space="0" w:color="auto"/>
            </w:tcBorders>
            <w:vAlign w:val="bottom"/>
          </w:tcPr>
          <w:p w:rsidR="00220165" w:rsidRPr="00C430D6" w:rsidRDefault="00220165" w:rsidP="00220165">
            <w:pPr>
              <w:pStyle w:val="Tabell-Siffror"/>
              <w:spacing w:before="60" w:line="200" w:lineRule="exact"/>
            </w:pPr>
            <w:r w:rsidRPr="00C430D6">
              <w:t>2,</w:t>
            </w:r>
            <w:r>
              <w:t>8</w:t>
            </w:r>
          </w:p>
        </w:tc>
        <w:tc>
          <w:tcPr>
            <w:tcW w:w="636" w:type="dxa"/>
            <w:tcBorders>
              <w:top w:val="single" w:sz="4" w:space="0" w:color="auto"/>
            </w:tcBorders>
            <w:vAlign w:val="bottom"/>
          </w:tcPr>
          <w:p w:rsidR="00220165" w:rsidRPr="00C430D6" w:rsidRDefault="00220165" w:rsidP="00220165">
            <w:pPr>
              <w:pStyle w:val="Tabell-Siffror"/>
              <w:spacing w:before="60" w:line="200" w:lineRule="exact"/>
            </w:pPr>
            <w:r w:rsidRPr="00C430D6">
              <w:t>2,</w:t>
            </w:r>
            <w:r>
              <w:t>6</w:t>
            </w:r>
          </w:p>
        </w:tc>
        <w:tc>
          <w:tcPr>
            <w:tcW w:w="596" w:type="dxa"/>
            <w:tcBorders>
              <w:top w:val="single" w:sz="4" w:space="0" w:color="auto"/>
            </w:tcBorders>
            <w:vAlign w:val="bottom"/>
          </w:tcPr>
          <w:p w:rsidR="00220165" w:rsidRPr="00C430D6" w:rsidRDefault="00220165" w:rsidP="00220165">
            <w:pPr>
              <w:pStyle w:val="Tabell-Siffror"/>
              <w:spacing w:before="60" w:line="200" w:lineRule="exact"/>
            </w:pPr>
            <w:r w:rsidRPr="00C430D6">
              <w:t>2,</w:t>
            </w:r>
            <w:r>
              <w:t>4</w:t>
            </w:r>
          </w:p>
        </w:tc>
      </w:tr>
      <w:tr w:rsidR="00220165" w:rsidRPr="00C430D6" w:rsidTr="00EB0B40">
        <w:tc>
          <w:tcPr>
            <w:tcW w:w="2122" w:type="dxa"/>
          </w:tcPr>
          <w:p w:rsidR="00220165" w:rsidRPr="00C430D6" w:rsidRDefault="00220165" w:rsidP="00220165">
            <w:pPr>
              <w:pStyle w:val="Tabell-Text"/>
              <w:spacing w:before="60" w:line="200" w:lineRule="exact"/>
            </w:pPr>
            <w:r w:rsidRPr="00C430D6">
              <w:t>Långtidssjukfrånvaro (60 kalenderdagar) i förhållande till total sjukfrånvaro i %</w:t>
            </w:r>
          </w:p>
        </w:tc>
        <w:tc>
          <w:tcPr>
            <w:tcW w:w="650" w:type="dxa"/>
            <w:vAlign w:val="bottom"/>
          </w:tcPr>
          <w:p w:rsidR="00220165" w:rsidRPr="00C430D6" w:rsidRDefault="006363B3" w:rsidP="00220165">
            <w:pPr>
              <w:pStyle w:val="Tabell-Siffror"/>
              <w:spacing w:before="60" w:line="200" w:lineRule="exact"/>
            </w:pPr>
            <w:r>
              <w:t>48,2</w:t>
            </w:r>
          </w:p>
        </w:tc>
        <w:tc>
          <w:tcPr>
            <w:tcW w:w="596" w:type="dxa"/>
            <w:vAlign w:val="bottom"/>
          </w:tcPr>
          <w:p w:rsidR="00220165" w:rsidRPr="00C430D6" w:rsidRDefault="00220165" w:rsidP="00220165">
            <w:pPr>
              <w:pStyle w:val="Tabell-Siffror"/>
              <w:spacing w:before="60" w:line="200" w:lineRule="exact"/>
            </w:pPr>
            <w:r>
              <w:t>44,2</w:t>
            </w:r>
          </w:p>
        </w:tc>
        <w:tc>
          <w:tcPr>
            <w:tcW w:w="596" w:type="dxa"/>
            <w:vAlign w:val="bottom"/>
          </w:tcPr>
          <w:p w:rsidR="00220165" w:rsidRPr="00C3123C" w:rsidRDefault="00220165" w:rsidP="00220165">
            <w:pPr>
              <w:pStyle w:val="Tabell-Siffror"/>
              <w:spacing w:before="60" w:line="200" w:lineRule="exact"/>
            </w:pPr>
            <w:r w:rsidRPr="00C3123C">
              <w:t>36,2</w:t>
            </w:r>
          </w:p>
        </w:tc>
        <w:tc>
          <w:tcPr>
            <w:tcW w:w="675" w:type="dxa"/>
            <w:vAlign w:val="bottom"/>
          </w:tcPr>
          <w:p w:rsidR="00220165" w:rsidRPr="00C430D6" w:rsidRDefault="00220165" w:rsidP="00220165">
            <w:pPr>
              <w:pStyle w:val="Tabell-Siffror"/>
              <w:spacing w:before="60" w:line="200" w:lineRule="exact"/>
            </w:pPr>
            <w:r w:rsidRPr="00C430D6">
              <w:t>27,</w:t>
            </w:r>
            <w:r>
              <w:t>5</w:t>
            </w:r>
          </w:p>
        </w:tc>
        <w:tc>
          <w:tcPr>
            <w:tcW w:w="636" w:type="dxa"/>
            <w:vAlign w:val="bottom"/>
          </w:tcPr>
          <w:p w:rsidR="00220165" w:rsidRPr="00C430D6" w:rsidRDefault="00220165" w:rsidP="00220165">
            <w:pPr>
              <w:pStyle w:val="Tabell-Siffror"/>
              <w:spacing w:before="60" w:line="200" w:lineRule="exact"/>
            </w:pPr>
            <w:r>
              <w:t>27</w:t>
            </w:r>
            <w:r w:rsidRPr="00C430D6">
              <w:t>,</w:t>
            </w:r>
            <w:r>
              <w:t>1</w:t>
            </w:r>
          </w:p>
        </w:tc>
        <w:tc>
          <w:tcPr>
            <w:tcW w:w="596" w:type="dxa"/>
            <w:vAlign w:val="bottom"/>
          </w:tcPr>
          <w:p w:rsidR="00220165" w:rsidRPr="00C430D6" w:rsidRDefault="00220165" w:rsidP="00220165">
            <w:pPr>
              <w:pStyle w:val="Tabell-Siffror"/>
              <w:spacing w:before="60" w:line="200" w:lineRule="exact"/>
            </w:pPr>
            <w:r w:rsidRPr="00C430D6">
              <w:t>3</w:t>
            </w:r>
            <w:r>
              <w:t>4</w:t>
            </w:r>
            <w:r w:rsidRPr="00C430D6">
              <w:t>,</w:t>
            </w:r>
            <w:r>
              <w:t>8</w:t>
            </w:r>
          </w:p>
        </w:tc>
      </w:tr>
      <w:tr w:rsidR="00220165" w:rsidRPr="00C430D6" w:rsidTr="00EB0B40">
        <w:tc>
          <w:tcPr>
            <w:tcW w:w="2122" w:type="dxa"/>
          </w:tcPr>
          <w:p w:rsidR="00220165" w:rsidRPr="00C430D6" w:rsidRDefault="00220165" w:rsidP="00220165">
            <w:pPr>
              <w:pStyle w:val="Tabell-Text"/>
              <w:spacing w:before="60" w:line="200" w:lineRule="exact"/>
            </w:pPr>
            <w:r w:rsidRPr="00C430D6">
              <w:t>Kvinnors sjukfrånvaro i % av tillgänglig arbetstid</w:t>
            </w:r>
          </w:p>
        </w:tc>
        <w:tc>
          <w:tcPr>
            <w:tcW w:w="650" w:type="dxa"/>
            <w:vAlign w:val="bottom"/>
          </w:tcPr>
          <w:p w:rsidR="00220165" w:rsidRPr="00C430D6" w:rsidRDefault="006363B3" w:rsidP="00220165">
            <w:pPr>
              <w:pStyle w:val="Tabell-Siffror"/>
              <w:spacing w:before="60" w:line="200" w:lineRule="exact"/>
            </w:pPr>
            <w:r>
              <w:t>4,0</w:t>
            </w:r>
          </w:p>
        </w:tc>
        <w:tc>
          <w:tcPr>
            <w:tcW w:w="596" w:type="dxa"/>
            <w:vAlign w:val="bottom"/>
          </w:tcPr>
          <w:p w:rsidR="00220165" w:rsidRPr="00C430D6" w:rsidRDefault="00220165" w:rsidP="00220165">
            <w:pPr>
              <w:pStyle w:val="Tabell-Siffror"/>
              <w:spacing w:before="60" w:line="200" w:lineRule="exact"/>
            </w:pPr>
            <w:r>
              <w:t>3,4</w:t>
            </w:r>
          </w:p>
        </w:tc>
        <w:tc>
          <w:tcPr>
            <w:tcW w:w="596" w:type="dxa"/>
            <w:vAlign w:val="bottom"/>
          </w:tcPr>
          <w:p w:rsidR="00220165" w:rsidRPr="00C3123C" w:rsidRDefault="00220165" w:rsidP="00220165">
            <w:pPr>
              <w:pStyle w:val="Tabell-Siffror"/>
              <w:spacing w:before="60" w:line="200" w:lineRule="exact"/>
            </w:pPr>
            <w:r w:rsidRPr="00C3123C">
              <w:t>3,1</w:t>
            </w:r>
          </w:p>
        </w:tc>
        <w:tc>
          <w:tcPr>
            <w:tcW w:w="675" w:type="dxa"/>
            <w:vAlign w:val="bottom"/>
          </w:tcPr>
          <w:p w:rsidR="00220165" w:rsidRPr="00C430D6" w:rsidRDefault="00220165" w:rsidP="00220165">
            <w:pPr>
              <w:pStyle w:val="Tabell-Siffror"/>
              <w:spacing w:before="60" w:line="200" w:lineRule="exact"/>
            </w:pPr>
            <w:r>
              <w:t>3</w:t>
            </w:r>
            <w:r w:rsidRPr="00C430D6">
              <w:t>,</w:t>
            </w:r>
            <w:r>
              <w:t>5</w:t>
            </w:r>
          </w:p>
        </w:tc>
        <w:tc>
          <w:tcPr>
            <w:tcW w:w="636" w:type="dxa"/>
            <w:vAlign w:val="bottom"/>
          </w:tcPr>
          <w:p w:rsidR="00220165" w:rsidRPr="00C430D6" w:rsidRDefault="00220165" w:rsidP="00220165">
            <w:pPr>
              <w:pStyle w:val="Tabell-Siffror"/>
              <w:spacing w:before="60" w:line="200" w:lineRule="exact"/>
            </w:pPr>
            <w:r w:rsidRPr="00C430D6">
              <w:t>2,9</w:t>
            </w:r>
          </w:p>
        </w:tc>
        <w:tc>
          <w:tcPr>
            <w:tcW w:w="596" w:type="dxa"/>
            <w:vAlign w:val="bottom"/>
          </w:tcPr>
          <w:p w:rsidR="00220165" w:rsidRPr="00C430D6" w:rsidRDefault="00220165" w:rsidP="00220165">
            <w:pPr>
              <w:pStyle w:val="Tabell-Siffror"/>
              <w:spacing w:before="60" w:line="200" w:lineRule="exact"/>
            </w:pPr>
            <w:r w:rsidRPr="00C430D6">
              <w:t>2,</w:t>
            </w:r>
            <w:r>
              <w:t>9</w:t>
            </w:r>
          </w:p>
        </w:tc>
      </w:tr>
      <w:tr w:rsidR="00220165" w:rsidRPr="00C430D6" w:rsidTr="00EB0B40">
        <w:tc>
          <w:tcPr>
            <w:tcW w:w="2122" w:type="dxa"/>
          </w:tcPr>
          <w:p w:rsidR="00220165" w:rsidRPr="00C430D6" w:rsidRDefault="00220165" w:rsidP="00220165">
            <w:pPr>
              <w:pStyle w:val="Tabell-Text"/>
              <w:spacing w:before="60" w:line="200" w:lineRule="exact"/>
            </w:pPr>
            <w:r w:rsidRPr="00C430D6">
              <w:t>Mäns sjukfrånvaro i % av tillgänglig arbetstid</w:t>
            </w:r>
          </w:p>
        </w:tc>
        <w:tc>
          <w:tcPr>
            <w:tcW w:w="650" w:type="dxa"/>
            <w:vAlign w:val="bottom"/>
          </w:tcPr>
          <w:p w:rsidR="00220165" w:rsidRPr="00C430D6" w:rsidRDefault="006363B3" w:rsidP="00220165">
            <w:pPr>
              <w:pStyle w:val="Tabell-Siffror"/>
              <w:spacing w:before="60" w:line="200" w:lineRule="exact"/>
            </w:pPr>
            <w:r>
              <w:t>2,4</w:t>
            </w:r>
          </w:p>
        </w:tc>
        <w:tc>
          <w:tcPr>
            <w:tcW w:w="596" w:type="dxa"/>
            <w:vAlign w:val="bottom"/>
          </w:tcPr>
          <w:p w:rsidR="00220165" w:rsidRPr="00C430D6" w:rsidRDefault="00220165" w:rsidP="00220165">
            <w:pPr>
              <w:pStyle w:val="Tabell-Siffror"/>
              <w:spacing w:before="60" w:line="200" w:lineRule="exact"/>
            </w:pPr>
            <w:r>
              <w:t>2,3</w:t>
            </w:r>
          </w:p>
        </w:tc>
        <w:tc>
          <w:tcPr>
            <w:tcW w:w="596" w:type="dxa"/>
            <w:vAlign w:val="bottom"/>
          </w:tcPr>
          <w:p w:rsidR="00220165" w:rsidRPr="00C430D6" w:rsidRDefault="00220165" w:rsidP="00220165">
            <w:pPr>
              <w:pStyle w:val="Tabell-Siffror"/>
              <w:spacing w:before="60" w:line="200" w:lineRule="exact"/>
            </w:pPr>
            <w:r w:rsidRPr="00C430D6">
              <w:t>1,8</w:t>
            </w:r>
          </w:p>
        </w:tc>
        <w:tc>
          <w:tcPr>
            <w:tcW w:w="675" w:type="dxa"/>
            <w:vAlign w:val="bottom"/>
          </w:tcPr>
          <w:p w:rsidR="00220165" w:rsidRPr="00C430D6" w:rsidRDefault="00220165" w:rsidP="00220165">
            <w:pPr>
              <w:pStyle w:val="Tabell-Siffror"/>
              <w:spacing w:before="60" w:line="200" w:lineRule="exact"/>
            </w:pPr>
            <w:r>
              <w:t>1</w:t>
            </w:r>
            <w:r w:rsidRPr="00C430D6">
              <w:t>,</w:t>
            </w:r>
            <w:r>
              <w:t>8</w:t>
            </w:r>
          </w:p>
        </w:tc>
        <w:tc>
          <w:tcPr>
            <w:tcW w:w="636" w:type="dxa"/>
            <w:vAlign w:val="bottom"/>
          </w:tcPr>
          <w:p w:rsidR="00220165" w:rsidRPr="00C430D6" w:rsidRDefault="00220165" w:rsidP="00220165">
            <w:pPr>
              <w:pStyle w:val="Tabell-Siffror"/>
              <w:spacing w:before="60" w:line="200" w:lineRule="exact"/>
            </w:pPr>
            <w:r>
              <w:t>2</w:t>
            </w:r>
            <w:r w:rsidRPr="00C430D6">
              <w:t>,</w:t>
            </w:r>
            <w:r>
              <w:t>2</w:t>
            </w:r>
          </w:p>
        </w:tc>
        <w:tc>
          <w:tcPr>
            <w:tcW w:w="596" w:type="dxa"/>
            <w:vAlign w:val="bottom"/>
          </w:tcPr>
          <w:p w:rsidR="00220165" w:rsidRPr="00C430D6" w:rsidRDefault="00220165" w:rsidP="00220165">
            <w:pPr>
              <w:pStyle w:val="Tabell-Siffror"/>
              <w:spacing w:before="60" w:line="200" w:lineRule="exact"/>
            </w:pPr>
            <w:r>
              <w:t>1</w:t>
            </w:r>
            <w:r w:rsidRPr="00C430D6">
              <w:t>,</w:t>
            </w:r>
            <w:r>
              <w:t>7</w:t>
            </w:r>
          </w:p>
        </w:tc>
      </w:tr>
      <w:tr w:rsidR="00220165" w:rsidRPr="00C430D6" w:rsidTr="00EB0B40">
        <w:tc>
          <w:tcPr>
            <w:tcW w:w="2122" w:type="dxa"/>
          </w:tcPr>
          <w:p w:rsidR="00220165" w:rsidRPr="00C430D6" w:rsidRDefault="00220165" w:rsidP="00220165">
            <w:pPr>
              <w:pStyle w:val="Tabell-Text"/>
              <w:spacing w:before="60" w:line="200" w:lineRule="exact"/>
            </w:pPr>
            <w:r w:rsidRPr="00C430D6">
              <w:t>Sjukfrånvaro för åldersgruppen 29 år eller yngre i % av tillgänglig arbetstid</w:t>
            </w:r>
          </w:p>
        </w:tc>
        <w:tc>
          <w:tcPr>
            <w:tcW w:w="650" w:type="dxa"/>
            <w:vAlign w:val="bottom"/>
          </w:tcPr>
          <w:p w:rsidR="00220165" w:rsidRPr="00C430D6" w:rsidRDefault="006363B3" w:rsidP="00220165">
            <w:pPr>
              <w:pStyle w:val="Tabell-Siffror"/>
              <w:spacing w:before="60" w:line="200" w:lineRule="exact"/>
            </w:pPr>
            <w:r>
              <w:t>0,8</w:t>
            </w:r>
          </w:p>
        </w:tc>
        <w:tc>
          <w:tcPr>
            <w:tcW w:w="596" w:type="dxa"/>
            <w:vAlign w:val="bottom"/>
          </w:tcPr>
          <w:p w:rsidR="00220165" w:rsidRPr="00C430D6" w:rsidRDefault="00220165" w:rsidP="00220165">
            <w:pPr>
              <w:pStyle w:val="Tabell-Siffror"/>
              <w:spacing w:before="60" w:line="200" w:lineRule="exact"/>
            </w:pPr>
            <w:r>
              <w:t>1,2</w:t>
            </w:r>
          </w:p>
        </w:tc>
        <w:tc>
          <w:tcPr>
            <w:tcW w:w="596" w:type="dxa"/>
            <w:vAlign w:val="bottom"/>
          </w:tcPr>
          <w:p w:rsidR="00220165" w:rsidRPr="00C430D6" w:rsidRDefault="00220165" w:rsidP="00220165">
            <w:pPr>
              <w:pStyle w:val="Tabell-Siffror"/>
              <w:spacing w:before="60" w:line="200" w:lineRule="exact"/>
            </w:pPr>
            <w:r>
              <w:t>1,1</w:t>
            </w:r>
          </w:p>
        </w:tc>
        <w:tc>
          <w:tcPr>
            <w:tcW w:w="675" w:type="dxa"/>
            <w:vAlign w:val="bottom"/>
          </w:tcPr>
          <w:p w:rsidR="00220165" w:rsidRPr="00C430D6" w:rsidRDefault="00220165" w:rsidP="00220165">
            <w:pPr>
              <w:pStyle w:val="Tabell-Siffror"/>
              <w:spacing w:before="60" w:line="200" w:lineRule="exact"/>
            </w:pPr>
            <w:r w:rsidRPr="00C430D6">
              <w:t>0,</w:t>
            </w:r>
            <w:r>
              <w:t>7</w:t>
            </w:r>
          </w:p>
        </w:tc>
        <w:tc>
          <w:tcPr>
            <w:tcW w:w="636" w:type="dxa"/>
            <w:vAlign w:val="bottom"/>
          </w:tcPr>
          <w:p w:rsidR="00220165" w:rsidRPr="00C430D6" w:rsidRDefault="00220165" w:rsidP="00220165">
            <w:pPr>
              <w:pStyle w:val="Tabell-Siffror"/>
              <w:spacing w:before="60" w:line="200" w:lineRule="exact"/>
            </w:pPr>
            <w:r w:rsidRPr="00C430D6">
              <w:t>0,</w:t>
            </w:r>
            <w:r>
              <w:t>8</w:t>
            </w:r>
          </w:p>
        </w:tc>
        <w:tc>
          <w:tcPr>
            <w:tcW w:w="596" w:type="dxa"/>
            <w:vAlign w:val="bottom"/>
          </w:tcPr>
          <w:p w:rsidR="00220165" w:rsidRPr="00C430D6" w:rsidRDefault="00220165" w:rsidP="00220165">
            <w:pPr>
              <w:pStyle w:val="Tabell-Siffror"/>
              <w:spacing w:before="60" w:line="200" w:lineRule="exact"/>
            </w:pPr>
            <w:r>
              <w:t>0</w:t>
            </w:r>
            <w:r w:rsidRPr="00C430D6">
              <w:t>,</w:t>
            </w:r>
            <w:r>
              <w:t>6</w:t>
            </w:r>
          </w:p>
        </w:tc>
      </w:tr>
      <w:tr w:rsidR="00220165" w:rsidRPr="00C430D6" w:rsidTr="00EB0B40">
        <w:tc>
          <w:tcPr>
            <w:tcW w:w="2122" w:type="dxa"/>
          </w:tcPr>
          <w:p w:rsidR="00220165" w:rsidRPr="00C430D6" w:rsidRDefault="00220165" w:rsidP="00220165">
            <w:pPr>
              <w:pStyle w:val="Tabell-Text"/>
              <w:spacing w:before="60" w:line="200" w:lineRule="exact"/>
            </w:pPr>
            <w:r w:rsidRPr="00C430D6">
              <w:t>Sjukfrånvaro för åldersgruppen 30</w:t>
            </w:r>
            <w:r>
              <w:t>–</w:t>
            </w:r>
            <w:r w:rsidRPr="00C430D6">
              <w:t>49 år i % av tillgänglig arbetstid</w:t>
            </w:r>
          </w:p>
        </w:tc>
        <w:tc>
          <w:tcPr>
            <w:tcW w:w="650" w:type="dxa"/>
            <w:vAlign w:val="bottom"/>
          </w:tcPr>
          <w:p w:rsidR="00220165" w:rsidRPr="00C430D6" w:rsidRDefault="004D71DE" w:rsidP="00220165">
            <w:pPr>
              <w:pStyle w:val="Tabell-Siffror"/>
              <w:spacing w:before="60" w:line="200" w:lineRule="exact"/>
            </w:pPr>
            <w:r>
              <w:t>3</w:t>
            </w:r>
            <w:r w:rsidR="006363B3">
              <w:t>,4</w:t>
            </w:r>
          </w:p>
        </w:tc>
        <w:tc>
          <w:tcPr>
            <w:tcW w:w="596" w:type="dxa"/>
            <w:vAlign w:val="bottom"/>
          </w:tcPr>
          <w:p w:rsidR="00220165" w:rsidRPr="00C430D6" w:rsidRDefault="00220165" w:rsidP="00220165">
            <w:pPr>
              <w:pStyle w:val="Tabell-Siffror"/>
              <w:spacing w:before="60" w:line="200" w:lineRule="exact"/>
            </w:pPr>
            <w:r>
              <w:t>2,7</w:t>
            </w:r>
          </w:p>
        </w:tc>
        <w:tc>
          <w:tcPr>
            <w:tcW w:w="596" w:type="dxa"/>
            <w:vAlign w:val="bottom"/>
          </w:tcPr>
          <w:p w:rsidR="00220165" w:rsidRPr="00C3123C" w:rsidRDefault="00220165" w:rsidP="00220165">
            <w:pPr>
              <w:pStyle w:val="Tabell-Siffror"/>
              <w:spacing w:before="60" w:line="200" w:lineRule="exact"/>
            </w:pPr>
            <w:r w:rsidRPr="00C3123C">
              <w:t>2,2</w:t>
            </w:r>
          </w:p>
        </w:tc>
        <w:tc>
          <w:tcPr>
            <w:tcW w:w="675" w:type="dxa"/>
            <w:vAlign w:val="bottom"/>
          </w:tcPr>
          <w:p w:rsidR="00220165" w:rsidRPr="00C430D6" w:rsidRDefault="00220165" w:rsidP="00220165">
            <w:pPr>
              <w:pStyle w:val="Tabell-Siffror"/>
              <w:spacing w:before="60" w:line="200" w:lineRule="exact"/>
            </w:pPr>
            <w:r w:rsidRPr="00C430D6">
              <w:t>2,</w:t>
            </w:r>
            <w:r>
              <w:t>4</w:t>
            </w:r>
          </w:p>
        </w:tc>
        <w:tc>
          <w:tcPr>
            <w:tcW w:w="636" w:type="dxa"/>
            <w:vAlign w:val="bottom"/>
          </w:tcPr>
          <w:p w:rsidR="00220165" w:rsidRPr="00C430D6" w:rsidRDefault="00220165" w:rsidP="00220165">
            <w:pPr>
              <w:pStyle w:val="Tabell-Siffror"/>
              <w:spacing w:before="60" w:line="200" w:lineRule="exact"/>
            </w:pPr>
            <w:r w:rsidRPr="00C430D6">
              <w:t>2,</w:t>
            </w:r>
            <w:r>
              <w:t>1</w:t>
            </w:r>
          </w:p>
        </w:tc>
        <w:tc>
          <w:tcPr>
            <w:tcW w:w="596" w:type="dxa"/>
            <w:vAlign w:val="bottom"/>
          </w:tcPr>
          <w:p w:rsidR="00220165" w:rsidRPr="00C430D6" w:rsidRDefault="00220165" w:rsidP="00220165">
            <w:pPr>
              <w:pStyle w:val="Tabell-Siffror"/>
              <w:spacing w:before="60" w:line="200" w:lineRule="exact"/>
            </w:pPr>
            <w:r w:rsidRPr="00C430D6">
              <w:t>2,3</w:t>
            </w:r>
          </w:p>
        </w:tc>
      </w:tr>
      <w:tr w:rsidR="00220165" w:rsidRPr="00C430D6" w:rsidTr="00EB0B40">
        <w:tc>
          <w:tcPr>
            <w:tcW w:w="2122" w:type="dxa"/>
          </w:tcPr>
          <w:p w:rsidR="00220165" w:rsidRPr="00C430D6" w:rsidRDefault="00220165" w:rsidP="00220165">
            <w:pPr>
              <w:pStyle w:val="Tabell-Text"/>
              <w:spacing w:before="60" w:line="200" w:lineRule="exact"/>
            </w:pPr>
            <w:r w:rsidRPr="00C430D6">
              <w:t>Sjukfrånvaro för åldersgruppen 50 år eller äldre i % av tillgänglig arbetstid</w:t>
            </w:r>
          </w:p>
        </w:tc>
        <w:tc>
          <w:tcPr>
            <w:tcW w:w="650" w:type="dxa"/>
            <w:vAlign w:val="bottom"/>
          </w:tcPr>
          <w:p w:rsidR="00220165" w:rsidRPr="00C430D6" w:rsidRDefault="006363B3" w:rsidP="00220165">
            <w:pPr>
              <w:pStyle w:val="Tabell-Siffror"/>
              <w:spacing w:before="60" w:line="200" w:lineRule="exact"/>
            </w:pPr>
            <w:r>
              <w:t>3,</w:t>
            </w:r>
            <w:r w:rsidR="004D71DE">
              <w:t>4</w:t>
            </w:r>
          </w:p>
        </w:tc>
        <w:tc>
          <w:tcPr>
            <w:tcW w:w="596" w:type="dxa"/>
            <w:vAlign w:val="bottom"/>
          </w:tcPr>
          <w:p w:rsidR="00220165" w:rsidRPr="00C430D6" w:rsidRDefault="00220165" w:rsidP="00220165">
            <w:pPr>
              <w:pStyle w:val="Tabell-Siffror"/>
              <w:spacing w:before="60" w:line="200" w:lineRule="exact"/>
            </w:pPr>
            <w:r>
              <w:t>3,2</w:t>
            </w:r>
          </w:p>
        </w:tc>
        <w:tc>
          <w:tcPr>
            <w:tcW w:w="596" w:type="dxa"/>
            <w:vAlign w:val="bottom"/>
          </w:tcPr>
          <w:p w:rsidR="00220165" w:rsidRPr="00C430D6" w:rsidRDefault="00220165" w:rsidP="00220165">
            <w:pPr>
              <w:pStyle w:val="Tabell-Siffror"/>
              <w:spacing w:before="60" w:line="200" w:lineRule="exact"/>
            </w:pPr>
            <w:r>
              <w:t>3,1</w:t>
            </w:r>
          </w:p>
        </w:tc>
        <w:tc>
          <w:tcPr>
            <w:tcW w:w="675" w:type="dxa"/>
            <w:vAlign w:val="bottom"/>
          </w:tcPr>
          <w:p w:rsidR="00220165" w:rsidRPr="00C430D6" w:rsidRDefault="00220165" w:rsidP="00220165">
            <w:pPr>
              <w:pStyle w:val="Tabell-Siffror"/>
              <w:spacing w:before="60" w:line="200" w:lineRule="exact"/>
            </w:pPr>
            <w:r w:rsidRPr="00C430D6">
              <w:t>3,3</w:t>
            </w:r>
          </w:p>
        </w:tc>
        <w:tc>
          <w:tcPr>
            <w:tcW w:w="636" w:type="dxa"/>
            <w:vAlign w:val="bottom"/>
          </w:tcPr>
          <w:p w:rsidR="00220165" w:rsidRPr="00C430D6" w:rsidRDefault="00220165" w:rsidP="00220165">
            <w:pPr>
              <w:pStyle w:val="Tabell-Siffror"/>
              <w:spacing w:before="60" w:line="200" w:lineRule="exact"/>
            </w:pPr>
            <w:r>
              <w:t>3</w:t>
            </w:r>
            <w:r w:rsidRPr="00C430D6">
              <w:t>,</w:t>
            </w:r>
            <w:r>
              <w:t>3</w:t>
            </w:r>
          </w:p>
        </w:tc>
        <w:tc>
          <w:tcPr>
            <w:tcW w:w="596" w:type="dxa"/>
            <w:vAlign w:val="bottom"/>
          </w:tcPr>
          <w:p w:rsidR="00220165" w:rsidRPr="00C430D6" w:rsidRDefault="00220165" w:rsidP="00220165">
            <w:pPr>
              <w:pStyle w:val="Tabell-Siffror"/>
              <w:spacing w:before="60" w:line="200" w:lineRule="exact"/>
            </w:pPr>
            <w:r>
              <w:t>2,6</w:t>
            </w:r>
          </w:p>
        </w:tc>
      </w:tr>
    </w:tbl>
    <w:p w:rsidR="00422C6A" w:rsidRPr="002E6E3E" w:rsidRDefault="00422C6A" w:rsidP="00422C6A">
      <w:pPr>
        <w:spacing w:before="125"/>
        <w:rPr>
          <w:u w:val="single"/>
        </w:rPr>
      </w:pPr>
      <w:r w:rsidRPr="00B07842">
        <w:t>Den totala sjukfrånvaron i procent</w:t>
      </w:r>
      <w:r w:rsidR="003052A9" w:rsidRPr="00B07842">
        <w:t xml:space="preserve"> av tillgänglig arbetstid var 3,4</w:t>
      </w:r>
      <w:r w:rsidRPr="00B07842">
        <w:t xml:space="preserve"> procent 201</w:t>
      </w:r>
      <w:r w:rsidR="003052A9" w:rsidRPr="00B07842">
        <w:t>6</w:t>
      </w:r>
      <w:r w:rsidRPr="00B07842">
        <w:t xml:space="preserve">. </w:t>
      </w:r>
      <w:r w:rsidR="003052A9" w:rsidRPr="00B07842">
        <w:t xml:space="preserve">Från att ha varit </w:t>
      </w:r>
      <w:r w:rsidRPr="00B07842">
        <w:t>relativt oförändrad under de senaste åren</w:t>
      </w:r>
      <w:r w:rsidR="003052A9" w:rsidRPr="00B07842">
        <w:t xml:space="preserve">, </w:t>
      </w:r>
      <w:r w:rsidR="00207695">
        <w:t xml:space="preserve">då </w:t>
      </w:r>
      <w:r w:rsidR="003052A9" w:rsidRPr="00B07842">
        <w:t xml:space="preserve">den har varierat </w:t>
      </w:r>
      <w:r w:rsidRPr="00B07842">
        <w:t>mellan 2,4 och 2,</w:t>
      </w:r>
      <w:r w:rsidR="009158C6" w:rsidRPr="00B07842">
        <w:t>9</w:t>
      </w:r>
      <w:r w:rsidRPr="00B07842">
        <w:t xml:space="preserve"> procent</w:t>
      </w:r>
      <w:r w:rsidR="003052A9" w:rsidRPr="00B07842">
        <w:t>, har sjukfrånvaron således ökat något 2016</w:t>
      </w:r>
      <w:r w:rsidRPr="00B07842">
        <w:t xml:space="preserve">. </w:t>
      </w:r>
      <w:r w:rsidR="00A71B0F" w:rsidRPr="00B07842">
        <w:t>Ökningen består av en ökad långtidssjukfrånvaro bland kvinnor</w:t>
      </w:r>
      <w:r w:rsidR="009158C6" w:rsidRPr="00B07842">
        <w:t>.</w:t>
      </w:r>
      <w:r w:rsidR="00A71B0F" w:rsidRPr="00B07842">
        <w:t xml:space="preserve"> Antalet medarbetare med långtidssjukfrånvaro, liksom könsfördelningen, var samma 2016 </w:t>
      </w:r>
      <w:r w:rsidR="0059678F">
        <w:t>som</w:t>
      </w:r>
      <w:r w:rsidR="00A71B0F" w:rsidRPr="00B07842">
        <w:t xml:space="preserve"> 2015 </w:t>
      </w:r>
      <w:r w:rsidR="004916BD" w:rsidRPr="00B07842">
        <w:t>(</w:t>
      </w:r>
      <w:r w:rsidR="00D325FE">
        <w:t xml:space="preserve">23 medarbetare, </w:t>
      </w:r>
      <w:r w:rsidR="004916BD" w:rsidRPr="00B07842">
        <w:t>17 kvinnor och 6</w:t>
      </w:r>
      <w:r w:rsidR="00A71B0F" w:rsidRPr="00B07842">
        <w:t xml:space="preserve"> män).</w:t>
      </w:r>
      <w:r w:rsidR="00A71B0F" w:rsidRPr="005240C0">
        <w:t xml:space="preserve"> </w:t>
      </w:r>
      <w:r w:rsidR="00A71B0F" w:rsidRPr="00F041B7">
        <w:t>Däremot har kvinnorna haft längre sjukfrånvaro.</w:t>
      </w:r>
      <w:r w:rsidR="00D325FE" w:rsidRPr="00F041B7">
        <w:t xml:space="preserve"> Detta framgår av att långtidssjukfrånvaron</w:t>
      </w:r>
      <w:r w:rsidR="00710115">
        <w:t xml:space="preserve"> (i förhållande till total sjukfrånvaro)</w:t>
      </w:r>
      <w:r w:rsidR="00D325FE" w:rsidRPr="00F041B7">
        <w:t xml:space="preserve"> har stigit till 48,2 procent och kvinnors sjukfrånvaro </w:t>
      </w:r>
      <w:r w:rsidR="0059678F">
        <w:t xml:space="preserve">har stigit </w:t>
      </w:r>
      <w:r w:rsidR="00D325FE" w:rsidRPr="00F041B7">
        <w:t>till 4,0 procent (3,4 procent 2015).</w:t>
      </w:r>
      <w:r w:rsidR="00A71B0F" w:rsidRPr="00F041B7">
        <w:t xml:space="preserve"> </w:t>
      </w:r>
      <w:r w:rsidR="00D325FE" w:rsidRPr="00F041B7">
        <w:t>Av de 23 medarbetare som var långtidssjukskrivna under 2016 var 15 (3 män och 12 kvinnor)</w:t>
      </w:r>
      <w:r w:rsidRPr="00F041B7">
        <w:t xml:space="preserve"> fort</w:t>
      </w:r>
      <w:r w:rsidR="00D325FE" w:rsidRPr="00F041B7">
        <w:t>satt sjukskrivna vid årsskiftet, på hel- eller deltid.</w:t>
      </w:r>
      <w:r w:rsidRPr="002E6E3E">
        <w:rPr>
          <w:u w:val="single"/>
        </w:rPr>
        <w:t xml:space="preserve"> </w:t>
      </w:r>
    </w:p>
    <w:p w:rsidR="00422C6A" w:rsidRPr="008F6455" w:rsidRDefault="00422C6A" w:rsidP="002C5239">
      <w:pPr>
        <w:pStyle w:val="Rubrik4"/>
      </w:pPr>
      <w:r w:rsidRPr="008F6455">
        <w:lastRenderedPageBreak/>
        <w:t>Kompetensförsörjning</w:t>
      </w:r>
    </w:p>
    <w:p w:rsidR="00FE2CB1" w:rsidRDefault="00422C6A" w:rsidP="00422C6A">
      <w:r w:rsidRPr="008F6455">
        <w:t>Riksdagsförvaltningen</w:t>
      </w:r>
      <w:r w:rsidR="00A67890" w:rsidRPr="008F6455">
        <w:t xml:space="preserve"> har under året fortsatt det strategiska arbete med kompetensförsörjning som inleddes 2014.</w:t>
      </w:r>
      <w:r w:rsidR="009C5698" w:rsidRPr="008F6455">
        <w:t xml:space="preserve"> </w:t>
      </w:r>
      <w:r w:rsidRPr="008F6455">
        <w:t xml:space="preserve">Utgångspunkten har varit </w:t>
      </w:r>
      <w:r w:rsidR="00A67890" w:rsidRPr="008F6455">
        <w:t xml:space="preserve">förvaltningens </w:t>
      </w:r>
      <w:r w:rsidRPr="008F6455">
        <w:t>kompetensförsörjningsstrategi</w:t>
      </w:r>
      <w:r w:rsidR="00207695">
        <w:t xml:space="preserve"> med områdena</w:t>
      </w:r>
      <w:r w:rsidR="00A67890" w:rsidRPr="008F6455">
        <w:t xml:space="preserve"> kompetens, förvaltningen som arbetsgivare, arbetsmiljö och ledarskap.</w:t>
      </w:r>
      <w:r w:rsidR="00FE2CB1" w:rsidRPr="00FE2CB1">
        <w:t xml:space="preserve"> </w:t>
      </w:r>
    </w:p>
    <w:p w:rsidR="00147FBB" w:rsidRDefault="00FE2CB1" w:rsidP="00147FBB">
      <w:pPr>
        <w:pStyle w:val="Normaltindrag"/>
      </w:pPr>
      <w:r w:rsidRPr="00FE2CB1">
        <w:t>Inom ramen för den kompetensanalysmodell som förvaltningen har utvecklat och arbetat efter de senaste två åren har den sista pusselbiten fogats till modellen – kompetensanalyser på kansli-, enhets- och sektionsnivå. Resultatet av kompetensanalyser</w:t>
      </w:r>
      <w:r w:rsidR="002C4BD2">
        <w:t>na</w:t>
      </w:r>
      <w:r w:rsidRPr="00FE2CB1">
        <w:t>, som har lagts in i Riksdagsförvaltningens rondverktyg, har sedan använts i det strategiska kompetensförsö</w:t>
      </w:r>
      <w:r w:rsidR="009F2D7D">
        <w:t>rjningsarbetet</w:t>
      </w:r>
      <w:r w:rsidRPr="00FE2CB1">
        <w:t xml:space="preserve">. Fokus i ledningsgruppens diskussioner har </w:t>
      </w:r>
      <w:r w:rsidR="0065002B">
        <w:t>varit</w:t>
      </w:r>
      <w:r w:rsidRPr="00FE2CB1">
        <w:t xml:space="preserve"> på vilka kompetensförändringar och kompetensförstärkningar som behöver göras inom organisationen i närtid och på sikt.</w:t>
      </w:r>
    </w:p>
    <w:p w:rsidR="0011739A" w:rsidRDefault="00422C6A" w:rsidP="00252059">
      <w:pPr>
        <w:pStyle w:val="Normaltindrag"/>
      </w:pPr>
      <w:r w:rsidRPr="00022EBD">
        <w:t>Riksdagsförvaltningen har under året genomfört kompetensutvecklingsinsatser i form a</w:t>
      </w:r>
      <w:r w:rsidR="00DB3B0A" w:rsidRPr="00022EBD">
        <w:t>v bland annat projektutbildning och</w:t>
      </w:r>
      <w:r w:rsidRPr="00022EBD">
        <w:t xml:space="preserve"> </w:t>
      </w:r>
      <w:r w:rsidR="00147FBB" w:rsidRPr="00022EBD">
        <w:t>språkutbildning.</w:t>
      </w:r>
      <w:r w:rsidRPr="00022EBD">
        <w:t xml:space="preserve"> </w:t>
      </w:r>
      <w:r w:rsidR="00022EBD" w:rsidRPr="00022EBD">
        <w:t>Förvaltnin</w:t>
      </w:r>
      <w:r w:rsidR="00E74E84">
        <w:t xml:space="preserve">gen har under året påbörjat </w:t>
      </w:r>
      <w:r w:rsidR="00022EBD" w:rsidRPr="00022EBD">
        <w:t xml:space="preserve">ett it-kunskapslyft. Alla chefers it-kunskapsnivå har inventerats och utbildning har erbjudits där behov har funnits. Nästa del i it-kunskapslyftet är en inventering av alla medarbetares kunskapsnivå och därefter erbjudande av utbildningsinsatser. </w:t>
      </w:r>
    </w:p>
    <w:p w:rsidR="00D27CA5" w:rsidRPr="00252059" w:rsidRDefault="00252059" w:rsidP="00252059">
      <w:pPr>
        <w:pStyle w:val="Normaltindrag"/>
      </w:pPr>
      <w:r>
        <w:t xml:space="preserve">Förvaltningen har också </w:t>
      </w:r>
      <w:r w:rsidR="00022EBD" w:rsidRPr="00080416">
        <w:t xml:space="preserve">anpassat och sett över </w:t>
      </w:r>
      <w:r w:rsidR="00022EBD" w:rsidRPr="00414A07">
        <w:t xml:space="preserve">introduktionsutbildningen </w:t>
      </w:r>
      <w:r w:rsidRPr="00414A07">
        <w:t>för nyanställda</w:t>
      </w:r>
      <w:r w:rsidRPr="00080416">
        <w:t xml:space="preserve"> </w:t>
      </w:r>
      <w:r w:rsidR="00022EBD" w:rsidRPr="00080416">
        <w:t xml:space="preserve">så att innehållet bättre speglar förvaltningens uppdrag och </w:t>
      </w:r>
      <w:r w:rsidR="002C4BD2">
        <w:t>arbete. Ytterligare förbättringar</w:t>
      </w:r>
      <w:r w:rsidR="00022EBD" w:rsidRPr="00080416">
        <w:t xml:space="preserve"> kommer att genomföras under 20</w:t>
      </w:r>
      <w:r w:rsidR="002C4BD2">
        <w:t>17</w:t>
      </w:r>
      <w:r w:rsidR="00022EBD" w:rsidRPr="00080416">
        <w:t>.</w:t>
      </w:r>
      <w:r w:rsidR="00D27CA5">
        <w:rPr>
          <w:u w:val="single"/>
        </w:rPr>
        <w:t xml:space="preserve"> </w:t>
      </w:r>
    </w:p>
    <w:p w:rsidR="00422C6A" w:rsidRPr="002E6E3E" w:rsidRDefault="003C13C3" w:rsidP="00022EBD">
      <w:pPr>
        <w:pStyle w:val="Normaltindrag"/>
        <w:rPr>
          <w:u w:val="single"/>
        </w:rPr>
      </w:pPr>
      <w:r w:rsidRPr="00A82BB2">
        <w:t>Det</w:t>
      </w:r>
      <w:r w:rsidR="00422C6A" w:rsidRPr="00A82BB2">
        <w:t xml:space="preserve"> chefsutvecklingsprogram </w:t>
      </w:r>
      <w:r w:rsidRPr="00A82BB2">
        <w:t>som fastställdes 2014 har fortsatt under året.</w:t>
      </w:r>
      <w:r w:rsidRPr="002E6E3E">
        <w:rPr>
          <w:u w:val="single"/>
        </w:rPr>
        <w:t xml:space="preserve"> </w:t>
      </w:r>
      <w:r w:rsidR="00422C6A" w:rsidRPr="00A82BB2">
        <w:t xml:space="preserve">Programmet innehåller såväl generella som individuella inslag, men också en utvecklad och fördjupad introduktion för nya chefer. </w:t>
      </w:r>
      <w:r w:rsidRPr="00A82BB2">
        <w:t xml:space="preserve">Under hösten </w:t>
      </w:r>
      <w:r w:rsidR="00A82BB2" w:rsidRPr="00A82BB2">
        <w:t>har samtliga chefer utbildats i samverka</w:t>
      </w:r>
      <w:r w:rsidR="004A0600">
        <w:t>nsavtalet och att leda möten</w:t>
      </w:r>
      <w:r w:rsidR="001702DF">
        <w:t>.</w:t>
      </w:r>
    </w:p>
    <w:p w:rsidR="00F30ACB" w:rsidRPr="00C83E9E" w:rsidRDefault="00422C6A" w:rsidP="00422C6A">
      <w:pPr>
        <w:spacing w:before="0"/>
        <w:ind w:firstLine="227"/>
      </w:pPr>
      <w:r w:rsidRPr="00C83E9E">
        <w:t>Liksom tidigare har en stor del av förvaltningens chefer deltagit i så kallade handledningsgrupper, vilket innebär att chefer träffas i mindre grupper under ledning av en extern handledare.</w:t>
      </w:r>
      <w:r w:rsidR="00F30ACB" w:rsidRPr="00C83E9E">
        <w:t xml:space="preserve"> Handledningen har fått en tydligare struktur genom att delar av chefsprogrammet </w:t>
      </w:r>
      <w:r w:rsidR="004B039F">
        <w:t xml:space="preserve">har </w:t>
      </w:r>
      <w:r w:rsidR="00F30ACB" w:rsidRPr="00C83E9E">
        <w:t>införliva</w:t>
      </w:r>
      <w:r w:rsidR="004B039F">
        <w:t>t</w:t>
      </w:r>
      <w:r w:rsidR="00F30ACB" w:rsidRPr="00C83E9E">
        <w:t>s i den.</w:t>
      </w:r>
    </w:p>
    <w:p w:rsidR="001434F2" w:rsidRDefault="00422C6A" w:rsidP="001434F2">
      <w:pPr>
        <w:spacing w:before="0"/>
        <w:ind w:firstLine="227"/>
      </w:pPr>
      <w:r w:rsidRPr="00C83E9E">
        <w:t xml:space="preserve">Nya chefer </w:t>
      </w:r>
      <w:r w:rsidR="00CD49A1" w:rsidRPr="00C83E9E">
        <w:t xml:space="preserve">i förvaltningen </w:t>
      </w:r>
      <w:r w:rsidRPr="00C83E9E">
        <w:t xml:space="preserve">har erbjudits </w:t>
      </w:r>
      <w:r w:rsidR="00CD49A1" w:rsidRPr="00C83E9E">
        <w:t>utbildning i lönesättande samtal och grundläggande arbetsmiljöutbildning</w:t>
      </w:r>
      <w:r w:rsidRPr="00C83E9E">
        <w:t>. Chefer som är nya i chefsrollen</w:t>
      </w:r>
      <w:r w:rsidR="00145401">
        <w:t xml:space="preserve"> erbjuds alltid utbildningen Ny som chef</w:t>
      </w:r>
      <w:r w:rsidRPr="00C83E9E">
        <w:t>.</w:t>
      </w:r>
      <w:r w:rsidR="001434F2">
        <w:t xml:space="preserve"> </w:t>
      </w:r>
    </w:p>
    <w:p w:rsidR="001434F2" w:rsidRPr="001434F2" w:rsidRDefault="001434F2" w:rsidP="00AD6EC4">
      <w:pPr>
        <w:spacing w:before="0"/>
        <w:ind w:firstLine="227"/>
      </w:pPr>
      <w:r w:rsidRPr="00367E4C">
        <w:t xml:space="preserve">Riksdagsförvaltningen har under 2016 haft </w:t>
      </w:r>
      <w:r w:rsidR="00B7036D" w:rsidRPr="00B7036D">
        <w:t>10</w:t>
      </w:r>
      <w:r w:rsidR="0011739A" w:rsidRPr="00B7036D">
        <w:t>4</w:t>
      </w:r>
      <w:r w:rsidRPr="00367E4C">
        <w:t xml:space="preserve"> anställningar utannonserade (45 anställningar 2015, 66 anställningar 2014). Antalet mottagna ansökningar var närmare </w:t>
      </w:r>
      <w:r w:rsidR="0011739A" w:rsidRPr="0011739A">
        <w:t>4 900</w:t>
      </w:r>
      <w:r w:rsidRPr="00367E4C">
        <w:t xml:space="preserve">, med en variation på mellan </w:t>
      </w:r>
      <w:r w:rsidR="0011739A" w:rsidRPr="0011739A">
        <w:t>4 och 278</w:t>
      </w:r>
      <w:r w:rsidRPr="00367E4C">
        <w:t xml:space="preserve"> </w:t>
      </w:r>
      <w:r w:rsidR="0011739A">
        <w:t xml:space="preserve">per anställning </w:t>
      </w:r>
      <w:r w:rsidRPr="00367E4C">
        <w:t>(2015: cirka 2 800 ansökningar, 10–180</w:t>
      </w:r>
      <w:r w:rsidR="0011739A">
        <w:t xml:space="preserve"> per anställning, 2014: cirka 4 </w:t>
      </w:r>
      <w:r w:rsidRPr="00367E4C">
        <w:t xml:space="preserve">300 ansökningar, 10–253 per anställning).  </w:t>
      </w:r>
    </w:p>
    <w:p w:rsidR="00422C6A" w:rsidRPr="0031477A" w:rsidRDefault="00422C6A" w:rsidP="002C5239">
      <w:pPr>
        <w:pStyle w:val="Rubrik4"/>
      </w:pPr>
      <w:r w:rsidRPr="0031477A">
        <w:t>Chefer – rekrytering och struktur</w:t>
      </w:r>
    </w:p>
    <w:p w:rsidR="00422C6A" w:rsidRDefault="00DF782B" w:rsidP="00422C6A">
      <w:r>
        <w:t>Under året har 8</w:t>
      </w:r>
      <w:r w:rsidR="001C1E93" w:rsidRPr="00C4680C">
        <w:t xml:space="preserve"> chefer rekr</w:t>
      </w:r>
      <w:r w:rsidR="00502C10" w:rsidRPr="00C4680C">
        <w:t>yterats –</w:t>
      </w:r>
      <w:r>
        <w:t xml:space="preserve"> 4 män och 4</w:t>
      </w:r>
      <w:r w:rsidR="00896837" w:rsidRPr="00C4680C">
        <w:t xml:space="preserve"> kvinnor</w:t>
      </w:r>
      <w:r w:rsidR="001C1E93" w:rsidRPr="00C4680C">
        <w:t xml:space="preserve">. </w:t>
      </w:r>
      <w:r w:rsidR="00422C6A" w:rsidRPr="00C4680C">
        <w:t xml:space="preserve">Könsfördelningen i </w:t>
      </w:r>
      <w:r w:rsidR="00385158" w:rsidRPr="00C4680C">
        <w:t xml:space="preserve">chefsgruppen är jämn. </w:t>
      </w:r>
      <w:r w:rsidR="00385158" w:rsidRPr="00086FE4">
        <w:t>K</w:t>
      </w:r>
      <w:r w:rsidR="00422C6A" w:rsidRPr="00086FE4">
        <w:t xml:space="preserve">vinnornas andel </w:t>
      </w:r>
      <w:r w:rsidR="001C1E93" w:rsidRPr="00086FE4">
        <w:t>är 4</w:t>
      </w:r>
      <w:r w:rsidR="00C4680C" w:rsidRPr="00086FE4">
        <w:t>5</w:t>
      </w:r>
      <w:r w:rsidR="00061343" w:rsidRPr="00086FE4">
        <w:t xml:space="preserve"> procent</w:t>
      </w:r>
      <w:r w:rsidR="00896837" w:rsidRPr="00086FE4">
        <w:t>, vilket är något lägre än 2015</w:t>
      </w:r>
      <w:r w:rsidR="00422C6A" w:rsidRPr="00086FE4">
        <w:t xml:space="preserve"> </w:t>
      </w:r>
      <w:r w:rsidR="00896837" w:rsidRPr="00086FE4">
        <w:t>(48 procent) och 2014 (46</w:t>
      </w:r>
      <w:r w:rsidR="003B7370" w:rsidRPr="00086FE4">
        <w:t xml:space="preserve"> procent</w:t>
      </w:r>
      <w:r w:rsidR="001C1E93" w:rsidRPr="00086FE4">
        <w:t>).</w:t>
      </w:r>
      <w:r w:rsidR="001C1E93">
        <w:t xml:space="preserve"> </w:t>
      </w:r>
      <w:r w:rsidR="00422C6A" w:rsidRPr="00814B01">
        <w:t xml:space="preserve">Medelåldern för cheferna i Riksdagsförvaltningen </w:t>
      </w:r>
      <w:r w:rsidR="003B7370">
        <w:t>är</w:t>
      </w:r>
      <w:r w:rsidR="00422C6A" w:rsidRPr="00814B01">
        <w:t xml:space="preserve"> 51 år, vilket är oförändrat jämfört med föregående år. </w:t>
      </w:r>
    </w:p>
    <w:p w:rsidR="00422C6A" w:rsidRDefault="00422C6A" w:rsidP="00422C6A">
      <w:pPr>
        <w:keepNext/>
        <w:keepLines/>
        <w:tabs>
          <w:tab w:val="left" w:pos="284"/>
          <w:tab w:val="left" w:pos="567"/>
          <w:tab w:val="left" w:pos="851"/>
          <w:tab w:val="left" w:pos="1134"/>
          <w:tab w:val="left" w:pos="1418"/>
        </w:tabs>
        <w:suppressAutoHyphens/>
        <w:spacing w:before="160" w:line="200" w:lineRule="exact"/>
        <w:jc w:val="left"/>
        <w:rPr>
          <w:rFonts w:eastAsiaTheme="majorEastAsia" w:cstheme="majorBidi"/>
          <w:b/>
        </w:rPr>
      </w:pPr>
      <w:r w:rsidRPr="00422C6A">
        <w:rPr>
          <w:rFonts w:eastAsiaTheme="majorEastAsia" w:cstheme="majorBidi"/>
          <w:b/>
        </w:rPr>
        <w:lastRenderedPageBreak/>
        <w:t xml:space="preserve">Tabell </w:t>
      </w:r>
      <w:r w:rsidR="00AF0EF8">
        <w:rPr>
          <w:rFonts w:eastAsiaTheme="majorEastAsia" w:cstheme="majorBidi"/>
          <w:b/>
        </w:rPr>
        <w:t>33</w:t>
      </w:r>
      <w:r w:rsidRPr="00422C6A">
        <w:rPr>
          <w:rFonts w:eastAsiaTheme="majorEastAsia" w:cstheme="majorBidi"/>
          <w:b/>
        </w:rPr>
        <w:t xml:space="preserve"> Antalet chefer fö</w:t>
      </w:r>
      <w:r w:rsidR="005B306C">
        <w:rPr>
          <w:rFonts w:eastAsiaTheme="majorEastAsia" w:cstheme="majorBidi"/>
          <w:b/>
        </w:rPr>
        <w:t>rdelade efter ålder och kön 2016</w:t>
      </w:r>
      <w:r w:rsidRPr="00422C6A">
        <w:rPr>
          <w:rFonts w:eastAsiaTheme="majorEastAsia" w:cstheme="majorBidi"/>
          <w:b/>
        </w:rPr>
        <w:t xml:space="preserve">-12-31 </w:t>
      </w:r>
    </w:p>
    <w:tbl>
      <w:tblPr>
        <w:tblStyle w:val="Tabellrutn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795"/>
        <w:gridCol w:w="625"/>
        <w:gridCol w:w="854"/>
        <w:gridCol w:w="872"/>
        <w:gridCol w:w="815"/>
        <w:gridCol w:w="688"/>
      </w:tblGrid>
      <w:tr w:rsidR="00A84CE3" w:rsidRPr="00DD4753" w:rsidTr="00097D91">
        <w:tc>
          <w:tcPr>
            <w:tcW w:w="1249" w:type="dxa"/>
            <w:tcBorders>
              <w:top w:val="single" w:sz="4" w:space="0" w:color="auto"/>
              <w:bottom w:val="single" w:sz="4" w:space="0" w:color="auto"/>
            </w:tcBorders>
          </w:tcPr>
          <w:p w:rsidR="00A84CE3" w:rsidRPr="00C95F3A" w:rsidRDefault="00A84CE3" w:rsidP="00097D91">
            <w:pPr>
              <w:pStyle w:val="Tabell-Text"/>
              <w:spacing w:before="60" w:line="200" w:lineRule="exact"/>
              <w:rPr>
                <w:b/>
              </w:rPr>
            </w:pPr>
            <w:r w:rsidRPr="00C95F3A">
              <w:rPr>
                <w:b/>
              </w:rPr>
              <w:t>Åldersintervall</w:t>
            </w:r>
          </w:p>
        </w:tc>
        <w:tc>
          <w:tcPr>
            <w:tcW w:w="79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Kvinnor</w:t>
            </w:r>
          </w:p>
        </w:tc>
        <w:tc>
          <w:tcPr>
            <w:tcW w:w="62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Män</w:t>
            </w:r>
          </w:p>
        </w:tc>
        <w:tc>
          <w:tcPr>
            <w:tcW w:w="854" w:type="dxa"/>
            <w:tcBorders>
              <w:top w:val="single" w:sz="4" w:space="0" w:color="auto"/>
              <w:bottom w:val="single" w:sz="4" w:space="0" w:color="auto"/>
            </w:tcBorders>
          </w:tcPr>
          <w:p w:rsidR="00A84CE3" w:rsidRDefault="00A84CE3" w:rsidP="00097D91">
            <w:pPr>
              <w:pStyle w:val="Tabell-Siffror"/>
              <w:spacing w:before="60" w:line="200" w:lineRule="exact"/>
              <w:rPr>
                <w:b/>
              </w:rPr>
            </w:pPr>
            <w:r w:rsidRPr="00C95F3A">
              <w:rPr>
                <w:b/>
              </w:rPr>
              <w:t>Totalt</w:t>
            </w:r>
          </w:p>
          <w:p w:rsidR="00A84CE3" w:rsidRPr="00C95F3A" w:rsidRDefault="00A84CE3" w:rsidP="00097D91">
            <w:pPr>
              <w:pStyle w:val="Tabell-Siffror"/>
              <w:spacing w:before="60" w:line="200" w:lineRule="exact"/>
              <w:rPr>
                <w:b/>
              </w:rPr>
            </w:pPr>
            <w:r>
              <w:rPr>
                <w:b/>
              </w:rPr>
              <w:t>201</w:t>
            </w:r>
            <w:r w:rsidR="005B306C">
              <w:rPr>
                <w:b/>
              </w:rPr>
              <w:t>6</w:t>
            </w:r>
          </w:p>
        </w:tc>
        <w:tc>
          <w:tcPr>
            <w:tcW w:w="872"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sidRPr="00C95F3A">
              <w:rPr>
                <w:b/>
              </w:rPr>
              <w:t>Andel av samtliga (%)</w:t>
            </w:r>
          </w:p>
        </w:tc>
        <w:tc>
          <w:tcPr>
            <w:tcW w:w="815" w:type="dxa"/>
            <w:tcBorders>
              <w:top w:val="single" w:sz="4" w:space="0" w:color="auto"/>
              <w:bottom w:val="single" w:sz="4" w:space="0" w:color="auto"/>
            </w:tcBorders>
          </w:tcPr>
          <w:p w:rsidR="00A84CE3" w:rsidRPr="00C95F3A" w:rsidRDefault="00A84CE3" w:rsidP="00097D91">
            <w:pPr>
              <w:pStyle w:val="Tabell-Siffror"/>
              <w:spacing w:before="60" w:line="200" w:lineRule="exact"/>
              <w:rPr>
                <w:b/>
              </w:rPr>
            </w:pPr>
            <w:r>
              <w:rPr>
                <w:b/>
              </w:rPr>
              <w:t>Totalt 201</w:t>
            </w:r>
            <w:r w:rsidR="005B306C">
              <w:rPr>
                <w:b/>
              </w:rPr>
              <w:t>5</w:t>
            </w:r>
          </w:p>
        </w:tc>
        <w:tc>
          <w:tcPr>
            <w:tcW w:w="688" w:type="dxa"/>
            <w:tcBorders>
              <w:top w:val="single" w:sz="4" w:space="0" w:color="auto"/>
              <w:bottom w:val="single" w:sz="4" w:space="0" w:color="auto"/>
            </w:tcBorders>
          </w:tcPr>
          <w:p w:rsidR="00A84CE3" w:rsidRPr="00C95F3A" w:rsidRDefault="00DF7638" w:rsidP="00097D91">
            <w:pPr>
              <w:pStyle w:val="Tabell-Siffror"/>
              <w:spacing w:before="60" w:line="200" w:lineRule="exact"/>
              <w:rPr>
                <w:b/>
              </w:rPr>
            </w:pPr>
            <w:r>
              <w:rPr>
                <w:b/>
              </w:rPr>
              <w:t>Totalt 201</w:t>
            </w:r>
            <w:r w:rsidR="005B306C">
              <w:rPr>
                <w:b/>
              </w:rPr>
              <w:t>4</w:t>
            </w:r>
          </w:p>
        </w:tc>
      </w:tr>
      <w:tr w:rsidR="005B306C" w:rsidRPr="00DD4753" w:rsidTr="00097D91">
        <w:tc>
          <w:tcPr>
            <w:tcW w:w="1249" w:type="dxa"/>
            <w:tcBorders>
              <w:top w:val="single" w:sz="4" w:space="0" w:color="auto"/>
            </w:tcBorders>
          </w:tcPr>
          <w:p w:rsidR="005B306C" w:rsidRPr="00DD4753" w:rsidRDefault="005B306C" w:rsidP="005B306C">
            <w:pPr>
              <w:pStyle w:val="Tabell-Text"/>
              <w:spacing w:before="60" w:line="200" w:lineRule="exact"/>
            </w:pPr>
            <w:r w:rsidRPr="00DD4753">
              <w:t>25–34 år</w:t>
            </w:r>
          </w:p>
        </w:tc>
        <w:tc>
          <w:tcPr>
            <w:tcW w:w="795" w:type="dxa"/>
            <w:tcBorders>
              <w:top w:val="single" w:sz="4" w:space="0" w:color="auto"/>
            </w:tcBorders>
          </w:tcPr>
          <w:p w:rsidR="005B306C" w:rsidRPr="0037428A" w:rsidRDefault="005B306C" w:rsidP="005B306C">
            <w:pPr>
              <w:pStyle w:val="Tabell-Siffror"/>
              <w:spacing w:before="60" w:line="200" w:lineRule="exact"/>
            </w:pPr>
            <w:r w:rsidRPr="0037428A">
              <w:t>–</w:t>
            </w:r>
          </w:p>
        </w:tc>
        <w:tc>
          <w:tcPr>
            <w:tcW w:w="625" w:type="dxa"/>
            <w:tcBorders>
              <w:top w:val="single" w:sz="4" w:space="0" w:color="auto"/>
            </w:tcBorders>
          </w:tcPr>
          <w:p w:rsidR="005B306C" w:rsidRPr="00580AE2" w:rsidRDefault="005B306C" w:rsidP="005B306C">
            <w:pPr>
              <w:pStyle w:val="Tabell-Siffror"/>
              <w:spacing w:before="60" w:line="200" w:lineRule="exact"/>
              <w:rPr>
                <w:u w:val="single"/>
              </w:rPr>
            </w:pPr>
            <w:r>
              <w:t>–</w:t>
            </w:r>
          </w:p>
        </w:tc>
        <w:tc>
          <w:tcPr>
            <w:tcW w:w="854" w:type="dxa"/>
            <w:tcBorders>
              <w:top w:val="single" w:sz="4" w:space="0" w:color="auto"/>
            </w:tcBorders>
          </w:tcPr>
          <w:p w:rsidR="005B306C" w:rsidRPr="005B306C" w:rsidRDefault="00185908" w:rsidP="005B306C">
            <w:pPr>
              <w:pStyle w:val="Tabell-Siffror"/>
              <w:spacing w:before="60" w:line="200" w:lineRule="exact"/>
            </w:pPr>
            <w:r>
              <w:t>–</w:t>
            </w:r>
          </w:p>
        </w:tc>
        <w:tc>
          <w:tcPr>
            <w:tcW w:w="872" w:type="dxa"/>
            <w:tcBorders>
              <w:top w:val="single" w:sz="4" w:space="0" w:color="auto"/>
            </w:tcBorders>
          </w:tcPr>
          <w:p w:rsidR="005B306C" w:rsidRPr="00A60780" w:rsidRDefault="005B306C" w:rsidP="005B306C">
            <w:pPr>
              <w:pStyle w:val="Tabell-Siffror"/>
              <w:spacing w:before="60" w:line="200" w:lineRule="exact"/>
            </w:pPr>
            <w:r>
              <w:t>–</w:t>
            </w:r>
          </w:p>
        </w:tc>
        <w:tc>
          <w:tcPr>
            <w:tcW w:w="815" w:type="dxa"/>
            <w:tcBorders>
              <w:top w:val="single" w:sz="4" w:space="0" w:color="auto"/>
            </w:tcBorders>
          </w:tcPr>
          <w:p w:rsidR="005B306C" w:rsidRPr="00580AE2" w:rsidRDefault="005B306C" w:rsidP="005B306C">
            <w:pPr>
              <w:pStyle w:val="Tabell-Siffror"/>
              <w:spacing w:before="60" w:line="200" w:lineRule="exact"/>
              <w:rPr>
                <w:u w:val="single"/>
              </w:rPr>
            </w:pPr>
            <w:r>
              <w:t>–</w:t>
            </w:r>
          </w:p>
        </w:tc>
        <w:tc>
          <w:tcPr>
            <w:tcW w:w="688" w:type="dxa"/>
            <w:tcBorders>
              <w:top w:val="single" w:sz="4" w:space="0" w:color="auto"/>
            </w:tcBorders>
          </w:tcPr>
          <w:p w:rsidR="005B306C" w:rsidRPr="00DD4753" w:rsidRDefault="005B306C" w:rsidP="005B306C">
            <w:pPr>
              <w:pStyle w:val="Tabell-Siffror"/>
              <w:spacing w:before="60" w:line="200" w:lineRule="exact"/>
            </w:pPr>
            <w:r>
              <w:t>1</w:t>
            </w:r>
          </w:p>
        </w:tc>
      </w:tr>
      <w:tr w:rsidR="005B306C" w:rsidRPr="00DD4753" w:rsidTr="00097D91">
        <w:tc>
          <w:tcPr>
            <w:tcW w:w="1249" w:type="dxa"/>
          </w:tcPr>
          <w:p w:rsidR="005B306C" w:rsidRPr="00DD4753" w:rsidRDefault="005B306C" w:rsidP="005B306C">
            <w:pPr>
              <w:pStyle w:val="Tabell-Text"/>
              <w:spacing w:before="60" w:line="200" w:lineRule="exact"/>
            </w:pPr>
            <w:r w:rsidRPr="00DD4753">
              <w:t>35–44 år</w:t>
            </w:r>
          </w:p>
        </w:tc>
        <w:tc>
          <w:tcPr>
            <w:tcW w:w="795" w:type="dxa"/>
          </w:tcPr>
          <w:p w:rsidR="005B306C" w:rsidRPr="0037428A" w:rsidRDefault="00CC7CF6" w:rsidP="005B306C">
            <w:pPr>
              <w:pStyle w:val="Tabell-Siffror"/>
              <w:spacing w:before="60" w:line="200" w:lineRule="exact"/>
            </w:pPr>
            <w:r>
              <w:t>8</w:t>
            </w:r>
          </w:p>
        </w:tc>
        <w:tc>
          <w:tcPr>
            <w:tcW w:w="625" w:type="dxa"/>
          </w:tcPr>
          <w:p w:rsidR="005B306C" w:rsidRPr="00D92E6E" w:rsidRDefault="00DC2E21" w:rsidP="005B306C">
            <w:pPr>
              <w:pStyle w:val="Tabell-Siffror"/>
              <w:spacing w:before="60" w:line="200" w:lineRule="exact"/>
            </w:pPr>
            <w:r>
              <w:t>5</w:t>
            </w:r>
          </w:p>
        </w:tc>
        <w:tc>
          <w:tcPr>
            <w:tcW w:w="854" w:type="dxa"/>
          </w:tcPr>
          <w:p w:rsidR="005B306C" w:rsidRPr="00BA0165" w:rsidRDefault="004910F1" w:rsidP="005B306C">
            <w:pPr>
              <w:pStyle w:val="Tabell-Siffror"/>
              <w:spacing w:before="60" w:line="200" w:lineRule="exact"/>
            </w:pPr>
            <w:r>
              <w:t>13</w:t>
            </w:r>
          </w:p>
        </w:tc>
        <w:tc>
          <w:tcPr>
            <w:tcW w:w="872" w:type="dxa"/>
          </w:tcPr>
          <w:p w:rsidR="005B306C" w:rsidRPr="00A60780" w:rsidRDefault="004910F1" w:rsidP="005B306C">
            <w:pPr>
              <w:pStyle w:val="Tabell-Siffror"/>
              <w:spacing w:before="60" w:line="200" w:lineRule="exact"/>
            </w:pPr>
            <w:r>
              <w:t>20</w:t>
            </w:r>
          </w:p>
        </w:tc>
        <w:tc>
          <w:tcPr>
            <w:tcW w:w="815" w:type="dxa"/>
          </w:tcPr>
          <w:p w:rsidR="005B306C" w:rsidRPr="00BA0165" w:rsidRDefault="005B306C" w:rsidP="005B306C">
            <w:pPr>
              <w:pStyle w:val="Tabell-Siffror"/>
              <w:spacing w:before="60" w:line="200" w:lineRule="exact"/>
            </w:pPr>
            <w:r w:rsidRPr="00BA0165">
              <w:t>1</w:t>
            </w:r>
            <w:r>
              <w:t>3</w:t>
            </w:r>
          </w:p>
        </w:tc>
        <w:tc>
          <w:tcPr>
            <w:tcW w:w="688" w:type="dxa"/>
          </w:tcPr>
          <w:p w:rsidR="005B306C" w:rsidRPr="00DD4753" w:rsidRDefault="005B306C" w:rsidP="005B306C">
            <w:pPr>
              <w:pStyle w:val="Tabell-Siffror"/>
              <w:spacing w:before="60" w:line="200" w:lineRule="exact"/>
            </w:pPr>
            <w:r>
              <w:t>13</w:t>
            </w:r>
          </w:p>
        </w:tc>
      </w:tr>
      <w:tr w:rsidR="005B306C" w:rsidRPr="00DD4753" w:rsidTr="00097D91">
        <w:tc>
          <w:tcPr>
            <w:tcW w:w="1249" w:type="dxa"/>
          </w:tcPr>
          <w:p w:rsidR="005B306C" w:rsidRPr="00DD4753" w:rsidRDefault="005B306C" w:rsidP="005B306C">
            <w:pPr>
              <w:pStyle w:val="Tabell-Text"/>
              <w:spacing w:before="60" w:line="200" w:lineRule="exact"/>
            </w:pPr>
            <w:r w:rsidRPr="00DD4753">
              <w:t>45–54 år</w:t>
            </w:r>
          </w:p>
        </w:tc>
        <w:tc>
          <w:tcPr>
            <w:tcW w:w="795" w:type="dxa"/>
          </w:tcPr>
          <w:p w:rsidR="005B306C" w:rsidRPr="0037428A" w:rsidRDefault="00CC7CF6" w:rsidP="005B306C">
            <w:pPr>
              <w:pStyle w:val="Tabell-Siffror"/>
              <w:spacing w:before="60" w:line="200" w:lineRule="exact"/>
            </w:pPr>
            <w:r>
              <w:t>12</w:t>
            </w:r>
          </w:p>
        </w:tc>
        <w:tc>
          <w:tcPr>
            <w:tcW w:w="625" w:type="dxa"/>
          </w:tcPr>
          <w:p w:rsidR="005B306C" w:rsidRPr="00D92E6E" w:rsidRDefault="00DC2E21" w:rsidP="005B306C">
            <w:pPr>
              <w:pStyle w:val="Tabell-Siffror"/>
              <w:spacing w:before="60" w:line="200" w:lineRule="exact"/>
            </w:pPr>
            <w:r>
              <w:t>19</w:t>
            </w:r>
          </w:p>
        </w:tc>
        <w:tc>
          <w:tcPr>
            <w:tcW w:w="854" w:type="dxa"/>
          </w:tcPr>
          <w:p w:rsidR="005B306C" w:rsidRPr="00BA0165" w:rsidRDefault="004910F1" w:rsidP="005B306C">
            <w:pPr>
              <w:pStyle w:val="Tabell-Siffror"/>
              <w:spacing w:before="60" w:line="200" w:lineRule="exact"/>
            </w:pPr>
            <w:r>
              <w:t>31</w:t>
            </w:r>
          </w:p>
        </w:tc>
        <w:tc>
          <w:tcPr>
            <w:tcW w:w="872" w:type="dxa"/>
          </w:tcPr>
          <w:p w:rsidR="005B306C" w:rsidRPr="00A60780" w:rsidRDefault="004910F1" w:rsidP="005B306C">
            <w:pPr>
              <w:pStyle w:val="Tabell-Siffror"/>
              <w:spacing w:before="60" w:line="200" w:lineRule="exact"/>
            </w:pPr>
            <w:r>
              <w:t>48</w:t>
            </w:r>
          </w:p>
        </w:tc>
        <w:tc>
          <w:tcPr>
            <w:tcW w:w="815" w:type="dxa"/>
          </w:tcPr>
          <w:p w:rsidR="005B306C" w:rsidRPr="00BA0165" w:rsidRDefault="005B306C" w:rsidP="005B306C">
            <w:pPr>
              <w:pStyle w:val="Tabell-Siffror"/>
              <w:spacing w:before="60" w:line="200" w:lineRule="exact"/>
            </w:pPr>
            <w:r w:rsidRPr="00BA0165">
              <w:t>3</w:t>
            </w:r>
            <w:r>
              <w:t>2</w:t>
            </w:r>
          </w:p>
        </w:tc>
        <w:tc>
          <w:tcPr>
            <w:tcW w:w="688" w:type="dxa"/>
          </w:tcPr>
          <w:p w:rsidR="005B306C" w:rsidRPr="00DD4753" w:rsidRDefault="005B306C" w:rsidP="005B306C">
            <w:pPr>
              <w:pStyle w:val="Tabell-Siffror"/>
              <w:spacing w:before="60" w:line="200" w:lineRule="exact"/>
            </w:pPr>
            <w:r>
              <w:t>33</w:t>
            </w:r>
          </w:p>
        </w:tc>
      </w:tr>
      <w:tr w:rsidR="005B306C" w:rsidRPr="00DD4753" w:rsidTr="00097D91">
        <w:tc>
          <w:tcPr>
            <w:tcW w:w="1249" w:type="dxa"/>
          </w:tcPr>
          <w:p w:rsidR="005B306C" w:rsidRPr="00DD4753" w:rsidRDefault="005B306C" w:rsidP="005B306C">
            <w:pPr>
              <w:pStyle w:val="Tabell-Text"/>
              <w:spacing w:before="60" w:line="200" w:lineRule="exact"/>
            </w:pPr>
            <w:r w:rsidRPr="00DD4753">
              <w:t>55–59 år</w:t>
            </w:r>
          </w:p>
        </w:tc>
        <w:tc>
          <w:tcPr>
            <w:tcW w:w="795" w:type="dxa"/>
          </w:tcPr>
          <w:p w:rsidR="005B306C" w:rsidRPr="0037428A" w:rsidRDefault="00CC7CF6" w:rsidP="005B306C">
            <w:pPr>
              <w:pStyle w:val="Tabell-Siffror"/>
              <w:spacing w:before="60" w:line="200" w:lineRule="exact"/>
            </w:pPr>
            <w:r>
              <w:t>6</w:t>
            </w:r>
          </w:p>
        </w:tc>
        <w:tc>
          <w:tcPr>
            <w:tcW w:w="625" w:type="dxa"/>
          </w:tcPr>
          <w:p w:rsidR="005B306C" w:rsidRPr="00D92E6E" w:rsidRDefault="00DC2E21" w:rsidP="005B306C">
            <w:pPr>
              <w:pStyle w:val="Tabell-Siffror"/>
              <w:spacing w:before="60" w:line="200" w:lineRule="exact"/>
            </w:pPr>
            <w:r>
              <w:t>7</w:t>
            </w:r>
          </w:p>
        </w:tc>
        <w:tc>
          <w:tcPr>
            <w:tcW w:w="854" w:type="dxa"/>
          </w:tcPr>
          <w:p w:rsidR="005B306C" w:rsidRPr="00BA0165" w:rsidRDefault="004910F1" w:rsidP="005B306C">
            <w:pPr>
              <w:pStyle w:val="Tabell-Siffror"/>
              <w:spacing w:before="60" w:line="200" w:lineRule="exact"/>
            </w:pPr>
            <w:r>
              <w:t>13</w:t>
            </w:r>
          </w:p>
        </w:tc>
        <w:tc>
          <w:tcPr>
            <w:tcW w:w="872" w:type="dxa"/>
          </w:tcPr>
          <w:p w:rsidR="005B306C" w:rsidRPr="00A60780" w:rsidRDefault="004910F1" w:rsidP="005B306C">
            <w:pPr>
              <w:pStyle w:val="Tabell-Siffror"/>
              <w:spacing w:before="60" w:line="200" w:lineRule="exact"/>
            </w:pPr>
            <w:r>
              <w:t>20</w:t>
            </w:r>
          </w:p>
        </w:tc>
        <w:tc>
          <w:tcPr>
            <w:tcW w:w="815" w:type="dxa"/>
          </w:tcPr>
          <w:p w:rsidR="005B306C" w:rsidRPr="00BA0165" w:rsidRDefault="005B306C" w:rsidP="005B306C">
            <w:pPr>
              <w:pStyle w:val="Tabell-Siffror"/>
              <w:spacing w:before="60" w:line="200" w:lineRule="exact"/>
            </w:pPr>
            <w:r w:rsidRPr="00BA0165">
              <w:t>14</w:t>
            </w:r>
          </w:p>
        </w:tc>
        <w:tc>
          <w:tcPr>
            <w:tcW w:w="688" w:type="dxa"/>
          </w:tcPr>
          <w:p w:rsidR="005B306C" w:rsidRPr="00DD4753" w:rsidRDefault="005B306C" w:rsidP="005B306C">
            <w:pPr>
              <w:pStyle w:val="Tabell-Siffror"/>
              <w:spacing w:before="60" w:line="200" w:lineRule="exact"/>
            </w:pPr>
            <w:r>
              <w:t>13</w:t>
            </w:r>
          </w:p>
        </w:tc>
      </w:tr>
      <w:tr w:rsidR="005B306C" w:rsidRPr="00DD4753" w:rsidTr="00097D91">
        <w:tc>
          <w:tcPr>
            <w:tcW w:w="1249" w:type="dxa"/>
            <w:tcBorders>
              <w:bottom w:val="single" w:sz="4" w:space="0" w:color="auto"/>
            </w:tcBorders>
          </w:tcPr>
          <w:p w:rsidR="005B306C" w:rsidRPr="00DD4753" w:rsidRDefault="005B306C" w:rsidP="005B306C">
            <w:pPr>
              <w:pStyle w:val="Tabell-Text"/>
              <w:spacing w:before="60" w:line="200" w:lineRule="exact"/>
            </w:pPr>
            <w:r w:rsidRPr="00DD4753">
              <w:t>&gt;59 år</w:t>
            </w:r>
          </w:p>
        </w:tc>
        <w:tc>
          <w:tcPr>
            <w:tcW w:w="795" w:type="dxa"/>
            <w:tcBorders>
              <w:bottom w:val="single" w:sz="4" w:space="0" w:color="auto"/>
            </w:tcBorders>
          </w:tcPr>
          <w:p w:rsidR="005B306C" w:rsidRPr="0037428A" w:rsidRDefault="00CC7CF6" w:rsidP="005B306C">
            <w:pPr>
              <w:pStyle w:val="Tabell-Siffror"/>
              <w:spacing w:before="60" w:line="200" w:lineRule="exact"/>
            </w:pPr>
            <w:r>
              <w:t>3</w:t>
            </w:r>
          </w:p>
        </w:tc>
        <w:tc>
          <w:tcPr>
            <w:tcW w:w="625" w:type="dxa"/>
            <w:tcBorders>
              <w:bottom w:val="single" w:sz="4" w:space="0" w:color="auto"/>
            </w:tcBorders>
          </w:tcPr>
          <w:p w:rsidR="005B306C" w:rsidRPr="00D92E6E" w:rsidRDefault="00DC2E21" w:rsidP="005B306C">
            <w:pPr>
              <w:pStyle w:val="Tabell-Siffror"/>
              <w:spacing w:before="60" w:line="200" w:lineRule="exact"/>
            </w:pPr>
            <w:r>
              <w:t>5</w:t>
            </w:r>
          </w:p>
        </w:tc>
        <w:tc>
          <w:tcPr>
            <w:tcW w:w="854" w:type="dxa"/>
            <w:tcBorders>
              <w:bottom w:val="single" w:sz="4" w:space="0" w:color="auto"/>
            </w:tcBorders>
          </w:tcPr>
          <w:p w:rsidR="005B306C" w:rsidRPr="00BA0165" w:rsidRDefault="001E634E" w:rsidP="005B306C">
            <w:pPr>
              <w:pStyle w:val="Tabell-Siffror"/>
              <w:spacing w:before="60" w:line="200" w:lineRule="exact"/>
            </w:pPr>
            <w:r>
              <w:t>8</w:t>
            </w:r>
          </w:p>
        </w:tc>
        <w:tc>
          <w:tcPr>
            <w:tcW w:w="872" w:type="dxa"/>
            <w:tcBorders>
              <w:bottom w:val="single" w:sz="4" w:space="0" w:color="auto"/>
            </w:tcBorders>
          </w:tcPr>
          <w:p w:rsidR="005B306C" w:rsidRPr="00A60780" w:rsidRDefault="004910F1" w:rsidP="005B306C">
            <w:pPr>
              <w:pStyle w:val="Tabell-Siffror"/>
              <w:spacing w:before="60" w:line="200" w:lineRule="exact"/>
            </w:pPr>
            <w:r>
              <w:t>12</w:t>
            </w:r>
          </w:p>
        </w:tc>
        <w:tc>
          <w:tcPr>
            <w:tcW w:w="815" w:type="dxa"/>
            <w:tcBorders>
              <w:bottom w:val="single" w:sz="4" w:space="0" w:color="auto"/>
            </w:tcBorders>
          </w:tcPr>
          <w:p w:rsidR="005B306C" w:rsidRPr="00BA0165" w:rsidRDefault="005B306C" w:rsidP="005B306C">
            <w:pPr>
              <w:pStyle w:val="Tabell-Siffror"/>
              <w:spacing w:before="60" w:line="200" w:lineRule="exact"/>
            </w:pPr>
            <w:r w:rsidRPr="00BA0165">
              <w:t>6</w:t>
            </w:r>
          </w:p>
        </w:tc>
        <w:tc>
          <w:tcPr>
            <w:tcW w:w="688" w:type="dxa"/>
            <w:tcBorders>
              <w:bottom w:val="single" w:sz="4" w:space="0" w:color="auto"/>
            </w:tcBorders>
          </w:tcPr>
          <w:p w:rsidR="005B306C" w:rsidRPr="00DD4753" w:rsidRDefault="005B306C" w:rsidP="005B306C">
            <w:pPr>
              <w:pStyle w:val="Tabell-Siffror"/>
              <w:spacing w:before="60" w:line="200" w:lineRule="exact"/>
            </w:pPr>
            <w:r>
              <w:t>5</w:t>
            </w:r>
          </w:p>
        </w:tc>
      </w:tr>
      <w:tr w:rsidR="005B306C" w:rsidRPr="00DD4753" w:rsidTr="00097D91">
        <w:tc>
          <w:tcPr>
            <w:tcW w:w="1249" w:type="dxa"/>
            <w:tcBorders>
              <w:top w:val="single" w:sz="4" w:space="0" w:color="auto"/>
              <w:bottom w:val="single" w:sz="4" w:space="0" w:color="auto"/>
            </w:tcBorders>
          </w:tcPr>
          <w:p w:rsidR="005B306C" w:rsidRPr="00DD4753" w:rsidRDefault="005B306C" w:rsidP="005B306C">
            <w:pPr>
              <w:pStyle w:val="Tabell-Text"/>
              <w:spacing w:before="60" w:line="200" w:lineRule="exact"/>
              <w:rPr>
                <w:b/>
              </w:rPr>
            </w:pPr>
            <w:r w:rsidRPr="00DD4753">
              <w:rPr>
                <w:b/>
              </w:rPr>
              <w:t>Totalt</w:t>
            </w:r>
          </w:p>
        </w:tc>
        <w:tc>
          <w:tcPr>
            <w:tcW w:w="795" w:type="dxa"/>
            <w:tcBorders>
              <w:top w:val="single" w:sz="4" w:space="0" w:color="auto"/>
              <w:bottom w:val="single" w:sz="4" w:space="0" w:color="auto"/>
            </w:tcBorders>
          </w:tcPr>
          <w:p w:rsidR="005B306C" w:rsidRPr="0037428A" w:rsidRDefault="00CC7CF6" w:rsidP="005B306C">
            <w:pPr>
              <w:pStyle w:val="Tabell-Siffror"/>
              <w:spacing w:before="60" w:line="200" w:lineRule="exact"/>
              <w:rPr>
                <w:b/>
              </w:rPr>
            </w:pPr>
            <w:r>
              <w:rPr>
                <w:b/>
              </w:rPr>
              <w:t>29</w:t>
            </w:r>
          </w:p>
        </w:tc>
        <w:tc>
          <w:tcPr>
            <w:tcW w:w="625" w:type="dxa"/>
            <w:tcBorders>
              <w:top w:val="single" w:sz="4" w:space="0" w:color="auto"/>
              <w:bottom w:val="single" w:sz="4" w:space="0" w:color="auto"/>
            </w:tcBorders>
          </w:tcPr>
          <w:p w:rsidR="005B306C" w:rsidRPr="00D92E6E" w:rsidRDefault="00DC2E21" w:rsidP="005B306C">
            <w:pPr>
              <w:pStyle w:val="Tabell-Siffror"/>
              <w:spacing w:before="60" w:line="200" w:lineRule="exact"/>
              <w:rPr>
                <w:b/>
              </w:rPr>
            </w:pPr>
            <w:r>
              <w:rPr>
                <w:b/>
              </w:rPr>
              <w:t>36</w:t>
            </w:r>
          </w:p>
        </w:tc>
        <w:tc>
          <w:tcPr>
            <w:tcW w:w="854" w:type="dxa"/>
            <w:tcBorders>
              <w:top w:val="single" w:sz="4" w:space="0" w:color="auto"/>
              <w:bottom w:val="single" w:sz="4" w:space="0" w:color="auto"/>
            </w:tcBorders>
          </w:tcPr>
          <w:p w:rsidR="005B306C" w:rsidRPr="00BA0165" w:rsidRDefault="004910F1" w:rsidP="005B306C">
            <w:pPr>
              <w:pStyle w:val="Tabell-Siffror"/>
              <w:spacing w:before="60" w:line="200" w:lineRule="exact"/>
              <w:rPr>
                <w:b/>
              </w:rPr>
            </w:pPr>
            <w:r>
              <w:rPr>
                <w:b/>
              </w:rPr>
              <w:t>65</w:t>
            </w:r>
          </w:p>
        </w:tc>
        <w:tc>
          <w:tcPr>
            <w:tcW w:w="872" w:type="dxa"/>
            <w:tcBorders>
              <w:top w:val="single" w:sz="4" w:space="0" w:color="auto"/>
              <w:bottom w:val="single" w:sz="4" w:space="0" w:color="auto"/>
            </w:tcBorders>
          </w:tcPr>
          <w:p w:rsidR="005B306C" w:rsidRPr="00A60780" w:rsidRDefault="005B306C" w:rsidP="005B306C">
            <w:pPr>
              <w:pStyle w:val="Tabell-Siffror"/>
              <w:spacing w:before="60" w:line="200" w:lineRule="exact"/>
              <w:rPr>
                <w:b/>
              </w:rPr>
            </w:pPr>
            <w:r w:rsidRPr="00754CBC">
              <w:rPr>
                <w:b/>
              </w:rPr>
              <w:t>100</w:t>
            </w:r>
          </w:p>
        </w:tc>
        <w:tc>
          <w:tcPr>
            <w:tcW w:w="815" w:type="dxa"/>
            <w:tcBorders>
              <w:top w:val="single" w:sz="4" w:space="0" w:color="auto"/>
              <w:bottom w:val="single" w:sz="4" w:space="0" w:color="auto"/>
            </w:tcBorders>
          </w:tcPr>
          <w:p w:rsidR="005B306C" w:rsidRPr="00BA0165" w:rsidRDefault="005B306C" w:rsidP="005B306C">
            <w:pPr>
              <w:pStyle w:val="Tabell-Siffror"/>
              <w:spacing w:before="60" w:line="200" w:lineRule="exact"/>
              <w:rPr>
                <w:b/>
              </w:rPr>
            </w:pPr>
            <w:r w:rsidRPr="00BA0165">
              <w:rPr>
                <w:b/>
              </w:rPr>
              <w:t>6</w:t>
            </w:r>
            <w:r>
              <w:rPr>
                <w:b/>
              </w:rPr>
              <w:t>5</w:t>
            </w:r>
          </w:p>
        </w:tc>
        <w:tc>
          <w:tcPr>
            <w:tcW w:w="688" w:type="dxa"/>
            <w:tcBorders>
              <w:top w:val="single" w:sz="4" w:space="0" w:color="auto"/>
              <w:bottom w:val="single" w:sz="4" w:space="0" w:color="auto"/>
            </w:tcBorders>
          </w:tcPr>
          <w:p w:rsidR="005B306C" w:rsidRPr="00DD4753" w:rsidRDefault="005B306C" w:rsidP="005B306C">
            <w:pPr>
              <w:pStyle w:val="Tabell-Siffror"/>
              <w:spacing w:before="60" w:line="200" w:lineRule="exact"/>
              <w:rPr>
                <w:b/>
              </w:rPr>
            </w:pPr>
            <w:r>
              <w:rPr>
                <w:b/>
              </w:rPr>
              <w:t>65</w:t>
            </w:r>
          </w:p>
        </w:tc>
      </w:tr>
    </w:tbl>
    <w:p w:rsidR="0031477A" w:rsidRDefault="000C2BF1" w:rsidP="0031477A">
      <w:pPr>
        <w:pStyle w:val="Rubrik4"/>
      </w:pPr>
      <w:r w:rsidRPr="00BB1A92">
        <w:t>Förvaltningen som a</w:t>
      </w:r>
      <w:r w:rsidR="0031477A" w:rsidRPr="00BB1A92">
        <w:t>ttraktiv arbetsgivare</w:t>
      </w:r>
    </w:p>
    <w:p w:rsidR="0031477A" w:rsidRDefault="0031477A" w:rsidP="00DC6966">
      <w:pPr>
        <w:pStyle w:val="Rubrik4"/>
        <w:spacing w:before="62"/>
      </w:pPr>
      <w:r>
        <w:rPr>
          <w:rFonts w:eastAsiaTheme="minorHAnsi" w:cs="Times New Roman"/>
          <w:bCs w:val="0"/>
          <w:i w:val="0"/>
          <w:iCs w:val="0"/>
          <w:color w:val="auto"/>
          <w:sz w:val="19"/>
        </w:rPr>
        <w:t>Förvaltningen har</w:t>
      </w:r>
      <w:r w:rsidRPr="0031477A">
        <w:rPr>
          <w:rFonts w:eastAsiaTheme="minorHAnsi" w:cs="Times New Roman"/>
          <w:bCs w:val="0"/>
          <w:i w:val="0"/>
          <w:iCs w:val="0"/>
          <w:color w:val="auto"/>
          <w:sz w:val="19"/>
        </w:rPr>
        <w:t xml:space="preserve"> tagit fram en handlingsplan för </w:t>
      </w:r>
      <w:r>
        <w:rPr>
          <w:rFonts w:eastAsiaTheme="minorHAnsi" w:cs="Times New Roman"/>
          <w:bCs w:val="0"/>
          <w:i w:val="0"/>
          <w:iCs w:val="0"/>
          <w:color w:val="auto"/>
          <w:sz w:val="19"/>
        </w:rPr>
        <w:t>att synliggöra Riksdagsförvaltningen som</w:t>
      </w:r>
      <w:r w:rsidRPr="0031477A">
        <w:rPr>
          <w:rFonts w:eastAsiaTheme="minorHAnsi" w:cs="Times New Roman"/>
          <w:bCs w:val="0"/>
          <w:i w:val="0"/>
          <w:iCs w:val="0"/>
          <w:color w:val="auto"/>
          <w:sz w:val="19"/>
        </w:rPr>
        <w:t xml:space="preserve"> attr</w:t>
      </w:r>
      <w:r w:rsidR="004A0600">
        <w:rPr>
          <w:rFonts w:eastAsiaTheme="minorHAnsi" w:cs="Times New Roman"/>
          <w:bCs w:val="0"/>
          <w:i w:val="0"/>
          <w:iCs w:val="0"/>
          <w:color w:val="auto"/>
          <w:sz w:val="19"/>
        </w:rPr>
        <w:t>aktiv arbetsgivare. Som ett led i</w:t>
      </w:r>
      <w:r w:rsidRPr="0031477A">
        <w:rPr>
          <w:rFonts w:eastAsiaTheme="minorHAnsi" w:cs="Times New Roman"/>
          <w:bCs w:val="0"/>
          <w:i w:val="0"/>
          <w:iCs w:val="0"/>
          <w:color w:val="auto"/>
          <w:sz w:val="19"/>
        </w:rPr>
        <w:t xml:space="preserve"> detta arbete deltog förvaltningen i vårens Framtidsmässa</w:t>
      </w:r>
      <w:r w:rsidR="000C2BF1">
        <w:rPr>
          <w:rFonts w:eastAsiaTheme="minorHAnsi" w:cs="Times New Roman"/>
          <w:bCs w:val="0"/>
          <w:i w:val="0"/>
          <w:iCs w:val="0"/>
          <w:color w:val="auto"/>
          <w:sz w:val="19"/>
        </w:rPr>
        <w:t xml:space="preserve"> i Stockholm</w:t>
      </w:r>
      <w:r w:rsidRPr="0031477A">
        <w:rPr>
          <w:rFonts w:eastAsiaTheme="minorHAnsi" w:cs="Times New Roman"/>
          <w:bCs w:val="0"/>
          <w:i w:val="0"/>
          <w:iCs w:val="0"/>
          <w:color w:val="auto"/>
          <w:sz w:val="19"/>
        </w:rPr>
        <w:t xml:space="preserve"> med inriktning mot offentlig verksamhet. Erfarenheterna från mässan var </w:t>
      </w:r>
      <w:r w:rsidRPr="00BB1A92">
        <w:rPr>
          <w:rFonts w:eastAsiaTheme="minorHAnsi" w:cs="Times New Roman"/>
          <w:bCs w:val="0"/>
          <w:i w:val="0"/>
          <w:iCs w:val="0"/>
          <w:color w:val="auto"/>
          <w:sz w:val="19"/>
        </w:rPr>
        <w:t>positiva</w:t>
      </w:r>
      <w:r w:rsidRPr="0031477A">
        <w:rPr>
          <w:rFonts w:eastAsiaTheme="minorHAnsi" w:cs="Times New Roman"/>
          <w:bCs w:val="0"/>
          <w:i w:val="0"/>
          <w:iCs w:val="0"/>
          <w:color w:val="auto"/>
          <w:sz w:val="19"/>
        </w:rPr>
        <w:t xml:space="preserve"> och en fortsättning </w:t>
      </w:r>
      <w:r w:rsidR="00C36246" w:rsidRPr="0031477A">
        <w:rPr>
          <w:rFonts w:eastAsiaTheme="minorHAnsi" w:cs="Times New Roman"/>
          <w:bCs w:val="0"/>
          <w:i w:val="0"/>
          <w:iCs w:val="0"/>
          <w:color w:val="auto"/>
          <w:sz w:val="19"/>
        </w:rPr>
        <w:t xml:space="preserve">planeras </w:t>
      </w:r>
      <w:r w:rsidRPr="0031477A">
        <w:rPr>
          <w:rFonts w:eastAsiaTheme="minorHAnsi" w:cs="Times New Roman"/>
          <w:bCs w:val="0"/>
          <w:i w:val="0"/>
          <w:iCs w:val="0"/>
          <w:color w:val="auto"/>
          <w:sz w:val="19"/>
        </w:rPr>
        <w:t xml:space="preserve">2017. Vidare har en analys </w:t>
      </w:r>
      <w:r w:rsidR="000C2BF1">
        <w:rPr>
          <w:rFonts w:eastAsiaTheme="minorHAnsi" w:cs="Times New Roman"/>
          <w:bCs w:val="0"/>
          <w:i w:val="0"/>
          <w:iCs w:val="0"/>
          <w:color w:val="auto"/>
          <w:sz w:val="19"/>
        </w:rPr>
        <w:t xml:space="preserve">genomförts </w:t>
      </w:r>
      <w:r w:rsidRPr="0031477A">
        <w:rPr>
          <w:rFonts w:eastAsiaTheme="minorHAnsi" w:cs="Times New Roman"/>
          <w:bCs w:val="0"/>
          <w:i w:val="0"/>
          <w:iCs w:val="0"/>
          <w:color w:val="auto"/>
          <w:sz w:val="19"/>
        </w:rPr>
        <w:t>av vilka styrkor och utmani</w:t>
      </w:r>
      <w:r w:rsidR="0081335E">
        <w:rPr>
          <w:rFonts w:eastAsiaTheme="minorHAnsi" w:cs="Times New Roman"/>
          <w:bCs w:val="0"/>
          <w:i w:val="0"/>
          <w:iCs w:val="0"/>
          <w:color w:val="auto"/>
          <w:sz w:val="19"/>
        </w:rPr>
        <w:t xml:space="preserve">ngar Riksdagsförvaltningen har </w:t>
      </w:r>
      <w:r w:rsidR="000C2BF1" w:rsidRPr="00BB1A92">
        <w:rPr>
          <w:rFonts w:eastAsiaTheme="minorHAnsi" w:cs="Times New Roman"/>
          <w:bCs w:val="0"/>
          <w:i w:val="0"/>
          <w:iCs w:val="0"/>
          <w:color w:val="auto"/>
          <w:sz w:val="19"/>
        </w:rPr>
        <w:t>som arbetsgivare</w:t>
      </w:r>
      <w:r w:rsidRPr="0031477A">
        <w:rPr>
          <w:rFonts w:eastAsiaTheme="minorHAnsi" w:cs="Times New Roman"/>
          <w:bCs w:val="0"/>
          <w:i w:val="0"/>
          <w:iCs w:val="0"/>
          <w:color w:val="auto"/>
          <w:sz w:val="19"/>
        </w:rPr>
        <w:t xml:space="preserve">. </w:t>
      </w:r>
      <w:r w:rsidR="000C2BF1">
        <w:rPr>
          <w:rFonts w:eastAsiaTheme="minorHAnsi" w:cs="Times New Roman"/>
          <w:bCs w:val="0"/>
          <w:i w:val="0"/>
          <w:iCs w:val="0"/>
          <w:color w:val="auto"/>
          <w:sz w:val="19"/>
        </w:rPr>
        <w:t xml:space="preserve">En studie </w:t>
      </w:r>
      <w:r w:rsidRPr="0031477A">
        <w:rPr>
          <w:rFonts w:eastAsiaTheme="minorHAnsi" w:cs="Times New Roman"/>
          <w:bCs w:val="0"/>
          <w:i w:val="0"/>
          <w:iCs w:val="0"/>
          <w:color w:val="auto"/>
          <w:sz w:val="19"/>
        </w:rPr>
        <w:t xml:space="preserve">planeras för att klargöra i vilka kanaler och på vilket sätt styrkorna ska kommuniceras. Förvaltningen arbetar </w:t>
      </w:r>
      <w:r w:rsidR="000C2BF1">
        <w:rPr>
          <w:rFonts w:eastAsiaTheme="minorHAnsi" w:cs="Times New Roman"/>
          <w:bCs w:val="0"/>
          <w:i w:val="0"/>
          <w:iCs w:val="0"/>
          <w:color w:val="auto"/>
          <w:sz w:val="19"/>
        </w:rPr>
        <w:t>även</w:t>
      </w:r>
      <w:r w:rsidRPr="0031477A">
        <w:rPr>
          <w:rFonts w:eastAsiaTheme="minorHAnsi" w:cs="Times New Roman"/>
          <w:bCs w:val="0"/>
          <w:i w:val="0"/>
          <w:iCs w:val="0"/>
          <w:color w:val="auto"/>
          <w:sz w:val="19"/>
        </w:rPr>
        <w:t xml:space="preserve"> vidare med </w:t>
      </w:r>
      <w:r w:rsidR="00F5459B">
        <w:rPr>
          <w:rFonts w:eastAsiaTheme="minorHAnsi" w:cs="Times New Roman"/>
          <w:bCs w:val="0"/>
          <w:i w:val="0"/>
          <w:iCs w:val="0"/>
          <w:color w:val="auto"/>
          <w:sz w:val="19"/>
        </w:rPr>
        <w:t>frågorna</w:t>
      </w:r>
      <w:r w:rsidRPr="0031477A">
        <w:rPr>
          <w:rFonts w:eastAsiaTheme="minorHAnsi" w:cs="Times New Roman"/>
          <w:bCs w:val="0"/>
          <w:i w:val="0"/>
          <w:iCs w:val="0"/>
          <w:color w:val="auto"/>
          <w:sz w:val="19"/>
        </w:rPr>
        <w:t xml:space="preserve"> inom ramen för bland annat </w:t>
      </w:r>
      <w:r w:rsidR="0081335E">
        <w:rPr>
          <w:rFonts w:eastAsiaTheme="minorHAnsi" w:cs="Times New Roman"/>
          <w:bCs w:val="0"/>
          <w:i w:val="0"/>
          <w:iCs w:val="0"/>
          <w:color w:val="auto"/>
          <w:sz w:val="19"/>
        </w:rPr>
        <w:t>förvaltningens utvecklingsarbete där ledarskap och medarbetarskap är viktiga delar.</w:t>
      </w:r>
    </w:p>
    <w:p w:rsidR="00422C6A" w:rsidRPr="002D76B4" w:rsidRDefault="00422C6A" w:rsidP="002C5239">
      <w:pPr>
        <w:pStyle w:val="Rubrik4"/>
      </w:pPr>
      <w:r w:rsidRPr="002D76B4">
        <w:t>Avtal och förhandlingar</w:t>
      </w:r>
    </w:p>
    <w:p w:rsidR="00921E9B" w:rsidRDefault="00786EB1" w:rsidP="00786EB1">
      <w:pPr>
        <w:rPr>
          <w:u w:val="single"/>
        </w:rPr>
      </w:pPr>
      <w:r w:rsidRPr="00786EB1">
        <w:t>Arbetsgivaren och de lokala arbetstagarorganisationerna Saco, ST och Seko har enats om ett lokalt samverkansavtal för Riksdagsförvaltningen som träder i kraft den 1 januari 2017. Syftet med avtalet är att det dels ska ge parterna förutsättningar för en mer utvecklad samverkan med dialog och delaktighet i fokus, dels ska fungera som ett forum för direktinflytande mellan medarbetare och chefer</w:t>
      </w:r>
      <w:r w:rsidRPr="00ED124C">
        <w:t>. Medarbetarna ska få möjlighet till ökad delaktighet och engagemang i arbetet</w:t>
      </w:r>
      <w:r w:rsidR="009B3F4E">
        <w:t>,</w:t>
      </w:r>
      <w:r w:rsidRPr="00ED124C">
        <w:t xml:space="preserve"> v</w:t>
      </w:r>
      <w:r w:rsidR="00ED124C" w:rsidRPr="00ED124C">
        <w:t>ilket främjar såväl verksamhet</w:t>
      </w:r>
      <w:r w:rsidRPr="00ED124C">
        <w:t xml:space="preserve"> som arbetsmiljö och trivsel. För cheferna skapas förutsättningar för bättre beslutsunderlag. Under hösten har utbildningar genomförts för samtliga chefer, och personalenheten har tillsammans med de fackliga organisationerna </w:t>
      </w:r>
      <w:r w:rsidR="009B3F4E">
        <w:t>informerat</w:t>
      </w:r>
      <w:r w:rsidRPr="00ED124C">
        <w:t xml:space="preserve"> alla medarbetare</w:t>
      </w:r>
      <w:r w:rsidR="009B3F4E">
        <w:t xml:space="preserve"> om samverkan</w:t>
      </w:r>
      <w:r w:rsidRPr="00ED124C">
        <w:t>.</w:t>
      </w:r>
    </w:p>
    <w:p w:rsidR="00786EB1" w:rsidRDefault="00786EB1" w:rsidP="00921E9B">
      <w:pPr>
        <w:pStyle w:val="Normaltindrag"/>
      </w:pPr>
      <w:r w:rsidRPr="00786EB1">
        <w:t xml:space="preserve">Riksdagsförvaltningen och den centrala arbetstagarorganisationen ST har under 2016 träffat ett nytt pensionsavtal för anställda vid riksdagens myndigheter. Pensionsavtalet, som gäller från den 1 januari 2016, är likalydande med de motsvarande avtal som tidigare träffats med Saco-S och Seko. Vidare har Riksdagsförvaltningen träffat nya ramavtal om löner m.m. med Seko och fackförbundet ST för perioden </w:t>
      </w:r>
      <w:r w:rsidR="001413E3">
        <w:t xml:space="preserve">den </w:t>
      </w:r>
      <w:r w:rsidRPr="00786EB1">
        <w:t>1 oktober 2016 till den 30 september 2017. Med Saco-S finns sedan tidigare ett ramavtal om löner m.m. som gäller tills</w:t>
      </w:r>
      <w:r w:rsidR="001413E3">
        <w:t xml:space="preserve"> </w:t>
      </w:r>
      <w:r w:rsidRPr="00786EB1">
        <w:t>vidare.</w:t>
      </w:r>
    </w:p>
    <w:p w:rsidR="00422C6A" w:rsidRPr="009E35D7" w:rsidRDefault="00422C6A" w:rsidP="002C5239">
      <w:pPr>
        <w:pStyle w:val="Rubrik4"/>
      </w:pPr>
      <w:r w:rsidRPr="009E35D7">
        <w:lastRenderedPageBreak/>
        <w:t>Arbetsmiljö</w:t>
      </w:r>
    </w:p>
    <w:p w:rsidR="00300938" w:rsidRDefault="00422C6A" w:rsidP="00300938">
      <w:r w:rsidRPr="00B2353B">
        <w:t xml:space="preserve">En bra arbetsmiljö bidrar till att göra Riksdagsförvaltningen till en attraktiv, utvecklande och hälsofrämjande arbetsplats. </w:t>
      </w:r>
      <w:r w:rsidR="009E35D7" w:rsidRPr="00B2353B">
        <w:t>Ett fokus</w:t>
      </w:r>
      <w:r w:rsidR="00852D8D">
        <w:t>område</w:t>
      </w:r>
      <w:r w:rsidR="009E35D7" w:rsidRPr="00B2353B">
        <w:t xml:space="preserve"> unde</w:t>
      </w:r>
      <w:r w:rsidR="00B2353B" w:rsidRPr="00B2353B">
        <w:t xml:space="preserve">r året har varit att </w:t>
      </w:r>
      <w:r w:rsidR="00572CA9">
        <w:t xml:space="preserve">utbilda </w:t>
      </w:r>
      <w:r w:rsidR="00B2353B" w:rsidRPr="00B2353B">
        <w:t>chefer och skyddsombud i den nya föreskriften om organisatorisk och social arbetsmiljö, som gäller från den 31 mars 2016</w:t>
      </w:r>
      <w:r w:rsidR="009E35D7" w:rsidRPr="00B2353B">
        <w:t>.</w:t>
      </w:r>
      <w:r w:rsidR="00300938" w:rsidRPr="00300938">
        <w:t xml:space="preserve"> </w:t>
      </w:r>
      <w:r w:rsidR="00300938">
        <w:t xml:space="preserve">Vidare har arbetsmiljöronderna omarbetats för att anpassas till de nya föreskrifterna. En partssammansatt grupp har arbetat fram arbetsmiljömål för perioden 2017–2018. Därutöver har löpande arbete pågått med skyddskommitté, arbetsskador och utbildning. </w:t>
      </w:r>
    </w:p>
    <w:p w:rsidR="00422C6A" w:rsidRPr="000B643D" w:rsidRDefault="00422C6A" w:rsidP="002C5239">
      <w:pPr>
        <w:pStyle w:val="Rubrik4"/>
      </w:pPr>
      <w:r w:rsidRPr="000B643D">
        <w:t xml:space="preserve">Likabehandling </w:t>
      </w:r>
    </w:p>
    <w:p w:rsidR="00995A21" w:rsidRDefault="005F656B" w:rsidP="005F656B">
      <w:r w:rsidRPr="005F656B">
        <w:t>Våren 2016 genomfördes en utvärdering och revidering av likabehandlingsplanen. Under vintern 2016/17 genomförs en fördjupad utvärdering</w:t>
      </w:r>
      <w:r w:rsidR="00A94189">
        <w:t>. Likabehandlingsplanen kommer därefter att revideras</w:t>
      </w:r>
      <w:r w:rsidRPr="005F656B">
        <w:t xml:space="preserve"> med anledning av 2017 års skärpningar i diskrimineringslagstiftningen.</w:t>
      </w:r>
      <w:r w:rsidR="00995A21">
        <w:t xml:space="preserve"> </w:t>
      </w:r>
    </w:p>
    <w:p w:rsidR="005F656B" w:rsidRPr="005F656B" w:rsidRDefault="005F656B" w:rsidP="00995A21">
      <w:pPr>
        <w:pStyle w:val="Normaltindrag"/>
      </w:pPr>
      <w:r w:rsidRPr="005F656B">
        <w:t>Diskrimineringsombudsmannen (DO) har inom ramen för myndighetens tillsynsuppdrag granskat Riksdagsförvaltningens likabehandlingsplan och 2016 års lönekartläggning. I tillsynen konstaterar DO att både likabehandlingsplanen och lönekartläggningen uppfyller lagstiftningens krav.</w:t>
      </w:r>
    </w:p>
    <w:p w:rsidR="00422C6A" w:rsidRPr="00940476" w:rsidRDefault="00422C6A" w:rsidP="001F3084">
      <w:pPr>
        <w:pStyle w:val="Rubrik4"/>
        <w:tabs>
          <w:tab w:val="clear" w:pos="1134"/>
          <w:tab w:val="clear" w:pos="1418"/>
          <w:tab w:val="left" w:pos="1543"/>
        </w:tabs>
      </w:pPr>
      <w:r w:rsidRPr="00940476">
        <w:t>Friskvård</w:t>
      </w:r>
      <w:r w:rsidR="00A72189" w:rsidRPr="00940476">
        <w:tab/>
      </w:r>
    </w:p>
    <w:p w:rsidR="00422C6A" w:rsidRPr="00B2353B" w:rsidRDefault="00422C6A" w:rsidP="00422C6A">
      <w:pPr>
        <w:rPr>
          <w:u w:val="single"/>
        </w:rPr>
      </w:pPr>
      <w:r w:rsidRPr="00940476">
        <w:t>Målsättningen med Riksdagsförvaltningens friskvård är att bevara det friska friskt, öka frisknärvaron, minska antalet arbetsskador och förkorta tiden för rehabilitering i samband med sjukskrivning. Vidare ingår att göra ledamöter och anställda medvetna om betydelsen av en livsstil som minskar riskerna för fysisk och psykisk ohälsa samt stimulera och motivera till vardagsmotion</w:t>
      </w:r>
      <w:r w:rsidRPr="007C37A8">
        <w:t>.</w:t>
      </w:r>
      <w:r w:rsidRPr="00B2353B">
        <w:rPr>
          <w:u w:val="single"/>
        </w:rPr>
        <w:t xml:space="preserve"> </w:t>
      </w:r>
    </w:p>
    <w:p w:rsidR="00422C6A" w:rsidRPr="002A305E" w:rsidRDefault="00422C6A" w:rsidP="00422C6A">
      <w:pPr>
        <w:spacing w:before="0"/>
        <w:ind w:firstLine="227"/>
      </w:pPr>
      <w:r w:rsidRPr="002A305E">
        <w:t>Friskvården inriktas särskilt på att aktivera de som är fysiskt inaktiva, både på in</w:t>
      </w:r>
      <w:r w:rsidR="00730778" w:rsidRPr="002A305E">
        <w:t>divid- och gruppnivå. Under 201</w:t>
      </w:r>
      <w:r w:rsidR="002A305E" w:rsidRPr="002A305E">
        <w:t>6</w:t>
      </w:r>
      <w:r w:rsidRPr="002A305E">
        <w:t xml:space="preserve"> har bland annat följande aktiviteter genomförts: hälsoprofiler</w:t>
      </w:r>
      <w:r w:rsidR="00730778" w:rsidRPr="002A305E">
        <w:t>, coachning, friskvårdsdagar</w:t>
      </w:r>
      <w:r w:rsidR="002A305E" w:rsidRPr="002A305E">
        <w:t>, stegtävling</w:t>
      </w:r>
      <w:r w:rsidR="00730778" w:rsidRPr="002A305E">
        <w:t xml:space="preserve"> samt</w:t>
      </w:r>
      <w:r w:rsidRPr="002A305E">
        <w:t xml:space="preserve"> kurser och rådgivning om stress, sömn, avspänning och kost. Vidare har det varit möjligt att styrketräna och delta i motions- och gymnastikpass.</w:t>
      </w:r>
    </w:p>
    <w:p w:rsidR="00422C6A" w:rsidRPr="00BB43FA" w:rsidRDefault="00422C6A" w:rsidP="00422C6A">
      <w:pPr>
        <w:spacing w:before="0"/>
        <w:ind w:firstLine="227"/>
      </w:pPr>
      <w:r w:rsidRPr="00BB43FA">
        <w:t xml:space="preserve">Riksdagsförvaltningen </w:t>
      </w:r>
      <w:r w:rsidR="00180E33" w:rsidRPr="00BB43FA">
        <w:t xml:space="preserve">fortsätter att arbeta i den anda som är grunden till att förvaltningen </w:t>
      </w:r>
      <w:r w:rsidRPr="00BB43FA">
        <w:t xml:space="preserve">blev </w:t>
      </w:r>
      <w:r w:rsidR="00180E33" w:rsidRPr="00BB43FA">
        <w:t xml:space="preserve">hälsodiplomerad </w:t>
      </w:r>
      <w:r w:rsidRPr="00BB43FA">
        <w:t>2014</w:t>
      </w:r>
      <w:r w:rsidR="00D4657D">
        <w:t>. Diplomet är ett bevis på</w:t>
      </w:r>
      <w:r w:rsidRPr="00BB43FA">
        <w:t xml:space="preserve"> ett medvetet och strukturerat hälsoarbete. En hälsodiplomerad arbetsplats har en god arbetsmiljö samt underlättar för och uppmanar sina medarbetare att göra hälsosamma livsstilsval.</w:t>
      </w:r>
    </w:p>
    <w:p w:rsidR="00422C6A" w:rsidRPr="007953E4" w:rsidRDefault="00422C6A" w:rsidP="002C5239">
      <w:pPr>
        <w:pStyle w:val="Rubrik4"/>
      </w:pPr>
      <w:r w:rsidRPr="007953E4">
        <w:t>Tillgänglighet för personer med funktionsnedsättning</w:t>
      </w:r>
    </w:p>
    <w:p w:rsidR="00422C6A" w:rsidRPr="007953E4" w:rsidRDefault="00422C6A" w:rsidP="00422C6A">
      <w:r w:rsidRPr="007953E4">
        <w:t>Riksdagsförvaltningen arbetar löpande med att förbättra tillgängligheten för personer med olika typer av funktionsnedsättningar. Myndigheten för delaktighet gör en årlig myndighetsenkät. I den ligger Riksdagsförvaltningen även detta år i topp i jämförelsen mellan myndigheterna.</w:t>
      </w:r>
    </w:p>
    <w:p w:rsidR="009F5063" w:rsidRDefault="009F5063" w:rsidP="003E411B">
      <w:pPr>
        <w:pStyle w:val="Normaltindrag"/>
      </w:pPr>
      <w:r>
        <w:lastRenderedPageBreak/>
        <w:t xml:space="preserve">Under året har arbete påbörjats för att göra delar av Riksdagsförvaltningens studiematerial </w:t>
      </w:r>
      <w:r w:rsidR="00A356D3">
        <w:t xml:space="preserve">tillgängligt </w:t>
      </w:r>
      <w:r>
        <w:t>för fler användargrupper genom inläsning i mp3-format för nedladdning till mobiler, läsplattor och datorer.</w:t>
      </w:r>
    </w:p>
    <w:p w:rsidR="009F5063" w:rsidRDefault="003276DB" w:rsidP="00330883">
      <w:pPr>
        <w:pStyle w:val="Normaltindrag"/>
      </w:pPr>
      <w:r w:rsidRPr="00325B18">
        <w:t xml:space="preserve">Vid visningar i riksdagen prövas komplement till </w:t>
      </w:r>
      <w:r w:rsidR="003B1B62" w:rsidRPr="00325B18">
        <w:t>guidens muntliga presentation</w:t>
      </w:r>
      <w:r w:rsidR="001D3F35" w:rsidRPr="00325B18">
        <w:t>, till exempel</w:t>
      </w:r>
      <w:r w:rsidR="00325B18" w:rsidRPr="00325B18">
        <w:t xml:space="preserve"> används</w:t>
      </w:r>
      <w:r w:rsidRPr="00325B18">
        <w:t xml:space="preserve"> bilder och ann</w:t>
      </w:r>
      <w:r w:rsidR="00575A74" w:rsidRPr="00325B18">
        <w:t>at åskådningsmaterial för att underlätta inlärning.</w:t>
      </w:r>
      <w:r w:rsidR="00575A74">
        <w:t xml:space="preserve"> </w:t>
      </w:r>
    </w:p>
    <w:p w:rsidR="009F5063" w:rsidRDefault="00330883" w:rsidP="00330883">
      <w:pPr>
        <w:pStyle w:val="Normaltindrag"/>
      </w:pPr>
      <w:r>
        <w:t>Ett p</w:t>
      </w:r>
      <w:r w:rsidR="009F5063">
        <w:t>rojekt</w:t>
      </w:r>
      <w:r>
        <w:t xml:space="preserve"> har påbörjat</w:t>
      </w:r>
      <w:r w:rsidR="009F5063">
        <w:t>s</w:t>
      </w:r>
      <w:r>
        <w:t xml:space="preserve"> i</w:t>
      </w:r>
      <w:r w:rsidR="009F5063">
        <w:t xml:space="preserve"> syfte att tillgodose </w:t>
      </w:r>
      <w:r w:rsidR="00D55019">
        <w:t xml:space="preserve">behovet av </w:t>
      </w:r>
      <w:r w:rsidR="009818C1">
        <w:t>säkra</w:t>
      </w:r>
      <w:r w:rsidR="009F5063">
        <w:t>, tillgänglighetsanpa</w:t>
      </w:r>
      <w:r>
        <w:t>ssad</w:t>
      </w:r>
      <w:r w:rsidR="009818C1">
        <w:t>e</w:t>
      </w:r>
      <w:r>
        <w:t xml:space="preserve"> och smidig</w:t>
      </w:r>
      <w:r w:rsidR="009818C1">
        <w:t>a</w:t>
      </w:r>
      <w:r>
        <w:t xml:space="preserve"> besöksentré</w:t>
      </w:r>
      <w:r w:rsidR="009818C1">
        <w:t>er</w:t>
      </w:r>
      <w:r>
        <w:t xml:space="preserve"> i Riksdagshuset östra,</w:t>
      </w:r>
      <w:r w:rsidR="009F5063">
        <w:t xml:space="preserve"> Riksp</w:t>
      </w:r>
      <w:r>
        <w:t>lan och Neptunus.</w:t>
      </w:r>
    </w:p>
    <w:p w:rsidR="00224B09" w:rsidRPr="00B2353B" w:rsidRDefault="009F5063" w:rsidP="009F5063">
      <w:pPr>
        <w:pStyle w:val="Normaltindrag"/>
        <w:rPr>
          <w:u w:val="single"/>
        </w:rPr>
      </w:pPr>
      <w:r>
        <w:t xml:space="preserve">Tillgänglighetstester har utförts i samband med lanseringen av nya </w:t>
      </w:r>
      <w:r w:rsidR="00330883">
        <w:t>www.</w:t>
      </w:r>
      <w:r>
        <w:t>riksdagen.se.</w:t>
      </w:r>
    </w:p>
    <w:p w:rsidR="00422C6A" w:rsidRPr="00702622" w:rsidRDefault="00422C6A" w:rsidP="00422C6A">
      <w:pPr>
        <w:spacing w:before="0" w:after="62"/>
        <w:ind w:firstLine="227"/>
        <w:rPr>
          <w:u w:val="single"/>
        </w:rPr>
      </w:pPr>
    </w:p>
    <w:tbl>
      <w:tblPr>
        <w:tblStyle w:val="Tabellrutnt"/>
        <w:tblW w:w="0" w:type="auto"/>
        <w:tblLook w:val="04A0" w:firstRow="1" w:lastRow="0" w:firstColumn="1" w:lastColumn="0" w:noHBand="0" w:noVBand="1"/>
      </w:tblPr>
      <w:tblGrid>
        <w:gridCol w:w="5887"/>
      </w:tblGrid>
      <w:tr w:rsidR="00422C6A" w:rsidRPr="00422C6A" w:rsidTr="00E02A18">
        <w:trPr>
          <w:trHeight w:val="983"/>
        </w:trPr>
        <w:tc>
          <w:tcPr>
            <w:tcW w:w="5887" w:type="dxa"/>
          </w:tcPr>
          <w:p w:rsidR="00422C6A" w:rsidRPr="006440C4" w:rsidRDefault="00422C6A" w:rsidP="00422C6A">
            <w:pPr>
              <w:spacing w:before="125"/>
              <w:rPr>
                <w:b/>
              </w:rPr>
            </w:pPr>
            <w:r w:rsidRPr="006440C4">
              <w:rPr>
                <w:b/>
              </w:rPr>
              <w:t>Riksdagsförvaltningens miljöarbete</w:t>
            </w:r>
          </w:p>
          <w:p w:rsidR="00422C6A" w:rsidRPr="006440C4" w:rsidRDefault="00422C6A" w:rsidP="00422C6A">
            <w:pPr>
              <w:spacing w:before="0"/>
            </w:pPr>
            <w:r w:rsidRPr="006440C4">
              <w:t xml:space="preserve">Riksdagsförvaltningen är </w:t>
            </w:r>
            <w:r w:rsidR="00806589" w:rsidRPr="006440C4">
              <w:t xml:space="preserve">sedan 2009 </w:t>
            </w:r>
            <w:r w:rsidRPr="006440C4">
              <w:t xml:space="preserve">miljöcertifierad enligt ISO 14001. Det betyder att miljöarbetet är systematiserat i ett miljöledningssystem. Riksdagsstyrelsen har fattat beslut om </w:t>
            </w:r>
            <w:r w:rsidR="00806589">
              <w:t xml:space="preserve">följande </w:t>
            </w:r>
            <w:r w:rsidRPr="006440C4">
              <w:t>övergripande miljömål för Riksdagsförv</w:t>
            </w:r>
            <w:r w:rsidR="00806589">
              <w:t>altningen:</w:t>
            </w:r>
          </w:p>
          <w:p w:rsidR="00422C6A" w:rsidRPr="006440C4" w:rsidRDefault="009520B1" w:rsidP="00E47357">
            <w:pPr>
              <w:pStyle w:val="Punktlistabomb"/>
            </w:pPr>
            <w:r>
              <w:t>m</w:t>
            </w:r>
            <w:r w:rsidR="003E411B">
              <w:t>inska</w:t>
            </w:r>
            <w:r w:rsidR="00422C6A" w:rsidRPr="006440C4">
              <w:t xml:space="preserve"> utsläpp</w:t>
            </w:r>
            <w:r w:rsidR="003E411B">
              <w:t>en</w:t>
            </w:r>
            <w:r w:rsidR="00422C6A" w:rsidRPr="006440C4">
              <w:t xml:space="preserve"> av växthusgaser</w:t>
            </w:r>
          </w:p>
          <w:p w:rsidR="00422C6A" w:rsidRPr="006440C4" w:rsidRDefault="009520B1" w:rsidP="00E47357">
            <w:pPr>
              <w:pStyle w:val="Punktlistabomb"/>
            </w:pPr>
            <w:r>
              <w:t>m</w:t>
            </w:r>
            <w:r w:rsidR="003E411B">
              <w:t>inimera</w:t>
            </w:r>
            <w:r w:rsidR="00422C6A" w:rsidRPr="006440C4">
              <w:t xml:space="preserve"> förekomst</w:t>
            </w:r>
            <w:r w:rsidR="003E411B">
              <w:t>en</w:t>
            </w:r>
            <w:r w:rsidR="00422C6A" w:rsidRPr="006440C4">
              <w:t xml:space="preserve"> av farliga ämnen i riksdagens hus</w:t>
            </w:r>
          </w:p>
          <w:p w:rsidR="00422C6A" w:rsidRPr="006440C4" w:rsidRDefault="009520B1" w:rsidP="00E47357">
            <w:pPr>
              <w:pStyle w:val="Punktlistabomb"/>
            </w:pPr>
            <w:r>
              <w:t>m</w:t>
            </w:r>
            <w:r w:rsidR="003E411B">
              <w:t>inska</w:t>
            </w:r>
            <w:r w:rsidR="00422C6A" w:rsidRPr="006440C4">
              <w:t xml:space="preserve"> energianvändning</w:t>
            </w:r>
            <w:r w:rsidR="003E411B">
              <w:t>en</w:t>
            </w:r>
          </w:p>
          <w:p w:rsidR="00422C6A" w:rsidRPr="006440C4" w:rsidRDefault="009520B1" w:rsidP="00E47357">
            <w:pPr>
              <w:pStyle w:val="Punktlistabomb"/>
            </w:pPr>
            <w:r>
              <w:t>m</w:t>
            </w:r>
            <w:r w:rsidR="003E411B">
              <w:t>inska mängden</w:t>
            </w:r>
            <w:r w:rsidR="00422C6A" w:rsidRPr="006440C4">
              <w:t xml:space="preserve"> avfall</w:t>
            </w:r>
          </w:p>
          <w:p w:rsidR="00422C6A" w:rsidRPr="006440C4" w:rsidRDefault="003E411B" w:rsidP="00E47357">
            <w:pPr>
              <w:pStyle w:val="Punktlistabomb"/>
            </w:pPr>
            <w:r>
              <w:t>begränsa miljöpåverkan genom hållbara upphandlingar och inköp.</w:t>
            </w:r>
          </w:p>
          <w:p w:rsidR="00422C6A" w:rsidRPr="00257D95" w:rsidRDefault="00422C6A" w:rsidP="00422C6A">
            <w:r w:rsidRPr="00257D95">
              <w:t xml:space="preserve">Utgångspunkten för miljömålen är de nationella miljökvalitetsmål som </w:t>
            </w:r>
            <w:r w:rsidR="002647A6" w:rsidRPr="00257D95">
              <w:t xml:space="preserve">riksdagen har fastställt </w:t>
            </w:r>
            <w:r w:rsidR="009520B1" w:rsidRPr="00257D95">
              <w:t>samt</w:t>
            </w:r>
            <w:r w:rsidRPr="00257D95">
              <w:t xml:space="preserve"> Riksdagsförvaltningens </w:t>
            </w:r>
            <w:r w:rsidR="00304B66" w:rsidRPr="00257D95">
              <w:t>betydande miljö</w:t>
            </w:r>
            <w:r w:rsidR="00304B66" w:rsidRPr="00257D95">
              <w:softHyphen/>
            </w:r>
            <w:r w:rsidRPr="00257D95">
              <w:t xml:space="preserve">-aspekter. </w:t>
            </w:r>
          </w:p>
          <w:p w:rsidR="00154853" w:rsidRPr="005D4806" w:rsidRDefault="00154853" w:rsidP="00154853">
            <w:pPr>
              <w:spacing w:before="0"/>
              <w:ind w:firstLine="227"/>
              <w:rPr>
                <w:highlight w:val="yellow"/>
              </w:rPr>
            </w:pPr>
            <w:r w:rsidRPr="00257D95">
              <w:t>Under 2016 har miljömålen sett</w:t>
            </w:r>
            <w:r w:rsidR="00474083">
              <w:t>s över. I februari fastställde r</w:t>
            </w:r>
            <w:r w:rsidRPr="00257D95">
              <w:t xml:space="preserve">iksdagsstyrelsen förvaltningens övergripande miljömål för perioden 2016–2018. </w:t>
            </w:r>
            <w:r w:rsidR="00422C6A" w:rsidRPr="00257D95">
              <w:t xml:space="preserve">Riksdagsdirektören har utifrån de övergripande målen </w:t>
            </w:r>
            <w:r w:rsidRPr="00257D95">
              <w:t xml:space="preserve">fastställt detaljerade miljömål. Därefter har de enheter som är ansvariga för detaljerade miljömål arbetat fram handlingsplaner för hur målen ska nås. </w:t>
            </w:r>
          </w:p>
          <w:p w:rsidR="00C32D55" w:rsidRDefault="00C32D55" w:rsidP="00C32D55">
            <w:pPr>
              <w:spacing w:before="0"/>
              <w:ind w:firstLine="227"/>
            </w:pPr>
            <w:r>
              <w:t xml:space="preserve">Under 2016 har förvaltningens miljöarbete följt uppsatta mål och handlingsplaner. Förvaltningen har i enlighet med miljömålen bland annat fortsatt att </w:t>
            </w:r>
            <w:r w:rsidRPr="00120B9F">
              <w:t>minska koldioxidutsläppen från sina fordon,</w:t>
            </w:r>
            <w:r w:rsidR="00474083">
              <w:t xml:space="preserve"> </w:t>
            </w:r>
            <w:r>
              <w:t>reducera</w:t>
            </w:r>
            <w:r w:rsidR="00474083">
              <w:t>t</w:t>
            </w:r>
            <w:r>
              <w:t xml:space="preserve"> antalet tekniska apparater för att minska förekomsten av farliga ämnen i riksdagens hus, tagit fram miljöprogram för renoveringen av ledamotshuset, </w:t>
            </w:r>
            <w:r w:rsidRPr="00FF1AE5">
              <w:t>börjat sorter</w:t>
            </w:r>
            <w:r w:rsidR="00FF1AE5" w:rsidRPr="00FF1AE5">
              <w:t xml:space="preserve">a </w:t>
            </w:r>
            <w:r>
              <w:t xml:space="preserve">plastförpackningar i riksdagens lokaler för att minska mängden avfall samt ställt miljökrav i en rad upphandlingar. </w:t>
            </w:r>
          </w:p>
          <w:p w:rsidR="00154853" w:rsidRPr="00C32D55" w:rsidRDefault="00C32D55" w:rsidP="00C32D55">
            <w:pPr>
              <w:spacing w:before="0"/>
              <w:ind w:firstLine="227"/>
              <w:rPr>
                <w:highlight w:val="yellow"/>
                <w:u w:val="single"/>
              </w:rPr>
            </w:pPr>
            <w:r>
              <w:t>Energianvändningen i riksdagens lokaler per kvadratmeter (el och energi för uppvär</w:t>
            </w:r>
            <w:r w:rsidR="00474083">
              <w:t>mning) har minskat med knappt 1</w:t>
            </w:r>
            <w:r w:rsidR="001C2D3E">
              <w:t xml:space="preserve"> </w:t>
            </w:r>
            <w:r>
              <w:t xml:space="preserve">procent under 2016 jämfört med 2015. Målet är att den totala energianvändningen ska minska med 2 procent per kvadratmeter och år. Sett över en fyraårsperiod har Riksdagsförvaltningen minskat sin totala energianvändning med 3,5 procent per kvadratmeter. </w:t>
            </w:r>
            <w:r w:rsidR="00154853" w:rsidRPr="00854CEB">
              <w:t xml:space="preserve"> </w:t>
            </w:r>
          </w:p>
          <w:p w:rsidR="00422C6A" w:rsidRPr="00E30D9F" w:rsidRDefault="00D7612B" w:rsidP="00574D91">
            <w:pPr>
              <w:spacing w:before="0"/>
              <w:ind w:firstLine="227"/>
            </w:pPr>
            <w:r w:rsidRPr="00257D95">
              <w:lastRenderedPageBreak/>
              <w:t>Nödvändiga</w:t>
            </w:r>
            <w:r w:rsidR="00EA48C3" w:rsidRPr="00257D95">
              <w:t xml:space="preserve"> åtgärder planeras och vidtas</w:t>
            </w:r>
            <w:r w:rsidRPr="00257D95">
              <w:t xml:space="preserve"> utifrån de detaljerade miljömålen. Miljöarbetet följs upp och redovisas för </w:t>
            </w:r>
            <w:r w:rsidR="007E1125" w:rsidRPr="00257D95">
              <w:t>riksdagsstyrelsen</w:t>
            </w:r>
            <w:r w:rsidRPr="00257D95">
              <w:t xml:space="preserve"> tre gånger om året i samband med övrig tertialuppföljning.</w:t>
            </w:r>
            <w:r w:rsidR="00E15095">
              <w:t xml:space="preserve"> </w:t>
            </w:r>
          </w:p>
        </w:tc>
      </w:tr>
    </w:tbl>
    <w:p w:rsidR="00816B97" w:rsidRDefault="00816B97" w:rsidP="00422C6A">
      <w:pPr>
        <w:spacing w:before="125"/>
        <w:rPr>
          <w:b/>
        </w:rPr>
      </w:pPr>
    </w:p>
    <w:p w:rsidR="00816B97" w:rsidRDefault="00816B97" w:rsidP="00816B97">
      <w:pPr>
        <w:pStyle w:val="Normaltindrag"/>
      </w:pPr>
      <w:r>
        <w:br w:type="page"/>
      </w:r>
    </w:p>
    <w:p w:rsidR="004B75D6" w:rsidRDefault="004B75D6" w:rsidP="00422C6A">
      <w:pPr>
        <w:spacing w:before="125"/>
        <w:rPr>
          <w:b/>
        </w:rPr>
      </w:pPr>
    </w:p>
    <w:p w:rsidR="004B75D6" w:rsidRDefault="004B75D6" w:rsidP="00422C6A">
      <w:pPr>
        <w:spacing w:before="125"/>
        <w:rPr>
          <w:b/>
        </w:rPr>
      </w:pPr>
    </w:p>
    <w:p w:rsidR="004B75D6" w:rsidRDefault="004B75D6" w:rsidP="004B75D6">
      <w:pPr>
        <w:pStyle w:val="Normaltindrag"/>
      </w:pPr>
    </w:p>
    <w:p w:rsidR="004B75D6" w:rsidRDefault="004B75D6" w:rsidP="004B75D6">
      <w:pPr>
        <w:pStyle w:val="Normaltindrag"/>
        <w:sectPr w:rsidR="004B75D6" w:rsidSect="0039664C">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p w:rsidR="00BF2B9C" w:rsidRPr="00BF2B9C" w:rsidRDefault="00BF2B9C" w:rsidP="00BF2B9C">
      <w:pPr>
        <w:keepNext/>
        <w:tabs>
          <w:tab w:val="left" w:pos="284"/>
          <w:tab w:val="left" w:pos="567"/>
          <w:tab w:val="left" w:pos="851"/>
          <w:tab w:val="left" w:pos="1134"/>
          <w:tab w:val="left" w:pos="1418"/>
        </w:tabs>
        <w:suppressAutoHyphens/>
        <w:spacing w:before="0" w:after="554"/>
        <w:jc w:val="left"/>
        <w:outlineLvl w:val="0"/>
        <w:rPr>
          <w:rFonts w:eastAsiaTheme="majorEastAsia"/>
          <w:bCs/>
          <w:sz w:val="32"/>
          <w:szCs w:val="28"/>
        </w:rPr>
      </w:pPr>
      <w:bookmarkStart w:id="27" w:name="_Toc469059101"/>
      <w:bookmarkStart w:id="28" w:name="_Toc474168602"/>
      <w:r w:rsidRPr="00BF2B9C">
        <w:rPr>
          <w:rFonts w:eastAsiaTheme="majorEastAsia"/>
          <w:bCs/>
          <w:sz w:val="32"/>
          <w:szCs w:val="28"/>
        </w:rPr>
        <w:lastRenderedPageBreak/>
        <w:t>Finansiell redovisning</w:t>
      </w:r>
      <w:bookmarkEnd w:id="27"/>
      <w:bookmarkEnd w:id="28"/>
    </w:p>
    <w:p w:rsidR="00BF2B9C" w:rsidRPr="00BF2B9C" w:rsidRDefault="00BF2B9C" w:rsidP="00BF2B9C">
      <w:pPr>
        <w:keepNext/>
        <w:keepLines/>
        <w:tabs>
          <w:tab w:val="left" w:pos="284"/>
          <w:tab w:val="left" w:pos="567"/>
          <w:tab w:val="left" w:pos="851"/>
          <w:tab w:val="left" w:pos="1134"/>
          <w:tab w:val="left" w:pos="1418"/>
        </w:tabs>
        <w:suppressAutoHyphens/>
        <w:spacing w:before="0"/>
        <w:jc w:val="left"/>
        <w:outlineLvl w:val="1"/>
        <w:rPr>
          <w:rFonts w:eastAsiaTheme="majorEastAsia"/>
          <w:bCs/>
          <w:sz w:val="27"/>
          <w:szCs w:val="26"/>
        </w:rPr>
      </w:pPr>
      <w:bookmarkStart w:id="29" w:name="_Toc469059102"/>
      <w:bookmarkStart w:id="30" w:name="_Toc474168603"/>
      <w:r w:rsidRPr="00BF2B9C">
        <w:rPr>
          <w:rFonts w:eastAsia="Times New Roman"/>
          <w:bCs/>
          <w:sz w:val="27"/>
          <w:szCs w:val="26"/>
          <w:lang w:eastAsia="sv-SE"/>
        </w:rPr>
        <w:t>4.1 Resultaträkning</w:t>
      </w:r>
      <w:bookmarkEnd w:id="29"/>
      <w:bookmarkEnd w:id="30"/>
    </w:p>
    <w:tbl>
      <w:tblPr>
        <w:tblW w:w="6237" w:type="dxa"/>
        <w:tblInd w:w="70" w:type="dxa"/>
        <w:tblLayout w:type="fixed"/>
        <w:tblCellMar>
          <w:left w:w="70" w:type="dxa"/>
          <w:right w:w="70" w:type="dxa"/>
        </w:tblCellMar>
        <w:tblLook w:val="04A0" w:firstRow="1" w:lastRow="0" w:firstColumn="1" w:lastColumn="0" w:noHBand="0" w:noVBand="1"/>
      </w:tblPr>
      <w:tblGrid>
        <w:gridCol w:w="3119"/>
        <w:gridCol w:w="425"/>
        <w:gridCol w:w="1276"/>
        <w:gridCol w:w="283"/>
        <w:gridCol w:w="1134"/>
      </w:tblGrid>
      <w:tr w:rsidR="00DE5A2A" w:rsidRPr="00DE5A2A" w:rsidTr="0069450B">
        <w:trPr>
          <w:trHeight w:val="340"/>
        </w:trPr>
        <w:tc>
          <w:tcPr>
            <w:tcW w:w="3119" w:type="dxa"/>
            <w:tcBorders>
              <w:top w:val="single" w:sz="4" w:space="0" w:color="auto"/>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i/>
                <w:iCs/>
                <w:sz w:val="16"/>
                <w:szCs w:val="16"/>
                <w:lang w:eastAsia="sv-SE"/>
              </w:rPr>
            </w:pPr>
            <w:r w:rsidRPr="00DE5A2A">
              <w:rPr>
                <w:rFonts w:eastAsia="Times New Roman"/>
                <w:b/>
                <w:bCs/>
                <w:i/>
                <w:iCs/>
                <w:sz w:val="16"/>
                <w:szCs w:val="16"/>
                <w:lang w:eastAsia="sv-SE"/>
              </w:rPr>
              <w:t>(Belopp anges i tkr)</w:t>
            </w:r>
          </w:p>
        </w:tc>
        <w:tc>
          <w:tcPr>
            <w:tcW w:w="425" w:type="dxa"/>
            <w:tcBorders>
              <w:top w:val="single" w:sz="4" w:space="0" w:color="auto"/>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center"/>
              <w:rPr>
                <w:rFonts w:eastAsia="Times New Roman"/>
                <w:b/>
                <w:bCs/>
                <w:i/>
                <w:iCs/>
                <w:sz w:val="16"/>
                <w:szCs w:val="16"/>
                <w:lang w:eastAsia="sv-SE"/>
              </w:rPr>
            </w:pPr>
            <w:r w:rsidRPr="00DE5A2A">
              <w:rPr>
                <w:rFonts w:eastAsia="Times New Roman"/>
                <w:b/>
                <w:bCs/>
                <w:i/>
                <w:iCs/>
                <w:sz w:val="16"/>
                <w:szCs w:val="16"/>
                <w:lang w:eastAsia="sv-SE"/>
              </w:rPr>
              <w:t>Not</w:t>
            </w:r>
          </w:p>
        </w:tc>
        <w:tc>
          <w:tcPr>
            <w:tcW w:w="1276" w:type="dxa"/>
            <w:tcBorders>
              <w:top w:val="single" w:sz="4" w:space="0" w:color="auto"/>
              <w:left w:val="nil"/>
              <w:bottom w:val="single" w:sz="4" w:space="0" w:color="auto"/>
              <w:right w:val="nil"/>
            </w:tcBorders>
            <w:shd w:val="clear" w:color="auto" w:fill="auto"/>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br/>
              <w:t>2016</w:t>
            </w:r>
          </w:p>
        </w:tc>
        <w:tc>
          <w:tcPr>
            <w:tcW w:w="283" w:type="dxa"/>
            <w:tcBorders>
              <w:top w:val="single" w:sz="4" w:space="0" w:color="auto"/>
              <w:left w:val="nil"/>
              <w:bottom w:val="single" w:sz="4" w:space="0" w:color="auto"/>
              <w:right w:val="nil"/>
            </w:tcBorders>
            <w:shd w:val="clear" w:color="auto" w:fill="auto"/>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 </w:t>
            </w:r>
          </w:p>
        </w:tc>
        <w:tc>
          <w:tcPr>
            <w:tcW w:w="1134" w:type="dxa"/>
            <w:tcBorders>
              <w:top w:val="single" w:sz="4" w:space="0" w:color="auto"/>
              <w:left w:val="nil"/>
              <w:bottom w:val="single" w:sz="4" w:space="0" w:color="auto"/>
              <w:right w:val="nil"/>
            </w:tcBorders>
            <w:shd w:val="clear" w:color="auto" w:fill="auto"/>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br/>
              <w:t>2015</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Verksamhetens intäkter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sz w:val="16"/>
                <w:szCs w:val="16"/>
                <w:lang w:eastAsia="sv-SE"/>
              </w:rPr>
            </w:pP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Intäkter av anslag</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1</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1 342 128</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1 353 063</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Intäkter av avgifter och andra ersättningar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2</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31 035</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31 968</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Intäkter av bidrag</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3</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450</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24</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Finansiella intäkter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4</w:t>
            </w:r>
          </w:p>
        </w:tc>
        <w:tc>
          <w:tcPr>
            <w:tcW w:w="1276"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13 919</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color w:val="000000"/>
                <w:sz w:val="16"/>
                <w:szCs w:val="16"/>
                <w:lang w:eastAsia="sv-SE"/>
              </w:rPr>
            </w:pPr>
            <w:r w:rsidRPr="00DE5A2A">
              <w:rPr>
                <w:rFonts w:eastAsia="Times New Roman"/>
                <w:color w:val="000000"/>
                <w:sz w:val="16"/>
                <w:szCs w:val="16"/>
                <w:lang w:eastAsia="sv-SE"/>
              </w:rPr>
              <w:t>1 362</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Summa</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1 387 532</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color w:val="000000"/>
                <w:sz w:val="16"/>
                <w:szCs w:val="16"/>
                <w:lang w:eastAsia="sv-SE"/>
              </w:rPr>
            </w:pPr>
            <w:r w:rsidRPr="00DE5A2A">
              <w:rPr>
                <w:rFonts w:eastAsia="Times New Roman"/>
                <w:b/>
                <w:bCs/>
                <w:color w:val="000000"/>
                <w:sz w:val="16"/>
                <w:szCs w:val="16"/>
                <w:lang w:eastAsia="sv-SE"/>
              </w:rPr>
              <w:t>1 386 417</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Verksamhetens kostnader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Kostnader för personal och ledamöter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5</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-1 566 034</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-1 088 612</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Kostnader för lokaler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6</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-40 674</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-38 508</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Övriga driftkostnader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-335 061</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-339 384</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Finansiella kostnader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7</w:t>
            </w: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-782</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-21 533</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Avskrivningar och nedskrivningar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8</w:t>
            </w:r>
          </w:p>
        </w:tc>
        <w:tc>
          <w:tcPr>
            <w:tcW w:w="1276"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-54 687</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-79 842</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Summa</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-1 997 239</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-1 567 880</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Verksamhetsutfall</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-609 707</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-181 463</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Transfereringar</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r>
      <w:tr w:rsidR="00DE5A2A" w:rsidRPr="00DE5A2A" w:rsidTr="0069450B">
        <w:trPr>
          <w:trHeight w:val="340"/>
        </w:trPr>
        <w:tc>
          <w:tcPr>
            <w:tcW w:w="3119" w:type="dxa"/>
            <w:tcBorders>
              <w:top w:val="nil"/>
              <w:left w:val="nil"/>
              <w:bottom w:val="nil"/>
              <w:right w:val="nil"/>
            </w:tcBorders>
            <w:shd w:val="clear" w:color="auto" w:fill="auto"/>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Medel som erhållits från statens budget för finansiering av bidrag</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500 670</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495 720</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r w:rsidRPr="00DE5A2A">
              <w:rPr>
                <w:rFonts w:eastAsia="Times New Roman"/>
                <w:sz w:val="16"/>
                <w:szCs w:val="16"/>
                <w:lang w:eastAsia="sv-SE"/>
              </w:rPr>
              <w:t>Lämnade bidrag</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9</w:t>
            </w:r>
          </w:p>
        </w:tc>
        <w:tc>
          <w:tcPr>
            <w:tcW w:w="1276" w:type="dxa"/>
            <w:tcBorders>
              <w:top w:val="nil"/>
              <w:left w:val="nil"/>
              <w:bottom w:val="single" w:sz="4" w:space="0" w:color="auto"/>
              <w:right w:val="nil"/>
            </w:tcBorders>
            <w:shd w:val="clear" w:color="auto" w:fill="auto"/>
            <w:noWrap/>
            <w:vAlign w:val="bottom"/>
            <w:hideMark/>
          </w:tcPr>
          <w:p w:rsidR="00DE5A2A" w:rsidRPr="00DE5A2A" w:rsidRDefault="001C2D3E" w:rsidP="00DE5A2A">
            <w:pPr>
              <w:spacing w:before="0" w:line="240" w:lineRule="auto"/>
              <w:jc w:val="right"/>
              <w:rPr>
                <w:rFonts w:eastAsia="Times New Roman"/>
                <w:sz w:val="16"/>
                <w:szCs w:val="16"/>
                <w:lang w:eastAsia="sv-SE"/>
              </w:rPr>
            </w:pPr>
            <w:r>
              <w:rPr>
                <w:rFonts w:eastAsia="Times New Roman"/>
                <w:sz w:val="16"/>
                <w:szCs w:val="16"/>
                <w:lang w:eastAsia="sv-SE"/>
              </w:rPr>
              <w:t>-</w:t>
            </w:r>
            <w:r w:rsidR="00DE5A2A" w:rsidRPr="00DE5A2A">
              <w:rPr>
                <w:rFonts w:eastAsia="Times New Roman"/>
                <w:sz w:val="16"/>
                <w:szCs w:val="16"/>
                <w:lang w:eastAsia="sv-SE"/>
              </w:rPr>
              <w:t>500 670</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1134"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sz w:val="16"/>
                <w:szCs w:val="16"/>
                <w:lang w:eastAsia="sv-SE"/>
              </w:rPr>
            </w:pPr>
            <w:r w:rsidRPr="00DE5A2A">
              <w:rPr>
                <w:rFonts w:eastAsia="Times New Roman"/>
                <w:sz w:val="16"/>
                <w:szCs w:val="16"/>
                <w:lang w:eastAsia="sv-SE"/>
              </w:rPr>
              <w:t>-495 720</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Saldo</w:t>
            </w: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0</w:t>
            </w: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0</w:t>
            </w:r>
          </w:p>
        </w:tc>
      </w:tr>
      <w:tr w:rsidR="00DE5A2A" w:rsidRPr="00DE5A2A" w:rsidTr="0069450B">
        <w:trPr>
          <w:trHeight w:val="340"/>
        </w:trPr>
        <w:tc>
          <w:tcPr>
            <w:tcW w:w="3119"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sz w:val="16"/>
                <w:szCs w:val="16"/>
                <w:lang w:eastAsia="sv-SE"/>
              </w:rPr>
            </w:pPr>
          </w:p>
        </w:tc>
        <w:tc>
          <w:tcPr>
            <w:tcW w:w="425"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p>
        </w:tc>
        <w:tc>
          <w:tcPr>
            <w:tcW w:w="1276"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283"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p>
        </w:tc>
      </w:tr>
      <w:tr w:rsidR="00DE5A2A" w:rsidRPr="00DE5A2A" w:rsidTr="0069450B">
        <w:trPr>
          <w:trHeight w:val="340"/>
        </w:trPr>
        <w:tc>
          <w:tcPr>
            <w:tcW w:w="3119"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 xml:space="preserve">ÅRETS KAPITALFÖRÄNDRING </w:t>
            </w:r>
          </w:p>
        </w:tc>
        <w:tc>
          <w:tcPr>
            <w:tcW w:w="425"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center"/>
              <w:rPr>
                <w:rFonts w:eastAsia="Times New Roman"/>
                <w:i/>
                <w:iCs/>
                <w:sz w:val="16"/>
                <w:szCs w:val="16"/>
                <w:lang w:eastAsia="sv-SE"/>
              </w:rPr>
            </w:pPr>
            <w:r w:rsidRPr="00DE5A2A">
              <w:rPr>
                <w:rFonts w:eastAsia="Times New Roman"/>
                <w:i/>
                <w:iCs/>
                <w:sz w:val="16"/>
                <w:szCs w:val="16"/>
                <w:lang w:eastAsia="sv-SE"/>
              </w:rPr>
              <w:t>10</w:t>
            </w:r>
          </w:p>
        </w:tc>
        <w:tc>
          <w:tcPr>
            <w:tcW w:w="1276" w:type="dxa"/>
            <w:tcBorders>
              <w:top w:val="nil"/>
              <w:left w:val="nil"/>
              <w:bottom w:val="single" w:sz="4" w:space="0" w:color="auto"/>
              <w:right w:val="nil"/>
            </w:tcBorders>
            <w:shd w:val="clear" w:color="auto" w:fill="auto"/>
            <w:noWrap/>
            <w:vAlign w:val="bottom"/>
            <w:hideMark/>
          </w:tcPr>
          <w:p w:rsidR="00DE5A2A" w:rsidRPr="00DE5A2A" w:rsidRDefault="001C2D3E" w:rsidP="00DE5A2A">
            <w:pPr>
              <w:spacing w:before="0" w:line="240" w:lineRule="auto"/>
              <w:jc w:val="right"/>
              <w:rPr>
                <w:rFonts w:eastAsia="Times New Roman"/>
                <w:b/>
                <w:bCs/>
                <w:sz w:val="16"/>
                <w:szCs w:val="16"/>
                <w:lang w:eastAsia="sv-SE"/>
              </w:rPr>
            </w:pPr>
            <w:r>
              <w:rPr>
                <w:rFonts w:eastAsia="Times New Roman"/>
                <w:b/>
                <w:bCs/>
                <w:sz w:val="16"/>
                <w:szCs w:val="16"/>
                <w:lang w:eastAsia="sv-SE"/>
              </w:rPr>
              <w:t>-</w:t>
            </w:r>
            <w:r w:rsidR="00DE5A2A" w:rsidRPr="00DE5A2A">
              <w:rPr>
                <w:rFonts w:eastAsia="Times New Roman"/>
                <w:b/>
                <w:bCs/>
                <w:sz w:val="16"/>
                <w:szCs w:val="16"/>
                <w:lang w:eastAsia="sv-SE"/>
              </w:rPr>
              <w:t>609 707</w:t>
            </w:r>
          </w:p>
        </w:tc>
        <w:tc>
          <w:tcPr>
            <w:tcW w:w="283"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left"/>
              <w:rPr>
                <w:rFonts w:eastAsia="Times New Roman"/>
                <w:b/>
                <w:bCs/>
                <w:sz w:val="16"/>
                <w:szCs w:val="16"/>
                <w:lang w:eastAsia="sv-SE"/>
              </w:rPr>
            </w:pPr>
            <w:r w:rsidRPr="00DE5A2A">
              <w:rPr>
                <w:rFonts w:eastAsia="Times New Roman"/>
                <w:b/>
                <w:bCs/>
                <w:sz w:val="16"/>
                <w:szCs w:val="16"/>
                <w:lang w:eastAsia="sv-SE"/>
              </w:rPr>
              <w:t> </w:t>
            </w:r>
          </w:p>
        </w:tc>
        <w:tc>
          <w:tcPr>
            <w:tcW w:w="1134" w:type="dxa"/>
            <w:tcBorders>
              <w:top w:val="nil"/>
              <w:left w:val="nil"/>
              <w:bottom w:val="single" w:sz="4" w:space="0" w:color="auto"/>
              <w:right w:val="nil"/>
            </w:tcBorders>
            <w:shd w:val="clear" w:color="auto" w:fill="auto"/>
            <w:noWrap/>
            <w:vAlign w:val="bottom"/>
            <w:hideMark/>
          </w:tcPr>
          <w:p w:rsidR="00DE5A2A" w:rsidRPr="00DE5A2A" w:rsidRDefault="00DE5A2A" w:rsidP="00DE5A2A">
            <w:pPr>
              <w:spacing w:before="0" w:line="240" w:lineRule="auto"/>
              <w:jc w:val="right"/>
              <w:rPr>
                <w:rFonts w:eastAsia="Times New Roman"/>
                <w:b/>
                <w:bCs/>
                <w:sz w:val="16"/>
                <w:szCs w:val="16"/>
                <w:lang w:eastAsia="sv-SE"/>
              </w:rPr>
            </w:pPr>
            <w:r w:rsidRPr="00DE5A2A">
              <w:rPr>
                <w:rFonts w:eastAsia="Times New Roman"/>
                <w:b/>
                <w:bCs/>
                <w:sz w:val="16"/>
                <w:szCs w:val="16"/>
                <w:lang w:eastAsia="sv-SE"/>
              </w:rPr>
              <w:t>-181 463</w:t>
            </w:r>
          </w:p>
        </w:tc>
      </w:tr>
    </w:tbl>
    <w:p w:rsidR="00DE5A2A" w:rsidRPr="00DE5A2A" w:rsidRDefault="00DE5A2A" w:rsidP="00DE5A2A">
      <w:pPr>
        <w:spacing w:before="0" w:after="200" w:line="276" w:lineRule="auto"/>
        <w:jc w:val="left"/>
      </w:pPr>
      <w:r w:rsidRPr="00DE5A2A">
        <w:br w:type="page"/>
      </w:r>
    </w:p>
    <w:p w:rsidR="00E32036" w:rsidRPr="00E32036" w:rsidRDefault="00E32036" w:rsidP="00E32036">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31" w:name="_Toc469059103"/>
      <w:bookmarkStart w:id="32" w:name="_Toc474168604"/>
      <w:r w:rsidRPr="00E32036">
        <w:rPr>
          <w:rFonts w:eastAsia="Times New Roman"/>
          <w:bCs/>
          <w:sz w:val="27"/>
          <w:szCs w:val="26"/>
          <w:lang w:eastAsia="sv-SE"/>
        </w:rPr>
        <w:lastRenderedPageBreak/>
        <w:t>4.2 Balansräkning</w:t>
      </w:r>
      <w:bookmarkEnd w:id="31"/>
      <w:bookmarkEnd w:id="32"/>
    </w:p>
    <w:tbl>
      <w:tblPr>
        <w:tblW w:w="5954" w:type="dxa"/>
        <w:tblInd w:w="70" w:type="dxa"/>
        <w:tblLayout w:type="fixed"/>
        <w:tblCellMar>
          <w:left w:w="70" w:type="dxa"/>
          <w:right w:w="70" w:type="dxa"/>
        </w:tblCellMar>
        <w:tblLook w:val="04A0" w:firstRow="1" w:lastRow="0" w:firstColumn="1" w:lastColumn="0" w:noHBand="0" w:noVBand="1"/>
      </w:tblPr>
      <w:tblGrid>
        <w:gridCol w:w="3119"/>
        <w:gridCol w:w="709"/>
        <w:gridCol w:w="992"/>
        <w:gridCol w:w="160"/>
        <w:gridCol w:w="974"/>
      </w:tblGrid>
      <w:tr w:rsidR="00E32036" w:rsidRPr="00E32036" w:rsidTr="00E73937">
        <w:trPr>
          <w:trHeight w:val="340"/>
        </w:trPr>
        <w:tc>
          <w:tcPr>
            <w:tcW w:w="3119"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i/>
                <w:iCs/>
                <w:sz w:val="16"/>
                <w:szCs w:val="16"/>
                <w:lang w:eastAsia="sv-SE"/>
              </w:rPr>
            </w:pPr>
            <w:r w:rsidRPr="00E32036">
              <w:rPr>
                <w:rFonts w:eastAsia="Times New Roman"/>
                <w:b/>
                <w:bCs/>
                <w:i/>
                <w:iCs/>
                <w:sz w:val="16"/>
                <w:szCs w:val="16"/>
                <w:lang w:eastAsia="sv-SE"/>
              </w:rPr>
              <w:t>(Belopp anges i tkr)</w:t>
            </w:r>
          </w:p>
        </w:tc>
        <w:tc>
          <w:tcPr>
            <w:tcW w:w="709"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center"/>
              <w:rPr>
                <w:rFonts w:eastAsia="Times New Roman"/>
                <w:b/>
                <w:bCs/>
                <w:i/>
                <w:iCs/>
                <w:sz w:val="16"/>
                <w:szCs w:val="16"/>
                <w:lang w:eastAsia="sv-SE"/>
              </w:rPr>
            </w:pPr>
            <w:r w:rsidRPr="00E32036">
              <w:rPr>
                <w:rFonts w:eastAsia="Times New Roman"/>
                <w:b/>
                <w:bCs/>
                <w:i/>
                <w:iCs/>
                <w:sz w:val="16"/>
                <w:szCs w:val="16"/>
                <w:lang w:eastAsia="sv-SE"/>
              </w:rPr>
              <w:t>Not</w:t>
            </w:r>
          </w:p>
        </w:tc>
        <w:tc>
          <w:tcPr>
            <w:tcW w:w="992"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2016-12-31</w:t>
            </w:r>
          </w:p>
        </w:tc>
        <w:tc>
          <w:tcPr>
            <w:tcW w:w="160"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 </w:t>
            </w:r>
          </w:p>
        </w:tc>
        <w:tc>
          <w:tcPr>
            <w:tcW w:w="974"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2015-12-31</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TILLGÅNGAR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00"/>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Immateriella anläggningstillgångar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11</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Balanserade utgifter för utveckling</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24 227</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25 978</w:t>
            </w:r>
          </w:p>
        </w:tc>
      </w:tr>
      <w:tr w:rsidR="00E32036" w:rsidRPr="00E32036" w:rsidTr="0069450B">
        <w:trPr>
          <w:trHeight w:val="355"/>
        </w:trPr>
        <w:tc>
          <w:tcPr>
            <w:tcW w:w="3828" w:type="dxa"/>
            <w:gridSpan w:val="2"/>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Rättigheter och andra immateriella anläggningstillgångar</w:t>
            </w: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1 113</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2 092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25 340</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28 070</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Materiella anläggningstillgångar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12</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Byggnader, mark och annan fast egendom</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1 132 269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1 147 910</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Förbättringsutgifter på annans fastighet</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1 504</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3 103</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Maskiner, inventarier, installationer m.m.</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83 720</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73 585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Pågående nyanläggningar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8 382</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2 645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1 225 874</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1 227 243</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Finansiella anläggningstillgångar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13</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Andelar i bostadsrättsföreningar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2 159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2 159</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2 159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2 159</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Fordringar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Kundfordringar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1 806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1 195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Fordringar hos andra myndigheter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14</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16 603</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18 225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Övriga fordringar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70</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39</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18 479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19 459</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Periodavgränsningsposter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15</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Förutbetalda kostnader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33 576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37 050</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33 576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37 050</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Avräkning med statsverket</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16</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-121 417</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-94 822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Kassa och bank</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Behållning räntekonto i Riksgäldskontoret</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206 396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187 820</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Kassa, plusgiro och bank</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30</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30</w:t>
            </w:r>
          </w:p>
        </w:tc>
      </w:tr>
      <w:tr w:rsidR="00E32036" w:rsidRPr="00E32036" w:rsidTr="004B369E">
        <w:trPr>
          <w:trHeight w:val="355"/>
        </w:trPr>
        <w:tc>
          <w:tcPr>
            <w:tcW w:w="3119" w:type="dxa"/>
            <w:tcBorders>
              <w:top w:val="nil"/>
              <w:left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206 426</w:t>
            </w:r>
          </w:p>
        </w:tc>
        <w:tc>
          <w:tcPr>
            <w:tcW w:w="160" w:type="dxa"/>
            <w:tcBorders>
              <w:top w:val="nil"/>
              <w:left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187 850</w:t>
            </w:r>
          </w:p>
        </w:tc>
      </w:tr>
      <w:tr w:rsidR="00E32036" w:rsidRPr="00E32036" w:rsidTr="00922192">
        <w:trPr>
          <w:trHeight w:val="355"/>
        </w:trPr>
        <w:tc>
          <w:tcPr>
            <w:tcW w:w="3119"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 TILLGÅNGAR</w:t>
            </w:r>
          </w:p>
        </w:tc>
        <w:tc>
          <w:tcPr>
            <w:tcW w:w="709"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 </w:t>
            </w: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1 390 440</w:t>
            </w:r>
          </w:p>
        </w:tc>
        <w:tc>
          <w:tcPr>
            <w:tcW w:w="160"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r w:rsidRPr="00E32036">
              <w:rPr>
                <w:rFonts w:eastAsia="Times New Roman"/>
                <w:b/>
                <w:bCs/>
                <w:color w:val="000000"/>
                <w:sz w:val="16"/>
                <w:szCs w:val="16"/>
                <w:lang w:eastAsia="sv-SE"/>
              </w:rPr>
              <w:t> </w:t>
            </w: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1 407 010</w:t>
            </w:r>
          </w:p>
        </w:tc>
      </w:tr>
    </w:tbl>
    <w:p w:rsidR="00922192" w:rsidRDefault="00922192">
      <w:r>
        <w:br w:type="page"/>
      </w:r>
    </w:p>
    <w:p w:rsidR="00922192" w:rsidRDefault="00922192"/>
    <w:tbl>
      <w:tblPr>
        <w:tblW w:w="5954" w:type="dxa"/>
        <w:tblInd w:w="70" w:type="dxa"/>
        <w:tblLayout w:type="fixed"/>
        <w:tblCellMar>
          <w:left w:w="70" w:type="dxa"/>
          <w:right w:w="70" w:type="dxa"/>
        </w:tblCellMar>
        <w:tblLook w:val="04A0" w:firstRow="1" w:lastRow="0" w:firstColumn="1" w:lastColumn="0" w:noHBand="0" w:noVBand="1"/>
      </w:tblPr>
      <w:tblGrid>
        <w:gridCol w:w="3119"/>
        <w:gridCol w:w="709"/>
        <w:gridCol w:w="992"/>
        <w:gridCol w:w="160"/>
        <w:gridCol w:w="974"/>
      </w:tblGrid>
      <w:tr w:rsidR="00E32036" w:rsidRPr="00E32036" w:rsidTr="00922192">
        <w:trPr>
          <w:trHeight w:val="355"/>
        </w:trPr>
        <w:tc>
          <w:tcPr>
            <w:tcW w:w="3119"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i/>
                <w:iCs/>
                <w:sz w:val="16"/>
                <w:szCs w:val="16"/>
                <w:lang w:eastAsia="sv-SE"/>
              </w:rPr>
            </w:pPr>
            <w:r w:rsidRPr="00E32036">
              <w:rPr>
                <w:rFonts w:eastAsia="Times New Roman"/>
                <w:b/>
                <w:bCs/>
                <w:i/>
                <w:iCs/>
                <w:sz w:val="16"/>
                <w:szCs w:val="16"/>
                <w:lang w:eastAsia="sv-SE"/>
              </w:rPr>
              <w:t>(Belopp anges i tkr)</w:t>
            </w:r>
          </w:p>
        </w:tc>
        <w:tc>
          <w:tcPr>
            <w:tcW w:w="709"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center"/>
              <w:rPr>
                <w:rFonts w:eastAsia="Times New Roman"/>
                <w:b/>
                <w:bCs/>
                <w:i/>
                <w:iCs/>
                <w:sz w:val="16"/>
                <w:szCs w:val="16"/>
                <w:lang w:eastAsia="sv-SE"/>
              </w:rPr>
            </w:pPr>
            <w:r w:rsidRPr="00E32036">
              <w:rPr>
                <w:rFonts w:eastAsia="Times New Roman"/>
                <w:b/>
                <w:bCs/>
                <w:i/>
                <w:iCs/>
                <w:sz w:val="16"/>
                <w:szCs w:val="16"/>
                <w:lang w:eastAsia="sv-SE"/>
              </w:rPr>
              <w:t>Not</w:t>
            </w:r>
          </w:p>
        </w:tc>
        <w:tc>
          <w:tcPr>
            <w:tcW w:w="992"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2016-12-31</w:t>
            </w:r>
          </w:p>
        </w:tc>
        <w:tc>
          <w:tcPr>
            <w:tcW w:w="160"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 </w:t>
            </w:r>
          </w:p>
        </w:tc>
        <w:tc>
          <w:tcPr>
            <w:tcW w:w="974" w:type="dxa"/>
            <w:tcBorders>
              <w:top w:val="single" w:sz="4" w:space="0" w:color="auto"/>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2015-12-31</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KAPITAL OCH SKULDER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Myndighetskapital</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17</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Statskapital</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 xml:space="preserve"> </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798 306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825 802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Donationskapital</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 xml:space="preserve"> </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2 202</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2 222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Balanserad kapitalförändring</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 xml:space="preserve"> </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-4 188 209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-4 034 515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Kapitalförändring enligt resultaträkningen</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-609 707</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-181 463</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-3 997 408</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-3 387 954</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Avsättningar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Avsättningar för pensioner och liknande förpliktelser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18</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4 794 023</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4 192 142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Övriga avsättningar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19</w:t>
            </w: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6 098</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5 225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4 800 121</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4 197 367</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Skulder m.m.</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Lån i Riksgäldskontoret</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20</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450 472</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451 387</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Skulder till andra myndigheter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21 944</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21 163</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Leverantörsskulder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54 806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62 777</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Övriga skulder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17 069</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15 952</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544 291</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551 279</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Periodavgränsningsposter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21</w:t>
            </w: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Upplupna kostnader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35 984</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39 705</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Oförbrukade bidrag</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7</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7</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sz w:val="16"/>
                <w:szCs w:val="16"/>
                <w:lang w:eastAsia="sv-SE"/>
              </w:rPr>
            </w:pPr>
            <w:r w:rsidRPr="00E32036">
              <w:rPr>
                <w:rFonts w:eastAsia="Times New Roman"/>
                <w:sz w:val="16"/>
                <w:szCs w:val="16"/>
                <w:lang w:eastAsia="sv-SE"/>
              </w:rPr>
              <w:t>Övriga förutbetalda intäkter</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color w:val="000000"/>
                <w:sz w:val="16"/>
                <w:szCs w:val="16"/>
                <w:lang w:eastAsia="sv-SE"/>
              </w:rPr>
            </w:pPr>
            <w:r w:rsidRPr="00E32036">
              <w:rPr>
                <w:rFonts w:eastAsia="Times New Roman"/>
                <w:color w:val="000000"/>
                <w:sz w:val="16"/>
                <w:szCs w:val="16"/>
                <w:lang w:eastAsia="sv-SE"/>
              </w:rPr>
              <w:t>7 445</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color w:val="000000"/>
                <w:sz w:val="16"/>
                <w:szCs w:val="16"/>
                <w:lang w:eastAsia="sv-SE"/>
              </w:rPr>
            </w:pP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sz w:val="16"/>
                <w:szCs w:val="16"/>
                <w:lang w:eastAsia="sv-SE"/>
              </w:rPr>
            </w:pPr>
            <w:r w:rsidRPr="00E32036">
              <w:rPr>
                <w:rFonts w:eastAsia="Times New Roman"/>
                <w:sz w:val="16"/>
                <w:szCs w:val="16"/>
                <w:lang w:eastAsia="sv-SE"/>
              </w:rPr>
              <w:t>6 607</w:t>
            </w:r>
          </w:p>
        </w:tc>
      </w:tr>
      <w:tr w:rsidR="00E32036" w:rsidRPr="00E32036" w:rsidTr="0069450B">
        <w:trPr>
          <w:trHeight w:val="355"/>
        </w:trPr>
        <w:tc>
          <w:tcPr>
            <w:tcW w:w="311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w:t>
            </w:r>
          </w:p>
        </w:tc>
        <w:tc>
          <w:tcPr>
            <w:tcW w:w="709"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p>
        </w:tc>
        <w:tc>
          <w:tcPr>
            <w:tcW w:w="992"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43 436</w:t>
            </w:r>
          </w:p>
        </w:tc>
        <w:tc>
          <w:tcPr>
            <w:tcW w:w="160"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p>
        </w:tc>
        <w:tc>
          <w:tcPr>
            <w:tcW w:w="974" w:type="dxa"/>
            <w:tcBorders>
              <w:top w:val="nil"/>
              <w:left w:val="nil"/>
              <w:bottom w:val="nil"/>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46 318</w:t>
            </w:r>
          </w:p>
        </w:tc>
      </w:tr>
      <w:tr w:rsidR="00E32036" w:rsidRPr="00E32036" w:rsidTr="0069450B">
        <w:trPr>
          <w:trHeight w:val="355"/>
        </w:trPr>
        <w:tc>
          <w:tcPr>
            <w:tcW w:w="3119"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sz w:val="16"/>
                <w:szCs w:val="16"/>
                <w:lang w:eastAsia="sv-SE"/>
              </w:rPr>
            </w:pPr>
            <w:r w:rsidRPr="00E32036">
              <w:rPr>
                <w:rFonts w:eastAsia="Times New Roman"/>
                <w:b/>
                <w:bCs/>
                <w:sz w:val="16"/>
                <w:szCs w:val="16"/>
                <w:lang w:eastAsia="sv-SE"/>
              </w:rPr>
              <w:t>SUMMA KAPITAL OCH SKULDER</w:t>
            </w:r>
          </w:p>
        </w:tc>
        <w:tc>
          <w:tcPr>
            <w:tcW w:w="709"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center"/>
              <w:rPr>
                <w:rFonts w:eastAsia="Times New Roman"/>
                <w:i/>
                <w:iCs/>
                <w:sz w:val="16"/>
                <w:szCs w:val="16"/>
                <w:lang w:eastAsia="sv-SE"/>
              </w:rPr>
            </w:pPr>
            <w:r w:rsidRPr="00E32036">
              <w:rPr>
                <w:rFonts w:eastAsia="Times New Roman"/>
                <w:i/>
                <w:iCs/>
                <w:sz w:val="16"/>
                <w:szCs w:val="16"/>
                <w:lang w:eastAsia="sv-SE"/>
              </w:rPr>
              <w:t> </w:t>
            </w:r>
          </w:p>
        </w:tc>
        <w:tc>
          <w:tcPr>
            <w:tcW w:w="992"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color w:val="000000"/>
                <w:sz w:val="16"/>
                <w:szCs w:val="16"/>
                <w:lang w:eastAsia="sv-SE"/>
              </w:rPr>
            </w:pPr>
            <w:r w:rsidRPr="00E32036">
              <w:rPr>
                <w:rFonts w:eastAsia="Times New Roman"/>
                <w:b/>
                <w:bCs/>
                <w:color w:val="000000"/>
                <w:sz w:val="16"/>
                <w:szCs w:val="16"/>
                <w:lang w:eastAsia="sv-SE"/>
              </w:rPr>
              <w:t>1 390 440</w:t>
            </w:r>
          </w:p>
        </w:tc>
        <w:tc>
          <w:tcPr>
            <w:tcW w:w="160"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left"/>
              <w:rPr>
                <w:rFonts w:eastAsia="Times New Roman"/>
                <w:b/>
                <w:bCs/>
                <w:color w:val="000000"/>
                <w:sz w:val="16"/>
                <w:szCs w:val="16"/>
                <w:lang w:eastAsia="sv-SE"/>
              </w:rPr>
            </w:pPr>
            <w:r w:rsidRPr="00E32036">
              <w:rPr>
                <w:rFonts w:eastAsia="Times New Roman"/>
                <w:b/>
                <w:bCs/>
                <w:color w:val="000000"/>
                <w:sz w:val="16"/>
                <w:szCs w:val="16"/>
                <w:lang w:eastAsia="sv-SE"/>
              </w:rPr>
              <w:t> </w:t>
            </w:r>
          </w:p>
        </w:tc>
        <w:tc>
          <w:tcPr>
            <w:tcW w:w="974" w:type="dxa"/>
            <w:tcBorders>
              <w:top w:val="nil"/>
              <w:left w:val="nil"/>
              <w:bottom w:val="single" w:sz="4" w:space="0" w:color="auto"/>
              <w:right w:val="nil"/>
            </w:tcBorders>
            <w:shd w:val="clear" w:color="auto" w:fill="auto"/>
            <w:noWrap/>
            <w:vAlign w:val="bottom"/>
            <w:hideMark/>
          </w:tcPr>
          <w:p w:rsidR="00E32036" w:rsidRPr="00E32036" w:rsidRDefault="00E32036" w:rsidP="00E32036">
            <w:pPr>
              <w:spacing w:before="0" w:line="240" w:lineRule="auto"/>
              <w:jc w:val="right"/>
              <w:rPr>
                <w:rFonts w:eastAsia="Times New Roman"/>
                <w:b/>
                <w:bCs/>
                <w:sz w:val="16"/>
                <w:szCs w:val="16"/>
                <w:lang w:eastAsia="sv-SE"/>
              </w:rPr>
            </w:pPr>
            <w:r w:rsidRPr="00E32036">
              <w:rPr>
                <w:rFonts w:eastAsia="Times New Roman"/>
                <w:b/>
                <w:bCs/>
                <w:sz w:val="16"/>
                <w:szCs w:val="16"/>
                <w:lang w:eastAsia="sv-SE"/>
              </w:rPr>
              <w:t>1 407 010</w:t>
            </w:r>
          </w:p>
        </w:tc>
      </w:tr>
    </w:tbl>
    <w:p w:rsidR="00E32036" w:rsidRPr="00E32036" w:rsidRDefault="00E32036" w:rsidP="00E32036"/>
    <w:p w:rsidR="00E32036" w:rsidRPr="00E32036" w:rsidRDefault="00E32036" w:rsidP="00E32036">
      <w:pPr>
        <w:spacing w:before="0"/>
        <w:ind w:firstLine="227"/>
      </w:pPr>
    </w:p>
    <w:p w:rsidR="00E32036" w:rsidRPr="00E32036" w:rsidRDefault="00E32036" w:rsidP="00E32036">
      <w:r w:rsidRPr="00E32036">
        <w:br w:type="page"/>
      </w:r>
    </w:p>
    <w:p w:rsidR="00FE5CD1" w:rsidRPr="00FE5CD1" w:rsidRDefault="00FE5CD1" w:rsidP="00FE5CD1">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33" w:name="_Toc469059104"/>
      <w:bookmarkStart w:id="34" w:name="_Toc474168605"/>
      <w:r w:rsidRPr="00FE5CD1">
        <w:rPr>
          <w:rFonts w:eastAsia="Times New Roman"/>
          <w:bCs/>
          <w:sz w:val="27"/>
          <w:szCs w:val="26"/>
          <w:lang w:eastAsia="sv-SE"/>
        </w:rPr>
        <w:lastRenderedPageBreak/>
        <w:t>4.3 Anslagsredovisning</w:t>
      </w:r>
      <w:bookmarkEnd w:id="33"/>
      <w:bookmarkEnd w:id="34"/>
    </w:p>
    <w:tbl>
      <w:tblPr>
        <w:tblW w:w="6846" w:type="dxa"/>
        <w:tblInd w:w="-1106" w:type="dxa"/>
        <w:tblLayout w:type="fixed"/>
        <w:tblCellMar>
          <w:left w:w="70" w:type="dxa"/>
          <w:right w:w="70" w:type="dxa"/>
        </w:tblCellMar>
        <w:tblLook w:val="04A0" w:firstRow="1" w:lastRow="0" w:firstColumn="1" w:lastColumn="0" w:noHBand="0" w:noVBand="1"/>
      </w:tblPr>
      <w:tblGrid>
        <w:gridCol w:w="1818"/>
        <w:gridCol w:w="492"/>
        <w:gridCol w:w="709"/>
        <w:gridCol w:w="851"/>
        <w:gridCol w:w="518"/>
        <w:gridCol w:w="899"/>
        <w:gridCol w:w="851"/>
        <w:gridCol w:w="708"/>
      </w:tblGrid>
      <w:tr w:rsidR="00FE5CD1" w:rsidRPr="00FE5CD1" w:rsidTr="00E0638C">
        <w:trPr>
          <w:trHeight w:val="1899"/>
        </w:trPr>
        <w:tc>
          <w:tcPr>
            <w:tcW w:w="1818" w:type="dxa"/>
            <w:tcBorders>
              <w:top w:val="single" w:sz="4" w:space="0" w:color="auto"/>
              <w:left w:val="nil"/>
              <w:bottom w:val="single" w:sz="4" w:space="0" w:color="auto"/>
              <w:right w:val="nil"/>
            </w:tcBorders>
            <w:shd w:val="clear" w:color="auto" w:fill="auto"/>
            <w:vAlign w:val="center"/>
            <w:hideMark/>
          </w:tcPr>
          <w:p w:rsidR="00FE5CD1" w:rsidRPr="00FE5CD1" w:rsidRDefault="00FE5CD1" w:rsidP="00584C86">
            <w:pPr>
              <w:spacing w:before="120" w:line="240" w:lineRule="auto"/>
              <w:jc w:val="left"/>
              <w:rPr>
                <w:rFonts w:eastAsia="Times New Roman"/>
                <w:b/>
                <w:bCs/>
                <w:sz w:val="16"/>
                <w:szCs w:val="16"/>
                <w:lang w:eastAsia="sv-SE"/>
              </w:rPr>
            </w:pPr>
            <w:r w:rsidRPr="00FE5CD1">
              <w:rPr>
                <w:rFonts w:eastAsia="Times New Roman"/>
                <w:b/>
                <w:bCs/>
                <w:sz w:val="16"/>
                <w:szCs w:val="16"/>
                <w:lang w:eastAsia="sv-SE"/>
              </w:rPr>
              <w:t>Ramanslag</w:t>
            </w:r>
            <w:r w:rsidRPr="00FE5CD1">
              <w:rPr>
                <w:rFonts w:eastAsia="Times New Roman"/>
                <w:b/>
                <w:bCs/>
                <w:sz w:val="16"/>
                <w:szCs w:val="16"/>
                <w:lang w:eastAsia="sv-SE"/>
              </w:rPr>
              <w:br/>
              <w:t>2016-12-31</w:t>
            </w:r>
            <w:r w:rsidRPr="00FE5CD1">
              <w:rPr>
                <w:rFonts w:eastAsia="Times New Roman"/>
                <w:b/>
                <w:bCs/>
                <w:sz w:val="16"/>
                <w:szCs w:val="16"/>
                <w:lang w:eastAsia="sv-SE"/>
              </w:rPr>
              <w:br/>
              <w:t>(Belopp anges i tkr)</w:t>
            </w:r>
          </w:p>
        </w:tc>
        <w:tc>
          <w:tcPr>
            <w:tcW w:w="492" w:type="dxa"/>
            <w:tcBorders>
              <w:top w:val="single" w:sz="4" w:space="0" w:color="auto"/>
              <w:left w:val="nil"/>
              <w:bottom w:val="single" w:sz="4" w:space="0" w:color="auto"/>
              <w:right w:val="nil"/>
            </w:tcBorders>
            <w:shd w:val="clear" w:color="auto" w:fill="auto"/>
            <w:vAlign w:val="center"/>
            <w:hideMark/>
          </w:tcPr>
          <w:p w:rsidR="00FE5CD1" w:rsidRPr="00FE5CD1" w:rsidRDefault="00FE5CD1" w:rsidP="00584C86">
            <w:pPr>
              <w:spacing w:before="120" w:line="200" w:lineRule="exact"/>
              <w:jc w:val="center"/>
              <w:rPr>
                <w:rFonts w:eastAsia="Times New Roman"/>
                <w:b/>
                <w:bCs/>
                <w:i/>
                <w:iCs/>
                <w:sz w:val="16"/>
                <w:szCs w:val="16"/>
                <w:lang w:eastAsia="sv-SE"/>
              </w:rPr>
            </w:pPr>
            <w:r w:rsidRPr="00FE5CD1">
              <w:rPr>
                <w:rFonts w:eastAsia="Times New Roman"/>
                <w:b/>
                <w:bCs/>
                <w:i/>
                <w:iCs/>
                <w:sz w:val="16"/>
                <w:szCs w:val="16"/>
                <w:lang w:eastAsia="sv-SE"/>
              </w:rPr>
              <w:t>Not</w:t>
            </w:r>
          </w:p>
        </w:tc>
        <w:tc>
          <w:tcPr>
            <w:tcW w:w="709" w:type="dxa"/>
            <w:tcBorders>
              <w:top w:val="single" w:sz="4" w:space="0" w:color="auto"/>
              <w:left w:val="nil"/>
              <w:bottom w:val="single" w:sz="4" w:space="0" w:color="auto"/>
              <w:right w:val="nil"/>
            </w:tcBorders>
            <w:shd w:val="clear" w:color="000000" w:fill="FFFF99"/>
            <w:hideMark/>
          </w:tcPr>
          <w:p w:rsidR="00FE5CD1" w:rsidRPr="00FE5CD1" w:rsidRDefault="00FE5CD1" w:rsidP="00584C86">
            <w:pPr>
              <w:spacing w:before="120" w:line="200" w:lineRule="exact"/>
              <w:jc w:val="right"/>
              <w:rPr>
                <w:rFonts w:eastAsia="Times New Roman"/>
                <w:b/>
                <w:bCs/>
                <w:sz w:val="16"/>
                <w:szCs w:val="16"/>
                <w:lang w:eastAsia="sv-SE"/>
              </w:rPr>
            </w:pPr>
            <w:r w:rsidRPr="00FE5CD1">
              <w:rPr>
                <w:rFonts w:eastAsia="Times New Roman"/>
                <w:b/>
                <w:bCs/>
                <w:sz w:val="16"/>
                <w:szCs w:val="16"/>
                <w:lang w:eastAsia="sv-SE"/>
              </w:rPr>
              <w:t xml:space="preserve">Ingående </w:t>
            </w:r>
            <w:r w:rsidRPr="00FE5CD1">
              <w:rPr>
                <w:rFonts w:eastAsia="Times New Roman"/>
                <w:b/>
                <w:bCs/>
                <w:sz w:val="16"/>
                <w:szCs w:val="16"/>
                <w:lang w:eastAsia="sv-SE"/>
              </w:rPr>
              <w:br/>
              <w:t>över-</w:t>
            </w:r>
            <w:r w:rsidRPr="00FE5CD1">
              <w:rPr>
                <w:rFonts w:eastAsia="Times New Roman"/>
                <w:b/>
                <w:bCs/>
                <w:sz w:val="16"/>
                <w:szCs w:val="16"/>
                <w:lang w:eastAsia="sv-SE"/>
              </w:rPr>
              <w:br/>
              <w:t>förings-</w:t>
            </w:r>
            <w:r w:rsidRPr="00FE5CD1">
              <w:rPr>
                <w:rFonts w:eastAsia="Times New Roman"/>
                <w:b/>
                <w:bCs/>
                <w:sz w:val="16"/>
                <w:szCs w:val="16"/>
                <w:lang w:eastAsia="sv-SE"/>
              </w:rPr>
              <w:br/>
              <w:t>belopp</w:t>
            </w:r>
          </w:p>
        </w:tc>
        <w:tc>
          <w:tcPr>
            <w:tcW w:w="851" w:type="dxa"/>
            <w:tcBorders>
              <w:top w:val="single" w:sz="4" w:space="0" w:color="auto"/>
              <w:left w:val="nil"/>
              <w:bottom w:val="single" w:sz="4" w:space="0" w:color="auto"/>
              <w:right w:val="nil"/>
            </w:tcBorders>
            <w:shd w:val="clear" w:color="auto" w:fill="auto"/>
            <w:hideMark/>
          </w:tcPr>
          <w:p w:rsidR="00FE5CD1" w:rsidRPr="00FE5CD1" w:rsidRDefault="00FE5CD1" w:rsidP="00584C86">
            <w:pPr>
              <w:spacing w:before="120" w:line="200" w:lineRule="exact"/>
              <w:jc w:val="right"/>
              <w:rPr>
                <w:rFonts w:eastAsia="Times New Roman"/>
                <w:b/>
                <w:bCs/>
                <w:sz w:val="16"/>
                <w:szCs w:val="16"/>
                <w:lang w:eastAsia="sv-SE"/>
              </w:rPr>
            </w:pPr>
            <w:r w:rsidRPr="00FE5CD1">
              <w:rPr>
                <w:rFonts w:eastAsia="Times New Roman"/>
                <w:b/>
                <w:bCs/>
                <w:sz w:val="16"/>
                <w:szCs w:val="16"/>
                <w:lang w:eastAsia="sv-SE"/>
              </w:rPr>
              <w:t>Årets till-</w:t>
            </w:r>
            <w:r w:rsidRPr="00FE5CD1">
              <w:rPr>
                <w:rFonts w:eastAsia="Times New Roman"/>
                <w:b/>
                <w:bCs/>
                <w:sz w:val="16"/>
                <w:szCs w:val="16"/>
                <w:lang w:eastAsia="sv-SE"/>
              </w:rPr>
              <w:br/>
              <w:t>delning</w:t>
            </w:r>
            <w:r w:rsidRPr="00FE5CD1">
              <w:rPr>
                <w:rFonts w:eastAsia="Times New Roman"/>
                <w:b/>
                <w:bCs/>
                <w:sz w:val="16"/>
                <w:szCs w:val="16"/>
                <w:lang w:eastAsia="sv-SE"/>
              </w:rPr>
              <w:br/>
              <w:t>enl</w:t>
            </w:r>
            <w:r w:rsidR="006518BE">
              <w:rPr>
                <w:rFonts w:eastAsia="Times New Roman"/>
                <w:b/>
                <w:bCs/>
                <w:sz w:val="16"/>
                <w:szCs w:val="16"/>
                <w:lang w:eastAsia="sv-SE"/>
              </w:rPr>
              <w:t>.</w:t>
            </w:r>
            <w:r w:rsidRPr="00FE5CD1">
              <w:rPr>
                <w:rFonts w:eastAsia="Times New Roman"/>
                <w:b/>
                <w:bCs/>
                <w:sz w:val="16"/>
                <w:szCs w:val="16"/>
                <w:lang w:eastAsia="sv-SE"/>
              </w:rPr>
              <w:t xml:space="preserve"> </w:t>
            </w:r>
            <w:r w:rsidRPr="00FE5CD1">
              <w:rPr>
                <w:rFonts w:eastAsia="Times New Roman"/>
                <w:b/>
                <w:bCs/>
                <w:sz w:val="16"/>
                <w:szCs w:val="16"/>
                <w:lang w:eastAsia="sv-SE"/>
              </w:rPr>
              <w:br/>
              <w:t xml:space="preserve"> anslags-</w:t>
            </w:r>
            <w:r w:rsidRPr="00FE5CD1">
              <w:rPr>
                <w:rFonts w:eastAsia="Times New Roman"/>
                <w:b/>
                <w:bCs/>
                <w:sz w:val="16"/>
                <w:szCs w:val="16"/>
                <w:lang w:eastAsia="sv-SE"/>
              </w:rPr>
              <w:br/>
              <w:t>direktiv</w:t>
            </w:r>
            <w:r w:rsidRPr="00FE5CD1">
              <w:rPr>
                <w:rFonts w:eastAsia="Times New Roman"/>
                <w:b/>
                <w:bCs/>
                <w:sz w:val="16"/>
                <w:szCs w:val="16"/>
                <w:lang w:eastAsia="sv-SE"/>
              </w:rPr>
              <w:br/>
              <w:t>och re-</w:t>
            </w:r>
            <w:r w:rsidRPr="00FE5CD1">
              <w:rPr>
                <w:rFonts w:eastAsia="Times New Roman"/>
                <w:b/>
                <w:bCs/>
                <w:sz w:val="16"/>
                <w:szCs w:val="16"/>
                <w:lang w:eastAsia="sv-SE"/>
              </w:rPr>
              <w:br/>
              <w:t>glerings-</w:t>
            </w:r>
            <w:r w:rsidRPr="00FE5CD1">
              <w:rPr>
                <w:rFonts w:eastAsia="Times New Roman"/>
                <w:b/>
                <w:bCs/>
                <w:sz w:val="16"/>
                <w:szCs w:val="16"/>
                <w:lang w:eastAsia="sv-SE"/>
              </w:rPr>
              <w:br/>
              <w:t>brev</w:t>
            </w:r>
          </w:p>
        </w:tc>
        <w:tc>
          <w:tcPr>
            <w:tcW w:w="518" w:type="dxa"/>
            <w:tcBorders>
              <w:top w:val="single" w:sz="4" w:space="0" w:color="auto"/>
              <w:left w:val="nil"/>
              <w:bottom w:val="single" w:sz="4" w:space="0" w:color="auto"/>
              <w:right w:val="nil"/>
            </w:tcBorders>
            <w:shd w:val="clear" w:color="000000" w:fill="FFFF99"/>
            <w:hideMark/>
          </w:tcPr>
          <w:p w:rsidR="00FE5CD1" w:rsidRPr="00FE5CD1" w:rsidRDefault="00FE5CD1" w:rsidP="00584C86">
            <w:pPr>
              <w:spacing w:before="120" w:line="200" w:lineRule="exact"/>
              <w:jc w:val="right"/>
              <w:rPr>
                <w:rFonts w:eastAsia="Times New Roman"/>
                <w:b/>
                <w:bCs/>
                <w:sz w:val="16"/>
                <w:szCs w:val="16"/>
                <w:lang w:eastAsia="sv-SE"/>
              </w:rPr>
            </w:pPr>
            <w:r w:rsidRPr="00FE5CD1">
              <w:rPr>
                <w:rFonts w:eastAsia="Times New Roman"/>
                <w:b/>
                <w:bCs/>
                <w:sz w:val="16"/>
                <w:szCs w:val="16"/>
                <w:lang w:eastAsia="sv-SE"/>
              </w:rPr>
              <w:t>In-</w:t>
            </w:r>
            <w:r w:rsidRPr="00FE5CD1">
              <w:rPr>
                <w:rFonts w:eastAsia="Times New Roman"/>
                <w:b/>
                <w:bCs/>
                <w:sz w:val="16"/>
                <w:szCs w:val="16"/>
                <w:lang w:eastAsia="sv-SE"/>
              </w:rPr>
              <w:br/>
              <w:t>drag-</w:t>
            </w:r>
            <w:r w:rsidRPr="00FE5CD1">
              <w:rPr>
                <w:rFonts w:eastAsia="Times New Roman"/>
                <w:b/>
                <w:bCs/>
                <w:sz w:val="16"/>
                <w:szCs w:val="16"/>
                <w:lang w:eastAsia="sv-SE"/>
              </w:rPr>
              <w:br/>
              <w:t>ning</w:t>
            </w:r>
          </w:p>
        </w:tc>
        <w:tc>
          <w:tcPr>
            <w:tcW w:w="899" w:type="dxa"/>
            <w:tcBorders>
              <w:top w:val="single" w:sz="4" w:space="0" w:color="auto"/>
              <w:left w:val="nil"/>
              <w:bottom w:val="single" w:sz="4" w:space="0" w:color="auto"/>
              <w:right w:val="nil"/>
            </w:tcBorders>
            <w:shd w:val="clear" w:color="auto" w:fill="auto"/>
            <w:hideMark/>
          </w:tcPr>
          <w:p w:rsidR="00FE5CD1" w:rsidRPr="00FE5CD1" w:rsidRDefault="00FE5CD1" w:rsidP="00584C86">
            <w:pPr>
              <w:spacing w:before="120" w:line="200" w:lineRule="exact"/>
              <w:jc w:val="right"/>
              <w:rPr>
                <w:rFonts w:eastAsia="Times New Roman"/>
                <w:b/>
                <w:bCs/>
                <w:sz w:val="16"/>
                <w:szCs w:val="16"/>
                <w:lang w:eastAsia="sv-SE"/>
              </w:rPr>
            </w:pPr>
            <w:r>
              <w:rPr>
                <w:rFonts w:eastAsia="Times New Roman"/>
                <w:b/>
                <w:bCs/>
                <w:sz w:val="16"/>
                <w:szCs w:val="16"/>
                <w:lang w:eastAsia="sv-SE"/>
              </w:rPr>
              <w:t>Totalt</w:t>
            </w:r>
            <w:r>
              <w:rPr>
                <w:rFonts w:eastAsia="Times New Roman"/>
                <w:b/>
                <w:bCs/>
                <w:sz w:val="16"/>
                <w:szCs w:val="16"/>
                <w:lang w:eastAsia="sv-SE"/>
              </w:rPr>
              <w:br/>
              <w:t>disp.</w:t>
            </w:r>
            <w:r>
              <w:rPr>
                <w:rFonts w:eastAsia="Times New Roman"/>
                <w:b/>
                <w:bCs/>
                <w:sz w:val="16"/>
                <w:szCs w:val="16"/>
                <w:lang w:eastAsia="sv-SE"/>
              </w:rPr>
              <w:br/>
            </w:r>
            <w:r w:rsidRPr="00FE5CD1">
              <w:rPr>
                <w:rFonts w:eastAsia="Times New Roman"/>
                <w:b/>
                <w:bCs/>
                <w:sz w:val="16"/>
                <w:szCs w:val="16"/>
                <w:lang w:eastAsia="sv-SE"/>
              </w:rPr>
              <w:t>belopp</w:t>
            </w:r>
          </w:p>
        </w:tc>
        <w:tc>
          <w:tcPr>
            <w:tcW w:w="851" w:type="dxa"/>
            <w:tcBorders>
              <w:top w:val="single" w:sz="4" w:space="0" w:color="auto"/>
              <w:left w:val="nil"/>
              <w:bottom w:val="single" w:sz="4" w:space="0" w:color="auto"/>
              <w:right w:val="nil"/>
            </w:tcBorders>
            <w:shd w:val="clear" w:color="000000" w:fill="FFFF99"/>
            <w:hideMark/>
          </w:tcPr>
          <w:p w:rsidR="00FE5CD1" w:rsidRPr="00FE5CD1" w:rsidRDefault="00FE5CD1" w:rsidP="00584C86">
            <w:pPr>
              <w:spacing w:before="120" w:line="200" w:lineRule="exact"/>
              <w:jc w:val="right"/>
              <w:rPr>
                <w:rFonts w:eastAsia="Times New Roman"/>
                <w:b/>
                <w:bCs/>
                <w:sz w:val="16"/>
                <w:szCs w:val="16"/>
                <w:lang w:eastAsia="sv-SE"/>
              </w:rPr>
            </w:pPr>
            <w:r w:rsidRPr="00FE5CD1">
              <w:rPr>
                <w:rFonts w:eastAsia="Times New Roman"/>
                <w:b/>
                <w:bCs/>
                <w:sz w:val="16"/>
                <w:szCs w:val="16"/>
                <w:lang w:eastAsia="sv-SE"/>
              </w:rPr>
              <w:t>Netto</w:t>
            </w:r>
            <w:r w:rsidR="006518BE">
              <w:rPr>
                <w:rFonts w:eastAsia="Times New Roman"/>
                <w:b/>
                <w:bCs/>
                <w:sz w:val="16"/>
                <w:szCs w:val="16"/>
                <w:lang w:eastAsia="sv-SE"/>
              </w:rPr>
              <w:t>-</w:t>
            </w:r>
            <w:r w:rsidRPr="00FE5CD1">
              <w:rPr>
                <w:rFonts w:eastAsia="Times New Roman"/>
                <w:b/>
                <w:bCs/>
                <w:sz w:val="16"/>
                <w:szCs w:val="16"/>
                <w:lang w:eastAsia="sv-SE"/>
              </w:rPr>
              <w:br/>
              <w:t>utgifter</w:t>
            </w:r>
          </w:p>
        </w:tc>
        <w:tc>
          <w:tcPr>
            <w:tcW w:w="708" w:type="dxa"/>
            <w:tcBorders>
              <w:top w:val="single" w:sz="4" w:space="0" w:color="auto"/>
              <w:left w:val="nil"/>
              <w:bottom w:val="single" w:sz="4" w:space="0" w:color="auto"/>
              <w:right w:val="nil"/>
            </w:tcBorders>
            <w:shd w:val="clear" w:color="auto" w:fill="auto"/>
            <w:hideMark/>
          </w:tcPr>
          <w:p w:rsidR="00FE5CD1" w:rsidRPr="00FE5CD1" w:rsidRDefault="00FE5CD1" w:rsidP="00584C86">
            <w:pPr>
              <w:spacing w:before="120" w:line="200" w:lineRule="exact"/>
              <w:jc w:val="right"/>
              <w:rPr>
                <w:rFonts w:eastAsia="Times New Roman"/>
                <w:b/>
                <w:bCs/>
                <w:sz w:val="16"/>
                <w:szCs w:val="16"/>
                <w:lang w:eastAsia="sv-SE"/>
              </w:rPr>
            </w:pPr>
            <w:r>
              <w:rPr>
                <w:rFonts w:eastAsia="Times New Roman"/>
                <w:b/>
                <w:bCs/>
                <w:sz w:val="16"/>
                <w:szCs w:val="16"/>
                <w:lang w:eastAsia="sv-SE"/>
              </w:rPr>
              <w:t>Utgående över</w:t>
            </w:r>
            <w:r w:rsidR="0034705A">
              <w:rPr>
                <w:rFonts w:eastAsia="Times New Roman"/>
                <w:b/>
                <w:bCs/>
                <w:sz w:val="16"/>
                <w:szCs w:val="16"/>
                <w:lang w:eastAsia="sv-SE"/>
              </w:rPr>
              <w:t>-</w:t>
            </w:r>
            <w:r w:rsidR="0034705A">
              <w:rPr>
                <w:rFonts w:eastAsia="Times New Roman"/>
                <w:b/>
                <w:bCs/>
                <w:sz w:val="16"/>
                <w:szCs w:val="16"/>
                <w:lang w:eastAsia="sv-SE"/>
              </w:rPr>
              <w:br/>
            </w:r>
            <w:r w:rsidRPr="00FE5CD1">
              <w:rPr>
                <w:rFonts w:eastAsia="Times New Roman"/>
                <w:b/>
                <w:bCs/>
                <w:sz w:val="16"/>
                <w:szCs w:val="16"/>
                <w:lang w:eastAsia="sv-SE"/>
              </w:rPr>
              <w:t>förings-belopp</w:t>
            </w:r>
          </w:p>
        </w:tc>
      </w:tr>
      <w:tr w:rsidR="00FE5CD1" w:rsidRPr="00FE5CD1" w:rsidTr="0069450B">
        <w:trPr>
          <w:trHeight w:val="7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Uo 01 2:1 Riksdagens</w:t>
            </w:r>
            <w:r w:rsidRPr="00FE5CD1">
              <w:rPr>
                <w:rFonts w:eastAsia="Times New Roman"/>
                <w:b/>
                <w:bCs/>
                <w:sz w:val="16"/>
                <w:szCs w:val="16"/>
                <w:lang w:eastAsia="sv-SE"/>
              </w:rPr>
              <w:br/>
              <w:t>ledamöter och partier</w:t>
            </w:r>
            <w:r w:rsidRPr="00FE5CD1">
              <w:rPr>
                <w:rFonts w:eastAsia="Times New Roman"/>
                <w:b/>
                <w:bCs/>
                <w:sz w:val="16"/>
                <w:szCs w:val="16"/>
                <w:lang w:eastAsia="sv-SE"/>
              </w:rPr>
              <w:br/>
              <w:t>m.m.</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Ap.1 Riksdagens leda-</w:t>
            </w:r>
            <w:r w:rsidRPr="00FE5CD1">
              <w:rPr>
                <w:rFonts w:eastAsia="Times New Roman"/>
                <w:b/>
                <w:bCs/>
                <w:sz w:val="16"/>
                <w:szCs w:val="16"/>
                <w:lang w:eastAsia="sv-SE"/>
              </w:rPr>
              <w:br/>
              <w:t>möter och partier m.m.</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r w:rsidRPr="00FE5CD1">
              <w:rPr>
                <w:rFonts w:eastAsia="Times New Roman"/>
                <w:i/>
                <w:iCs/>
                <w:sz w:val="16"/>
                <w:szCs w:val="16"/>
                <w:lang w:eastAsia="sv-SE"/>
              </w:rPr>
              <w:t>22</w:t>
            </w: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37 983</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867 133</w:t>
            </w: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0</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905 116</w:t>
            </w: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-868 626</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sz w:val="16"/>
                <w:szCs w:val="16"/>
                <w:lang w:eastAsia="sv-SE"/>
              </w:rPr>
            </w:pPr>
            <w:r w:rsidRPr="00FE5CD1">
              <w:rPr>
                <w:rFonts w:eastAsia="Times New Roman"/>
                <w:sz w:val="16"/>
                <w:szCs w:val="16"/>
                <w:lang w:eastAsia="sv-SE"/>
              </w:rPr>
              <w:t>36 490</w:t>
            </w:r>
          </w:p>
        </w:tc>
      </w:tr>
      <w:tr w:rsidR="00FE5CD1" w:rsidRPr="00FE5CD1" w:rsidTr="0069450B">
        <w:trPr>
          <w:trHeight w:val="3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Uo 01 2:2 Riksdagens</w:t>
            </w:r>
            <w:r w:rsidRPr="00FE5CD1">
              <w:rPr>
                <w:rFonts w:eastAsia="Times New Roman"/>
                <w:b/>
                <w:bCs/>
                <w:sz w:val="16"/>
                <w:szCs w:val="16"/>
                <w:lang w:eastAsia="sv-SE"/>
              </w:rPr>
              <w:br/>
              <w:t>förvaltningsanslag</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Ap.1 Förvaltnings-</w:t>
            </w:r>
            <w:r w:rsidRPr="00FE5CD1">
              <w:rPr>
                <w:rFonts w:eastAsia="Times New Roman"/>
                <w:b/>
                <w:bCs/>
                <w:sz w:val="16"/>
                <w:szCs w:val="16"/>
                <w:lang w:eastAsia="sv-SE"/>
              </w:rPr>
              <w:br/>
              <w:t>kostnader</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r w:rsidRPr="00FE5CD1">
              <w:rPr>
                <w:rFonts w:eastAsia="Times New Roman"/>
                <w:i/>
                <w:iCs/>
                <w:sz w:val="16"/>
                <w:szCs w:val="16"/>
                <w:lang w:eastAsia="sv-SE"/>
              </w:rPr>
              <w:t>23</w:t>
            </w: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47 442</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715 382</w:t>
            </w: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0</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762 824</w:t>
            </w: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-720 787</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sz w:val="16"/>
                <w:szCs w:val="16"/>
                <w:lang w:eastAsia="sv-SE"/>
              </w:rPr>
            </w:pPr>
            <w:r w:rsidRPr="00FE5CD1">
              <w:rPr>
                <w:rFonts w:eastAsia="Times New Roman"/>
                <w:sz w:val="16"/>
                <w:szCs w:val="16"/>
                <w:lang w:eastAsia="sv-SE"/>
              </w:rPr>
              <w:t>42 037</w:t>
            </w:r>
          </w:p>
        </w:tc>
      </w:tr>
      <w:tr w:rsidR="00FE5CD1" w:rsidRPr="00FE5CD1" w:rsidTr="0069450B">
        <w:trPr>
          <w:trHeight w:val="3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 xml:space="preserve">Uo 01 2:3 Riksdagens </w:t>
            </w:r>
            <w:r w:rsidRPr="00FE5CD1">
              <w:rPr>
                <w:rFonts w:eastAsia="Times New Roman"/>
                <w:b/>
                <w:bCs/>
                <w:sz w:val="16"/>
                <w:szCs w:val="16"/>
                <w:lang w:eastAsia="sv-SE"/>
              </w:rPr>
              <w:br/>
              <w:t>fastighetsanslag</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6518BE" w:rsidP="00FE5CD1">
            <w:pPr>
              <w:spacing w:before="0" w:line="240" w:lineRule="auto"/>
              <w:jc w:val="left"/>
              <w:rPr>
                <w:rFonts w:eastAsia="Times New Roman"/>
                <w:b/>
                <w:bCs/>
                <w:sz w:val="16"/>
                <w:szCs w:val="16"/>
                <w:lang w:eastAsia="sv-SE"/>
              </w:rPr>
            </w:pPr>
            <w:r>
              <w:rPr>
                <w:rFonts w:eastAsia="Times New Roman"/>
                <w:b/>
                <w:bCs/>
                <w:sz w:val="16"/>
                <w:szCs w:val="16"/>
                <w:lang w:eastAsia="sv-SE"/>
              </w:rPr>
              <w:t>Ap.1 Riksdagens fastighets</w:t>
            </w:r>
            <w:r w:rsidR="00FE5CD1" w:rsidRPr="00FE5CD1">
              <w:rPr>
                <w:rFonts w:eastAsia="Times New Roman"/>
                <w:b/>
                <w:bCs/>
                <w:sz w:val="16"/>
                <w:szCs w:val="16"/>
                <w:lang w:eastAsia="sv-SE"/>
              </w:rPr>
              <w:t>anslag</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r w:rsidRPr="00FE5CD1">
              <w:rPr>
                <w:rFonts w:eastAsia="Times New Roman"/>
                <w:i/>
                <w:iCs/>
                <w:sz w:val="16"/>
                <w:szCs w:val="16"/>
                <w:lang w:eastAsia="sv-SE"/>
              </w:rPr>
              <w:t>24</w:t>
            </w: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17 649</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100 000</w:t>
            </w: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0</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117 649</w:t>
            </w: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-68 220</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sz w:val="16"/>
                <w:szCs w:val="16"/>
                <w:lang w:eastAsia="sv-SE"/>
              </w:rPr>
            </w:pPr>
            <w:r w:rsidRPr="00FE5CD1">
              <w:rPr>
                <w:rFonts w:eastAsia="Times New Roman"/>
                <w:sz w:val="16"/>
                <w:szCs w:val="16"/>
                <w:lang w:eastAsia="sv-SE"/>
              </w:rPr>
              <w:t>49 428</w:t>
            </w:r>
          </w:p>
        </w:tc>
      </w:tr>
      <w:tr w:rsidR="00FE5CD1" w:rsidRPr="00FE5CD1" w:rsidTr="0069450B">
        <w:trPr>
          <w:trHeight w:val="3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Uo 01 6:6 Stöd till poli-</w:t>
            </w:r>
            <w:r w:rsidRPr="00FE5CD1">
              <w:rPr>
                <w:rFonts w:eastAsia="Times New Roman"/>
                <w:b/>
                <w:bCs/>
                <w:sz w:val="16"/>
                <w:szCs w:val="16"/>
                <w:lang w:eastAsia="sv-SE"/>
              </w:rPr>
              <w:br/>
              <w:t>tiska partier</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48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Ap.1 Stöd till politiska</w:t>
            </w:r>
            <w:r w:rsidRPr="00FE5CD1">
              <w:rPr>
                <w:rFonts w:eastAsia="Times New Roman"/>
                <w:b/>
                <w:bCs/>
                <w:sz w:val="16"/>
                <w:szCs w:val="16"/>
                <w:lang w:eastAsia="sv-SE"/>
              </w:rPr>
              <w:br/>
              <w:t>partier</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r w:rsidRPr="00FE5CD1">
              <w:rPr>
                <w:rFonts w:eastAsia="Times New Roman"/>
                <w:i/>
                <w:iCs/>
                <w:sz w:val="16"/>
                <w:szCs w:val="16"/>
                <w:lang w:eastAsia="sv-SE"/>
              </w:rPr>
              <w:t>25</w:t>
            </w: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319</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172 200</w:t>
            </w: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-319</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172 200</w:t>
            </w: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-172 131</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sz w:val="16"/>
                <w:szCs w:val="16"/>
                <w:lang w:eastAsia="sv-SE"/>
              </w:rPr>
            </w:pPr>
            <w:r w:rsidRPr="00FE5CD1">
              <w:rPr>
                <w:rFonts w:eastAsia="Times New Roman"/>
                <w:sz w:val="16"/>
                <w:szCs w:val="16"/>
                <w:lang w:eastAsia="sv-SE"/>
              </w:rPr>
              <w:t>69</w:t>
            </w:r>
          </w:p>
        </w:tc>
      </w:tr>
      <w:tr w:rsidR="00FE5CD1" w:rsidRPr="00FE5CD1" w:rsidTr="0069450B">
        <w:trPr>
          <w:trHeight w:val="3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7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Uo17 13</w:t>
            </w:r>
            <w:r w:rsidR="006239CA">
              <w:rPr>
                <w:rFonts w:eastAsia="Times New Roman"/>
                <w:b/>
                <w:bCs/>
                <w:sz w:val="16"/>
                <w:szCs w:val="16"/>
                <w:lang w:eastAsia="sv-SE"/>
              </w:rPr>
              <w:t>:5 Bidrag till</w:t>
            </w:r>
            <w:r w:rsidR="006239CA">
              <w:rPr>
                <w:rFonts w:eastAsia="Times New Roman"/>
                <w:b/>
                <w:bCs/>
                <w:sz w:val="16"/>
                <w:szCs w:val="16"/>
                <w:lang w:eastAsia="sv-SE"/>
              </w:rPr>
              <w:br/>
              <w:t>riksdagspartiers kvinno</w:t>
            </w:r>
            <w:r w:rsidRPr="00FE5CD1">
              <w:rPr>
                <w:rFonts w:eastAsia="Times New Roman"/>
                <w:b/>
                <w:bCs/>
                <w:sz w:val="16"/>
                <w:szCs w:val="16"/>
                <w:lang w:eastAsia="sv-SE"/>
              </w:rPr>
              <w:t>organisationer</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b/>
                <w:bCs/>
                <w:sz w:val="16"/>
                <w:szCs w:val="16"/>
                <w:lang w:eastAsia="sv-SE"/>
              </w:rPr>
            </w:pP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center"/>
              <w:rPr>
                <w:rFonts w:eastAsia="Times New Roman"/>
                <w:b/>
                <w:bCs/>
                <w:sz w:val="16"/>
                <w:szCs w:val="16"/>
                <w:lang w:eastAsia="sv-SE"/>
              </w:rPr>
            </w:pPr>
            <w:r w:rsidRPr="00FE5CD1">
              <w:rPr>
                <w:rFonts w:eastAsia="Times New Roman"/>
                <w:b/>
                <w:bCs/>
                <w:sz w:val="16"/>
                <w:szCs w:val="16"/>
                <w:lang w:eastAsia="sv-SE"/>
              </w:rPr>
              <w:t> </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left"/>
              <w:rPr>
                <w:rFonts w:eastAsia="Times New Roman"/>
                <w:sz w:val="16"/>
                <w:szCs w:val="16"/>
                <w:lang w:eastAsia="sv-SE"/>
              </w:rPr>
            </w:pPr>
            <w:r w:rsidRPr="00FE5CD1">
              <w:rPr>
                <w:rFonts w:eastAsia="Times New Roman"/>
                <w:sz w:val="16"/>
                <w:szCs w:val="16"/>
                <w:lang w:eastAsia="sv-SE"/>
              </w:rPr>
              <w:t> </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left"/>
              <w:rPr>
                <w:rFonts w:eastAsia="Times New Roman"/>
                <w:sz w:val="16"/>
                <w:szCs w:val="16"/>
                <w:lang w:eastAsia="sv-SE"/>
              </w:rPr>
            </w:pPr>
          </w:p>
        </w:tc>
      </w:tr>
      <w:tr w:rsidR="00FE5CD1" w:rsidRPr="00FE5CD1" w:rsidTr="0069450B">
        <w:trPr>
          <w:trHeight w:val="700"/>
        </w:trPr>
        <w:tc>
          <w:tcPr>
            <w:tcW w:w="1818" w:type="dxa"/>
            <w:tcBorders>
              <w:top w:val="nil"/>
              <w:left w:val="nil"/>
              <w:bottom w:val="nil"/>
              <w:right w:val="nil"/>
            </w:tcBorders>
            <w:shd w:val="clear" w:color="auto" w:fill="auto"/>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Ap.1 Stöd till riksdags-</w:t>
            </w:r>
            <w:r w:rsidRPr="00FE5CD1">
              <w:rPr>
                <w:rFonts w:eastAsia="Times New Roman"/>
                <w:b/>
                <w:bCs/>
                <w:sz w:val="16"/>
                <w:szCs w:val="16"/>
                <w:lang w:eastAsia="sv-SE"/>
              </w:rPr>
              <w:br/>
              <w:t>partiers kvinno-</w:t>
            </w:r>
            <w:r w:rsidRPr="00FE5CD1">
              <w:rPr>
                <w:rFonts w:eastAsia="Times New Roman"/>
                <w:b/>
                <w:bCs/>
                <w:sz w:val="16"/>
                <w:szCs w:val="16"/>
                <w:lang w:eastAsia="sv-SE"/>
              </w:rPr>
              <w:br/>
              <w:t>organisationer</w:t>
            </w:r>
          </w:p>
        </w:tc>
        <w:tc>
          <w:tcPr>
            <w:tcW w:w="492"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p>
        </w:tc>
        <w:tc>
          <w:tcPr>
            <w:tcW w:w="709"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0</w:t>
            </w:r>
          </w:p>
        </w:tc>
        <w:tc>
          <w:tcPr>
            <w:tcW w:w="851"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15 000</w:t>
            </w:r>
          </w:p>
        </w:tc>
        <w:tc>
          <w:tcPr>
            <w:tcW w:w="518"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0</w:t>
            </w:r>
          </w:p>
        </w:tc>
        <w:tc>
          <w:tcPr>
            <w:tcW w:w="899"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15 000</w:t>
            </w:r>
          </w:p>
        </w:tc>
        <w:tc>
          <w:tcPr>
            <w:tcW w:w="851" w:type="dxa"/>
            <w:tcBorders>
              <w:top w:val="nil"/>
              <w:left w:val="nil"/>
              <w:bottom w:val="nil"/>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color w:val="000000"/>
                <w:sz w:val="16"/>
                <w:szCs w:val="16"/>
                <w:lang w:eastAsia="sv-SE"/>
              </w:rPr>
            </w:pPr>
            <w:r w:rsidRPr="00FE5CD1">
              <w:rPr>
                <w:rFonts w:eastAsia="Times New Roman"/>
                <w:color w:val="000000"/>
                <w:sz w:val="16"/>
                <w:szCs w:val="16"/>
                <w:lang w:eastAsia="sv-SE"/>
              </w:rPr>
              <w:t>-15 000</w:t>
            </w:r>
          </w:p>
        </w:tc>
        <w:tc>
          <w:tcPr>
            <w:tcW w:w="708" w:type="dxa"/>
            <w:tcBorders>
              <w:top w:val="nil"/>
              <w:left w:val="nil"/>
              <w:bottom w:val="nil"/>
              <w:right w:val="nil"/>
            </w:tcBorders>
            <w:shd w:val="clear" w:color="auto" w:fill="auto"/>
            <w:noWrap/>
            <w:vAlign w:val="bottom"/>
            <w:hideMark/>
          </w:tcPr>
          <w:p w:rsidR="00FE5CD1" w:rsidRPr="00FE5CD1" w:rsidRDefault="00FE5CD1" w:rsidP="00FE5CD1">
            <w:pPr>
              <w:spacing w:before="0" w:line="240" w:lineRule="auto"/>
              <w:jc w:val="right"/>
              <w:rPr>
                <w:rFonts w:eastAsia="Times New Roman"/>
                <w:sz w:val="16"/>
                <w:szCs w:val="16"/>
                <w:lang w:eastAsia="sv-SE"/>
              </w:rPr>
            </w:pPr>
            <w:r w:rsidRPr="00FE5CD1">
              <w:rPr>
                <w:rFonts w:eastAsia="Times New Roman"/>
                <w:sz w:val="16"/>
                <w:szCs w:val="16"/>
                <w:lang w:eastAsia="sv-SE"/>
              </w:rPr>
              <w:t>0</w:t>
            </w:r>
          </w:p>
        </w:tc>
      </w:tr>
      <w:tr w:rsidR="00FE5CD1" w:rsidRPr="00FE5CD1" w:rsidTr="0069450B">
        <w:trPr>
          <w:trHeight w:val="480"/>
        </w:trPr>
        <w:tc>
          <w:tcPr>
            <w:tcW w:w="1818" w:type="dxa"/>
            <w:tcBorders>
              <w:top w:val="nil"/>
              <w:left w:val="nil"/>
              <w:bottom w:val="single" w:sz="4" w:space="0" w:color="auto"/>
              <w:right w:val="nil"/>
            </w:tcBorders>
            <w:shd w:val="clear" w:color="auto" w:fill="auto"/>
            <w:noWrap/>
            <w:vAlign w:val="bottom"/>
            <w:hideMark/>
          </w:tcPr>
          <w:p w:rsidR="00FE5CD1" w:rsidRPr="00FE5CD1" w:rsidRDefault="00FE5CD1" w:rsidP="00FE5CD1">
            <w:pPr>
              <w:spacing w:before="0" w:line="240" w:lineRule="auto"/>
              <w:jc w:val="left"/>
              <w:rPr>
                <w:rFonts w:eastAsia="Times New Roman"/>
                <w:b/>
                <w:bCs/>
                <w:sz w:val="16"/>
                <w:szCs w:val="16"/>
                <w:lang w:eastAsia="sv-SE"/>
              </w:rPr>
            </w:pPr>
            <w:r w:rsidRPr="00FE5CD1">
              <w:rPr>
                <w:rFonts w:eastAsia="Times New Roman"/>
                <w:b/>
                <w:bCs/>
                <w:sz w:val="16"/>
                <w:szCs w:val="16"/>
                <w:lang w:eastAsia="sv-SE"/>
              </w:rPr>
              <w:t>SUMMA ANSLAG</w:t>
            </w:r>
          </w:p>
        </w:tc>
        <w:tc>
          <w:tcPr>
            <w:tcW w:w="492" w:type="dxa"/>
            <w:tcBorders>
              <w:top w:val="nil"/>
              <w:left w:val="nil"/>
              <w:bottom w:val="single" w:sz="4" w:space="0" w:color="auto"/>
              <w:right w:val="nil"/>
            </w:tcBorders>
            <w:shd w:val="clear" w:color="auto" w:fill="auto"/>
            <w:noWrap/>
            <w:vAlign w:val="bottom"/>
            <w:hideMark/>
          </w:tcPr>
          <w:p w:rsidR="00FE5CD1" w:rsidRPr="00FE5CD1" w:rsidRDefault="00FE5CD1" w:rsidP="00FE5CD1">
            <w:pPr>
              <w:spacing w:before="0" w:line="240" w:lineRule="auto"/>
              <w:jc w:val="center"/>
              <w:rPr>
                <w:rFonts w:eastAsia="Times New Roman"/>
                <w:i/>
                <w:iCs/>
                <w:sz w:val="16"/>
                <w:szCs w:val="16"/>
                <w:lang w:eastAsia="sv-SE"/>
              </w:rPr>
            </w:pPr>
            <w:r w:rsidRPr="00FE5CD1">
              <w:rPr>
                <w:rFonts w:eastAsia="Times New Roman"/>
                <w:i/>
                <w:iCs/>
                <w:sz w:val="16"/>
                <w:szCs w:val="16"/>
                <w:lang w:eastAsia="sv-SE"/>
              </w:rPr>
              <w:t> </w:t>
            </w:r>
          </w:p>
        </w:tc>
        <w:tc>
          <w:tcPr>
            <w:tcW w:w="709" w:type="dxa"/>
            <w:tcBorders>
              <w:top w:val="nil"/>
              <w:left w:val="nil"/>
              <w:bottom w:val="single" w:sz="4" w:space="0" w:color="auto"/>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b/>
                <w:bCs/>
                <w:color w:val="000000"/>
                <w:sz w:val="16"/>
                <w:szCs w:val="16"/>
                <w:lang w:eastAsia="sv-SE"/>
              </w:rPr>
            </w:pPr>
            <w:r w:rsidRPr="00FE5CD1">
              <w:rPr>
                <w:rFonts w:eastAsia="Times New Roman"/>
                <w:b/>
                <w:bCs/>
                <w:color w:val="000000"/>
                <w:sz w:val="16"/>
                <w:szCs w:val="16"/>
                <w:lang w:eastAsia="sv-SE"/>
              </w:rPr>
              <w:t>103 392</w:t>
            </w:r>
          </w:p>
        </w:tc>
        <w:tc>
          <w:tcPr>
            <w:tcW w:w="851" w:type="dxa"/>
            <w:tcBorders>
              <w:top w:val="nil"/>
              <w:left w:val="nil"/>
              <w:bottom w:val="single" w:sz="4" w:space="0" w:color="auto"/>
              <w:right w:val="nil"/>
            </w:tcBorders>
            <w:shd w:val="clear" w:color="auto" w:fill="auto"/>
            <w:noWrap/>
            <w:vAlign w:val="bottom"/>
            <w:hideMark/>
          </w:tcPr>
          <w:p w:rsidR="00FE5CD1" w:rsidRPr="00FE5CD1" w:rsidRDefault="00FE5CD1" w:rsidP="00FE5CD1">
            <w:pPr>
              <w:spacing w:before="0" w:line="240" w:lineRule="auto"/>
              <w:jc w:val="right"/>
              <w:rPr>
                <w:rFonts w:eastAsia="Times New Roman"/>
                <w:b/>
                <w:bCs/>
                <w:color w:val="000000"/>
                <w:sz w:val="16"/>
                <w:szCs w:val="16"/>
                <w:lang w:eastAsia="sv-SE"/>
              </w:rPr>
            </w:pPr>
            <w:r w:rsidRPr="00FE5CD1">
              <w:rPr>
                <w:rFonts w:eastAsia="Times New Roman"/>
                <w:b/>
                <w:bCs/>
                <w:color w:val="000000"/>
                <w:sz w:val="16"/>
                <w:szCs w:val="16"/>
                <w:lang w:eastAsia="sv-SE"/>
              </w:rPr>
              <w:t>1 869 715</w:t>
            </w:r>
          </w:p>
        </w:tc>
        <w:tc>
          <w:tcPr>
            <w:tcW w:w="518" w:type="dxa"/>
            <w:tcBorders>
              <w:top w:val="nil"/>
              <w:left w:val="nil"/>
              <w:bottom w:val="single" w:sz="4" w:space="0" w:color="auto"/>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b/>
                <w:bCs/>
                <w:color w:val="000000"/>
                <w:sz w:val="16"/>
                <w:szCs w:val="16"/>
                <w:lang w:eastAsia="sv-SE"/>
              </w:rPr>
            </w:pPr>
            <w:r w:rsidRPr="00FE5CD1">
              <w:rPr>
                <w:rFonts w:eastAsia="Times New Roman"/>
                <w:b/>
                <w:bCs/>
                <w:color w:val="000000"/>
                <w:sz w:val="16"/>
                <w:szCs w:val="16"/>
                <w:lang w:eastAsia="sv-SE"/>
              </w:rPr>
              <w:t>-320</w:t>
            </w:r>
          </w:p>
        </w:tc>
        <w:tc>
          <w:tcPr>
            <w:tcW w:w="899" w:type="dxa"/>
            <w:tcBorders>
              <w:top w:val="nil"/>
              <w:left w:val="nil"/>
              <w:bottom w:val="single" w:sz="4" w:space="0" w:color="auto"/>
              <w:right w:val="nil"/>
            </w:tcBorders>
            <w:shd w:val="clear" w:color="auto" w:fill="auto"/>
            <w:noWrap/>
            <w:vAlign w:val="bottom"/>
            <w:hideMark/>
          </w:tcPr>
          <w:p w:rsidR="00FE5CD1" w:rsidRPr="00FE5CD1" w:rsidRDefault="00FE5CD1" w:rsidP="00FE5CD1">
            <w:pPr>
              <w:spacing w:before="0" w:line="240" w:lineRule="auto"/>
              <w:jc w:val="right"/>
              <w:rPr>
                <w:rFonts w:eastAsia="Times New Roman"/>
                <w:b/>
                <w:bCs/>
                <w:color w:val="000000"/>
                <w:sz w:val="16"/>
                <w:szCs w:val="16"/>
                <w:lang w:eastAsia="sv-SE"/>
              </w:rPr>
            </w:pPr>
            <w:r w:rsidRPr="00FE5CD1">
              <w:rPr>
                <w:rFonts w:eastAsia="Times New Roman"/>
                <w:b/>
                <w:bCs/>
                <w:color w:val="000000"/>
                <w:sz w:val="16"/>
                <w:szCs w:val="16"/>
                <w:lang w:eastAsia="sv-SE"/>
              </w:rPr>
              <w:t>1 972 788</w:t>
            </w:r>
          </w:p>
        </w:tc>
        <w:tc>
          <w:tcPr>
            <w:tcW w:w="851" w:type="dxa"/>
            <w:tcBorders>
              <w:top w:val="nil"/>
              <w:left w:val="nil"/>
              <w:bottom w:val="single" w:sz="4" w:space="0" w:color="auto"/>
              <w:right w:val="nil"/>
            </w:tcBorders>
            <w:shd w:val="clear" w:color="000000" w:fill="FFFF99"/>
            <w:noWrap/>
            <w:vAlign w:val="bottom"/>
            <w:hideMark/>
          </w:tcPr>
          <w:p w:rsidR="00FE5CD1" w:rsidRPr="00FE5CD1" w:rsidRDefault="00FE5CD1" w:rsidP="00FE5CD1">
            <w:pPr>
              <w:spacing w:before="0" w:line="240" w:lineRule="auto"/>
              <w:jc w:val="right"/>
              <w:rPr>
                <w:rFonts w:eastAsia="Times New Roman"/>
                <w:b/>
                <w:bCs/>
                <w:color w:val="000000"/>
                <w:sz w:val="16"/>
                <w:szCs w:val="16"/>
                <w:lang w:eastAsia="sv-SE"/>
              </w:rPr>
            </w:pPr>
            <w:r w:rsidRPr="00FE5CD1">
              <w:rPr>
                <w:rFonts w:eastAsia="Times New Roman"/>
                <w:b/>
                <w:bCs/>
                <w:color w:val="000000"/>
                <w:sz w:val="16"/>
                <w:szCs w:val="16"/>
                <w:lang w:eastAsia="sv-SE"/>
              </w:rPr>
              <w:t>-1 844 764</w:t>
            </w:r>
          </w:p>
        </w:tc>
        <w:tc>
          <w:tcPr>
            <w:tcW w:w="708" w:type="dxa"/>
            <w:tcBorders>
              <w:top w:val="nil"/>
              <w:left w:val="nil"/>
              <w:bottom w:val="single" w:sz="4" w:space="0" w:color="auto"/>
              <w:right w:val="nil"/>
            </w:tcBorders>
            <w:shd w:val="clear" w:color="auto" w:fill="auto"/>
            <w:noWrap/>
            <w:vAlign w:val="bottom"/>
            <w:hideMark/>
          </w:tcPr>
          <w:p w:rsidR="00FE5CD1" w:rsidRPr="00FE5CD1" w:rsidRDefault="00FE5CD1" w:rsidP="00FE5CD1">
            <w:pPr>
              <w:spacing w:before="0" w:line="240" w:lineRule="auto"/>
              <w:jc w:val="right"/>
              <w:rPr>
                <w:rFonts w:eastAsia="Times New Roman"/>
                <w:b/>
                <w:bCs/>
                <w:sz w:val="16"/>
                <w:szCs w:val="16"/>
                <w:lang w:eastAsia="sv-SE"/>
              </w:rPr>
            </w:pPr>
            <w:r w:rsidRPr="00FE5CD1">
              <w:rPr>
                <w:rFonts w:eastAsia="Times New Roman"/>
                <w:b/>
                <w:bCs/>
                <w:sz w:val="16"/>
                <w:szCs w:val="16"/>
                <w:lang w:eastAsia="sv-SE"/>
              </w:rPr>
              <w:t>128 024</w:t>
            </w:r>
          </w:p>
        </w:tc>
      </w:tr>
    </w:tbl>
    <w:p w:rsidR="00FE5CD1" w:rsidRPr="00FE5CD1" w:rsidRDefault="00FE5CD1" w:rsidP="00FE5CD1">
      <w:pPr>
        <w:rPr>
          <w:b/>
        </w:rPr>
      </w:pPr>
    </w:p>
    <w:p w:rsidR="00FE5CD1" w:rsidRPr="00FE5CD1" w:rsidRDefault="00FE5CD1" w:rsidP="00FE5CD1">
      <w:pPr>
        <w:spacing w:before="0"/>
        <w:ind w:firstLine="227"/>
      </w:pPr>
    </w:p>
    <w:p w:rsidR="00FE5CD1" w:rsidRPr="00FE5CD1" w:rsidRDefault="00FE5CD1" w:rsidP="00FE5CD1">
      <w:pPr>
        <w:spacing w:before="0" w:after="200" w:line="276" w:lineRule="auto"/>
        <w:jc w:val="left"/>
      </w:pPr>
      <w:r w:rsidRPr="00FE5CD1">
        <w:br w:type="page"/>
      </w:r>
    </w:p>
    <w:tbl>
      <w:tblPr>
        <w:tblW w:w="6804" w:type="dxa"/>
        <w:tblInd w:w="70" w:type="dxa"/>
        <w:tblLayout w:type="fixed"/>
        <w:tblCellMar>
          <w:left w:w="70" w:type="dxa"/>
          <w:right w:w="70" w:type="dxa"/>
        </w:tblCellMar>
        <w:tblLook w:val="04A0" w:firstRow="1" w:lastRow="0" w:firstColumn="1" w:lastColumn="0" w:noHBand="0" w:noVBand="1"/>
      </w:tblPr>
      <w:tblGrid>
        <w:gridCol w:w="2039"/>
        <w:gridCol w:w="973"/>
        <w:gridCol w:w="974"/>
        <w:gridCol w:w="974"/>
        <w:gridCol w:w="974"/>
        <w:gridCol w:w="870"/>
      </w:tblGrid>
      <w:tr w:rsidR="00C127EF" w:rsidRPr="00C127EF" w:rsidTr="0069450B">
        <w:trPr>
          <w:trHeight w:val="550"/>
        </w:trPr>
        <w:tc>
          <w:tcPr>
            <w:tcW w:w="7956" w:type="dxa"/>
            <w:gridSpan w:val="6"/>
            <w:tcBorders>
              <w:top w:val="nil"/>
              <w:left w:val="nil"/>
              <w:bottom w:val="single" w:sz="4" w:space="0" w:color="auto"/>
              <w:right w:val="nil"/>
            </w:tcBorders>
            <w:shd w:val="clear" w:color="auto" w:fill="auto"/>
            <w:noWrap/>
            <w:vAlign w:val="center"/>
            <w:hideMark/>
          </w:tcPr>
          <w:p w:rsidR="00C127EF" w:rsidRPr="00C127EF" w:rsidRDefault="00C127EF" w:rsidP="00C127EF">
            <w:pPr>
              <w:spacing w:before="0" w:line="240" w:lineRule="auto"/>
              <w:jc w:val="left"/>
              <w:rPr>
                <w:rFonts w:eastAsia="Times New Roman"/>
                <w:sz w:val="22"/>
                <w:szCs w:val="22"/>
                <w:lang w:eastAsia="sv-SE"/>
              </w:rPr>
            </w:pPr>
            <w:bookmarkStart w:id="35" w:name="RANGE!D17:I28"/>
            <w:r w:rsidRPr="00C127EF">
              <w:rPr>
                <w:rFonts w:eastAsia="Times New Roman"/>
                <w:sz w:val="22"/>
                <w:szCs w:val="22"/>
                <w:lang w:eastAsia="sv-SE"/>
              </w:rPr>
              <w:lastRenderedPageBreak/>
              <w:t>Redovisning av beställningsbemyndigande i årsredovisningen</w:t>
            </w:r>
            <w:bookmarkEnd w:id="35"/>
          </w:p>
        </w:tc>
      </w:tr>
      <w:tr w:rsidR="00C127EF" w:rsidRPr="00C127EF" w:rsidTr="0069450B">
        <w:trPr>
          <w:trHeight w:val="240"/>
        </w:trPr>
        <w:tc>
          <w:tcPr>
            <w:tcW w:w="2410" w:type="dxa"/>
            <w:vMerge w:val="restart"/>
            <w:tcBorders>
              <w:top w:val="nil"/>
              <w:left w:val="nil"/>
              <w:bottom w:val="single" w:sz="4" w:space="0" w:color="auto"/>
              <w:right w:val="nil"/>
            </w:tcBorders>
            <w:shd w:val="clear" w:color="auto" w:fill="auto"/>
            <w:vAlign w:val="center"/>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Anslagsbenämning</w:t>
            </w:r>
          </w:p>
        </w:tc>
        <w:tc>
          <w:tcPr>
            <w:tcW w:w="1134" w:type="dxa"/>
            <w:vMerge w:val="restart"/>
            <w:tcBorders>
              <w:top w:val="nil"/>
              <w:left w:val="nil"/>
              <w:bottom w:val="single" w:sz="4" w:space="0" w:color="auto"/>
              <w:right w:val="nil"/>
            </w:tcBorders>
            <w:shd w:val="clear" w:color="auto" w:fill="auto"/>
            <w:vAlign w:val="center"/>
            <w:hideMark/>
          </w:tcPr>
          <w:p w:rsidR="00C127EF" w:rsidRPr="00C127EF" w:rsidRDefault="00C127EF" w:rsidP="00C127EF">
            <w:pPr>
              <w:spacing w:before="0" w:line="240" w:lineRule="auto"/>
              <w:rPr>
                <w:rFonts w:eastAsia="Times New Roman"/>
                <w:b/>
                <w:bCs/>
                <w:sz w:val="16"/>
                <w:szCs w:val="16"/>
                <w:lang w:eastAsia="sv-SE"/>
              </w:rPr>
            </w:pPr>
            <w:r w:rsidRPr="00C127EF">
              <w:rPr>
                <w:rFonts w:eastAsia="Times New Roman"/>
                <w:b/>
                <w:bCs/>
                <w:sz w:val="16"/>
                <w:szCs w:val="16"/>
                <w:lang w:eastAsia="sv-SE"/>
              </w:rPr>
              <w:t xml:space="preserve">Tilldelat </w:t>
            </w:r>
            <w:r>
              <w:rPr>
                <w:rFonts w:eastAsia="Times New Roman"/>
                <w:b/>
                <w:bCs/>
                <w:sz w:val="16"/>
                <w:szCs w:val="16"/>
                <w:lang w:eastAsia="sv-SE"/>
              </w:rPr>
              <w:br/>
            </w:r>
            <w:r w:rsidRPr="00C127EF">
              <w:rPr>
                <w:rFonts w:eastAsia="Times New Roman"/>
                <w:b/>
                <w:bCs/>
                <w:sz w:val="16"/>
                <w:szCs w:val="16"/>
                <w:lang w:eastAsia="sv-SE"/>
              </w:rPr>
              <w:t>bemyn-digande</w:t>
            </w:r>
          </w:p>
        </w:tc>
        <w:tc>
          <w:tcPr>
            <w:tcW w:w="1134" w:type="dxa"/>
            <w:vMerge w:val="restart"/>
            <w:tcBorders>
              <w:top w:val="nil"/>
              <w:left w:val="nil"/>
              <w:bottom w:val="single" w:sz="4" w:space="0" w:color="auto"/>
              <w:right w:val="nil"/>
            </w:tcBorders>
            <w:shd w:val="clear" w:color="auto" w:fill="auto"/>
            <w:vAlign w:val="center"/>
            <w:hideMark/>
          </w:tcPr>
          <w:p w:rsidR="00C127EF" w:rsidRPr="00C127EF" w:rsidRDefault="00C127EF" w:rsidP="00C127EF">
            <w:pPr>
              <w:spacing w:before="0" w:line="240" w:lineRule="auto"/>
              <w:rPr>
                <w:rFonts w:eastAsia="Times New Roman"/>
                <w:b/>
                <w:bCs/>
                <w:sz w:val="16"/>
                <w:szCs w:val="16"/>
                <w:lang w:eastAsia="sv-SE"/>
              </w:rPr>
            </w:pPr>
            <w:r w:rsidRPr="00C127EF">
              <w:rPr>
                <w:rFonts w:eastAsia="Times New Roman"/>
                <w:b/>
                <w:bCs/>
                <w:sz w:val="16"/>
                <w:szCs w:val="16"/>
                <w:lang w:eastAsia="sv-SE"/>
              </w:rPr>
              <w:t>Ingående åtaganden</w:t>
            </w:r>
          </w:p>
        </w:tc>
        <w:tc>
          <w:tcPr>
            <w:tcW w:w="1134" w:type="dxa"/>
            <w:vMerge w:val="restart"/>
            <w:tcBorders>
              <w:top w:val="nil"/>
              <w:left w:val="nil"/>
              <w:bottom w:val="single" w:sz="4" w:space="0" w:color="auto"/>
              <w:right w:val="nil"/>
            </w:tcBorders>
            <w:shd w:val="clear" w:color="auto" w:fill="auto"/>
            <w:vAlign w:val="center"/>
            <w:hideMark/>
          </w:tcPr>
          <w:p w:rsidR="00C127EF" w:rsidRPr="00C127EF" w:rsidRDefault="00C127EF" w:rsidP="00C127EF">
            <w:pPr>
              <w:spacing w:before="0" w:line="240" w:lineRule="auto"/>
              <w:rPr>
                <w:rFonts w:eastAsia="Times New Roman"/>
                <w:b/>
                <w:bCs/>
                <w:sz w:val="16"/>
                <w:szCs w:val="16"/>
                <w:lang w:eastAsia="sv-SE"/>
              </w:rPr>
            </w:pPr>
            <w:r w:rsidRPr="00C127EF">
              <w:rPr>
                <w:rFonts w:eastAsia="Times New Roman"/>
                <w:b/>
                <w:bCs/>
                <w:sz w:val="16"/>
                <w:szCs w:val="16"/>
                <w:lang w:eastAsia="sv-SE"/>
              </w:rPr>
              <w:t xml:space="preserve">Utestående åtaganden </w:t>
            </w:r>
          </w:p>
        </w:tc>
        <w:tc>
          <w:tcPr>
            <w:tcW w:w="2144" w:type="dxa"/>
            <w:gridSpan w:val="2"/>
            <w:tcBorders>
              <w:top w:val="single" w:sz="4" w:space="0" w:color="auto"/>
              <w:left w:val="nil"/>
              <w:bottom w:val="nil"/>
              <w:right w:val="nil"/>
            </w:tcBorders>
            <w:shd w:val="clear" w:color="auto" w:fill="auto"/>
            <w:vAlign w:val="bottom"/>
            <w:hideMark/>
          </w:tcPr>
          <w:p w:rsidR="00C127EF" w:rsidRPr="00C127EF" w:rsidRDefault="00C127EF" w:rsidP="00C127EF">
            <w:pPr>
              <w:spacing w:before="0" w:line="240" w:lineRule="auto"/>
              <w:rPr>
                <w:rFonts w:eastAsia="Times New Roman"/>
                <w:b/>
                <w:bCs/>
                <w:sz w:val="16"/>
                <w:szCs w:val="16"/>
                <w:lang w:eastAsia="sv-SE"/>
              </w:rPr>
            </w:pPr>
            <w:r w:rsidRPr="00C127EF">
              <w:rPr>
                <w:rFonts w:eastAsia="Times New Roman"/>
                <w:b/>
                <w:bCs/>
                <w:sz w:val="16"/>
                <w:szCs w:val="16"/>
                <w:lang w:eastAsia="sv-SE"/>
              </w:rPr>
              <w:t>Utestående åtaganden</w:t>
            </w:r>
          </w:p>
        </w:tc>
      </w:tr>
      <w:tr w:rsidR="00C127EF" w:rsidRPr="00C127EF" w:rsidTr="0069450B">
        <w:trPr>
          <w:trHeight w:val="460"/>
        </w:trPr>
        <w:tc>
          <w:tcPr>
            <w:tcW w:w="2410" w:type="dxa"/>
            <w:vMerge/>
            <w:tcBorders>
              <w:top w:val="nil"/>
              <w:left w:val="nil"/>
              <w:bottom w:val="single" w:sz="4" w:space="0" w:color="auto"/>
              <w:right w:val="nil"/>
            </w:tcBorders>
            <w:vAlign w:val="center"/>
            <w:hideMark/>
          </w:tcPr>
          <w:p w:rsidR="00C127EF" w:rsidRPr="00C127EF" w:rsidRDefault="00C127EF" w:rsidP="00C127EF">
            <w:pPr>
              <w:spacing w:before="0" w:line="240" w:lineRule="auto"/>
              <w:jc w:val="left"/>
              <w:rPr>
                <w:rFonts w:eastAsia="Times New Roman"/>
                <w:b/>
                <w:bCs/>
                <w:sz w:val="16"/>
                <w:szCs w:val="16"/>
                <w:lang w:eastAsia="sv-SE"/>
              </w:rPr>
            </w:pPr>
          </w:p>
        </w:tc>
        <w:tc>
          <w:tcPr>
            <w:tcW w:w="1134" w:type="dxa"/>
            <w:vMerge/>
            <w:tcBorders>
              <w:top w:val="nil"/>
              <w:left w:val="nil"/>
              <w:bottom w:val="single" w:sz="4" w:space="0" w:color="auto"/>
              <w:right w:val="nil"/>
            </w:tcBorders>
            <w:vAlign w:val="center"/>
            <w:hideMark/>
          </w:tcPr>
          <w:p w:rsidR="00C127EF" w:rsidRPr="00C127EF" w:rsidRDefault="00C127EF" w:rsidP="00C127EF">
            <w:pPr>
              <w:spacing w:before="0" w:line="240" w:lineRule="auto"/>
              <w:jc w:val="right"/>
              <w:rPr>
                <w:rFonts w:eastAsia="Times New Roman"/>
                <w:b/>
                <w:bCs/>
                <w:sz w:val="16"/>
                <w:szCs w:val="16"/>
                <w:lang w:eastAsia="sv-SE"/>
              </w:rPr>
            </w:pPr>
          </w:p>
        </w:tc>
        <w:tc>
          <w:tcPr>
            <w:tcW w:w="1134" w:type="dxa"/>
            <w:vMerge/>
            <w:tcBorders>
              <w:top w:val="nil"/>
              <w:left w:val="nil"/>
              <w:bottom w:val="single" w:sz="4" w:space="0" w:color="auto"/>
              <w:right w:val="nil"/>
            </w:tcBorders>
            <w:vAlign w:val="center"/>
            <w:hideMark/>
          </w:tcPr>
          <w:p w:rsidR="00C127EF" w:rsidRPr="00C127EF" w:rsidRDefault="00C127EF" w:rsidP="00C127EF">
            <w:pPr>
              <w:spacing w:before="0" w:line="240" w:lineRule="auto"/>
              <w:jc w:val="right"/>
              <w:rPr>
                <w:rFonts w:eastAsia="Times New Roman"/>
                <w:b/>
                <w:bCs/>
                <w:sz w:val="16"/>
                <w:szCs w:val="16"/>
                <w:lang w:eastAsia="sv-SE"/>
              </w:rPr>
            </w:pPr>
          </w:p>
        </w:tc>
        <w:tc>
          <w:tcPr>
            <w:tcW w:w="1134" w:type="dxa"/>
            <w:vMerge/>
            <w:tcBorders>
              <w:top w:val="nil"/>
              <w:left w:val="nil"/>
              <w:bottom w:val="single" w:sz="4" w:space="0" w:color="auto"/>
              <w:right w:val="nil"/>
            </w:tcBorders>
            <w:vAlign w:val="center"/>
            <w:hideMark/>
          </w:tcPr>
          <w:p w:rsidR="00C127EF" w:rsidRPr="00C127EF" w:rsidRDefault="00C127EF" w:rsidP="00C127EF">
            <w:pPr>
              <w:spacing w:before="0" w:line="240" w:lineRule="auto"/>
              <w:jc w:val="right"/>
              <w:rPr>
                <w:rFonts w:eastAsia="Times New Roman"/>
                <w:b/>
                <w:bCs/>
                <w:sz w:val="16"/>
                <w:szCs w:val="16"/>
                <w:lang w:eastAsia="sv-SE"/>
              </w:rPr>
            </w:pPr>
          </w:p>
        </w:tc>
        <w:tc>
          <w:tcPr>
            <w:tcW w:w="1134" w:type="dxa"/>
            <w:tcBorders>
              <w:top w:val="nil"/>
              <w:left w:val="nil"/>
              <w:bottom w:val="single" w:sz="4" w:space="0" w:color="auto"/>
              <w:right w:val="nil"/>
            </w:tcBorders>
            <w:shd w:val="clear" w:color="auto" w:fill="auto"/>
            <w:vAlign w:val="bottom"/>
            <w:hideMark/>
          </w:tcPr>
          <w:p w:rsidR="00C127EF" w:rsidRPr="00C127EF" w:rsidRDefault="00C127EF" w:rsidP="00C127EF">
            <w:pPr>
              <w:spacing w:before="0" w:line="240" w:lineRule="auto"/>
              <w:jc w:val="right"/>
              <w:rPr>
                <w:rFonts w:eastAsia="Times New Roman"/>
                <w:b/>
                <w:bCs/>
                <w:sz w:val="16"/>
                <w:szCs w:val="16"/>
                <w:lang w:eastAsia="sv-SE"/>
              </w:rPr>
            </w:pPr>
            <w:r w:rsidRPr="00C127EF">
              <w:rPr>
                <w:rFonts w:eastAsia="Times New Roman"/>
                <w:b/>
                <w:bCs/>
                <w:sz w:val="16"/>
                <w:szCs w:val="16"/>
                <w:lang w:eastAsia="sv-SE"/>
              </w:rPr>
              <w:t>2017 </w:t>
            </w:r>
          </w:p>
        </w:tc>
        <w:tc>
          <w:tcPr>
            <w:tcW w:w="1010" w:type="dxa"/>
            <w:tcBorders>
              <w:top w:val="nil"/>
              <w:left w:val="nil"/>
              <w:bottom w:val="single" w:sz="4" w:space="0" w:color="auto"/>
              <w:right w:val="nil"/>
            </w:tcBorders>
            <w:shd w:val="clear" w:color="auto" w:fill="auto"/>
            <w:vAlign w:val="bottom"/>
            <w:hideMark/>
          </w:tcPr>
          <w:p w:rsidR="00C127EF" w:rsidRPr="00C127EF" w:rsidRDefault="00C127EF" w:rsidP="00C127EF">
            <w:pPr>
              <w:spacing w:before="0" w:line="240" w:lineRule="auto"/>
              <w:jc w:val="right"/>
              <w:rPr>
                <w:rFonts w:eastAsia="Times New Roman"/>
                <w:b/>
                <w:bCs/>
                <w:sz w:val="16"/>
                <w:szCs w:val="16"/>
                <w:lang w:eastAsia="sv-SE"/>
              </w:rPr>
            </w:pPr>
          </w:p>
          <w:p w:rsidR="00C127EF" w:rsidRPr="00C127EF" w:rsidRDefault="00C127EF" w:rsidP="00C127EF">
            <w:pPr>
              <w:spacing w:before="0" w:line="240" w:lineRule="auto"/>
              <w:jc w:val="right"/>
              <w:rPr>
                <w:rFonts w:eastAsia="Times New Roman"/>
                <w:b/>
                <w:bCs/>
                <w:sz w:val="16"/>
                <w:szCs w:val="16"/>
                <w:lang w:eastAsia="sv-SE"/>
              </w:rPr>
            </w:pPr>
            <w:r w:rsidRPr="00C127EF">
              <w:rPr>
                <w:rFonts w:eastAsia="Times New Roman"/>
                <w:b/>
                <w:bCs/>
                <w:sz w:val="16"/>
                <w:szCs w:val="16"/>
                <w:lang w:eastAsia="sv-SE"/>
              </w:rPr>
              <w:t>2018 </w:t>
            </w:r>
          </w:p>
        </w:tc>
      </w:tr>
      <w:tr w:rsidR="00C127EF" w:rsidRPr="00C127EF" w:rsidTr="0069450B">
        <w:trPr>
          <w:trHeight w:val="360"/>
        </w:trPr>
        <w:tc>
          <w:tcPr>
            <w:tcW w:w="2410" w:type="dxa"/>
            <w:tcBorders>
              <w:top w:val="single" w:sz="4" w:space="0" w:color="auto"/>
              <w:left w:val="nil"/>
              <w:bottom w:val="nil"/>
              <w:right w:val="nil"/>
            </w:tcBorders>
            <w:shd w:val="clear" w:color="auto" w:fill="auto"/>
            <w:vAlign w:val="bottom"/>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 xml:space="preserve">Uo 01 6:6 Ramanslag </w:t>
            </w:r>
          </w:p>
        </w:tc>
        <w:tc>
          <w:tcPr>
            <w:tcW w:w="1134" w:type="dxa"/>
            <w:tcBorders>
              <w:top w:val="single" w:sz="4" w:space="0" w:color="auto"/>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single" w:sz="4" w:space="0" w:color="auto"/>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single" w:sz="4" w:space="0" w:color="auto"/>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360"/>
        </w:trPr>
        <w:tc>
          <w:tcPr>
            <w:tcW w:w="2410" w:type="dxa"/>
            <w:tcBorders>
              <w:top w:val="nil"/>
              <w:left w:val="nil"/>
              <w:bottom w:val="nil"/>
              <w:right w:val="nil"/>
            </w:tcBorders>
            <w:shd w:val="clear" w:color="auto" w:fill="auto"/>
            <w:vAlign w:val="bottom"/>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Stöd till politiska partier</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360"/>
        </w:trPr>
        <w:tc>
          <w:tcPr>
            <w:tcW w:w="2410" w:type="dxa"/>
            <w:tcBorders>
              <w:top w:val="nil"/>
              <w:left w:val="nil"/>
              <w:bottom w:val="nil"/>
              <w:right w:val="nil"/>
            </w:tcBorders>
            <w:shd w:val="clear" w:color="auto" w:fill="auto"/>
            <w:vAlign w:val="bottom"/>
            <w:hideMark/>
          </w:tcPr>
          <w:p w:rsidR="00C127EF" w:rsidRPr="00C127EF" w:rsidRDefault="00F42DEA" w:rsidP="00F42DEA">
            <w:pPr>
              <w:spacing w:before="120" w:line="240" w:lineRule="auto"/>
              <w:jc w:val="left"/>
              <w:rPr>
                <w:rFonts w:eastAsia="Times New Roman"/>
                <w:b/>
                <w:bCs/>
                <w:i/>
                <w:iCs/>
                <w:sz w:val="16"/>
                <w:szCs w:val="16"/>
                <w:lang w:eastAsia="sv-SE"/>
              </w:rPr>
            </w:pPr>
            <w:r>
              <w:rPr>
                <w:rFonts w:eastAsia="Times New Roman"/>
                <w:b/>
                <w:bCs/>
                <w:i/>
                <w:iCs/>
                <w:sz w:val="16"/>
                <w:szCs w:val="16"/>
                <w:lang w:eastAsia="sv-SE"/>
              </w:rPr>
              <w:t>Ap 1 Stöd till politiska par</w:t>
            </w:r>
            <w:r w:rsidR="00C127EF" w:rsidRPr="00C127EF">
              <w:rPr>
                <w:rFonts w:eastAsia="Times New Roman"/>
                <w:b/>
                <w:bCs/>
                <w:i/>
                <w:iCs/>
                <w:sz w:val="16"/>
                <w:szCs w:val="16"/>
                <w:lang w:eastAsia="sv-SE"/>
              </w:rPr>
              <w:t>tier</w:t>
            </w:r>
          </w:p>
        </w:tc>
        <w:tc>
          <w:tcPr>
            <w:tcW w:w="1134" w:type="dxa"/>
            <w:tcBorders>
              <w:top w:val="nil"/>
              <w:left w:val="nil"/>
              <w:bottom w:val="nil"/>
              <w:right w:val="nil"/>
            </w:tcBorders>
            <w:shd w:val="clear" w:color="auto" w:fill="auto"/>
            <w:noWrap/>
            <w:vAlign w:val="bottom"/>
            <w:hideMark/>
          </w:tcPr>
          <w:p w:rsidR="00C127EF" w:rsidRPr="00C127EF" w:rsidRDefault="00C127EF" w:rsidP="00F42DEA">
            <w:pPr>
              <w:spacing w:before="120" w:line="240" w:lineRule="auto"/>
              <w:jc w:val="right"/>
              <w:rPr>
                <w:rFonts w:eastAsia="Times New Roman"/>
                <w:color w:val="000000"/>
                <w:sz w:val="16"/>
                <w:szCs w:val="16"/>
                <w:lang w:eastAsia="sv-SE"/>
              </w:rPr>
            </w:pPr>
            <w:r w:rsidRPr="00C127EF">
              <w:rPr>
                <w:rFonts w:eastAsia="Times New Roman"/>
                <w:color w:val="000000"/>
                <w:sz w:val="16"/>
                <w:szCs w:val="16"/>
                <w:lang w:eastAsia="sv-SE"/>
              </w:rPr>
              <w:t>171 200</w:t>
            </w:r>
          </w:p>
        </w:tc>
        <w:tc>
          <w:tcPr>
            <w:tcW w:w="1134" w:type="dxa"/>
            <w:tcBorders>
              <w:top w:val="nil"/>
              <w:left w:val="nil"/>
              <w:bottom w:val="nil"/>
              <w:right w:val="nil"/>
            </w:tcBorders>
            <w:shd w:val="clear" w:color="auto" w:fill="auto"/>
            <w:noWrap/>
            <w:vAlign w:val="bottom"/>
            <w:hideMark/>
          </w:tcPr>
          <w:p w:rsidR="00C127EF" w:rsidRPr="00C127EF" w:rsidRDefault="00C127EF" w:rsidP="00F42DEA">
            <w:pPr>
              <w:spacing w:before="120" w:line="240" w:lineRule="auto"/>
              <w:jc w:val="right"/>
              <w:rPr>
                <w:rFonts w:eastAsia="Times New Roman"/>
                <w:color w:val="000000"/>
                <w:sz w:val="16"/>
                <w:szCs w:val="16"/>
                <w:lang w:eastAsia="sv-SE"/>
              </w:rPr>
            </w:pPr>
            <w:r w:rsidRPr="00C127EF">
              <w:rPr>
                <w:rFonts w:eastAsia="Times New Roman"/>
                <w:color w:val="000000"/>
                <w:sz w:val="16"/>
                <w:szCs w:val="16"/>
                <w:lang w:eastAsia="sv-SE"/>
              </w:rPr>
              <w:t>129 098</w:t>
            </w:r>
          </w:p>
        </w:tc>
        <w:tc>
          <w:tcPr>
            <w:tcW w:w="1134" w:type="dxa"/>
            <w:tcBorders>
              <w:top w:val="nil"/>
              <w:left w:val="nil"/>
              <w:bottom w:val="nil"/>
              <w:right w:val="nil"/>
            </w:tcBorders>
            <w:shd w:val="clear" w:color="auto" w:fill="auto"/>
            <w:noWrap/>
            <w:vAlign w:val="bottom"/>
            <w:hideMark/>
          </w:tcPr>
          <w:p w:rsidR="00C127EF" w:rsidRPr="00C127EF" w:rsidRDefault="00C127EF" w:rsidP="00F42DEA">
            <w:pPr>
              <w:spacing w:before="120" w:line="240" w:lineRule="auto"/>
              <w:jc w:val="right"/>
              <w:rPr>
                <w:rFonts w:eastAsia="Times New Roman"/>
                <w:color w:val="000000"/>
                <w:sz w:val="16"/>
                <w:szCs w:val="16"/>
                <w:lang w:eastAsia="sv-SE"/>
              </w:rPr>
            </w:pPr>
            <w:r w:rsidRPr="00C127EF">
              <w:rPr>
                <w:rFonts w:eastAsia="Times New Roman"/>
                <w:color w:val="000000"/>
                <w:sz w:val="16"/>
                <w:szCs w:val="16"/>
                <w:lang w:eastAsia="sv-SE"/>
              </w:rPr>
              <w:t>129 098</w:t>
            </w:r>
          </w:p>
        </w:tc>
        <w:tc>
          <w:tcPr>
            <w:tcW w:w="1134" w:type="dxa"/>
            <w:tcBorders>
              <w:top w:val="nil"/>
              <w:left w:val="nil"/>
              <w:bottom w:val="nil"/>
              <w:right w:val="nil"/>
            </w:tcBorders>
            <w:shd w:val="clear" w:color="auto" w:fill="auto"/>
            <w:noWrap/>
            <w:vAlign w:val="bottom"/>
            <w:hideMark/>
          </w:tcPr>
          <w:p w:rsidR="00C127EF" w:rsidRPr="00C127EF" w:rsidRDefault="00C127EF" w:rsidP="00F42DEA">
            <w:pPr>
              <w:spacing w:before="120" w:line="240" w:lineRule="auto"/>
              <w:jc w:val="right"/>
              <w:rPr>
                <w:rFonts w:eastAsia="Times New Roman"/>
                <w:color w:val="000000"/>
                <w:sz w:val="16"/>
                <w:szCs w:val="16"/>
                <w:lang w:eastAsia="sv-SE"/>
              </w:rPr>
            </w:pPr>
            <w:r w:rsidRPr="00C127EF">
              <w:rPr>
                <w:rFonts w:eastAsia="Times New Roman"/>
                <w:color w:val="000000"/>
                <w:sz w:val="16"/>
                <w:szCs w:val="16"/>
                <w:lang w:eastAsia="sv-SE"/>
              </w:rPr>
              <w:t>129 098</w:t>
            </w:r>
          </w:p>
        </w:tc>
        <w:tc>
          <w:tcPr>
            <w:tcW w:w="1010" w:type="dxa"/>
            <w:tcBorders>
              <w:top w:val="nil"/>
              <w:left w:val="nil"/>
              <w:bottom w:val="nil"/>
              <w:right w:val="nil"/>
            </w:tcBorders>
            <w:shd w:val="clear" w:color="auto" w:fill="auto"/>
            <w:noWrap/>
            <w:vAlign w:val="bottom"/>
            <w:hideMark/>
          </w:tcPr>
          <w:p w:rsidR="00C127EF" w:rsidRPr="00C127EF" w:rsidRDefault="00C127EF" w:rsidP="00F42DEA">
            <w:pPr>
              <w:spacing w:before="120" w:line="240" w:lineRule="auto"/>
              <w:jc w:val="left"/>
              <w:rPr>
                <w:rFonts w:eastAsia="Times New Roman"/>
                <w:color w:val="000000"/>
                <w:sz w:val="16"/>
                <w:szCs w:val="16"/>
                <w:lang w:eastAsia="sv-SE"/>
              </w:rPr>
            </w:pPr>
          </w:p>
        </w:tc>
      </w:tr>
      <w:tr w:rsidR="00C127EF" w:rsidRPr="00C127EF" w:rsidTr="0069450B">
        <w:trPr>
          <w:trHeight w:val="360"/>
        </w:trPr>
        <w:tc>
          <w:tcPr>
            <w:tcW w:w="2410" w:type="dxa"/>
            <w:tcBorders>
              <w:top w:val="nil"/>
              <w:left w:val="nil"/>
              <w:bottom w:val="nil"/>
              <w:right w:val="nil"/>
            </w:tcBorders>
            <w:shd w:val="clear" w:color="auto" w:fill="auto"/>
            <w:vAlign w:val="bottom"/>
            <w:hideMark/>
          </w:tcPr>
          <w:p w:rsidR="00C127EF" w:rsidRPr="00C127EF" w:rsidRDefault="00C127EF" w:rsidP="00C127EF">
            <w:pPr>
              <w:spacing w:before="0" w:line="240" w:lineRule="auto"/>
              <w:jc w:val="right"/>
              <w:rPr>
                <w:rFonts w:eastAsia="Times New Roman"/>
                <w:b/>
                <w:bCs/>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360"/>
        </w:trPr>
        <w:tc>
          <w:tcPr>
            <w:tcW w:w="2410" w:type="dxa"/>
            <w:tcBorders>
              <w:top w:val="nil"/>
              <w:left w:val="nil"/>
              <w:bottom w:val="nil"/>
              <w:right w:val="nil"/>
            </w:tcBorders>
            <w:shd w:val="clear" w:color="auto" w:fill="auto"/>
            <w:vAlign w:val="bottom"/>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 xml:space="preserve">Uo 17 13:5 Ramanslag </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610"/>
        </w:trPr>
        <w:tc>
          <w:tcPr>
            <w:tcW w:w="2410" w:type="dxa"/>
            <w:tcBorders>
              <w:top w:val="nil"/>
              <w:left w:val="nil"/>
              <w:bottom w:val="nil"/>
              <w:right w:val="nil"/>
            </w:tcBorders>
            <w:shd w:val="clear" w:color="auto" w:fill="auto"/>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Bidrag till riksdagspartiers kvinnoorganisationer</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510"/>
        </w:trPr>
        <w:tc>
          <w:tcPr>
            <w:tcW w:w="2410" w:type="dxa"/>
            <w:tcBorders>
              <w:top w:val="nil"/>
              <w:left w:val="nil"/>
              <w:bottom w:val="nil"/>
              <w:right w:val="nil"/>
            </w:tcBorders>
            <w:shd w:val="clear" w:color="auto" w:fill="auto"/>
            <w:hideMark/>
          </w:tcPr>
          <w:p w:rsidR="00C127EF" w:rsidRPr="00C127EF" w:rsidRDefault="00C127EF" w:rsidP="00C127EF">
            <w:pPr>
              <w:spacing w:before="0" w:line="240" w:lineRule="auto"/>
              <w:jc w:val="left"/>
              <w:rPr>
                <w:rFonts w:eastAsia="Times New Roman"/>
                <w:b/>
                <w:bCs/>
                <w:i/>
                <w:iCs/>
                <w:sz w:val="16"/>
                <w:szCs w:val="16"/>
                <w:lang w:eastAsia="sv-SE"/>
              </w:rPr>
            </w:pPr>
            <w:r w:rsidRPr="00C127EF">
              <w:rPr>
                <w:rFonts w:eastAsia="Times New Roman"/>
                <w:b/>
                <w:bCs/>
                <w:i/>
                <w:iCs/>
                <w:sz w:val="16"/>
                <w:szCs w:val="16"/>
                <w:lang w:eastAsia="sv-SE"/>
              </w:rPr>
              <w:t>Ap 1 Stöd till riksdagspartiernas kvinnoorganisationer</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right"/>
              <w:rPr>
                <w:rFonts w:eastAsia="Times New Roman"/>
                <w:color w:val="000000"/>
                <w:sz w:val="16"/>
                <w:szCs w:val="16"/>
                <w:lang w:eastAsia="sv-SE"/>
              </w:rPr>
            </w:pPr>
            <w:r w:rsidRPr="00C127EF">
              <w:rPr>
                <w:rFonts w:eastAsia="Times New Roman"/>
                <w:color w:val="000000"/>
                <w:sz w:val="16"/>
                <w:szCs w:val="16"/>
                <w:lang w:eastAsia="sv-SE"/>
              </w:rPr>
              <w:t>15 000</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right"/>
              <w:rPr>
                <w:rFonts w:eastAsia="Times New Roman"/>
                <w:color w:val="000000"/>
                <w:sz w:val="16"/>
                <w:szCs w:val="16"/>
                <w:lang w:eastAsia="sv-SE"/>
              </w:rPr>
            </w:pPr>
            <w:r w:rsidRPr="00C127EF">
              <w:rPr>
                <w:rFonts w:eastAsia="Times New Roman"/>
                <w:color w:val="000000"/>
                <w:sz w:val="16"/>
                <w:szCs w:val="16"/>
                <w:lang w:eastAsia="sv-SE"/>
              </w:rPr>
              <w:t>15 000</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right"/>
              <w:rPr>
                <w:rFonts w:eastAsia="Times New Roman"/>
                <w:color w:val="000000"/>
                <w:sz w:val="16"/>
                <w:szCs w:val="16"/>
                <w:lang w:eastAsia="sv-SE"/>
              </w:rPr>
            </w:pPr>
            <w:r w:rsidRPr="00C127EF">
              <w:rPr>
                <w:rFonts w:eastAsia="Times New Roman"/>
                <w:color w:val="000000"/>
                <w:sz w:val="16"/>
                <w:szCs w:val="16"/>
                <w:lang w:eastAsia="sv-SE"/>
              </w:rPr>
              <w:t>15 000</w:t>
            </w:r>
          </w:p>
        </w:tc>
        <w:tc>
          <w:tcPr>
            <w:tcW w:w="1134"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right"/>
              <w:rPr>
                <w:rFonts w:eastAsia="Times New Roman"/>
                <w:color w:val="000000"/>
                <w:sz w:val="16"/>
                <w:szCs w:val="16"/>
                <w:lang w:eastAsia="sv-SE"/>
              </w:rPr>
            </w:pPr>
            <w:r w:rsidRPr="00C127EF">
              <w:rPr>
                <w:rFonts w:eastAsia="Times New Roman"/>
                <w:color w:val="000000"/>
                <w:sz w:val="16"/>
                <w:szCs w:val="16"/>
                <w:lang w:eastAsia="sv-SE"/>
              </w:rPr>
              <w:t>15 000</w:t>
            </w:r>
          </w:p>
        </w:tc>
        <w:tc>
          <w:tcPr>
            <w:tcW w:w="1010" w:type="dxa"/>
            <w:tcBorders>
              <w:top w:val="nil"/>
              <w:left w:val="nil"/>
              <w:bottom w:val="nil"/>
              <w:right w:val="nil"/>
            </w:tcBorders>
            <w:shd w:val="clear" w:color="auto" w:fill="auto"/>
            <w:noWrap/>
            <w:vAlign w:val="bottom"/>
            <w:hideMark/>
          </w:tcPr>
          <w:p w:rsidR="00C127EF" w:rsidRPr="00C127EF" w:rsidRDefault="00C127EF" w:rsidP="00C127EF">
            <w:pPr>
              <w:spacing w:before="0" w:line="240" w:lineRule="auto"/>
              <w:jc w:val="left"/>
              <w:rPr>
                <w:rFonts w:eastAsia="Times New Roman"/>
                <w:color w:val="000000"/>
                <w:sz w:val="16"/>
                <w:szCs w:val="16"/>
                <w:lang w:eastAsia="sv-SE"/>
              </w:rPr>
            </w:pPr>
          </w:p>
        </w:tc>
      </w:tr>
      <w:tr w:rsidR="00C127EF" w:rsidRPr="00C127EF" w:rsidTr="0069450B">
        <w:trPr>
          <w:trHeight w:val="360"/>
        </w:trPr>
        <w:tc>
          <w:tcPr>
            <w:tcW w:w="2410"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left"/>
              <w:rPr>
                <w:rFonts w:eastAsia="Times New Roman"/>
                <w:b/>
                <w:bCs/>
                <w:sz w:val="16"/>
                <w:szCs w:val="16"/>
                <w:lang w:eastAsia="sv-SE"/>
              </w:rPr>
            </w:pPr>
            <w:r w:rsidRPr="00C127EF">
              <w:rPr>
                <w:rFonts w:eastAsia="Times New Roman"/>
                <w:b/>
                <w:bCs/>
                <w:sz w:val="16"/>
                <w:szCs w:val="16"/>
                <w:lang w:eastAsia="sv-SE"/>
              </w:rPr>
              <w:t>Summa</w:t>
            </w:r>
          </w:p>
        </w:tc>
        <w:tc>
          <w:tcPr>
            <w:tcW w:w="1134"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right"/>
              <w:rPr>
                <w:rFonts w:eastAsia="Times New Roman"/>
                <w:b/>
                <w:bCs/>
                <w:color w:val="000000"/>
                <w:sz w:val="16"/>
                <w:szCs w:val="16"/>
                <w:lang w:eastAsia="sv-SE"/>
              </w:rPr>
            </w:pPr>
            <w:r w:rsidRPr="00C127EF">
              <w:rPr>
                <w:rFonts w:eastAsia="Times New Roman"/>
                <w:b/>
                <w:bCs/>
                <w:color w:val="000000"/>
                <w:sz w:val="16"/>
                <w:szCs w:val="16"/>
                <w:lang w:eastAsia="sv-SE"/>
              </w:rPr>
              <w:t>186 200</w:t>
            </w:r>
          </w:p>
        </w:tc>
        <w:tc>
          <w:tcPr>
            <w:tcW w:w="1134"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right"/>
              <w:rPr>
                <w:rFonts w:eastAsia="Times New Roman"/>
                <w:b/>
                <w:bCs/>
                <w:color w:val="000000"/>
                <w:sz w:val="16"/>
                <w:szCs w:val="16"/>
                <w:lang w:eastAsia="sv-SE"/>
              </w:rPr>
            </w:pPr>
            <w:r w:rsidRPr="00C127EF">
              <w:rPr>
                <w:rFonts w:eastAsia="Times New Roman"/>
                <w:b/>
                <w:bCs/>
                <w:color w:val="000000"/>
                <w:sz w:val="16"/>
                <w:szCs w:val="16"/>
                <w:lang w:eastAsia="sv-SE"/>
              </w:rPr>
              <w:t>144 098</w:t>
            </w:r>
          </w:p>
        </w:tc>
        <w:tc>
          <w:tcPr>
            <w:tcW w:w="1134"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right"/>
              <w:rPr>
                <w:rFonts w:eastAsia="Times New Roman"/>
                <w:b/>
                <w:bCs/>
                <w:color w:val="000000"/>
                <w:sz w:val="16"/>
                <w:szCs w:val="16"/>
                <w:lang w:eastAsia="sv-SE"/>
              </w:rPr>
            </w:pPr>
            <w:r w:rsidRPr="00C127EF">
              <w:rPr>
                <w:rFonts w:eastAsia="Times New Roman"/>
                <w:b/>
                <w:bCs/>
                <w:color w:val="000000"/>
                <w:sz w:val="16"/>
                <w:szCs w:val="16"/>
                <w:lang w:eastAsia="sv-SE"/>
              </w:rPr>
              <w:t>144 098</w:t>
            </w:r>
          </w:p>
        </w:tc>
        <w:tc>
          <w:tcPr>
            <w:tcW w:w="1134"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right"/>
              <w:rPr>
                <w:rFonts w:eastAsia="Times New Roman"/>
                <w:b/>
                <w:bCs/>
                <w:color w:val="000000"/>
                <w:sz w:val="16"/>
                <w:szCs w:val="16"/>
                <w:lang w:eastAsia="sv-SE"/>
              </w:rPr>
            </w:pPr>
            <w:r w:rsidRPr="00C127EF">
              <w:rPr>
                <w:rFonts w:eastAsia="Times New Roman"/>
                <w:b/>
                <w:bCs/>
                <w:color w:val="000000"/>
                <w:sz w:val="16"/>
                <w:szCs w:val="16"/>
                <w:lang w:eastAsia="sv-SE"/>
              </w:rPr>
              <w:t>144 098</w:t>
            </w:r>
          </w:p>
        </w:tc>
        <w:tc>
          <w:tcPr>
            <w:tcW w:w="1010" w:type="dxa"/>
            <w:tcBorders>
              <w:top w:val="nil"/>
              <w:left w:val="nil"/>
              <w:bottom w:val="single" w:sz="4" w:space="0" w:color="auto"/>
              <w:right w:val="nil"/>
            </w:tcBorders>
            <w:shd w:val="clear" w:color="auto" w:fill="auto"/>
            <w:noWrap/>
            <w:vAlign w:val="bottom"/>
            <w:hideMark/>
          </w:tcPr>
          <w:p w:rsidR="00C127EF" w:rsidRPr="00C127EF" w:rsidRDefault="00C127EF" w:rsidP="00C127EF">
            <w:pPr>
              <w:spacing w:before="0" w:line="240" w:lineRule="auto"/>
              <w:jc w:val="right"/>
              <w:rPr>
                <w:rFonts w:eastAsia="Times New Roman"/>
                <w:b/>
                <w:bCs/>
                <w:color w:val="000000"/>
                <w:sz w:val="16"/>
                <w:szCs w:val="16"/>
                <w:lang w:eastAsia="sv-SE"/>
              </w:rPr>
            </w:pPr>
            <w:r w:rsidRPr="00C127EF">
              <w:rPr>
                <w:rFonts w:eastAsia="Times New Roman"/>
                <w:b/>
                <w:bCs/>
                <w:color w:val="000000"/>
                <w:sz w:val="16"/>
                <w:szCs w:val="16"/>
                <w:lang w:eastAsia="sv-SE"/>
              </w:rPr>
              <w:t>0</w:t>
            </w:r>
          </w:p>
        </w:tc>
      </w:tr>
    </w:tbl>
    <w:p w:rsidR="00C127EF" w:rsidRPr="00C127EF" w:rsidRDefault="00C127EF" w:rsidP="00C127EF">
      <w:pPr>
        <w:spacing w:before="0" w:after="200" w:line="276" w:lineRule="auto"/>
        <w:jc w:val="left"/>
      </w:pPr>
      <w:r w:rsidRPr="00C127EF">
        <w:br w:type="page"/>
      </w:r>
    </w:p>
    <w:p w:rsidR="00FF4AE3" w:rsidRPr="00FF4AE3" w:rsidRDefault="00FF4AE3" w:rsidP="00FF4AE3">
      <w:pPr>
        <w:keepNext/>
        <w:keepLines/>
        <w:tabs>
          <w:tab w:val="left" w:pos="284"/>
          <w:tab w:val="left" w:pos="567"/>
          <w:tab w:val="left" w:pos="851"/>
          <w:tab w:val="left" w:pos="1134"/>
          <w:tab w:val="left" w:pos="1418"/>
        </w:tabs>
        <w:suppressAutoHyphens/>
        <w:spacing w:before="400"/>
        <w:jc w:val="left"/>
        <w:outlineLvl w:val="1"/>
        <w:rPr>
          <w:rFonts w:eastAsiaTheme="majorEastAsia"/>
          <w:bCs/>
          <w:sz w:val="27"/>
          <w:szCs w:val="26"/>
        </w:rPr>
      </w:pPr>
      <w:bookmarkStart w:id="36" w:name="_Toc474168606"/>
      <w:r w:rsidRPr="00FF4AE3">
        <w:rPr>
          <w:rFonts w:eastAsiaTheme="majorEastAsia"/>
          <w:bCs/>
          <w:sz w:val="27"/>
          <w:szCs w:val="26"/>
        </w:rPr>
        <w:lastRenderedPageBreak/>
        <w:t>4.4 Tilläggsupplysningar och noter</w:t>
      </w:r>
      <w:bookmarkEnd w:id="36"/>
    </w:p>
    <w:p w:rsidR="00FF4AE3" w:rsidRPr="00FF4AE3" w:rsidRDefault="00FF4AE3" w:rsidP="00FF4AE3">
      <w:pPr>
        <w:rPr>
          <w:i/>
          <w:sz w:val="20"/>
        </w:rPr>
      </w:pPr>
      <w:r w:rsidRPr="00FF4AE3">
        <w:rPr>
          <w:sz w:val="20"/>
        </w:rPr>
        <w:t>Alla belopp redovisas i tusental kronor (tkr) om inget annat anges. Till följd av detta kan summeringsdifferenser förekomma.</w:t>
      </w:r>
    </w:p>
    <w:p w:rsidR="00FF4AE3" w:rsidRPr="00FF4AE3" w:rsidRDefault="00FF4AE3" w:rsidP="00007513">
      <w:pPr>
        <w:keepNext/>
        <w:keepLines/>
        <w:suppressAutoHyphens/>
        <w:spacing w:before="240"/>
        <w:rPr>
          <w:rFonts w:eastAsiaTheme="majorEastAsia"/>
          <w:b/>
          <w:bCs/>
          <w:sz w:val="20"/>
        </w:rPr>
      </w:pPr>
      <w:r w:rsidRPr="00FF4AE3">
        <w:rPr>
          <w:rFonts w:eastAsiaTheme="majorEastAsia"/>
          <w:b/>
          <w:bCs/>
          <w:sz w:val="20"/>
        </w:rPr>
        <w:t>Redovisningsprinciper</w:t>
      </w:r>
    </w:p>
    <w:p w:rsidR="00FF4AE3" w:rsidRPr="00FF4AE3" w:rsidRDefault="00FF4AE3" w:rsidP="00007513">
      <w:pPr>
        <w:spacing w:before="120"/>
        <w:rPr>
          <w:rFonts w:eastAsiaTheme="majorEastAsia" w:cstheme="majorBidi"/>
          <w:bCs/>
          <w:i/>
          <w:iCs/>
          <w:color w:val="000000" w:themeColor="text1"/>
          <w:sz w:val="20"/>
        </w:rPr>
      </w:pPr>
      <w:r w:rsidRPr="00FF4AE3">
        <w:rPr>
          <w:rFonts w:eastAsiaTheme="majorEastAsia" w:cstheme="majorBidi"/>
          <w:bCs/>
          <w:i/>
          <w:iCs/>
          <w:color w:val="000000" w:themeColor="text1"/>
          <w:sz w:val="20"/>
        </w:rPr>
        <w:t>Tillämpade redovisningsprinciper</w:t>
      </w:r>
    </w:p>
    <w:p w:rsidR="00FF4AE3" w:rsidRPr="00FF4AE3" w:rsidRDefault="00FF4AE3" w:rsidP="00B07C36">
      <w:pPr>
        <w:rPr>
          <w:sz w:val="20"/>
        </w:rPr>
      </w:pPr>
      <w:r w:rsidRPr="00FF4AE3">
        <w:rPr>
          <w:sz w:val="20"/>
        </w:rPr>
        <w:t xml:space="preserve">Årsredovisningen är upprättad i enlighet med lagen (2006:999) med ekonomiadministrativa bestämmelser m.m. för Riksdagsförvaltningen, Riksdagens ombudsmän och Riksrevisionen (REA-lagen) samt föreskriften (RFS 2006:10) om tillämpningen av lagen och riktlinjer (2007:1) till föreskriften. Lagen (2005:590) om insyn i vissa finansiella förbindelser m.m. bedöms inte </w:t>
      </w:r>
      <w:r w:rsidR="001C2D3E">
        <w:rPr>
          <w:sz w:val="20"/>
        </w:rPr>
        <w:t xml:space="preserve">som </w:t>
      </w:r>
      <w:r w:rsidRPr="00FF4AE3">
        <w:rPr>
          <w:sz w:val="20"/>
        </w:rPr>
        <w:t xml:space="preserve">tillämplig för Riksdagsförvaltningen. </w:t>
      </w:r>
    </w:p>
    <w:p w:rsidR="00FF4AE3" w:rsidRPr="00FF4AE3" w:rsidRDefault="00FF4AE3" w:rsidP="00FF4AE3">
      <w:pPr>
        <w:spacing w:before="0"/>
        <w:ind w:firstLine="227"/>
        <w:rPr>
          <w:sz w:val="20"/>
        </w:rPr>
      </w:pPr>
      <w:r w:rsidRPr="00FF4AE3">
        <w:rPr>
          <w:sz w:val="20"/>
        </w:rPr>
        <w:t xml:space="preserve">I enlighet med ESV:s föreskrifter till 10 § FBF tillämpar Riksdagsförvaltningen den 5 januari som brytdag. Efter brytdagen har fakturor som överstiger 100 tkr bokförts som periodavgränsningsposter. </w:t>
      </w:r>
    </w:p>
    <w:p w:rsidR="00FF4AE3" w:rsidRPr="00FF4AE3" w:rsidRDefault="00FF4AE3" w:rsidP="00FA544F">
      <w:pPr>
        <w:spacing w:before="200"/>
        <w:rPr>
          <w:rFonts w:eastAsiaTheme="majorEastAsia" w:cstheme="majorBidi"/>
          <w:bCs/>
          <w:i/>
          <w:iCs/>
          <w:color w:val="000000" w:themeColor="text1"/>
          <w:sz w:val="20"/>
        </w:rPr>
      </w:pPr>
      <w:r w:rsidRPr="00FF4AE3">
        <w:rPr>
          <w:rFonts w:eastAsiaTheme="majorEastAsia" w:cstheme="majorBidi"/>
          <w:bCs/>
          <w:i/>
          <w:iCs/>
          <w:color w:val="000000" w:themeColor="text1"/>
          <w:sz w:val="20"/>
        </w:rPr>
        <w:t>Ändrade redovisningsprinciper</w:t>
      </w:r>
    </w:p>
    <w:p w:rsidR="00FF4AE3" w:rsidRPr="00FF4AE3" w:rsidRDefault="00FF4AE3" w:rsidP="00FF4AE3">
      <w:pPr>
        <w:rPr>
          <w:sz w:val="20"/>
        </w:rPr>
      </w:pPr>
      <w:r w:rsidRPr="00FF4AE3">
        <w:rPr>
          <w:sz w:val="20"/>
        </w:rPr>
        <w:t xml:space="preserve">Från och med budgetåret 2016 har Riksdagsförvaltningen infört komponentredovisning enligt ESVs regelverk, vilket innebär att fastigheterna kommer </w:t>
      </w:r>
      <w:r w:rsidR="001C2D3E">
        <w:rPr>
          <w:sz w:val="20"/>
        </w:rPr>
        <w:t xml:space="preserve">att </w:t>
      </w:r>
      <w:r w:rsidRPr="00FF4AE3">
        <w:rPr>
          <w:sz w:val="20"/>
        </w:rPr>
        <w:t>skrivas av enligt komp</w:t>
      </w:r>
      <w:r w:rsidR="001C2D3E">
        <w:rPr>
          <w:sz w:val="20"/>
        </w:rPr>
        <w:t>onentens beräknade nyttjande</w:t>
      </w:r>
      <w:r w:rsidRPr="00FF4AE3">
        <w:rPr>
          <w:sz w:val="20"/>
        </w:rPr>
        <w:t>period. Införandet av komponentredovisning kommer att ske succes</w:t>
      </w:r>
      <w:r w:rsidR="001C2D3E">
        <w:rPr>
          <w:sz w:val="20"/>
        </w:rPr>
        <w:t>s</w:t>
      </w:r>
      <w:r w:rsidRPr="00FF4AE3">
        <w:rPr>
          <w:sz w:val="20"/>
        </w:rPr>
        <w:t>ivt. Enligt ESV</w:t>
      </w:r>
      <w:r w:rsidR="001C2D3E">
        <w:rPr>
          <w:sz w:val="20"/>
        </w:rPr>
        <w:t>:</w:t>
      </w:r>
      <w:r w:rsidRPr="00FF4AE3">
        <w:rPr>
          <w:sz w:val="20"/>
        </w:rPr>
        <w:t>s övergångsbestämmelser finns inget krav på retroaktivitet, däremot har renoveringen av fastigheten Mercurius som avslutades under 2014 delats upp i komponenter, då det rör sig om betydande belopp i närtid. I samband med övergången till komponentredovisning gjordes en översyn av avskrivningstiden för fastigheterna</w:t>
      </w:r>
      <w:r w:rsidR="00D756FB">
        <w:rPr>
          <w:sz w:val="20"/>
        </w:rPr>
        <w:t>,</w:t>
      </w:r>
      <w:r w:rsidRPr="00FF4AE3">
        <w:rPr>
          <w:sz w:val="20"/>
        </w:rPr>
        <w:t xml:space="preserve"> vilket innebar en ändring av avskrivningstiden från 30</w:t>
      </w:r>
      <w:r w:rsidR="00D756FB">
        <w:rPr>
          <w:sz w:val="20"/>
        </w:rPr>
        <w:t>–50 år till 10–</w:t>
      </w:r>
      <w:r w:rsidRPr="00FF4AE3">
        <w:rPr>
          <w:sz w:val="20"/>
        </w:rPr>
        <w:t xml:space="preserve">150 år. Detta har påverkat avskrivningskostnaden för lånefinansierade anläggningstillgångar med ca </w:t>
      </w:r>
      <w:r w:rsidR="00D756FB">
        <w:rPr>
          <w:sz w:val="20"/>
        </w:rPr>
        <w:t>-</w:t>
      </w:r>
      <w:r w:rsidRPr="00FF4AE3">
        <w:rPr>
          <w:sz w:val="20"/>
        </w:rPr>
        <w:t>1,527 tkr och avskrivningskostnaden för anslagsfinansierade tillgångar, med -20 038 tkr. Någon omräkning av jämförelsetalen har inte gjorts.</w:t>
      </w:r>
    </w:p>
    <w:p w:rsidR="00FF4AE3" w:rsidRPr="00FF4AE3" w:rsidRDefault="00FF4AE3" w:rsidP="00FA544F">
      <w:pPr>
        <w:spacing w:before="200"/>
        <w:rPr>
          <w:rFonts w:eastAsiaTheme="majorEastAsia" w:cstheme="majorBidi"/>
          <w:bCs/>
          <w:i/>
          <w:iCs/>
          <w:color w:val="000000" w:themeColor="text1"/>
          <w:sz w:val="20"/>
        </w:rPr>
      </w:pPr>
      <w:r w:rsidRPr="00FF4AE3">
        <w:rPr>
          <w:rFonts w:eastAsiaTheme="majorEastAsia" w:cstheme="majorBidi"/>
          <w:bCs/>
          <w:i/>
          <w:iCs/>
          <w:color w:val="000000" w:themeColor="text1"/>
          <w:sz w:val="20"/>
        </w:rPr>
        <w:t>Kostnadsmässig anslagsavräkning</w:t>
      </w:r>
    </w:p>
    <w:p w:rsidR="00FF4AE3" w:rsidRPr="00FF4AE3" w:rsidRDefault="00FF4AE3" w:rsidP="00FF4AE3">
      <w:pPr>
        <w:rPr>
          <w:sz w:val="20"/>
        </w:rPr>
      </w:pPr>
      <w:r w:rsidRPr="00FF4AE3">
        <w:rPr>
          <w:sz w:val="20"/>
        </w:rPr>
        <w:t>För semesterdagar som har intjänats före 2009 avräknas fr</w:t>
      </w:r>
      <w:r w:rsidR="00B1214A">
        <w:rPr>
          <w:sz w:val="20"/>
        </w:rPr>
        <w:t>ån och med</w:t>
      </w:r>
      <w:r w:rsidRPr="00FF4AE3">
        <w:rPr>
          <w:sz w:val="20"/>
        </w:rPr>
        <w:t xml:space="preserve"> 2009 anslaget först vid uttaget enligt undantagsbestämmelsen. Utgående balans</w:t>
      </w:r>
      <w:r w:rsidR="00685182">
        <w:rPr>
          <w:sz w:val="20"/>
        </w:rPr>
        <w:t>,</w:t>
      </w:r>
      <w:r w:rsidRPr="00FF4AE3">
        <w:rPr>
          <w:sz w:val="20"/>
        </w:rPr>
        <w:t xml:space="preserve"> </w:t>
      </w:r>
      <w:r w:rsidR="00685182">
        <w:rPr>
          <w:sz w:val="20"/>
        </w:rPr>
        <w:t xml:space="preserve">som </w:t>
      </w:r>
      <w:r w:rsidRPr="00FF4AE3">
        <w:rPr>
          <w:sz w:val="20"/>
        </w:rPr>
        <w:t xml:space="preserve">2015 </w:t>
      </w:r>
      <w:r w:rsidR="00685182">
        <w:rPr>
          <w:sz w:val="20"/>
        </w:rPr>
        <w:t xml:space="preserve">var </w:t>
      </w:r>
      <w:r w:rsidRPr="00FF4AE3">
        <w:rPr>
          <w:sz w:val="20"/>
        </w:rPr>
        <w:t>8 251 tkr, har 2016 minskat med 1 713 tkr till 6 538 tkr.</w:t>
      </w:r>
    </w:p>
    <w:p w:rsidR="00FF4AE3" w:rsidRPr="00FF4AE3" w:rsidRDefault="00FF4AE3" w:rsidP="00FF4AE3">
      <w:pPr>
        <w:spacing w:before="0"/>
        <w:ind w:firstLine="227"/>
        <w:rPr>
          <w:sz w:val="20"/>
        </w:rPr>
      </w:pPr>
      <w:r w:rsidRPr="00FF4AE3">
        <w:rPr>
          <w:sz w:val="20"/>
        </w:rPr>
        <w:t>Avsättningar för riksdagsledamöternas pensioner och inkomstgarantier undantas från bestämmelserna om kostnadsmässig anslagsavräkning, i enlighet med riksdagens beslut (se bet. 2008/09:FiU15 rskr. 2008/09:30). Då det nyinrättade ekonomiska omställningsstödet har samma syfte som inkomstgarantierna och mot bakgrund av REA-lagskommitténs uttalande (2015/16:URF1 s</w:t>
      </w:r>
      <w:r w:rsidR="00D756FB">
        <w:rPr>
          <w:sz w:val="20"/>
        </w:rPr>
        <w:t>. 51–</w:t>
      </w:r>
      <w:r w:rsidRPr="00FF4AE3">
        <w:rPr>
          <w:sz w:val="20"/>
        </w:rPr>
        <w:t>52) och förslag till en ny lag om budget och ekonomiadministration för riksdagens myndigheter undantas även avsättningar för ledamöternas ekonomiska omställningsstöd från kostnadsmässig anslagsavräkning.</w:t>
      </w:r>
    </w:p>
    <w:p w:rsidR="00FF4AE3" w:rsidRPr="00FF4AE3" w:rsidRDefault="00FF4AE3" w:rsidP="00007513">
      <w:pPr>
        <w:keepNext/>
        <w:keepLines/>
        <w:suppressAutoHyphens/>
        <w:spacing w:before="240"/>
        <w:rPr>
          <w:rFonts w:eastAsiaTheme="majorEastAsia"/>
          <w:b/>
          <w:bCs/>
          <w:sz w:val="20"/>
        </w:rPr>
      </w:pPr>
      <w:r w:rsidRPr="00FF4AE3">
        <w:rPr>
          <w:rFonts w:eastAsiaTheme="majorEastAsia"/>
          <w:b/>
          <w:bCs/>
          <w:sz w:val="20"/>
        </w:rPr>
        <w:lastRenderedPageBreak/>
        <w:t>Värderingsprinciper</w:t>
      </w:r>
    </w:p>
    <w:p w:rsidR="00FF4AE3" w:rsidRPr="00FF4AE3" w:rsidRDefault="00FF4AE3" w:rsidP="00B07C36">
      <w:pPr>
        <w:keepNext/>
        <w:keepLines/>
        <w:suppressAutoHyphens/>
        <w:spacing w:before="200" w:line="250" w:lineRule="exact"/>
        <w:rPr>
          <w:rFonts w:eastAsia="Times New Roman"/>
          <w:i/>
          <w:sz w:val="20"/>
          <w:szCs w:val="20"/>
          <w:lang w:eastAsia="sv-SE"/>
        </w:rPr>
      </w:pPr>
      <w:r w:rsidRPr="00FF4AE3">
        <w:rPr>
          <w:rFonts w:eastAsia="Times New Roman"/>
          <w:i/>
          <w:sz w:val="20"/>
          <w:szCs w:val="20"/>
          <w:lang w:eastAsia="sv-SE"/>
        </w:rPr>
        <w:t>Anläggningstillgångar</w:t>
      </w:r>
    </w:p>
    <w:p w:rsidR="00FF4AE3" w:rsidRPr="00FF4AE3" w:rsidRDefault="00FF4AE3" w:rsidP="00A52525">
      <w:pPr>
        <w:suppressAutoHyphens/>
        <w:rPr>
          <w:sz w:val="20"/>
        </w:rPr>
      </w:pPr>
      <w:r w:rsidRPr="00FF4AE3">
        <w:rPr>
          <w:sz w:val="20"/>
        </w:rPr>
        <w:t>Investeringar som huvudsakligen syftar till att bevara riksbyggnaderna på Helgeandsholmen finansieras med anslag i stället för med lån i Riksgälds</w:t>
      </w:r>
      <w:r w:rsidR="00A52525">
        <w:rPr>
          <w:sz w:val="20"/>
        </w:rPr>
        <w:softHyphen/>
      </w:r>
      <w:r w:rsidRPr="00FF4AE3">
        <w:rPr>
          <w:sz w:val="20"/>
        </w:rPr>
        <w:t xml:space="preserve">kontoret. </w:t>
      </w:r>
    </w:p>
    <w:p w:rsidR="00FF4AE3" w:rsidRPr="00FF4AE3" w:rsidRDefault="00FF4AE3" w:rsidP="00B07C36">
      <w:pPr>
        <w:spacing w:before="200"/>
        <w:rPr>
          <w:rFonts w:eastAsiaTheme="majorEastAsia" w:cstheme="majorBidi"/>
          <w:bCs/>
          <w:i/>
          <w:iCs/>
          <w:color w:val="000000" w:themeColor="text1"/>
          <w:sz w:val="20"/>
        </w:rPr>
      </w:pPr>
      <w:r w:rsidRPr="00FF4AE3">
        <w:rPr>
          <w:rFonts w:eastAsiaTheme="majorEastAsia" w:cstheme="majorBidi"/>
          <w:bCs/>
          <w:i/>
          <w:iCs/>
          <w:color w:val="000000" w:themeColor="text1"/>
          <w:sz w:val="20"/>
        </w:rPr>
        <w:t>Materiella anläggningstillgångar</w:t>
      </w:r>
    </w:p>
    <w:p w:rsidR="00FF4AE3" w:rsidRPr="00FF4AE3" w:rsidRDefault="00FF4AE3" w:rsidP="00FF4AE3">
      <w:pPr>
        <w:rPr>
          <w:i/>
          <w:sz w:val="20"/>
        </w:rPr>
      </w:pPr>
      <w:r w:rsidRPr="00FF4AE3">
        <w:rPr>
          <w:sz w:val="20"/>
        </w:rPr>
        <w:t>Anläggningstillgångar med en anskaffningskostnad på minst 30 tkr och en beräknad ekonomisk livslängd på tre år eller längre bokförs som materiell anläggningstillgång.</w:t>
      </w:r>
    </w:p>
    <w:p w:rsidR="00FF4AE3" w:rsidRPr="00FF4AE3" w:rsidRDefault="00FF4AE3" w:rsidP="00B07C36">
      <w:pPr>
        <w:spacing w:before="200"/>
        <w:rPr>
          <w:rFonts w:eastAsiaTheme="majorEastAsia" w:cstheme="majorBidi"/>
          <w:bCs/>
          <w:i/>
          <w:iCs/>
          <w:color w:val="000000" w:themeColor="text1"/>
          <w:sz w:val="20"/>
        </w:rPr>
      </w:pPr>
      <w:r w:rsidRPr="00FF4AE3">
        <w:rPr>
          <w:rFonts w:eastAsiaTheme="majorEastAsia" w:cstheme="majorBidi"/>
          <w:bCs/>
          <w:i/>
          <w:iCs/>
          <w:color w:val="000000" w:themeColor="text1"/>
          <w:sz w:val="20"/>
        </w:rPr>
        <w:t>Immateriella anläggningstillgångar</w:t>
      </w:r>
    </w:p>
    <w:p w:rsidR="00FF4AE3" w:rsidRPr="00FF4AE3" w:rsidRDefault="00FF4AE3" w:rsidP="00FF4AE3">
      <w:pPr>
        <w:rPr>
          <w:sz w:val="20"/>
        </w:rPr>
      </w:pPr>
      <w:r w:rsidRPr="00FF4AE3">
        <w:rPr>
          <w:sz w:val="20"/>
        </w:rPr>
        <w:t>För immateriella anläggningstillgångar är motsvarande beloppsgräns 500 tkr och en beräknad ekonomisk livslängd på tre år eller längre. Förbättringsutgifter på annans fastighet bokförs som anläggningstillgång om utgiften överstiger 100 tkr.</w:t>
      </w:r>
    </w:p>
    <w:p w:rsidR="00FF4AE3" w:rsidRPr="00FF4AE3" w:rsidRDefault="00FF4AE3" w:rsidP="00B07C36">
      <w:pPr>
        <w:spacing w:before="200"/>
        <w:jc w:val="left"/>
        <w:rPr>
          <w:rFonts w:eastAsiaTheme="majorEastAsia" w:cstheme="majorBidi"/>
          <w:bCs/>
          <w:i/>
          <w:iCs/>
          <w:color w:val="000000" w:themeColor="text1"/>
          <w:sz w:val="20"/>
        </w:rPr>
      </w:pPr>
      <w:r w:rsidRPr="00FF4AE3">
        <w:rPr>
          <w:rFonts w:eastAsiaTheme="majorEastAsia" w:cstheme="majorBidi"/>
          <w:bCs/>
          <w:i/>
          <w:iCs/>
          <w:color w:val="000000" w:themeColor="text1"/>
          <w:sz w:val="20"/>
        </w:rPr>
        <w:t>Pågående arbeten</w:t>
      </w:r>
    </w:p>
    <w:p w:rsidR="00FF4AE3" w:rsidRPr="00FF4AE3" w:rsidRDefault="00FF4AE3" w:rsidP="00FF4AE3">
      <w:pPr>
        <w:rPr>
          <w:strike/>
          <w:sz w:val="20"/>
        </w:rPr>
      </w:pPr>
      <w:r w:rsidRPr="00FF4AE3">
        <w:rPr>
          <w:sz w:val="20"/>
        </w:rPr>
        <w:t xml:space="preserve">Pågående arbeten värderas med avseende på om de ska bokföras som anläggningstillgång eller inte vid tidpunkten då lån kan tas upp för lånefinansierade anläggningstillgångar. </w:t>
      </w:r>
    </w:p>
    <w:p w:rsidR="00FF4AE3" w:rsidRPr="00FF4AE3" w:rsidRDefault="00FF4AE3" w:rsidP="00B07C36">
      <w:pPr>
        <w:spacing w:before="200"/>
        <w:jc w:val="left"/>
        <w:rPr>
          <w:rFonts w:eastAsiaTheme="majorEastAsia" w:cstheme="majorBidi"/>
          <w:bCs/>
          <w:i/>
          <w:iCs/>
          <w:color w:val="000000" w:themeColor="text1"/>
          <w:sz w:val="20"/>
        </w:rPr>
      </w:pPr>
      <w:r w:rsidRPr="00FF4AE3">
        <w:rPr>
          <w:rFonts w:eastAsiaTheme="majorEastAsia" w:cstheme="majorBidi"/>
          <w:bCs/>
          <w:i/>
          <w:iCs/>
          <w:color w:val="000000" w:themeColor="text1"/>
          <w:sz w:val="20"/>
        </w:rPr>
        <w:t>Tillämpade avskrivningstider</w:t>
      </w:r>
    </w:p>
    <w:p w:rsidR="00FF4AE3" w:rsidRPr="00FF4AE3" w:rsidRDefault="00FF4AE3" w:rsidP="00FF4AE3">
      <w:pPr>
        <w:rPr>
          <w:sz w:val="20"/>
        </w:rPr>
      </w:pPr>
      <w:r w:rsidRPr="00FF4AE3">
        <w:rPr>
          <w:sz w:val="20"/>
        </w:rPr>
        <w:t>Anläggningstillgångarna skrivs av över den bedömda ekonomiska livslängden från den månad som tillgången kan tas i bruk.</w:t>
      </w:r>
    </w:p>
    <w:p w:rsidR="004B01DF" w:rsidRPr="004B01DF" w:rsidRDefault="004B01DF" w:rsidP="004B01DF">
      <w:pPr>
        <w:shd w:val="clear" w:color="auto" w:fill="FFFFFF"/>
        <w:spacing w:before="187" w:after="40" w:line="200" w:lineRule="exact"/>
        <w:rPr>
          <w:rFonts w:eastAsia="Times New Roman"/>
          <w:b/>
          <w:sz w:val="20"/>
          <w:szCs w:val="20"/>
          <w:lang w:eastAsia="sv-SE"/>
        </w:rPr>
      </w:pPr>
      <w:r w:rsidRPr="004B01DF">
        <w:rPr>
          <w:rFonts w:eastAsia="Times New Roman"/>
          <w:b/>
          <w:sz w:val="20"/>
          <w:szCs w:val="20"/>
          <w:lang w:eastAsia="sv-SE"/>
        </w:rPr>
        <w:t>Tabell Tillämpade avskrivningstider</w:t>
      </w:r>
    </w:p>
    <w:tbl>
      <w:tblPr>
        <w:tblW w:w="5954" w:type="dxa"/>
        <w:tblInd w:w="30" w:type="dxa"/>
        <w:tblLayout w:type="fixed"/>
        <w:tblCellMar>
          <w:left w:w="30" w:type="dxa"/>
          <w:right w:w="30" w:type="dxa"/>
        </w:tblCellMar>
        <w:tblLook w:val="0000" w:firstRow="0" w:lastRow="0" w:firstColumn="0" w:lastColumn="0" w:noHBand="0" w:noVBand="0"/>
      </w:tblPr>
      <w:tblGrid>
        <w:gridCol w:w="4417"/>
        <w:gridCol w:w="1537"/>
      </w:tblGrid>
      <w:tr w:rsidR="004B01DF" w:rsidRPr="004B01DF" w:rsidTr="0069450B">
        <w:trPr>
          <w:trHeight w:val="276"/>
        </w:trPr>
        <w:tc>
          <w:tcPr>
            <w:tcW w:w="4417" w:type="dxa"/>
            <w:tcBorders>
              <w:top w:val="single" w:sz="4" w:space="0" w:color="auto"/>
              <w:bottom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b/>
                <w:sz w:val="20"/>
                <w:szCs w:val="24"/>
                <w:lang w:eastAsia="sv-SE"/>
              </w:rPr>
            </w:pPr>
            <w:r w:rsidRPr="004B01DF">
              <w:rPr>
                <w:rFonts w:eastAsia="Times New Roman"/>
                <w:b/>
                <w:sz w:val="20"/>
                <w:szCs w:val="24"/>
                <w:lang w:eastAsia="sv-SE"/>
              </w:rPr>
              <w:t>Typ av anläggningstillgång</w:t>
            </w:r>
          </w:p>
        </w:tc>
        <w:tc>
          <w:tcPr>
            <w:tcW w:w="1537" w:type="dxa"/>
            <w:tcBorders>
              <w:top w:val="single" w:sz="4" w:space="0" w:color="auto"/>
              <w:bottom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b/>
                <w:sz w:val="20"/>
                <w:szCs w:val="24"/>
                <w:lang w:eastAsia="sv-SE"/>
              </w:rPr>
            </w:pPr>
            <w:r w:rsidRPr="004B01DF">
              <w:rPr>
                <w:rFonts w:eastAsia="Times New Roman"/>
                <w:b/>
                <w:sz w:val="20"/>
                <w:szCs w:val="24"/>
                <w:lang w:eastAsia="sv-SE"/>
              </w:rPr>
              <w:t>Avskrivningstid</w:t>
            </w:r>
          </w:p>
        </w:tc>
      </w:tr>
      <w:tr w:rsidR="004B01DF" w:rsidRPr="004B01DF" w:rsidTr="0069450B">
        <w:trPr>
          <w:trHeight w:val="276"/>
        </w:trPr>
        <w:tc>
          <w:tcPr>
            <w:tcW w:w="4417" w:type="dxa"/>
            <w:tcBorders>
              <w:top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z w:val="20"/>
                <w:szCs w:val="24"/>
                <w:lang w:eastAsia="sv-SE"/>
              </w:rPr>
            </w:pPr>
            <w:r w:rsidRPr="004B01DF">
              <w:rPr>
                <w:rFonts w:eastAsia="Times New Roman"/>
                <w:sz w:val="20"/>
                <w:szCs w:val="24"/>
                <w:lang w:eastAsia="sv-SE"/>
              </w:rPr>
              <w:t>IMMATERIELLA ANLÄGGNINGSTILLGÅNGAR</w:t>
            </w:r>
          </w:p>
        </w:tc>
        <w:tc>
          <w:tcPr>
            <w:tcW w:w="1537" w:type="dxa"/>
            <w:tcBorders>
              <w:top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z w:val="20"/>
                <w:szCs w:val="24"/>
                <w:lang w:eastAsia="sv-SE"/>
              </w:rPr>
            </w:pPr>
          </w:p>
        </w:tc>
      </w:tr>
      <w:tr w:rsidR="004B01DF" w:rsidRPr="004B01DF" w:rsidTr="0069450B">
        <w:trPr>
          <w:trHeight w:val="276"/>
        </w:trPr>
        <w:tc>
          <w:tcPr>
            <w:tcW w:w="441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r w:rsidRPr="004B01DF">
              <w:rPr>
                <w:rFonts w:eastAsia="Times New Roman"/>
                <w:snapToGrid w:val="0"/>
                <w:sz w:val="20"/>
                <w:szCs w:val="24"/>
                <w:lang w:eastAsia="sv-SE"/>
              </w:rPr>
              <w:t>Balanserade utgifter för utveckling</w:t>
            </w:r>
          </w:p>
        </w:tc>
        <w:tc>
          <w:tcPr>
            <w:tcW w:w="153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z w:val="20"/>
                <w:szCs w:val="24"/>
                <w:lang w:eastAsia="sv-SE"/>
              </w:rPr>
            </w:pPr>
            <w:r w:rsidRPr="004B01DF">
              <w:rPr>
                <w:rFonts w:eastAsia="Times New Roman"/>
                <w:sz w:val="20"/>
                <w:szCs w:val="24"/>
                <w:lang w:eastAsia="sv-SE"/>
              </w:rPr>
              <w:t>3 år</w:t>
            </w:r>
          </w:p>
        </w:tc>
      </w:tr>
      <w:tr w:rsidR="004B01DF" w:rsidRPr="004B01DF" w:rsidTr="0069450B">
        <w:trPr>
          <w:trHeight w:val="276"/>
        </w:trPr>
        <w:tc>
          <w:tcPr>
            <w:tcW w:w="441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r w:rsidRPr="004B01DF">
              <w:rPr>
                <w:rFonts w:eastAsia="Times New Roman"/>
                <w:snapToGrid w:val="0"/>
                <w:sz w:val="20"/>
                <w:szCs w:val="24"/>
                <w:lang w:eastAsia="sv-SE"/>
              </w:rPr>
              <w:t>Rättigheter och andra immateriella anläggningstillgångar</w:t>
            </w:r>
          </w:p>
        </w:tc>
        <w:tc>
          <w:tcPr>
            <w:tcW w:w="153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z w:val="20"/>
                <w:szCs w:val="24"/>
                <w:lang w:eastAsia="sv-SE"/>
              </w:rPr>
            </w:pPr>
            <w:r w:rsidRPr="004B01DF">
              <w:rPr>
                <w:rFonts w:eastAsia="Times New Roman"/>
                <w:sz w:val="20"/>
                <w:szCs w:val="24"/>
                <w:lang w:eastAsia="sv-SE"/>
              </w:rPr>
              <w:t>3–10 år</w:t>
            </w:r>
          </w:p>
        </w:tc>
      </w:tr>
      <w:tr w:rsidR="004B01DF" w:rsidRPr="004B01DF" w:rsidTr="0069450B">
        <w:trPr>
          <w:trHeight w:val="198"/>
        </w:trPr>
        <w:tc>
          <w:tcPr>
            <w:tcW w:w="441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p>
        </w:tc>
        <w:tc>
          <w:tcPr>
            <w:tcW w:w="153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p>
        </w:tc>
      </w:tr>
      <w:tr w:rsidR="004B01DF" w:rsidRPr="004B01DF" w:rsidTr="0069450B">
        <w:trPr>
          <w:trHeight w:val="198"/>
        </w:trPr>
        <w:tc>
          <w:tcPr>
            <w:tcW w:w="441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z w:val="20"/>
                <w:szCs w:val="24"/>
                <w:lang w:eastAsia="sv-SE"/>
              </w:rPr>
            </w:pPr>
            <w:r w:rsidRPr="004B01DF">
              <w:rPr>
                <w:rFonts w:eastAsia="Times New Roman"/>
                <w:sz w:val="20"/>
                <w:szCs w:val="24"/>
                <w:lang w:eastAsia="sv-SE"/>
              </w:rPr>
              <w:t>MATERIELLA ANLÄGGNINGSTILLGÅNGAR</w:t>
            </w:r>
          </w:p>
        </w:tc>
        <w:tc>
          <w:tcPr>
            <w:tcW w:w="153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i/>
                <w:sz w:val="20"/>
                <w:szCs w:val="24"/>
                <w:lang w:eastAsia="sv-SE"/>
              </w:rPr>
            </w:pPr>
          </w:p>
        </w:tc>
      </w:tr>
      <w:tr w:rsidR="004B01DF" w:rsidRPr="004B01DF" w:rsidTr="0069450B">
        <w:trPr>
          <w:trHeight w:val="278"/>
        </w:trPr>
        <w:tc>
          <w:tcPr>
            <w:tcW w:w="4417" w:type="dxa"/>
            <w:shd w:val="clear" w:color="auto" w:fill="auto"/>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i/>
                <w:snapToGrid w:val="0"/>
                <w:sz w:val="20"/>
                <w:szCs w:val="24"/>
                <w:lang w:eastAsia="sv-SE"/>
              </w:rPr>
            </w:pPr>
            <w:r w:rsidRPr="004B01DF">
              <w:rPr>
                <w:rFonts w:eastAsia="Times New Roman"/>
                <w:i/>
                <w:sz w:val="20"/>
                <w:szCs w:val="24"/>
                <w:lang w:eastAsia="sv-SE"/>
              </w:rPr>
              <w:t>Byggnader, mark och annan fast egendom</w:t>
            </w:r>
          </w:p>
        </w:tc>
        <w:tc>
          <w:tcPr>
            <w:tcW w:w="1537" w:type="dxa"/>
            <w:shd w:val="clear" w:color="auto" w:fill="auto"/>
            <w:vAlign w:val="bottom"/>
          </w:tcPr>
          <w:p w:rsidR="004B01DF" w:rsidRPr="004B01DF" w:rsidRDefault="004B01DF" w:rsidP="00554500">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napToGrid w:val="0"/>
                <w:sz w:val="20"/>
                <w:szCs w:val="24"/>
                <w:lang w:eastAsia="sv-SE"/>
              </w:rPr>
            </w:pPr>
            <w:r w:rsidRPr="004B01DF">
              <w:rPr>
                <w:rFonts w:eastAsia="Times New Roman"/>
                <w:sz w:val="20"/>
                <w:szCs w:val="24"/>
                <w:lang w:eastAsia="sv-SE"/>
              </w:rPr>
              <w:t>10</w:t>
            </w:r>
            <w:r w:rsidR="00554500">
              <w:rPr>
                <w:rFonts w:eastAsia="Times New Roman"/>
                <w:sz w:val="20"/>
                <w:szCs w:val="24"/>
                <w:lang w:eastAsia="sv-SE"/>
              </w:rPr>
              <w:t>–</w:t>
            </w:r>
            <w:r w:rsidRPr="004B01DF">
              <w:rPr>
                <w:rFonts w:eastAsia="Times New Roman"/>
                <w:sz w:val="20"/>
                <w:szCs w:val="24"/>
                <w:lang w:eastAsia="sv-SE"/>
              </w:rPr>
              <w:t>150 år</w:t>
            </w:r>
          </w:p>
        </w:tc>
      </w:tr>
      <w:tr w:rsidR="004B01DF" w:rsidRPr="004B01DF" w:rsidTr="0069450B">
        <w:trPr>
          <w:trHeight w:val="278"/>
        </w:trPr>
        <w:tc>
          <w:tcPr>
            <w:tcW w:w="4417" w:type="dxa"/>
            <w:shd w:val="clear" w:color="auto" w:fill="auto"/>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r w:rsidRPr="004B01DF">
              <w:rPr>
                <w:rFonts w:eastAsia="Times New Roman"/>
                <w:sz w:val="20"/>
                <w:szCs w:val="24"/>
                <w:lang w:eastAsia="sv-SE"/>
              </w:rPr>
              <w:t>Byggnadsinventarier</w:t>
            </w:r>
          </w:p>
        </w:tc>
        <w:tc>
          <w:tcPr>
            <w:tcW w:w="1537" w:type="dxa"/>
            <w:shd w:val="clear" w:color="auto" w:fill="auto"/>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napToGrid w:val="0"/>
                <w:sz w:val="20"/>
                <w:szCs w:val="24"/>
                <w:lang w:eastAsia="sv-SE"/>
              </w:rPr>
            </w:pPr>
            <w:r w:rsidRPr="004B01DF">
              <w:rPr>
                <w:rFonts w:eastAsia="Times New Roman"/>
                <w:sz w:val="20"/>
                <w:szCs w:val="24"/>
                <w:lang w:eastAsia="sv-SE"/>
              </w:rPr>
              <w:t>3–30 år</w:t>
            </w:r>
          </w:p>
        </w:tc>
      </w:tr>
      <w:tr w:rsidR="004B01DF" w:rsidRPr="004B01DF" w:rsidTr="0069450B">
        <w:trPr>
          <w:trHeight w:val="278"/>
        </w:trPr>
        <w:tc>
          <w:tcPr>
            <w:tcW w:w="441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r w:rsidRPr="004B01DF">
              <w:rPr>
                <w:rFonts w:eastAsia="Times New Roman"/>
                <w:sz w:val="20"/>
                <w:szCs w:val="24"/>
                <w:lang w:eastAsia="sv-SE"/>
              </w:rPr>
              <w:t>Förbättringsutgifter på annans fastighet</w:t>
            </w:r>
          </w:p>
        </w:tc>
        <w:tc>
          <w:tcPr>
            <w:tcW w:w="1537" w:type="dxa"/>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napToGrid w:val="0"/>
                <w:sz w:val="20"/>
                <w:szCs w:val="24"/>
                <w:lang w:eastAsia="sv-SE"/>
              </w:rPr>
            </w:pPr>
            <w:r w:rsidRPr="004B01DF">
              <w:rPr>
                <w:rFonts w:eastAsia="Times New Roman"/>
                <w:sz w:val="20"/>
                <w:szCs w:val="24"/>
                <w:lang w:eastAsia="sv-SE"/>
              </w:rPr>
              <w:t>3–10 år</w:t>
            </w:r>
          </w:p>
        </w:tc>
      </w:tr>
      <w:tr w:rsidR="004B01DF" w:rsidRPr="004B01DF" w:rsidTr="0069450B">
        <w:trPr>
          <w:trHeight w:val="278"/>
        </w:trPr>
        <w:tc>
          <w:tcPr>
            <w:tcW w:w="4417" w:type="dxa"/>
            <w:tcBorders>
              <w:bottom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rPr>
                <w:rFonts w:eastAsia="Times New Roman"/>
                <w:snapToGrid w:val="0"/>
                <w:sz w:val="20"/>
                <w:szCs w:val="24"/>
                <w:lang w:eastAsia="sv-SE"/>
              </w:rPr>
            </w:pPr>
            <w:r w:rsidRPr="004B01DF">
              <w:rPr>
                <w:rFonts w:eastAsia="Times New Roman"/>
                <w:sz w:val="20"/>
                <w:szCs w:val="24"/>
                <w:lang w:eastAsia="sv-SE"/>
              </w:rPr>
              <w:t>Maskiner, inventarier, installationer m.m.</w:t>
            </w:r>
          </w:p>
        </w:tc>
        <w:tc>
          <w:tcPr>
            <w:tcW w:w="1537" w:type="dxa"/>
            <w:tcBorders>
              <w:bottom w:val="single" w:sz="4" w:space="0" w:color="auto"/>
            </w:tcBorders>
            <w:vAlign w:val="bottom"/>
          </w:tcPr>
          <w:p w:rsidR="004B01DF" w:rsidRPr="004B01DF" w:rsidRDefault="004B01DF" w:rsidP="004B01DF">
            <w:pPr>
              <w:tabs>
                <w:tab w:val="left" w:pos="567"/>
                <w:tab w:val="left" w:pos="850"/>
                <w:tab w:val="left" w:pos="1701"/>
                <w:tab w:val="left" w:pos="2551"/>
                <w:tab w:val="left" w:pos="3402"/>
                <w:tab w:val="center" w:pos="4252"/>
                <w:tab w:val="left" w:pos="5102"/>
                <w:tab w:val="right" w:pos="5839"/>
                <w:tab w:val="right" w:pos="7370"/>
              </w:tabs>
              <w:spacing w:before="0" w:line="200" w:lineRule="exact"/>
              <w:jc w:val="right"/>
              <w:rPr>
                <w:rFonts w:eastAsia="Times New Roman"/>
                <w:snapToGrid w:val="0"/>
                <w:sz w:val="20"/>
                <w:szCs w:val="24"/>
                <w:lang w:eastAsia="sv-SE"/>
              </w:rPr>
            </w:pPr>
            <w:r w:rsidRPr="004B01DF">
              <w:rPr>
                <w:rFonts w:eastAsia="Times New Roman"/>
                <w:sz w:val="20"/>
                <w:szCs w:val="24"/>
                <w:lang w:eastAsia="sv-SE"/>
              </w:rPr>
              <w:t>3–10 år</w:t>
            </w:r>
          </w:p>
        </w:tc>
      </w:tr>
    </w:tbl>
    <w:p w:rsidR="004B01DF" w:rsidRPr="004B01DF" w:rsidRDefault="004B01DF" w:rsidP="004B01DF">
      <w:pPr>
        <w:rPr>
          <w:sz w:val="20"/>
        </w:rPr>
      </w:pPr>
      <w:r w:rsidRPr="004B01DF">
        <w:rPr>
          <w:sz w:val="20"/>
        </w:rPr>
        <w:t>Bärbara datorer för ledamöter och tjänstemän redovisas inte som en anläggnings</w:t>
      </w:r>
      <w:r w:rsidRPr="004B01DF">
        <w:rPr>
          <w:spacing w:val="-2"/>
          <w:sz w:val="20"/>
        </w:rPr>
        <w:t>tillgång eftersom den förväntade ekonomiska livslängden bedöms vara kortare</w:t>
      </w:r>
      <w:r w:rsidRPr="004B01DF">
        <w:rPr>
          <w:sz w:val="20"/>
        </w:rPr>
        <w:t xml:space="preserve"> än tre år.</w:t>
      </w:r>
    </w:p>
    <w:p w:rsidR="004B01DF" w:rsidRPr="004B01DF" w:rsidRDefault="004B01DF" w:rsidP="0063465B">
      <w:pPr>
        <w:keepNext/>
        <w:keepLines/>
        <w:suppressAutoHyphens/>
        <w:spacing w:before="240" w:line="250" w:lineRule="exact"/>
        <w:jc w:val="left"/>
        <w:rPr>
          <w:rFonts w:eastAsia="Times New Roman"/>
          <w:i/>
          <w:sz w:val="20"/>
          <w:szCs w:val="20"/>
          <w:lang w:eastAsia="sv-SE"/>
        </w:rPr>
      </w:pPr>
      <w:r w:rsidRPr="004B01DF">
        <w:rPr>
          <w:rFonts w:eastAsia="Times New Roman"/>
          <w:i/>
          <w:sz w:val="20"/>
          <w:szCs w:val="20"/>
          <w:lang w:eastAsia="sv-SE"/>
        </w:rPr>
        <w:lastRenderedPageBreak/>
        <w:t>Avsättningar för pensioner och liknande förpliktelser</w:t>
      </w:r>
    </w:p>
    <w:p w:rsidR="004B01DF" w:rsidRPr="004B01DF" w:rsidRDefault="004B01DF" w:rsidP="00B07C36">
      <w:pPr>
        <w:spacing w:line="244" w:lineRule="atLeast"/>
        <w:rPr>
          <w:sz w:val="20"/>
        </w:rPr>
      </w:pPr>
      <w:r w:rsidRPr="004B01DF">
        <w:rPr>
          <w:sz w:val="20"/>
        </w:rPr>
        <w:t xml:space="preserve">Pensioner och inkomstgarantier till riksdagsledamöter regleras i stadgan av den 21 februari 1941 (nr 98), ersättningsstadgan (1971:1197), lagen (1988:589) med tillämpningsföreskrifter (RFS 1988:3) och lagen (1994:1065) med tillämpningsföreskrifter (RFS 2006:6). </w:t>
      </w:r>
    </w:p>
    <w:p w:rsidR="004B01DF" w:rsidRPr="004B01DF" w:rsidRDefault="004B01DF" w:rsidP="00B07C36">
      <w:pPr>
        <w:spacing w:before="0" w:line="244" w:lineRule="atLeast"/>
        <w:ind w:firstLine="227"/>
        <w:rPr>
          <w:sz w:val="20"/>
        </w:rPr>
      </w:pPr>
      <w:r w:rsidRPr="004B01DF">
        <w:rPr>
          <w:sz w:val="20"/>
        </w:rPr>
        <w:t xml:space="preserve">Avsättningar för ledamöternas ålderspensioner, egenlivränta och inkomstgarantier redovisades för första gången 2007 som avsättningar i balansräkningen. Sedan 2009 redovisas EU-parlamentarikernas pensioner m.m. i posten </w:t>
      </w:r>
      <w:r w:rsidRPr="004B01DF">
        <w:rPr>
          <w:i/>
          <w:sz w:val="20"/>
        </w:rPr>
        <w:t>Pensionsavsättning till ledamöter som lämnat riksdagen</w:t>
      </w:r>
      <w:r w:rsidRPr="004B01DF">
        <w:rPr>
          <w:sz w:val="20"/>
        </w:rPr>
        <w:t>.</w:t>
      </w:r>
    </w:p>
    <w:p w:rsidR="004B01DF" w:rsidRPr="004B01DF" w:rsidRDefault="004B01DF" w:rsidP="00B07C36">
      <w:pPr>
        <w:spacing w:before="0" w:line="244" w:lineRule="atLeast"/>
        <w:ind w:firstLine="227"/>
        <w:rPr>
          <w:sz w:val="20"/>
        </w:rPr>
      </w:pPr>
      <w:r w:rsidRPr="004B01DF">
        <w:rPr>
          <w:sz w:val="20"/>
        </w:rPr>
        <w:t>Riksdagsförvaltningen har sedan 2008 förfinat beräkningarna för såväl ledamöternas pensioner som inkomstgarantier.</w:t>
      </w:r>
    </w:p>
    <w:p w:rsidR="004B01DF" w:rsidRPr="004B01DF" w:rsidRDefault="004B01DF" w:rsidP="00B07C36">
      <w:pPr>
        <w:spacing w:before="0" w:line="244" w:lineRule="atLeast"/>
        <w:ind w:firstLine="227"/>
        <w:rPr>
          <w:sz w:val="20"/>
        </w:rPr>
      </w:pPr>
      <w:r w:rsidRPr="004B01DF">
        <w:rPr>
          <w:sz w:val="20"/>
        </w:rPr>
        <w:t xml:space="preserve">Sedan 2011 ingår även inkomstgaranti för de sittande riksdagsledamöter som har intjänat rätt till inkomstgaranti (latent) samt en avsättning för den inkomstgaranti som sökts men inte utnyttjats (vilande). </w:t>
      </w:r>
    </w:p>
    <w:p w:rsidR="004B01DF" w:rsidRPr="004B01DF" w:rsidRDefault="00554500" w:rsidP="00B07C36">
      <w:pPr>
        <w:spacing w:before="0" w:line="244" w:lineRule="atLeast"/>
        <w:ind w:firstLine="227"/>
        <w:rPr>
          <w:sz w:val="20"/>
        </w:rPr>
      </w:pPr>
      <w:r>
        <w:rPr>
          <w:sz w:val="20"/>
        </w:rPr>
        <w:t>D</w:t>
      </w:r>
      <w:r w:rsidR="004B01DF" w:rsidRPr="004B01DF">
        <w:rPr>
          <w:sz w:val="20"/>
        </w:rPr>
        <w:t xml:space="preserve">en 1 maj 2014 </w:t>
      </w:r>
      <w:r>
        <w:rPr>
          <w:sz w:val="20"/>
        </w:rPr>
        <w:t>inrättade</w:t>
      </w:r>
      <w:r w:rsidRPr="004B01DF">
        <w:rPr>
          <w:sz w:val="20"/>
        </w:rPr>
        <w:t xml:space="preserve">s </w:t>
      </w:r>
      <w:r w:rsidR="004B01DF" w:rsidRPr="004B01DF">
        <w:rPr>
          <w:sz w:val="20"/>
        </w:rPr>
        <w:t>ett ekonomiskt omställningsstöd som på sikt kommer att ersätta det nuvarande inkomstgarantisystemet. Detta stöd ingår i årets avsättning som en latent utfästelse.</w:t>
      </w:r>
    </w:p>
    <w:p w:rsidR="004B01DF" w:rsidRPr="004B01DF" w:rsidRDefault="004B01DF" w:rsidP="00B07C36">
      <w:pPr>
        <w:spacing w:before="0" w:line="244" w:lineRule="atLeast"/>
        <w:ind w:firstLine="227"/>
        <w:rPr>
          <w:sz w:val="20"/>
        </w:rPr>
      </w:pPr>
      <w:r w:rsidRPr="004B01DF">
        <w:rPr>
          <w:sz w:val="20"/>
        </w:rPr>
        <w:t>Den samlade kostnaden för ledamöternas intjänande av framtida pensioner och inkomstgarantier redovisas som en avsättning. Då avsättningen är undantagen från kostnadsmässig anslagsavräkning medför det att årets förändring av avsättningen inte har någon anslagspåverkan, utan det är i årets kapitalförändring som förändringen syns. I posten balanserad kapitalförändring redovisas den upparbetade skulden fr</w:t>
      </w:r>
      <w:r w:rsidR="00554500">
        <w:rPr>
          <w:sz w:val="20"/>
        </w:rPr>
        <w:t>ån och med</w:t>
      </w:r>
      <w:r w:rsidRPr="004B01DF">
        <w:rPr>
          <w:sz w:val="20"/>
        </w:rPr>
        <w:t xml:space="preserve"> 2007 som avser pensioner och inkomstgarantier för ledamöterna inklusive sociala avgifter, därmed uppvisar saldot ett stort negati</w:t>
      </w:r>
      <w:r w:rsidR="00554500">
        <w:rPr>
          <w:sz w:val="20"/>
        </w:rPr>
        <w:t xml:space="preserve">vt belopp. Fram till och med </w:t>
      </w:r>
      <w:r w:rsidRPr="004B01DF">
        <w:rPr>
          <w:sz w:val="20"/>
        </w:rPr>
        <w:t xml:space="preserve">2015 var den balanserade kapitalförändringen </w:t>
      </w:r>
      <w:r w:rsidR="00554500">
        <w:rPr>
          <w:sz w:val="20"/>
        </w:rPr>
        <w:t>-</w:t>
      </w:r>
      <w:r w:rsidRPr="004B01DF">
        <w:rPr>
          <w:sz w:val="20"/>
        </w:rPr>
        <w:t xml:space="preserve">4 034 515 tkr och under 2016 har skulden ökat med -153 694 tkr till -4 188 209 tkr. I posten årets </w:t>
      </w:r>
      <w:r w:rsidR="00554500">
        <w:rPr>
          <w:sz w:val="20"/>
        </w:rPr>
        <w:t>kapitalförä</w:t>
      </w:r>
      <w:r w:rsidRPr="004B01DF">
        <w:rPr>
          <w:sz w:val="20"/>
        </w:rPr>
        <w:t>ndring enligt resultaträkningen ingår årets kostnader för ledamöternas pensioner och inkomstg</w:t>
      </w:r>
      <w:r w:rsidR="006805BC">
        <w:rPr>
          <w:sz w:val="20"/>
        </w:rPr>
        <w:t>arantier som för 2016 är 603 798</w:t>
      </w:r>
      <w:r w:rsidRPr="004B01DF">
        <w:rPr>
          <w:sz w:val="20"/>
        </w:rPr>
        <w:t xml:space="preserve"> tkr.</w:t>
      </w:r>
    </w:p>
    <w:p w:rsidR="004B01DF" w:rsidRPr="004B01DF" w:rsidRDefault="004B01DF" w:rsidP="00FA544F">
      <w:pPr>
        <w:spacing w:before="200"/>
        <w:jc w:val="left"/>
        <w:rPr>
          <w:rFonts w:eastAsiaTheme="majorEastAsia" w:cstheme="majorBidi"/>
          <w:bCs/>
          <w:i/>
          <w:iCs/>
          <w:color w:val="000000" w:themeColor="text1"/>
          <w:sz w:val="20"/>
        </w:rPr>
      </w:pPr>
      <w:r w:rsidRPr="004B01DF">
        <w:rPr>
          <w:rFonts w:eastAsiaTheme="majorEastAsia" w:cstheme="majorBidi"/>
          <w:bCs/>
          <w:i/>
          <w:iCs/>
          <w:color w:val="000000" w:themeColor="text1"/>
          <w:sz w:val="20"/>
        </w:rPr>
        <w:t xml:space="preserve">Riksdagsledamöternas pensioner </w:t>
      </w:r>
    </w:p>
    <w:p w:rsidR="004B01DF" w:rsidRPr="004B01DF" w:rsidRDefault="004B01DF" w:rsidP="00B07C36">
      <w:pPr>
        <w:spacing w:line="244" w:lineRule="atLeast"/>
        <w:rPr>
          <w:sz w:val="20"/>
        </w:rPr>
      </w:pPr>
      <w:r w:rsidRPr="004B01DF">
        <w:rPr>
          <w:sz w:val="20"/>
        </w:rPr>
        <w:t>Avsättning för pensionsförpliktelser till ledamöter som har lämnat riksdagen redovisas till det försäkringstekniska värdet av pensionsåtaganden som har beräknats av Statens tjänstepensionsverk (SPV) i enlighet med gällande regelverk för affärsverk. De beräkningsgrunder som används per den 31 december 2016 är de som gäller för Finansinspektionens s</w:t>
      </w:r>
      <w:r w:rsidR="00B1214A">
        <w:rPr>
          <w:sz w:val="20"/>
        </w:rPr>
        <w:t xml:space="preserve">å </w:t>
      </w:r>
      <w:r w:rsidRPr="004B01DF">
        <w:rPr>
          <w:sz w:val="20"/>
        </w:rPr>
        <w:t>k</w:t>
      </w:r>
      <w:r w:rsidR="00B1214A">
        <w:rPr>
          <w:sz w:val="20"/>
        </w:rPr>
        <w:t>allade</w:t>
      </w:r>
      <w:r w:rsidRPr="004B01DF">
        <w:rPr>
          <w:sz w:val="20"/>
        </w:rPr>
        <w:t xml:space="preserve"> tryggandegrunder (FFFS 2007:24) när det gäller åtaganden med utfäst indexering. Under tid när förmånen indexeras med PBB-index eller följsamhetsindex har bruttoräntan </w:t>
      </w:r>
      <w:r w:rsidR="00345830">
        <w:rPr>
          <w:sz w:val="20"/>
        </w:rPr>
        <w:t>-</w:t>
      </w:r>
      <w:r w:rsidRPr="004B01DF">
        <w:rPr>
          <w:sz w:val="20"/>
        </w:rPr>
        <w:t>0,40 procent använts. Föregående år var bruttoräntan 0,80 procent. Under tid när förmånen indexeras med inkomst-/balansindex eller arvodesindex har bruttoräntan 0,00 procent använts.</w:t>
      </w:r>
    </w:p>
    <w:p w:rsidR="004B01DF" w:rsidRPr="004B01DF" w:rsidRDefault="004B01DF" w:rsidP="00B07C36">
      <w:pPr>
        <w:spacing w:before="0" w:line="244" w:lineRule="atLeast"/>
        <w:ind w:firstLine="227"/>
        <w:rPr>
          <w:sz w:val="20"/>
        </w:rPr>
      </w:pPr>
      <w:r w:rsidRPr="004B01DF">
        <w:rPr>
          <w:sz w:val="20"/>
        </w:rPr>
        <w:t>Avsättning för intjänade pensionsförpliktelser för ledamöter som för närvarande sitter i riksdagen har gjorts enligt samma modell.</w:t>
      </w:r>
    </w:p>
    <w:p w:rsidR="004B01DF" w:rsidRPr="004B01DF" w:rsidRDefault="004B01DF" w:rsidP="00B07C36">
      <w:pPr>
        <w:suppressAutoHyphens/>
        <w:spacing w:before="0" w:line="244" w:lineRule="atLeast"/>
        <w:ind w:firstLine="227"/>
        <w:rPr>
          <w:sz w:val="20"/>
        </w:rPr>
      </w:pPr>
      <w:r w:rsidRPr="004B01DF">
        <w:rPr>
          <w:sz w:val="20"/>
        </w:rPr>
        <w:t>Riksdagsförvaltningen betalar särskild löneskatt på utbetalda pen</w:t>
      </w:r>
      <w:r w:rsidR="00132AE5">
        <w:rPr>
          <w:sz w:val="20"/>
        </w:rPr>
        <w:softHyphen/>
      </w:r>
      <w:r w:rsidRPr="004B01DF">
        <w:rPr>
          <w:sz w:val="20"/>
        </w:rPr>
        <w:t>sioner; avsättningarna inkluderar därför sociala avgifter.</w:t>
      </w:r>
    </w:p>
    <w:p w:rsidR="004B01DF" w:rsidRPr="004B01DF" w:rsidRDefault="004B01DF" w:rsidP="00B07C36">
      <w:pPr>
        <w:spacing w:before="0" w:line="244" w:lineRule="atLeast"/>
        <w:ind w:firstLine="227"/>
        <w:rPr>
          <w:sz w:val="20"/>
        </w:rPr>
      </w:pPr>
      <w:r w:rsidRPr="004B01DF">
        <w:rPr>
          <w:sz w:val="20"/>
        </w:rPr>
        <w:lastRenderedPageBreak/>
        <w:t xml:space="preserve"> I årsredovisning för staten används andra försäkringstekniska beräkningsgrunder för tjänstepensionsskulden. Det innebär att Riksdagsförvaltningens pensionsskuld i årsredovisningen för staten uppgår till 2 468 897 tkr jämfört mot Riksdagsförvaltningens bokförda pensionsskuld som uppgår till 3 083 305 tkr exkl</w:t>
      </w:r>
      <w:r w:rsidR="00CB65B7">
        <w:rPr>
          <w:sz w:val="20"/>
        </w:rPr>
        <w:t>usive</w:t>
      </w:r>
      <w:r w:rsidRPr="004B01DF">
        <w:rPr>
          <w:sz w:val="20"/>
        </w:rPr>
        <w:t xml:space="preserve"> sociala avgifter.</w:t>
      </w:r>
    </w:p>
    <w:p w:rsidR="004B01DF" w:rsidRPr="004B01DF" w:rsidRDefault="004B01DF" w:rsidP="00B07C36">
      <w:pPr>
        <w:spacing w:before="200"/>
        <w:jc w:val="left"/>
        <w:rPr>
          <w:rFonts w:eastAsiaTheme="majorEastAsia" w:cstheme="majorBidi"/>
          <w:bCs/>
          <w:i/>
          <w:iCs/>
          <w:color w:val="000000" w:themeColor="text1"/>
          <w:sz w:val="20"/>
        </w:rPr>
      </w:pPr>
      <w:r w:rsidRPr="004B01DF">
        <w:rPr>
          <w:rFonts w:eastAsiaTheme="majorEastAsia" w:cstheme="majorBidi"/>
          <w:bCs/>
          <w:i/>
          <w:iCs/>
          <w:color w:val="000000" w:themeColor="text1"/>
          <w:sz w:val="20"/>
        </w:rPr>
        <w:t xml:space="preserve">Riksdagsledamöters inkomstgarantier </w:t>
      </w:r>
    </w:p>
    <w:p w:rsidR="004B01DF" w:rsidRPr="004B01DF" w:rsidRDefault="004B01DF" w:rsidP="00B07C36">
      <w:pPr>
        <w:spacing w:line="244" w:lineRule="atLeast"/>
        <w:rPr>
          <w:sz w:val="20"/>
        </w:rPr>
      </w:pPr>
      <w:r w:rsidRPr="004B01DF">
        <w:rPr>
          <w:sz w:val="20"/>
        </w:rPr>
        <w:t>Avsättningar för beslutade inkomstgarantier (inklusive sociala avgifter) till ledamöter har gjorts med ett belopp som motsvarar förväntade framtida utbetalningar. Avsättningarna baseras på de av ledamöterna anmälda förhållandena och på de inkomstgarantibelopp som gällde i december 2016. Nuvärdesberäkningen utgör en diskontering av det totala åtagandet för vart och ett av åren 2017 t</w:t>
      </w:r>
      <w:r w:rsidR="00B1214A">
        <w:rPr>
          <w:sz w:val="20"/>
        </w:rPr>
        <w:t xml:space="preserve">ill och med </w:t>
      </w:r>
      <w:r w:rsidRPr="004B01DF">
        <w:rPr>
          <w:sz w:val="20"/>
        </w:rPr>
        <w:t xml:space="preserve">2028. Den räntefot </w:t>
      </w:r>
      <w:r w:rsidR="00B1214A">
        <w:rPr>
          <w:sz w:val="20"/>
        </w:rPr>
        <w:t>som används per 2016-12-31 är -</w:t>
      </w:r>
      <w:r w:rsidRPr="004B01DF">
        <w:rPr>
          <w:sz w:val="20"/>
        </w:rPr>
        <w:t>0,4 procent. Det är den räntefot som gäller för Finansinspektionens s</w:t>
      </w:r>
      <w:r w:rsidR="00B1214A">
        <w:rPr>
          <w:sz w:val="20"/>
        </w:rPr>
        <w:t xml:space="preserve">å </w:t>
      </w:r>
      <w:r w:rsidRPr="004B01DF">
        <w:rPr>
          <w:sz w:val="20"/>
        </w:rPr>
        <w:t>k</w:t>
      </w:r>
      <w:r w:rsidR="00B1214A">
        <w:rPr>
          <w:sz w:val="20"/>
        </w:rPr>
        <w:t>allade</w:t>
      </w:r>
      <w:r w:rsidRPr="004B01DF">
        <w:rPr>
          <w:sz w:val="20"/>
        </w:rPr>
        <w:t xml:space="preserve"> tryggandegrunder (FFFS 2007:24) fr</w:t>
      </w:r>
      <w:r w:rsidR="00554500">
        <w:rPr>
          <w:sz w:val="20"/>
        </w:rPr>
        <w:t xml:space="preserve">ån </w:t>
      </w:r>
      <w:r w:rsidRPr="004B01DF">
        <w:rPr>
          <w:sz w:val="20"/>
        </w:rPr>
        <w:t>o</w:t>
      </w:r>
      <w:r w:rsidR="00554500">
        <w:rPr>
          <w:sz w:val="20"/>
        </w:rPr>
        <w:t>ch med</w:t>
      </w:r>
      <w:r w:rsidRPr="004B01DF">
        <w:rPr>
          <w:sz w:val="20"/>
        </w:rPr>
        <w:t xml:space="preserve"> den 1 januari 2016 avseende åtaganden med utfäst indexering. Avdrag för avkastningsskatt är 0,1 procentenheter.</w:t>
      </w:r>
    </w:p>
    <w:p w:rsidR="004B01DF" w:rsidRPr="004B01DF" w:rsidRDefault="004B01DF" w:rsidP="00B07C36">
      <w:pPr>
        <w:pStyle w:val="Normaltindrag"/>
        <w:spacing w:line="244" w:lineRule="atLeast"/>
      </w:pPr>
      <w:r w:rsidRPr="004B01DF">
        <w:t>Som komplement till avsättningarna för beslutade inkomstgarantier har även en bedömning gjorts av latenta inkomstgarantier, det vill säga för nu aktiva ledamöter. Riksdagsförvaltningen betalar arbetsgivaravgifter på utbetalda inkomstgarantier och avsättningarna inkluderar därför sociala avgifter.</w:t>
      </w:r>
    </w:p>
    <w:p w:rsidR="004B01DF" w:rsidRPr="004B01DF" w:rsidRDefault="004B01DF" w:rsidP="00B07C36">
      <w:pPr>
        <w:pStyle w:val="Normaltindrag"/>
        <w:spacing w:line="244" w:lineRule="atLeast"/>
      </w:pPr>
      <w:r w:rsidRPr="004B01DF">
        <w:t xml:space="preserve">Den 1 maj 2014 inrättades ett ekonomiskt omställningsstöd som ersätter inkomstgarantisystemet för ledamöter som valdes in vid 2014 års val och därefter. Hittills har ett beslut om ekonomiskt omställningsstöd fattats för en ledamot som avslutat sitt riksdagsuppdrag. </w:t>
      </w:r>
      <w:r w:rsidR="00CC4F67">
        <w:t>B</w:t>
      </w:r>
      <w:r w:rsidR="00CC4F67" w:rsidRPr="004B01DF">
        <w:t xml:space="preserve">eroende på de berättiganderegler som gäller för </w:t>
      </w:r>
      <w:r w:rsidR="00CC4F67">
        <w:t>det ekonomiska omställnings</w:t>
      </w:r>
      <w:r w:rsidR="00CC4F67" w:rsidRPr="004B01DF">
        <w:t xml:space="preserve">stödet </w:t>
      </w:r>
      <w:r w:rsidR="00CC4F67">
        <w:t>gjordes a</w:t>
      </w:r>
      <w:r w:rsidRPr="004B01DF">
        <w:t>vsättningar fö</w:t>
      </w:r>
      <w:r w:rsidR="00CC4F67">
        <w:t xml:space="preserve">r latenta utfästelser för </w:t>
      </w:r>
      <w:r w:rsidRPr="004B01DF">
        <w:t>stöd</w:t>
      </w:r>
      <w:r w:rsidR="00CC4F67">
        <w:t>et</w:t>
      </w:r>
      <w:r w:rsidRPr="004B01DF">
        <w:t xml:space="preserve"> </w:t>
      </w:r>
      <w:r w:rsidR="00CC4F67">
        <w:t>för första gången</w:t>
      </w:r>
      <w:r w:rsidRPr="004B01DF">
        <w:t xml:space="preserve"> i samband med årsredovisningen 2015. Avsättningarna baseras på en bedömning av de belopp nu aktiva ledamöter, som omfattas av det ekonomiska omställningsstödet, skulle haft rätt till per den 2016-12-31. Även detta stöd genererar arbetsgivaravgifter och är därför medräknade i avsättningen.</w:t>
      </w:r>
    </w:p>
    <w:p w:rsidR="004B01DF" w:rsidRPr="004B01DF" w:rsidRDefault="00B07C36" w:rsidP="00B07C36">
      <w:pPr>
        <w:keepNext/>
        <w:keepLines/>
        <w:tabs>
          <w:tab w:val="right" w:pos="9072"/>
        </w:tabs>
        <w:suppressAutoHyphens/>
        <w:spacing w:before="200" w:line="250" w:lineRule="exact"/>
        <w:jc w:val="left"/>
        <w:rPr>
          <w:rFonts w:eastAsia="Times New Roman"/>
          <w:i/>
          <w:sz w:val="20"/>
          <w:szCs w:val="20"/>
          <w:lang w:eastAsia="sv-SE"/>
        </w:rPr>
      </w:pPr>
      <w:r>
        <w:rPr>
          <w:rFonts w:eastAsia="Times New Roman"/>
          <w:i/>
          <w:sz w:val="20"/>
          <w:szCs w:val="20"/>
          <w:lang w:eastAsia="sv-SE"/>
        </w:rPr>
        <w:t>Fordringar</w:t>
      </w:r>
    </w:p>
    <w:p w:rsidR="004B01DF" w:rsidRPr="004B01DF" w:rsidRDefault="004B01DF" w:rsidP="00B07C36">
      <w:pPr>
        <w:spacing w:line="244" w:lineRule="atLeast"/>
        <w:rPr>
          <w:sz w:val="20"/>
        </w:rPr>
      </w:pPr>
      <w:r w:rsidRPr="004B01DF">
        <w:rPr>
          <w:sz w:val="20"/>
        </w:rPr>
        <w:t>Fordringar har tagits upp med de belopp som efter individuell prövning beräknas bli betalda. Fordringar i utländsk valuta har värderats till balansdagens kurs.</w:t>
      </w:r>
    </w:p>
    <w:p w:rsidR="004B01DF" w:rsidRPr="004B01DF" w:rsidRDefault="004B01DF" w:rsidP="00B07C36">
      <w:pPr>
        <w:keepNext/>
        <w:keepLines/>
        <w:suppressAutoHyphens/>
        <w:spacing w:before="200" w:line="250" w:lineRule="exact"/>
        <w:jc w:val="left"/>
        <w:rPr>
          <w:rFonts w:eastAsia="Times New Roman"/>
          <w:i/>
          <w:sz w:val="20"/>
          <w:szCs w:val="20"/>
          <w:lang w:eastAsia="sv-SE"/>
        </w:rPr>
      </w:pPr>
      <w:r w:rsidRPr="004B01DF">
        <w:rPr>
          <w:rFonts w:eastAsia="Times New Roman"/>
          <w:i/>
          <w:sz w:val="20"/>
          <w:szCs w:val="20"/>
          <w:lang w:eastAsia="sv-SE"/>
        </w:rPr>
        <w:t>Skulder m.m.</w:t>
      </w:r>
    </w:p>
    <w:p w:rsidR="004B01DF" w:rsidRPr="004B01DF" w:rsidRDefault="004B01DF" w:rsidP="00B07C36">
      <w:pPr>
        <w:spacing w:line="244" w:lineRule="atLeast"/>
        <w:rPr>
          <w:sz w:val="20"/>
        </w:rPr>
      </w:pPr>
      <w:r w:rsidRPr="004B01DF">
        <w:rPr>
          <w:sz w:val="20"/>
        </w:rPr>
        <w:t>Skulder har tagits upp till nominellt belopp. Skulder i utländsk valuta har värderats till balansdagens kurs.</w:t>
      </w:r>
    </w:p>
    <w:p w:rsidR="004B01DF" w:rsidRPr="004B01DF" w:rsidRDefault="004B01DF" w:rsidP="00B07C36">
      <w:pPr>
        <w:keepNext/>
        <w:keepLines/>
        <w:suppressAutoHyphens/>
        <w:spacing w:before="200" w:line="250" w:lineRule="exact"/>
        <w:jc w:val="left"/>
        <w:rPr>
          <w:rFonts w:eastAsia="Times New Roman"/>
          <w:i/>
          <w:sz w:val="20"/>
          <w:szCs w:val="20"/>
          <w:lang w:eastAsia="sv-SE"/>
        </w:rPr>
      </w:pPr>
      <w:r w:rsidRPr="004B01DF">
        <w:rPr>
          <w:rFonts w:eastAsia="Times New Roman"/>
          <w:i/>
          <w:sz w:val="20"/>
          <w:szCs w:val="20"/>
          <w:lang w:eastAsia="sv-SE"/>
        </w:rPr>
        <w:t>Övriga upplysningar</w:t>
      </w:r>
    </w:p>
    <w:p w:rsidR="004B01DF" w:rsidRPr="004B01DF" w:rsidRDefault="004B01DF" w:rsidP="00B07C36">
      <w:pPr>
        <w:spacing w:line="244" w:lineRule="atLeast"/>
        <w:rPr>
          <w:sz w:val="20"/>
        </w:rPr>
      </w:pPr>
      <w:r w:rsidRPr="004B01DF">
        <w:rPr>
          <w:sz w:val="20"/>
        </w:rPr>
        <w:t>Riksdagsförvaltning har från och med budgetåret 2014 inte upprät</w:t>
      </w:r>
      <w:r w:rsidR="000932BD">
        <w:rPr>
          <w:sz w:val="20"/>
        </w:rPr>
        <w:t>tat någon finansieringsanalys eftersom</w:t>
      </w:r>
      <w:r w:rsidRPr="004B01DF">
        <w:rPr>
          <w:sz w:val="20"/>
        </w:rPr>
        <w:t xml:space="preserve"> REA-lagen inte kräver det.</w:t>
      </w:r>
    </w:p>
    <w:p w:rsidR="004B01DF" w:rsidRPr="004B01DF" w:rsidRDefault="004B01DF" w:rsidP="004B01DF">
      <w:pPr>
        <w:rPr>
          <w:sz w:val="20"/>
        </w:rPr>
      </w:pPr>
      <w:r w:rsidRPr="004B01DF">
        <w:rPr>
          <w:sz w:val="20"/>
        </w:rPr>
        <w:br w:type="page"/>
      </w:r>
    </w:p>
    <w:p w:rsidR="00FE164A" w:rsidRPr="00FE164A" w:rsidRDefault="00FE164A" w:rsidP="00FE164A">
      <w:pPr>
        <w:spacing w:before="60" w:line="200" w:lineRule="exact"/>
        <w:jc w:val="left"/>
        <w:rPr>
          <w:rFonts w:eastAsia="Times New Roman"/>
          <w:b/>
          <w:bCs/>
          <w:sz w:val="21"/>
          <w:szCs w:val="21"/>
          <w:lang w:eastAsia="sv-SE"/>
        </w:rPr>
      </w:pPr>
      <w:r w:rsidRPr="00FE164A">
        <w:rPr>
          <w:rFonts w:eastAsia="Times New Roman"/>
          <w:b/>
          <w:bCs/>
          <w:sz w:val="21"/>
          <w:szCs w:val="21"/>
          <w:lang w:eastAsia="sv-SE"/>
        </w:rPr>
        <w:lastRenderedPageBreak/>
        <w:t>Noter</w:t>
      </w:r>
    </w:p>
    <w:p w:rsidR="00FE164A" w:rsidRPr="00FE164A" w:rsidRDefault="00FE164A" w:rsidP="00FE164A">
      <w:pPr>
        <w:spacing w:before="120" w:line="200" w:lineRule="exact"/>
        <w:jc w:val="left"/>
        <w:rPr>
          <w:rFonts w:eastAsia="Times New Roman"/>
          <w:b/>
          <w:bCs/>
          <w:sz w:val="21"/>
          <w:szCs w:val="21"/>
          <w:lang w:eastAsia="sv-SE"/>
        </w:rPr>
      </w:pPr>
      <w:r w:rsidRPr="00FE164A">
        <w:rPr>
          <w:rFonts w:eastAsia="Times New Roman"/>
          <w:b/>
          <w:bCs/>
          <w:sz w:val="21"/>
          <w:szCs w:val="21"/>
          <w:lang w:eastAsia="sv-SE"/>
        </w:rPr>
        <w:t>Resultaträkning</w:t>
      </w:r>
    </w:p>
    <w:tbl>
      <w:tblPr>
        <w:tblW w:w="5954" w:type="dxa"/>
        <w:tblInd w:w="70" w:type="dxa"/>
        <w:tblLayout w:type="fixed"/>
        <w:tblCellMar>
          <w:left w:w="70" w:type="dxa"/>
          <w:right w:w="70" w:type="dxa"/>
        </w:tblCellMar>
        <w:tblLook w:val="04A0" w:firstRow="1" w:lastRow="0" w:firstColumn="1" w:lastColumn="0" w:noHBand="0" w:noVBand="1"/>
      </w:tblPr>
      <w:tblGrid>
        <w:gridCol w:w="3969"/>
        <w:gridCol w:w="993"/>
        <w:gridCol w:w="992"/>
      </w:tblGrid>
      <w:tr w:rsidR="00FE164A" w:rsidRPr="00FE164A" w:rsidTr="0069450B">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2016</w:t>
            </w:r>
          </w:p>
        </w:tc>
        <w:tc>
          <w:tcPr>
            <w:tcW w:w="992"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2015</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 Intäkter av anslag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center"/>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Utgifter enligt anslagsavräkningen</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1 844 764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1 850 352</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Minskning av intjänad semesterlöneskuld före 2009</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-1 713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-1 513</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Inköp tillgångar avräknat mot statskapital</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-253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-55</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Medel som erhållits från statsbudgeten för</w:t>
            </w:r>
            <w:r w:rsidRPr="00FE164A">
              <w:rPr>
                <w:rFonts w:eastAsia="Times New Roman"/>
                <w:sz w:val="16"/>
                <w:szCs w:val="16"/>
                <w:lang w:eastAsia="sv-SE"/>
              </w:rPr>
              <w:br/>
              <w:t>finansiering av bidrag</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-500 670</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-495 720</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1 342 128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1 353 063</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2 Intäkter av avgifter och andra</w:t>
            </w:r>
            <w:r w:rsidRPr="00FE164A">
              <w:rPr>
                <w:rFonts w:eastAsia="Times New Roman"/>
                <w:b/>
                <w:bCs/>
                <w:sz w:val="16"/>
                <w:szCs w:val="16"/>
                <w:lang w:eastAsia="sv-SE"/>
              </w:rPr>
              <w:br/>
              <w:t>ersättningar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Intäkter av hyror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20 124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19 827</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Intäkter av försäljningsverksamhet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8 352</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8 682</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2 558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3 459</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31 035</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31 968</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after="120" w:line="240" w:lineRule="auto"/>
              <w:jc w:val="left"/>
              <w:rPr>
                <w:rFonts w:eastAsia="Times New Roman"/>
                <w:b/>
                <w:bCs/>
                <w:sz w:val="16"/>
                <w:szCs w:val="16"/>
                <w:lang w:eastAsia="sv-SE"/>
              </w:rPr>
            </w:pPr>
            <w:r w:rsidRPr="00FE164A">
              <w:rPr>
                <w:rFonts w:eastAsia="Times New Roman"/>
                <w:bCs/>
                <w:sz w:val="16"/>
                <w:szCs w:val="16"/>
                <w:lang w:eastAsia="sv-SE"/>
              </w:rPr>
              <w:t>I posten Övrigt ingår bland annat försäljning av trycksaker.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after="12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after="12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3 Intäkter av bidrag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Intäkter av bidrag från Riksbankens jubileumsfond avseende Tryckfrihetsförordningen</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450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Periodisering bidrag från Kulturfonden</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24</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450</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24</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4 Finansiella intäkter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Ränteintäkter från Riksgäldskontoret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2 184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1 174</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Ränteintäkter i avsättning för pensioner till ledamöter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11 521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73"/>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214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188</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13 919</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1 362</w:t>
            </w:r>
          </w:p>
        </w:tc>
      </w:tr>
      <w:tr w:rsidR="00FE164A" w:rsidRPr="00FE164A" w:rsidTr="0069450B">
        <w:trPr>
          <w:trHeight w:val="340"/>
        </w:trPr>
        <w:tc>
          <w:tcPr>
            <w:tcW w:w="5954" w:type="dxa"/>
            <w:gridSpan w:val="3"/>
            <w:tcBorders>
              <w:top w:val="nil"/>
              <w:left w:val="nil"/>
              <w:bottom w:val="nil"/>
              <w:right w:val="nil"/>
            </w:tcBorders>
            <w:shd w:val="clear" w:color="auto" w:fill="auto"/>
            <w:noWrap/>
            <w:vAlign w:val="bottom"/>
            <w:hideMark/>
          </w:tcPr>
          <w:p w:rsidR="00FE164A" w:rsidRPr="00FE164A" w:rsidRDefault="00C920D8" w:rsidP="002161F9">
            <w:pPr>
              <w:spacing w:before="40" w:line="240" w:lineRule="auto"/>
              <w:jc w:val="left"/>
              <w:rPr>
                <w:rFonts w:eastAsia="Times New Roman"/>
                <w:sz w:val="16"/>
                <w:szCs w:val="16"/>
                <w:lang w:eastAsia="sv-SE"/>
              </w:rPr>
            </w:pPr>
            <w:r>
              <w:rPr>
                <w:rFonts w:eastAsia="Times New Roman"/>
                <w:bCs/>
                <w:sz w:val="16"/>
                <w:szCs w:val="16"/>
                <w:lang w:eastAsia="sv-SE"/>
              </w:rPr>
              <w:t>Ränteintäkten i</w:t>
            </w:r>
            <w:r w:rsidR="00C910EF">
              <w:rPr>
                <w:rFonts w:eastAsia="Times New Roman"/>
                <w:bCs/>
                <w:sz w:val="16"/>
                <w:szCs w:val="16"/>
                <w:lang w:eastAsia="sv-SE"/>
              </w:rPr>
              <w:t xml:space="preserve"> </w:t>
            </w:r>
            <w:r w:rsidR="00FE164A" w:rsidRPr="00FE164A">
              <w:rPr>
                <w:rFonts w:eastAsia="Times New Roman"/>
                <w:bCs/>
                <w:sz w:val="16"/>
                <w:szCs w:val="16"/>
                <w:lang w:eastAsia="sv-SE"/>
              </w:rPr>
              <w:t>avsättningen till ledamöters pensioner beror på att bruttoräntan enligt Finansinspektionens tryggandegrunder (FFFS 2007:24) har minskat från 0,8 procen</w:t>
            </w:r>
            <w:r w:rsidR="00C910EF">
              <w:rPr>
                <w:rFonts w:eastAsia="Times New Roman"/>
                <w:bCs/>
                <w:sz w:val="16"/>
                <w:szCs w:val="16"/>
                <w:lang w:eastAsia="sv-SE"/>
              </w:rPr>
              <w:t>t till -</w:t>
            </w:r>
            <w:r w:rsidR="00FE164A" w:rsidRPr="00FE164A">
              <w:rPr>
                <w:rFonts w:eastAsia="Times New Roman"/>
                <w:bCs/>
                <w:sz w:val="16"/>
                <w:szCs w:val="16"/>
                <w:lang w:eastAsia="sv-SE"/>
              </w:rPr>
              <w:t>0,4 procent.</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5 Kostnader för personal och ledamöter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Kostnader för ledamöter (inkl. sociala avgifter)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-1 107 775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-639 707</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Kostnader för personal (inkl. sociala avgifter)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-458 259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-448 905</w:t>
            </w:r>
          </w:p>
        </w:tc>
      </w:tr>
      <w:tr w:rsidR="00FE164A" w:rsidRPr="00FE164A" w:rsidTr="0069450B">
        <w:trPr>
          <w:trHeight w:val="340"/>
        </w:trPr>
        <w:tc>
          <w:tcPr>
            <w:tcW w:w="3969" w:type="dxa"/>
            <w:tcBorders>
              <w:top w:val="nil"/>
              <w:left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single" w:sz="4" w:space="0" w:color="auto"/>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-1 566 034</w:t>
            </w:r>
          </w:p>
        </w:tc>
        <w:tc>
          <w:tcPr>
            <w:tcW w:w="992" w:type="dxa"/>
            <w:tcBorders>
              <w:top w:val="single" w:sz="4" w:space="0" w:color="auto"/>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-1 088 612</w:t>
            </w:r>
          </w:p>
        </w:tc>
      </w:tr>
      <w:tr w:rsidR="00FE164A" w:rsidRPr="00FE164A" w:rsidTr="00752BD7">
        <w:trPr>
          <w:trHeight w:val="340"/>
        </w:trPr>
        <w:tc>
          <w:tcPr>
            <w:tcW w:w="3969" w:type="dxa"/>
            <w:tcBorders>
              <w:top w:val="nil"/>
              <w:left w:val="nil"/>
              <w:right w:val="nil"/>
            </w:tcBorders>
            <w:shd w:val="clear" w:color="auto" w:fill="auto"/>
            <w:vAlign w:val="bottom"/>
            <w:hideMark/>
          </w:tcPr>
          <w:p w:rsidR="00FE164A" w:rsidRPr="00FE164A" w:rsidRDefault="00FE164A" w:rsidP="002161F9">
            <w:pPr>
              <w:spacing w:before="40" w:line="240" w:lineRule="auto"/>
              <w:jc w:val="left"/>
              <w:rPr>
                <w:rFonts w:eastAsia="Times New Roman"/>
                <w:sz w:val="16"/>
                <w:szCs w:val="16"/>
                <w:lang w:eastAsia="sv-SE"/>
              </w:rPr>
            </w:pPr>
            <w:r w:rsidRPr="00FE164A">
              <w:rPr>
                <w:rFonts w:eastAsia="Times New Roman"/>
                <w:sz w:val="16"/>
                <w:szCs w:val="16"/>
                <w:lang w:eastAsia="sv-SE"/>
              </w:rPr>
              <w:t>varav löne-</w:t>
            </w:r>
            <w:r w:rsidR="00F86C54">
              <w:rPr>
                <w:rFonts w:eastAsia="Times New Roman"/>
                <w:sz w:val="16"/>
                <w:szCs w:val="16"/>
                <w:lang w:eastAsia="sv-SE"/>
              </w:rPr>
              <w:t xml:space="preserve"> </w:t>
            </w:r>
            <w:r w:rsidRPr="00FE164A">
              <w:rPr>
                <w:rFonts w:eastAsia="Times New Roman"/>
                <w:sz w:val="16"/>
                <w:szCs w:val="16"/>
                <w:lang w:eastAsia="sv-SE"/>
              </w:rPr>
              <w:t>och arvodeskostnader, exklusive</w:t>
            </w:r>
            <w:r w:rsidRPr="00FE164A">
              <w:rPr>
                <w:rFonts w:eastAsia="Times New Roman"/>
                <w:sz w:val="16"/>
                <w:szCs w:val="16"/>
                <w:lang w:eastAsia="sv-SE"/>
              </w:rPr>
              <w:br/>
              <w:t>sociala avgifter</w:t>
            </w:r>
          </w:p>
        </w:tc>
        <w:tc>
          <w:tcPr>
            <w:tcW w:w="993"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-1 077 818</w:t>
            </w:r>
          </w:p>
        </w:tc>
        <w:tc>
          <w:tcPr>
            <w:tcW w:w="992"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-533 053</w:t>
            </w:r>
          </w:p>
        </w:tc>
      </w:tr>
      <w:tr w:rsidR="00FE164A" w:rsidRPr="00FE164A" w:rsidTr="00752BD7">
        <w:trPr>
          <w:trHeight w:val="340"/>
        </w:trPr>
        <w:tc>
          <w:tcPr>
            <w:tcW w:w="5954" w:type="dxa"/>
            <w:gridSpan w:val="3"/>
            <w:tcBorders>
              <w:top w:val="nil"/>
              <w:left w:val="nil"/>
              <w:right w:val="nil"/>
            </w:tcBorders>
            <w:shd w:val="clear" w:color="auto" w:fill="auto"/>
            <w:vAlign w:val="bottom"/>
          </w:tcPr>
          <w:p w:rsidR="00D14892" w:rsidRPr="00752BD7" w:rsidRDefault="00FE164A" w:rsidP="00752BD7">
            <w:pPr>
              <w:spacing w:before="0" w:line="240" w:lineRule="auto"/>
              <w:jc w:val="left"/>
              <w:rPr>
                <w:rFonts w:eastAsia="Times New Roman"/>
                <w:sz w:val="16"/>
                <w:szCs w:val="16"/>
                <w:lang w:eastAsia="sv-SE"/>
              </w:rPr>
            </w:pPr>
            <w:r w:rsidRPr="00FE164A">
              <w:rPr>
                <w:rFonts w:eastAsia="Times New Roman"/>
                <w:sz w:val="16"/>
                <w:szCs w:val="16"/>
                <w:lang w:eastAsia="sv-SE"/>
              </w:rPr>
              <w:t>Utfallet på kostnader för ledamöter beror på ökade beräknade kostnader för avsättning av ledamöters pensioner m</w:t>
            </w:r>
            <w:r w:rsidR="00C910EF">
              <w:rPr>
                <w:rFonts w:eastAsia="Times New Roman"/>
                <w:sz w:val="16"/>
                <w:szCs w:val="16"/>
                <w:lang w:eastAsia="sv-SE"/>
              </w:rPr>
              <w:t>.</w:t>
            </w:r>
            <w:r w:rsidRPr="00FE164A">
              <w:rPr>
                <w:rFonts w:eastAsia="Times New Roman"/>
                <w:sz w:val="16"/>
                <w:szCs w:val="16"/>
                <w:lang w:eastAsia="sv-SE"/>
              </w:rPr>
              <w:t>m</w:t>
            </w:r>
            <w:r w:rsidR="00C910EF">
              <w:rPr>
                <w:rFonts w:eastAsia="Times New Roman"/>
                <w:sz w:val="16"/>
                <w:szCs w:val="16"/>
                <w:lang w:eastAsia="sv-SE"/>
              </w:rPr>
              <w:t>.</w:t>
            </w:r>
          </w:p>
        </w:tc>
      </w:tr>
      <w:tr w:rsidR="00FE164A" w:rsidRPr="00FE164A" w:rsidTr="007D6B74">
        <w:trPr>
          <w:trHeight w:val="276"/>
        </w:trPr>
        <w:tc>
          <w:tcPr>
            <w:tcW w:w="3969"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lastRenderedPageBreak/>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2016</w:t>
            </w:r>
          </w:p>
        </w:tc>
        <w:tc>
          <w:tcPr>
            <w:tcW w:w="992"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2015</w:t>
            </w:r>
          </w:p>
        </w:tc>
      </w:tr>
      <w:tr w:rsidR="00FE164A" w:rsidRPr="00FE164A" w:rsidTr="007D6B74">
        <w:trPr>
          <w:trHeight w:val="340"/>
        </w:trPr>
        <w:tc>
          <w:tcPr>
            <w:tcW w:w="3969"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6 Kostnader för lokaler</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Lokalkostnader</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-40 674</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-38 508</w:t>
            </w:r>
          </w:p>
        </w:tc>
      </w:tr>
      <w:tr w:rsidR="00FE164A" w:rsidRPr="00FE164A" w:rsidTr="0069450B">
        <w:trPr>
          <w:trHeight w:val="233"/>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-40 674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-38 508</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7 Finansiella kostnader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Ränta till Riksgäldskontoret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-637</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-339</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 xml:space="preserve">Räntekostnader i avsättning för pensioner till </w:t>
            </w:r>
            <w:r w:rsidRPr="00FE164A">
              <w:rPr>
                <w:rFonts w:eastAsia="Times New Roman"/>
                <w:sz w:val="16"/>
                <w:szCs w:val="16"/>
                <w:lang w:eastAsia="sv-SE"/>
              </w:rPr>
              <w:br/>
              <w:t>ledamöter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-21 186</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Övrigt</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-145</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w:t>
            </w:r>
          </w:p>
        </w:tc>
      </w:tr>
      <w:tr w:rsidR="00FE164A" w:rsidRPr="00FE164A" w:rsidTr="0069450B">
        <w:trPr>
          <w:trHeight w:val="299"/>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-782</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-21 533</w:t>
            </w:r>
          </w:p>
        </w:tc>
      </w:tr>
      <w:tr w:rsidR="00FE164A" w:rsidRPr="00FE164A" w:rsidTr="0069450B">
        <w:trPr>
          <w:trHeight w:val="340"/>
        </w:trPr>
        <w:tc>
          <w:tcPr>
            <w:tcW w:w="5954" w:type="dxa"/>
            <w:gridSpan w:val="3"/>
            <w:tcBorders>
              <w:top w:val="nil"/>
              <w:left w:val="nil"/>
              <w:bottom w:val="nil"/>
              <w:right w:val="nil"/>
            </w:tcBorders>
            <w:shd w:val="clear" w:color="auto" w:fill="auto"/>
            <w:hideMark/>
          </w:tcPr>
          <w:p w:rsidR="00FE164A" w:rsidRPr="00FE164A" w:rsidRDefault="00FE164A" w:rsidP="00B714F5">
            <w:pPr>
              <w:spacing w:before="40" w:line="240" w:lineRule="auto"/>
              <w:jc w:val="left"/>
              <w:rPr>
                <w:rFonts w:eastAsia="Times New Roman"/>
                <w:sz w:val="16"/>
                <w:szCs w:val="16"/>
                <w:lang w:eastAsia="sv-SE"/>
              </w:rPr>
            </w:pPr>
            <w:r w:rsidRPr="00FE164A">
              <w:rPr>
                <w:rFonts w:eastAsia="Times New Roman"/>
                <w:sz w:val="16"/>
                <w:szCs w:val="16"/>
                <w:lang w:eastAsia="sv-SE"/>
              </w:rPr>
              <w:t>Minskningen av Räntekostnader i avsättning för ledamöters pensioner beror på att bruttoräntan enligt Finansinspektionens tryggandegrunder (FFFS 2007:24) har minskat från 0</w:t>
            </w:r>
            <w:r w:rsidR="008E7393">
              <w:rPr>
                <w:rFonts w:eastAsia="Times New Roman"/>
                <w:sz w:val="16"/>
                <w:szCs w:val="16"/>
                <w:lang w:eastAsia="sv-SE"/>
              </w:rPr>
              <w:t>,8 procent 2015 till -0,4 procent</w:t>
            </w:r>
            <w:r w:rsidRPr="00FE164A">
              <w:rPr>
                <w:rFonts w:eastAsia="Times New Roman"/>
                <w:sz w:val="16"/>
                <w:szCs w:val="16"/>
                <w:lang w:eastAsia="sv-SE"/>
              </w:rPr>
              <w:t xml:space="preserve"> för 2016.</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8 Avskrivningar och nedskrivningar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Avskrivningar för anslagsfinansierade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-5 909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-27 769</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Avskrivningar för lånefinansierade anläggningstillgångar</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-48 778</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-52 073</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-54 687</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-79 842</w:t>
            </w:r>
          </w:p>
        </w:tc>
      </w:tr>
      <w:tr w:rsidR="00FE164A" w:rsidRPr="00FE164A" w:rsidTr="0069450B">
        <w:trPr>
          <w:trHeight w:val="340"/>
        </w:trPr>
        <w:tc>
          <w:tcPr>
            <w:tcW w:w="5954" w:type="dxa"/>
            <w:gridSpan w:val="3"/>
            <w:tcBorders>
              <w:top w:val="nil"/>
              <w:left w:val="nil"/>
              <w:bottom w:val="nil"/>
              <w:right w:val="nil"/>
            </w:tcBorders>
            <w:shd w:val="clear" w:color="auto" w:fill="auto"/>
            <w:noWrap/>
            <w:vAlign w:val="bottom"/>
            <w:hideMark/>
          </w:tcPr>
          <w:p w:rsidR="00FE164A" w:rsidRPr="00FE164A" w:rsidRDefault="00FE164A" w:rsidP="00B714F5">
            <w:pPr>
              <w:spacing w:before="40" w:line="240" w:lineRule="auto"/>
              <w:jc w:val="left"/>
              <w:rPr>
                <w:rFonts w:eastAsia="Times New Roman"/>
                <w:sz w:val="16"/>
                <w:szCs w:val="16"/>
                <w:lang w:eastAsia="sv-SE"/>
              </w:rPr>
            </w:pPr>
            <w:r w:rsidRPr="00FE164A">
              <w:rPr>
                <w:rFonts w:eastAsia="Times New Roman"/>
                <w:sz w:val="16"/>
                <w:szCs w:val="16"/>
                <w:lang w:eastAsia="sv-SE"/>
              </w:rPr>
              <w:t>Minskningen av avskrivningar för anslagsfinansierade avskrivningar beror på att en översyn av avskrivningstiden för fastigheterna gjordes i samband med införandet av komponentredovisning. Avskrivningstiden har ändrats från att ha varit högst 50 till 150 år. Ändringen påverkade totalt avskrivningarna med 21 565 tkr varav 1 527 tkr avsåg avskrivningar för lånefinansierade anläggningstillgångar.</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9 Lämnade bidrag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Stöd till politiska partier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-172 131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-170 881</w:t>
            </w:r>
          </w:p>
        </w:tc>
      </w:tr>
      <w:tr w:rsidR="00FE164A" w:rsidRPr="00FE164A" w:rsidTr="0069450B">
        <w:trPr>
          <w:trHeight w:val="121"/>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Stöd till partigrupperna i riksdagen</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-293 460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-289 939</w:t>
            </w:r>
          </w:p>
        </w:tc>
      </w:tr>
      <w:tr w:rsidR="00FE164A" w:rsidRPr="00FE164A" w:rsidTr="0069450B">
        <w:trPr>
          <w:trHeight w:val="21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Stöd till riksdagspartiers kvinnoorganisationer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-15 000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-15 000</w:t>
            </w:r>
          </w:p>
        </w:tc>
      </w:tr>
      <w:tr w:rsidR="00FE164A" w:rsidRPr="00FE164A" w:rsidTr="0069450B">
        <w:trPr>
          <w:trHeight w:val="141"/>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Nordiska rådet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-13 491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-13 795</w:t>
            </w:r>
          </w:p>
        </w:tc>
      </w:tr>
      <w:tr w:rsidR="00FE164A" w:rsidRPr="00FE164A" w:rsidTr="0069450B">
        <w:trPr>
          <w:trHeight w:val="243"/>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IPU</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-1 035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-1 139</w:t>
            </w:r>
          </w:p>
        </w:tc>
      </w:tr>
      <w:tr w:rsidR="00FE164A" w:rsidRPr="00FE164A" w:rsidTr="0069450B">
        <w:trPr>
          <w:trHeight w:val="133"/>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OSSE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-993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-962</w:t>
            </w:r>
          </w:p>
        </w:tc>
      </w:tr>
      <w:tr w:rsidR="00FE164A" w:rsidRPr="00FE164A" w:rsidTr="0069450B">
        <w:trPr>
          <w:trHeight w:val="235"/>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Skolbidrag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-3 100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-2 520</w:t>
            </w:r>
          </w:p>
        </w:tc>
      </w:tr>
      <w:tr w:rsidR="00FE164A" w:rsidRPr="00FE164A" w:rsidTr="0069450B">
        <w:trPr>
          <w:trHeight w:val="153"/>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Övrigt</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-1 462</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-1 486</w:t>
            </w:r>
          </w:p>
        </w:tc>
      </w:tr>
      <w:tr w:rsidR="00FE164A" w:rsidRPr="00FE164A" w:rsidTr="0069450B">
        <w:trPr>
          <w:trHeight w:val="239"/>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-500 670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-495 720</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10 Årets kapitalförändring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Avskrivningar anslagsfinansierade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-5 909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-27 769</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förändring av avsättning för pensioner, inkomstgarantier och omställningsstöd till ledamöter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-615 319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-132 508</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Räntekostnader i avsättning för pensioner till ledamöter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-21 186</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Ränteintäkter i avsättning för pensioner till ledamöter</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11 521</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-609 707</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-181 463</w:t>
            </w:r>
          </w:p>
        </w:tc>
      </w:tr>
      <w:tr w:rsidR="00FE164A" w:rsidRPr="00FE164A" w:rsidTr="0069450B">
        <w:trPr>
          <w:trHeight w:val="340"/>
        </w:trPr>
        <w:tc>
          <w:tcPr>
            <w:tcW w:w="5954" w:type="dxa"/>
            <w:gridSpan w:val="3"/>
            <w:tcBorders>
              <w:top w:val="nil"/>
              <w:left w:val="nil"/>
              <w:bottom w:val="nil"/>
              <w:right w:val="nil"/>
            </w:tcBorders>
            <w:shd w:val="clear" w:color="auto" w:fill="auto"/>
            <w:noWrap/>
            <w:vAlign w:val="bottom"/>
            <w:hideMark/>
          </w:tcPr>
          <w:p w:rsidR="00FE164A" w:rsidRPr="00FE164A" w:rsidRDefault="00FE164A" w:rsidP="00B714F5">
            <w:pPr>
              <w:spacing w:before="40" w:line="240" w:lineRule="auto"/>
              <w:jc w:val="left"/>
              <w:rPr>
                <w:rFonts w:eastAsia="Times New Roman"/>
                <w:sz w:val="16"/>
                <w:szCs w:val="16"/>
                <w:lang w:eastAsia="sv-SE"/>
              </w:rPr>
            </w:pPr>
            <w:r w:rsidRPr="00FE164A">
              <w:rPr>
                <w:rFonts w:eastAsia="Times New Roman"/>
                <w:sz w:val="16"/>
                <w:szCs w:val="16"/>
                <w:lang w:eastAsia="sv-SE"/>
              </w:rPr>
              <w:t>Skillnaden mellan åren för posterna Räntekostnader - och Ränteintäkter för ledamöters pensioner beror på att bruttoräntan enligt Finansinspektionens tryggandegrunder (FFFS</w:t>
            </w:r>
            <w:r w:rsidR="008E7393">
              <w:rPr>
                <w:rFonts w:eastAsia="Times New Roman"/>
                <w:sz w:val="16"/>
                <w:szCs w:val="16"/>
                <w:lang w:eastAsia="sv-SE"/>
              </w:rPr>
              <w:t xml:space="preserve"> 2007:24) har minskat från 0,8 procent 2015 till -0,4 procent</w:t>
            </w:r>
            <w:r w:rsidRPr="00FE164A">
              <w:rPr>
                <w:rFonts w:eastAsia="Times New Roman"/>
                <w:sz w:val="16"/>
                <w:szCs w:val="16"/>
                <w:lang w:eastAsia="sv-SE"/>
              </w:rPr>
              <w:t xml:space="preserve"> för 2016. I summan ingår årets kostnader av avsättningen för ledamöternas pensioner och inkomstgarantier inklusive sociala avgifter, se även sista stycket under rubriken Avsättningar för pensioner och liknande förpliktelser i Tilläggsupplysningar och noter.</w:t>
            </w:r>
          </w:p>
        </w:tc>
      </w:tr>
      <w:tr w:rsidR="00FE164A" w:rsidRPr="00FE164A" w:rsidTr="00D42BD6">
        <w:trPr>
          <w:trHeight w:val="357"/>
        </w:trPr>
        <w:tc>
          <w:tcPr>
            <w:tcW w:w="3969"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lastRenderedPageBreak/>
              <w:t>Balansräkning</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2016-12-31</w:t>
            </w:r>
          </w:p>
        </w:tc>
        <w:tc>
          <w:tcPr>
            <w:tcW w:w="992"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2015-12-31</w:t>
            </w:r>
          </w:p>
        </w:tc>
      </w:tr>
      <w:tr w:rsidR="00FE164A" w:rsidRPr="00FE164A" w:rsidTr="0069450B">
        <w:trPr>
          <w:trHeight w:val="340"/>
        </w:trPr>
        <w:tc>
          <w:tcPr>
            <w:tcW w:w="3969" w:type="dxa"/>
            <w:tcBorders>
              <w:top w:val="single" w:sz="4" w:space="0" w:color="auto"/>
              <w:left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11 Immateriella anläggningstillgångar</w:t>
            </w:r>
          </w:p>
        </w:tc>
        <w:tc>
          <w:tcPr>
            <w:tcW w:w="993" w:type="dxa"/>
            <w:tcBorders>
              <w:top w:val="single" w:sz="4" w:space="0" w:color="auto"/>
              <w:left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single" w:sz="4" w:space="0" w:color="auto"/>
              <w:left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Balanserade utgifter för utveckling</w:t>
            </w:r>
          </w:p>
        </w:tc>
        <w:tc>
          <w:tcPr>
            <w:tcW w:w="993"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95"/>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w:t>
            </w:r>
          </w:p>
        </w:tc>
        <w:tc>
          <w:tcPr>
            <w:tcW w:w="993"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86 581</w:t>
            </w:r>
          </w:p>
        </w:tc>
        <w:tc>
          <w:tcPr>
            <w:tcW w:w="992"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78 229</w:t>
            </w:r>
          </w:p>
        </w:tc>
      </w:tr>
      <w:tr w:rsidR="00FE164A" w:rsidRPr="00FE164A" w:rsidTr="0069450B">
        <w:trPr>
          <w:trHeight w:val="143"/>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anskaffningar</w:t>
            </w:r>
          </w:p>
        </w:tc>
        <w:tc>
          <w:tcPr>
            <w:tcW w:w="993"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10 009</w:t>
            </w:r>
          </w:p>
        </w:tc>
        <w:tc>
          <w:tcPr>
            <w:tcW w:w="992"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8 352</w:t>
            </w:r>
          </w:p>
        </w:tc>
      </w:tr>
      <w:tr w:rsidR="00FE164A" w:rsidRPr="00FE164A" w:rsidTr="0069450B">
        <w:trPr>
          <w:trHeight w:val="217"/>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utrangeringar, anskaffningsvärde</w:t>
            </w:r>
          </w:p>
        </w:tc>
        <w:tc>
          <w:tcPr>
            <w:tcW w:w="993"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-15</w:t>
            </w:r>
          </w:p>
        </w:tc>
        <w:tc>
          <w:tcPr>
            <w:tcW w:w="992"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49"/>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w:t>
            </w:r>
          </w:p>
        </w:tc>
        <w:tc>
          <w:tcPr>
            <w:tcW w:w="993"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-60 602</w:t>
            </w:r>
          </w:p>
        </w:tc>
        <w:tc>
          <w:tcPr>
            <w:tcW w:w="992"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-51 084</w:t>
            </w:r>
          </w:p>
        </w:tc>
      </w:tr>
      <w:tr w:rsidR="00FE164A" w:rsidRPr="00FE164A" w:rsidTr="0069450B">
        <w:trPr>
          <w:trHeight w:val="223"/>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utrangeringar, avskrivningar</w:t>
            </w:r>
          </w:p>
        </w:tc>
        <w:tc>
          <w:tcPr>
            <w:tcW w:w="993"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15</w:t>
            </w:r>
          </w:p>
        </w:tc>
        <w:tc>
          <w:tcPr>
            <w:tcW w:w="992" w:type="dxa"/>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FA544F">
        <w:trPr>
          <w:trHeight w:val="141"/>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avskrivningar</w:t>
            </w:r>
          </w:p>
        </w:tc>
        <w:tc>
          <w:tcPr>
            <w:tcW w:w="993" w:type="dxa"/>
            <w:tcBorders>
              <w:bottom w:val="single" w:sz="4" w:space="0" w:color="auto"/>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-11 761</w:t>
            </w:r>
          </w:p>
        </w:tc>
        <w:tc>
          <w:tcPr>
            <w:tcW w:w="992" w:type="dxa"/>
            <w:tcBorders>
              <w:bottom w:val="single" w:sz="4" w:space="0" w:color="auto"/>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-9 518</w:t>
            </w:r>
          </w:p>
        </w:tc>
      </w:tr>
      <w:tr w:rsidR="00FE164A" w:rsidRPr="00FE164A" w:rsidTr="00FA544F">
        <w:trPr>
          <w:trHeight w:val="340"/>
        </w:trPr>
        <w:tc>
          <w:tcPr>
            <w:tcW w:w="3969" w:type="dxa"/>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single" w:sz="4" w:space="0" w:color="auto"/>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24 227</w:t>
            </w:r>
          </w:p>
        </w:tc>
        <w:tc>
          <w:tcPr>
            <w:tcW w:w="992" w:type="dxa"/>
            <w:tcBorders>
              <w:top w:val="single" w:sz="4" w:space="0" w:color="auto"/>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25 978</w:t>
            </w:r>
          </w:p>
        </w:tc>
      </w:tr>
      <w:tr w:rsidR="00FE164A" w:rsidRPr="00FE164A" w:rsidTr="0069450B">
        <w:trPr>
          <w:trHeight w:val="340"/>
        </w:trPr>
        <w:tc>
          <w:tcPr>
            <w:tcW w:w="3969" w:type="dxa"/>
            <w:tcBorders>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Rättigheter och andra immateriella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ascii="Arial" w:eastAsia="Times New Roman" w:hAnsi="Arial"/>
                <w:color w:val="FF0000"/>
                <w:sz w:val="20"/>
                <w:szCs w:val="20"/>
                <w:lang w:eastAsia="sv-SE"/>
              </w:rPr>
            </w:pP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4 957</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3 997</w:t>
            </w:r>
          </w:p>
        </w:tc>
      </w:tr>
      <w:tr w:rsidR="00FE164A" w:rsidRPr="00FE164A" w:rsidTr="0069450B">
        <w:trPr>
          <w:trHeight w:val="187"/>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960</w:t>
            </w:r>
          </w:p>
        </w:tc>
      </w:tr>
      <w:tr w:rsidR="00FE164A" w:rsidRPr="00FE164A" w:rsidTr="0069450B">
        <w:trPr>
          <w:trHeight w:val="147"/>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-2 865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-1 937</w:t>
            </w:r>
          </w:p>
        </w:tc>
      </w:tr>
      <w:tr w:rsidR="00FE164A" w:rsidRPr="00FE164A" w:rsidTr="0069450B">
        <w:trPr>
          <w:trHeight w:val="249"/>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utrangeringar,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39"/>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-978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-928</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1 113</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2 092</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 bokfört värde immateriella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25 340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28 070</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12 Materiella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Byggnader, mark och annan fast egendom</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1 898 860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1 883 591</w:t>
            </w:r>
          </w:p>
        </w:tc>
      </w:tr>
      <w:tr w:rsidR="00FE164A" w:rsidRPr="00FE164A" w:rsidTr="0069450B">
        <w:trPr>
          <w:trHeight w:val="143"/>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justering, byte av anl grupp</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-7 178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03"/>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7 171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6 258</w:t>
            </w:r>
          </w:p>
        </w:tc>
      </w:tr>
      <w:tr w:rsidR="00FE164A" w:rsidRPr="00FE164A" w:rsidTr="0069450B">
        <w:trPr>
          <w:trHeight w:val="205"/>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Fört från pågående nyanläggningar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1 974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9 012</w:t>
            </w:r>
          </w:p>
        </w:tc>
      </w:tr>
      <w:tr w:rsidR="00FE164A" w:rsidRPr="00FE164A" w:rsidTr="0069450B">
        <w:trPr>
          <w:trHeight w:val="137"/>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-750 950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-708 866</w:t>
            </w:r>
          </w:p>
        </w:tc>
      </w:tr>
      <w:tr w:rsidR="00FE164A" w:rsidRPr="00FE164A" w:rsidTr="0069450B">
        <w:trPr>
          <w:trHeight w:val="97"/>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 justering, byte av anl grupp</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368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99"/>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-17 976</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-42 084</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1 132 269</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1 147 910</w:t>
            </w:r>
          </w:p>
        </w:tc>
      </w:tr>
      <w:tr w:rsidR="00FE164A" w:rsidRPr="00FE164A" w:rsidTr="0069450B">
        <w:trPr>
          <w:trHeight w:val="340"/>
        </w:trPr>
        <w:tc>
          <w:tcPr>
            <w:tcW w:w="5954" w:type="dxa"/>
            <w:gridSpan w:val="3"/>
            <w:tcBorders>
              <w:top w:val="nil"/>
              <w:left w:val="nil"/>
              <w:right w:val="nil"/>
            </w:tcBorders>
            <w:shd w:val="clear" w:color="auto" w:fill="auto"/>
            <w:vAlign w:val="bottom"/>
          </w:tcPr>
          <w:p w:rsidR="00FE164A" w:rsidRPr="00FE164A" w:rsidRDefault="00FE164A" w:rsidP="00FE164A">
            <w:pPr>
              <w:spacing w:before="0" w:line="240" w:lineRule="auto"/>
              <w:jc w:val="left"/>
              <w:rPr>
                <w:rFonts w:eastAsia="Times New Roman"/>
                <w:bCs/>
                <w:sz w:val="16"/>
                <w:szCs w:val="16"/>
                <w:lang w:eastAsia="sv-SE"/>
              </w:rPr>
            </w:pPr>
            <w:r w:rsidRPr="00FE164A">
              <w:rPr>
                <w:rFonts w:eastAsia="Times New Roman"/>
                <w:bCs/>
                <w:sz w:val="16"/>
                <w:szCs w:val="16"/>
                <w:lang w:eastAsia="sv-SE"/>
              </w:rPr>
              <w:t>Minskningen av årets avskrivningar beror på att en översyn av avskrivningstiden för fastigheterna gjordes i samband med införandet av komponentredovisning. Avskrivningstiden har ändrats från att ha varit högst 50 till 150 år.</w:t>
            </w:r>
          </w:p>
        </w:tc>
      </w:tr>
      <w:tr w:rsidR="00FE164A" w:rsidRPr="00FE164A" w:rsidTr="00A7638E">
        <w:trPr>
          <w:trHeight w:val="340"/>
        </w:trPr>
        <w:tc>
          <w:tcPr>
            <w:tcW w:w="3969" w:type="dxa"/>
            <w:tcBorders>
              <w:top w:val="nil"/>
              <w:left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Taxeringsvärden</w:t>
            </w:r>
          </w:p>
        </w:tc>
        <w:tc>
          <w:tcPr>
            <w:tcW w:w="993"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240 600</w:t>
            </w:r>
          </w:p>
        </w:tc>
        <w:tc>
          <w:tcPr>
            <w:tcW w:w="992"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225 600</w:t>
            </w:r>
          </w:p>
        </w:tc>
      </w:tr>
      <w:tr w:rsidR="00FE164A" w:rsidRPr="00FE164A" w:rsidTr="0069450B">
        <w:trPr>
          <w:trHeight w:val="340"/>
        </w:trPr>
        <w:tc>
          <w:tcPr>
            <w:tcW w:w="5954" w:type="dxa"/>
            <w:gridSpan w:val="3"/>
            <w:tcBorders>
              <w:top w:val="nil"/>
              <w:left w:val="nil"/>
              <w:right w:val="nil"/>
            </w:tcBorders>
            <w:shd w:val="clear" w:color="auto" w:fill="auto"/>
          </w:tcPr>
          <w:p w:rsidR="00FE164A" w:rsidRDefault="00FE164A" w:rsidP="00FE164A">
            <w:pPr>
              <w:spacing w:before="0" w:line="240" w:lineRule="auto"/>
              <w:jc w:val="left"/>
              <w:rPr>
                <w:sz w:val="16"/>
                <w:szCs w:val="16"/>
              </w:rPr>
            </w:pPr>
            <w:r w:rsidRPr="00FE164A">
              <w:rPr>
                <w:sz w:val="16"/>
                <w:szCs w:val="16"/>
              </w:rPr>
              <w:br/>
              <w:t>Flertalet av fastigheterna är taxerade som specialenhet allmän byggnad, vilket innebär att de inte åsatts något taxeringsvärde. Fastigheter med taxeringsvärde är Iason 1, Milon 9, Kvasten 8, Aurora 2 och Ormsaltaren 6. Taxeringsvärdet beräknades 2016, nytt taxeringsvärde beräknas vart tredje år.</w:t>
            </w:r>
          </w:p>
          <w:p w:rsidR="00D14892" w:rsidRDefault="00D14892" w:rsidP="00D14892">
            <w:pPr>
              <w:pStyle w:val="Normaltindrag"/>
            </w:pPr>
          </w:p>
          <w:p w:rsidR="00D14892" w:rsidRDefault="00D14892" w:rsidP="00D14892">
            <w:pPr>
              <w:pStyle w:val="Normaltindrag"/>
            </w:pPr>
          </w:p>
          <w:p w:rsidR="00D14892" w:rsidRPr="00D14892" w:rsidRDefault="00D14892" w:rsidP="00D14892">
            <w:pPr>
              <w:pStyle w:val="Normaltindrag"/>
            </w:pPr>
          </w:p>
        </w:tc>
      </w:tr>
      <w:tr w:rsidR="00FE164A" w:rsidRPr="00FE164A" w:rsidTr="0069450B">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lastRenderedPageBreak/>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2016-12-31</w:t>
            </w:r>
          </w:p>
        </w:tc>
        <w:tc>
          <w:tcPr>
            <w:tcW w:w="992"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2015-12-31</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Förbättringsutgifter på annans fastighet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19 141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19 141</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-16 038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-13 627</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-1 599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-2 411</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1 504</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3 103</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Maskiner, inventarier, installationer m.m.</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 xml:space="preserve">IB anskaffningar </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343 224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347 863</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 justering, byte av anl grupp</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7 178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27 699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14 325</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utrangeringar, anskaffningsvärde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-25 171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-18 965</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 xml:space="preserve">Tidigare års avskrivningar </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-269 639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-263 365</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Tidigare års avskrivningar justering, byte av anl grupp</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-368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-22 373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-24 901</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utrangeringar, avskrivningar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23 171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18 627</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83 720</w:t>
            </w:r>
          </w:p>
        </w:tc>
        <w:tc>
          <w:tcPr>
            <w:tcW w:w="992" w:type="dxa"/>
            <w:tcBorders>
              <w:top w:val="single" w:sz="4" w:space="0" w:color="auto"/>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73 585</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Pågående nyanläggningar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IB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2 645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12 311</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Årets anskaffningar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7 710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1 974</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Pågående nyanläggningar, årets nedskrivning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-2 627</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Avslutade, fört till Byggnader, mark och annan fast egendom</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-1 974</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-9 012</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8 382</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2 645</w:t>
            </w:r>
          </w:p>
        </w:tc>
      </w:tr>
      <w:tr w:rsidR="00FE164A" w:rsidRPr="00FE164A" w:rsidTr="0069450B">
        <w:trPr>
          <w:trHeight w:val="284"/>
        </w:trPr>
        <w:tc>
          <w:tcPr>
            <w:tcW w:w="5954" w:type="dxa"/>
            <w:gridSpan w:val="3"/>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Pågående nyanläggningar består av upparbetade kostnader för ombyggnation av fastigheterna Cephalus 411 tkr, Ledamotshuset 5 554 tkr och kostnader för Neptunus 1 688 tkr samt Entré riksplan 729 tkr.</w:t>
            </w: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 bokfört värde materiella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1 225 874</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1 227 243</w:t>
            </w:r>
          </w:p>
        </w:tc>
      </w:tr>
      <w:tr w:rsidR="00FE164A" w:rsidRPr="00FE164A" w:rsidTr="0069450B">
        <w:trPr>
          <w:trHeight w:val="189"/>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13 Finansiella anläggningstillgångar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Andelar i bostadsrättsföreningar, bokfört värde</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2 159</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2 159</w:t>
            </w: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Bokfört värde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2 159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2 159</w:t>
            </w:r>
          </w:p>
        </w:tc>
      </w:tr>
      <w:tr w:rsidR="00FE164A" w:rsidRPr="00FE164A" w:rsidTr="0069450B">
        <w:trPr>
          <w:trHeight w:val="177"/>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14 Fordringar hos andra myndigheter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284"/>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Mervärdesskattefordran</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14 709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17 785</w:t>
            </w:r>
          </w:p>
        </w:tc>
      </w:tr>
      <w:tr w:rsidR="00FE164A" w:rsidRPr="00FE164A" w:rsidTr="0069450B">
        <w:trPr>
          <w:trHeight w:val="227"/>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 xml:space="preserve">Fordran JO, SLA överenskommelse </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1 112</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145"/>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Övrigt</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782</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440</w:t>
            </w:r>
          </w:p>
        </w:tc>
      </w:tr>
      <w:tr w:rsidR="00FE164A" w:rsidRPr="00FE164A" w:rsidTr="00A7638E">
        <w:trPr>
          <w:trHeight w:val="340"/>
        </w:trPr>
        <w:tc>
          <w:tcPr>
            <w:tcW w:w="3969" w:type="dxa"/>
            <w:tcBorders>
              <w:top w:val="nil"/>
              <w:left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16 603</w:t>
            </w:r>
          </w:p>
        </w:tc>
        <w:tc>
          <w:tcPr>
            <w:tcW w:w="992" w:type="dxa"/>
            <w:tcBorders>
              <w:top w:val="nil"/>
              <w:left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18 225</w:t>
            </w:r>
          </w:p>
        </w:tc>
      </w:tr>
      <w:tr w:rsidR="00FE164A" w:rsidRPr="00FE164A" w:rsidTr="0069450B">
        <w:trPr>
          <w:trHeight w:val="340"/>
        </w:trPr>
        <w:tc>
          <w:tcPr>
            <w:tcW w:w="5954" w:type="dxa"/>
            <w:gridSpan w:val="3"/>
            <w:tcBorders>
              <w:top w:val="nil"/>
              <w:left w:val="nil"/>
              <w:bottom w:val="nil"/>
              <w:right w:val="nil"/>
            </w:tcBorders>
            <w:shd w:val="clear" w:color="auto" w:fill="auto"/>
            <w:noWrap/>
            <w:vAlign w:val="bottom"/>
          </w:tcPr>
          <w:p w:rsid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Skillnaden mellan åren på posten Fordran JO, SLA överenskommelse beror på att nytt avtal med JO blev klart i november 2016 och därmed fakturerades samma år. Föregående år blev avtalet klart först i slutet av december 2015 och fakturering gjordes i januari 2016.</w:t>
            </w:r>
          </w:p>
          <w:p w:rsidR="00D14892" w:rsidRPr="00D14892" w:rsidRDefault="00D14892" w:rsidP="00D14892">
            <w:pPr>
              <w:pStyle w:val="Normaltindrag"/>
              <w:rPr>
                <w:lang w:eastAsia="sv-SE"/>
              </w:rPr>
            </w:pPr>
          </w:p>
        </w:tc>
      </w:tr>
      <w:tr w:rsidR="00FE164A" w:rsidRPr="00FE164A" w:rsidTr="0069450B">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lastRenderedPageBreak/>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2016-12-31</w:t>
            </w:r>
          </w:p>
        </w:tc>
        <w:tc>
          <w:tcPr>
            <w:tcW w:w="992" w:type="dxa"/>
            <w:tcBorders>
              <w:top w:val="single" w:sz="4" w:space="0" w:color="auto"/>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2015-12-31</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15 Periodavgränsningsposter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Förutbetalda hyror</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9 630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8 973</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Förutbetalda kostnader, årskort flyg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3 560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3 139</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Förutbetalda kostnader, årskort tåg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12 049</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12 058</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Förutbetalda kostnader, datalicenser Crayon</w:t>
            </w:r>
          </w:p>
        </w:tc>
        <w:tc>
          <w:tcPr>
            <w:tcW w:w="993" w:type="dxa"/>
            <w:tcBorders>
              <w:top w:val="nil"/>
              <w:left w:val="nil"/>
              <w:bottom w:val="nil"/>
              <w:right w:val="nil"/>
            </w:tcBorders>
            <w:shd w:val="clear" w:color="auto" w:fill="auto"/>
            <w:noWrap/>
            <w:vAlign w:val="bottom"/>
            <w:hideMark/>
          </w:tcPr>
          <w:p w:rsidR="00FE164A" w:rsidRPr="00FE164A" w:rsidRDefault="002B2FAF" w:rsidP="00FE164A">
            <w:pPr>
              <w:spacing w:before="0" w:line="240" w:lineRule="auto"/>
              <w:jc w:val="right"/>
              <w:rPr>
                <w:rFonts w:eastAsia="Times New Roman"/>
                <w:sz w:val="16"/>
                <w:szCs w:val="16"/>
                <w:lang w:eastAsia="sv-SE"/>
              </w:rPr>
            </w:pPr>
            <w:r>
              <w:rPr>
                <w:rFonts w:eastAsia="Times New Roman"/>
                <w:sz w:val="16"/>
                <w:szCs w:val="16"/>
                <w:lang w:eastAsia="sv-SE"/>
              </w:rPr>
              <w:t>405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6 796</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Övriga förutbetalda kostnader</w:t>
            </w:r>
          </w:p>
        </w:tc>
        <w:tc>
          <w:tcPr>
            <w:tcW w:w="993" w:type="dxa"/>
            <w:tcBorders>
              <w:top w:val="nil"/>
              <w:left w:val="nil"/>
              <w:bottom w:val="single" w:sz="4" w:space="0" w:color="auto"/>
              <w:right w:val="nil"/>
            </w:tcBorders>
            <w:shd w:val="clear" w:color="auto" w:fill="auto"/>
            <w:noWrap/>
            <w:vAlign w:val="bottom"/>
            <w:hideMark/>
          </w:tcPr>
          <w:p w:rsidR="00FE164A" w:rsidRPr="00FE164A" w:rsidRDefault="002B2FAF" w:rsidP="00FE164A">
            <w:pPr>
              <w:spacing w:before="0" w:line="240" w:lineRule="auto"/>
              <w:jc w:val="right"/>
              <w:rPr>
                <w:rFonts w:eastAsia="Times New Roman"/>
                <w:sz w:val="16"/>
                <w:szCs w:val="16"/>
                <w:lang w:eastAsia="sv-SE"/>
              </w:rPr>
            </w:pPr>
            <w:r>
              <w:rPr>
                <w:rFonts w:eastAsia="Times New Roman"/>
                <w:sz w:val="16"/>
                <w:szCs w:val="16"/>
                <w:lang w:eastAsia="sv-SE"/>
              </w:rPr>
              <w:t>7 932</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6 084</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33 576</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37 050</w:t>
            </w:r>
          </w:p>
        </w:tc>
      </w:tr>
      <w:tr w:rsidR="00EE3017" w:rsidRPr="00FE164A" w:rsidTr="002C0AC3">
        <w:trPr>
          <w:trHeight w:val="340"/>
        </w:trPr>
        <w:tc>
          <w:tcPr>
            <w:tcW w:w="5954" w:type="dxa"/>
            <w:gridSpan w:val="3"/>
            <w:tcBorders>
              <w:top w:val="nil"/>
              <w:left w:val="nil"/>
              <w:bottom w:val="nil"/>
              <w:right w:val="nil"/>
            </w:tcBorders>
            <w:shd w:val="clear" w:color="auto" w:fill="auto"/>
            <w:noWrap/>
            <w:vAlign w:val="bottom"/>
          </w:tcPr>
          <w:p w:rsidR="00EE3017" w:rsidRPr="00A978C5" w:rsidRDefault="00EE3017" w:rsidP="00EE3017">
            <w:pPr>
              <w:spacing w:before="60" w:line="240" w:lineRule="auto"/>
              <w:jc w:val="left"/>
              <w:rPr>
                <w:rFonts w:eastAsia="Times New Roman"/>
                <w:bCs/>
                <w:sz w:val="16"/>
                <w:szCs w:val="16"/>
                <w:lang w:eastAsia="sv-SE"/>
              </w:rPr>
            </w:pPr>
            <w:r w:rsidRPr="00A978C5">
              <w:rPr>
                <w:rFonts w:eastAsia="Times New Roman"/>
                <w:bCs/>
                <w:sz w:val="16"/>
                <w:szCs w:val="16"/>
                <w:lang w:eastAsia="sv-SE"/>
              </w:rPr>
              <w:t>Minskningen av Förutbetalda kostnader, datalicenser Crayon, beror på att det 2016 var sista året av ett treårigt licensavtal med Crayon. Nytt avtal kommer att tecknas 2017.</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Not 16 Avräkning med statsverket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Anslag i icke räntebärande flöde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Redovisat mot anslag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187 130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185 880</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Medel hänförbara till transfereringar m.m. som betalats</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-187 130</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-185 880</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B714F5">
            <w:pPr>
              <w:spacing w:before="60" w:line="240" w:lineRule="auto"/>
              <w:jc w:val="left"/>
              <w:rPr>
                <w:rFonts w:eastAsia="Times New Roman"/>
                <w:b/>
                <w:bCs/>
                <w:i/>
                <w:iCs/>
                <w:sz w:val="16"/>
                <w:szCs w:val="16"/>
                <w:lang w:eastAsia="sv-SE"/>
              </w:rPr>
            </w:pPr>
            <w:r w:rsidRPr="00FE164A">
              <w:rPr>
                <w:rFonts w:eastAsia="Times New Roman"/>
                <w:b/>
                <w:bCs/>
                <w:i/>
                <w:iCs/>
                <w:sz w:val="16"/>
                <w:szCs w:val="16"/>
                <w:lang w:eastAsia="sv-SE"/>
              </w:rPr>
              <w:t>Fordringar/Skulder avseende anslag i icke räntebärande flöde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0</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0</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Anslag i räntebärande flöde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-103 073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-120 029</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Redovisat mot anslag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1 657 633</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1 664 472</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Anslagsmedel som tillförts räntekonto</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-1 682 515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-1 647 516</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Återbetalning av anslagsmedel</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0</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Skulder avseende anslag i räntebärande flöde</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-127 955</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-103 073</w:t>
            </w:r>
          </w:p>
        </w:tc>
      </w:tr>
      <w:tr w:rsidR="00FE164A" w:rsidRPr="00FE164A" w:rsidTr="0069450B">
        <w:trPr>
          <w:trHeight w:val="340"/>
        </w:trPr>
        <w:tc>
          <w:tcPr>
            <w:tcW w:w="3969"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Fordran semesterlöneskuld som inte har redovisats mot anslag</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left"/>
              <w:rPr>
                <w:rFonts w:eastAsia="Times New Roman"/>
                <w:sz w:val="16"/>
                <w:szCs w:val="16"/>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8 251</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9 765</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r w:rsidRPr="00FE164A">
              <w:rPr>
                <w:rFonts w:eastAsia="Times New Roman"/>
                <w:sz w:val="16"/>
                <w:szCs w:val="16"/>
                <w:lang w:eastAsia="sv-SE"/>
              </w:rPr>
              <w:t>Redovisat mot anslag under året enligt undantagsregeln</w:t>
            </w:r>
          </w:p>
        </w:tc>
        <w:tc>
          <w:tcPr>
            <w:tcW w:w="993"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-1 713</w:t>
            </w:r>
          </w:p>
        </w:tc>
        <w:tc>
          <w:tcPr>
            <w:tcW w:w="992" w:type="dxa"/>
            <w:tcBorders>
              <w:top w:val="nil"/>
              <w:left w:val="nil"/>
              <w:bottom w:val="single" w:sz="4" w:space="0" w:color="auto"/>
              <w:right w:val="nil"/>
            </w:tcBorders>
            <w:shd w:val="clear" w:color="auto" w:fill="auto"/>
            <w:noWrap/>
            <w:vAlign w:val="bottom"/>
            <w:hideMark/>
          </w:tcPr>
          <w:p w:rsidR="00FE164A" w:rsidRPr="00FE164A" w:rsidRDefault="00FE164A" w:rsidP="00FE164A">
            <w:pPr>
              <w:spacing w:before="0" w:line="240" w:lineRule="auto"/>
              <w:jc w:val="right"/>
              <w:rPr>
                <w:rFonts w:eastAsia="Times New Roman"/>
                <w:sz w:val="16"/>
                <w:szCs w:val="16"/>
                <w:lang w:eastAsia="sv-SE"/>
              </w:rPr>
            </w:pPr>
            <w:r w:rsidRPr="00FE164A">
              <w:rPr>
                <w:rFonts w:eastAsia="Times New Roman"/>
                <w:sz w:val="16"/>
                <w:szCs w:val="16"/>
                <w:lang w:eastAsia="sv-SE"/>
              </w:rPr>
              <w:t>-1 513</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i/>
                <w:iCs/>
                <w:sz w:val="16"/>
                <w:szCs w:val="16"/>
                <w:lang w:eastAsia="sv-SE"/>
              </w:rPr>
            </w:pPr>
            <w:r w:rsidRPr="00FE164A">
              <w:rPr>
                <w:rFonts w:eastAsia="Times New Roman"/>
                <w:b/>
                <w:bCs/>
                <w:i/>
                <w:iCs/>
                <w:sz w:val="16"/>
                <w:szCs w:val="16"/>
                <w:lang w:eastAsia="sv-SE"/>
              </w:rPr>
              <w:t xml:space="preserve">Fordran avseende semesterlöneskuld som inte har redovisats mot anslag </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6 538</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i/>
                <w:iCs/>
                <w:sz w:val="16"/>
                <w:szCs w:val="16"/>
                <w:lang w:eastAsia="sv-SE"/>
              </w:rPr>
            </w:pPr>
            <w:r w:rsidRPr="00FE164A">
              <w:rPr>
                <w:rFonts w:eastAsia="Times New Roman"/>
                <w:b/>
                <w:bCs/>
                <w:i/>
                <w:iCs/>
                <w:sz w:val="16"/>
                <w:szCs w:val="16"/>
                <w:lang w:eastAsia="sv-SE"/>
              </w:rPr>
              <w:t>8 251</w:t>
            </w: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r w:rsidRPr="00FE164A">
              <w:rPr>
                <w:rFonts w:eastAsia="Times New Roman"/>
                <w:b/>
                <w:bCs/>
                <w:sz w:val="16"/>
                <w:szCs w:val="16"/>
                <w:lang w:eastAsia="sv-SE"/>
              </w:rPr>
              <w:t>Summa avräkning med statsverket</w:t>
            </w:r>
          </w:p>
        </w:tc>
        <w:tc>
          <w:tcPr>
            <w:tcW w:w="993"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-121 417</w:t>
            </w:r>
          </w:p>
        </w:tc>
        <w:tc>
          <w:tcPr>
            <w:tcW w:w="992" w:type="dxa"/>
            <w:tcBorders>
              <w:top w:val="nil"/>
              <w:left w:val="nil"/>
              <w:bottom w:val="nil"/>
              <w:right w:val="nil"/>
            </w:tcBorders>
            <w:shd w:val="clear" w:color="auto" w:fill="auto"/>
            <w:noWrap/>
            <w:vAlign w:val="bottom"/>
            <w:hideMark/>
          </w:tcPr>
          <w:p w:rsidR="00FE164A" w:rsidRPr="00FE164A" w:rsidRDefault="00FE164A" w:rsidP="00FE164A">
            <w:pPr>
              <w:spacing w:before="0" w:line="240" w:lineRule="auto"/>
              <w:jc w:val="right"/>
              <w:rPr>
                <w:rFonts w:eastAsia="Times New Roman"/>
                <w:b/>
                <w:bCs/>
                <w:sz w:val="16"/>
                <w:szCs w:val="16"/>
                <w:lang w:eastAsia="sv-SE"/>
              </w:rPr>
            </w:pPr>
            <w:r w:rsidRPr="00FE164A">
              <w:rPr>
                <w:rFonts w:eastAsia="Times New Roman"/>
                <w:b/>
                <w:bCs/>
                <w:sz w:val="16"/>
                <w:szCs w:val="16"/>
                <w:lang w:eastAsia="sv-SE"/>
              </w:rPr>
              <w:t>-94 822</w:t>
            </w:r>
          </w:p>
        </w:tc>
      </w:tr>
      <w:tr w:rsidR="00FE164A" w:rsidRPr="00FE164A" w:rsidTr="00A7638E">
        <w:trPr>
          <w:trHeight w:val="340"/>
        </w:trPr>
        <w:tc>
          <w:tcPr>
            <w:tcW w:w="3969" w:type="dxa"/>
            <w:tcBorders>
              <w:top w:val="nil"/>
              <w:left w:val="nil"/>
              <w:right w:val="nil"/>
            </w:tcBorders>
            <w:shd w:val="clear" w:color="auto" w:fill="auto"/>
            <w:noWrap/>
            <w:vAlign w:val="bottom"/>
            <w:hideMark/>
          </w:tcPr>
          <w:p w:rsidR="00FE164A" w:rsidRPr="00FE164A" w:rsidRDefault="00FE164A" w:rsidP="00FE164A">
            <w:pPr>
              <w:spacing w:before="0" w:line="240" w:lineRule="auto"/>
              <w:jc w:val="left"/>
              <w:rPr>
                <w:rFonts w:ascii="Arial" w:eastAsia="Times New Roman" w:hAnsi="Arial"/>
                <w:sz w:val="20"/>
                <w:szCs w:val="20"/>
                <w:lang w:eastAsia="sv-SE"/>
              </w:rPr>
            </w:pPr>
          </w:p>
        </w:tc>
        <w:tc>
          <w:tcPr>
            <w:tcW w:w="993" w:type="dxa"/>
            <w:tcBorders>
              <w:top w:val="nil"/>
              <w:left w:val="nil"/>
              <w:right w:val="nil"/>
            </w:tcBorders>
            <w:shd w:val="clear" w:color="auto" w:fill="auto"/>
            <w:noWrap/>
            <w:vAlign w:val="bottom"/>
            <w:hideMark/>
          </w:tcPr>
          <w:p w:rsidR="00FE164A" w:rsidRPr="00FE164A" w:rsidRDefault="00FE164A" w:rsidP="00FE164A">
            <w:pPr>
              <w:spacing w:before="0" w:line="240" w:lineRule="auto"/>
              <w:jc w:val="left"/>
              <w:rPr>
                <w:rFonts w:ascii="Arial" w:eastAsia="Times New Roman" w:hAnsi="Arial"/>
                <w:sz w:val="20"/>
                <w:szCs w:val="20"/>
                <w:lang w:eastAsia="sv-SE"/>
              </w:rPr>
            </w:pPr>
          </w:p>
        </w:tc>
        <w:tc>
          <w:tcPr>
            <w:tcW w:w="992" w:type="dxa"/>
            <w:tcBorders>
              <w:top w:val="nil"/>
              <w:left w:val="nil"/>
              <w:right w:val="nil"/>
            </w:tcBorders>
            <w:shd w:val="clear" w:color="auto" w:fill="auto"/>
            <w:noWrap/>
            <w:vAlign w:val="bottom"/>
            <w:hideMark/>
          </w:tcPr>
          <w:p w:rsidR="00FE164A" w:rsidRPr="00FE164A" w:rsidRDefault="00FE164A" w:rsidP="00FE164A">
            <w:pPr>
              <w:spacing w:before="0" w:line="240" w:lineRule="auto"/>
              <w:jc w:val="left"/>
              <w:rPr>
                <w:rFonts w:ascii="Arial" w:eastAsia="Times New Roman" w:hAnsi="Arial"/>
                <w:sz w:val="20"/>
                <w:szCs w:val="20"/>
                <w:lang w:eastAsia="sv-SE"/>
              </w:rPr>
            </w:pPr>
          </w:p>
        </w:tc>
      </w:tr>
      <w:tr w:rsidR="00FE164A" w:rsidRPr="00FE164A" w:rsidTr="0069450B">
        <w:trPr>
          <w:trHeight w:val="340"/>
        </w:trPr>
        <w:tc>
          <w:tcPr>
            <w:tcW w:w="3969"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b/>
                <w:bCs/>
                <w:sz w:val="16"/>
                <w:szCs w:val="16"/>
                <w:lang w:eastAsia="sv-SE"/>
              </w:rPr>
            </w:pPr>
          </w:p>
        </w:tc>
        <w:tc>
          <w:tcPr>
            <w:tcW w:w="993"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vAlign w:val="bottom"/>
            <w:hideMark/>
          </w:tcPr>
          <w:p w:rsidR="00FE164A" w:rsidRPr="00FE164A" w:rsidRDefault="00FE164A" w:rsidP="00FE164A">
            <w:pPr>
              <w:spacing w:before="0" w:line="240" w:lineRule="auto"/>
              <w:jc w:val="left"/>
              <w:rPr>
                <w:rFonts w:eastAsia="Times New Roman"/>
                <w:sz w:val="16"/>
                <w:szCs w:val="16"/>
                <w:lang w:eastAsia="sv-SE"/>
              </w:rPr>
            </w:pPr>
          </w:p>
        </w:tc>
      </w:tr>
    </w:tbl>
    <w:p w:rsidR="00FE164A" w:rsidRPr="00FE164A" w:rsidRDefault="00FE164A" w:rsidP="00FE164A">
      <w:pPr>
        <w:jc w:val="left"/>
      </w:pPr>
      <w:r w:rsidRPr="00FE164A">
        <w:br w:type="page"/>
      </w:r>
    </w:p>
    <w:p w:rsidR="00835EFE" w:rsidRDefault="00835EFE" w:rsidP="00835EFE">
      <w:pPr>
        <w:pStyle w:val="Normaltindrag"/>
      </w:pPr>
      <w:r>
        <w:rPr>
          <w:noProof/>
          <w:lang w:eastAsia="sv-SE"/>
        </w:rPr>
        <w:lastRenderedPageBreak/>
        <mc:AlternateContent>
          <mc:Choice Requires="wps">
            <w:drawing>
              <wp:anchor distT="0" distB="0" distL="114300" distR="114300" simplePos="0" relativeHeight="251659264" behindDoc="0" locked="0" layoutInCell="1" allowOverlap="1" wp14:anchorId="33970101" wp14:editId="430E412E">
                <wp:simplePos x="0" y="0"/>
                <wp:positionH relativeFrom="column">
                  <wp:posOffset>-497807</wp:posOffset>
                </wp:positionH>
                <wp:positionV relativeFrom="paragraph">
                  <wp:posOffset>10356</wp:posOffset>
                </wp:positionV>
                <wp:extent cx="6884035" cy="4370705"/>
                <wp:effectExtent l="0" t="0" r="0" b="0"/>
                <wp:wrapNone/>
                <wp:docPr id="4" name="Textruta 4"/>
                <wp:cNvGraphicFramePr/>
                <a:graphic xmlns:a="http://schemas.openxmlformats.org/drawingml/2006/main">
                  <a:graphicData uri="http://schemas.microsoft.com/office/word/2010/wordprocessingShape">
                    <wps:wsp>
                      <wps:cNvSpPr txBox="1"/>
                      <wps:spPr>
                        <a:xfrm>
                          <a:off x="0" y="0"/>
                          <a:ext cx="6884035" cy="437070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tbl>
                            <w:tblPr>
                              <w:tblW w:w="7230" w:type="dxa"/>
                              <w:tblInd w:w="70" w:type="dxa"/>
                              <w:tblLayout w:type="fixed"/>
                              <w:tblCellMar>
                                <w:left w:w="70" w:type="dxa"/>
                                <w:right w:w="70" w:type="dxa"/>
                              </w:tblCellMar>
                              <w:tblLook w:val="04A0" w:firstRow="1" w:lastRow="0" w:firstColumn="1" w:lastColumn="0" w:noHBand="0" w:noVBand="1"/>
                            </w:tblPr>
                            <w:tblGrid>
                              <w:gridCol w:w="1843"/>
                              <w:gridCol w:w="1276"/>
                              <w:gridCol w:w="992"/>
                              <w:gridCol w:w="1276"/>
                              <w:gridCol w:w="992"/>
                              <w:gridCol w:w="851"/>
                            </w:tblGrid>
                            <w:tr w:rsidR="00603050" w:rsidRPr="00414302" w:rsidTr="0008703C">
                              <w:trPr>
                                <w:trHeight w:val="240"/>
                              </w:trPr>
                              <w:tc>
                                <w:tcPr>
                                  <w:tcW w:w="3119" w:type="dxa"/>
                                  <w:gridSpan w:val="2"/>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left"/>
                                    <w:rPr>
                                      <w:rFonts w:eastAsia="Times New Roman"/>
                                      <w:b/>
                                      <w:bCs/>
                                      <w:sz w:val="16"/>
                                      <w:szCs w:val="16"/>
                                      <w:lang w:eastAsia="sv-SE"/>
                                    </w:rPr>
                                  </w:pPr>
                                  <w:bookmarkStart w:id="37" w:name="RANGE!B38:G52"/>
                                  <w:r>
                                    <w:rPr>
                                      <w:rFonts w:eastAsia="Times New Roman"/>
                                      <w:b/>
                                      <w:bCs/>
                                      <w:sz w:val="16"/>
                                      <w:szCs w:val="16"/>
                                      <w:lang w:eastAsia="sv-SE"/>
                                    </w:rPr>
                                    <w:t>Not 17</w:t>
                                  </w:r>
                                  <w:r w:rsidRPr="00414302">
                                    <w:rPr>
                                      <w:rFonts w:eastAsia="Times New Roman"/>
                                      <w:b/>
                                      <w:bCs/>
                                      <w:sz w:val="16"/>
                                      <w:szCs w:val="16"/>
                                      <w:lang w:eastAsia="sv-SE"/>
                                    </w:rPr>
                                    <w:t xml:space="preserve"> Förändring av myndighetskapitalet</w:t>
                                  </w:r>
                                  <w:bookmarkEnd w:id="37"/>
                                </w:p>
                              </w:tc>
                              <w:tc>
                                <w:tcPr>
                                  <w:tcW w:w="992"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851"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r>
                            <w:tr w:rsidR="00603050" w:rsidRPr="00414302" w:rsidTr="00794DFC">
                              <w:trPr>
                                <w:trHeight w:val="964"/>
                              </w:trPr>
                              <w:tc>
                                <w:tcPr>
                                  <w:tcW w:w="1843" w:type="dxa"/>
                                  <w:tcBorders>
                                    <w:top w:val="single" w:sz="4" w:space="0" w:color="auto"/>
                                    <w:left w:val="nil"/>
                                    <w:bottom w:val="single" w:sz="4" w:space="0" w:color="auto"/>
                                    <w:right w:val="nil"/>
                                  </w:tcBorders>
                                  <w:shd w:val="clear" w:color="auto" w:fill="auto"/>
                                  <w:noWrap/>
                                  <w:vAlign w:val="bottom"/>
                                  <w:hideMark/>
                                </w:tcPr>
                                <w:p w:rsidR="00603050" w:rsidRPr="00414302" w:rsidRDefault="00603050" w:rsidP="00794DFC">
                                  <w:pPr>
                                    <w:spacing w:before="0" w:line="200" w:lineRule="exact"/>
                                    <w:jc w:val="left"/>
                                    <w:rPr>
                                      <w:rFonts w:ascii="Arial" w:eastAsia="Times New Roman" w:hAnsi="Arial" w:cs="Arial"/>
                                      <w:sz w:val="20"/>
                                      <w:szCs w:val="20"/>
                                      <w:lang w:eastAsia="sv-SE"/>
                                    </w:rPr>
                                  </w:pPr>
                                  <w:r w:rsidRPr="00414302">
                                    <w:rPr>
                                      <w:rFonts w:ascii="Arial" w:eastAsia="Times New Roman" w:hAnsi="Arial" w:cs="Arial"/>
                                      <w:sz w:val="20"/>
                                      <w:szCs w:val="20"/>
                                      <w:lang w:eastAsia="sv-SE"/>
                                    </w:rPr>
                                    <w:t> </w:t>
                                  </w:r>
                                </w:p>
                              </w:tc>
                              <w:tc>
                                <w:tcPr>
                                  <w:tcW w:w="1276" w:type="dxa"/>
                                  <w:tcBorders>
                                    <w:top w:val="single" w:sz="4" w:space="0" w:color="auto"/>
                                    <w:left w:val="nil"/>
                                    <w:bottom w:val="single" w:sz="4" w:space="0" w:color="auto"/>
                                    <w:right w:val="nil"/>
                                  </w:tcBorders>
                                  <w:shd w:val="clear" w:color="auto" w:fill="auto"/>
                                  <w:noWrap/>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Statskapital</w:t>
                                  </w:r>
                                </w:p>
                              </w:tc>
                              <w:tc>
                                <w:tcPr>
                                  <w:tcW w:w="992"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Donationskapital</w:t>
                                  </w:r>
                                </w:p>
                              </w:tc>
                              <w:tc>
                                <w:tcPr>
                                  <w:tcW w:w="1276"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Balanserad kapitalförändring,</w:t>
                                  </w:r>
                                  <w:r w:rsidRPr="00414302">
                                    <w:rPr>
                                      <w:rFonts w:eastAsia="Times New Roman"/>
                                      <w:b/>
                                      <w:bCs/>
                                      <w:sz w:val="16"/>
                                      <w:szCs w:val="16"/>
                                      <w:lang w:eastAsia="sv-SE"/>
                                    </w:rPr>
                                    <w:br/>
                                    <w:t>anslagsfinansierad verksamhet</w:t>
                                  </w:r>
                                </w:p>
                              </w:tc>
                              <w:tc>
                                <w:tcPr>
                                  <w:tcW w:w="992"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 xml:space="preserve">Kapitalförändring </w:t>
                                  </w:r>
                                  <w:r w:rsidRPr="00414302">
                                    <w:rPr>
                                      <w:rFonts w:eastAsia="Times New Roman"/>
                                      <w:b/>
                                      <w:bCs/>
                                      <w:sz w:val="16"/>
                                      <w:szCs w:val="16"/>
                                      <w:lang w:eastAsia="sv-SE"/>
                                    </w:rPr>
                                    <w:br/>
                                    <w:t xml:space="preserve">enligt </w:t>
                                  </w:r>
                                  <w:r w:rsidRPr="00414302">
                                    <w:rPr>
                                      <w:rFonts w:eastAsia="Times New Roman"/>
                                      <w:b/>
                                      <w:bCs/>
                                      <w:sz w:val="16"/>
                                      <w:szCs w:val="16"/>
                                      <w:lang w:eastAsia="sv-SE"/>
                                    </w:rPr>
                                    <w:br/>
                                    <w:t>resultaträkningen</w:t>
                                  </w:r>
                                </w:p>
                              </w:tc>
                              <w:tc>
                                <w:tcPr>
                                  <w:tcW w:w="851" w:type="dxa"/>
                                  <w:tcBorders>
                                    <w:top w:val="single" w:sz="4" w:space="0" w:color="auto"/>
                                    <w:left w:val="nil"/>
                                    <w:bottom w:val="single" w:sz="4" w:space="0" w:color="auto"/>
                                    <w:right w:val="nil"/>
                                  </w:tcBorders>
                                  <w:shd w:val="clear" w:color="auto" w:fill="auto"/>
                                  <w:noWrap/>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Summa</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Utgående balans 2015</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-825 802</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-2 222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4 034 515</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3 387 954</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Ingående balans 2016</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-825 802</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-2 222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4 034 515</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3 387 954</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Föregående års kapitalförändring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sz w:val="16"/>
                                      <w:szCs w:val="16"/>
                                      <w:lang w:eastAsia="sv-SE"/>
                                    </w:rPr>
                                  </w:pPr>
                                  <w:r w:rsidRPr="00414302">
                                    <w:rPr>
                                      <w:rFonts w:eastAsia="Times New Roman"/>
                                      <w:sz w:val="16"/>
                                      <w:szCs w:val="16"/>
                                      <w:lang w:eastAsia="sv-SE"/>
                                    </w:rPr>
                                    <w:t>27 748</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20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153 694</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Årets investeringar</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sz w:val="16"/>
                                      <w:szCs w:val="16"/>
                                      <w:lang w:eastAsia="sv-SE"/>
                                    </w:rPr>
                                  </w:pPr>
                                  <w:r w:rsidRPr="00414302">
                                    <w:rPr>
                                      <w:rFonts w:eastAsia="Times New Roman"/>
                                      <w:sz w:val="16"/>
                                      <w:szCs w:val="16"/>
                                      <w:lang w:eastAsia="sv-SE"/>
                                    </w:rPr>
                                    <w:t>-253</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-253</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Årets kapitalförändring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Pr>
                                      <w:rFonts w:eastAsia="Times New Roman"/>
                                      <w:color w:val="000000"/>
                                      <w:sz w:val="16"/>
                                      <w:szCs w:val="16"/>
                                      <w:lang w:eastAsia="sv-SE"/>
                                    </w:rPr>
                                    <w:t>609 70</w:t>
                                  </w:r>
                                  <w:r w:rsidRPr="00414302">
                                    <w:rPr>
                                      <w:rFonts w:eastAsia="Times New Roman"/>
                                      <w:color w:val="000000"/>
                                      <w:sz w:val="16"/>
                                      <w:szCs w:val="16"/>
                                      <w:lang w:eastAsia="sv-SE"/>
                                    </w:rPr>
                                    <w:t>7</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Pr>
                                      <w:rFonts w:eastAsia="Times New Roman"/>
                                      <w:color w:val="000000"/>
                                      <w:sz w:val="16"/>
                                      <w:szCs w:val="16"/>
                                      <w:lang w:eastAsia="sv-SE"/>
                                    </w:rPr>
                                    <w:t>609 70</w:t>
                                  </w:r>
                                  <w:r w:rsidRPr="00414302">
                                    <w:rPr>
                                      <w:rFonts w:eastAsia="Times New Roman"/>
                                      <w:color w:val="000000"/>
                                      <w:sz w:val="16"/>
                                      <w:szCs w:val="16"/>
                                      <w:lang w:eastAsia="sv-SE"/>
                                    </w:rPr>
                                    <w:t>7</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Summa årets 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-798 306</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-2 202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4 188 209</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609 70</w:t>
                                  </w:r>
                                  <w:r w:rsidRPr="00414302">
                                    <w:rPr>
                                      <w:rFonts w:eastAsia="Times New Roman"/>
                                      <w:b/>
                                      <w:bCs/>
                                      <w:color w:val="000000"/>
                                      <w:sz w:val="16"/>
                                      <w:szCs w:val="16"/>
                                      <w:lang w:eastAsia="sv-SE"/>
                                    </w:rPr>
                                    <w:t>7</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Utgående balans 2016</w:t>
                                  </w:r>
                                </w:p>
                              </w:tc>
                              <w:tc>
                                <w:tcPr>
                                  <w:tcW w:w="1276"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-798 306</w:t>
                                  </w:r>
                                </w:p>
                              </w:tc>
                              <w:tc>
                                <w:tcPr>
                                  <w:tcW w:w="992"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-2 202</w:t>
                                  </w:r>
                                </w:p>
                              </w:tc>
                              <w:tc>
                                <w:tcPr>
                                  <w:tcW w:w="1276"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4 188 209</w:t>
                                  </w:r>
                                </w:p>
                              </w:tc>
                              <w:tc>
                                <w:tcPr>
                                  <w:tcW w:w="992"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609 70</w:t>
                                  </w:r>
                                  <w:r w:rsidRPr="00414302">
                                    <w:rPr>
                                      <w:rFonts w:eastAsia="Times New Roman"/>
                                      <w:b/>
                                      <w:bCs/>
                                      <w:color w:val="000000"/>
                                      <w:sz w:val="16"/>
                                      <w:szCs w:val="16"/>
                                      <w:lang w:eastAsia="sv-SE"/>
                                    </w:rPr>
                                    <w:t>7</w:t>
                                  </w:r>
                                </w:p>
                              </w:tc>
                              <w:tc>
                                <w:tcPr>
                                  <w:tcW w:w="851"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3 997 408</w:t>
                                  </w:r>
                                </w:p>
                              </w:tc>
                            </w:tr>
                            <w:tr w:rsidR="00603050" w:rsidRPr="00414302" w:rsidTr="0008703C">
                              <w:trPr>
                                <w:trHeight w:val="24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r>
                            <w:tr w:rsidR="00603050" w:rsidRPr="00414302" w:rsidTr="0008703C">
                              <w:trPr>
                                <w:trHeight w:val="1620"/>
                              </w:trPr>
                              <w:tc>
                                <w:tcPr>
                                  <w:tcW w:w="7230" w:type="dxa"/>
                                  <w:gridSpan w:val="6"/>
                                  <w:tcBorders>
                                    <w:top w:val="nil"/>
                                    <w:left w:val="nil"/>
                                    <w:bottom w:val="nil"/>
                                    <w:right w:val="nil"/>
                                  </w:tcBorders>
                                  <w:shd w:val="clear" w:color="auto" w:fill="auto"/>
                                  <w:vAlign w:val="bottom"/>
                                  <w:hideMark/>
                                </w:tcPr>
                                <w:p w:rsidR="00603050" w:rsidRPr="00E05290" w:rsidRDefault="00603050" w:rsidP="0008703C">
                                  <w:pPr>
                                    <w:spacing w:before="0" w:line="240" w:lineRule="auto"/>
                                    <w:jc w:val="left"/>
                                    <w:rPr>
                                      <w:rFonts w:eastAsia="Times New Roman"/>
                                      <w:sz w:val="16"/>
                                      <w:szCs w:val="16"/>
                                      <w:lang w:eastAsia="sv-SE"/>
                                    </w:rPr>
                                  </w:pPr>
                                  <w:r w:rsidRPr="00E05290">
                                    <w:rPr>
                                      <w:rFonts w:eastAsia="Times New Roman"/>
                                      <w:sz w:val="16"/>
                                      <w:szCs w:val="16"/>
                                      <w:lang w:eastAsia="sv-SE"/>
                                    </w:rPr>
                                    <w:t>Saldot på Balanserad kapitalförändring består uteslutande av kostnader för avsättningar för ledamöternas pensioner och inkomstgarantier inklusive sociala avgifter som ännu inte har utbetalats. Att posten uppvisar ett stort negativt saldo beror på att avsättningarna är undantagna från bestämmelserna om kostnadsmässig anslagsavräkning, se även sista stycket under Avsättningar för pensioner och liknande förpliktelser i Tilläggsupplysn</w:t>
                                  </w:r>
                                  <w:r>
                                    <w:rPr>
                                      <w:rFonts w:eastAsia="Times New Roman"/>
                                      <w:sz w:val="16"/>
                                      <w:szCs w:val="16"/>
                                      <w:lang w:eastAsia="sv-SE"/>
                                    </w:rPr>
                                    <w:t xml:space="preserve">ingar och noter. I praktiken </w:t>
                                  </w:r>
                                  <w:r w:rsidRPr="00E05290">
                                    <w:rPr>
                                      <w:rFonts w:eastAsia="Times New Roman"/>
                                      <w:sz w:val="16"/>
                                      <w:szCs w:val="16"/>
                                      <w:lang w:eastAsia="sv-SE"/>
                                    </w:rPr>
                                    <w:t>innebär det att kostnaderna redovisas löpande men anslagsavräkningen görs först när utbetalning av pensionerna och inkomstgarantierna sker.</w:t>
                                  </w:r>
                                </w:p>
                                <w:p w:rsidR="00603050" w:rsidRPr="00414302" w:rsidRDefault="00603050" w:rsidP="0008703C">
                                  <w:pPr>
                                    <w:spacing w:before="0" w:line="240" w:lineRule="auto"/>
                                    <w:jc w:val="left"/>
                                    <w:rPr>
                                      <w:rFonts w:eastAsia="Times New Roman"/>
                                      <w:sz w:val="16"/>
                                      <w:szCs w:val="16"/>
                                      <w:lang w:eastAsia="sv-SE"/>
                                    </w:rPr>
                                  </w:pPr>
                                </w:p>
                              </w:tc>
                            </w:tr>
                          </w:tbl>
                          <w:p w:rsidR="00603050" w:rsidRDefault="00603050" w:rsidP="00835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70101" id="_x0000_t202" coordsize="21600,21600" o:spt="202" path="m,l,21600r21600,l21600,xe">
                <v:stroke joinstyle="miter"/>
                <v:path gradientshapeok="t" o:connecttype="rect"/>
              </v:shapetype>
              <v:shape id="Textruta 4" o:spid="_x0000_s1026" type="#_x0000_t202" style="position:absolute;left:0;text-align:left;margin-left:-39.2pt;margin-top:.8pt;width:542.05pt;height:3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" filled="f" stroked="f">
                <v:textbox>
                  <w:txbxContent>
                    <w:tbl>
                      <w:tblPr>
                        <w:tblW w:w="7230" w:type="dxa"/>
                        <w:tblInd w:w="70" w:type="dxa"/>
                        <w:tblLayout w:type="fixed"/>
                        <w:tblCellMar>
                          <w:left w:w="70" w:type="dxa"/>
                          <w:right w:w="70" w:type="dxa"/>
                        </w:tblCellMar>
                        <w:tblLook w:val="04A0" w:firstRow="1" w:lastRow="0" w:firstColumn="1" w:lastColumn="0" w:noHBand="0" w:noVBand="1"/>
                      </w:tblPr>
                      <w:tblGrid>
                        <w:gridCol w:w="1843"/>
                        <w:gridCol w:w="1276"/>
                        <w:gridCol w:w="992"/>
                        <w:gridCol w:w="1276"/>
                        <w:gridCol w:w="992"/>
                        <w:gridCol w:w="851"/>
                      </w:tblGrid>
                      <w:tr w:rsidR="00603050" w:rsidRPr="00414302" w:rsidTr="0008703C">
                        <w:trPr>
                          <w:trHeight w:val="240"/>
                        </w:trPr>
                        <w:tc>
                          <w:tcPr>
                            <w:tcW w:w="3119" w:type="dxa"/>
                            <w:gridSpan w:val="2"/>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left"/>
                              <w:rPr>
                                <w:rFonts w:eastAsia="Times New Roman"/>
                                <w:b/>
                                <w:bCs/>
                                <w:sz w:val="16"/>
                                <w:szCs w:val="16"/>
                                <w:lang w:eastAsia="sv-SE"/>
                              </w:rPr>
                            </w:pPr>
                            <w:bookmarkStart w:id="38" w:name="RANGE!B38:G52"/>
                            <w:r>
                              <w:rPr>
                                <w:rFonts w:eastAsia="Times New Roman"/>
                                <w:b/>
                                <w:bCs/>
                                <w:sz w:val="16"/>
                                <w:szCs w:val="16"/>
                                <w:lang w:eastAsia="sv-SE"/>
                              </w:rPr>
                              <w:t>Not 17</w:t>
                            </w:r>
                            <w:r w:rsidRPr="00414302">
                              <w:rPr>
                                <w:rFonts w:eastAsia="Times New Roman"/>
                                <w:b/>
                                <w:bCs/>
                                <w:sz w:val="16"/>
                                <w:szCs w:val="16"/>
                                <w:lang w:eastAsia="sv-SE"/>
                              </w:rPr>
                              <w:t xml:space="preserve"> Förändring av myndighetskapitalet</w:t>
                            </w:r>
                            <w:bookmarkEnd w:id="38"/>
                          </w:p>
                        </w:tc>
                        <w:tc>
                          <w:tcPr>
                            <w:tcW w:w="992"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c>
                          <w:tcPr>
                            <w:tcW w:w="851" w:type="dxa"/>
                            <w:tcBorders>
                              <w:top w:val="nil"/>
                              <w:left w:val="nil"/>
                              <w:bottom w:val="nil"/>
                              <w:right w:val="nil"/>
                            </w:tcBorders>
                            <w:shd w:val="clear" w:color="auto" w:fill="auto"/>
                            <w:noWrap/>
                            <w:vAlign w:val="bottom"/>
                            <w:hideMark/>
                          </w:tcPr>
                          <w:p w:rsidR="00603050" w:rsidRPr="00414302" w:rsidRDefault="00603050" w:rsidP="00992D51">
                            <w:pPr>
                              <w:spacing w:before="60" w:line="200" w:lineRule="exact"/>
                              <w:jc w:val="center"/>
                              <w:rPr>
                                <w:rFonts w:ascii="Arial" w:eastAsia="Times New Roman" w:hAnsi="Arial" w:cs="Arial"/>
                                <w:sz w:val="20"/>
                                <w:szCs w:val="20"/>
                                <w:lang w:eastAsia="sv-SE"/>
                              </w:rPr>
                            </w:pPr>
                          </w:p>
                        </w:tc>
                      </w:tr>
                      <w:tr w:rsidR="00603050" w:rsidRPr="00414302" w:rsidTr="00794DFC">
                        <w:trPr>
                          <w:trHeight w:val="964"/>
                        </w:trPr>
                        <w:tc>
                          <w:tcPr>
                            <w:tcW w:w="1843" w:type="dxa"/>
                            <w:tcBorders>
                              <w:top w:val="single" w:sz="4" w:space="0" w:color="auto"/>
                              <w:left w:val="nil"/>
                              <w:bottom w:val="single" w:sz="4" w:space="0" w:color="auto"/>
                              <w:right w:val="nil"/>
                            </w:tcBorders>
                            <w:shd w:val="clear" w:color="auto" w:fill="auto"/>
                            <w:noWrap/>
                            <w:vAlign w:val="bottom"/>
                            <w:hideMark/>
                          </w:tcPr>
                          <w:p w:rsidR="00603050" w:rsidRPr="00414302" w:rsidRDefault="00603050" w:rsidP="00794DFC">
                            <w:pPr>
                              <w:spacing w:before="0" w:line="200" w:lineRule="exact"/>
                              <w:jc w:val="left"/>
                              <w:rPr>
                                <w:rFonts w:ascii="Arial" w:eastAsia="Times New Roman" w:hAnsi="Arial" w:cs="Arial"/>
                                <w:sz w:val="20"/>
                                <w:szCs w:val="20"/>
                                <w:lang w:eastAsia="sv-SE"/>
                              </w:rPr>
                            </w:pPr>
                            <w:r w:rsidRPr="00414302">
                              <w:rPr>
                                <w:rFonts w:ascii="Arial" w:eastAsia="Times New Roman" w:hAnsi="Arial" w:cs="Arial"/>
                                <w:sz w:val="20"/>
                                <w:szCs w:val="20"/>
                                <w:lang w:eastAsia="sv-SE"/>
                              </w:rPr>
                              <w:t> </w:t>
                            </w:r>
                          </w:p>
                        </w:tc>
                        <w:tc>
                          <w:tcPr>
                            <w:tcW w:w="1276" w:type="dxa"/>
                            <w:tcBorders>
                              <w:top w:val="single" w:sz="4" w:space="0" w:color="auto"/>
                              <w:left w:val="nil"/>
                              <w:bottom w:val="single" w:sz="4" w:space="0" w:color="auto"/>
                              <w:right w:val="nil"/>
                            </w:tcBorders>
                            <w:shd w:val="clear" w:color="auto" w:fill="auto"/>
                            <w:noWrap/>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Statskapital</w:t>
                            </w:r>
                          </w:p>
                        </w:tc>
                        <w:tc>
                          <w:tcPr>
                            <w:tcW w:w="992"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Donationskapital</w:t>
                            </w:r>
                          </w:p>
                        </w:tc>
                        <w:tc>
                          <w:tcPr>
                            <w:tcW w:w="1276"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Balanserad kapitalförändring,</w:t>
                            </w:r>
                            <w:r w:rsidRPr="00414302">
                              <w:rPr>
                                <w:rFonts w:eastAsia="Times New Roman"/>
                                <w:b/>
                                <w:bCs/>
                                <w:sz w:val="16"/>
                                <w:szCs w:val="16"/>
                                <w:lang w:eastAsia="sv-SE"/>
                              </w:rPr>
                              <w:br/>
                              <w:t>anslagsfinansierad verksamhet</w:t>
                            </w:r>
                          </w:p>
                        </w:tc>
                        <w:tc>
                          <w:tcPr>
                            <w:tcW w:w="992" w:type="dxa"/>
                            <w:tcBorders>
                              <w:top w:val="single" w:sz="4" w:space="0" w:color="auto"/>
                              <w:left w:val="nil"/>
                              <w:bottom w:val="single" w:sz="4" w:space="0" w:color="auto"/>
                              <w:right w:val="nil"/>
                            </w:tcBorders>
                            <w:shd w:val="clear" w:color="auto" w:fill="auto"/>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 xml:space="preserve">Kapitalförändring </w:t>
                            </w:r>
                            <w:r w:rsidRPr="00414302">
                              <w:rPr>
                                <w:rFonts w:eastAsia="Times New Roman"/>
                                <w:b/>
                                <w:bCs/>
                                <w:sz w:val="16"/>
                                <w:szCs w:val="16"/>
                                <w:lang w:eastAsia="sv-SE"/>
                              </w:rPr>
                              <w:br/>
                              <w:t xml:space="preserve">enligt </w:t>
                            </w:r>
                            <w:r w:rsidRPr="00414302">
                              <w:rPr>
                                <w:rFonts w:eastAsia="Times New Roman"/>
                                <w:b/>
                                <w:bCs/>
                                <w:sz w:val="16"/>
                                <w:szCs w:val="16"/>
                                <w:lang w:eastAsia="sv-SE"/>
                              </w:rPr>
                              <w:br/>
                              <w:t>resultaträkningen</w:t>
                            </w:r>
                          </w:p>
                        </w:tc>
                        <w:tc>
                          <w:tcPr>
                            <w:tcW w:w="851" w:type="dxa"/>
                            <w:tcBorders>
                              <w:top w:val="single" w:sz="4" w:space="0" w:color="auto"/>
                              <w:left w:val="nil"/>
                              <w:bottom w:val="single" w:sz="4" w:space="0" w:color="auto"/>
                              <w:right w:val="nil"/>
                            </w:tcBorders>
                            <w:shd w:val="clear" w:color="auto" w:fill="auto"/>
                            <w:noWrap/>
                            <w:hideMark/>
                          </w:tcPr>
                          <w:p w:rsidR="00603050" w:rsidRPr="00414302" w:rsidRDefault="00603050" w:rsidP="00794DFC">
                            <w:pPr>
                              <w:spacing w:before="0" w:line="200" w:lineRule="exact"/>
                              <w:jc w:val="right"/>
                              <w:rPr>
                                <w:rFonts w:eastAsia="Times New Roman"/>
                                <w:b/>
                                <w:bCs/>
                                <w:sz w:val="16"/>
                                <w:szCs w:val="16"/>
                                <w:lang w:eastAsia="sv-SE"/>
                              </w:rPr>
                            </w:pPr>
                            <w:r w:rsidRPr="00414302">
                              <w:rPr>
                                <w:rFonts w:eastAsia="Times New Roman"/>
                                <w:b/>
                                <w:bCs/>
                                <w:sz w:val="16"/>
                                <w:szCs w:val="16"/>
                                <w:lang w:eastAsia="sv-SE"/>
                              </w:rPr>
                              <w:t>Summa</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Utgående balans 2015</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-825 802</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-2 222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4 034 515</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3 387 954</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Ingående balans 2016</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-825 802</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-2 222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4 034 515</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3 387 954</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Föregående års kapitalförändring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sz w:val="16"/>
                                <w:szCs w:val="16"/>
                                <w:lang w:eastAsia="sv-SE"/>
                              </w:rPr>
                            </w:pPr>
                            <w:r w:rsidRPr="00414302">
                              <w:rPr>
                                <w:rFonts w:eastAsia="Times New Roman"/>
                                <w:sz w:val="16"/>
                                <w:szCs w:val="16"/>
                                <w:lang w:eastAsia="sv-SE"/>
                              </w:rPr>
                              <w:t>27 748</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20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153 694</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-181 463</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Årets investeringar</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sz w:val="16"/>
                                <w:szCs w:val="16"/>
                                <w:lang w:eastAsia="sv-SE"/>
                              </w:rPr>
                            </w:pPr>
                            <w:r w:rsidRPr="00414302">
                              <w:rPr>
                                <w:rFonts w:eastAsia="Times New Roman"/>
                                <w:sz w:val="16"/>
                                <w:szCs w:val="16"/>
                                <w:lang w:eastAsia="sv-SE"/>
                              </w:rPr>
                              <w:t>-253</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-253</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r w:rsidRPr="00414302">
                              <w:rPr>
                                <w:rFonts w:eastAsia="Times New Roman"/>
                                <w:sz w:val="16"/>
                                <w:szCs w:val="16"/>
                                <w:lang w:eastAsia="sv-SE"/>
                              </w:rPr>
                              <w:t>Årets kapitalförändring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sidRPr="00414302">
                              <w:rPr>
                                <w:rFonts w:eastAsia="Times New Roman"/>
                                <w:color w:val="000000"/>
                                <w:sz w:val="16"/>
                                <w:szCs w:val="16"/>
                                <w:lang w:eastAsia="sv-SE"/>
                              </w:rPr>
                              <w:t>0</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Pr>
                                <w:rFonts w:eastAsia="Times New Roman"/>
                                <w:color w:val="000000"/>
                                <w:sz w:val="16"/>
                                <w:szCs w:val="16"/>
                                <w:lang w:eastAsia="sv-SE"/>
                              </w:rPr>
                              <w:t>609 70</w:t>
                            </w:r>
                            <w:r w:rsidRPr="00414302">
                              <w:rPr>
                                <w:rFonts w:eastAsia="Times New Roman"/>
                                <w:color w:val="000000"/>
                                <w:sz w:val="16"/>
                                <w:szCs w:val="16"/>
                                <w:lang w:eastAsia="sv-SE"/>
                              </w:rPr>
                              <w:t>7</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color w:val="000000"/>
                                <w:sz w:val="16"/>
                                <w:szCs w:val="16"/>
                                <w:lang w:eastAsia="sv-SE"/>
                              </w:rPr>
                            </w:pPr>
                            <w:r>
                              <w:rPr>
                                <w:rFonts w:eastAsia="Times New Roman"/>
                                <w:color w:val="000000"/>
                                <w:sz w:val="16"/>
                                <w:szCs w:val="16"/>
                                <w:lang w:eastAsia="sv-SE"/>
                              </w:rPr>
                              <w:t>609 70</w:t>
                            </w:r>
                            <w:r w:rsidRPr="00414302">
                              <w:rPr>
                                <w:rFonts w:eastAsia="Times New Roman"/>
                                <w:color w:val="000000"/>
                                <w:sz w:val="16"/>
                                <w:szCs w:val="16"/>
                                <w:lang w:eastAsia="sv-SE"/>
                              </w:rPr>
                              <w:t>7</w:t>
                            </w: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Summa årets förändring</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-798 306</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-2 202</w:t>
                            </w: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4 188 209</w:t>
                            </w: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609 70</w:t>
                            </w:r>
                            <w:r w:rsidRPr="00414302">
                              <w:rPr>
                                <w:rFonts w:eastAsia="Times New Roman"/>
                                <w:b/>
                                <w:bCs/>
                                <w:color w:val="000000"/>
                                <w:sz w:val="16"/>
                                <w:szCs w:val="16"/>
                                <w:lang w:eastAsia="sv-SE"/>
                              </w:rPr>
                              <w:t>7</w:t>
                            </w: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p>
                        </w:tc>
                      </w:tr>
                      <w:tr w:rsidR="00603050" w:rsidRPr="00414302" w:rsidTr="0008703C">
                        <w:trPr>
                          <w:trHeight w:val="30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b/>
                                <w:bCs/>
                                <w:sz w:val="16"/>
                                <w:szCs w:val="16"/>
                                <w:lang w:eastAsia="sv-SE"/>
                              </w:rPr>
                            </w:pPr>
                            <w:r w:rsidRPr="00414302">
                              <w:rPr>
                                <w:rFonts w:eastAsia="Times New Roman"/>
                                <w:b/>
                                <w:bCs/>
                                <w:sz w:val="16"/>
                                <w:szCs w:val="16"/>
                                <w:lang w:eastAsia="sv-SE"/>
                              </w:rPr>
                              <w:t>Utgående balans 2016</w:t>
                            </w:r>
                          </w:p>
                        </w:tc>
                        <w:tc>
                          <w:tcPr>
                            <w:tcW w:w="1276"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-798 306</w:t>
                            </w:r>
                          </w:p>
                        </w:tc>
                        <w:tc>
                          <w:tcPr>
                            <w:tcW w:w="992"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-2 202</w:t>
                            </w:r>
                          </w:p>
                        </w:tc>
                        <w:tc>
                          <w:tcPr>
                            <w:tcW w:w="1276"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sidRPr="00414302">
                              <w:rPr>
                                <w:rFonts w:eastAsia="Times New Roman"/>
                                <w:b/>
                                <w:bCs/>
                                <w:color w:val="000000"/>
                                <w:sz w:val="16"/>
                                <w:szCs w:val="16"/>
                                <w:lang w:eastAsia="sv-SE"/>
                              </w:rPr>
                              <w:t>4 188 209</w:t>
                            </w:r>
                          </w:p>
                        </w:tc>
                        <w:tc>
                          <w:tcPr>
                            <w:tcW w:w="992"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609 70</w:t>
                            </w:r>
                            <w:r w:rsidRPr="00414302">
                              <w:rPr>
                                <w:rFonts w:eastAsia="Times New Roman"/>
                                <w:b/>
                                <w:bCs/>
                                <w:color w:val="000000"/>
                                <w:sz w:val="16"/>
                                <w:szCs w:val="16"/>
                                <w:lang w:eastAsia="sv-SE"/>
                              </w:rPr>
                              <w:t>7</w:t>
                            </w:r>
                          </w:p>
                        </w:tc>
                        <w:tc>
                          <w:tcPr>
                            <w:tcW w:w="851" w:type="dxa"/>
                            <w:tcBorders>
                              <w:top w:val="single" w:sz="4" w:space="0" w:color="auto"/>
                              <w:left w:val="nil"/>
                              <w:bottom w:val="nil"/>
                              <w:right w:val="nil"/>
                            </w:tcBorders>
                            <w:shd w:val="clear" w:color="auto" w:fill="auto"/>
                            <w:noWrap/>
                            <w:vAlign w:val="bottom"/>
                            <w:hideMark/>
                          </w:tcPr>
                          <w:p w:rsidR="00603050" w:rsidRPr="00414302" w:rsidRDefault="00603050" w:rsidP="0008703C">
                            <w:pPr>
                              <w:spacing w:before="0" w:line="240" w:lineRule="auto"/>
                              <w:jc w:val="right"/>
                              <w:rPr>
                                <w:rFonts w:eastAsia="Times New Roman"/>
                                <w:b/>
                                <w:bCs/>
                                <w:color w:val="000000"/>
                                <w:sz w:val="16"/>
                                <w:szCs w:val="16"/>
                                <w:lang w:eastAsia="sv-SE"/>
                              </w:rPr>
                            </w:pPr>
                            <w:r>
                              <w:rPr>
                                <w:rFonts w:eastAsia="Times New Roman"/>
                                <w:b/>
                                <w:bCs/>
                                <w:color w:val="000000"/>
                                <w:sz w:val="16"/>
                                <w:szCs w:val="16"/>
                                <w:lang w:eastAsia="sv-SE"/>
                              </w:rPr>
                              <w:t>3 997 408</w:t>
                            </w:r>
                          </w:p>
                        </w:tc>
                      </w:tr>
                      <w:tr w:rsidR="00603050" w:rsidRPr="00414302" w:rsidTr="0008703C">
                        <w:trPr>
                          <w:trHeight w:val="240"/>
                        </w:trPr>
                        <w:tc>
                          <w:tcPr>
                            <w:tcW w:w="1843"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left"/>
                              <w:rPr>
                                <w:rFonts w:eastAsia="Times New Roman"/>
                                <w:sz w:val="16"/>
                                <w:szCs w:val="16"/>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1276"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992"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c>
                          <w:tcPr>
                            <w:tcW w:w="851" w:type="dxa"/>
                            <w:tcBorders>
                              <w:top w:val="nil"/>
                              <w:left w:val="nil"/>
                              <w:bottom w:val="nil"/>
                              <w:right w:val="nil"/>
                            </w:tcBorders>
                            <w:shd w:val="clear" w:color="auto" w:fill="auto"/>
                            <w:noWrap/>
                            <w:vAlign w:val="bottom"/>
                            <w:hideMark/>
                          </w:tcPr>
                          <w:p w:rsidR="00603050" w:rsidRPr="00414302" w:rsidRDefault="00603050" w:rsidP="0008703C">
                            <w:pPr>
                              <w:spacing w:before="0" w:line="240" w:lineRule="auto"/>
                              <w:jc w:val="center"/>
                              <w:rPr>
                                <w:rFonts w:ascii="Arial" w:eastAsia="Times New Roman" w:hAnsi="Arial" w:cs="Arial"/>
                                <w:sz w:val="20"/>
                                <w:szCs w:val="20"/>
                                <w:lang w:eastAsia="sv-SE"/>
                              </w:rPr>
                            </w:pPr>
                          </w:p>
                        </w:tc>
                      </w:tr>
                      <w:tr w:rsidR="00603050" w:rsidRPr="00414302" w:rsidTr="0008703C">
                        <w:trPr>
                          <w:trHeight w:val="1620"/>
                        </w:trPr>
                        <w:tc>
                          <w:tcPr>
                            <w:tcW w:w="7230" w:type="dxa"/>
                            <w:gridSpan w:val="6"/>
                            <w:tcBorders>
                              <w:top w:val="nil"/>
                              <w:left w:val="nil"/>
                              <w:bottom w:val="nil"/>
                              <w:right w:val="nil"/>
                            </w:tcBorders>
                            <w:shd w:val="clear" w:color="auto" w:fill="auto"/>
                            <w:vAlign w:val="bottom"/>
                            <w:hideMark/>
                          </w:tcPr>
                          <w:p w:rsidR="00603050" w:rsidRPr="00E05290" w:rsidRDefault="00603050" w:rsidP="0008703C">
                            <w:pPr>
                              <w:spacing w:before="0" w:line="240" w:lineRule="auto"/>
                              <w:jc w:val="left"/>
                              <w:rPr>
                                <w:rFonts w:eastAsia="Times New Roman"/>
                                <w:sz w:val="16"/>
                                <w:szCs w:val="16"/>
                                <w:lang w:eastAsia="sv-SE"/>
                              </w:rPr>
                            </w:pPr>
                            <w:r w:rsidRPr="00E05290">
                              <w:rPr>
                                <w:rFonts w:eastAsia="Times New Roman"/>
                                <w:sz w:val="16"/>
                                <w:szCs w:val="16"/>
                                <w:lang w:eastAsia="sv-SE"/>
                              </w:rPr>
                              <w:t>Saldot på Balanserad kapitalförändring består uteslutande av kostnader för avsättningar för ledamöternas pensioner och inkomstgarantier inklusive sociala avgifter som ännu inte har utbetalats. Att posten uppvisar ett stort negativt saldo beror på att avsättningarna är undantagna från bestämmelserna om kostnadsmässig anslagsavräkning, se även sista stycket under Avsättningar för pensioner och liknande förpliktelser i Tilläggsupplysn</w:t>
                            </w:r>
                            <w:r>
                              <w:rPr>
                                <w:rFonts w:eastAsia="Times New Roman"/>
                                <w:sz w:val="16"/>
                                <w:szCs w:val="16"/>
                                <w:lang w:eastAsia="sv-SE"/>
                              </w:rPr>
                              <w:t xml:space="preserve">ingar och noter. I praktiken </w:t>
                            </w:r>
                            <w:r w:rsidRPr="00E05290">
                              <w:rPr>
                                <w:rFonts w:eastAsia="Times New Roman"/>
                                <w:sz w:val="16"/>
                                <w:szCs w:val="16"/>
                                <w:lang w:eastAsia="sv-SE"/>
                              </w:rPr>
                              <w:t>innebär det att kostnaderna redovisas löpande men anslagsavräkningen görs först när utbetalning av pensionerna och inkomstgarantierna sker.</w:t>
                            </w:r>
                          </w:p>
                          <w:p w:rsidR="00603050" w:rsidRPr="00414302" w:rsidRDefault="00603050" w:rsidP="0008703C">
                            <w:pPr>
                              <w:spacing w:before="0" w:line="240" w:lineRule="auto"/>
                              <w:jc w:val="left"/>
                              <w:rPr>
                                <w:rFonts w:eastAsia="Times New Roman"/>
                                <w:sz w:val="16"/>
                                <w:szCs w:val="16"/>
                                <w:lang w:eastAsia="sv-SE"/>
                              </w:rPr>
                            </w:pPr>
                          </w:p>
                        </w:tc>
                      </w:tr>
                    </w:tbl>
                    <w:p w:rsidR="00603050" w:rsidRDefault="00603050" w:rsidP="00835EFE"/>
                  </w:txbxContent>
                </v:textbox>
              </v:shape>
            </w:pict>
          </mc:Fallback>
        </mc:AlternateContent>
      </w:r>
    </w:p>
    <w:p w:rsidR="00750823" w:rsidRDefault="00750823" w:rsidP="0069450B">
      <w:pPr>
        <w:spacing w:before="0" w:after="200" w:line="276" w:lineRule="auto"/>
        <w:jc w:val="left"/>
      </w:pPr>
    </w:p>
    <w:p w:rsidR="0069450B" w:rsidRPr="0069450B" w:rsidRDefault="0069450B" w:rsidP="0069450B">
      <w:pPr>
        <w:spacing w:before="0" w:after="200" w:line="276" w:lineRule="auto"/>
        <w:jc w:val="left"/>
      </w:pPr>
      <w:r w:rsidRPr="0069450B">
        <w:br w:type="page"/>
      </w:r>
    </w:p>
    <w:tbl>
      <w:tblPr>
        <w:tblW w:w="5954" w:type="dxa"/>
        <w:tblInd w:w="70" w:type="dxa"/>
        <w:tblLayout w:type="fixed"/>
        <w:tblCellMar>
          <w:left w:w="70" w:type="dxa"/>
          <w:right w:w="70" w:type="dxa"/>
        </w:tblCellMar>
        <w:tblLook w:val="04A0" w:firstRow="1" w:lastRow="0" w:firstColumn="1" w:lastColumn="0" w:noHBand="0" w:noVBand="1"/>
      </w:tblPr>
      <w:tblGrid>
        <w:gridCol w:w="3969"/>
        <w:gridCol w:w="993"/>
        <w:gridCol w:w="992"/>
      </w:tblGrid>
      <w:tr w:rsidR="009D1A68" w:rsidRPr="00A5006B" w:rsidTr="0008703C">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lastRenderedPageBreak/>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2016</w:t>
            </w:r>
            <w:r>
              <w:rPr>
                <w:rFonts w:eastAsia="Times New Roman"/>
                <w:b/>
                <w:bCs/>
                <w:sz w:val="16"/>
                <w:szCs w:val="16"/>
                <w:lang w:eastAsia="sv-SE"/>
              </w:rPr>
              <w:t>-12-31</w:t>
            </w:r>
          </w:p>
        </w:tc>
        <w:tc>
          <w:tcPr>
            <w:tcW w:w="992"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2015</w:t>
            </w:r>
            <w:r>
              <w:rPr>
                <w:rFonts w:eastAsia="Times New Roman"/>
                <w:b/>
                <w:bCs/>
                <w:sz w:val="16"/>
                <w:szCs w:val="16"/>
                <w:lang w:eastAsia="sv-SE"/>
              </w:rPr>
              <w:t>-12-31</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120" w:line="240" w:lineRule="auto"/>
              <w:jc w:val="left"/>
              <w:rPr>
                <w:rFonts w:eastAsia="Times New Roman"/>
                <w:b/>
                <w:bCs/>
                <w:sz w:val="16"/>
                <w:szCs w:val="16"/>
                <w:lang w:eastAsia="sv-SE"/>
              </w:rPr>
            </w:pPr>
            <w:r w:rsidRPr="00A5006B">
              <w:rPr>
                <w:rFonts w:eastAsia="Times New Roman"/>
                <w:b/>
                <w:bCs/>
                <w:sz w:val="16"/>
                <w:szCs w:val="16"/>
                <w:lang w:eastAsia="sv-SE"/>
              </w:rPr>
              <w:t xml:space="preserve">Not 18 Avsättningar för pensioner och liknande </w:t>
            </w:r>
            <w:r w:rsidR="00902F39">
              <w:rPr>
                <w:rFonts w:eastAsia="Times New Roman"/>
                <w:b/>
                <w:bCs/>
                <w:sz w:val="16"/>
                <w:szCs w:val="16"/>
                <w:lang w:eastAsia="sv-SE"/>
              </w:rPr>
              <w:br/>
            </w:r>
            <w:r w:rsidRPr="00A5006B">
              <w:rPr>
                <w:rFonts w:eastAsia="Times New Roman"/>
                <w:b/>
                <w:bCs/>
                <w:sz w:val="16"/>
                <w:szCs w:val="16"/>
                <w:lang w:eastAsia="sv-SE"/>
              </w:rPr>
              <w:t>förpliktelser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Pensioner för tjänstemän</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Ingående avsättning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3 165</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3 897</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pensionskostnad</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1</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662</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pensionsutbetalningar</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-1 532</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-1 394</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Utgående avsättning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1 634</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3 165</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Tillkommer särskild löneskatt med</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382</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768</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Pensionsavsättning till ledamöter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Ingående avsättning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2 819 895</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2 630 745</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 xml:space="preserve">      Varav avgångna ledamöter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2 046 486</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2 028 689</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 xml:space="preserve">      Varav aktiva ledamöter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773 410</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602 056</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Avsatt till pensioner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499 852</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235 038</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pensionskostnad</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-24 534</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28 452</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pensionsutbetalningar</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-73 055</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-74 340</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Utgående avsättning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3 222 158</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2 819 895</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 xml:space="preserve">      Varav avgångna ledamöter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2 229 441</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2 046 486</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 xml:space="preserve">      Varav aktiva ledamöter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992 718</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773 410</w:t>
            </w:r>
          </w:p>
        </w:tc>
      </w:tr>
      <w:tr w:rsidR="009D1A68" w:rsidRPr="00A5006B" w:rsidTr="00541D89">
        <w:trPr>
          <w:trHeight w:val="284"/>
        </w:trPr>
        <w:tc>
          <w:tcPr>
            <w:tcW w:w="3969" w:type="dxa"/>
            <w:tcBorders>
              <w:top w:val="nil"/>
              <w:left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Tillkommer särskild löneskatt med</w:t>
            </w:r>
          </w:p>
        </w:tc>
        <w:tc>
          <w:tcPr>
            <w:tcW w:w="993" w:type="dxa"/>
            <w:tcBorders>
              <w:top w:val="nil"/>
              <w:left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781 696</w:t>
            </w:r>
          </w:p>
        </w:tc>
        <w:tc>
          <w:tcPr>
            <w:tcW w:w="992" w:type="dxa"/>
            <w:tcBorders>
              <w:top w:val="nil"/>
              <w:left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684 107</w:t>
            </w:r>
          </w:p>
        </w:tc>
      </w:tr>
      <w:tr w:rsidR="005571F4" w:rsidRPr="00A5006B" w:rsidTr="00541D89">
        <w:trPr>
          <w:trHeight w:val="340"/>
        </w:trPr>
        <w:tc>
          <w:tcPr>
            <w:tcW w:w="3969" w:type="dxa"/>
            <w:tcBorders>
              <w:left w:val="nil"/>
              <w:right w:val="nil"/>
            </w:tcBorders>
            <w:shd w:val="clear" w:color="auto" w:fill="auto"/>
            <w:vAlign w:val="bottom"/>
          </w:tcPr>
          <w:p w:rsidR="005571F4" w:rsidRPr="00A5006B" w:rsidRDefault="005571F4" w:rsidP="005571F4">
            <w:pPr>
              <w:spacing w:before="0" w:line="240" w:lineRule="auto"/>
              <w:jc w:val="left"/>
              <w:rPr>
                <w:rFonts w:eastAsia="Times New Roman"/>
                <w:b/>
                <w:bCs/>
                <w:i/>
                <w:iCs/>
                <w:sz w:val="16"/>
                <w:szCs w:val="16"/>
                <w:lang w:eastAsia="sv-SE"/>
              </w:rPr>
            </w:pPr>
          </w:p>
        </w:tc>
        <w:tc>
          <w:tcPr>
            <w:tcW w:w="993" w:type="dxa"/>
            <w:tcBorders>
              <w:left w:val="nil"/>
              <w:right w:val="nil"/>
            </w:tcBorders>
            <w:shd w:val="clear" w:color="auto" w:fill="auto"/>
            <w:noWrap/>
            <w:vAlign w:val="bottom"/>
          </w:tcPr>
          <w:p w:rsidR="005571F4" w:rsidRPr="00A5006B" w:rsidRDefault="005571F4" w:rsidP="005571F4">
            <w:pPr>
              <w:spacing w:before="0" w:line="240" w:lineRule="auto"/>
              <w:jc w:val="right"/>
              <w:rPr>
                <w:rFonts w:eastAsia="Times New Roman"/>
                <w:b/>
                <w:bCs/>
                <w:sz w:val="16"/>
                <w:szCs w:val="16"/>
                <w:lang w:eastAsia="sv-SE"/>
              </w:rPr>
            </w:pPr>
          </w:p>
        </w:tc>
        <w:tc>
          <w:tcPr>
            <w:tcW w:w="992" w:type="dxa"/>
            <w:tcBorders>
              <w:left w:val="nil"/>
              <w:right w:val="nil"/>
            </w:tcBorders>
            <w:shd w:val="clear" w:color="auto" w:fill="auto"/>
            <w:noWrap/>
            <w:vAlign w:val="bottom"/>
          </w:tcPr>
          <w:p w:rsidR="005571F4" w:rsidRPr="00A5006B" w:rsidRDefault="005571F4" w:rsidP="005571F4">
            <w:pPr>
              <w:spacing w:before="0" w:line="240" w:lineRule="auto"/>
              <w:jc w:val="right"/>
              <w:rPr>
                <w:rFonts w:eastAsia="Times New Roman"/>
                <w:b/>
                <w:bCs/>
                <w:sz w:val="16"/>
                <w:szCs w:val="16"/>
                <w:lang w:eastAsia="sv-SE"/>
              </w:rPr>
            </w:pPr>
          </w:p>
        </w:tc>
      </w:tr>
      <w:tr w:rsidR="005571F4" w:rsidRPr="00A5006B" w:rsidTr="00541D89">
        <w:trPr>
          <w:trHeight w:val="340"/>
        </w:trPr>
        <w:tc>
          <w:tcPr>
            <w:tcW w:w="3969" w:type="dxa"/>
            <w:tcBorders>
              <w:left w:val="nil"/>
              <w:bottom w:val="nil"/>
              <w:right w:val="nil"/>
            </w:tcBorders>
            <w:shd w:val="clear" w:color="auto" w:fill="auto"/>
            <w:vAlign w:val="bottom"/>
            <w:hideMark/>
          </w:tcPr>
          <w:p w:rsidR="005571F4" w:rsidRPr="00A5006B" w:rsidRDefault="005571F4" w:rsidP="005571F4">
            <w:pPr>
              <w:spacing w:before="0" w:line="240" w:lineRule="auto"/>
              <w:jc w:val="left"/>
              <w:rPr>
                <w:rFonts w:eastAsia="Times New Roman"/>
                <w:b/>
                <w:bCs/>
                <w:sz w:val="16"/>
                <w:szCs w:val="16"/>
                <w:lang w:eastAsia="sv-SE"/>
              </w:rPr>
            </w:pPr>
            <w:r w:rsidRPr="00A5006B">
              <w:rPr>
                <w:rFonts w:eastAsia="Times New Roman"/>
                <w:b/>
                <w:bCs/>
                <w:sz w:val="16"/>
                <w:szCs w:val="16"/>
                <w:lang w:eastAsia="sv-SE"/>
              </w:rPr>
              <w:t>Inkomstgaranti för ledamöter som lämnat riksdagen</w:t>
            </w:r>
          </w:p>
        </w:tc>
        <w:tc>
          <w:tcPr>
            <w:tcW w:w="993" w:type="dxa"/>
            <w:tcBorders>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p>
        </w:tc>
        <w:tc>
          <w:tcPr>
            <w:tcW w:w="992" w:type="dxa"/>
            <w:tcBorders>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Ingående avsättning</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246 913</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314 336</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Årets kostnad för inkomstgarantier</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-4 514</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-8 594</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Årets utgifter för inkomstgarantier</w:t>
            </w:r>
          </w:p>
        </w:tc>
        <w:tc>
          <w:tcPr>
            <w:tcW w:w="993" w:type="dxa"/>
            <w:tcBorders>
              <w:top w:val="nil"/>
              <w:left w:val="nil"/>
              <w:bottom w:val="single" w:sz="4" w:space="0" w:color="auto"/>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-29 669</w:t>
            </w:r>
          </w:p>
        </w:tc>
        <w:tc>
          <w:tcPr>
            <w:tcW w:w="992" w:type="dxa"/>
            <w:tcBorders>
              <w:top w:val="nil"/>
              <w:left w:val="nil"/>
              <w:bottom w:val="single" w:sz="4" w:space="0" w:color="auto"/>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-58 829</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Utgående avsättning</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212 730</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246 913</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i/>
                <w:iCs/>
                <w:sz w:val="16"/>
                <w:szCs w:val="16"/>
                <w:lang w:eastAsia="sv-SE"/>
              </w:rPr>
            </w:pPr>
            <w:r w:rsidRPr="00A5006B">
              <w:rPr>
                <w:rFonts w:eastAsia="Times New Roman"/>
                <w:i/>
                <w:iCs/>
                <w:sz w:val="16"/>
                <w:szCs w:val="16"/>
                <w:lang w:eastAsia="sv-SE"/>
              </w:rPr>
              <w:t>Tillkommer sociala avgifter med</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i/>
                <w:iCs/>
                <w:sz w:val="16"/>
                <w:szCs w:val="16"/>
                <w:lang w:eastAsia="sv-SE"/>
              </w:rPr>
            </w:pPr>
            <w:r w:rsidRPr="00A5006B">
              <w:rPr>
                <w:rFonts w:eastAsia="Times New Roman"/>
                <w:i/>
                <w:iCs/>
                <w:sz w:val="16"/>
                <w:szCs w:val="16"/>
                <w:lang w:eastAsia="sv-SE"/>
              </w:rPr>
              <w:t>57 569</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i/>
                <w:iCs/>
                <w:sz w:val="16"/>
                <w:szCs w:val="16"/>
                <w:lang w:eastAsia="sv-SE"/>
              </w:rPr>
            </w:pPr>
            <w:r w:rsidRPr="00A5006B">
              <w:rPr>
                <w:rFonts w:eastAsia="Times New Roman"/>
                <w:i/>
                <w:iCs/>
                <w:sz w:val="16"/>
                <w:szCs w:val="16"/>
                <w:lang w:eastAsia="sv-SE"/>
              </w:rPr>
              <w:t>67 610</w:t>
            </w:r>
          </w:p>
        </w:tc>
      </w:tr>
      <w:tr w:rsidR="005571F4" w:rsidRPr="00A5006B" w:rsidTr="0008703C">
        <w:trPr>
          <w:trHeight w:val="340"/>
        </w:trPr>
        <w:tc>
          <w:tcPr>
            <w:tcW w:w="3969" w:type="dxa"/>
            <w:tcBorders>
              <w:top w:val="nil"/>
              <w:left w:val="nil"/>
              <w:bottom w:val="nil"/>
              <w:right w:val="nil"/>
            </w:tcBorders>
            <w:shd w:val="clear" w:color="auto" w:fill="auto"/>
            <w:noWrap/>
            <w:vAlign w:val="bottom"/>
          </w:tcPr>
          <w:p w:rsidR="005571F4" w:rsidRPr="00A5006B" w:rsidRDefault="005571F4" w:rsidP="005571F4">
            <w:pPr>
              <w:spacing w:before="0" w:line="240" w:lineRule="auto"/>
              <w:jc w:val="left"/>
              <w:rPr>
                <w:rFonts w:eastAsia="Times New Roman"/>
                <w:b/>
                <w:bCs/>
                <w:i/>
                <w:iCs/>
                <w:sz w:val="16"/>
                <w:szCs w:val="16"/>
                <w:lang w:eastAsia="sv-SE"/>
              </w:rPr>
            </w:pPr>
          </w:p>
        </w:tc>
        <w:tc>
          <w:tcPr>
            <w:tcW w:w="993" w:type="dxa"/>
            <w:tcBorders>
              <w:top w:val="nil"/>
              <w:left w:val="nil"/>
              <w:bottom w:val="nil"/>
              <w:right w:val="nil"/>
            </w:tcBorders>
            <w:shd w:val="clear" w:color="auto" w:fill="auto"/>
            <w:noWrap/>
            <w:vAlign w:val="bottom"/>
          </w:tcPr>
          <w:p w:rsidR="005571F4" w:rsidRPr="00A5006B" w:rsidRDefault="005571F4" w:rsidP="005571F4">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tcPr>
          <w:p w:rsidR="005571F4" w:rsidRPr="00A5006B" w:rsidRDefault="005571F4" w:rsidP="005571F4">
            <w:pPr>
              <w:spacing w:before="0" w:line="240" w:lineRule="auto"/>
              <w:jc w:val="left"/>
              <w:rPr>
                <w:rFonts w:eastAsia="Times New Roman"/>
                <w:sz w:val="16"/>
                <w:szCs w:val="16"/>
                <w:lang w:eastAsia="sv-SE"/>
              </w:rPr>
            </w:pP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Inkomstgaranti för ledamöter i riksdagen</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Ingående avsättning</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271 254</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297 163</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Årets kostnad för inkomstgarantier</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-1 434</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2 089</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sz w:val="16"/>
                <w:szCs w:val="16"/>
                <w:lang w:eastAsia="sv-SE"/>
              </w:rPr>
            </w:pPr>
            <w:r w:rsidRPr="00A5006B">
              <w:rPr>
                <w:rFonts w:eastAsia="Times New Roman"/>
                <w:sz w:val="16"/>
                <w:szCs w:val="16"/>
                <w:lang w:eastAsia="sv-SE"/>
              </w:rPr>
              <w:t>Årets förändring av inkomstgarantier</w:t>
            </w:r>
          </w:p>
        </w:tc>
        <w:tc>
          <w:tcPr>
            <w:tcW w:w="993" w:type="dxa"/>
            <w:tcBorders>
              <w:top w:val="nil"/>
              <w:left w:val="nil"/>
              <w:bottom w:val="single" w:sz="4" w:space="0" w:color="auto"/>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101 383</w:t>
            </w:r>
          </w:p>
        </w:tc>
        <w:tc>
          <w:tcPr>
            <w:tcW w:w="992" w:type="dxa"/>
            <w:tcBorders>
              <w:top w:val="nil"/>
              <w:left w:val="nil"/>
              <w:bottom w:val="single" w:sz="4" w:space="0" w:color="auto"/>
              <w:right w:val="nil"/>
            </w:tcBorders>
            <w:shd w:val="clear" w:color="auto" w:fill="auto"/>
            <w:noWrap/>
            <w:vAlign w:val="bottom"/>
            <w:hideMark/>
          </w:tcPr>
          <w:p w:rsidR="005571F4" w:rsidRPr="00A5006B" w:rsidRDefault="005571F4" w:rsidP="005571F4">
            <w:pPr>
              <w:spacing w:before="0" w:line="240" w:lineRule="auto"/>
              <w:jc w:val="right"/>
              <w:rPr>
                <w:rFonts w:eastAsia="Times New Roman"/>
                <w:sz w:val="16"/>
                <w:szCs w:val="16"/>
                <w:lang w:eastAsia="sv-SE"/>
              </w:rPr>
            </w:pPr>
            <w:r w:rsidRPr="00A5006B">
              <w:rPr>
                <w:rFonts w:eastAsia="Times New Roman"/>
                <w:sz w:val="16"/>
                <w:szCs w:val="16"/>
                <w:lang w:eastAsia="sv-SE"/>
              </w:rPr>
              <w:t>-27 998</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Utgående avsättning</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371 203</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271 254</w:t>
            </w:r>
          </w:p>
        </w:tc>
      </w:tr>
      <w:tr w:rsidR="005571F4" w:rsidRPr="00A5006B" w:rsidTr="0008703C">
        <w:trPr>
          <w:trHeight w:val="340"/>
        </w:trPr>
        <w:tc>
          <w:tcPr>
            <w:tcW w:w="3969"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left"/>
              <w:rPr>
                <w:rFonts w:eastAsia="Times New Roman"/>
                <w:i/>
                <w:iCs/>
                <w:sz w:val="16"/>
                <w:szCs w:val="16"/>
                <w:lang w:eastAsia="sv-SE"/>
              </w:rPr>
            </w:pPr>
            <w:r w:rsidRPr="00A5006B">
              <w:rPr>
                <w:rFonts w:eastAsia="Times New Roman"/>
                <w:i/>
                <w:iCs/>
                <w:sz w:val="16"/>
                <w:szCs w:val="16"/>
                <w:lang w:eastAsia="sv-SE"/>
              </w:rPr>
              <w:t>Tillkommer sociala avgifter</w:t>
            </w:r>
          </w:p>
        </w:tc>
        <w:tc>
          <w:tcPr>
            <w:tcW w:w="993"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i/>
                <w:iCs/>
                <w:sz w:val="16"/>
                <w:szCs w:val="16"/>
                <w:lang w:eastAsia="sv-SE"/>
              </w:rPr>
            </w:pPr>
            <w:r w:rsidRPr="00A5006B">
              <w:rPr>
                <w:rFonts w:eastAsia="Times New Roman"/>
                <w:i/>
                <w:iCs/>
                <w:sz w:val="16"/>
                <w:szCs w:val="16"/>
                <w:lang w:eastAsia="sv-SE"/>
              </w:rPr>
              <w:t>108 879</w:t>
            </w:r>
          </w:p>
        </w:tc>
        <w:tc>
          <w:tcPr>
            <w:tcW w:w="992" w:type="dxa"/>
            <w:tcBorders>
              <w:top w:val="nil"/>
              <w:left w:val="nil"/>
              <w:bottom w:val="nil"/>
              <w:right w:val="nil"/>
            </w:tcBorders>
            <w:shd w:val="clear" w:color="auto" w:fill="auto"/>
            <w:noWrap/>
            <w:vAlign w:val="bottom"/>
            <w:hideMark/>
          </w:tcPr>
          <w:p w:rsidR="005571F4" w:rsidRPr="00A5006B" w:rsidRDefault="005571F4" w:rsidP="005571F4">
            <w:pPr>
              <w:spacing w:before="0" w:line="240" w:lineRule="auto"/>
              <w:jc w:val="right"/>
              <w:rPr>
                <w:rFonts w:eastAsia="Times New Roman"/>
                <w:i/>
                <w:iCs/>
                <w:sz w:val="16"/>
                <w:szCs w:val="16"/>
                <w:lang w:eastAsia="sv-SE"/>
              </w:rPr>
            </w:pPr>
            <w:r w:rsidRPr="00A5006B">
              <w:rPr>
                <w:rFonts w:eastAsia="Times New Roman"/>
                <w:i/>
                <w:iCs/>
                <w:sz w:val="16"/>
                <w:szCs w:val="16"/>
                <w:lang w:eastAsia="sv-SE"/>
              </w:rPr>
              <w:t>80 536</w:t>
            </w:r>
          </w:p>
        </w:tc>
      </w:tr>
    </w:tbl>
    <w:p w:rsidR="00603050" w:rsidRDefault="00603050">
      <w:r>
        <w:br w:type="page"/>
      </w:r>
    </w:p>
    <w:tbl>
      <w:tblPr>
        <w:tblW w:w="5954" w:type="dxa"/>
        <w:tblInd w:w="70" w:type="dxa"/>
        <w:tblLayout w:type="fixed"/>
        <w:tblCellMar>
          <w:left w:w="70" w:type="dxa"/>
          <w:right w:w="70" w:type="dxa"/>
        </w:tblCellMar>
        <w:tblLook w:val="04A0" w:firstRow="1" w:lastRow="0" w:firstColumn="1" w:lastColumn="0" w:noHBand="0" w:noVBand="1"/>
      </w:tblPr>
      <w:tblGrid>
        <w:gridCol w:w="3969"/>
        <w:gridCol w:w="993"/>
        <w:gridCol w:w="992"/>
      </w:tblGrid>
      <w:tr w:rsidR="00603050" w:rsidRPr="00A5006B" w:rsidTr="00603050">
        <w:trPr>
          <w:trHeight w:val="340"/>
        </w:trPr>
        <w:tc>
          <w:tcPr>
            <w:tcW w:w="3969" w:type="dxa"/>
            <w:tcBorders>
              <w:top w:val="single" w:sz="4" w:space="0" w:color="auto"/>
              <w:left w:val="nil"/>
              <w:bottom w:val="single" w:sz="4" w:space="0" w:color="auto"/>
              <w:right w:val="nil"/>
            </w:tcBorders>
            <w:shd w:val="clear" w:color="auto" w:fill="auto"/>
            <w:noWrap/>
            <w:vAlign w:val="bottom"/>
          </w:tcPr>
          <w:p w:rsidR="00603050" w:rsidRPr="00A5006B" w:rsidRDefault="00603050" w:rsidP="00603050">
            <w:pPr>
              <w:spacing w:before="0" w:line="240" w:lineRule="auto"/>
              <w:jc w:val="left"/>
              <w:rPr>
                <w:rFonts w:eastAsia="Times New Roman"/>
                <w:b/>
                <w:bCs/>
                <w:i/>
                <w:iCs/>
                <w:sz w:val="16"/>
                <w:szCs w:val="16"/>
                <w:lang w:eastAsia="sv-SE"/>
              </w:rPr>
            </w:pPr>
            <w:r>
              <w:lastRenderedPageBreak/>
              <w:br w:type="page"/>
            </w:r>
            <w:r w:rsidRPr="00A5006B">
              <w:rPr>
                <w:rFonts w:eastAsia="Times New Roman"/>
                <w:b/>
                <w:bCs/>
                <w:i/>
                <w:iCs/>
                <w:sz w:val="16"/>
                <w:szCs w:val="16"/>
                <w:lang w:eastAsia="sv-SE"/>
              </w:rPr>
              <w:t>(Belopp anges i tkr)</w:t>
            </w:r>
          </w:p>
        </w:tc>
        <w:tc>
          <w:tcPr>
            <w:tcW w:w="993" w:type="dxa"/>
            <w:tcBorders>
              <w:top w:val="single" w:sz="4" w:space="0" w:color="auto"/>
              <w:left w:val="nil"/>
              <w:bottom w:val="single" w:sz="4" w:space="0" w:color="auto"/>
              <w:right w:val="nil"/>
            </w:tcBorders>
            <w:shd w:val="clear" w:color="auto" w:fill="auto"/>
            <w:noWrap/>
            <w:vAlign w:val="bottom"/>
          </w:tcPr>
          <w:p w:rsidR="00603050" w:rsidRPr="00A5006B" w:rsidRDefault="00603050" w:rsidP="00603050">
            <w:pPr>
              <w:spacing w:before="0" w:line="240" w:lineRule="auto"/>
              <w:jc w:val="right"/>
              <w:rPr>
                <w:rFonts w:eastAsia="Times New Roman"/>
                <w:b/>
                <w:bCs/>
                <w:sz w:val="16"/>
                <w:szCs w:val="16"/>
                <w:lang w:eastAsia="sv-SE"/>
              </w:rPr>
            </w:pPr>
            <w:r w:rsidRPr="00A5006B">
              <w:rPr>
                <w:rFonts w:eastAsia="Times New Roman"/>
                <w:b/>
                <w:bCs/>
                <w:sz w:val="16"/>
                <w:szCs w:val="16"/>
                <w:lang w:eastAsia="sv-SE"/>
              </w:rPr>
              <w:t>2016</w:t>
            </w:r>
            <w:r>
              <w:rPr>
                <w:rFonts w:eastAsia="Times New Roman"/>
                <w:b/>
                <w:bCs/>
                <w:sz w:val="16"/>
                <w:szCs w:val="16"/>
                <w:lang w:eastAsia="sv-SE"/>
              </w:rPr>
              <w:t>-12-31</w:t>
            </w:r>
          </w:p>
        </w:tc>
        <w:tc>
          <w:tcPr>
            <w:tcW w:w="992" w:type="dxa"/>
            <w:tcBorders>
              <w:top w:val="single" w:sz="4" w:space="0" w:color="auto"/>
              <w:left w:val="nil"/>
              <w:bottom w:val="single" w:sz="4" w:space="0" w:color="auto"/>
              <w:right w:val="nil"/>
            </w:tcBorders>
            <w:shd w:val="clear" w:color="auto" w:fill="auto"/>
            <w:noWrap/>
            <w:vAlign w:val="bottom"/>
          </w:tcPr>
          <w:p w:rsidR="00603050" w:rsidRPr="00A5006B" w:rsidRDefault="00603050" w:rsidP="00603050">
            <w:pPr>
              <w:spacing w:before="0" w:line="240" w:lineRule="auto"/>
              <w:jc w:val="right"/>
              <w:rPr>
                <w:rFonts w:eastAsia="Times New Roman"/>
                <w:b/>
                <w:bCs/>
                <w:sz w:val="16"/>
                <w:szCs w:val="16"/>
                <w:lang w:eastAsia="sv-SE"/>
              </w:rPr>
            </w:pPr>
            <w:r w:rsidRPr="00A5006B">
              <w:rPr>
                <w:rFonts w:eastAsia="Times New Roman"/>
                <w:b/>
                <w:bCs/>
                <w:sz w:val="16"/>
                <w:szCs w:val="16"/>
                <w:lang w:eastAsia="sv-SE"/>
              </w:rPr>
              <w:t>2015</w:t>
            </w:r>
            <w:r>
              <w:rPr>
                <w:rFonts w:eastAsia="Times New Roman"/>
                <w:b/>
                <w:bCs/>
                <w:sz w:val="16"/>
                <w:szCs w:val="16"/>
                <w:lang w:eastAsia="sv-SE"/>
              </w:rPr>
              <w:t>-12-31</w:t>
            </w:r>
          </w:p>
        </w:tc>
      </w:tr>
      <w:tr w:rsidR="00603050" w:rsidRPr="00A5006B" w:rsidTr="00603050">
        <w:trPr>
          <w:trHeight w:val="340"/>
        </w:trPr>
        <w:tc>
          <w:tcPr>
            <w:tcW w:w="3969" w:type="dxa"/>
            <w:tcBorders>
              <w:top w:val="single" w:sz="4" w:space="0" w:color="auto"/>
              <w:left w:val="nil"/>
              <w:bottom w:val="nil"/>
              <w:right w:val="nil"/>
            </w:tcBorders>
            <w:shd w:val="clear" w:color="auto" w:fill="auto"/>
            <w:noWrap/>
            <w:vAlign w:val="bottom"/>
            <w:hideMark/>
          </w:tcPr>
          <w:p w:rsidR="00603050" w:rsidRDefault="00603050" w:rsidP="00603050">
            <w:pPr>
              <w:spacing w:before="0" w:line="240" w:lineRule="auto"/>
              <w:jc w:val="left"/>
              <w:rPr>
                <w:rFonts w:eastAsia="Times New Roman"/>
                <w:b/>
                <w:bCs/>
                <w:i/>
                <w:iCs/>
                <w:sz w:val="16"/>
                <w:szCs w:val="16"/>
                <w:lang w:eastAsia="sv-SE"/>
              </w:rPr>
            </w:pPr>
          </w:p>
          <w:p w:rsidR="00603050" w:rsidRPr="00A5006B" w:rsidRDefault="00603050" w:rsidP="00603050">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Omställningsstöd till ledamöter</w:t>
            </w:r>
          </w:p>
        </w:tc>
        <w:tc>
          <w:tcPr>
            <w:tcW w:w="993" w:type="dxa"/>
            <w:tcBorders>
              <w:top w:val="single" w:sz="4" w:space="0" w:color="auto"/>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i/>
                <w:iCs/>
                <w:sz w:val="16"/>
                <w:szCs w:val="16"/>
                <w:lang w:eastAsia="sv-SE"/>
              </w:rPr>
            </w:pPr>
          </w:p>
        </w:tc>
        <w:tc>
          <w:tcPr>
            <w:tcW w:w="992" w:type="dxa"/>
            <w:tcBorders>
              <w:top w:val="single" w:sz="4" w:space="0" w:color="auto"/>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i/>
                <w:iCs/>
                <w:sz w:val="16"/>
                <w:szCs w:val="16"/>
                <w:lang w:eastAsia="sv-SE"/>
              </w:rPr>
            </w:pPr>
          </w:p>
        </w:tc>
      </w:tr>
      <w:tr w:rsidR="00603050" w:rsidRPr="00A5006B" w:rsidTr="0008703C">
        <w:trPr>
          <w:trHeight w:val="340"/>
        </w:trPr>
        <w:tc>
          <w:tcPr>
            <w:tcW w:w="3969"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sz w:val="16"/>
                <w:szCs w:val="16"/>
                <w:lang w:eastAsia="sv-SE"/>
              </w:rPr>
            </w:pPr>
            <w:r w:rsidRPr="00A5006B">
              <w:rPr>
                <w:rFonts w:eastAsia="Times New Roman"/>
                <w:sz w:val="16"/>
                <w:szCs w:val="16"/>
                <w:lang w:eastAsia="sv-SE"/>
              </w:rPr>
              <w:t>Ingående avsättning</w:t>
            </w:r>
          </w:p>
        </w:tc>
        <w:tc>
          <w:tcPr>
            <w:tcW w:w="993"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13 617</w:t>
            </w:r>
          </w:p>
        </w:tc>
        <w:tc>
          <w:tcPr>
            <w:tcW w:w="992"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0</w:t>
            </w:r>
          </w:p>
        </w:tc>
      </w:tr>
      <w:tr w:rsidR="00603050" w:rsidRPr="00A5006B" w:rsidTr="0008703C">
        <w:trPr>
          <w:trHeight w:val="340"/>
        </w:trPr>
        <w:tc>
          <w:tcPr>
            <w:tcW w:w="3969"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sz w:val="16"/>
                <w:szCs w:val="16"/>
                <w:lang w:eastAsia="sv-SE"/>
              </w:rPr>
            </w:pPr>
            <w:r w:rsidRPr="00A5006B">
              <w:rPr>
                <w:rFonts w:eastAsia="Times New Roman"/>
                <w:sz w:val="16"/>
                <w:szCs w:val="16"/>
                <w:lang w:eastAsia="sv-SE"/>
              </w:rPr>
              <w:t>Årets kostnad för omställningsstöd</w:t>
            </w:r>
          </w:p>
        </w:tc>
        <w:tc>
          <w:tcPr>
            <w:tcW w:w="993"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-110</w:t>
            </w:r>
          </w:p>
        </w:tc>
        <w:tc>
          <w:tcPr>
            <w:tcW w:w="992"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0</w:t>
            </w:r>
          </w:p>
        </w:tc>
      </w:tr>
      <w:tr w:rsidR="00603050" w:rsidRPr="00A5006B" w:rsidTr="0008703C">
        <w:trPr>
          <w:trHeight w:val="340"/>
        </w:trPr>
        <w:tc>
          <w:tcPr>
            <w:tcW w:w="3969"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sz w:val="16"/>
                <w:szCs w:val="16"/>
                <w:lang w:eastAsia="sv-SE"/>
              </w:rPr>
            </w:pPr>
            <w:r w:rsidRPr="00A5006B">
              <w:rPr>
                <w:rFonts w:eastAsia="Times New Roman"/>
                <w:sz w:val="16"/>
                <w:szCs w:val="16"/>
                <w:lang w:eastAsia="sv-SE"/>
              </w:rPr>
              <w:t>Årets förändring av omställningsstöd</w:t>
            </w:r>
          </w:p>
        </w:tc>
        <w:tc>
          <w:tcPr>
            <w:tcW w:w="993" w:type="dxa"/>
            <w:tcBorders>
              <w:top w:val="nil"/>
              <w:left w:val="nil"/>
              <w:bottom w:val="single" w:sz="4" w:space="0" w:color="auto"/>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15 236</w:t>
            </w:r>
          </w:p>
        </w:tc>
        <w:tc>
          <w:tcPr>
            <w:tcW w:w="992" w:type="dxa"/>
            <w:tcBorders>
              <w:top w:val="nil"/>
              <w:left w:val="nil"/>
              <w:bottom w:val="single" w:sz="4" w:space="0" w:color="auto"/>
              <w:right w:val="nil"/>
            </w:tcBorders>
            <w:shd w:val="clear" w:color="auto" w:fill="auto"/>
            <w:noWrap/>
            <w:vAlign w:val="bottom"/>
            <w:hideMark/>
          </w:tcPr>
          <w:p w:rsidR="00603050" w:rsidRPr="00A5006B" w:rsidRDefault="00603050" w:rsidP="00603050">
            <w:pPr>
              <w:spacing w:before="0" w:line="240" w:lineRule="auto"/>
              <w:jc w:val="right"/>
              <w:rPr>
                <w:rFonts w:eastAsia="Times New Roman"/>
                <w:sz w:val="16"/>
                <w:szCs w:val="16"/>
                <w:lang w:eastAsia="sv-SE"/>
              </w:rPr>
            </w:pPr>
            <w:r w:rsidRPr="00A5006B">
              <w:rPr>
                <w:rFonts w:eastAsia="Times New Roman"/>
                <w:sz w:val="16"/>
                <w:szCs w:val="16"/>
                <w:lang w:eastAsia="sv-SE"/>
              </w:rPr>
              <w:t>13 617</w:t>
            </w:r>
          </w:p>
        </w:tc>
      </w:tr>
      <w:tr w:rsidR="00603050" w:rsidRPr="00A5006B" w:rsidTr="0008703C">
        <w:trPr>
          <w:trHeight w:val="340"/>
        </w:trPr>
        <w:tc>
          <w:tcPr>
            <w:tcW w:w="3969"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Utgående avsättning</w:t>
            </w:r>
          </w:p>
        </w:tc>
        <w:tc>
          <w:tcPr>
            <w:tcW w:w="993"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28 743</w:t>
            </w:r>
          </w:p>
        </w:tc>
        <w:tc>
          <w:tcPr>
            <w:tcW w:w="992"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b/>
                <w:bCs/>
                <w:i/>
                <w:iCs/>
                <w:sz w:val="16"/>
                <w:szCs w:val="16"/>
                <w:lang w:eastAsia="sv-SE"/>
              </w:rPr>
            </w:pPr>
            <w:r w:rsidRPr="00A5006B">
              <w:rPr>
                <w:rFonts w:eastAsia="Times New Roman"/>
                <w:b/>
                <w:bCs/>
                <w:i/>
                <w:iCs/>
                <w:sz w:val="16"/>
                <w:szCs w:val="16"/>
                <w:lang w:eastAsia="sv-SE"/>
              </w:rPr>
              <w:t>13 617</w:t>
            </w:r>
          </w:p>
        </w:tc>
      </w:tr>
      <w:tr w:rsidR="00603050" w:rsidRPr="00A5006B" w:rsidTr="0008703C">
        <w:trPr>
          <w:trHeight w:val="340"/>
        </w:trPr>
        <w:tc>
          <w:tcPr>
            <w:tcW w:w="3969"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left"/>
              <w:rPr>
                <w:rFonts w:eastAsia="Times New Roman"/>
                <w:i/>
                <w:iCs/>
                <w:sz w:val="16"/>
                <w:szCs w:val="16"/>
                <w:lang w:eastAsia="sv-SE"/>
              </w:rPr>
            </w:pPr>
            <w:r w:rsidRPr="00A5006B">
              <w:rPr>
                <w:rFonts w:eastAsia="Times New Roman"/>
                <w:i/>
                <w:iCs/>
                <w:sz w:val="16"/>
                <w:szCs w:val="16"/>
                <w:lang w:eastAsia="sv-SE"/>
              </w:rPr>
              <w:t>Tillkommer sociala avgifter med</w:t>
            </w:r>
          </w:p>
        </w:tc>
        <w:tc>
          <w:tcPr>
            <w:tcW w:w="993"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i/>
                <w:iCs/>
                <w:sz w:val="16"/>
                <w:szCs w:val="16"/>
                <w:lang w:eastAsia="sv-SE"/>
              </w:rPr>
            </w:pPr>
            <w:r w:rsidRPr="00A5006B">
              <w:rPr>
                <w:rFonts w:eastAsia="Times New Roman"/>
                <w:i/>
                <w:iCs/>
                <w:sz w:val="16"/>
                <w:szCs w:val="16"/>
                <w:lang w:eastAsia="sv-SE"/>
              </w:rPr>
              <w:t>9 031</w:t>
            </w:r>
          </w:p>
        </w:tc>
        <w:tc>
          <w:tcPr>
            <w:tcW w:w="992"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i/>
                <w:iCs/>
                <w:sz w:val="16"/>
                <w:szCs w:val="16"/>
                <w:lang w:eastAsia="sv-SE"/>
              </w:rPr>
            </w:pPr>
            <w:r w:rsidRPr="00A5006B">
              <w:rPr>
                <w:rFonts w:eastAsia="Times New Roman"/>
                <w:i/>
                <w:iCs/>
                <w:sz w:val="16"/>
                <w:szCs w:val="16"/>
                <w:lang w:eastAsia="sv-SE"/>
              </w:rPr>
              <w:t>4 278</w:t>
            </w:r>
          </w:p>
        </w:tc>
      </w:tr>
      <w:tr w:rsidR="00603050" w:rsidRPr="00A5006B" w:rsidTr="0008703C">
        <w:trPr>
          <w:trHeight w:val="340"/>
        </w:trPr>
        <w:tc>
          <w:tcPr>
            <w:tcW w:w="3969" w:type="dxa"/>
            <w:tcBorders>
              <w:top w:val="nil"/>
              <w:left w:val="nil"/>
              <w:bottom w:val="nil"/>
              <w:right w:val="nil"/>
            </w:tcBorders>
            <w:shd w:val="clear" w:color="000000" w:fill="FFFFFF"/>
            <w:vAlign w:val="bottom"/>
            <w:hideMark/>
          </w:tcPr>
          <w:p w:rsidR="00603050" w:rsidRPr="00A5006B" w:rsidRDefault="00603050" w:rsidP="00603050">
            <w:pPr>
              <w:spacing w:before="0" w:line="240" w:lineRule="auto"/>
              <w:jc w:val="left"/>
              <w:rPr>
                <w:rFonts w:eastAsia="Times New Roman"/>
                <w:b/>
                <w:bCs/>
                <w:sz w:val="16"/>
                <w:szCs w:val="16"/>
                <w:lang w:eastAsia="sv-SE"/>
              </w:rPr>
            </w:pPr>
            <w:r w:rsidRPr="00A5006B">
              <w:rPr>
                <w:rFonts w:eastAsia="Times New Roman"/>
                <w:b/>
                <w:bCs/>
                <w:sz w:val="16"/>
                <w:szCs w:val="16"/>
                <w:lang w:eastAsia="sv-SE"/>
              </w:rPr>
              <w:t>Summa avsättningar för pensioner och liknande förpliktelser</w:t>
            </w:r>
          </w:p>
        </w:tc>
        <w:tc>
          <w:tcPr>
            <w:tcW w:w="993"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b/>
                <w:bCs/>
                <w:sz w:val="16"/>
                <w:szCs w:val="16"/>
                <w:lang w:eastAsia="sv-SE"/>
              </w:rPr>
            </w:pPr>
            <w:r w:rsidRPr="00A5006B">
              <w:rPr>
                <w:rFonts w:eastAsia="Times New Roman"/>
                <w:b/>
                <w:bCs/>
                <w:sz w:val="16"/>
                <w:szCs w:val="16"/>
                <w:lang w:eastAsia="sv-SE"/>
              </w:rPr>
              <w:t>4 794 023</w:t>
            </w:r>
          </w:p>
        </w:tc>
        <w:tc>
          <w:tcPr>
            <w:tcW w:w="992" w:type="dxa"/>
            <w:tcBorders>
              <w:top w:val="nil"/>
              <w:left w:val="nil"/>
              <w:bottom w:val="nil"/>
              <w:right w:val="nil"/>
            </w:tcBorders>
            <w:shd w:val="clear" w:color="auto" w:fill="auto"/>
            <w:noWrap/>
            <w:vAlign w:val="bottom"/>
            <w:hideMark/>
          </w:tcPr>
          <w:p w:rsidR="00603050" w:rsidRPr="00A5006B" w:rsidRDefault="00603050" w:rsidP="00603050">
            <w:pPr>
              <w:spacing w:before="0" w:line="240" w:lineRule="auto"/>
              <w:jc w:val="right"/>
              <w:rPr>
                <w:rFonts w:eastAsia="Times New Roman"/>
                <w:b/>
                <w:bCs/>
                <w:sz w:val="16"/>
                <w:szCs w:val="16"/>
                <w:lang w:eastAsia="sv-SE"/>
              </w:rPr>
            </w:pPr>
            <w:r w:rsidRPr="00A5006B">
              <w:rPr>
                <w:rFonts w:eastAsia="Times New Roman"/>
                <w:b/>
                <w:bCs/>
                <w:sz w:val="16"/>
                <w:szCs w:val="16"/>
                <w:lang w:eastAsia="sv-SE"/>
              </w:rPr>
              <w:t>4 192 142</w:t>
            </w:r>
          </w:p>
        </w:tc>
      </w:tr>
    </w:tbl>
    <w:p w:rsidR="005571F4" w:rsidRDefault="005571F4"/>
    <w:tbl>
      <w:tblPr>
        <w:tblW w:w="5954" w:type="dxa"/>
        <w:tblInd w:w="70" w:type="dxa"/>
        <w:tblLayout w:type="fixed"/>
        <w:tblCellMar>
          <w:left w:w="70" w:type="dxa"/>
          <w:right w:w="70" w:type="dxa"/>
        </w:tblCellMar>
        <w:tblLook w:val="04A0" w:firstRow="1" w:lastRow="0" w:firstColumn="1" w:lastColumn="0" w:noHBand="0" w:noVBand="1"/>
      </w:tblPr>
      <w:tblGrid>
        <w:gridCol w:w="3969"/>
        <w:gridCol w:w="993"/>
        <w:gridCol w:w="992"/>
      </w:tblGrid>
      <w:tr w:rsidR="00A909C2" w:rsidRPr="00A5006B" w:rsidTr="0008703C">
        <w:trPr>
          <w:trHeight w:val="340"/>
        </w:trPr>
        <w:tc>
          <w:tcPr>
            <w:tcW w:w="3969" w:type="dxa"/>
            <w:tcBorders>
              <w:top w:val="nil"/>
              <w:left w:val="nil"/>
              <w:bottom w:val="nil"/>
              <w:right w:val="nil"/>
            </w:tcBorders>
            <w:shd w:val="clear" w:color="auto" w:fill="auto"/>
            <w:noWrap/>
            <w:vAlign w:val="bottom"/>
          </w:tcPr>
          <w:p w:rsidR="00A909C2" w:rsidRPr="00A5006B" w:rsidRDefault="00A909C2"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19 Övriga avsättningar</w:t>
            </w:r>
          </w:p>
        </w:tc>
        <w:tc>
          <w:tcPr>
            <w:tcW w:w="993" w:type="dxa"/>
            <w:tcBorders>
              <w:top w:val="nil"/>
              <w:left w:val="nil"/>
              <w:bottom w:val="nil"/>
              <w:right w:val="nil"/>
            </w:tcBorders>
            <w:shd w:val="clear" w:color="auto" w:fill="auto"/>
            <w:noWrap/>
            <w:vAlign w:val="bottom"/>
          </w:tcPr>
          <w:p w:rsidR="00A909C2" w:rsidRPr="00A5006B" w:rsidRDefault="00A909C2"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tcPr>
          <w:p w:rsidR="00A909C2" w:rsidRPr="00A5006B" w:rsidRDefault="00A909C2"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Kompetensåtgärder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5 225</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4 386</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avsättningar</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872</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839</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Utgående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6 098</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5 225</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Övriga avsättningar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532</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förändring</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0</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-532</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Utgående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0</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0</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Summa övriga avsättningar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6 098</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5 225</w:t>
            </w:r>
          </w:p>
        </w:tc>
      </w:tr>
      <w:tr w:rsidR="009D1A68" w:rsidRPr="00A5006B" w:rsidTr="0008703C">
        <w:trPr>
          <w:trHeight w:val="340"/>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20 Lån i Riksgäldskontoret</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Ingående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451 387</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472 753</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Under året upptagna lån</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49 489</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30 535</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Årets amorteringar</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-50 404</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-51 900</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Utgående balans</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450 472</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451 387</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i/>
                <w:iCs/>
                <w:sz w:val="16"/>
                <w:szCs w:val="16"/>
                <w:lang w:eastAsia="sv-SE"/>
              </w:rPr>
            </w:pPr>
            <w:r w:rsidRPr="00A5006B">
              <w:rPr>
                <w:rFonts w:eastAsia="Times New Roman"/>
                <w:i/>
                <w:iCs/>
                <w:sz w:val="16"/>
                <w:szCs w:val="16"/>
                <w:lang w:eastAsia="sv-SE"/>
              </w:rPr>
              <w:t>Av riksdagen beviljad låneram</w:t>
            </w:r>
            <w:r w:rsidRPr="00A5006B">
              <w:rPr>
                <w:rFonts w:eastAsia="Times New Roman"/>
                <w:i/>
                <w:iCs/>
                <w:sz w:val="16"/>
                <w:szCs w:val="16"/>
                <w:lang w:eastAsia="sv-SE"/>
              </w:rPr>
              <w:br/>
              <w:t>(enl</w:t>
            </w:r>
            <w:r w:rsidR="000717EC">
              <w:rPr>
                <w:rFonts w:eastAsia="Times New Roman"/>
                <w:i/>
                <w:iCs/>
                <w:sz w:val="16"/>
                <w:szCs w:val="16"/>
                <w:lang w:eastAsia="sv-SE"/>
              </w:rPr>
              <w:t>igt</w:t>
            </w:r>
            <w:r w:rsidRPr="00A5006B">
              <w:rPr>
                <w:rFonts w:eastAsia="Times New Roman"/>
                <w:i/>
                <w:iCs/>
                <w:sz w:val="16"/>
                <w:szCs w:val="16"/>
                <w:lang w:eastAsia="sv-SE"/>
              </w:rPr>
              <w:t xml:space="preserve"> anslagsdirektivet)</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600 000</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i/>
                <w:iCs/>
                <w:sz w:val="16"/>
                <w:szCs w:val="16"/>
                <w:lang w:eastAsia="sv-SE"/>
              </w:rPr>
            </w:pPr>
            <w:r w:rsidRPr="00A5006B">
              <w:rPr>
                <w:rFonts w:eastAsia="Times New Roman"/>
                <w:i/>
                <w:iCs/>
                <w:sz w:val="16"/>
                <w:szCs w:val="16"/>
                <w:lang w:eastAsia="sv-SE"/>
              </w:rPr>
              <w:t>600 000</w:t>
            </w:r>
          </w:p>
        </w:tc>
      </w:tr>
      <w:tr w:rsidR="009D1A68" w:rsidRPr="00A5006B" w:rsidTr="0008703C">
        <w:trPr>
          <w:trHeight w:val="284"/>
        </w:trPr>
        <w:tc>
          <w:tcPr>
            <w:tcW w:w="3969"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21 Periodavgränsningsposter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A909C2">
            <w:pPr>
              <w:spacing w:before="0" w:line="200" w:lineRule="exact"/>
              <w:jc w:val="left"/>
              <w:rPr>
                <w:rFonts w:eastAsia="Times New Roman"/>
                <w:sz w:val="16"/>
                <w:szCs w:val="16"/>
                <w:lang w:eastAsia="sv-SE"/>
              </w:rPr>
            </w:pPr>
            <w:r w:rsidRPr="00A5006B">
              <w:rPr>
                <w:rFonts w:eastAsia="Times New Roman"/>
                <w:sz w:val="16"/>
                <w:szCs w:val="16"/>
                <w:lang w:eastAsia="sv-SE"/>
              </w:rPr>
              <w:t>Upplupen semesterlöneskuld inkl. sociala avgifter</w:t>
            </w:r>
          </w:p>
        </w:tc>
        <w:tc>
          <w:tcPr>
            <w:tcW w:w="993"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27 913</w:t>
            </w:r>
          </w:p>
        </w:tc>
        <w:tc>
          <w:tcPr>
            <w:tcW w:w="992"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27 542</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A909C2">
            <w:pPr>
              <w:spacing w:before="0" w:line="200" w:lineRule="exact"/>
              <w:jc w:val="left"/>
              <w:rPr>
                <w:rFonts w:eastAsia="Times New Roman"/>
                <w:sz w:val="16"/>
                <w:szCs w:val="16"/>
                <w:lang w:eastAsia="sv-SE"/>
              </w:rPr>
            </w:pPr>
            <w:r w:rsidRPr="00A5006B">
              <w:rPr>
                <w:rFonts w:eastAsia="Times New Roman"/>
                <w:sz w:val="16"/>
                <w:szCs w:val="16"/>
                <w:lang w:eastAsia="sv-SE"/>
              </w:rPr>
              <w:t>Upplupna löner och arvoden inkl. sociala avgifter</w:t>
            </w:r>
          </w:p>
        </w:tc>
        <w:tc>
          <w:tcPr>
            <w:tcW w:w="993"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3 534</w:t>
            </w:r>
          </w:p>
        </w:tc>
        <w:tc>
          <w:tcPr>
            <w:tcW w:w="992"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6 066</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A909C2">
            <w:pPr>
              <w:spacing w:before="0" w:line="200" w:lineRule="exact"/>
              <w:jc w:val="left"/>
              <w:rPr>
                <w:rFonts w:eastAsia="Times New Roman"/>
                <w:sz w:val="16"/>
                <w:szCs w:val="16"/>
                <w:lang w:eastAsia="sv-SE"/>
              </w:rPr>
            </w:pPr>
            <w:r w:rsidRPr="00A5006B">
              <w:rPr>
                <w:rFonts w:eastAsia="Times New Roman"/>
                <w:sz w:val="16"/>
                <w:szCs w:val="16"/>
                <w:lang w:eastAsia="sv-SE"/>
              </w:rPr>
              <w:t>Övriga upplupna kostnader</w:t>
            </w:r>
          </w:p>
        </w:tc>
        <w:tc>
          <w:tcPr>
            <w:tcW w:w="993"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4 536</w:t>
            </w:r>
          </w:p>
        </w:tc>
        <w:tc>
          <w:tcPr>
            <w:tcW w:w="992"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6 097</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A909C2">
            <w:pPr>
              <w:spacing w:before="0" w:line="200" w:lineRule="exact"/>
              <w:jc w:val="left"/>
              <w:rPr>
                <w:rFonts w:eastAsia="Times New Roman"/>
                <w:sz w:val="16"/>
                <w:szCs w:val="16"/>
                <w:lang w:eastAsia="sv-SE"/>
              </w:rPr>
            </w:pPr>
            <w:r w:rsidRPr="00A5006B">
              <w:rPr>
                <w:rFonts w:eastAsia="Times New Roman"/>
                <w:sz w:val="16"/>
                <w:szCs w:val="16"/>
                <w:lang w:eastAsia="sv-SE"/>
              </w:rPr>
              <w:t>Oförbrukade bidrag från Kulturfonden</w:t>
            </w:r>
          </w:p>
        </w:tc>
        <w:tc>
          <w:tcPr>
            <w:tcW w:w="993"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7</w:t>
            </w:r>
          </w:p>
        </w:tc>
        <w:tc>
          <w:tcPr>
            <w:tcW w:w="992" w:type="dxa"/>
            <w:tcBorders>
              <w:top w:val="nil"/>
              <w:left w:val="nil"/>
              <w:bottom w:val="nil"/>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7</w:t>
            </w:r>
          </w:p>
        </w:tc>
      </w:tr>
      <w:tr w:rsidR="009D1A68" w:rsidRPr="00A5006B" w:rsidTr="0008703C">
        <w:trPr>
          <w:trHeight w:val="284"/>
        </w:trPr>
        <w:tc>
          <w:tcPr>
            <w:tcW w:w="3969" w:type="dxa"/>
            <w:tcBorders>
              <w:top w:val="nil"/>
              <w:left w:val="nil"/>
              <w:bottom w:val="nil"/>
              <w:right w:val="nil"/>
            </w:tcBorders>
            <w:shd w:val="clear" w:color="auto" w:fill="auto"/>
            <w:vAlign w:val="bottom"/>
            <w:hideMark/>
          </w:tcPr>
          <w:p w:rsidR="009D1A68" w:rsidRPr="00A5006B" w:rsidRDefault="009D1A68" w:rsidP="00A909C2">
            <w:pPr>
              <w:spacing w:before="0" w:line="200" w:lineRule="exact"/>
              <w:jc w:val="left"/>
              <w:rPr>
                <w:rFonts w:eastAsia="Times New Roman"/>
                <w:sz w:val="16"/>
                <w:szCs w:val="16"/>
                <w:lang w:eastAsia="sv-SE"/>
              </w:rPr>
            </w:pPr>
            <w:r w:rsidRPr="00A5006B">
              <w:rPr>
                <w:rFonts w:eastAsia="Times New Roman"/>
                <w:sz w:val="16"/>
                <w:szCs w:val="16"/>
                <w:lang w:eastAsia="sv-SE"/>
              </w:rPr>
              <w:t>Förutbetalda intäkter, hyror och prenumerationer riksdagstryck</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7 445</w:t>
            </w: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A909C2">
            <w:pPr>
              <w:spacing w:before="0" w:line="200" w:lineRule="exact"/>
              <w:jc w:val="right"/>
              <w:rPr>
                <w:rFonts w:eastAsia="Times New Roman"/>
                <w:sz w:val="16"/>
                <w:szCs w:val="16"/>
                <w:lang w:eastAsia="sv-SE"/>
              </w:rPr>
            </w:pPr>
            <w:r w:rsidRPr="00A5006B">
              <w:rPr>
                <w:rFonts w:eastAsia="Times New Roman"/>
                <w:sz w:val="16"/>
                <w:szCs w:val="16"/>
                <w:lang w:eastAsia="sv-SE"/>
              </w:rPr>
              <w:t>6 607</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Summa periodavgränsningsposter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43 436</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46 318</w:t>
            </w:r>
          </w:p>
        </w:tc>
      </w:tr>
    </w:tbl>
    <w:p w:rsidR="007C7D31" w:rsidRDefault="007C7D31">
      <w:r>
        <w:br w:type="page"/>
      </w:r>
    </w:p>
    <w:tbl>
      <w:tblPr>
        <w:tblW w:w="5954" w:type="dxa"/>
        <w:tblInd w:w="70" w:type="dxa"/>
        <w:tblLayout w:type="fixed"/>
        <w:tblCellMar>
          <w:left w:w="70" w:type="dxa"/>
          <w:right w:w="70" w:type="dxa"/>
        </w:tblCellMar>
        <w:tblLook w:val="04A0" w:firstRow="1" w:lastRow="0" w:firstColumn="1" w:lastColumn="0" w:noHBand="0" w:noVBand="1"/>
      </w:tblPr>
      <w:tblGrid>
        <w:gridCol w:w="3969"/>
        <w:gridCol w:w="993"/>
        <w:gridCol w:w="992"/>
      </w:tblGrid>
      <w:tr w:rsidR="009D1A68" w:rsidRPr="00A5006B" w:rsidTr="0008703C">
        <w:trPr>
          <w:trHeight w:val="340"/>
        </w:trPr>
        <w:tc>
          <w:tcPr>
            <w:tcW w:w="3969"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lang w:eastAsia="sv-SE"/>
              </w:rPr>
            </w:pPr>
            <w:r w:rsidRPr="00A5006B">
              <w:rPr>
                <w:rFonts w:eastAsia="Times New Roman"/>
                <w:b/>
                <w:bCs/>
                <w:lang w:eastAsia="sv-SE"/>
              </w:rPr>
              <w:lastRenderedPageBreak/>
              <w:t>Anslagsredovisning</w:t>
            </w:r>
          </w:p>
        </w:tc>
        <w:tc>
          <w:tcPr>
            <w:tcW w:w="993"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left"/>
              <w:rPr>
                <w:rFonts w:eastAsia="Times New Roman"/>
                <w:b/>
                <w:bCs/>
                <w:i/>
                <w:iCs/>
                <w:sz w:val="16"/>
                <w:szCs w:val="16"/>
                <w:lang w:eastAsia="sv-SE"/>
              </w:rPr>
            </w:pPr>
            <w:r w:rsidRPr="00A5006B">
              <w:rPr>
                <w:rFonts w:eastAsia="Times New Roman"/>
                <w:b/>
                <w:bCs/>
                <w:i/>
                <w:iCs/>
                <w:sz w:val="16"/>
                <w:szCs w:val="16"/>
                <w:lang w:eastAsia="sv-SE"/>
              </w:rPr>
              <w:t>(Belopp anges i tkr)</w:t>
            </w:r>
          </w:p>
        </w:tc>
        <w:tc>
          <w:tcPr>
            <w:tcW w:w="993"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2 016</w:t>
            </w:r>
          </w:p>
        </w:tc>
        <w:tc>
          <w:tcPr>
            <w:tcW w:w="992" w:type="dxa"/>
            <w:tcBorders>
              <w:top w:val="single" w:sz="4" w:space="0" w:color="auto"/>
              <w:left w:val="nil"/>
              <w:bottom w:val="single" w:sz="4" w:space="0" w:color="auto"/>
              <w:right w:val="nil"/>
            </w:tcBorders>
            <w:shd w:val="clear" w:color="auto" w:fill="auto"/>
            <w:noWrap/>
            <w:vAlign w:val="bottom"/>
            <w:hideMark/>
          </w:tcPr>
          <w:p w:rsidR="009D1A68" w:rsidRPr="00A5006B" w:rsidRDefault="009D1A68" w:rsidP="0008703C">
            <w:pPr>
              <w:spacing w:before="0" w:line="240" w:lineRule="auto"/>
              <w:jc w:val="right"/>
              <w:rPr>
                <w:rFonts w:eastAsia="Times New Roman"/>
                <w:b/>
                <w:bCs/>
                <w:sz w:val="16"/>
                <w:szCs w:val="16"/>
                <w:lang w:eastAsia="sv-SE"/>
              </w:rPr>
            </w:pPr>
            <w:r w:rsidRPr="00A5006B">
              <w:rPr>
                <w:rFonts w:eastAsia="Times New Roman"/>
                <w:b/>
                <w:bCs/>
                <w:sz w:val="16"/>
                <w:szCs w:val="16"/>
                <w:lang w:eastAsia="sv-SE"/>
              </w:rPr>
              <w:t>2 015</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22 Utg.omr. 01 2:1 Ap 1 Riksdagens ledamöter och partier m.m.</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Av riksdagen beviljad anslagskredit</w:t>
            </w:r>
            <w:r w:rsidRPr="00A5006B">
              <w:rPr>
                <w:rFonts w:eastAsia="Times New Roman"/>
                <w:sz w:val="16"/>
                <w:szCs w:val="16"/>
                <w:lang w:eastAsia="sv-SE"/>
              </w:rPr>
              <w:br/>
              <w:t xml:space="preserve"> (3 %)</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26 014</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25 556</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23 Utg.omr. 01 2:2 Ap 1 Riksdagens förvaltningsanslag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Av riksdagen beviljad anslagskredit</w:t>
            </w:r>
            <w:r w:rsidRPr="00A5006B">
              <w:rPr>
                <w:rFonts w:eastAsia="Times New Roman"/>
                <w:sz w:val="16"/>
                <w:szCs w:val="16"/>
                <w:lang w:eastAsia="sv-SE"/>
              </w:rPr>
              <w:br/>
              <w:t>(3 %)</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21 461</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21 169</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24 Utg.omr. 01 2:3 Ap 1 Riksdagens fastighetsanslag</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Av riksd</w:t>
            </w:r>
            <w:r>
              <w:rPr>
                <w:rFonts w:eastAsia="Times New Roman"/>
                <w:sz w:val="16"/>
                <w:szCs w:val="16"/>
                <w:lang w:eastAsia="sv-SE"/>
              </w:rPr>
              <w:t>a</w:t>
            </w:r>
            <w:r w:rsidRPr="00A5006B">
              <w:rPr>
                <w:rFonts w:eastAsia="Times New Roman"/>
                <w:sz w:val="16"/>
                <w:szCs w:val="16"/>
                <w:lang w:eastAsia="sv-SE"/>
              </w:rPr>
              <w:t>gen beviljad anslagskredit</w:t>
            </w:r>
            <w:r w:rsidRPr="00A5006B">
              <w:rPr>
                <w:rFonts w:eastAsia="Times New Roman"/>
                <w:sz w:val="16"/>
                <w:szCs w:val="16"/>
                <w:lang w:eastAsia="sv-SE"/>
              </w:rPr>
              <w:br/>
              <w:t>(3%)</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3 000</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2 700</w:t>
            </w:r>
          </w:p>
        </w:tc>
      </w:tr>
      <w:tr w:rsidR="009D1A68" w:rsidRPr="00A5006B" w:rsidTr="0008703C">
        <w:trPr>
          <w:trHeight w:val="109"/>
        </w:trPr>
        <w:tc>
          <w:tcPr>
            <w:tcW w:w="5954" w:type="dxa"/>
            <w:gridSpan w:val="3"/>
            <w:tcBorders>
              <w:top w:val="nil"/>
              <w:left w:val="nil"/>
              <w:bottom w:val="nil"/>
              <w:right w:val="nil"/>
            </w:tcBorders>
            <w:shd w:val="clear" w:color="auto" w:fill="auto"/>
          </w:tcPr>
          <w:p w:rsidR="009D1A68" w:rsidRPr="003A7584"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5954" w:type="dxa"/>
            <w:gridSpan w:val="3"/>
            <w:tcBorders>
              <w:top w:val="nil"/>
              <w:left w:val="nil"/>
              <w:bottom w:val="nil"/>
              <w:right w:val="nil"/>
            </w:tcBorders>
            <w:shd w:val="clear" w:color="auto" w:fill="auto"/>
            <w:hideMark/>
          </w:tcPr>
          <w:p w:rsidR="009D1A68" w:rsidRPr="00A5006B" w:rsidRDefault="009D1A68" w:rsidP="0008703C">
            <w:pPr>
              <w:spacing w:before="0" w:line="240" w:lineRule="auto"/>
              <w:jc w:val="left"/>
              <w:rPr>
                <w:rFonts w:eastAsia="Times New Roman"/>
                <w:sz w:val="16"/>
                <w:szCs w:val="16"/>
                <w:lang w:eastAsia="sv-SE"/>
              </w:rPr>
            </w:pPr>
            <w:r w:rsidRPr="003A7584">
              <w:rPr>
                <w:rFonts w:eastAsia="Times New Roman"/>
                <w:sz w:val="16"/>
                <w:szCs w:val="16"/>
                <w:lang w:eastAsia="sv-SE"/>
              </w:rPr>
              <w:t>Anslagskonstruktionen på fastighetsanslaget är sådan att den avses bestämmas år från år för att kunna hantera variationer i utfallet för</w:t>
            </w:r>
            <w:r w:rsidR="000717EC">
              <w:rPr>
                <w:rFonts w:eastAsia="Times New Roman"/>
                <w:sz w:val="16"/>
                <w:szCs w:val="16"/>
                <w:lang w:eastAsia="sv-SE"/>
              </w:rPr>
              <w:t xml:space="preserve"> fastighetsverksamheten. För </w:t>
            </w:r>
            <w:r w:rsidRPr="003A7584">
              <w:rPr>
                <w:rFonts w:eastAsia="Times New Roman"/>
                <w:sz w:val="16"/>
                <w:szCs w:val="16"/>
                <w:lang w:eastAsia="sv-SE"/>
              </w:rPr>
              <w:t xml:space="preserve">2016 sattes anslagsnivån till 100 miljoner kronor, samtidigt som ett anslagssparande på ca 18 miljoner kronor behölls. För 2016 uppgår utfallet på fastighetsanslaget till 68 miljoner kronor, vilket är 32 miljoner kronor lägre än anslagsramen på 100 miljoner kronor och ca 49 miljoner kronor lägre än det disponibla anslaget. Det låga utfallet för 2016 beror bl.a. på lägre kostnader än planerat för underhåll, till exempel har vissa planerade åtgärder flyttats fram i tiden. </w:t>
            </w:r>
            <w:r w:rsidRPr="002B5DFA">
              <w:rPr>
                <w:rFonts w:eastAsia="Times New Roman"/>
                <w:sz w:val="16"/>
                <w:szCs w:val="16"/>
                <w:lang w:eastAsia="sv-SE"/>
              </w:rPr>
              <w:t>Även kostnaderna för avskrivningar har blivit lägre än budgeterat.</w:t>
            </w:r>
            <w:r>
              <w:rPr>
                <w:rFonts w:eastAsia="Times New Roman"/>
                <w:sz w:val="16"/>
                <w:szCs w:val="16"/>
                <w:lang w:eastAsia="sv-SE"/>
              </w:rPr>
              <w:t xml:space="preserve"> </w:t>
            </w:r>
            <w:r w:rsidRPr="003A7584">
              <w:rPr>
                <w:rFonts w:eastAsia="Times New Roman"/>
                <w:sz w:val="16"/>
                <w:szCs w:val="16"/>
                <w:lang w:eastAsia="sv-SE"/>
              </w:rPr>
              <w:t>Inom anslaget avsattes också en dispositionsmedelspost för oförutsedda åtgärder som dock inte har utnyttjats. Det kan bli aktuellt att återlämna en del av det totala anslagssparandet under 2017.</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b/>
                <w:bCs/>
                <w:sz w:val="16"/>
                <w:szCs w:val="16"/>
                <w:lang w:eastAsia="sv-SE"/>
              </w:rPr>
            </w:pPr>
            <w:r w:rsidRPr="00A5006B">
              <w:rPr>
                <w:rFonts w:eastAsia="Times New Roman"/>
                <w:b/>
                <w:bCs/>
                <w:sz w:val="16"/>
                <w:szCs w:val="16"/>
                <w:lang w:eastAsia="sv-SE"/>
              </w:rPr>
              <w:t>Not 25 Utg.omr. 01 6:6 Ap 1 Stöd till politiska partier</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r w:rsidRPr="00A5006B">
              <w:rPr>
                <w:rFonts w:eastAsia="Times New Roman"/>
                <w:sz w:val="16"/>
                <w:szCs w:val="16"/>
                <w:lang w:eastAsia="sv-SE"/>
              </w:rPr>
              <w:t xml:space="preserve">Av riksdagen beviljad anslagskredit </w:t>
            </w:r>
            <w:r w:rsidRPr="00A5006B">
              <w:rPr>
                <w:rFonts w:eastAsia="Times New Roman"/>
                <w:sz w:val="16"/>
                <w:szCs w:val="16"/>
                <w:lang w:eastAsia="sv-SE"/>
              </w:rPr>
              <w:br/>
              <w:t>(3 %)</w:t>
            </w: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5 166</w:t>
            </w: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right"/>
              <w:rPr>
                <w:rFonts w:eastAsia="Times New Roman"/>
                <w:sz w:val="16"/>
                <w:szCs w:val="16"/>
                <w:lang w:eastAsia="sv-SE"/>
              </w:rPr>
            </w:pPr>
            <w:r w:rsidRPr="00A5006B">
              <w:rPr>
                <w:rFonts w:eastAsia="Times New Roman"/>
                <w:sz w:val="16"/>
                <w:szCs w:val="16"/>
                <w:lang w:eastAsia="sv-SE"/>
              </w:rPr>
              <w:t>5 136</w:t>
            </w:r>
          </w:p>
        </w:tc>
      </w:tr>
      <w:tr w:rsidR="009D1A68" w:rsidRPr="00A5006B" w:rsidTr="0008703C">
        <w:trPr>
          <w:trHeight w:val="340"/>
        </w:trPr>
        <w:tc>
          <w:tcPr>
            <w:tcW w:w="3969" w:type="dxa"/>
            <w:tcBorders>
              <w:top w:val="nil"/>
              <w:left w:val="nil"/>
              <w:bottom w:val="nil"/>
              <w:right w:val="nil"/>
            </w:tcBorders>
            <w:shd w:val="clear" w:color="auto" w:fill="auto"/>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3"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c>
          <w:tcPr>
            <w:tcW w:w="992" w:type="dxa"/>
            <w:tcBorders>
              <w:top w:val="nil"/>
              <w:left w:val="nil"/>
              <w:bottom w:val="nil"/>
              <w:right w:val="nil"/>
            </w:tcBorders>
            <w:shd w:val="clear" w:color="auto" w:fill="auto"/>
            <w:noWrap/>
            <w:vAlign w:val="bottom"/>
            <w:hideMark/>
          </w:tcPr>
          <w:p w:rsidR="009D1A68" w:rsidRPr="00A5006B" w:rsidRDefault="009D1A68" w:rsidP="0008703C">
            <w:pPr>
              <w:spacing w:before="0" w:line="240" w:lineRule="auto"/>
              <w:jc w:val="left"/>
              <w:rPr>
                <w:rFonts w:eastAsia="Times New Roman"/>
                <w:sz w:val="16"/>
                <w:szCs w:val="16"/>
                <w:lang w:eastAsia="sv-SE"/>
              </w:rPr>
            </w:pPr>
          </w:p>
        </w:tc>
      </w:tr>
    </w:tbl>
    <w:p w:rsidR="009D1A68" w:rsidRPr="00A5006B" w:rsidRDefault="009D1A68" w:rsidP="009D1A68">
      <w:pPr>
        <w:pStyle w:val="Normaltindrag"/>
        <w:ind w:firstLine="0"/>
      </w:pPr>
    </w:p>
    <w:p w:rsidR="009D1A68" w:rsidRPr="001F174B" w:rsidRDefault="009D1A68" w:rsidP="009D1A68">
      <w:pPr>
        <w:pStyle w:val="Normaltindrag"/>
      </w:pPr>
    </w:p>
    <w:p w:rsidR="009D1A68" w:rsidRDefault="009D1A68" w:rsidP="009D1A68">
      <w:pPr>
        <w:spacing w:before="0" w:after="200" w:line="276" w:lineRule="auto"/>
        <w:jc w:val="left"/>
      </w:pPr>
      <w:r>
        <w:br w:type="page"/>
      </w:r>
    </w:p>
    <w:p w:rsidR="004F2918" w:rsidRDefault="004F2918" w:rsidP="004F2918">
      <w:pPr>
        <w:pStyle w:val="Rubrik2"/>
      </w:pPr>
      <w:bookmarkStart w:id="39" w:name="_Toc474168607"/>
      <w:r>
        <w:lastRenderedPageBreak/>
        <w:t>4.5 Sammanställning över väsentliga uppgifter</w:t>
      </w:r>
      <w:bookmarkEnd w:id="39"/>
    </w:p>
    <w:tbl>
      <w:tblPr>
        <w:tblpPr w:leftFromText="141" w:rightFromText="141" w:vertAnchor="text" w:horzAnchor="page" w:tblpX="785" w:tblpY="202"/>
        <w:tblW w:w="7441" w:type="dxa"/>
        <w:tblLayout w:type="fixed"/>
        <w:tblCellMar>
          <w:left w:w="70" w:type="dxa"/>
          <w:right w:w="70" w:type="dxa"/>
        </w:tblCellMar>
        <w:tblLook w:val="04A0" w:firstRow="1" w:lastRow="0" w:firstColumn="1" w:lastColumn="0" w:noHBand="0" w:noVBand="1"/>
      </w:tblPr>
      <w:tblGrid>
        <w:gridCol w:w="3020"/>
        <w:gridCol w:w="160"/>
        <w:gridCol w:w="751"/>
        <w:gridCol w:w="891"/>
        <w:gridCol w:w="891"/>
        <w:gridCol w:w="891"/>
        <w:gridCol w:w="837"/>
      </w:tblGrid>
      <w:tr w:rsidR="004F2918" w:rsidRPr="00D0228E" w:rsidTr="00E73937">
        <w:trPr>
          <w:trHeight w:val="340"/>
        </w:trPr>
        <w:tc>
          <w:tcPr>
            <w:tcW w:w="3020" w:type="dxa"/>
            <w:tcBorders>
              <w:top w:val="single" w:sz="4" w:space="0" w:color="auto"/>
              <w:left w:val="nil"/>
              <w:bottom w:val="single" w:sz="4" w:space="0" w:color="auto"/>
              <w:right w:val="nil"/>
            </w:tcBorders>
            <w:shd w:val="clear" w:color="auto" w:fill="auto"/>
            <w:noWrap/>
            <w:vAlign w:val="bottom"/>
            <w:hideMark/>
          </w:tcPr>
          <w:p w:rsidR="004F2918" w:rsidRPr="0026631F" w:rsidRDefault="004F2918" w:rsidP="00E73937">
            <w:pPr>
              <w:rPr>
                <w:b/>
                <w:i/>
                <w:sz w:val="16"/>
                <w:szCs w:val="16"/>
              </w:rPr>
            </w:pPr>
            <w:r w:rsidRPr="0026631F">
              <w:rPr>
                <w:b/>
                <w:i/>
                <w:sz w:val="16"/>
                <w:szCs w:val="16"/>
              </w:rPr>
              <w:t>(Belopp anges i tkr)</w:t>
            </w:r>
          </w:p>
        </w:tc>
        <w:tc>
          <w:tcPr>
            <w:tcW w:w="911" w:type="dxa"/>
            <w:gridSpan w:val="2"/>
            <w:tcBorders>
              <w:top w:val="single" w:sz="4" w:space="0" w:color="auto"/>
              <w:left w:val="nil"/>
              <w:bottom w:val="single" w:sz="4" w:space="0" w:color="auto"/>
              <w:right w:val="nil"/>
            </w:tcBorders>
            <w:shd w:val="clear" w:color="auto" w:fill="auto"/>
            <w:noWrap/>
            <w:vAlign w:val="bottom"/>
            <w:hideMark/>
          </w:tcPr>
          <w:p w:rsidR="004F2918" w:rsidRPr="0026631F" w:rsidRDefault="004F2918" w:rsidP="005A2336">
            <w:pPr>
              <w:jc w:val="right"/>
              <w:rPr>
                <w:b/>
                <w:i/>
                <w:sz w:val="16"/>
                <w:szCs w:val="16"/>
              </w:rPr>
            </w:pPr>
            <w:r w:rsidRPr="0026631F">
              <w:rPr>
                <w:b/>
                <w:i/>
                <w:sz w:val="16"/>
                <w:szCs w:val="16"/>
              </w:rPr>
              <w:t>2016</w:t>
            </w:r>
          </w:p>
        </w:tc>
        <w:tc>
          <w:tcPr>
            <w:tcW w:w="891" w:type="dxa"/>
            <w:tcBorders>
              <w:top w:val="single" w:sz="4" w:space="0" w:color="auto"/>
              <w:left w:val="nil"/>
              <w:bottom w:val="single" w:sz="4" w:space="0" w:color="auto"/>
              <w:right w:val="nil"/>
            </w:tcBorders>
            <w:shd w:val="clear" w:color="auto" w:fill="auto"/>
            <w:noWrap/>
            <w:vAlign w:val="bottom"/>
            <w:hideMark/>
          </w:tcPr>
          <w:p w:rsidR="004F2918" w:rsidRPr="0026631F" w:rsidRDefault="004F2918" w:rsidP="005A2336">
            <w:pPr>
              <w:jc w:val="right"/>
              <w:rPr>
                <w:b/>
                <w:i/>
                <w:sz w:val="16"/>
                <w:szCs w:val="16"/>
              </w:rPr>
            </w:pPr>
            <w:r w:rsidRPr="0026631F">
              <w:rPr>
                <w:b/>
                <w:i/>
                <w:sz w:val="16"/>
                <w:szCs w:val="16"/>
              </w:rPr>
              <w:t>2015</w:t>
            </w:r>
          </w:p>
        </w:tc>
        <w:tc>
          <w:tcPr>
            <w:tcW w:w="891" w:type="dxa"/>
            <w:tcBorders>
              <w:top w:val="single" w:sz="4" w:space="0" w:color="auto"/>
              <w:left w:val="nil"/>
              <w:bottom w:val="single" w:sz="4" w:space="0" w:color="auto"/>
              <w:right w:val="nil"/>
            </w:tcBorders>
            <w:shd w:val="clear" w:color="auto" w:fill="auto"/>
            <w:noWrap/>
            <w:vAlign w:val="bottom"/>
            <w:hideMark/>
          </w:tcPr>
          <w:p w:rsidR="004F2918" w:rsidRPr="0026631F" w:rsidRDefault="004F2918" w:rsidP="005A2336">
            <w:pPr>
              <w:jc w:val="right"/>
              <w:rPr>
                <w:b/>
                <w:i/>
                <w:sz w:val="16"/>
                <w:szCs w:val="16"/>
              </w:rPr>
            </w:pPr>
            <w:r w:rsidRPr="0026631F">
              <w:rPr>
                <w:b/>
                <w:i/>
                <w:sz w:val="16"/>
                <w:szCs w:val="16"/>
              </w:rPr>
              <w:t>2014</w:t>
            </w:r>
          </w:p>
        </w:tc>
        <w:tc>
          <w:tcPr>
            <w:tcW w:w="891" w:type="dxa"/>
            <w:tcBorders>
              <w:top w:val="single" w:sz="4" w:space="0" w:color="auto"/>
              <w:left w:val="nil"/>
              <w:bottom w:val="single" w:sz="4" w:space="0" w:color="auto"/>
              <w:right w:val="nil"/>
            </w:tcBorders>
            <w:shd w:val="clear" w:color="auto" w:fill="auto"/>
            <w:noWrap/>
            <w:vAlign w:val="bottom"/>
            <w:hideMark/>
          </w:tcPr>
          <w:p w:rsidR="004F2918" w:rsidRPr="0026631F" w:rsidRDefault="004F2918" w:rsidP="005A2336">
            <w:pPr>
              <w:jc w:val="right"/>
              <w:rPr>
                <w:b/>
                <w:i/>
                <w:sz w:val="16"/>
                <w:szCs w:val="16"/>
              </w:rPr>
            </w:pPr>
            <w:r w:rsidRPr="0026631F">
              <w:rPr>
                <w:b/>
                <w:i/>
                <w:sz w:val="16"/>
                <w:szCs w:val="16"/>
              </w:rPr>
              <w:t>2013</w:t>
            </w:r>
          </w:p>
        </w:tc>
        <w:tc>
          <w:tcPr>
            <w:tcW w:w="837" w:type="dxa"/>
            <w:tcBorders>
              <w:top w:val="single" w:sz="4" w:space="0" w:color="auto"/>
              <w:left w:val="nil"/>
              <w:bottom w:val="single" w:sz="4" w:space="0" w:color="auto"/>
              <w:right w:val="nil"/>
            </w:tcBorders>
            <w:shd w:val="clear" w:color="auto" w:fill="auto"/>
            <w:noWrap/>
            <w:vAlign w:val="bottom"/>
            <w:hideMark/>
          </w:tcPr>
          <w:p w:rsidR="004F2918" w:rsidRPr="0026631F" w:rsidRDefault="004F2918" w:rsidP="005A2336">
            <w:pPr>
              <w:jc w:val="right"/>
              <w:rPr>
                <w:b/>
                <w:i/>
                <w:sz w:val="16"/>
                <w:szCs w:val="16"/>
              </w:rPr>
            </w:pPr>
            <w:r w:rsidRPr="0026631F">
              <w:rPr>
                <w:b/>
                <w:i/>
                <w:sz w:val="16"/>
                <w:szCs w:val="16"/>
              </w:rPr>
              <w:t>2012</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Låneram Riksgälden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4F2918" w:rsidRDefault="004F2918" w:rsidP="00E73937">
            <w:pPr>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 xml:space="preserve">Verksamheten </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4F2918" w:rsidRDefault="004F2918" w:rsidP="00E73937">
            <w:pPr>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Beviljad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100 000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100 000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Utnyttjad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64 076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52 906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59 243</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70 472</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55 955</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 xml:space="preserve">Fastigheter </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Beviljad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500 000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500 000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420 000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utnyttjad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386 396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398 482</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413 511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332 328</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189 672</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Kontokrediter Riksgälden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 xml:space="preserve">Beviljad </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168 251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164 751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163 999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157 642</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158 389</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Maximalt utnyttjad**)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8 750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Räntekonto Riksgälden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Ränteintäkter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2 184</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1 174</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434</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981</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987</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Räntekostnader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637</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338</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Avgiftsintäkter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Avgiftsintäkter som disponeras</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Avgiftsintäkter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31 035</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31 968</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31 577</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32 909</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33 517</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Beräknat belopp enligt anslagsdirektivet</w:t>
            </w:r>
          </w:p>
        </w:tc>
        <w:tc>
          <w:tcPr>
            <w:tcW w:w="911" w:type="dxa"/>
            <w:gridSpan w:val="2"/>
            <w:tcBorders>
              <w:top w:val="nil"/>
              <w:left w:val="nil"/>
              <w:bottom w:val="nil"/>
              <w:right w:val="nil"/>
            </w:tcBorders>
            <w:shd w:val="clear" w:color="auto" w:fill="auto"/>
            <w:noWrap/>
            <w:vAlign w:val="bottom"/>
            <w:hideMark/>
          </w:tcPr>
          <w:p w:rsidR="004F2918" w:rsidRPr="00D0228E" w:rsidRDefault="00412251" w:rsidP="005A2336">
            <w:pPr>
              <w:jc w:val="right"/>
              <w:rPr>
                <w:sz w:val="16"/>
                <w:szCs w:val="16"/>
              </w:rPr>
            </w:pPr>
            <w:r>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795CC3" w:rsidRDefault="004F2918" w:rsidP="00E73937">
            <w:pPr>
              <w:rPr>
                <w:b/>
                <w:sz w:val="16"/>
                <w:szCs w:val="16"/>
              </w:rPr>
            </w:pPr>
            <w:r w:rsidRPr="00795CC3">
              <w:rPr>
                <w:b/>
                <w:sz w:val="16"/>
                <w:szCs w:val="16"/>
              </w:rPr>
              <w:t>Anslagskredit</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Beviljad</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ledamöter och partier m.m.</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26 014</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25 556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25 280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24 657</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24 458</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left"/>
              <w:rPr>
                <w:sz w:val="16"/>
                <w:szCs w:val="16"/>
              </w:rPr>
            </w:pPr>
            <w:r w:rsidRPr="00D0228E">
              <w:rPr>
                <w:sz w:val="16"/>
                <w:szCs w:val="16"/>
              </w:rPr>
              <w:t>Riksdagsförvaltningens förvaltnings</w:t>
            </w:r>
            <w:r w:rsidR="00466098">
              <w:rPr>
                <w:sz w:val="16"/>
                <w:szCs w:val="16"/>
              </w:rPr>
              <w:t>-</w:t>
            </w:r>
            <w:r w:rsidR="00466098">
              <w:rPr>
                <w:sz w:val="16"/>
                <w:szCs w:val="16"/>
              </w:rPr>
              <w:br/>
            </w:r>
            <w:r w:rsidRPr="00D0228E">
              <w:rPr>
                <w:sz w:val="16"/>
                <w:szCs w:val="16"/>
              </w:rPr>
              <w:t>kostnader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21 461</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21 169</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21 520</w:t>
            </w:r>
          </w:p>
        </w:tc>
        <w:tc>
          <w:tcPr>
            <w:tcW w:w="891" w:type="dxa"/>
            <w:tcBorders>
              <w:top w:val="nil"/>
              <w:left w:val="nil"/>
              <w:bottom w:val="nil"/>
              <w:right w:val="nil"/>
            </w:tcBorders>
            <w:shd w:val="clear" w:color="auto" w:fill="auto"/>
            <w:vAlign w:val="bottom"/>
            <w:hideMark/>
          </w:tcPr>
          <w:p w:rsidR="004F2918" w:rsidRPr="00D0228E" w:rsidRDefault="004F2918" w:rsidP="00466098">
            <w:pPr>
              <w:spacing w:line="200" w:lineRule="exact"/>
              <w:jc w:val="right"/>
              <w:rPr>
                <w:sz w:val="16"/>
                <w:szCs w:val="16"/>
              </w:rPr>
            </w:pPr>
            <w:r w:rsidRPr="00D0228E">
              <w:rPr>
                <w:sz w:val="16"/>
                <w:szCs w:val="16"/>
              </w:rPr>
              <w:t>20 536</w:t>
            </w:r>
          </w:p>
        </w:tc>
        <w:tc>
          <w:tcPr>
            <w:tcW w:w="837" w:type="dxa"/>
            <w:tcBorders>
              <w:top w:val="nil"/>
              <w:left w:val="nil"/>
              <w:bottom w:val="nil"/>
              <w:right w:val="nil"/>
            </w:tcBorders>
            <w:shd w:val="clear" w:color="auto" w:fill="auto"/>
            <w:vAlign w:val="bottom"/>
            <w:hideMark/>
          </w:tcPr>
          <w:p w:rsidR="004F2918" w:rsidRPr="00D0228E" w:rsidRDefault="004F2918" w:rsidP="00466098">
            <w:pPr>
              <w:spacing w:line="200" w:lineRule="exact"/>
              <w:jc w:val="right"/>
              <w:rPr>
                <w:sz w:val="16"/>
                <w:szCs w:val="16"/>
              </w:rPr>
            </w:pPr>
            <w:r w:rsidRPr="00D0228E">
              <w:rPr>
                <w:sz w:val="16"/>
                <w:szCs w:val="16"/>
              </w:rPr>
              <w:t>20 357</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Stöd till politiska partier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5 166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5 136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5 136</w:t>
            </w:r>
          </w:p>
        </w:tc>
        <w:tc>
          <w:tcPr>
            <w:tcW w:w="891" w:type="dxa"/>
            <w:tcBorders>
              <w:top w:val="nil"/>
              <w:left w:val="nil"/>
              <w:bottom w:val="nil"/>
              <w:right w:val="nil"/>
            </w:tcBorders>
            <w:shd w:val="clear" w:color="auto" w:fill="auto"/>
            <w:vAlign w:val="bottom"/>
            <w:hideMark/>
          </w:tcPr>
          <w:p w:rsidR="004F2918" w:rsidRPr="00D0228E" w:rsidRDefault="004F2918" w:rsidP="005A2336">
            <w:pPr>
              <w:jc w:val="right"/>
              <w:rPr>
                <w:sz w:val="16"/>
                <w:szCs w:val="16"/>
              </w:rPr>
            </w:pPr>
            <w:r w:rsidRPr="00D0228E">
              <w:rPr>
                <w:sz w:val="16"/>
                <w:szCs w:val="16"/>
              </w:rPr>
              <w:t>5 136</w:t>
            </w:r>
          </w:p>
        </w:tc>
        <w:tc>
          <w:tcPr>
            <w:tcW w:w="837" w:type="dxa"/>
            <w:tcBorders>
              <w:top w:val="nil"/>
              <w:left w:val="nil"/>
              <w:bottom w:val="nil"/>
              <w:right w:val="nil"/>
            </w:tcBorders>
            <w:shd w:val="clear" w:color="auto" w:fill="auto"/>
            <w:vAlign w:val="bottom"/>
            <w:hideMark/>
          </w:tcPr>
          <w:p w:rsidR="004F2918" w:rsidRPr="00D0228E" w:rsidRDefault="004F2918" w:rsidP="005A2336">
            <w:pPr>
              <w:jc w:val="right"/>
              <w:rPr>
                <w:sz w:val="16"/>
                <w:szCs w:val="16"/>
              </w:rPr>
            </w:pPr>
            <w:r w:rsidRPr="00D0228E">
              <w:rPr>
                <w:sz w:val="16"/>
                <w:szCs w:val="16"/>
              </w:rPr>
              <w:t>5 136</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fastighetsanslag</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2 700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2 400</w:t>
            </w:r>
          </w:p>
        </w:tc>
        <w:tc>
          <w:tcPr>
            <w:tcW w:w="891" w:type="dxa"/>
            <w:tcBorders>
              <w:top w:val="nil"/>
              <w:left w:val="nil"/>
              <w:bottom w:val="nil"/>
              <w:right w:val="nil"/>
            </w:tcBorders>
            <w:shd w:val="clear" w:color="auto" w:fill="auto"/>
            <w:vAlign w:val="bottom"/>
            <w:hideMark/>
          </w:tcPr>
          <w:p w:rsidR="004F2918" w:rsidRPr="00D0228E" w:rsidRDefault="004F2918" w:rsidP="005A2336">
            <w:pPr>
              <w:jc w:val="right"/>
              <w:rPr>
                <w:sz w:val="16"/>
                <w:szCs w:val="16"/>
              </w:rPr>
            </w:pPr>
            <w:r w:rsidRPr="00D0228E">
              <w:rPr>
                <w:sz w:val="16"/>
                <w:szCs w:val="16"/>
              </w:rPr>
              <w:t>3 500</w:t>
            </w:r>
          </w:p>
        </w:tc>
        <w:tc>
          <w:tcPr>
            <w:tcW w:w="837" w:type="dxa"/>
            <w:tcBorders>
              <w:top w:val="nil"/>
              <w:left w:val="nil"/>
              <w:bottom w:val="nil"/>
              <w:right w:val="nil"/>
            </w:tcBorders>
            <w:shd w:val="clear" w:color="auto" w:fill="auto"/>
            <w:vAlign w:val="bottom"/>
            <w:hideMark/>
          </w:tcPr>
          <w:p w:rsidR="004F2918" w:rsidRPr="00D0228E" w:rsidRDefault="004F2918" w:rsidP="005A2336">
            <w:pPr>
              <w:jc w:val="right"/>
              <w:rPr>
                <w:sz w:val="16"/>
                <w:szCs w:val="16"/>
              </w:rPr>
            </w:pPr>
            <w:r w:rsidRPr="00D0228E">
              <w:rPr>
                <w:sz w:val="16"/>
                <w:szCs w:val="16"/>
              </w:rPr>
              <w:t>4 500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Utnyttjad anslagskredit</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ledamöter och partier m.m.</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left"/>
              <w:rPr>
                <w:sz w:val="16"/>
                <w:szCs w:val="16"/>
              </w:rPr>
            </w:pPr>
            <w:r w:rsidRPr="00D0228E">
              <w:rPr>
                <w:sz w:val="16"/>
                <w:szCs w:val="16"/>
              </w:rPr>
              <w:t>Riksdagsförvaltningens förvaltnings</w:t>
            </w:r>
            <w:r w:rsidR="00466098">
              <w:rPr>
                <w:sz w:val="16"/>
                <w:szCs w:val="16"/>
              </w:rPr>
              <w:t>-</w:t>
            </w:r>
            <w:r w:rsidR="00466098">
              <w:rPr>
                <w:sz w:val="16"/>
                <w:szCs w:val="16"/>
              </w:rPr>
              <w:br/>
            </w:r>
            <w:r w:rsidRPr="00D0228E">
              <w:rPr>
                <w:sz w:val="16"/>
                <w:szCs w:val="16"/>
              </w:rPr>
              <w:t>kostnader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0</w:t>
            </w:r>
          </w:p>
        </w:tc>
        <w:tc>
          <w:tcPr>
            <w:tcW w:w="837"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0</w:t>
            </w:r>
          </w:p>
        </w:tc>
      </w:tr>
      <w:tr w:rsidR="004F2918" w:rsidRPr="00D0228E" w:rsidTr="00466098">
        <w:trPr>
          <w:trHeight w:val="284"/>
        </w:trPr>
        <w:tc>
          <w:tcPr>
            <w:tcW w:w="3020" w:type="dxa"/>
            <w:tcBorders>
              <w:top w:val="nil"/>
              <w:left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Stöd till politiska partier</w:t>
            </w:r>
          </w:p>
        </w:tc>
        <w:tc>
          <w:tcPr>
            <w:tcW w:w="911" w:type="dxa"/>
            <w:gridSpan w:val="2"/>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F2918" w:rsidRPr="00D0228E" w:rsidTr="00466098">
        <w:trPr>
          <w:trHeight w:val="284"/>
        </w:trPr>
        <w:tc>
          <w:tcPr>
            <w:tcW w:w="3020" w:type="dxa"/>
            <w:tcBorders>
              <w:top w:val="nil"/>
              <w:left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fastighetsanslag</w:t>
            </w:r>
          </w:p>
        </w:tc>
        <w:tc>
          <w:tcPr>
            <w:tcW w:w="911" w:type="dxa"/>
            <w:gridSpan w:val="2"/>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91"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c>
          <w:tcPr>
            <w:tcW w:w="837" w:type="dxa"/>
            <w:tcBorders>
              <w:top w:val="nil"/>
              <w:left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0</w:t>
            </w:r>
          </w:p>
        </w:tc>
      </w:tr>
      <w:tr w:rsidR="00466098" w:rsidRPr="00D0228E" w:rsidTr="00466098">
        <w:trPr>
          <w:trHeight w:val="340"/>
        </w:trPr>
        <w:tc>
          <w:tcPr>
            <w:tcW w:w="3020" w:type="dxa"/>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rPr>
                <w:b/>
                <w:i/>
                <w:sz w:val="16"/>
                <w:szCs w:val="16"/>
              </w:rPr>
            </w:pPr>
            <w:r w:rsidRPr="0026631F">
              <w:rPr>
                <w:b/>
                <w:i/>
                <w:sz w:val="16"/>
                <w:szCs w:val="16"/>
              </w:rPr>
              <w:lastRenderedPageBreak/>
              <w:t>(Belopp anges i tkr)</w:t>
            </w:r>
          </w:p>
        </w:tc>
        <w:tc>
          <w:tcPr>
            <w:tcW w:w="911" w:type="dxa"/>
            <w:gridSpan w:val="2"/>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jc w:val="right"/>
              <w:rPr>
                <w:b/>
                <w:i/>
                <w:sz w:val="16"/>
                <w:szCs w:val="16"/>
              </w:rPr>
            </w:pPr>
            <w:r w:rsidRPr="0026631F">
              <w:rPr>
                <w:b/>
                <w:i/>
                <w:sz w:val="16"/>
                <w:szCs w:val="16"/>
              </w:rPr>
              <w:t>2016</w:t>
            </w:r>
          </w:p>
        </w:tc>
        <w:tc>
          <w:tcPr>
            <w:tcW w:w="891" w:type="dxa"/>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jc w:val="right"/>
              <w:rPr>
                <w:b/>
                <w:i/>
                <w:sz w:val="16"/>
                <w:szCs w:val="16"/>
              </w:rPr>
            </w:pPr>
            <w:r w:rsidRPr="0026631F">
              <w:rPr>
                <w:b/>
                <w:i/>
                <w:sz w:val="16"/>
                <w:szCs w:val="16"/>
              </w:rPr>
              <w:t>2015</w:t>
            </w:r>
          </w:p>
        </w:tc>
        <w:tc>
          <w:tcPr>
            <w:tcW w:w="891" w:type="dxa"/>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jc w:val="right"/>
              <w:rPr>
                <w:b/>
                <w:i/>
                <w:sz w:val="16"/>
                <w:szCs w:val="16"/>
              </w:rPr>
            </w:pPr>
            <w:r w:rsidRPr="0026631F">
              <w:rPr>
                <w:b/>
                <w:i/>
                <w:sz w:val="16"/>
                <w:szCs w:val="16"/>
              </w:rPr>
              <w:t>2014</w:t>
            </w:r>
          </w:p>
        </w:tc>
        <w:tc>
          <w:tcPr>
            <w:tcW w:w="891" w:type="dxa"/>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jc w:val="right"/>
              <w:rPr>
                <w:b/>
                <w:i/>
                <w:sz w:val="16"/>
                <w:szCs w:val="16"/>
              </w:rPr>
            </w:pPr>
            <w:r w:rsidRPr="0026631F">
              <w:rPr>
                <w:b/>
                <w:i/>
                <w:sz w:val="16"/>
                <w:szCs w:val="16"/>
              </w:rPr>
              <w:t>2013</w:t>
            </w:r>
          </w:p>
        </w:tc>
        <w:tc>
          <w:tcPr>
            <w:tcW w:w="837" w:type="dxa"/>
            <w:tcBorders>
              <w:top w:val="single" w:sz="4" w:space="0" w:color="auto"/>
              <w:left w:val="nil"/>
              <w:bottom w:val="single" w:sz="4" w:space="0" w:color="auto"/>
              <w:right w:val="nil"/>
            </w:tcBorders>
            <w:shd w:val="clear" w:color="auto" w:fill="auto"/>
            <w:noWrap/>
            <w:vAlign w:val="bottom"/>
            <w:hideMark/>
          </w:tcPr>
          <w:p w:rsidR="00466098" w:rsidRPr="0026631F" w:rsidRDefault="00466098" w:rsidP="00466098">
            <w:pPr>
              <w:jc w:val="right"/>
              <w:rPr>
                <w:b/>
                <w:i/>
                <w:sz w:val="16"/>
                <w:szCs w:val="16"/>
              </w:rPr>
            </w:pPr>
            <w:r w:rsidRPr="0026631F">
              <w:rPr>
                <w:b/>
                <w:i/>
                <w:sz w:val="16"/>
                <w:szCs w:val="16"/>
              </w:rPr>
              <w:t>2012</w:t>
            </w:r>
          </w:p>
        </w:tc>
      </w:tr>
      <w:tr w:rsidR="004F2918" w:rsidRPr="00D0228E" w:rsidTr="00466098">
        <w:trPr>
          <w:trHeight w:val="284"/>
        </w:trPr>
        <w:tc>
          <w:tcPr>
            <w:tcW w:w="3020" w:type="dxa"/>
            <w:tcBorders>
              <w:top w:val="single" w:sz="4" w:space="0" w:color="auto"/>
              <w:left w:val="nil"/>
              <w:bottom w:val="nil"/>
              <w:right w:val="nil"/>
            </w:tcBorders>
            <w:shd w:val="clear" w:color="auto" w:fill="auto"/>
            <w:noWrap/>
            <w:vAlign w:val="bottom"/>
            <w:hideMark/>
          </w:tcPr>
          <w:p w:rsidR="004F2918" w:rsidRPr="0002121D" w:rsidRDefault="004F2918" w:rsidP="00E73937">
            <w:pPr>
              <w:rPr>
                <w:b/>
                <w:sz w:val="16"/>
                <w:szCs w:val="16"/>
              </w:rPr>
            </w:pPr>
            <w:r w:rsidRPr="0002121D">
              <w:rPr>
                <w:b/>
                <w:sz w:val="16"/>
                <w:szCs w:val="16"/>
              </w:rPr>
              <w:t>Anslagssparande</w:t>
            </w:r>
          </w:p>
        </w:tc>
        <w:tc>
          <w:tcPr>
            <w:tcW w:w="911" w:type="dxa"/>
            <w:gridSpan w:val="2"/>
            <w:tcBorders>
              <w:top w:val="single" w:sz="4" w:space="0" w:color="auto"/>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single" w:sz="4" w:space="0" w:color="auto"/>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single" w:sz="4" w:space="0" w:color="auto"/>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single" w:sz="4" w:space="0" w:color="auto"/>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single" w:sz="4" w:space="0" w:color="auto"/>
              <w:left w:val="nil"/>
              <w:bottom w:val="nil"/>
              <w:right w:val="nil"/>
            </w:tcBorders>
            <w:shd w:val="clear" w:color="auto" w:fill="auto"/>
            <w:noWrap/>
            <w:vAlign w:val="bottom"/>
            <w:hideMark/>
          </w:tcPr>
          <w:p w:rsidR="004F2918" w:rsidRPr="00D0228E" w:rsidRDefault="004F2918" w:rsidP="00E73937">
            <w:pPr>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Ramanslag</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ledamöter och partier m.m.</w:t>
            </w:r>
          </w:p>
        </w:tc>
        <w:tc>
          <w:tcPr>
            <w:tcW w:w="911" w:type="dxa"/>
            <w:gridSpan w:val="2"/>
            <w:tcBorders>
              <w:top w:val="nil"/>
              <w:left w:val="nil"/>
              <w:bottom w:val="nil"/>
              <w:right w:val="nil"/>
            </w:tcBorders>
            <w:shd w:val="clear" w:color="auto" w:fill="auto"/>
            <w:noWrap/>
            <w:vAlign w:val="bottom"/>
            <w:hideMark/>
          </w:tcPr>
          <w:p w:rsidR="004F2918" w:rsidRPr="00D0228E" w:rsidRDefault="005A36B2" w:rsidP="005A2336">
            <w:pPr>
              <w:jc w:val="right"/>
              <w:rPr>
                <w:sz w:val="16"/>
                <w:szCs w:val="16"/>
              </w:rPr>
            </w:pPr>
            <w:r>
              <w:rPr>
                <w:sz w:val="16"/>
                <w:szCs w:val="16"/>
              </w:rPr>
              <w:t>36 4</w:t>
            </w:r>
            <w:r w:rsidR="004F2918" w:rsidRPr="00D0228E">
              <w:rPr>
                <w:sz w:val="16"/>
                <w:szCs w:val="16"/>
              </w:rPr>
              <w:t>90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37 983</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62 156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56 409</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36 227</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left"/>
              <w:rPr>
                <w:sz w:val="16"/>
                <w:szCs w:val="16"/>
              </w:rPr>
            </w:pPr>
            <w:r w:rsidRPr="00D0228E">
              <w:rPr>
                <w:sz w:val="16"/>
                <w:szCs w:val="16"/>
              </w:rPr>
              <w:t>Riksdagsförvaltningens förvaltnings</w:t>
            </w:r>
            <w:r w:rsidR="00466098">
              <w:rPr>
                <w:sz w:val="16"/>
                <w:szCs w:val="16"/>
              </w:rPr>
              <w:t>-</w:t>
            </w:r>
            <w:r w:rsidR="00466098">
              <w:rPr>
                <w:sz w:val="16"/>
                <w:szCs w:val="16"/>
              </w:rPr>
              <w:br/>
            </w:r>
            <w:r w:rsidRPr="00D0228E">
              <w:rPr>
                <w:sz w:val="16"/>
                <w:szCs w:val="16"/>
              </w:rPr>
              <w:t>kostnader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42 037</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47 442</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42 913</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28 731</w:t>
            </w:r>
          </w:p>
        </w:tc>
        <w:tc>
          <w:tcPr>
            <w:tcW w:w="837"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34 350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Stöd till politiska partier</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319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1 194</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1 347</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598</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Riksdagens fastighetsanslag</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49 428</w:t>
            </w:r>
          </w:p>
        </w:tc>
        <w:tc>
          <w:tcPr>
            <w:tcW w:w="891" w:type="dxa"/>
            <w:tcBorders>
              <w:top w:val="nil"/>
              <w:left w:val="nil"/>
              <w:bottom w:val="nil"/>
              <w:right w:val="nil"/>
            </w:tcBorders>
            <w:shd w:val="clear" w:color="auto" w:fill="auto"/>
            <w:noWrap/>
            <w:vAlign w:val="bottom"/>
            <w:hideMark/>
          </w:tcPr>
          <w:p w:rsidR="004F2918" w:rsidRPr="00D0228E" w:rsidRDefault="00E572C9" w:rsidP="005A2336">
            <w:pPr>
              <w:jc w:val="right"/>
              <w:rPr>
                <w:sz w:val="16"/>
                <w:szCs w:val="16"/>
              </w:rPr>
            </w:pPr>
            <w:r>
              <w:rPr>
                <w:sz w:val="16"/>
                <w:szCs w:val="16"/>
              </w:rPr>
              <w:t>17 649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14 960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51 328</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38 066</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A431A4" w:rsidRDefault="004F2918" w:rsidP="00E73937">
            <w:pPr>
              <w:rPr>
                <w:b/>
                <w:sz w:val="16"/>
                <w:szCs w:val="16"/>
              </w:rPr>
            </w:pPr>
            <w:r w:rsidRPr="00A431A4">
              <w:rPr>
                <w:b/>
                <w:sz w:val="16"/>
                <w:szCs w:val="16"/>
              </w:rPr>
              <w:t>Bemyndiganden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Stöd till politiska partier</w:t>
            </w:r>
          </w:p>
        </w:tc>
        <w:tc>
          <w:tcPr>
            <w:tcW w:w="911" w:type="dxa"/>
            <w:gridSpan w:val="2"/>
            <w:tcBorders>
              <w:top w:val="nil"/>
              <w:left w:val="nil"/>
              <w:bottom w:val="nil"/>
              <w:right w:val="nil"/>
            </w:tcBorders>
            <w:shd w:val="clear" w:color="auto" w:fill="auto"/>
            <w:noWrap/>
            <w:vAlign w:val="bottom"/>
            <w:hideMark/>
          </w:tcPr>
          <w:p w:rsidR="004F2918" w:rsidRPr="00D0228E" w:rsidRDefault="00E572C9" w:rsidP="005A2336">
            <w:pPr>
              <w:jc w:val="right"/>
              <w:rPr>
                <w:sz w:val="16"/>
                <w:szCs w:val="16"/>
              </w:rPr>
            </w:pPr>
            <w:r>
              <w:rPr>
                <w:sz w:val="16"/>
                <w:szCs w:val="16"/>
              </w:rPr>
              <w:t>171</w:t>
            </w:r>
            <w:r w:rsidR="004F2918" w:rsidRPr="00D0228E">
              <w:rPr>
                <w:sz w:val="16"/>
                <w:szCs w:val="16"/>
              </w:rPr>
              <w:t> 200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171 200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171 200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171 200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171 200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Utestående åtaganden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129 098</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129 098</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127 848</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127 389</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127 389</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left"/>
              <w:rPr>
                <w:sz w:val="16"/>
                <w:szCs w:val="16"/>
              </w:rPr>
            </w:pPr>
            <w:r w:rsidRPr="00D0228E">
              <w:rPr>
                <w:sz w:val="16"/>
                <w:szCs w:val="16"/>
              </w:rPr>
              <w:t>Stöd till riksdagspartiernas kvinno</w:t>
            </w:r>
            <w:r w:rsidR="00466098">
              <w:rPr>
                <w:sz w:val="16"/>
                <w:szCs w:val="16"/>
              </w:rPr>
              <w:t>-</w:t>
            </w:r>
            <w:r w:rsidR="00466098">
              <w:rPr>
                <w:sz w:val="16"/>
                <w:szCs w:val="16"/>
              </w:rPr>
              <w:br/>
            </w:r>
            <w:r w:rsidRPr="00D0228E">
              <w:rPr>
                <w:sz w:val="16"/>
                <w:szCs w:val="16"/>
              </w:rPr>
              <w:t xml:space="preserve">organisationer </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15 000</w:t>
            </w:r>
          </w:p>
        </w:tc>
        <w:tc>
          <w:tcPr>
            <w:tcW w:w="837" w:type="dxa"/>
            <w:tcBorders>
              <w:top w:val="nil"/>
              <w:left w:val="nil"/>
              <w:bottom w:val="nil"/>
              <w:right w:val="nil"/>
            </w:tcBorders>
            <w:shd w:val="clear" w:color="auto" w:fill="auto"/>
            <w:noWrap/>
            <w:vAlign w:val="bottom"/>
            <w:hideMark/>
          </w:tcPr>
          <w:p w:rsidR="004F2918" w:rsidRPr="00D0228E" w:rsidRDefault="004F2918" w:rsidP="00466098">
            <w:pPr>
              <w:spacing w:line="200" w:lineRule="exact"/>
              <w:jc w:val="right"/>
              <w:rPr>
                <w:sz w:val="16"/>
                <w:szCs w:val="16"/>
              </w:rPr>
            </w:pPr>
            <w:r w:rsidRPr="00D0228E">
              <w:rPr>
                <w:sz w:val="16"/>
                <w:szCs w:val="16"/>
              </w:rPr>
              <w:t>15 000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r w:rsidRPr="00D0228E">
              <w:rPr>
                <w:i/>
                <w:iCs/>
                <w:sz w:val="16"/>
                <w:szCs w:val="16"/>
              </w:rPr>
              <w:t>Utestående åtaganden</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15 000</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15 000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15 000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A431A4" w:rsidRDefault="004F2918" w:rsidP="00E73937">
            <w:pPr>
              <w:rPr>
                <w:b/>
                <w:sz w:val="16"/>
                <w:szCs w:val="16"/>
              </w:rPr>
            </w:pPr>
            <w:r w:rsidRPr="00A431A4">
              <w:rPr>
                <w:b/>
                <w:sz w:val="16"/>
                <w:szCs w:val="16"/>
              </w:rPr>
              <w:t>Personal</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Medelantalet anställda (st)</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642</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637</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646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656</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636</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Antalet årsarbetskrafter (st)</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583</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591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591</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608</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592</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A431A4" w:rsidRDefault="004F2918" w:rsidP="00E73937">
            <w:pPr>
              <w:rPr>
                <w:b/>
                <w:sz w:val="16"/>
                <w:szCs w:val="16"/>
              </w:rPr>
            </w:pPr>
            <w:r w:rsidRPr="00A431A4">
              <w:rPr>
                <w:b/>
                <w:sz w:val="16"/>
                <w:szCs w:val="16"/>
              </w:rPr>
              <w:t>Driftkostnad per årsarbetskraft*)</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1 337</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1 259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1 276</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1 214</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1 190</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A431A4" w:rsidRDefault="004F2918" w:rsidP="00E73937">
            <w:pPr>
              <w:rPr>
                <w:b/>
                <w:sz w:val="16"/>
                <w:szCs w:val="16"/>
              </w:rPr>
            </w:pPr>
            <w:r w:rsidRPr="00A431A4">
              <w:rPr>
                <w:b/>
                <w:sz w:val="16"/>
                <w:szCs w:val="16"/>
              </w:rPr>
              <w:t>Kapitalförändring</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i/>
                <w:iCs/>
                <w:sz w:val="16"/>
                <w:szCs w:val="16"/>
              </w:rPr>
            </w:pP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r w:rsidRPr="00D0228E">
              <w:rPr>
                <w:sz w:val="16"/>
                <w:szCs w:val="16"/>
              </w:rPr>
              <w:t>Årets</w:t>
            </w:r>
          </w:p>
        </w:tc>
        <w:tc>
          <w:tcPr>
            <w:tcW w:w="911" w:type="dxa"/>
            <w:gridSpan w:val="2"/>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-609 707</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-181 463</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-141 749</w:t>
            </w:r>
          </w:p>
        </w:tc>
        <w:tc>
          <w:tcPr>
            <w:tcW w:w="891"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-321 550</w:t>
            </w:r>
          </w:p>
        </w:tc>
        <w:tc>
          <w:tcPr>
            <w:tcW w:w="837" w:type="dxa"/>
            <w:tcBorders>
              <w:top w:val="nil"/>
              <w:left w:val="nil"/>
              <w:bottom w:val="nil"/>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-260 303</w:t>
            </w:r>
          </w:p>
        </w:tc>
      </w:tr>
      <w:tr w:rsidR="004F2918" w:rsidRPr="00D0228E" w:rsidTr="00E73937">
        <w:trPr>
          <w:trHeight w:val="284"/>
        </w:trPr>
        <w:tc>
          <w:tcPr>
            <w:tcW w:w="3020" w:type="dxa"/>
            <w:tcBorders>
              <w:top w:val="nil"/>
              <w:left w:val="nil"/>
              <w:bottom w:val="single" w:sz="4" w:space="0" w:color="auto"/>
              <w:right w:val="nil"/>
            </w:tcBorders>
            <w:shd w:val="clear" w:color="auto" w:fill="auto"/>
            <w:noWrap/>
            <w:vAlign w:val="bottom"/>
            <w:hideMark/>
          </w:tcPr>
          <w:p w:rsidR="004F2918" w:rsidRPr="00D0228E" w:rsidRDefault="004F2918" w:rsidP="00E73937">
            <w:pPr>
              <w:rPr>
                <w:sz w:val="16"/>
                <w:szCs w:val="16"/>
              </w:rPr>
            </w:pPr>
            <w:r w:rsidRPr="00D0228E">
              <w:rPr>
                <w:sz w:val="16"/>
                <w:szCs w:val="16"/>
              </w:rPr>
              <w:t>Balanserad</w:t>
            </w:r>
          </w:p>
        </w:tc>
        <w:tc>
          <w:tcPr>
            <w:tcW w:w="911" w:type="dxa"/>
            <w:gridSpan w:val="2"/>
            <w:tcBorders>
              <w:top w:val="nil"/>
              <w:left w:val="nil"/>
              <w:bottom w:val="single" w:sz="4" w:space="0" w:color="auto"/>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-4 188 209</w:t>
            </w:r>
          </w:p>
        </w:tc>
        <w:tc>
          <w:tcPr>
            <w:tcW w:w="891" w:type="dxa"/>
            <w:tcBorders>
              <w:top w:val="nil"/>
              <w:left w:val="nil"/>
              <w:bottom w:val="single" w:sz="4" w:space="0" w:color="auto"/>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-4 034 515</w:t>
            </w:r>
          </w:p>
        </w:tc>
        <w:tc>
          <w:tcPr>
            <w:tcW w:w="891" w:type="dxa"/>
            <w:tcBorders>
              <w:top w:val="nil"/>
              <w:left w:val="nil"/>
              <w:bottom w:val="single" w:sz="4" w:space="0" w:color="auto"/>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-3 920 535</w:t>
            </w:r>
          </w:p>
        </w:tc>
        <w:tc>
          <w:tcPr>
            <w:tcW w:w="891" w:type="dxa"/>
            <w:tcBorders>
              <w:top w:val="nil"/>
              <w:left w:val="nil"/>
              <w:bottom w:val="single" w:sz="4" w:space="0" w:color="auto"/>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-3 626 754</w:t>
            </w:r>
          </w:p>
        </w:tc>
        <w:tc>
          <w:tcPr>
            <w:tcW w:w="837" w:type="dxa"/>
            <w:tcBorders>
              <w:top w:val="nil"/>
              <w:left w:val="nil"/>
              <w:bottom w:val="single" w:sz="4" w:space="0" w:color="auto"/>
              <w:right w:val="nil"/>
            </w:tcBorders>
            <w:shd w:val="clear" w:color="auto" w:fill="auto"/>
            <w:noWrap/>
            <w:vAlign w:val="bottom"/>
            <w:hideMark/>
          </w:tcPr>
          <w:p w:rsidR="004F2918" w:rsidRPr="00D0228E" w:rsidRDefault="004F2918" w:rsidP="005A2336">
            <w:pPr>
              <w:jc w:val="right"/>
              <w:rPr>
                <w:sz w:val="16"/>
                <w:szCs w:val="16"/>
              </w:rPr>
            </w:pPr>
            <w:r w:rsidRPr="00D0228E">
              <w:rPr>
                <w:sz w:val="16"/>
                <w:szCs w:val="16"/>
              </w:rPr>
              <w:t>-3 394 641</w:t>
            </w:r>
          </w:p>
        </w:tc>
      </w:tr>
      <w:tr w:rsidR="004F2918" w:rsidRPr="00D0228E" w:rsidTr="00E73937">
        <w:trPr>
          <w:trHeight w:val="284"/>
        </w:trPr>
        <w:tc>
          <w:tcPr>
            <w:tcW w:w="302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160"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75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91"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c>
          <w:tcPr>
            <w:tcW w:w="837" w:type="dxa"/>
            <w:tcBorders>
              <w:top w:val="nil"/>
              <w:left w:val="nil"/>
              <w:bottom w:val="nil"/>
              <w:right w:val="nil"/>
            </w:tcBorders>
            <w:shd w:val="clear" w:color="auto" w:fill="auto"/>
            <w:noWrap/>
            <w:vAlign w:val="bottom"/>
            <w:hideMark/>
          </w:tcPr>
          <w:p w:rsidR="004F2918" w:rsidRPr="00D0228E" w:rsidRDefault="004F2918" w:rsidP="00E73937">
            <w:pPr>
              <w:rPr>
                <w:sz w:val="16"/>
                <w:szCs w:val="16"/>
              </w:rPr>
            </w:pPr>
          </w:p>
        </w:tc>
      </w:tr>
      <w:tr w:rsidR="004F2918" w:rsidRPr="00D0228E" w:rsidTr="00E73937">
        <w:trPr>
          <w:trHeight w:val="284"/>
        </w:trPr>
        <w:tc>
          <w:tcPr>
            <w:tcW w:w="7441" w:type="dxa"/>
            <w:gridSpan w:val="7"/>
            <w:tcBorders>
              <w:top w:val="nil"/>
              <w:left w:val="nil"/>
              <w:right w:val="nil"/>
            </w:tcBorders>
            <w:shd w:val="clear" w:color="auto" w:fill="auto"/>
            <w:noWrap/>
            <w:vAlign w:val="bottom"/>
            <w:hideMark/>
          </w:tcPr>
          <w:p w:rsidR="004F2918" w:rsidRPr="00D0228E" w:rsidRDefault="004F2918" w:rsidP="00E73937">
            <w:pPr>
              <w:jc w:val="left"/>
              <w:rPr>
                <w:sz w:val="16"/>
                <w:szCs w:val="16"/>
              </w:rPr>
            </w:pPr>
            <w:r w:rsidRPr="00D0228E">
              <w:rPr>
                <w:sz w:val="16"/>
                <w:szCs w:val="16"/>
              </w:rPr>
              <w:t>*) Med driftkostnad avses personalkostnader, övriga driftkostnader enligt resultaträkningen exklusive avskrivningar och alla direkt</w:t>
            </w:r>
            <w:r>
              <w:rPr>
                <w:sz w:val="16"/>
                <w:szCs w:val="16"/>
              </w:rPr>
              <w:t xml:space="preserve"> </w:t>
            </w:r>
            <w:r w:rsidRPr="00D0228E">
              <w:rPr>
                <w:sz w:val="16"/>
                <w:szCs w:val="16"/>
              </w:rPr>
              <w:t>hänförbara kostnader avseende riksdagsledamöter.</w:t>
            </w:r>
          </w:p>
        </w:tc>
      </w:tr>
      <w:tr w:rsidR="004F2918" w:rsidRPr="00D0228E" w:rsidTr="00E73937">
        <w:trPr>
          <w:trHeight w:val="284"/>
        </w:trPr>
        <w:tc>
          <w:tcPr>
            <w:tcW w:w="7441" w:type="dxa"/>
            <w:gridSpan w:val="7"/>
            <w:tcBorders>
              <w:top w:val="nil"/>
              <w:left w:val="nil"/>
              <w:right w:val="nil"/>
            </w:tcBorders>
            <w:shd w:val="clear" w:color="auto" w:fill="auto"/>
            <w:noWrap/>
            <w:vAlign w:val="bottom"/>
            <w:hideMark/>
          </w:tcPr>
          <w:p w:rsidR="004F2918" w:rsidRPr="00D0228E" w:rsidRDefault="004F2918" w:rsidP="00E73937">
            <w:pPr>
              <w:jc w:val="left"/>
              <w:rPr>
                <w:color w:val="000000"/>
                <w:sz w:val="16"/>
                <w:szCs w:val="16"/>
              </w:rPr>
            </w:pPr>
            <w:r w:rsidRPr="00D0228E">
              <w:rPr>
                <w:sz w:val="16"/>
                <w:szCs w:val="16"/>
              </w:rPr>
              <w:t>**) Enligt Riksgäldens engagemangsbesked för 2016 finns ett felaktigt lägsta saldo angivet. Felet beror på fel</w:t>
            </w:r>
            <w:r>
              <w:rPr>
                <w:sz w:val="16"/>
                <w:szCs w:val="16"/>
              </w:rPr>
              <w:t>-</w:t>
            </w:r>
            <w:r w:rsidRPr="00D0228E">
              <w:rPr>
                <w:sz w:val="16"/>
                <w:szCs w:val="16"/>
              </w:rPr>
              <w:t>aktiga transaktioner som Nordea</w:t>
            </w:r>
            <w:r>
              <w:rPr>
                <w:color w:val="000000"/>
                <w:sz w:val="16"/>
                <w:szCs w:val="16"/>
              </w:rPr>
              <w:t xml:space="preserve"> </w:t>
            </w:r>
            <w:r w:rsidRPr="00D0228E">
              <w:rPr>
                <w:sz w:val="16"/>
                <w:szCs w:val="16"/>
              </w:rPr>
              <w:t>bokade den 10 oktober och som därefter rättades.</w:t>
            </w:r>
          </w:p>
        </w:tc>
      </w:tr>
    </w:tbl>
    <w:p w:rsidR="004F2918" w:rsidRDefault="004F2918" w:rsidP="004F2918"/>
    <w:p w:rsidR="009D1A68" w:rsidRDefault="009D1A68" w:rsidP="004F2918"/>
    <w:p w:rsidR="00750823" w:rsidRDefault="00750823" w:rsidP="00B6141D">
      <w:pPr>
        <w:pStyle w:val="Normaltindrag"/>
        <w:sectPr w:rsidR="00750823" w:rsidSect="0039664C">
          <w:pgSz w:w="9356" w:h="13721" w:code="9"/>
          <w:pgMar w:top="907" w:right="2041" w:bottom="1474" w:left="1417" w:header="397" w:footer="624" w:gutter="0"/>
          <w:cols w:space="708"/>
          <w:docGrid w:linePitch="360"/>
        </w:sectPr>
      </w:pPr>
    </w:p>
    <w:p w:rsidR="00CB7053" w:rsidRPr="004179C3" w:rsidRDefault="00CB7053" w:rsidP="00DD4D28">
      <w:pPr>
        <w:pStyle w:val="R3"/>
      </w:pPr>
      <w:r w:rsidRPr="004179C3">
        <w:lastRenderedPageBreak/>
        <w:t>Riksdagsstyrelsens uppdrag och ersättningar</w:t>
      </w:r>
    </w:p>
    <w:p w:rsidR="00CB7053" w:rsidRDefault="00CB7053" w:rsidP="00CB7053">
      <w:r>
        <w:t xml:space="preserve">Nedan redovisas riksdagsstyrelsens ledamöters uppdrag som styrelse- och rådsledamöter i andra statliga myndigheter och uppdrag som styrelseledamöter </w:t>
      </w:r>
      <w:r w:rsidRPr="002B0E3A">
        <w:t>i aktiebolag samt de ersättningar</w:t>
      </w:r>
      <w:r>
        <w:rPr>
          <w:rStyle w:val="Fotnotsreferens"/>
        </w:rPr>
        <w:footnoteReference w:id="42"/>
      </w:r>
      <w:r>
        <w:t xml:space="preserve"> som betalades </w:t>
      </w:r>
      <w:r w:rsidR="0031598F">
        <w:t>ut av Riksdagsförvaltningen 2016</w:t>
      </w:r>
      <w:r>
        <w:t>.</w:t>
      </w:r>
    </w:p>
    <w:p w:rsidR="00BA4974" w:rsidRPr="00BA4974" w:rsidRDefault="00BA4974" w:rsidP="00DD4D28">
      <w:pPr>
        <w:pStyle w:val="Normaltindrag"/>
        <w:spacing w:before="250" w:after="130"/>
        <w:ind w:firstLine="0"/>
        <w:rPr>
          <w:i/>
        </w:rPr>
      </w:pPr>
      <w:r w:rsidRPr="00BA4974">
        <w:rPr>
          <w:i/>
        </w:rPr>
        <w:t>Ersättningar till riksdagsstyrelsen</w:t>
      </w:r>
      <w:r w:rsidR="0031598F">
        <w:rPr>
          <w:i/>
        </w:rPr>
        <w:t>s ledamöter den 31 december 2016</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16"/>
      </w:tblGrid>
      <w:tr w:rsidR="00CB7053" w:rsidRPr="00803D5D" w:rsidTr="00155B61">
        <w:trPr>
          <w:trHeight w:val="610"/>
        </w:trPr>
        <w:tc>
          <w:tcPr>
            <w:tcW w:w="2972" w:type="dxa"/>
          </w:tcPr>
          <w:p w:rsidR="00CB7053" w:rsidRPr="00803D5D" w:rsidRDefault="00CB7053" w:rsidP="00AF427E">
            <w:pPr>
              <w:pStyle w:val="Normaltindrag"/>
              <w:ind w:firstLine="0"/>
              <w:rPr>
                <w:b/>
              </w:rPr>
            </w:pPr>
            <w:r w:rsidRPr="00803D5D">
              <w:rPr>
                <w:b/>
              </w:rPr>
              <w:t>Urban Ahlin (S), ordförande</w:t>
            </w:r>
          </w:p>
          <w:p w:rsidR="00CB7053" w:rsidRPr="00803D5D" w:rsidRDefault="00CB7053" w:rsidP="001E0896">
            <w:pPr>
              <w:pStyle w:val="Normaltindrag"/>
              <w:ind w:firstLine="0"/>
            </w:pPr>
            <w:r w:rsidRPr="00803D5D">
              <w:t xml:space="preserve">Ersättning: </w:t>
            </w:r>
            <w:r w:rsidR="00E40F0F" w:rsidRPr="00803D5D">
              <w:t>2 031 775</w:t>
            </w:r>
            <w:r w:rsidRPr="00803D5D">
              <w:t xml:space="preserve"> kronor </w:t>
            </w:r>
          </w:p>
          <w:p w:rsidR="00802F6E" w:rsidRPr="00803D5D" w:rsidRDefault="00802F6E" w:rsidP="001E0896">
            <w:pPr>
              <w:pStyle w:val="Normaltindrag"/>
              <w:ind w:firstLine="0"/>
            </w:pPr>
          </w:p>
        </w:tc>
        <w:tc>
          <w:tcPr>
            <w:tcW w:w="2916" w:type="dxa"/>
          </w:tcPr>
          <w:p w:rsidR="00802F6E" w:rsidRPr="00803D5D" w:rsidRDefault="00D920BE" w:rsidP="00155B61">
            <w:pPr>
              <w:spacing w:before="0"/>
              <w:rPr>
                <w:b/>
              </w:rPr>
            </w:pPr>
            <w:r>
              <w:rPr>
                <w:b/>
              </w:rPr>
              <w:t>Håkan Bergman (S), ledamot</w:t>
            </w:r>
          </w:p>
          <w:p w:rsidR="00CB7053" w:rsidRPr="00803D5D" w:rsidRDefault="00802F6E" w:rsidP="00155B61">
            <w:pPr>
              <w:pStyle w:val="Normaltindrag"/>
              <w:ind w:firstLine="0"/>
            </w:pPr>
            <w:r w:rsidRPr="00803D5D">
              <w:t xml:space="preserve">Ersättning: </w:t>
            </w:r>
            <w:r w:rsidR="004721EC" w:rsidRPr="00803D5D">
              <w:t>809 998</w:t>
            </w:r>
            <w:r w:rsidRPr="00803D5D">
              <w:t xml:space="preserve"> kronor</w:t>
            </w:r>
          </w:p>
        </w:tc>
      </w:tr>
      <w:tr w:rsidR="00CB7053" w:rsidRPr="00803D5D" w:rsidTr="00E30698">
        <w:tc>
          <w:tcPr>
            <w:tcW w:w="2972" w:type="dxa"/>
          </w:tcPr>
          <w:p w:rsidR="00802F6E" w:rsidRPr="00803D5D" w:rsidRDefault="00802F6E" w:rsidP="00802F6E">
            <w:pPr>
              <w:pStyle w:val="Normaltindrag"/>
              <w:ind w:firstLine="0"/>
              <w:rPr>
                <w:b/>
              </w:rPr>
            </w:pPr>
            <w:r w:rsidRPr="00803D5D">
              <w:rPr>
                <w:b/>
              </w:rPr>
              <w:t>Tomas Eneroth (S), ledamot</w:t>
            </w:r>
          </w:p>
          <w:p w:rsidR="00012CB4" w:rsidRPr="00803D5D" w:rsidRDefault="00802F6E" w:rsidP="00802F6E">
            <w:pPr>
              <w:pStyle w:val="Normaltindrag"/>
              <w:ind w:firstLine="0"/>
              <w:rPr>
                <w:u w:val="single"/>
              </w:rPr>
            </w:pPr>
            <w:r w:rsidRPr="00803D5D">
              <w:t xml:space="preserve">Ersättning: </w:t>
            </w:r>
            <w:r w:rsidR="00F9039A" w:rsidRPr="00803D5D">
              <w:t>854 114</w:t>
            </w:r>
            <w:r w:rsidRPr="00803D5D">
              <w:t xml:space="preserve"> kronor</w:t>
            </w:r>
          </w:p>
        </w:tc>
        <w:tc>
          <w:tcPr>
            <w:tcW w:w="2916" w:type="dxa"/>
          </w:tcPr>
          <w:p w:rsidR="00802F6E" w:rsidRPr="00803D5D" w:rsidRDefault="00802F6E" w:rsidP="00155B61">
            <w:pPr>
              <w:pStyle w:val="Normaltindrag"/>
              <w:ind w:firstLine="0"/>
              <w:rPr>
                <w:b/>
              </w:rPr>
            </w:pPr>
            <w:r w:rsidRPr="00803D5D">
              <w:rPr>
                <w:b/>
              </w:rPr>
              <w:t>Berit Högman (S), ledamot</w:t>
            </w:r>
          </w:p>
          <w:p w:rsidR="00802F6E" w:rsidRPr="00803D5D" w:rsidRDefault="00802F6E" w:rsidP="00802F6E">
            <w:pPr>
              <w:pStyle w:val="Normaltindrag"/>
              <w:ind w:firstLine="0"/>
              <w:rPr>
                <w:u w:val="single"/>
              </w:rPr>
            </w:pPr>
            <w:r w:rsidRPr="00803D5D">
              <w:t xml:space="preserve">Ersättning: </w:t>
            </w:r>
            <w:r w:rsidR="003A0E7A" w:rsidRPr="00803D5D">
              <w:t>868 212</w:t>
            </w:r>
            <w:r w:rsidRPr="00803D5D">
              <w:t xml:space="preserve"> kronor</w:t>
            </w:r>
          </w:p>
          <w:p w:rsidR="00802F6E" w:rsidRPr="00803D5D" w:rsidRDefault="00802F6E" w:rsidP="00802F6E">
            <w:pPr>
              <w:pStyle w:val="Normaltindrag"/>
              <w:ind w:firstLine="0"/>
              <w:rPr>
                <w:i/>
              </w:rPr>
            </w:pPr>
            <w:r w:rsidRPr="00803D5D">
              <w:rPr>
                <w:i/>
              </w:rPr>
              <w:t>Övriga uppdrag:</w:t>
            </w:r>
          </w:p>
          <w:p w:rsidR="008C4758" w:rsidRDefault="008C4758" w:rsidP="00155B61">
            <w:pPr>
              <w:pStyle w:val="Normaltindrag"/>
              <w:ind w:firstLine="0"/>
            </w:pPr>
            <w:r w:rsidRPr="008C4758">
              <w:t>Kombispel i Sverige AB</w:t>
            </w:r>
            <w:r w:rsidR="003D7DFC">
              <w:t>, ledamot</w:t>
            </w:r>
          </w:p>
          <w:p w:rsidR="00CB7053" w:rsidRPr="00803D5D" w:rsidRDefault="00802F6E" w:rsidP="00155B61">
            <w:pPr>
              <w:pStyle w:val="Normaltindrag"/>
              <w:ind w:firstLine="0"/>
            </w:pPr>
            <w:r w:rsidRPr="00803D5D">
              <w:t>Länsstyrelsens insynsråd i Värmland, ledamot</w:t>
            </w:r>
          </w:p>
        </w:tc>
      </w:tr>
      <w:tr w:rsidR="00CB7053" w:rsidRPr="00803D5D" w:rsidTr="00E30698">
        <w:tc>
          <w:tcPr>
            <w:tcW w:w="2972" w:type="dxa"/>
          </w:tcPr>
          <w:p w:rsidR="00CB7053" w:rsidRPr="00803D5D" w:rsidRDefault="00CB7053" w:rsidP="00AF427E">
            <w:pPr>
              <w:pStyle w:val="Normaltindrag"/>
              <w:spacing w:before="125"/>
              <w:ind w:firstLine="0"/>
              <w:rPr>
                <w:b/>
              </w:rPr>
            </w:pPr>
            <w:r w:rsidRPr="00803D5D">
              <w:rPr>
                <w:b/>
              </w:rPr>
              <w:t>Eva Sonidsson (S), ledamot</w:t>
            </w:r>
          </w:p>
          <w:p w:rsidR="00CB7053" w:rsidRPr="00803D5D" w:rsidRDefault="00CB7053" w:rsidP="00AF427E">
            <w:pPr>
              <w:pStyle w:val="Normaltindrag"/>
              <w:ind w:firstLine="0"/>
              <w:rPr>
                <w:u w:val="single"/>
              </w:rPr>
            </w:pPr>
            <w:r w:rsidRPr="00803D5D">
              <w:t xml:space="preserve">Ersättning: </w:t>
            </w:r>
            <w:r w:rsidR="00A30E22" w:rsidRPr="00803D5D">
              <w:t>882 656</w:t>
            </w:r>
            <w:r w:rsidRPr="00803D5D">
              <w:t xml:space="preserve"> kronor</w:t>
            </w:r>
          </w:p>
          <w:p w:rsidR="00CB7053" w:rsidRPr="00803D5D" w:rsidRDefault="00CB7053" w:rsidP="00AF427E">
            <w:pPr>
              <w:pStyle w:val="Normaltindrag"/>
              <w:ind w:firstLine="0"/>
              <w:rPr>
                <w:i/>
              </w:rPr>
            </w:pPr>
            <w:r w:rsidRPr="00803D5D">
              <w:rPr>
                <w:i/>
              </w:rPr>
              <w:t>Övriga uppdrag:</w:t>
            </w:r>
          </w:p>
          <w:p w:rsidR="00CB7053" w:rsidRPr="00803D5D" w:rsidRDefault="00C81A2F" w:rsidP="00AF427E">
            <w:pPr>
              <w:pStyle w:val="Normaltindrag"/>
              <w:ind w:firstLine="0"/>
            </w:pPr>
            <w:r w:rsidRPr="00803D5D">
              <w:t>Konsumentverkets</w:t>
            </w:r>
            <w:r w:rsidR="00CB7053" w:rsidRPr="00803D5D">
              <w:t xml:space="preserve"> insynsråd, ledamot</w:t>
            </w:r>
          </w:p>
        </w:tc>
        <w:tc>
          <w:tcPr>
            <w:tcW w:w="2916" w:type="dxa"/>
          </w:tcPr>
          <w:p w:rsidR="00CB7053" w:rsidRPr="00803D5D" w:rsidRDefault="00CB7053" w:rsidP="00AF427E">
            <w:pPr>
              <w:pStyle w:val="Normaltindrag"/>
              <w:spacing w:before="125"/>
              <w:ind w:firstLine="0"/>
              <w:rPr>
                <w:b/>
              </w:rPr>
            </w:pPr>
            <w:r w:rsidRPr="00803D5D">
              <w:rPr>
                <w:b/>
              </w:rPr>
              <w:t>Jessica Polfjärd (M), ledamot</w:t>
            </w:r>
          </w:p>
          <w:p w:rsidR="00CB7053" w:rsidRPr="00803D5D" w:rsidRDefault="00CB7053" w:rsidP="00AF427E">
            <w:pPr>
              <w:pStyle w:val="Normaltindrag"/>
              <w:ind w:firstLine="0"/>
              <w:rPr>
                <w:u w:val="single"/>
              </w:rPr>
            </w:pPr>
            <w:r w:rsidRPr="00803D5D">
              <w:t xml:space="preserve">Ersättning: </w:t>
            </w:r>
            <w:r w:rsidR="00A45FC1" w:rsidRPr="00803D5D">
              <w:t>864</w:t>
            </w:r>
            <w:r w:rsidRPr="00803D5D">
              <w:t xml:space="preserve"> </w:t>
            </w:r>
            <w:r w:rsidR="00A45FC1" w:rsidRPr="00803D5D">
              <w:t>197</w:t>
            </w:r>
            <w:r w:rsidRPr="00803D5D">
              <w:t xml:space="preserve"> kronor</w:t>
            </w:r>
          </w:p>
          <w:p w:rsidR="00CB7053" w:rsidRPr="00803D5D" w:rsidRDefault="00CB7053" w:rsidP="00AF427E">
            <w:pPr>
              <w:pStyle w:val="Normaltindrag"/>
              <w:ind w:firstLine="0"/>
              <w:rPr>
                <w:i/>
              </w:rPr>
            </w:pPr>
            <w:r w:rsidRPr="00803D5D">
              <w:rPr>
                <w:i/>
              </w:rPr>
              <w:t>Övriga uppdrag:</w:t>
            </w:r>
          </w:p>
          <w:p w:rsidR="00CB7053" w:rsidRPr="00803D5D" w:rsidRDefault="00CB7053" w:rsidP="00AF427E">
            <w:pPr>
              <w:pStyle w:val="Normaltindrag"/>
              <w:ind w:firstLine="0"/>
            </w:pPr>
            <w:r w:rsidRPr="00803D5D">
              <w:t>Nortuna Herrgård AB, suppleant</w:t>
            </w:r>
          </w:p>
          <w:p w:rsidR="00CB7053" w:rsidRPr="00803D5D" w:rsidRDefault="00CB7053" w:rsidP="00C5783C">
            <w:pPr>
              <w:pStyle w:val="Normaltindrag"/>
              <w:ind w:firstLine="0"/>
            </w:pPr>
          </w:p>
        </w:tc>
      </w:tr>
      <w:tr w:rsidR="00CB7053" w:rsidRPr="00803D5D" w:rsidTr="00E30698">
        <w:tc>
          <w:tcPr>
            <w:tcW w:w="2972" w:type="dxa"/>
          </w:tcPr>
          <w:p w:rsidR="00CB7053" w:rsidRPr="00803D5D" w:rsidRDefault="00CB7053" w:rsidP="00AF427E">
            <w:pPr>
              <w:pStyle w:val="Normaltindrag"/>
              <w:spacing w:before="125"/>
              <w:ind w:firstLine="0"/>
              <w:rPr>
                <w:b/>
              </w:rPr>
            </w:pPr>
            <w:r w:rsidRPr="00803D5D">
              <w:rPr>
                <w:b/>
              </w:rPr>
              <w:t>Ewa Thalén Finné (M), ledamot</w:t>
            </w:r>
          </w:p>
          <w:p w:rsidR="00CB7053" w:rsidRPr="00803D5D" w:rsidRDefault="00CB7053" w:rsidP="00AF427E">
            <w:pPr>
              <w:pStyle w:val="Normaltindrag"/>
              <w:ind w:firstLine="0"/>
              <w:rPr>
                <w:u w:val="single"/>
              </w:rPr>
            </w:pPr>
            <w:r w:rsidRPr="00803D5D">
              <w:t xml:space="preserve">Ersättning: </w:t>
            </w:r>
            <w:r w:rsidR="00266EE4" w:rsidRPr="00803D5D">
              <w:t>868</w:t>
            </w:r>
            <w:r w:rsidR="00F64C2F" w:rsidRPr="00803D5D">
              <w:t> </w:t>
            </w:r>
            <w:r w:rsidR="00266EE4" w:rsidRPr="00803D5D">
              <w:t>546</w:t>
            </w:r>
            <w:r w:rsidRPr="00803D5D">
              <w:t xml:space="preserve"> kronor</w:t>
            </w:r>
          </w:p>
          <w:p w:rsidR="00CB7053" w:rsidRPr="00803D5D" w:rsidRDefault="00CB7053" w:rsidP="00AF427E">
            <w:pPr>
              <w:pStyle w:val="Normaltindrag"/>
              <w:ind w:firstLine="0"/>
              <w:rPr>
                <w:i/>
              </w:rPr>
            </w:pPr>
            <w:r w:rsidRPr="00803D5D">
              <w:rPr>
                <w:i/>
              </w:rPr>
              <w:t>Övriga uppdrag:</w:t>
            </w:r>
          </w:p>
          <w:p w:rsidR="00CB7053" w:rsidRPr="00803D5D" w:rsidRDefault="00035E68" w:rsidP="00035E68">
            <w:pPr>
              <w:pStyle w:val="Normaltindrag"/>
              <w:ind w:firstLine="0"/>
            </w:pPr>
            <w:r w:rsidRPr="00803D5D">
              <w:t>Sabo AB, ledamot</w:t>
            </w:r>
          </w:p>
        </w:tc>
        <w:tc>
          <w:tcPr>
            <w:tcW w:w="2916" w:type="dxa"/>
          </w:tcPr>
          <w:p w:rsidR="00CB7053" w:rsidRPr="00803D5D" w:rsidRDefault="00CB7053" w:rsidP="00AF427E">
            <w:pPr>
              <w:pStyle w:val="Normaltindrag"/>
              <w:spacing w:before="125"/>
              <w:ind w:firstLine="0"/>
              <w:rPr>
                <w:b/>
              </w:rPr>
            </w:pPr>
            <w:r w:rsidRPr="00803D5D">
              <w:rPr>
                <w:b/>
              </w:rPr>
              <w:t>Hans Wallmark (M), ledamot</w:t>
            </w:r>
          </w:p>
          <w:p w:rsidR="00CB7053" w:rsidRPr="00803D5D" w:rsidRDefault="00CB7053" w:rsidP="00AF427E">
            <w:pPr>
              <w:pStyle w:val="Normaltindrag"/>
              <w:ind w:firstLine="0"/>
              <w:rPr>
                <w:u w:val="single"/>
              </w:rPr>
            </w:pPr>
            <w:r w:rsidRPr="00803D5D">
              <w:t xml:space="preserve">Ersättning: </w:t>
            </w:r>
            <w:r w:rsidR="0027192F" w:rsidRPr="00803D5D">
              <w:t>901</w:t>
            </w:r>
            <w:r w:rsidR="00510276" w:rsidRPr="00803D5D">
              <w:t> </w:t>
            </w:r>
            <w:r w:rsidR="0027192F" w:rsidRPr="00803D5D">
              <w:t>646</w:t>
            </w:r>
            <w:r w:rsidR="00510276" w:rsidRPr="00803D5D">
              <w:t xml:space="preserve"> </w:t>
            </w:r>
            <w:r w:rsidRPr="00803D5D">
              <w:t>kronor</w:t>
            </w:r>
          </w:p>
          <w:p w:rsidR="00CB7053" w:rsidRPr="00803D5D" w:rsidRDefault="00CB7053" w:rsidP="00AF427E">
            <w:pPr>
              <w:pStyle w:val="Normaltindrag"/>
              <w:ind w:firstLine="0"/>
              <w:rPr>
                <w:i/>
              </w:rPr>
            </w:pPr>
            <w:r w:rsidRPr="00803D5D">
              <w:rPr>
                <w:i/>
              </w:rPr>
              <w:t>Övriga uppdrag:</w:t>
            </w:r>
          </w:p>
          <w:p w:rsidR="00CB7053" w:rsidRPr="00803D5D" w:rsidRDefault="00CB7053" w:rsidP="00AF427E">
            <w:pPr>
              <w:pStyle w:val="Normaltindrag"/>
              <w:ind w:firstLine="0"/>
            </w:pPr>
            <w:r w:rsidRPr="00803D5D">
              <w:t>Svenska Medialen AB</w:t>
            </w:r>
            <w:r w:rsidR="00510276" w:rsidRPr="00803D5D">
              <w:t>, ordförande</w:t>
            </w:r>
          </w:p>
        </w:tc>
      </w:tr>
      <w:tr w:rsidR="00A30151" w:rsidRPr="00803D5D" w:rsidTr="00E30698">
        <w:tc>
          <w:tcPr>
            <w:tcW w:w="2972" w:type="dxa"/>
          </w:tcPr>
          <w:p w:rsidR="00A30151" w:rsidRPr="00803D5D" w:rsidRDefault="00A30151" w:rsidP="00AF427E">
            <w:pPr>
              <w:pStyle w:val="Normaltindrag"/>
              <w:spacing w:before="125"/>
              <w:ind w:firstLine="0"/>
              <w:rPr>
                <w:b/>
              </w:rPr>
            </w:pPr>
            <w:r w:rsidRPr="00803D5D">
              <w:rPr>
                <w:b/>
              </w:rPr>
              <w:t>Mattias Karlsson (SD), ledamot</w:t>
            </w:r>
          </w:p>
          <w:p w:rsidR="00A30151" w:rsidRPr="00803D5D" w:rsidRDefault="00A30151" w:rsidP="00F93CA4">
            <w:pPr>
              <w:pStyle w:val="Normaltindrag"/>
              <w:ind w:firstLine="0"/>
            </w:pPr>
            <w:r w:rsidRPr="00803D5D">
              <w:t xml:space="preserve">Ersättning: </w:t>
            </w:r>
            <w:r w:rsidR="00647EB9" w:rsidRPr="00803D5D">
              <w:t>868 760</w:t>
            </w:r>
            <w:r w:rsidRPr="00803D5D">
              <w:t xml:space="preserve"> kronor</w:t>
            </w:r>
          </w:p>
        </w:tc>
        <w:tc>
          <w:tcPr>
            <w:tcW w:w="2916" w:type="dxa"/>
            <w:vMerge w:val="restart"/>
          </w:tcPr>
          <w:p w:rsidR="00A30151" w:rsidRPr="00803D5D" w:rsidRDefault="00720585" w:rsidP="00AF427E">
            <w:pPr>
              <w:spacing w:before="125"/>
              <w:rPr>
                <w:b/>
              </w:rPr>
            </w:pPr>
            <w:r w:rsidRPr="00803D5D">
              <w:rPr>
                <w:b/>
              </w:rPr>
              <w:t xml:space="preserve">Jonas Eriksson </w:t>
            </w:r>
            <w:r w:rsidR="00A30151" w:rsidRPr="00803D5D">
              <w:rPr>
                <w:b/>
              </w:rPr>
              <w:t>(MP), ledamot</w:t>
            </w:r>
          </w:p>
          <w:p w:rsidR="00A30151" w:rsidRPr="00803D5D" w:rsidRDefault="00A30151" w:rsidP="00AF427E">
            <w:pPr>
              <w:pStyle w:val="Normaltindrag"/>
              <w:ind w:firstLine="0"/>
              <w:rPr>
                <w:u w:val="single"/>
              </w:rPr>
            </w:pPr>
            <w:r w:rsidRPr="00803D5D">
              <w:t xml:space="preserve">Ersättning: </w:t>
            </w:r>
            <w:r w:rsidR="000A2494" w:rsidRPr="00803D5D">
              <w:t>531 277</w:t>
            </w:r>
            <w:r w:rsidR="00720585" w:rsidRPr="00803D5D">
              <w:t xml:space="preserve"> </w:t>
            </w:r>
            <w:r w:rsidRPr="00803D5D">
              <w:t>kronor</w:t>
            </w:r>
          </w:p>
          <w:p w:rsidR="00A30151" w:rsidRPr="00803D5D" w:rsidRDefault="00A30151" w:rsidP="00720585">
            <w:pPr>
              <w:pStyle w:val="Normaltindrag"/>
              <w:ind w:firstLine="0"/>
              <w:jc w:val="left"/>
            </w:pPr>
          </w:p>
        </w:tc>
      </w:tr>
      <w:tr w:rsidR="00A30151" w:rsidRPr="00803D5D" w:rsidTr="00E30698">
        <w:tc>
          <w:tcPr>
            <w:tcW w:w="2972" w:type="dxa"/>
          </w:tcPr>
          <w:p w:rsidR="00A30151" w:rsidRPr="00803D5D" w:rsidRDefault="00A30151" w:rsidP="007440ED">
            <w:pPr>
              <w:pStyle w:val="Normaltindrag"/>
              <w:spacing w:before="125"/>
              <w:ind w:firstLine="0"/>
              <w:rPr>
                <w:b/>
              </w:rPr>
            </w:pPr>
            <w:r w:rsidRPr="00803D5D">
              <w:rPr>
                <w:b/>
              </w:rPr>
              <w:t>Anders W Jonsson (C), ledamot</w:t>
            </w:r>
          </w:p>
          <w:p w:rsidR="00A30151" w:rsidRPr="00803D5D" w:rsidRDefault="00A30151" w:rsidP="00AF427E">
            <w:pPr>
              <w:pStyle w:val="Normaltindrag"/>
              <w:ind w:firstLine="0"/>
              <w:rPr>
                <w:u w:val="single"/>
              </w:rPr>
            </w:pPr>
            <w:r w:rsidRPr="00803D5D">
              <w:t xml:space="preserve">Ersättning: </w:t>
            </w:r>
            <w:r w:rsidR="00A52793" w:rsidRPr="00803D5D">
              <w:t>886 608</w:t>
            </w:r>
            <w:r w:rsidRPr="00803D5D">
              <w:t xml:space="preserve"> kronor</w:t>
            </w:r>
          </w:p>
          <w:p w:rsidR="00A30151" w:rsidRPr="00803D5D" w:rsidRDefault="00A30151" w:rsidP="00AF427E">
            <w:pPr>
              <w:pStyle w:val="Normaltindrag"/>
              <w:ind w:firstLine="0"/>
              <w:rPr>
                <w:i/>
              </w:rPr>
            </w:pPr>
            <w:r w:rsidRPr="00803D5D">
              <w:rPr>
                <w:i/>
              </w:rPr>
              <w:t>Övriga uppdrag:</w:t>
            </w:r>
          </w:p>
          <w:p w:rsidR="00A30151" w:rsidRPr="00803D5D" w:rsidRDefault="008A2CAD" w:rsidP="00AF427E">
            <w:pPr>
              <w:pStyle w:val="Normaltindrag"/>
              <w:ind w:firstLine="0"/>
            </w:pPr>
            <w:r w:rsidRPr="00803D5D">
              <w:t xml:space="preserve">Randello </w:t>
            </w:r>
            <w:r w:rsidR="00A30151" w:rsidRPr="00803D5D">
              <w:t>AB, ordförande</w:t>
            </w:r>
          </w:p>
          <w:p w:rsidR="00A30151" w:rsidRPr="00803D5D" w:rsidRDefault="00A30151" w:rsidP="00D71A29">
            <w:pPr>
              <w:pStyle w:val="Normaltindrag"/>
              <w:ind w:firstLine="0"/>
              <w:rPr>
                <w:b/>
              </w:rPr>
            </w:pPr>
          </w:p>
        </w:tc>
        <w:tc>
          <w:tcPr>
            <w:tcW w:w="2916" w:type="dxa"/>
            <w:vMerge/>
          </w:tcPr>
          <w:p w:rsidR="00A30151" w:rsidRPr="00803D5D" w:rsidRDefault="00A30151" w:rsidP="00AF427E">
            <w:pPr>
              <w:spacing w:before="125"/>
              <w:rPr>
                <w:b/>
              </w:rPr>
            </w:pPr>
          </w:p>
        </w:tc>
      </w:tr>
    </w:tbl>
    <w:p w:rsidR="00CB7053" w:rsidRPr="00803D5D" w:rsidRDefault="00CB7053" w:rsidP="00CB7053">
      <w:pPr>
        <w:pStyle w:val="Normaltindrag"/>
        <w:ind w:firstLine="0"/>
      </w:pPr>
    </w:p>
    <w:p w:rsidR="00CB7053" w:rsidRDefault="00CB7053" w:rsidP="00CB7053">
      <w:pPr>
        <w:pStyle w:val="Normaltindrag"/>
      </w:pPr>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774"/>
      </w:tblGrid>
      <w:tr w:rsidR="00CB7053" w:rsidTr="00E61457">
        <w:trPr>
          <w:trHeight w:val="1843"/>
        </w:trPr>
        <w:tc>
          <w:tcPr>
            <w:tcW w:w="3114" w:type="dxa"/>
          </w:tcPr>
          <w:p w:rsidR="00CB7053" w:rsidRPr="009056B0" w:rsidRDefault="00714A21" w:rsidP="00AF427E">
            <w:pPr>
              <w:rPr>
                <w:b/>
              </w:rPr>
            </w:pPr>
            <w:r>
              <w:rPr>
                <w:b/>
              </w:rPr>
              <w:lastRenderedPageBreak/>
              <w:t>Hanna Bergstedt</w:t>
            </w:r>
            <w:r w:rsidR="00CB7053" w:rsidRPr="009056B0">
              <w:rPr>
                <w:b/>
              </w:rPr>
              <w:t xml:space="preserve"> (S), suppleant</w:t>
            </w:r>
          </w:p>
          <w:p w:rsidR="00CB7053" w:rsidRPr="008A0F28" w:rsidRDefault="00CB7053" w:rsidP="00071A87">
            <w:pPr>
              <w:pStyle w:val="Normaltindrag"/>
              <w:ind w:firstLine="0"/>
            </w:pPr>
            <w:r>
              <w:t xml:space="preserve">Ersättning: </w:t>
            </w:r>
            <w:r w:rsidRPr="001E77C7">
              <w:t>7</w:t>
            </w:r>
            <w:r w:rsidR="001E77C7" w:rsidRPr="001E77C7">
              <w:t>52</w:t>
            </w:r>
            <w:r w:rsidRPr="001E77C7">
              <w:t> </w:t>
            </w:r>
            <w:r w:rsidR="001E77C7" w:rsidRPr="001E77C7">
              <w:t>387</w:t>
            </w:r>
            <w:r w:rsidRPr="001E77C7">
              <w:t xml:space="preserve"> </w:t>
            </w:r>
            <w:r>
              <w:t>kronor</w:t>
            </w:r>
          </w:p>
        </w:tc>
        <w:tc>
          <w:tcPr>
            <w:tcW w:w="2774" w:type="dxa"/>
          </w:tcPr>
          <w:p w:rsidR="00CB7053" w:rsidRPr="00C077CA" w:rsidRDefault="002A32C9" w:rsidP="00AF427E">
            <w:pPr>
              <w:jc w:val="left"/>
              <w:rPr>
                <w:b/>
              </w:rPr>
            </w:pPr>
            <w:r w:rsidRPr="00071A87">
              <w:rPr>
                <w:b/>
              </w:rPr>
              <w:t xml:space="preserve">Mattias Jonsson </w:t>
            </w:r>
            <w:r w:rsidR="00CB7053" w:rsidRPr="00C077CA">
              <w:rPr>
                <w:b/>
              </w:rPr>
              <w:t>(S), supp</w:t>
            </w:r>
            <w:r w:rsidR="00CB7053">
              <w:rPr>
                <w:b/>
              </w:rPr>
              <w:softHyphen/>
            </w:r>
            <w:r w:rsidR="00CB7053">
              <w:rPr>
                <w:b/>
              </w:rPr>
              <w:softHyphen/>
            </w:r>
            <w:r w:rsidR="00CB7053">
              <w:rPr>
                <w:b/>
              </w:rPr>
              <w:softHyphen/>
            </w:r>
            <w:r w:rsidR="00CB7053">
              <w:rPr>
                <w:b/>
              </w:rPr>
              <w:softHyphen/>
            </w:r>
            <w:r w:rsidR="00CB7053" w:rsidRPr="00C077CA">
              <w:rPr>
                <w:b/>
              </w:rPr>
              <w:t>leant</w:t>
            </w:r>
          </w:p>
          <w:p w:rsidR="00CB7053" w:rsidRDefault="00071A87" w:rsidP="00AF427E">
            <w:pPr>
              <w:pStyle w:val="Normaltindrag"/>
              <w:ind w:firstLine="0"/>
            </w:pPr>
            <w:r>
              <w:t xml:space="preserve">Ersättning: </w:t>
            </w:r>
            <w:r w:rsidR="004E1D76" w:rsidRPr="004E1D76">
              <w:t>753 352</w:t>
            </w:r>
            <w:r w:rsidR="00CB7053" w:rsidRPr="004E1D76">
              <w:t xml:space="preserve"> kronor</w:t>
            </w:r>
          </w:p>
          <w:p w:rsidR="002A32C9" w:rsidRPr="00995DA6" w:rsidRDefault="002A32C9" w:rsidP="002A32C9">
            <w:pPr>
              <w:pStyle w:val="Normaltindrag"/>
              <w:ind w:firstLine="0"/>
              <w:rPr>
                <w:i/>
              </w:rPr>
            </w:pPr>
            <w:r w:rsidRPr="00995DA6">
              <w:rPr>
                <w:i/>
              </w:rPr>
              <w:t>Övriga uppdrag:</w:t>
            </w:r>
          </w:p>
          <w:p w:rsidR="002A32C9" w:rsidRPr="002222D1" w:rsidRDefault="002A32C9" w:rsidP="002A32C9">
            <w:pPr>
              <w:pStyle w:val="Normaltindrag"/>
              <w:ind w:firstLine="0"/>
            </w:pPr>
            <w:r w:rsidRPr="002222D1">
              <w:t xml:space="preserve">Älvstranden utveckling AB, </w:t>
            </w:r>
          </w:p>
          <w:p w:rsidR="002A32C9" w:rsidRPr="002222D1" w:rsidRDefault="002A32C9" w:rsidP="002A32C9">
            <w:pPr>
              <w:pStyle w:val="Normaltindrag"/>
              <w:ind w:firstLine="0"/>
            </w:pPr>
            <w:r w:rsidRPr="002222D1">
              <w:t>ordförande</w:t>
            </w:r>
          </w:p>
          <w:p w:rsidR="002A32C9" w:rsidRPr="009056B0" w:rsidRDefault="002A32C9" w:rsidP="00AF427E">
            <w:pPr>
              <w:pStyle w:val="Normaltindrag"/>
              <w:ind w:firstLine="0"/>
            </w:pPr>
            <w:r w:rsidRPr="00D50961">
              <w:t>Förvaltnings AB Järnvägskvarteret, ledamot</w:t>
            </w:r>
          </w:p>
        </w:tc>
      </w:tr>
      <w:tr w:rsidR="00CB7053" w:rsidTr="00565A14">
        <w:tc>
          <w:tcPr>
            <w:tcW w:w="3114" w:type="dxa"/>
          </w:tcPr>
          <w:p w:rsidR="00CB7053" w:rsidRPr="00071A87" w:rsidRDefault="002A32C9" w:rsidP="00787D7F">
            <w:pPr>
              <w:spacing w:before="125"/>
              <w:rPr>
                <w:b/>
              </w:rPr>
            </w:pPr>
            <w:r>
              <w:rPr>
                <w:b/>
              </w:rPr>
              <w:t>Yilmaz Kerimo</w:t>
            </w:r>
            <w:r w:rsidR="00CB7053" w:rsidRPr="00071A87">
              <w:rPr>
                <w:b/>
              </w:rPr>
              <w:t xml:space="preserve"> (S), suppleant</w:t>
            </w:r>
          </w:p>
          <w:p w:rsidR="00CB7053" w:rsidRPr="00071A87" w:rsidRDefault="00071A87" w:rsidP="00AF427E">
            <w:pPr>
              <w:pStyle w:val="Normaltindrag"/>
              <w:ind w:firstLine="0"/>
            </w:pPr>
            <w:r w:rsidRPr="00071A87">
              <w:t xml:space="preserve">Ersättning: </w:t>
            </w:r>
            <w:r w:rsidR="00D30404" w:rsidRPr="00D30404">
              <w:t>762 425</w:t>
            </w:r>
            <w:r w:rsidR="00CB7053" w:rsidRPr="00D30404">
              <w:t xml:space="preserve"> </w:t>
            </w:r>
            <w:r w:rsidR="00CB7053" w:rsidRPr="00071A87">
              <w:t>kronor</w:t>
            </w:r>
          </w:p>
          <w:p w:rsidR="00385333" w:rsidRPr="005E7C91" w:rsidRDefault="00385333" w:rsidP="00385333">
            <w:pPr>
              <w:pStyle w:val="Normaltindrag"/>
              <w:ind w:firstLine="0"/>
              <w:rPr>
                <w:i/>
              </w:rPr>
            </w:pPr>
            <w:r w:rsidRPr="005E7C91">
              <w:rPr>
                <w:i/>
              </w:rPr>
              <w:t>Övriga uppdrag:</w:t>
            </w:r>
          </w:p>
          <w:p w:rsidR="00995DA6" w:rsidRPr="005E7C91" w:rsidRDefault="00AA10FF" w:rsidP="00385333">
            <w:pPr>
              <w:pStyle w:val="Normaltindrag"/>
              <w:ind w:firstLine="0"/>
              <w:jc w:val="left"/>
            </w:pPr>
            <w:r>
              <w:t>Telge</w:t>
            </w:r>
            <w:r w:rsidR="005E7C91" w:rsidRPr="005E7C91">
              <w:t>fastigheter AB, ordförande</w:t>
            </w:r>
          </w:p>
          <w:p w:rsidR="005E7C91" w:rsidRPr="00331EE7" w:rsidRDefault="005E7C91" w:rsidP="00385333">
            <w:pPr>
              <w:pStyle w:val="Normaltindrag"/>
              <w:ind w:firstLine="0"/>
              <w:jc w:val="left"/>
              <w:rPr>
                <w:u w:val="single"/>
              </w:rPr>
            </w:pPr>
            <w:r w:rsidRPr="005E7C91">
              <w:t>Telge AB, suppleant</w:t>
            </w:r>
          </w:p>
        </w:tc>
        <w:tc>
          <w:tcPr>
            <w:tcW w:w="2774" w:type="dxa"/>
          </w:tcPr>
          <w:p w:rsidR="00CB7053" w:rsidRPr="00071A87" w:rsidRDefault="00CB7053" w:rsidP="00787D7F">
            <w:pPr>
              <w:spacing w:before="125"/>
              <w:rPr>
                <w:b/>
              </w:rPr>
            </w:pPr>
            <w:r w:rsidRPr="00071A87">
              <w:rPr>
                <w:b/>
              </w:rPr>
              <w:t>Elin Lundgren (S), suppleant</w:t>
            </w:r>
          </w:p>
          <w:p w:rsidR="00CB7053" w:rsidRPr="002A32C9" w:rsidRDefault="00071A87" w:rsidP="00AF427E">
            <w:pPr>
              <w:pStyle w:val="Normaltindrag"/>
              <w:ind w:firstLine="0"/>
              <w:rPr>
                <w:color w:val="FF0000"/>
                <w:u w:val="single"/>
              </w:rPr>
            </w:pPr>
            <w:r w:rsidRPr="00071A87">
              <w:t xml:space="preserve">Ersättning: </w:t>
            </w:r>
            <w:r w:rsidR="00616395" w:rsidRPr="00616395">
              <w:t>751 834</w:t>
            </w:r>
            <w:r w:rsidR="00CB7053" w:rsidRPr="00616395">
              <w:t xml:space="preserve"> kronor</w:t>
            </w:r>
          </w:p>
          <w:p w:rsidR="00CB7053" w:rsidRPr="00A37E71" w:rsidRDefault="00CB7053" w:rsidP="00AF427E">
            <w:pPr>
              <w:pStyle w:val="Normaltindrag"/>
              <w:ind w:firstLine="0"/>
              <w:rPr>
                <w:i/>
              </w:rPr>
            </w:pPr>
            <w:r w:rsidRPr="00A37E71">
              <w:rPr>
                <w:i/>
              </w:rPr>
              <w:t>Övriga uppdrag:</w:t>
            </w:r>
          </w:p>
          <w:p w:rsidR="00CB7053" w:rsidRPr="00A37E71" w:rsidRDefault="00A37E71" w:rsidP="00AF427E">
            <w:pPr>
              <w:pStyle w:val="Normaltindrag"/>
              <w:ind w:firstLine="0"/>
            </w:pPr>
            <w:r w:rsidRPr="00A37E71">
              <w:t>Polismyndighetens</w:t>
            </w:r>
            <w:r w:rsidR="00C54C71" w:rsidRPr="00A37E71">
              <w:t xml:space="preserve"> insynsråd</w:t>
            </w:r>
            <w:r w:rsidR="00CB7053" w:rsidRPr="00A37E71">
              <w:t xml:space="preserve">, </w:t>
            </w:r>
          </w:p>
          <w:p w:rsidR="00CB7053" w:rsidRPr="00A37E71" w:rsidRDefault="006F5C8A" w:rsidP="00AF427E">
            <w:pPr>
              <w:pStyle w:val="Normaltindrag"/>
              <w:ind w:firstLine="0"/>
            </w:pPr>
            <w:r>
              <w:t>l</w:t>
            </w:r>
            <w:r w:rsidR="00CB7053" w:rsidRPr="00A37E71">
              <w:t>edamot</w:t>
            </w:r>
          </w:p>
          <w:p w:rsidR="00A37E71" w:rsidRPr="00331EE7" w:rsidRDefault="00A37E71" w:rsidP="00AF427E">
            <w:pPr>
              <w:pStyle w:val="Normaltindrag"/>
              <w:ind w:firstLine="0"/>
              <w:rPr>
                <w:u w:val="single"/>
              </w:rPr>
            </w:pPr>
            <w:r w:rsidRPr="00A37E71">
              <w:t>Kriminalvårdens insynsråd, ledamot</w:t>
            </w:r>
          </w:p>
        </w:tc>
      </w:tr>
      <w:tr w:rsidR="00CB7053" w:rsidTr="00565A14">
        <w:tc>
          <w:tcPr>
            <w:tcW w:w="3114" w:type="dxa"/>
          </w:tcPr>
          <w:p w:rsidR="00CB7053" w:rsidRPr="00C41913" w:rsidRDefault="00C41913" w:rsidP="00787D7F">
            <w:pPr>
              <w:pStyle w:val="Normaltindrag"/>
              <w:spacing w:before="125"/>
              <w:ind w:firstLine="0"/>
              <w:rPr>
                <w:b/>
              </w:rPr>
            </w:pPr>
            <w:r w:rsidRPr="00C41913">
              <w:rPr>
                <w:b/>
              </w:rPr>
              <w:t>Anti Avsan (M), suppleant</w:t>
            </w:r>
          </w:p>
          <w:p w:rsidR="00C41913" w:rsidRPr="00763535" w:rsidRDefault="00C41913" w:rsidP="00AF427E">
            <w:pPr>
              <w:pStyle w:val="Normaltindrag"/>
              <w:ind w:firstLine="0"/>
              <w:rPr>
                <w:u w:val="single"/>
              </w:rPr>
            </w:pPr>
            <w:r w:rsidRPr="00C41913">
              <w:t xml:space="preserve">Ersättning: </w:t>
            </w:r>
            <w:r w:rsidR="00616395" w:rsidRPr="00D01428">
              <w:t>758 754</w:t>
            </w:r>
            <w:r w:rsidRPr="00D01428">
              <w:t xml:space="preserve"> </w:t>
            </w:r>
            <w:r w:rsidRPr="00763535">
              <w:t>kronor</w:t>
            </w:r>
          </w:p>
          <w:p w:rsidR="00C41913" w:rsidRPr="003E6D26" w:rsidRDefault="00C41913" w:rsidP="00C41913">
            <w:pPr>
              <w:pStyle w:val="Normaltindrag"/>
              <w:ind w:firstLine="0"/>
              <w:rPr>
                <w:i/>
              </w:rPr>
            </w:pPr>
            <w:r w:rsidRPr="003E6D26">
              <w:rPr>
                <w:i/>
              </w:rPr>
              <w:t>Övriga uppdrag:</w:t>
            </w:r>
          </w:p>
          <w:p w:rsidR="00294CEA" w:rsidRPr="003E6D26" w:rsidRDefault="00294CEA" w:rsidP="00C41913">
            <w:pPr>
              <w:pStyle w:val="Normaltindrag"/>
              <w:ind w:firstLine="0"/>
            </w:pPr>
            <w:r w:rsidRPr="003E6D26">
              <w:t>Boverkets insynsråd, ledamot</w:t>
            </w:r>
          </w:p>
          <w:p w:rsidR="00294CEA" w:rsidRPr="003E6D26" w:rsidRDefault="006F2791" w:rsidP="00294CEA">
            <w:pPr>
              <w:pStyle w:val="Normaltindrag"/>
              <w:ind w:firstLine="0"/>
            </w:pPr>
            <w:r w:rsidRPr="003E6D26">
              <w:t>Brottsförebyggande rådets insynsråd, ledamot</w:t>
            </w:r>
            <w:r w:rsidR="00294CEA" w:rsidRPr="003E6D26">
              <w:t xml:space="preserve"> </w:t>
            </w:r>
          </w:p>
          <w:p w:rsidR="00294CEA" w:rsidRPr="003E6D26" w:rsidRDefault="00294CEA" w:rsidP="00294CEA">
            <w:pPr>
              <w:pStyle w:val="Normaltindrag"/>
              <w:ind w:firstLine="0"/>
              <w:jc w:val="left"/>
            </w:pPr>
            <w:r w:rsidRPr="003E6D26">
              <w:t xml:space="preserve">Polisregion Stockholms insynsråd, </w:t>
            </w:r>
            <w:r w:rsidRPr="003E6D26">
              <w:br/>
              <w:t>ledamot</w:t>
            </w:r>
          </w:p>
          <w:p w:rsidR="00C41913" w:rsidRPr="00D262A6" w:rsidRDefault="00294CEA" w:rsidP="00AF427E">
            <w:pPr>
              <w:pStyle w:val="Normaltindrag"/>
              <w:ind w:firstLine="0"/>
            </w:pPr>
            <w:r w:rsidRPr="003E6D26">
              <w:t>Huge fastigheter AB, ordförande</w:t>
            </w:r>
          </w:p>
        </w:tc>
        <w:tc>
          <w:tcPr>
            <w:tcW w:w="2774" w:type="dxa"/>
          </w:tcPr>
          <w:p w:rsidR="000B093A" w:rsidRPr="00071A87" w:rsidRDefault="000B093A" w:rsidP="00787D7F">
            <w:pPr>
              <w:spacing w:before="125"/>
              <w:rPr>
                <w:b/>
              </w:rPr>
            </w:pPr>
            <w:r w:rsidRPr="00071A87">
              <w:rPr>
                <w:b/>
              </w:rPr>
              <w:t>Cecilia Magnusson (M), suppleant</w:t>
            </w:r>
          </w:p>
          <w:p w:rsidR="000B093A" w:rsidRPr="00763535" w:rsidRDefault="000B093A" w:rsidP="000B093A">
            <w:pPr>
              <w:pStyle w:val="Normaltindrag"/>
              <w:ind w:firstLine="0"/>
              <w:rPr>
                <w:u w:val="single"/>
              </w:rPr>
            </w:pPr>
            <w:r w:rsidRPr="00071A87">
              <w:t xml:space="preserve">Ersättning: </w:t>
            </w:r>
            <w:r w:rsidR="00C119E7" w:rsidRPr="00C119E7">
              <w:t>760 998</w:t>
            </w:r>
            <w:r w:rsidRPr="00C119E7">
              <w:t xml:space="preserve"> kronor</w:t>
            </w:r>
          </w:p>
          <w:p w:rsidR="000B093A" w:rsidRPr="00E53469" w:rsidRDefault="000B093A" w:rsidP="000B093A">
            <w:pPr>
              <w:pStyle w:val="Normaltindrag"/>
              <w:ind w:firstLine="0"/>
              <w:rPr>
                <w:i/>
              </w:rPr>
            </w:pPr>
            <w:r w:rsidRPr="00E53469">
              <w:rPr>
                <w:i/>
              </w:rPr>
              <w:t>Övriga uppdrag:</w:t>
            </w:r>
          </w:p>
          <w:p w:rsidR="0085735A" w:rsidRPr="0085735A" w:rsidRDefault="00D50961" w:rsidP="000B093A">
            <w:pPr>
              <w:pStyle w:val="Normaltindrag"/>
              <w:ind w:firstLine="0"/>
            </w:pPr>
            <w:r>
              <w:t>Göteborgs H</w:t>
            </w:r>
            <w:r w:rsidR="000B093A" w:rsidRPr="00E53469">
              <w:t>amn AB, ledamot</w:t>
            </w:r>
          </w:p>
        </w:tc>
      </w:tr>
      <w:tr w:rsidR="00CB7053" w:rsidTr="00565A14">
        <w:trPr>
          <w:trHeight w:val="658"/>
        </w:trPr>
        <w:tc>
          <w:tcPr>
            <w:tcW w:w="3114" w:type="dxa"/>
          </w:tcPr>
          <w:p w:rsidR="000B093A" w:rsidRPr="0085735A" w:rsidRDefault="000B093A" w:rsidP="00C41913">
            <w:pPr>
              <w:spacing w:before="120"/>
              <w:rPr>
                <w:b/>
              </w:rPr>
            </w:pPr>
            <w:r w:rsidRPr="0085735A">
              <w:rPr>
                <w:b/>
              </w:rPr>
              <w:t>Cecilia Widegren (M), suppleant</w:t>
            </w:r>
          </w:p>
          <w:p w:rsidR="000B093A" w:rsidRPr="000025DC" w:rsidRDefault="000B093A" w:rsidP="000B093A">
            <w:pPr>
              <w:pStyle w:val="Normaltindrag"/>
              <w:ind w:firstLine="0"/>
              <w:rPr>
                <w:u w:val="single"/>
              </w:rPr>
            </w:pPr>
            <w:r w:rsidRPr="0085735A">
              <w:t xml:space="preserve">Ersättning: </w:t>
            </w:r>
            <w:r w:rsidR="00D233A2" w:rsidRPr="00D233A2">
              <w:t>773 434</w:t>
            </w:r>
            <w:r w:rsidRPr="00D233A2">
              <w:t xml:space="preserve"> kronor</w:t>
            </w:r>
          </w:p>
          <w:p w:rsidR="000B093A" w:rsidRPr="00990BAE" w:rsidRDefault="000B093A" w:rsidP="000B093A">
            <w:pPr>
              <w:pStyle w:val="Normaltindrag"/>
              <w:ind w:firstLine="0"/>
              <w:rPr>
                <w:i/>
                <w:highlight w:val="yellow"/>
              </w:rPr>
            </w:pPr>
            <w:r w:rsidRPr="00990BAE">
              <w:rPr>
                <w:i/>
              </w:rPr>
              <w:t>Övriga uppdrag:</w:t>
            </w:r>
          </w:p>
          <w:p w:rsidR="00FE353B" w:rsidRPr="00E61457" w:rsidRDefault="00FE353B" w:rsidP="000B093A">
            <w:pPr>
              <w:pStyle w:val="Normaltindrag"/>
              <w:ind w:firstLine="0"/>
            </w:pPr>
            <w:r w:rsidRPr="00990BAE">
              <w:t>Socialstyrelsens rättsliga råd, ledamot</w:t>
            </w:r>
          </w:p>
        </w:tc>
        <w:tc>
          <w:tcPr>
            <w:tcW w:w="2774" w:type="dxa"/>
            <w:vMerge w:val="restart"/>
          </w:tcPr>
          <w:p w:rsidR="000B093A" w:rsidRPr="0085735A" w:rsidRDefault="000B093A" w:rsidP="000B093A">
            <w:pPr>
              <w:spacing w:before="120"/>
              <w:rPr>
                <w:b/>
              </w:rPr>
            </w:pPr>
            <w:r w:rsidRPr="0085735A">
              <w:rPr>
                <w:b/>
              </w:rPr>
              <w:t>Per Ramhorn (SD), suppleant</w:t>
            </w:r>
          </w:p>
          <w:p w:rsidR="00AF427E" w:rsidRDefault="000B093A" w:rsidP="00C41913">
            <w:pPr>
              <w:spacing w:before="0"/>
              <w:jc w:val="left"/>
              <w:rPr>
                <w:b/>
              </w:rPr>
            </w:pPr>
            <w:r w:rsidRPr="0085735A">
              <w:t xml:space="preserve">Ersättning: </w:t>
            </w:r>
            <w:r w:rsidR="00616395" w:rsidRPr="00616395">
              <w:t>754 774</w:t>
            </w:r>
            <w:r w:rsidRPr="00616395">
              <w:t xml:space="preserve"> </w:t>
            </w:r>
            <w:r w:rsidRPr="0085735A">
              <w:t>kronor</w:t>
            </w:r>
          </w:p>
          <w:p w:rsidR="00AF427E" w:rsidRPr="00DF4EE4" w:rsidRDefault="00D262A6" w:rsidP="00D262A6">
            <w:pPr>
              <w:spacing w:before="360"/>
              <w:jc w:val="left"/>
              <w:rPr>
                <w:b/>
              </w:rPr>
            </w:pPr>
            <w:r>
              <w:rPr>
                <w:b/>
              </w:rPr>
              <w:br/>
            </w:r>
            <w:r w:rsidR="00AF427E" w:rsidRPr="00DF4EE4">
              <w:rPr>
                <w:b/>
              </w:rPr>
              <w:t xml:space="preserve">Ulrika Carlsson i Skövde (C), </w:t>
            </w:r>
            <w:r w:rsidR="00AF427E" w:rsidRPr="00DF4EE4">
              <w:rPr>
                <w:b/>
              </w:rPr>
              <w:br/>
              <w:t>suppleant</w:t>
            </w:r>
          </w:p>
          <w:p w:rsidR="00AF427E" w:rsidRPr="000025DC" w:rsidRDefault="00AF427E" w:rsidP="00AF427E">
            <w:pPr>
              <w:pStyle w:val="Normaltindrag"/>
              <w:ind w:firstLine="0"/>
              <w:jc w:val="left"/>
              <w:rPr>
                <w:u w:val="single"/>
              </w:rPr>
            </w:pPr>
            <w:r w:rsidRPr="00DF4EE4">
              <w:t xml:space="preserve">Ersättning: </w:t>
            </w:r>
            <w:r w:rsidR="00705D7F" w:rsidRPr="00705D7F">
              <w:t>760 045</w:t>
            </w:r>
            <w:r w:rsidRPr="00705D7F">
              <w:t xml:space="preserve"> kronor</w:t>
            </w:r>
          </w:p>
          <w:p w:rsidR="00AF427E" w:rsidRPr="000178ED" w:rsidRDefault="00AF427E" w:rsidP="00AF427E">
            <w:pPr>
              <w:pStyle w:val="Normaltindrag"/>
              <w:ind w:firstLine="0"/>
              <w:jc w:val="left"/>
              <w:rPr>
                <w:i/>
              </w:rPr>
            </w:pPr>
            <w:r w:rsidRPr="000178ED">
              <w:rPr>
                <w:i/>
              </w:rPr>
              <w:t>Övriga uppdrag:</w:t>
            </w:r>
          </w:p>
          <w:p w:rsidR="00AF427E" w:rsidRPr="00E74E05" w:rsidRDefault="00AF427E" w:rsidP="00AF427E">
            <w:pPr>
              <w:pStyle w:val="Normaltindrag"/>
              <w:ind w:firstLine="0"/>
              <w:jc w:val="left"/>
            </w:pPr>
            <w:r w:rsidRPr="00E74E05">
              <w:t>Sätra Bruk AB, ledamot</w:t>
            </w:r>
          </w:p>
          <w:p w:rsidR="00AF427E" w:rsidRPr="00E74E05" w:rsidRDefault="00AF427E" w:rsidP="00AF427E">
            <w:pPr>
              <w:pStyle w:val="Normaltindrag"/>
              <w:ind w:firstLine="0"/>
              <w:jc w:val="left"/>
              <w:rPr>
                <w:lang w:val="en-GB"/>
              </w:rPr>
            </w:pPr>
            <w:r w:rsidRPr="00E74E05">
              <w:rPr>
                <w:lang w:val="en-GB"/>
              </w:rPr>
              <w:t xml:space="preserve">Br Johansson Bygghandel AB, </w:t>
            </w:r>
            <w:r w:rsidRPr="00E74E05">
              <w:rPr>
                <w:lang w:val="en-GB"/>
              </w:rPr>
              <w:br/>
              <w:t>suppleant</w:t>
            </w:r>
          </w:p>
          <w:p w:rsidR="00AF427E" w:rsidRPr="00E74E05" w:rsidRDefault="00AF427E" w:rsidP="00AF427E">
            <w:pPr>
              <w:pStyle w:val="Normaltindrag"/>
              <w:ind w:firstLine="0"/>
              <w:jc w:val="left"/>
              <w:rPr>
                <w:lang w:val="en-GB"/>
              </w:rPr>
            </w:pPr>
            <w:r w:rsidRPr="00E74E05">
              <w:rPr>
                <w:lang w:val="en-GB"/>
              </w:rPr>
              <w:t>Avus AB, suppleant</w:t>
            </w:r>
          </w:p>
          <w:p w:rsidR="00AF427E" w:rsidRPr="00E74E05" w:rsidRDefault="00AF427E" w:rsidP="00AF427E">
            <w:pPr>
              <w:pStyle w:val="Normaltindrag"/>
              <w:ind w:firstLine="0"/>
              <w:jc w:val="left"/>
              <w:rPr>
                <w:lang w:val="en-GB"/>
              </w:rPr>
            </w:pPr>
            <w:r w:rsidRPr="00E74E05">
              <w:rPr>
                <w:lang w:val="en-GB"/>
              </w:rPr>
              <w:t>Ramsågen Invest AB, suppleant</w:t>
            </w:r>
          </w:p>
          <w:p w:rsidR="00AF427E" w:rsidRPr="00E74E05" w:rsidRDefault="00AF427E" w:rsidP="00AF427E">
            <w:pPr>
              <w:pStyle w:val="Normaltindrag"/>
              <w:ind w:firstLine="0"/>
              <w:jc w:val="left"/>
              <w:rPr>
                <w:lang w:val="en-GB"/>
              </w:rPr>
            </w:pPr>
            <w:r w:rsidRPr="00E74E05">
              <w:rPr>
                <w:lang w:val="en-GB"/>
              </w:rPr>
              <w:t>XL-Bygg Tibro AB, suppleant</w:t>
            </w:r>
          </w:p>
          <w:p w:rsidR="00AF427E" w:rsidRPr="00E74E05" w:rsidRDefault="00AF427E" w:rsidP="00AF427E">
            <w:pPr>
              <w:pStyle w:val="Normaltindrag"/>
              <w:ind w:firstLine="0"/>
              <w:jc w:val="left"/>
              <w:rPr>
                <w:lang w:val="en-GB"/>
              </w:rPr>
            </w:pPr>
            <w:r w:rsidRPr="00E74E05">
              <w:rPr>
                <w:lang w:val="en-GB"/>
              </w:rPr>
              <w:t>BJT Hyvel AB, suppleant</w:t>
            </w:r>
          </w:p>
          <w:p w:rsidR="00CB7053" w:rsidRDefault="00AF427E" w:rsidP="00AF427E">
            <w:pPr>
              <w:pStyle w:val="Normaltindrag"/>
              <w:ind w:firstLine="0"/>
              <w:jc w:val="left"/>
            </w:pPr>
            <w:r w:rsidRPr="00E74E05">
              <w:t>Yrkeshögskolemyndighetens insynsråd, ledamot</w:t>
            </w:r>
          </w:p>
          <w:p w:rsidR="002D2F80" w:rsidRPr="007040C8" w:rsidRDefault="000178ED" w:rsidP="00AF427E">
            <w:pPr>
              <w:pStyle w:val="Normaltindrag"/>
              <w:ind w:firstLine="0"/>
              <w:jc w:val="left"/>
            </w:pPr>
            <w:r w:rsidRPr="000178ED">
              <w:t>Allmänna Barnhuset i Stockholm AB, ledamot</w:t>
            </w:r>
          </w:p>
        </w:tc>
      </w:tr>
      <w:tr w:rsidR="00CB7053" w:rsidTr="00565A14">
        <w:trPr>
          <w:trHeight w:val="657"/>
        </w:trPr>
        <w:tc>
          <w:tcPr>
            <w:tcW w:w="3114" w:type="dxa"/>
          </w:tcPr>
          <w:p w:rsidR="00AF427E" w:rsidRPr="000025DC" w:rsidRDefault="00720585" w:rsidP="00D262A6">
            <w:pPr>
              <w:spacing w:before="120"/>
              <w:jc w:val="left"/>
              <w:rPr>
                <w:u w:val="single"/>
              </w:rPr>
            </w:pPr>
            <w:r w:rsidRPr="00A30151">
              <w:rPr>
                <w:b/>
              </w:rPr>
              <w:t xml:space="preserve">Maria Ferm </w:t>
            </w:r>
            <w:r w:rsidR="00AF427E" w:rsidRPr="00285321">
              <w:rPr>
                <w:b/>
              </w:rPr>
              <w:t>(MP), suppleant</w:t>
            </w:r>
            <w:r w:rsidR="00AF427E">
              <w:rPr>
                <w:b/>
              </w:rPr>
              <w:br/>
            </w:r>
            <w:r w:rsidR="00AF427E">
              <w:t>E</w:t>
            </w:r>
            <w:r w:rsidR="00AF427E" w:rsidRPr="00285321">
              <w:t xml:space="preserve">rsättning: </w:t>
            </w:r>
            <w:r w:rsidR="00894586" w:rsidRPr="00894586">
              <w:t>880 319</w:t>
            </w:r>
            <w:r w:rsidRPr="00894586">
              <w:t xml:space="preserve"> </w:t>
            </w:r>
            <w:r w:rsidR="00AF427E" w:rsidRPr="00894586">
              <w:t>kronor</w:t>
            </w:r>
          </w:p>
          <w:p w:rsidR="00720585" w:rsidRPr="00AA6EFB" w:rsidRDefault="00720585" w:rsidP="00720585">
            <w:pPr>
              <w:pStyle w:val="Normaltindrag"/>
              <w:ind w:firstLine="0"/>
              <w:jc w:val="left"/>
              <w:rPr>
                <w:i/>
              </w:rPr>
            </w:pPr>
            <w:r w:rsidRPr="00AA6EFB">
              <w:rPr>
                <w:i/>
              </w:rPr>
              <w:t>Övriga uppdrag:</w:t>
            </w:r>
          </w:p>
          <w:p w:rsidR="00720585" w:rsidRPr="00AA6EFB" w:rsidRDefault="00271AB0" w:rsidP="00720585">
            <w:pPr>
              <w:pStyle w:val="Normaltindrag"/>
              <w:ind w:firstLine="0"/>
              <w:jc w:val="left"/>
            </w:pPr>
            <w:r w:rsidRPr="00AA6EFB">
              <w:t xml:space="preserve">Migrationsverkets insynsråd, </w:t>
            </w:r>
            <w:r w:rsidR="00720585" w:rsidRPr="00AA6EFB">
              <w:t>ledamot</w:t>
            </w:r>
          </w:p>
          <w:p w:rsidR="00CB7053" w:rsidRPr="00D262A6" w:rsidRDefault="00271AB0" w:rsidP="00AF427E">
            <w:pPr>
              <w:pStyle w:val="Normaltindrag"/>
              <w:ind w:firstLine="0"/>
              <w:jc w:val="left"/>
            </w:pPr>
            <w:r w:rsidRPr="00AA6EFB">
              <w:t xml:space="preserve">Säkerhetspolisens insynsråd, </w:t>
            </w:r>
            <w:r w:rsidR="00720585" w:rsidRPr="00AA6EFB">
              <w:t>ledamot</w:t>
            </w:r>
          </w:p>
        </w:tc>
        <w:tc>
          <w:tcPr>
            <w:tcW w:w="2774" w:type="dxa"/>
            <w:vMerge/>
          </w:tcPr>
          <w:p w:rsidR="00CB7053" w:rsidRPr="009056B0" w:rsidRDefault="00CB7053" w:rsidP="00AF427E">
            <w:pPr>
              <w:rPr>
                <w:b/>
              </w:rPr>
            </w:pPr>
          </w:p>
        </w:tc>
      </w:tr>
      <w:tr w:rsidR="00CB7053" w:rsidRPr="006877AC" w:rsidTr="00565A14">
        <w:tc>
          <w:tcPr>
            <w:tcW w:w="3114" w:type="dxa"/>
          </w:tcPr>
          <w:p w:rsidR="00CB7053" w:rsidRPr="00285321" w:rsidRDefault="00CB7053" w:rsidP="00787D7F">
            <w:pPr>
              <w:spacing w:before="120"/>
              <w:rPr>
                <w:b/>
              </w:rPr>
            </w:pPr>
            <w:r w:rsidRPr="00285321">
              <w:rPr>
                <w:b/>
              </w:rPr>
              <w:t>Kathrin Flossing, riksdagsdirektör</w:t>
            </w:r>
          </w:p>
          <w:p w:rsidR="00CB7053" w:rsidRPr="00285321" w:rsidRDefault="00CB7053" w:rsidP="00AF427E">
            <w:pPr>
              <w:pStyle w:val="Normaltindrag"/>
              <w:ind w:firstLine="0"/>
            </w:pPr>
            <w:r w:rsidRPr="00285321">
              <w:t xml:space="preserve">Ersättning: </w:t>
            </w:r>
            <w:r w:rsidRPr="00824CAD">
              <w:t>1 </w:t>
            </w:r>
            <w:r w:rsidR="00824CAD" w:rsidRPr="00824CAD">
              <w:t>567</w:t>
            </w:r>
            <w:r w:rsidRPr="00824CAD">
              <w:t> </w:t>
            </w:r>
            <w:r w:rsidR="00824CAD" w:rsidRPr="00824CAD">
              <w:t>184</w:t>
            </w:r>
            <w:r w:rsidRPr="00824CAD">
              <w:t xml:space="preserve"> </w:t>
            </w:r>
            <w:r w:rsidRPr="00285321">
              <w:t>kronor</w:t>
            </w:r>
          </w:p>
          <w:p w:rsidR="00CB7053" w:rsidRPr="00331EE7" w:rsidRDefault="00CB7053" w:rsidP="00AF427E">
            <w:pPr>
              <w:pStyle w:val="Normaltindrag"/>
              <w:ind w:firstLine="0"/>
              <w:rPr>
                <w:u w:val="single"/>
              </w:rPr>
            </w:pPr>
          </w:p>
        </w:tc>
        <w:tc>
          <w:tcPr>
            <w:tcW w:w="2774" w:type="dxa"/>
            <w:vMerge/>
          </w:tcPr>
          <w:p w:rsidR="00CB7053" w:rsidRPr="00106E21" w:rsidRDefault="00CB7053" w:rsidP="00AF427E">
            <w:pPr>
              <w:pStyle w:val="Normaltindrag"/>
              <w:ind w:firstLine="0"/>
            </w:pPr>
          </w:p>
        </w:tc>
      </w:tr>
    </w:tbl>
    <w:p w:rsidR="00E61457" w:rsidRDefault="00E61457">
      <w:pPr>
        <w:spacing w:before="0" w:after="200" w:line="276" w:lineRule="auto"/>
        <w:jc w:val="left"/>
      </w:pPr>
      <w:r>
        <w:br w:type="page"/>
      </w:r>
    </w:p>
    <w:p w:rsidR="00CB7053" w:rsidRPr="00CB7053" w:rsidRDefault="00CB7053" w:rsidP="00CB7053">
      <w:pPr>
        <w:pStyle w:val="Normaltindrag"/>
        <w:ind w:firstLine="0"/>
      </w:pPr>
    </w:p>
    <w:p w:rsidR="001B3535" w:rsidRDefault="00A76D16" w:rsidP="00314FC2">
      <w:pPr>
        <w:rPr>
          <w:b/>
        </w:rPr>
      </w:pPr>
      <w:r w:rsidRPr="00EF0902">
        <w:rPr>
          <w:b/>
        </w:rPr>
        <w:t xml:space="preserve">Ledamöter och suppleanter som har avgått ur </w:t>
      </w:r>
      <w:r>
        <w:rPr>
          <w:b/>
        </w:rPr>
        <w:t>riksdags</w:t>
      </w:r>
      <w:r w:rsidRPr="00EF0902">
        <w:rPr>
          <w:b/>
        </w:rPr>
        <w:t>styrelsen</w:t>
      </w:r>
      <w:r w:rsidR="00C93B06">
        <w:rPr>
          <w:rStyle w:val="Fotnotsreferens"/>
          <w:b/>
        </w:rPr>
        <w:footnoteReference w:id="43"/>
      </w:r>
    </w:p>
    <w:p w:rsidR="00A76D16" w:rsidRDefault="00A76D16" w:rsidP="00A76D16">
      <w:pPr>
        <w:pStyle w:val="Normalt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2944"/>
      </w:tblGrid>
      <w:tr w:rsidR="00A76D16" w:rsidTr="00834B3D">
        <w:tc>
          <w:tcPr>
            <w:tcW w:w="2944" w:type="dxa"/>
          </w:tcPr>
          <w:p w:rsidR="00834B3D" w:rsidRPr="00E16354" w:rsidRDefault="0031598F" w:rsidP="00E16354">
            <w:pPr>
              <w:pStyle w:val="Normaltindrag"/>
              <w:ind w:firstLine="0"/>
              <w:rPr>
                <w:b/>
              </w:rPr>
            </w:pPr>
            <w:r w:rsidRPr="00D43DBC">
              <w:rPr>
                <w:b/>
              </w:rPr>
              <w:t xml:space="preserve">Leif Jakobsson (S), </w:t>
            </w:r>
            <w:r w:rsidR="00834B3D" w:rsidRPr="00E16354">
              <w:rPr>
                <w:b/>
              </w:rPr>
              <w:t>ledamot</w:t>
            </w:r>
          </w:p>
          <w:p w:rsidR="00834B3D" w:rsidRPr="00834B3D" w:rsidRDefault="00834B3D" w:rsidP="00834B3D">
            <w:pPr>
              <w:pStyle w:val="Normaltindrag"/>
              <w:ind w:firstLine="0"/>
            </w:pPr>
            <w:r w:rsidRPr="00834B3D">
              <w:t xml:space="preserve">t.o.m. den </w:t>
            </w:r>
            <w:r w:rsidR="0031598F">
              <w:t>14 juni</w:t>
            </w:r>
            <w:r w:rsidRPr="00834B3D">
              <w:t xml:space="preserve"> 201</w:t>
            </w:r>
            <w:r w:rsidR="0031598F">
              <w:t>6</w:t>
            </w:r>
          </w:p>
          <w:p w:rsidR="00A76D16" w:rsidRDefault="00834B3D" w:rsidP="0031598F">
            <w:pPr>
              <w:pStyle w:val="Normaltindrag"/>
              <w:ind w:firstLine="0"/>
            </w:pPr>
            <w:r w:rsidRPr="00834B3D">
              <w:t xml:space="preserve">Ersättning: </w:t>
            </w:r>
            <w:r w:rsidR="00A0633C" w:rsidRPr="00A0633C">
              <w:t>460 836</w:t>
            </w:r>
            <w:r w:rsidRPr="00A0633C">
              <w:t xml:space="preserve"> </w:t>
            </w:r>
            <w:r w:rsidRPr="00834B3D">
              <w:t>kronor</w:t>
            </w:r>
          </w:p>
          <w:p w:rsidR="009608E4" w:rsidRPr="000178ED" w:rsidRDefault="009608E4" w:rsidP="009608E4">
            <w:pPr>
              <w:pStyle w:val="Normaltindrag"/>
              <w:ind w:firstLine="0"/>
              <w:jc w:val="left"/>
              <w:rPr>
                <w:i/>
              </w:rPr>
            </w:pPr>
            <w:r w:rsidRPr="000178ED">
              <w:rPr>
                <w:i/>
              </w:rPr>
              <w:t>Övriga uppdrag:</w:t>
            </w:r>
          </w:p>
          <w:p w:rsidR="009608E4" w:rsidRPr="00522A39" w:rsidRDefault="009608E4" w:rsidP="0031598F">
            <w:pPr>
              <w:pStyle w:val="Normaltindrag"/>
              <w:ind w:firstLine="0"/>
            </w:pPr>
            <w:r w:rsidRPr="00522A39">
              <w:t>Sabo AB, ordförande</w:t>
            </w:r>
          </w:p>
          <w:p w:rsidR="009608E4" w:rsidRPr="00522A39" w:rsidRDefault="009608E4" w:rsidP="0031598F">
            <w:pPr>
              <w:pStyle w:val="Normaltindrag"/>
              <w:ind w:firstLine="0"/>
            </w:pPr>
            <w:r w:rsidRPr="00522A39">
              <w:t>MKB Fastighets AB, ledamot</w:t>
            </w:r>
          </w:p>
          <w:p w:rsidR="009608E4" w:rsidRPr="00331EE7" w:rsidRDefault="009608E4" w:rsidP="0031598F">
            <w:pPr>
              <w:pStyle w:val="Normaltindrag"/>
              <w:ind w:firstLine="0"/>
              <w:rPr>
                <w:highlight w:val="yellow"/>
                <w:u w:val="single"/>
              </w:rPr>
            </w:pPr>
            <w:r w:rsidRPr="00522A39">
              <w:t>MKB Net AB, ledamot</w:t>
            </w:r>
          </w:p>
        </w:tc>
        <w:tc>
          <w:tcPr>
            <w:tcW w:w="2944" w:type="dxa"/>
          </w:tcPr>
          <w:p w:rsidR="00A76D16" w:rsidRPr="00331EE7" w:rsidRDefault="00A76D16" w:rsidP="00834B3D">
            <w:pPr>
              <w:pStyle w:val="Normaltindrag"/>
              <w:ind w:firstLine="0"/>
              <w:rPr>
                <w:highlight w:val="yellow"/>
                <w:u w:val="single"/>
              </w:rPr>
            </w:pPr>
          </w:p>
        </w:tc>
      </w:tr>
      <w:tr w:rsidR="00A76D16" w:rsidTr="00834B3D">
        <w:tc>
          <w:tcPr>
            <w:tcW w:w="2944" w:type="dxa"/>
          </w:tcPr>
          <w:p w:rsidR="00A76D16" w:rsidRPr="00331EE7" w:rsidRDefault="00A76D16" w:rsidP="00834B3D">
            <w:pPr>
              <w:pStyle w:val="Normaltindrag"/>
              <w:ind w:firstLine="0"/>
              <w:rPr>
                <w:highlight w:val="yellow"/>
                <w:u w:val="single"/>
              </w:rPr>
            </w:pPr>
          </w:p>
        </w:tc>
        <w:tc>
          <w:tcPr>
            <w:tcW w:w="2944" w:type="dxa"/>
          </w:tcPr>
          <w:p w:rsidR="00A76D16" w:rsidRPr="00331EE7" w:rsidRDefault="00A76D16" w:rsidP="00AF427E">
            <w:pPr>
              <w:pStyle w:val="Normaltindrag"/>
              <w:ind w:firstLine="0"/>
              <w:rPr>
                <w:highlight w:val="yellow"/>
                <w:u w:val="single"/>
              </w:rPr>
            </w:pPr>
          </w:p>
        </w:tc>
      </w:tr>
    </w:tbl>
    <w:p w:rsidR="00A76D16" w:rsidRPr="00A76D16" w:rsidRDefault="00A76D16" w:rsidP="00A76D16">
      <w:pPr>
        <w:pStyle w:val="Normaltindrag"/>
      </w:pPr>
    </w:p>
    <w:p w:rsidR="00A76D16" w:rsidRDefault="00A76D16" w:rsidP="00A76D16">
      <w:pPr>
        <w:pStyle w:val="Normaltindrag"/>
      </w:pPr>
    </w:p>
    <w:p w:rsidR="00A72189" w:rsidRDefault="00A72189">
      <w:pPr>
        <w:spacing w:before="0" w:after="200" w:line="276" w:lineRule="auto"/>
        <w:jc w:val="left"/>
      </w:pPr>
      <w:r>
        <w:br w:type="page"/>
      </w:r>
    </w:p>
    <w:p w:rsidR="00A76D16" w:rsidRPr="00A76D16" w:rsidRDefault="00A76D16" w:rsidP="00A72189"/>
    <w:p w:rsidR="00B747CD" w:rsidRPr="00D035BF" w:rsidRDefault="00B747CD" w:rsidP="00314FC2"/>
    <w:p w:rsidR="00743812" w:rsidRPr="00D035BF" w:rsidRDefault="00743812" w:rsidP="00A72189">
      <w:pPr>
        <w:pStyle w:val="Normaltindrag"/>
        <w:ind w:firstLine="0"/>
        <w:sectPr w:rsidR="00743812" w:rsidRPr="00D035BF" w:rsidSect="0039664C">
          <w:pgSz w:w="9356" w:h="13721" w:code="9"/>
          <w:pgMar w:top="907" w:right="2041" w:bottom="1474" w:left="1417" w:header="397" w:footer="624" w:gutter="0"/>
          <w:cols w:space="708"/>
          <w:docGrid w:linePitch="360"/>
        </w:sectPr>
      </w:pPr>
    </w:p>
    <w:p w:rsidR="001B3535" w:rsidRPr="00D035BF" w:rsidRDefault="001374C0" w:rsidP="007040C8">
      <w:r>
        <w:rPr>
          <w:noProof/>
          <w:lang w:eastAsia="sv-SE"/>
        </w:rPr>
        <mc:AlternateContent>
          <mc:Choice Requires="wps">
            <w:drawing>
              <wp:anchor distT="0" distB="0" distL="114300" distR="114300" simplePos="0" relativeHeight="251660288" behindDoc="0" locked="0" layoutInCell="1" allowOverlap="1">
                <wp:simplePos x="0" y="0"/>
                <wp:positionH relativeFrom="page">
                  <wp:posOffset>3240405</wp:posOffset>
                </wp:positionH>
                <wp:positionV relativeFrom="page">
                  <wp:posOffset>8204200</wp:posOffset>
                </wp:positionV>
                <wp:extent cx="1799590" cy="179705"/>
                <wp:effectExtent l="0" t="0" r="10160" b="10795"/>
                <wp:wrapNone/>
                <wp:docPr id="12"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74C0" w:rsidRDefault="001374C0" w:rsidP="001374C0">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ryckfot" o:spid="_x0000_s1027" type="#_x0000_t202" style="position:absolute;left:0;text-align:left;margin-left:255.15pt;margin-top:646pt;width:141.7pt;height:14.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" filled="f" stroked="f" strokeweight=".5pt">
                <v:fill o:detectmouseclick="t"/>
                <v:textbox inset="0,0,0,0">
                  <w:txbxContent>
                    <w:p w:rsidR="001374C0" w:rsidRDefault="001374C0" w:rsidP="001374C0">
                      <w:pPr>
                        <w:pStyle w:val="Fotnotstext"/>
                        <w:jc w:val="right"/>
                      </w:pPr>
                      <w:r>
                        <w:t>Tryck: Elanders, Vällingby 2017</w:t>
                      </w:r>
                    </w:p>
                  </w:txbxContent>
                </v:textbox>
                <w10:wrap anchorx="page" anchory="page"/>
              </v:shape>
            </w:pict>
          </mc:Fallback>
        </mc:AlternateContent>
      </w:r>
      <w:r w:rsidR="00997530">
        <w:rPr>
          <w:noProof/>
          <w:lang w:eastAsia="sv-SE"/>
        </w:rPr>
        <w:drawing>
          <wp:inline distT="0" distB="0" distL="0" distR="0">
            <wp:extent cx="3744595" cy="5741670"/>
            <wp:effectExtent l="0" t="0" r="8255"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1_namnundersrkrifter.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44595" cy="5741670"/>
                    </a:xfrm>
                    <a:prstGeom prst="rect">
                      <a:avLst/>
                    </a:prstGeom>
                  </pic:spPr>
                </pic:pic>
              </a:graphicData>
            </a:graphic>
          </wp:inline>
        </w:drawing>
      </w:r>
    </w:p>
    <w:sectPr w:rsidR="001B3535" w:rsidRPr="00D035BF" w:rsidSect="0039664C">
      <w:headerReference w:type="even" r:id="rId22"/>
      <w:headerReference w:type="default" r:id="rId23"/>
      <w:headerReference w:type="first" r:id="rId24"/>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E87" w:rsidRDefault="00725E87" w:rsidP="00A82541">
      <w:pPr>
        <w:spacing w:line="240" w:lineRule="auto"/>
      </w:pPr>
      <w:r>
        <w:separator/>
      </w:r>
    </w:p>
  </w:endnote>
  <w:endnote w:type="continuationSeparator" w:id="0">
    <w:p w:rsidR="00725E87" w:rsidRDefault="00725E87"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603050" w:rsidRDefault="00603050" w:rsidP="00542624">
        <w:pPr>
          <w:pStyle w:val="Sidfot"/>
          <w:ind w:left="-1588"/>
          <w:jc w:val="left"/>
        </w:pPr>
        <w:r>
          <w:fldChar w:fldCharType="begin"/>
        </w:r>
        <w:r>
          <w:instrText>PAGE \* MERGEFORMAT</w:instrText>
        </w:r>
        <w:r>
          <w:fldChar w:fldCharType="separate"/>
        </w:r>
        <w:r w:rsidR="009E7918">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603050" w:rsidRDefault="00603050" w:rsidP="00542624">
        <w:pPr>
          <w:pStyle w:val="Sidfot"/>
          <w:tabs>
            <w:tab w:val="clear" w:pos="4536"/>
            <w:tab w:val="clear" w:pos="9072"/>
          </w:tabs>
          <w:ind w:right="-1559"/>
          <w:jc w:val="right"/>
        </w:pPr>
        <w:r>
          <w:fldChar w:fldCharType="begin"/>
        </w:r>
        <w:r>
          <w:instrText>PAGE \* MERGEFORMAT</w:instrText>
        </w:r>
        <w:r>
          <w:fldChar w:fldCharType="separate"/>
        </w:r>
        <w:r w:rsidR="009E7918">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rsidP="00542624">
    <w:pPr>
      <w:pStyle w:val="Sidfot"/>
      <w:tabs>
        <w:tab w:val="clear" w:pos="4536"/>
        <w:tab w:val="clear" w:pos="9072"/>
      </w:tabs>
      <w:ind w:right="-1559"/>
      <w:jc w:val="right"/>
    </w:pPr>
    <w:r>
      <w:fldChar w:fldCharType="begin"/>
    </w:r>
    <w:r>
      <w:instrText xml:space="preserve"> PAGE \* MERGEFORMAT </w:instrText>
    </w:r>
    <w:r>
      <w:fldChar w:fldCharType="separate"/>
    </w:r>
    <w:r w:rsidR="00EB39E7">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603050" w:rsidRDefault="00603050"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E87" w:rsidRDefault="00725E87" w:rsidP="00A82541">
      <w:pPr>
        <w:spacing w:line="240" w:lineRule="auto"/>
      </w:pPr>
      <w:r>
        <w:separator/>
      </w:r>
    </w:p>
  </w:footnote>
  <w:footnote w:type="continuationSeparator" w:id="0">
    <w:p w:rsidR="00725E87" w:rsidRDefault="00725E87" w:rsidP="00A82541">
      <w:pPr>
        <w:spacing w:line="240" w:lineRule="auto"/>
      </w:pPr>
      <w:r>
        <w:continuationSeparator/>
      </w:r>
    </w:p>
  </w:footnote>
  <w:footnote w:id="1">
    <w:p w:rsidR="00603050" w:rsidRDefault="00603050">
      <w:pPr>
        <w:pStyle w:val="Fotnotstext"/>
      </w:pPr>
      <w:r>
        <w:rPr>
          <w:rStyle w:val="Fotnotsreferens"/>
        </w:rPr>
        <w:footnoteRef/>
      </w:r>
      <w:r>
        <w:t xml:space="preserve"> Lag (2011:745) med instruktion för Riksdagsförvaltningen.</w:t>
      </w:r>
    </w:p>
  </w:footnote>
  <w:footnote w:id="2">
    <w:p w:rsidR="00603050" w:rsidRDefault="00603050" w:rsidP="00D035BF">
      <w:pPr>
        <w:pStyle w:val="Fotnotstext"/>
      </w:pPr>
      <w:r>
        <w:rPr>
          <w:rStyle w:val="Fotnotsreferens"/>
        </w:rPr>
        <w:footnoteRef/>
      </w:r>
      <w:r>
        <w:t xml:space="preserve"> Lag (2006:999) med ekonomiadministrativa bestämmelser m.m. för Riksdagsförvaltningen, Riksdagens ombudsmän och Riksrevisionen. Lagen ersätts den 1 januari 2017 av BEA-lagen, lag (2016:1091) om budget och ekonomiadministration för riksdagens myndigheter.</w:t>
      </w:r>
    </w:p>
  </w:footnote>
  <w:footnote w:id="3">
    <w:p w:rsidR="00603050" w:rsidRDefault="00603050">
      <w:pPr>
        <w:pStyle w:val="Fotnotstext"/>
      </w:pPr>
      <w:r>
        <w:rPr>
          <w:rStyle w:val="Fotnotsreferens"/>
        </w:rPr>
        <w:footnoteRef/>
      </w:r>
      <w:r>
        <w:t xml:space="preserve"> Riksdagsstyrelsen beslutade om en strategisk plan för 2015–2018 den 25 mars 2015 och reviderade planen den 16 mars 2016. Verksamhetsplanen för 2016 beslutades den 16 december 2015.</w:t>
      </w:r>
    </w:p>
  </w:footnote>
  <w:footnote w:id="4">
    <w:p w:rsidR="00603050" w:rsidRDefault="00603050">
      <w:pPr>
        <w:pStyle w:val="Fotnotstext"/>
      </w:pPr>
      <w:r>
        <w:rPr>
          <w:rStyle w:val="Fotnotsreferens"/>
        </w:rPr>
        <w:footnoteRef/>
      </w:r>
      <w:r>
        <w:t xml:space="preserve"> Riksdagsstyrelsen beslutade om anslagsdirektiv för Riksdagsförvaltningen 2016 den 16 december 2015.</w:t>
      </w:r>
    </w:p>
  </w:footnote>
  <w:footnote w:id="5">
    <w:p w:rsidR="00603050" w:rsidRDefault="00603050">
      <w:pPr>
        <w:pStyle w:val="Fotnotstext"/>
      </w:pPr>
      <w:r>
        <w:rPr>
          <w:rStyle w:val="Fotnotsreferens"/>
        </w:rPr>
        <w:footnoteRef/>
      </w:r>
      <w:r>
        <w:t xml:space="preserve"> Ränteintäkten i avsättningen till ledamöters pensioner beror på att bruttoräntan enligt Finansinspektionens tryggandegrunder (FFFS 2007:24) har minskat från 0,8 procent till -0,4 procent.</w:t>
      </w:r>
    </w:p>
  </w:footnote>
  <w:footnote w:id="6">
    <w:p w:rsidR="00603050" w:rsidRDefault="00603050">
      <w:pPr>
        <w:pStyle w:val="Fotnotstext"/>
      </w:pPr>
      <w:r>
        <w:rPr>
          <w:rStyle w:val="Fotnotsreferens"/>
        </w:rPr>
        <w:footnoteRef/>
      </w:r>
      <w:r>
        <w:t xml:space="preserve"> Arbetet med EU-ärenden</w:t>
      </w:r>
      <w:r w:rsidRPr="00392C42">
        <w:t xml:space="preserve"> redovisas i efterföljande avsnitt.</w:t>
      </w:r>
    </w:p>
  </w:footnote>
  <w:footnote w:id="7">
    <w:p w:rsidR="00603050" w:rsidRDefault="00603050">
      <w:pPr>
        <w:pStyle w:val="Fotnotstext"/>
      </w:pPr>
      <w:r>
        <w:rPr>
          <w:rStyle w:val="Fotnotsreferens"/>
        </w:rPr>
        <w:footnoteRef/>
      </w:r>
      <w:r>
        <w:t xml:space="preserve"> Motionen hänvisades till något utskott.</w:t>
      </w:r>
    </w:p>
  </w:footnote>
  <w:footnote w:id="8">
    <w:p w:rsidR="00603050" w:rsidRDefault="00603050" w:rsidP="00044836">
      <w:pPr>
        <w:pStyle w:val="Fotnotstext"/>
      </w:pPr>
      <w:r>
        <w:rPr>
          <w:rStyle w:val="Fotnotsreferens"/>
        </w:rPr>
        <w:footnoteRef/>
      </w:r>
      <w:r>
        <w:t xml:space="preserve"> Motionerna hänvisades inte till något utskott.</w:t>
      </w:r>
    </w:p>
  </w:footnote>
  <w:footnote w:id="9">
    <w:p w:rsidR="00603050" w:rsidRDefault="00603050">
      <w:pPr>
        <w:pStyle w:val="Fotnotstext"/>
      </w:pPr>
      <w:r>
        <w:rPr>
          <w:rStyle w:val="Fotnotsreferens"/>
        </w:rPr>
        <w:footnoteRef/>
      </w:r>
      <w:r>
        <w:t xml:space="preserve"> G</w:t>
      </w:r>
      <w:r w:rsidRPr="00104D6F">
        <w:t>ranskningsutlåtanden oc</w:t>
      </w:r>
      <w:r>
        <w:t xml:space="preserve">h prövningsutlåtanden redovisas </w:t>
      </w:r>
      <w:r w:rsidRPr="00104D6F">
        <w:t xml:space="preserve">här gemensamt. För </w:t>
      </w:r>
      <w:r>
        <w:t xml:space="preserve">separat </w:t>
      </w:r>
    </w:p>
    <w:p w:rsidR="00603050" w:rsidRDefault="00603050">
      <w:pPr>
        <w:pStyle w:val="Fotnotstext"/>
      </w:pPr>
      <w:r>
        <w:t>redovisning se tabell 6.</w:t>
      </w:r>
    </w:p>
  </w:footnote>
  <w:footnote w:id="10">
    <w:p w:rsidR="00603050" w:rsidRPr="00633463" w:rsidRDefault="00603050" w:rsidP="00242624">
      <w:pPr>
        <w:pStyle w:val="Fotnotstext"/>
        <w:rPr>
          <w:u w:val="single"/>
        </w:rPr>
      </w:pPr>
      <w:r>
        <w:rPr>
          <w:rStyle w:val="Fotnotsreferens"/>
        </w:rPr>
        <w:footnoteRef/>
      </w:r>
      <w:r>
        <w:t xml:space="preserve"> </w:t>
      </w:r>
      <w:r w:rsidRPr="008B378B">
        <w:t>Inklusive återrapportering från Europeiska rådets möten.</w:t>
      </w:r>
    </w:p>
  </w:footnote>
  <w:footnote w:id="11">
    <w:p w:rsidR="00603050" w:rsidRDefault="00603050">
      <w:pPr>
        <w:pStyle w:val="Fotnotstext"/>
      </w:pPr>
      <w:r>
        <w:rPr>
          <w:rStyle w:val="Fotnotsreferens"/>
        </w:rPr>
        <w:footnoteRef/>
      </w:r>
      <w:r>
        <w:t xml:space="preserve"> Avrundat till närmaste tusental. Inkluderar kostnader för ledamöter och medföljande tjänstemän. </w:t>
      </w:r>
      <w:r w:rsidRPr="00AF4ECE">
        <w:t>Kostnaderna redovisas i tabellen det år de utbetalas, vilket innebär att i beloppet för 2016 ingår 88 tkr för resor gjorda under 2015.</w:t>
      </w:r>
    </w:p>
  </w:footnote>
  <w:footnote w:id="12">
    <w:p w:rsidR="00603050" w:rsidRDefault="00603050" w:rsidP="006F1BD3">
      <w:pPr>
        <w:pStyle w:val="Fotnotstext"/>
      </w:pPr>
      <w:r>
        <w:rPr>
          <w:rStyle w:val="Fotnotsreferens"/>
        </w:rPr>
        <w:footnoteRef/>
      </w:r>
      <w:r>
        <w:t xml:space="preserve"> Uppgifter om EU-konferenser har inte redovisats tidigare år.</w:t>
      </w:r>
    </w:p>
  </w:footnote>
  <w:footnote w:id="13">
    <w:p w:rsidR="00603050" w:rsidRDefault="00603050" w:rsidP="00FC03A8">
      <w:pPr>
        <w:pStyle w:val="Fotnotstext"/>
      </w:pPr>
      <w:r>
        <w:rPr>
          <w:rStyle w:val="Fotnotsreferens"/>
        </w:rPr>
        <w:footnoteRef/>
      </w:r>
      <w:r>
        <w:t xml:space="preserve"> Ett av utlåtandena 2016 behandlade två EU-dokument.</w:t>
      </w:r>
    </w:p>
  </w:footnote>
  <w:footnote w:id="14">
    <w:p w:rsidR="00603050" w:rsidRDefault="00603050" w:rsidP="00FC03A8">
      <w:pPr>
        <w:pStyle w:val="Fotnotstext"/>
      </w:pPr>
      <w:r>
        <w:rPr>
          <w:rStyle w:val="Fotnotsreferens"/>
        </w:rPr>
        <w:footnoteRef/>
      </w:r>
      <w:r>
        <w:t xml:space="preserve"> Ett av utlåtandena 2015 behandlade två EU-dokument.</w:t>
      </w:r>
    </w:p>
  </w:footnote>
  <w:footnote w:id="15">
    <w:p w:rsidR="00603050" w:rsidRDefault="00603050" w:rsidP="00FC03A8">
      <w:pPr>
        <w:pStyle w:val="Fotnotstext"/>
      </w:pPr>
      <w:r>
        <w:rPr>
          <w:rStyle w:val="Fotnotsreferens"/>
        </w:rPr>
        <w:footnoteRef/>
      </w:r>
      <w:r>
        <w:t xml:space="preserve"> Ett av utlåtandena 2014 behandlade två EU-dokument.</w:t>
      </w:r>
    </w:p>
  </w:footnote>
  <w:footnote w:id="16">
    <w:p w:rsidR="00603050" w:rsidRPr="00440100" w:rsidRDefault="00603050" w:rsidP="00D035BF">
      <w:pPr>
        <w:pStyle w:val="Fotnotstext"/>
      </w:pPr>
      <w:r>
        <w:rPr>
          <w:rStyle w:val="Fotnotsreferens"/>
        </w:rPr>
        <w:footnoteRef/>
      </w:r>
      <w:r>
        <w:t xml:space="preserve"> I kolumnerna </w:t>
      </w:r>
      <w:r w:rsidRPr="00440100">
        <w:t xml:space="preserve">två och </w:t>
      </w:r>
      <w:r>
        <w:t>tre</w:t>
      </w:r>
      <w:r w:rsidRPr="00440100">
        <w:t xml:space="preserve"> redovisas </w:t>
      </w:r>
      <w:r>
        <w:t>dokument som behandlats av utskotten.</w:t>
      </w:r>
      <w:r w:rsidRPr="00440100">
        <w:t xml:space="preserve"> </w:t>
      </w:r>
      <w:r>
        <w:t>I kolumn fyra</w:t>
      </w:r>
      <w:r w:rsidRPr="00440100">
        <w:t xml:space="preserve"> </w:t>
      </w:r>
      <w:r>
        <w:t xml:space="preserve">redovisas </w:t>
      </w:r>
      <w:r w:rsidRPr="00440100">
        <w:t>dokument som hänvisats till utskott</w:t>
      </w:r>
      <w:r>
        <w:t>en</w:t>
      </w:r>
      <w:r w:rsidRPr="00440100">
        <w:t>.</w:t>
      </w:r>
    </w:p>
  </w:footnote>
  <w:footnote w:id="17">
    <w:p w:rsidR="00603050" w:rsidRPr="00440100" w:rsidRDefault="00603050" w:rsidP="00242624">
      <w:pPr>
        <w:pStyle w:val="Fotnotstext"/>
      </w:pPr>
      <w:r w:rsidRPr="00440100">
        <w:rPr>
          <w:rStyle w:val="Fotnotsreferens"/>
        </w:rPr>
        <w:footnoteRef/>
      </w:r>
      <w:r w:rsidRPr="00440100">
        <w:t xml:space="preserve"> Avser både motioner som har lämnats vid allmänna motionstiden och följdmotioner. Det totala antalet behandlade motioner överensstämmer inte med det antal som har lämnats till kammarkansliet (se tabell</w:t>
      </w:r>
      <w:r w:rsidRPr="00440100">
        <w:rPr>
          <w:b/>
        </w:rPr>
        <w:t xml:space="preserve"> </w:t>
      </w:r>
      <w:r w:rsidRPr="00440100">
        <w:t>3). Det beror dels på att utskotten kan skjuta upp behandlingen av motioner till ett annat riksmöte (till exempel i väntan på en aviserad proposition), dels på att en motion med fler än ett yrkande kan behandlas i olika utskott.</w:t>
      </w:r>
    </w:p>
  </w:footnote>
  <w:footnote w:id="18">
    <w:p w:rsidR="00603050" w:rsidRDefault="00603050" w:rsidP="00242624">
      <w:pPr>
        <w:pStyle w:val="Fotnotstext"/>
        <w:rPr>
          <w:u w:val="single"/>
        </w:rPr>
      </w:pPr>
      <w:r w:rsidRPr="00440100">
        <w:rPr>
          <w:rStyle w:val="Fotnotsreferens"/>
        </w:rPr>
        <w:footnoteRef/>
      </w:r>
      <w:r w:rsidRPr="00440100">
        <w:t xml:space="preserve"> Grön- och vitböcker, vissa strategiska dokument och lagstiftningsakter som subsidiaritetsprövas.</w:t>
      </w:r>
    </w:p>
    <w:p w:rsidR="00603050" w:rsidRDefault="00603050" w:rsidP="00242624">
      <w:pPr>
        <w:pStyle w:val="Fotnotstext"/>
      </w:pPr>
      <w:r w:rsidRPr="00534886">
        <w:t xml:space="preserve">  </w:t>
      </w:r>
    </w:p>
  </w:footnote>
  <w:footnote w:id="19">
    <w:p w:rsidR="00603050" w:rsidRDefault="00603050" w:rsidP="00FD5F8B">
      <w:pPr>
        <w:pStyle w:val="Fotnotstext"/>
      </w:pPr>
      <w:r>
        <w:rPr>
          <w:rStyle w:val="Fotnotsreferens"/>
        </w:rPr>
        <w:footnoteRef/>
      </w:r>
      <w:r>
        <w:t xml:space="preserve"> Fördelningsnyckeln för bidragsutbetalningarna till Nordiska rådet, OSSE:s parlamentariska församling och Interparlamentariska unionen beräknas med stöd av ländernas bruttonationalinkomst (BNI). För Europarådet och Natos parlamentariska församlingar ges inget bidrag från </w:t>
      </w:r>
      <w:r w:rsidRPr="00A8605A">
        <w:t>Riksdagsförvaltningen.</w:t>
      </w:r>
    </w:p>
  </w:footnote>
  <w:footnote w:id="20">
    <w:p w:rsidR="00603050" w:rsidRDefault="00603050" w:rsidP="00FD5F8B">
      <w:pPr>
        <w:pStyle w:val="Fotnotstext"/>
      </w:pPr>
      <w:r>
        <w:rPr>
          <w:rStyle w:val="Fotnotsreferens"/>
        </w:rPr>
        <w:footnoteRef/>
      </w:r>
      <w:r>
        <w:t xml:space="preserve"> Vid Interparlamentariska unionens vårsession utvidgades den fasta delegationen med två utskottsledamöter. Därutöver leddes riksdagsdelegationen till vårsessionen av talmannen.</w:t>
      </w:r>
    </w:p>
  </w:footnote>
  <w:footnote w:id="21">
    <w:p w:rsidR="00603050" w:rsidRDefault="00603050" w:rsidP="00FD5F8B">
      <w:pPr>
        <w:pStyle w:val="Fotnotstext"/>
      </w:pPr>
      <w:r>
        <w:rPr>
          <w:rStyle w:val="Fotnotsreferens"/>
        </w:rPr>
        <w:footnoteRef/>
      </w:r>
      <w:r>
        <w:t xml:space="preserve"> Finansiering av Cosacs sekretariat enligt beslut i riksdagsstyrelsen den 23 september 2009, dnr 049-22-2009/10.</w:t>
      </w:r>
    </w:p>
  </w:footnote>
  <w:footnote w:id="22">
    <w:p w:rsidR="00603050" w:rsidRDefault="00603050">
      <w:pPr>
        <w:pStyle w:val="Fotnotstext"/>
      </w:pPr>
      <w:r w:rsidRPr="007728CF">
        <w:rPr>
          <w:rStyle w:val="Fotnotsreferens"/>
        </w:rPr>
        <w:footnoteRef/>
      </w:r>
      <w:r w:rsidRPr="007728CF">
        <w:t xml:space="preserve"> Uppgifterna avser internationella besök där förvaltningen bistått riksdagens talman och ledamöter.</w:t>
      </w:r>
    </w:p>
  </w:footnote>
  <w:footnote w:id="23">
    <w:p w:rsidR="00603050" w:rsidRDefault="00603050">
      <w:pPr>
        <w:pStyle w:val="Fotnotstext"/>
      </w:pPr>
      <w:r>
        <w:rPr>
          <w:rStyle w:val="Fotnotsreferens"/>
        </w:rPr>
        <w:footnoteRef/>
      </w:r>
      <w:r>
        <w:t xml:space="preserve"> Ränteintäkten i avsättningen till ledamöters pensioner beror på att bruttoräntan enligt Finansinspektionens tryggandegrunder (FFFS 2007:24) har minskat från 0,8 procent till -0,4 procent.</w:t>
      </w:r>
    </w:p>
  </w:footnote>
  <w:footnote w:id="24">
    <w:p w:rsidR="00603050" w:rsidRDefault="00603050" w:rsidP="00594C7B">
      <w:pPr>
        <w:pStyle w:val="Fotnotstext"/>
      </w:pPr>
      <w:r>
        <w:rPr>
          <w:rStyle w:val="Fotnotsreferens"/>
        </w:rPr>
        <w:footnoteRef/>
      </w:r>
      <w:r>
        <w:t xml:space="preserve"> </w:t>
      </w:r>
      <w:r w:rsidRPr="00FA79E5">
        <w:t>Framställning 2014/15:RS1</w:t>
      </w:r>
      <w:r>
        <w:t>.</w:t>
      </w:r>
    </w:p>
  </w:footnote>
  <w:footnote w:id="25">
    <w:p w:rsidR="00603050" w:rsidRDefault="00603050">
      <w:pPr>
        <w:pStyle w:val="Fotnotstext"/>
      </w:pPr>
      <w:r>
        <w:rPr>
          <w:rStyle w:val="Fotnotsreferens"/>
        </w:rPr>
        <w:footnoteRef/>
      </w:r>
      <w:r>
        <w:t xml:space="preserve"> Dnr 1214-2013/14.</w:t>
      </w:r>
    </w:p>
  </w:footnote>
  <w:footnote w:id="26">
    <w:p w:rsidR="00603050" w:rsidRDefault="00603050">
      <w:pPr>
        <w:pStyle w:val="Fotnotstext"/>
      </w:pPr>
      <w:r>
        <w:rPr>
          <w:rStyle w:val="Fotnotsreferens"/>
        </w:rPr>
        <w:footnoteRef/>
      </w:r>
      <w:r>
        <w:t xml:space="preserve"> Framställning 2015/16:RS7</w:t>
      </w:r>
    </w:p>
  </w:footnote>
  <w:footnote w:id="27">
    <w:p w:rsidR="00603050" w:rsidRDefault="00603050">
      <w:pPr>
        <w:pStyle w:val="Fotnotstext"/>
      </w:pPr>
      <w:r>
        <w:rPr>
          <w:rStyle w:val="Fotnotsreferens"/>
        </w:rPr>
        <w:footnoteRef/>
      </w:r>
      <w:r>
        <w:t xml:space="preserve"> Betänkande 2016/17:KU3</w:t>
      </w:r>
    </w:p>
  </w:footnote>
  <w:footnote w:id="28">
    <w:p w:rsidR="00603050" w:rsidRDefault="00603050" w:rsidP="00594C7B">
      <w:pPr>
        <w:pStyle w:val="Fotnotstext"/>
      </w:pPr>
      <w:r>
        <w:rPr>
          <w:rStyle w:val="Fotnotsreferens"/>
        </w:rPr>
        <w:footnoteRef/>
      </w:r>
      <w:r>
        <w:t xml:space="preserve"> Enligt lagen (1999:1209) om stöd till riksdagsledamöternas och partigruppernas arbete i riksdagen.</w:t>
      </w:r>
    </w:p>
  </w:footnote>
  <w:footnote w:id="29">
    <w:p w:rsidR="00603050" w:rsidRDefault="00603050" w:rsidP="005D3678">
      <w:pPr>
        <w:pStyle w:val="Fotnotstext"/>
      </w:pPr>
      <w:r>
        <w:rPr>
          <w:rStyle w:val="Fotnotsreferens"/>
        </w:rPr>
        <w:footnoteRef/>
      </w:r>
      <w:r>
        <w:t xml:space="preserve"> Inklusive EU-nämnden.</w:t>
      </w:r>
    </w:p>
  </w:footnote>
  <w:footnote w:id="30">
    <w:p w:rsidR="00603050" w:rsidRDefault="00603050" w:rsidP="005D3678">
      <w:pPr>
        <w:pStyle w:val="Fotnotstext"/>
      </w:pPr>
      <w:r>
        <w:rPr>
          <w:rStyle w:val="Fotnotsreferens"/>
        </w:rPr>
        <w:footnoteRef/>
      </w:r>
      <w:r>
        <w:t xml:space="preserve"> Inklusive talmännen.</w:t>
      </w:r>
    </w:p>
  </w:footnote>
  <w:footnote w:id="31">
    <w:p w:rsidR="00603050" w:rsidRDefault="00603050" w:rsidP="005D3678">
      <w:pPr>
        <w:pStyle w:val="Fotnotstext"/>
      </w:pPr>
      <w:r>
        <w:rPr>
          <w:rStyle w:val="Fotnotsreferens"/>
        </w:rPr>
        <w:footnoteRef/>
      </w:r>
      <w:r>
        <w:t xml:space="preserve"> Nationella parlament och delstatsparlament, inte Europaparlamentet.</w:t>
      </w:r>
    </w:p>
  </w:footnote>
  <w:footnote w:id="32">
    <w:p w:rsidR="00603050" w:rsidRDefault="00603050" w:rsidP="005D3678">
      <w:pPr>
        <w:pStyle w:val="Fotnotstext"/>
      </w:pPr>
      <w:r>
        <w:rPr>
          <w:rStyle w:val="Fotnotsreferens"/>
        </w:rPr>
        <w:footnoteRef/>
      </w:r>
      <w:r>
        <w:t xml:space="preserve"> Med övriga menas ECPRD Summary Reports, Europaparlamentet, före detta ledamöter, arbetsgruppen för uppförandekod med flera.</w:t>
      </w:r>
    </w:p>
  </w:footnote>
  <w:footnote w:id="33">
    <w:p w:rsidR="00603050" w:rsidRDefault="00603050">
      <w:pPr>
        <w:pStyle w:val="Fotnotstext"/>
      </w:pPr>
      <w:r>
        <w:rPr>
          <w:rStyle w:val="Fotnotsreferens"/>
        </w:rPr>
        <w:footnoteRef/>
      </w:r>
      <w:r>
        <w:t xml:space="preserve"> Kostnader och intäkter har minskat som en följd av att tidningen Riksdag &amp; Departement upphörde den 1 juni 2014.</w:t>
      </w:r>
    </w:p>
  </w:footnote>
  <w:footnote w:id="34">
    <w:p w:rsidR="00603050" w:rsidRDefault="00603050">
      <w:pPr>
        <w:pStyle w:val="Fotnotstext"/>
      </w:pPr>
      <w:r>
        <w:rPr>
          <w:rStyle w:val="Fotnotsreferens"/>
        </w:rPr>
        <w:footnoteRef/>
      </w:r>
      <w:r>
        <w:t xml:space="preserve"> Biblioteket har i år en ny besöksräknare som redovisar besök enligt de regler Kungliga biblioteket begär för redovisning av den nationella biblioteksstatistiken. Det innebär att all inpassering räknas.</w:t>
      </w:r>
    </w:p>
  </w:footnote>
  <w:footnote w:id="35">
    <w:p w:rsidR="00603050" w:rsidRDefault="00603050">
      <w:pPr>
        <w:pStyle w:val="Fotnotstext"/>
      </w:pPr>
      <w:r>
        <w:rPr>
          <w:rStyle w:val="Fotnotsreferens"/>
        </w:rPr>
        <w:footnoteRef/>
      </w:r>
      <w:r>
        <w:t xml:space="preserve"> Den nya Demokrativerkstaden öppnade i april 2015, därför görs jämförelsen med 2014.</w:t>
      </w:r>
    </w:p>
  </w:footnote>
  <w:footnote w:id="36">
    <w:p w:rsidR="00603050" w:rsidRDefault="00603050" w:rsidP="007E3FD6">
      <w:pPr>
        <w:pStyle w:val="Fotnotstext"/>
      </w:pPr>
      <w:r>
        <w:rPr>
          <w:rStyle w:val="Fotnotsreferens"/>
        </w:rPr>
        <w:footnoteRef/>
      </w:r>
      <w:r>
        <w:t xml:space="preserve"> Avser bokade grupper, allmänhetens visningar samt sommar- och konstvisningar.</w:t>
      </w:r>
    </w:p>
  </w:footnote>
  <w:footnote w:id="37">
    <w:p w:rsidR="00603050" w:rsidRDefault="00603050" w:rsidP="007E3FD6">
      <w:pPr>
        <w:pStyle w:val="Fotnotstext"/>
      </w:pPr>
      <w:r>
        <w:rPr>
          <w:rStyle w:val="Fotnotsreferens"/>
        </w:rPr>
        <w:footnoteRef/>
      </w:r>
      <w:r>
        <w:t xml:space="preserve"> Besök till talman, ledamöter, utskott och förvaltning som guiderna har genomfört.</w:t>
      </w:r>
    </w:p>
  </w:footnote>
  <w:footnote w:id="38">
    <w:p w:rsidR="00603050" w:rsidRDefault="00603050" w:rsidP="007E3FD6">
      <w:pPr>
        <w:pStyle w:val="Fotnotstext"/>
      </w:pPr>
      <w:r>
        <w:rPr>
          <w:rStyle w:val="Fotnotsreferens"/>
        </w:rPr>
        <w:footnoteRef/>
      </w:r>
      <w:r>
        <w:t xml:space="preserve"> Avser bokade gymnasie- och högstadieklasser (studiebesök för studerande på gymnasienivå och Demokrativerkstaden).</w:t>
      </w:r>
    </w:p>
  </w:footnote>
  <w:footnote w:id="39">
    <w:p w:rsidR="00603050" w:rsidRDefault="00603050">
      <w:pPr>
        <w:pStyle w:val="Fotnotstext"/>
      </w:pPr>
      <w:r>
        <w:rPr>
          <w:rStyle w:val="Fotnotsreferens"/>
        </w:rPr>
        <w:footnoteRef/>
      </w:r>
      <w:r>
        <w:t xml:space="preserve"> Alternativ kraftförsörjning som ska användas om den normala kraftförsörjningen inte fungerar.</w:t>
      </w:r>
    </w:p>
  </w:footnote>
  <w:footnote w:id="40">
    <w:p w:rsidR="00603050" w:rsidRDefault="00603050">
      <w:pPr>
        <w:pStyle w:val="Fotnotstext"/>
      </w:pPr>
      <w:r>
        <w:rPr>
          <w:rStyle w:val="Fotnotsreferens"/>
        </w:rPr>
        <w:footnoteRef/>
      </w:r>
      <w:r>
        <w:t xml:space="preserve"> Dnr 2534-2014/15.</w:t>
      </w:r>
    </w:p>
  </w:footnote>
  <w:footnote w:id="41">
    <w:p w:rsidR="00603050" w:rsidRDefault="00603050" w:rsidP="00EB0B40">
      <w:pPr>
        <w:pStyle w:val="Fotnotstext"/>
      </w:pPr>
      <w:r>
        <w:rPr>
          <w:rStyle w:val="Fotnotsreferens"/>
        </w:rPr>
        <w:footnoteRef/>
      </w:r>
      <w:r>
        <w:t xml:space="preserve"> Värdena är justerade jämfört med de som anges i årsredovisningen för 2012 med anledning av nya beräkningar.</w:t>
      </w:r>
    </w:p>
  </w:footnote>
  <w:footnote w:id="42">
    <w:p w:rsidR="00603050" w:rsidRDefault="00603050" w:rsidP="00CB7053">
      <w:pPr>
        <w:pStyle w:val="Fotnotstext"/>
      </w:pPr>
      <w:r>
        <w:rPr>
          <w:rStyle w:val="Fotnotsreferens"/>
        </w:rPr>
        <w:footnoteRef/>
      </w:r>
      <w:r>
        <w:t xml:space="preserve"> Med ersättning avses summan av ersättningar och andra förmåner som återfinns på kontrolluppgiften från Riksdagsförvaltningen 2016.</w:t>
      </w:r>
    </w:p>
  </w:footnote>
  <w:footnote w:id="43">
    <w:p w:rsidR="00603050" w:rsidRDefault="00603050" w:rsidP="00C93B06">
      <w:pPr>
        <w:pStyle w:val="Fotnotstext"/>
      </w:pPr>
      <w:r>
        <w:rPr>
          <w:rStyle w:val="Fotnotsreferens"/>
        </w:rPr>
        <w:footnoteRef/>
      </w:r>
      <w:r>
        <w:t xml:space="preserve"> </w:t>
      </w:r>
      <w:r w:rsidRPr="00B83D10">
        <w:t xml:space="preserve">Här redovisas ledamöter och suppleanter </w:t>
      </w:r>
      <w:r>
        <w:t xml:space="preserve">som </w:t>
      </w:r>
      <w:r w:rsidRPr="00B83D10">
        <w:t xml:space="preserve">har avgått ur </w:t>
      </w:r>
      <w:r>
        <w:t>r</w:t>
      </w:r>
      <w:r w:rsidRPr="00B83D10">
        <w:t>iksdagsstyrelsen och de ersättningar som Riksdagsförvaltningen betalade ut</w:t>
      </w:r>
      <w:r>
        <w:t xml:space="preserve"> till dem 2016</w:t>
      </w:r>
      <w:r w:rsidRPr="00B83D10">
        <w:t>. Med ersättning avses summan av ersättningar och andra förmåner som återfinns på kontrolluppgiften</w:t>
      </w:r>
      <w:r>
        <w:t xml:space="preserve"> från Riksdagsförvaltningen 2016</w:t>
      </w:r>
      <w:r w:rsidRPr="00B83D1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Pr="00FA0C03" w:rsidRDefault="00603050"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0C7F4AFA" wp14:editId="0A6BFED0">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766722" w:rsidRDefault="009E7918" w:rsidP="00766722">
                          <w:pPr>
                            <w:pStyle w:val="Kantrubrik"/>
                            <w:jc w:val="left"/>
                          </w:pPr>
                          <w:r>
                            <w:fldChar w:fldCharType="begin"/>
                          </w:r>
                          <w:r>
                            <w:instrText xml:space="preserve"> DOCPROPERTY  Dokbeteckning  \* MERGEFORMAT </w:instrText>
                          </w:r>
                          <w:r>
                            <w:fldChar w:fldCharType="separate"/>
                          </w:r>
                          <w:r w:rsidR="00EB39E7" w:rsidRPr="00EB39E7">
                            <w:rPr>
                              <w:bCs/>
                            </w:rPr>
                            <w:t>2016/17:RS1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F4AFA" id="_x0000_t202" coordsize="21600,21600" o:spt="202" path="m,l,21600r21600,l21600,xe">
              <v:stroke joinstyle="miter"/>
              <v:path gradientshapeok="t" o:connecttype="rect"/>
            </v:shapetype>
            <v:shape id="Textruta 1" o:spid="_x0000_s1028"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603050" w:rsidRPr="00766722" w:rsidRDefault="009E7918" w:rsidP="00766722">
                    <w:pPr>
                      <w:pStyle w:val="Kantrubrik"/>
                      <w:jc w:val="left"/>
                    </w:pPr>
                    <w:r>
                      <w:fldChar w:fldCharType="begin"/>
                    </w:r>
                    <w:r>
                      <w:instrText xml:space="preserve"> DOCPROPERTY  Dokbeteckning  \* MERGEFORMAT </w:instrText>
                    </w:r>
                    <w:r>
                      <w:fldChar w:fldCharType="separate"/>
                    </w:r>
                    <w:r w:rsidR="00EB39E7" w:rsidRPr="00EB39E7">
                      <w:rPr>
                        <w:bCs/>
                      </w:rPr>
                      <w:t>2016/17:RS1</w:t>
                    </w:r>
                    <w:r>
                      <w:rPr>
                        <w:bCs/>
                      </w:rPr>
                      <w:fldChar w:fldCharType="end"/>
                    </w:r>
                  </w:p>
                </w:txbxContent>
              </v:textbox>
            </v:shape>
          </w:pict>
        </mc:Fallback>
      </mc:AlternateContent>
    </w:r>
    <w:r>
      <w:t>Årsredovisning för riksdagsförvaltningen 2016</w:t>
    </w:r>
    <w:r>
      <w:fldChar w:fldCharType="begin"/>
    </w:r>
    <w:r>
      <w:instrText xml:space="preserve"> STYLEREF  "\1"  </w:instrTex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6C1B288F" wp14:editId="68EFDC39">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766722" w:rsidRDefault="009E7918" w:rsidP="00766722">
                          <w:pPr>
                            <w:pStyle w:val="Kantrubrik"/>
                            <w:jc w:val="right"/>
                          </w:pPr>
                          <w:r>
                            <w:fldChar w:fldCharType="begin"/>
                          </w:r>
                          <w:r>
                            <w:instrText xml:space="preserve"> DOCPROPERTY  Dokbeteckning  \* MERGEFORMAT </w:instrText>
                          </w:r>
                          <w:r>
                            <w:fldChar w:fldCharType="separate"/>
                          </w:r>
                          <w:r w:rsidR="00EB39E7" w:rsidRPr="00EB39E7">
                            <w:rPr>
                              <w:bCs/>
                            </w:rPr>
                            <w:t>2016/17:RS1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B288F" id="_x0000_t202" coordsize="21600,21600" o:spt="202" path="m,l,21600r21600,l21600,xe">
              <v:stroke joinstyle="miter"/>
              <v:path gradientshapeok="t" o:connecttype="rect"/>
            </v:shapetype>
            <v:shape id="Textruta 2" o:spid="_x0000_s1029"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603050" w:rsidRPr="00766722" w:rsidRDefault="009E7918" w:rsidP="00766722">
                    <w:pPr>
                      <w:pStyle w:val="Kantrubrik"/>
                      <w:jc w:val="right"/>
                    </w:pPr>
                    <w:r>
                      <w:fldChar w:fldCharType="begin"/>
                    </w:r>
                    <w:r>
                      <w:instrText xml:space="preserve"> DOCPROPERTY  Dokbeteckning  \* MERGEFORMAT </w:instrText>
                    </w:r>
                    <w:r>
                      <w:fldChar w:fldCharType="separate"/>
                    </w:r>
                    <w:r w:rsidR="00EB39E7" w:rsidRPr="00EB39E7">
                      <w:rPr>
                        <w:bCs/>
                      </w:rPr>
                      <w:t>2016/17:RS1</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Pr="00F21109" w:rsidRDefault="00603050" w:rsidP="00C4091A">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211152AD" wp14:editId="309D8BD1">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F21109" w:rsidRDefault="00603050"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B39E7">
                            <w:rPr>
                              <w:szCs w:val="24"/>
                            </w:rPr>
                            <w:t>2016/17:RS1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152AD" id="_x0000_t202" coordsize="21600,21600" o:spt="202" path="m,l,21600r21600,l21600,xe">
              <v:stroke joinstyle="miter"/>
              <v:path gradientshapeok="t" o:connecttype="rect"/>
            </v:shapetype>
            <v:shape id="Textruta 10" o:spid="_x0000_s1030"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603050" w:rsidRPr="00F21109" w:rsidRDefault="00603050"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EB39E7">
                      <w:rPr>
                        <w:szCs w:val="24"/>
                      </w:rPr>
                      <w:t>2016/17:RS1</w:t>
                    </w:r>
                    <w:r w:rsidRPr="00F21109">
                      <w:rPr>
                        <w:szCs w:val="24"/>
                      </w:rPr>
                      <w:fldChar w:fldCharType="end"/>
                    </w:r>
                  </w:p>
                </w:txbxContent>
              </v:textbox>
            </v:shape>
          </w:pict>
        </mc:Fallback>
      </mc:AlternateContent>
    </w:r>
    <w:r>
      <w:rPr>
        <w:noProof/>
      </w:rPr>
      <w:t>Årsredovisning för riksdagsförvaltningen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rsidP="00C4091A">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2709AA04" wp14:editId="38CC342B">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F21109" w:rsidRDefault="00603050"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B39E7">
                            <w:rPr>
                              <w:szCs w:val="24"/>
                            </w:rPr>
                            <w:t>2016/17:RS1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9AA04" id="_x0000_t202" coordsize="21600,21600" o:spt="202" path="m,l,21600r21600,l21600,xe">
              <v:stroke joinstyle="miter"/>
              <v:path gradientshapeok="t" o:connecttype="rect"/>
            </v:shapetype>
            <v:shape id="Textruta 3" o:spid="_x0000_s1031"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603050" w:rsidRPr="00F21109" w:rsidRDefault="00603050"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EB39E7">
                      <w:rPr>
                        <w:szCs w:val="24"/>
                      </w:rPr>
                      <w:t>2016/17:RS1</w:t>
                    </w:r>
                    <w:r w:rsidRPr="00F21109">
                      <w:rPr>
                        <w:szCs w:val="24"/>
                      </w:rPr>
                      <w:fldChar w:fldCharType="end"/>
                    </w:r>
                  </w:p>
                </w:txbxContent>
              </v:textbox>
            </v:shape>
          </w:pict>
        </mc:Fallback>
      </mc:AlternateContent>
    </w:r>
    <w:r>
      <w:t>Årsredovisningen för riksdagsförvaltningen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Pr="00FA0C03" w:rsidRDefault="00603050" w:rsidP="00D561D4">
    <w:pPr>
      <w:pStyle w:val="Sidhuvudvnsterstlld"/>
    </w:pPr>
    <w:r>
      <w:fldChar w:fldCharType="begin"/>
    </w:r>
    <w:r>
      <w:instrText xml:space="preserve"> STYLEREF "bilagerubrik" </w:instrText>
    </w:r>
    <w:r>
      <w:fldChar w:fldCharType="separate"/>
    </w:r>
    <w:r w:rsidR="00EB39E7">
      <w:rPr>
        <w:b/>
        <w:bCs/>
        <w:noProof/>
      </w:rPr>
      <w:t>Fel! Ingen text med angivet format i dokumentet.</w:t>
    </w:r>
    <w:r>
      <w:rPr>
        <w:noProof/>
      </w:rPr>
      <w:fldChar w:fldCharType="end"/>
    </w:r>
    <w:r>
      <w:fldChar w:fldCharType="begin"/>
    </w:r>
    <w:r>
      <w:instrText xml:space="preserve"> IF </w:instrText>
    </w:r>
    <w:r>
      <w:fldChar w:fldCharType="begin"/>
    </w:r>
    <w:r>
      <w:instrText xml:space="preserve"> STYLEREF "bilagerubrik" </w:instrText>
    </w:r>
    <w:r>
      <w:fldChar w:fldCharType="separate"/>
    </w:r>
    <w:r w:rsidR="00EB39E7">
      <w:rPr>
        <w:b/>
        <w:bCs/>
        <w:noProof/>
      </w:rPr>
      <w:instrText>Fel! Ingen text med angivet format i dokumentet.</w:instrText>
    </w:r>
    <w:r>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69504" behindDoc="0" locked="0" layoutInCell="1" allowOverlap="1" wp14:anchorId="0CFA31DC" wp14:editId="75578F66">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F21109" w:rsidRDefault="00603050"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B39E7">
                            <w:rPr>
                              <w:szCs w:val="24"/>
                            </w:rPr>
                            <w:t>2016/17:RS1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A31DC" id="_x0000_t202" coordsize="21600,21600" o:spt="202" path="m,l,21600r21600,l21600,xe">
              <v:stroke joinstyle="miter"/>
              <v:path gradientshapeok="t" o:connecttype="rect"/>
            </v:shapetype>
            <v:shape id="Textruta 7" o:spid="_x0000_s1032"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603050" w:rsidRPr="00F21109" w:rsidRDefault="00603050"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B39E7">
                      <w:rPr>
                        <w:szCs w:val="24"/>
                      </w:rPr>
                      <w:t>2016/17:RS1</w:t>
                    </w:r>
                    <w:r w:rsidRPr="00F21109">
                      <w:rPr>
                        <w:szCs w:val="24"/>
                      </w:rPr>
                      <w:fldChar w:fldCharType="end"/>
                    </w:r>
                  </w:p>
                </w:txbxContent>
              </v:textbox>
            </v:shape>
          </w:pict>
        </mc:Fallback>
      </mc:AlternateContent>
    </w:r>
    <w:fldSimple w:instr=" STYLEREF &quot;Kapitelrubrik&quot; ">
      <w:r w:rsidR="00EB39E7">
        <w:rPr>
          <w:noProof/>
        </w:rPr>
        <w:t>Resultatredovisning</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rsidP="00155F98">
    <w:pPr>
      <w:pStyle w:val="Sidhuvudhgerstlld"/>
    </w:pPr>
    <w:r w:rsidRPr="001406B6">
      <w:fldChar w:fldCharType="begin"/>
    </w:r>
    <w:r>
      <w:instrText xml:space="preserve"> STYLEREF "bilagerubrik" </w:instrText>
    </w:r>
    <w:r w:rsidRPr="001406B6">
      <w:fldChar w:fldCharType="separate"/>
    </w:r>
    <w:r w:rsidR="00EB39E7">
      <w:rPr>
        <w:b/>
        <w:bCs w:val="0"/>
      </w:rPr>
      <w:t>Fel! Ingen text med angivet format i dokumentet.</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EB39E7">
      <w:rPr>
        <w:b/>
        <w:bCs w:val="0"/>
      </w:rPr>
      <w:instrText>Fel! Ingen text med angivet format i dokumentet.</w:instrText>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3B252B06" wp14:editId="1BF05F79">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3050" w:rsidRPr="00F21109" w:rsidRDefault="00603050"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B39E7">
                            <w:rPr>
                              <w:szCs w:val="24"/>
                            </w:rPr>
                            <w:t>2016/17:RS1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2B06" id="_x0000_t202" coordsize="21600,21600" o:spt="202" path="m,l,21600r21600,l21600,xe">
              <v:stroke joinstyle="miter"/>
              <v:path gradientshapeok="t" o:connecttype="rect"/>
            </v:shapetype>
            <v:shape id="Textruta 5" o:spid="_x0000_s1033"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603050" w:rsidRPr="00F21109" w:rsidRDefault="00603050"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EB39E7">
                      <w:rPr>
                        <w:szCs w:val="24"/>
                      </w:rPr>
                      <w:t>2016/17:RS1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EB39E7">
      <w:t>Resultatredovisning</w:t>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0" w:rsidRDefault="0060305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F76389A"/>
    <w:multiLevelType w:val="hybridMultilevel"/>
    <w:tmpl w:val="C6924FF8"/>
    <w:lvl w:ilvl="0" w:tplc="34C4C0E0">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C04A69"/>
    <w:multiLevelType w:val="hybridMultilevel"/>
    <w:tmpl w:val="585E8238"/>
    <w:lvl w:ilvl="0" w:tplc="A0741F70">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0"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21"/>
  </w:num>
  <w:num w:numId="14">
    <w:abstractNumId w:val="17"/>
  </w:num>
  <w:num w:numId="15">
    <w:abstractNumId w:val="16"/>
  </w:num>
  <w:num w:numId="16">
    <w:abstractNumId w:val="11"/>
  </w:num>
  <w:num w:numId="17">
    <w:abstractNumId w:val="20"/>
  </w:num>
  <w:num w:numId="18">
    <w:abstractNumId w:val="19"/>
  </w:num>
  <w:num w:numId="19">
    <w:abstractNumId w:val="12"/>
  </w:num>
  <w:num w:numId="20">
    <w:abstractNumId w:val="1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A"/>
    <w:rsid w:val="00000411"/>
    <w:rsid w:val="0000099D"/>
    <w:rsid w:val="00000FA0"/>
    <w:rsid w:val="00001584"/>
    <w:rsid w:val="00001890"/>
    <w:rsid w:val="00001ADC"/>
    <w:rsid w:val="00001AE6"/>
    <w:rsid w:val="00002529"/>
    <w:rsid w:val="000025CA"/>
    <w:rsid w:val="000025DC"/>
    <w:rsid w:val="00002F9B"/>
    <w:rsid w:val="000030C3"/>
    <w:rsid w:val="00003268"/>
    <w:rsid w:val="0000327F"/>
    <w:rsid w:val="000036C3"/>
    <w:rsid w:val="00003C39"/>
    <w:rsid w:val="00003C48"/>
    <w:rsid w:val="000040F3"/>
    <w:rsid w:val="00004731"/>
    <w:rsid w:val="00004D29"/>
    <w:rsid w:val="00004EA7"/>
    <w:rsid w:val="00005D74"/>
    <w:rsid w:val="000063EE"/>
    <w:rsid w:val="00006CFE"/>
    <w:rsid w:val="00007513"/>
    <w:rsid w:val="00007864"/>
    <w:rsid w:val="00007B0F"/>
    <w:rsid w:val="00007DAE"/>
    <w:rsid w:val="00007F24"/>
    <w:rsid w:val="000100AC"/>
    <w:rsid w:val="000102CD"/>
    <w:rsid w:val="00011AAB"/>
    <w:rsid w:val="00011CEB"/>
    <w:rsid w:val="00012A59"/>
    <w:rsid w:val="00012C30"/>
    <w:rsid w:val="00012CB4"/>
    <w:rsid w:val="000132CB"/>
    <w:rsid w:val="000133C9"/>
    <w:rsid w:val="00013A52"/>
    <w:rsid w:val="00014382"/>
    <w:rsid w:val="00014E78"/>
    <w:rsid w:val="00014F96"/>
    <w:rsid w:val="000153CC"/>
    <w:rsid w:val="00015846"/>
    <w:rsid w:val="00015ADD"/>
    <w:rsid w:val="00015BC0"/>
    <w:rsid w:val="00015D7A"/>
    <w:rsid w:val="00015EB0"/>
    <w:rsid w:val="00016102"/>
    <w:rsid w:val="00016353"/>
    <w:rsid w:val="00016455"/>
    <w:rsid w:val="00016981"/>
    <w:rsid w:val="00016AF8"/>
    <w:rsid w:val="00016FEA"/>
    <w:rsid w:val="00017100"/>
    <w:rsid w:val="000178ED"/>
    <w:rsid w:val="000200BA"/>
    <w:rsid w:val="00020658"/>
    <w:rsid w:val="00020BFE"/>
    <w:rsid w:val="00020EFE"/>
    <w:rsid w:val="000217CC"/>
    <w:rsid w:val="000219F7"/>
    <w:rsid w:val="00021CD6"/>
    <w:rsid w:val="00021DB7"/>
    <w:rsid w:val="000222FB"/>
    <w:rsid w:val="00022573"/>
    <w:rsid w:val="00022EBD"/>
    <w:rsid w:val="0002365F"/>
    <w:rsid w:val="00023690"/>
    <w:rsid w:val="000237E9"/>
    <w:rsid w:val="0002427C"/>
    <w:rsid w:val="0002473F"/>
    <w:rsid w:val="000253DE"/>
    <w:rsid w:val="000258A1"/>
    <w:rsid w:val="00025F9D"/>
    <w:rsid w:val="000266C6"/>
    <w:rsid w:val="00026A87"/>
    <w:rsid w:val="000271D0"/>
    <w:rsid w:val="0002726C"/>
    <w:rsid w:val="00027B77"/>
    <w:rsid w:val="00027D1E"/>
    <w:rsid w:val="00030CED"/>
    <w:rsid w:val="000311A4"/>
    <w:rsid w:val="00031849"/>
    <w:rsid w:val="00031B0A"/>
    <w:rsid w:val="00032258"/>
    <w:rsid w:val="000327CC"/>
    <w:rsid w:val="00032C5A"/>
    <w:rsid w:val="00032C98"/>
    <w:rsid w:val="00033278"/>
    <w:rsid w:val="000338BE"/>
    <w:rsid w:val="0003402C"/>
    <w:rsid w:val="0003418A"/>
    <w:rsid w:val="00034E6F"/>
    <w:rsid w:val="00035E68"/>
    <w:rsid w:val="00036140"/>
    <w:rsid w:val="0003617B"/>
    <w:rsid w:val="0003697B"/>
    <w:rsid w:val="00037B4E"/>
    <w:rsid w:val="00037D56"/>
    <w:rsid w:val="0004013B"/>
    <w:rsid w:val="00040578"/>
    <w:rsid w:val="000405F0"/>
    <w:rsid w:val="00041DC7"/>
    <w:rsid w:val="00042267"/>
    <w:rsid w:val="00042D4E"/>
    <w:rsid w:val="000430FF"/>
    <w:rsid w:val="00043305"/>
    <w:rsid w:val="0004389F"/>
    <w:rsid w:val="00043CE3"/>
    <w:rsid w:val="00043EAC"/>
    <w:rsid w:val="00043F1B"/>
    <w:rsid w:val="00043F28"/>
    <w:rsid w:val="000440C9"/>
    <w:rsid w:val="00044305"/>
    <w:rsid w:val="000444D2"/>
    <w:rsid w:val="00044836"/>
    <w:rsid w:val="00044C33"/>
    <w:rsid w:val="00044C50"/>
    <w:rsid w:val="00044CC7"/>
    <w:rsid w:val="00045164"/>
    <w:rsid w:val="000452CB"/>
    <w:rsid w:val="0004552D"/>
    <w:rsid w:val="00045B45"/>
    <w:rsid w:val="00045D66"/>
    <w:rsid w:val="00046706"/>
    <w:rsid w:val="00047558"/>
    <w:rsid w:val="00047D2B"/>
    <w:rsid w:val="000511A6"/>
    <w:rsid w:val="00051964"/>
    <w:rsid w:val="00051AA1"/>
    <w:rsid w:val="00051C5A"/>
    <w:rsid w:val="00051C9E"/>
    <w:rsid w:val="000529E6"/>
    <w:rsid w:val="00052C62"/>
    <w:rsid w:val="00053835"/>
    <w:rsid w:val="00053AA7"/>
    <w:rsid w:val="00053D92"/>
    <w:rsid w:val="00054120"/>
    <w:rsid w:val="000542F1"/>
    <w:rsid w:val="000555E0"/>
    <w:rsid w:val="000556B5"/>
    <w:rsid w:val="00055CAF"/>
    <w:rsid w:val="000567D2"/>
    <w:rsid w:val="00056826"/>
    <w:rsid w:val="000568A5"/>
    <w:rsid w:val="0005705E"/>
    <w:rsid w:val="0005751D"/>
    <w:rsid w:val="0005764C"/>
    <w:rsid w:val="000576D5"/>
    <w:rsid w:val="000577C6"/>
    <w:rsid w:val="000609E3"/>
    <w:rsid w:val="00061343"/>
    <w:rsid w:val="00061A08"/>
    <w:rsid w:val="00061A2A"/>
    <w:rsid w:val="00061A93"/>
    <w:rsid w:val="00061DC4"/>
    <w:rsid w:val="00061F29"/>
    <w:rsid w:val="00062016"/>
    <w:rsid w:val="00062489"/>
    <w:rsid w:val="00062808"/>
    <w:rsid w:val="0006302B"/>
    <w:rsid w:val="00063845"/>
    <w:rsid w:val="00063D34"/>
    <w:rsid w:val="00063F89"/>
    <w:rsid w:val="00064175"/>
    <w:rsid w:val="00064917"/>
    <w:rsid w:val="00064E39"/>
    <w:rsid w:val="00066265"/>
    <w:rsid w:val="00066B16"/>
    <w:rsid w:val="00066DC7"/>
    <w:rsid w:val="00067503"/>
    <w:rsid w:val="0007002F"/>
    <w:rsid w:val="00071667"/>
    <w:rsid w:val="000717EC"/>
    <w:rsid w:val="00071A87"/>
    <w:rsid w:val="00072513"/>
    <w:rsid w:val="00072569"/>
    <w:rsid w:val="00072BFA"/>
    <w:rsid w:val="000731BC"/>
    <w:rsid w:val="00073769"/>
    <w:rsid w:val="00073B44"/>
    <w:rsid w:val="00073DC8"/>
    <w:rsid w:val="000744D4"/>
    <w:rsid w:val="00075C04"/>
    <w:rsid w:val="00075E1C"/>
    <w:rsid w:val="000767DD"/>
    <w:rsid w:val="00076A04"/>
    <w:rsid w:val="00076C7A"/>
    <w:rsid w:val="0007724C"/>
    <w:rsid w:val="000775A0"/>
    <w:rsid w:val="0007781E"/>
    <w:rsid w:val="00077EA4"/>
    <w:rsid w:val="00080416"/>
    <w:rsid w:val="0008052E"/>
    <w:rsid w:val="00080771"/>
    <w:rsid w:val="00080B5C"/>
    <w:rsid w:val="00080C90"/>
    <w:rsid w:val="00080CDE"/>
    <w:rsid w:val="0008184A"/>
    <w:rsid w:val="0008189A"/>
    <w:rsid w:val="00081E69"/>
    <w:rsid w:val="0008200B"/>
    <w:rsid w:val="000827FC"/>
    <w:rsid w:val="00082BDD"/>
    <w:rsid w:val="00082F15"/>
    <w:rsid w:val="0008349E"/>
    <w:rsid w:val="00083763"/>
    <w:rsid w:val="00083A5D"/>
    <w:rsid w:val="00083B88"/>
    <w:rsid w:val="00083CFD"/>
    <w:rsid w:val="00084387"/>
    <w:rsid w:val="00085283"/>
    <w:rsid w:val="000852AF"/>
    <w:rsid w:val="00085426"/>
    <w:rsid w:val="0008543C"/>
    <w:rsid w:val="00085443"/>
    <w:rsid w:val="00085BD3"/>
    <w:rsid w:val="0008620F"/>
    <w:rsid w:val="00086272"/>
    <w:rsid w:val="0008646A"/>
    <w:rsid w:val="00086AC6"/>
    <w:rsid w:val="00086FE4"/>
    <w:rsid w:val="0008703C"/>
    <w:rsid w:val="000870E0"/>
    <w:rsid w:val="00087482"/>
    <w:rsid w:val="000878AD"/>
    <w:rsid w:val="00087E9D"/>
    <w:rsid w:val="000901CC"/>
    <w:rsid w:val="000905BB"/>
    <w:rsid w:val="00090A15"/>
    <w:rsid w:val="00090D89"/>
    <w:rsid w:val="00091C55"/>
    <w:rsid w:val="000925EE"/>
    <w:rsid w:val="00092677"/>
    <w:rsid w:val="000932BD"/>
    <w:rsid w:val="00093F05"/>
    <w:rsid w:val="000941E4"/>
    <w:rsid w:val="00094638"/>
    <w:rsid w:val="00094999"/>
    <w:rsid w:val="00094C37"/>
    <w:rsid w:val="00094E2B"/>
    <w:rsid w:val="00095536"/>
    <w:rsid w:val="00096BCC"/>
    <w:rsid w:val="00096F37"/>
    <w:rsid w:val="000975B9"/>
    <w:rsid w:val="00097D46"/>
    <w:rsid w:val="00097D91"/>
    <w:rsid w:val="00097DE6"/>
    <w:rsid w:val="00097EF8"/>
    <w:rsid w:val="000A06F4"/>
    <w:rsid w:val="000A0791"/>
    <w:rsid w:val="000A08F5"/>
    <w:rsid w:val="000A0AE8"/>
    <w:rsid w:val="000A0FB5"/>
    <w:rsid w:val="000A1501"/>
    <w:rsid w:val="000A1736"/>
    <w:rsid w:val="000A1ECB"/>
    <w:rsid w:val="000A2176"/>
    <w:rsid w:val="000A22D3"/>
    <w:rsid w:val="000A2494"/>
    <w:rsid w:val="000A26E5"/>
    <w:rsid w:val="000A26F2"/>
    <w:rsid w:val="000A2BEA"/>
    <w:rsid w:val="000A2C75"/>
    <w:rsid w:val="000A2F7B"/>
    <w:rsid w:val="000A2FD7"/>
    <w:rsid w:val="000A3571"/>
    <w:rsid w:val="000A3C7C"/>
    <w:rsid w:val="000A3D49"/>
    <w:rsid w:val="000A4A39"/>
    <w:rsid w:val="000A4AF7"/>
    <w:rsid w:val="000A4BAE"/>
    <w:rsid w:val="000A5038"/>
    <w:rsid w:val="000A536E"/>
    <w:rsid w:val="000A55B2"/>
    <w:rsid w:val="000A64A4"/>
    <w:rsid w:val="000A6AA8"/>
    <w:rsid w:val="000A7108"/>
    <w:rsid w:val="000A7241"/>
    <w:rsid w:val="000A725C"/>
    <w:rsid w:val="000A7438"/>
    <w:rsid w:val="000A776D"/>
    <w:rsid w:val="000A7A8A"/>
    <w:rsid w:val="000A7B9F"/>
    <w:rsid w:val="000B025E"/>
    <w:rsid w:val="000B0570"/>
    <w:rsid w:val="000B093A"/>
    <w:rsid w:val="000B1929"/>
    <w:rsid w:val="000B1B91"/>
    <w:rsid w:val="000B1C25"/>
    <w:rsid w:val="000B1EDC"/>
    <w:rsid w:val="000B1F49"/>
    <w:rsid w:val="000B1F4A"/>
    <w:rsid w:val="000B2764"/>
    <w:rsid w:val="000B29D7"/>
    <w:rsid w:val="000B2CA1"/>
    <w:rsid w:val="000B2D5F"/>
    <w:rsid w:val="000B3E88"/>
    <w:rsid w:val="000B3F5F"/>
    <w:rsid w:val="000B55AB"/>
    <w:rsid w:val="000B5744"/>
    <w:rsid w:val="000B607A"/>
    <w:rsid w:val="000B643D"/>
    <w:rsid w:val="000B7699"/>
    <w:rsid w:val="000B7A10"/>
    <w:rsid w:val="000C048E"/>
    <w:rsid w:val="000C0B6A"/>
    <w:rsid w:val="000C0F32"/>
    <w:rsid w:val="000C12EF"/>
    <w:rsid w:val="000C1BE5"/>
    <w:rsid w:val="000C1CCE"/>
    <w:rsid w:val="000C2BF1"/>
    <w:rsid w:val="000C30C2"/>
    <w:rsid w:val="000C311B"/>
    <w:rsid w:val="000C38A4"/>
    <w:rsid w:val="000C3E72"/>
    <w:rsid w:val="000C4060"/>
    <w:rsid w:val="000C4410"/>
    <w:rsid w:val="000C543E"/>
    <w:rsid w:val="000C5718"/>
    <w:rsid w:val="000C59F4"/>
    <w:rsid w:val="000C5A06"/>
    <w:rsid w:val="000C5CFD"/>
    <w:rsid w:val="000C6455"/>
    <w:rsid w:val="000C6565"/>
    <w:rsid w:val="000C6A26"/>
    <w:rsid w:val="000C6F09"/>
    <w:rsid w:val="000C7163"/>
    <w:rsid w:val="000C7375"/>
    <w:rsid w:val="000C7D14"/>
    <w:rsid w:val="000C7F70"/>
    <w:rsid w:val="000D01DC"/>
    <w:rsid w:val="000D03B6"/>
    <w:rsid w:val="000D0FA4"/>
    <w:rsid w:val="000D189A"/>
    <w:rsid w:val="000D1DB0"/>
    <w:rsid w:val="000D1F1C"/>
    <w:rsid w:val="000D2F50"/>
    <w:rsid w:val="000D34E6"/>
    <w:rsid w:val="000D3A04"/>
    <w:rsid w:val="000D5291"/>
    <w:rsid w:val="000D5978"/>
    <w:rsid w:val="000D7732"/>
    <w:rsid w:val="000D78D0"/>
    <w:rsid w:val="000E19A4"/>
    <w:rsid w:val="000E1BF3"/>
    <w:rsid w:val="000E1F0E"/>
    <w:rsid w:val="000E1F2A"/>
    <w:rsid w:val="000E1F55"/>
    <w:rsid w:val="000E2A74"/>
    <w:rsid w:val="000E2C57"/>
    <w:rsid w:val="000E32D4"/>
    <w:rsid w:val="000E38C4"/>
    <w:rsid w:val="000E4FF2"/>
    <w:rsid w:val="000E51FC"/>
    <w:rsid w:val="000E5C40"/>
    <w:rsid w:val="000E65C7"/>
    <w:rsid w:val="000E6733"/>
    <w:rsid w:val="000E6DD0"/>
    <w:rsid w:val="000E6FE5"/>
    <w:rsid w:val="000E7317"/>
    <w:rsid w:val="000E7AA1"/>
    <w:rsid w:val="000E7DFF"/>
    <w:rsid w:val="000F08BC"/>
    <w:rsid w:val="000F0DD2"/>
    <w:rsid w:val="000F0E96"/>
    <w:rsid w:val="000F149C"/>
    <w:rsid w:val="000F24A5"/>
    <w:rsid w:val="000F24BE"/>
    <w:rsid w:val="000F326B"/>
    <w:rsid w:val="000F4B01"/>
    <w:rsid w:val="000F5481"/>
    <w:rsid w:val="000F6879"/>
    <w:rsid w:val="000F7E12"/>
    <w:rsid w:val="001002B6"/>
    <w:rsid w:val="00101C35"/>
    <w:rsid w:val="00102450"/>
    <w:rsid w:val="0010258C"/>
    <w:rsid w:val="001027E8"/>
    <w:rsid w:val="00102AC3"/>
    <w:rsid w:val="00103091"/>
    <w:rsid w:val="001037E4"/>
    <w:rsid w:val="0010380D"/>
    <w:rsid w:val="0010483E"/>
    <w:rsid w:val="00104906"/>
    <w:rsid w:val="00104C4C"/>
    <w:rsid w:val="00104D6F"/>
    <w:rsid w:val="0010567C"/>
    <w:rsid w:val="001059DB"/>
    <w:rsid w:val="00105A5B"/>
    <w:rsid w:val="00106087"/>
    <w:rsid w:val="001066A7"/>
    <w:rsid w:val="001069CE"/>
    <w:rsid w:val="001104CD"/>
    <w:rsid w:val="001105BE"/>
    <w:rsid w:val="0011070A"/>
    <w:rsid w:val="001113CE"/>
    <w:rsid w:val="0011149A"/>
    <w:rsid w:val="001114D3"/>
    <w:rsid w:val="0011173E"/>
    <w:rsid w:val="00112B6F"/>
    <w:rsid w:val="00113535"/>
    <w:rsid w:val="001135FB"/>
    <w:rsid w:val="00113D4B"/>
    <w:rsid w:val="00114672"/>
    <w:rsid w:val="00114771"/>
    <w:rsid w:val="00114C33"/>
    <w:rsid w:val="00114CA4"/>
    <w:rsid w:val="00115030"/>
    <w:rsid w:val="00115251"/>
    <w:rsid w:val="00115709"/>
    <w:rsid w:val="0011585C"/>
    <w:rsid w:val="00115BCF"/>
    <w:rsid w:val="0011606B"/>
    <w:rsid w:val="0011739A"/>
    <w:rsid w:val="00117433"/>
    <w:rsid w:val="001175DA"/>
    <w:rsid w:val="00117820"/>
    <w:rsid w:val="00117B66"/>
    <w:rsid w:val="00117FA5"/>
    <w:rsid w:val="0012012B"/>
    <w:rsid w:val="00120766"/>
    <w:rsid w:val="00120B9F"/>
    <w:rsid w:val="001220AB"/>
    <w:rsid w:val="00123108"/>
    <w:rsid w:val="0012312F"/>
    <w:rsid w:val="00123250"/>
    <w:rsid w:val="00123478"/>
    <w:rsid w:val="00123521"/>
    <w:rsid w:val="00123996"/>
    <w:rsid w:val="001244A7"/>
    <w:rsid w:val="00124A55"/>
    <w:rsid w:val="00124B06"/>
    <w:rsid w:val="00125B45"/>
    <w:rsid w:val="001262F6"/>
    <w:rsid w:val="00126B0E"/>
    <w:rsid w:val="00127313"/>
    <w:rsid w:val="001275B7"/>
    <w:rsid w:val="00127E40"/>
    <w:rsid w:val="001300C2"/>
    <w:rsid w:val="00130545"/>
    <w:rsid w:val="001307BA"/>
    <w:rsid w:val="00130B9E"/>
    <w:rsid w:val="00130CEF"/>
    <w:rsid w:val="00130F83"/>
    <w:rsid w:val="00131121"/>
    <w:rsid w:val="00131545"/>
    <w:rsid w:val="0013156F"/>
    <w:rsid w:val="00131751"/>
    <w:rsid w:val="00132A8D"/>
    <w:rsid w:val="00132AE5"/>
    <w:rsid w:val="00132FD8"/>
    <w:rsid w:val="0013332E"/>
    <w:rsid w:val="001334A5"/>
    <w:rsid w:val="0013414C"/>
    <w:rsid w:val="00134379"/>
    <w:rsid w:val="00134BA6"/>
    <w:rsid w:val="001351F6"/>
    <w:rsid w:val="00135436"/>
    <w:rsid w:val="00136465"/>
    <w:rsid w:val="00136524"/>
    <w:rsid w:val="0013666A"/>
    <w:rsid w:val="00136967"/>
    <w:rsid w:val="001370FD"/>
    <w:rsid w:val="001374C0"/>
    <w:rsid w:val="001375A3"/>
    <w:rsid w:val="00140602"/>
    <w:rsid w:val="001406B6"/>
    <w:rsid w:val="001411B5"/>
    <w:rsid w:val="001413E3"/>
    <w:rsid w:val="00142EAD"/>
    <w:rsid w:val="0014309E"/>
    <w:rsid w:val="001434F2"/>
    <w:rsid w:val="00143D7B"/>
    <w:rsid w:val="00143EDB"/>
    <w:rsid w:val="00144250"/>
    <w:rsid w:val="00145162"/>
    <w:rsid w:val="00145401"/>
    <w:rsid w:val="00145455"/>
    <w:rsid w:val="00145AD5"/>
    <w:rsid w:val="00145C3D"/>
    <w:rsid w:val="00146077"/>
    <w:rsid w:val="00146413"/>
    <w:rsid w:val="001465E5"/>
    <w:rsid w:val="00146A63"/>
    <w:rsid w:val="00146CAF"/>
    <w:rsid w:val="00146E83"/>
    <w:rsid w:val="0014712C"/>
    <w:rsid w:val="001475D2"/>
    <w:rsid w:val="00147A51"/>
    <w:rsid w:val="00147BCD"/>
    <w:rsid w:val="00147CE0"/>
    <w:rsid w:val="00147D42"/>
    <w:rsid w:val="00147E03"/>
    <w:rsid w:val="00147FBB"/>
    <w:rsid w:val="001508B9"/>
    <w:rsid w:val="0015110B"/>
    <w:rsid w:val="0015133B"/>
    <w:rsid w:val="00151764"/>
    <w:rsid w:val="00151EDA"/>
    <w:rsid w:val="001529A6"/>
    <w:rsid w:val="00152ADB"/>
    <w:rsid w:val="00152FF3"/>
    <w:rsid w:val="00153155"/>
    <w:rsid w:val="001532A4"/>
    <w:rsid w:val="00153585"/>
    <w:rsid w:val="0015468E"/>
    <w:rsid w:val="00154853"/>
    <w:rsid w:val="00155154"/>
    <w:rsid w:val="00155B61"/>
    <w:rsid w:val="00155F98"/>
    <w:rsid w:val="0015627D"/>
    <w:rsid w:val="00156518"/>
    <w:rsid w:val="00156746"/>
    <w:rsid w:val="00156906"/>
    <w:rsid w:val="00156CF2"/>
    <w:rsid w:val="00157812"/>
    <w:rsid w:val="00157919"/>
    <w:rsid w:val="00157F69"/>
    <w:rsid w:val="001600DD"/>
    <w:rsid w:val="001626D9"/>
    <w:rsid w:val="00162D6B"/>
    <w:rsid w:val="00162DEC"/>
    <w:rsid w:val="00162F20"/>
    <w:rsid w:val="001631B5"/>
    <w:rsid w:val="0016443B"/>
    <w:rsid w:val="00164B4C"/>
    <w:rsid w:val="00165003"/>
    <w:rsid w:val="0016538E"/>
    <w:rsid w:val="00165804"/>
    <w:rsid w:val="00165BCB"/>
    <w:rsid w:val="00165FB1"/>
    <w:rsid w:val="00166682"/>
    <w:rsid w:val="0016678E"/>
    <w:rsid w:val="00166DD7"/>
    <w:rsid w:val="001678F6"/>
    <w:rsid w:val="00167B63"/>
    <w:rsid w:val="001702DF"/>
    <w:rsid w:val="00170497"/>
    <w:rsid w:val="00171013"/>
    <w:rsid w:val="001712AD"/>
    <w:rsid w:val="0017135A"/>
    <w:rsid w:val="00171746"/>
    <w:rsid w:val="00171BC2"/>
    <w:rsid w:val="001720C4"/>
    <w:rsid w:val="001726BB"/>
    <w:rsid w:val="00172CAA"/>
    <w:rsid w:val="00173902"/>
    <w:rsid w:val="00173DD4"/>
    <w:rsid w:val="00173F1E"/>
    <w:rsid w:val="00173FBC"/>
    <w:rsid w:val="0017486A"/>
    <w:rsid w:val="00174FA9"/>
    <w:rsid w:val="001750F9"/>
    <w:rsid w:val="00175327"/>
    <w:rsid w:val="001753CD"/>
    <w:rsid w:val="001755ED"/>
    <w:rsid w:val="00175761"/>
    <w:rsid w:val="00175C92"/>
    <w:rsid w:val="00175D1D"/>
    <w:rsid w:val="001764C5"/>
    <w:rsid w:val="001764EB"/>
    <w:rsid w:val="00177511"/>
    <w:rsid w:val="001777EF"/>
    <w:rsid w:val="00177AEE"/>
    <w:rsid w:val="00177D50"/>
    <w:rsid w:val="0018041F"/>
    <w:rsid w:val="00180872"/>
    <w:rsid w:val="00180E05"/>
    <w:rsid w:val="00180E33"/>
    <w:rsid w:val="0018107B"/>
    <w:rsid w:val="00181BAA"/>
    <w:rsid w:val="00181F73"/>
    <w:rsid w:val="00182747"/>
    <w:rsid w:val="00182B90"/>
    <w:rsid w:val="00183A36"/>
    <w:rsid w:val="00183B76"/>
    <w:rsid w:val="0018414F"/>
    <w:rsid w:val="0018451A"/>
    <w:rsid w:val="0018555D"/>
    <w:rsid w:val="001858A5"/>
    <w:rsid w:val="00185908"/>
    <w:rsid w:val="00185AC0"/>
    <w:rsid w:val="00185C2F"/>
    <w:rsid w:val="00186445"/>
    <w:rsid w:val="00186E30"/>
    <w:rsid w:val="00186EDD"/>
    <w:rsid w:val="001875E2"/>
    <w:rsid w:val="0018774F"/>
    <w:rsid w:val="00187889"/>
    <w:rsid w:val="001903D0"/>
    <w:rsid w:val="00190954"/>
    <w:rsid w:val="00190EF0"/>
    <w:rsid w:val="001910CB"/>
    <w:rsid w:val="00191968"/>
    <w:rsid w:val="00191E8B"/>
    <w:rsid w:val="001925A3"/>
    <w:rsid w:val="00192A28"/>
    <w:rsid w:val="00192BEA"/>
    <w:rsid w:val="00193692"/>
    <w:rsid w:val="001939EC"/>
    <w:rsid w:val="00193C66"/>
    <w:rsid w:val="00193EF7"/>
    <w:rsid w:val="00193F76"/>
    <w:rsid w:val="00194398"/>
    <w:rsid w:val="00194FC1"/>
    <w:rsid w:val="001951FC"/>
    <w:rsid w:val="00195D1C"/>
    <w:rsid w:val="00196630"/>
    <w:rsid w:val="00197073"/>
    <w:rsid w:val="001971F2"/>
    <w:rsid w:val="00197271"/>
    <w:rsid w:val="00197489"/>
    <w:rsid w:val="00197EE3"/>
    <w:rsid w:val="001A0002"/>
    <w:rsid w:val="001A01C4"/>
    <w:rsid w:val="001A0420"/>
    <w:rsid w:val="001A20D0"/>
    <w:rsid w:val="001A27C7"/>
    <w:rsid w:val="001A2B30"/>
    <w:rsid w:val="001A2E4C"/>
    <w:rsid w:val="001A386F"/>
    <w:rsid w:val="001A3A3C"/>
    <w:rsid w:val="001A3E7F"/>
    <w:rsid w:val="001A4892"/>
    <w:rsid w:val="001A4A3E"/>
    <w:rsid w:val="001A4F06"/>
    <w:rsid w:val="001A501E"/>
    <w:rsid w:val="001A597E"/>
    <w:rsid w:val="001A5D4E"/>
    <w:rsid w:val="001A5E39"/>
    <w:rsid w:val="001A69B0"/>
    <w:rsid w:val="001A786C"/>
    <w:rsid w:val="001A7B1F"/>
    <w:rsid w:val="001B0EFF"/>
    <w:rsid w:val="001B15ED"/>
    <w:rsid w:val="001B192A"/>
    <w:rsid w:val="001B217C"/>
    <w:rsid w:val="001B2C36"/>
    <w:rsid w:val="001B3254"/>
    <w:rsid w:val="001B33A9"/>
    <w:rsid w:val="001B3404"/>
    <w:rsid w:val="001B3535"/>
    <w:rsid w:val="001B3645"/>
    <w:rsid w:val="001B38FC"/>
    <w:rsid w:val="001B42D7"/>
    <w:rsid w:val="001B48EB"/>
    <w:rsid w:val="001B4B2D"/>
    <w:rsid w:val="001B4CAF"/>
    <w:rsid w:val="001B4E11"/>
    <w:rsid w:val="001B524D"/>
    <w:rsid w:val="001B53C2"/>
    <w:rsid w:val="001B5590"/>
    <w:rsid w:val="001B583B"/>
    <w:rsid w:val="001B58C8"/>
    <w:rsid w:val="001B6090"/>
    <w:rsid w:val="001B6897"/>
    <w:rsid w:val="001B6FFE"/>
    <w:rsid w:val="001C0ADF"/>
    <w:rsid w:val="001C0DD1"/>
    <w:rsid w:val="001C11CD"/>
    <w:rsid w:val="001C1C77"/>
    <w:rsid w:val="001C1E93"/>
    <w:rsid w:val="001C2440"/>
    <w:rsid w:val="001C2D3E"/>
    <w:rsid w:val="001C2D95"/>
    <w:rsid w:val="001C302B"/>
    <w:rsid w:val="001C3183"/>
    <w:rsid w:val="001C3846"/>
    <w:rsid w:val="001C3EB0"/>
    <w:rsid w:val="001C41E9"/>
    <w:rsid w:val="001C45E3"/>
    <w:rsid w:val="001C4B06"/>
    <w:rsid w:val="001C51DF"/>
    <w:rsid w:val="001C5342"/>
    <w:rsid w:val="001C5EBB"/>
    <w:rsid w:val="001C665C"/>
    <w:rsid w:val="001C6E26"/>
    <w:rsid w:val="001C7652"/>
    <w:rsid w:val="001D0081"/>
    <w:rsid w:val="001D00FA"/>
    <w:rsid w:val="001D0139"/>
    <w:rsid w:val="001D0194"/>
    <w:rsid w:val="001D0511"/>
    <w:rsid w:val="001D0AF6"/>
    <w:rsid w:val="001D0BC6"/>
    <w:rsid w:val="001D146C"/>
    <w:rsid w:val="001D23EF"/>
    <w:rsid w:val="001D2772"/>
    <w:rsid w:val="001D2E8A"/>
    <w:rsid w:val="001D2EA9"/>
    <w:rsid w:val="001D31D3"/>
    <w:rsid w:val="001D3613"/>
    <w:rsid w:val="001D3D71"/>
    <w:rsid w:val="001D3E89"/>
    <w:rsid w:val="001D3F35"/>
    <w:rsid w:val="001D47D4"/>
    <w:rsid w:val="001D56B6"/>
    <w:rsid w:val="001D5847"/>
    <w:rsid w:val="001D6326"/>
    <w:rsid w:val="001D6ADD"/>
    <w:rsid w:val="001D7479"/>
    <w:rsid w:val="001D7597"/>
    <w:rsid w:val="001D7DB2"/>
    <w:rsid w:val="001D7E9F"/>
    <w:rsid w:val="001E039F"/>
    <w:rsid w:val="001E0896"/>
    <w:rsid w:val="001E0EAA"/>
    <w:rsid w:val="001E104B"/>
    <w:rsid w:val="001E20AD"/>
    <w:rsid w:val="001E2DD5"/>
    <w:rsid w:val="001E2F0D"/>
    <w:rsid w:val="001E3839"/>
    <w:rsid w:val="001E4925"/>
    <w:rsid w:val="001E4C28"/>
    <w:rsid w:val="001E4D58"/>
    <w:rsid w:val="001E5AF9"/>
    <w:rsid w:val="001E5CDB"/>
    <w:rsid w:val="001E5EF3"/>
    <w:rsid w:val="001E634E"/>
    <w:rsid w:val="001E6694"/>
    <w:rsid w:val="001E67EB"/>
    <w:rsid w:val="001E6804"/>
    <w:rsid w:val="001E74E1"/>
    <w:rsid w:val="001E77C7"/>
    <w:rsid w:val="001F011A"/>
    <w:rsid w:val="001F08BA"/>
    <w:rsid w:val="001F0906"/>
    <w:rsid w:val="001F09B2"/>
    <w:rsid w:val="001F1230"/>
    <w:rsid w:val="001F1B76"/>
    <w:rsid w:val="001F2232"/>
    <w:rsid w:val="001F2486"/>
    <w:rsid w:val="001F25F1"/>
    <w:rsid w:val="001F2EEC"/>
    <w:rsid w:val="001F3084"/>
    <w:rsid w:val="001F33B0"/>
    <w:rsid w:val="001F349D"/>
    <w:rsid w:val="001F37DA"/>
    <w:rsid w:val="001F3F8E"/>
    <w:rsid w:val="001F407F"/>
    <w:rsid w:val="001F4108"/>
    <w:rsid w:val="001F43EB"/>
    <w:rsid w:val="001F562A"/>
    <w:rsid w:val="001F5886"/>
    <w:rsid w:val="001F5B7B"/>
    <w:rsid w:val="001F5F60"/>
    <w:rsid w:val="001F6966"/>
    <w:rsid w:val="001F69A1"/>
    <w:rsid w:val="001F6C7E"/>
    <w:rsid w:val="001F70DB"/>
    <w:rsid w:val="001F7D07"/>
    <w:rsid w:val="0020005F"/>
    <w:rsid w:val="00201132"/>
    <w:rsid w:val="00201F48"/>
    <w:rsid w:val="00203AED"/>
    <w:rsid w:val="00203B4F"/>
    <w:rsid w:val="0020410F"/>
    <w:rsid w:val="00205B6D"/>
    <w:rsid w:val="00205D17"/>
    <w:rsid w:val="00205F55"/>
    <w:rsid w:val="0020615F"/>
    <w:rsid w:val="002069AE"/>
    <w:rsid w:val="002070A3"/>
    <w:rsid w:val="00207494"/>
    <w:rsid w:val="00207585"/>
    <w:rsid w:val="00207623"/>
    <w:rsid w:val="00207695"/>
    <w:rsid w:val="0020785A"/>
    <w:rsid w:val="00207EB3"/>
    <w:rsid w:val="00210223"/>
    <w:rsid w:val="002105BD"/>
    <w:rsid w:val="002106E8"/>
    <w:rsid w:val="00211E59"/>
    <w:rsid w:val="002121F4"/>
    <w:rsid w:val="002125A5"/>
    <w:rsid w:val="0021266E"/>
    <w:rsid w:val="002128A0"/>
    <w:rsid w:val="0021305B"/>
    <w:rsid w:val="0021311A"/>
    <w:rsid w:val="002132AD"/>
    <w:rsid w:val="00213B17"/>
    <w:rsid w:val="00213F9F"/>
    <w:rsid w:val="002147FF"/>
    <w:rsid w:val="00214A47"/>
    <w:rsid w:val="00215120"/>
    <w:rsid w:val="0021545D"/>
    <w:rsid w:val="002161F9"/>
    <w:rsid w:val="00216620"/>
    <w:rsid w:val="002168F8"/>
    <w:rsid w:val="002178E1"/>
    <w:rsid w:val="00217A99"/>
    <w:rsid w:val="00217D49"/>
    <w:rsid w:val="00217FD0"/>
    <w:rsid w:val="00220019"/>
    <w:rsid w:val="00220165"/>
    <w:rsid w:val="00220727"/>
    <w:rsid w:val="00220809"/>
    <w:rsid w:val="0022092E"/>
    <w:rsid w:val="00220C56"/>
    <w:rsid w:val="00220FC7"/>
    <w:rsid w:val="002218B8"/>
    <w:rsid w:val="00221C5D"/>
    <w:rsid w:val="00221D45"/>
    <w:rsid w:val="002222D1"/>
    <w:rsid w:val="0022266C"/>
    <w:rsid w:val="0022286D"/>
    <w:rsid w:val="00222C9B"/>
    <w:rsid w:val="00223ABD"/>
    <w:rsid w:val="00223F69"/>
    <w:rsid w:val="002240D6"/>
    <w:rsid w:val="002246B9"/>
    <w:rsid w:val="00224B09"/>
    <w:rsid w:val="0022538D"/>
    <w:rsid w:val="0022544C"/>
    <w:rsid w:val="0022581A"/>
    <w:rsid w:val="002263E2"/>
    <w:rsid w:val="0022671A"/>
    <w:rsid w:val="00226800"/>
    <w:rsid w:val="00227024"/>
    <w:rsid w:val="002271E1"/>
    <w:rsid w:val="00227652"/>
    <w:rsid w:val="002304AF"/>
    <w:rsid w:val="00231248"/>
    <w:rsid w:val="002314E9"/>
    <w:rsid w:val="002317BB"/>
    <w:rsid w:val="00231DD9"/>
    <w:rsid w:val="002326DC"/>
    <w:rsid w:val="00232B51"/>
    <w:rsid w:val="00232BE4"/>
    <w:rsid w:val="002335CA"/>
    <w:rsid w:val="00234127"/>
    <w:rsid w:val="0023506F"/>
    <w:rsid w:val="002350F0"/>
    <w:rsid w:val="002352B3"/>
    <w:rsid w:val="00235597"/>
    <w:rsid w:val="002358A1"/>
    <w:rsid w:val="00236804"/>
    <w:rsid w:val="00236C2E"/>
    <w:rsid w:val="00236D42"/>
    <w:rsid w:val="00236D8D"/>
    <w:rsid w:val="002410A9"/>
    <w:rsid w:val="00241261"/>
    <w:rsid w:val="00241DE6"/>
    <w:rsid w:val="002422B5"/>
    <w:rsid w:val="00242624"/>
    <w:rsid w:val="00242C4F"/>
    <w:rsid w:val="00242C82"/>
    <w:rsid w:val="00242C8C"/>
    <w:rsid w:val="00242F4D"/>
    <w:rsid w:val="00243B26"/>
    <w:rsid w:val="00244323"/>
    <w:rsid w:val="00244E09"/>
    <w:rsid w:val="002452D2"/>
    <w:rsid w:val="0024553F"/>
    <w:rsid w:val="002457B2"/>
    <w:rsid w:val="002459AD"/>
    <w:rsid w:val="00245CC7"/>
    <w:rsid w:val="00245DA0"/>
    <w:rsid w:val="00245E1E"/>
    <w:rsid w:val="002461C5"/>
    <w:rsid w:val="00246454"/>
    <w:rsid w:val="00246711"/>
    <w:rsid w:val="002467B9"/>
    <w:rsid w:val="00246CB9"/>
    <w:rsid w:val="00247573"/>
    <w:rsid w:val="00247C57"/>
    <w:rsid w:val="00247F7A"/>
    <w:rsid w:val="00250AF0"/>
    <w:rsid w:val="00250C61"/>
    <w:rsid w:val="00250DB9"/>
    <w:rsid w:val="00251072"/>
    <w:rsid w:val="00251463"/>
    <w:rsid w:val="00251A72"/>
    <w:rsid w:val="00251D19"/>
    <w:rsid w:val="0025201D"/>
    <w:rsid w:val="00252059"/>
    <w:rsid w:val="002524DD"/>
    <w:rsid w:val="002524F0"/>
    <w:rsid w:val="0025266E"/>
    <w:rsid w:val="002529DF"/>
    <w:rsid w:val="00252A70"/>
    <w:rsid w:val="00252E77"/>
    <w:rsid w:val="00252F14"/>
    <w:rsid w:val="00253293"/>
    <w:rsid w:val="002532CA"/>
    <w:rsid w:val="0025353A"/>
    <w:rsid w:val="0025363C"/>
    <w:rsid w:val="00253674"/>
    <w:rsid w:val="0025376F"/>
    <w:rsid w:val="00253985"/>
    <w:rsid w:val="00253AF6"/>
    <w:rsid w:val="00253BCE"/>
    <w:rsid w:val="00253EF8"/>
    <w:rsid w:val="002546DF"/>
    <w:rsid w:val="0025545B"/>
    <w:rsid w:val="00255B26"/>
    <w:rsid w:val="00255BC7"/>
    <w:rsid w:val="00255BC8"/>
    <w:rsid w:val="00256087"/>
    <w:rsid w:val="00256094"/>
    <w:rsid w:val="002564A4"/>
    <w:rsid w:val="002566EF"/>
    <w:rsid w:val="00256A05"/>
    <w:rsid w:val="00256DE7"/>
    <w:rsid w:val="002570E1"/>
    <w:rsid w:val="002575A1"/>
    <w:rsid w:val="002578B0"/>
    <w:rsid w:val="00257963"/>
    <w:rsid w:val="00257D6C"/>
    <w:rsid w:val="00257D95"/>
    <w:rsid w:val="0026054F"/>
    <w:rsid w:val="00260D0D"/>
    <w:rsid w:val="00261753"/>
    <w:rsid w:val="00261C31"/>
    <w:rsid w:val="00261D07"/>
    <w:rsid w:val="00261EEC"/>
    <w:rsid w:val="00262615"/>
    <w:rsid w:val="00262CDE"/>
    <w:rsid w:val="0026376F"/>
    <w:rsid w:val="00263868"/>
    <w:rsid w:val="00263DAD"/>
    <w:rsid w:val="00263F72"/>
    <w:rsid w:val="00264067"/>
    <w:rsid w:val="00264259"/>
    <w:rsid w:val="0026465E"/>
    <w:rsid w:val="002647A6"/>
    <w:rsid w:val="0026487A"/>
    <w:rsid w:val="00264D8D"/>
    <w:rsid w:val="00264F55"/>
    <w:rsid w:val="00264F7A"/>
    <w:rsid w:val="0026526D"/>
    <w:rsid w:val="00265803"/>
    <w:rsid w:val="00265881"/>
    <w:rsid w:val="00266444"/>
    <w:rsid w:val="002667DA"/>
    <w:rsid w:val="00266E57"/>
    <w:rsid w:val="00266EE4"/>
    <w:rsid w:val="002673EA"/>
    <w:rsid w:val="002679C4"/>
    <w:rsid w:val="00267A35"/>
    <w:rsid w:val="00267AE0"/>
    <w:rsid w:val="00267B45"/>
    <w:rsid w:val="00267BA3"/>
    <w:rsid w:val="00267C2B"/>
    <w:rsid w:val="00267C68"/>
    <w:rsid w:val="00267D2F"/>
    <w:rsid w:val="00270242"/>
    <w:rsid w:val="0027192F"/>
    <w:rsid w:val="00271AB0"/>
    <w:rsid w:val="00271C29"/>
    <w:rsid w:val="0027229D"/>
    <w:rsid w:val="00272D67"/>
    <w:rsid w:val="00272E42"/>
    <w:rsid w:val="00273E25"/>
    <w:rsid w:val="00274059"/>
    <w:rsid w:val="00274220"/>
    <w:rsid w:val="002745E8"/>
    <w:rsid w:val="0027490B"/>
    <w:rsid w:val="00274C14"/>
    <w:rsid w:val="0027501B"/>
    <w:rsid w:val="002751FF"/>
    <w:rsid w:val="002753B8"/>
    <w:rsid w:val="002753D7"/>
    <w:rsid w:val="002753DB"/>
    <w:rsid w:val="00275C6F"/>
    <w:rsid w:val="00276109"/>
    <w:rsid w:val="002763D0"/>
    <w:rsid w:val="0027662E"/>
    <w:rsid w:val="00276B98"/>
    <w:rsid w:val="00276FE1"/>
    <w:rsid w:val="0027719A"/>
    <w:rsid w:val="00280C6A"/>
    <w:rsid w:val="00280D14"/>
    <w:rsid w:val="00281F55"/>
    <w:rsid w:val="00282735"/>
    <w:rsid w:val="00282813"/>
    <w:rsid w:val="00282A5C"/>
    <w:rsid w:val="00282A86"/>
    <w:rsid w:val="00283506"/>
    <w:rsid w:val="00283515"/>
    <w:rsid w:val="00283DFA"/>
    <w:rsid w:val="00283FE6"/>
    <w:rsid w:val="002840AB"/>
    <w:rsid w:val="00284485"/>
    <w:rsid w:val="00284705"/>
    <w:rsid w:val="00284AEE"/>
    <w:rsid w:val="00284D17"/>
    <w:rsid w:val="00285321"/>
    <w:rsid w:val="002854E9"/>
    <w:rsid w:val="00285B2A"/>
    <w:rsid w:val="00285D10"/>
    <w:rsid w:val="00286A5D"/>
    <w:rsid w:val="00286CFC"/>
    <w:rsid w:val="002870E5"/>
    <w:rsid w:val="00287B61"/>
    <w:rsid w:val="0029035C"/>
    <w:rsid w:val="00290921"/>
    <w:rsid w:val="00291D33"/>
    <w:rsid w:val="00291E06"/>
    <w:rsid w:val="00291E64"/>
    <w:rsid w:val="00291F16"/>
    <w:rsid w:val="00292131"/>
    <w:rsid w:val="00293478"/>
    <w:rsid w:val="002934AE"/>
    <w:rsid w:val="00293907"/>
    <w:rsid w:val="00293F60"/>
    <w:rsid w:val="002940F8"/>
    <w:rsid w:val="00294CCB"/>
    <w:rsid w:val="00294CD9"/>
    <w:rsid w:val="00294CEA"/>
    <w:rsid w:val="0029544C"/>
    <w:rsid w:val="00295DD9"/>
    <w:rsid w:val="00296456"/>
    <w:rsid w:val="00296D5F"/>
    <w:rsid w:val="00297903"/>
    <w:rsid w:val="00297D58"/>
    <w:rsid w:val="00297F6E"/>
    <w:rsid w:val="002A0170"/>
    <w:rsid w:val="002A04A1"/>
    <w:rsid w:val="002A08C2"/>
    <w:rsid w:val="002A1410"/>
    <w:rsid w:val="002A14A1"/>
    <w:rsid w:val="002A1BB6"/>
    <w:rsid w:val="002A1E18"/>
    <w:rsid w:val="002A2328"/>
    <w:rsid w:val="002A241B"/>
    <w:rsid w:val="002A274E"/>
    <w:rsid w:val="002A2B73"/>
    <w:rsid w:val="002A2EA0"/>
    <w:rsid w:val="002A2EBF"/>
    <w:rsid w:val="002A305E"/>
    <w:rsid w:val="002A32C9"/>
    <w:rsid w:val="002A33FB"/>
    <w:rsid w:val="002A37C7"/>
    <w:rsid w:val="002A37E7"/>
    <w:rsid w:val="002A381C"/>
    <w:rsid w:val="002A38E0"/>
    <w:rsid w:val="002A3B87"/>
    <w:rsid w:val="002A5167"/>
    <w:rsid w:val="002A5402"/>
    <w:rsid w:val="002A5743"/>
    <w:rsid w:val="002A5AA4"/>
    <w:rsid w:val="002A5F7C"/>
    <w:rsid w:val="002A6026"/>
    <w:rsid w:val="002A6B68"/>
    <w:rsid w:val="002A736E"/>
    <w:rsid w:val="002A73BA"/>
    <w:rsid w:val="002A749A"/>
    <w:rsid w:val="002A78A0"/>
    <w:rsid w:val="002A7F47"/>
    <w:rsid w:val="002B0E35"/>
    <w:rsid w:val="002B0E3A"/>
    <w:rsid w:val="002B1875"/>
    <w:rsid w:val="002B1DF0"/>
    <w:rsid w:val="002B1E59"/>
    <w:rsid w:val="002B27A3"/>
    <w:rsid w:val="002B2A84"/>
    <w:rsid w:val="002B2B9D"/>
    <w:rsid w:val="002B2FAF"/>
    <w:rsid w:val="002B30EB"/>
    <w:rsid w:val="002B369B"/>
    <w:rsid w:val="002B3723"/>
    <w:rsid w:val="002B37BB"/>
    <w:rsid w:val="002B38CE"/>
    <w:rsid w:val="002B3D72"/>
    <w:rsid w:val="002B3FDC"/>
    <w:rsid w:val="002B4023"/>
    <w:rsid w:val="002B4194"/>
    <w:rsid w:val="002B478C"/>
    <w:rsid w:val="002B4CD4"/>
    <w:rsid w:val="002B5C34"/>
    <w:rsid w:val="002B5FFF"/>
    <w:rsid w:val="002B68B4"/>
    <w:rsid w:val="002B6D12"/>
    <w:rsid w:val="002B6EC5"/>
    <w:rsid w:val="002B7116"/>
    <w:rsid w:val="002B71FF"/>
    <w:rsid w:val="002B7601"/>
    <w:rsid w:val="002B76DB"/>
    <w:rsid w:val="002B7F2B"/>
    <w:rsid w:val="002C045F"/>
    <w:rsid w:val="002C0AC3"/>
    <w:rsid w:val="002C1714"/>
    <w:rsid w:val="002C1A54"/>
    <w:rsid w:val="002C1E08"/>
    <w:rsid w:val="002C3B05"/>
    <w:rsid w:val="002C3D81"/>
    <w:rsid w:val="002C3DFC"/>
    <w:rsid w:val="002C3EB1"/>
    <w:rsid w:val="002C4299"/>
    <w:rsid w:val="002C444A"/>
    <w:rsid w:val="002C4885"/>
    <w:rsid w:val="002C4BD2"/>
    <w:rsid w:val="002C5239"/>
    <w:rsid w:val="002C6565"/>
    <w:rsid w:val="002C66C6"/>
    <w:rsid w:val="002C70D5"/>
    <w:rsid w:val="002C74F5"/>
    <w:rsid w:val="002C7A9B"/>
    <w:rsid w:val="002C7F9F"/>
    <w:rsid w:val="002D0D49"/>
    <w:rsid w:val="002D1725"/>
    <w:rsid w:val="002D1A45"/>
    <w:rsid w:val="002D1D36"/>
    <w:rsid w:val="002D25C5"/>
    <w:rsid w:val="002D2982"/>
    <w:rsid w:val="002D2BE4"/>
    <w:rsid w:val="002D2DC3"/>
    <w:rsid w:val="002D2F80"/>
    <w:rsid w:val="002D2F97"/>
    <w:rsid w:val="002D308B"/>
    <w:rsid w:val="002D3481"/>
    <w:rsid w:val="002D3E6A"/>
    <w:rsid w:val="002D4CFF"/>
    <w:rsid w:val="002D56B3"/>
    <w:rsid w:val="002D5725"/>
    <w:rsid w:val="002D5B48"/>
    <w:rsid w:val="002D5E52"/>
    <w:rsid w:val="002D5E73"/>
    <w:rsid w:val="002D6300"/>
    <w:rsid w:val="002D642A"/>
    <w:rsid w:val="002D6550"/>
    <w:rsid w:val="002D76B4"/>
    <w:rsid w:val="002D7852"/>
    <w:rsid w:val="002D7C2F"/>
    <w:rsid w:val="002D7F07"/>
    <w:rsid w:val="002E0CE0"/>
    <w:rsid w:val="002E0CF8"/>
    <w:rsid w:val="002E1E7B"/>
    <w:rsid w:val="002E3A0E"/>
    <w:rsid w:val="002E478A"/>
    <w:rsid w:val="002E479E"/>
    <w:rsid w:val="002E4827"/>
    <w:rsid w:val="002E4AF1"/>
    <w:rsid w:val="002E53F2"/>
    <w:rsid w:val="002E54ED"/>
    <w:rsid w:val="002E56D6"/>
    <w:rsid w:val="002E605B"/>
    <w:rsid w:val="002E656D"/>
    <w:rsid w:val="002E6600"/>
    <w:rsid w:val="002E6A86"/>
    <w:rsid w:val="002E6E3E"/>
    <w:rsid w:val="002E6EC6"/>
    <w:rsid w:val="002E72AB"/>
    <w:rsid w:val="002E7666"/>
    <w:rsid w:val="002E76CD"/>
    <w:rsid w:val="002E7888"/>
    <w:rsid w:val="002E7C0F"/>
    <w:rsid w:val="002E7F43"/>
    <w:rsid w:val="002F05A3"/>
    <w:rsid w:val="002F067A"/>
    <w:rsid w:val="002F16A3"/>
    <w:rsid w:val="002F25EC"/>
    <w:rsid w:val="002F2964"/>
    <w:rsid w:val="002F2C32"/>
    <w:rsid w:val="002F3022"/>
    <w:rsid w:val="002F3392"/>
    <w:rsid w:val="002F3549"/>
    <w:rsid w:val="002F355C"/>
    <w:rsid w:val="002F3973"/>
    <w:rsid w:val="002F441F"/>
    <w:rsid w:val="002F4480"/>
    <w:rsid w:val="002F45BF"/>
    <w:rsid w:val="002F47C3"/>
    <w:rsid w:val="002F47E1"/>
    <w:rsid w:val="002F53CC"/>
    <w:rsid w:val="002F56B5"/>
    <w:rsid w:val="002F5B8E"/>
    <w:rsid w:val="002F62F4"/>
    <w:rsid w:val="002F65E0"/>
    <w:rsid w:val="002F6617"/>
    <w:rsid w:val="002F6A24"/>
    <w:rsid w:val="002F6DB1"/>
    <w:rsid w:val="002F6F20"/>
    <w:rsid w:val="002F7587"/>
    <w:rsid w:val="002F7B2F"/>
    <w:rsid w:val="002F7E6C"/>
    <w:rsid w:val="002F7F48"/>
    <w:rsid w:val="0030085B"/>
    <w:rsid w:val="00300938"/>
    <w:rsid w:val="00300BFC"/>
    <w:rsid w:val="003013DB"/>
    <w:rsid w:val="00301AB4"/>
    <w:rsid w:val="00301D7A"/>
    <w:rsid w:val="003025CD"/>
    <w:rsid w:val="00302A96"/>
    <w:rsid w:val="00302BD5"/>
    <w:rsid w:val="00303071"/>
    <w:rsid w:val="003043EA"/>
    <w:rsid w:val="00304B66"/>
    <w:rsid w:val="00304B6F"/>
    <w:rsid w:val="003052A9"/>
    <w:rsid w:val="00305517"/>
    <w:rsid w:val="003055F7"/>
    <w:rsid w:val="0030592A"/>
    <w:rsid w:val="00305BAA"/>
    <w:rsid w:val="0030604F"/>
    <w:rsid w:val="00306C02"/>
    <w:rsid w:val="00307FDF"/>
    <w:rsid w:val="00310569"/>
    <w:rsid w:val="0031130F"/>
    <w:rsid w:val="0031173B"/>
    <w:rsid w:val="00311EA3"/>
    <w:rsid w:val="00312938"/>
    <w:rsid w:val="00312A5E"/>
    <w:rsid w:val="00312E6D"/>
    <w:rsid w:val="00312F46"/>
    <w:rsid w:val="00313115"/>
    <w:rsid w:val="0031369A"/>
    <w:rsid w:val="00313913"/>
    <w:rsid w:val="00313D03"/>
    <w:rsid w:val="003140AD"/>
    <w:rsid w:val="0031477A"/>
    <w:rsid w:val="00314D3E"/>
    <w:rsid w:val="00314ED4"/>
    <w:rsid w:val="00314FC2"/>
    <w:rsid w:val="0031546F"/>
    <w:rsid w:val="003158FA"/>
    <w:rsid w:val="0031598F"/>
    <w:rsid w:val="00315BA8"/>
    <w:rsid w:val="0031637D"/>
    <w:rsid w:val="003169FB"/>
    <w:rsid w:val="00316A60"/>
    <w:rsid w:val="00316C6A"/>
    <w:rsid w:val="003173D2"/>
    <w:rsid w:val="0031762B"/>
    <w:rsid w:val="00317D31"/>
    <w:rsid w:val="00317E03"/>
    <w:rsid w:val="003206BA"/>
    <w:rsid w:val="00320798"/>
    <w:rsid w:val="00320E3E"/>
    <w:rsid w:val="0032166F"/>
    <w:rsid w:val="0032206C"/>
    <w:rsid w:val="003225F2"/>
    <w:rsid w:val="00323778"/>
    <w:rsid w:val="003239C2"/>
    <w:rsid w:val="00323AFC"/>
    <w:rsid w:val="00323D27"/>
    <w:rsid w:val="0032521E"/>
    <w:rsid w:val="0032558C"/>
    <w:rsid w:val="00325B18"/>
    <w:rsid w:val="00326613"/>
    <w:rsid w:val="0032670E"/>
    <w:rsid w:val="00326ABC"/>
    <w:rsid w:val="00326F4B"/>
    <w:rsid w:val="003276DB"/>
    <w:rsid w:val="00327FE7"/>
    <w:rsid w:val="00330305"/>
    <w:rsid w:val="00330883"/>
    <w:rsid w:val="00330C27"/>
    <w:rsid w:val="00330E4F"/>
    <w:rsid w:val="00331474"/>
    <w:rsid w:val="00331D82"/>
    <w:rsid w:val="00331EE7"/>
    <w:rsid w:val="00332034"/>
    <w:rsid w:val="00332558"/>
    <w:rsid w:val="00333149"/>
    <w:rsid w:val="003333B3"/>
    <w:rsid w:val="00333493"/>
    <w:rsid w:val="003334FE"/>
    <w:rsid w:val="00333778"/>
    <w:rsid w:val="00333A2A"/>
    <w:rsid w:val="00334189"/>
    <w:rsid w:val="00334438"/>
    <w:rsid w:val="003359BC"/>
    <w:rsid w:val="00335EEC"/>
    <w:rsid w:val="003367C3"/>
    <w:rsid w:val="00336AB9"/>
    <w:rsid w:val="00336DA2"/>
    <w:rsid w:val="003370BE"/>
    <w:rsid w:val="00337641"/>
    <w:rsid w:val="003377E0"/>
    <w:rsid w:val="00340A39"/>
    <w:rsid w:val="003415CA"/>
    <w:rsid w:val="0034169E"/>
    <w:rsid w:val="00341B22"/>
    <w:rsid w:val="003429AC"/>
    <w:rsid w:val="00342C92"/>
    <w:rsid w:val="00342D7C"/>
    <w:rsid w:val="003430D9"/>
    <w:rsid w:val="0034393D"/>
    <w:rsid w:val="00343A01"/>
    <w:rsid w:val="003443F1"/>
    <w:rsid w:val="00344797"/>
    <w:rsid w:val="0034494E"/>
    <w:rsid w:val="003449FC"/>
    <w:rsid w:val="00344F5E"/>
    <w:rsid w:val="00345716"/>
    <w:rsid w:val="00345830"/>
    <w:rsid w:val="00345991"/>
    <w:rsid w:val="00345FC1"/>
    <w:rsid w:val="0034631F"/>
    <w:rsid w:val="003468CC"/>
    <w:rsid w:val="00346E43"/>
    <w:rsid w:val="0034705A"/>
    <w:rsid w:val="00347450"/>
    <w:rsid w:val="0035030F"/>
    <w:rsid w:val="00350454"/>
    <w:rsid w:val="00350C70"/>
    <w:rsid w:val="00350CB2"/>
    <w:rsid w:val="00350D11"/>
    <w:rsid w:val="0035123C"/>
    <w:rsid w:val="003515D1"/>
    <w:rsid w:val="0035185F"/>
    <w:rsid w:val="00351A0C"/>
    <w:rsid w:val="00351AFE"/>
    <w:rsid w:val="00351BB4"/>
    <w:rsid w:val="00351FE0"/>
    <w:rsid w:val="00352243"/>
    <w:rsid w:val="00352FDC"/>
    <w:rsid w:val="00353310"/>
    <w:rsid w:val="00354165"/>
    <w:rsid w:val="003541F0"/>
    <w:rsid w:val="00354764"/>
    <w:rsid w:val="00354A46"/>
    <w:rsid w:val="00354F74"/>
    <w:rsid w:val="0035548E"/>
    <w:rsid w:val="0035590A"/>
    <w:rsid w:val="003563C5"/>
    <w:rsid w:val="003566AD"/>
    <w:rsid w:val="00356769"/>
    <w:rsid w:val="00356985"/>
    <w:rsid w:val="00356B0D"/>
    <w:rsid w:val="00356BFA"/>
    <w:rsid w:val="0035737F"/>
    <w:rsid w:val="00357599"/>
    <w:rsid w:val="00357682"/>
    <w:rsid w:val="003576B4"/>
    <w:rsid w:val="00357ADA"/>
    <w:rsid w:val="00360DB4"/>
    <w:rsid w:val="0036175D"/>
    <w:rsid w:val="00361AA2"/>
    <w:rsid w:val="00361F27"/>
    <w:rsid w:val="00361FD2"/>
    <w:rsid w:val="0036284E"/>
    <w:rsid w:val="00362895"/>
    <w:rsid w:val="00362B0C"/>
    <w:rsid w:val="00362DFE"/>
    <w:rsid w:val="00362ED3"/>
    <w:rsid w:val="00363602"/>
    <w:rsid w:val="003637B3"/>
    <w:rsid w:val="0036497A"/>
    <w:rsid w:val="0036529C"/>
    <w:rsid w:val="0036530A"/>
    <w:rsid w:val="003659B5"/>
    <w:rsid w:val="0036688F"/>
    <w:rsid w:val="00366D07"/>
    <w:rsid w:val="00366F07"/>
    <w:rsid w:val="003700A6"/>
    <w:rsid w:val="00370348"/>
    <w:rsid w:val="00370ED6"/>
    <w:rsid w:val="00370F8A"/>
    <w:rsid w:val="00371248"/>
    <w:rsid w:val="0037147D"/>
    <w:rsid w:val="003714DD"/>
    <w:rsid w:val="003715F8"/>
    <w:rsid w:val="0037174F"/>
    <w:rsid w:val="003718DD"/>
    <w:rsid w:val="00371AEB"/>
    <w:rsid w:val="00371CCC"/>
    <w:rsid w:val="00372DEE"/>
    <w:rsid w:val="00373479"/>
    <w:rsid w:val="0037428A"/>
    <w:rsid w:val="003750E5"/>
    <w:rsid w:val="003757E6"/>
    <w:rsid w:val="00375F30"/>
    <w:rsid w:val="00376291"/>
    <w:rsid w:val="003769B2"/>
    <w:rsid w:val="00377D1A"/>
    <w:rsid w:val="00377DA8"/>
    <w:rsid w:val="00380413"/>
    <w:rsid w:val="003808E0"/>
    <w:rsid w:val="00380DCD"/>
    <w:rsid w:val="00380E05"/>
    <w:rsid w:val="003813A0"/>
    <w:rsid w:val="00381FA2"/>
    <w:rsid w:val="0038210B"/>
    <w:rsid w:val="0038214D"/>
    <w:rsid w:val="0038353F"/>
    <w:rsid w:val="00383B60"/>
    <w:rsid w:val="00383CF1"/>
    <w:rsid w:val="003841F2"/>
    <w:rsid w:val="00384565"/>
    <w:rsid w:val="0038472D"/>
    <w:rsid w:val="00384C3C"/>
    <w:rsid w:val="00385158"/>
    <w:rsid w:val="00385333"/>
    <w:rsid w:val="00385767"/>
    <w:rsid w:val="0038591C"/>
    <w:rsid w:val="00386379"/>
    <w:rsid w:val="003863D8"/>
    <w:rsid w:val="003866AC"/>
    <w:rsid w:val="00386C99"/>
    <w:rsid w:val="00386F7C"/>
    <w:rsid w:val="0038784E"/>
    <w:rsid w:val="00387A34"/>
    <w:rsid w:val="0039001A"/>
    <w:rsid w:val="00390119"/>
    <w:rsid w:val="00390341"/>
    <w:rsid w:val="00390368"/>
    <w:rsid w:val="00390376"/>
    <w:rsid w:val="003904BE"/>
    <w:rsid w:val="00390959"/>
    <w:rsid w:val="00390ACC"/>
    <w:rsid w:val="003910B2"/>
    <w:rsid w:val="00391104"/>
    <w:rsid w:val="0039133D"/>
    <w:rsid w:val="003913E3"/>
    <w:rsid w:val="0039146B"/>
    <w:rsid w:val="0039182D"/>
    <w:rsid w:val="0039204C"/>
    <w:rsid w:val="00392055"/>
    <w:rsid w:val="00392C42"/>
    <w:rsid w:val="00392EC6"/>
    <w:rsid w:val="00392F73"/>
    <w:rsid w:val="00392FE9"/>
    <w:rsid w:val="00393A0B"/>
    <w:rsid w:val="00393D96"/>
    <w:rsid w:val="00394298"/>
    <w:rsid w:val="00394D9B"/>
    <w:rsid w:val="00395558"/>
    <w:rsid w:val="00395B24"/>
    <w:rsid w:val="00395C0C"/>
    <w:rsid w:val="00395F63"/>
    <w:rsid w:val="003962B6"/>
    <w:rsid w:val="0039664C"/>
    <w:rsid w:val="003A01B2"/>
    <w:rsid w:val="003A0316"/>
    <w:rsid w:val="003A0A59"/>
    <w:rsid w:val="003A0E7A"/>
    <w:rsid w:val="003A10B7"/>
    <w:rsid w:val="003A1131"/>
    <w:rsid w:val="003A2860"/>
    <w:rsid w:val="003A3318"/>
    <w:rsid w:val="003A3AD8"/>
    <w:rsid w:val="003A4801"/>
    <w:rsid w:val="003A4C27"/>
    <w:rsid w:val="003A52C6"/>
    <w:rsid w:val="003A581D"/>
    <w:rsid w:val="003A5ADC"/>
    <w:rsid w:val="003A5E28"/>
    <w:rsid w:val="003A684B"/>
    <w:rsid w:val="003A6A66"/>
    <w:rsid w:val="003A6F65"/>
    <w:rsid w:val="003A6FDC"/>
    <w:rsid w:val="003A7D0D"/>
    <w:rsid w:val="003A7F51"/>
    <w:rsid w:val="003B0275"/>
    <w:rsid w:val="003B08A7"/>
    <w:rsid w:val="003B0B7E"/>
    <w:rsid w:val="003B10DF"/>
    <w:rsid w:val="003B16C7"/>
    <w:rsid w:val="003B1B62"/>
    <w:rsid w:val="003B21A8"/>
    <w:rsid w:val="003B25EC"/>
    <w:rsid w:val="003B3A94"/>
    <w:rsid w:val="003B3ABD"/>
    <w:rsid w:val="003B3DC6"/>
    <w:rsid w:val="003B3DEE"/>
    <w:rsid w:val="003B4104"/>
    <w:rsid w:val="003B4597"/>
    <w:rsid w:val="003B48C5"/>
    <w:rsid w:val="003B48F3"/>
    <w:rsid w:val="003B4B26"/>
    <w:rsid w:val="003B4CCC"/>
    <w:rsid w:val="003B5093"/>
    <w:rsid w:val="003B573A"/>
    <w:rsid w:val="003B5B70"/>
    <w:rsid w:val="003B5C8A"/>
    <w:rsid w:val="003B5E90"/>
    <w:rsid w:val="003B638F"/>
    <w:rsid w:val="003B663C"/>
    <w:rsid w:val="003B66AF"/>
    <w:rsid w:val="003B6D07"/>
    <w:rsid w:val="003B723D"/>
    <w:rsid w:val="003B7370"/>
    <w:rsid w:val="003B7A68"/>
    <w:rsid w:val="003C013B"/>
    <w:rsid w:val="003C0719"/>
    <w:rsid w:val="003C0F1F"/>
    <w:rsid w:val="003C1309"/>
    <w:rsid w:val="003C13C3"/>
    <w:rsid w:val="003C1BAA"/>
    <w:rsid w:val="003C1F4F"/>
    <w:rsid w:val="003C23E0"/>
    <w:rsid w:val="003C2601"/>
    <w:rsid w:val="003C277F"/>
    <w:rsid w:val="003C2867"/>
    <w:rsid w:val="003C2AAB"/>
    <w:rsid w:val="003C2B54"/>
    <w:rsid w:val="003C3316"/>
    <w:rsid w:val="003C3896"/>
    <w:rsid w:val="003C4723"/>
    <w:rsid w:val="003C5CCC"/>
    <w:rsid w:val="003C5F14"/>
    <w:rsid w:val="003C61C7"/>
    <w:rsid w:val="003C61CC"/>
    <w:rsid w:val="003C63FF"/>
    <w:rsid w:val="003C678B"/>
    <w:rsid w:val="003C67CC"/>
    <w:rsid w:val="003C6C30"/>
    <w:rsid w:val="003C6CFD"/>
    <w:rsid w:val="003C7045"/>
    <w:rsid w:val="003C7AB6"/>
    <w:rsid w:val="003C7CD6"/>
    <w:rsid w:val="003D039A"/>
    <w:rsid w:val="003D0645"/>
    <w:rsid w:val="003D0B46"/>
    <w:rsid w:val="003D0B5C"/>
    <w:rsid w:val="003D10AC"/>
    <w:rsid w:val="003D10EA"/>
    <w:rsid w:val="003D1190"/>
    <w:rsid w:val="003D1C1D"/>
    <w:rsid w:val="003D2A56"/>
    <w:rsid w:val="003D3231"/>
    <w:rsid w:val="003D3653"/>
    <w:rsid w:val="003D36C4"/>
    <w:rsid w:val="003D3A30"/>
    <w:rsid w:val="003D4DFD"/>
    <w:rsid w:val="003D4E0A"/>
    <w:rsid w:val="003D58A5"/>
    <w:rsid w:val="003D595B"/>
    <w:rsid w:val="003D5A91"/>
    <w:rsid w:val="003D5B54"/>
    <w:rsid w:val="003D5BA7"/>
    <w:rsid w:val="003D6A32"/>
    <w:rsid w:val="003D6BCF"/>
    <w:rsid w:val="003D70EE"/>
    <w:rsid w:val="003D7456"/>
    <w:rsid w:val="003D79C0"/>
    <w:rsid w:val="003D7AAB"/>
    <w:rsid w:val="003D7CD2"/>
    <w:rsid w:val="003D7DFC"/>
    <w:rsid w:val="003E02DD"/>
    <w:rsid w:val="003E03ED"/>
    <w:rsid w:val="003E06A3"/>
    <w:rsid w:val="003E095E"/>
    <w:rsid w:val="003E1A9A"/>
    <w:rsid w:val="003E2306"/>
    <w:rsid w:val="003E2744"/>
    <w:rsid w:val="003E2A8C"/>
    <w:rsid w:val="003E411B"/>
    <w:rsid w:val="003E424F"/>
    <w:rsid w:val="003E4383"/>
    <w:rsid w:val="003E43AE"/>
    <w:rsid w:val="003E453D"/>
    <w:rsid w:val="003E481E"/>
    <w:rsid w:val="003E5018"/>
    <w:rsid w:val="003E57E7"/>
    <w:rsid w:val="003E5BDD"/>
    <w:rsid w:val="003E5CA4"/>
    <w:rsid w:val="003E5D6F"/>
    <w:rsid w:val="003E60F0"/>
    <w:rsid w:val="003E65A9"/>
    <w:rsid w:val="003E6A8D"/>
    <w:rsid w:val="003E6D26"/>
    <w:rsid w:val="003E6EBA"/>
    <w:rsid w:val="003E72C8"/>
    <w:rsid w:val="003E73A7"/>
    <w:rsid w:val="003E77E8"/>
    <w:rsid w:val="003E788E"/>
    <w:rsid w:val="003E7D5E"/>
    <w:rsid w:val="003E7E7F"/>
    <w:rsid w:val="003F018B"/>
    <w:rsid w:val="003F080E"/>
    <w:rsid w:val="003F0D02"/>
    <w:rsid w:val="003F1155"/>
    <w:rsid w:val="003F12A0"/>
    <w:rsid w:val="003F19E4"/>
    <w:rsid w:val="003F1B56"/>
    <w:rsid w:val="003F1C97"/>
    <w:rsid w:val="003F1D27"/>
    <w:rsid w:val="003F1F8C"/>
    <w:rsid w:val="003F2039"/>
    <w:rsid w:val="003F292D"/>
    <w:rsid w:val="003F3620"/>
    <w:rsid w:val="003F3719"/>
    <w:rsid w:val="003F4167"/>
    <w:rsid w:val="003F439A"/>
    <w:rsid w:val="003F45B6"/>
    <w:rsid w:val="003F4A7E"/>
    <w:rsid w:val="003F5612"/>
    <w:rsid w:val="003F5966"/>
    <w:rsid w:val="003F5B06"/>
    <w:rsid w:val="003F6A9D"/>
    <w:rsid w:val="003F6B44"/>
    <w:rsid w:val="003F6D93"/>
    <w:rsid w:val="003F72B4"/>
    <w:rsid w:val="003F7844"/>
    <w:rsid w:val="003F78C4"/>
    <w:rsid w:val="003F7A8E"/>
    <w:rsid w:val="003F7D4A"/>
    <w:rsid w:val="00400402"/>
    <w:rsid w:val="00400642"/>
    <w:rsid w:val="004006EE"/>
    <w:rsid w:val="00400D40"/>
    <w:rsid w:val="004016CB"/>
    <w:rsid w:val="00402225"/>
    <w:rsid w:val="00402967"/>
    <w:rsid w:val="0040345E"/>
    <w:rsid w:val="0040376F"/>
    <w:rsid w:val="00404012"/>
    <w:rsid w:val="0040411D"/>
    <w:rsid w:val="00404E59"/>
    <w:rsid w:val="00404F37"/>
    <w:rsid w:val="004051D5"/>
    <w:rsid w:val="00405220"/>
    <w:rsid w:val="00405344"/>
    <w:rsid w:val="004054BC"/>
    <w:rsid w:val="00405665"/>
    <w:rsid w:val="00406A73"/>
    <w:rsid w:val="004074D8"/>
    <w:rsid w:val="0041062D"/>
    <w:rsid w:val="00410B9C"/>
    <w:rsid w:val="00410C23"/>
    <w:rsid w:val="004110A0"/>
    <w:rsid w:val="00411351"/>
    <w:rsid w:val="00411588"/>
    <w:rsid w:val="004118AF"/>
    <w:rsid w:val="00412251"/>
    <w:rsid w:val="004129BD"/>
    <w:rsid w:val="00412CDD"/>
    <w:rsid w:val="00412D72"/>
    <w:rsid w:val="00412E12"/>
    <w:rsid w:val="0041375A"/>
    <w:rsid w:val="00413922"/>
    <w:rsid w:val="0041392B"/>
    <w:rsid w:val="004140A3"/>
    <w:rsid w:val="00414A07"/>
    <w:rsid w:val="00414F78"/>
    <w:rsid w:val="00414FC4"/>
    <w:rsid w:val="00415692"/>
    <w:rsid w:val="00415980"/>
    <w:rsid w:val="00416058"/>
    <w:rsid w:val="004163C5"/>
    <w:rsid w:val="00416577"/>
    <w:rsid w:val="00416EBD"/>
    <w:rsid w:val="00417394"/>
    <w:rsid w:val="00417ACB"/>
    <w:rsid w:val="00417E96"/>
    <w:rsid w:val="0042013F"/>
    <w:rsid w:val="004204F5"/>
    <w:rsid w:val="00420B0C"/>
    <w:rsid w:val="00420B69"/>
    <w:rsid w:val="00420F7B"/>
    <w:rsid w:val="00421416"/>
    <w:rsid w:val="0042146C"/>
    <w:rsid w:val="00422288"/>
    <w:rsid w:val="004225B0"/>
    <w:rsid w:val="004229D4"/>
    <w:rsid w:val="00422C6A"/>
    <w:rsid w:val="00423387"/>
    <w:rsid w:val="004233C0"/>
    <w:rsid w:val="00423410"/>
    <w:rsid w:val="004239FD"/>
    <w:rsid w:val="00423B96"/>
    <w:rsid w:val="0042473F"/>
    <w:rsid w:val="00424836"/>
    <w:rsid w:val="0042490D"/>
    <w:rsid w:val="00425550"/>
    <w:rsid w:val="004263AA"/>
    <w:rsid w:val="00426973"/>
    <w:rsid w:val="00426DB9"/>
    <w:rsid w:val="004276BA"/>
    <w:rsid w:val="00430963"/>
    <w:rsid w:val="004311E3"/>
    <w:rsid w:val="00431265"/>
    <w:rsid w:val="00431471"/>
    <w:rsid w:val="00432209"/>
    <w:rsid w:val="00432633"/>
    <w:rsid w:val="00432AD4"/>
    <w:rsid w:val="00432AE7"/>
    <w:rsid w:val="00432B3D"/>
    <w:rsid w:val="004332DF"/>
    <w:rsid w:val="004335E5"/>
    <w:rsid w:val="00433785"/>
    <w:rsid w:val="00433DA3"/>
    <w:rsid w:val="004349AB"/>
    <w:rsid w:val="00434A04"/>
    <w:rsid w:val="00434A17"/>
    <w:rsid w:val="004358FF"/>
    <w:rsid w:val="004364F0"/>
    <w:rsid w:val="00436595"/>
    <w:rsid w:val="00436E26"/>
    <w:rsid w:val="004373E0"/>
    <w:rsid w:val="00437B38"/>
    <w:rsid w:val="00437CCF"/>
    <w:rsid w:val="00437E82"/>
    <w:rsid w:val="00440100"/>
    <w:rsid w:val="00440472"/>
    <w:rsid w:val="0044061C"/>
    <w:rsid w:val="00440DE9"/>
    <w:rsid w:val="004416C2"/>
    <w:rsid w:val="00441C8E"/>
    <w:rsid w:val="00441CEE"/>
    <w:rsid w:val="0044208F"/>
    <w:rsid w:val="0044221E"/>
    <w:rsid w:val="00442BE4"/>
    <w:rsid w:val="00442E72"/>
    <w:rsid w:val="00443289"/>
    <w:rsid w:val="00443513"/>
    <w:rsid w:val="00443AD3"/>
    <w:rsid w:val="00443CB2"/>
    <w:rsid w:val="00444070"/>
    <w:rsid w:val="00444508"/>
    <w:rsid w:val="004449A5"/>
    <w:rsid w:val="00444AF0"/>
    <w:rsid w:val="0044569C"/>
    <w:rsid w:val="00446346"/>
    <w:rsid w:val="0044642B"/>
    <w:rsid w:val="004466C7"/>
    <w:rsid w:val="00447836"/>
    <w:rsid w:val="00450457"/>
    <w:rsid w:val="004507DF"/>
    <w:rsid w:val="0045099B"/>
    <w:rsid w:val="004510B3"/>
    <w:rsid w:val="004515CD"/>
    <w:rsid w:val="00451D5D"/>
    <w:rsid w:val="0045211B"/>
    <w:rsid w:val="00452819"/>
    <w:rsid w:val="004534A5"/>
    <w:rsid w:val="004536CD"/>
    <w:rsid w:val="004537B3"/>
    <w:rsid w:val="00453941"/>
    <w:rsid w:val="00454167"/>
    <w:rsid w:val="004546BC"/>
    <w:rsid w:val="00454D82"/>
    <w:rsid w:val="00455533"/>
    <w:rsid w:val="00455B67"/>
    <w:rsid w:val="00456046"/>
    <w:rsid w:val="00456E54"/>
    <w:rsid w:val="004572D6"/>
    <w:rsid w:val="0045745B"/>
    <w:rsid w:val="004604B9"/>
    <w:rsid w:val="00460631"/>
    <w:rsid w:val="004606A1"/>
    <w:rsid w:val="004606B3"/>
    <w:rsid w:val="00461193"/>
    <w:rsid w:val="00461216"/>
    <w:rsid w:val="00461231"/>
    <w:rsid w:val="0046159F"/>
    <w:rsid w:val="00461B16"/>
    <w:rsid w:val="00461C3F"/>
    <w:rsid w:val="00462106"/>
    <w:rsid w:val="00462B40"/>
    <w:rsid w:val="00462FCF"/>
    <w:rsid w:val="004632AB"/>
    <w:rsid w:val="0046333D"/>
    <w:rsid w:val="00463401"/>
    <w:rsid w:val="0046361B"/>
    <w:rsid w:val="00464192"/>
    <w:rsid w:val="00464850"/>
    <w:rsid w:val="004651BD"/>
    <w:rsid w:val="00465662"/>
    <w:rsid w:val="00465682"/>
    <w:rsid w:val="004659E5"/>
    <w:rsid w:val="00466098"/>
    <w:rsid w:val="00466131"/>
    <w:rsid w:val="00466137"/>
    <w:rsid w:val="0046655B"/>
    <w:rsid w:val="00466580"/>
    <w:rsid w:val="00466E06"/>
    <w:rsid w:val="00466E14"/>
    <w:rsid w:val="00467146"/>
    <w:rsid w:val="00467A21"/>
    <w:rsid w:val="00467B15"/>
    <w:rsid w:val="00467F42"/>
    <w:rsid w:val="00470151"/>
    <w:rsid w:val="0047021F"/>
    <w:rsid w:val="0047056A"/>
    <w:rsid w:val="00470BE4"/>
    <w:rsid w:val="00470D1A"/>
    <w:rsid w:val="00471240"/>
    <w:rsid w:val="0047189C"/>
    <w:rsid w:val="00471C31"/>
    <w:rsid w:val="00471D68"/>
    <w:rsid w:val="004720CB"/>
    <w:rsid w:val="004721EC"/>
    <w:rsid w:val="0047222C"/>
    <w:rsid w:val="00472287"/>
    <w:rsid w:val="0047298E"/>
    <w:rsid w:val="0047313A"/>
    <w:rsid w:val="0047340D"/>
    <w:rsid w:val="004736E9"/>
    <w:rsid w:val="00473F6B"/>
    <w:rsid w:val="0047400D"/>
    <w:rsid w:val="00474083"/>
    <w:rsid w:val="004743E6"/>
    <w:rsid w:val="00475056"/>
    <w:rsid w:val="0047583B"/>
    <w:rsid w:val="00475ACA"/>
    <w:rsid w:val="00475E04"/>
    <w:rsid w:val="00476465"/>
    <w:rsid w:val="004764A1"/>
    <w:rsid w:val="00476724"/>
    <w:rsid w:val="004769E2"/>
    <w:rsid w:val="00476F8A"/>
    <w:rsid w:val="00477637"/>
    <w:rsid w:val="00477831"/>
    <w:rsid w:val="0047787A"/>
    <w:rsid w:val="004779A8"/>
    <w:rsid w:val="00480275"/>
    <w:rsid w:val="004804E9"/>
    <w:rsid w:val="004807B2"/>
    <w:rsid w:val="00480971"/>
    <w:rsid w:val="00480DE6"/>
    <w:rsid w:val="00481784"/>
    <w:rsid w:val="00481AC1"/>
    <w:rsid w:val="004823EA"/>
    <w:rsid w:val="00482782"/>
    <w:rsid w:val="00482887"/>
    <w:rsid w:val="00482E56"/>
    <w:rsid w:val="004842B6"/>
    <w:rsid w:val="004842F9"/>
    <w:rsid w:val="00484324"/>
    <w:rsid w:val="0048494D"/>
    <w:rsid w:val="00484BE3"/>
    <w:rsid w:val="00484DB1"/>
    <w:rsid w:val="004850C1"/>
    <w:rsid w:val="00485325"/>
    <w:rsid w:val="004855DF"/>
    <w:rsid w:val="00485745"/>
    <w:rsid w:val="00486467"/>
    <w:rsid w:val="00486AF0"/>
    <w:rsid w:val="00486B9D"/>
    <w:rsid w:val="00487741"/>
    <w:rsid w:val="00487C0D"/>
    <w:rsid w:val="00490C6B"/>
    <w:rsid w:val="004910F1"/>
    <w:rsid w:val="0049140C"/>
    <w:rsid w:val="004914B4"/>
    <w:rsid w:val="004916BD"/>
    <w:rsid w:val="00491C1B"/>
    <w:rsid w:val="00491CC5"/>
    <w:rsid w:val="00493E62"/>
    <w:rsid w:val="0049446A"/>
    <w:rsid w:val="00494A29"/>
    <w:rsid w:val="0049511C"/>
    <w:rsid w:val="00495221"/>
    <w:rsid w:val="004957E6"/>
    <w:rsid w:val="00495FCD"/>
    <w:rsid w:val="004966DE"/>
    <w:rsid w:val="00497571"/>
    <w:rsid w:val="004979D0"/>
    <w:rsid w:val="00497EAD"/>
    <w:rsid w:val="004A003F"/>
    <w:rsid w:val="004A01EA"/>
    <w:rsid w:val="004A0600"/>
    <w:rsid w:val="004A0830"/>
    <w:rsid w:val="004A0BEB"/>
    <w:rsid w:val="004A1D69"/>
    <w:rsid w:val="004A2492"/>
    <w:rsid w:val="004A29C4"/>
    <w:rsid w:val="004A2BDE"/>
    <w:rsid w:val="004A30E9"/>
    <w:rsid w:val="004A32E4"/>
    <w:rsid w:val="004A3DEA"/>
    <w:rsid w:val="004A3F1D"/>
    <w:rsid w:val="004A4914"/>
    <w:rsid w:val="004A4A89"/>
    <w:rsid w:val="004A4CAB"/>
    <w:rsid w:val="004A4D08"/>
    <w:rsid w:val="004A5305"/>
    <w:rsid w:val="004A5686"/>
    <w:rsid w:val="004A599D"/>
    <w:rsid w:val="004A5B43"/>
    <w:rsid w:val="004A5CC9"/>
    <w:rsid w:val="004A5FA1"/>
    <w:rsid w:val="004A65BF"/>
    <w:rsid w:val="004A674D"/>
    <w:rsid w:val="004A6770"/>
    <w:rsid w:val="004A6B95"/>
    <w:rsid w:val="004A6E34"/>
    <w:rsid w:val="004A7055"/>
    <w:rsid w:val="004A73AE"/>
    <w:rsid w:val="004A7A45"/>
    <w:rsid w:val="004B0024"/>
    <w:rsid w:val="004B01DF"/>
    <w:rsid w:val="004B039F"/>
    <w:rsid w:val="004B1114"/>
    <w:rsid w:val="004B13F4"/>
    <w:rsid w:val="004B251F"/>
    <w:rsid w:val="004B2FEF"/>
    <w:rsid w:val="004B2FFB"/>
    <w:rsid w:val="004B35A6"/>
    <w:rsid w:val="004B3663"/>
    <w:rsid w:val="004B369E"/>
    <w:rsid w:val="004B43C9"/>
    <w:rsid w:val="004B4E4B"/>
    <w:rsid w:val="004B5064"/>
    <w:rsid w:val="004B506B"/>
    <w:rsid w:val="004B5318"/>
    <w:rsid w:val="004B55F5"/>
    <w:rsid w:val="004B5F6A"/>
    <w:rsid w:val="004B6629"/>
    <w:rsid w:val="004B67A2"/>
    <w:rsid w:val="004B75D6"/>
    <w:rsid w:val="004B7F8C"/>
    <w:rsid w:val="004C00A5"/>
    <w:rsid w:val="004C01EB"/>
    <w:rsid w:val="004C07F3"/>
    <w:rsid w:val="004C0CD6"/>
    <w:rsid w:val="004C102F"/>
    <w:rsid w:val="004C14AD"/>
    <w:rsid w:val="004C15F6"/>
    <w:rsid w:val="004C28E0"/>
    <w:rsid w:val="004C2C8C"/>
    <w:rsid w:val="004C2F2D"/>
    <w:rsid w:val="004C37E9"/>
    <w:rsid w:val="004C3B98"/>
    <w:rsid w:val="004C4D94"/>
    <w:rsid w:val="004C56EA"/>
    <w:rsid w:val="004C5794"/>
    <w:rsid w:val="004C685F"/>
    <w:rsid w:val="004C6DE4"/>
    <w:rsid w:val="004C6F0D"/>
    <w:rsid w:val="004C7DB6"/>
    <w:rsid w:val="004D0715"/>
    <w:rsid w:val="004D0967"/>
    <w:rsid w:val="004D0FC5"/>
    <w:rsid w:val="004D14E9"/>
    <w:rsid w:val="004D15EF"/>
    <w:rsid w:val="004D2122"/>
    <w:rsid w:val="004D230D"/>
    <w:rsid w:val="004D2334"/>
    <w:rsid w:val="004D2965"/>
    <w:rsid w:val="004D2FA5"/>
    <w:rsid w:val="004D3BDA"/>
    <w:rsid w:val="004D3C8A"/>
    <w:rsid w:val="004D467A"/>
    <w:rsid w:val="004D4C50"/>
    <w:rsid w:val="004D4FA9"/>
    <w:rsid w:val="004D5021"/>
    <w:rsid w:val="004D5089"/>
    <w:rsid w:val="004D527D"/>
    <w:rsid w:val="004D5492"/>
    <w:rsid w:val="004D57B4"/>
    <w:rsid w:val="004D5A37"/>
    <w:rsid w:val="004D5EC2"/>
    <w:rsid w:val="004D5EF0"/>
    <w:rsid w:val="004D6007"/>
    <w:rsid w:val="004D62B8"/>
    <w:rsid w:val="004D6EC4"/>
    <w:rsid w:val="004D7071"/>
    <w:rsid w:val="004D71DE"/>
    <w:rsid w:val="004D7693"/>
    <w:rsid w:val="004D78DE"/>
    <w:rsid w:val="004D7F9C"/>
    <w:rsid w:val="004D7FFB"/>
    <w:rsid w:val="004E0019"/>
    <w:rsid w:val="004E0343"/>
    <w:rsid w:val="004E0602"/>
    <w:rsid w:val="004E0871"/>
    <w:rsid w:val="004E0AD8"/>
    <w:rsid w:val="004E0EED"/>
    <w:rsid w:val="004E186E"/>
    <w:rsid w:val="004E1873"/>
    <w:rsid w:val="004E1D76"/>
    <w:rsid w:val="004E1E05"/>
    <w:rsid w:val="004E2189"/>
    <w:rsid w:val="004E2252"/>
    <w:rsid w:val="004E25C9"/>
    <w:rsid w:val="004E2BDA"/>
    <w:rsid w:val="004E355B"/>
    <w:rsid w:val="004E3CAF"/>
    <w:rsid w:val="004E4052"/>
    <w:rsid w:val="004E4469"/>
    <w:rsid w:val="004E4544"/>
    <w:rsid w:val="004E46C9"/>
    <w:rsid w:val="004E4D46"/>
    <w:rsid w:val="004E5198"/>
    <w:rsid w:val="004E5B25"/>
    <w:rsid w:val="004E5BD3"/>
    <w:rsid w:val="004E6278"/>
    <w:rsid w:val="004E6A86"/>
    <w:rsid w:val="004E6B01"/>
    <w:rsid w:val="004E74DC"/>
    <w:rsid w:val="004E7550"/>
    <w:rsid w:val="004F02B2"/>
    <w:rsid w:val="004F0959"/>
    <w:rsid w:val="004F1044"/>
    <w:rsid w:val="004F22DB"/>
    <w:rsid w:val="004F2730"/>
    <w:rsid w:val="004F2918"/>
    <w:rsid w:val="004F2BCD"/>
    <w:rsid w:val="004F2CD6"/>
    <w:rsid w:val="004F2FD3"/>
    <w:rsid w:val="004F38D6"/>
    <w:rsid w:val="004F485E"/>
    <w:rsid w:val="004F4B59"/>
    <w:rsid w:val="004F4F60"/>
    <w:rsid w:val="004F5ED5"/>
    <w:rsid w:val="004F6B71"/>
    <w:rsid w:val="004F6E8E"/>
    <w:rsid w:val="004F7325"/>
    <w:rsid w:val="004F7AA5"/>
    <w:rsid w:val="004F7EF7"/>
    <w:rsid w:val="00500409"/>
    <w:rsid w:val="005004F2"/>
    <w:rsid w:val="00500931"/>
    <w:rsid w:val="005020EA"/>
    <w:rsid w:val="00502416"/>
    <w:rsid w:val="005025EA"/>
    <w:rsid w:val="005029F7"/>
    <w:rsid w:val="00502A56"/>
    <w:rsid w:val="00502C10"/>
    <w:rsid w:val="00502FFB"/>
    <w:rsid w:val="0050301D"/>
    <w:rsid w:val="005033F1"/>
    <w:rsid w:val="00503980"/>
    <w:rsid w:val="00503DDE"/>
    <w:rsid w:val="005047D3"/>
    <w:rsid w:val="00504954"/>
    <w:rsid w:val="00504C97"/>
    <w:rsid w:val="00504ED8"/>
    <w:rsid w:val="00505F90"/>
    <w:rsid w:val="00506257"/>
    <w:rsid w:val="00506D4B"/>
    <w:rsid w:val="00506F45"/>
    <w:rsid w:val="00507455"/>
    <w:rsid w:val="005078E7"/>
    <w:rsid w:val="00507C36"/>
    <w:rsid w:val="00507C70"/>
    <w:rsid w:val="0051014B"/>
    <w:rsid w:val="00510276"/>
    <w:rsid w:val="00510453"/>
    <w:rsid w:val="00510688"/>
    <w:rsid w:val="00510953"/>
    <w:rsid w:val="00510988"/>
    <w:rsid w:val="00511210"/>
    <w:rsid w:val="0051148F"/>
    <w:rsid w:val="00511F4E"/>
    <w:rsid w:val="005125AF"/>
    <w:rsid w:val="00512A35"/>
    <w:rsid w:val="00512D22"/>
    <w:rsid w:val="00512E1E"/>
    <w:rsid w:val="00512F63"/>
    <w:rsid w:val="00513028"/>
    <w:rsid w:val="00514C9E"/>
    <w:rsid w:val="00514D0A"/>
    <w:rsid w:val="00515710"/>
    <w:rsid w:val="0051577A"/>
    <w:rsid w:val="00515781"/>
    <w:rsid w:val="00515A62"/>
    <w:rsid w:val="005167D6"/>
    <w:rsid w:val="0051691B"/>
    <w:rsid w:val="00517339"/>
    <w:rsid w:val="00517AEA"/>
    <w:rsid w:val="00517B25"/>
    <w:rsid w:val="00517D36"/>
    <w:rsid w:val="00520004"/>
    <w:rsid w:val="00520305"/>
    <w:rsid w:val="00520E10"/>
    <w:rsid w:val="00521037"/>
    <w:rsid w:val="00521461"/>
    <w:rsid w:val="00521586"/>
    <w:rsid w:val="00521A44"/>
    <w:rsid w:val="00521D7F"/>
    <w:rsid w:val="00522813"/>
    <w:rsid w:val="00522940"/>
    <w:rsid w:val="00522A39"/>
    <w:rsid w:val="00522FF5"/>
    <w:rsid w:val="00523351"/>
    <w:rsid w:val="00523502"/>
    <w:rsid w:val="005237B7"/>
    <w:rsid w:val="00523992"/>
    <w:rsid w:val="005239D7"/>
    <w:rsid w:val="00523B7B"/>
    <w:rsid w:val="005240C0"/>
    <w:rsid w:val="005245CB"/>
    <w:rsid w:val="00524696"/>
    <w:rsid w:val="0052493A"/>
    <w:rsid w:val="00525157"/>
    <w:rsid w:val="00525AD0"/>
    <w:rsid w:val="0052668A"/>
    <w:rsid w:val="00526A6E"/>
    <w:rsid w:val="00526DF1"/>
    <w:rsid w:val="00527187"/>
    <w:rsid w:val="005274C7"/>
    <w:rsid w:val="005277BE"/>
    <w:rsid w:val="00527950"/>
    <w:rsid w:val="00527E66"/>
    <w:rsid w:val="00527FC9"/>
    <w:rsid w:val="00530062"/>
    <w:rsid w:val="0053019E"/>
    <w:rsid w:val="0053071A"/>
    <w:rsid w:val="00530AD0"/>
    <w:rsid w:val="005315D8"/>
    <w:rsid w:val="00531F6C"/>
    <w:rsid w:val="005320C6"/>
    <w:rsid w:val="005322AC"/>
    <w:rsid w:val="005324A8"/>
    <w:rsid w:val="005329D6"/>
    <w:rsid w:val="0053336B"/>
    <w:rsid w:val="005337E1"/>
    <w:rsid w:val="005344AF"/>
    <w:rsid w:val="0053459F"/>
    <w:rsid w:val="0053499B"/>
    <w:rsid w:val="005355DC"/>
    <w:rsid w:val="00535B1C"/>
    <w:rsid w:val="00535B63"/>
    <w:rsid w:val="00535E00"/>
    <w:rsid w:val="00535F63"/>
    <w:rsid w:val="00536150"/>
    <w:rsid w:val="0053650B"/>
    <w:rsid w:val="00536907"/>
    <w:rsid w:val="00536A8E"/>
    <w:rsid w:val="00536D93"/>
    <w:rsid w:val="00536DD7"/>
    <w:rsid w:val="005374A8"/>
    <w:rsid w:val="00537AA4"/>
    <w:rsid w:val="00537C5D"/>
    <w:rsid w:val="005406BC"/>
    <w:rsid w:val="00540A50"/>
    <w:rsid w:val="00540D93"/>
    <w:rsid w:val="00541096"/>
    <w:rsid w:val="005416E8"/>
    <w:rsid w:val="00541D89"/>
    <w:rsid w:val="00542624"/>
    <w:rsid w:val="00542A01"/>
    <w:rsid w:val="00542DA6"/>
    <w:rsid w:val="0054327E"/>
    <w:rsid w:val="00543C58"/>
    <w:rsid w:val="00544521"/>
    <w:rsid w:val="00545856"/>
    <w:rsid w:val="00545CF5"/>
    <w:rsid w:val="005464A2"/>
    <w:rsid w:val="00546841"/>
    <w:rsid w:val="00546967"/>
    <w:rsid w:val="005472EB"/>
    <w:rsid w:val="00547919"/>
    <w:rsid w:val="00547959"/>
    <w:rsid w:val="00550687"/>
    <w:rsid w:val="005507D3"/>
    <w:rsid w:val="00550F23"/>
    <w:rsid w:val="00550F28"/>
    <w:rsid w:val="00551276"/>
    <w:rsid w:val="005513B6"/>
    <w:rsid w:val="0055144E"/>
    <w:rsid w:val="005519FF"/>
    <w:rsid w:val="005528BB"/>
    <w:rsid w:val="005528C5"/>
    <w:rsid w:val="00552AF7"/>
    <w:rsid w:val="005538F9"/>
    <w:rsid w:val="00553B01"/>
    <w:rsid w:val="00553F7A"/>
    <w:rsid w:val="005544C2"/>
    <w:rsid w:val="00554500"/>
    <w:rsid w:val="005545DB"/>
    <w:rsid w:val="00554CD7"/>
    <w:rsid w:val="00554DAD"/>
    <w:rsid w:val="00555217"/>
    <w:rsid w:val="00555ED5"/>
    <w:rsid w:val="0055620F"/>
    <w:rsid w:val="00556F50"/>
    <w:rsid w:val="005571F4"/>
    <w:rsid w:val="00557EB1"/>
    <w:rsid w:val="005602A5"/>
    <w:rsid w:val="0056069D"/>
    <w:rsid w:val="005606AF"/>
    <w:rsid w:val="00560AB3"/>
    <w:rsid w:val="00560C2E"/>
    <w:rsid w:val="00560CAC"/>
    <w:rsid w:val="005613BC"/>
    <w:rsid w:val="00561482"/>
    <w:rsid w:val="005622DA"/>
    <w:rsid w:val="005624AE"/>
    <w:rsid w:val="00562A8D"/>
    <w:rsid w:val="00562C92"/>
    <w:rsid w:val="00563071"/>
    <w:rsid w:val="005631C2"/>
    <w:rsid w:val="0056331D"/>
    <w:rsid w:val="00564A39"/>
    <w:rsid w:val="005655E2"/>
    <w:rsid w:val="005658FC"/>
    <w:rsid w:val="00565A14"/>
    <w:rsid w:val="00565B4C"/>
    <w:rsid w:val="00566127"/>
    <w:rsid w:val="0056644F"/>
    <w:rsid w:val="0056645E"/>
    <w:rsid w:val="0056658D"/>
    <w:rsid w:val="005666AE"/>
    <w:rsid w:val="005669DD"/>
    <w:rsid w:val="00566FBA"/>
    <w:rsid w:val="00567371"/>
    <w:rsid w:val="0056744C"/>
    <w:rsid w:val="00567ABD"/>
    <w:rsid w:val="00567AE8"/>
    <w:rsid w:val="00567E88"/>
    <w:rsid w:val="00570042"/>
    <w:rsid w:val="00570194"/>
    <w:rsid w:val="00570500"/>
    <w:rsid w:val="00570C80"/>
    <w:rsid w:val="00570D66"/>
    <w:rsid w:val="0057172B"/>
    <w:rsid w:val="005721C1"/>
    <w:rsid w:val="005725A4"/>
    <w:rsid w:val="00572CA9"/>
    <w:rsid w:val="00573E75"/>
    <w:rsid w:val="00574398"/>
    <w:rsid w:val="00574A9A"/>
    <w:rsid w:val="00574D91"/>
    <w:rsid w:val="00575016"/>
    <w:rsid w:val="00575175"/>
    <w:rsid w:val="00575A74"/>
    <w:rsid w:val="00575F48"/>
    <w:rsid w:val="00577347"/>
    <w:rsid w:val="00577C2C"/>
    <w:rsid w:val="00577DC8"/>
    <w:rsid w:val="00580248"/>
    <w:rsid w:val="005802C1"/>
    <w:rsid w:val="00580AE2"/>
    <w:rsid w:val="0058183D"/>
    <w:rsid w:val="0058197C"/>
    <w:rsid w:val="00581FEA"/>
    <w:rsid w:val="00582E69"/>
    <w:rsid w:val="005836AE"/>
    <w:rsid w:val="005838DE"/>
    <w:rsid w:val="005841BC"/>
    <w:rsid w:val="0058431E"/>
    <w:rsid w:val="005843D5"/>
    <w:rsid w:val="00584656"/>
    <w:rsid w:val="005846ED"/>
    <w:rsid w:val="00584A99"/>
    <w:rsid w:val="00584C86"/>
    <w:rsid w:val="005859B8"/>
    <w:rsid w:val="00585D24"/>
    <w:rsid w:val="005867CE"/>
    <w:rsid w:val="00586834"/>
    <w:rsid w:val="00586C9B"/>
    <w:rsid w:val="00586D36"/>
    <w:rsid w:val="0058702F"/>
    <w:rsid w:val="00587677"/>
    <w:rsid w:val="00587B62"/>
    <w:rsid w:val="00587FC3"/>
    <w:rsid w:val="00590539"/>
    <w:rsid w:val="005917BA"/>
    <w:rsid w:val="00591C61"/>
    <w:rsid w:val="005920B8"/>
    <w:rsid w:val="00592409"/>
    <w:rsid w:val="0059245C"/>
    <w:rsid w:val="005924C7"/>
    <w:rsid w:val="00592727"/>
    <w:rsid w:val="005942EF"/>
    <w:rsid w:val="005947AE"/>
    <w:rsid w:val="00594C7B"/>
    <w:rsid w:val="00595837"/>
    <w:rsid w:val="005958A3"/>
    <w:rsid w:val="0059591F"/>
    <w:rsid w:val="00595B77"/>
    <w:rsid w:val="005965AA"/>
    <w:rsid w:val="0059678F"/>
    <w:rsid w:val="0059696E"/>
    <w:rsid w:val="00597031"/>
    <w:rsid w:val="005A0619"/>
    <w:rsid w:val="005A0622"/>
    <w:rsid w:val="005A0674"/>
    <w:rsid w:val="005A0A20"/>
    <w:rsid w:val="005A0D0A"/>
    <w:rsid w:val="005A0E8C"/>
    <w:rsid w:val="005A150B"/>
    <w:rsid w:val="005A1AA8"/>
    <w:rsid w:val="005A230B"/>
    <w:rsid w:val="005A2336"/>
    <w:rsid w:val="005A25A1"/>
    <w:rsid w:val="005A335F"/>
    <w:rsid w:val="005A3403"/>
    <w:rsid w:val="005A36B2"/>
    <w:rsid w:val="005A3BD6"/>
    <w:rsid w:val="005A3D8C"/>
    <w:rsid w:val="005A4925"/>
    <w:rsid w:val="005A5B54"/>
    <w:rsid w:val="005A5E1B"/>
    <w:rsid w:val="005A6208"/>
    <w:rsid w:val="005A65E0"/>
    <w:rsid w:val="005A6608"/>
    <w:rsid w:val="005A6652"/>
    <w:rsid w:val="005A6BB6"/>
    <w:rsid w:val="005A7716"/>
    <w:rsid w:val="005A786D"/>
    <w:rsid w:val="005A790F"/>
    <w:rsid w:val="005A7964"/>
    <w:rsid w:val="005B04C0"/>
    <w:rsid w:val="005B0634"/>
    <w:rsid w:val="005B06BC"/>
    <w:rsid w:val="005B06FF"/>
    <w:rsid w:val="005B0919"/>
    <w:rsid w:val="005B0E21"/>
    <w:rsid w:val="005B0EB2"/>
    <w:rsid w:val="005B0F22"/>
    <w:rsid w:val="005B0F37"/>
    <w:rsid w:val="005B12BE"/>
    <w:rsid w:val="005B168D"/>
    <w:rsid w:val="005B18B7"/>
    <w:rsid w:val="005B20E4"/>
    <w:rsid w:val="005B2473"/>
    <w:rsid w:val="005B306C"/>
    <w:rsid w:val="005B3234"/>
    <w:rsid w:val="005B333A"/>
    <w:rsid w:val="005B334A"/>
    <w:rsid w:val="005B33B9"/>
    <w:rsid w:val="005B3898"/>
    <w:rsid w:val="005B38CA"/>
    <w:rsid w:val="005B3C42"/>
    <w:rsid w:val="005B44D0"/>
    <w:rsid w:val="005B486C"/>
    <w:rsid w:val="005B4BC2"/>
    <w:rsid w:val="005B538B"/>
    <w:rsid w:val="005B5991"/>
    <w:rsid w:val="005B607E"/>
    <w:rsid w:val="005B68CC"/>
    <w:rsid w:val="005B6B9B"/>
    <w:rsid w:val="005B6CDB"/>
    <w:rsid w:val="005B7232"/>
    <w:rsid w:val="005B79A2"/>
    <w:rsid w:val="005B79D3"/>
    <w:rsid w:val="005B7B96"/>
    <w:rsid w:val="005B7C19"/>
    <w:rsid w:val="005B7CB4"/>
    <w:rsid w:val="005C0029"/>
    <w:rsid w:val="005C0077"/>
    <w:rsid w:val="005C008B"/>
    <w:rsid w:val="005C03FC"/>
    <w:rsid w:val="005C04C7"/>
    <w:rsid w:val="005C04E1"/>
    <w:rsid w:val="005C0538"/>
    <w:rsid w:val="005C0ACB"/>
    <w:rsid w:val="005C0EB5"/>
    <w:rsid w:val="005C1C5E"/>
    <w:rsid w:val="005C1F26"/>
    <w:rsid w:val="005C2442"/>
    <w:rsid w:val="005C264A"/>
    <w:rsid w:val="005C2FF6"/>
    <w:rsid w:val="005C3025"/>
    <w:rsid w:val="005C366D"/>
    <w:rsid w:val="005C3FE1"/>
    <w:rsid w:val="005C4848"/>
    <w:rsid w:val="005C4F39"/>
    <w:rsid w:val="005C57A3"/>
    <w:rsid w:val="005C5BEB"/>
    <w:rsid w:val="005C65F3"/>
    <w:rsid w:val="005C6FEF"/>
    <w:rsid w:val="005C7202"/>
    <w:rsid w:val="005C740B"/>
    <w:rsid w:val="005D12B6"/>
    <w:rsid w:val="005D155E"/>
    <w:rsid w:val="005D1FBA"/>
    <w:rsid w:val="005D217F"/>
    <w:rsid w:val="005D24F2"/>
    <w:rsid w:val="005D28EC"/>
    <w:rsid w:val="005D293E"/>
    <w:rsid w:val="005D2DDD"/>
    <w:rsid w:val="005D3006"/>
    <w:rsid w:val="005D314A"/>
    <w:rsid w:val="005D3419"/>
    <w:rsid w:val="005D3678"/>
    <w:rsid w:val="005D36E9"/>
    <w:rsid w:val="005D37DC"/>
    <w:rsid w:val="005D3DAF"/>
    <w:rsid w:val="005D3E31"/>
    <w:rsid w:val="005D44E2"/>
    <w:rsid w:val="005D45A1"/>
    <w:rsid w:val="005D4645"/>
    <w:rsid w:val="005D4806"/>
    <w:rsid w:val="005D4D5A"/>
    <w:rsid w:val="005D5DAF"/>
    <w:rsid w:val="005D69D5"/>
    <w:rsid w:val="005D6C26"/>
    <w:rsid w:val="005D7012"/>
    <w:rsid w:val="005D710B"/>
    <w:rsid w:val="005D77F0"/>
    <w:rsid w:val="005D7D0F"/>
    <w:rsid w:val="005E073C"/>
    <w:rsid w:val="005E0844"/>
    <w:rsid w:val="005E08CE"/>
    <w:rsid w:val="005E121A"/>
    <w:rsid w:val="005E144D"/>
    <w:rsid w:val="005E220C"/>
    <w:rsid w:val="005E22F3"/>
    <w:rsid w:val="005E2370"/>
    <w:rsid w:val="005E2473"/>
    <w:rsid w:val="005E2484"/>
    <w:rsid w:val="005E25FB"/>
    <w:rsid w:val="005E27BD"/>
    <w:rsid w:val="005E2E85"/>
    <w:rsid w:val="005E3823"/>
    <w:rsid w:val="005E3A28"/>
    <w:rsid w:val="005E3D77"/>
    <w:rsid w:val="005E3E5F"/>
    <w:rsid w:val="005E3EBE"/>
    <w:rsid w:val="005E3F18"/>
    <w:rsid w:val="005E3F85"/>
    <w:rsid w:val="005E4627"/>
    <w:rsid w:val="005E50F4"/>
    <w:rsid w:val="005E524F"/>
    <w:rsid w:val="005E57A7"/>
    <w:rsid w:val="005E5A2E"/>
    <w:rsid w:val="005E65F2"/>
    <w:rsid w:val="005E7018"/>
    <w:rsid w:val="005E717A"/>
    <w:rsid w:val="005E7C91"/>
    <w:rsid w:val="005F08AD"/>
    <w:rsid w:val="005F100A"/>
    <w:rsid w:val="005F1181"/>
    <w:rsid w:val="005F1738"/>
    <w:rsid w:val="005F1AE7"/>
    <w:rsid w:val="005F1CB1"/>
    <w:rsid w:val="005F23FE"/>
    <w:rsid w:val="005F2716"/>
    <w:rsid w:val="005F35E8"/>
    <w:rsid w:val="005F38BB"/>
    <w:rsid w:val="005F3C23"/>
    <w:rsid w:val="005F48F5"/>
    <w:rsid w:val="005F4B86"/>
    <w:rsid w:val="005F5BED"/>
    <w:rsid w:val="005F5BF5"/>
    <w:rsid w:val="005F5C24"/>
    <w:rsid w:val="005F5CF5"/>
    <w:rsid w:val="005F5F17"/>
    <w:rsid w:val="005F60A6"/>
    <w:rsid w:val="005F62F6"/>
    <w:rsid w:val="005F648D"/>
    <w:rsid w:val="005F656B"/>
    <w:rsid w:val="005F7282"/>
    <w:rsid w:val="005F770D"/>
    <w:rsid w:val="006005F9"/>
    <w:rsid w:val="0060099B"/>
    <w:rsid w:val="00600BF4"/>
    <w:rsid w:val="006010BF"/>
    <w:rsid w:val="006013A5"/>
    <w:rsid w:val="0060181C"/>
    <w:rsid w:val="00602B59"/>
    <w:rsid w:val="00602EBF"/>
    <w:rsid w:val="00603050"/>
    <w:rsid w:val="00603112"/>
    <w:rsid w:val="0060327B"/>
    <w:rsid w:val="00603CA8"/>
    <w:rsid w:val="00604193"/>
    <w:rsid w:val="0060443A"/>
    <w:rsid w:val="00604B89"/>
    <w:rsid w:val="00604DA8"/>
    <w:rsid w:val="00604F4E"/>
    <w:rsid w:val="00604F51"/>
    <w:rsid w:val="00605031"/>
    <w:rsid w:val="0060520D"/>
    <w:rsid w:val="0060596C"/>
    <w:rsid w:val="006059E0"/>
    <w:rsid w:val="00605C6C"/>
    <w:rsid w:val="0060608A"/>
    <w:rsid w:val="00606192"/>
    <w:rsid w:val="006065ED"/>
    <w:rsid w:val="006066B3"/>
    <w:rsid w:val="00606CBB"/>
    <w:rsid w:val="00606DE3"/>
    <w:rsid w:val="0060719F"/>
    <w:rsid w:val="00607F59"/>
    <w:rsid w:val="0061079D"/>
    <w:rsid w:val="00611A62"/>
    <w:rsid w:val="0061214B"/>
    <w:rsid w:val="006122AF"/>
    <w:rsid w:val="006126AB"/>
    <w:rsid w:val="00614891"/>
    <w:rsid w:val="00614A80"/>
    <w:rsid w:val="00614D04"/>
    <w:rsid w:val="006153C9"/>
    <w:rsid w:val="006158EE"/>
    <w:rsid w:val="00615AFC"/>
    <w:rsid w:val="00615C2F"/>
    <w:rsid w:val="00615C55"/>
    <w:rsid w:val="00615EEF"/>
    <w:rsid w:val="00616215"/>
    <w:rsid w:val="00616395"/>
    <w:rsid w:val="006165D1"/>
    <w:rsid w:val="00616F9D"/>
    <w:rsid w:val="00617377"/>
    <w:rsid w:val="00617FCC"/>
    <w:rsid w:val="00617FEC"/>
    <w:rsid w:val="006203A0"/>
    <w:rsid w:val="00620553"/>
    <w:rsid w:val="00620663"/>
    <w:rsid w:val="006217D9"/>
    <w:rsid w:val="00621AB2"/>
    <w:rsid w:val="00622567"/>
    <w:rsid w:val="00622EB0"/>
    <w:rsid w:val="00623335"/>
    <w:rsid w:val="0062375A"/>
    <w:rsid w:val="006239CA"/>
    <w:rsid w:val="00623F57"/>
    <w:rsid w:val="006241B3"/>
    <w:rsid w:val="00624641"/>
    <w:rsid w:val="00624756"/>
    <w:rsid w:val="00624ECA"/>
    <w:rsid w:val="006254E0"/>
    <w:rsid w:val="0062724B"/>
    <w:rsid w:val="00627436"/>
    <w:rsid w:val="00630127"/>
    <w:rsid w:val="006306D2"/>
    <w:rsid w:val="006312F5"/>
    <w:rsid w:val="006314D6"/>
    <w:rsid w:val="00631ED6"/>
    <w:rsid w:val="00632189"/>
    <w:rsid w:val="00632239"/>
    <w:rsid w:val="00632417"/>
    <w:rsid w:val="00632B4E"/>
    <w:rsid w:val="006334FC"/>
    <w:rsid w:val="006335D2"/>
    <w:rsid w:val="00633671"/>
    <w:rsid w:val="0063419C"/>
    <w:rsid w:val="0063465B"/>
    <w:rsid w:val="00634973"/>
    <w:rsid w:val="006349BA"/>
    <w:rsid w:val="00634D64"/>
    <w:rsid w:val="00634E9E"/>
    <w:rsid w:val="0063614B"/>
    <w:rsid w:val="00636333"/>
    <w:rsid w:val="006363B3"/>
    <w:rsid w:val="00636BF3"/>
    <w:rsid w:val="00636D19"/>
    <w:rsid w:val="00636F27"/>
    <w:rsid w:val="006373B2"/>
    <w:rsid w:val="00637884"/>
    <w:rsid w:val="00637982"/>
    <w:rsid w:val="00637E2C"/>
    <w:rsid w:val="00640301"/>
    <w:rsid w:val="006404C9"/>
    <w:rsid w:val="006405B8"/>
    <w:rsid w:val="00640C87"/>
    <w:rsid w:val="00640FE9"/>
    <w:rsid w:val="006412D4"/>
    <w:rsid w:val="006412D8"/>
    <w:rsid w:val="00641421"/>
    <w:rsid w:val="00641810"/>
    <w:rsid w:val="00641B75"/>
    <w:rsid w:val="00641D0C"/>
    <w:rsid w:val="00641D22"/>
    <w:rsid w:val="00642857"/>
    <w:rsid w:val="00642D94"/>
    <w:rsid w:val="0064338B"/>
    <w:rsid w:val="00643699"/>
    <w:rsid w:val="0064396D"/>
    <w:rsid w:val="00643B0E"/>
    <w:rsid w:val="006440C4"/>
    <w:rsid w:val="00644A2F"/>
    <w:rsid w:val="00644DA9"/>
    <w:rsid w:val="00645306"/>
    <w:rsid w:val="00645320"/>
    <w:rsid w:val="00645AA0"/>
    <w:rsid w:val="00645B0A"/>
    <w:rsid w:val="00645ED0"/>
    <w:rsid w:val="00646610"/>
    <w:rsid w:val="00647E8F"/>
    <w:rsid w:val="00647EB9"/>
    <w:rsid w:val="00647F74"/>
    <w:rsid w:val="0065002B"/>
    <w:rsid w:val="006502EF"/>
    <w:rsid w:val="00650987"/>
    <w:rsid w:val="00650F08"/>
    <w:rsid w:val="00651318"/>
    <w:rsid w:val="00651583"/>
    <w:rsid w:val="00651892"/>
    <w:rsid w:val="006518BE"/>
    <w:rsid w:val="00651BBE"/>
    <w:rsid w:val="0065279D"/>
    <w:rsid w:val="00652BC1"/>
    <w:rsid w:val="00652BC8"/>
    <w:rsid w:val="00652C70"/>
    <w:rsid w:val="00652EC1"/>
    <w:rsid w:val="0065315A"/>
    <w:rsid w:val="00653326"/>
    <w:rsid w:val="006538AC"/>
    <w:rsid w:val="006538FA"/>
    <w:rsid w:val="0065447D"/>
    <w:rsid w:val="00654737"/>
    <w:rsid w:val="006547A8"/>
    <w:rsid w:val="0065494E"/>
    <w:rsid w:val="00654A6B"/>
    <w:rsid w:val="00654DE5"/>
    <w:rsid w:val="00654F6B"/>
    <w:rsid w:val="00655031"/>
    <w:rsid w:val="006550F5"/>
    <w:rsid w:val="0065515B"/>
    <w:rsid w:val="006551A0"/>
    <w:rsid w:val="00655450"/>
    <w:rsid w:val="00655456"/>
    <w:rsid w:val="00655519"/>
    <w:rsid w:val="00655779"/>
    <w:rsid w:val="00655981"/>
    <w:rsid w:val="00655B86"/>
    <w:rsid w:val="00655CCF"/>
    <w:rsid w:val="00656987"/>
    <w:rsid w:val="00656AC1"/>
    <w:rsid w:val="00656E63"/>
    <w:rsid w:val="00657117"/>
    <w:rsid w:val="00657DAB"/>
    <w:rsid w:val="0066069B"/>
    <w:rsid w:val="00660A5A"/>
    <w:rsid w:val="00661A96"/>
    <w:rsid w:val="00662389"/>
    <w:rsid w:val="00662499"/>
    <w:rsid w:val="006634E9"/>
    <w:rsid w:val="0066374D"/>
    <w:rsid w:val="00663E08"/>
    <w:rsid w:val="00663E59"/>
    <w:rsid w:val="00663E6C"/>
    <w:rsid w:val="00663ECE"/>
    <w:rsid w:val="00664C8D"/>
    <w:rsid w:val="0066502E"/>
    <w:rsid w:val="006653C1"/>
    <w:rsid w:val="006655AE"/>
    <w:rsid w:val="00665835"/>
    <w:rsid w:val="00665C6B"/>
    <w:rsid w:val="00665E0E"/>
    <w:rsid w:val="00666967"/>
    <w:rsid w:val="00666DDE"/>
    <w:rsid w:val="006674DE"/>
    <w:rsid w:val="00667D6C"/>
    <w:rsid w:val="00667F8E"/>
    <w:rsid w:val="00670CC3"/>
    <w:rsid w:val="00670CCD"/>
    <w:rsid w:val="00670D03"/>
    <w:rsid w:val="0067124C"/>
    <w:rsid w:val="00671282"/>
    <w:rsid w:val="00671A50"/>
    <w:rsid w:val="00671F86"/>
    <w:rsid w:val="00672689"/>
    <w:rsid w:val="00672C05"/>
    <w:rsid w:val="00672E4D"/>
    <w:rsid w:val="0067434D"/>
    <w:rsid w:val="00674582"/>
    <w:rsid w:val="006748B8"/>
    <w:rsid w:val="00674C15"/>
    <w:rsid w:val="00674E6E"/>
    <w:rsid w:val="006750AB"/>
    <w:rsid w:val="0067667D"/>
    <w:rsid w:val="00676EB5"/>
    <w:rsid w:val="006771FC"/>
    <w:rsid w:val="006776A8"/>
    <w:rsid w:val="006778CC"/>
    <w:rsid w:val="006778D0"/>
    <w:rsid w:val="00677AED"/>
    <w:rsid w:val="006805BC"/>
    <w:rsid w:val="006807EC"/>
    <w:rsid w:val="00680FF8"/>
    <w:rsid w:val="00681C98"/>
    <w:rsid w:val="00682B75"/>
    <w:rsid w:val="0068371B"/>
    <w:rsid w:val="00683BA4"/>
    <w:rsid w:val="00683F55"/>
    <w:rsid w:val="00683FB5"/>
    <w:rsid w:val="006840B0"/>
    <w:rsid w:val="00684267"/>
    <w:rsid w:val="006844E4"/>
    <w:rsid w:val="006850BF"/>
    <w:rsid w:val="00685182"/>
    <w:rsid w:val="006853C4"/>
    <w:rsid w:val="0068564D"/>
    <w:rsid w:val="00685B08"/>
    <w:rsid w:val="00686626"/>
    <w:rsid w:val="00686AC6"/>
    <w:rsid w:val="00687902"/>
    <w:rsid w:val="00687FAD"/>
    <w:rsid w:val="00690344"/>
    <w:rsid w:val="0069113E"/>
    <w:rsid w:val="00691A17"/>
    <w:rsid w:val="00691FDA"/>
    <w:rsid w:val="006926ED"/>
    <w:rsid w:val="00692FEF"/>
    <w:rsid w:val="0069305A"/>
    <w:rsid w:val="006933B2"/>
    <w:rsid w:val="00693775"/>
    <w:rsid w:val="0069450B"/>
    <w:rsid w:val="00694A6A"/>
    <w:rsid w:val="00695858"/>
    <w:rsid w:val="00695A6A"/>
    <w:rsid w:val="00695AA7"/>
    <w:rsid w:val="00695BB0"/>
    <w:rsid w:val="00695CCE"/>
    <w:rsid w:val="00696100"/>
    <w:rsid w:val="006966BD"/>
    <w:rsid w:val="00696729"/>
    <w:rsid w:val="00697009"/>
    <w:rsid w:val="0069737B"/>
    <w:rsid w:val="00697901"/>
    <w:rsid w:val="00697B04"/>
    <w:rsid w:val="00697C7C"/>
    <w:rsid w:val="00697F7C"/>
    <w:rsid w:val="006A01AC"/>
    <w:rsid w:val="006A08E8"/>
    <w:rsid w:val="006A0A88"/>
    <w:rsid w:val="006A1324"/>
    <w:rsid w:val="006A136C"/>
    <w:rsid w:val="006A13F9"/>
    <w:rsid w:val="006A1B13"/>
    <w:rsid w:val="006A22F5"/>
    <w:rsid w:val="006A24F7"/>
    <w:rsid w:val="006A28F6"/>
    <w:rsid w:val="006A3AEB"/>
    <w:rsid w:val="006A3B34"/>
    <w:rsid w:val="006A3B71"/>
    <w:rsid w:val="006A4026"/>
    <w:rsid w:val="006A47D2"/>
    <w:rsid w:val="006A4928"/>
    <w:rsid w:val="006A4953"/>
    <w:rsid w:val="006A4A3E"/>
    <w:rsid w:val="006A4D66"/>
    <w:rsid w:val="006A4DDF"/>
    <w:rsid w:val="006A5458"/>
    <w:rsid w:val="006A5543"/>
    <w:rsid w:val="006A585A"/>
    <w:rsid w:val="006A5AB7"/>
    <w:rsid w:val="006A5C65"/>
    <w:rsid w:val="006A5DD8"/>
    <w:rsid w:val="006A61EC"/>
    <w:rsid w:val="006A631E"/>
    <w:rsid w:val="006A6FAF"/>
    <w:rsid w:val="006A7444"/>
    <w:rsid w:val="006A771E"/>
    <w:rsid w:val="006B0292"/>
    <w:rsid w:val="006B1577"/>
    <w:rsid w:val="006B1912"/>
    <w:rsid w:val="006B1CDF"/>
    <w:rsid w:val="006B2205"/>
    <w:rsid w:val="006B2924"/>
    <w:rsid w:val="006B2E1E"/>
    <w:rsid w:val="006B3290"/>
    <w:rsid w:val="006B32A1"/>
    <w:rsid w:val="006B3420"/>
    <w:rsid w:val="006B39AB"/>
    <w:rsid w:val="006B3B89"/>
    <w:rsid w:val="006B3F06"/>
    <w:rsid w:val="006B47E0"/>
    <w:rsid w:val="006B48D6"/>
    <w:rsid w:val="006B4C1A"/>
    <w:rsid w:val="006B4CD9"/>
    <w:rsid w:val="006B5236"/>
    <w:rsid w:val="006B52E9"/>
    <w:rsid w:val="006B54DF"/>
    <w:rsid w:val="006B58AD"/>
    <w:rsid w:val="006B5B05"/>
    <w:rsid w:val="006B5D08"/>
    <w:rsid w:val="006B5DCA"/>
    <w:rsid w:val="006B6727"/>
    <w:rsid w:val="006B70A2"/>
    <w:rsid w:val="006B759D"/>
    <w:rsid w:val="006C0031"/>
    <w:rsid w:val="006C01EF"/>
    <w:rsid w:val="006C08A5"/>
    <w:rsid w:val="006C0EF8"/>
    <w:rsid w:val="006C122D"/>
    <w:rsid w:val="006C1379"/>
    <w:rsid w:val="006C1683"/>
    <w:rsid w:val="006C1696"/>
    <w:rsid w:val="006C18C5"/>
    <w:rsid w:val="006C2857"/>
    <w:rsid w:val="006C2D67"/>
    <w:rsid w:val="006C36D7"/>
    <w:rsid w:val="006C37E8"/>
    <w:rsid w:val="006C3A5D"/>
    <w:rsid w:val="006C400B"/>
    <w:rsid w:val="006C4018"/>
    <w:rsid w:val="006C40C0"/>
    <w:rsid w:val="006C462F"/>
    <w:rsid w:val="006C4835"/>
    <w:rsid w:val="006C5725"/>
    <w:rsid w:val="006C573C"/>
    <w:rsid w:val="006C57DC"/>
    <w:rsid w:val="006C5907"/>
    <w:rsid w:val="006C5CC1"/>
    <w:rsid w:val="006C6091"/>
    <w:rsid w:val="006C66D8"/>
    <w:rsid w:val="006C6745"/>
    <w:rsid w:val="006C676E"/>
    <w:rsid w:val="006C6835"/>
    <w:rsid w:val="006C6C45"/>
    <w:rsid w:val="006C6C7E"/>
    <w:rsid w:val="006C7532"/>
    <w:rsid w:val="006C76CF"/>
    <w:rsid w:val="006C786E"/>
    <w:rsid w:val="006C795C"/>
    <w:rsid w:val="006C7A19"/>
    <w:rsid w:val="006D1647"/>
    <w:rsid w:val="006D2499"/>
    <w:rsid w:val="006D2617"/>
    <w:rsid w:val="006D2C33"/>
    <w:rsid w:val="006D439B"/>
    <w:rsid w:val="006D43A6"/>
    <w:rsid w:val="006D5C4D"/>
    <w:rsid w:val="006D5C67"/>
    <w:rsid w:val="006D5D6D"/>
    <w:rsid w:val="006D6073"/>
    <w:rsid w:val="006D61EB"/>
    <w:rsid w:val="006D6A79"/>
    <w:rsid w:val="006D6EF0"/>
    <w:rsid w:val="006D6F93"/>
    <w:rsid w:val="006D7D59"/>
    <w:rsid w:val="006E0A44"/>
    <w:rsid w:val="006E0BDC"/>
    <w:rsid w:val="006E0C0B"/>
    <w:rsid w:val="006E1719"/>
    <w:rsid w:val="006E2036"/>
    <w:rsid w:val="006E2381"/>
    <w:rsid w:val="006E2898"/>
    <w:rsid w:val="006E2AA5"/>
    <w:rsid w:val="006E2D45"/>
    <w:rsid w:val="006E2DCA"/>
    <w:rsid w:val="006E3155"/>
    <w:rsid w:val="006E3498"/>
    <w:rsid w:val="006E3C43"/>
    <w:rsid w:val="006E481D"/>
    <w:rsid w:val="006E5032"/>
    <w:rsid w:val="006E5B7F"/>
    <w:rsid w:val="006E5FC8"/>
    <w:rsid w:val="006E61FA"/>
    <w:rsid w:val="006E7F38"/>
    <w:rsid w:val="006F0A64"/>
    <w:rsid w:val="006F0A76"/>
    <w:rsid w:val="006F1BD3"/>
    <w:rsid w:val="006F2446"/>
    <w:rsid w:val="006F2791"/>
    <w:rsid w:val="006F2976"/>
    <w:rsid w:val="006F2B62"/>
    <w:rsid w:val="006F2BA6"/>
    <w:rsid w:val="006F308B"/>
    <w:rsid w:val="006F4493"/>
    <w:rsid w:val="006F474D"/>
    <w:rsid w:val="006F4FDC"/>
    <w:rsid w:val="006F5108"/>
    <w:rsid w:val="006F5402"/>
    <w:rsid w:val="006F54A3"/>
    <w:rsid w:val="006F5521"/>
    <w:rsid w:val="006F5C39"/>
    <w:rsid w:val="006F5C8A"/>
    <w:rsid w:val="006F6395"/>
    <w:rsid w:val="006F675C"/>
    <w:rsid w:val="006F6B7F"/>
    <w:rsid w:val="006F6CD2"/>
    <w:rsid w:val="006F711B"/>
    <w:rsid w:val="006F744B"/>
    <w:rsid w:val="00700551"/>
    <w:rsid w:val="00700628"/>
    <w:rsid w:val="00700A89"/>
    <w:rsid w:val="00700EEF"/>
    <w:rsid w:val="00701448"/>
    <w:rsid w:val="00701920"/>
    <w:rsid w:val="00701BED"/>
    <w:rsid w:val="00701F12"/>
    <w:rsid w:val="0070223A"/>
    <w:rsid w:val="007025A9"/>
    <w:rsid w:val="00702622"/>
    <w:rsid w:val="00703196"/>
    <w:rsid w:val="007032EA"/>
    <w:rsid w:val="00703736"/>
    <w:rsid w:val="00703B47"/>
    <w:rsid w:val="00703D91"/>
    <w:rsid w:val="00703ECF"/>
    <w:rsid w:val="007040C8"/>
    <w:rsid w:val="00704443"/>
    <w:rsid w:val="00704A46"/>
    <w:rsid w:val="00704B59"/>
    <w:rsid w:val="00704E67"/>
    <w:rsid w:val="0070598F"/>
    <w:rsid w:val="007059D9"/>
    <w:rsid w:val="00705D7F"/>
    <w:rsid w:val="00705FD3"/>
    <w:rsid w:val="0070619B"/>
    <w:rsid w:val="007062C5"/>
    <w:rsid w:val="00706711"/>
    <w:rsid w:val="0070684D"/>
    <w:rsid w:val="007069E3"/>
    <w:rsid w:val="00707AFF"/>
    <w:rsid w:val="00707B90"/>
    <w:rsid w:val="00707C5B"/>
    <w:rsid w:val="00710115"/>
    <w:rsid w:val="00710282"/>
    <w:rsid w:val="00711178"/>
    <w:rsid w:val="0071139F"/>
    <w:rsid w:val="007115CF"/>
    <w:rsid w:val="00711825"/>
    <w:rsid w:val="00711FAD"/>
    <w:rsid w:val="007125DC"/>
    <w:rsid w:val="00712B61"/>
    <w:rsid w:val="007134F3"/>
    <w:rsid w:val="00713957"/>
    <w:rsid w:val="00713ECF"/>
    <w:rsid w:val="007146D7"/>
    <w:rsid w:val="00714A21"/>
    <w:rsid w:val="007151BF"/>
    <w:rsid w:val="00715725"/>
    <w:rsid w:val="00716A47"/>
    <w:rsid w:val="00716D5B"/>
    <w:rsid w:val="00716FE2"/>
    <w:rsid w:val="00717531"/>
    <w:rsid w:val="00717C2E"/>
    <w:rsid w:val="00717FD6"/>
    <w:rsid w:val="00720585"/>
    <w:rsid w:val="007207DD"/>
    <w:rsid w:val="007218C8"/>
    <w:rsid w:val="00721C24"/>
    <w:rsid w:val="00721E4E"/>
    <w:rsid w:val="00722499"/>
    <w:rsid w:val="00722608"/>
    <w:rsid w:val="00722705"/>
    <w:rsid w:val="00722A3B"/>
    <w:rsid w:val="00722E6E"/>
    <w:rsid w:val="00722F04"/>
    <w:rsid w:val="007232CD"/>
    <w:rsid w:val="00723913"/>
    <w:rsid w:val="007239FB"/>
    <w:rsid w:val="00723BDA"/>
    <w:rsid w:val="0072400B"/>
    <w:rsid w:val="0072442D"/>
    <w:rsid w:val="00724560"/>
    <w:rsid w:val="00724857"/>
    <w:rsid w:val="00724BC2"/>
    <w:rsid w:val="00724DBC"/>
    <w:rsid w:val="00724F70"/>
    <w:rsid w:val="00724F7F"/>
    <w:rsid w:val="00725325"/>
    <w:rsid w:val="00725E2F"/>
    <w:rsid w:val="00725E87"/>
    <w:rsid w:val="0072647F"/>
    <w:rsid w:val="00726507"/>
    <w:rsid w:val="007267A5"/>
    <w:rsid w:val="00727672"/>
    <w:rsid w:val="00730778"/>
    <w:rsid w:val="00730984"/>
    <w:rsid w:val="00731403"/>
    <w:rsid w:val="00731407"/>
    <w:rsid w:val="00731951"/>
    <w:rsid w:val="00731A2B"/>
    <w:rsid w:val="00731B86"/>
    <w:rsid w:val="00731C8B"/>
    <w:rsid w:val="00731D68"/>
    <w:rsid w:val="00731E1B"/>
    <w:rsid w:val="0073221C"/>
    <w:rsid w:val="00732412"/>
    <w:rsid w:val="007324D1"/>
    <w:rsid w:val="007326E2"/>
    <w:rsid w:val="007328D9"/>
    <w:rsid w:val="00732DB4"/>
    <w:rsid w:val="00732F26"/>
    <w:rsid w:val="00732FE7"/>
    <w:rsid w:val="00733FC4"/>
    <w:rsid w:val="0073456C"/>
    <w:rsid w:val="007346FA"/>
    <w:rsid w:val="00734B89"/>
    <w:rsid w:val="007350BA"/>
    <w:rsid w:val="0073523F"/>
    <w:rsid w:val="0073524D"/>
    <w:rsid w:val="00735660"/>
    <w:rsid w:val="00735E3C"/>
    <w:rsid w:val="00736305"/>
    <w:rsid w:val="00736339"/>
    <w:rsid w:val="00736342"/>
    <w:rsid w:val="007364D7"/>
    <w:rsid w:val="00736928"/>
    <w:rsid w:val="007370AA"/>
    <w:rsid w:val="0073737C"/>
    <w:rsid w:val="00737660"/>
    <w:rsid w:val="007378A8"/>
    <w:rsid w:val="00740FFB"/>
    <w:rsid w:val="00741ABF"/>
    <w:rsid w:val="00741CD7"/>
    <w:rsid w:val="0074214D"/>
    <w:rsid w:val="0074272E"/>
    <w:rsid w:val="0074276B"/>
    <w:rsid w:val="00742DE0"/>
    <w:rsid w:val="00742F0E"/>
    <w:rsid w:val="00743260"/>
    <w:rsid w:val="00743336"/>
    <w:rsid w:val="00743812"/>
    <w:rsid w:val="007440ED"/>
    <w:rsid w:val="00744A7D"/>
    <w:rsid w:val="00744DCF"/>
    <w:rsid w:val="00745A15"/>
    <w:rsid w:val="00745B7B"/>
    <w:rsid w:val="00745C30"/>
    <w:rsid w:val="00746F95"/>
    <w:rsid w:val="00747638"/>
    <w:rsid w:val="007476EB"/>
    <w:rsid w:val="00747869"/>
    <w:rsid w:val="00747973"/>
    <w:rsid w:val="0075045F"/>
    <w:rsid w:val="00750823"/>
    <w:rsid w:val="00751953"/>
    <w:rsid w:val="007523A8"/>
    <w:rsid w:val="0075247A"/>
    <w:rsid w:val="00752BD7"/>
    <w:rsid w:val="0075364A"/>
    <w:rsid w:val="00753A7B"/>
    <w:rsid w:val="00754427"/>
    <w:rsid w:val="00754464"/>
    <w:rsid w:val="0075482E"/>
    <w:rsid w:val="00754CB6"/>
    <w:rsid w:val="00754CBC"/>
    <w:rsid w:val="00755018"/>
    <w:rsid w:val="007554FD"/>
    <w:rsid w:val="00755696"/>
    <w:rsid w:val="00756130"/>
    <w:rsid w:val="00756235"/>
    <w:rsid w:val="007577D2"/>
    <w:rsid w:val="00757A0C"/>
    <w:rsid w:val="00757B69"/>
    <w:rsid w:val="00757C83"/>
    <w:rsid w:val="00757D36"/>
    <w:rsid w:val="007601FA"/>
    <w:rsid w:val="00760246"/>
    <w:rsid w:val="0076071B"/>
    <w:rsid w:val="00760C86"/>
    <w:rsid w:val="00761E45"/>
    <w:rsid w:val="007622FF"/>
    <w:rsid w:val="0076272D"/>
    <w:rsid w:val="00762A9C"/>
    <w:rsid w:val="00762C1A"/>
    <w:rsid w:val="00763135"/>
    <w:rsid w:val="007634C2"/>
    <w:rsid w:val="00763535"/>
    <w:rsid w:val="00763806"/>
    <w:rsid w:val="00763B2B"/>
    <w:rsid w:val="00763E64"/>
    <w:rsid w:val="00764019"/>
    <w:rsid w:val="00764465"/>
    <w:rsid w:val="0076468E"/>
    <w:rsid w:val="00764C57"/>
    <w:rsid w:val="007650E6"/>
    <w:rsid w:val="00765291"/>
    <w:rsid w:val="00765AE1"/>
    <w:rsid w:val="00766258"/>
    <w:rsid w:val="00766722"/>
    <w:rsid w:val="0076680F"/>
    <w:rsid w:val="007668EF"/>
    <w:rsid w:val="0076715E"/>
    <w:rsid w:val="007671B8"/>
    <w:rsid w:val="007674F5"/>
    <w:rsid w:val="00767C76"/>
    <w:rsid w:val="00767D53"/>
    <w:rsid w:val="0077016C"/>
    <w:rsid w:val="0077025E"/>
    <w:rsid w:val="007702FF"/>
    <w:rsid w:val="00770467"/>
    <w:rsid w:val="00770D28"/>
    <w:rsid w:val="00771374"/>
    <w:rsid w:val="007713E3"/>
    <w:rsid w:val="007719A9"/>
    <w:rsid w:val="007721CC"/>
    <w:rsid w:val="007723E5"/>
    <w:rsid w:val="007728CF"/>
    <w:rsid w:val="00773173"/>
    <w:rsid w:val="007738FC"/>
    <w:rsid w:val="00773A01"/>
    <w:rsid w:val="00773B71"/>
    <w:rsid w:val="00773E94"/>
    <w:rsid w:val="00773EB9"/>
    <w:rsid w:val="00774274"/>
    <w:rsid w:val="007750C3"/>
    <w:rsid w:val="007751FF"/>
    <w:rsid w:val="00775270"/>
    <w:rsid w:val="007752D6"/>
    <w:rsid w:val="00775D13"/>
    <w:rsid w:val="00775DF3"/>
    <w:rsid w:val="00775FA5"/>
    <w:rsid w:val="0077621D"/>
    <w:rsid w:val="007763D7"/>
    <w:rsid w:val="00776449"/>
    <w:rsid w:val="0077664A"/>
    <w:rsid w:val="00776E11"/>
    <w:rsid w:val="007776BB"/>
    <w:rsid w:val="00777743"/>
    <w:rsid w:val="00777A97"/>
    <w:rsid w:val="00777D32"/>
    <w:rsid w:val="00777DA7"/>
    <w:rsid w:val="007801D6"/>
    <w:rsid w:val="00780543"/>
    <w:rsid w:val="0078069F"/>
    <w:rsid w:val="00780A0D"/>
    <w:rsid w:val="00781010"/>
    <w:rsid w:val="007814F3"/>
    <w:rsid w:val="007818E4"/>
    <w:rsid w:val="0078211A"/>
    <w:rsid w:val="007822E6"/>
    <w:rsid w:val="00782479"/>
    <w:rsid w:val="0078310B"/>
    <w:rsid w:val="0078328C"/>
    <w:rsid w:val="0078362C"/>
    <w:rsid w:val="00783E42"/>
    <w:rsid w:val="007840D0"/>
    <w:rsid w:val="007846D0"/>
    <w:rsid w:val="0078470D"/>
    <w:rsid w:val="0078475F"/>
    <w:rsid w:val="00785AD2"/>
    <w:rsid w:val="00785FE6"/>
    <w:rsid w:val="007869C0"/>
    <w:rsid w:val="00786EB1"/>
    <w:rsid w:val="00786FDC"/>
    <w:rsid w:val="00787D7F"/>
    <w:rsid w:val="0079037C"/>
    <w:rsid w:val="00790397"/>
    <w:rsid w:val="00790836"/>
    <w:rsid w:val="00790D05"/>
    <w:rsid w:val="0079173B"/>
    <w:rsid w:val="00791B12"/>
    <w:rsid w:val="00791E20"/>
    <w:rsid w:val="007920FD"/>
    <w:rsid w:val="00792122"/>
    <w:rsid w:val="0079234C"/>
    <w:rsid w:val="00792356"/>
    <w:rsid w:val="00792FF8"/>
    <w:rsid w:val="0079367E"/>
    <w:rsid w:val="00793B4F"/>
    <w:rsid w:val="00793B94"/>
    <w:rsid w:val="00793D35"/>
    <w:rsid w:val="007946BA"/>
    <w:rsid w:val="00794DFC"/>
    <w:rsid w:val="00794F54"/>
    <w:rsid w:val="007953E4"/>
    <w:rsid w:val="00795FCA"/>
    <w:rsid w:val="00796ABC"/>
    <w:rsid w:val="00797813"/>
    <w:rsid w:val="007978EE"/>
    <w:rsid w:val="00797A3F"/>
    <w:rsid w:val="00797D43"/>
    <w:rsid w:val="00797EDE"/>
    <w:rsid w:val="007A0012"/>
    <w:rsid w:val="007A02C1"/>
    <w:rsid w:val="007A0321"/>
    <w:rsid w:val="007A0381"/>
    <w:rsid w:val="007A076D"/>
    <w:rsid w:val="007A15BC"/>
    <w:rsid w:val="007A18E8"/>
    <w:rsid w:val="007A22E0"/>
    <w:rsid w:val="007A2A35"/>
    <w:rsid w:val="007A3338"/>
    <w:rsid w:val="007A3B9A"/>
    <w:rsid w:val="007A4279"/>
    <w:rsid w:val="007A42D3"/>
    <w:rsid w:val="007A4C6B"/>
    <w:rsid w:val="007A4DE5"/>
    <w:rsid w:val="007A5065"/>
    <w:rsid w:val="007A51E7"/>
    <w:rsid w:val="007A6CA6"/>
    <w:rsid w:val="007A723B"/>
    <w:rsid w:val="007A72B8"/>
    <w:rsid w:val="007A73D2"/>
    <w:rsid w:val="007A76AD"/>
    <w:rsid w:val="007A76C8"/>
    <w:rsid w:val="007B074C"/>
    <w:rsid w:val="007B108D"/>
    <w:rsid w:val="007B14E6"/>
    <w:rsid w:val="007B31A0"/>
    <w:rsid w:val="007B346E"/>
    <w:rsid w:val="007B3628"/>
    <w:rsid w:val="007B3BE9"/>
    <w:rsid w:val="007B4396"/>
    <w:rsid w:val="007B44BF"/>
    <w:rsid w:val="007B476A"/>
    <w:rsid w:val="007B55EF"/>
    <w:rsid w:val="007B5ACF"/>
    <w:rsid w:val="007B5E00"/>
    <w:rsid w:val="007B6597"/>
    <w:rsid w:val="007B664E"/>
    <w:rsid w:val="007B674D"/>
    <w:rsid w:val="007B6824"/>
    <w:rsid w:val="007B7183"/>
    <w:rsid w:val="007B756F"/>
    <w:rsid w:val="007B787C"/>
    <w:rsid w:val="007B7FD5"/>
    <w:rsid w:val="007C030C"/>
    <w:rsid w:val="007C0C35"/>
    <w:rsid w:val="007C12BF"/>
    <w:rsid w:val="007C154D"/>
    <w:rsid w:val="007C30C2"/>
    <w:rsid w:val="007C315A"/>
    <w:rsid w:val="007C321F"/>
    <w:rsid w:val="007C37A8"/>
    <w:rsid w:val="007C39DD"/>
    <w:rsid w:val="007C3D0C"/>
    <w:rsid w:val="007C3F2A"/>
    <w:rsid w:val="007C3F75"/>
    <w:rsid w:val="007C408B"/>
    <w:rsid w:val="007C40ED"/>
    <w:rsid w:val="007C42CD"/>
    <w:rsid w:val="007C4445"/>
    <w:rsid w:val="007C45DA"/>
    <w:rsid w:val="007C490F"/>
    <w:rsid w:val="007C4CAA"/>
    <w:rsid w:val="007C5106"/>
    <w:rsid w:val="007C51BD"/>
    <w:rsid w:val="007C5515"/>
    <w:rsid w:val="007C5969"/>
    <w:rsid w:val="007C5A50"/>
    <w:rsid w:val="007C5F5A"/>
    <w:rsid w:val="007C5FCB"/>
    <w:rsid w:val="007C6013"/>
    <w:rsid w:val="007C6885"/>
    <w:rsid w:val="007C73E3"/>
    <w:rsid w:val="007C7A8E"/>
    <w:rsid w:val="007C7CFB"/>
    <w:rsid w:val="007C7D31"/>
    <w:rsid w:val="007D0578"/>
    <w:rsid w:val="007D09DE"/>
    <w:rsid w:val="007D0BA8"/>
    <w:rsid w:val="007D19DD"/>
    <w:rsid w:val="007D1B96"/>
    <w:rsid w:val="007D1E96"/>
    <w:rsid w:val="007D1F71"/>
    <w:rsid w:val="007D301A"/>
    <w:rsid w:val="007D3714"/>
    <w:rsid w:val="007D3896"/>
    <w:rsid w:val="007D3ECF"/>
    <w:rsid w:val="007D400D"/>
    <w:rsid w:val="007D4051"/>
    <w:rsid w:val="007D41EB"/>
    <w:rsid w:val="007D436D"/>
    <w:rsid w:val="007D4562"/>
    <w:rsid w:val="007D4CF9"/>
    <w:rsid w:val="007D5618"/>
    <w:rsid w:val="007D5654"/>
    <w:rsid w:val="007D58BB"/>
    <w:rsid w:val="007D6B40"/>
    <w:rsid w:val="007D6B74"/>
    <w:rsid w:val="007E0645"/>
    <w:rsid w:val="007E0BDB"/>
    <w:rsid w:val="007E0BF1"/>
    <w:rsid w:val="007E0C58"/>
    <w:rsid w:val="007E0CAF"/>
    <w:rsid w:val="007E0E03"/>
    <w:rsid w:val="007E1125"/>
    <w:rsid w:val="007E12F9"/>
    <w:rsid w:val="007E17A6"/>
    <w:rsid w:val="007E1D62"/>
    <w:rsid w:val="007E23CE"/>
    <w:rsid w:val="007E2B23"/>
    <w:rsid w:val="007E2D93"/>
    <w:rsid w:val="007E323D"/>
    <w:rsid w:val="007E38D2"/>
    <w:rsid w:val="007E3FD6"/>
    <w:rsid w:val="007E466D"/>
    <w:rsid w:val="007E500E"/>
    <w:rsid w:val="007E51EE"/>
    <w:rsid w:val="007E5B39"/>
    <w:rsid w:val="007E5D14"/>
    <w:rsid w:val="007E6243"/>
    <w:rsid w:val="007E626E"/>
    <w:rsid w:val="007E6561"/>
    <w:rsid w:val="007E68D5"/>
    <w:rsid w:val="007E6F98"/>
    <w:rsid w:val="007E72F6"/>
    <w:rsid w:val="007F004E"/>
    <w:rsid w:val="007F0BEB"/>
    <w:rsid w:val="007F0CCE"/>
    <w:rsid w:val="007F139F"/>
    <w:rsid w:val="007F187A"/>
    <w:rsid w:val="007F218A"/>
    <w:rsid w:val="007F28B8"/>
    <w:rsid w:val="007F2E44"/>
    <w:rsid w:val="007F3847"/>
    <w:rsid w:val="007F3B4A"/>
    <w:rsid w:val="007F3BA5"/>
    <w:rsid w:val="007F420D"/>
    <w:rsid w:val="007F5720"/>
    <w:rsid w:val="007F5733"/>
    <w:rsid w:val="007F6123"/>
    <w:rsid w:val="007F670E"/>
    <w:rsid w:val="007F67A0"/>
    <w:rsid w:val="007F7E48"/>
    <w:rsid w:val="008001F4"/>
    <w:rsid w:val="00800DBD"/>
    <w:rsid w:val="00800FBE"/>
    <w:rsid w:val="0080109D"/>
    <w:rsid w:val="008012FE"/>
    <w:rsid w:val="008017B5"/>
    <w:rsid w:val="00801F2F"/>
    <w:rsid w:val="008027B7"/>
    <w:rsid w:val="00802854"/>
    <w:rsid w:val="00802F45"/>
    <w:rsid w:val="00802F6E"/>
    <w:rsid w:val="008035A9"/>
    <w:rsid w:val="00803D5D"/>
    <w:rsid w:val="00803D60"/>
    <w:rsid w:val="008041E9"/>
    <w:rsid w:val="008043DD"/>
    <w:rsid w:val="008046B2"/>
    <w:rsid w:val="00804C1D"/>
    <w:rsid w:val="00804F72"/>
    <w:rsid w:val="0080549C"/>
    <w:rsid w:val="008054B5"/>
    <w:rsid w:val="00805554"/>
    <w:rsid w:val="00805C9F"/>
    <w:rsid w:val="008064C6"/>
    <w:rsid w:val="00806589"/>
    <w:rsid w:val="00806A32"/>
    <w:rsid w:val="00806BF1"/>
    <w:rsid w:val="00806CBC"/>
    <w:rsid w:val="00807063"/>
    <w:rsid w:val="00807899"/>
    <w:rsid w:val="008103BD"/>
    <w:rsid w:val="00810576"/>
    <w:rsid w:val="008105F9"/>
    <w:rsid w:val="00810BD0"/>
    <w:rsid w:val="008110FB"/>
    <w:rsid w:val="0081183B"/>
    <w:rsid w:val="00811864"/>
    <w:rsid w:val="0081221D"/>
    <w:rsid w:val="0081284B"/>
    <w:rsid w:val="00812C98"/>
    <w:rsid w:val="00812D66"/>
    <w:rsid w:val="00813208"/>
    <w:rsid w:val="0081335E"/>
    <w:rsid w:val="0081354C"/>
    <w:rsid w:val="008135FD"/>
    <w:rsid w:val="00813641"/>
    <w:rsid w:val="00813A2D"/>
    <w:rsid w:val="0081401A"/>
    <w:rsid w:val="00814333"/>
    <w:rsid w:val="0081491D"/>
    <w:rsid w:val="00814B01"/>
    <w:rsid w:val="00814BEE"/>
    <w:rsid w:val="00814DA2"/>
    <w:rsid w:val="00814EB9"/>
    <w:rsid w:val="008158EA"/>
    <w:rsid w:val="0081614E"/>
    <w:rsid w:val="008161C6"/>
    <w:rsid w:val="00816291"/>
    <w:rsid w:val="00816446"/>
    <w:rsid w:val="00816B54"/>
    <w:rsid w:val="00816B97"/>
    <w:rsid w:val="00816BE0"/>
    <w:rsid w:val="00816EEE"/>
    <w:rsid w:val="00816F43"/>
    <w:rsid w:val="008174F6"/>
    <w:rsid w:val="00817B80"/>
    <w:rsid w:val="00820851"/>
    <w:rsid w:val="00821370"/>
    <w:rsid w:val="008214D6"/>
    <w:rsid w:val="00821DD4"/>
    <w:rsid w:val="008226ED"/>
    <w:rsid w:val="00822A9F"/>
    <w:rsid w:val="008234A4"/>
    <w:rsid w:val="00823654"/>
    <w:rsid w:val="00823FCA"/>
    <w:rsid w:val="00824368"/>
    <w:rsid w:val="008243FD"/>
    <w:rsid w:val="00824950"/>
    <w:rsid w:val="0082498A"/>
    <w:rsid w:val="00824CAD"/>
    <w:rsid w:val="00825125"/>
    <w:rsid w:val="00825272"/>
    <w:rsid w:val="00825AAD"/>
    <w:rsid w:val="008266FF"/>
    <w:rsid w:val="00826CD8"/>
    <w:rsid w:val="00826FBF"/>
    <w:rsid w:val="00827338"/>
    <w:rsid w:val="0082763C"/>
    <w:rsid w:val="00827EEE"/>
    <w:rsid w:val="008302F9"/>
    <w:rsid w:val="00830576"/>
    <w:rsid w:val="0083065D"/>
    <w:rsid w:val="00830C46"/>
    <w:rsid w:val="00830D79"/>
    <w:rsid w:val="00830E28"/>
    <w:rsid w:val="00831115"/>
    <w:rsid w:val="008313EA"/>
    <w:rsid w:val="0083178B"/>
    <w:rsid w:val="00831F66"/>
    <w:rsid w:val="00831F91"/>
    <w:rsid w:val="00832B9E"/>
    <w:rsid w:val="00832D2E"/>
    <w:rsid w:val="008330C0"/>
    <w:rsid w:val="00833624"/>
    <w:rsid w:val="00833F27"/>
    <w:rsid w:val="00833FCC"/>
    <w:rsid w:val="008343D1"/>
    <w:rsid w:val="00834898"/>
    <w:rsid w:val="00834B3D"/>
    <w:rsid w:val="0083573A"/>
    <w:rsid w:val="00835745"/>
    <w:rsid w:val="00835EFE"/>
    <w:rsid w:val="00836244"/>
    <w:rsid w:val="008369C9"/>
    <w:rsid w:val="00837900"/>
    <w:rsid w:val="008379D5"/>
    <w:rsid w:val="00837E95"/>
    <w:rsid w:val="008400B6"/>
    <w:rsid w:val="008400F0"/>
    <w:rsid w:val="00840150"/>
    <w:rsid w:val="008404B1"/>
    <w:rsid w:val="00840D2D"/>
    <w:rsid w:val="008421B1"/>
    <w:rsid w:val="00843454"/>
    <w:rsid w:val="008434CB"/>
    <w:rsid w:val="00844B6F"/>
    <w:rsid w:val="0084513A"/>
    <w:rsid w:val="00845342"/>
    <w:rsid w:val="008454DA"/>
    <w:rsid w:val="008457AA"/>
    <w:rsid w:val="00845988"/>
    <w:rsid w:val="00845A14"/>
    <w:rsid w:val="00845FCB"/>
    <w:rsid w:val="00846371"/>
    <w:rsid w:val="00846406"/>
    <w:rsid w:val="008471A3"/>
    <w:rsid w:val="008477A0"/>
    <w:rsid w:val="008477DC"/>
    <w:rsid w:val="00847933"/>
    <w:rsid w:val="00847D9A"/>
    <w:rsid w:val="00850353"/>
    <w:rsid w:val="00850C9B"/>
    <w:rsid w:val="008511C2"/>
    <w:rsid w:val="00851997"/>
    <w:rsid w:val="00852572"/>
    <w:rsid w:val="008528DE"/>
    <w:rsid w:val="00852A8D"/>
    <w:rsid w:val="00852D08"/>
    <w:rsid w:val="00852D8D"/>
    <w:rsid w:val="00852EAF"/>
    <w:rsid w:val="008538B6"/>
    <w:rsid w:val="00853EBD"/>
    <w:rsid w:val="00853EFB"/>
    <w:rsid w:val="0085430D"/>
    <w:rsid w:val="0085462B"/>
    <w:rsid w:val="00854C88"/>
    <w:rsid w:val="00854CEB"/>
    <w:rsid w:val="00854DFC"/>
    <w:rsid w:val="00854E00"/>
    <w:rsid w:val="008550FF"/>
    <w:rsid w:val="0085514F"/>
    <w:rsid w:val="00855D8D"/>
    <w:rsid w:val="00856A3F"/>
    <w:rsid w:val="00856EA2"/>
    <w:rsid w:val="00857250"/>
    <w:rsid w:val="0085735A"/>
    <w:rsid w:val="00857585"/>
    <w:rsid w:val="0085792D"/>
    <w:rsid w:val="00857DC1"/>
    <w:rsid w:val="00860055"/>
    <w:rsid w:val="00860263"/>
    <w:rsid w:val="00860FC9"/>
    <w:rsid w:val="008616E2"/>
    <w:rsid w:val="00861E38"/>
    <w:rsid w:val="00861E8B"/>
    <w:rsid w:val="008623E4"/>
    <w:rsid w:val="00862709"/>
    <w:rsid w:val="00862B2A"/>
    <w:rsid w:val="008630E8"/>
    <w:rsid w:val="0086320F"/>
    <w:rsid w:val="00863798"/>
    <w:rsid w:val="008638B4"/>
    <w:rsid w:val="008642B8"/>
    <w:rsid w:val="00864B4C"/>
    <w:rsid w:val="00864D20"/>
    <w:rsid w:val="00865810"/>
    <w:rsid w:val="0086581E"/>
    <w:rsid w:val="00865E3D"/>
    <w:rsid w:val="00865EDC"/>
    <w:rsid w:val="00865F39"/>
    <w:rsid w:val="008661F9"/>
    <w:rsid w:val="0086647C"/>
    <w:rsid w:val="00867CF4"/>
    <w:rsid w:val="00867DD3"/>
    <w:rsid w:val="00870008"/>
    <w:rsid w:val="008703CA"/>
    <w:rsid w:val="008708B3"/>
    <w:rsid w:val="00870B22"/>
    <w:rsid w:val="00871962"/>
    <w:rsid w:val="00871ADB"/>
    <w:rsid w:val="00871E08"/>
    <w:rsid w:val="00872B9C"/>
    <w:rsid w:val="00872DE2"/>
    <w:rsid w:val="00873614"/>
    <w:rsid w:val="00873766"/>
    <w:rsid w:val="0087388B"/>
    <w:rsid w:val="00873DC8"/>
    <w:rsid w:val="00874343"/>
    <w:rsid w:val="008757FD"/>
    <w:rsid w:val="00875906"/>
    <w:rsid w:val="00875F8C"/>
    <w:rsid w:val="00877950"/>
    <w:rsid w:val="00880553"/>
    <w:rsid w:val="00880651"/>
    <w:rsid w:val="00880C2C"/>
    <w:rsid w:val="00881550"/>
    <w:rsid w:val="00881562"/>
    <w:rsid w:val="008815C0"/>
    <w:rsid w:val="008816AB"/>
    <w:rsid w:val="0088299D"/>
    <w:rsid w:val="00882E64"/>
    <w:rsid w:val="00883574"/>
    <w:rsid w:val="0088378C"/>
    <w:rsid w:val="00883CF7"/>
    <w:rsid w:val="00883DED"/>
    <w:rsid w:val="00883E20"/>
    <w:rsid w:val="00884634"/>
    <w:rsid w:val="008846E2"/>
    <w:rsid w:val="00884728"/>
    <w:rsid w:val="00884750"/>
    <w:rsid w:val="008848D3"/>
    <w:rsid w:val="00884C2F"/>
    <w:rsid w:val="00884FB3"/>
    <w:rsid w:val="00885029"/>
    <w:rsid w:val="00885191"/>
    <w:rsid w:val="008857B0"/>
    <w:rsid w:val="00887282"/>
    <w:rsid w:val="0088728C"/>
    <w:rsid w:val="00887456"/>
    <w:rsid w:val="00887C63"/>
    <w:rsid w:val="00887CC7"/>
    <w:rsid w:val="00890252"/>
    <w:rsid w:val="00890622"/>
    <w:rsid w:val="00890B27"/>
    <w:rsid w:val="00890B9A"/>
    <w:rsid w:val="00890CA5"/>
    <w:rsid w:val="00890D90"/>
    <w:rsid w:val="0089176D"/>
    <w:rsid w:val="0089189C"/>
    <w:rsid w:val="008919BE"/>
    <w:rsid w:val="00891C82"/>
    <w:rsid w:val="00891F24"/>
    <w:rsid w:val="008925E4"/>
    <w:rsid w:val="0089263D"/>
    <w:rsid w:val="0089273C"/>
    <w:rsid w:val="008927AF"/>
    <w:rsid w:val="00892E2B"/>
    <w:rsid w:val="00892F16"/>
    <w:rsid w:val="008935F6"/>
    <w:rsid w:val="0089375B"/>
    <w:rsid w:val="00893805"/>
    <w:rsid w:val="00893EE2"/>
    <w:rsid w:val="00893FB1"/>
    <w:rsid w:val="008943EA"/>
    <w:rsid w:val="00894484"/>
    <w:rsid w:val="00894586"/>
    <w:rsid w:val="00894894"/>
    <w:rsid w:val="00894A53"/>
    <w:rsid w:val="00894A71"/>
    <w:rsid w:val="00894D43"/>
    <w:rsid w:val="00895D1C"/>
    <w:rsid w:val="00896502"/>
    <w:rsid w:val="00896837"/>
    <w:rsid w:val="00896C70"/>
    <w:rsid w:val="00897153"/>
    <w:rsid w:val="008978DA"/>
    <w:rsid w:val="008A01BF"/>
    <w:rsid w:val="008A0ADC"/>
    <w:rsid w:val="008A0B8D"/>
    <w:rsid w:val="008A0D10"/>
    <w:rsid w:val="008A0D22"/>
    <w:rsid w:val="008A1B23"/>
    <w:rsid w:val="008A1D3C"/>
    <w:rsid w:val="008A20B7"/>
    <w:rsid w:val="008A21CC"/>
    <w:rsid w:val="008A277B"/>
    <w:rsid w:val="008A2CAD"/>
    <w:rsid w:val="008A32E0"/>
    <w:rsid w:val="008A3565"/>
    <w:rsid w:val="008A402B"/>
    <w:rsid w:val="008A427C"/>
    <w:rsid w:val="008A45D8"/>
    <w:rsid w:val="008A47B1"/>
    <w:rsid w:val="008A49D9"/>
    <w:rsid w:val="008A501C"/>
    <w:rsid w:val="008A558E"/>
    <w:rsid w:val="008A6262"/>
    <w:rsid w:val="008A6DD5"/>
    <w:rsid w:val="008A7092"/>
    <w:rsid w:val="008A7689"/>
    <w:rsid w:val="008A7E80"/>
    <w:rsid w:val="008B0D6B"/>
    <w:rsid w:val="008B0D96"/>
    <w:rsid w:val="008B0F8F"/>
    <w:rsid w:val="008B12F4"/>
    <w:rsid w:val="008B13F6"/>
    <w:rsid w:val="008B144C"/>
    <w:rsid w:val="008B14AE"/>
    <w:rsid w:val="008B1B11"/>
    <w:rsid w:val="008B1BD6"/>
    <w:rsid w:val="008B1C7E"/>
    <w:rsid w:val="008B1F3E"/>
    <w:rsid w:val="008B1F8A"/>
    <w:rsid w:val="008B2237"/>
    <w:rsid w:val="008B289E"/>
    <w:rsid w:val="008B2972"/>
    <w:rsid w:val="008B2A0D"/>
    <w:rsid w:val="008B3078"/>
    <w:rsid w:val="008B33FE"/>
    <w:rsid w:val="008B34EC"/>
    <w:rsid w:val="008B34F3"/>
    <w:rsid w:val="008B384C"/>
    <w:rsid w:val="008B3B80"/>
    <w:rsid w:val="008B4736"/>
    <w:rsid w:val="008B48CF"/>
    <w:rsid w:val="008B5074"/>
    <w:rsid w:val="008B5413"/>
    <w:rsid w:val="008B5FB0"/>
    <w:rsid w:val="008B63D6"/>
    <w:rsid w:val="008B6543"/>
    <w:rsid w:val="008B6B10"/>
    <w:rsid w:val="008B7054"/>
    <w:rsid w:val="008B7701"/>
    <w:rsid w:val="008B77A4"/>
    <w:rsid w:val="008B7BEB"/>
    <w:rsid w:val="008C0903"/>
    <w:rsid w:val="008C0C31"/>
    <w:rsid w:val="008C1929"/>
    <w:rsid w:val="008C198C"/>
    <w:rsid w:val="008C1ED5"/>
    <w:rsid w:val="008C2138"/>
    <w:rsid w:val="008C2403"/>
    <w:rsid w:val="008C2679"/>
    <w:rsid w:val="008C2724"/>
    <w:rsid w:val="008C2FC7"/>
    <w:rsid w:val="008C3009"/>
    <w:rsid w:val="008C3496"/>
    <w:rsid w:val="008C35BC"/>
    <w:rsid w:val="008C3778"/>
    <w:rsid w:val="008C3C0D"/>
    <w:rsid w:val="008C4758"/>
    <w:rsid w:val="008C49B2"/>
    <w:rsid w:val="008C4AC6"/>
    <w:rsid w:val="008C4B86"/>
    <w:rsid w:val="008C4D59"/>
    <w:rsid w:val="008C4F23"/>
    <w:rsid w:val="008C5287"/>
    <w:rsid w:val="008C5617"/>
    <w:rsid w:val="008C56AE"/>
    <w:rsid w:val="008C5808"/>
    <w:rsid w:val="008C5EA6"/>
    <w:rsid w:val="008C6B19"/>
    <w:rsid w:val="008C74A6"/>
    <w:rsid w:val="008C7634"/>
    <w:rsid w:val="008D0400"/>
    <w:rsid w:val="008D116D"/>
    <w:rsid w:val="008D131C"/>
    <w:rsid w:val="008D1A14"/>
    <w:rsid w:val="008D1CB9"/>
    <w:rsid w:val="008D1D0E"/>
    <w:rsid w:val="008D1FE8"/>
    <w:rsid w:val="008D2D75"/>
    <w:rsid w:val="008D2FC2"/>
    <w:rsid w:val="008D34A2"/>
    <w:rsid w:val="008D41B5"/>
    <w:rsid w:val="008D4280"/>
    <w:rsid w:val="008D4C85"/>
    <w:rsid w:val="008D4EC2"/>
    <w:rsid w:val="008D55C2"/>
    <w:rsid w:val="008D6AEB"/>
    <w:rsid w:val="008D6B40"/>
    <w:rsid w:val="008D703D"/>
    <w:rsid w:val="008D732B"/>
    <w:rsid w:val="008D7457"/>
    <w:rsid w:val="008D75B1"/>
    <w:rsid w:val="008E073D"/>
    <w:rsid w:val="008E0A47"/>
    <w:rsid w:val="008E0BD1"/>
    <w:rsid w:val="008E0D5C"/>
    <w:rsid w:val="008E10F6"/>
    <w:rsid w:val="008E199C"/>
    <w:rsid w:val="008E208B"/>
    <w:rsid w:val="008E27A4"/>
    <w:rsid w:val="008E2C2F"/>
    <w:rsid w:val="008E2EB9"/>
    <w:rsid w:val="008E3741"/>
    <w:rsid w:val="008E40C8"/>
    <w:rsid w:val="008E4351"/>
    <w:rsid w:val="008E4386"/>
    <w:rsid w:val="008E455E"/>
    <w:rsid w:val="008E45F5"/>
    <w:rsid w:val="008E4613"/>
    <w:rsid w:val="008E545E"/>
    <w:rsid w:val="008E5567"/>
    <w:rsid w:val="008E57E0"/>
    <w:rsid w:val="008E6301"/>
    <w:rsid w:val="008E653A"/>
    <w:rsid w:val="008E663C"/>
    <w:rsid w:val="008E69DF"/>
    <w:rsid w:val="008E7393"/>
    <w:rsid w:val="008E7D4F"/>
    <w:rsid w:val="008F0F42"/>
    <w:rsid w:val="008F115A"/>
    <w:rsid w:val="008F1985"/>
    <w:rsid w:val="008F1CE9"/>
    <w:rsid w:val="008F1E64"/>
    <w:rsid w:val="008F1F4D"/>
    <w:rsid w:val="008F1F8A"/>
    <w:rsid w:val="008F2C4F"/>
    <w:rsid w:val="008F2D65"/>
    <w:rsid w:val="008F3050"/>
    <w:rsid w:val="008F327F"/>
    <w:rsid w:val="008F363E"/>
    <w:rsid w:val="008F38F4"/>
    <w:rsid w:val="008F3FCA"/>
    <w:rsid w:val="008F6455"/>
    <w:rsid w:val="008F65B3"/>
    <w:rsid w:val="008F702A"/>
    <w:rsid w:val="008F703A"/>
    <w:rsid w:val="008F7349"/>
    <w:rsid w:val="008F75CC"/>
    <w:rsid w:val="008F7A41"/>
    <w:rsid w:val="008F7B3B"/>
    <w:rsid w:val="008F7C7E"/>
    <w:rsid w:val="008F7D2C"/>
    <w:rsid w:val="00900659"/>
    <w:rsid w:val="0090113C"/>
    <w:rsid w:val="00901EA9"/>
    <w:rsid w:val="009022C9"/>
    <w:rsid w:val="00902430"/>
    <w:rsid w:val="00902668"/>
    <w:rsid w:val="00902F39"/>
    <w:rsid w:val="00903FE8"/>
    <w:rsid w:val="00903FF7"/>
    <w:rsid w:val="00904104"/>
    <w:rsid w:val="00904CE3"/>
    <w:rsid w:val="00904E45"/>
    <w:rsid w:val="009066FA"/>
    <w:rsid w:val="00906780"/>
    <w:rsid w:val="00906B8C"/>
    <w:rsid w:val="00906CAA"/>
    <w:rsid w:val="0090723F"/>
    <w:rsid w:val="00907769"/>
    <w:rsid w:val="009078AF"/>
    <w:rsid w:val="00907ABB"/>
    <w:rsid w:val="00907CEB"/>
    <w:rsid w:val="009100A4"/>
    <w:rsid w:val="0091095E"/>
    <w:rsid w:val="00910C85"/>
    <w:rsid w:val="00910FF9"/>
    <w:rsid w:val="009111C2"/>
    <w:rsid w:val="00911526"/>
    <w:rsid w:val="00911D2A"/>
    <w:rsid w:val="00911E5C"/>
    <w:rsid w:val="009120AF"/>
    <w:rsid w:val="0091249A"/>
    <w:rsid w:val="0091341B"/>
    <w:rsid w:val="0091383C"/>
    <w:rsid w:val="00914059"/>
    <w:rsid w:val="0091447F"/>
    <w:rsid w:val="00914578"/>
    <w:rsid w:val="00914909"/>
    <w:rsid w:val="00915460"/>
    <w:rsid w:val="0091563C"/>
    <w:rsid w:val="009158C6"/>
    <w:rsid w:val="00916510"/>
    <w:rsid w:val="009168EA"/>
    <w:rsid w:val="009177B3"/>
    <w:rsid w:val="00917D1B"/>
    <w:rsid w:val="00917E3A"/>
    <w:rsid w:val="00920A4C"/>
    <w:rsid w:val="00920B7F"/>
    <w:rsid w:val="0092184F"/>
    <w:rsid w:val="00921AAA"/>
    <w:rsid w:val="00921E9B"/>
    <w:rsid w:val="00922192"/>
    <w:rsid w:val="00922476"/>
    <w:rsid w:val="00922835"/>
    <w:rsid w:val="00922C58"/>
    <w:rsid w:val="00922D04"/>
    <w:rsid w:val="00922D1E"/>
    <w:rsid w:val="00922F14"/>
    <w:rsid w:val="00923575"/>
    <w:rsid w:val="00924700"/>
    <w:rsid w:val="00924819"/>
    <w:rsid w:val="00924F01"/>
    <w:rsid w:val="009256EF"/>
    <w:rsid w:val="00925F47"/>
    <w:rsid w:val="00926309"/>
    <w:rsid w:val="009263CB"/>
    <w:rsid w:val="0092653B"/>
    <w:rsid w:val="009267EB"/>
    <w:rsid w:val="00926BAD"/>
    <w:rsid w:val="00926F02"/>
    <w:rsid w:val="009272F3"/>
    <w:rsid w:val="00927DE8"/>
    <w:rsid w:val="00927E4D"/>
    <w:rsid w:val="009307A7"/>
    <w:rsid w:val="0093101C"/>
    <w:rsid w:val="0093146A"/>
    <w:rsid w:val="00931531"/>
    <w:rsid w:val="0093189D"/>
    <w:rsid w:val="00931FE5"/>
    <w:rsid w:val="009323A4"/>
    <w:rsid w:val="00932445"/>
    <w:rsid w:val="0093301E"/>
    <w:rsid w:val="009333F8"/>
    <w:rsid w:val="00933836"/>
    <w:rsid w:val="009343D8"/>
    <w:rsid w:val="00934442"/>
    <w:rsid w:val="00934FAD"/>
    <w:rsid w:val="00935C83"/>
    <w:rsid w:val="00935CB5"/>
    <w:rsid w:val="009364EC"/>
    <w:rsid w:val="00936B3B"/>
    <w:rsid w:val="00936EEF"/>
    <w:rsid w:val="00937037"/>
    <w:rsid w:val="0093757C"/>
    <w:rsid w:val="009376D0"/>
    <w:rsid w:val="00940476"/>
    <w:rsid w:val="00940A5E"/>
    <w:rsid w:val="00940C1B"/>
    <w:rsid w:val="00940DC0"/>
    <w:rsid w:val="009410B8"/>
    <w:rsid w:val="0094131D"/>
    <w:rsid w:val="0094133F"/>
    <w:rsid w:val="009419D4"/>
    <w:rsid w:val="00941AB4"/>
    <w:rsid w:val="00941D84"/>
    <w:rsid w:val="00942311"/>
    <w:rsid w:val="00943489"/>
    <w:rsid w:val="009444CC"/>
    <w:rsid w:val="0094456B"/>
    <w:rsid w:val="00944771"/>
    <w:rsid w:val="00944D82"/>
    <w:rsid w:val="00945120"/>
    <w:rsid w:val="00945360"/>
    <w:rsid w:val="00945490"/>
    <w:rsid w:val="009460CE"/>
    <w:rsid w:val="00946354"/>
    <w:rsid w:val="00946374"/>
    <w:rsid w:val="009463BD"/>
    <w:rsid w:val="00946BBC"/>
    <w:rsid w:val="00946C80"/>
    <w:rsid w:val="00946D63"/>
    <w:rsid w:val="00947744"/>
    <w:rsid w:val="0094785B"/>
    <w:rsid w:val="00947A71"/>
    <w:rsid w:val="00947B34"/>
    <w:rsid w:val="00947BCF"/>
    <w:rsid w:val="009500CD"/>
    <w:rsid w:val="009505B3"/>
    <w:rsid w:val="009506CC"/>
    <w:rsid w:val="00950740"/>
    <w:rsid w:val="00950BE9"/>
    <w:rsid w:val="00951921"/>
    <w:rsid w:val="00951929"/>
    <w:rsid w:val="00951DEE"/>
    <w:rsid w:val="009520B1"/>
    <w:rsid w:val="009521E9"/>
    <w:rsid w:val="0095280E"/>
    <w:rsid w:val="00952A48"/>
    <w:rsid w:val="009533AB"/>
    <w:rsid w:val="009533E8"/>
    <w:rsid w:val="00954848"/>
    <w:rsid w:val="0095564C"/>
    <w:rsid w:val="00955960"/>
    <w:rsid w:val="00955ED7"/>
    <w:rsid w:val="0095669C"/>
    <w:rsid w:val="009569DA"/>
    <w:rsid w:val="00960032"/>
    <w:rsid w:val="00960070"/>
    <w:rsid w:val="009601A7"/>
    <w:rsid w:val="009601B8"/>
    <w:rsid w:val="009608E4"/>
    <w:rsid w:val="00960BFD"/>
    <w:rsid w:val="00961828"/>
    <w:rsid w:val="0096183E"/>
    <w:rsid w:val="00961E9B"/>
    <w:rsid w:val="00962782"/>
    <w:rsid w:val="00962817"/>
    <w:rsid w:val="009629B6"/>
    <w:rsid w:val="00962ABB"/>
    <w:rsid w:val="00963027"/>
    <w:rsid w:val="00963144"/>
    <w:rsid w:val="00963FC7"/>
    <w:rsid w:val="009644C2"/>
    <w:rsid w:val="009645EB"/>
    <w:rsid w:val="00964699"/>
    <w:rsid w:val="00964830"/>
    <w:rsid w:val="009652BB"/>
    <w:rsid w:val="0096575B"/>
    <w:rsid w:val="009658D6"/>
    <w:rsid w:val="00965A55"/>
    <w:rsid w:val="00965DB2"/>
    <w:rsid w:val="00965E5A"/>
    <w:rsid w:val="00966C21"/>
    <w:rsid w:val="00966DAE"/>
    <w:rsid w:val="009675BE"/>
    <w:rsid w:val="009678DF"/>
    <w:rsid w:val="0096795C"/>
    <w:rsid w:val="00971187"/>
    <w:rsid w:val="00971D9E"/>
    <w:rsid w:val="00971E09"/>
    <w:rsid w:val="00972001"/>
    <w:rsid w:val="0097250D"/>
    <w:rsid w:val="0097258D"/>
    <w:rsid w:val="009725F1"/>
    <w:rsid w:val="00972A21"/>
    <w:rsid w:val="00972C04"/>
    <w:rsid w:val="00973775"/>
    <w:rsid w:val="00973EFD"/>
    <w:rsid w:val="00974793"/>
    <w:rsid w:val="009747AA"/>
    <w:rsid w:val="00974E6A"/>
    <w:rsid w:val="00974F03"/>
    <w:rsid w:val="00974F0E"/>
    <w:rsid w:val="0097544A"/>
    <w:rsid w:val="009754B7"/>
    <w:rsid w:val="009754ED"/>
    <w:rsid w:val="0097602A"/>
    <w:rsid w:val="0097603F"/>
    <w:rsid w:val="00976E78"/>
    <w:rsid w:val="00976FE2"/>
    <w:rsid w:val="00977A40"/>
    <w:rsid w:val="00977B0D"/>
    <w:rsid w:val="009801A6"/>
    <w:rsid w:val="0098021F"/>
    <w:rsid w:val="00980547"/>
    <w:rsid w:val="00980830"/>
    <w:rsid w:val="00980A2A"/>
    <w:rsid w:val="00980AA3"/>
    <w:rsid w:val="009813A1"/>
    <w:rsid w:val="00981402"/>
    <w:rsid w:val="009816FC"/>
    <w:rsid w:val="009818C1"/>
    <w:rsid w:val="00981DB8"/>
    <w:rsid w:val="00981F56"/>
    <w:rsid w:val="00982128"/>
    <w:rsid w:val="009822EB"/>
    <w:rsid w:val="00983132"/>
    <w:rsid w:val="009834FA"/>
    <w:rsid w:val="0098361E"/>
    <w:rsid w:val="00983A07"/>
    <w:rsid w:val="00983A39"/>
    <w:rsid w:val="00983DE0"/>
    <w:rsid w:val="00984194"/>
    <w:rsid w:val="0098443D"/>
    <w:rsid w:val="00984575"/>
    <w:rsid w:val="009848CC"/>
    <w:rsid w:val="00984C35"/>
    <w:rsid w:val="0098502F"/>
    <w:rsid w:val="0098522B"/>
    <w:rsid w:val="0098555F"/>
    <w:rsid w:val="00985A58"/>
    <w:rsid w:val="00985A62"/>
    <w:rsid w:val="00985D15"/>
    <w:rsid w:val="00985E77"/>
    <w:rsid w:val="009861A3"/>
    <w:rsid w:val="009868DC"/>
    <w:rsid w:val="009869AF"/>
    <w:rsid w:val="00986FE1"/>
    <w:rsid w:val="009874A2"/>
    <w:rsid w:val="009879AB"/>
    <w:rsid w:val="00987A17"/>
    <w:rsid w:val="00987FEC"/>
    <w:rsid w:val="009900FA"/>
    <w:rsid w:val="00990127"/>
    <w:rsid w:val="009908EF"/>
    <w:rsid w:val="00990A49"/>
    <w:rsid w:val="00990B1C"/>
    <w:rsid w:val="00990BAE"/>
    <w:rsid w:val="00991E01"/>
    <w:rsid w:val="00991EA6"/>
    <w:rsid w:val="00992B66"/>
    <w:rsid w:val="00992D51"/>
    <w:rsid w:val="00992E19"/>
    <w:rsid w:val="00992EAE"/>
    <w:rsid w:val="009931C3"/>
    <w:rsid w:val="009932E6"/>
    <w:rsid w:val="0099334D"/>
    <w:rsid w:val="0099340B"/>
    <w:rsid w:val="00993957"/>
    <w:rsid w:val="00993F80"/>
    <w:rsid w:val="00994599"/>
    <w:rsid w:val="009946C2"/>
    <w:rsid w:val="00994B5C"/>
    <w:rsid w:val="0099576E"/>
    <w:rsid w:val="00995A21"/>
    <w:rsid w:val="00995DA6"/>
    <w:rsid w:val="00995F13"/>
    <w:rsid w:val="00996037"/>
    <w:rsid w:val="00996065"/>
    <w:rsid w:val="00996091"/>
    <w:rsid w:val="00996152"/>
    <w:rsid w:val="009968D6"/>
    <w:rsid w:val="00997530"/>
    <w:rsid w:val="009976A7"/>
    <w:rsid w:val="00997BBD"/>
    <w:rsid w:val="009A026D"/>
    <w:rsid w:val="009A0AC8"/>
    <w:rsid w:val="009A0C7A"/>
    <w:rsid w:val="009A1A23"/>
    <w:rsid w:val="009A1BC1"/>
    <w:rsid w:val="009A1D3B"/>
    <w:rsid w:val="009A20CE"/>
    <w:rsid w:val="009A20F1"/>
    <w:rsid w:val="009A2C0D"/>
    <w:rsid w:val="009A2DF8"/>
    <w:rsid w:val="009A2F7A"/>
    <w:rsid w:val="009A39B0"/>
    <w:rsid w:val="009A4621"/>
    <w:rsid w:val="009A51AE"/>
    <w:rsid w:val="009A5B77"/>
    <w:rsid w:val="009A6089"/>
    <w:rsid w:val="009A6262"/>
    <w:rsid w:val="009A6833"/>
    <w:rsid w:val="009A68F0"/>
    <w:rsid w:val="009A71EF"/>
    <w:rsid w:val="009A766B"/>
    <w:rsid w:val="009A7887"/>
    <w:rsid w:val="009A78AD"/>
    <w:rsid w:val="009B0A0D"/>
    <w:rsid w:val="009B0A28"/>
    <w:rsid w:val="009B132C"/>
    <w:rsid w:val="009B1380"/>
    <w:rsid w:val="009B190E"/>
    <w:rsid w:val="009B25D6"/>
    <w:rsid w:val="009B271E"/>
    <w:rsid w:val="009B27E5"/>
    <w:rsid w:val="009B2833"/>
    <w:rsid w:val="009B3497"/>
    <w:rsid w:val="009B39FC"/>
    <w:rsid w:val="009B3B59"/>
    <w:rsid w:val="009B3F4E"/>
    <w:rsid w:val="009B3FB3"/>
    <w:rsid w:val="009B4EE2"/>
    <w:rsid w:val="009B4F5A"/>
    <w:rsid w:val="009B52B0"/>
    <w:rsid w:val="009B5D63"/>
    <w:rsid w:val="009B67C1"/>
    <w:rsid w:val="009B69DB"/>
    <w:rsid w:val="009B6A28"/>
    <w:rsid w:val="009B75D8"/>
    <w:rsid w:val="009B75F3"/>
    <w:rsid w:val="009B7DE6"/>
    <w:rsid w:val="009C014A"/>
    <w:rsid w:val="009C0D89"/>
    <w:rsid w:val="009C0EB6"/>
    <w:rsid w:val="009C1118"/>
    <w:rsid w:val="009C1458"/>
    <w:rsid w:val="009C1E08"/>
    <w:rsid w:val="009C2689"/>
    <w:rsid w:val="009C27CE"/>
    <w:rsid w:val="009C2B70"/>
    <w:rsid w:val="009C3AE8"/>
    <w:rsid w:val="009C42AB"/>
    <w:rsid w:val="009C4BEE"/>
    <w:rsid w:val="009C4D1C"/>
    <w:rsid w:val="009C4E33"/>
    <w:rsid w:val="009C50B1"/>
    <w:rsid w:val="009C52B0"/>
    <w:rsid w:val="009C531D"/>
    <w:rsid w:val="009C5698"/>
    <w:rsid w:val="009C5775"/>
    <w:rsid w:val="009C5C83"/>
    <w:rsid w:val="009C651B"/>
    <w:rsid w:val="009C6793"/>
    <w:rsid w:val="009C698F"/>
    <w:rsid w:val="009C6CCA"/>
    <w:rsid w:val="009C70D0"/>
    <w:rsid w:val="009C70F2"/>
    <w:rsid w:val="009C7386"/>
    <w:rsid w:val="009C7533"/>
    <w:rsid w:val="009C75DF"/>
    <w:rsid w:val="009C7CDD"/>
    <w:rsid w:val="009D0A6D"/>
    <w:rsid w:val="009D0D67"/>
    <w:rsid w:val="009D10EB"/>
    <w:rsid w:val="009D1265"/>
    <w:rsid w:val="009D16AE"/>
    <w:rsid w:val="009D1A68"/>
    <w:rsid w:val="009D1CD1"/>
    <w:rsid w:val="009D2575"/>
    <w:rsid w:val="009D26E6"/>
    <w:rsid w:val="009D2D95"/>
    <w:rsid w:val="009D2FB2"/>
    <w:rsid w:val="009D4440"/>
    <w:rsid w:val="009D461E"/>
    <w:rsid w:val="009D4B1B"/>
    <w:rsid w:val="009D4CFC"/>
    <w:rsid w:val="009D551F"/>
    <w:rsid w:val="009D56B0"/>
    <w:rsid w:val="009D5A22"/>
    <w:rsid w:val="009D5E18"/>
    <w:rsid w:val="009D6309"/>
    <w:rsid w:val="009D63EC"/>
    <w:rsid w:val="009D6AB0"/>
    <w:rsid w:val="009D6D47"/>
    <w:rsid w:val="009D722F"/>
    <w:rsid w:val="009E0184"/>
    <w:rsid w:val="009E0787"/>
    <w:rsid w:val="009E0EC7"/>
    <w:rsid w:val="009E1898"/>
    <w:rsid w:val="009E1EF4"/>
    <w:rsid w:val="009E316B"/>
    <w:rsid w:val="009E35D7"/>
    <w:rsid w:val="009E4B40"/>
    <w:rsid w:val="009E4B4A"/>
    <w:rsid w:val="009E536D"/>
    <w:rsid w:val="009E5866"/>
    <w:rsid w:val="009E5FA8"/>
    <w:rsid w:val="009E60E0"/>
    <w:rsid w:val="009E618B"/>
    <w:rsid w:val="009E6522"/>
    <w:rsid w:val="009E6873"/>
    <w:rsid w:val="009E6ED2"/>
    <w:rsid w:val="009E70C3"/>
    <w:rsid w:val="009E728F"/>
    <w:rsid w:val="009E7334"/>
    <w:rsid w:val="009E73F3"/>
    <w:rsid w:val="009E77B6"/>
    <w:rsid w:val="009E7918"/>
    <w:rsid w:val="009E7ACB"/>
    <w:rsid w:val="009E7D40"/>
    <w:rsid w:val="009E7DA9"/>
    <w:rsid w:val="009E7E0D"/>
    <w:rsid w:val="009F007E"/>
    <w:rsid w:val="009F055A"/>
    <w:rsid w:val="009F0678"/>
    <w:rsid w:val="009F10C6"/>
    <w:rsid w:val="009F1B8C"/>
    <w:rsid w:val="009F206A"/>
    <w:rsid w:val="009F267B"/>
    <w:rsid w:val="009F294A"/>
    <w:rsid w:val="009F2D7D"/>
    <w:rsid w:val="009F3175"/>
    <w:rsid w:val="009F336E"/>
    <w:rsid w:val="009F3418"/>
    <w:rsid w:val="009F3595"/>
    <w:rsid w:val="009F4087"/>
    <w:rsid w:val="009F4258"/>
    <w:rsid w:val="009F42DC"/>
    <w:rsid w:val="009F4767"/>
    <w:rsid w:val="009F4A1B"/>
    <w:rsid w:val="009F4A88"/>
    <w:rsid w:val="009F5063"/>
    <w:rsid w:val="009F5129"/>
    <w:rsid w:val="009F5299"/>
    <w:rsid w:val="009F535B"/>
    <w:rsid w:val="009F575B"/>
    <w:rsid w:val="009F5952"/>
    <w:rsid w:val="009F5A6F"/>
    <w:rsid w:val="009F5BB5"/>
    <w:rsid w:val="009F5D36"/>
    <w:rsid w:val="009F5F11"/>
    <w:rsid w:val="009F6A83"/>
    <w:rsid w:val="009F6CF3"/>
    <w:rsid w:val="009F7B4D"/>
    <w:rsid w:val="00A002F6"/>
    <w:rsid w:val="00A00EA7"/>
    <w:rsid w:val="00A01871"/>
    <w:rsid w:val="00A01A9E"/>
    <w:rsid w:val="00A01B08"/>
    <w:rsid w:val="00A02283"/>
    <w:rsid w:val="00A028BA"/>
    <w:rsid w:val="00A0357E"/>
    <w:rsid w:val="00A03593"/>
    <w:rsid w:val="00A0397B"/>
    <w:rsid w:val="00A03FBC"/>
    <w:rsid w:val="00A04305"/>
    <w:rsid w:val="00A0490E"/>
    <w:rsid w:val="00A04C0B"/>
    <w:rsid w:val="00A04C66"/>
    <w:rsid w:val="00A051F1"/>
    <w:rsid w:val="00A0546D"/>
    <w:rsid w:val="00A057C2"/>
    <w:rsid w:val="00A05A65"/>
    <w:rsid w:val="00A0633C"/>
    <w:rsid w:val="00A064F0"/>
    <w:rsid w:val="00A06961"/>
    <w:rsid w:val="00A06F70"/>
    <w:rsid w:val="00A06FC7"/>
    <w:rsid w:val="00A07A4F"/>
    <w:rsid w:val="00A11798"/>
    <w:rsid w:val="00A11B12"/>
    <w:rsid w:val="00A11D98"/>
    <w:rsid w:val="00A11E75"/>
    <w:rsid w:val="00A12295"/>
    <w:rsid w:val="00A12799"/>
    <w:rsid w:val="00A12D3E"/>
    <w:rsid w:val="00A12EFB"/>
    <w:rsid w:val="00A13AB1"/>
    <w:rsid w:val="00A13B62"/>
    <w:rsid w:val="00A13CC0"/>
    <w:rsid w:val="00A1409C"/>
    <w:rsid w:val="00A140EA"/>
    <w:rsid w:val="00A14864"/>
    <w:rsid w:val="00A14B45"/>
    <w:rsid w:val="00A15042"/>
    <w:rsid w:val="00A1553F"/>
    <w:rsid w:val="00A17140"/>
    <w:rsid w:val="00A174AB"/>
    <w:rsid w:val="00A1754C"/>
    <w:rsid w:val="00A17B8D"/>
    <w:rsid w:val="00A21200"/>
    <w:rsid w:val="00A217A9"/>
    <w:rsid w:val="00A221EC"/>
    <w:rsid w:val="00A22406"/>
    <w:rsid w:val="00A23090"/>
    <w:rsid w:val="00A23117"/>
    <w:rsid w:val="00A2322D"/>
    <w:rsid w:val="00A239E5"/>
    <w:rsid w:val="00A244A6"/>
    <w:rsid w:val="00A24BAE"/>
    <w:rsid w:val="00A2515C"/>
    <w:rsid w:val="00A25867"/>
    <w:rsid w:val="00A26D2C"/>
    <w:rsid w:val="00A30151"/>
    <w:rsid w:val="00A30313"/>
    <w:rsid w:val="00A30E22"/>
    <w:rsid w:val="00A3109A"/>
    <w:rsid w:val="00A313E7"/>
    <w:rsid w:val="00A32080"/>
    <w:rsid w:val="00A323A3"/>
    <w:rsid w:val="00A32C75"/>
    <w:rsid w:val="00A338D9"/>
    <w:rsid w:val="00A33AB6"/>
    <w:rsid w:val="00A34B62"/>
    <w:rsid w:val="00A35322"/>
    <w:rsid w:val="00A356D3"/>
    <w:rsid w:val="00A357F0"/>
    <w:rsid w:val="00A359EA"/>
    <w:rsid w:val="00A362CD"/>
    <w:rsid w:val="00A36901"/>
    <w:rsid w:val="00A36911"/>
    <w:rsid w:val="00A37486"/>
    <w:rsid w:val="00A375F3"/>
    <w:rsid w:val="00A37E71"/>
    <w:rsid w:val="00A37F27"/>
    <w:rsid w:val="00A4007D"/>
    <w:rsid w:val="00A40344"/>
    <w:rsid w:val="00A4073B"/>
    <w:rsid w:val="00A40919"/>
    <w:rsid w:val="00A41F0E"/>
    <w:rsid w:val="00A41F30"/>
    <w:rsid w:val="00A426A0"/>
    <w:rsid w:val="00A4286B"/>
    <w:rsid w:val="00A42FE5"/>
    <w:rsid w:val="00A433F6"/>
    <w:rsid w:val="00A43A5A"/>
    <w:rsid w:val="00A43E26"/>
    <w:rsid w:val="00A4416C"/>
    <w:rsid w:val="00A445BE"/>
    <w:rsid w:val="00A44898"/>
    <w:rsid w:val="00A453B7"/>
    <w:rsid w:val="00A45FC1"/>
    <w:rsid w:val="00A467F7"/>
    <w:rsid w:val="00A46ECF"/>
    <w:rsid w:val="00A46F72"/>
    <w:rsid w:val="00A50939"/>
    <w:rsid w:val="00A51B44"/>
    <w:rsid w:val="00A5222F"/>
    <w:rsid w:val="00A524AB"/>
    <w:rsid w:val="00A52525"/>
    <w:rsid w:val="00A52793"/>
    <w:rsid w:val="00A54060"/>
    <w:rsid w:val="00A542BA"/>
    <w:rsid w:val="00A5437B"/>
    <w:rsid w:val="00A546D6"/>
    <w:rsid w:val="00A54E9D"/>
    <w:rsid w:val="00A5708C"/>
    <w:rsid w:val="00A57AC9"/>
    <w:rsid w:val="00A57BD6"/>
    <w:rsid w:val="00A6068A"/>
    <w:rsid w:val="00A60ABC"/>
    <w:rsid w:val="00A60D0C"/>
    <w:rsid w:val="00A613B0"/>
    <w:rsid w:val="00A61579"/>
    <w:rsid w:val="00A6187B"/>
    <w:rsid w:val="00A61E88"/>
    <w:rsid w:val="00A623FB"/>
    <w:rsid w:val="00A62430"/>
    <w:rsid w:val="00A62465"/>
    <w:rsid w:val="00A62506"/>
    <w:rsid w:val="00A625E1"/>
    <w:rsid w:val="00A62D3E"/>
    <w:rsid w:val="00A62EE2"/>
    <w:rsid w:val="00A630E3"/>
    <w:rsid w:val="00A63730"/>
    <w:rsid w:val="00A639F7"/>
    <w:rsid w:val="00A6432B"/>
    <w:rsid w:val="00A6490A"/>
    <w:rsid w:val="00A64AAF"/>
    <w:rsid w:val="00A64B5E"/>
    <w:rsid w:val="00A65447"/>
    <w:rsid w:val="00A656F4"/>
    <w:rsid w:val="00A659D8"/>
    <w:rsid w:val="00A65BE8"/>
    <w:rsid w:val="00A66E15"/>
    <w:rsid w:val="00A67435"/>
    <w:rsid w:val="00A67607"/>
    <w:rsid w:val="00A67890"/>
    <w:rsid w:val="00A678EA"/>
    <w:rsid w:val="00A67AE9"/>
    <w:rsid w:val="00A70B16"/>
    <w:rsid w:val="00A7127A"/>
    <w:rsid w:val="00A71B0F"/>
    <w:rsid w:val="00A72189"/>
    <w:rsid w:val="00A72792"/>
    <w:rsid w:val="00A728D5"/>
    <w:rsid w:val="00A72A5B"/>
    <w:rsid w:val="00A73000"/>
    <w:rsid w:val="00A738FA"/>
    <w:rsid w:val="00A74101"/>
    <w:rsid w:val="00A7443F"/>
    <w:rsid w:val="00A747BA"/>
    <w:rsid w:val="00A750D9"/>
    <w:rsid w:val="00A7524E"/>
    <w:rsid w:val="00A75279"/>
    <w:rsid w:val="00A759AB"/>
    <w:rsid w:val="00A759FA"/>
    <w:rsid w:val="00A75F5D"/>
    <w:rsid w:val="00A75F67"/>
    <w:rsid w:val="00A75FCE"/>
    <w:rsid w:val="00A76027"/>
    <w:rsid w:val="00A76079"/>
    <w:rsid w:val="00A7638E"/>
    <w:rsid w:val="00A765C9"/>
    <w:rsid w:val="00A767A7"/>
    <w:rsid w:val="00A76D16"/>
    <w:rsid w:val="00A7747A"/>
    <w:rsid w:val="00A774E0"/>
    <w:rsid w:val="00A77C97"/>
    <w:rsid w:val="00A77F2A"/>
    <w:rsid w:val="00A80383"/>
    <w:rsid w:val="00A80639"/>
    <w:rsid w:val="00A8082E"/>
    <w:rsid w:val="00A80D3C"/>
    <w:rsid w:val="00A81441"/>
    <w:rsid w:val="00A8165B"/>
    <w:rsid w:val="00A82541"/>
    <w:rsid w:val="00A82747"/>
    <w:rsid w:val="00A82BB2"/>
    <w:rsid w:val="00A8309E"/>
    <w:rsid w:val="00A83889"/>
    <w:rsid w:val="00A83D58"/>
    <w:rsid w:val="00A83FC1"/>
    <w:rsid w:val="00A8470B"/>
    <w:rsid w:val="00A84BE6"/>
    <w:rsid w:val="00A84CE3"/>
    <w:rsid w:val="00A84DD9"/>
    <w:rsid w:val="00A84FDA"/>
    <w:rsid w:val="00A85955"/>
    <w:rsid w:val="00A85F41"/>
    <w:rsid w:val="00A8605A"/>
    <w:rsid w:val="00A861AC"/>
    <w:rsid w:val="00A865FA"/>
    <w:rsid w:val="00A86B75"/>
    <w:rsid w:val="00A86E22"/>
    <w:rsid w:val="00A87281"/>
    <w:rsid w:val="00A87969"/>
    <w:rsid w:val="00A87AAD"/>
    <w:rsid w:val="00A901CD"/>
    <w:rsid w:val="00A906D2"/>
    <w:rsid w:val="00A909C2"/>
    <w:rsid w:val="00A90D34"/>
    <w:rsid w:val="00A911C0"/>
    <w:rsid w:val="00A913D0"/>
    <w:rsid w:val="00A92638"/>
    <w:rsid w:val="00A92848"/>
    <w:rsid w:val="00A92916"/>
    <w:rsid w:val="00A92A0E"/>
    <w:rsid w:val="00A938F9"/>
    <w:rsid w:val="00A93987"/>
    <w:rsid w:val="00A940DA"/>
    <w:rsid w:val="00A94189"/>
    <w:rsid w:val="00A94B29"/>
    <w:rsid w:val="00A94E6C"/>
    <w:rsid w:val="00A952E6"/>
    <w:rsid w:val="00A959F2"/>
    <w:rsid w:val="00A95BA7"/>
    <w:rsid w:val="00A95C10"/>
    <w:rsid w:val="00A95C4F"/>
    <w:rsid w:val="00A95E5A"/>
    <w:rsid w:val="00A95F08"/>
    <w:rsid w:val="00A9660E"/>
    <w:rsid w:val="00A9697A"/>
    <w:rsid w:val="00A96992"/>
    <w:rsid w:val="00A969E3"/>
    <w:rsid w:val="00A96AC9"/>
    <w:rsid w:val="00A96BE7"/>
    <w:rsid w:val="00A973AC"/>
    <w:rsid w:val="00A973E8"/>
    <w:rsid w:val="00A978C5"/>
    <w:rsid w:val="00AA0273"/>
    <w:rsid w:val="00AA0C67"/>
    <w:rsid w:val="00AA0E97"/>
    <w:rsid w:val="00AA10FF"/>
    <w:rsid w:val="00AA1BC6"/>
    <w:rsid w:val="00AA2206"/>
    <w:rsid w:val="00AA2240"/>
    <w:rsid w:val="00AA25B4"/>
    <w:rsid w:val="00AA27FA"/>
    <w:rsid w:val="00AA2A8A"/>
    <w:rsid w:val="00AA2F5B"/>
    <w:rsid w:val="00AA306F"/>
    <w:rsid w:val="00AA3120"/>
    <w:rsid w:val="00AA369F"/>
    <w:rsid w:val="00AA3D46"/>
    <w:rsid w:val="00AA43EA"/>
    <w:rsid w:val="00AA56EC"/>
    <w:rsid w:val="00AA5881"/>
    <w:rsid w:val="00AA63F1"/>
    <w:rsid w:val="00AA6B42"/>
    <w:rsid w:val="00AA6EFB"/>
    <w:rsid w:val="00AA7519"/>
    <w:rsid w:val="00AA76D6"/>
    <w:rsid w:val="00AA7833"/>
    <w:rsid w:val="00AA7898"/>
    <w:rsid w:val="00AA7E0C"/>
    <w:rsid w:val="00AB0901"/>
    <w:rsid w:val="00AB0CC4"/>
    <w:rsid w:val="00AB1227"/>
    <w:rsid w:val="00AB14C0"/>
    <w:rsid w:val="00AB153A"/>
    <w:rsid w:val="00AB1D05"/>
    <w:rsid w:val="00AB232A"/>
    <w:rsid w:val="00AB253A"/>
    <w:rsid w:val="00AB2C3D"/>
    <w:rsid w:val="00AB34D9"/>
    <w:rsid w:val="00AB357F"/>
    <w:rsid w:val="00AB3BD2"/>
    <w:rsid w:val="00AB3DA6"/>
    <w:rsid w:val="00AB3DC9"/>
    <w:rsid w:val="00AB3FB9"/>
    <w:rsid w:val="00AB40B7"/>
    <w:rsid w:val="00AB4926"/>
    <w:rsid w:val="00AB5027"/>
    <w:rsid w:val="00AB5DA7"/>
    <w:rsid w:val="00AB664A"/>
    <w:rsid w:val="00AB6EAF"/>
    <w:rsid w:val="00AB70E8"/>
    <w:rsid w:val="00AB7EA5"/>
    <w:rsid w:val="00AB7EF3"/>
    <w:rsid w:val="00AC0668"/>
    <w:rsid w:val="00AC1378"/>
    <w:rsid w:val="00AC1737"/>
    <w:rsid w:val="00AC1BAF"/>
    <w:rsid w:val="00AC1F79"/>
    <w:rsid w:val="00AC1FF1"/>
    <w:rsid w:val="00AC2494"/>
    <w:rsid w:val="00AC24D5"/>
    <w:rsid w:val="00AC2AE9"/>
    <w:rsid w:val="00AC3440"/>
    <w:rsid w:val="00AC384C"/>
    <w:rsid w:val="00AC391E"/>
    <w:rsid w:val="00AC4D53"/>
    <w:rsid w:val="00AC505C"/>
    <w:rsid w:val="00AC59A2"/>
    <w:rsid w:val="00AC5C75"/>
    <w:rsid w:val="00AC5E5F"/>
    <w:rsid w:val="00AC63DE"/>
    <w:rsid w:val="00AC64AC"/>
    <w:rsid w:val="00AC6BAA"/>
    <w:rsid w:val="00AC6C38"/>
    <w:rsid w:val="00AC7CB7"/>
    <w:rsid w:val="00AC7F65"/>
    <w:rsid w:val="00AD10D9"/>
    <w:rsid w:val="00AD12AF"/>
    <w:rsid w:val="00AD1E6F"/>
    <w:rsid w:val="00AD2821"/>
    <w:rsid w:val="00AD33DE"/>
    <w:rsid w:val="00AD3B48"/>
    <w:rsid w:val="00AD4455"/>
    <w:rsid w:val="00AD49CE"/>
    <w:rsid w:val="00AD510A"/>
    <w:rsid w:val="00AD57B2"/>
    <w:rsid w:val="00AD59DB"/>
    <w:rsid w:val="00AD648D"/>
    <w:rsid w:val="00AD6EC4"/>
    <w:rsid w:val="00AD6F24"/>
    <w:rsid w:val="00AD7220"/>
    <w:rsid w:val="00AD7667"/>
    <w:rsid w:val="00AD781F"/>
    <w:rsid w:val="00AD78A6"/>
    <w:rsid w:val="00AE0020"/>
    <w:rsid w:val="00AE0658"/>
    <w:rsid w:val="00AE07C9"/>
    <w:rsid w:val="00AE0D7E"/>
    <w:rsid w:val="00AE0DD9"/>
    <w:rsid w:val="00AE0E3E"/>
    <w:rsid w:val="00AE0E68"/>
    <w:rsid w:val="00AE101C"/>
    <w:rsid w:val="00AE1A93"/>
    <w:rsid w:val="00AE1F2B"/>
    <w:rsid w:val="00AE201D"/>
    <w:rsid w:val="00AE2507"/>
    <w:rsid w:val="00AE2754"/>
    <w:rsid w:val="00AE367F"/>
    <w:rsid w:val="00AE3737"/>
    <w:rsid w:val="00AE3A53"/>
    <w:rsid w:val="00AE3EF3"/>
    <w:rsid w:val="00AE451E"/>
    <w:rsid w:val="00AE4AF2"/>
    <w:rsid w:val="00AE4BD4"/>
    <w:rsid w:val="00AE56E4"/>
    <w:rsid w:val="00AE6404"/>
    <w:rsid w:val="00AE68CD"/>
    <w:rsid w:val="00AE6B1C"/>
    <w:rsid w:val="00AE7376"/>
    <w:rsid w:val="00AE7854"/>
    <w:rsid w:val="00AE7977"/>
    <w:rsid w:val="00AE7C13"/>
    <w:rsid w:val="00AE7D42"/>
    <w:rsid w:val="00AF0056"/>
    <w:rsid w:val="00AF07F0"/>
    <w:rsid w:val="00AF0A1F"/>
    <w:rsid w:val="00AF0AE9"/>
    <w:rsid w:val="00AF0E33"/>
    <w:rsid w:val="00AF0EF8"/>
    <w:rsid w:val="00AF1285"/>
    <w:rsid w:val="00AF1389"/>
    <w:rsid w:val="00AF14C1"/>
    <w:rsid w:val="00AF1BCE"/>
    <w:rsid w:val="00AF2273"/>
    <w:rsid w:val="00AF230C"/>
    <w:rsid w:val="00AF283F"/>
    <w:rsid w:val="00AF2D13"/>
    <w:rsid w:val="00AF2DE2"/>
    <w:rsid w:val="00AF34AC"/>
    <w:rsid w:val="00AF3687"/>
    <w:rsid w:val="00AF387A"/>
    <w:rsid w:val="00AF427E"/>
    <w:rsid w:val="00AF4ECE"/>
    <w:rsid w:val="00AF568C"/>
    <w:rsid w:val="00AF6857"/>
    <w:rsid w:val="00AF6AB6"/>
    <w:rsid w:val="00AF6D84"/>
    <w:rsid w:val="00AF6F06"/>
    <w:rsid w:val="00AF73FC"/>
    <w:rsid w:val="00AF7669"/>
    <w:rsid w:val="00AF7B64"/>
    <w:rsid w:val="00AF7F31"/>
    <w:rsid w:val="00B0011F"/>
    <w:rsid w:val="00B0031D"/>
    <w:rsid w:val="00B00E05"/>
    <w:rsid w:val="00B013BE"/>
    <w:rsid w:val="00B0149D"/>
    <w:rsid w:val="00B01599"/>
    <w:rsid w:val="00B017B4"/>
    <w:rsid w:val="00B01DB2"/>
    <w:rsid w:val="00B01DFD"/>
    <w:rsid w:val="00B027F4"/>
    <w:rsid w:val="00B02E98"/>
    <w:rsid w:val="00B03372"/>
    <w:rsid w:val="00B0382D"/>
    <w:rsid w:val="00B03E2B"/>
    <w:rsid w:val="00B0436F"/>
    <w:rsid w:val="00B044C8"/>
    <w:rsid w:val="00B04690"/>
    <w:rsid w:val="00B04793"/>
    <w:rsid w:val="00B053DB"/>
    <w:rsid w:val="00B05676"/>
    <w:rsid w:val="00B05EC9"/>
    <w:rsid w:val="00B0614F"/>
    <w:rsid w:val="00B06399"/>
    <w:rsid w:val="00B06800"/>
    <w:rsid w:val="00B06C52"/>
    <w:rsid w:val="00B06C81"/>
    <w:rsid w:val="00B072E7"/>
    <w:rsid w:val="00B07842"/>
    <w:rsid w:val="00B07C36"/>
    <w:rsid w:val="00B10152"/>
    <w:rsid w:val="00B10504"/>
    <w:rsid w:val="00B10BD5"/>
    <w:rsid w:val="00B10D74"/>
    <w:rsid w:val="00B112A2"/>
    <w:rsid w:val="00B11AE2"/>
    <w:rsid w:val="00B11F43"/>
    <w:rsid w:val="00B1207F"/>
    <w:rsid w:val="00B1214A"/>
    <w:rsid w:val="00B12C91"/>
    <w:rsid w:val="00B13029"/>
    <w:rsid w:val="00B13588"/>
    <w:rsid w:val="00B137B1"/>
    <w:rsid w:val="00B137DB"/>
    <w:rsid w:val="00B147D2"/>
    <w:rsid w:val="00B14C31"/>
    <w:rsid w:val="00B14CA8"/>
    <w:rsid w:val="00B14D90"/>
    <w:rsid w:val="00B151B0"/>
    <w:rsid w:val="00B153AE"/>
    <w:rsid w:val="00B1593C"/>
    <w:rsid w:val="00B162C0"/>
    <w:rsid w:val="00B1646C"/>
    <w:rsid w:val="00B169F2"/>
    <w:rsid w:val="00B16D47"/>
    <w:rsid w:val="00B16EB5"/>
    <w:rsid w:val="00B17511"/>
    <w:rsid w:val="00B17758"/>
    <w:rsid w:val="00B20048"/>
    <w:rsid w:val="00B20F7E"/>
    <w:rsid w:val="00B217AB"/>
    <w:rsid w:val="00B21D99"/>
    <w:rsid w:val="00B22C2D"/>
    <w:rsid w:val="00B22C7F"/>
    <w:rsid w:val="00B22E42"/>
    <w:rsid w:val="00B23125"/>
    <w:rsid w:val="00B2353B"/>
    <w:rsid w:val="00B23C1C"/>
    <w:rsid w:val="00B24444"/>
    <w:rsid w:val="00B2453B"/>
    <w:rsid w:val="00B245B9"/>
    <w:rsid w:val="00B247C1"/>
    <w:rsid w:val="00B24A28"/>
    <w:rsid w:val="00B25C67"/>
    <w:rsid w:val="00B25FC4"/>
    <w:rsid w:val="00B26D17"/>
    <w:rsid w:val="00B271AC"/>
    <w:rsid w:val="00B273A7"/>
    <w:rsid w:val="00B27AE3"/>
    <w:rsid w:val="00B27FA8"/>
    <w:rsid w:val="00B30504"/>
    <w:rsid w:val="00B30A68"/>
    <w:rsid w:val="00B30C19"/>
    <w:rsid w:val="00B30CB3"/>
    <w:rsid w:val="00B30CE9"/>
    <w:rsid w:val="00B30CF4"/>
    <w:rsid w:val="00B30F12"/>
    <w:rsid w:val="00B30F34"/>
    <w:rsid w:val="00B3140B"/>
    <w:rsid w:val="00B3165F"/>
    <w:rsid w:val="00B31824"/>
    <w:rsid w:val="00B31E68"/>
    <w:rsid w:val="00B3209D"/>
    <w:rsid w:val="00B32707"/>
    <w:rsid w:val="00B32A9F"/>
    <w:rsid w:val="00B32B0F"/>
    <w:rsid w:val="00B32C12"/>
    <w:rsid w:val="00B32D00"/>
    <w:rsid w:val="00B33A66"/>
    <w:rsid w:val="00B33FD2"/>
    <w:rsid w:val="00B33FFD"/>
    <w:rsid w:val="00B34059"/>
    <w:rsid w:val="00B347F4"/>
    <w:rsid w:val="00B34D2F"/>
    <w:rsid w:val="00B34DE8"/>
    <w:rsid w:val="00B35118"/>
    <w:rsid w:val="00B356F9"/>
    <w:rsid w:val="00B35E63"/>
    <w:rsid w:val="00B36089"/>
    <w:rsid w:val="00B36092"/>
    <w:rsid w:val="00B364D9"/>
    <w:rsid w:val="00B365D8"/>
    <w:rsid w:val="00B3665E"/>
    <w:rsid w:val="00B3692E"/>
    <w:rsid w:val="00B3698C"/>
    <w:rsid w:val="00B3736B"/>
    <w:rsid w:val="00B37416"/>
    <w:rsid w:val="00B37689"/>
    <w:rsid w:val="00B400F6"/>
    <w:rsid w:val="00B4020E"/>
    <w:rsid w:val="00B4074F"/>
    <w:rsid w:val="00B40C75"/>
    <w:rsid w:val="00B40D1E"/>
    <w:rsid w:val="00B40F34"/>
    <w:rsid w:val="00B41145"/>
    <w:rsid w:val="00B412E8"/>
    <w:rsid w:val="00B413E5"/>
    <w:rsid w:val="00B41440"/>
    <w:rsid w:val="00B42D6C"/>
    <w:rsid w:val="00B42F85"/>
    <w:rsid w:val="00B42FE7"/>
    <w:rsid w:val="00B430EB"/>
    <w:rsid w:val="00B4350D"/>
    <w:rsid w:val="00B437DF"/>
    <w:rsid w:val="00B43F52"/>
    <w:rsid w:val="00B440F1"/>
    <w:rsid w:val="00B44C16"/>
    <w:rsid w:val="00B44C37"/>
    <w:rsid w:val="00B44E29"/>
    <w:rsid w:val="00B44F69"/>
    <w:rsid w:val="00B44FA0"/>
    <w:rsid w:val="00B45A23"/>
    <w:rsid w:val="00B45DF6"/>
    <w:rsid w:val="00B45E7A"/>
    <w:rsid w:val="00B46D1C"/>
    <w:rsid w:val="00B47858"/>
    <w:rsid w:val="00B47D02"/>
    <w:rsid w:val="00B47F82"/>
    <w:rsid w:val="00B50884"/>
    <w:rsid w:val="00B51C12"/>
    <w:rsid w:val="00B51C8D"/>
    <w:rsid w:val="00B52BD8"/>
    <w:rsid w:val="00B52C4E"/>
    <w:rsid w:val="00B52F87"/>
    <w:rsid w:val="00B533AB"/>
    <w:rsid w:val="00B545CC"/>
    <w:rsid w:val="00B54A39"/>
    <w:rsid w:val="00B56A0E"/>
    <w:rsid w:val="00B56A94"/>
    <w:rsid w:val="00B57128"/>
    <w:rsid w:val="00B57644"/>
    <w:rsid w:val="00B6009D"/>
    <w:rsid w:val="00B600AE"/>
    <w:rsid w:val="00B60181"/>
    <w:rsid w:val="00B601DC"/>
    <w:rsid w:val="00B603EB"/>
    <w:rsid w:val="00B60673"/>
    <w:rsid w:val="00B60740"/>
    <w:rsid w:val="00B60758"/>
    <w:rsid w:val="00B60913"/>
    <w:rsid w:val="00B60C21"/>
    <w:rsid w:val="00B61060"/>
    <w:rsid w:val="00B6141D"/>
    <w:rsid w:val="00B614E2"/>
    <w:rsid w:val="00B6155F"/>
    <w:rsid w:val="00B619F1"/>
    <w:rsid w:val="00B61C70"/>
    <w:rsid w:val="00B62513"/>
    <w:rsid w:val="00B62999"/>
    <w:rsid w:val="00B62C21"/>
    <w:rsid w:val="00B62D8C"/>
    <w:rsid w:val="00B62FF1"/>
    <w:rsid w:val="00B6306E"/>
    <w:rsid w:val="00B6332F"/>
    <w:rsid w:val="00B633B8"/>
    <w:rsid w:val="00B63B31"/>
    <w:rsid w:val="00B63BA9"/>
    <w:rsid w:val="00B63C25"/>
    <w:rsid w:val="00B63DA4"/>
    <w:rsid w:val="00B63FA5"/>
    <w:rsid w:val="00B64740"/>
    <w:rsid w:val="00B6542C"/>
    <w:rsid w:val="00B658B0"/>
    <w:rsid w:val="00B65B5B"/>
    <w:rsid w:val="00B65E41"/>
    <w:rsid w:val="00B65F9D"/>
    <w:rsid w:val="00B6633E"/>
    <w:rsid w:val="00B663FE"/>
    <w:rsid w:val="00B665B8"/>
    <w:rsid w:val="00B66DFA"/>
    <w:rsid w:val="00B673C6"/>
    <w:rsid w:val="00B67625"/>
    <w:rsid w:val="00B67BE6"/>
    <w:rsid w:val="00B67D88"/>
    <w:rsid w:val="00B67F30"/>
    <w:rsid w:val="00B700CF"/>
    <w:rsid w:val="00B701F1"/>
    <w:rsid w:val="00B7036D"/>
    <w:rsid w:val="00B70C92"/>
    <w:rsid w:val="00B714F5"/>
    <w:rsid w:val="00B723A8"/>
    <w:rsid w:val="00B72D3E"/>
    <w:rsid w:val="00B72D70"/>
    <w:rsid w:val="00B7395D"/>
    <w:rsid w:val="00B746B0"/>
    <w:rsid w:val="00B747CD"/>
    <w:rsid w:val="00B7481D"/>
    <w:rsid w:val="00B74945"/>
    <w:rsid w:val="00B74F98"/>
    <w:rsid w:val="00B75303"/>
    <w:rsid w:val="00B75471"/>
    <w:rsid w:val="00B75BD7"/>
    <w:rsid w:val="00B76AB7"/>
    <w:rsid w:val="00B76F94"/>
    <w:rsid w:val="00B7707C"/>
    <w:rsid w:val="00B77196"/>
    <w:rsid w:val="00B80528"/>
    <w:rsid w:val="00B80546"/>
    <w:rsid w:val="00B80FAF"/>
    <w:rsid w:val="00B815BE"/>
    <w:rsid w:val="00B81879"/>
    <w:rsid w:val="00B8191F"/>
    <w:rsid w:val="00B81A01"/>
    <w:rsid w:val="00B82347"/>
    <w:rsid w:val="00B8262B"/>
    <w:rsid w:val="00B829A8"/>
    <w:rsid w:val="00B83467"/>
    <w:rsid w:val="00B83C48"/>
    <w:rsid w:val="00B83E59"/>
    <w:rsid w:val="00B83FD6"/>
    <w:rsid w:val="00B841CA"/>
    <w:rsid w:val="00B844B0"/>
    <w:rsid w:val="00B84ADF"/>
    <w:rsid w:val="00B84CED"/>
    <w:rsid w:val="00B860B2"/>
    <w:rsid w:val="00B862E3"/>
    <w:rsid w:val="00B864B5"/>
    <w:rsid w:val="00B864E6"/>
    <w:rsid w:val="00B86C4E"/>
    <w:rsid w:val="00B87F2B"/>
    <w:rsid w:val="00B90058"/>
    <w:rsid w:val="00B903A7"/>
    <w:rsid w:val="00B9052F"/>
    <w:rsid w:val="00B9059F"/>
    <w:rsid w:val="00B9082C"/>
    <w:rsid w:val="00B90E52"/>
    <w:rsid w:val="00B9100C"/>
    <w:rsid w:val="00B91371"/>
    <w:rsid w:val="00B9187F"/>
    <w:rsid w:val="00B91C03"/>
    <w:rsid w:val="00B91C0C"/>
    <w:rsid w:val="00B91C6E"/>
    <w:rsid w:val="00B91ED0"/>
    <w:rsid w:val="00B920EC"/>
    <w:rsid w:val="00B92300"/>
    <w:rsid w:val="00B9274F"/>
    <w:rsid w:val="00B92EEE"/>
    <w:rsid w:val="00B93236"/>
    <w:rsid w:val="00B9367E"/>
    <w:rsid w:val="00B93EB0"/>
    <w:rsid w:val="00B94B00"/>
    <w:rsid w:val="00B94C69"/>
    <w:rsid w:val="00B94FB5"/>
    <w:rsid w:val="00B95730"/>
    <w:rsid w:val="00B95C0B"/>
    <w:rsid w:val="00B95E49"/>
    <w:rsid w:val="00B96550"/>
    <w:rsid w:val="00B97006"/>
    <w:rsid w:val="00B9761A"/>
    <w:rsid w:val="00B97C15"/>
    <w:rsid w:val="00B97DAD"/>
    <w:rsid w:val="00BA00C4"/>
    <w:rsid w:val="00BA0165"/>
    <w:rsid w:val="00BA02A0"/>
    <w:rsid w:val="00BA11C9"/>
    <w:rsid w:val="00BA15AB"/>
    <w:rsid w:val="00BA17C8"/>
    <w:rsid w:val="00BA1B73"/>
    <w:rsid w:val="00BA2511"/>
    <w:rsid w:val="00BA2546"/>
    <w:rsid w:val="00BA2BF9"/>
    <w:rsid w:val="00BA2CC3"/>
    <w:rsid w:val="00BA3C29"/>
    <w:rsid w:val="00BA3D9E"/>
    <w:rsid w:val="00BA459B"/>
    <w:rsid w:val="00BA4974"/>
    <w:rsid w:val="00BA4BC3"/>
    <w:rsid w:val="00BA4D32"/>
    <w:rsid w:val="00BA504C"/>
    <w:rsid w:val="00BA52D5"/>
    <w:rsid w:val="00BA53CF"/>
    <w:rsid w:val="00BA579A"/>
    <w:rsid w:val="00BA5E4B"/>
    <w:rsid w:val="00BA6C9F"/>
    <w:rsid w:val="00BA6D78"/>
    <w:rsid w:val="00BA7073"/>
    <w:rsid w:val="00BA733E"/>
    <w:rsid w:val="00BA768D"/>
    <w:rsid w:val="00BA7BCD"/>
    <w:rsid w:val="00BA7FA2"/>
    <w:rsid w:val="00BB033F"/>
    <w:rsid w:val="00BB0512"/>
    <w:rsid w:val="00BB059A"/>
    <w:rsid w:val="00BB06C6"/>
    <w:rsid w:val="00BB082E"/>
    <w:rsid w:val="00BB09A1"/>
    <w:rsid w:val="00BB1206"/>
    <w:rsid w:val="00BB1585"/>
    <w:rsid w:val="00BB17F4"/>
    <w:rsid w:val="00BB1A52"/>
    <w:rsid w:val="00BB1A92"/>
    <w:rsid w:val="00BB1BC1"/>
    <w:rsid w:val="00BB2256"/>
    <w:rsid w:val="00BB236B"/>
    <w:rsid w:val="00BB29B0"/>
    <w:rsid w:val="00BB2A0D"/>
    <w:rsid w:val="00BB3D0C"/>
    <w:rsid w:val="00BB40C1"/>
    <w:rsid w:val="00BB43FA"/>
    <w:rsid w:val="00BB44A1"/>
    <w:rsid w:val="00BB460B"/>
    <w:rsid w:val="00BB49E1"/>
    <w:rsid w:val="00BB4AB9"/>
    <w:rsid w:val="00BB52A0"/>
    <w:rsid w:val="00BB53AA"/>
    <w:rsid w:val="00BB567E"/>
    <w:rsid w:val="00BB569B"/>
    <w:rsid w:val="00BB5D67"/>
    <w:rsid w:val="00BB6AC7"/>
    <w:rsid w:val="00BB6B0A"/>
    <w:rsid w:val="00BB6B5E"/>
    <w:rsid w:val="00BB7622"/>
    <w:rsid w:val="00BB76A9"/>
    <w:rsid w:val="00BB785A"/>
    <w:rsid w:val="00BB7B78"/>
    <w:rsid w:val="00BC035E"/>
    <w:rsid w:val="00BC065E"/>
    <w:rsid w:val="00BC077E"/>
    <w:rsid w:val="00BC0931"/>
    <w:rsid w:val="00BC0DCD"/>
    <w:rsid w:val="00BC1158"/>
    <w:rsid w:val="00BC12EA"/>
    <w:rsid w:val="00BC1A92"/>
    <w:rsid w:val="00BC2684"/>
    <w:rsid w:val="00BC3448"/>
    <w:rsid w:val="00BC4F79"/>
    <w:rsid w:val="00BC4FEF"/>
    <w:rsid w:val="00BC593F"/>
    <w:rsid w:val="00BC5F7E"/>
    <w:rsid w:val="00BC6171"/>
    <w:rsid w:val="00BC693D"/>
    <w:rsid w:val="00BC7639"/>
    <w:rsid w:val="00BD0AB6"/>
    <w:rsid w:val="00BD0AC0"/>
    <w:rsid w:val="00BD0D28"/>
    <w:rsid w:val="00BD12EB"/>
    <w:rsid w:val="00BD1C17"/>
    <w:rsid w:val="00BD1ECD"/>
    <w:rsid w:val="00BD292E"/>
    <w:rsid w:val="00BD3513"/>
    <w:rsid w:val="00BD3A7B"/>
    <w:rsid w:val="00BD4BE1"/>
    <w:rsid w:val="00BD5345"/>
    <w:rsid w:val="00BD5BF5"/>
    <w:rsid w:val="00BD5C18"/>
    <w:rsid w:val="00BD60EF"/>
    <w:rsid w:val="00BD64FB"/>
    <w:rsid w:val="00BD75FE"/>
    <w:rsid w:val="00BD78EC"/>
    <w:rsid w:val="00BD7F29"/>
    <w:rsid w:val="00BE02BE"/>
    <w:rsid w:val="00BE0832"/>
    <w:rsid w:val="00BE1520"/>
    <w:rsid w:val="00BE1971"/>
    <w:rsid w:val="00BE1E78"/>
    <w:rsid w:val="00BE2772"/>
    <w:rsid w:val="00BE3B2E"/>
    <w:rsid w:val="00BE3BE0"/>
    <w:rsid w:val="00BE3CBD"/>
    <w:rsid w:val="00BE4465"/>
    <w:rsid w:val="00BE48D7"/>
    <w:rsid w:val="00BE4B0D"/>
    <w:rsid w:val="00BE4ED7"/>
    <w:rsid w:val="00BE6437"/>
    <w:rsid w:val="00BE694B"/>
    <w:rsid w:val="00BE7CAD"/>
    <w:rsid w:val="00BF0D91"/>
    <w:rsid w:val="00BF130E"/>
    <w:rsid w:val="00BF13AE"/>
    <w:rsid w:val="00BF152D"/>
    <w:rsid w:val="00BF29DC"/>
    <w:rsid w:val="00BF2B9C"/>
    <w:rsid w:val="00BF3B79"/>
    <w:rsid w:val="00BF3D58"/>
    <w:rsid w:val="00BF4503"/>
    <w:rsid w:val="00BF4520"/>
    <w:rsid w:val="00BF46CA"/>
    <w:rsid w:val="00BF46EA"/>
    <w:rsid w:val="00BF47B5"/>
    <w:rsid w:val="00BF55C3"/>
    <w:rsid w:val="00BF5748"/>
    <w:rsid w:val="00BF669C"/>
    <w:rsid w:val="00BF6A8E"/>
    <w:rsid w:val="00BF6D9E"/>
    <w:rsid w:val="00BF742C"/>
    <w:rsid w:val="00BF747A"/>
    <w:rsid w:val="00BF792A"/>
    <w:rsid w:val="00C00C45"/>
    <w:rsid w:val="00C022C4"/>
    <w:rsid w:val="00C02762"/>
    <w:rsid w:val="00C03535"/>
    <w:rsid w:val="00C03605"/>
    <w:rsid w:val="00C03681"/>
    <w:rsid w:val="00C03724"/>
    <w:rsid w:val="00C03BB5"/>
    <w:rsid w:val="00C042F7"/>
    <w:rsid w:val="00C04BC5"/>
    <w:rsid w:val="00C05157"/>
    <w:rsid w:val="00C05799"/>
    <w:rsid w:val="00C057A5"/>
    <w:rsid w:val="00C05A59"/>
    <w:rsid w:val="00C05E24"/>
    <w:rsid w:val="00C0640F"/>
    <w:rsid w:val="00C0646C"/>
    <w:rsid w:val="00C06A2F"/>
    <w:rsid w:val="00C06BCC"/>
    <w:rsid w:val="00C06C36"/>
    <w:rsid w:val="00C070C0"/>
    <w:rsid w:val="00C070CD"/>
    <w:rsid w:val="00C07BBC"/>
    <w:rsid w:val="00C102DD"/>
    <w:rsid w:val="00C10789"/>
    <w:rsid w:val="00C1093F"/>
    <w:rsid w:val="00C119E7"/>
    <w:rsid w:val="00C11D31"/>
    <w:rsid w:val="00C127EF"/>
    <w:rsid w:val="00C128D0"/>
    <w:rsid w:val="00C12D3E"/>
    <w:rsid w:val="00C13047"/>
    <w:rsid w:val="00C133EB"/>
    <w:rsid w:val="00C134C7"/>
    <w:rsid w:val="00C136A6"/>
    <w:rsid w:val="00C13E66"/>
    <w:rsid w:val="00C14265"/>
    <w:rsid w:val="00C143B0"/>
    <w:rsid w:val="00C160CA"/>
    <w:rsid w:val="00C164D1"/>
    <w:rsid w:val="00C165B0"/>
    <w:rsid w:val="00C166BD"/>
    <w:rsid w:val="00C167E0"/>
    <w:rsid w:val="00C16B9C"/>
    <w:rsid w:val="00C16D51"/>
    <w:rsid w:val="00C17447"/>
    <w:rsid w:val="00C17466"/>
    <w:rsid w:val="00C17624"/>
    <w:rsid w:val="00C20A15"/>
    <w:rsid w:val="00C20C66"/>
    <w:rsid w:val="00C20C84"/>
    <w:rsid w:val="00C21102"/>
    <w:rsid w:val="00C212C5"/>
    <w:rsid w:val="00C2192F"/>
    <w:rsid w:val="00C21F71"/>
    <w:rsid w:val="00C221BD"/>
    <w:rsid w:val="00C22D73"/>
    <w:rsid w:val="00C2323E"/>
    <w:rsid w:val="00C23295"/>
    <w:rsid w:val="00C235C7"/>
    <w:rsid w:val="00C23A28"/>
    <w:rsid w:val="00C23F79"/>
    <w:rsid w:val="00C2478D"/>
    <w:rsid w:val="00C247D0"/>
    <w:rsid w:val="00C24B6C"/>
    <w:rsid w:val="00C25814"/>
    <w:rsid w:val="00C258FA"/>
    <w:rsid w:val="00C25BE7"/>
    <w:rsid w:val="00C263D9"/>
    <w:rsid w:val="00C26B9B"/>
    <w:rsid w:val="00C30746"/>
    <w:rsid w:val="00C3123C"/>
    <w:rsid w:val="00C315C6"/>
    <w:rsid w:val="00C31AF3"/>
    <w:rsid w:val="00C322A7"/>
    <w:rsid w:val="00C32D55"/>
    <w:rsid w:val="00C33705"/>
    <w:rsid w:val="00C33717"/>
    <w:rsid w:val="00C340D1"/>
    <w:rsid w:val="00C342F2"/>
    <w:rsid w:val="00C3438F"/>
    <w:rsid w:val="00C343AB"/>
    <w:rsid w:val="00C34BAD"/>
    <w:rsid w:val="00C351A3"/>
    <w:rsid w:val="00C353EB"/>
    <w:rsid w:val="00C35CBA"/>
    <w:rsid w:val="00C35DAF"/>
    <w:rsid w:val="00C35FB3"/>
    <w:rsid w:val="00C36246"/>
    <w:rsid w:val="00C36362"/>
    <w:rsid w:val="00C36403"/>
    <w:rsid w:val="00C36649"/>
    <w:rsid w:val="00C36C69"/>
    <w:rsid w:val="00C377AA"/>
    <w:rsid w:val="00C37D20"/>
    <w:rsid w:val="00C40887"/>
    <w:rsid w:val="00C4091A"/>
    <w:rsid w:val="00C40C5E"/>
    <w:rsid w:val="00C40EF4"/>
    <w:rsid w:val="00C40FB6"/>
    <w:rsid w:val="00C40FFF"/>
    <w:rsid w:val="00C41617"/>
    <w:rsid w:val="00C41913"/>
    <w:rsid w:val="00C41A0F"/>
    <w:rsid w:val="00C41B24"/>
    <w:rsid w:val="00C42087"/>
    <w:rsid w:val="00C4269B"/>
    <w:rsid w:val="00C42878"/>
    <w:rsid w:val="00C42EA4"/>
    <w:rsid w:val="00C437EA"/>
    <w:rsid w:val="00C43ABA"/>
    <w:rsid w:val="00C44A47"/>
    <w:rsid w:val="00C44BEE"/>
    <w:rsid w:val="00C45467"/>
    <w:rsid w:val="00C4549B"/>
    <w:rsid w:val="00C4598B"/>
    <w:rsid w:val="00C45B6C"/>
    <w:rsid w:val="00C45F34"/>
    <w:rsid w:val="00C4627A"/>
    <w:rsid w:val="00C465BC"/>
    <w:rsid w:val="00C46654"/>
    <w:rsid w:val="00C4673B"/>
    <w:rsid w:val="00C467D8"/>
    <w:rsid w:val="00C4680C"/>
    <w:rsid w:val="00C46B4B"/>
    <w:rsid w:val="00C46CBC"/>
    <w:rsid w:val="00C46DC5"/>
    <w:rsid w:val="00C476B6"/>
    <w:rsid w:val="00C476EB"/>
    <w:rsid w:val="00C47B9B"/>
    <w:rsid w:val="00C47BF6"/>
    <w:rsid w:val="00C50824"/>
    <w:rsid w:val="00C50DE9"/>
    <w:rsid w:val="00C511CD"/>
    <w:rsid w:val="00C515A8"/>
    <w:rsid w:val="00C51B5A"/>
    <w:rsid w:val="00C52871"/>
    <w:rsid w:val="00C53098"/>
    <w:rsid w:val="00C535CE"/>
    <w:rsid w:val="00C536AC"/>
    <w:rsid w:val="00C53896"/>
    <w:rsid w:val="00C539FE"/>
    <w:rsid w:val="00C53A98"/>
    <w:rsid w:val="00C546A4"/>
    <w:rsid w:val="00C54C71"/>
    <w:rsid w:val="00C54FC7"/>
    <w:rsid w:val="00C55589"/>
    <w:rsid w:val="00C55ADA"/>
    <w:rsid w:val="00C561D3"/>
    <w:rsid w:val="00C56462"/>
    <w:rsid w:val="00C56C5A"/>
    <w:rsid w:val="00C56F51"/>
    <w:rsid w:val="00C5783C"/>
    <w:rsid w:val="00C57E13"/>
    <w:rsid w:val="00C60284"/>
    <w:rsid w:val="00C602E5"/>
    <w:rsid w:val="00C6032B"/>
    <w:rsid w:val="00C60469"/>
    <w:rsid w:val="00C605E8"/>
    <w:rsid w:val="00C607F8"/>
    <w:rsid w:val="00C60B9E"/>
    <w:rsid w:val="00C614C1"/>
    <w:rsid w:val="00C61F77"/>
    <w:rsid w:val="00C6208D"/>
    <w:rsid w:val="00C624E2"/>
    <w:rsid w:val="00C6266F"/>
    <w:rsid w:val="00C628E2"/>
    <w:rsid w:val="00C632A8"/>
    <w:rsid w:val="00C63407"/>
    <w:rsid w:val="00C6377C"/>
    <w:rsid w:val="00C638AE"/>
    <w:rsid w:val="00C63BC0"/>
    <w:rsid w:val="00C64394"/>
    <w:rsid w:val="00C647BF"/>
    <w:rsid w:val="00C649E1"/>
    <w:rsid w:val="00C64CE8"/>
    <w:rsid w:val="00C64DA6"/>
    <w:rsid w:val="00C64F71"/>
    <w:rsid w:val="00C653C2"/>
    <w:rsid w:val="00C65C54"/>
    <w:rsid w:val="00C65C71"/>
    <w:rsid w:val="00C65FFA"/>
    <w:rsid w:val="00C66654"/>
    <w:rsid w:val="00C667CC"/>
    <w:rsid w:val="00C66972"/>
    <w:rsid w:val="00C66A86"/>
    <w:rsid w:val="00C66BB8"/>
    <w:rsid w:val="00C66D19"/>
    <w:rsid w:val="00C67544"/>
    <w:rsid w:val="00C67732"/>
    <w:rsid w:val="00C67900"/>
    <w:rsid w:val="00C679DE"/>
    <w:rsid w:val="00C67E58"/>
    <w:rsid w:val="00C701FE"/>
    <w:rsid w:val="00C70EFA"/>
    <w:rsid w:val="00C70F83"/>
    <w:rsid w:val="00C7105F"/>
    <w:rsid w:val="00C72B0D"/>
    <w:rsid w:val="00C72BEC"/>
    <w:rsid w:val="00C731C0"/>
    <w:rsid w:val="00C742AF"/>
    <w:rsid w:val="00C7431F"/>
    <w:rsid w:val="00C74ECC"/>
    <w:rsid w:val="00C75AF7"/>
    <w:rsid w:val="00C7644F"/>
    <w:rsid w:val="00C772A0"/>
    <w:rsid w:val="00C772E7"/>
    <w:rsid w:val="00C77609"/>
    <w:rsid w:val="00C77E8E"/>
    <w:rsid w:val="00C81A2F"/>
    <w:rsid w:val="00C81BE6"/>
    <w:rsid w:val="00C82173"/>
    <w:rsid w:val="00C82239"/>
    <w:rsid w:val="00C8286E"/>
    <w:rsid w:val="00C82E4A"/>
    <w:rsid w:val="00C831EE"/>
    <w:rsid w:val="00C835B0"/>
    <w:rsid w:val="00C8368F"/>
    <w:rsid w:val="00C83708"/>
    <w:rsid w:val="00C83E9E"/>
    <w:rsid w:val="00C84ADC"/>
    <w:rsid w:val="00C84C27"/>
    <w:rsid w:val="00C85322"/>
    <w:rsid w:val="00C85426"/>
    <w:rsid w:val="00C85913"/>
    <w:rsid w:val="00C860B4"/>
    <w:rsid w:val="00C86704"/>
    <w:rsid w:val="00C8676C"/>
    <w:rsid w:val="00C87388"/>
    <w:rsid w:val="00C8780A"/>
    <w:rsid w:val="00C87D6E"/>
    <w:rsid w:val="00C90646"/>
    <w:rsid w:val="00C908A9"/>
    <w:rsid w:val="00C90A7F"/>
    <w:rsid w:val="00C90C73"/>
    <w:rsid w:val="00C90E75"/>
    <w:rsid w:val="00C910EF"/>
    <w:rsid w:val="00C911BF"/>
    <w:rsid w:val="00C9139F"/>
    <w:rsid w:val="00C91637"/>
    <w:rsid w:val="00C919F4"/>
    <w:rsid w:val="00C91EAA"/>
    <w:rsid w:val="00C92050"/>
    <w:rsid w:val="00C920D8"/>
    <w:rsid w:val="00C925FA"/>
    <w:rsid w:val="00C92E4A"/>
    <w:rsid w:val="00C9377D"/>
    <w:rsid w:val="00C93B06"/>
    <w:rsid w:val="00C94302"/>
    <w:rsid w:val="00C94917"/>
    <w:rsid w:val="00C96E9F"/>
    <w:rsid w:val="00C976AB"/>
    <w:rsid w:val="00C977C7"/>
    <w:rsid w:val="00C97946"/>
    <w:rsid w:val="00C979B8"/>
    <w:rsid w:val="00C97B42"/>
    <w:rsid w:val="00CA028E"/>
    <w:rsid w:val="00CA05E1"/>
    <w:rsid w:val="00CA0FD8"/>
    <w:rsid w:val="00CA12D9"/>
    <w:rsid w:val="00CA1896"/>
    <w:rsid w:val="00CA1FEC"/>
    <w:rsid w:val="00CA316E"/>
    <w:rsid w:val="00CA3B49"/>
    <w:rsid w:val="00CA3EE2"/>
    <w:rsid w:val="00CA3F5D"/>
    <w:rsid w:val="00CA4129"/>
    <w:rsid w:val="00CA512B"/>
    <w:rsid w:val="00CA548D"/>
    <w:rsid w:val="00CA57CF"/>
    <w:rsid w:val="00CA5814"/>
    <w:rsid w:val="00CA6009"/>
    <w:rsid w:val="00CA6057"/>
    <w:rsid w:val="00CA61B3"/>
    <w:rsid w:val="00CA6A2D"/>
    <w:rsid w:val="00CA6F04"/>
    <w:rsid w:val="00CA6F07"/>
    <w:rsid w:val="00CA6FF0"/>
    <w:rsid w:val="00CA745A"/>
    <w:rsid w:val="00CA78BF"/>
    <w:rsid w:val="00CA79A8"/>
    <w:rsid w:val="00CA7D64"/>
    <w:rsid w:val="00CB062F"/>
    <w:rsid w:val="00CB0BA5"/>
    <w:rsid w:val="00CB230B"/>
    <w:rsid w:val="00CB2966"/>
    <w:rsid w:val="00CB2B75"/>
    <w:rsid w:val="00CB32F9"/>
    <w:rsid w:val="00CB3699"/>
    <w:rsid w:val="00CB3A6A"/>
    <w:rsid w:val="00CB3BB2"/>
    <w:rsid w:val="00CB404E"/>
    <w:rsid w:val="00CB4371"/>
    <w:rsid w:val="00CB4408"/>
    <w:rsid w:val="00CB57A3"/>
    <w:rsid w:val="00CB58D4"/>
    <w:rsid w:val="00CB5D18"/>
    <w:rsid w:val="00CB65B7"/>
    <w:rsid w:val="00CB671B"/>
    <w:rsid w:val="00CB6F76"/>
    <w:rsid w:val="00CB7053"/>
    <w:rsid w:val="00CB7A7F"/>
    <w:rsid w:val="00CC0625"/>
    <w:rsid w:val="00CC087F"/>
    <w:rsid w:val="00CC0AC3"/>
    <w:rsid w:val="00CC0F8C"/>
    <w:rsid w:val="00CC1784"/>
    <w:rsid w:val="00CC1901"/>
    <w:rsid w:val="00CC190E"/>
    <w:rsid w:val="00CC2677"/>
    <w:rsid w:val="00CC4099"/>
    <w:rsid w:val="00CC4F67"/>
    <w:rsid w:val="00CC50CE"/>
    <w:rsid w:val="00CC5888"/>
    <w:rsid w:val="00CC5C20"/>
    <w:rsid w:val="00CC5F77"/>
    <w:rsid w:val="00CC6099"/>
    <w:rsid w:val="00CC6AAA"/>
    <w:rsid w:val="00CC6EF4"/>
    <w:rsid w:val="00CC718F"/>
    <w:rsid w:val="00CC7682"/>
    <w:rsid w:val="00CC7CF6"/>
    <w:rsid w:val="00CC7E2A"/>
    <w:rsid w:val="00CC7EB8"/>
    <w:rsid w:val="00CD062E"/>
    <w:rsid w:val="00CD0986"/>
    <w:rsid w:val="00CD0E85"/>
    <w:rsid w:val="00CD1080"/>
    <w:rsid w:val="00CD1210"/>
    <w:rsid w:val="00CD1A2A"/>
    <w:rsid w:val="00CD1A86"/>
    <w:rsid w:val="00CD299F"/>
    <w:rsid w:val="00CD2B13"/>
    <w:rsid w:val="00CD3227"/>
    <w:rsid w:val="00CD3631"/>
    <w:rsid w:val="00CD4067"/>
    <w:rsid w:val="00CD4563"/>
    <w:rsid w:val="00CD49A1"/>
    <w:rsid w:val="00CD5306"/>
    <w:rsid w:val="00CD5382"/>
    <w:rsid w:val="00CD5534"/>
    <w:rsid w:val="00CD58EF"/>
    <w:rsid w:val="00CD5B8E"/>
    <w:rsid w:val="00CD5E46"/>
    <w:rsid w:val="00CD6FB6"/>
    <w:rsid w:val="00CD7D76"/>
    <w:rsid w:val="00CE027D"/>
    <w:rsid w:val="00CE08E6"/>
    <w:rsid w:val="00CE0BFE"/>
    <w:rsid w:val="00CE0CF5"/>
    <w:rsid w:val="00CE1140"/>
    <w:rsid w:val="00CE126B"/>
    <w:rsid w:val="00CE1A13"/>
    <w:rsid w:val="00CE1EBE"/>
    <w:rsid w:val="00CE2850"/>
    <w:rsid w:val="00CE3BE9"/>
    <w:rsid w:val="00CE3C12"/>
    <w:rsid w:val="00CE4183"/>
    <w:rsid w:val="00CE4DC6"/>
    <w:rsid w:val="00CE562B"/>
    <w:rsid w:val="00CE64CF"/>
    <w:rsid w:val="00CE7493"/>
    <w:rsid w:val="00CE76B2"/>
    <w:rsid w:val="00CE77ED"/>
    <w:rsid w:val="00CF011D"/>
    <w:rsid w:val="00CF02FB"/>
    <w:rsid w:val="00CF0ABA"/>
    <w:rsid w:val="00CF0DE5"/>
    <w:rsid w:val="00CF0F17"/>
    <w:rsid w:val="00CF0FED"/>
    <w:rsid w:val="00CF1829"/>
    <w:rsid w:val="00CF19E0"/>
    <w:rsid w:val="00CF1EA9"/>
    <w:rsid w:val="00CF20A2"/>
    <w:rsid w:val="00CF296C"/>
    <w:rsid w:val="00CF3558"/>
    <w:rsid w:val="00CF35E5"/>
    <w:rsid w:val="00CF3AA1"/>
    <w:rsid w:val="00CF4490"/>
    <w:rsid w:val="00CF47DE"/>
    <w:rsid w:val="00CF488C"/>
    <w:rsid w:val="00CF4ADF"/>
    <w:rsid w:val="00CF4C3F"/>
    <w:rsid w:val="00CF52D0"/>
    <w:rsid w:val="00CF55F3"/>
    <w:rsid w:val="00CF5978"/>
    <w:rsid w:val="00CF6113"/>
    <w:rsid w:val="00CF6404"/>
    <w:rsid w:val="00CF6C94"/>
    <w:rsid w:val="00CF76CA"/>
    <w:rsid w:val="00CF7838"/>
    <w:rsid w:val="00CF790A"/>
    <w:rsid w:val="00CF7924"/>
    <w:rsid w:val="00CF7BE0"/>
    <w:rsid w:val="00D0009A"/>
    <w:rsid w:val="00D00709"/>
    <w:rsid w:val="00D00C3E"/>
    <w:rsid w:val="00D01428"/>
    <w:rsid w:val="00D0143F"/>
    <w:rsid w:val="00D01513"/>
    <w:rsid w:val="00D016F5"/>
    <w:rsid w:val="00D01C68"/>
    <w:rsid w:val="00D0213C"/>
    <w:rsid w:val="00D02375"/>
    <w:rsid w:val="00D027A9"/>
    <w:rsid w:val="00D02E69"/>
    <w:rsid w:val="00D02F7D"/>
    <w:rsid w:val="00D032F0"/>
    <w:rsid w:val="00D035BF"/>
    <w:rsid w:val="00D037AC"/>
    <w:rsid w:val="00D04137"/>
    <w:rsid w:val="00D04934"/>
    <w:rsid w:val="00D050A4"/>
    <w:rsid w:val="00D05104"/>
    <w:rsid w:val="00D05DCE"/>
    <w:rsid w:val="00D06151"/>
    <w:rsid w:val="00D0688B"/>
    <w:rsid w:val="00D06950"/>
    <w:rsid w:val="00D07612"/>
    <w:rsid w:val="00D07B41"/>
    <w:rsid w:val="00D07E09"/>
    <w:rsid w:val="00D07EE0"/>
    <w:rsid w:val="00D10188"/>
    <w:rsid w:val="00D10B6B"/>
    <w:rsid w:val="00D11285"/>
    <w:rsid w:val="00D11312"/>
    <w:rsid w:val="00D11D19"/>
    <w:rsid w:val="00D123D3"/>
    <w:rsid w:val="00D12620"/>
    <w:rsid w:val="00D12AD1"/>
    <w:rsid w:val="00D13421"/>
    <w:rsid w:val="00D13B43"/>
    <w:rsid w:val="00D13C7E"/>
    <w:rsid w:val="00D14892"/>
    <w:rsid w:val="00D14B99"/>
    <w:rsid w:val="00D153B9"/>
    <w:rsid w:val="00D157D4"/>
    <w:rsid w:val="00D160B2"/>
    <w:rsid w:val="00D16350"/>
    <w:rsid w:val="00D16549"/>
    <w:rsid w:val="00D168AF"/>
    <w:rsid w:val="00D16C51"/>
    <w:rsid w:val="00D17B76"/>
    <w:rsid w:val="00D17BA3"/>
    <w:rsid w:val="00D17E10"/>
    <w:rsid w:val="00D20574"/>
    <w:rsid w:val="00D206EC"/>
    <w:rsid w:val="00D20973"/>
    <w:rsid w:val="00D20C59"/>
    <w:rsid w:val="00D214A1"/>
    <w:rsid w:val="00D21547"/>
    <w:rsid w:val="00D21713"/>
    <w:rsid w:val="00D22608"/>
    <w:rsid w:val="00D22C04"/>
    <w:rsid w:val="00D22C63"/>
    <w:rsid w:val="00D22E0A"/>
    <w:rsid w:val="00D23024"/>
    <w:rsid w:val="00D233A2"/>
    <w:rsid w:val="00D23631"/>
    <w:rsid w:val="00D243AA"/>
    <w:rsid w:val="00D24E3B"/>
    <w:rsid w:val="00D250BE"/>
    <w:rsid w:val="00D262A6"/>
    <w:rsid w:val="00D26827"/>
    <w:rsid w:val="00D26E0E"/>
    <w:rsid w:val="00D2722E"/>
    <w:rsid w:val="00D274B9"/>
    <w:rsid w:val="00D27738"/>
    <w:rsid w:val="00D27CA5"/>
    <w:rsid w:val="00D30404"/>
    <w:rsid w:val="00D30964"/>
    <w:rsid w:val="00D30A6A"/>
    <w:rsid w:val="00D31215"/>
    <w:rsid w:val="00D31BDE"/>
    <w:rsid w:val="00D31EF7"/>
    <w:rsid w:val="00D3211B"/>
    <w:rsid w:val="00D325FE"/>
    <w:rsid w:val="00D32752"/>
    <w:rsid w:val="00D32AD3"/>
    <w:rsid w:val="00D32B85"/>
    <w:rsid w:val="00D33E58"/>
    <w:rsid w:val="00D33E76"/>
    <w:rsid w:val="00D34466"/>
    <w:rsid w:val="00D34507"/>
    <w:rsid w:val="00D34539"/>
    <w:rsid w:val="00D3460D"/>
    <w:rsid w:val="00D3494F"/>
    <w:rsid w:val="00D34B6F"/>
    <w:rsid w:val="00D34D36"/>
    <w:rsid w:val="00D35428"/>
    <w:rsid w:val="00D3602F"/>
    <w:rsid w:val="00D360CE"/>
    <w:rsid w:val="00D37501"/>
    <w:rsid w:val="00D375BA"/>
    <w:rsid w:val="00D376B4"/>
    <w:rsid w:val="00D37A99"/>
    <w:rsid w:val="00D37CF6"/>
    <w:rsid w:val="00D37ED5"/>
    <w:rsid w:val="00D40805"/>
    <w:rsid w:val="00D408E0"/>
    <w:rsid w:val="00D409D0"/>
    <w:rsid w:val="00D414DB"/>
    <w:rsid w:val="00D41AE0"/>
    <w:rsid w:val="00D41FF5"/>
    <w:rsid w:val="00D42317"/>
    <w:rsid w:val="00D42BD6"/>
    <w:rsid w:val="00D43141"/>
    <w:rsid w:val="00D43454"/>
    <w:rsid w:val="00D43504"/>
    <w:rsid w:val="00D43684"/>
    <w:rsid w:val="00D43A69"/>
    <w:rsid w:val="00D43FEC"/>
    <w:rsid w:val="00D445C4"/>
    <w:rsid w:val="00D44AA9"/>
    <w:rsid w:val="00D44FE7"/>
    <w:rsid w:val="00D45885"/>
    <w:rsid w:val="00D45905"/>
    <w:rsid w:val="00D45AA1"/>
    <w:rsid w:val="00D45BF2"/>
    <w:rsid w:val="00D45E28"/>
    <w:rsid w:val="00D45F1B"/>
    <w:rsid w:val="00D45FF0"/>
    <w:rsid w:val="00D46291"/>
    <w:rsid w:val="00D46496"/>
    <w:rsid w:val="00D4657D"/>
    <w:rsid w:val="00D46AB9"/>
    <w:rsid w:val="00D46C77"/>
    <w:rsid w:val="00D471D1"/>
    <w:rsid w:val="00D47635"/>
    <w:rsid w:val="00D47D2C"/>
    <w:rsid w:val="00D50961"/>
    <w:rsid w:val="00D5149E"/>
    <w:rsid w:val="00D51504"/>
    <w:rsid w:val="00D5198A"/>
    <w:rsid w:val="00D51E05"/>
    <w:rsid w:val="00D5258D"/>
    <w:rsid w:val="00D525AC"/>
    <w:rsid w:val="00D52E17"/>
    <w:rsid w:val="00D53204"/>
    <w:rsid w:val="00D53310"/>
    <w:rsid w:val="00D53BD6"/>
    <w:rsid w:val="00D53DC9"/>
    <w:rsid w:val="00D53E9E"/>
    <w:rsid w:val="00D53F66"/>
    <w:rsid w:val="00D54492"/>
    <w:rsid w:val="00D544DC"/>
    <w:rsid w:val="00D55019"/>
    <w:rsid w:val="00D551B3"/>
    <w:rsid w:val="00D556AA"/>
    <w:rsid w:val="00D558B1"/>
    <w:rsid w:val="00D559CB"/>
    <w:rsid w:val="00D55E3F"/>
    <w:rsid w:val="00D55E8C"/>
    <w:rsid w:val="00D56005"/>
    <w:rsid w:val="00D561D4"/>
    <w:rsid w:val="00D5668F"/>
    <w:rsid w:val="00D569CB"/>
    <w:rsid w:val="00D56ADF"/>
    <w:rsid w:val="00D57939"/>
    <w:rsid w:val="00D57967"/>
    <w:rsid w:val="00D57B43"/>
    <w:rsid w:val="00D60437"/>
    <w:rsid w:val="00D6096B"/>
    <w:rsid w:val="00D61441"/>
    <w:rsid w:val="00D61B3D"/>
    <w:rsid w:val="00D62100"/>
    <w:rsid w:val="00D62233"/>
    <w:rsid w:val="00D626ED"/>
    <w:rsid w:val="00D62B2F"/>
    <w:rsid w:val="00D62D31"/>
    <w:rsid w:val="00D62EF3"/>
    <w:rsid w:val="00D62FB6"/>
    <w:rsid w:val="00D63331"/>
    <w:rsid w:val="00D63790"/>
    <w:rsid w:val="00D63BCB"/>
    <w:rsid w:val="00D63E6B"/>
    <w:rsid w:val="00D63F46"/>
    <w:rsid w:val="00D63FAE"/>
    <w:rsid w:val="00D6413A"/>
    <w:rsid w:val="00D64315"/>
    <w:rsid w:val="00D64D26"/>
    <w:rsid w:val="00D64E42"/>
    <w:rsid w:val="00D650F9"/>
    <w:rsid w:val="00D65562"/>
    <w:rsid w:val="00D6556E"/>
    <w:rsid w:val="00D655C1"/>
    <w:rsid w:val="00D655C4"/>
    <w:rsid w:val="00D6578C"/>
    <w:rsid w:val="00D65B69"/>
    <w:rsid w:val="00D65EA3"/>
    <w:rsid w:val="00D668F4"/>
    <w:rsid w:val="00D671B0"/>
    <w:rsid w:val="00D67553"/>
    <w:rsid w:val="00D70744"/>
    <w:rsid w:val="00D70805"/>
    <w:rsid w:val="00D70BE5"/>
    <w:rsid w:val="00D715C6"/>
    <w:rsid w:val="00D716EE"/>
    <w:rsid w:val="00D71A29"/>
    <w:rsid w:val="00D7202F"/>
    <w:rsid w:val="00D72648"/>
    <w:rsid w:val="00D72EAD"/>
    <w:rsid w:val="00D72F61"/>
    <w:rsid w:val="00D7300D"/>
    <w:rsid w:val="00D73615"/>
    <w:rsid w:val="00D73A11"/>
    <w:rsid w:val="00D73BD2"/>
    <w:rsid w:val="00D73F37"/>
    <w:rsid w:val="00D74050"/>
    <w:rsid w:val="00D740F4"/>
    <w:rsid w:val="00D74185"/>
    <w:rsid w:val="00D746BC"/>
    <w:rsid w:val="00D7482C"/>
    <w:rsid w:val="00D74B30"/>
    <w:rsid w:val="00D750E5"/>
    <w:rsid w:val="00D754B3"/>
    <w:rsid w:val="00D756FB"/>
    <w:rsid w:val="00D7596D"/>
    <w:rsid w:val="00D75A90"/>
    <w:rsid w:val="00D75B00"/>
    <w:rsid w:val="00D7605B"/>
    <w:rsid w:val="00D7612B"/>
    <w:rsid w:val="00D769B5"/>
    <w:rsid w:val="00D76A35"/>
    <w:rsid w:val="00D76E4C"/>
    <w:rsid w:val="00D7738C"/>
    <w:rsid w:val="00D775B2"/>
    <w:rsid w:val="00D80114"/>
    <w:rsid w:val="00D80266"/>
    <w:rsid w:val="00D803F9"/>
    <w:rsid w:val="00D80A40"/>
    <w:rsid w:val="00D80C38"/>
    <w:rsid w:val="00D81532"/>
    <w:rsid w:val="00D817F3"/>
    <w:rsid w:val="00D81FDA"/>
    <w:rsid w:val="00D821A6"/>
    <w:rsid w:val="00D826B1"/>
    <w:rsid w:val="00D82A7A"/>
    <w:rsid w:val="00D82AF1"/>
    <w:rsid w:val="00D8301B"/>
    <w:rsid w:val="00D83252"/>
    <w:rsid w:val="00D834B4"/>
    <w:rsid w:val="00D8358F"/>
    <w:rsid w:val="00D836C6"/>
    <w:rsid w:val="00D844C6"/>
    <w:rsid w:val="00D846C9"/>
    <w:rsid w:val="00D8470C"/>
    <w:rsid w:val="00D84D82"/>
    <w:rsid w:val="00D86585"/>
    <w:rsid w:val="00D868C6"/>
    <w:rsid w:val="00D870FD"/>
    <w:rsid w:val="00D907E0"/>
    <w:rsid w:val="00D90808"/>
    <w:rsid w:val="00D90C36"/>
    <w:rsid w:val="00D920BE"/>
    <w:rsid w:val="00D92855"/>
    <w:rsid w:val="00D92AC8"/>
    <w:rsid w:val="00D92E6E"/>
    <w:rsid w:val="00D92E83"/>
    <w:rsid w:val="00D935C9"/>
    <w:rsid w:val="00D93F21"/>
    <w:rsid w:val="00D94266"/>
    <w:rsid w:val="00D94576"/>
    <w:rsid w:val="00D94781"/>
    <w:rsid w:val="00D94E1C"/>
    <w:rsid w:val="00D954AD"/>
    <w:rsid w:val="00D95E8F"/>
    <w:rsid w:val="00D96F2F"/>
    <w:rsid w:val="00D97A9F"/>
    <w:rsid w:val="00D97CCC"/>
    <w:rsid w:val="00DA0BFC"/>
    <w:rsid w:val="00DA0F91"/>
    <w:rsid w:val="00DA1103"/>
    <w:rsid w:val="00DA152F"/>
    <w:rsid w:val="00DA17CE"/>
    <w:rsid w:val="00DA184B"/>
    <w:rsid w:val="00DA1CF2"/>
    <w:rsid w:val="00DA1F11"/>
    <w:rsid w:val="00DA279B"/>
    <w:rsid w:val="00DA2821"/>
    <w:rsid w:val="00DA2CC8"/>
    <w:rsid w:val="00DA3058"/>
    <w:rsid w:val="00DA3A2C"/>
    <w:rsid w:val="00DA3AEB"/>
    <w:rsid w:val="00DA4214"/>
    <w:rsid w:val="00DA49D6"/>
    <w:rsid w:val="00DA5199"/>
    <w:rsid w:val="00DA51A7"/>
    <w:rsid w:val="00DA53ED"/>
    <w:rsid w:val="00DA5931"/>
    <w:rsid w:val="00DA6035"/>
    <w:rsid w:val="00DA6151"/>
    <w:rsid w:val="00DA637B"/>
    <w:rsid w:val="00DA64DA"/>
    <w:rsid w:val="00DA65F5"/>
    <w:rsid w:val="00DA6BA1"/>
    <w:rsid w:val="00DA775B"/>
    <w:rsid w:val="00DA7A61"/>
    <w:rsid w:val="00DB01E9"/>
    <w:rsid w:val="00DB0C5B"/>
    <w:rsid w:val="00DB211E"/>
    <w:rsid w:val="00DB39A9"/>
    <w:rsid w:val="00DB3B0A"/>
    <w:rsid w:val="00DB3C5F"/>
    <w:rsid w:val="00DB3E4E"/>
    <w:rsid w:val="00DB4061"/>
    <w:rsid w:val="00DB4253"/>
    <w:rsid w:val="00DB45A9"/>
    <w:rsid w:val="00DB47DD"/>
    <w:rsid w:val="00DB47E4"/>
    <w:rsid w:val="00DB4963"/>
    <w:rsid w:val="00DB4D25"/>
    <w:rsid w:val="00DB4E0E"/>
    <w:rsid w:val="00DB50E9"/>
    <w:rsid w:val="00DB5178"/>
    <w:rsid w:val="00DB5A87"/>
    <w:rsid w:val="00DB5C94"/>
    <w:rsid w:val="00DB6552"/>
    <w:rsid w:val="00DC033B"/>
    <w:rsid w:val="00DC037E"/>
    <w:rsid w:val="00DC0437"/>
    <w:rsid w:val="00DC0741"/>
    <w:rsid w:val="00DC0C80"/>
    <w:rsid w:val="00DC1683"/>
    <w:rsid w:val="00DC1794"/>
    <w:rsid w:val="00DC210B"/>
    <w:rsid w:val="00DC2162"/>
    <w:rsid w:val="00DC2AE7"/>
    <w:rsid w:val="00DC2BAF"/>
    <w:rsid w:val="00DC2E21"/>
    <w:rsid w:val="00DC2E75"/>
    <w:rsid w:val="00DC30B5"/>
    <w:rsid w:val="00DC3102"/>
    <w:rsid w:val="00DC314F"/>
    <w:rsid w:val="00DC4608"/>
    <w:rsid w:val="00DC511B"/>
    <w:rsid w:val="00DC51B9"/>
    <w:rsid w:val="00DC59D2"/>
    <w:rsid w:val="00DC5EBE"/>
    <w:rsid w:val="00DC5F8D"/>
    <w:rsid w:val="00DC6220"/>
    <w:rsid w:val="00DC6396"/>
    <w:rsid w:val="00DC6966"/>
    <w:rsid w:val="00DC6B55"/>
    <w:rsid w:val="00DC7027"/>
    <w:rsid w:val="00DC72B5"/>
    <w:rsid w:val="00DC7B70"/>
    <w:rsid w:val="00DD0607"/>
    <w:rsid w:val="00DD0A87"/>
    <w:rsid w:val="00DD0E49"/>
    <w:rsid w:val="00DD14A6"/>
    <w:rsid w:val="00DD1EF1"/>
    <w:rsid w:val="00DD2336"/>
    <w:rsid w:val="00DD25DB"/>
    <w:rsid w:val="00DD2837"/>
    <w:rsid w:val="00DD287A"/>
    <w:rsid w:val="00DD33EA"/>
    <w:rsid w:val="00DD36A6"/>
    <w:rsid w:val="00DD36CC"/>
    <w:rsid w:val="00DD3926"/>
    <w:rsid w:val="00DD39A2"/>
    <w:rsid w:val="00DD39F5"/>
    <w:rsid w:val="00DD42AB"/>
    <w:rsid w:val="00DD4C46"/>
    <w:rsid w:val="00DD4D28"/>
    <w:rsid w:val="00DD53BC"/>
    <w:rsid w:val="00DD58AC"/>
    <w:rsid w:val="00DD5938"/>
    <w:rsid w:val="00DD7566"/>
    <w:rsid w:val="00DD7712"/>
    <w:rsid w:val="00DD78C5"/>
    <w:rsid w:val="00DE082E"/>
    <w:rsid w:val="00DE0ADE"/>
    <w:rsid w:val="00DE0D5E"/>
    <w:rsid w:val="00DE10EC"/>
    <w:rsid w:val="00DE1498"/>
    <w:rsid w:val="00DE20B6"/>
    <w:rsid w:val="00DE229D"/>
    <w:rsid w:val="00DE2A08"/>
    <w:rsid w:val="00DE2FD6"/>
    <w:rsid w:val="00DE331B"/>
    <w:rsid w:val="00DE3396"/>
    <w:rsid w:val="00DE3431"/>
    <w:rsid w:val="00DE367B"/>
    <w:rsid w:val="00DE3A36"/>
    <w:rsid w:val="00DE3A70"/>
    <w:rsid w:val="00DE41BB"/>
    <w:rsid w:val="00DE422D"/>
    <w:rsid w:val="00DE4590"/>
    <w:rsid w:val="00DE481D"/>
    <w:rsid w:val="00DE5906"/>
    <w:rsid w:val="00DE5A2A"/>
    <w:rsid w:val="00DE6612"/>
    <w:rsid w:val="00DE6E7F"/>
    <w:rsid w:val="00DE6F61"/>
    <w:rsid w:val="00DE7C83"/>
    <w:rsid w:val="00DE7D94"/>
    <w:rsid w:val="00DF0356"/>
    <w:rsid w:val="00DF060C"/>
    <w:rsid w:val="00DF0BA5"/>
    <w:rsid w:val="00DF24BA"/>
    <w:rsid w:val="00DF2B82"/>
    <w:rsid w:val="00DF2FAC"/>
    <w:rsid w:val="00DF303E"/>
    <w:rsid w:val="00DF36C4"/>
    <w:rsid w:val="00DF3826"/>
    <w:rsid w:val="00DF3A9E"/>
    <w:rsid w:val="00DF46E0"/>
    <w:rsid w:val="00DF4719"/>
    <w:rsid w:val="00DF4E16"/>
    <w:rsid w:val="00DF4E68"/>
    <w:rsid w:val="00DF4EE4"/>
    <w:rsid w:val="00DF633B"/>
    <w:rsid w:val="00DF6374"/>
    <w:rsid w:val="00DF6848"/>
    <w:rsid w:val="00DF6C5F"/>
    <w:rsid w:val="00DF6D92"/>
    <w:rsid w:val="00DF6FC0"/>
    <w:rsid w:val="00DF7638"/>
    <w:rsid w:val="00DF76CB"/>
    <w:rsid w:val="00DF7817"/>
    <w:rsid w:val="00DF782B"/>
    <w:rsid w:val="00E00F7E"/>
    <w:rsid w:val="00E01097"/>
    <w:rsid w:val="00E0120B"/>
    <w:rsid w:val="00E01320"/>
    <w:rsid w:val="00E01A4E"/>
    <w:rsid w:val="00E02471"/>
    <w:rsid w:val="00E02878"/>
    <w:rsid w:val="00E02A18"/>
    <w:rsid w:val="00E02D0E"/>
    <w:rsid w:val="00E02DB5"/>
    <w:rsid w:val="00E033C5"/>
    <w:rsid w:val="00E0392F"/>
    <w:rsid w:val="00E03CFE"/>
    <w:rsid w:val="00E04513"/>
    <w:rsid w:val="00E0469A"/>
    <w:rsid w:val="00E057B0"/>
    <w:rsid w:val="00E05BE6"/>
    <w:rsid w:val="00E0638C"/>
    <w:rsid w:val="00E06593"/>
    <w:rsid w:val="00E06E45"/>
    <w:rsid w:val="00E07361"/>
    <w:rsid w:val="00E0744F"/>
    <w:rsid w:val="00E1016B"/>
    <w:rsid w:val="00E10688"/>
    <w:rsid w:val="00E10B8C"/>
    <w:rsid w:val="00E112C5"/>
    <w:rsid w:val="00E12F3F"/>
    <w:rsid w:val="00E1330B"/>
    <w:rsid w:val="00E13719"/>
    <w:rsid w:val="00E13E12"/>
    <w:rsid w:val="00E13F7E"/>
    <w:rsid w:val="00E14208"/>
    <w:rsid w:val="00E14A1D"/>
    <w:rsid w:val="00E14AF7"/>
    <w:rsid w:val="00E14C33"/>
    <w:rsid w:val="00E14CF9"/>
    <w:rsid w:val="00E15095"/>
    <w:rsid w:val="00E15565"/>
    <w:rsid w:val="00E15FE8"/>
    <w:rsid w:val="00E16354"/>
    <w:rsid w:val="00E169D4"/>
    <w:rsid w:val="00E16AC9"/>
    <w:rsid w:val="00E16C73"/>
    <w:rsid w:val="00E17851"/>
    <w:rsid w:val="00E2025C"/>
    <w:rsid w:val="00E2099F"/>
    <w:rsid w:val="00E20C5C"/>
    <w:rsid w:val="00E21047"/>
    <w:rsid w:val="00E210AC"/>
    <w:rsid w:val="00E211DE"/>
    <w:rsid w:val="00E21753"/>
    <w:rsid w:val="00E21829"/>
    <w:rsid w:val="00E22893"/>
    <w:rsid w:val="00E22C24"/>
    <w:rsid w:val="00E22D3B"/>
    <w:rsid w:val="00E23366"/>
    <w:rsid w:val="00E237F3"/>
    <w:rsid w:val="00E23954"/>
    <w:rsid w:val="00E23B3D"/>
    <w:rsid w:val="00E24354"/>
    <w:rsid w:val="00E24E05"/>
    <w:rsid w:val="00E25EA5"/>
    <w:rsid w:val="00E25EE4"/>
    <w:rsid w:val="00E26893"/>
    <w:rsid w:val="00E26894"/>
    <w:rsid w:val="00E27633"/>
    <w:rsid w:val="00E27B7D"/>
    <w:rsid w:val="00E30698"/>
    <w:rsid w:val="00E30B00"/>
    <w:rsid w:val="00E30CCE"/>
    <w:rsid w:val="00E30D9F"/>
    <w:rsid w:val="00E30F67"/>
    <w:rsid w:val="00E31361"/>
    <w:rsid w:val="00E31BC4"/>
    <w:rsid w:val="00E31CB9"/>
    <w:rsid w:val="00E31ED4"/>
    <w:rsid w:val="00E32036"/>
    <w:rsid w:val="00E32078"/>
    <w:rsid w:val="00E322B6"/>
    <w:rsid w:val="00E32370"/>
    <w:rsid w:val="00E326C7"/>
    <w:rsid w:val="00E32E9F"/>
    <w:rsid w:val="00E330B2"/>
    <w:rsid w:val="00E3327C"/>
    <w:rsid w:val="00E332A2"/>
    <w:rsid w:val="00E333A7"/>
    <w:rsid w:val="00E33E14"/>
    <w:rsid w:val="00E343DF"/>
    <w:rsid w:val="00E34763"/>
    <w:rsid w:val="00E3566C"/>
    <w:rsid w:val="00E3567A"/>
    <w:rsid w:val="00E35CAF"/>
    <w:rsid w:val="00E3683D"/>
    <w:rsid w:val="00E3736D"/>
    <w:rsid w:val="00E377C2"/>
    <w:rsid w:val="00E37848"/>
    <w:rsid w:val="00E37891"/>
    <w:rsid w:val="00E37D29"/>
    <w:rsid w:val="00E402A1"/>
    <w:rsid w:val="00E40596"/>
    <w:rsid w:val="00E40A4A"/>
    <w:rsid w:val="00E40E50"/>
    <w:rsid w:val="00E40F0F"/>
    <w:rsid w:val="00E41617"/>
    <w:rsid w:val="00E421F9"/>
    <w:rsid w:val="00E424EE"/>
    <w:rsid w:val="00E4256A"/>
    <w:rsid w:val="00E427F0"/>
    <w:rsid w:val="00E4324D"/>
    <w:rsid w:val="00E434D9"/>
    <w:rsid w:val="00E43868"/>
    <w:rsid w:val="00E43885"/>
    <w:rsid w:val="00E43A19"/>
    <w:rsid w:val="00E43AFC"/>
    <w:rsid w:val="00E44416"/>
    <w:rsid w:val="00E449E2"/>
    <w:rsid w:val="00E44CCF"/>
    <w:rsid w:val="00E450DF"/>
    <w:rsid w:val="00E455BB"/>
    <w:rsid w:val="00E45E3F"/>
    <w:rsid w:val="00E45F60"/>
    <w:rsid w:val="00E46670"/>
    <w:rsid w:val="00E47357"/>
    <w:rsid w:val="00E47E43"/>
    <w:rsid w:val="00E5086E"/>
    <w:rsid w:val="00E509AD"/>
    <w:rsid w:val="00E50DE0"/>
    <w:rsid w:val="00E51020"/>
    <w:rsid w:val="00E512B6"/>
    <w:rsid w:val="00E53469"/>
    <w:rsid w:val="00E53C4D"/>
    <w:rsid w:val="00E53CD0"/>
    <w:rsid w:val="00E53DCB"/>
    <w:rsid w:val="00E54215"/>
    <w:rsid w:val="00E54D59"/>
    <w:rsid w:val="00E552CC"/>
    <w:rsid w:val="00E55F89"/>
    <w:rsid w:val="00E56244"/>
    <w:rsid w:val="00E56D84"/>
    <w:rsid w:val="00E57159"/>
    <w:rsid w:val="00E5725E"/>
    <w:rsid w:val="00E572C9"/>
    <w:rsid w:val="00E574C6"/>
    <w:rsid w:val="00E57B78"/>
    <w:rsid w:val="00E57EBC"/>
    <w:rsid w:val="00E602A9"/>
    <w:rsid w:val="00E608CE"/>
    <w:rsid w:val="00E60E48"/>
    <w:rsid w:val="00E61457"/>
    <w:rsid w:val="00E61482"/>
    <w:rsid w:val="00E61857"/>
    <w:rsid w:val="00E61C9F"/>
    <w:rsid w:val="00E62039"/>
    <w:rsid w:val="00E62370"/>
    <w:rsid w:val="00E62386"/>
    <w:rsid w:val="00E628C4"/>
    <w:rsid w:val="00E629FF"/>
    <w:rsid w:val="00E62FE6"/>
    <w:rsid w:val="00E637B3"/>
    <w:rsid w:val="00E63BE9"/>
    <w:rsid w:val="00E64762"/>
    <w:rsid w:val="00E64DBE"/>
    <w:rsid w:val="00E64F34"/>
    <w:rsid w:val="00E653B6"/>
    <w:rsid w:val="00E660F5"/>
    <w:rsid w:val="00E66334"/>
    <w:rsid w:val="00E66D26"/>
    <w:rsid w:val="00E671DB"/>
    <w:rsid w:val="00E67AC6"/>
    <w:rsid w:val="00E67ECB"/>
    <w:rsid w:val="00E7001D"/>
    <w:rsid w:val="00E70D1D"/>
    <w:rsid w:val="00E7125E"/>
    <w:rsid w:val="00E7143E"/>
    <w:rsid w:val="00E717C1"/>
    <w:rsid w:val="00E71A36"/>
    <w:rsid w:val="00E7201A"/>
    <w:rsid w:val="00E72350"/>
    <w:rsid w:val="00E7250E"/>
    <w:rsid w:val="00E7280B"/>
    <w:rsid w:val="00E72836"/>
    <w:rsid w:val="00E72B83"/>
    <w:rsid w:val="00E737E5"/>
    <w:rsid w:val="00E737F1"/>
    <w:rsid w:val="00E73937"/>
    <w:rsid w:val="00E740B7"/>
    <w:rsid w:val="00E741D6"/>
    <w:rsid w:val="00E74304"/>
    <w:rsid w:val="00E749AE"/>
    <w:rsid w:val="00E74E05"/>
    <w:rsid w:val="00E74E84"/>
    <w:rsid w:val="00E75393"/>
    <w:rsid w:val="00E7549D"/>
    <w:rsid w:val="00E7614A"/>
    <w:rsid w:val="00E76697"/>
    <w:rsid w:val="00E768FD"/>
    <w:rsid w:val="00E76BB8"/>
    <w:rsid w:val="00E76D25"/>
    <w:rsid w:val="00E76D88"/>
    <w:rsid w:val="00E77491"/>
    <w:rsid w:val="00E77652"/>
    <w:rsid w:val="00E80AFF"/>
    <w:rsid w:val="00E80C0B"/>
    <w:rsid w:val="00E81113"/>
    <w:rsid w:val="00E81CB4"/>
    <w:rsid w:val="00E82302"/>
    <w:rsid w:val="00E833CB"/>
    <w:rsid w:val="00E835F1"/>
    <w:rsid w:val="00E83F88"/>
    <w:rsid w:val="00E8430B"/>
    <w:rsid w:val="00E8508F"/>
    <w:rsid w:val="00E85687"/>
    <w:rsid w:val="00E8568E"/>
    <w:rsid w:val="00E8570E"/>
    <w:rsid w:val="00E85D9B"/>
    <w:rsid w:val="00E8645E"/>
    <w:rsid w:val="00E8647A"/>
    <w:rsid w:val="00E86EB4"/>
    <w:rsid w:val="00E86FBC"/>
    <w:rsid w:val="00E87815"/>
    <w:rsid w:val="00E90289"/>
    <w:rsid w:val="00E90582"/>
    <w:rsid w:val="00E90B39"/>
    <w:rsid w:val="00E90B98"/>
    <w:rsid w:val="00E91228"/>
    <w:rsid w:val="00E936B7"/>
    <w:rsid w:val="00E9398F"/>
    <w:rsid w:val="00E93D18"/>
    <w:rsid w:val="00E949EB"/>
    <w:rsid w:val="00E94CAB"/>
    <w:rsid w:val="00E95B9F"/>
    <w:rsid w:val="00E95BCA"/>
    <w:rsid w:val="00E96746"/>
    <w:rsid w:val="00E9792B"/>
    <w:rsid w:val="00EA0433"/>
    <w:rsid w:val="00EA08CD"/>
    <w:rsid w:val="00EA0B34"/>
    <w:rsid w:val="00EA0D33"/>
    <w:rsid w:val="00EA1375"/>
    <w:rsid w:val="00EA1591"/>
    <w:rsid w:val="00EA18ED"/>
    <w:rsid w:val="00EA1A26"/>
    <w:rsid w:val="00EA1A34"/>
    <w:rsid w:val="00EA1D31"/>
    <w:rsid w:val="00EA2224"/>
    <w:rsid w:val="00EA2394"/>
    <w:rsid w:val="00EA2524"/>
    <w:rsid w:val="00EA29E3"/>
    <w:rsid w:val="00EA3843"/>
    <w:rsid w:val="00EA3BC2"/>
    <w:rsid w:val="00EA3DAB"/>
    <w:rsid w:val="00EA4234"/>
    <w:rsid w:val="00EA430C"/>
    <w:rsid w:val="00EA479D"/>
    <w:rsid w:val="00EA48C3"/>
    <w:rsid w:val="00EA4B31"/>
    <w:rsid w:val="00EA4F2D"/>
    <w:rsid w:val="00EA4F40"/>
    <w:rsid w:val="00EA5251"/>
    <w:rsid w:val="00EA583A"/>
    <w:rsid w:val="00EA5CA8"/>
    <w:rsid w:val="00EA5DC3"/>
    <w:rsid w:val="00EA5DFC"/>
    <w:rsid w:val="00EA63E6"/>
    <w:rsid w:val="00EA6CD5"/>
    <w:rsid w:val="00EA6EF2"/>
    <w:rsid w:val="00EA77C9"/>
    <w:rsid w:val="00EA784C"/>
    <w:rsid w:val="00EA7C04"/>
    <w:rsid w:val="00EA7FE6"/>
    <w:rsid w:val="00EB00C0"/>
    <w:rsid w:val="00EB0245"/>
    <w:rsid w:val="00EB0B40"/>
    <w:rsid w:val="00EB0C34"/>
    <w:rsid w:val="00EB21EB"/>
    <w:rsid w:val="00EB2227"/>
    <w:rsid w:val="00EB2489"/>
    <w:rsid w:val="00EB2E66"/>
    <w:rsid w:val="00EB2EE3"/>
    <w:rsid w:val="00EB3000"/>
    <w:rsid w:val="00EB3563"/>
    <w:rsid w:val="00EB39E7"/>
    <w:rsid w:val="00EB4021"/>
    <w:rsid w:val="00EB47F9"/>
    <w:rsid w:val="00EB499E"/>
    <w:rsid w:val="00EB4B07"/>
    <w:rsid w:val="00EB4C3F"/>
    <w:rsid w:val="00EB5348"/>
    <w:rsid w:val="00EB583C"/>
    <w:rsid w:val="00EB5BD7"/>
    <w:rsid w:val="00EB5E7A"/>
    <w:rsid w:val="00EB5E9A"/>
    <w:rsid w:val="00EB5F27"/>
    <w:rsid w:val="00EB5F44"/>
    <w:rsid w:val="00EB60A8"/>
    <w:rsid w:val="00EB621D"/>
    <w:rsid w:val="00EB6449"/>
    <w:rsid w:val="00EB64BA"/>
    <w:rsid w:val="00EB6909"/>
    <w:rsid w:val="00EB69B2"/>
    <w:rsid w:val="00EB6EE6"/>
    <w:rsid w:val="00EB735E"/>
    <w:rsid w:val="00EB7562"/>
    <w:rsid w:val="00EC0126"/>
    <w:rsid w:val="00EC0148"/>
    <w:rsid w:val="00EC07DA"/>
    <w:rsid w:val="00EC0D45"/>
    <w:rsid w:val="00EC0E2D"/>
    <w:rsid w:val="00EC19B9"/>
    <w:rsid w:val="00EC1BA0"/>
    <w:rsid w:val="00EC1E35"/>
    <w:rsid w:val="00EC22EC"/>
    <w:rsid w:val="00EC2680"/>
    <w:rsid w:val="00EC2CCD"/>
    <w:rsid w:val="00EC3764"/>
    <w:rsid w:val="00EC3E03"/>
    <w:rsid w:val="00EC3E97"/>
    <w:rsid w:val="00EC4BA6"/>
    <w:rsid w:val="00EC4C76"/>
    <w:rsid w:val="00EC50BA"/>
    <w:rsid w:val="00EC518A"/>
    <w:rsid w:val="00EC52C0"/>
    <w:rsid w:val="00EC5758"/>
    <w:rsid w:val="00EC647F"/>
    <w:rsid w:val="00EC69CE"/>
    <w:rsid w:val="00EC739D"/>
    <w:rsid w:val="00EC7C30"/>
    <w:rsid w:val="00ED00AF"/>
    <w:rsid w:val="00ED0264"/>
    <w:rsid w:val="00ED07CD"/>
    <w:rsid w:val="00ED09B1"/>
    <w:rsid w:val="00ED0C01"/>
    <w:rsid w:val="00ED0E37"/>
    <w:rsid w:val="00ED124C"/>
    <w:rsid w:val="00ED1481"/>
    <w:rsid w:val="00ED19F0"/>
    <w:rsid w:val="00ED2039"/>
    <w:rsid w:val="00ED2B19"/>
    <w:rsid w:val="00ED2B49"/>
    <w:rsid w:val="00ED2B77"/>
    <w:rsid w:val="00ED3AC5"/>
    <w:rsid w:val="00ED496E"/>
    <w:rsid w:val="00ED4D22"/>
    <w:rsid w:val="00ED5292"/>
    <w:rsid w:val="00ED5782"/>
    <w:rsid w:val="00ED5D65"/>
    <w:rsid w:val="00ED6661"/>
    <w:rsid w:val="00ED6994"/>
    <w:rsid w:val="00ED720D"/>
    <w:rsid w:val="00ED7224"/>
    <w:rsid w:val="00ED7809"/>
    <w:rsid w:val="00ED79AD"/>
    <w:rsid w:val="00ED7B28"/>
    <w:rsid w:val="00EE009F"/>
    <w:rsid w:val="00EE0130"/>
    <w:rsid w:val="00EE018E"/>
    <w:rsid w:val="00EE08C6"/>
    <w:rsid w:val="00EE0BD6"/>
    <w:rsid w:val="00EE1163"/>
    <w:rsid w:val="00EE18BE"/>
    <w:rsid w:val="00EE2673"/>
    <w:rsid w:val="00EE2AA5"/>
    <w:rsid w:val="00EE2C4B"/>
    <w:rsid w:val="00EE3017"/>
    <w:rsid w:val="00EE3414"/>
    <w:rsid w:val="00EE3BFC"/>
    <w:rsid w:val="00EE413E"/>
    <w:rsid w:val="00EE43D8"/>
    <w:rsid w:val="00EE4856"/>
    <w:rsid w:val="00EE4D69"/>
    <w:rsid w:val="00EE57B1"/>
    <w:rsid w:val="00EE57C8"/>
    <w:rsid w:val="00EE5ADE"/>
    <w:rsid w:val="00EE6042"/>
    <w:rsid w:val="00EE6147"/>
    <w:rsid w:val="00EE6564"/>
    <w:rsid w:val="00EE65EC"/>
    <w:rsid w:val="00EE6832"/>
    <w:rsid w:val="00EE7AC5"/>
    <w:rsid w:val="00EF0E39"/>
    <w:rsid w:val="00EF21A9"/>
    <w:rsid w:val="00EF263B"/>
    <w:rsid w:val="00EF2B44"/>
    <w:rsid w:val="00EF2CEC"/>
    <w:rsid w:val="00EF2DFD"/>
    <w:rsid w:val="00EF3183"/>
    <w:rsid w:val="00EF363B"/>
    <w:rsid w:val="00EF3826"/>
    <w:rsid w:val="00EF3FFE"/>
    <w:rsid w:val="00EF4086"/>
    <w:rsid w:val="00EF44C2"/>
    <w:rsid w:val="00EF58BF"/>
    <w:rsid w:val="00EF5A3F"/>
    <w:rsid w:val="00EF5DB4"/>
    <w:rsid w:val="00EF6764"/>
    <w:rsid w:val="00EF69B3"/>
    <w:rsid w:val="00EF7AB1"/>
    <w:rsid w:val="00F00331"/>
    <w:rsid w:val="00F00582"/>
    <w:rsid w:val="00F00D5F"/>
    <w:rsid w:val="00F00DF5"/>
    <w:rsid w:val="00F011C6"/>
    <w:rsid w:val="00F011D6"/>
    <w:rsid w:val="00F011E9"/>
    <w:rsid w:val="00F01404"/>
    <w:rsid w:val="00F0159E"/>
    <w:rsid w:val="00F0174A"/>
    <w:rsid w:val="00F01923"/>
    <w:rsid w:val="00F019E1"/>
    <w:rsid w:val="00F01E67"/>
    <w:rsid w:val="00F02282"/>
    <w:rsid w:val="00F02E5F"/>
    <w:rsid w:val="00F02F69"/>
    <w:rsid w:val="00F0326C"/>
    <w:rsid w:val="00F03611"/>
    <w:rsid w:val="00F04105"/>
    <w:rsid w:val="00F041B7"/>
    <w:rsid w:val="00F04247"/>
    <w:rsid w:val="00F04C70"/>
    <w:rsid w:val="00F04D9E"/>
    <w:rsid w:val="00F04EA9"/>
    <w:rsid w:val="00F05510"/>
    <w:rsid w:val="00F05B4C"/>
    <w:rsid w:val="00F05D4E"/>
    <w:rsid w:val="00F05E98"/>
    <w:rsid w:val="00F063C2"/>
    <w:rsid w:val="00F063EB"/>
    <w:rsid w:val="00F06654"/>
    <w:rsid w:val="00F0669F"/>
    <w:rsid w:val="00F07625"/>
    <w:rsid w:val="00F07781"/>
    <w:rsid w:val="00F078D7"/>
    <w:rsid w:val="00F07AA8"/>
    <w:rsid w:val="00F07E4D"/>
    <w:rsid w:val="00F07FCE"/>
    <w:rsid w:val="00F107C7"/>
    <w:rsid w:val="00F1095A"/>
    <w:rsid w:val="00F10DE5"/>
    <w:rsid w:val="00F113EB"/>
    <w:rsid w:val="00F1197E"/>
    <w:rsid w:val="00F11D06"/>
    <w:rsid w:val="00F127D2"/>
    <w:rsid w:val="00F131A9"/>
    <w:rsid w:val="00F1340C"/>
    <w:rsid w:val="00F13A9B"/>
    <w:rsid w:val="00F13E66"/>
    <w:rsid w:val="00F14CA0"/>
    <w:rsid w:val="00F15323"/>
    <w:rsid w:val="00F15658"/>
    <w:rsid w:val="00F17331"/>
    <w:rsid w:val="00F17711"/>
    <w:rsid w:val="00F17E47"/>
    <w:rsid w:val="00F20332"/>
    <w:rsid w:val="00F203FA"/>
    <w:rsid w:val="00F2083C"/>
    <w:rsid w:val="00F20B12"/>
    <w:rsid w:val="00F2108B"/>
    <w:rsid w:val="00F21109"/>
    <w:rsid w:val="00F21749"/>
    <w:rsid w:val="00F21752"/>
    <w:rsid w:val="00F2199F"/>
    <w:rsid w:val="00F219A5"/>
    <w:rsid w:val="00F21B9A"/>
    <w:rsid w:val="00F21C06"/>
    <w:rsid w:val="00F21C70"/>
    <w:rsid w:val="00F2226A"/>
    <w:rsid w:val="00F23A59"/>
    <w:rsid w:val="00F249B7"/>
    <w:rsid w:val="00F25841"/>
    <w:rsid w:val="00F25A89"/>
    <w:rsid w:val="00F25E0B"/>
    <w:rsid w:val="00F2631D"/>
    <w:rsid w:val="00F26408"/>
    <w:rsid w:val="00F26781"/>
    <w:rsid w:val="00F27478"/>
    <w:rsid w:val="00F27930"/>
    <w:rsid w:val="00F27D81"/>
    <w:rsid w:val="00F30290"/>
    <w:rsid w:val="00F302F2"/>
    <w:rsid w:val="00F303A1"/>
    <w:rsid w:val="00F306CC"/>
    <w:rsid w:val="00F308E4"/>
    <w:rsid w:val="00F30ACB"/>
    <w:rsid w:val="00F30E4E"/>
    <w:rsid w:val="00F31A92"/>
    <w:rsid w:val="00F31DC8"/>
    <w:rsid w:val="00F32693"/>
    <w:rsid w:val="00F32960"/>
    <w:rsid w:val="00F3314A"/>
    <w:rsid w:val="00F333BB"/>
    <w:rsid w:val="00F33F85"/>
    <w:rsid w:val="00F343F8"/>
    <w:rsid w:val="00F345E5"/>
    <w:rsid w:val="00F346BB"/>
    <w:rsid w:val="00F3539B"/>
    <w:rsid w:val="00F35D68"/>
    <w:rsid w:val="00F362BD"/>
    <w:rsid w:val="00F36DCB"/>
    <w:rsid w:val="00F370BC"/>
    <w:rsid w:val="00F372D8"/>
    <w:rsid w:val="00F3763A"/>
    <w:rsid w:val="00F40718"/>
    <w:rsid w:val="00F41028"/>
    <w:rsid w:val="00F413D3"/>
    <w:rsid w:val="00F420F0"/>
    <w:rsid w:val="00F4225E"/>
    <w:rsid w:val="00F42318"/>
    <w:rsid w:val="00F42596"/>
    <w:rsid w:val="00F42938"/>
    <w:rsid w:val="00F42B0E"/>
    <w:rsid w:val="00F42DEA"/>
    <w:rsid w:val="00F42E61"/>
    <w:rsid w:val="00F42FD6"/>
    <w:rsid w:val="00F438F8"/>
    <w:rsid w:val="00F4399C"/>
    <w:rsid w:val="00F43C06"/>
    <w:rsid w:val="00F44047"/>
    <w:rsid w:val="00F44526"/>
    <w:rsid w:val="00F44CB9"/>
    <w:rsid w:val="00F44E29"/>
    <w:rsid w:val="00F45568"/>
    <w:rsid w:val="00F45A27"/>
    <w:rsid w:val="00F468A6"/>
    <w:rsid w:val="00F46B93"/>
    <w:rsid w:val="00F46C70"/>
    <w:rsid w:val="00F46F80"/>
    <w:rsid w:val="00F46FE4"/>
    <w:rsid w:val="00F47B4C"/>
    <w:rsid w:val="00F504FB"/>
    <w:rsid w:val="00F509BA"/>
    <w:rsid w:val="00F50EAD"/>
    <w:rsid w:val="00F512D7"/>
    <w:rsid w:val="00F5158B"/>
    <w:rsid w:val="00F521EB"/>
    <w:rsid w:val="00F52B51"/>
    <w:rsid w:val="00F52E00"/>
    <w:rsid w:val="00F532C7"/>
    <w:rsid w:val="00F53691"/>
    <w:rsid w:val="00F536A3"/>
    <w:rsid w:val="00F53717"/>
    <w:rsid w:val="00F53AA0"/>
    <w:rsid w:val="00F54377"/>
    <w:rsid w:val="00F543CA"/>
    <w:rsid w:val="00F5459B"/>
    <w:rsid w:val="00F54C85"/>
    <w:rsid w:val="00F551EC"/>
    <w:rsid w:val="00F5521A"/>
    <w:rsid w:val="00F559CE"/>
    <w:rsid w:val="00F55A7E"/>
    <w:rsid w:val="00F55C2B"/>
    <w:rsid w:val="00F56285"/>
    <w:rsid w:val="00F565E2"/>
    <w:rsid w:val="00F56684"/>
    <w:rsid w:val="00F567A4"/>
    <w:rsid w:val="00F567D0"/>
    <w:rsid w:val="00F56880"/>
    <w:rsid w:val="00F5691B"/>
    <w:rsid w:val="00F569C0"/>
    <w:rsid w:val="00F56C8D"/>
    <w:rsid w:val="00F56D42"/>
    <w:rsid w:val="00F57047"/>
    <w:rsid w:val="00F60A1A"/>
    <w:rsid w:val="00F60A2E"/>
    <w:rsid w:val="00F60F06"/>
    <w:rsid w:val="00F6153C"/>
    <w:rsid w:val="00F6289D"/>
    <w:rsid w:val="00F62E5B"/>
    <w:rsid w:val="00F6360E"/>
    <w:rsid w:val="00F63F42"/>
    <w:rsid w:val="00F64042"/>
    <w:rsid w:val="00F64059"/>
    <w:rsid w:val="00F64C2F"/>
    <w:rsid w:val="00F64CAB"/>
    <w:rsid w:val="00F65463"/>
    <w:rsid w:val="00F65607"/>
    <w:rsid w:val="00F6599E"/>
    <w:rsid w:val="00F662EB"/>
    <w:rsid w:val="00F665E9"/>
    <w:rsid w:val="00F66BA5"/>
    <w:rsid w:val="00F66CB8"/>
    <w:rsid w:val="00F66E4B"/>
    <w:rsid w:val="00F676D3"/>
    <w:rsid w:val="00F67AAB"/>
    <w:rsid w:val="00F67BFB"/>
    <w:rsid w:val="00F70D96"/>
    <w:rsid w:val="00F713C4"/>
    <w:rsid w:val="00F71C1F"/>
    <w:rsid w:val="00F71FCA"/>
    <w:rsid w:val="00F72068"/>
    <w:rsid w:val="00F72151"/>
    <w:rsid w:val="00F72697"/>
    <w:rsid w:val="00F73236"/>
    <w:rsid w:val="00F73B66"/>
    <w:rsid w:val="00F73BF7"/>
    <w:rsid w:val="00F73FC6"/>
    <w:rsid w:val="00F747D1"/>
    <w:rsid w:val="00F74BFB"/>
    <w:rsid w:val="00F754C3"/>
    <w:rsid w:val="00F7614B"/>
    <w:rsid w:val="00F7627D"/>
    <w:rsid w:val="00F764D2"/>
    <w:rsid w:val="00F767AB"/>
    <w:rsid w:val="00F767AD"/>
    <w:rsid w:val="00F76800"/>
    <w:rsid w:val="00F7684D"/>
    <w:rsid w:val="00F770C2"/>
    <w:rsid w:val="00F77726"/>
    <w:rsid w:val="00F8103D"/>
    <w:rsid w:val="00F81E24"/>
    <w:rsid w:val="00F821B0"/>
    <w:rsid w:val="00F823BE"/>
    <w:rsid w:val="00F828A9"/>
    <w:rsid w:val="00F82FDE"/>
    <w:rsid w:val="00F83435"/>
    <w:rsid w:val="00F84371"/>
    <w:rsid w:val="00F8446B"/>
    <w:rsid w:val="00F848E1"/>
    <w:rsid w:val="00F84D04"/>
    <w:rsid w:val="00F8507D"/>
    <w:rsid w:val="00F8650C"/>
    <w:rsid w:val="00F86872"/>
    <w:rsid w:val="00F86C54"/>
    <w:rsid w:val="00F86FC7"/>
    <w:rsid w:val="00F870F2"/>
    <w:rsid w:val="00F871A3"/>
    <w:rsid w:val="00F871D5"/>
    <w:rsid w:val="00F87398"/>
    <w:rsid w:val="00F87ECC"/>
    <w:rsid w:val="00F9006C"/>
    <w:rsid w:val="00F9039A"/>
    <w:rsid w:val="00F908FF"/>
    <w:rsid w:val="00F90BBB"/>
    <w:rsid w:val="00F912E4"/>
    <w:rsid w:val="00F914AD"/>
    <w:rsid w:val="00F916AC"/>
    <w:rsid w:val="00F91AA9"/>
    <w:rsid w:val="00F91D55"/>
    <w:rsid w:val="00F91DEB"/>
    <w:rsid w:val="00F92123"/>
    <w:rsid w:val="00F925EE"/>
    <w:rsid w:val="00F92C58"/>
    <w:rsid w:val="00F92D7D"/>
    <w:rsid w:val="00F92F58"/>
    <w:rsid w:val="00F930A6"/>
    <w:rsid w:val="00F9318A"/>
    <w:rsid w:val="00F93B20"/>
    <w:rsid w:val="00F93BC2"/>
    <w:rsid w:val="00F93CA4"/>
    <w:rsid w:val="00F93CAA"/>
    <w:rsid w:val="00F93CAB"/>
    <w:rsid w:val="00F93FE8"/>
    <w:rsid w:val="00F9412F"/>
    <w:rsid w:val="00F949C9"/>
    <w:rsid w:val="00F94B59"/>
    <w:rsid w:val="00F9506E"/>
    <w:rsid w:val="00F95332"/>
    <w:rsid w:val="00F95987"/>
    <w:rsid w:val="00F95B13"/>
    <w:rsid w:val="00F95C86"/>
    <w:rsid w:val="00F960AC"/>
    <w:rsid w:val="00F960DB"/>
    <w:rsid w:val="00F966C4"/>
    <w:rsid w:val="00F96B97"/>
    <w:rsid w:val="00F97301"/>
    <w:rsid w:val="00F973FB"/>
    <w:rsid w:val="00F97457"/>
    <w:rsid w:val="00F974F0"/>
    <w:rsid w:val="00F975D0"/>
    <w:rsid w:val="00F97782"/>
    <w:rsid w:val="00F97A71"/>
    <w:rsid w:val="00FA061D"/>
    <w:rsid w:val="00FA07B8"/>
    <w:rsid w:val="00FA0C03"/>
    <w:rsid w:val="00FA1AF3"/>
    <w:rsid w:val="00FA1EA6"/>
    <w:rsid w:val="00FA216F"/>
    <w:rsid w:val="00FA220B"/>
    <w:rsid w:val="00FA259F"/>
    <w:rsid w:val="00FA2B57"/>
    <w:rsid w:val="00FA2EFB"/>
    <w:rsid w:val="00FA3C05"/>
    <w:rsid w:val="00FA3C5A"/>
    <w:rsid w:val="00FA42EF"/>
    <w:rsid w:val="00FA4766"/>
    <w:rsid w:val="00FA4FC6"/>
    <w:rsid w:val="00FA544F"/>
    <w:rsid w:val="00FA5652"/>
    <w:rsid w:val="00FA614B"/>
    <w:rsid w:val="00FA61B8"/>
    <w:rsid w:val="00FA61C0"/>
    <w:rsid w:val="00FA6A1D"/>
    <w:rsid w:val="00FA6DB3"/>
    <w:rsid w:val="00FA6F17"/>
    <w:rsid w:val="00FA71D8"/>
    <w:rsid w:val="00FA767B"/>
    <w:rsid w:val="00FB0AAD"/>
    <w:rsid w:val="00FB14E6"/>
    <w:rsid w:val="00FB1DA2"/>
    <w:rsid w:val="00FB1E19"/>
    <w:rsid w:val="00FB234C"/>
    <w:rsid w:val="00FB2398"/>
    <w:rsid w:val="00FB23D4"/>
    <w:rsid w:val="00FB2533"/>
    <w:rsid w:val="00FB2A0A"/>
    <w:rsid w:val="00FB301E"/>
    <w:rsid w:val="00FB30BD"/>
    <w:rsid w:val="00FB44B1"/>
    <w:rsid w:val="00FB4528"/>
    <w:rsid w:val="00FB45A6"/>
    <w:rsid w:val="00FB49C0"/>
    <w:rsid w:val="00FB4FFC"/>
    <w:rsid w:val="00FB51CF"/>
    <w:rsid w:val="00FB5837"/>
    <w:rsid w:val="00FB5A6F"/>
    <w:rsid w:val="00FB5B22"/>
    <w:rsid w:val="00FB5E50"/>
    <w:rsid w:val="00FB5EC9"/>
    <w:rsid w:val="00FB5F1F"/>
    <w:rsid w:val="00FB6157"/>
    <w:rsid w:val="00FB617E"/>
    <w:rsid w:val="00FB69AE"/>
    <w:rsid w:val="00FB7472"/>
    <w:rsid w:val="00FB76E0"/>
    <w:rsid w:val="00FB7974"/>
    <w:rsid w:val="00FC0035"/>
    <w:rsid w:val="00FC03A8"/>
    <w:rsid w:val="00FC0985"/>
    <w:rsid w:val="00FC0AFD"/>
    <w:rsid w:val="00FC0D30"/>
    <w:rsid w:val="00FC0EE5"/>
    <w:rsid w:val="00FC2028"/>
    <w:rsid w:val="00FC244C"/>
    <w:rsid w:val="00FC2838"/>
    <w:rsid w:val="00FC2D64"/>
    <w:rsid w:val="00FC2FBD"/>
    <w:rsid w:val="00FC33DD"/>
    <w:rsid w:val="00FC357E"/>
    <w:rsid w:val="00FC3587"/>
    <w:rsid w:val="00FC35A6"/>
    <w:rsid w:val="00FC3D08"/>
    <w:rsid w:val="00FC42DF"/>
    <w:rsid w:val="00FC44C6"/>
    <w:rsid w:val="00FC4A61"/>
    <w:rsid w:val="00FC4C07"/>
    <w:rsid w:val="00FC4DF4"/>
    <w:rsid w:val="00FC51D7"/>
    <w:rsid w:val="00FC526F"/>
    <w:rsid w:val="00FC529B"/>
    <w:rsid w:val="00FC550D"/>
    <w:rsid w:val="00FC5741"/>
    <w:rsid w:val="00FC5DEC"/>
    <w:rsid w:val="00FC5E60"/>
    <w:rsid w:val="00FC5F04"/>
    <w:rsid w:val="00FC607C"/>
    <w:rsid w:val="00FC67B9"/>
    <w:rsid w:val="00FC7988"/>
    <w:rsid w:val="00FD0260"/>
    <w:rsid w:val="00FD0EC1"/>
    <w:rsid w:val="00FD0ED5"/>
    <w:rsid w:val="00FD1132"/>
    <w:rsid w:val="00FD116E"/>
    <w:rsid w:val="00FD120E"/>
    <w:rsid w:val="00FD198C"/>
    <w:rsid w:val="00FD1C04"/>
    <w:rsid w:val="00FD2A40"/>
    <w:rsid w:val="00FD2CA7"/>
    <w:rsid w:val="00FD2D1A"/>
    <w:rsid w:val="00FD3F44"/>
    <w:rsid w:val="00FD4410"/>
    <w:rsid w:val="00FD4539"/>
    <w:rsid w:val="00FD4A56"/>
    <w:rsid w:val="00FD4BB9"/>
    <w:rsid w:val="00FD5093"/>
    <w:rsid w:val="00FD5DE1"/>
    <w:rsid w:val="00FD5F8B"/>
    <w:rsid w:val="00FD6273"/>
    <w:rsid w:val="00FD63A9"/>
    <w:rsid w:val="00FD690D"/>
    <w:rsid w:val="00FD6ADD"/>
    <w:rsid w:val="00FD6B45"/>
    <w:rsid w:val="00FD6BB6"/>
    <w:rsid w:val="00FD7326"/>
    <w:rsid w:val="00FD7C71"/>
    <w:rsid w:val="00FD7F9E"/>
    <w:rsid w:val="00FE0716"/>
    <w:rsid w:val="00FE0863"/>
    <w:rsid w:val="00FE131F"/>
    <w:rsid w:val="00FE158D"/>
    <w:rsid w:val="00FE164A"/>
    <w:rsid w:val="00FE1AFF"/>
    <w:rsid w:val="00FE1CF9"/>
    <w:rsid w:val="00FE1E55"/>
    <w:rsid w:val="00FE24C1"/>
    <w:rsid w:val="00FE2A52"/>
    <w:rsid w:val="00FE2B95"/>
    <w:rsid w:val="00FE2CB1"/>
    <w:rsid w:val="00FE3049"/>
    <w:rsid w:val="00FE304F"/>
    <w:rsid w:val="00FE353B"/>
    <w:rsid w:val="00FE3660"/>
    <w:rsid w:val="00FE4145"/>
    <w:rsid w:val="00FE4429"/>
    <w:rsid w:val="00FE485C"/>
    <w:rsid w:val="00FE4C10"/>
    <w:rsid w:val="00FE5B92"/>
    <w:rsid w:val="00FE5CD1"/>
    <w:rsid w:val="00FE5FA2"/>
    <w:rsid w:val="00FE6248"/>
    <w:rsid w:val="00FE64B4"/>
    <w:rsid w:val="00FE6B9E"/>
    <w:rsid w:val="00FE714C"/>
    <w:rsid w:val="00FE7391"/>
    <w:rsid w:val="00FE759A"/>
    <w:rsid w:val="00FE79A2"/>
    <w:rsid w:val="00FE7D8E"/>
    <w:rsid w:val="00FE7F01"/>
    <w:rsid w:val="00FE7F92"/>
    <w:rsid w:val="00FF02D4"/>
    <w:rsid w:val="00FF04A4"/>
    <w:rsid w:val="00FF07DF"/>
    <w:rsid w:val="00FF1291"/>
    <w:rsid w:val="00FF1AE5"/>
    <w:rsid w:val="00FF26B1"/>
    <w:rsid w:val="00FF27D3"/>
    <w:rsid w:val="00FF29EC"/>
    <w:rsid w:val="00FF3328"/>
    <w:rsid w:val="00FF38AF"/>
    <w:rsid w:val="00FF3BFE"/>
    <w:rsid w:val="00FF40EC"/>
    <w:rsid w:val="00FF4281"/>
    <w:rsid w:val="00FF4337"/>
    <w:rsid w:val="00FF4A66"/>
    <w:rsid w:val="00FF4AE3"/>
    <w:rsid w:val="00FF519F"/>
    <w:rsid w:val="00FF5F86"/>
    <w:rsid w:val="00FF756C"/>
    <w:rsid w:val="00FF7B0D"/>
    <w:rsid w:val="00FF7EA3"/>
    <w:rsid w:val="00FF7E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156CF2"/>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aliases w:val="Normal_indrag,Normal Indrag"/>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aliases w:val="Normal_indrag Char,Normal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semiHidden/>
    <w:unhideWhenUsed/>
    <w:rsid w:val="00D035BF"/>
    <w:rPr>
      <w:vertAlign w:val="superscript"/>
    </w:rPr>
  </w:style>
  <w:style w:type="table" w:customStyle="1" w:styleId="Tabellrutnt1">
    <w:name w:val="Tabellrutnät1"/>
    <w:basedOn w:val="Normaltabell"/>
    <w:next w:val="Tabellrutnt"/>
    <w:rsid w:val="00D0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24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rsid w:val="009F5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rsid w:val="00FD5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rsid w:val="00C5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rsid w:val="00C5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rsid w:val="0059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
    <w:name w:val="Tabellrutnät13"/>
    <w:basedOn w:val="Normaltabell"/>
    <w:next w:val="Tabellrutnt"/>
    <w:rsid w:val="00DA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link w:val="TabelltextChar"/>
    <w:rsid w:val="000405F0"/>
    <w:pPr>
      <w:tabs>
        <w:tab w:val="left" w:pos="567"/>
        <w:tab w:val="left" w:pos="850"/>
        <w:tab w:val="left" w:pos="1701"/>
        <w:tab w:val="left" w:pos="2551"/>
        <w:tab w:val="left" w:pos="3402"/>
        <w:tab w:val="center" w:pos="4252"/>
        <w:tab w:val="left" w:pos="5102"/>
        <w:tab w:val="right" w:pos="5839"/>
        <w:tab w:val="right" w:pos="7370"/>
      </w:tabs>
      <w:spacing w:after="0" w:line="200" w:lineRule="exact"/>
      <w:jc w:val="both"/>
    </w:pPr>
    <w:rPr>
      <w:rFonts w:ascii="Times New Roman" w:eastAsia="Times New Roman" w:hAnsi="Times New Roman" w:cs="Times New Roman"/>
      <w:sz w:val="17"/>
      <w:szCs w:val="24"/>
      <w:lang w:eastAsia="sv-SE"/>
    </w:rPr>
  </w:style>
  <w:style w:type="paragraph" w:customStyle="1" w:styleId="Tabelltextsiffror">
    <w:name w:val="Tabelltext siffror"/>
    <w:basedOn w:val="Tabelltext"/>
    <w:rsid w:val="000405F0"/>
    <w:pPr>
      <w:jc w:val="right"/>
    </w:pPr>
  </w:style>
  <w:style w:type="character" w:customStyle="1" w:styleId="TabelltextChar">
    <w:name w:val="Tabelltext Char"/>
    <w:basedOn w:val="Standardstycketeckensnitt"/>
    <w:link w:val="Tabelltext"/>
    <w:rsid w:val="000405F0"/>
    <w:rPr>
      <w:rFonts w:ascii="Times New Roman" w:eastAsia="Times New Roman" w:hAnsi="Times New Roman" w:cs="Times New Roman"/>
      <w:sz w:val="17"/>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t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eu-upplysningen.se"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80CAD4B0DE4CFD85D5C13B284997B8"/>
        <w:category>
          <w:name w:val="Allmänt"/>
          <w:gallery w:val="placeholder"/>
        </w:category>
        <w:types>
          <w:type w:val="bbPlcHdr"/>
        </w:types>
        <w:behaviors>
          <w:behavior w:val="content"/>
        </w:behaviors>
        <w:guid w:val="{6765497C-2B41-4966-9F29-963C9F9B2143}"/>
      </w:docPartPr>
      <w:docPartBody>
        <w:p w:rsidR="00833266" w:rsidRDefault="00DE0285">
          <w:pPr>
            <w:pStyle w:val="5E80CAD4B0DE4CFD85D5C13B284997B8"/>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85"/>
    <w:rsid w:val="00012C49"/>
    <w:rsid w:val="00034B50"/>
    <w:rsid w:val="000411AA"/>
    <w:rsid w:val="00041D9C"/>
    <w:rsid w:val="000433E6"/>
    <w:rsid w:val="00044CB3"/>
    <w:rsid w:val="00055BC0"/>
    <w:rsid w:val="00072471"/>
    <w:rsid w:val="00073A0B"/>
    <w:rsid w:val="00085764"/>
    <w:rsid w:val="000913C2"/>
    <w:rsid w:val="000A0A60"/>
    <w:rsid w:val="000A2721"/>
    <w:rsid w:val="000C49B9"/>
    <w:rsid w:val="000C6C05"/>
    <w:rsid w:val="000E62F1"/>
    <w:rsid w:val="000F012A"/>
    <w:rsid w:val="000F189D"/>
    <w:rsid w:val="000F5C38"/>
    <w:rsid w:val="00107399"/>
    <w:rsid w:val="0012798F"/>
    <w:rsid w:val="00146049"/>
    <w:rsid w:val="00161DA6"/>
    <w:rsid w:val="00184E7B"/>
    <w:rsid w:val="00192034"/>
    <w:rsid w:val="00192C9E"/>
    <w:rsid w:val="00194DD7"/>
    <w:rsid w:val="001965E5"/>
    <w:rsid w:val="00197F84"/>
    <w:rsid w:val="001B1EBF"/>
    <w:rsid w:val="00213761"/>
    <w:rsid w:val="00224EEE"/>
    <w:rsid w:val="0024015F"/>
    <w:rsid w:val="00245461"/>
    <w:rsid w:val="002456D5"/>
    <w:rsid w:val="00253442"/>
    <w:rsid w:val="002608F6"/>
    <w:rsid w:val="00270808"/>
    <w:rsid w:val="00291D40"/>
    <w:rsid w:val="00294DBA"/>
    <w:rsid w:val="002D669F"/>
    <w:rsid w:val="002F75F4"/>
    <w:rsid w:val="0033146E"/>
    <w:rsid w:val="00343AD9"/>
    <w:rsid w:val="00343F1F"/>
    <w:rsid w:val="00353CE1"/>
    <w:rsid w:val="00371FBE"/>
    <w:rsid w:val="00373897"/>
    <w:rsid w:val="00383EEE"/>
    <w:rsid w:val="00385E03"/>
    <w:rsid w:val="003C012A"/>
    <w:rsid w:val="003C511A"/>
    <w:rsid w:val="003D7B2E"/>
    <w:rsid w:val="003E523B"/>
    <w:rsid w:val="003F4603"/>
    <w:rsid w:val="00403A55"/>
    <w:rsid w:val="00421755"/>
    <w:rsid w:val="00435425"/>
    <w:rsid w:val="004630DE"/>
    <w:rsid w:val="0046569D"/>
    <w:rsid w:val="00487254"/>
    <w:rsid w:val="004A618C"/>
    <w:rsid w:val="004A62A8"/>
    <w:rsid w:val="004B3601"/>
    <w:rsid w:val="004C03FC"/>
    <w:rsid w:val="004D1019"/>
    <w:rsid w:val="004E5588"/>
    <w:rsid w:val="004F103A"/>
    <w:rsid w:val="0050618E"/>
    <w:rsid w:val="00524D59"/>
    <w:rsid w:val="00527FD1"/>
    <w:rsid w:val="00530BBF"/>
    <w:rsid w:val="00540A8E"/>
    <w:rsid w:val="00550C8C"/>
    <w:rsid w:val="00561ECB"/>
    <w:rsid w:val="00566972"/>
    <w:rsid w:val="005771FD"/>
    <w:rsid w:val="005854CD"/>
    <w:rsid w:val="00591E03"/>
    <w:rsid w:val="005B57CE"/>
    <w:rsid w:val="005B7B6A"/>
    <w:rsid w:val="005F5F13"/>
    <w:rsid w:val="00606BC1"/>
    <w:rsid w:val="006121ED"/>
    <w:rsid w:val="00612D2F"/>
    <w:rsid w:val="006271EA"/>
    <w:rsid w:val="006326C4"/>
    <w:rsid w:val="0064351D"/>
    <w:rsid w:val="00644888"/>
    <w:rsid w:val="0065770F"/>
    <w:rsid w:val="00683FF6"/>
    <w:rsid w:val="00691AAB"/>
    <w:rsid w:val="006A49BD"/>
    <w:rsid w:val="006C18EF"/>
    <w:rsid w:val="006D0183"/>
    <w:rsid w:val="006F3C86"/>
    <w:rsid w:val="007134CF"/>
    <w:rsid w:val="007209EC"/>
    <w:rsid w:val="00726819"/>
    <w:rsid w:val="00732D04"/>
    <w:rsid w:val="00742C1A"/>
    <w:rsid w:val="00761F0D"/>
    <w:rsid w:val="00762249"/>
    <w:rsid w:val="00762891"/>
    <w:rsid w:val="007663C7"/>
    <w:rsid w:val="007670B6"/>
    <w:rsid w:val="00780B75"/>
    <w:rsid w:val="00784635"/>
    <w:rsid w:val="007879F8"/>
    <w:rsid w:val="007A346C"/>
    <w:rsid w:val="007B5E3A"/>
    <w:rsid w:val="007B6042"/>
    <w:rsid w:val="007C3006"/>
    <w:rsid w:val="007C6856"/>
    <w:rsid w:val="007E753D"/>
    <w:rsid w:val="007F1B9F"/>
    <w:rsid w:val="00801631"/>
    <w:rsid w:val="00805071"/>
    <w:rsid w:val="0081383C"/>
    <w:rsid w:val="008308BC"/>
    <w:rsid w:val="00833266"/>
    <w:rsid w:val="00836BB9"/>
    <w:rsid w:val="00844586"/>
    <w:rsid w:val="00845255"/>
    <w:rsid w:val="00866965"/>
    <w:rsid w:val="00866DD4"/>
    <w:rsid w:val="00874D25"/>
    <w:rsid w:val="00892C34"/>
    <w:rsid w:val="008A1DBF"/>
    <w:rsid w:val="008A342D"/>
    <w:rsid w:val="008A45E9"/>
    <w:rsid w:val="008D0C44"/>
    <w:rsid w:val="008D39EC"/>
    <w:rsid w:val="008E07AE"/>
    <w:rsid w:val="008E7914"/>
    <w:rsid w:val="00911CFF"/>
    <w:rsid w:val="009173F6"/>
    <w:rsid w:val="00927FEF"/>
    <w:rsid w:val="009332F7"/>
    <w:rsid w:val="00936AE6"/>
    <w:rsid w:val="00941FCE"/>
    <w:rsid w:val="00980D9C"/>
    <w:rsid w:val="00980EDE"/>
    <w:rsid w:val="00985A43"/>
    <w:rsid w:val="009865B0"/>
    <w:rsid w:val="0099048B"/>
    <w:rsid w:val="009C482F"/>
    <w:rsid w:val="009D464D"/>
    <w:rsid w:val="009E6B98"/>
    <w:rsid w:val="00A06CF5"/>
    <w:rsid w:val="00A225DE"/>
    <w:rsid w:val="00A36BF8"/>
    <w:rsid w:val="00A4015D"/>
    <w:rsid w:val="00A40871"/>
    <w:rsid w:val="00A51CF5"/>
    <w:rsid w:val="00A6669A"/>
    <w:rsid w:val="00A805BC"/>
    <w:rsid w:val="00AA101C"/>
    <w:rsid w:val="00AA19BA"/>
    <w:rsid w:val="00AA1F8F"/>
    <w:rsid w:val="00AA4CF8"/>
    <w:rsid w:val="00AB00BE"/>
    <w:rsid w:val="00AB14E0"/>
    <w:rsid w:val="00AB3462"/>
    <w:rsid w:val="00AC24D8"/>
    <w:rsid w:val="00AD217E"/>
    <w:rsid w:val="00AD678F"/>
    <w:rsid w:val="00AF2F61"/>
    <w:rsid w:val="00B0104E"/>
    <w:rsid w:val="00B3014C"/>
    <w:rsid w:val="00BC6271"/>
    <w:rsid w:val="00BC64D4"/>
    <w:rsid w:val="00BC65CE"/>
    <w:rsid w:val="00BD2436"/>
    <w:rsid w:val="00BF5A55"/>
    <w:rsid w:val="00C04EAB"/>
    <w:rsid w:val="00C13060"/>
    <w:rsid w:val="00C30E4A"/>
    <w:rsid w:val="00C32A7E"/>
    <w:rsid w:val="00C355AA"/>
    <w:rsid w:val="00C4572D"/>
    <w:rsid w:val="00C6284A"/>
    <w:rsid w:val="00C66408"/>
    <w:rsid w:val="00C84823"/>
    <w:rsid w:val="00CA11CC"/>
    <w:rsid w:val="00CA764E"/>
    <w:rsid w:val="00CE306B"/>
    <w:rsid w:val="00CF4DA9"/>
    <w:rsid w:val="00D05A1A"/>
    <w:rsid w:val="00D11F4B"/>
    <w:rsid w:val="00D20ACD"/>
    <w:rsid w:val="00D447FB"/>
    <w:rsid w:val="00D505F4"/>
    <w:rsid w:val="00D5751E"/>
    <w:rsid w:val="00D638CC"/>
    <w:rsid w:val="00D944EA"/>
    <w:rsid w:val="00D9755A"/>
    <w:rsid w:val="00DA1AB2"/>
    <w:rsid w:val="00DA5FB7"/>
    <w:rsid w:val="00DB216E"/>
    <w:rsid w:val="00DC2EB5"/>
    <w:rsid w:val="00DD04A4"/>
    <w:rsid w:val="00DD6A41"/>
    <w:rsid w:val="00DE0285"/>
    <w:rsid w:val="00DE5C20"/>
    <w:rsid w:val="00E80CC8"/>
    <w:rsid w:val="00E83AC3"/>
    <w:rsid w:val="00E90E3B"/>
    <w:rsid w:val="00E9332B"/>
    <w:rsid w:val="00EA58E7"/>
    <w:rsid w:val="00EA6BB3"/>
    <w:rsid w:val="00EC10D5"/>
    <w:rsid w:val="00ED31C2"/>
    <w:rsid w:val="00ED5A8E"/>
    <w:rsid w:val="00EF1957"/>
    <w:rsid w:val="00EF54CE"/>
    <w:rsid w:val="00F11BDD"/>
    <w:rsid w:val="00F16C63"/>
    <w:rsid w:val="00F239DB"/>
    <w:rsid w:val="00F27442"/>
    <w:rsid w:val="00F56E3B"/>
    <w:rsid w:val="00F632DC"/>
    <w:rsid w:val="00F723C5"/>
    <w:rsid w:val="00F832D5"/>
    <w:rsid w:val="00F85AF4"/>
    <w:rsid w:val="00F92452"/>
    <w:rsid w:val="00F93E27"/>
    <w:rsid w:val="00FA507C"/>
    <w:rsid w:val="00FA67DE"/>
    <w:rsid w:val="00FB1FE3"/>
    <w:rsid w:val="00FD0A83"/>
    <w:rsid w:val="00FD14A1"/>
    <w:rsid w:val="00FE11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80CAD4B0DE4CFD85D5C13B284997B8">
    <w:name w:val="5E80CAD4B0DE4CFD85D5C13B28499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1C2C-FFDA-4A7E-BB09-06A446D7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82</Pages>
  <Words>21388</Words>
  <Characters>130256</Characters>
  <Application>Microsoft Office Word</Application>
  <DocSecurity>0</DocSecurity>
  <Lines>3256</Lines>
  <Paragraphs>886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2017-02-17T14:11:00Z</dcterms:created>
  <dcterms:modified xsi:type="dcterms:W3CDTF">2017-02-17T14:11:00Z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Riksdagsstyrelsen</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2016/17:RS1</vt:lpwstr>
  </property>
  <property fmtid="{D5CDD505-2E9C-101B-9397-08002B2CF9AE}" pid="7" name="Dokrubrik">
    <vt:lpwstr>Riksdagsförvaltningens årsredovisning för verksamhetsåret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