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BA3509" w:rsidRPr="00596834">
        <w:tblPrEx>
          <w:tblCellMar>
            <w:top w:w="0" w:type="dxa"/>
            <w:left w:w="0" w:type="dxa"/>
            <w:bottom w:w="0" w:type="dxa"/>
            <w:right w:w="0" w:type="dxa"/>
          </w:tblCellMar>
        </w:tblPrEx>
        <w:trPr>
          <w:cantSplit/>
          <w:trHeight w:val="1320"/>
        </w:trPr>
        <w:tc>
          <w:tcPr>
            <w:tcW w:w="5897" w:type="dxa"/>
          </w:tcPr>
          <w:p w:rsidR="00BA3509" w:rsidRPr="00596834" w:rsidRDefault="00BA3509">
            <w:pPr>
              <w:pStyle w:val="HuvudRubrik"/>
            </w:pPr>
            <w:r w:rsidRPr="00596834">
              <w:t>Regeringskansliet</w:t>
            </w:r>
          </w:p>
          <w:p w:rsidR="00BA3509" w:rsidRPr="00596834" w:rsidRDefault="00BA3509">
            <w:pPr>
              <w:pStyle w:val="HuvudRubrik"/>
            </w:pPr>
            <w:r w:rsidRPr="00596834">
              <w:t>Faktapromemoria  :</w:t>
            </w:r>
            <w:r w:rsidRPr="00596834">
              <w:fldChar w:fldCharType="begin" w:fldLock="1"/>
            </w:r>
            <w:r w:rsidRPr="00596834">
              <w:instrText>DOCPROPERTY Typ</w:instrText>
            </w:r>
            <w:r w:rsidRPr="00596834">
              <w:fldChar w:fldCharType="separate"/>
            </w:r>
            <w:r w:rsidRPr="00596834">
              <w:t>FPM</w:t>
            </w:r>
            <w:r w:rsidRPr="00596834">
              <w:fldChar w:fldCharType="end"/>
            </w:r>
            <w:r w:rsidRPr="00596834">
              <w:fldChar w:fldCharType="begin" w:fldLock="1"/>
            </w:r>
            <w:r w:rsidRPr="00596834">
              <w:instrText>DOCPROPERTY Nr</w:instrText>
            </w:r>
            <w:r w:rsidRPr="00596834">
              <w:fldChar w:fldCharType="separate"/>
            </w:r>
            <w:r w:rsidRPr="00596834">
              <w:t>108</w:t>
            </w:r>
            <w:r w:rsidRPr="00596834">
              <w:fldChar w:fldCharType="end"/>
            </w:r>
          </w:p>
        </w:tc>
        <w:tc>
          <w:tcPr>
            <w:tcW w:w="1758" w:type="dxa"/>
            <w:gridSpan w:val="2"/>
          </w:tcPr>
          <w:p w:rsidR="00BA3509" w:rsidRPr="00596834" w:rsidRDefault="00BA3509">
            <w:pPr>
              <w:rPr>
                <w:sz w:val="24"/>
              </w:rPr>
            </w:pPr>
          </w:p>
        </w:tc>
      </w:tr>
      <w:tr w:rsidR="00BA3509" w:rsidRPr="00596834">
        <w:tblPrEx>
          <w:tblCellMar>
            <w:top w:w="0" w:type="dxa"/>
            <w:left w:w="0" w:type="dxa"/>
            <w:bottom w:w="0" w:type="dxa"/>
            <w:right w:w="0" w:type="dxa"/>
          </w:tblCellMar>
        </w:tblPrEx>
        <w:trPr>
          <w:cantSplit/>
          <w:trHeight w:val="240"/>
        </w:trPr>
        <w:tc>
          <w:tcPr>
            <w:tcW w:w="5897" w:type="dxa"/>
            <w:tcBorders>
              <w:bottom w:val="single" w:sz="4" w:space="0" w:color="auto"/>
            </w:tcBorders>
          </w:tcPr>
          <w:p w:rsidR="00BA3509" w:rsidRPr="00596834" w:rsidRDefault="00BA3509">
            <w:pPr>
              <w:pStyle w:val="HuvudRubrik"/>
              <w:rPr>
                <w:sz w:val="28"/>
              </w:rPr>
            </w:pPr>
            <w:r w:rsidRPr="00596834">
              <w:fldChar w:fldCharType="begin" w:fldLock="1"/>
            </w:r>
            <w:r w:rsidRPr="00596834">
              <w:instrText xml:space="preserve"> DOCVARIABLE Rub </w:instrText>
            </w:r>
            <w:r w:rsidRPr="00596834">
              <w:fldChar w:fldCharType="separate"/>
            </w:r>
            <w:r w:rsidRPr="00596834">
              <w:t>EU:s budget 2007</w:t>
            </w:r>
            <w:r w:rsidRPr="00596834">
              <w:fldChar w:fldCharType="end"/>
            </w:r>
          </w:p>
        </w:tc>
        <w:tc>
          <w:tcPr>
            <w:tcW w:w="1758" w:type="dxa"/>
            <w:gridSpan w:val="2"/>
            <w:tcBorders>
              <w:bottom w:val="single" w:sz="4" w:space="0" w:color="auto"/>
            </w:tcBorders>
          </w:tcPr>
          <w:p w:rsidR="00BA3509" w:rsidRPr="00596834" w:rsidRDefault="00BA3509">
            <w:pPr>
              <w:pStyle w:val="BetUnderLogga"/>
            </w:pPr>
            <w:r w:rsidRPr="00596834">
              <w:t>:</w:t>
            </w:r>
            <w:r w:rsidRPr="00596834">
              <w:fldChar w:fldCharType="begin" w:fldLock="1"/>
            </w:r>
            <w:r w:rsidRPr="00596834">
              <w:instrText>DOCPROPERTY Typ</w:instrText>
            </w:r>
            <w:r w:rsidRPr="00596834">
              <w:fldChar w:fldCharType="separate"/>
            </w:r>
            <w:r w:rsidRPr="00596834">
              <w:t>FPM</w:t>
            </w:r>
            <w:r w:rsidRPr="00596834">
              <w:fldChar w:fldCharType="end"/>
            </w:r>
            <w:r w:rsidRPr="00596834">
              <w:fldChar w:fldCharType="begin" w:fldLock="1"/>
            </w:r>
            <w:r w:rsidRPr="00596834">
              <w:instrText>DOCPROPERTY Nr</w:instrText>
            </w:r>
            <w:r w:rsidRPr="00596834">
              <w:fldChar w:fldCharType="separate"/>
            </w:r>
            <w:r w:rsidRPr="00596834">
              <w:t>108</w:t>
            </w:r>
            <w:r w:rsidRPr="00596834">
              <w:fldChar w:fldCharType="end"/>
            </w:r>
          </w:p>
        </w:tc>
      </w:tr>
      <w:tr w:rsidR="00BA3509" w:rsidRPr="00596834">
        <w:tblPrEx>
          <w:tblCellMar>
            <w:top w:w="0" w:type="dxa"/>
            <w:left w:w="0" w:type="dxa"/>
            <w:bottom w:w="0" w:type="dxa"/>
            <w:right w:w="0" w:type="dxa"/>
          </w:tblCellMar>
        </w:tblPrEx>
        <w:trPr>
          <w:cantSplit/>
          <w:trHeight w:val="285"/>
        </w:trPr>
        <w:tc>
          <w:tcPr>
            <w:tcW w:w="7655" w:type="dxa"/>
            <w:gridSpan w:val="3"/>
          </w:tcPr>
          <w:p w:rsidR="00BA3509" w:rsidRPr="00596834" w:rsidRDefault="00BA3509">
            <w:pPr>
              <w:pStyle w:val="Departement"/>
              <w:rPr>
                <w:sz w:val="28"/>
              </w:rPr>
            </w:pPr>
            <w:r w:rsidRPr="00596834">
              <w:fldChar w:fldCharType="begin" w:fldLock="1"/>
            </w:r>
            <w:r w:rsidRPr="00596834">
              <w:instrText xml:space="preserve"> DOCVARIABLE Dep</w:instrText>
            </w:r>
            <w:r w:rsidRPr="00596834">
              <w:fldChar w:fldCharType="separate"/>
            </w:r>
            <w:r w:rsidRPr="00596834">
              <w:t>Finansdepartementet</w:t>
            </w:r>
            <w:r w:rsidRPr="00596834">
              <w:fldChar w:fldCharType="end"/>
            </w:r>
          </w:p>
        </w:tc>
      </w:tr>
      <w:tr w:rsidR="00BA3509" w:rsidRPr="00596834">
        <w:tblPrEx>
          <w:tblCellMar>
            <w:top w:w="0" w:type="dxa"/>
            <w:left w:w="0" w:type="dxa"/>
            <w:bottom w:w="0" w:type="dxa"/>
            <w:right w:w="0" w:type="dxa"/>
          </w:tblCellMar>
        </w:tblPrEx>
        <w:trPr>
          <w:cantSplit/>
          <w:trHeight w:val="240"/>
        </w:trPr>
        <w:tc>
          <w:tcPr>
            <w:tcW w:w="7655" w:type="dxa"/>
            <w:gridSpan w:val="3"/>
          </w:tcPr>
          <w:p w:rsidR="00BA3509" w:rsidRPr="00596834" w:rsidRDefault="00BA3509">
            <w:pPr>
              <w:pStyle w:val="Dokumentdatum"/>
            </w:pPr>
            <w:r w:rsidRPr="00596834">
              <w:t>2007-06-28</w:t>
            </w:r>
          </w:p>
        </w:tc>
      </w:tr>
      <w:tr w:rsidR="00BA3509" w:rsidRPr="00596834">
        <w:tblPrEx>
          <w:tblCellMar>
            <w:top w:w="0" w:type="dxa"/>
            <w:left w:w="0" w:type="dxa"/>
            <w:bottom w:w="0" w:type="dxa"/>
            <w:right w:w="0" w:type="dxa"/>
          </w:tblCellMar>
        </w:tblPrEx>
        <w:trPr>
          <w:cantSplit/>
          <w:trHeight w:val="726"/>
        </w:trPr>
        <w:tc>
          <w:tcPr>
            <w:tcW w:w="7655" w:type="dxa"/>
            <w:gridSpan w:val="3"/>
            <w:vAlign w:val="bottom"/>
          </w:tcPr>
          <w:p w:rsidR="00BA3509" w:rsidRPr="00596834" w:rsidRDefault="00BA3509">
            <w:pPr>
              <w:pStyle w:val="Dokumentbeteckning"/>
            </w:pPr>
            <w:r w:rsidRPr="00596834">
              <w:t>Dokumentbeteckning</w:t>
            </w:r>
          </w:p>
        </w:tc>
      </w:tr>
      <w:bookmarkStart w:id="0" w:name="KomNr"/>
      <w:bookmarkEnd w:id="0"/>
      <w:tr w:rsidR="00BA3509" w:rsidRPr="00596834">
        <w:tblPrEx>
          <w:tblCellMar>
            <w:top w:w="0" w:type="dxa"/>
            <w:left w:w="0" w:type="dxa"/>
            <w:bottom w:w="0" w:type="dxa"/>
            <w:right w:w="0" w:type="dxa"/>
          </w:tblCellMar>
        </w:tblPrEx>
        <w:trPr>
          <w:gridAfter w:val="1"/>
          <w:wAfter w:w="1560" w:type="dxa"/>
          <w:trHeight w:val="120"/>
        </w:trPr>
        <w:tc>
          <w:tcPr>
            <w:tcW w:w="6095" w:type="dxa"/>
            <w:gridSpan w:val="2"/>
          </w:tcPr>
          <w:p w:rsidR="00BA3509" w:rsidRPr="00596834" w:rsidRDefault="00BA3509">
            <w:r w:rsidRPr="00596834">
              <w:fldChar w:fldCharType="begin" w:fldLock="1"/>
            </w:r>
            <w:r w:rsidRPr="00596834">
              <w:instrText xml:space="preserve"> DOCVARIABLE"GDB1", PreserveFormatting:=False \* MERGEFORMAT </w:instrText>
            </w:r>
            <w:r w:rsidRPr="00596834">
              <w:fldChar w:fldCharType="separate"/>
            </w:r>
            <w:r w:rsidRPr="00596834">
              <w:t>SEC(2006)762</w:t>
            </w:r>
            <w:r w:rsidRPr="00596834">
              <w:fldChar w:fldCharType="end"/>
            </w:r>
          </w:p>
        </w:tc>
      </w:tr>
      <w:tr w:rsidR="00BA3509" w:rsidRPr="00596834">
        <w:tblPrEx>
          <w:tblCellMar>
            <w:top w:w="0" w:type="dxa"/>
            <w:left w:w="0" w:type="dxa"/>
            <w:bottom w:w="0" w:type="dxa"/>
            <w:right w:w="0" w:type="dxa"/>
          </w:tblCellMar>
        </w:tblPrEx>
        <w:trPr>
          <w:gridAfter w:val="1"/>
          <w:wAfter w:w="1560" w:type="dxa"/>
          <w:trHeight w:val="120"/>
        </w:trPr>
        <w:tc>
          <w:tcPr>
            <w:tcW w:w="6095" w:type="dxa"/>
            <w:gridSpan w:val="2"/>
          </w:tcPr>
          <w:p w:rsidR="00BA3509" w:rsidRPr="00596834" w:rsidRDefault="00BA3509">
            <w:pPr>
              <w:pStyle w:val="Dokumentbeteckning-titel"/>
            </w:pPr>
            <w:r w:rsidRPr="00596834">
              <w:fldChar w:fldCharType="begin" w:fldLock="1"/>
            </w:r>
            <w:r w:rsidRPr="00596834">
              <w:instrText xml:space="preserve"> DOCVARIABLE"GDT1", PreserveFormatting:=False \* MERGEFORMAT </w:instrText>
            </w:r>
            <w:r w:rsidRPr="00596834">
              <w:fldChar w:fldCharType="separate"/>
            </w:r>
            <w:r w:rsidRPr="00596834">
              <w:t>Preliminärt förslag till Europeiska gemenskapernas allmänna budget för budgetåret 2007</w:t>
            </w:r>
            <w:r w:rsidRPr="00596834">
              <w:fldChar w:fldCharType="end"/>
            </w:r>
          </w:p>
        </w:tc>
      </w:tr>
    </w:tbl>
    <w:p w:rsidR="00BA3509" w:rsidRPr="00596834" w:rsidRDefault="00BA3509">
      <w:pPr>
        <w:pStyle w:val="Rubrik1"/>
        <w:numPr>
          <w:ilvl w:val="0"/>
          <w:numId w:val="0"/>
        </w:numPr>
      </w:pPr>
      <w:r w:rsidRPr="00596834">
        <w:t>Sammanfattning</w:t>
      </w:r>
    </w:p>
    <w:p w:rsidR="00BA3509" w:rsidRPr="00596834" w:rsidRDefault="00BA3509">
      <w:pPr>
        <w:pStyle w:val="RKnormal"/>
        <w:rPr>
          <w:rFonts w:ascii="Times New Roman" w:hAnsi="Times New Roman"/>
          <w:sz w:val="18"/>
          <w:lang w:val="sv-SE"/>
        </w:rPr>
      </w:pPr>
    </w:p>
    <w:p w:rsidR="00BA3509" w:rsidRPr="00596834" w:rsidRDefault="00BA3509">
      <w:r w:rsidRPr="00596834">
        <w:t xml:space="preserve">Budgeten för 2007 blir den första årsbudgeten inom ramen för den nya fleråriga budgetramen för åren 2007-2013. Kommissionens förslag till budget innebär en ökning av åtaganden jämfört med budgeten för 2006 med 4,6 % till 126,8 miljarder euro och betalningar med 3,9 % till 116,4 miljarder euro. </w:t>
      </w:r>
    </w:p>
    <w:p w:rsidR="00BA3509" w:rsidRPr="00596834" w:rsidRDefault="00BA3509">
      <w:r w:rsidRPr="00596834">
        <w:t>Sverige har som utgångspunkt att arbete med EU:s årsbudget för 2007 ska präglas av stramhet och budgetdisciplin. Sverige bedömer att de av kommissionen föreslagna nivåerna är för höga och avser verka för sänkta och mer realistiska nivåer på betalningarna. Sverige förhandlingslinje är att den slutligt antagna budgeten för år 2007 bör med god marginal rymmas inom budgetplanen så att det finns utrymme för oförutsedda utgifter under det löpande budgetåret. Detta gäller särskilt för utgiftsrubrik 4.</w:t>
      </w:r>
    </w:p>
    <w:p w:rsidR="00BA3509" w:rsidRPr="00596834" w:rsidRDefault="00BA3509">
      <w:pPr>
        <w:pStyle w:val="Rubrik1"/>
      </w:pPr>
      <w:r w:rsidRPr="00596834">
        <w:t>Förslaget</w:t>
      </w:r>
    </w:p>
    <w:p w:rsidR="00BA3509" w:rsidRPr="00596834" w:rsidRDefault="00BA3509">
      <w:r w:rsidRPr="00596834">
        <w:t>Europeiska kommissionen fattade den 3 maj beslut om sitt preliminära budgetförslaget för 2007. Kommissionen presenterade förslaget i Ekofinrådet den 5 maj. Budgeten för 2007 blir den första årsbudgeten inom ramen för den nya budgetramen som sträcker sig från 2007 – 2013.</w:t>
      </w:r>
    </w:p>
    <w:p w:rsidR="00BA3509" w:rsidRPr="00596834" w:rsidRDefault="00BA3509">
      <w:pPr>
        <w:pStyle w:val="Normaltindrag"/>
      </w:pPr>
    </w:p>
    <w:p w:rsidR="00BA3509" w:rsidRPr="00596834" w:rsidRDefault="00BA3509">
      <w:r w:rsidRPr="00596834">
        <w:t xml:space="preserve">EU-budgeten skall hantera samtliga inkomster och utgifter som EU enligt EG-fördraget har eller kan ha inom Europeiska gemenskapen. Från EU-budgeten finansieras i dag huvudsakligen åtgärder inom den första pelaren samt merkostnaderna för EU:s institutioner av att administrera arbetet inom </w:t>
      </w:r>
      <w:r w:rsidRPr="00596834">
        <w:lastRenderedPageBreak/>
        <w:t xml:space="preserve">andra och tredje pelaren. EU-budgeten upprättas fr.o.m. 1999 i euro och avser ett budgetår. </w:t>
      </w:r>
    </w:p>
    <w:p w:rsidR="00BA3509" w:rsidRPr="00596834" w:rsidRDefault="00BA3509">
      <w:r w:rsidRPr="00596834">
        <w:t>Taket för EU:s budget växer realt enligt budgetramen för perioden 2007-2013. I den fleråriga budgetramen anges en total ram för samtliga utgifter samt en ram för varje utgiftsrubrik.</w:t>
      </w:r>
    </w:p>
    <w:p w:rsidR="00BA3509" w:rsidRPr="00596834" w:rsidRDefault="00BA3509">
      <w:r w:rsidRPr="00596834">
        <w:t>Budgeten är uppdelad i sex utgiftsrubriker som tillsammans skall rymmas under den nya fleråriga budgetramen. Varje utgiftsrubrik är i sin tur indelad i olika politikområden. Budgeten är uppdelad i åtagandeanslag och betalningsanslag. Åtagandeanslagen anger hur stora åtaganden om kommande utgifter som EU får ingå och betalningsanslagen är de betalningar som måste göras från EU-budgeten under budgetåret med anledning av redan gjorda åtaganden.</w:t>
      </w:r>
    </w:p>
    <w:p w:rsidR="00BA3509" w:rsidRPr="00596834" w:rsidRDefault="00BA3509">
      <w:pPr>
        <w:pStyle w:val="Rubrik2"/>
      </w:pPr>
      <w:r w:rsidRPr="00596834">
        <w:t>Innehåll</w:t>
      </w:r>
    </w:p>
    <w:p w:rsidR="00BA3509" w:rsidRPr="00596834" w:rsidRDefault="00BA3509">
      <w:r w:rsidRPr="00596834">
        <w:t xml:space="preserve">Kommissionen föreslår att åtagandeanslagen i budgeten för 2007 skall öka med 5,6 miljarder euro till totalt 126,8 miljarder euro, vilket motsvarar en ökning med 4,6 % jämfört med 2006 års budget och att betalningsanslagen skall öka med 3,9 miljarder euro till totalt 116,4 miljarder euro, vilket är en ökning med 3,9 % jämfört med budgeten för 2006. Åtagandeanslagen motsvarar 1,08 % av medlemsstaternas BNI vilket kan jämföras med 1,09 % i budgeten för år 2006. Betalningsanslagen motsvarar 0,99 % av medlemsstaternas BNI vilket kan jämföras med 1,01 % i 2006 års budget. </w:t>
      </w:r>
    </w:p>
    <w:p w:rsidR="00BA3509" w:rsidRPr="00596834" w:rsidRDefault="00BA3509">
      <w:pPr>
        <w:autoSpaceDE w:val="0"/>
        <w:autoSpaceDN w:val="0"/>
        <w:adjustRightInd w:val="0"/>
        <w:spacing w:before="0" w:line="240" w:lineRule="auto"/>
        <w:jc w:val="left"/>
      </w:pPr>
      <w:r w:rsidRPr="00596834">
        <w:rPr>
          <w:rFonts w:eastAsia="EUAlbertina-Regular-Identity-H"/>
          <w:lang w:eastAsia="en-US"/>
        </w:rPr>
        <w:t xml:space="preserve"> </w:t>
      </w: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1418"/>
        <w:gridCol w:w="1276"/>
        <w:gridCol w:w="1417"/>
      </w:tblGrid>
      <w:tr w:rsidR="00BA3509" w:rsidRPr="00596834">
        <w:tblPrEx>
          <w:tblCellMar>
            <w:top w:w="0" w:type="dxa"/>
            <w:bottom w:w="0" w:type="dxa"/>
          </w:tblCellMar>
        </w:tblPrEx>
        <w:trPr>
          <w:trHeight w:val="485"/>
        </w:trPr>
        <w:tc>
          <w:tcPr>
            <w:tcW w:w="2376" w:type="dxa"/>
          </w:tcPr>
          <w:p w:rsidR="00BA3509" w:rsidRPr="00596834" w:rsidRDefault="00BA3509">
            <w:pPr>
              <w:pStyle w:val="Normaltindrag"/>
              <w:ind w:firstLine="0"/>
              <w:rPr>
                <w:b/>
              </w:rPr>
            </w:pPr>
            <w:r w:rsidRPr="00596834">
              <w:rPr>
                <w:b/>
              </w:rPr>
              <w:t>Rubriker</w:t>
            </w:r>
          </w:p>
          <w:p w:rsidR="00BA3509" w:rsidRPr="00596834" w:rsidRDefault="00BA3509">
            <w:pPr>
              <w:pStyle w:val="Normaltindrag"/>
              <w:ind w:firstLine="0"/>
              <w:rPr>
                <w:bCs/>
                <w:i/>
                <w:iCs/>
              </w:rPr>
            </w:pPr>
            <w:r w:rsidRPr="00596834">
              <w:rPr>
                <w:bCs/>
                <w:i/>
                <w:iCs/>
              </w:rPr>
              <w:t>(miljoner euro)</w:t>
            </w:r>
          </w:p>
        </w:tc>
        <w:tc>
          <w:tcPr>
            <w:tcW w:w="1134" w:type="dxa"/>
          </w:tcPr>
          <w:p w:rsidR="00BA3509" w:rsidRPr="00596834" w:rsidRDefault="00BA3509">
            <w:pPr>
              <w:pStyle w:val="Normaltindrag"/>
              <w:ind w:firstLine="0"/>
              <w:rPr>
                <w:b/>
              </w:rPr>
            </w:pPr>
            <w:r w:rsidRPr="00596834">
              <w:rPr>
                <w:b/>
              </w:rPr>
              <w:t xml:space="preserve">Åtaganden </w:t>
            </w:r>
          </w:p>
        </w:tc>
        <w:tc>
          <w:tcPr>
            <w:tcW w:w="1418" w:type="dxa"/>
          </w:tcPr>
          <w:p w:rsidR="00BA3509" w:rsidRPr="00596834" w:rsidRDefault="00BA3509">
            <w:pPr>
              <w:pStyle w:val="Normaltindrag"/>
              <w:ind w:firstLine="0"/>
              <w:rPr>
                <w:b/>
              </w:rPr>
            </w:pPr>
            <w:r w:rsidRPr="00596834">
              <w:rPr>
                <w:b/>
              </w:rPr>
              <w:t>%-förändring från 2006</w:t>
            </w:r>
          </w:p>
        </w:tc>
        <w:tc>
          <w:tcPr>
            <w:tcW w:w="1276" w:type="dxa"/>
          </w:tcPr>
          <w:p w:rsidR="00BA3509" w:rsidRPr="00596834" w:rsidRDefault="00BA3509">
            <w:pPr>
              <w:pStyle w:val="Normaltindrag"/>
              <w:ind w:firstLine="0"/>
              <w:rPr>
                <w:b/>
              </w:rPr>
            </w:pPr>
            <w:r w:rsidRPr="00596834">
              <w:rPr>
                <w:b/>
              </w:rPr>
              <w:t xml:space="preserve">Betalningar </w:t>
            </w:r>
          </w:p>
        </w:tc>
        <w:tc>
          <w:tcPr>
            <w:tcW w:w="1417" w:type="dxa"/>
          </w:tcPr>
          <w:p w:rsidR="00BA3509" w:rsidRPr="00596834" w:rsidRDefault="00BA3509">
            <w:pPr>
              <w:pStyle w:val="Normaltindrag"/>
              <w:ind w:firstLine="0"/>
              <w:rPr>
                <w:b/>
              </w:rPr>
            </w:pPr>
            <w:r w:rsidRPr="00596834">
              <w:rPr>
                <w:b/>
              </w:rPr>
              <w:t>% förändring</w:t>
            </w:r>
          </w:p>
          <w:p w:rsidR="00BA3509" w:rsidRPr="00596834" w:rsidRDefault="00BA3509">
            <w:pPr>
              <w:pStyle w:val="Normaltindrag"/>
              <w:ind w:firstLine="0"/>
              <w:rPr>
                <w:b/>
              </w:rPr>
            </w:pPr>
            <w:r w:rsidRPr="00596834">
              <w:rPr>
                <w:b/>
              </w:rPr>
              <w:t>från 2006</w:t>
            </w:r>
          </w:p>
        </w:tc>
      </w:tr>
      <w:tr w:rsidR="00BA3509" w:rsidRPr="00596834">
        <w:tblPrEx>
          <w:tblCellMar>
            <w:top w:w="0" w:type="dxa"/>
            <w:bottom w:w="0" w:type="dxa"/>
          </w:tblCellMar>
        </w:tblPrEx>
        <w:trPr>
          <w:trHeight w:val="1228"/>
        </w:trPr>
        <w:tc>
          <w:tcPr>
            <w:tcW w:w="2376" w:type="dxa"/>
          </w:tcPr>
          <w:p w:rsidR="00BA3509" w:rsidRPr="00596834" w:rsidRDefault="00BA3509">
            <w:pPr>
              <w:autoSpaceDE w:val="0"/>
              <w:autoSpaceDN w:val="0"/>
              <w:adjustRightInd w:val="0"/>
              <w:spacing w:before="0" w:line="240" w:lineRule="auto"/>
              <w:jc w:val="left"/>
              <w:rPr>
                <w:b/>
                <w:bCs/>
              </w:rPr>
            </w:pPr>
            <w:r w:rsidRPr="00596834">
              <w:rPr>
                <w:b/>
                <w:bCs/>
              </w:rPr>
              <w:t>1. Hållbar tillväxt</w:t>
            </w:r>
          </w:p>
          <w:p w:rsidR="00BA3509" w:rsidRPr="00596834" w:rsidRDefault="00BA3509">
            <w:pPr>
              <w:autoSpaceDE w:val="0"/>
              <w:autoSpaceDN w:val="0"/>
              <w:adjustRightInd w:val="0"/>
              <w:spacing w:before="0" w:line="240" w:lineRule="auto"/>
              <w:jc w:val="left"/>
              <w:rPr>
                <w:rFonts w:eastAsia="EUAlbertina-Bold-Identity-H"/>
                <w:b/>
                <w:bCs/>
                <w:sz w:val="16"/>
                <w:szCs w:val="16"/>
                <w:lang w:eastAsia="en-US"/>
              </w:rPr>
            </w:pPr>
            <w:r w:rsidRPr="00596834">
              <w:t>1a Konkurrenskraft för tillväxt och sysselsättning</w:t>
            </w:r>
            <w:r w:rsidRPr="00596834">
              <w:rPr>
                <w:rFonts w:eastAsia="EUAlbertina-Bold-Identity-H"/>
                <w:b/>
                <w:bCs/>
                <w:sz w:val="16"/>
                <w:szCs w:val="16"/>
                <w:lang w:eastAsia="en-US"/>
              </w:rPr>
              <w:t xml:space="preserve"> </w:t>
            </w:r>
          </w:p>
          <w:p w:rsidR="00BA3509" w:rsidRPr="00596834" w:rsidRDefault="00BA3509">
            <w:pPr>
              <w:pStyle w:val="Normaltindrag"/>
              <w:ind w:firstLine="0"/>
              <w:jc w:val="left"/>
            </w:pPr>
            <w:r w:rsidRPr="00596834">
              <w:rPr>
                <w:rFonts w:eastAsia="EUAlbertina-Bold-Identity-H"/>
              </w:rPr>
              <w:t>1b Sammanhållning för tillväxt och sysselsättning</w:t>
            </w:r>
          </w:p>
        </w:tc>
        <w:tc>
          <w:tcPr>
            <w:tcW w:w="1134" w:type="dxa"/>
          </w:tcPr>
          <w:p w:rsidR="00BA3509" w:rsidRPr="00596834" w:rsidRDefault="00BA3509">
            <w:pPr>
              <w:pStyle w:val="Normaltindrag"/>
              <w:ind w:firstLine="0"/>
            </w:pPr>
          </w:p>
          <w:p w:rsidR="00BA3509" w:rsidRPr="00596834" w:rsidRDefault="00BA3509">
            <w:pPr>
              <w:pStyle w:val="Normaltindrag"/>
              <w:ind w:firstLine="0"/>
            </w:pPr>
            <w:r w:rsidRPr="00596834">
              <w:t>8 796,1</w:t>
            </w:r>
          </w:p>
          <w:p w:rsidR="00BA3509" w:rsidRPr="00596834" w:rsidRDefault="00BA3509">
            <w:pPr>
              <w:pStyle w:val="Normaltindrag"/>
              <w:ind w:firstLine="0"/>
            </w:pPr>
          </w:p>
          <w:p w:rsidR="00BA3509" w:rsidRPr="00596834" w:rsidRDefault="00BA3509">
            <w:pPr>
              <w:pStyle w:val="Normaltindrag"/>
              <w:ind w:firstLine="0"/>
            </w:pPr>
            <w:r w:rsidRPr="00596834">
              <w:t>45 487</w:t>
            </w:r>
          </w:p>
        </w:tc>
        <w:tc>
          <w:tcPr>
            <w:tcW w:w="1418" w:type="dxa"/>
          </w:tcPr>
          <w:p w:rsidR="00BA3509" w:rsidRPr="00596834" w:rsidRDefault="00BA3509">
            <w:pPr>
              <w:pStyle w:val="Normaltindrag"/>
              <w:ind w:firstLine="0"/>
            </w:pPr>
          </w:p>
          <w:p w:rsidR="00BA3509" w:rsidRPr="00596834" w:rsidRDefault="00BA3509">
            <w:pPr>
              <w:pStyle w:val="Normaltindrag"/>
              <w:ind w:firstLine="0"/>
            </w:pPr>
            <w:r w:rsidRPr="00596834">
              <w:t>+11,5%</w:t>
            </w:r>
          </w:p>
          <w:p w:rsidR="00BA3509" w:rsidRPr="00596834" w:rsidRDefault="00BA3509">
            <w:pPr>
              <w:pStyle w:val="Normaltindrag"/>
              <w:ind w:firstLine="0"/>
            </w:pPr>
          </w:p>
          <w:p w:rsidR="00BA3509" w:rsidRPr="00596834" w:rsidRDefault="00BA3509">
            <w:pPr>
              <w:pStyle w:val="Normaltindrag"/>
              <w:ind w:firstLine="0"/>
            </w:pPr>
            <w:r w:rsidRPr="00596834">
              <w:t>+14,8%</w:t>
            </w:r>
          </w:p>
        </w:tc>
        <w:tc>
          <w:tcPr>
            <w:tcW w:w="1276" w:type="dxa"/>
          </w:tcPr>
          <w:p w:rsidR="00BA3509" w:rsidRPr="00596834" w:rsidRDefault="00BA3509">
            <w:pPr>
              <w:pStyle w:val="Normaltindrag"/>
              <w:ind w:firstLine="0"/>
            </w:pPr>
          </w:p>
          <w:p w:rsidR="00BA3509" w:rsidRPr="00596834" w:rsidRDefault="00BA3509">
            <w:pPr>
              <w:pStyle w:val="Normaltindrag"/>
              <w:ind w:firstLine="0"/>
            </w:pPr>
            <w:r w:rsidRPr="00596834">
              <w:t>6 944</w:t>
            </w:r>
          </w:p>
          <w:p w:rsidR="00BA3509" w:rsidRPr="00596834" w:rsidRDefault="00BA3509">
            <w:pPr>
              <w:pStyle w:val="Normaltindrag"/>
              <w:ind w:firstLine="0"/>
            </w:pPr>
          </w:p>
          <w:p w:rsidR="00BA3509" w:rsidRPr="00596834" w:rsidRDefault="00BA3509">
            <w:pPr>
              <w:pStyle w:val="Normaltindrag"/>
              <w:ind w:firstLine="0"/>
            </w:pPr>
            <w:r w:rsidRPr="00596834">
              <w:t>37 790</w:t>
            </w:r>
          </w:p>
        </w:tc>
        <w:tc>
          <w:tcPr>
            <w:tcW w:w="1417" w:type="dxa"/>
          </w:tcPr>
          <w:p w:rsidR="00BA3509" w:rsidRPr="00596834" w:rsidRDefault="00BA3509">
            <w:pPr>
              <w:pStyle w:val="Normaltindrag"/>
              <w:ind w:firstLine="0"/>
            </w:pPr>
          </w:p>
          <w:p w:rsidR="00BA3509" w:rsidRPr="00596834" w:rsidRDefault="00BA3509">
            <w:pPr>
              <w:pStyle w:val="Normaltindrag"/>
              <w:ind w:firstLine="0"/>
            </w:pPr>
            <w:r w:rsidRPr="00596834">
              <w:t>-6,5%</w:t>
            </w:r>
          </w:p>
          <w:p w:rsidR="00BA3509" w:rsidRPr="00596834" w:rsidRDefault="00BA3509">
            <w:pPr>
              <w:pStyle w:val="Normaltindrag"/>
              <w:ind w:firstLine="0"/>
            </w:pPr>
          </w:p>
          <w:p w:rsidR="00BA3509" w:rsidRPr="00596834" w:rsidRDefault="00BA3509">
            <w:pPr>
              <w:pStyle w:val="Normaltindrag"/>
              <w:ind w:firstLine="0"/>
            </w:pPr>
            <w:r w:rsidRPr="00596834">
              <w:t>+19,1%</w:t>
            </w:r>
          </w:p>
        </w:tc>
      </w:tr>
      <w:tr w:rsidR="00BA3509" w:rsidRPr="00596834">
        <w:tblPrEx>
          <w:tblCellMar>
            <w:top w:w="0" w:type="dxa"/>
            <w:bottom w:w="0" w:type="dxa"/>
          </w:tblCellMar>
        </w:tblPrEx>
        <w:trPr>
          <w:trHeight w:val="706"/>
        </w:trPr>
        <w:tc>
          <w:tcPr>
            <w:tcW w:w="2376" w:type="dxa"/>
          </w:tcPr>
          <w:p w:rsidR="00BA3509" w:rsidRPr="00596834" w:rsidRDefault="00BA3509">
            <w:pPr>
              <w:autoSpaceDE w:val="0"/>
              <w:autoSpaceDN w:val="0"/>
              <w:adjustRightInd w:val="0"/>
              <w:spacing w:before="0" w:line="240" w:lineRule="auto"/>
              <w:jc w:val="left"/>
              <w:rPr>
                <w:b/>
                <w:bCs/>
              </w:rPr>
            </w:pPr>
            <w:r w:rsidRPr="00596834">
              <w:rPr>
                <w:b/>
                <w:bCs/>
              </w:rPr>
              <w:t>2. Bevarande och förvaltning av naturresurser</w:t>
            </w:r>
          </w:p>
        </w:tc>
        <w:tc>
          <w:tcPr>
            <w:tcW w:w="1134" w:type="dxa"/>
          </w:tcPr>
          <w:p w:rsidR="00BA3509" w:rsidRPr="00596834" w:rsidRDefault="00BA3509">
            <w:pPr>
              <w:pStyle w:val="Normaltindrag"/>
              <w:ind w:firstLine="0"/>
            </w:pPr>
          </w:p>
          <w:p w:rsidR="00BA3509" w:rsidRPr="00596834" w:rsidRDefault="00BA3509">
            <w:pPr>
              <w:pStyle w:val="Normaltindrag"/>
              <w:ind w:firstLine="0"/>
            </w:pPr>
            <w:r w:rsidRPr="00596834">
              <w:t xml:space="preserve">57 218 </w:t>
            </w:r>
          </w:p>
        </w:tc>
        <w:tc>
          <w:tcPr>
            <w:tcW w:w="1418" w:type="dxa"/>
          </w:tcPr>
          <w:p w:rsidR="00BA3509" w:rsidRPr="00596834" w:rsidRDefault="00BA3509">
            <w:pPr>
              <w:pStyle w:val="Normaltindrag"/>
              <w:ind w:firstLine="0"/>
            </w:pPr>
          </w:p>
          <w:p w:rsidR="00BA3509" w:rsidRPr="00596834" w:rsidRDefault="00BA3509">
            <w:pPr>
              <w:pStyle w:val="Normaltindrag"/>
              <w:ind w:firstLine="0"/>
            </w:pPr>
            <w:r w:rsidRPr="00596834">
              <w:t>+1,2%</w:t>
            </w:r>
          </w:p>
        </w:tc>
        <w:tc>
          <w:tcPr>
            <w:tcW w:w="1276" w:type="dxa"/>
          </w:tcPr>
          <w:p w:rsidR="00BA3509" w:rsidRPr="00596834" w:rsidRDefault="00BA3509">
            <w:pPr>
              <w:pStyle w:val="Normaltindrag"/>
              <w:ind w:firstLine="0"/>
            </w:pPr>
          </w:p>
          <w:p w:rsidR="00BA3509" w:rsidRPr="00596834" w:rsidRDefault="00BA3509">
            <w:pPr>
              <w:pStyle w:val="Normaltindrag"/>
              <w:ind w:firstLine="0"/>
            </w:pPr>
            <w:r w:rsidRPr="00596834">
              <w:t>55 683</w:t>
            </w:r>
          </w:p>
        </w:tc>
        <w:tc>
          <w:tcPr>
            <w:tcW w:w="1417" w:type="dxa"/>
          </w:tcPr>
          <w:p w:rsidR="00BA3509" w:rsidRPr="00596834" w:rsidRDefault="00BA3509">
            <w:pPr>
              <w:pStyle w:val="Normaltindrag"/>
              <w:ind w:firstLine="0"/>
            </w:pPr>
          </w:p>
          <w:p w:rsidR="00BA3509" w:rsidRPr="00596834" w:rsidRDefault="00BA3509">
            <w:pPr>
              <w:pStyle w:val="Normaltindrag"/>
              <w:ind w:firstLine="0"/>
            </w:pPr>
            <w:r w:rsidRPr="00596834">
              <w:t>+0,4%</w:t>
            </w:r>
          </w:p>
        </w:tc>
      </w:tr>
      <w:tr w:rsidR="00BA3509" w:rsidRPr="00596834">
        <w:tblPrEx>
          <w:tblCellMar>
            <w:top w:w="0" w:type="dxa"/>
            <w:bottom w:w="0" w:type="dxa"/>
          </w:tblCellMar>
        </w:tblPrEx>
        <w:trPr>
          <w:trHeight w:val="242"/>
        </w:trPr>
        <w:tc>
          <w:tcPr>
            <w:tcW w:w="2376" w:type="dxa"/>
          </w:tcPr>
          <w:p w:rsidR="00BA3509" w:rsidRPr="00596834" w:rsidRDefault="00BA3509">
            <w:pPr>
              <w:pStyle w:val="Normaltindrag"/>
              <w:ind w:firstLine="0"/>
              <w:jc w:val="left"/>
              <w:rPr>
                <w:b/>
                <w:bCs/>
              </w:rPr>
            </w:pPr>
            <w:r w:rsidRPr="00596834">
              <w:rPr>
                <w:b/>
                <w:bCs/>
              </w:rPr>
              <w:t>3.  Medborgarskap, frihet, säkerhet och rättvisa</w:t>
            </w:r>
          </w:p>
          <w:p w:rsidR="00BA3509" w:rsidRPr="00596834" w:rsidRDefault="00BA3509">
            <w:pPr>
              <w:pStyle w:val="Normaltindrag"/>
              <w:ind w:firstLine="0"/>
              <w:jc w:val="left"/>
            </w:pPr>
            <w:r w:rsidRPr="00596834">
              <w:t>3a Frihet, säkerhet och rättvisa</w:t>
            </w:r>
          </w:p>
          <w:p w:rsidR="00BA3509" w:rsidRPr="00596834" w:rsidRDefault="00BA3509">
            <w:pPr>
              <w:autoSpaceDE w:val="0"/>
              <w:autoSpaceDN w:val="0"/>
              <w:adjustRightInd w:val="0"/>
              <w:spacing w:before="0" w:line="240" w:lineRule="auto"/>
              <w:jc w:val="left"/>
              <w:rPr>
                <w:b/>
                <w:bCs/>
              </w:rPr>
            </w:pPr>
            <w:r w:rsidRPr="00596834">
              <w:t>3b Medborgarskap</w:t>
            </w:r>
          </w:p>
        </w:tc>
        <w:tc>
          <w:tcPr>
            <w:tcW w:w="1134" w:type="dxa"/>
          </w:tcPr>
          <w:p w:rsidR="00BA3509" w:rsidRPr="00596834" w:rsidRDefault="00BA3509">
            <w:pPr>
              <w:pStyle w:val="Normaltindrag"/>
              <w:ind w:firstLine="0"/>
            </w:pPr>
          </w:p>
          <w:p w:rsidR="00BA3509" w:rsidRPr="00596834" w:rsidRDefault="00BA3509">
            <w:pPr>
              <w:pStyle w:val="Normaltindrag"/>
              <w:ind w:firstLine="0"/>
            </w:pPr>
          </w:p>
          <w:p w:rsidR="00BA3509" w:rsidRPr="00596834" w:rsidRDefault="00BA3509">
            <w:pPr>
              <w:pStyle w:val="Normaltindrag"/>
              <w:ind w:firstLine="0"/>
            </w:pPr>
            <w:r w:rsidRPr="00596834">
              <w:t>571</w:t>
            </w:r>
          </w:p>
          <w:p w:rsidR="00BA3509" w:rsidRPr="00596834" w:rsidRDefault="00BA3509">
            <w:pPr>
              <w:pStyle w:val="Normaltindrag"/>
              <w:ind w:firstLine="0"/>
            </w:pPr>
          </w:p>
          <w:p w:rsidR="00BA3509" w:rsidRPr="00596834" w:rsidRDefault="00BA3509">
            <w:pPr>
              <w:pStyle w:val="Normaltindrag"/>
              <w:ind w:firstLine="0"/>
            </w:pPr>
            <w:r w:rsidRPr="00596834">
              <w:t>603</w:t>
            </w:r>
          </w:p>
        </w:tc>
        <w:tc>
          <w:tcPr>
            <w:tcW w:w="1418" w:type="dxa"/>
          </w:tcPr>
          <w:p w:rsidR="00BA3509" w:rsidRPr="00596834" w:rsidRDefault="00BA3509">
            <w:pPr>
              <w:pStyle w:val="Normaltindrag"/>
              <w:ind w:firstLine="0"/>
            </w:pPr>
          </w:p>
          <w:p w:rsidR="00BA3509" w:rsidRPr="00596834" w:rsidRDefault="00BA3509">
            <w:pPr>
              <w:pStyle w:val="Normaltindrag"/>
              <w:ind w:firstLine="0"/>
            </w:pPr>
          </w:p>
          <w:p w:rsidR="00BA3509" w:rsidRPr="00596834" w:rsidRDefault="00BA3509">
            <w:pPr>
              <w:pStyle w:val="Normaltindrag"/>
              <w:ind w:firstLine="0"/>
            </w:pPr>
            <w:r w:rsidRPr="00596834">
              <w:t>+4%</w:t>
            </w:r>
          </w:p>
          <w:p w:rsidR="00BA3509" w:rsidRPr="00596834" w:rsidRDefault="00BA3509">
            <w:pPr>
              <w:pStyle w:val="Normaltindrag"/>
              <w:ind w:firstLine="0"/>
            </w:pPr>
          </w:p>
          <w:p w:rsidR="00BA3509" w:rsidRPr="00596834" w:rsidRDefault="00BA3509">
            <w:pPr>
              <w:pStyle w:val="Normaltindrag"/>
              <w:ind w:firstLine="0"/>
            </w:pPr>
            <w:r w:rsidRPr="00596834">
              <w:t>-1,4%</w:t>
            </w:r>
          </w:p>
        </w:tc>
        <w:tc>
          <w:tcPr>
            <w:tcW w:w="1276" w:type="dxa"/>
          </w:tcPr>
          <w:p w:rsidR="00BA3509" w:rsidRPr="00596834" w:rsidRDefault="00BA3509">
            <w:pPr>
              <w:pStyle w:val="Normaltindrag"/>
              <w:ind w:firstLine="0"/>
            </w:pPr>
          </w:p>
          <w:p w:rsidR="00BA3509" w:rsidRPr="00596834" w:rsidRDefault="00BA3509">
            <w:pPr>
              <w:pStyle w:val="Normaltindrag"/>
              <w:ind w:firstLine="0"/>
            </w:pPr>
          </w:p>
          <w:p w:rsidR="00BA3509" w:rsidRPr="00596834" w:rsidRDefault="00BA3509">
            <w:pPr>
              <w:pStyle w:val="Normaltindrag"/>
              <w:ind w:firstLine="0"/>
            </w:pPr>
            <w:r w:rsidRPr="00596834">
              <w:t>427</w:t>
            </w:r>
          </w:p>
          <w:p w:rsidR="00BA3509" w:rsidRPr="00596834" w:rsidRDefault="00BA3509">
            <w:pPr>
              <w:pStyle w:val="Normaltindrag"/>
              <w:ind w:firstLine="0"/>
            </w:pPr>
          </w:p>
          <w:p w:rsidR="00BA3509" w:rsidRPr="00596834" w:rsidRDefault="00BA3509">
            <w:pPr>
              <w:pStyle w:val="Normaltindrag"/>
              <w:ind w:firstLine="0"/>
            </w:pPr>
            <w:r w:rsidRPr="00596834">
              <w:t>680</w:t>
            </w:r>
          </w:p>
        </w:tc>
        <w:tc>
          <w:tcPr>
            <w:tcW w:w="1417" w:type="dxa"/>
          </w:tcPr>
          <w:p w:rsidR="00BA3509" w:rsidRPr="00596834" w:rsidRDefault="00BA3509">
            <w:pPr>
              <w:pStyle w:val="Normaltindrag"/>
              <w:ind w:firstLine="0"/>
            </w:pPr>
          </w:p>
          <w:p w:rsidR="00BA3509" w:rsidRPr="00596834" w:rsidRDefault="00BA3509">
            <w:pPr>
              <w:pStyle w:val="Normaltindrag"/>
              <w:ind w:firstLine="0"/>
            </w:pPr>
          </w:p>
          <w:p w:rsidR="00BA3509" w:rsidRPr="00596834" w:rsidRDefault="00BA3509">
            <w:pPr>
              <w:pStyle w:val="Normaltindrag"/>
              <w:ind w:firstLine="0"/>
            </w:pPr>
            <w:r w:rsidRPr="00596834">
              <w:t>-19,9%</w:t>
            </w:r>
          </w:p>
          <w:p w:rsidR="00BA3509" w:rsidRPr="00596834" w:rsidRDefault="00BA3509">
            <w:pPr>
              <w:pStyle w:val="Normaltindrag"/>
              <w:ind w:firstLine="0"/>
            </w:pPr>
          </w:p>
          <w:p w:rsidR="00BA3509" w:rsidRPr="00596834" w:rsidRDefault="00BA3509">
            <w:pPr>
              <w:pStyle w:val="Normaltindrag"/>
              <w:ind w:firstLine="0"/>
            </w:pPr>
            <w:r w:rsidRPr="00596834">
              <w:t>+8,9%</w:t>
            </w:r>
          </w:p>
        </w:tc>
      </w:tr>
      <w:tr w:rsidR="00BA3509" w:rsidRPr="00596834">
        <w:tblPrEx>
          <w:tblCellMar>
            <w:top w:w="0" w:type="dxa"/>
            <w:bottom w:w="0" w:type="dxa"/>
          </w:tblCellMar>
        </w:tblPrEx>
        <w:trPr>
          <w:trHeight w:val="242"/>
        </w:trPr>
        <w:tc>
          <w:tcPr>
            <w:tcW w:w="2376" w:type="dxa"/>
          </w:tcPr>
          <w:p w:rsidR="00BA3509" w:rsidRPr="00596834" w:rsidRDefault="00BA3509">
            <w:pPr>
              <w:pStyle w:val="Normaltindrag"/>
              <w:ind w:firstLine="0"/>
              <w:jc w:val="left"/>
              <w:rPr>
                <w:b/>
                <w:bCs/>
              </w:rPr>
            </w:pPr>
            <w:r w:rsidRPr="00596834">
              <w:rPr>
                <w:b/>
                <w:bCs/>
              </w:rPr>
              <w:t>4. EU som global partner</w:t>
            </w:r>
          </w:p>
        </w:tc>
        <w:tc>
          <w:tcPr>
            <w:tcW w:w="1134" w:type="dxa"/>
          </w:tcPr>
          <w:p w:rsidR="00BA3509" w:rsidRPr="00596834" w:rsidRDefault="00BA3509">
            <w:pPr>
              <w:pStyle w:val="Normaltindrag"/>
              <w:ind w:firstLine="0"/>
            </w:pPr>
            <w:r w:rsidRPr="00596834">
              <w:t>6 703</w:t>
            </w:r>
          </w:p>
        </w:tc>
        <w:tc>
          <w:tcPr>
            <w:tcW w:w="1418" w:type="dxa"/>
          </w:tcPr>
          <w:p w:rsidR="00BA3509" w:rsidRPr="00596834" w:rsidRDefault="00BA3509">
            <w:pPr>
              <w:pStyle w:val="Normaltindrag"/>
              <w:ind w:firstLine="0"/>
            </w:pPr>
            <w:r w:rsidRPr="00596834">
              <w:t>-20,2%</w:t>
            </w:r>
          </w:p>
        </w:tc>
        <w:tc>
          <w:tcPr>
            <w:tcW w:w="1276" w:type="dxa"/>
          </w:tcPr>
          <w:p w:rsidR="00BA3509" w:rsidRPr="00596834" w:rsidRDefault="00BA3509">
            <w:pPr>
              <w:pStyle w:val="Normaltindrag"/>
              <w:ind w:firstLine="0"/>
            </w:pPr>
            <w:r w:rsidRPr="00596834">
              <w:t>7 448</w:t>
            </w:r>
          </w:p>
        </w:tc>
        <w:tc>
          <w:tcPr>
            <w:tcW w:w="1417" w:type="dxa"/>
          </w:tcPr>
          <w:p w:rsidR="00BA3509" w:rsidRPr="00596834" w:rsidRDefault="00BA3509">
            <w:pPr>
              <w:pStyle w:val="Normaltindrag"/>
              <w:ind w:firstLine="0"/>
            </w:pPr>
            <w:r w:rsidRPr="00596834">
              <w:t>-13,8%</w:t>
            </w:r>
          </w:p>
        </w:tc>
      </w:tr>
      <w:tr w:rsidR="00BA3509" w:rsidRPr="00596834">
        <w:tblPrEx>
          <w:tblCellMar>
            <w:top w:w="0" w:type="dxa"/>
            <w:bottom w:w="0" w:type="dxa"/>
          </w:tblCellMar>
        </w:tblPrEx>
        <w:trPr>
          <w:trHeight w:val="242"/>
        </w:trPr>
        <w:tc>
          <w:tcPr>
            <w:tcW w:w="2376" w:type="dxa"/>
          </w:tcPr>
          <w:p w:rsidR="00BA3509" w:rsidRPr="00596834" w:rsidRDefault="00BA3509">
            <w:pPr>
              <w:pStyle w:val="Normaltindrag"/>
              <w:ind w:firstLine="0"/>
              <w:jc w:val="left"/>
              <w:rPr>
                <w:b/>
                <w:bCs/>
              </w:rPr>
            </w:pPr>
            <w:r w:rsidRPr="00596834">
              <w:rPr>
                <w:b/>
                <w:bCs/>
              </w:rPr>
              <w:t>5. Administration</w:t>
            </w:r>
          </w:p>
        </w:tc>
        <w:tc>
          <w:tcPr>
            <w:tcW w:w="1134" w:type="dxa"/>
          </w:tcPr>
          <w:p w:rsidR="00BA3509" w:rsidRPr="00596834" w:rsidRDefault="00BA3509">
            <w:pPr>
              <w:pStyle w:val="Normaltindrag"/>
              <w:ind w:firstLine="0"/>
            </w:pPr>
            <w:r w:rsidRPr="00596834">
              <w:t>7 002</w:t>
            </w:r>
          </w:p>
        </w:tc>
        <w:tc>
          <w:tcPr>
            <w:tcW w:w="1418" w:type="dxa"/>
          </w:tcPr>
          <w:p w:rsidR="00BA3509" w:rsidRPr="00596834" w:rsidRDefault="00BA3509">
            <w:pPr>
              <w:pStyle w:val="Normaltindrag"/>
              <w:ind w:firstLine="0"/>
            </w:pPr>
            <w:r w:rsidRPr="00596834">
              <w:t>+6%</w:t>
            </w:r>
          </w:p>
        </w:tc>
        <w:tc>
          <w:tcPr>
            <w:tcW w:w="1276" w:type="dxa"/>
          </w:tcPr>
          <w:p w:rsidR="00BA3509" w:rsidRPr="00596834" w:rsidRDefault="00BA3509">
            <w:pPr>
              <w:pStyle w:val="Normaltindrag"/>
              <w:ind w:firstLine="0"/>
            </w:pPr>
            <w:r w:rsidRPr="00596834">
              <w:t>7 002</w:t>
            </w:r>
          </w:p>
        </w:tc>
        <w:tc>
          <w:tcPr>
            <w:tcW w:w="1417" w:type="dxa"/>
          </w:tcPr>
          <w:p w:rsidR="00BA3509" w:rsidRPr="00596834" w:rsidRDefault="00BA3509">
            <w:pPr>
              <w:pStyle w:val="Normaltindrag"/>
              <w:ind w:firstLine="0"/>
            </w:pPr>
            <w:r w:rsidRPr="00596834">
              <w:t>+6%</w:t>
            </w:r>
          </w:p>
        </w:tc>
      </w:tr>
      <w:tr w:rsidR="00BA3509" w:rsidRPr="00596834">
        <w:tblPrEx>
          <w:tblCellMar>
            <w:top w:w="0" w:type="dxa"/>
            <w:bottom w:w="0" w:type="dxa"/>
          </w:tblCellMar>
        </w:tblPrEx>
        <w:trPr>
          <w:trHeight w:val="242"/>
        </w:trPr>
        <w:tc>
          <w:tcPr>
            <w:tcW w:w="2376" w:type="dxa"/>
          </w:tcPr>
          <w:p w:rsidR="00BA3509" w:rsidRPr="00596834" w:rsidRDefault="00BA3509">
            <w:pPr>
              <w:pStyle w:val="Normaltindrag"/>
              <w:ind w:firstLine="0"/>
              <w:jc w:val="left"/>
              <w:rPr>
                <w:b/>
                <w:bCs/>
              </w:rPr>
            </w:pPr>
            <w:r w:rsidRPr="00596834">
              <w:rPr>
                <w:b/>
                <w:bCs/>
              </w:rPr>
              <w:t>6. Kompensationer</w:t>
            </w:r>
          </w:p>
        </w:tc>
        <w:tc>
          <w:tcPr>
            <w:tcW w:w="1134" w:type="dxa"/>
          </w:tcPr>
          <w:p w:rsidR="00BA3509" w:rsidRPr="00596834" w:rsidRDefault="00BA3509">
            <w:pPr>
              <w:pStyle w:val="Normaltindrag"/>
              <w:ind w:firstLine="0"/>
            </w:pPr>
            <w:r w:rsidRPr="00596834">
              <w:t>445</w:t>
            </w:r>
          </w:p>
        </w:tc>
        <w:tc>
          <w:tcPr>
            <w:tcW w:w="1418" w:type="dxa"/>
          </w:tcPr>
          <w:p w:rsidR="00BA3509" w:rsidRPr="00596834" w:rsidRDefault="00BA3509">
            <w:pPr>
              <w:pStyle w:val="Normaltindrag"/>
              <w:ind w:firstLine="0"/>
            </w:pPr>
            <w:r w:rsidRPr="00596834">
              <w:t>+58,6%</w:t>
            </w:r>
          </w:p>
        </w:tc>
        <w:tc>
          <w:tcPr>
            <w:tcW w:w="1276" w:type="dxa"/>
          </w:tcPr>
          <w:p w:rsidR="00BA3509" w:rsidRPr="00596834" w:rsidRDefault="00BA3509">
            <w:pPr>
              <w:pStyle w:val="Normaltindrag"/>
              <w:ind w:firstLine="0"/>
            </w:pPr>
            <w:r w:rsidRPr="00596834">
              <w:t>445</w:t>
            </w:r>
          </w:p>
        </w:tc>
        <w:tc>
          <w:tcPr>
            <w:tcW w:w="1417" w:type="dxa"/>
          </w:tcPr>
          <w:p w:rsidR="00BA3509" w:rsidRPr="00596834" w:rsidRDefault="00BA3509">
            <w:pPr>
              <w:pStyle w:val="Normaltindrag"/>
              <w:ind w:firstLine="0"/>
            </w:pPr>
            <w:r w:rsidRPr="00596834">
              <w:t>+58,6%</w:t>
            </w:r>
          </w:p>
        </w:tc>
      </w:tr>
      <w:tr w:rsidR="00BA3509" w:rsidRPr="00596834">
        <w:tblPrEx>
          <w:tblCellMar>
            <w:top w:w="0" w:type="dxa"/>
            <w:bottom w:w="0" w:type="dxa"/>
          </w:tblCellMar>
        </w:tblPrEx>
        <w:trPr>
          <w:trHeight w:val="242"/>
        </w:trPr>
        <w:tc>
          <w:tcPr>
            <w:tcW w:w="2376" w:type="dxa"/>
          </w:tcPr>
          <w:p w:rsidR="00BA3509" w:rsidRPr="00596834" w:rsidRDefault="00BA3509">
            <w:pPr>
              <w:pStyle w:val="Normaltindrag"/>
              <w:ind w:firstLine="0"/>
              <w:jc w:val="left"/>
            </w:pPr>
            <w:r w:rsidRPr="00596834">
              <w:t>Totalt</w:t>
            </w:r>
          </w:p>
        </w:tc>
        <w:tc>
          <w:tcPr>
            <w:tcW w:w="1134" w:type="dxa"/>
          </w:tcPr>
          <w:p w:rsidR="00BA3509" w:rsidRPr="00596834" w:rsidRDefault="00BA3509">
            <w:pPr>
              <w:pStyle w:val="Normaltindrag"/>
              <w:ind w:firstLine="0"/>
            </w:pPr>
            <w:r w:rsidRPr="00596834">
              <w:t>126 824</w:t>
            </w:r>
          </w:p>
        </w:tc>
        <w:tc>
          <w:tcPr>
            <w:tcW w:w="1418" w:type="dxa"/>
          </w:tcPr>
          <w:p w:rsidR="00BA3509" w:rsidRPr="00596834" w:rsidRDefault="00BA3509">
            <w:pPr>
              <w:pStyle w:val="Normaltindrag"/>
              <w:ind w:firstLine="0"/>
            </w:pPr>
            <w:r w:rsidRPr="00596834">
              <w:t>+4,6%</w:t>
            </w:r>
          </w:p>
        </w:tc>
        <w:tc>
          <w:tcPr>
            <w:tcW w:w="1276" w:type="dxa"/>
          </w:tcPr>
          <w:p w:rsidR="00BA3509" w:rsidRPr="00596834" w:rsidRDefault="00BA3509">
            <w:pPr>
              <w:pStyle w:val="Normaltindrag"/>
              <w:ind w:firstLine="0"/>
            </w:pPr>
            <w:r w:rsidRPr="00596834">
              <w:t>116 418</w:t>
            </w:r>
          </w:p>
        </w:tc>
        <w:tc>
          <w:tcPr>
            <w:tcW w:w="1417" w:type="dxa"/>
          </w:tcPr>
          <w:p w:rsidR="00BA3509" w:rsidRPr="00596834" w:rsidRDefault="00BA3509">
            <w:pPr>
              <w:pStyle w:val="Normaltindrag"/>
              <w:ind w:firstLine="0"/>
            </w:pPr>
            <w:r w:rsidRPr="00596834">
              <w:t>+3,9%</w:t>
            </w:r>
          </w:p>
        </w:tc>
      </w:tr>
      <w:tr w:rsidR="00BA3509" w:rsidRPr="00596834">
        <w:tblPrEx>
          <w:tblCellMar>
            <w:top w:w="0" w:type="dxa"/>
            <w:bottom w:w="0" w:type="dxa"/>
          </w:tblCellMar>
        </w:tblPrEx>
        <w:trPr>
          <w:trHeight w:val="242"/>
        </w:trPr>
        <w:tc>
          <w:tcPr>
            <w:tcW w:w="2376" w:type="dxa"/>
          </w:tcPr>
          <w:p w:rsidR="00BA3509" w:rsidRPr="00596834" w:rsidRDefault="00BA3509">
            <w:pPr>
              <w:pStyle w:val="Normaltindrag"/>
              <w:ind w:firstLine="0"/>
              <w:jc w:val="left"/>
              <w:rPr>
                <w:b/>
                <w:i/>
              </w:rPr>
            </w:pPr>
            <w:r w:rsidRPr="00596834">
              <w:rPr>
                <w:b/>
                <w:i/>
              </w:rPr>
              <w:t>Budgetramen</w:t>
            </w:r>
          </w:p>
        </w:tc>
        <w:tc>
          <w:tcPr>
            <w:tcW w:w="1134" w:type="dxa"/>
          </w:tcPr>
          <w:p w:rsidR="00BA3509" w:rsidRPr="00596834" w:rsidRDefault="00BA3509">
            <w:pPr>
              <w:pStyle w:val="Normaltindrag"/>
              <w:ind w:firstLine="0"/>
            </w:pPr>
            <w:r w:rsidRPr="00596834">
              <w:t>128 091</w:t>
            </w:r>
          </w:p>
        </w:tc>
        <w:tc>
          <w:tcPr>
            <w:tcW w:w="1418" w:type="dxa"/>
          </w:tcPr>
          <w:p w:rsidR="00BA3509" w:rsidRPr="00596834" w:rsidRDefault="00BA3509">
            <w:pPr>
              <w:pStyle w:val="Normaltindrag"/>
              <w:ind w:firstLine="0"/>
            </w:pPr>
          </w:p>
        </w:tc>
        <w:tc>
          <w:tcPr>
            <w:tcW w:w="1276" w:type="dxa"/>
          </w:tcPr>
          <w:p w:rsidR="00BA3509" w:rsidRPr="00596834" w:rsidRDefault="00BA3509">
            <w:pPr>
              <w:pStyle w:val="Normaltindrag"/>
              <w:ind w:firstLine="0"/>
            </w:pPr>
            <w:r w:rsidRPr="00596834">
              <w:t>123 790</w:t>
            </w:r>
          </w:p>
        </w:tc>
        <w:tc>
          <w:tcPr>
            <w:tcW w:w="1417" w:type="dxa"/>
          </w:tcPr>
          <w:p w:rsidR="00BA3509" w:rsidRPr="00596834" w:rsidRDefault="00BA3509">
            <w:pPr>
              <w:pStyle w:val="Normaltindrag"/>
              <w:ind w:firstLine="0"/>
            </w:pPr>
          </w:p>
        </w:tc>
      </w:tr>
      <w:tr w:rsidR="00BA3509" w:rsidRPr="00596834">
        <w:tblPrEx>
          <w:tblCellMar>
            <w:top w:w="0" w:type="dxa"/>
            <w:bottom w:w="0" w:type="dxa"/>
          </w:tblCellMar>
        </w:tblPrEx>
        <w:trPr>
          <w:trHeight w:val="242"/>
        </w:trPr>
        <w:tc>
          <w:tcPr>
            <w:tcW w:w="2376" w:type="dxa"/>
          </w:tcPr>
          <w:p w:rsidR="00BA3509" w:rsidRPr="00596834" w:rsidRDefault="00BA3509">
            <w:pPr>
              <w:pStyle w:val="Normaltindrag"/>
              <w:ind w:firstLine="0"/>
              <w:jc w:val="left"/>
              <w:rPr>
                <w:b/>
                <w:i/>
              </w:rPr>
            </w:pPr>
            <w:r w:rsidRPr="00596834">
              <w:rPr>
                <w:b/>
                <w:i/>
              </w:rPr>
              <w:t>Marginal till budgetramen</w:t>
            </w:r>
          </w:p>
        </w:tc>
        <w:tc>
          <w:tcPr>
            <w:tcW w:w="1134" w:type="dxa"/>
          </w:tcPr>
          <w:p w:rsidR="00BA3509" w:rsidRPr="00596834" w:rsidRDefault="00BA3509">
            <w:pPr>
              <w:pStyle w:val="Normaltindrag"/>
              <w:ind w:firstLine="0"/>
            </w:pPr>
            <w:r w:rsidRPr="00596834">
              <w:t>1 577</w:t>
            </w:r>
          </w:p>
        </w:tc>
        <w:tc>
          <w:tcPr>
            <w:tcW w:w="1418" w:type="dxa"/>
          </w:tcPr>
          <w:p w:rsidR="00BA3509" w:rsidRPr="00596834" w:rsidRDefault="00BA3509">
            <w:pPr>
              <w:pStyle w:val="Normaltindrag"/>
              <w:ind w:firstLine="0"/>
            </w:pPr>
          </w:p>
        </w:tc>
        <w:tc>
          <w:tcPr>
            <w:tcW w:w="1276" w:type="dxa"/>
          </w:tcPr>
          <w:p w:rsidR="00BA3509" w:rsidRPr="00596834" w:rsidRDefault="00BA3509">
            <w:pPr>
              <w:pStyle w:val="Normaltindrag"/>
              <w:ind w:firstLine="0"/>
            </w:pPr>
            <w:r w:rsidRPr="00596834">
              <w:t>7 448</w:t>
            </w:r>
          </w:p>
        </w:tc>
        <w:tc>
          <w:tcPr>
            <w:tcW w:w="1417" w:type="dxa"/>
          </w:tcPr>
          <w:p w:rsidR="00BA3509" w:rsidRPr="00596834" w:rsidRDefault="00BA3509">
            <w:pPr>
              <w:pStyle w:val="Normaltindrag"/>
              <w:ind w:firstLine="0"/>
            </w:pPr>
          </w:p>
        </w:tc>
      </w:tr>
      <w:tr w:rsidR="00BA3509" w:rsidRPr="00596834">
        <w:tblPrEx>
          <w:tblCellMar>
            <w:top w:w="0" w:type="dxa"/>
            <w:bottom w:w="0" w:type="dxa"/>
          </w:tblCellMar>
        </w:tblPrEx>
        <w:trPr>
          <w:trHeight w:val="242"/>
        </w:trPr>
        <w:tc>
          <w:tcPr>
            <w:tcW w:w="2376" w:type="dxa"/>
          </w:tcPr>
          <w:p w:rsidR="00BA3509" w:rsidRPr="00596834" w:rsidRDefault="00BA3509">
            <w:pPr>
              <w:pStyle w:val="Normaltindrag"/>
              <w:ind w:firstLine="0"/>
              <w:rPr>
                <w:b/>
                <w:i/>
              </w:rPr>
            </w:pPr>
            <w:r w:rsidRPr="00596834">
              <w:rPr>
                <w:b/>
                <w:i/>
              </w:rPr>
              <w:t>% av BNI</w:t>
            </w:r>
            <w:r w:rsidRPr="00596834">
              <w:rPr>
                <w:rStyle w:val="Fotnotsreferens"/>
                <w:b/>
                <w:i/>
              </w:rPr>
              <w:footnoteReference w:id="1"/>
            </w:r>
          </w:p>
        </w:tc>
        <w:tc>
          <w:tcPr>
            <w:tcW w:w="1134" w:type="dxa"/>
          </w:tcPr>
          <w:p w:rsidR="00BA3509" w:rsidRPr="00596834" w:rsidRDefault="00BA3509">
            <w:pPr>
              <w:pStyle w:val="Normaltindrag"/>
              <w:ind w:firstLine="0"/>
            </w:pPr>
            <w:r w:rsidRPr="00596834">
              <w:t>1,08%</w:t>
            </w:r>
          </w:p>
        </w:tc>
        <w:tc>
          <w:tcPr>
            <w:tcW w:w="1418" w:type="dxa"/>
          </w:tcPr>
          <w:p w:rsidR="00BA3509" w:rsidRPr="00596834" w:rsidRDefault="00BA3509">
            <w:pPr>
              <w:pStyle w:val="Normaltindrag"/>
              <w:ind w:firstLine="0"/>
            </w:pPr>
          </w:p>
        </w:tc>
        <w:tc>
          <w:tcPr>
            <w:tcW w:w="1276" w:type="dxa"/>
          </w:tcPr>
          <w:p w:rsidR="00BA3509" w:rsidRPr="00596834" w:rsidRDefault="00BA3509">
            <w:pPr>
              <w:pStyle w:val="Normaltindrag"/>
              <w:ind w:firstLine="0"/>
            </w:pPr>
            <w:r w:rsidRPr="00596834">
              <w:t>0,99%</w:t>
            </w:r>
          </w:p>
        </w:tc>
        <w:tc>
          <w:tcPr>
            <w:tcW w:w="1417" w:type="dxa"/>
          </w:tcPr>
          <w:p w:rsidR="00BA3509" w:rsidRPr="00596834" w:rsidRDefault="00BA3509">
            <w:pPr>
              <w:pStyle w:val="Normaltindrag"/>
              <w:ind w:firstLine="0"/>
            </w:pPr>
          </w:p>
        </w:tc>
      </w:tr>
    </w:tbl>
    <w:p w:rsidR="00BA3509" w:rsidRPr="00596834" w:rsidRDefault="00BA3509">
      <w:pPr>
        <w:pStyle w:val="Rubrik3"/>
      </w:pPr>
      <w:r w:rsidRPr="00596834">
        <w:t>Rubrik 1 Hållbar tillväxt</w:t>
      </w:r>
    </w:p>
    <w:p w:rsidR="00BA3509" w:rsidRPr="00596834" w:rsidRDefault="00BA3509">
      <w:r w:rsidRPr="00596834">
        <w:t xml:space="preserve">I kommissionens förslag till budget för 2007 föreslås åtagandeanslagen under rubrik 1 uppgå till 54 miljarder euro och betalningsanslagen till 44 miljarder euro. Det motsvarar en ökning med 3,5 % för åtaganden och 4,6 % för betalningar. </w:t>
      </w:r>
    </w:p>
    <w:p w:rsidR="00BA3509" w:rsidRPr="00596834" w:rsidRDefault="00BA3509">
      <w:r w:rsidRPr="00596834">
        <w:rPr>
          <w:b/>
          <w:bCs/>
        </w:rPr>
        <w:t>Underrubrik 1a</w:t>
      </w:r>
      <w:r w:rsidRPr="00596834">
        <w:t xml:space="preserve"> omfattar huvudsakligen insatser som hör hemma inom Lissabonstrategin, bl.a. ramprogrammet för konkurrenskraft och innovation (CIP), Transeuropeiska nätverken (TEN), Galileo, Programmet för livslångt lärande samt det 7:e ramprogrammet för forskning och teknisk utveckling. Politikområden som har sina huvudsakliga utgifter under denna rubrik är bl.a.; Näringsliv (PO 2), Energi och transport (PO 6), Forskning (PO 8), Informationssamhälle och media (PO 9) samt Utbildning och kultur (PO 15). </w:t>
      </w:r>
    </w:p>
    <w:p w:rsidR="00BA3509" w:rsidRPr="00596834" w:rsidRDefault="00BA3509">
      <w:r w:rsidRPr="00596834">
        <w:t>KOM:s förslag innebär en ökning av åtagandeanslagen med 11,5 %, jämfört med 2006 medan betalningsanslagen föreslås minska med 6,5 %. KOM föreslår en marginal på knappt 122 miljoner euro, motsvarande ca 1,5 %.</w:t>
      </w:r>
    </w:p>
    <w:p w:rsidR="00BA3509" w:rsidRPr="00596834" w:rsidRDefault="00BA3509">
      <w:r w:rsidRPr="00596834">
        <w:rPr>
          <w:b/>
          <w:bCs/>
        </w:rPr>
        <w:t>Underrubrik 1b</w:t>
      </w:r>
      <w:r w:rsidRPr="00596834">
        <w:t xml:space="preserve"> omfattar Strukturfonderna (ERUF och ESF) och sammanhållningsfonden. Två politikområden ryms inom underrubriken; Arbetsmarknad och Socialpolitik (PO 4) samt Regionalpolitik (PO 13). För perioden 2007-2013 finns tre mål för sammanhållningspolitiken: Konvergens, Regional konkurrenskraft och sysselsättning samt Territoriellt samarbete. </w:t>
      </w:r>
    </w:p>
    <w:p w:rsidR="00BA3509" w:rsidRPr="00596834" w:rsidRDefault="00BA3509">
      <w:r w:rsidRPr="00596834">
        <w:t xml:space="preserve">KOM:s förslag till totalnivå för åtaganden härrör från överenskommelsen i Europeiska rådet i december 2005. Fördelningen mellan fonderna är preliminär och kommer att behöva ses över i samband med förhandlingarna om de nationella strategierna och programdokumenten. Dessa förhandlingar beräknas tidigast bli klara under hösten. </w:t>
      </w:r>
    </w:p>
    <w:p w:rsidR="00BA3509" w:rsidRPr="00596834" w:rsidRDefault="00BA3509">
      <w:r w:rsidRPr="00596834">
        <w:t xml:space="preserve">KOM:s förslag till betalningar består huvudsakligen av två delar, dels förskottsutbetalningar för den nya programperioden och dels utestående betalningar avseende perioden 2000-2006. </w:t>
      </w:r>
    </w:p>
    <w:p w:rsidR="00BA3509" w:rsidRPr="00596834" w:rsidRDefault="00BA3509">
      <w:pPr>
        <w:pStyle w:val="Rubrik3"/>
      </w:pPr>
      <w:r w:rsidRPr="00596834">
        <w:t>Rubrik 2 Bevarande och förvaltning av naturresurser</w:t>
      </w:r>
    </w:p>
    <w:p w:rsidR="00BA3509" w:rsidRPr="00596834" w:rsidRDefault="00BA3509">
      <w:r w:rsidRPr="00596834">
        <w:t>För 2007 års budget föreslår kommissionen betalningsanslag på 57 218 miljoner euro till rubrik 2, varav 43 684 miljoner euro avser jordbruksstöd (marknadsutgifter och direktstöd) och 12 371 miljoner euro avser landsbygdsutveckling. Av det totala beloppet för rubrik 2 planeras 888 miljoner euro för fiske och 241 miljoner euro för miljö. Det lämnar en marginal på 1 133 miljoner euro under taket i budgetramen för 2007-2013. De åtagandebemyndiganden som föreslås för 2007 års budget utgör en ökning med 1,2 %, eller 667 miljoner euro, jämfort med 2006 års budget.</w:t>
      </w:r>
    </w:p>
    <w:p w:rsidR="00BA3509" w:rsidRPr="00596834" w:rsidRDefault="00BA3509">
      <w:r w:rsidRPr="00596834">
        <w:t>2007 års budget är den andra budgeten i följd som påverkas av den så kallade moduleringen. Direktstöd kommer att minska med en moduleringsfaktor på 4 %, vilket motsvaras av 984 miljoner euro.</w:t>
      </w:r>
    </w:p>
    <w:p w:rsidR="00BA3509" w:rsidRPr="00596834" w:rsidRDefault="00BA3509">
      <w:r w:rsidRPr="00596834">
        <w:t xml:space="preserve">I enlighet med budgetförordningen och rådets förordning om finansieringen av den gemensamma jordbrukspolitiken, kommer intäkter för särskilda ändamål att föras in i Europeiska garantifonden för jordbruket (EGFJ) från och med 2007. Detta innebär att vissa transaktioner som tidigare behandlades som negativa utgifter (kontroll av överensstämmelse, återvinning av belopp och mjölkavgifter) kommer att ersättas med intäkter för särskilda ändamål. </w:t>
      </w:r>
    </w:p>
    <w:p w:rsidR="00BA3509" w:rsidRPr="00596834" w:rsidRDefault="00BA3509">
      <w:r w:rsidRPr="00596834">
        <w:t>I och med reformen av den gemensamma marknadsorganisationen för socker upprättades en tillfällig fond för omstruktureringen av sockerindustrin. Den kommer att finansieras genom tillfälliga avsatta inkomster och inte genom gemenskapens egna medel (medlemsstaternas EU-avgifter).</w:t>
      </w:r>
    </w:p>
    <w:p w:rsidR="00BA3509" w:rsidRPr="00596834" w:rsidRDefault="00BA3509">
      <w:pPr>
        <w:pStyle w:val="Rubrik3"/>
        <w:spacing w:after="100" w:afterAutospacing="1"/>
      </w:pPr>
      <w:r w:rsidRPr="00596834">
        <w:t>Rubrik 3 Inre politik</w:t>
      </w:r>
    </w:p>
    <w:p w:rsidR="00BA3509" w:rsidRPr="00596834" w:rsidRDefault="00BA3509">
      <w:r w:rsidRPr="00596834">
        <w:t>Kommissionen föreslår att åtagandeanslagen inom rubrik 3 ska uppgå till 1 174 miljoner euro. Betalningsanslagen föreslås i kommissionens förslag att uppgå till 1 107 miljoner euro. Åtagandeanslagen för underrubrik 3a Frihet, säkerhet och rättvisa ökar med 4 % till 571 miljoner euro, vilket lämnar en marginal på 66 miljoner euro. För betalningar anslås totalt 427 miljoner euro, vilket är en minskning med 19,9 %. För underrubrik 3b Annan inre politik anslås sammanlagt 603 miljoner euro i åtagandeanslag, vilket är 1,4 % mindre än 2006. Marginalen upp till utgiftstaket blir därmed 33 miljoner euro. Anslagen för betalningar under denna underrubrik ökar till 680 miljoner euro bland annat till åtgärder för djur- och folkhälsa, vilket är en ökning på 8,9 %.</w:t>
      </w:r>
    </w:p>
    <w:p w:rsidR="00BA3509" w:rsidRPr="00596834" w:rsidRDefault="00BA3509">
      <w:r w:rsidRPr="00596834">
        <w:rPr>
          <w:b/>
          <w:bCs/>
        </w:rPr>
        <w:t>Underrubrik 3a Frihet, säkerhet och rättvisa</w:t>
      </w:r>
      <w:r w:rsidRPr="00596834">
        <w:t xml:space="preserve"> omfattar frågor som hantering av migrationsströmmar, skapandet av en gemensam asylpolitik, integration, kampen mot terrorism och organiserad brottslighet, civilrätt, straffrätt och medborgarskap. </w:t>
      </w:r>
    </w:p>
    <w:p w:rsidR="00BA3509" w:rsidRPr="00596834" w:rsidRDefault="00BA3509">
      <w:r w:rsidRPr="00596834">
        <w:rPr>
          <w:b/>
          <w:bCs/>
        </w:rPr>
        <w:t xml:space="preserve">Underrubrik 3b Annan inre politik </w:t>
      </w:r>
      <w:r w:rsidRPr="00596834">
        <w:t>omfattar frågor som direkt berör EU-medborgarna, t.ex. djur- och folkhälsa, konsumentskydd och livsmedelssäkerhet samt snabbinsatser och beredskap för allvarliga olyckshändelser.</w:t>
      </w:r>
      <w:r w:rsidRPr="00596834">
        <w:rPr>
          <w:rFonts w:eastAsia="EUAlbertina-Regular-Identity-H"/>
          <w:szCs w:val="19"/>
          <w:lang w:eastAsia="en-US"/>
        </w:rPr>
        <w:t xml:space="preserve"> </w:t>
      </w:r>
    </w:p>
    <w:p w:rsidR="00BA3509" w:rsidRPr="00596834" w:rsidRDefault="00BA3509">
      <w:pPr>
        <w:pStyle w:val="Rubrik3"/>
      </w:pPr>
      <w:r w:rsidRPr="00596834">
        <w:t>Rubrik 4 EU som global partner</w:t>
      </w:r>
    </w:p>
    <w:p w:rsidR="00BA3509" w:rsidRPr="00596834" w:rsidRDefault="00BA3509">
      <w:r w:rsidRPr="00596834">
        <w:t>För rubrik 4 föreslår kommissionen en minskning av åtagandeanslagen med 20,2 % till 6 703 miljoner euro och en minskning av betalningsanslagen med 13,8 % till 7 448 miljoner euro. EU:s ansvar för yttre åtgärder inriktas på tre huvudsakliga mål: att skapa stabilitet, säkerhet och välstånd i EU:s grannskap (</w:t>
      </w:r>
      <w:r w:rsidRPr="00596834">
        <w:rPr>
          <w:rFonts w:hint="eastAsia"/>
        </w:rPr>
        <w:t>”</w:t>
      </w:r>
      <w:r w:rsidRPr="00596834">
        <w:t>EU och grannskapspolitiken</w:t>
      </w:r>
      <w:r w:rsidRPr="00596834">
        <w:rPr>
          <w:rFonts w:hint="eastAsia"/>
        </w:rPr>
        <w:t>”</w:t>
      </w:r>
      <w:r w:rsidRPr="00596834">
        <w:t>), att aktivt arbeta för en hållbar utveckling på internationell nivå (</w:t>
      </w:r>
      <w:r w:rsidRPr="00596834">
        <w:rPr>
          <w:rFonts w:hint="eastAsia"/>
        </w:rPr>
        <w:t>”</w:t>
      </w:r>
      <w:r w:rsidRPr="00596834">
        <w:t>EU som partner för hållbar utveckling</w:t>
      </w:r>
      <w:r w:rsidRPr="00596834">
        <w:rPr>
          <w:rFonts w:hint="eastAsia"/>
        </w:rPr>
        <w:t>”</w:t>
      </w:r>
      <w:r w:rsidRPr="00596834">
        <w:t>), och att främja ett gott politiskt styre på global nivå samt garantera strategisk och civil säkerhet (</w:t>
      </w:r>
      <w:r w:rsidRPr="00596834">
        <w:rPr>
          <w:rFonts w:hint="eastAsia"/>
        </w:rPr>
        <w:t>”</w:t>
      </w:r>
      <w:r w:rsidRPr="00596834">
        <w:t>EU som global partner</w:t>
      </w:r>
      <w:r w:rsidRPr="00596834">
        <w:rPr>
          <w:rFonts w:hint="eastAsia"/>
        </w:rPr>
        <w:t>”</w:t>
      </w:r>
      <w:r w:rsidRPr="00596834">
        <w:t>).</w:t>
      </w:r>
    </w:p>
    <w:p w:rsidR="00BA3509" w:rsidRPr="00596834" w:rsidRDefault="00BA3509">
      <w:r w:rsidRPr="00596834">
        <w:t>För de tre övergripande politikområdena, d v s anslutningspolitiken, unionens politik gentemot grannländerna samt unionens politik till stöd för ekonomiskt samarbete och utvecklingssamarbete med andra länder år 2007 planeras nya program för perioden 2007-2013. Dessa program baseras på tre nya huvudinstrument, instrumenten reglerar verksamheten och den totala budgeten för programmen. De tre instrumenten är instrumentet för stöd inför anslutningen, europeiska grannskaps- och partnerskapsinstrumentet samt instrumentet för utvecklingssamarbete. Dessa kompletteras med tre särskilda instrument (varav ett är nytt) som skall användas för att tillgodose särskilda behov och i synnerhet för att reagera på krissituationer (stabilitetsinstrumentet, instrumentet för humanitärt bistånd och instrumentet för makroekonomiskt stöd). Kommissionen föreslår att anslaget för den gemensamma utrikes- och säkerhetspolitiken (GUSP) ökar kraftigt till 159 miljoner euro för år 2007. Marginalen inom rubrik 4 uppgår till 110 miljoner euro vilket motsvarar 1,7 %.</w:t>
      </w:r>
    </w:p>
    <w:p w:rsidR="00BA3509" w:rsidRPr="00596834" w:rsidRDefault="00BA3509">
      <w:pPr>
        <w:pStyle w:val="Rubrik3"/>
      </w:pPr>
      <w:r w:rsidRPr="00596834">
        <w:t>Rubrik 5 Administration</w:t>
      </w:r>
    </w:p>
    <w:p w:rsidR="00BA3509" w:rsidRPr="00596834" w:rsidRDefault="00BA3509">
      <w:r w:rsidRPr="00596834">
        <w:t>Kommissionen föreslår en höjning av både åtagandeanslag och betalningsanslag med 6,0 % till 7 002 miljoner euro. Kommissionen motiverar de ökade anslagen med utökade arbetsuppgifter och ökad arbetsbelstning och ett ökat antal tjänster som utvidgningen leder till. Den utökade personalen ger enligt kommissionen i sin tur upphov till ökade kostnader för lokalhyror.</w:t>
      </w:r>
    </w:p>
    <w:p w:rsidR="00BA3509" w:rsidRPr="00596834" w:rsidRDefault="00BA3509"/>
    <w:p w:rsidR="00BA3509" w:rsidRPr="00596834" w:rsidRDefault="00BA3509">
      <w:pPr>
        <w:pStyle w:val="Rubrik2"/>
      </w:pPr>
      <w:r w:rsidRPr="00596834">
        <w:t>Gällande svenska regler och förslagets effekt på dessa</w:t>
      </w:r>
    </w:p>
    <w:p w:rsidR="00BA3509" w:rsidRPr="00596834" w:rsidRDefault="00BA3509">
      <w:r w:rsidRPr="00596834">
        <w:t>Förslaget har ingen effekt på svenska regler.</w:t>
      </w:r>
    </w:p>
    <w:p w:rsidR="00BA3509" w:rsidRPr="00596834" w:rsidRDefault="00BA3509">
      <w:pPr>
        <w:pStyle w:val="Rubrik2"/>
      </w:pPr>
      <w:r w:rsidRPr="00596834">
        <w:t>Budgetära konsekvenser</w:t>
      </w:r>
    </w:p>
    <w:p w:rsidR="00BA3509" w:rsidRPr="00596834" w:rsidRDefault="00BA3509">
      <w:pPr>
        <w:autoSpaceDE w:val="0"/>
        <w:autoSpaceDN w:val="0"/>
        <w:adjustRightInd w:val="0"/>
        <w:spacing w:before="120" w:line="240" w:lineRule="atLeast"/>
        <w:rPr>
          <w:color w:val="000000"/>
        </w:rPr>
      </w:pPr>
      <w:r w:rsidRPr="00596834">
        <w:rPr>
          <w:color w:val="000000"/>
        </w:rPr>
        <w:t xml:space="preserve">En ökning av betalningsanslagen får direkt effekt på EU-avgiften det aktuella budgetåret. </w:t>
      </w:r>
    </w:p>
    <w:p w:rsidR="00BA3509" w:rsidRPr="00596834" w:rsidRDefault="00BA3509">
      <w:pPr>
        <w:autoSpaceDE w:val="0"/>
        <w:autoSpaceDN w:val="0"/>
        <w:adjustRightInd w:val="0"/>
        <w:spacing w:before="120" w:line="240" w:lineRule="atLeast"/>
        <w:rPr>
          <w:color w:val="000000"/>
        </w:rPr>
      </w:pPr>
      <w:r w:rsidRPr="00596834">
        <w:rPr>
          <w:color w:val="000000"/>
        </w:rPr>
        <w:t xml:space="preserve">Kommissionens föreslagna ökning av betalningarna för 2007 skulle innebära en ökning av den svenska avgiften till EU för 2007 med cirka 1 miljard kronor jämfört med beräkningen av prognosen som uppskattades till 27,4 miljarder kronor i 2006 års ekonomiska vårproposition. Skillnaden mellan kommissionens förslag och den svenska beräkningen förklaras av att Sverige antar en lägre genomförandegrad. </w:t>
      </w:r>
    </w:p>
    <w:p w:rsidR="00BA3509" w:rsidRPr="00596834" w:rsidRDefault="00BA3509">
      <w:pPr>
        <w:rPr>
          <w:color w:val="000000"/>
        </w:rPr>
      </w:pPr>
      <w:r w:rsidRPr="00596834">
        <w:rPr>
          <w:color w:val="000000"/>
        </w:rPr>
        <w:t>En ökning av åtagandebemyndiganden innebär att avgiften ökar på sikt när dessa åtaganden väl förfaller till betalning</w:t>
      </w:r>
    </w:p>
    <w:p w:rsidR="00BA3509" w:rsidRPr="00596834" w:rsidRDefault="00BA3509">
      <w:pPr>
        <w:rPr>
          <w:kern w:val="28"/>
        </w:rPr>
      </w:pPr>
    </w:p>
    <w:p w:rsidR="00BA3509" w:rsidRPr="00596834" w:rsidRDefault="00BA3509">
      <w:pPr>
        <w:pStyle w:val="Rubrik1"/>
      </w:pPr>
      <w:r w:rsidRPr="00596834">
        <w:t>Ståndpunkter</w:t>
      </w:r>
    </w:p>
    <w:p w:rsidR="00BA3509" w:rsidRPr="00596834" w:rsidRDefault="00BA3509">
      <w:pPr>
        <w:pStyle w:val="Rubrik2"/>
      </w:pPr>
      <w:r w:rsidRPr="00596834">
        <w:t>Svensk ståndpunkt</w:t>
      </w:r>
    </w:p>
    <w:p w:rsidR="00BA3509" w:rsidRPr="00596834" w:rsidRDefault="00BA3509">
      <w:r w:rsidRPr="00596834">
        <w:t xml:space="preserve">En övergripande svensk målsättning är att tillräckliga marginaler mellan den fleråriga budgetramen och årsbudgeten upprätthålls för att säkerställa att budgetramen respekteras och att nya utgifter skall finansieras genom omprioriteringar inom respektive budgetrubrik. </w:t>
      </w:r>
    </w:p>
    <w:p w:rsidR="00BA3509" w:rsidRPr="00596834" w:rsidRDefault="00BA3509">
      <w:r w:rsidRPr="00596834">
        <w:t>Målet för 2007 års budget bör liksom tidigare år vara att nå en så restriktiv budget som möjligt. Anslag med låg utnyttjandegrad bör normalt kunna sänkas. Den slutligt antagna budgeten för år 2007 bör med god marginal rymmas inom den fleråriga budgetramen så att det finns utrymme för oförutsedda utgifter under det löpande budgetåret. Detta är särskilt viktigt då 2007 är det första året inom den nya fleråriga budgetramen. Sverige har därför som utgångspunkt att arbetet med årsbudgeten för 2007 skall präglas av stramhet och budgetdisciplin.</w:t>
      </w:r>
    </w:p>
    <w:p w:rsidR="00BA3509" w:rsidRPr="00596834" w:rsidRDefault="00BA3509">
      <w:pPr>
        <w:pStyle w:val="Normaltindrag"/>
      </w:pPr>
    </w:p>
    <w:p w:rsidR="00BA3509" w:rsidRPr="00596834" w:rsidRDefault="00BA3509">
      <w:pPr>
        <w:pStyle w:val="Normaltindrag"/>
      </w:pPr>
      <w:r w:rsidRPr="00596834">
        <w:t>Under en följd av år har betalningsanslagen i rubrik 1 och 2 varit kraftigt överbudgeterade. För kategori 2 (nya rubrik 1b) har emellertid denna trend brutits och anslagsnivåerna har legat på mer realistiska nivåer. Sverige bedömer emellertid att de av kommissionen föreslagna nivåerna är för höga och avser verka för sänkta och mer realistiska nivåer på betalningarna. Så länge betalningsanslagen är överbudgeterade påverkar en sänkning av dem inte utbetalningarna till slutanvändarna av EU-medel utan endast avgifterna som medlemsstaterna förskottsinbetalar. I den mån behovet skulle överstiga anslagna medel kan ytterligare medel tillföras under året genom en tilläggsbudget.</w:t>
      </w:r>
    </w:p>
    <w:p w:rsidR="00BA3509" w:rsidRPr="00596834" w:rsidRDefault="00BA3509">
      <w:pPr>
        <w:pStyle w:val="Normaltindrag"/>
      </w:pPr>
    </w:p>
    <w:p w:rsidR="00BA3509" w:rsidRPr="00596834" w:rsidRDefault="00BA3509">
      <w:pPr>
        <w:pStyle w:val="Rubrik2"/>
      </w:pPr>
      <w:r w:rsidRPr="00596834">
        <w:t>Medlemsstaternas ståndpunkter</w:t>
      </w:r>
    </w:p>
    <w:p w:rsidR="00BA3509" w:rsidRPr="00596834" w:rsidRDefault="00BA3509">
      <w:r w:rsidRPr="00596834">
        <w:t>Sverige ingår i en grupp av likasinnade medlemsländer som tillsammans med Sverige förespråkar en budgetrestriktiv linje i rådet. Det finns också medlemsstater som vill försäkra sig om att det finns tillräckliga medel för betalningar inom strukturfonderna och jordbruket.</w:t>
      </w:r>
    </w:p>
    <w:p w:rsidR="00BA3509" w:rsidRPr="00596834" w:rsidRDefault="00BA3509">
      <w:pPr>
        <w:pStyle w:val="Rubrik2"/>
      </w:pPr>
      <w:r w:rsidRPr="00596834">
        <w:t>Institutionernas ståndpunkt</w:t>
      </w:r>
    </w:p>
    <w:p w:rsidR="00BA3509" w:rsidRPr="00596834" w:rsidRDefault="00BA3509">
      <w:r w:rsidRPr="00596834">
        <w:t xml:space="preserve">Europaparlamentet har i ett första uttalande framfört att debatten om EU:s budget 2007 bör inriktas på tre områden: att fastställa prioriteringar för extern och intern politik, säkra kvalitativ valuta för pengarna tillsammans med lönsamhetsberäkningar och förbereda översynen 2008-2009. Generellt kan sägas att Europaparlamentet strävar efter ökat samarbete på europeisk nivå. Detta har tidigare år bidragit till att Europaparlamentet har en benägenhet att öka utgifterna. </w:t>
      </w:r>
    </w:p>
    <w:p w:rsidR="00BA3509" w:rsidRPr="00596834" w:rsidRDefault="00BA3509">
      <w:pPr>
        <w:autoSpaceDE w:val="0"/>
        <w:autoSpaceDN w:val="0"/>
        <w:adjustRightInd w:val="0"/>
        <w:spacing w:before="0" w:line="240" w:lineRule="auto"/>
        <w:jc w:val="left"/>
      </w:pPr>
    </w:p>
    <w:p w:rsidR="00BA3509" w:rsidRPr="00596834" w:rsidRDefault="00BA3509">
      <w:pPr>
        <w:pStyle w:val="Rubrik1"/>
      </w:pPr>
      <w:r w:rsidRPr="00596834">
        <w:t>Övrigt</w:t>
      </w:r>
    </w:p>
    <w:p w:rsidR="00BA3509" w:rsidRPr="00596834" w:rsidRDefault="00BA3509">
      <w:pPr>
        <w:pStyle w:val="Rubrik2"/>
      </w:pPr>
      <w:r w:rsidRPr="00596834">
        <w:t>Fortsatt behandling av ärendet</w:t>
      </w:r>
    </w:p>
    <w:p w:rsidR="00BA3509" w:rsidRPr="00596834" w:rsidRDefault="00BA3509">
      <w:r w:rsidRPr="00596834">
        <w:t>Budgetkommitténs behandling är avslutad, därefter behandlas förslaget i Coreper i början av juli och beslut om rådets första läsning fattas i Ekofinrådet den 14 juli. Därefter följer Europaparlamentets första läsning innan rådets andra läsning tar vid. Ekofinrådet fattar beslut om den andra läsningen i november och i december fattar parlamentet slutligt beslut om EU:s budget för 2007.</w:t>
      </w:r>
    </w:p>
    <w:p w:rsidR="00BA3509" w:rsidRPr="00596834" w:rsidRDefault="00BA3509">
      <w:pPr>
        <w:pStyle w:val="Rubrik2"/>
      </w:pPr>
      <w:r w:rsidRPr="00596834">
        <w:t>Rättslig grund och beslutsförfarande</w:t>
      </w:r>
    </w:p>
    <w:p w:rsidR="00BA3509" w:rsidRPr="00596834" w:rsidRDefault="00BA3509">
      <w:r w:rsidRPr="00596834">
        <w:t>Årsbudgeten antas i enlighet med artikel 272 i EG-fördraget. Dessutom finns en särskild budgetförordning och ett interinstitutionellt avtal (IIA) mellan rådet, parlamentet och kommissionen som reglerar utgiftsramarna. Reglerna för hur stora medlemsländernas avgifter till EU ska vara finns i det så kallade egna medelsbeslutet.</w:t>
      </w:r>
    </w:p>
    <w:p w:rsidR="00BA3509" w:rsidRPr="00596834" w:rsidRDefault="00BA3509">
      <w:pPr>
        <w:pStyle w:val="Normaltindrag"/>
      </w:pPr>
    </w:p>
    <w:p w:rsidR="00BA3509" w:rsidRPr="00596834" w:rsidRDefault="00BA3509">
      <w:pPr>
        <w:pStyle w:val="Rubrik2"/>
      </w:pPr>
      <w:r w:rsidRPr="00596834">
        <w:t>Facktermer</w:t>
      </w:r>
    </w:p>
    <w:p w:rsidR="00BA3509" w:rsidRPr="00596834" w:rsidRDefault="00BA3509">
      <w:r w:rsidRPr="00596834">
        <w:t>ERUF- Europeiska regionala utvecklingsfonden</w:t>
      </w:r>
    </w:p>
    <w:p w:rsidR="00BA3509" w:rsidRPr="00596834" w:rsidRDefault="00BA3509">
      <w:r w:rsidRPr="00596834">
        <w:t>ESF – Europeiska socialfonden</w:t>
      </w:r>
    </w:p>
    <w:p w:rsidR="00BA3509" w:rsidRPr="00596834" w:rsidRDefault="00BA3509">
      <w:r w:rsidRPr="00596834">
        <w:t>BNI – Bruttonationalinkomst</w:t>
      </w:r>
    </w:p>
    <w:p w:rsidR="00BA3509" w:rsidRPr="00596834" w:rsidRDefault="00BA3509">
      <w:r w:rsidRPr="00596834">
        <w:t>Konvergens – Konvergensmålet riktar sig i första hand till regioner som har en bruttonationalprodukt (BNP) per invånare som ligger under 75 procent av genomsnittet i hela EU</w:t>
      </w:r>
    </w:p>
    <w:p w:rsidR="00BA3509" w:rsidRPr="00596834" w:rsidRDefault="00BA3509">
      <w:pPr>
        <w:pStyle w:val="Normaltindrag"/>
      </w:pPr>
    </w:p>
    <w:p w:rsidR="00BA3509" w:rsidRPr="00596834" w:rsidRDefault="00BA3509">
      <w:pPr>
        <w:pStyle w:val="Normaltindrag"/>
      </w:pPr>
    </w:p>
    <w:sectPr w:rsidR="00BA3509" w:rsidRPr="0059683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4C2" w:rsidRPr="00596834" w:rsidRDefault="00BF74C2">
      <w:r w:rsidRPr="00596834">
        <w:separator/>
      </w:r>
    </w:p>
  </w:endnote>
  <w:endnote w:type="continuationSeparator" w:id="0">
    <w:p w:rsidR="00BF74C2" w:rsidRPr="00596834" w:rsidRDefault="00BF74C2">
      <w:r w:rsidRPr="005968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509" w:rsidRPr="00596834" w:rsidRDefault="00BA35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509" w:rsidRPr="00596834" w:rsidRDefault="00BA3509">
    <w:pPr>
      <w:pStyle w:val="SidfotH"/>
      <w:framePr w:wrap="around"/>
      <w:rPr>
        <w:rPrChange w:id="4" w:author="Lars Brink" w:date="2025-12-17T00:15:00Z" w16du:dateUtc="2025-12-16T23:15:00Z">
          <w:rPr/>
        </w:rPrChange>
      </w:rPr>
    </w:pPr>
    <w:r w:rsidRPr="00596834">
      <w:fldChar w:fldCharType="begin" w:fldLock="1"/>
    </w:r>
    <w:r w:rsidRPr="00596834">
      <w:instrText xml:space="preserve"> PAGE </w:instrText>
    </w:r>
    <w:r w:rsidRPr="00596834">
      <w:fldChar w:fldCharType="separate"/>
    </w:r>
    <w:r w:rsidR="00EB68D1" w:rsidRPr="00596834">
      <w:rPr>
        <w:rPrChange w:id="5" w:author="Lars Brink" w:date="2025-12-17T00:15:00Z" w16du:dateUtc="2025-12-16T23:15:00Z">
          <w:rPr>
            <w:noProof/>
          </w:rPr>
        </w:rPrChange>
      </w:rPr>
      <w:t>7</w:t>
    </w:r>
    <w:r w:rsidRPr="00596834">
      <w:rPr>
        <w:rPrChange w:id="6" w:author="Lars Brink" w:date="2025-12-17T00:15:00Z" w16du:dateUtc="2025-12-16T23:15:00Z">
          <w:rPr/>
        </w:rPrChange>
      </w:rPr>
      <w:fldChar w:fldCharType="end"/>
    </w:r>
  </w:p>
  <w:p w:rsidR="00BA3509" w:rsidRPr="00596834" w:rsidRDefault="00BA3509">
    <w:pPr>
      <w:pStyle w:val="Sidfot"/>
      <w:rPr>
        <w:rPrChange w:id="7" w:author="Lars Brink" w:date="2025-12-17T00:15:00Z" w16du:dateUtc="2025-12-16T23:15:00Z">
          <w:rPr/>
        </w:rPrChang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509" w:rsidRPr="00596834" w:rsidRDefault="00BA3509">
    <w:pPr>
      <w:pStyle w:val="SidfotH"/>
      <w:framePr w:wrap="around"/>
    </w:pPr>
    <w:r w:rsidRPr="00596834">
      <w:fldChar w:fldCharType="begin" w:fldLock="1"/>
    </w:r>
    <w:r w:rsidRPr="00596834">
      <w:instrText xml:space="preserve"> PAGE </w:instrText>
    </w:r>
    <w:r w:rsidRPr="00596834">
      <w:fldChar w:fldCharType="separate"/>
    </w:r>
    <w:r w:rsidR="00EB68D1" w:rsidRPr="00596834">
      <w:rPr>
        <w:rPrChange w:id="9" w:author="Lars Brink" w:date="2025-12-17T00:15:00Z" w16du:dateUtc="2025-12-16T23:15:00Z">
          <w:rPr>
            <w:noProof/>
          </w:rPr>
        </w:rPrChange>
      </w:rPr>
      <w:t>1</w:t>
    </w:r>
    <w:r w:rsidRPr="00596834">
      <w:fldChar w:fldCharType="end"/>
    </w:r>
  </w:p>
  <w:p w:rsidR="00BA3509" w:rsidRPr="00596834" w:rsidRDefault="00BA35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4C2" w:rsidRPr="00596834" w:rsidRDefault="00BF74C2">
      <w:r w:rsidRPr="00596834">
        <w:separator/>
      </w:r>
    </w:p>
  </w:footnote>
  <w:footnote w:type="continuationSeparator" w:id="0">
    <w:p w:rsidR="00BF74C2" w:rsidRPr="00596834" w:rsidRDefault="00BF74C2">
      <w:r w:rsidRPr="00596834">
        <w:continuationSeparator/>
      </w:r>
    </w:p>
  </w:footnote>
  <w:footnote w:id="1">
    <w:p w:rsidR="00BA3509" w:rsidRPr="00596834" w:rsidRDefault="00BA3509">
      <w:pPr>
        <w:autoSpaceDE w:val="0"/>
        <w:autoSpaceDN w:val="0"/>
        <w:adjustRightInd w:val="0"/>
        <w:spacing w:before="0" w:line="240" w:lineRule="auto"/>
        <w:jc w:val="left"/>
        <w:rPr>
          <w:rFonts w:eastAsia="EUAlbertina-Regular-Identity-H"/>
          <w:sz w:val="16"/>
          <w:lang w:eastAsia="en-US"/>
          <w:rPrChange w:id="1" w:author="Lars Brink" w:date="2025-12-17T00:15:00Z" w16du:dateUtc="2025-12-16T23:15:00Z">
            <w:rPr>
              <w:rFonts w:eastAsia="EUAlbertina-Regular-Identity-H"/>
              <w:sz w:val="16"/>
              <w:lang w:val="en-US" w:eastAsia="en-US"/>
            </w:rPr>
          </w:rPrChange>
        </w:rPr>
      </w:pPr>
      <w:r w:rsidRPr="00596834">
        <w:rPr>
          <w:rStyle w:val="Fotnotsreferens"/>
          <w:sz w:val="16"/>
        </w:rPr>
        <w:footnoteRef/>
      </w:r>
      <w:r w:rsidRPr="00596834">
        <w:rPr>
          <w:sz w:val="16"/>
        </w:rPr>
        <w:t xml:space="preserve"> </w:t>
      </w:r>
      <w:r w:rsidRPr="00596834">
        <w:rPr>
          <w:rFonts w:eastAsia="EUAlbertina-Regular-Identity-H"/>
          <w:sz w:val="16"/>
          <w:szCs w:val="17"/>
          <w:lang w:eastAsia="en-US"/>
          <w:rPrChange w:id="2" w:author="Lars Brink" w:date="2025-12-17T00:15:00Z" w16du:dateUtc="2025-12-16T23:15:00Z">
            <w:rPr>
              <w:rFonts w:eastAsia="EUAlbertina-Regular-Identity-H"/>
              <w:sz w:val="16"/>
              <w:szCs w:val="17"/>
              <w:lang w:val="en-US" w:eastAsia="en-US"/>
            </w:rPr>
          </w:rPrChange>
        </w:rPr>
        <w:t xml:space="preserve">Det preliminära budgetförslaget bygger på BNI-prognoser från hösten 2005. </w:t>
      </w:r>
    </w:p>
    <w:p w:rsidR="00BA3509" w:rsidRPr="00596834" w:rsidRDefault="00BA3509">
      <w:pPr>
        <w:pStyle w:val="Fotnotstext"/>
        <w:rPr>
          <w:rPrChange w:id="3" w:author="Lars Brink" w:date="2025-12-17T00:15:00Z" w16du:dateUtc="2025-12-16T23:15:00Z">
            <w:rPr/>
          </w:rPrChan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509" w:rsidRPr="00596834" w:rsidRDefault="00BA35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509" w:rsidRPr="00596834" w:rsidRDefault="00BA3509">
    <w:pPr>
      <w:pStyle w:val="Kantrubrik"/>
      <w:framePr w:h="1157" w:hRule="exact" w:wrap="around" w:y="738"/>
    </w:pPr>
  </w:p>
  <w:p w:rsidR="00BA3509" w:rsidRPr="00596834" w:rsidRDefault="00BA350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509" w:rsidRPr="00596834" w:rsidRDefault="00596834">
    <w:pPr>
      <w:pStyle w:val="Sidhuvud"/>
    </w:pPr>
    <w:r w:rsidRPr="00596834">
      <w:rPr>
        <w:noProof/>
        <w:sz w:val="20"/>
        <w:lang w:eastAsia="en-US"/>
        <w:rPrChange w:id="8" w:author="Lars Brink" w:date="2025-12-17T00:15:00Z" w16du:dateUtc="2025-12-16T23:15:00Z">
          <w:rPr>
            <w:noProof/>
            <w:sz w:val="20"/>
            <w:lang w:eastAsia="en-US"/>
          </w:rPr>
        </w:rPrChange>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292820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3509" w:rsidRDefault="00BA350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426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A3509" w:rsidRDefault="00BA3509">
                    <w:pPr>
                      <w:pStyle w:val="Logo"/>
                    </w:pPr>
                    <w:r>
                      <w:object w:dxaOrig="840" w:dyaOrig="1545">
                        <v:shape id="_x0000_i1025" type="#_x0000_t75" style="width:42pt;height:77.15pt" fillcolor="window">
                          <v:imagedata r:id="rId1" o:title=""/>
                        </v:shape>
                        <o:OLEObject Type="Embed" ProgID="Word.Picture.8" ShapeID="_x0000_i1025" DrawAspect="Content" ObjectID="_18274426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03C35EA"/>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C4734D"/>
    <w:multiLevelType w:val="hybridMultilevel"/>
    <w:tmpl w:val="20B2ACB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55974116">
    <w:abstractNumId w:val="5"/>
  </w:num>
  <w:num w:numId="2" w16cid:durableId="806749722">
    <w:abstractNumId w:val="2"/>
  </w:num>
  <w:num w:numId="3" w16cid:durableId="1433360806">
    <w:abstractNumId w:val="3"/>
  </w:num>
  <w:num w:numId="4" w16cid:durableId="230124210">
    <w:abstractNumId w:val="4"/>
  </w:num>
  <w:num w:numId="5" w16cid:durableId="1820026996">
    <w:abstractNumId w:val="6"/>
  </w:num>
  <w:num w:numId="6" w16cid:durableId="22095235">
    <w:abstractNumId w:val="0"/>
  </w:num>
  <w:num w:numId="7" w16cid:durableId="15001993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 w:val="2005/06"/>
    <w:docVar w:name="Dep" w:val="Finansdepartementet"/>
    <w:docVar w:name="DepWeb" w:val="Finansdepartementet"/>
    <w:docVar w:name="GDB1" w:val="SEC(2006)76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eliminärt förslag till Europeiska gemenskapernas allmänna budget för budgetåret 2007"/>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C(2006)762"/>
    <w:docVar w:name="RD_APPVERSION" w:val="3.00"/>
    <w:docVar w:name="Rub" w:val="EU:s budget 2007"/>
    <w:docVar w:name="UppDat" w:val="2006-07-30"/>
  </w:docVars>
  <w:rsids>
    <w:rsidRoot w:val="00DC424A"/>
    <w:rsid w:val="00596834"/>
    <w:rsid w:val="006A20F6"/>
    <w:rsid w:val="00BA3509"/>
    <w:rsid w:val="00BF74C2"/>
    <w:rsid w:val="00DC424A"/>
    <w:rsid w:val="00EB68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42CF75-6231-473A-B454-0179195A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Helv" w:hAnsi="Helv"/>
      <w:color w:val="000000"/>
      <w:sz w:val="20"/>
      <w:lang w:val="en-US" w:eastAsia="en-US"/>
    </w:rPr>
  </w:style>
  <w:style w:type="paragraph" w:styleId="Revision">
    <w:name w:val="Revision"/>
    <w:hidden/>
    <w:uiPriority w:val="99"/>
    <w:semiHidden/>
    <w:rsid w:val="00596834"/>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2095</Words>
  <Characters>12634</Characters>
  <Application>Microsoft Office Word</Application>
  <DocSecurity>4</DocSecurity>
  <Lines>341</Lines>
  <Paragraphs>150</Paragraphs>
  <ScaleCrop>false</ScaleCrop>
  <HeadingPairs>
    <vt:vector size="2" baseType="variant">
      <vt:variant>
        <vt:lpstr>Rubrik</vt:lpstr>
      </vt:variant>
      <vt:variant>
        <vt:i4>1</vt:i4>
      </vt:variant>
    </vt:vector>
  </HeadingPairs>
  <TitlesOfParts>
    <vt:vector size="1" baseType="lpstr">
      <vt:lpstr>FAKTAPM_APP</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2006-06-29T09:02:00Z</cp:lastPrinted>
  <dcterms:created xsi:type="dcterms:W3CDTF">2025-12-16T23:15:00Z</dcterms:created>
  <dcterms:modified xsi:type="dcterms:W3CDTF">2025-12-16T23:15:00Z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108</vt:lpwstr>
  </property>
  <property fmtid="{D5CDD505-2E9C-101B-9397-08002B2CF9AE}" pid="4" name="GDB1">
    <vt:lpwstr>SEC(2006)762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EU:s budget 2007</vt:lpwstr>
  </property>
  <property fmtid="{D5CDD505-2E9C-101B-9397-08002B2CF9AE}" pid="8" name="UppDat">
    <vt:lpwstr>2006-07-30</vt:lpwstr>
  </property>
  <property fmtid="{D5CDD505-2E9C-101B-9397-08002B2CF9AE}" pid="9" name="AnkDat">
    <vt:lpwstr> </vt:lpwstr>
  </property>
  <property fmtid="{D5CDD505-2E9C-101B-9397-08002B2CF9AE}" pid="10" name="Utsk">
    <vt:lpwstr> </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 </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6;0;0;256</vt:lpwstr>
  </property>
  <property fmtid="{D5CDD505-2E9C-101B-9397-08002B2CF9AE}" pid="39" name="Sprak">
    <vt:lpwstr>Svenska</vt:lpwstr>
  </property>
  <property fmtid="{D5CDD505-2E9C-101B-9397-08002B2CF9AE}" pid="40" name="DokID">
    <vt:i4>80</vt:i4>
  </property>
</Properties>
</file>