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C5E07">
        <w:tblPrEx>
          <w:tblCellMar>
            <w:top w:w="0" w:type="dxa"/>
            <w:left w:w="0" w:type="dxa"/>
            <w:bottom w:w="0" w:type="dxa"/>
            <w:right w:w="0" w:type="dxa"/>
          </w:tblCellMar>
        </w:tblPrEx>
        <w:trPr>
          <w:gridAfter w:val="2"/>
          <w:wAfter w:w="1758" w:type="dxa"/>
          <w:cantSplit/>
          <w:trHeight w:val="1320"/>
        </w:trPr>
        <w:tc>
          <w:tcPr>
            <w:tcW w:w="5897" w:type="dxa"/>
          </w:tcPr>
          <w:p w:rsidR="00D34126" w:rsidRPr="007C5E07" w:rsidRDefault="00D34126">
            <w:pPr>
              <w:pStyle w:val="HuvudRubrik"/>
            </w:pPr>
            <w:r w:rsidRPr="007C5E07">
              <w:t>Regeringskansliet</w:t>
            </w:r>
          </w:p>
          <w:p w:rsidR="00D34126" w:rsidRPr="007C5E07" w:rsidRDefault="00D34126">
            <w:pPr>
              <w:pStyle w:val="HuvudRubrik"/>
            </w:pPr>
            <w:r w:rsidRPr="007C5E07">
              <w:t>Faktapromemoria 2003/04:FPM30</w:t>
            </w:r>
          </w:p>
        </w:tc>
      </w:tr>
      <w:tr w:rsidR="00000000" w:rsidRPr="007C5E07">
        <w:tblPrEx>
          <w:tblCellMar>
            <w:top w:w="0" w:type="dxa"/>
            <w:left w:w="0" w:type="dxa"/>
            <w:bottom w:w="0" w:type="dxa"/>
            <w:right w:w="0" w:type="dxa"/>
          </w:tblCellMar>
        </w:tblPrEx>
        <w:trPr>
          <w:gridAfter w:val="2"/>
          <w:wAfter w:w="1758" w:type="dxa"/>
          <w:cantSplit/>
          <w:trHeight w:val="240"/>
        </w:trPr>
        <w:tc>
          <w:tcPr>
            <w:tcW w:w="5897" w:type="dxa"/>
          </w:tcPr>
          <w:p w:rsidR="00D34126" w:rsidRPr="007C5E07" w:rsidRDefault="00D34126">
            <w:pPr>
              <w:pStyle w:val="HuvudRubrik"/>
              <w:rPr>
                <w:sz w:val="28"/>
              </w:rPr>
            </w:pPr>
            <w:r w:rsidRPr="007C5E07">
              <w:t>Förslag till rådets förordning om ändring av förordning (EG) nr 1683/95 om en enhetlig utformning av visumhandlingar Förslag till rådets förordning om ändring av förordning (EG) nr 1030/2002 om en enhetlig utformning av uppehållstillstånd för medborgare i tredje land</w:t>
            </w:r>
          </w:p>
        </w:tc>
      </w:tr>
      <w:tr w:rsidR="00000000" w:rsidRPr="007C5E07">
        <w:tblPrEx>
          <w:tblCellMar>
            <w:top w:w="0" w:type="dxa"/>
            <w:left w:w="0" w:type="dxa"/>
            <w:bottom w:w="0" w:type="dxa"/>
            <w:right w:w="0" w:type="dxa"/>
          </w:tblCellMar>
        </w:tblPrEx>
        <w:trPr>
          <w:cantSplit/>
          <w:trHeight w:val="285"/>
        </w:trPr>
        <w:tc>
          <w:tcPr>
            <w:tcW w:w="7655" w:type="dxa"/>
            <w:gridSpan w:val="3"/>
          </w:tcPr>
          <w:p w:rsidR="00D34126" w:rsidRPr="007C5E07" w:rsidRDefault="00D34126">
            <w:pPr>
              <w:pStyle w:val="Departement"/>
              <w:rPr>
                <w:sz w:val="28"/>
              </w:rPr>
            </w:pPr>
            <w:r w:rsidRPr="007C5E07">
              <w:t>Utrikesdepartementet</w:t>
            </w:r>
          </w:p>
        </w:tc>
      </w:tr>
      <w:tr w:rsidR="00000000" w:rsidRPr="007C5E07">
        <w:tblPrEx>
          <w:tblCellMar>
            <w:top w:w="0" w:type="dxa"/>
            <w:left w:w="0" w:type="dxa"/>
            <w:bottom w:w="0" w:type="dxa"/>
            <w:right w:w="0" w:type="dxa"/>
          </w:tblCellMar>
        </w:tblPrEx>
        <w:trPr>
          <w:cantSplit/>
          <w:trHeight w:val="240"/>
        </w:trPr>
        <w:tc>
          <w:tcPr>
            <w:tcW w:w="7655" w:type="dxa"/>
            <w:gridSpan w:val="3"/>
          </w:tcPr>
          <w:p w:rsidR="00D34126" w:rsidRPr="007C5E07" w:rsidRDefault="00D34126">
            <w:pPr>
              <w:pStyle w:val="Dokumentdatum"/>
            </w:pPr>
            <w:r w:rsidRPr="007C5E07">
              <w:t>2003-11-19</w:t>
            </w:r>
          </w:p>
        </w:tc>
      </w:tr>
      <w:tr w:rsidR="00000000" w:rsidRPr="007C5E07">
        <w:tblPrEx>
          <w:tblCellMar>
            <w:top w:w="0" w:type="dxa"/>
            <w:left w:w="0" w:type="dxa"/>
            <w:bottom w:w="0" w:type="dxa"/>
            <w:right w:w="0" w:type="dxa"/>
          </w:tblCellMar>
        </w:tblPrEx>
        <w:trPr>
          <w:cantSplit/>
          <w:trHeight w:val="726"/>
        </w:trPr>
        <w:tc>
          <w:tcPr>
            <w:tcW w:w="7655" w:type="dxa"/>
            <w:gridSpan w:val="3"/>
          </w:tcPr>
          <w:p w:rsidR="00D34126" w:rsidRPr="007C5E07" w:rsidRDefault="00D34126">
            <w:pPr>
              <w:pStyle w:val="Dokumentbeteckning"/>
            </w:pPr>
            <w:r w:rsidRPr="007C5E07">
              <w:t>Dokumentbeteckning</w:t>
            </w:r>
          </w:p>
        </w:tc>
      </w:tr>
      <w:tr w:rsidR="00000000" w:rsidRPr="007C5E07">
        <w:tblPrEx>
          <w:tblCellMar>
            <w:top w:w="0" w:type="dxa"/>
            <w:left w:w="0" w:type="dxa"/>
            <w:bottom w:w="0" w:type="dxa"/>
            <w:right w:w="0" w:type="dxa"/>
          </w:tblCellMar>
        </w:tblPrEx>
        <w:trPr>
          <w:gridAfter w:val="1"/>
          <w:wAfter w:w="1560" w:type="dxa"/>
          <w:trHeight w:val="120"/>
        </w:trPr>
        <w:tc>
          <w:tcPr>
            <w:tcW w:w="6095" w:type="dxa"/>
            <w:gridSpan w:val="2"/>
          </w:tcPr>
          <w:p w:rsidR="00D34126" w:rsidRPr="007C5E07" w:rsidRDefault="00D34126">
            <w:bookmarkStart w:id="0" w:name="KomNr"/>
            <w:bookmarkEnd w:id="0"/>
            <w:r w:rsidRPr="007C5E07">
              <w:t>KOM (2003) 558 slutlig</w:t>
            </w:r>
          </w:p>
        </w:tc>
      </w:tr>
      <w:tr w:rsidR="00000000" w:rsidRPr="007C5E07">
        <w:tblPrEx>
          <w:tblCellMar>
            <w:top w:w="0" w:type="dxa"/>
            <w:left w:w="0" w:type="dxa"/>
            <w:bottom w:w="0" w:type="dxa"/>
            <w:right w:w="0" w:type="dxa"/>
          </w:tblCellMar>
        </w:tblPrEx>
        <w:trPr>
          <w:gridAfter w:val="1"/>
          <w:wAfter w:w="1560" w:type="dxa"/>
          <w:trHeight w:val="120"/>
        </w:trPr>
        <w:tc>
          <w:tcPr>
            <w:tcW w:w="6095" w:type="dxa"/>
            <w:gridSpan w:val="2"/>
          </w:tcPr>
          <w:p w:rsidR="00D34126" w:rsidRPr="007C5E07" w:rsidRDefault="00D34126">
            <w:pPr>
              <w:pStyle w:val="Dokumentbeteckning-titel"/>
            </w:pPr>
            <w:r w:rsidRPr="007C5E07">
              <w:t>Förslag till rådets förordning om ändring av förordning (EG) nr 1683/95 om en enhetlig utformning av visumhandlingar Förslag till rådets förordning om ändring av förordning (EG) nr 1030/2002 om en enhetlig utformning av uppehållstillstånd för medborgare i tredje land</w:t>
            </w:r>
          </w:p>
        </w:tc>
      </w:tr>
    </w:tbl>
    <w:p w:rsidR="00D34126" w:rsidRPr="007C5E07" w:rsidRDefault="007C5E07">
      <w:r w:rsidRPr="007C5E07">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3754228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98107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34126" w:rsidRPr="007C5E07" w:rsidRDefault="007C5E07">
                            <w:pPr>
                              <w:pStyle w:val="Logo"/>
                            </w:pPr>
                            <w:r w:rsidRPr="007C5E07">
                              <w:rPr>
                                <w:noProof/>
                                <w:sz w:val="20"/>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" o:allowincell="f" stroked="f" strokeweight="0">
                <v:textbox inset="0,0,0,0">
                  <w:txbxContent>
                    <w:p w:rsidR="00D34126" w:rsidRPr="007C5E07" w:rsidRDefault="007C5E07">
                      <w:pPr>
                        <w:pStyle w:val="Logo"/>
                      </w:pPr>
                      <w:r w:rsidRPr="007C5E07">
                        <w:rPr>
                          <w:noProof/>
                          <w:sz w:val="20"/>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rect>
            </w:pict>
          </mc:Fallback>
        </mc:AlternateContent>
      </w:r>
    </w:p>
    <w:p w:rsidR="00D34126" w:rsidRPr="007C5E07" w:rsidRDefault="00D34126">
      <w:pPr>
        <w:pStyle w:val="Rubrik1"/>
        <w:tabs>
          <w:tab w:val="clear" w:pos="624"/>
        </w:tabs>
        <w:ind w:left="0" w:firstLine="0"/>
      </w:pPr>
      <w:r w:rsidRPr="007C5E07">
        <w:t>Sammanfattning</w:t>
      </w:r>
    </w:p>
    <w:p w:rsidR="00D34126" w:rsidRPr="007C5E07" w:rsidRDefault="00D34126">
      <w:r w:rsidRPr="007C5E07">
        <w:t>Efter händelserna den 11 september 2001 bad medlemsstaterna kommissionen att vidta omedelbara åtgärder för att förbättra dokumentsäkerheten. Genom rådets förordning (EG) nr 334/2002</w:t>
      </w:r>
      <w:r w:rsidRPr="007C5E07">
        <w:rPr>
          <w:rStyle w:val="Fotnotsreferens"/>
          <w:sz w:val="16"/>
        </w:rPr>
        <w:footnoteReference w:id="1"/>
      </w:r>
      <w:r w:rsidRPr="007C5E07">
        <w:rPr>
          <w:sz w:val="16"/>
        </w:rPr>
        <w:t xml:space="preserve"> </w:t>
      </w:r>
      <w:r w:rsidRPr="007C5E07">
        <w:t>om ändring av förordning (EG) nr 1683/95</w:t>
      </w:r>
      <w:r w:rsidRPr="007C5E07">
        <w:rPr>
          <w:rStyle w:val="Fotnotsreferens"/>
          <w:sz w:val="16"/>
        </w:rPr>
        <w:footnoteReference w:id="2"/>
      </w:r>
      <w:r w:rsidRPr="007C5E07">
        <w:t xml:space="preserve"> om en enhetlig utformning av visumhandlingar föreskrevs att klistermärke för viseringar skulle innehålla fotografi. Vidare antogs den 13 juni 2002 förordning (EG) nr 1030/2002</w:t>
      </w:r>
      <w:r w:rsidRPr="007C5E07">
        <w:rPr>
          <w:rStyle w:val="Fotnotsreferens"/>
          <w:sz w:val="16"/>
        </w:rPr>
        <w:footnoteReference w:id="3"/>
      </w:r>
      <w:r w:rsidRPr="007C5E07">
        <w:t xml:space="preserve"> om en enhetlig utformning av uppehållstillstånd för medborgare i tredje land. Kommissionen har därefter, den 3 </w:t>
      </w:r>
      <w:r w:rsidRPr="007C5E07">
        <w:lastRenderedPageBreak/>
        <w:t>juni 2002</w:t>
      </w:r>
      <w:r w:rsidRPr="007C5E07">
        <w:rPr>
          <w:rStyle w:val="Fotnotsreferens"/>
          <w:sz w:val="16"/>
        </w:rPr>
        <w:footnoteReference w:id="4"/>
      </w:r>
      <w:r w:rsidRPr="007C5E07">
        <w:t>, antagit kompletterande tekniska specifikationer för viseringshandlingar samt, den 14 augusti 2002</w:t>
      </w:r>
      <w:r w:rsidRPr="007C5E07">
        <w:rPr>
          <w:rStyle w:val="Fotnotsreferens"/>
          <w:sz w:val="16"/>
        </w:rPr>
        <w:footnoteReference w:customMarkFollows="1" w:id="5"/>
        <w:t>4</w:t>
      </w:r>
      <w:r w:rsidRPr="007C5E07">
        <w:t>, antagit tekniska specifikationer för uppehållstillstånd. Medlemsstaterna skall i enlighet med dessa genomföra de kompletterande specifikationerna före den 3 juni 2007 respektive den 14 augusti 2007. Medlemsstaterna har emellertid uttryckt önskemål om att ytterligare stärka säkerhetsstandarder i enhetligt utformade viseringshandlingar  och andra resehandlingar. De ser  positivt på att införa biometriska kännetecken i viseringshandlingar och uppehållstillstånd. Följande bekräftades vidare vid Europeiska råd</w:t>
      </w:r>
      <w:r w:rsidRPr="007C5E07">
        <w:t xml:space="preserve">ets möte i Thessaloniki den 19 och 20 juni 2003: ”EU behöver en gemensam strategi för biometriska kännetecken, för att skapa harmoniserade lösningar för handlingar för medborgare i tredje land, pass för EU-medborgare och informationssystem (VIS och SIS II).” Det kan därmed konstateras att det finns en nära koppling mellan de enhetligt utformade handlingarna för visering och uppehållstillstånd, pass och det planerade informationssystemet för viseringar (VIS). </w:t>
      </w:r>
    </w:p>
    <w:p w:rsidR="00D34126" w:rsidRPr="007C5E07" w:rsidRDefault="00D34126"/>
    <w:p w:rsidR="00D34126" w:rsidRPr="007C5E07" w:rsidRDefault="00D34126">
      <w:r w:rsidRPr="007C5E07">
        <w:t xml:space="preserve">Kommissionens förslag innehåller två delar. Den första delen avser att tidigarelägga fristen för införandet av digitala fotografier i handlingar för visering och uppehållstillstånd från år 2007 till år 2005. Den andra avser att ålägga medlemsstaterna att införa biometriska kännetecken i viseringar och uppehållstillstånd på ett harmoniserat sätt och därigenom säkerställa att systemen fungerar tillsammans. </w:t>
      </w:r>
    </w:p>
    <w:p w:rsidR="00D34126" w:rsidRPr="007C5E07" w:rsidRDefault="00D34126">
      <w:r w:rsidRPr="007C5E07">
        <w:t xml:space="preserve">I kommissionens förslag anges att ansiktsbilden skall vara det primära och obligatoriska biometriska kännetecknet, samt att fingeravtryck skall läggas till som ett sekundärt biometriskt kännetecken. </w:t>
      </w:r>
    </w:p>
    <w:p w:rsidR="00D34126" w:rsidRPr="007C5E07" w:rsidRDefault="00D34126">
      <w:pPr>
        <w:pStyle w:val="Rubrik1"/>
      </w:pPr>
      <w:r w:rsidRPr="007C5E07">
        <w:t>Förslaget</w:t>
      </w:r>
    </w:p>
    <w:p w:rsidR="00D34126" w:rsidRPr="007C5E07" w:rsidRDefault="00D34126">
      <w:pPr>
        <w:pStyle w:val="Rubrik2"/>
      </w:pPr>
      <w:r w:rsidRPr="007C5E07">
        <w:t>Innehåll</w:t>
      </w:r>
    </w:p>
    <w:p w:rsidR="00D34126" w:rsidRPr="007C5E07" w:rsidRDefault="00D34126"/>
    <w:p w:rsidR="00D34126" w:rsidRPr="007C5E07" w:rsidRDefault="00D34126">
      <w:r w:rsidRPr="007C5E07">
        <w:t xml:space="preserve">De båda förslagen syftar till att ändra de befintliga förordningarna  (EG) nr 1683/95 och (EG) nr 1030/2002 så att en rättslig grund skapas. Genom detta kan medlemsstaterna införa ansiktsbilder och fingeravtryck i de enhetligt utformade viseringshandlingarna och uppehållstillstånden. </w:t>
      </w:r>
    </w:p>
    <w:p w:rsidR="00D34126" w:rsidRPr="007C5E07" w:rsidRDefault="00D34126"/>
    <w:p w:rsidR="00D34126" w:rsidRPr="007C5E07" w:rsidRDefault="00D34126">
      <w:r w:rsidRPr="007C5E07">
        <w:t>Förordningarna (EG) nr 1683/95 samt (EG) nr 1030/2002 föreslås ändras på följande sätt.</w:t>
      </w:r>
    </w:p>
    <w:p w:rsidR="00D34126" w:rsidRPr="007C5E07" w:rsidRDefault="00D34126"/>
    <w:p w:rsidR="00D34126" w:rsidRPr="007C5E07" w:rsidRDefault="00D34126">
      <w:r w:rsidRPr="007C5E07">
        <w:t xml:space="preserve">I artikel 1 i båda förslagen ges den kommitté som inrättats genom artikel 6 i förordningen (EG) nr 1683/95 (den s.k. artikel-6 kommittén) befogenhet att fastställa kompletterande tekniska specifikationer för införandet av  biometriska kännetecken. Det föreskrivs också en ändring av artikel 4 i båda förordningarna som klargör vilka krav på biometriska kännetecken som skall kunna införas samt vilka personuppgifter som bör kunna lagras. Dessa skall begränsas  till de uppgifter som föreskrivs i förordningen, i </w:t>
      </w:r>
      <w:r w:rsidRPr="007C5E07">
        <w:t>bilagan till förordningen och den aktuella personens pass. Det införs även en ny artikel (artikel 4a) i vilken det föreskrivs vilka biometriska kännetecken (dvs. ansiktsbild och fingeravtryck) som skall användas samt även att  biometriska kännetecken skall förvaras på ett lagringsmedium med tillräcklig kapacitet. Förslaget fastställer att tidsfristen för införandet av fotografier i handlingarna skall tidigareläggas från år 2007 till år 2005. Lagring av ansiktsbilder och fingeravtrycksbilder skall däremot ge</w:t>
      </w:r>
      <w:r w:rsidRPr="007C5E07">
        <w:t xml:space="preserve">nomföras senast två respektive tre år efter antagandet av de tekniska specifikationerna för detta.  </w:t>
      </w:r>
    </w:p>
    <w:p w:rsidR="00D34126" w:rsidRPr="007C5E07" w:rsidRDefault="00D34126"/>
    <w:p w:rsidR="00D34126" w:rsidRPr="007C5E07" w:rsidRDefault="00D34126">
      <w:pPr>
        <w:pStyle w:val="Rubrik2"/>
      </w:pPr>
      <w:r w:rsidRPr="007C5E07">
        <w:t>Gällande svenska regler och förslagets effekt på dessa</w:t>
      </w:r>
    </w:p>
    <w:p w:rsidR="00D34126" w:rsidRPr="007C5E07" w:rsidRDefault="00D34126">
      <w:r w:rsidRPr="007C5E07">
        <w:t xml:space="preserve">Sverige tillämpar idag gällande förordningar (EG) nr 1683/95 och (EG) nr 1030/2002. Syftet med förordningarna är att  harmonisera utformningen av medlemsstaternas handlingar för visering och uppehållstillstånd genom att bl.a. fastställa vilka tekniska specifikationer som sådana handlingar skall innehålla.     </w:t>
      </w:r>
    </w:p>
    <w:p w:rsidR="00D34126" w:rsidRPr="007C5E07" w:rsidRDefault="00D34126">
      <w:r w:rsidRPr="007C5E07">
        <w:t xml:space="preserve">De konsekvenser förslaget innebär beskrivs ovan. Dessa innebär inte att någon ändring av utlänningslagen (1989:529) eller utlänningsförordningen (1989:547) behöver göras. </w:t>
      </w:r>
    </w:p>
    <w:p w:rsidR="00D34126" w:rsidRPr="007C5E07" w:rsidRDefault="00D34126"/>
    <w:p w:rsidR="00D34126" w:rsidRPr="007C5E07" w:rsidRDefault="00D34126">
      <w:r w:rsidRPr="007C5E07">
        <w:t>Åtgärder som syftar till att förbättra den allmänna säkerheten måste utformas så att individens grundläggande fri- och rättigheter respekteras. EU:s dataskyddsdirektiv (95/46/EG)</w:t>
      </w:r>
      <w:r w:rsidRPr="007C5E07">
        <w:rPr>
          <w:rStyle w:val="Fotnotsreferens"/>
          <w:sz w:val="16"/>
        </w:rPr>
        <w:footnoteReference w:id="6"/>
      </w:r>
      <w:r w:rsidRPr="007C5E07">
        <w:t xml:space="preserve"> är tillämpligt på behandling av personuppgifter, även biometriska uppgifter, som utförs av medlemsstaternas myndigheter i enlighet med gemenskapslagstiftningen. Dataskyddsdirektivet har införlivats i Sverige genom personuppgiftslagen (1998:204) och reglerar själva hanteringen av personuppgifter. Syftet med lagstiftningen är att förstärka skyddet för den personliga integriteten. För närvarande pågår även annat arbete inom Regeringskansliet för att se över våra egna bestämmelser på området. Regeringen har i </w:t>
      </w:r>
      <w:r w:rsidRPr="007C5E07">
        <w:t>ljuset av detta i oktober 2003 uppdragit åt Rikspolisstyrelsen att förbereda ett eventuellt införande av biometrisk information i pass och andra resehandlingar (Ju2003/7798/PO). Vidare tillsatte regeringen i december 2001 en särskild utredare för att kartlägga behandlingen av personuppgifter i verksamhet enligt utlännings- och medborgarskapslagstiftningen (Dir. 2001:108). I april 2003 överlämnade utredningen sitt betänkande  Utlänningsdatalag (SOU 2003:40) vilket för närvarande är föremål för remissbehandli</w:t>
      </w:r>
      <w:r w:rsidRPr="007C5E07">
        <w:t xml:space="preserve">ng.  </w:t>
      </w:r>
    </w:p>
    <w:p w:rsidR="00D34126" w:rsidRPr="007C5E07" w:rsidRDefault="00D34126">
      <w:pPr>
        <w:pStyle w:val="Rubrik2"/>
      </w:pPr>
      <w:r w:rsidRPr="007C5E07">
        <w:t>Budgetära konsekvenser</w:t>
      </w:r>
    </w:p>
    <w:p w:rsidR="00D34126" w:rsidRPr="007C5E07" w:rsidRDefault="00D34126">
      <w:r w:rsidRPr="007C5E07">
        <w:t>Förslaget kommer att få budgetära konsekvenser. Det är svårt att exakt fastställa vilka konsekvenserna blir eftersom de konkreta omständigheterna ännu inte är kända utan kommer att fastställas av artikel-6 kommittén. Vad som kan förutses är att det kommer att krävas att nödvändig teknisk utrustning installeras. Detta gäller ett lagringsmedium, utrustning för inläsning på utlandsmyndigheterna och kontrollsystem vid gränskontrollerna. Härtill kommer utveckling av programvara och utbildning av personal som sk</w:t>
      </w:r>
      <w:r w:rsidRPr="007C5E07">
        <w:t xml:space="preserve">all hantera verksamheten.     </w:t>
      </w:r>
    </w:p>
    <w:p w:rsidR="00D34126" w:rsidRPr="007C5E07" w:rsidRDefault="00D34126">
      <w:pPr>
        <w:pStyle w:val="Rubrik1"/>
      </w:pPr>
      <w:r w:rsidRPr="007C5E07">
        <w:t>Ståndpunkter</w:t>
      </w:r>
    </w:p>
    <w:p w:rsidR="00D34126" w:rsidRPr="007C5E07" w:rsidRDefault="00D34126">
      <w:pPr>
        <w:pStyle w:val="Rubrik2"/>
      </w:pPr>
      <w:r w:rsidRPr="007C5E07">
        <w:t>Svensk ståndpunkt</w:t>
      </w:r>
    </w:p>
    <w:p w:rsidR="00D34126" w:rsidRPr="007C5E07" w:rsidRDefault="00D34126">
      <w:r w:rsidRPr="007C5E07">
        <w:t>Allmänt kan sägas att Sverige stödjer förslaget vad gäller att tidigarelägga införandet av digitalt fotografi i viseringar och uppehållstillstånd från år 2007 till år 2005. Sverige kan även acceptera förslaget att införa biometriska uppgifter i handlingar på ett harmoniserat sätt. Sverige har dock invändningar kring formuleringen i artikel 4a i förslaget gällande vilka biometriska kännetecken som skall användas. Det måste i den praktiska hanteringen kunna göras undantag för  användandet av biometri. Möjlig</w:t>
      </w:r>
      <w:r w:rsidRPr="007C5E07">
        <w:t xml:space="preserve">heten till att göra undantag bör framgå direkt i förordningen eller genom en hänvisning till det gemensamma regelverket.    </w:t>
      </w:r>
    </w:p>
    <w:p w:rsidR="00D34126" w:rsidRPr="007C5E07" w:rsidRDefault="00D34126">
      <w:pPr>
        <w:pStyle w:val="Rubrik2"/>
      </w:pPr>
      <w:r w:rsidRPr="007C5E07">
        <w:t>Medlemsstaternas ståndpunkter</w:t>
      </w:r>
    </w:p>
    <w:p w:rsidR="00D34126" w:rsidRPr="007C5E07" w:rsidRDefault="00D34126">
      <w:r w:rsidRPr="007C5E07">
        <w:t xml:space="preserve">Samtliga medlemsstater ställer sig generellt sett positiva till kommissionens förslag. Flera medlemsstater har dock instämt i Sveriges invändning beträffande den praktiska hanteringen av biometri.   </w:t>
      </w:r>
    </w:p>
    <w:p w:rsidR="00D34126" w:rsidRPr="007C5E07" w:rsidRDefault="00D34126">
      <w:pPr>
        <w:pStyle w:val="Rubrik2"/>
      </w:pPr>
      <w:r w:rsidRPr="007C5E07">
        <w:t>Institutionernas ståndpunkter</w:t>
      </w:r>
    </w:p>
    <w:p w:rsidR="00D34126" w:rsidRPr="007C5E07" w:rsidRDefault="00D34126">
      <w:r w:rsidRPr="007C5E07">
        <w:t xml:space="preserve"> Europaparlamentet har inte yttrat sig i ärendet.</w:t>
      </w:r>
    </w:p>
    <w:p w:rsidR="00D34126" w:rsidRPr="007C5E07" w:rsidRDefault="00D34126">
      <w:pPr>
        <w:pStyle w:val="Rubrik2"/>
      </w:pPr>
      <w:r w:rsidRPr="007C5E07">
        <w:t>Remissinstansernas ståndpunkter</w:t>
      </w:r>
    </w:p>
    <w:p w:rsidR="00D34126" w:rsidRPr="007C5E07" w:rsidRDefault="00D34126">
      <w:r w:rsidRPr="007C5E07">
        <w:t>Förslagen har ej remissbehandlats.</w:t>
      </w:r>
    </w:p>
    <w:p w:rsidR="00D34126" w:rsidRPr="007C5E07" w:rsidRDefault="00D34126">
      <w:pPr>
        <w:pStyle w:val="Rubrik1"/>
      </w:pPr>
      <w:r w:rsidRPr="007C5E07">
        <w:t>Övrigt</w:t>
      </w:r>
    </w:p>
    <w:p w:rsidR="00D34126" w:rsidRPr="007C5E07" w:rsidRDefault="00D34126">
      <w:pPr>
        <w:pStyle w:val="Rubrik2"/>
      </w:pPr>
      <w:r w:rsidRPr="007C5E07">
        <w:t>Fortsatt behandling av ärendet</w:t>
      </w:r>
    </w:p>
    <w:p w:rsidR="00D34126" w:rsidRPr="007C5E07" w:rsidRDefault="00D34126">
      <w:r w:rsidRPr="007C5E07">
        <w:t>Målsättningen är att rådet för rättsliga och inrikes frågor skall komma fram till en politisk överenskommelse före årets slut.</w:t>
      </w:r>
    </w:p>
    <w:p w:rsidR="00D34126" w:rsidRPr="007C5E07" w:rsidRDefault="00D34126">
      <w:pPr>
        <w:pStyle w:val="Rubrik2"/>
      </w:pPr>
      <w:r w:rsidRPr="007C5E07">
        <w:t>Rättslig grund och beslutsförfarande</w:t>
      </w:r>
    </w:p>
    <w:p w:rsidR="00D34126" w:rsidRPr="007C5E07" w:rsidRDefault="00D34126">
      <w:r w:rsidRPr="007C5E07">
        <w:t xml:space="preserve">Förslaget angående viseringshandlingar bygger på artikel 62.2 b iii i EG-fördraget enligt vilken kommissionen får lägga förslag om enhetligt utformade viseringar. Enligt artikel 67.3 i samma fördrag fattar rådet beslut med kvalificerad majoritet efter att ha hört Europaparlamentet. </w:t>
      </w:r>
    </w:p>
    <w:p w:rsidR="00D34126" w:rsidRPr="007C5E07" w:rsidRDefault="00D34126"/>
    <w:p w:rsidR="00D34126" w:rsidRPr="007C5E07" w:rsidRDefault="00D34126">
      <w:r w:rsidRPr="007C5E07">
        <w:t>Förslaget angående uppehållstillstånd för medborgare i tredje land bygger på artikel 63.3 a i EG-fördraget. Enligt artikel 67.1 i samma fördrag fattar rådet beslut med enhällighet efter att ha hört Europaparlamentet.</w:t>
      </w:r>
    </w:p>
    <w:p w:rsidR="00D34126" w:rsidRPr="007C5E07" w:rsidRDefault="00D34126">
      <w:pPr>
        <w:pStyle w:val="Rubrik2"/>
      </w:pPr>
      <w:r w:rsidRPr="007C5E07">
        <w:t>Fackuttryck/termer</w:t>
      </w:r>
    </w:p>
    <w:p w:rsidR="00D34126" w:rsidRPr="007C5E07" w:rsidRDefault="00D34126">
      <w:r w:rsidRPr="007C5E07">
        <w:rPr>
          <w:u w:val="single"/>
        </w:rPr>
        <w:t>Ansiktsbild</w:t>
      </w:r>
      <w:r w:rsidRPr="007C5E07">
        <w:t>: Ett foto av ansiktet i digital form.</w:t>
      </w:r>
    </w:p>
    <w:p w:rsidR="00D34126" w:rsidRPr="007C5E07" w:rsidRDefault="00D34126">
      <w:r w:rsidRPr="007C5E07">
        <w:rPr>
          <w:u w:val="single"/>
        </w:rPr>
        <w:t>Biometri:</w:t>
      </w:r>
      <w:r w:rsidRPr="007C5E07">
        <w:t xml:space="preserve"> Statistisk analys av biologiska observationer och fenomen. Ett biometriskt värde är ett mätbart fysiologiskt eller beteenderelaterat drag hos en fysisk person, särskilt sådana drag som kan användas för att identifiera en person eller för att avgöra om en påstådd identitet är riktig.</w:t>
      </w:r>
    </w:p>
    <w:sectPr w:rsidR="00D34126" w:rsidRPr="007C5E07">
      <w:headerReference w:type="default" r:id="rId8"/>
      <w:footerReference w:type="defaul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126" w:rsidRPr="007C5E07" w:rsidRDefault="00D34126">
      <w:pPr>
        <w:spacing w:before="0" w:line="240" w:lineRule="auto"/>
      </w:pPr>
      <w:r w:rsidRPr="007C5E07">
        <w:separator/>
      </w:r>
    </w:p>
  </w:endnote>
  <w:endnote w:type="continuationSeparator" w:id="0">
    <w:p w:rsidR="00D34126" w:rsidRPr="007C5E07" w:rsidRDefault="00D34126">
      <w:pPr>
        <w:spacing w:before="0" w:line="240" w:lineRule="auto"/>
      </w:pPr>
      <w:r w:rsidRPr="007C5E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126" w:rsidRPr="007C5E07" w:rsidRDefault="00D34126">
    <w:pPr>
      <w:pStyle w:val="SidfotH"/>
      <w:framePr w:wrap="auto"/>
    </w:pPr>
    <w:r w:rsidRPr="007C5E07">
      <w:t>2</w:t>
    </w:r>
  </w:p>
  <w:p w:rsidR="00D34126" w:rsidRPr="007C5E07" w:rsidRDefault="00D341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126" w:rsidRPr="007C5E07" w:rsidRDefault="00D34126">
    <w:pPr>
      <w:pStyle w:val="SidfotH"/>
      <w:framePr w:wrap="auto"/>
    </w:pPr>
    <w:r w:rsidRPr="007C5E07">
      <w:t>1</w:t>
    </w:r>
  </w:p>
  <w:p w:rsidR="00D34126" w:rsidRPr="007C5E07" w:rsidRDefault="00D341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126" w:rsidRPr="007C5E07" w:rsidRDefault="00D34126">
      <w:pPr>
        <w:spacing w:before="0" w:line="240" w:lineRule="auto"/>
      </w:pPr>
      <w:r w:rsidRPr="007C5E07">
        <w:separator/>
      </w:r>
    </w:p>
  </w:footnote>
  <w:footnote w:type="continuationSeparator" w:id="0">
    <w:p w:rsidR="00D34126" w:rsidRPr="007C5E07" w:rsidRDefault="00D34126">
      <w:pPr>
        <w:spacing w:before="0" w:line="240" w:lineRule="auto"/>
      </w:pPr>
      <w:r w:rsidRPr="007C5E07">
        <w:continuationSeparator/>
      </w:r>
    </w:p>
  </w:footnote>
  <w:footnote w:id="1">
    <w:p w:rsidR="00D34126" w:rsidRPr="007C5E07" w:rsidRDefault="00D34126">
      <w:pPr>
        <w:pStyle w:val="Fotnotstext"/>
      </w:pPr>
      <w:r w:rsidRPr="007C5E07">
        <w:rPr>
          <w:rStyle w:val="Fotnotsreferens"/>
        </w:rPr>
        <w:footnoteRef/>
      </w:r>
      <w:r w:rsidRPr="007C5E07">
        <w:t xml:space="preserve"> EGT L 53, 23.2.2002</w:t>
      </w:r>
    </w:p>
  </w:footnote>
  <w:footnote w:id="2">
    <w:p w:rsidR="00D34126" w:rsidRPr="007C5E07" w:rsidRDefault="00D34126">
      <w:pPr>
        <w:pStyle w:val="Fotnotstext"/>
      </w:pPr>
      <w:r w:rsidRPr="007C5E07">
        <w:rPr>
          <w:rStyle w:val="Fotnotsreferens"/>
        </w:rPr>
        <w:footnoteRef/>
      </w:r>
      <w:r w:rsidRPr="007C5E07">
        <w:t xml:space="preserve"> EGT L 164, 14.7.1995</w:t>
      </w:r>
    </w:p>
  </w:footnote>
  <w:footnote w:id="3">
    <w:p w:rsidR="00D34126" w:rsidRPr="007C5E07" w:rsidRDefault="00D34126">
      <w:pPr>
        <w:pStyle w:val="Fotnotstext"/>
      </w:pPr>
      <w:r w:rsidRPr="007C5E07">
        <w:rPr>
          <w:rStyle w:val="Fotnotsreferens"/>
        </w:rPr>
        <w:footnoteRef/>
      </w:r>
      <w:r w:rsidRPr="007C5E07">
        <w:t xml:space="preserve"> EGT L 157, 15.6.2002</w:t>
      </w:r>
    </w:p>
  </w:footnote>
  <w:footnote w:id="4">
    <w:p w:rsidR="00D34126" w:rsidRPr="007C5E07" w:rsidRDefault="00D34126">
      <w:pPr>
        <w:pStyle w:val="Fotnotstext"/>
      </w:pPr>
      <w:r w:rsidRPr="007C5E07">
        <w:rPr>
          <w:rStyle w:val="Fotnotsreferens"/>
        </w:rPr>
        <w:footnoteRef/>
      </w:r>
      <w:r w:rsidRPr="007C5E07">
        <w:t xml:space="preserve"> Kommissionens beslut C(2002) 2002 och C(2002) 3069 som ännu inte offentliggjorts.</w:t>
      </w:r>
    </w:p>
  </w:footnote>
  <w:footnote w:id="5">
    <w:p w:rsidR="007C5E07" w:rsidRPr="007C5E07" w:rsidRDefault="007C5E07"/>
    <w:p w:rsidR="00D34126" w:rsidRPr="007C5E07" w:rsidRDefault="00D34126">
      <w:pPr>
        <w:pStyle w:val="Fotnotstext"/>
      </w:pPr>
    </w:p>
  </w:footnote>
  <w:footnote w:id="6">
    <w:p w:rsidR="00D34126" w:rsidRPr="007C5E07" w:rsidRDefault="00D34126">
      <w:pPr>
        <w:pStyle w:val="Fotnotstext"/>
      </w:pPr>
      <w:r w:rsidRPr="007C5E07">
        <w:rPr>
          <w:rStyle w:val="Fotnotsreferens"/>
        </w:rPr>
        <w:footnoteRef/>
      </w:r>
      <w:r w:rsidRPr="007C5E07">
        <w:t xml:space="preserve"> EGT L 281, 23.11.1995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126" w:rsidRPr="007C5E07" w:rsidRDefault="00D34126">
    <w:pPr>
      <w:pStyle w:val="Kantrubrik"/>
      <w:framePr w:h="1157" w:hRule="exact" w:wrap="auto" w:y="738"/>
    </w:pPr>
    <w:r w:rsidRPr="007C5E07">
      <w:t>2003/04:FPM30</w:t>
    </w:r>
  </w:p>
  <w:p w:rsidR="00D34126" w:rsidRPr="007C5E07" w:rsidRDefault="00D341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2389340"/>
    <w:lvl w:ilvl="0">
      <w:start w:val="1"/>
      <w:numFmt w:val="decimal"/>
      <w:pStyle w:val="Rubrik1"/>
      <w:lvlText w:val="%1"/>
      <w:legacy w:legacy="1" w:legacySpace="120" w:legacyIndent="624"/>
      <w:lvlJc w:val="left"/>
      <w:pPr>
        <w:ind w:left="624" w:hanging="624"/>
      </w:pPr>
    </w:lvl>
    <w:lvl w:ilvl="1">
      <w:start w:val="1"/>
      <w:numFmt w:val="decimal"/>
      <w:pStyle w:val="Rubrik2"/>
      <w:lvlText w:val="%1.%2"/>
      <w:legacy w:legacy="1" w:legacySpace="120" w:legacyIndent="624"/>
      <w:lvlJc w:val="left"/>
      <w:pPr>
        <w:ind w:left="624" w:hanging="624"/>
      </w:pPr>
    </w:lvl>
    <w:lvl w:ilvl="2">
      <w:start w:val="1"/>
      <w:numFmt w:val="decimal"/>
      <w:pStyle w:val="Rubrik3"/>
      <w:lvlText w:val="%1.%2.%3"/>
      <w:legacy w:legacy="1" w:legacySpace="120" w:legacyIndent="624"/>
      <w:lvlJc w:val="left"/>
      <w:pPr>
        <w:ind w:left="624" w:hanging="624"/>
      </w:pPr>
    </w:lvl>
    <w:lvl w:ilvl="3">
      <w:start w:val="1"/>
      <w:numFmt w:val="decimal"/>
      <w:pStyle w:val="Rubrik4"/>
      <w:lvlText w:val="%1.%2.%3.%4"/>
      <w:legacy w:legacy="1" w:legacySpace="120" w:legacyIndent="864"/>
      <w:lvlJc w:val="left"/>
      <w:pPr>
        <w:ind w:left="864" w:hanging="864"/>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16cid:durableId="169850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1-20"/>
    <w:docVar w:name="Ar" w:val="2003/04"/>
    <w:docVar w:name="Dep" w:val="Utrikesdepartementet"/>
    <w:docVar w:name="DepWeb" w:val="Utrikesdepartementet"/>
    <w:docVar w:name="GDB1" w:val="KOM (2003) 55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ändring av förordning (EG) nr 1683/95 om en enhetlig utformning av visumhandlingar Förslag till rådets förordning om ändring av förordning (EG) nr 1030/2002 om en enhetlig utformning av uppehållstillstånd för medborgare i tredje lan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558 slutlig"/>
    <w:docVar w:name="Nr" w:val="30"/>
    <w:docVar w:name="Rub" w:val="Förslag till rådets förordning om ändring av förordning (EG) nr 1683/95 om en enhetlig utformning av visumhandlingar Förslag till rådets förordning om ändring av förordning (EG) nr 1030/2002 om en enhetlig utformning av uppehållstillstånd för medborgare i tredje land"/>
    <w:docVar w:name="UppDat" w:val="2003-11-19"/>
    <w:docVar w:name="Utsk" w:val="Socialförsäkringsutskottet"/>
  </w:docVars>
  <w:rsids>
    <w:rsidRoot w:val="00330C59"/>
    <w:rsid w:val="00330C59"/>
    <w:rsid w:val="007C5E07"/>
    <w:rsid w:val="00D341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B94191-37C3-41FC-B6CA-D949D56B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eastAsia="sv-SE"/>
    </w:rPr>
  </w:style>
  <w:style w:type="paragraph" w:styleId="Rubrik1">
    <w:name w:val="heading 1"/>
    <w:basedOn w:val="Normal"/>
    <w:next w:val="Normal"/>
    <w:qFormat/>
    <w:pPr>
      <w:keepNext/>
      <w:keepLines/>
      <w:numPr>
        <w:numId w:val="1"/>
      </w:numPr>
      <w:tabs>
        <w:tab w:val="num" w:pos="624"/>
      </w:tabs>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tabs>
        <w:tab w:val="num" w:pos="864"/>
      </w:tabs>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semiHidden/>
    <w:pPr>
      <w:tabs>
        <w:tab w:val="right" w:leader="dot" w:pos="5670"/>
      </w:tabs>
      <w:spacing w:before="0"/>
      <w:ind w:right="567"/>
    </w:pPr>
  </w:style>
  <w:style w:type="paragraph" w:styleId="Innehll2">
    <w:name w:val="toc 2"/>
    <w:basedOn w:val="Innehll1"/>
    <w:semiHidden/>
    <w:pPr>
      <w:ind w:left="227"/>
    </w:pPr>
  </w:style>
  <w:style w:type="paragraph" w:styleId="Innehll3">
    <w:name w:val="toc 3"/>
    <w:basedOn w:val="Innehll1"/>
    <w:semiHidden/>
    <w:pPr>
      <w:ind w:left="454" w:right="680"/>
    </w:pPr>
  </w:style>
  <w:style w:type="paragraph" w:styleId="Innehll4">
    <w:name w:val="toc 4"/>
    <w:basedOn w:val="Innehll1"/>
    <w:semiHidden/>
    <w:pPr>
      <w:ind w:left="68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ind w:left="1814"/>
    </w:pPr>
  </w:style>
  <w:style w:type="paragraph" w:customStyle="1" w:styleId="Kantrubrik">
    <w:name w:val="Kantrubrik"/>
    <w:basedOn w:val="Normal"/>
    <w:pPr>
      <w:framePr w:w="1758" w:h="1159" w:hRule="exact" w:wrap="auto"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240" w:lineRule="atLeast"/>
      <w:jc w:val="both"/>
      <w:textAlignment w:val="baseline"/>
    </w:pPr>
    <w:rPr>
      <w:rFonts w:ascii="Arial" w:hAnsi="Arial"/>
      <w:lang w:val="sv-SE" w:eastAsia="sv-SE"/>
    </w:rPr>
  </w:style>
  <w:style w:type="paragraph" w:customStyle="1" w:styleId="NormalRam">
    <w:name w:val="NormalRam"/>
    <w:basedOn w:val="Normal"/>
    <w:pPr>
      <w:framePr w:hSpace="142" w:wrap="auto"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uto"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uto"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uto"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customStyle="1" w:styleId="DocumentMap">
    <w:name w:val="Document Map"/>
    <w:basedOn w:val="Normal"/>
    <w:pPr>
      <w:shd w:val="clear" w:color="auto" w:fill="000080"/>
    </w:pPr>
    <w:rPr>
      <w:rFonts w:ascii="Tahoma" w:hAnsi="Tahoma"/>
    </w:rPr>
  </w:style>
  <w:style w:type="paragraph" w:styleId="Ballongtext">
    <w:name w:val="Balloon Text"/>
    <w:basedOn w:val="Normal"/>
    <w:rPr>
      <w:rFonts w:ascii="Tahoma" w:hAnsi="Tahoma"/>
      <w:sz w:val="16"/>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1170</Words>
  <Characters>7668</Characters>
  <Application>Microsoft Office Word</Application>
  <DocSecurity>4</DocSecurity>
  <Lines>153</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2003-11-20T09:59:00Z</cp:lastPrinted>
  <dcterms:created xsi:type="dcterms:W3CDTF">2025-12-16T18:15:00Z</dcterms:created>
  <dcterms:modified xsi:type="dcterms:W3CDTF">2025-12-16T18:15:00Z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30</vt:lpwstr>
  </property>
  <property fmtid="{D5CDD505-2E9C-101B-9397-08002B2CF9AE}" pid="4" name="GDB1">
    <vt:lpwstr>KOM (2003) 558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Förslag till rådets förordning om ändring av förordning (EG) nr 1683/95 om en enhetlig utformning av visumhandlingar Förslag till rådets förordning om ändring av förordning (EG) nr 1030/2002 om en enhetlig utformning av uppehållstillstånd för medborgare i</vt:lpwstr>
  </property>
  <property fmtid="{D5CDD505-2E9C-101B-9397-08002B2CF9AE}" pid="8" name="UppDat">
    <vt:lpwstr>2003-11-19</vt:lpwstr>
  </property>
  <property fmtid="{D5CDD505-2E9C-101B-9397-08002B2CF9AE}" pid="9" name="AnkDat">
    <vt:lpwstr>2003-11-20</vt:lpwstr>
  </property>
  <property fmtid="{D5CDD505-2E9C-101B-9397-08002B2CF9AE}" pid="10" name="Utsk">
    <vt:lpwstr>Socialförsäkringsutskottet</vt:lpwstr>
  </property>
  <property fmtid="{D5CDD505-2E9C-101B-9397-08002B2CF9AE}" pid="11" name="Ar">
    <vt:lpwstr>2003/04</vt:lpwstr>
  </property>
  <property fmtid="{D5CDD505-2E9C-101B-9397-08002B2CF9AE}" pid="12" name="GDB2">
    <vt:lpwstr> </vt:lpwstr>
  </property>
  <property fmtid="{D5CDD505-2E9C-101B-9397-08002B2CF9AE}" pid="13" name="GDB3">
    <vt:lpwstr> </vt:lpwstr>
  </property>
  <property fmtid="{D5CDD505-2E9C-101B-9397-08002B2CF9AE}" pid="14" name="GDB4">
    <vt:lpwstr> </vt:lpwstr>
  </property>
  <property fmtid="{D5CDD505-2E9C-101B-9397-08002B2CF9AE}" pid="15" name="GDB5">
    <vt:lpwstr> </vt:lpwstr>
  </property>
  <property fmtid="{D5CDD505-2E9C-101B-9397-08002B2CF9AE}" pid="16" name="GDB6">
    <vt:lpwstr> </vt:lpwstr>
  </property>
  <property fmtid="{D5CDD505-2E9C-101B-9397-08002B2CF9AE}" pid="17" name="GDB7">
    <vt:lpwstr> </vt:lpwstr>
  </property>
  <property fmtid="{D5CDD505-2E9C-101B-9397-08002B2CF9AE}" pid="18" name="GDB8">
    <vt:lpwstr> </vt:lpwstr>
  </property>
  <property fmtid="{D5CDD505-2E9C-101B-9397-08002B2CF9AE}" pid="19" name="GDB9">
    <vt:lpwstr> </vt:lpwstr>
  </property>
  <property fmtid="{D5CDD505-2E9C-101B-9397-08002B2CF9AE}" pid="20" name="GDB10">
    <vt:lpwstr> </vt:lpwstr>
  </property>
  <property fmtid="{D5CDD505-2E9C-101B-9397-08002B2CF9AE}" pid="21" name="GDB11">
    <vt:lpwstr> </vt:lpwstr>
  </property>
  <property fmtid="{D5CDD505-2E9C-101B-9397-08002B2CF9AE}" pid="22" name="GDB12">
    <vt:lpwstr> </vt:lpwstr>
  </property>
  <property fmtid="{D5CDD505-2E9C-101B-9397-08002B2CF9AE}" pid="23" name="GDB13">
    <vt:lpwstr> </vt:lpwstr>
  </property>
  <property fmtid="{D5CDD505-2E9C-101B-9397-08002B2CF9AE}" pid="24" name="Justitiedepartementet">
    <vt:lpwstr>NEJ</vt:lpwstr>
  </property>
  <property fmtid="{D5CDD505-2E9C-101B-9397-08002B2CF9AE}" pid="25" name="Utrikesdepartementet">
    <vt:lpwstr>JA</vt:lpwstr>
  </property>
  <property fmtid="{D5CDD505-2E9C-101B-9397-08002B2CF9AE}" pid="26" name="Försvarsdepartementet">
    <vt:lpwstr>NEJ</vt:lpwstr>
  </property>
  <property fmtid="{D5CDD505-2E9C-101B-9397-08002B2CF9AE}" pid="27" name="Socialdepartementet">
    <vt:lpwstr>NEJ</vt:lpwstr>
  </property>
  <property fmtid="{D5CDD505-2E9C-101B-9397-08002B2CF9AE}" pid="28" name="Finansdepartementet">
    <vt:lpwstr>NEJ</vt:lpwstr>
  </property>
  <property fmtid="{D5CDD505-2E9C-101B-9397-08002B2CF9AE}" pid="29" name="Utbildningsdepartementet">
    <vt:lpwstr>NEJ</vt:lpwstr>
  </property>
  <property fmtid="{D5CDD505-2E9C-101B-9397-08002B2CF9AE}" pid="30" name="Jordbruksdepartementet">
    <vt:lpwstr>NEJ</vt:lpwstr>
  </property>
  <property fmtid="{D5CDD505-2E9C-101B-9397-08002B2CF9AE}" pid="31" name="Kulturdepartementet">
    <vt:lpwstr>NEJ</vt:lpwstr>
  </property>
  <property fmtid="{D5CDD505-2E9C-101B-9397-08002B2CF9AE}" pid="32" name="Näringsdepartementet">
    <vt:lpwstr>NEJ</vt:lpwstr>
  </property>
  <property fmtid="{D5CDD505-2E9C-101B-9397-08002B2CF9AE}" pid="33" name="Miljödepartementet">
    <vt:lpwstr>NEJ</vt:lpwstr>
  </property>
  <property fmtid="{D5CDD505-2E9C-101B-9397-08002B2CF9AE}" pid="34" name="NUID">
    <vt:lpwstr> </vt:lpwstr>
  </property>
</Properties>
</file>