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DC6" w:rsidRPr="00612DC6" w:rsidRDefault="00612DC6">
      <w:pPr>
        <w:pStyle w:val="RubrikSammanf"/>
        <w:shd w:val="clear" w:color="000000" w:fill="auto"/>
      </w:pPr>
      <w:bookmarkStart w:id="0" w:name="_Toc214344469"/>
      <w:bookmarkStart w:id="1" w:name="_Toc215982290"/>
      <w:r w:rsidRPr="00612DC6">
        <w:t>Sammanfattning</w:t>
      </w:r>
      <w:bookmarkEnd w:id="0"/>
      <w:bookmarkEnd w:id="1"/>
    </w:p>
    <w:p w:rsidR="00612DC6" w:rsidRPr="00612DC6" w:rsidRDefault="00612DC6">
      <w:pPr>
        <w:shd w:val="clear" w:color="000000" w:fill="auto"/>
      </w:pPr>
      <w:r w:rsidRPr="00612DC6">
        <w:t>I motionen framhåller Vänsterpartiet vikten av en fri forskning som varken styrs av politiska eller kommersiella intressen. Som en följd av detta anser vi att riksdagen bör avslå regeringens förslag till ändring av högskolelagen om att det ska ingå i högskolans uppdrag att verka för att forskningsresultat kommer till nytta – dvs. att de ska kommersialiseras. Det är oklart vilka ko</w:t>
      </w:r>
      <w:r w:rsidRPr="00612DC6">
        <w:t>n</w:t>
      </w:r>
      <w:r w:rsidRPr="00612DC6">
        <w:t>sekvenser en sådan lagändring får för den forskning som inte är kommersial</w:t>
      </w:r>
      <w:r w:rsidRPr="00612DC6">
        <w:t>i</w:t>
      </w:r>
      <w:r w:rsidRPr="00612DC6">
        <w:t>serbar. Nyttiggörande av forskning är dessutom redan en del av högskolans verksamhet eftersom utbildningen ska vara forskningsanknuten och högsk</w:t>
      </w:r>
      <w:r w:rsidRPr="00612DC6">
        <w:t>o</w:t>
      </w:r>
      <w:r w:rsidRPr="00612DC6">
        <w:t>lan ska samverka med det omgivande samhället.</w:t>
      </w:r>
    </w:p>
    <w:p w:rsidR="00612DC6" w:rsidRPr="00612DC6" w:rsidRDefault="00612DC6">
      <w:pPr>
        <w:pStyle w:val="Normaltindrag"/>
        <w:shd w:val="clear" w:color="000000" w:fill="auto"/>
      </w:pPr>
      <w:r w:rsidRPr="00612DC6">
        <w:t>Även om vi har tagit initiativ till frågan om prestationsbaserad tilldelning av forskningsanslag avvisar vi regeringens förslag till ny modell för omfö</w:t>
      </w:r>
      <w:r w:rsidRPr="00612DC6">
        <w:t>r</w:t>
      </w:r>
      <w:r w:rsidRPr="00612DC6">
        <w:t>delning av forskningsresurser. Vi menar att det behöver utarbetas kriterier som bättre speglar bredden och mångfalden i högskolornas forskning. Den övergripande inriktningen i regeringens förslag till strategiska forskningso</w:t>
      </w:r>
      <w:r w:rsidRPr="00612DC6">
        <w:t>m</w:t>
      </w:r>
      <w:r w:rsidRPr="00612DC6">
        <w:t>råden är en fortsättning av de prioriteringar som Vänsterpartiet gjorde til</w:t>
      </w:r>
      <w:r w:rsidRPr="00612DC6">
        <w:t>l</w:t>
      </w:r>
      <w:r w:rsidRPr="00612DC6">
        <w:t>sammans med Socialdemokraterna och Miljöpartiet under förra mandatperi</w:t>
      </w:r>
      <w:r w:rsidRPr="00612DC6">
        <w:t>o</w:t>
      </w:r>
      <w:r w:rsidRPr="00612DC6">
        <w:t>den, men vi avvisar den detaljerade politiska styrning av anslagen som för</w:t>
      </w:r>
      <w:r w:rsidRPr="00612DC6">
        <w:t>e</w:t>
      </w:r>
      <w:r w:rsidRPr="00612DC6">
        <w:t>slås i propositionen.</w:t>
      </w:r>
    </w:p>
    <w:p w:rsidR="00612DC6" w:rsidRPr="00612DC6" w:rsidRDefault="00612DC6">
      <w:pPr>
        <w:pStyle w:val="Normaltindrag"/>
        <w:shd w:val="clear" w:color="000000" w:fill="auto"/>
      </w:pPr>
      <w:r w:rsidRPr="00612DC6">
        <w:t>Vi föreslår en omfördelning och förstärkni</w:t>
      </w:r>
      <w:r w:rsidRPr="00612DC6">
        <w:t>ng av resurserna till humanistisk forskning, genusforskning, arbetslivsforskning och utbildningsvetenskaplig forskning. Forskarutbildningen bör förstärkas och vi föreslår att alla som antas till forskarutbildningen också ska anställas som doktorander. För att öka den fria tillgången till forskningsresultat föreslår vi åtgärder för att öka Open Access-publiceringen.</w:t>
      </w:r>
    </w:p>
    <w:p w:rsidR="00612DC6" w:rsidRPr="00612DC6" w:rsidRDefault="00612DC6">
      <w:pPr>
        <w:pStyle w:val="RubrikInnehllsf"/>
        <w:pageBreakBefore/>
        <w:shd w:val="clear" w:color="000000" w:fill="auto"/>
        <w:spacing w:before="0"/>
      </w:pPr>
      <w:bookmarkStart w:id="2" w:name="_Toc214344470"/>
      <w:r w:rsidRPr="00612DC6">
        <w:lastRenderedPageBreak/>
        <w:t>Innehållsförteckning</w:t>
      </w:r>
    </w:p>
    <w:p w:rsidR="00612DC6" w:rsidRPr="00612DC6" w:rsidRDefault="00612DC6">
      <w:pPr>
        <w:pStyle w:val="Innehll1"/>
        <w:shd w:val="clear" w:color="000000" w:fill="auto"/>
        <w:tabs>
          <w:tab w:val="left" w:pos="480"/>
        </w:tabs>
        <w:spacing w:before="125"/>
        <w:rPr>
          <w:sz w:val="24"/>
          <w:szCs w:val="24"/>
        </w:rPr>
      </w:pPr>
      <w:r w:rsidRPr="00612DC6">
        <w:fldChar w:fldCharType="begin" w:fldLock="1"/>
      </w:r>
      <w:r w:rsidRPr="00612DC6">
        <w:instrText xml:space="preserve"> TOC \o "2-3" \t "Rubrik 1;1;Hemstl_rubrik;1;RubrikSammanf;1" </w:instrText>
      </w:r>
      <w:r w:rsidRPr="00612DC6">
        <w:fldChar w:fldCharType="separate"/>
      </w:r>
      <w:r w:rsidRPr="00612DC6">
        <w:t>1</w:t>
      </w:r>
      <w:r w:rsidRPr="00612DC6">
        <w:rPr>
          <w:sz w:val="24"/>
          <w:szCs w:val="24"/>
        </w:rPr>
        <w:tab/>
      </w:r>
      <w:r w:rsidRPr="00612DC6">
        <w:t>Sammanfattning</w:t>
      </w:r>
      <w:r w:rsidRPr="00612DC6">
        <w:tab/>
      </w:r>
      <w:r w:rsidRPr="00612DC6">
        <w:fldChar w:fldCharType="begin" w:fldLock="1"/>
      </w:r>
      <w:r w:rsidRPr="00612DC6">
        <w:instrText xml:space="preserve"> PAGEREF _Toc215982290 \h </w:instrText>
      </w:r>
      <w:r w:rsidRPr="00612DC6">
        <w:fldChar w:fldCharType="separate"/>
      </w:r>
      <w:r w:rsidRPr="00612DC6">
        <w:t>1</w:t>
      </w:r>
      <w:r w:rsidRPr="00612DC6">
        <w:fldChar w:fldCharType="end"/>
      </w:r>
    </w:p>
    <w:p w:rsidR="00612DC6" w:rsidRPr="00612DC6" w:rsidRDefault="00612DC6">
      <w:pPr>
        <w:pStyle w:val="Innehll1"/>
        <w:shd w:val="clear" w:color="000000" w:fill="auto"/>
        <w:tabs>
          <w:tab w:val="left" w:pos="480"/>
        </w:tabs>
        <w:rPr>
          <w:sz w:val="24"/>
          <w:szCs w:val="24"/>
        </w:rPr>
      </w:pPr>
      <w:r w:rsidRPr="00612DC6">
        <w:t>3</w:t>
      </w:r>
      <w:r w:rsidRPr="00612DC6">
        <w:rPr>
          <w:sz w:val="24"/>
          <w:szCs w:val="24"/>
        </w:rPr>
        <w:tab/>
      </w:r>
      <w:r w:rsidRPr="00612DC6">
        <w:t>Förslag till riksdagsbeslut</w:t>
      </w:r>
      <w:r w:rsidRPr="00612DC6">
        <w:tab/>
      </w:r>
      <w:r w:rsidRPr="00612DC6">
        <w:fldChar w:fldCharType="begin" w:fldLock="1"/>
      </w:r>
      <w:r w:rsidRPr="00612DC6">
        <w:instrText xml:space="preserve"> PAGEREF _Toc215982291 \h </w:instrText>
      </w:r>
      <w:r w:rsidRPr="00612DC6">
        <w:fldChar w:fldCharType="separate"/>
      </w:r>
      <w:r w:rsidRPr="00612DC6">
        <w:t>3</w:t>
      </w:r>
      <w:r w:rsidRPr="00612DC6">
        <w:fldChar w:fldCharType="end"/>
      </w:r>
    </w:p>
    <w:p w:rsidR="00612DC6" w:rsidRPr="00612DC6" w:rsidRDefault="00612DC6">
      <w:pPr>
        <w:pStyle w:val="Innehll1"/>
        <w:shd w:val="clear" w:color="000000" w:fill="auto"/>
        <w:tabs>
          <w:tab w:val="left" w:pos="480"/>
        </w:tabs>
        <w:rPr>
          <w:sz w:val="24"/>
          <w:szCs w:val="24"/>
        </w:rPr>
      </w:pPr>
      <w:r w:rsidRPr="00612DC6">
        <w:t>4</w:t>
      </w:r>
      <w:r w:rsidRPr="00612DC6">
        <w:rPr>
          <w:sz w:val="24"/>
          <w:szCs w:val="24"/>
        </w:rPr>
        <w:tab/>
      </w:r>
      <w:r w:rsidRPr="00612DC6">
        <w:t>Forskning och forskningspolitik</w:t>
      </w:r>
      <w:r w:rsidRPr="00612DC6">
        <w:tab/>
      </w:r>
      <w:r w:rsidRPr="00612DC6">
        <w:fldChar w:fldCharType="begin" w:fldLock="1"/>
      </w:r>
      <w:r w:rsidRPr="00612DC6">
        <w:instrText xml:space="preserve"> PAGEREF _Toc215982292 \h </w:instrText>
      </w:r>
      <w:r w:rsidRPr="00612DC6">
        <w:fldChar w:fldCharType="separate"/>
      </w:r>
      <w:r w:rsidRPr="00612DC6">
        <w:t>4</w:t>
      </w:r>
      <w:r w:rsidRPr="00612DC6">
        <w:fldChar w:fldCharType="end"/>
      </w:r>
    </w:p>
    <w:p w:rsidR="00612DC6" w:rsidRPr="00612DC6" w:rsidRDefault="00612DC6">
      <w:pPr>
        <w:pStyle w:val="Innehll1"/>
        <w:shd w:val="clear" w:color="000000" w:fill="auto"/>
        <w:tabs>
          <w:tab w:val="left" w:pos="480"/>
        </w:tabs>
        <w:rPr>
          <w:sz w:val="24"/>
          <w:szCs w:val="24"/>
        </w:rPr>
      </w:pPr>
      <w:r w:rsidRPr="00612DC6">
        <w:t>5</w:t>
      </w:r>
      <w:r w:rsidRPr="00612DC6">
        <w:rPr>
          <w:sz w:val="24"/>
          <w:szCs w:val="24"/>
        </w:rPr>
        <w:tab/>
      </w:r>
      <w:r w:rsidRPr="00612DC6">
        <w:t>Resursfördelningssystemet</w:t>
      </w:r>
      <w:r w:rsidRPr="00612DC6">
        <w:tab/>
      </w:r>
      <w:r w:rsidRPr="00612DC6">
        <w:fldChar w:fldCharType="begin" w:fldLock="1"/>
      </w:r>
      <w:r w:rsidRPr="00612DC6">
        <w:instrText xml:space="preserve"> PAGEREF _Toc215982293 \h </w:instrText>
      </w:r>
      <w:r w:rsidRPr="00612DC6">
        <w:fldChar w:fldCharType="separate"/>
      </w:r>
      <w:r w:rsidRPr="00612DC6">
        <w:t>5</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5.1</w:t>
      </w:r>
      <w:r w:rsidRPr="00612DC6">
        <w:rPr>
          <w:sz w:val="24"/>
          <w:szCs w:val="24"/>
        </w:rPr>
        <w:tab/>
      </w:r>
      <w:r w:rsidRPr="00612DC6">
        <w:t>Externa medel</w:t>
      </w:r>
      <w:r w:rsidRPr="00612DC6">
        <w:tab/>
      </w:r>
      <w:r w:rsidRPr="00612DC6">
        <w:fldChar w:fldCharType="begin" w:fldLock="1"/>
      </w:r>
      <w:r w:rsidRPr="00612DC6">
        <w:instrText xml:space="preserve"> PAGEREF _Toc215982294 \h </w:instrText>
      </w:r>
      <w:r w:rsidRPr="00612DC6">
        <w:fldChar w:fldCharType="separate"/>
      </w:r>
      <w:r w:rsidRPr="00612DC6">
        <w:t>6</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5.2</w:t>
      </w:r>
      <w:r w:rsidRPr="00612DC6">
        <w:rPr>
          <w:sz w:val="24"/>
          <w:szCs w:val="24"/>
        </w:rPr>
        <w:tab/>
      </w:r>
      <w:r w:rsidRPr="00612DC6">
        <w:t>Publicering och citering</w:t>
      </w:r>
      <w:r w:rsidRPr="00612DC6">
        <w:tab/>
      </w:r>
      <w:r w:rsidRPr="00612DC6">
        <w:fldChar w:fldCharType="begin" w:fldLock="1"/>
      </w:r>
      <w:r w:rsidRPr="00612DC6">
        <w:instrText xml:space="preserve"> PAGEREF _Toc215982295 \h </w:instrText>
      </w:r>
      <w:r w:rsidRPr="00612DC6">
        <w:fldChar w:fldCharType="separate"/>
      </w:r>
      <w:r w:rsidRPr="00612DC6">
        <w:t>7</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5.3</w:t>
      </w:r>
      <w:r w:rsidRPr="00612DC6">
        <w:rPr>
          <w:sz w:val="24"/>
          <w:szCs w:val="24"/>
        </w:rPr>
        <w:tab/>
      </w:r>
      <w:r w:rsidRPr="00612DC6">
        <w:t>Utvärdering och utredning</w:t>
      </w:r>
      <w:r w:rsidRPr="00612DC6">
        <w:tab/>
      </w:r>
      <w:r w:rsidRPr="00612DC6">
        <w:fldChar w:fldCharType="begin" w:fldLock="1"/>
      </w:r>
      <w:r w:rsidRPr="00612DC6">
        <w:instrText xml:space="preserve"> PAGEREF _Toc215982296 \h </w:instrText>
      </w:r>
      <w:r w:rsidRPr="00612DC6">
        <w:fldChar w:fldCharType="separate"/>
      </w:r>
      <w:r w:rsidRPr="00612DC6">
        <w:t>8</w:t>
      </w:r>
      <w:r w:rsidRPr="00612DC6">
        <w:fldChar w:fldCharType="end"/>
      </w:r>
    </w:p>
    <w:p w:rsidR="00612DC6" w:rsidRPr="00612DC6" w:rsidRDefault="00612DC6">
      <w:pPr>
        <w:pStyle w:val="Innehll1"/>
        <w:shd w:val="clear" w:color="000000" w:fill="auto"/>
        <w:tabs>
          <w:tab w:val="left" w:pos="480"/>
        </w:tabs>
      </w:pPr>
      <w:r w:rsidRPr="00612DC6">
        <w:t>6</w:t>
      </w:r>
      <w:r w:rsidRPr="00612DC6">
        <w:rPr>
          <w:sz w:val="24"/>
          <w:szCs w:val="24"/>
        </w:rPr>
        <w:tab/>
      </w:r>
      <w:r w:rsidRPr="00612DC6">
        <w:t>Tillstånd att utfärda examina på forskarnivå</w:t>
      </w:r>
      <w:r w:rsidRPr="00612DC6">
        <w:tab/>
      </w:r>
      <w:r w:rsidRPr="00612DC6">
        <w:fldChar w:fldCharType="begin" w:fldLock="1"/>
      </w:r>
      <w:r w:rsidRPr="00612DC6">
        <w:instrText xml:space="preserve"> PAGEREF _Toc215982297 \h </w:instrText>
      </w:r>
      <w:r w:rsidRPr="00612DC6">
        <w:fldChar w:fldCharType="separate"/>
      </w:r>
      <w:r w:rsidRPr="00612DC6">
        <w:t>9</w:t>
      </w:r>
      <w:r w:rsidRPr="00612DC6">
        <w:fldChar w:fldCharType="end"/>
      </w:r>
    </w:p>
    <w:p w:rsidR="00612DC6" w:rsidRPr="00612DC6" w:rsidRDefault="00612DC6">
      <w:pPr>
        <w:pStyle w:val="Innehll1"/>
        <w:shd w:val="clear" w:color="000000" w:fill="auto"/>
        <w:tabs>
          <w:tab w:val="left" w:pos="480"/>
        </w:tabs>
        <w:rPr>
          <w:sz w:val="24"/>
          <w:szCs w:val="24"/>
        </w:rPr>
      </w:pPr>
      <w:r w:rsidRPr="00612DC6">
        <w:t>7</w:t>
      </w:r>
      <w:r w:rsidRPr="00612DC6">
        <w:tab/>
        <w:t>Strategiska forskningsområden</w:t>
      </w:r>
      <w:r w:rsidRPr="00612DC6">
        <w:tab/>
      </w:r>
      <w:r w:rsidRPr="00612DC6">
        <w:fldChar w:fldCharType="begin" w:fldLock="1"/>
      </w:r>
      <w:r w:rsidRPr="00612DC6">
        <w:instrText xml:space="preserve"> PAGEREF _Toc215982298 \h </w:instrText>
      </w:r>
      <w:r w:rsidRPr="00612DC6">
        <w:fldChar w:fldCharType="separate"/>
      </w:r>
      <w:r w:rsidRPr="00612DC6">
        <w:t>9</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7.1</w:t>
      </w:r>
      <w:r w:rsidRPr="00612DC6">
        <w:rPr>
          <w:sz w:val="24"/>
          <w:szCs w:val="24"/>
        </w:rPr>
        <w:tab/>
      </w:r>
      <w:r w:rsidRPr="00612DC6">
        <w:t>Medicinsk forskning</w:t>
      </w:r>
      <w:r w:rsidRPr="00612DC6">
        <w:tab/>
      </w:r>
      <w:r w:rsidRPr="00612DC6">
        <w:fldChar w:fldCharType="begin" w:fldLock="1"/>
      </w:r>
      <w:r w:rsidRPr="00612DC6">
        <w:instrText xml:space="preserve"> PAGEREF _Toc215982299 \h </w:instrText>
      </w:r>
      <w:r w:rsidRPr="00612DC6">
        <w:fldChar w:fldCharType="separate"/>
      </w:r>
      <w:r w:rsidRPr="00612DC6">
        <w:t>10</w:t>
      </w:r>
      <w:r w:rsidRPr="00612DC6">
        <w:fldChar w:fldCharType="end"/>
      </w:r>
    </w:p>
    <w:p w:rsidR="00612DC6" w:rsidRPr="00612DC6" w:rsidRDefault="00612DC6">
      <w:pPr>
        <w:pStyle w:val="Innehll3"/>
        <w:shd w:val="clear" w:color="000000" w:fill="auto"/>
        <w:tabs>
          <w:tab w:val="left" w:pos="1200"/>
        </w:tabs>
        <w:rPr>
          <w:sz w:val="24"/>
          <w:szCs w:val="24"/>
        </w:rPr>
      </w:pPr>
      <w:r w:rsidRPr="00612DC6">
        <w:t>7.1.1</w:t>
      </w:r>
      <w:r w:rsidRPr="00612DC6">
        <w:rPr>
          <w:sz w:val="24"/>
          <w:szCs w:val="24"/>
        </w:rPr>
        <w:tab/>
      </w:r>
      <w:r w:rsidRPr="00612DC6">
        <w:t>Klinisk forskning</w:t>
      </w:r>
      <w:r w:rsidRPr="00612DC6">
        <w:tab/>
      </w:r>
      <w:r w:rsidRPr="00612DC6">
        <w:fldChar w:fldCharType="begin" w:fldLock="1"/>
      </w:r>
      <w:r w:rsidRPr="00612DC6">
        <w:instrText xml:space="preserve"> PAGEREF _Toc215982300 \h </w:instrText>
      </w:r>
      <w:r w:rsidRPr="00612DC6">
        <w:fldChar w:fldCharType="separate"/>
      </w:r>
      <w:r w:rsidRPr="00612DC6">
        <w:t>10</w:t>
      </w:r>
      <w:r w:rsidRPr="00612DC6">
        <w:fldChar w:fldCharType="end"/>
      </w:r>
    </w:p>
    <w:p w:rsidR="00612DC6" w:rsidRPr="00612DC6" w:rsidRDefault="00612DC6">
      <w:pPr>
        <w:pStyle w:val="Innehll2"/>
        <w:shd w:val="clear" w:color="000000" w:fill="auto"/>
        <w:tabs>
          <w:tab w:val="left" w:pos="840"/>
        </w:tabs>
        <w:ind w:left="240"/>
      </w:pPr>
      <w:r w:rsidRPr="00612DC6">
        <w:t>7.2</w:t>
      </w:r>
      <w:r w:rsidRPr="00612DC6">
        <w:tab/>
        <w:t>Teknisk forskning</w:t>
      </w:r>
      <w:r w:rsidRPr="00612DC6">
        <w:tab/>
      </w:r>
      <w:r w:rsidRPr="00612DC6">
        <w:fldChar w:fldCharType="begin" w:fldLock="1"/>
      </w:r>
      <w:r w:rsidRPr="00612DC6">
        <w:instrText xml:space="preserve"> PAGEREF _Toc215982301 \h </w:instrText>
      </w:r>
      <w:r w:rsidRPr="00612DC6">
        <w:fldChar w:fldCharType="separate"/>
      </w:r>
      <w:r w:rsidRPr="00612DC6">
        <w:t>11</w:t>
      </w:r>
      <w:r w:rsidRPr="00612DC6">
        <w:fldChar w:fldCharType="end"/>
      </w:r>
    </w:p>
    <w:p w:rsidR="00612DC6" w:rsidRPr="00612DC6" w:rsidRDefault="00612DC6">
      <w:pPr>
        <w:pStyle w:val="Innehll2"/>
        <w:shd w:val="clear" w:color="000000" w:fill="auto"/>
        <w:tabs>
          <w:tab w:val="left" w:pos="840"/>
        </w:tabs>
        <w:ind w:left="240"/>
      </w:pPr>
      <w:r w:rsidRPr="00612DC6">
        <w:t>7.3</w:t>
      </w:r>
      <w:r w:rsidRPr="00612DC6">
        <w:tab/>
        <w:t>Klimatforskning</w:t>
      </w:r>
      <w:r w:rsidRPr="00612DC6">
        <w:tab/>
      </w:r>
      <w:r w:rsidRPr="00612DC6">
        <w:fldChar w:fldCharType="begin" w:fldLock="1"/>
      </w:r>
      <w:r w:rsidRPr="00612DC6">
        <w:instrText xml:space="preserve"> PAGEREF _Toc215982302 \h </w:instrText>
      </w:r>
      <w:r w:rsidRPr="00612DC6">
        <w:fldChar w:fldCharType="separate"/>
      </w:r>
      <w:r w:rsidRPr="00612DC6">
        <w:t>11</w:t>
      </w:r>
      <w:r w:rsidRPr="00612DC6">
        <w:fldChar w:fldCharType="end"/>
      </w:r>
    </w:p>
    <w:p w:rsidR="00612DC6" w:rsidRPr="00612DC6" w:rsidRDefault="00612DC6">
      <w:pPr>
        <w:pStyle w:val="Innehll2"/>
        <w:shd w:val="clear" w:color="000000" w:fill="auto"/>
        <w:tabs>
          <w:tab w:val="left" w:pos="840"/>
        </w:tabs>
        <w:ind w:left="240"/>
      </w:pPr>
      <w:r w:rsidRPr="00612DC6">
        <w:t>7.4</w:t>
      </w:r>
      <w:r w:rsidRPr="00612DC6">
        <w:tab/>
        <w:t>Övrig strategisk forskning</w:t>
      </w:r>
      <w:r w:rsidRPr="00612DC6">
        <w:tab/>
      </w:r>
      <w:r w:rsidRPr="00612DC6">
        <w:fldChar w:fldCharType="begin" w:fldLock="1"/>
      </w:r>
      <w:r w:rsidRPr="00612DC6">
        <w:instrText xml:space="preserve"> PAGEREF _Toc215982303 \h </w:instrText>
      </w:r>
      <w:r w:rsidRPr="00612DC6">
        <w:fldChar w:fldCharType="separate"/>
      </w:r>
      <w:r w:rsidRPr="00612DC6">
        <w:t>12</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7.5</w:t>
      </w:r>
      <w:r w:rsidRPr="00612DC6">
        <w:tab/>
        <w:t>Förstärkning av den humanistiska forskningen</w:t>
      </w:r>
      <w:r w:rsidRPr="00612DC6">
        <w:tab/>
      </w:r>
      <w:r w:rsidRPr="00612DC6">
        <w:fldChar w:fldCharType="begin" w:fldLock="1"/>
      </w:r>
      <w:r w:rsidRPr="00612DC6">
        <w:instrText xml:space="preserve"> PAGEREF _Toc215982304 \h </w:instrText>
      </w:r>
      <w:r w:rsidRPr="00612DC6">
        <w:fldChar w:fldCharType="separate"/>
      </w:r>
      <w:r w:rsidRPr="00612DC6">
        <w:t>12</w:t>
      </w:r>
      <w:r w:rsidRPr="00612DC6">
        <w:fldChar w:fldCharType="end"/>
      </w:r>
    </w:p>
    <w:p w:rsidR="00612DC6" w:rsidRPr="00612DC6" w:rsidRDefault="00612DC6">
      <w:pPr>
        <w:pStyle w:val="Innehll1"/>
        <w:shd w:val="clear" w:color="000000" w:fill="auto"/>
        <w:tabs>
          <w:tab w:val="left" w:pos="480"/>
        </w:tabs>
      </w:pPr>
      <w:r w:rsidRPr="00612DC6">
        <w:t>8</w:t>
      </w:r>
      <w:r w:rsidRPr="00612DC6">
        <w:rPr>
          <w:sz w:val="24"/>
          <w:szCs w:val="24"/>
        </w:rPr>
        <w:tab/>
      </w:r>
      <w:r w:rsidRPr="00612DC6">
        <w:t>Genusforskning</w:t>
      </w:r>
      <w:r w:rsidRPr="00612DC6">
        <w:tab/>
      </w:r>
      <w:r w:rsidRPr="00612DC6">
        <w:fldChar w:fldCharType="begin" w:fldLock="1"/>
      </w:r>
      <w:r w:rsidRPr="00612DC6">
        <w:instrText xml:space="preserve"> PAGEREF _Toc215982305 \h </w:instrText>
      </w:r>
      <w:r w:rsidRPr="00612DC6">
        <w:fldChar w:fldCharType="separate"/>
      </w:r>
      <w:r w:rsidRPr="00612DC6">
        <w:t>13</w:t>
      </w:r>
      <w:r w:rsidRPr="00612DC6">
        <w:fldChar w:fldCharType="end"/>
      </w:r>
    </w:p>
    <w:p w:rsidR="00612DC6" w:rsidRPr="00612DC6" w:rsidRDefault="00612DC6">
      <w:pPr>
        <w:pStyle w:val="Innehll1"/>
        <w:shd w:val="clear" w:color="000000" w:fill="auto"/>
        <w:tabs>
          <w:tab w:val="left" w:pos="480"/>
        </w:tabs>
        <w:rPr>
          <w:sz w:val="24"/>
          <w:szCs w:val="24"/>
        </w:rPr>
      </w:pPr>
      <w:r w:rsidRPr="00612DC6">
        <w:t>9</w:t>
      </w:r>
      <w:r w:rsidRPr="00612DC6">
        <w:tab/>
        <w:t>Arbetslivsforskning</w:t>
      </w:r>
      <w:r w:rsidRPr="00612DC6">
        <w:tab/>
      </w:r>
      <w:r w:rsidRPr="00612DC6">
        <w:fldChar w:fldCharType="begin" w:fldLock="1"/>
      </w:r>
      <w:r w:rsidRPr="00612DC6">
        <w:instrText xml:space="preserve"> PAGEREF _Toc215982306 \h </w:instrText>
      </w:r>
      <w:r w:rsidRPr="00612DC6">
        <w:fldChar w:fldCharType="separate"/>
      </w:r>
      <w:r w:rsidRPr="00612DC6">
        <w:t>14</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9.1</w:t>
      </w:r>
      <w:r w:rsidRPr="00612DC6">
        <w:rPr>
          <w:sz w:val="24"/>
          <w:szCs w:val="24"/>
        </w:rPr>
        <w:tab/>
      </w:r>
      <w:r w:rsidRPr="00612DC6">
        <w:t>Professur i juridik och rättsvetenskap i socialt arbete eller socialrätt</w:t>
      </w:r>
      <w:r w:rsidRPr="00612DC6">
        <w:tab/>
      </w:r>
      <w:r w:rsidRPr="00612DC6">
        <w:fldChar w:fldCharType="begin" w:fldLock="1"/>
      </w:r>
      <w:r w:rsidRPr="00612DC6">
        <w:instrText xml:space="preserve"> PAGEREF _Toc215982307 \h </w:instrText>
      </w:r>
      <w:r w:rsidRPr="00612DC6">
        <w:fldChar w:fldCharType="separate"/>
      </w:r>
      <w:r w:rsidRPr="00612DC6">
        <w:t>16</w:t>
      </w:r>
      <w:r w:rsidRPr="00612DC6">
        <w:fldChar w:fldCharType="end"/>
      </w:r>
    </w:p>
    <w:p w:rsidR="00612DC6" w:rsidRPr="00612DC6" w:rsidRDefault="00612DC6">
      <w:pPr>
        <w:pStyle w:val="Innehll1"/>
        <w:shd w:val="clear" w:color="000000" w:fill="auto"/>
        <w:tabs>
          <w:tab w:val="left" w:pos="480"/>
        </w:tabs>
        <w:rPr>
          <w:sz w:val="24"/>
          <w:szCs w:val="24"/>
        </w:rPr>
      </w:pPr>
      <w:r w:rsidRPr="00612DC6">
        <w:t>10</w:t>
      </w:r>
      <w:r w:rsidRPr="00612DC6">
        <w:rPr>
          <w:sz w:val="24"/>
          <w:szCs w:val="24"/>
        </w:rPr>
        <w:tab/>
      </w:r>
      <w:r w:rsidRPr="00612DC6">
        <w:t>Utbildningsvetenskaplig forskning</w:t>
      </w:r>
      <w:r w:rsidRPr="00612DC6">
        <w:tab/>
      </w:r>
      <w:r w:rsidRPr="00612DC6">
        <w:fldChar w:fldCharType="begin" w:fldLock="1"/>
      </w:r>
      <w:r w:rsidRPr="00612DC6">
        <w:instrText xml:space="preserve"> PAGEREF _Toc215982308 \h </w:instrText>
      </w:r>
      <w:r w:rsidRPr="00612DC6">
        <w:fldChar w:fldCharType="separate"/>
      </w:r>
      <w:r w:rsidRPr="00612DC6">
        <w:t>17</w:t>
      </w:r>
      <w:r w:rsidRPr="00612DC6">
        <w:fldChar w:fldCharType="end"/>
      </w:r>
    </w:p>
    <w:p w:rsidR="00612DC6" w:rsidRPr="00612DC6" w:rsidRDefault="00612DC6">
      <w:pPr>
        <w:pStyle w:val="Innehll2"/>
        <w:shd w:val="clear" w:color="000000" w:fill="auto"/>
        <w:tabs>
          <w:tab w:val="left" w:pos="840"/>
        </w:tabs>
        <w:ind w:left="240"/>
      </w:pPr>
      <w:r w:rsidRPr="00612DC6">
        <w:t>10.1</w:t>
      </w:r>
      <w:r w:rsidRPr="00612DC6">
        <w:rPr>
          <w:sz w:val="24"/>
          <w:szCs w:val="24"/>
        </w:rPr>
        <w:tab/>
      </w:r>
      <w:r w:rsidRPr="00612DC6">
        <w:t>Lärarutbildningarnas forskningsanknytning</w:t>
      </w:r>
      <w:r w:rsidRPr="00612DC6">
        <w:tab/>
      </w:r>
      <w:r w:rsidRPr="00612DC6">
        <w:fldChar w:fldCharType="begin" w:fldLock="1"/>
      </w:r>
      <w:r w:rsidRPr="00612DC6">
        <w:instrText xml:space="preserve"> PAGEREF _Toc215982309 \h </w:instrText>
      </w:r>
      <w:r w:rsidRPr="00612DC6">
        <w:fldChar w:fldCharType="separate"/>
      </w:r>
      <w:r w:rsidRPr="00612DC6">
        <w:t>17</w:t>
      </w:r>
      <w:r w:rsidRPr="00612DC6">
        <w:fldChar w:fldCharType="end"/>
      </w:r>
    </w:p>
    <w:p w:rsidR="00612DC6" w:rsidRPr="00612DC6" w:rsidRDefault="00612DC6">
      <w:pPr>
        <w:pStyle w:val="Innehll2"/>
        <w:shd w:val="clear" w:color="000000" w:fill="auto"/>
        <w:tabs>
          <w:tab w:val="left" w:pos="840"/>
        </w:tabs>
        <w:ind w:left="240"/>
      </w:pPr>
      <w:r w:rsidRPr="00612DC6">
        <w:t>10.2</w:t>
      </w:r>
      <w:r w:rsidRPr="00612DC6">
        <w:tab/>
        <w:t>Utbildningsvetenskapliga kommittén</w:t>
      </w:r>
      <w:r w:rsidRPr="00612DC6">
        <w:tab/>
      </w:r>
      <w:r w:rsidRPr="00612DC6">
        <w:fldChar w:fldCharType="begin" w:fldLock="1"/>
      </w:r>
      <w:r w:rsidRPr="00612DC6">
        <w:instrText xml:space="preserve"> PAGEREF _Toc215982310 \h </w:instrText>
      </w:r>
      <w:r w:rsidRPr="00612DC6">
        <w:fldChar w:fldCharType="separate"/>
      </w:r>
      <w:r w:rsidRPr="00612DC6">
        <w:t>18</w:t>
      </w:r>
      <w:r w:rsidRPr="00612DC6">
        <w:fldChar w:fldCharType="end"/>
      </w:r>
    </w:p>
    <w:p w:rsidR="00612DC6" w:rsidRPr="00612DC6" w:rsidRDefault="00612DC6">
      <w:pPr>
        <w:pStyle w:val="Innehll2"/>
        <w:shd w:val="clear" w:color="000000" w:fill="auto"/>
        <w:tabs>
          <w:tab w:val="left" w:pos="840"/>
        </w:tabs>
        <w:ind w:left="240"/>
      </w:pPr>
      <w:r w:rsidRPr="00612DC6">
        <w:t>10.3</w:t>
      </w:r>
      <w:r w:rsidRPr="00612DC6">
        <w:tab/>
        <w:t>Lärares behörighet till forskarutbildningen</w:t>
      </w:r>
      <w:r w:rsidRPr="00612DC6">
        <w:tab/>
      </w:r>
      <w:r w:rsidRPr="00612DC6">
        <w:fldChar w:fldCharType="begin" w:fldLock="1"/>
      </w:r>
      <w:r w:rsidRPr="00612DC6">
        <w:instrText xml:space="preserve"> PAGEREF _Toc215982311 \h </w:instrText>
      </w:r>
      <w:r w:rsidRPr="00612DC6">
        <w:fldChar w:fldCharType="separate"/>
      </w:r>
      <w:r w:rsidRPr="00612DC6">
        <w:t>19</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10.4</w:t>
      </w:r>
      <w:r w:rsidRPr="00612DC6">
        <w:tab/>
        <w:t>Skolornas huvudmän och den vetenskapliga forskningen</w:t>
      </w:r>
      <w:r w:rsidRPr="00612DC6">
        <w:tab/>
      </w:r>
      <w:r w:rsidRPr="00612DC6">
        <w:fldChar w:fldCharType="begin" w:fldLock="1"/>
      </w:r>
      <w:r w:rsidRPr="00612DC6">
        <w:instrText xml:space="preserve"> PAGEREF _Toc215982312 \h </w:instrText>
      </w:r>
      <w:r w:rsidRPr="00612DC6">
        <w:fldChar w:fldCharType="separate"/>
      </w:r>
      <w:r w:rsidRPr="00612DC6">
        <w:t>20</w:t>
      </w:r>
      <w:r w:rsidRPr="00612DC6">
        <w:fldChar w:fldCharType="end"/>
      </w:r>
    </w:p>
    <w:p w:rsidR="00612DC6" w:rsidRPr="00612DC6" w:rsidRDefault="00612DC6">
      <w:pPr>
        <w:pStyle w:val="Innehll1"/>
        <w:shd w:val="clear" w:color="000000" w:fill="auto"/>
        <w:tabs>
          <w:tab w:val="left" w:pos="480"/>
        </w:tabs>
      </w:pPr>
      <w:r w:rsidRPr="00612DC6">
        <w:t>11</w:t>
      </w:r>
      <w:r w:rsidRPr="00612DC6">
        <w:rPr>
          <w:sz w:val="24"/>
          <w:szCs w:val="24"/>
        </w:rPr>
        <w:tab/>
      </w:r>
      <w:r w:rsidRPr="00612DC6">
        <w:t>Forskning inom det konstnärliga området – Unga Klara</w:t>
      </w:r>
      <w:r w:rsidRPr="00612DC6">
        <w:tab/>
      </w:r>
      <w:r w:rsidRPr="00612DC6">
        <w:fldChar w:fldCharType="begin" w:fldLock="1"/>
      </w:r>
      <w:r w:rsidRPr="00612DC6">
        <w:instrText xml:space="preserve"> PAGEREF _Toc215982313 \h </w:instrText>
      </w:r>
      <w:r w:rsidRPr="00612DC6">
        <w:fldChar w:fldCharType="separate"/>
      </w:r>
      <w:r w:rsidRPr="00612DC6">
        <w:t>20</w:t>
      </w:r>
      <w:r w:rsidRPr="00612DC6">
        <w:fldChar w:fldCharType="end"/>
      </w:r>
    </w:p>
    <w:p w:rsidR="00612DC6" w:rsidRPr="00612DC6" w:rsidRDefault="00612DC6">
      <w:pPr>
        <w:pStyle w:val="Innehll1"/>
        <w:shd w:val="clear" w:color="000000" w:fill="auto"/>
        <w:tabs>
          <w:tab w:val="left" w:pos="480"/>
        </w:tabs>
        <w:rPr>
          <w:sz w:val="24"/>
          <w:szCs w:val="24"/>
        </w:rPr>
      </w:pPr>
      <w:r w:rsidRPr="00612DC6">
        <w:t>12</w:t>
      </w:r>
      <w:r w:rsidRPr="00612DC6">
        <w:tab/>
        <w:t>Forskarutbildningen</w:t>
      </w:r>
      <w:r w:rsidRPr="00612DC6">
        <w:tab/>
      </w:r>
      <w:r w:rsidRPr="00612DC6">
        <w:fldChar w:fldCharType="begin" w:fldLock="1"/>
      </w:r>
      <w:r w:rsidRPr="00612DC6">
        <w:instrText xml:space="preserve"> PAGEREF _Toc215982314 \h </w:instrText>
      </w:r>
      <w:r w:rsidRPr="00612DC6">
        <w:fldChar w:fldCharType="separate"/>
      </w:r>
      <w:r w:rsidRPr="00612DC6">
        <w:t>21</w:t>
      </w:r>
      <w:r w:rsidRPr="00612DC6">
        <w:fldChar w:fldCharType="end"/>
      </w:r>
    </w:p>
    <w:p w:rsidR="00612DC6" w:rsidRPr="00612DC6" w:rsidRDefault="00612DC6">
      <w:pPr>
        <w:pStyle w:val="Innehll2"/>
        <w:shd w:val="clear" w:color="000000" w:fill="auto"/>
        <w:tabs>
          <w:tab w:val="left" w:pos="840"/>
        </w:tabs>
        <w:ind w:left="240"/>
      </w:pPr>
      <w:r w:rsidRPr="00612DC6">
        <w:t>12.1</w:t>
      </w:r>
      <w:r w:rsidRPr="00612DC6">
        <w:rPr>
          <w:sz w:val="24"/>
          <w:szCs w:val="24"/>
        </w:rPr>
        <w:tab/>
      </w:r>
      <w:r w:rsidRPr="00612DC6">
        <w:t>Förbjud stipendier på forskarutbildningen</w:t>
      </w:r>
      <w:r w:rsidRPr="00612DC6">
        <w:tab/>
      </w:r>
      <w:r w:rsidRPr="00612DC6">
        <w:fldChar w:fldCharType="begin" w:fldLock="1"/>
      </w:r>
      <w:r w:rsidRPr="00612DC6">
        <w:instrText xml:space="preserve"> PAGEREF _Toc215982315 \h </w:instrText>
      </w:r>
      <w:r w:rsidRPr="00612DC6">
        <w:fldChar w:fldCharType="separate"/>
      </w:r>
      <w:r w:rsidRPr="00612DC6">
        <w:t>21</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12.2</w:t>
      </w:r>
      <w:r w:rsidRPr="00612DC6">
        <w:tab/>
        <w:t>Fler doktorandtjänster</w:t>
      </w:r>
      <w:r w:rsidRPr="00612DC6">
        <w:tab/>
      </w:r>
      <w:r w:rsidRPr="00612DC6">
        <w:fldChar w:fldCharType="begin" w:fldLock="1"/>
      </w:r>
      <w:r w:rsidRPr="00612DC6">
        <w:instrText xml:space="preserve"> PAGEREF _Toc215982316 \h </w:instrText>
      </w:r>
      <w:r w:rsidRPr="00612DC6">
        <w:fldChar w:fldCharType="separate"/>
      </w:r>
      <w:r w:rsidRPr="00612DC6">
        <w:t>22</w:t>
      </w:r>
      <w:r w:rsidRPr="00612DC6">
        <w:fldChar w:fldCharType="end"/>
      </w:r>
    </w:p>
    <w:p w:rsidR="00612DC6" w:rsidRPr="00612DC6" w:rsidRDefault="00612DC6">
      <w:pPr>
        <w:pStyle w:val="Innehll1"/>
        <w:shd w:val="clear" w:color="000000" w:fill="auto"/>
        <w:tabs>
          <w:tab w:val="left" w:pos="480"/>
        </w:tabs>
        <w:rPr>
          <w:sz w:val="24"/>
          <w:szCs w:val="24"/>
        </w:rPr>
      </w:pPr>
      <w:r w:rsidRPr="00612DC6">
        <w:t>13</w:t>
      </w:r>
      <w:r w:rsidRPr="00612DC6">
        <w:rPr>
          <w:sz w:val="24"/>
          <w:szCs w:val="24"/>
        </w:rPr>
        <w:tab/>
      </w:r>
      <w:r w:rsidRPr="00612DC6">
        <w:t>Forskningsbaserad innovation</w:t>
      </w:r>
      <w:r w:rsidRPr="00612DC6">
        <w:tab/>
      </w:r>
      <w:r w:rsidRPr="00612DC6">
        <w:fldChar w:fldCharType="begin" w:fldLock="1"/>
      </w:r>
      <w:r w:rsidRPr="00612DC6">
        <w:instrText xml:space="preserve"> PAGEREF _Toc215982317 \h </w:instrText>
      </w:r>
      <w:r w:rsidRPr="00612DC6">
        <w:fldChar w:fldCharType="separate"/>
      </w:r>
      <w:r w:rsidRPr="00612DC6">
        <w:t>23</w:t>
      </w:r>
      <w:r w:rsidRPr="00612DC6">
        <w:fldChar w:fldCharType="end"/>
      </w:r>
    </w:p>
    <w:p w:rsidR="00612DC6" w:rsidRPr="00612DC6" w:rsidRDefault="00612DC6">
      <w:pPr>
        <w:pStyle w:val="Innehll2"/>
        <w:shd w:val="clear" w:color="000000" w:fill="auto"/>
        <w:tabs>
          <w:tab w:val="left" w:pos="840"/>
        </w:tabs>
        <w:ind w:left="240"/>
      </w:pPr>
      <w:r w:rsidRPr="00612DC6">
        <w:t>13.1</w:t>
      </w:r>
      <w:r w:rsidRPr="00612DC6">
        <w:rPr>
          <w:sz w:val="24"/>
          <w:szCs w:val="24"/>
        </w:rPr>
        <w:tab/>
      </w:r>
      <w:r w:rsidRPr="00612DC6">
        <w:t>Innovationskontor</w:t>
      </w:r>
      <w:r w:rsidRPr="00612DC6">
        <w:tab/>
      </w:r>
      <w:r w:rsidRPr="00612DC6">
        <w:fldChar w:fldCharType="begin" w:fldLock="1"/>
      </w:r>
      <w:r w:rsidRPr="00612DC6">
        <w:instrText xml:space="preserve"> PAGEREF _Toc215982318 \h </w:instrText>
      </w:r>
      <w:r w:rsidRPr="00612DC6">
        <w:fldChar w:fldCharType="separate"/>
      </w:r>
      <w:r w:rsidRPr="00612DC6">
        <w:t>23</w:t>
      </w:r>
      <w:r w:rsidRPr="00612DC6">
        <w:fldChar w:fldCharType="end"/>
      </w:r>
    </w:p>
    <w:p w:rsidR="00612DC6" w:rsidRPr="00612DC6" w:rsidRDefault="00612DC6">
      <w:pPr>
        <w:pStyle w:val="Innehll2"/>
        <w:shd w:val="clear" w:color="000000" w:fill="auto"/>
        <w:tabs>
          <w:tab w:val="left" w:pos="840"/>
        </w:tabs>
        <w:ind w:left="240"/>
      </w:pPr>
      <w:r w:rsidRPr="00612DC6">
        <w:t>13.2</w:t>
      </w:r>
      <w:r w:rsidRPr="00612DC6">
        <w:tab/>
        <w:t>Såddfinansiering</w:t>
      </w:r>
      <w:r w:rsidRPr="00612DC6">
        <w:tab/>
      </w:r>
      <w:r w:rsidRPr="00612DC6">
        <w:fldChar w:fldCharType="begin" w:fldLock="1"/>
      </w:r>
      <w:r w:rsidRPr="00612DC6">
        <w:instrText xml:space="preserve"> PAGEREF _Toc215982319 \h </w:instrText>
      </w:r>
      <w:r w:rsidRPr="00612DC6">
        <w:fldChar w:fldCharType="separate"/>
      </w:r>
      <w:r w:rsidRPr="00612DC6">
        <w:t>24</w:t>
      </w:r>
      <w:r w:rsidRPr="00612DC6">
        <w:fldChar w:fldCharType="end"/>
      </w:r>
    </w:p>
    <w:p w:rsidR="00612DC6" w:rsidRPr="00612DC6" w:rsidRDefault="00612DC6">
      <w:pPr>
        <w:pStyle w:val="Innehll2"/>
        <w:shd w:val="clear" w:color="000000" w:fill="auto"/>
        <w:tabs>
          <w:tab w:val="left" w:pos="840"/>
        </w:tabs>
        <w:ind w:left="240"/>
      </w:pPr>
      <w:r w:rsidRPr="00612DC6">
        <w:t>13.3</w:t>
      </w:r>
      <w:r w:rsidRPr="00612DC6">
        <w:tab/>
        <w:t>Små och medelstora företag</w:t>
      </w:r>
      <w:r w:rsidRPr="00612DC6">
        <w:tab/>
      </w:r>
      <w:r w:rsidRPr="00612DC6">
        <w:fldChar w:fldCharType="begin" w:fldLock="1"/>
      </w:r>
      <w:r w:rsidRPr="00612DC6">
        <w:instrText xml:space="preserve"> PAGEREF _Toc215982320 \h </w:instrText>
      </w:r>
      <w:r w:rsidRPr="00612DC6">
        <w:fldChar w:fldCharType="separate"/>
      </w:r>
      <w:r w:rsidRPr="00612DC6">
        <w:t>24</w:t>
      </w:r>
      <w:r w:rsidRPr="00612DC6">
        <w:fldChar w:fldCharType="end"/>
      </w:r>
    </w:p>
    <w:p w:rsidR="00612DC6" w:rsidRPr="00612DC6" w:rsidRDefault="00612DC6">
      <w:pPr>
        <w:pStyle w:val="Innehll2"/>
        <w:shd w:val="clear" w:color="000000" w:fill="auto"/>
        <w:tabs>
          <w:tab w:val="left" w:pos="840"/>
        </w:tabs>
        <w:ind w:left="240"/>
      </w:pPr>
      <w:r w:rsidRPr="00612DC6">
        <w:t>13.4</w:t>
      </w:r>
      <w:r w:rsidRPr="00612DC6">
        <w:tab/>
        <w:t>Skatteavdrag för forskning</w:t>
      </w:r>
      <w:r w:rsidRPr="00612DC6">
        <w:tab/>
      </w:r>
      <w:r w:rsidRPr="00612DC6">
        <w:fldChar w:fldCharType="begin" w:fldLock="1"/>
      </w:r>
      <w:r w:rsidRPr="00612DC6">
        <w:instrText xml:space="preserve"> PAGEREF _Toc215982321 \h </w:instrText>
      </w:r>
      <w:r w:rsidRPr="00612DC6">
        <w:fldChar w:fldCharType="separate"/>
      </w:r>
      <w:r w:rsidRPr="00612DC6">
        <w:t>24</w:t>
      </w:r>
      <w:r w:rsidRPr="00612DC6">
        <w:fldChar w:fldCharType="end"/>
      </w:r>
    </w:p>
    <w:p w:rsidR="00612DC6" w:rsidRPr="00612DC6" w:rsidRDefault="00612DC6">
      <w:pPr>
        <w:pStyle w:val="Innehll2"/>
        <w:shd w:val="clear" w:color="000000" w:fill="auto"/>
        <w:tabs>
          <w:tab w:val="left" w:pos="840"/>
        </w:tabs>
        <w:ind w:left="240"/>
        <w:rPr>
          <w:sz w:val="24"/>
          <w:szCs w:val="24"/>
        </w:rPr>
      </w:pPr>
      <w:r w:rsidRPr="00612DC6">
        <w:t>13.5</w:t>
      </w:r>
      <w:r w:rsidRPr="00612DC6">
        <w:tab/>
        <w:t>Offentliga aktörer</w:t>
      </w:r>
      <w:r w:rsidRPr="00612DC6">
        <w:tab/>
      </w:r>
      <w:r w:rsidRPr="00612DC6">
        <w:fldChar w:fldCharType="begin" w:fldLock="1"/>
      </w:r>
      <w:r w:rsidRPr="00612DC6">
        <w:instrText xml:space="preserve"> PAGEREF _Toc215982322 \h </w:instrText>
      </w:r>
      <w:r w:rsidRPr="00612DC6">
        <w:fldChar w:fldCharType="separate"/>
      </w:r>
      <w:r w:rsidRPr="00612DC6">
        <w:t>25</w:t>
      </w:r>
      <w:r w:rsidRPr="00612DC6">
        <w:fldChar w:fldCharType="end"/>
      </w:r>
    </w:p>
    <w:p w:rsidR="00612DC6" w:rsidRPr="00612DC6" w:rsidRDefault="00612DC6">
      <w:pPr>
        <w:pStyle w:val="Innehll1"/>
        <w:shd w:val="clear" w:color="000000" w:fill="auto"/>
        <w:tabs>
          <w:tab w:val="left" w:pos="480"/>
        </w:tabs>
      </w:pPr>
      <w:r w:rsidRPr="00612DC6">
        <w:t>14</w:t>
      </w:r>
      <w:r w:rsidRPr="00612DC6">
        <w:rPr>
          <w:sz w:val="24"/>
          <w:szCs w:val="24"/>
        </w:rPr>
        <w:tab/>
      </w:r>
      <w:r w:rsidRPr="00612DC6">
        <w:t>Vetenskaplig informationsförsörjning och Open Access</w:t>
      </w:r>
      <w:r w:rsidRPr="00612DC6">
        <w:tab/>
      </w:r>
      <w:r w:rsidRPr="00612DC6">
        <w:fldChar w:fldCharType="begin" w:fldLock="1"/>
      </w:r>
      <w:r w:rsidRPr="00612DC6">
        <w:instrText xml:space="preserve"> PAGEREF _Toc215982323 \h </w:instrText>
      </w:r>
      <w:r w:rsidRPr="00612DC6">
        <w:fldChar w:fldCharType="separate"/>
      </w:r>
      <w:r w:rsidRPr="00612DC6">
        <w:t>25</w:t>
      </w:r>
      <w:r w:rsidRPr="00612DC6">
        <w:fldChar w:fldCharType="end"/>
      </w:r>
    </w:p>
    <w:p w:rsidR="00612DC6" w:rsidRPr="00612DC6" w:rsidRDefault="00612DC6">
      <w:pPr>
        <w:pStyle w:val="Innehll1"/>
        <w:shd w:val="clear" w:color="000000" w:fill="auto"/>
        <w:tabs>
          <w:tab w:val="left" w:pos="480"/>
        </w:tabs>
        <w:rPr>
          <w:sz w:val="24"/>
          <w:szCs w:val="24"/>
        </w:rPr>
      </w:pPr>
      <w:r w:rsidRPr="00612DC6">
        <w:t>15</w:t>
      </w:r>
      <w:r w:rsidRPr="00612DC6">
        <w:tab/>
        <w:t>Fördelning av medel i budgetpropositionen</w:t>
      </w:r>
      <w:r w:rsidRPr="00612DC6">
        <w:tab/>
      </w:r>
      <w:r w:rsidRPr="00612DC6">
        <w:fldChar w:fldCharType="begin" w:fldLock="1"/>
      </w:r>
      <w:r w:rsidRPr="00612DC6">
        <w:instrText xml:space="preserve"> PAGEREF _Toc215982324 \h </w:instrText>
      </w:r>
      <w:r w:rsidRPr="00612DC6">
        <w:fldChar w:fldCharType="separate"/>
      </w:r>
      <w:r w:rsidRPr="00612DC6">
        <w:t>26</w:t>
      </w:r>
      <w:r w:rsidRPr="00612DC6">
        <w:fldChar w:fldCharType="end"/>
      </w:r>
    </w:p>
    <w:p w:rsidR="00612DC6" w:rsidRPr="00612DC6" w:rsidRDefault="00612DC6">
      <w:r w:rsidRPr="00612DC6">
        <w:fldChar w:fldCharType="end"/>
      </w:r>
      <w:bookmarkStart w:id="3" w:name="_Toc215982291"/>
    </w:p>
    <w:p w:rsidR="00612DC6" w:rsidRPr="00612DC6" w:rsidRDefault="00612DC6">
      <w:pPr>
        <w:pStyle w:val="Hemstlrubrik"/>
        <w:pageBreakBefore/>
        <w:shd w:val="clear" w:color="000000" w:fill="auto"/>
        <w:spacing w:before="0"/>
      </w:pPr>
      <w:r w:rsidRPr="00612DC6">
        <w:t>Förslag till riksdagsbeslut</w:t>
      </w:r>
      <w:bookmarkEnd w:id="2"/>
      <w:bookmarkEnd w:id="3"/>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Södertörns högskola ska tilldelas resurser enligt samma premisser som andra lärosäten.</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en ny modell för fördelning av forskningsresurser till universitet och högskolor.</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utreda ytterligare kriterier för fördelning av resurser.</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utvärdering av den nya modellen för fördelning av forskningsresurser.</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tillstånd att utfärda examina på forskarnivå.</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fördelning av medel till forskning inom de strategiska forskningsområdena.</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en bred överenskommelse om den kliniska forskningen.</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ökade anslag till humanistisk forskning.</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medel till genusforskning.</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medel till genusprofessurer.</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infrastrukturen för genusforskning.</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en ny struktur för arbetslivsforskning.</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en professur i juridik och rättsvetenskap i socialt arbete eller socialrätt.</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lärosätenas medfinansiering av projekt beviljade av Vetenskapsrådets utbildningsvetenskapliga kommitté.</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tillsätta en utredning om forskning och forskarutbildning i anslutning till lärarutbildningen.</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kravet på samverkan mellan minst ett universitet och minst en högskola vid projekt beviljade av Vetenskapsrådets utbildningsvetenskapliga kommitté.</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ansvaret för den utbildningsvetenskapliga forskningen.</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Forskningsrådet för arbetsliv och socialvetenskap (FAS) bör få i uppdrag att finansiera utbildningsvetenskaplig forskning.</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forskningssamverkan inom den utbildningsvetenskapliga forskningen.</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tilldela Unga Klara ett nationellt ansvar för forskning och utvecklingsarbete inom barn- och ungdomsteater.</w:t>
      </w:r>
    </w:p>
    <w:p w:rsidR="00612DC6" w:rsidRPr="00612DC6" w:rsidRDefault="00612DC6">
      <w:pPr>
        <w:pStyle w:val="Hemstlatt"/>
        <w:numPr>
          <w:ilvl w:val="0"/>
          <w:numId w:val="1"/>
        </w:numPr>
        <w:shd w:val="clear" w:color="000000" w:fill="auto"/>
      </w:pPr>
      <w:r w:rsidRPr="00612DC6">
        <w:t>Riksdagen avslår regeringens förslag till lag om ändring av högskolelagen (1992:1434).</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placeringen av innovationskontor.</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ett forskningspolitiskt råd.</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en innovationspolitisk skrivelse.</w:t>
      </w:r>
    </w:p>
    <w:p w:rsidR="00612DC6" w:rsidRPr="00612DC6" w:rsidRDefault="00612DC6">
      <w:pPr>
        <w:pStyle w:val="Hemstlatt"/>
        <w:numPr>
          <w:ilvl w:val="0"/>
          <w:numId w:val="1"/>
        </w:numPr>
        <w:shd w:val="clear" w:color="000000" w:fill="auto"/>
      </w:pPr>
      <w:r w:rsidRPr="00612DC6">
        <w:t>Riksdagen tillkännager för regeringen som sin mening vad som anförs i motionen om att forskning som finansieras av forskningsråden ska göras fritt tillgänglig.</w:t>
      </w:r>
    </w:p>
    <w:p w:rsidR="00612DC6" w:rsidRPr="00612DC6" w:rsidRDefault="00612DC6">
      <w:pPr>
        <w:pStyle w:val="Rubrik1"/>
        <w:shd w:val="clear" w:color="000000" w:fill="auto"/>
      </w:pPr>
      <w:bookmarkStart w:id="4" w:name="_Toc214344471"/>
      <w:bookmarkStart w:id="5" w:name="_Toc215982292"/>
      <w:r w:rsidRPr="00612DC6">
        <w:t>Forskning och forskningspolitik</w:t>
      </w:r>
      <w:bookmarkEnd w:id="4"/>
      <w:bookmarkEnd w:id="5"/>
    </w:p>
    <w:p w:rsidR="00612DC6" w:rsidRPr="00612DC6" w:rsidRDefault="00612DC6">
      <w:pPr>
        <w:shd w:val="clear" w:color="000000" w:fill="auto"/>
      </w:pPr>
      <w:r w:rsidRPr="00612DC6">
        <w:t>I enlighet med traditionell forskningsetik skiljer sig forskaren från politikern genom att den ena talar om hur något förhåller sig och den andra talar om hur det bör förhålla sig. Men denna gränslinje kan vara svår att dra. Forskare kan å ena sidan mycket väl ge sig in i normativa diskussioner, särskilt vad gäller filosofiska och etiska frågor. Politiker kan å andra sidan söka sanningen i sig utan hänsyn till partiegoistiska intressen. Ändå måste en strävan vara att skilja våra roller åt. Relationen mella</w:t>
      </w:r>
      <w:r w:rsidRPr="00612DC6">
        <w:t>n vetenskapen och politiken får aldrig bli av det slaget att misstankar kan uppstå att forskningen utnyttjas i ett politiskt taktiskt syfte som gör forskarna till politiska verktyg och underleverantörer.</w:t>
      </w:r>
    </w:p>
    <w:p w:rsidR="00612DC6" w:rsidRPr="00612DC6" w:rsidRDefault="00612DC6">
      <w:pPr>
        <w:pStyle w:val="Normaltindrag"/>
        <w:shd w:val="clear" w:color="000000" w:fill="auto"/>
      </w:pPr>
      <w:r w:rsidRPr="00612DC6">
        <w:t xml:space="preserve">Lika viktigt är att dra tydliga rågångar mellan forskning och kommersiella intressen. Den samverkan som högskolan enligt högskolelagen är skyldig att ha med det omgivande samhället, däribland näringslivet, får inte leda till att högskolans forskare frånsäger sig rätten att formulera problem, ställa frågor, </w:t>
      </w:r>
      <w:r w:rsidRPr="00612DC6">
        <w:t>välja metoder och publicera forskningsresultat. Donationer och uppdrag</w:t>
      </w:r>
      <w:r w:rsidRPr="00612DC6">
        <w:t>s</w:t>
      </w:r>
      <w:r w:rsidRPr="00612DC6">
        <w:t>forskning får inte ersätta statliga anslag, som är den grundläggande förutsät</w:t>
      </w:r>
      <w:r w:rsidRPr="00612DC6">
        <w:t>t</w:t>
      </w:r>
      <w:r w:rsidRPr="00612DC6">
        <w:t>ningen för en oberoende forskning.</w:t>
      </w:r>
    </w:p>
    <w:p w:rsidR="00612DC6" w:rsidRPr="00612DC6" w:rsidRDefault="00612DC6">
      <w:pPr>
        <w:pStyle w:val="Normaltindrag"/>
        <w:shd w:val="clear" w:color="000000" w:fill="auto"/>
      </w:pPr>
      <w:r w:rsidRPr="00612DC6">
        <w:t>Forskningsuppdrag kan och bör aldrig vara en lösning på aktuella politiska problem och dilemman. Forskarens frihet att själv formulera och söka svaren på sina vetenskapliga frågeställningar är en viktig princip i svensk fors</w:t>
      </w:r>
      <w:r w:rsidRPr="00612DC6">
        <w:t>k</w:t>
      </w:r>
      <w:r w:rsidRPr="00612DC6">
        <w:t>ningspolitik. Både forskningens kvalitet och nytta är beroende av att forsk</w:t>
      </w:r>
      <w:r w:rsidRPr="00612DC6">
        <w:t>a</w:t>
      </w:r>
      <w:r w:rsidRPr="00612DC6">
        <w:t>ren själv får välja ämnesområde, inriktning, avgränsning, metod osv. Fors</w:t>
      </w:r>
      <w:r w:rsidRPr="00612DC6">
        <w:t>k</w:t>
      </w:r>
      <w:r w:rsidRPr="00612DC6">
        <w:t>ning är därför ett verksamhetsområde där det måste finnas klara gränser för såväl den politiska styrningen och för vad politiska organ ska besluta om som vilket inflytande kommersiella intressen ska tillåtas ha.</w:t>
      </w:r>
    </w:p>
    <w:p w:rsidR="00612DC6" w:rsidRPr="00612DC6" w:rsidRDefault="00612DC6">
      <w:pPr>
        <w:pStyle w:val="Normaltindrag"/>
        <w:shd w:val="clear" w:color="000000" w:fill="auto"/>
      </w:pPr>
      <w:r w:rsidRPr="00612DC6">
        <w:t>Regeringens forskningspolitik i den forskningspolitiska propositionen, Ett lyft för forskning och innovation (prop. 2008/09:50), innebär att den sven</w:t>
      </w:r>
      <w:r w:rsidRPr="00612DC6">
        <w:t>ska forskningen blir mindre fri och mer styrd av såväl politiska som ekonomiska intressen. Nyttan är det som hädanefter ska vara vägledande för forskningen enligt regeringens ideal. I första hand handlar det om ekonomisk nytta och att forskningen ska inriktas mot områden som har relevans för näringslivet. Det finns också en tydlig ambition hos högerregeringen att forskningen ska kunna tjäna politiska syften i högre grad än tidigare.</w:t>
      </w:r>
    </w:p>
    <w:p w:rsidR="00612DC6" w:rsidRPr="00612DC6" w:rsidRDefault="00612DC6">
      <w:pPr>
        <w:pStyle w:val="Normaltindrag"/>
        <w:shd w:val="clear" w:color="000000" w:fill="auto"/>
      </w:pPr>
      <w:r w:rsidRPr="00612DC6">
        <w:t>Med sin forskningsproposition bygger regeringen vidare på sin politiska par</w:t>
      </w:r>
      <w:r w:rsidRPr="00612DC6">
        <w:t>adox: en ökad marknadsliberalism kombinerad med ett ökat statligt infl</w:t>
      </w:r>
      <w:r w:rsidRPr="00612DC6">
        <w:t>y</w:t>
      </w:r>
      <w:r w:rsidRPr="00612DC6">
        <w:t>tande och en starkare kontroll. Det är en politik som kommer att ha lika neg</w:t>
      </w:r>
      <w:r w:rsidRPr="00612DC6">
        <w:t>a</w:t>
      </w:r>
      <w:r w:rsidRPr="00612DC6">
        <w:t>tiva effekter på forskningen som den har haft inom övriga samhällsområden.</w:t>
      </w:r>
    </w:p>
    <w:p w:rsidR="00612DC6" w:rsidRPr="00612DC6" w:rsidRDefault="00612DC6">
      <w:pPr>
        <w:pStyle w:val="Rubrik1"/>
        <w:shd w:val="clear" w:color="000000" w:fill="auto"/>
      </w:pPr>
      <w:bookmarkStart w:id="6" w:name="_Toc214344472"/>
      <w:bookmarkStart w:id="7" w:name="_Toc215982293"/>
      <w:r w:rsidRPr="00612DC6">
        <w:t>Resursfördelningssystemet</w:t>
      </w:r>
      <w:bookmarkEnd w:id="6"/>
      <w:bookmarkEnd w:id="7"/>
    </w:p>
    <w:p w:rsidR="00612DC6" w:rsidRPr="00612DC6" w:rsidRDefault="00612DC6">
      <w:pPr>
        <w:shd w:val="clear" w:color="000000" w:fill="auto"/>
      </w:pPr>
      <w:r w:rsidRPr="00612DC6">
        <w:t>Vänsterpartiet väckte 2002 frågan om hur de fasta forskningsresurserna ska fördelas till universitet och högskolor när vi i en motion till riksdagen för</w:t>
      </w:r>
      <w:r w:rsidRPr="00612DC6">
        <w:t>e</w:t>
      </w:r>
      <w:r w:rsidRPr="00612DC6">
        <w:t>slog att principerna för resurstilldelningen borde utredas. Förslaget ledde till att en utredning tillsattes, och i slutbetänkandet Resurser för kvalitet (SOU 2007:81) lämnas förslag till ett nytt system för fördelning av de fasta fors</w:t>
      </w:r>
      <w:r w:rsidRPr="00612DC6">
        <w:t>k</w:t>
      </w:r>
      <w:r w:rsidRPr="00612DC6">
        <w:t>ningsresurserna. Förslaget i korthet är att varje högskola ska tilldelas en ba</w:t>
      </w:r>
      <w:r w:rsidRPr="00612DC6">
        <w:t>s</w:t>
      </w:r>
      <w:r w:rsidRPr="00612DC6">
        <w:t>resurs baserad på antalet studenter på grundnivå och avancerad nivå och övr</w:t>
      </w:r>
      <w:r w:rsidRPr="00612DC6">
        <w:t>i</w:t>
      </w:r>
      <w:r w:rsidRPr="00612DC6">
        <w:t>ga medel fördelas utifrån indikatorerna kvalitetsutvärderingar, fältnormalis</w:t>
      </w:r>
      <w:r w:rsidRPr="00612DC6">
        <w:t>e</w:t>
      </w:r>
      <w:r w:rsidRPr="00612DC6">
        <w:t>rade citeringar, externa medel, antal dispu</w:t>
      </w:r>
      <w:r w:rsidRPr="00612DC6">
        <w:t>terade lärare och antal kvinnliga professorer. Störst vikt i detta system skulle kvalitetsutvärderingarna få, och de skulle utgöra indikator för 50 procent av de fördelade medlen.</w:t>
      </w:r>
    </w:p>
    <w:p w:rsidR="00612DC6" w:rsidRPr="00612DC6" w:rsidRDefault="00612DC6">
      <w:pPr>
        <w:pStyle w:val="Normaltindrag"/>
        <w:shd w:val="clear" w:color="000000" w:fill="auto"/>
      </w:pPr>
      <w:r w:rsidRPr="00612DC6">
        <w:t>I regeringens förslag till nytt resursfördelningssystem återfinns endast d</w:t>
      </w:r>
      <w:r w:rsidRPr="00612DC6">
        <w:t>e</w:t>
      </w:r>
      <w:r w:rsidRPr="00612DC6">
        <w:t>lar av utredningens modell, vilket är mycket olyckligt eftersom det kommer att få negativa effekter bl.a. på forskningens bredd, men även på dess form och innehåll. För att börja med det positiva med regeringens förslag så ska varje lärosäte tilldelas en basresurs för forskning med 8 000 kr per helårsst</w:t>
      </w:r>
      <w:r w:rsidRPr="00612DC6">
        <w:t>u</w:t>
      </w:r>
      <w:r w:rsidRPr="00612DC6">
        <w:t>dent på grundnivå och avancerad nivå, vilket är något högre tilldelning än vad som föreslogs i utredningen. Det ligger helt i linje med vad Vänsterpartiet tidigare har föreslagit och ger utökade möjligheter</w:t>
      </w:r>
      <w:r w:rsidRPr="00612DC6">
        <w:t xml:space="preserve"> till forskning vid många högskolor samt ger förutsättningar att stärka forskningsanknytningen inom utbildningen. Vi förutsätter att högskolorna vid fördelningen av dessa medel har de utbildningar i åtanke där forskningsanknytningen i dag är svag, t.ex. vård- och lärarutbildningar. Södertörns högskola ska emellertid inte tillföras forskningsresurser baserat på studentantalet eftersom regeringen anser att Södertörn förfogar över tillräckliga forskningsresurser genom Östersjöstifte</w:t>
      </w:r>
      <w:r w:rsidRPr="00612DC6">
        <w:t>l</w:t>
      </w:r>
      <w:r w:rsidRPr="00612DC6">
        <w:t>sen. Medel från denna stift</w:t>
      </w:r>
      <w:r w:rsidRPr="00612DC6">
        <w:t>else ska finansiera forskning med anknytning till Östersjöregionen och Östeuropa men givetvis finns ett behov av forskning även inom andra områden, bl.a. för att garantera forskningsanknytningen vid grundutbildning och avancerad utbildning inte minst med tanke på att Söde</w:t>
      </w:r>
      <w:r w:rsidRPr="00612DC6">
        <w:t>r</w:t>
      </w:r>
      <w:r w:rsidRPr="00612DC6">
        <w:t>törn har ett särskilt uppdrag att bredda rekryteringen. Södertörns högskola ska därför tilldelas forskningsresurser enligt samma premisser som andra l</w:t>
      </w:r>
      <w:r w:rsidRPr="00612DC6">
        <w:t>ä</w:t>
      </w:r>
      <w:r w:rsidRPr="00612DC6">
        <w:t>rosäten. Detta bör riksdagen som sin mening ge regeringen till känna.</w:t>
      </w:r>
    </w:p>
    <w:p w:rsidR="00612DC6" w:rsidRPr="00612DC6" w:rsidRDefault="00612DC6">
      <w:pPr>
        <w:pStyle w:val="Normaltindrag"/>
        <w:shd w:val="clear" w:color="000000" w:fill="auto"/>
      </w:pPr>
      <w:r w:rsidRPr="00612DC6">
        <w:t>Det finns anlednin</w:t>
      </w:r>
      <w:r w:rsidRPr="00612DC6">
        <w:t>g att rikta kritik mot de övriga delarna i regeringens fö</w:t>
      </w:r>
      <w:r w:rsidRPr="00612DC6">
        <w:t>r</w:t>
      </w:r>
      <w:r w:rsidRPr="00612DC6">
        <w:t>slag, som innebär att medel ska fördelas i konkurrens. Ett stort problem är att det endast finns två fördelningsindikatorer, som därmed får väldigt stor inve</w:t>
      </w:r>
      <w:r w:rsidRPr="00612DC6">
        <w:t>r</w:t>
      </w:r>
      <w:r w:rsidRPr="00612DC6">
        <w:t>kan. Ett annat problem är att regeringen påstår att man med hjälp av dessa två indikatorer kan fördela medel utifrån vetenskaplig kvalitet. Tyvärr har rege</w:t>
      </w:r>
      <w:r w:rsidRPr="00612DC6">
        <w:t>r</w:t>
      </w:r>
      <w:r w:rsidRPr="00612DC6">
        <w:t>ingen missat att definiera begreppet kvalitet trots att det är ymnigt föreko</w:t>
      </w:r>
      <w:r w:rsidRPr="00612DC6">
        <w:t>m</w:t>
      </w:r>
      <w:r w:rsidRPr="00612DC6">
        <w:t>mande i propositionstexten. I stället menar man att de valda in</w:t>
      </w:r>
      <w:r w:rsidRPr="00612DC6">
        <w:t>dikatorerna är de som ”tydligast kan kopplas till vetenskaplig kvalitet”, dvs. metoden för att mäta kvalitet blir det som får definiera kvaliteten. Därför är det besynnerligt att det på annat ställe i propositionen står: ”Det finns en generell risk att ind</w:t>
      </w:r>
      <w:r w:rsidRPr="00612DC6">
        <w:t>i</w:t>
      </w:r>
      <w:r w:rsidRPr="00612DC6">
        <w:t>katorerna får en så styrande verkan att lärosätena på sikt riskerar att inrikta sig mot att uppfylla indikatorerna i stället för att arbeta för ökad kvalitet.” Hur är det möjligt att kvalitetsindikatorer inte innebär kvalitet när de uppfylls?</w:t>
      </w:r>
    </w:p>
    <w:p w:rsidR="00612DC6" w:rsidRPr="00612DC6" w:rsidRDefault="00612DC6">
      <w:pPr>
        <w:pStyle w:val="Normaltindrag"/>
        <w:shd w:val="clear" w:color="000000" w:fill="auto"/>
      </w:pPr>
      <w:r w:rsidRPr="00612DC6">
        <w:t>De två indik</w:t>
      </w:r>
      <w:r w:rsidRPr="00612DC6">
        <w:t>atorer som ska användas är externa medel respektive vete</w:t>
      </w:r>
      <w:r w:rsidRPr="00612DC6">
        <w:t>n</w:t>
      </w:r>
      <w:r w:rsidRPr="00612DC6">
        <w:t>skaplig produktion och citeringar. Givetvis bör sådana indikatorer kunna ingå i ett resurstilldelningssystem, men de bör varken definieras eller användas på det sätt som regeringen föreslår.</w:t>
      </w:r>
    </w:p>
    <w:p w:rsidR="00612DC6" w:rsidRPr="00612DC6" w:rsidRDefault="00612DC6">
      <w:pPr>
        <w:pStyle w:val="Rubrik2"/>
        <w:shd w:val="clear" w:color="000000" w:fill="auto"/>
      </w:pPr>
      <w:bookmarkStart w:id="8" w:name="_Toc214344473"/>
      <w:bookmarkStart w:id="9" w:name="_Toc215982294"/>
      <w:r w:rsidRPr="00612DC6">
        <w:t>Externa medel</w:t>
      </w:r>
      <w:bookmarkEnd w:id="8"/>
      <w:bookmarkEnd w:id="9"/>
    </w:p>
    <w:p w:rsidR="00612DC6" w:rsidRPr="00612DC6" w:rsidRDefault="00612DC6">
      <w:pPr>
        <w:shd w:val="clear" w:color="000000" w:fill="auto"/>
      </w:pPr>
      <w:r w:rsidRPr="00612DC6">
        <w:t>Hälften av de konkurrensutsatta anslagen ska fördelas utifrån indikatorn e</w:t>
      </w:r>
      <w:r w:rsidRPr="00612DC6">
        <w:t>x</w:t>
      </w:r>
      <w:r w:rsidRPr="00612DC6">
        <w:t>terna medel, vilket är ett mått på hur mycket pengar till forskning som flyter in från utomstående källor. Ingen hänsyn tas till att skillnader i lärosätenas nuvarande storlek, som har historiska orsaker, gör att de har olika förutsät</w:t>
      </w:r>
      <w:r w:rsidRPr="00612DC6">
        <w:t>t</w:t>
      </w:r>
      <w:r w:rsidRPr="00612DC6">
        <w:t>ningar att ansöka om externa anslag. Ej heller spelar det någon roll att til</w:t>
      </w:r>
      <w:r w:rsidRPr="00612DC6">
        <w:t>l</w:t>
      </w:r>
      <w:r w:rsidRPr="00612DC6">
        <w:t>gängliga medel att söka skiljer sig åt beroende på vetenskapsområde. Det finns exempelvis mindre pengar att söka för humanistisk forskning än för medicinsk dito.</w:t>
      </w:r>
    </w:p>
    <w:p w:rsidR="00612DC6" w:rsidRPr="00612DC6" w:rsidRDefault="00612DC6">
      <w:pPr>
        <w:pStyle w:val="Normaltindrag"/>
        <w:shd w:val="clear" w:color="000000" w:fill="auto"/>
      </w:pPr>
      <w:r w:rsidRPr="00612DC6">
        <w:t>Både resursutredningen och propositio</w:t>
      </w:r>
      <w:r w:rsidRPr="00612DC6">
        <w:t>nen föreslår att alla externa medel ska ingå i indikatorn. Det innebär att medel som har sökts och erhållits i ko</w:t>
      </w:r>
      <w:r w:rsidRPr="00612DC6">
        <w:t>n</w:t>
      </w:r>
      <w:r w:rsidRPr="00612DC6">
        <w:t>kurrens med andra forskare efter oberoende vetenskaplig prövning jämställs med uppdrags- och beställningsforskning. Resursutredningen diskuterar detta och menar att det kan vara svårt att dra tydliga gränser och att icke konku</w:t>
      </w:r>
      <w:r w:rsidRPr="00612DC6">
        <w:t>r</w:t>
      </w:r>
      <w:r w:rsidRPr="00612DC6">
        <w:t xml:space="preserve">rensutsatta medel är ett mått på samverkan med det omgivande samhället. Utredningen öppnar dock för att medel från vissa finansiärer, t.ex. om de utdelas i internationell </w:t>
      </w:r>
      <w:r w:rsidRPr="00612DC6">
        <w:t>konkurrens, bör ges en större tyngd i framtiden. I pr</w:t>
      </w:r>
      <w:r w:rsidRPr="00612DC6">
        <w:t>o</w:t>
      </w:r>
      <w:r w:rsidRPr="00612DC6">
        <w:t>positionen framhålls också att vissa externa medel återspeglar lärosätenas samverkansuppgift.</w:t>
      </w:r>
    </w:p>
    <w:p w:rsidR="00612DC6" w:rsidRPr="00612DC6" w:rsidRDefault="00612DC6">
      <w:pPr>
        <w:pStyle w:val="Normaltindrag"/>
        <w:shd w:val="clear" w:color="000000" w:fill="auto"/>
      </w:pPr>
      <w:r w:rsidRPr="00612DC6">
        <w:t>En naturlig invändning blir då att indikatorn externa medel inte utgör något enhetligt eller entydigt mått på ”kvalitet”. Att få konkurrensutsatta medel kan ses som ett mått på förmågan att formulera relevanta problem och ställa nya frågor och på så sätt flytta fram forskningsfronten. Detta kan knappast jämf</w:t>
      </w:r>
      <w:r w:rsidRPr="00612DC6">
        <w:t>ö</w:t>
      </w:r>
      <w:r w:rsidRPr="00612DC6">
        <w:t>ras med den samverkan, som andra medel indikerar, även om båda faktorerna i högsta grad är relevanta för att bedöma lärosätenas verksamhet och hur de uppfyller sitt samhällsuppdrag. Det hade varit bättre att skilja dessa två ind</w:t>
      </w:r>
      <w:r w:rsidRPr="00612DC6">
        <w:t>i</w:t>
      </w:r>
      <w:r w:rsidRPr="00612DC6">
        <w:t>katorer åt eftersom de mäter helt olika saker.</w:t>
      </w:r>
    </w:p>
    <w:p w:rsidR="00612DC6" w:rsidRPr="00612DC6" w:rsidRDefault="00612DC6">
      <w:pPr>
        <w:pStyle w:val="Normaltindrag"/>
        <w:shd w:val="clear" w:color="000000" w:fill="auto"/>
      </w:pPr>
      <w:r w:rsidRPr="00612DC6">
        <w:t>Att söka och få externa anslag innebär också kostnader för universitet och högskolor eftersom många externa finansiärer kräver motfinansiering för att bevilja medel till forskning. Ur den synvinkeln är det motiverat att de l</w:t>
      </w:r>
      <w:r w:rsidRPr="00612DC6">
        <w:t>ä</w:t>
      </w:r>
      <w:r w:rsidRPr="00612DC6">
        <w:t>rosäten som drar till sig externa medel på något sätt får kompensation för de ökade kostnader som detta innebär. Fast det innebär samtidigt att fördelnin</w:t>
      </w:r>
      <w:r w:rsidRPr="00612DC6">
        <w:t>g</w:t>
      </w:r>
      <w:r w:rsidRPr="00612DC6">
        <w:t>en utgår från behov.</w:t>
      </w:r>
    </w:p>
    <w:p w:rsidR="00612DC6" w:rsidRPr="00612DC6" w:rsidRDefault="00612DC6">
      <w:pPr>
        <w:pStyle w:val="Rubrik2"/>
        <w:shd w:val="clear" w:color="000000" w:fill="auto"/>
      </w:pPr>
      <w:bookmarkStart w:id="10" w:name="_Toc214344474"/>
      <w:bookmarkStart w:id="11" w:name="_Toc215982295"/>
      <w:r w:rsidRPr="00612DC6">
        <w:t>Publicering och citering</w:t>
      </w:r>
      <w:bookmarkEnd w:id="10"/>
      <w:bookmarkEnd w:id="11"/>
    </w:p>
    <w:p w:rsidR="00612DC6" w:rsidRPr="00612DC6" w:rsidRDefault="00612DC6">
      <w:pPr>
        <w:shd w:val="clear" w:color="000000" w:fill="auto"/>
      </w:pPr>
      <w:r w:rsidRPr="00612DC6">
        <w:t>Den andra hälften av de direkta anslagen till universitet och högskolor, som ska fördelas i konkurrens, ska bestämmas med hjälp av områdesjusterad v</w:t>
      </w:r>
      <w:r w:rsidRPr="00612DC6">
        <w:t>e</w:t>
      </w:r>
      <w:r w:rsidRPr="00612DC6">
        <w:t>tenskaplig produktion och fältnormaliserade citeringar av publikationer i databasen Web of Science. Vetenskapliga publikationer och citeringar kan under vissa omständigheter vara utmärkta för att jämföra den vetenskapliga produktionen och forskningsresultatens användbarhet. Det sker också i stor utsträckning i många ämnen, särskilt inom medicinsk och teknisk forskning.</w:t>
      </w:r>
    </w:p>
    <w:p w:rsidR="00612DC6" w:rsidRPr="00612DC6" w:rsidRDefault="00612DC6">
      <w:pPr>
        <w:pStyle w:val="Normaltindrag"/>
        <w:shd w:val="clear" w:color="000000" w:fill="auto"/>
      </w:pPr>
      <w:r w:rsidRPr="00612DC6">
        <w:t>Visserligen innebär den metod som ska användas, att jämförelser sker inom avgränsade områden så att humanister jämförs med humanister och s</w:t>
      </w:r>
      <w:r w:rsidRPr="00612DC6">
        <w:t>amhällsvetare med samhällsvetare och att deras produktion relateras till en normalproduktion. Det ger dock ingen rättvis bild av forskningen i de ämnen där de viktiga forskningsresultaten nästan uteslutande publiceras i monograf</w:t>
      </w:r>
      <w:r w:rsidRPr="00612DC6">
        <w:t>i</w:t>
      </w:r>
      <w:r w:rsidRPr="00612DC6">
        <w:t>er. När publiceringar och citeringar får så stort genomslag finns en uppenbar risk att forskarna känner sig tvingade att förändra sitt sätt att förmedla fors</w:t>
      </w:r>
      <w:r w:rsidRPr="00612DC6">
        <w:t>k</w:t>
      </w:r>
      <w:r w:rsidRPr="00612DC6">
        <w:t>ningsresultat. I stället för monografier som bygger på gedigna källstudier, teoretiskt underbyggda analyser och utförlig argu</w:t>
      </w:r>
      <w:r w:rsidRPr="00612DC6">
        <w:t>mentation, vilket ger gener</w:t>
      </w:r>
      <w:r w:rsidRPr="00612DC6">
        <w:t>a</w:t>
      </w:r>
      <w:r w:rsidRPr="00612DC6">
        <w:t>liserbara forskningsresultat, riskerar forskningen att förvandlas till pilotstudier som redovisar hypoteser. I stället för att tvinga in den humanistiska och sa</w:t>
      </w:r>
      <w:r w:rsidRPr="00612DC6">
        <w:t>m</w:t>
      </w:r>
      <w:r w:rsidRPr="00612DC6">
        <w:t>hällsvetenskapliga forskningen i en kostym som inte passar bör det utvecklas kvalitetskriterier utifrån de särskilda premisser som gäller för dessa fors</w:t>
      </w:r>
      <w:r w:rsidRPr="00612DC6">
        <w:t>k</w:t>
      </w:r>
      <w:r w:rsidRPr="00612DC6">
        <w:t>ningsfält.</w:t>
      </w:r>
    </w:p>
    <w:p w:rsidR="00612DC6" w:rsidRPr="00612DC6" w:rsidRDefault="00612DC6">
      <w:pPr>
        <w:pStyle w:val="Normaltindrag"/>
        <w:shd w:val="clear" w:color="000000" w:fill="auto"/>
      </w:pPr>
      <w:r w:rsidRPr="00612DC6">
        <w:t>För humanister och samhällsvetare, i första hand, är språket också ett vi</w:t>
      </w:r>
      <w:r w:rsidRPr="00612DC6">
        <w:t>k</w:t>
      </w:r>
      <w:r w:rsidRPr="00612DC6">
        <w:t>tigt redskap. Det måste därför finnas utrymme för att även i fortsättningen kunna presentera sin forskning på modersmålet utan att det får negativa ek</w:t>
      </w:r>
      <w:r w:rsidRPr="00612DC6">
        <w:t>o</w:t>
      </w:r>
      <w:r w:rsidRPr="00612DC6">
        <w:t>nomiska effekter. Vi vill också att det ska finnas en vetenskaplig diskussion på svenska oavsett ämnesområde eftersom det finns behov av svenska b</w:t>
      </w:r>
      <w:r w:rsidRPr="00612DC6">
        <w:t>e</w:t>
      </w:r>
      <w:r w:rsidRPr="00612DC6">
        <w:t>grepp och termer för att forskningen ska kunna få praktisk relevans och för att fler ska kunna ta del av den.</w:t>
      </w:r>
    </w:p>
    <w:p w:rsidR="00612DC6" w:rsidRPr="00612DC6" w:rsidRDefault="00612DC6">
      <w:pPr>
        <w:pStyle w:val="Normaltindrag"/>
        <w:shd w:val="clear" w:color="000000" w:fill="auto"/>
      </w:pPr>
      <w:r w:rsidRPr="00612DC6">
        <w:t>Dessutom missgynnas den forskning och utveckling, oavsett vetenskap</w:t>
      </w:r>
      <w:r w:rsidRPr="00612DC6">
        <w:t>s</w:t>
      </w:r>
      <w:r w:rsidRPr="00612DC6">
        <w:t>område, som tar sin utgångspunkt i specifika lokala, regionala och nationella problem och försöker lösa dem eftersom det ofta inte finns något behov av internationell publicering i dessa fall. Det innebär att den forskning som är till direkt nytta kan komma att generera minst pengar. I indikatorn externa medel framhålls samverkansuppgiften som lika viktig som att erhålla forskningsa</w:t>
      </w:r>
      <w:r w:rsidRPr="00612DC6">
        <w:t>n</w:t>
      </w:r>
      <w:r w:rsidRPr="00612DC6">
        <w:t>slag i internationell konkurrens. Varför är inte det lika viktigt att sprida fors</w:t>
      </w:r>
      <w:r w:rsidRPr="00612DC6">
        <w:t>k</w:t>
      </w:r>
      <w:r w:rsidRPr="00612DC6">
        <w:t>ningsresultat?</w:t>
      </w:r>
    </w:p>
    <w:p w:rsidR="00612DC6" w:rsidRPr="00612DC6" w:rsidRDefault="00612DC6">
      <w:pPr>
        <w:pStyle w:val="Normaltindrag"/>
        <w:shd w:val="clear" w:color="000000" w:fill="auto"/>
      </w:pPr>
      <w:r w:rsidRPr="00612DC6">
        <w:t>Regeringen erkänner i propos</w:t>
      </w:r>
      <w:r w:rsidRPr="00612DC6">
        <w:t>itionen att viss forskning kommer att mis</w:t>
      </w:r>
      <w:r w:rsidRPr="00612DC6">
        <w:t>s</w:t>
      </w:r>
      <w:r w:rsidRPr="00612DC6">
        <w:t>gynnas och föreslår därför att vissa vetenskapsområden ska ges större vikt vid fördelningen av medel. Så länge formerna för publicering av forskningsresu</w:t>
      </w:r>
      <w:r w:rsidRPr="00612DC6">
        <w:t>l</w:t>
      </w:r>
      <w:r w:rsidRPr="00612DC6">
        <w:t>tat inom t.ex. humaniora ser ut som de gör innebär detta ingen större förbät</w:t>
      </w:r>
      <w:r w:rsidRPr="00612DC6">
        <w:t>t</w:t>
      </w:r>
      <w:r w:rsidRPr="00612DC6">
        <w:t>ring. Exempelvis var samtliga 74 avhandlingar i humaniora vid Uppsala un</w:t>
      </w:r>
      <w:r w:rsidRPr="00612DC6">
        <w:t>i</w:t>
      </w:r>
      <w:r w:rsidRPr="00612DC6">
        <w:t>versitet 2001 monografier. Det spelar då ingen roll att vetenskapsområdet humaniora och samhällsvetenskap ges vikten 2 eftersom 2 gånger 0 är lika med 0. Förslaget at</w:t>
      </w:r>
      <w:r w:rsidRPr="00612DC6">
        <w:t>t ge vetenskapsområdet olika vikt kan även ge andra kon</w:t>
      </w:r>
      <w:r w:rsidRPr="00612DC6">
        <w:t>s</w:t>
      </w:r>
      <w:r w:rsidRPr="00612DC6">
        <w:t>tiga effekter. Exempelvis kan likartad teknisk forskning ges olika vikt ber</w:t>
      </w:r>
      <w:r w:rsidRPr="00612DC6">
        <w:t>o</w:t>
      </w:r>
      <w:r w:rsidRPr="00612DC6">
        <w:t>ende på om den bedrivs vid naturvetenskaplig eller teknisk fakultet.</w:t>
      </w:r>
    </w:p>
    <w:p w:rsidR="00612DC6" w:rsidRPr="00612DC6" w:rsidRDefault="00612DC6">
      <w:pPr>
        <w:pStyle w:val="Normaltindrag"/>
        <w:shd w:val="clear" w:color="000000" w:fill="auto"/>
      </w:pPr>
      <w:r w:rsidRPr="00612DC6">
        <w:t>Genom att avisera en ny utredning om ytterligare fördelningsprinciper e</w:t>
      </w:r>
      <w:r w:rsidRPr="00612DC6">
        <w:t>r</w:t>
      </w:r>
      <w:r w:rsidRPr="00612DC6">
        <w:t>känner regeringen de stora brister som finns i det liggande förslaget. Det vore därför lämpligare att avvakta med att införa det nya systemet tills alla kriterier är klara och en mer fullständig modell för resursfördelning kan sjösättas. Detta bör riksdagen som sin mening ge regeringen till känna.</w:t>
      </w:r>
    </w:p>
    <w:p w:rsidR="00612DC6" w:rsidRPr="00612DC6" w:rsidRDefault="00612DC6">
      <w:pPr>
        <w:pStyle w:val="Rubrik2"/>
        <w:shd w:val="clear" w:color="000000" w:fill="auto"/>
      </w:pPr>
      <w:bookmarkStart w:id="12" w:name="_Toc214344475"/>
      <w:bookmarkStart w:id="13" w:name="_Toc215982296"/>
      <w:r w:rsidRPr="00612DC6">
        <w:t>Utvärdering och utredning</w:t>
      </w:r>
      <w:bookmarkEnd w:id="12"/>
      <w:bookmarkEnd w:id="13"/>
    </w:p>
    <w:p w:rsidR="00612DC6" w:rsidRPr="00612DC6" w:rsidRDefault="00612DC6">
      <w:pPr>
        <w:shd w:val="clear" w:color="000000" w:fill="auto"/>
      </w:pPr>
      <w:r w:rsidRPr="00612DC6">
        <w:t>I den aviserade utredningen om ytterligare resursfördelningsindikatorer bör dessutom ytterligare kriterier övervägas, utöver utvärderingar och samverkan som regeringen föreslår. I resursutredningen föreslogs att antalet kvinnliga professorer skulle påverka resursfördelningen, vilket åter bör tas i beaktande och utvecklas tillsammans med andra mått på jämställdhet. Det kan vidare handla om ett kriterium på lärosätenas förmåga att ställa nya frågor och sätta forskningsagendan inom ett eller flera forskningso</w:t>
      </w:r>
      <w:r w:rsidRPr="00612DC6">
        <w:t>mråden. Ett annat kriterium borde vara hur väl forskarutbildningen fungerar. Ytterligare ett skulle kunna vara om det finns en gemensam vision vid lärosätena och hur den får geno</w:t>
      </w:r>
      <w:r w:rsidRPr="00612DC6">
        <w:t>m</w:t>
      </w:r>
      <w:r w:rsidRPr="00612DC6">
        <w:t>slag i forskningen bl.a. i form av tvärvetenskaplighet. Utredningen bör också överväga hur en del av forskningsresurserna kan vara behovsstyrda. I det föreslagna resursfördelningssystemet finns inga incitament till nyskapande forskning eller utrymme för risktagande. Det kan därför behövas ett särskilt stöd till ämnen och miljöer m.</w:t>
      </w:r>
      <w:r w:rsidRPr="00612DC6">
        <w:t>m. som har potential att utvecklas. Detta bör riksdagen som sin mening ge regeringen till känna.</w:t>
      </w:r>
    </w:p>
    <w:p w:rsidR="00612DC6" w:rsidRPr="00612DC6" w:rsidRDefault="00612DC6">
      <w:pPr>
        <w:pStyle w:val="Normaltindrag"/>
        <w:shd w:val="clear" w:color="000000" w:fill="auto"/>
      </w:pPr>
      <w:r w:rsidRPr="00612DC6">
        <w:t>Regeringen har åtminstone för avsikt att följa och utvärdera vilka effekter det nya resurstilldelningssystemet kommer att få. Man har dessvärre glömt att inkorporera vilka effekter förslaget kan komma att få på de enskilda lärosät</w:t>
      </w:r>
      <w:r w:rsidRPr="00612DC6">
        <w:t>e</w:t>
      </w:r>
      <w:r w:rsidRPr="00612DC6">
        <w:t>na i uppdraget till Vetenskapsrådet. Det finns en risk att lärosätena övertar statens principer för resursfördelning när de själva ska fördela anslagen i</w:t>
      </w:r>
      <w:r w:rsidRPr="00612DC6">
        <w:t>n</w:t>
      </w:r>
      <w:r w:rsidRPr="00612DC6">
        <w:t>ternt. Den underskattning av den humanistiska och samhällsvetenskapliga forskningen som finns inbyggd i systemet skulle då kunna få konsekvensen att resurserna till den forskningen minskar drastiskt. Lärosätenas interna fö</w:t>
      </w:r>
      <w:r w:rsidRPr="00612DC6">
        <w:t>r</w:t>
      </w:r>
      <w:r w:rsidRPr="00612DC6">
        <w:t>delning av anslagen måste därför ingå i Vetenskapsrådets utvärdering och kvalitetssäkring. I uppdraget till Vetenskapsrådet bör även i</w:t>
      </w:r>
      <w:r w:rsidRPr="00612DC6">
        <w:t>ngå att prognost</w:t>
      </w:r>
      <w:r w:rsidRPr="00612DC6">
        <w:t>i</w:t>
      </w:r>
      <w:r w:rsidRPr="00612DC6">
        <w:t>sera hur forskningsanslagen kommer att fördelas på lärosätena på längre sikt. Detta bör riksdagen som sin mening ge regeringen till känna.</w:t>
      </w:r>
    </w:p>
    <w:p w:rsidR="00612DC6" w:rsidRPr="00612DC6" w:rsidRDefault="00612DC6">
      <w:pPr>
        <w:pStyle w:val="Rubrik1"/>
        <w:shd w:val="clear" w:color="000000" w:fill="auto"/>
      </w:pPr>
      <w:bookmarkStart w:id="14" w:name="_Toc214344476"/>
      <w:bookmarkStart w:id="15" w:name="_Toc215982297"/>
      <w:r w:rsidRPr="00612DC6">
        <w:t>Tillstånd att utfärda examina på forskarnivå</w:t>
      </w:r>
      <w:bookmarkEnd w:id="14"/>
      <w:bookmarkEnd w:id="15"/>
    </w:p>
    <w:p w:rsidR="00612DC6" w:rsidRPr="00612DC6" w:rsidRDefault="00612DC6">
      <w:pPr>
        <w:shd w:val="clear" w:color="000000" w:fill="auto"/>
      </w:pPr>
      <w:r w:rsidRPr="00612DC6">
        <w:t>Det är mycket positivt att alla högskolor får fasta resurser för forskning. Som en konsekvens av detta avser regeringen återkomma med ett förslag om att det ska vara möjligt för Högskolverket att utfärda examenstillstånd på for</w:t>
      </w:r>
      <w:r w:rsidRPr="00612DC6">
        <w:t>s</w:t>
      </w:r>
      <w:r w:rsidRPr="00612DC6">
        <w:t>karnivå för forskningsområden, som ska vara smalare definierade än vete</w:t>
      </w:r>
      <w:r w:rsidRPr="00612DC6">
        <w:t>n</w:t>
      </w:r>
      <w:r w:rsidRPr="00612DC6">
        <w:t>skapsområden. Detta för att de högskolor som i dag saknar vetenskapsområde ska få större möjlighet att utfärda examina på forskarnivå. Vänsterpartiet anser att det behövs en viss bredd i såväl utbildningen som forskningen på en högskola och att specialiseringen inte får bli för snäv. Vi uppmanar därför regeringen att ta detta i beaktande vid beredningen av förslaget och att man noga överväger vilka konsekvenser det kan få för forskning</w:t>
      </w:r>
      <w:r w:rsidRPr="00612DC6">
        <w:t xml:space="preserve"> och utbildning på grundnivå, avancerad nivå och forskarnivå. Detta bör riksdagen som sin m</w:t>
      </w:r>
      <w:r w:rsidRPr="00612DC6">
        <w:t>e</w:t>
      </w:r>
      <w:r w:rsidRPr="00612DC6">
        <w:t>ning ge regeringen till känna.</w:t>
      </w:r>
    </w:p>
    <w:p w:rsidR="00612DC6" w:rsidRPr="00612DC6" w:rsidRDefault="00612DC6">
      <w:pPr>
        <w:pStyle w:val="Rubrik1"/>
        <w:shd w:val="clear" w:color="000000" w:fill="auto"/>
      </w:pPr>
      <w:bookmarkStart w:id="16" w:name="_Toc214344477"/>
      <w:bookmarkStart w:id="17" w:name="_Toc215982298"/>
      <w:r w:rsidRPr="00612DC6">
        <w:t>Strategiska forskningsområden</w:t>
      </w:r>
      <w:bookmarkEnd w:id="16"/>
      <w:bookmarkEnd w:id="17"/>
    </w:p>
    <w:p w:rsidR="00612DC6" w:rsidRPr="00612DC6" w:rsidRDefault="00612DC6">
      <w:pPr>
        <w:shd w:val="clear" w:color="000000" w:fill="auto"/>
      </w:pPr>
      <w:r w:rsidRPr="00612DC6">
        <w:t>Under riksdagens förra mandatperiod skrev de fyra borgerliga partierna en gemensam motion med anledning av den forskningspolitiska propositionen, Forskning för ett bättre liv (prop. 2004/05:80), som ett resultat av Vänsterpa</w:t>
      </w:r>
      <w:r w:rsidRPr="00612DC6">
        <w:t>r</w:t>
      </w:r>
      <w:r w:rsidRPr="00612DC6">
        <w:t>tiets samarbete med Socialdemokraterna och Miljöpartiet. I motionen skriver de borgerliga partierna:</w:t>
      </w:r>
    </w:p>
    <w:p w:rsidR="00612DC6" w:rsidRPr="00612DC6" w:rsidRDefault="00612DC6">
      <w:pPr>
        <w:pStyle w:val="Citat"/>
        <w:shd w:val="clear" w:color="000000" w:fill="auto"/>
      </w:pPr>
      <w:r w:rsidRPr="00612DC6">
        <w:t>Alliansen anser att Sverige behöver återgå till den princip som tidigare var självfallen: att de politiska organen endast skall göra övergripande, värderingsgrundade bedömningar, medan universitet, högskolor och forskningsfinansierande myndigheter skall svara för vetenskapliga och professionella bedömningar samt den närmare uppläggningen av ver</w:t>
      </w:r>
      <w:r w:rsidRPr="00612DC6">
        <w:t>k</w:t>
      </w:r>
      <w:r w:rsidRPr="00612DC6">
        <w:t>samheten.</w:t>
      </w:r>
    </w:p>
    <w:p w:rsidR="00612DC6" w:rsidRPr="00612DC6" w:rsidRDefault="00612DC6">
      <w:pPr>
        <w:shd w:val="clear" w:color="000000" w:fill="auto"/>
      </w:pPr>
      <w:r w:rsidRPr="00612DC6">
        <w:t>Det som de borgerliga partierna främst vände sig emot var att tre övergripa</w:t>
      </w:r>
      <w:r w:rsidRPr="00612DC6">
        <w:t>n</w:t>
      </w:r>
      <w:r w:rsidRPr="00612DC6">
        <w:t>de forskningsområden prioriterades: medicin, teknik och hållbar utveckling. I den forskningspolitiska proposition som nu föreligger gör regeringen i princip samma övergripande prioritering som tidigare Vänsterpartiet, Socialdemokr</w:t>
      </w:r>
      <w:r w:rsidRPr="00612DC6">
        <w:t>a</w:t>
      </w:r>
      <w:r w:rsidRPr="00612DC6">
        <w:t>terna och Miljöpartiet gjorde. Men högerpartierna går dessutom flera steg längre i sin iver att styra forskningen. De låter sin ideologi och politiska agenda styra ända ned till forskarnas frågeställningar. Den satsning som pr</w:t>
      </w:r>
      <w:r w:rsidRPr="00612DC6">
        <w:t>e</w:t>
      </w:r>
      <w:r w:rsidRPr="00612DC6">
        <w:t xml:space="preserve">senteras i forskningspropositionen tycks främst vara </w:t>
      </w:r>
      <w:r w:rsidRPr="00612DC6">
        <w:t>ägnad att tillfredsställa de enskilda ministrarnas önskemål.</w:t>
      </w:r>
    </w:p>
    <w:p w:rsidR="00612DC6" w:rsidRPr="00612DC6" w:rsidRDefault="00612DC6">
      <w:pPr>
        <w:pStyle w:val="Normaltindrag"/>
        <w:shd w:val="clear" w:color="000000" w:fill="auto"/>
      </w:pPr>
      <w:r w:rsidRPr="00612DC6">
        <w:t>Det är viktigt att forskningspolitiken utformas med respekt för både det fria sökandet efter kunskap, de inomvetenskapliga bedömningarna och sa</w:t>
      </w:r>
      <w:r w:rsidRPr="00612DC6">
        <w:t>m</w:t>
      </w:r>
      <w:r w:rsidRPr="00612DC6">
        <w:t>hällets behov och prioriteringar. Regering och riksdag har ansvar för att insa</w:t>
      </w:r>
      <w:r w:rsidRPr="00612DC6">
        <w:t>t</w:t>
      </w:r>
      <w:r w:rsidRPr="00612DC6">
        <w:t>ser som avser övergripande samhällsfrågor uppmärksammas och att de statl</w:t>
      </w:r>
      <w:r w:rsidRPr="00612DC6">
        <w:t>i</w:t>
      </w:r>
      <w:r w:rsidRPr="00612DC6">
        <w:t>ga medlen används på bästa sätt och för rätt ändamål.</w:t>
      </w:r>
    </w:p>
    <w:p w:rsidR="00612DC6" w:rsidRPr="00612DC6" w:rsidRDefault="00612DC6">
      <w:pPr>
        <w:pStyle w:val="Normaltindrag"/>
        <w:shd w:val="clear" w:color="000000" w:fill="auto"/>
      </w:pPr>
      <w:r w:rsidRPr="00612DC6">
        <w:t>Förutom inskränkning av forskningens frihet finns det också andra nackd</w:t>
      </w:r>
      <w:r w:rsidRPr="00612DC6">
        <w:t>e</w:t>
      </w:r>
      <w:r w:rsidRPr="00612DC6">
        <w:t>lar med regeringens detaljstyrning av resurserna. De fasta ramarna för mindre forskningsfält kan innebära att större projekt kanske inte kan finansieras fullt ut eller att större satsningar inte kan genomföras alls. Snävt indelade fors</w:t>
      </w:r>
      <w:r w:rsidRPr="00612DC6">
        <w:t>k</w:t>
      </w:r>
      <w:r w:rsidRPr="00612DC6">
        <w:t>ningsområden främjar inte tvärvetenskap, som behövs inom alla de öve</w:t>
      </w:r>
      <w:r w:rsidRPr="00612DC6">
        <w:t>r</w:t>
      </w:r>
      <w:r w:rsidRPr="00612DC6">
        <w:t>gripande områden som regeringen pekar ut. Fler specialinriktade utlysningar riskerar också att fördyra forskningsrådens verksamhet.</w:t>
      </w:r>
    </w:p>
    <w:p w:rsidR="00612DC6" w:rsidRPr="00612DC6" w:rsidRDefault="00612DC6">
      <w:pPr>
        <w:pStyle w:val="Normaltindrag"/>
        <w:shd w:val="clear" w:color="000000" w:fill="auto"/>
      </w:pPr>
      <w:r w:rsidRPr="00612DC6">
        <w:t>Vänsterpartiet kan acceptera en prioritering av de övergripande strategisk</w:t>
      </w:r>
      <w:r w:rsidRPr="00612DC6">
        <w:t>a forskningsområdena medicin, teknik och klimat (med vissa justeringar som presenteras nedan) eftersom det ligger i linje med våra tidigare politiska stäl</w:t>
      </w:r>
      <w:r w:rsidRPr="00612DC6">
        <w:t>l</w:t>
      </w:r>
      <w:r w:rsidRPr="00612DC6">
        <w:t>ningstaganden. Däremot tillbakavisar vi regeringens detaljerade fördelning av medel inom dessa områden. Detta bör riksdagen som sin mening ge regerin</w:t>
      </w:r>
      <w:r w:rsidRPr="00612DC6">
        <w:t>g</w:t>
      </w:r>
      <w:r w:rsidRPr="00612DC6">
        <w:t>en till känna.</w:t>
      </w:r>
    </w:p>
    <w:p w:rsidR="00612DC6" w:rsidRPr="00612DC6" w:rsidRDefault="00612DC6">
      <w:pPr>
        <w:pStyle w:val="Rubrik2"/>
        <w:shd w:val="clear" w:color="000000" w:fill="auto"/>
      </w:pPr>
      <w:bookmarkStart w:id="18" w:name="_Toc214344478"/>
      <w:bookmarkStart w:id="19" w:name="_Toc215982299"/>
      <w:r w:rsidRPr="00612DC6">
        <w:t>Medicinsk forskning</w:t>
      </w:r>
      <w:bookmarkEnd w:id="18"/>
      <w:bookmarkEnd w:id="19"/>
    </w:p>
    <w:p w:rsidR="00612DC6" w:rsidRPr="00612DC6" w:rsidRDefault="00612DC6">
      <w:pPr>
        <w:shd w:val="clear" w:color="000000" w:fill="auto"/>
      </w:pPr>
      <w:r w:rsidRPr="00612DC6">
        <w:t>Trots att vi tillbakavisar regeringens detaljerade styrning av resurserna har vi i sak inget att invända mot de områden inom medicin och livsvetenskaper som regeringen pekar ut som angelägna att forska om.</w:t>
      </w:r>
    </w:p>
    <w:p w:rsidR="00612DC6" w:rsidRPr="00612DC6" w:rsidRDefault="00612DC6">
      <w:pPr>
        <w:pStyle w:val="Normaltindrag"/>
        <w:shd w:val="clear" w:color="000000" w:fill="auto"/>
      </w:pPr>
      <w:r w:rsidRPr="00612DC6">
        <w:t>Vänsterpartiet anser dock att vårdvetenskapen behöver uppmärksammas mer, både genom att man satsar mer resurser på exempelvis forskarskolor men också genom att man utvecklar strukturen för forskningen, där t.ex. den medicinska forskningen, som ofta ingår som en del av tjänsten, kan tjäna som en förebild. Vi ser därför positivt på förslaget att omvandla ämnesrådet för medicin inom Vetenskapsrådet till ämnesrådet för medicin och hälsa samt att inrätta platser i styrelsen för personer med kompetens från vårdo</w:t>
      </w:r>
      <w:r w:rsidRPr="00612DC6">
        <w:t>mrådet.</w:t>
      </w:r>
    </w:p>
    <w:p w:rsidR="00612DC6" w:rsidRPr="00612DC6" w:rsidRDefault="00612DC6">
      <w:pPr>
        <w:pStyle w:val="Normaltindrag"/>
        <w:shd w:val="clear" w:color="000000" w:fill="auto"/>
      </w:pPr>
      <w:r w:rsidRPr="00612DC6">
        <w:t>Angående satsningar på psykiatrisk forskning så kan det påpekas att den nationella psykiatrisamordnaren i sitt slutbetänkande, Ambition och ansvar – Nationell strategi för utveckling av samhällets insatser till personer med ps</w:t>
      </w:r>
      <w:r w:rsidRPr="00612DC6">
        <w:t>y</w:t>
      </w:r>
      <w:r w:rsidRPr="00612DC6">
        <w:t>kiska sjukdomar och funktionshinder (SOU 2006:100), föreslog att anslaget till Vetenskapsrådet för psykiatrisk forskning skulle öka med 100 miljoner kronor per år. Dessutom föreslogs att ytterligare 100 miljoner kronor årligen skulle gå till utvecklingsinsatser av nationell betydelse inom psykiatriomr</w:t>
      </w:r>
      <w:r w:rsidRPr="00612DC6">
        <w:t>å</w:t>
      </w:r>
      <w:r w:rsidRPr="00612DC6">
        <w:t>det.</w:t>
      </w:r>
    </w:p>
    <w:p w:rsidR="00612DC6" w:rsidRPr="00612DC6" w:rsidRDefault="00612DC6">
      <w:pPr>
        <w:pStyle w:val="Rubrik3"/>
        <w:shd w:val="clear" w:color="000000" w:fill="auto"/>
      </w:pPr>
      <w:bookmarkStart w:id="20" w:name="_Toc214344479"/>
      <w:bookmarkStart w:id="21" w:name="_Toc215982300"/>
      <w:r w:rsidRPr="00612DC6">
        <w:t>Klinisk forskning</w:t>
      </w:r>
      <w:bookmarkEnd w:id="20"/>
      <w:bookmarkEnd w:id="21"/>
    </w:p>
    <w:p w:rsidR="00612DC6" w:rsidRPr="00612DC6" w:rsidRDefault="00612DC6">
      <w:pPr>
        <w:shd w:val="clear" w:color="000000" w:fill="auto"/>
      </w:pPr>
      <w:r w:rsidRPr="00612DC6">
        <w:t>Den kliniska forskningen har stor betydelse för utveckling av hälso- och sju</w:t>
      </w:r>
      <w:r w:rsidRPr="00612DC6">
        <w:t>k</w:t>
      </w:r>
      <w:r w:rsidRPr="00612DC6">
        <w:t>vård. Den bidrar också till utveckling av kommersiell verksamhet inom e</w:t>
      </w:r>
      <w:r w:rsidRPr="00612DC6">
        <w:t>x</w:t>
      </w:r>
      <w:r w:rsidRPr="00612DC6">
        <w:t>empelvis läkemedels- och bioteknikindustrin. De senaste åren har dock den kliniska forskningen fått sämre förutsättningar. Vänsterpartiet tillsammans med Socialdemokraterna och Miljöpartiet uppmärksammade detta redan i propositionen Forsknings för ett bättre liv (prop. 2004/05:80). För att stärka den framtida kliniska forskningen behövs ett mer långsiktigt synsätt och ag</w:t>
      </w:r>
      <w:r w:rsidRPr="00612DC6">
        <w:t>e</w:t>
      </w:r>
      <w:r w:rsidRPr="00612DC6">
        <w:t>rande. Det vore därför önskvärt med en bred politisk uppgörelse i</w:t>
      </w:r>
      <w:r w:rsidRPr="00612DC6">
        <w:t xml:space="preserve"> syfte att samla samtliga inblandade aktörer inom såväl offentlig som privat sektor i en överenskommelse om den kliniska forskningen. Detta bör riksdagen som sin mening ge regeringen till känna.</w:t>
      </w:r>
    </w:p>
    <w:p w:rsidR="00612DC6" w:rsidRPr="00612DC6" w:rsidRDefault="00612DC6">
      <w:pPr>
        <w:pStyle w:val="Normaltindrag"/>
        <w:shd w:val="clear" w:color="000000" w:fill="auto"/>
      </w:pPr>
      <w:r w:rsidRPr="00612DC6">
        <w:t>Den tilltagande privatiseringsivern inom hälso- och sjukvården riskerar att ytterligare försämra förutsättningarna för den kliniska forskningen. Vårdför</w:t>
      </w:r>
      <w:r w:rsidRPr="00612DC6">
        <w:t>e</w:t>
      </w:r>
      <w:r w:rsidRPr="00612DC6">
        <w:t>tagen är inriktade mot att leverera vård till så låg kostnad som möjligt, och då satsas inga resurser på forskning och utveckling. Marknadsliberaliseringen av vården riskerar också att leda till schablonartade ersättningsmodeller där de verkliga kostnaderna för forskning och utveckling inte är inräknade. Det är särskilt viktigt att försvara den offentliga kontrollen över universitetssjukh</w:t>
      </w:r>
      <w:r w:rsidRPr="00612DC6">
        <w:t>u</w:t>
      </w:r>
      <w:r w:rsidRPr="00612DC6">
        <w:t>sen och de miljöer för avancerad vård, utbildning, forskning och utveckling som dessa utgör. Vi anser därför att det bö</w:t>
      </w:r>
      <w:r w:rsidRPr="00612DC6">
        <w:t>r lagstiftas om att universitetssju</w:t>
      </w:r>
      <w:r w:rsidRPr="00612DC6">
        <w:t>k</w:t>
      </w:r>
      <w:r w:rsidRPr="00612DC6">
        <w:t>hus varken ska kunna privatiseras eller läggas ut på entreprenad. Detta bör riksdagen som sin mening ge regeringen till känna.</w:t>
      </w:r>
    </w:p>
    <w:p w:rsidR="00612DC6" w:rsidRPr="00612DC6" w:rsidRDefault="00612DC6">
      <w:pPr>
        <w:pStyle w:val="Rubrik2"/>
        <w:shd w:val="clear" w:color="000000" w:fill="auto"/>
      </w:pPr>
      <w:bookmarkStart w:id="22" w:name="_Toc214344480"/>
      <w:bookmarkStart w:id="23" w:name="_Toc215982301"/>
      <w:r w:rsidRPr="00612DC6">
        <w:t>Teknisk forskning</w:t>
      </w:r>
      <w:bookmarkEnd w:id="22"/>
      <w:bookmarkEnd w:id="23"/>
    </w:p>
    <w:p w:rsidR="00612DC6" w:rsidRPr="00612DC6" w:rsidRDefault="00612DC6">
      <w:pPr>
        <w:shd w:val="clear" w:color="000000" w:fill="auto"/>
      </w:pPr>
      <w:r w:rsidRPr="00612DC6">
        <w:t>Även vad gäller den tekniska forskningen delar vi i stort regeringens uppfat</w:t>
      </w:r>
      <w:r w:rsidRPr="00612DC6">
        <w:t>t</w:t>
      </w:r>
      <w:r w:rsidRPr="00612DC6">
        <w:t>ning om vilka områden som är intressanta ur forskningssynpunkt. Vi vill dock påpeka att i en beskrivning av angelägen forskning bör stå att fordons- och transportforskningen behöver breddas till att i större utsträckning omfatta tyngre fordon, som för närvarande står för den största ökningen av utsläpp. Det bör också tilläggas att e-vetenskap och forskning och utveckling inom IT kan bidra till effektivare resursutnyttjande i samhället.</w:t>
      </w:r>
    </w:p>
    <w:p w:rsidR="00612DC6" w:rsidRPr="00612DC6" w:rsidRDefault="00612DC6">
      <w:pPr>
        <w:pStyle w:val="Rubrik2"/>
        <w:shd w:val="clear" w:color="000000" w:fill="auto"/>
      </w:pPr>
      <w:bookmarkStart w:id="24" w:name="_Toc214344481"/>
      <w:bookmarkStart w:id="25" w:name="_Toc215982302"/>
      <w:r w:rsidRPr="00612DC6">
        <w:t>Klimatforskning</w:t>
      </w:r>
      <w:bookmarkEnd w:id="24"/>
      <w:bookmarkEnd w:id="25"/>
    </w:p>
    <w:p w:rsidR="00612DC6" w:rsidRPr="00612DC6" w:rsidRDefault="00612DC6">
      <w:pPr>
        <w:shd w:val="clear" w:color="000000" w:fill="auto"/>
      </w:pPr>
      <w:r w:rsidRPr="00612DC6">
        <w:t>Det finns starka skäl för en ökad samordning och fokusering av den svenska klimatforskningen. I dag sker klimatforskningen bl.a. på Forskningsrådet för miljö, areella näringar och samhällsbyggande (Formas), SMHI:s Rossby Ce</w:t>
      </w:r>
      <w:r w:rsidRPr="00612DC6">
        <w:t>n</w:t>
      </w:r>
      <w:r w:rsidRPr="00612DC6">
        <w:t>tre samt Stockholms internationella miljöinstitut. Energiforskningen admin</w:t>
      </w:r>
      <w:r w:rsidRPr="00612DC6">
        <w:t>i</w:t>
      </w:r>
      <w:r w:rsidRPr="00612DC6">
        <w:t>streras av Energimyndigheten. Formas har sedan flera år tillbaka visat på behovet av att samordna den svenska klimatforskningen. Vänsterpartiet har därför i samband med budgetpropositionen för 2009 föreslagit att det ska inrättas ett nytt klimatsekretariat för samordning av klimatforskningen och har höjt anslaget till Formas med 60 miljoner kronor per år för detta ändamål.</w:t>
      </w:r>
    </w:p>
    <w:p w:rsidR="00612DC6" w:rsidRPr="00612DC6" w:rsidRDefault="00612DC6">
      <w:pPr>
        <w:pStyle w:val="Normaltindrag"/>
        <w:shd w:val="clear" w:color="000000" w:fill="auto"/>
        <w:rPr>
          <w:b/>
        </w:rPr>
      </w:pPr>
      <w:r w:rsidRPr="00612DC6">
        <w:t>Sekretariatet ska utforma förslag till prioriterade forsknin</w:t>
      </w:r>
      <w:r w:rsidRPr="00612DC6">
        <w:t>gsprogram och samordna befintliga forskningsprogram, skapa mötesplatser för forskare från olika discipliner nationellt och internationellt samt kommunicera kunskap och behov av kunskap till nationella intressenter. Sekretariatet ska även initiera samarbete med andra organisationer samt vara ett forum för dialog mellan skilda intressenter även utanför forskningen såsom myndigheter, näringsliv och internationella kontakter. Sekretariatet kan även arbeta för ett utökat forskningssamarbete inom klimatkonvention</w:t>
      </w:r>
      <w:r w:rsidRPr="00612DC6">
        <w:t>en som kan ge ökad kunskaps- och tekniköverförning till utvecklingsländerna</w:t>
      </w:r>
      <w:r w:rsidRPr="00612DC6">
        <w:rPr>
          <w:b/>
        </w:rPr>
        <w:t>.</w:t>
      </w:r>
    </w:p>
    <w:p w:rsidR="00612DC6" w:rsidRPr="00612DC6" w:rsidRDefault="00612DC6">
      <w:pPr>
        <w:pStyle w:val="Rubrik2"/>
        <w:shd w:val="clear" w:color="000000" w:fill="auto"/>
      </w:pPr>
      <w:bookmarkStart w:id="26" w:name="_Toc214344482"/>
      <w:bookmarkStart w:id="27" w:name="_Toc215982303"/>
      <w:r w:rsidRPr="00612DC6">
        <w:t>Övrig strategisk forskning</w:t>
      </w:r>
      <w:bookmarkEnd w:id="26"/>
      <w:bookmarkEnd w:id="27"/>
    </w:p>
    <w:p w:rsidR="00612DC6" w:rsidRPr="00612DC6" w:rsidRDefault="00612DC6">
      <w:pPr>
        <w:shd w:val="clear" w:color="000000" w:fill="auto"/>
      </w:pPr>
      <w:r w:rsidRPr="00612DC6">
        <w:t>Regeringen föreslår vidare att ytterligare tre områden ska ingå i de strategiska forskningsområdena. Det är säkerhet och krisberedskap, forskning om föru</w:t>
      </w:r>
      <w:r w:rsidRPr="00612DC6">
        <w:t>t</w:t>
      </w:r>
      <w:r w:rsidRPr="00612DC6">
        <w:t>sättningar för tillväxt samt politiskt viktiga geografiska regioner. Inom alla tre områden är det regeringens politiska ställningstaganden snarare än samhäll</w:t>
      </w:r>
      <w:r w:rsidRPr="00612DC6">
        <w:t>e</w:t>
      </w:r>
      <w:r w:rsidRPr="00612DC6">
        <w:t>liga eller vetenskapliga behov av ny kunskap som har styrt dessa satsningar. Vi anser att de medel som regeringen avsätter inom ramen för dessa fors</w:t>
      </w:r>
      <w:r w:rsidRPr="00612DC6">
        <w:t>k</w:t>
      </w:r>
      <w:r w:rsidRPr="00612DC6">
        <w:t>ningsområden bör ingå i en bred satsning på humanistisk forskning i stället.</w:t>
      </w:r>
    </w:p>
    <w:p w:rsidR="00612DC6" w:rsidRPr="00612DC6" w:rsidRDefault="00612DC6">
      <w:pPr>
        <w:pStyle w:val="Rubrik2"/>
        <w:shd w:val="clear" w:color="000000" w:fill="auto"/>
      </w:pPr>
      <w:bookmarkStart w:id="28" w:name="_Toc214344483"/>
      <w:bookmarkStart w:id="29" w:name="_Toc215982304"/>
      <w:r w:rsidRPr="00612DC6">
        <w:t>Förstärkning av den humanistiska forskningen</w:t>
      </w:r>
      <w:bookmarkEnd w:id="28"/>
      <w:bookmarkEnd w:id="29"/>
    </w:p>
    <w:p w:rsidR="00612DC6" w:rsidRPr="00612DC6" w:rsidRDefault="00612DC6">
      <w:pPr>
        <w:shd w:val="clear" w:color="000000" w:fill="auto"/>
      </w:pPr>
      <w:r w:rsidRPr="00612DC6">
        <w:t>I debatten om vad unga människor känner till om andra världskriget, Förinte</w:t>
      </w:r>
      <w:r w:rsidRPr="00612DC6">
        <w:t>l</w:t>
      </w:r>
      <w:r w:rsidRPr="00612DC6">
        <w:t>sen och stalinismens brott har humanioras, och särskilt historieämnets, tillb</w:t>
      </w:r>
      <w:r w:rsidRPr="00612DC6">
        <w:t>a</w:t>
      </w:r>
      <w:r w:rsidRPr="00612DC6">
        <w:t>kagång i skolsystemet tydliggjorts. Det borde vara dags för alla politiska krafter i Sverige att inse värdet av en stark och oberoende humanistisk bil</w:t>
      </w:r>
      <w:r w:rsidRPr="00612DC6">
        <w:t>d</w:t>
      </w:r>
      <w:r w:rsidRPr="00612DC6">
        <w:t>ningstradition. Humanistisk forskning och undervisning kan bara i mycket begränsad utsträckning motiveras med rent praktiska eller samhällsekonomi</w:t>
      </w:r>
      <w:r w:rsidRPr="00612DC6">
        <w:t>s</w:t>
      </w:r>
      <w:r w:rsidRPr="00612DC6">
        <w:t>ka argument: det gäller då främst sådana – i och för sig viktiga – specialä</w:t>
      </w:r>
      <w:r w:rsidRPr="00612DC6">
        <w:t>m</w:t>
      </w:r>
      <w:r w:rsidRPr="00612DC6">
        <w:t>nen som datalingvistik, användbar i modern datorkommunikati</w:t>
      </w:r>
      <w:r w:rsidRPr="00612DC6">
        <w:t>on.</w:t>
      </w:r>
    </w:p>
    <w:p w:rsidR="00612DC6" w:rsidRPr="00612DC6" w:rsidRDefault="00612DC6">
      <w:pPr>
        <w:pStyle w:val="Normaltindrag"/>
        <w:shd w:val="clear" w:color="000000" w:fill="auto"/>
      </w:pPr>
      <w:r w:rsidRPr="00612DC6">
        <w:t>De flesta humanistiska ämnen måste dock, liksom konsten och litteraturen, motiveras på helt annorlunda vis. Vi behöver dessa ämnen, inte för att bli rikare i materiell mening utan för att leva ett rikare, mer insiktsfullt liv. Vi behöver humaniora för att kunna begripa våra egna och andra människors grundläggande värderingar, tankesystem, kulturella egenart och sätt att relat</w:t>
      </w:r>
      <w:r w:rsidRPr="00612DC6">
        <w:t>e</w:t>
      </w:r>
      <w:r w:rsidRPr="00612DC6">
        <w:t>ra till omvärlden. Studiet av humaniora ger oss överblick och sammanhang i tillvaron, fördjupar vår förståelse av etiska och estetiska värden, vidgar våra perspektiv på den egna tillvaron genom att öka vår kunskap både om våra egna rötter och om andra människors kulturförhållanden. Det bidrar till en kritisk granskning av samhället och utvecklar demokratin.</w:t>
      </w:r>
    </w:p>
    <w:p w:rsidR="00612DC6" w:rsidRPr="00612DC6" w:rsidRDefault="00612DC6">
      <w:pPr>
        <w:pStyle w:val="Normaltindrag"/>
        <w:shd w:val="clear" w:color="000000" w:fill="auto"/>
      </w:pPr>
      <w:r w:rsidRPr="00612DC6">
        <w:t>En utarmning av humaniora leder på längre sikt till andlig utarmning för den enskilde och en nedmontering av vår världsbild och den svenska kulturen jä</w:t>
      </w:r>
      <w:r w:rsidRPr="00612DC6">
        <w:t>mfört med andra kulturer. Sammanhangen blir otydliga, synkretsen snävare, människors intressen och kunskaper alltmer begränsade till det ytliga, dagsa</w:t>
      </w:r>
      <w:r w:rsidRPr="00612DC6">
        <w:t>k</w:t>
      </w:r>
      <w:r w:rsidRPr="00612DC6">
        <w:t>tuella och i dålig mening kommersiella. Därför är det nödvändigt att göra en omprioritering inom utbildning och forskning. Humanistisk forskning och utbildning på alla nivåer måste stärkas. I skolsystemet och vid högskolorna måste historia, litteratur och andra humanistiska ämnen få ett ökat utrymme.</w:t>
      </w:r>
    </w:p>
    <w:p w:rsidR="00612DC6" w:rsidRPr="00612DC6" w:rsidRDefault="00612DC6">
      <w:pPr>
        <w:pStyle w:val="Normaltindrag"/>
        <w:shd w:val="clear" w:color="000000" w:fill="auto"/>
      </w:pPr>
      <w:r w:rsidRPr="00612DC6">
        <w:t>Att humaniora har nedprioriterats det senaste decenniet fra</w:t>
      </w:r>
      <w:r w:rsidRPr="00612DC6">
        <w:t>mgår tydligt av en rapport från Institutet för studier av utbildning och forskning (SISTER). Om humanistisk forskning – Nutida villkor och framtida förutsättningar (a</w:t>
      </w:r>
      <w:r w:rsidRPr="00612DC6">
        <w:t>r</w:t>
      </w:r>
      <w:r w:rsidRPr="00612DC6">
        <w:t>betsrapport 2008:81). I rapporten konstateras att resurserna till humanistisk forskning har minskat. Denna forskning är också oerhört beroende av direkta statlig anslag. Det finns få externa finansiärer och bland dessa dominerar Vetenskapsrådet och Riksbankens jubileumsfond. Vetenskapsrådet beviljar dock endast ca 10 % av ansökningarna om fors</w:t>
      </w:r>
      <w:r w:rsidRPr="00612DC6">
        <w:t>kningsanslag. Det är stor brist på meriteringstjänster för unga nydisputerade forskare. Misstron mot tjänst</w:t>
      </w:r>
      <w:r w:rsidRPr="00612DC6">
        <w:t>e</w:t>
      </w:r>
      <w:r w:rsidRPr="00612DC6">
        <w:t>tillsättningen vid lärosätena och ansökningsförfarandet vid Vetenskapsrådet är utbredd bland dessa unga forskare.</w:t>
      </w:r>
    </w:p>
    <w:p w:rsidR="00612DC6" w:rsidRPr="00612DC6" w:rsidRDefault="00612DC6">
      <w:pPr>
        <w:pStyle w:val="Normaltindrag"/>
        <w:shd w:val="clear" w:color="000000" w:fill="auto"/>
      </w:pPr>
      <w:r w:rsidRPr="00612DC6">
        <w:t>Regeringens forskningspolitik riskerar att förvärra situationen eftersom den humanistiska forskningen missgynnas av de nya kriterierna för fördelning av forskningsresurser. Högskolans nya uppgift att verka för att forskningen kommer till nytta innebär också att humaniora kommer att få svår</w:t>
      </w:r>
      <w:r w:rsidRPr="00612DC6">
        <w:t>t att hävda sig gentemot andra vetenskapsområden där den omedelbara nyttan är mer uppenbar. Vänsterpartiet föreslår därför en satsning på humanistisk forskning och att 2012 ska 250 miljoner kronor av totalt 1 800 miljoner kronor ha o</w:t>
      </w:r>
      <w:r w:rsidRPr="00612DC6">
        <w:t>m</w:t>
      </w:r>
      <w:r w:rsidRPr="00612DC6">
        <w:t>fördelats från de av regeringen föreslagna strategiska forskningsområdena: 85 miljoner kronor från medicin och livsvetenskaper, 60 miljoner kronor från teknisk forskning, 35 miljoner kronor från klimatrelaterad forskning och 40 miljoner kronor från säkerhet och krisberedskap sa</w:t>
      </w:r>
      <w:r w:rsidRPr="00612DC6">
        <w:t>mt 30 miljoner kronor från forskning om förutsättningar för tillväxt och forskning om politiskt vikt</w:t>
      </w:r>
      <w:r w:rsidRPr="00612DC6">
        <w:t>i</w:t>
      </w:r>
      <w:r w:rsidRPr="00612DC6">
        <w:t>ga geografiska regioner. Detta bör riksdagen som sin mening ge regeringen till känna.</w:t>
      </w:r>
    </w:p>
    <w:p w:rsidR="00612DC6" w:rsidRPr="00612DC6" w:rsidRDefault="00612DC6">
      <w:pPr>
        <w:pStyle w:val="Rubrik1"/>
        <w:shd w:val="clear" w:color="000000" w:fill="auto"/>
      </w:pPr>
      <w:bookmarkStart w:id="30" w:name="_Toc214344484"/>
      <w:bookmarkStart w:id="31" w:name="_Toc215982305"/>
      <w:r w:rsidRPr="00612DC6">
        <w:t>Genusforskning</w:t>
      </w:r>
      <w:bookmarkEnd w:id="30"/>
      <w:bookmarkEnd w:id="31"/>
    </w:p>
    <w:p w:rsidR="00612DC6" w:rsidRPr="00612DC6" w:rsidRDefault="00612DC6">
      <w:pPr>
        <w:shd w:val="clear" w:color="000000" w:fill="auto"/>
      </w:pPr>
      <w:r w:rsidRPr="00612DC6">
        <w:t>Regeringen försöker i propositionen reducera genusforskningen till en fråga om jämställdhet, kvinnors hälsa, mäns våld mot kvinnor och diskriminering. Det är givetvis ett politiskt ställningstagande eftersom borgerligheten alltid har förnekat att det finns en strukturell hierarkisk ordning i samhället oavsett om den utgår från klass, etnicitet eller kön. Denna sammanblandning mellan politik och vetenskap är också närvarande i den allmänna samhällsdebatten där den kraftiga kritiken från höger mot jämställdh</w:t>
      </w:r>
      <w:r w:rsidRPr="00612DC6">
        <w:t>etspolitik och feminism också innefattar ideologiska attacker mot genusforskningen.</w:t>
      </w:r>
    </w:p>
    <w:p w:rsidR="00612DC6" w:rsidRPr="00612DC6" w:rsidRDefault="00612DC6">
      <w:pPr>
        <w:pStyle w:val="Normaltindrag"/>
        <w:shd w:val="clear" w:color="000000" w:fill="auto"/>
      </w:pPr>
      <w:r w:rsidRPr="00612DC6">
        <w:t>Vänsterpartiet anser att genusforskningen bör skiljas från jämställdhetsp</w:t>
      </w:r>
      <w:r w:rsidRPr="00612DC6">
        <w:t>o</w:t>
      </w:r>
      <w:r w:rsidRPr="00612DC6">
        <w:t>litiken även om forskningens resultat naturligtvis kan användas i jämställ</w:t>
      </w:r>
      <w:r w:rsidRPr="00612DC6">
        <w:t>d</w:t>
      </w:r>
      <w:r w:rsidRPr="00612DC6">
        <w:t>hetsarbetet. Vi har därför tidigare motionerat om att inrätta en jämställdhet</w:t>
      </w:r>
      <w:r w:rsidRPr="00612DC6">
        <w:t>s</w:t>
      </w:r>
      <w:r w:rsidRPr="00612DC6">
        <w:t>myndighet och att denna myndighet bör överta uppdraget om jämställdhetsi</w:t>
      </w:r>
      <w:r w:rsidRPr="00612DC6">
        <w:t>n</w:t>
      </w:r>
      <w:r w:rsidRPr="00612DC6">
        <w:t>tegrering från det nationella Sekretariatet för genusforskning.</w:t>
      </w:r>
    </w:p>
    <w:p w:rsidR="00612DC6" w:rsidRPr="00612DC6" w:rsidRDefault="00612DC6">
      <w:pPr>
        <w:pStyle w:val="Normaltindrag"/>
        <w:shd w:val="clear" w:color="000000" w:fill="auto"/>
      </w:pPr>
      <w:r w:rsidRPr="00612DC6">
        <w:t>I en forskningspolitisk proposition bör genusforskningen uppmärksammas utifrån sina egna vetenskapliga förtjänster, som görs med andra vetenskap</w:t>
      </w:r>
      <w:r w:rsidRPr="00612DC6">
        <w:t>s</w:t>
      </w:r>
      <w:r w:rsidRPr="00612DC6">
        <w:t>grenar och -områden. Det är ett tvärvetenskapligt och multidisciplinärt fors</w:t>
      </w:r>
      <w:r w:rsidRPr="00612DC6">
        <w:t>k</w:t>
      </w:r>
      <w:r w:rsidRPr="00612DC6">
        <w:t>ningsområde som dels har byggt upp och konsoliderat ett eget forskningsfält, dels har förnyat traditionella ämnen inom exempelvis medicin och naturv</w:t>
      </w:r>
      <w:r w:rsidRPr="00612DC6">
        <w:t>e</w:t>
      </w:r>
      <w:r w:rsidRPr="00612DC6">
        <w:t>tenskap. En omfattande och fruktbar teoriutveckling har skett och sker; där inte bara frågor som rör kön inkluderas utan även klass, sexualitet och etnic</w:t>
      </w:r>
      <w:r w:rsidRPr="00612DC6">
        <w:t>i</w:t>
      </w:r>
      <w:r w:rsidRPr="00612DC6">
        <w:t>tet.</w:t>
      </w:r>
    </w:p>
    <w:p w:rsidR="00612DC6" w:rsidRPr="00612DC6" w:rsidRDefault="00612DC6">
      <w:pPr>
        <w:pStyle w:val="Normaltindrag"/>
        <w:shd w:val="clear" w:color="000000" w:fill="auto"/>
      </w:pPr>
      <w:r w:rsidRPr="00612DC6">
        <w:t>Regeringen borde också kunna uppskatta genusforskningen för den ko</w:t>
      </w:r>
      <w:r w:rsidRPr="00612DC6">
        <w:t>n</w:t>
      </w:r>
      <w:r w:rsidRPr="00612DC6">
        <w:t>kreta nytta som den har haft. Den har bidragit till att utveckla samhällskrit</w:t>
      </w:r>
      <w:r w:rsidRPr="00612DC6">
        <w:t>i</w:t>
      </w:r>
      <w:r w:rsidRPr="00612DC6">
        <w:t>ken och därigenom demokratin genom analyser av maktstrukturer i samhället. Genom den integrering av genusforskning som har skett inom många ämnen har nya frågor ställts om hur föreställningar om kön påverkar traditionella kunskapsområden och forskningsfält. Inom medicinen har denna forskning exempelvis inneburit förbättrade diagnoser och behandlingsmetoder. Genu</w:t>
      </w:r>
      <w:r w:rsidRPr="00612DC6">
        <w:t>s</w:t>
      </w:r>
      <w:r w:rsidRPr="00612DC6">
        <w:t>perspektiv på klimatforskningen innebär t.ex. att resurseffektiva in</w:t>
      </w:r>
      <w:r w:rsidRPr="00612DC6">
        <w:t>satser kan riktas mot den halva av befolkningen som står för den största delen av dagens överkonsumtion.</w:t>
      </w:r>
    </w:p>
    <w:p w:rsidR="00612DC6" w:rsidRPr="00612DC6" w:rsidRDefault="00612DC6">
      <w:pPr>
        <w:pStyle w:val="Normaltindrag"/>
        <w:shd w:val="clear" w:color="000000" w:fill="auto"/>
      </w:pPr>
      <w:r w:rsidRPr="00612DC6">
        <w:t>Mot bakgrund av detta anser Vänsterpartiet att genusforskningen ska stä</w:t>
      </w:r>
      <w:r w:rsidRPr="00612DC6">
        <w:t>r</w:t>
      </w:r>
      <w:r w:rsidRPr="00612DC6">
        <w:t>kas, och av Vetenskapsrådets ökade anslag bör ytterligare 10 miljoner kronor gå till utlysningar för genusforskning. Detta bör riksdagen som sin mening ge regeringen till känna.</w:t>
      </w:r>
    </w:p>
    <w:p w:rsidR="00612DC6" w:rsidRPr="00612DC6" w:rsidRDefault="00612DC6">
      <w:pPr>
        <w:pStyle w:val="Normaltindrag"/>
        <w:shd w:val="clear" w:color="000000" w:fill="auto"/>
      </w:pPr>
      <w:r w:rsidRPr="00612DC6">
        <w:t>En strategisk åtgärd för att stärka genusforskningen var beslutet 1995 att tillsätta sex stycken s.k. genusprofessurer. Detta har inneburit att genusfors</w:t>
      </w:r>
      <w:r w:rsidRPr="00612DC6">
        <w:t>k</w:t>
      </w:r>
      <w:r w:rsidRPr="00612DC6">
        <w:t>ningen har integrerats i nya miljöer och skapat en bredare legitimitet för ä</w:t>
      </w:r>
      <w:r w:rsidRPr="00612DC6">
        <w:t>m</w:t>
      </w:r>
      <w:r w:rsidRPr="00612DC6">
        <w:t>net. Forskningsmiljöer har byggts upp där genusforskningen ingår som en naturlig del. Vänsterpartiet vill bygga vidare på denna strategi. Av Vete</w:t>
      </w:r>
      <w:r w:rsidRPr="00612DC6">
        <w:t>n</w:t>
      </w:r>
      <w:r w:rsidRPr="00612DC6">
        <w:t>skapsrådets medel bör därför 20 miljoner kronor användas för att utlysa ytte</w:t>
      </w:r>
      <w:r w:rsidRPr="00612DC6">
        <w:t>r</w:t>
      </w:r>
      <w:r w:rsidRPr="00612DC6">
        <w:t>ligare tolv genusprofessurer med tillhörande resurser för att finansiera dokt</w:t>
      </w:r>
      <w:r w:rsidRPr="00612DC6">
        <w:t>o</w:t>
      </w:r>
      <w:r w:rsidRPr="00612DC6">
        <w:t>rand- och forskarassistenttjänster. Detta bör riksdagen som sin mening ge regeringen till känna.</w:t>
      </w:r>
    </w:p>
    <w:p w:rsidR="00612DC6" w:rsidRPr="00612DC6" w:rsidRDefault="00612DC6">
      <w:pPr>
        <w:pStyle w:val="Normaltindrag"/>
        <w:shd w:val="clear" w:color="000000" w:fill="auto"/>
      </w:pPr>
      <w:r w:rsidRPr="00612DC6">
        <w:t>I samband med att Vetenskapsrådet få</w:t>
      </w:r>
      <w:r w:rsidRPr="00612DC6">
        <w:t>r i uppdrag att särskilt uppmär</w:t>
      </w:r>
      <w:r w:rsidRPr="00612DC6">
        <w:t>k</w:t>
      </w:r>
      <w:r w:rsidRPr="00612DC6">
        <w:t>samma behoven av register och databaser i forskningen bör även behoven av att bygga upp en infrastruktur för genusforskning tillgodoses, t.ex. behovet av databaser såsom Kvinnsam vid de kvinnohistoriska samlingarna vid Göt</w:t>
      </w:r>
      <w:r w:rsidRPr="00612DC6">
        <w:t>e</w:t>
      </w:r>
      <w:r w:rsidRPr="00612DC6">
        <w:t>borgs universitet. Detta bör riksdagen som sin mening ge regeringen till kä</w:t>
      </w:r>
      <w:r w:rsidRPr="00612DC6">
        <w:t>n</w:t>
      </w:r>
      <w:r w:rsidRPr="00612DC6">
        <w:t>na.</w:t>
      </w:r>
    </w:p>
    <w:p w:rsidR="00612DC6" w:rsidRPr="00612DC6" w:rsidRDefault="00612DC6">
      <w:pPr>
        <w:pStyle w:val="Normaltindrag"/>
        <w:shd w:val="clear" w:color="000000" w:fill="auto"/>
      </w:pPr>
      <w:r w:rsidRPr="00612DC6">
        <w:t>Slutligen har också universitet och högskolor ett ansvar för genusfors</w:t>
      </w:r>
      <w:r w:rsidRPr="00612DC6">
        <w:t>k</w:t>
      </w:r>
      <w:r w:rsidRPr="00612DC6">
        <w:t>ningen. De ökade fasta forskningsanslagen måste komma genusforskningen till del. Som inom många andra ämnen behövs fler disputerade lärare med bättre möjligheter till forskning inom tjänsten, bl.a. för att stärka forskning</w:t>
      </w:r>
      <w:r w:rsidRPr="00612DC6">
        <w:t>s</w:t>
      </w:r>
      <w:r w:rsidRPr="00612DC6">
        <w:t>anknytningen inom utbildningen och på så sätt bidra till att sprida forskning</w:t>
      </w:r>
      <w:r w:rsidRPr="00612DC6">
        <w:t>s</w:t>
      </w:r>
      <w:r w:rsidRPr="00612DC6">
        <w:t>resultat.</w:t>
      </w:r>
    </w:p>
    <w:p w:rsidR="00612DC6" w:rsidRPr="00612DC6" w:rsidRDefault="00612DC6">
      <w:pPr>
        <w:pStyle w:val="Rubrik1"/>
        <w:shd w:val="clear" w:color="000000" w:fill="auto"/>
      </w:pPr>
      <w:bookmarkStart w:id="32" w:name="_Toc214344485"/>
      <w:bookmarkStart w:id="33" w:name="_Toc215982306"/>
      <w:r w:rsidRPr="00612DC6">
        <w:t>Arbetslivsforskning</w:t>
      </w:r>
      <w:bookmarkEnd w:id="32"/>
      <w:bookmarkEnd w:id="33"/>
    </w:p>
    <w:p w:rsidR="00612DC6" w:rsidRPr="00612DC6" w:rsidRDefault="00612DC6">
      <w:pPr>
        <w:shd w:val="clear" w:color="000000" w:fill="auto"/>
      </w:pPr>
      <w:r w:rsidRPr="00612DC6">
        <w:t>Svensk arbetslivsforskning har haft en viktig roll i att bidra till att skapa ett arbetsliv som både är effektivt och rationellt samtidigt som kunskapen om arbetslivets problem är god och problemen därmed kan åtgärdas. Att det finns problem i arbetslivet är dock en kontroversiell fråga. Regeringen har kons</w:t>
      </w:r>
      <w:r w:rsidRPr="00612DC6">
        <w:t>e</w:t>
      </w:r>
      <w:r w:rsidRPr="00612DC6">
        <w:t>kvent verkat för att arbetslivs- och arbetsmiljöforskning ska fokusera på lö</w:t>
      </w:r>
      <w:r w:rsidRPr="00612DC6">
        <w:t>n</w:t>
      </w:r>
      <w:r w:rsidRPr="00612DC6">
        <w:t xml:space="preserve">samhetsaspekten för företagare. God arbetsmiljö är lönsam och därför är vissa arbetsmiljöåtgärder motiverade. Arbetslivsforskning och arbetsmiljöåtgärder som inte har denna direkta nytta hamnar i strykklass. Forskning och åtgärder kring t.ex. arbetsplatsdemokrati, diskriminering m.m. ger inte näringslivet några direkta vinster. Det var därför logiskt att de borgerliga partierna lade ned Arbetslivsinstitutet. Denna linje återfinns </w:t>
      </w:r>
      <w:r w:rsidRPr="00612DC6">
        <w:t>även i regeringens forskning</w:t>
      </w:r>
      <w:r w:rsidRPr="00612DC6">
        <w:t>s</w:t>
      </w:r>
      <w:r w:rsidRPr="00612DC6">
        <w:t>proposition.</w:t>
      </w:r>
    </w:p>
    <w:p w:rsidR="00612DC6" w:rsidRPr="00612DC6" w:rsidRDefault="00612DC6">
      <w:pPr>
        <w:pStyle w:val="Normaltindrag"/>
        <w:shd w:val="clear" w:color="000000" w:fill="auto"/>
        <w:rPr>
          <w:color w:val="000000"/>
        </w:rPr>
      </w:pPr>
      <w:r w:rsidRPr="00612DC6">
        <w:t xml:space="preserve">Vänsterpartiet var och är kritisk till nedläggningen av Arbetslivsinstitutet. </w:t>
      </w:r>
      <w:r w:rsidRPr="00612DC6">
        <w:rPr>
          <w:color w:val="000000"/>
        </w:rPr>
        <w:t>Resultatet av nedläggningen har blivit en volymmässig neddragning av fors</w:t>
      </w:r>
      <w:r w:rsidRPr="00612DC6">
        <w:rPr>
          <w:color w:val="000000"/>
        </w:rPr>
        <w:t>k</w:t>
      </w:r>
      <w:r w:rsidRPr="00612DC6">
        <w:rPr>
          <w:color w:val="000000"/>
        </w:rPr>
        <w:t>ningsområdet, spridning av kunskaperna och bristande återväxt av forskare. Regeringens proposition ändrar inte på detta.</w:t>
      </w:r>
    </w:p>
    <w:p w:rsidR="00612DC6" w:rsidRPr="00612DC6" w:rsidRDefault="00612DC6">
      <w:pPr>
        <w:pStyle w:val="Normaltindrag"/>
        <w:shd w:val="clear" w:color="000000" w:fill="auto"/>
      </w:pPr>
      <w:r w:rsidRPr="00612DC6">
        <w:t>Arbetslivet är komplext och mångfasetterat. Den tidigare centrumbildnin</w:t>
      </w:r>
      <w:r w:rsidRPr="00612DC6">
        <w:t>g</w:t>
      </w:r>
      <w:r w:rsidRPr="00612DC6">
        <w:t>en kunde samla olika forskningsdiscipliner. Sådan mångvetenskaplig fors</w:t>
      </w:r>
      <w:r w:rsidRPr="00612DC6">
        <w:t>k</w:t>
      </w:r>
      <w:r w:rsidRPr="00612DC6">
        <w:t>ning bedrivs förvisso på universitet i varierad utsträckning men inte system</w:t>
      </w:r>
      <w:r w:rsidRPr="00612DC6">
        <w:t>a</w:t>
      </w:r>
      <w:r w:rsidRPr="00612DC6">
        <w:t>tiskt utifrån en helhetssyn. Regeringen uppmärksammar i propositionen en ny centrumbildning i Stockholm. Detta kan vara värdefullt men är inte tillräc</w:t>
      </w:r>
      <w:r w:rsidRPr="00612DC6">
        <w:t>k</w:t>
      </w:r>
      <w:r w:rsidRPr="00612DC6">
        <w:t>ligt för att få en samlad kunskap om arbetslivets utveckling i Sverige. Det reparerar inte vad regeringen ödelagt genom nedläggningen av Arbetslivsi</w:t>
      </w:r>
      <w:r w:rsidRPr="00612DC6">
        <w:t>n</w:t>
      </w:r>
      <w:r w:rsidRPr="00612DC6">
        <w:t>stitutet.</w:t>
      </w:r>
    </w:p>
    <w:p w:rsidR="00612DC6" w:rsidRPr="00612DC6" w:rsidRDefault="00612DC6">
      <w:pPr>
        <w:pStyle w:val="Normaltindrag"/>
        <w:shd w:val="clear" w:color="000000" w:fill="auto"/>
      </w:pPr>
      <w:r w:rsidRPr="00612DC6">
        <w:t>Syftet med arbetslivsforskningen är att den ska vara</w:t>
      </w:r>
      <w:r w:rsidRPr="00612DC6">
        <w:t xml:space="preserve"> relevant för att bidra till en positiv utveckling av arbetslivet. Forskarvärlden behöver impulser från arbetslivet, forskningens resultat behöver sedan återkopplas till praktisk tillämpning bl.a. genom att utrymme finns för undervisning. För att forskningen ska vara relevant och av hög kvalitet krävs tillräcklig volym och att olika forskningsprogram kan finansieras under längre tid. Internationellt utbyte i olika former är också nödvändigt. Från fackföreningshåll påpekas bl.a. att Sverige är medlem i EU oc</w:t>
      </w:r>
      <w:r w:rsidRPr="00612DC6">
        <w:t>h att utvecklingen av arbetslivet måste relateras till ett europeiskt perspektiv. Förändringarna av socialförsäkringarna är också viktiga att studera utifrån ett arbetslivsperspektiv. Arbetslivs- och arbetsmilj</w:t>
      </w:r>
      <w:r w:rsidRPr="00612DC6">
        <w:t>ö</w:t>
      </w:r>
      <w:r w:rsidRPr="00612DC6">
        <w:t>forskningen är också ett viktigt fundament för folkhälsan, och ökad hälsa i arbetslivet är dessutom ett av folkhälsomålen. Arbetslivsforskningen behöver också bra underlag i form av statistik, och insamlingen och bearbetningen av denna behöver stärkas och utvecklas.</w:t>
      </w:r>
    </w:p>
    <w:p w:rsidR="00612DC6" w:rsidRPr="00612DC6" w:rsidRDefault="00612DC6">
      <w:pPr>
        <w:pStyle w:val="Normaltindrag"/>
        <w:shd w:val="clear" w:color="000000" w:fill="auto"/>
      </w:pPr>
      <w:r w:rsidRPr="00612DC6">
        <w:t>Enligt Vänsterpartiet bör det finn</w:t>
      </w:r>
      <w:r w:rsidRPr="00612DC6">
        <w:t>as en organisatorisk form som gör att a</w:t>
      </w:r>
      <w:r w:rsidRPr="00612DC6">
        <w:t>r</w:t>
      </w:r>
      <w:r w:rsidRPr="00612DC6">
        <w:t>betsmarknadens parter kan bidra med kunskap om viktiga forskningsomr</w:t>
      </w:r>
      <w:r w:rsidRPr="00612DC6">
        <w:t>å</w:t>
      </w:r>
      <w:r w:rsidRPr="00612DC6">
        <w:t>den. LO, TCO och Saco har tillsammans föreslagit en ny struktur för arbet</w:t>
      </w:r>
      <w:r w:rsidRPr="00612DC6">
        <w:t>s</w:t>
      </w:r>
      <w:r w:rsidRPr="00612DC6">
        <w:t>livsforskningen. Bland annat ska det finnas ett speciellt beredningsorgan med uppgift att överblicka arbetslivsforskningen och med representanter från a</w:t>
      </w:r>
      <w:r w:rsidRPr="00612DC6">
        <w:t>r</w:t>
      </w:r>
      <w:r w:rsidRPr="00612DC6">
        <w:t>betsmarknadens parter, myndigheter, universitet och högskolor m.m. De m</w:t>
      </w:r>
      <w:r w:rsidRPr="00612DC6">
        <w:t>e</w:t>
      </w:r>
      <w:r w:rsidRPr="00612DC6">
        <w:t>nar också att det behövs en stabil institutionell struktur för fors</w:t>
      </w:r>
      <w:r w:rsidRPr="00612DC6">
        <w:t>k</w:t>
      </w:r>
      <w:r w:rsidRPr="00612DC6">
        <w:t>ning och fördelning av forskningsans</w:t>
      </w:r>
      <w:r w:rsidRPr="00612DC6">
        <w:t>lag samt att resurserna till arbetsliv</w:t>
      </w:r>
      <w:r w:rsidRPr="00612DC6">
        <w:t>s</w:t>
      </w:r>
      <w:r w:rsidRPr="00612DC6">
        <w:t>forskning måste öka kraftigt. Vi delar den uppfattning som fackföreningarna har, och regeringen bör därför återkomma med förslag som innebär en framt</w:t>
      </w:r>
      <w:r w:rsidRPr="00612DC6">
        <w:t>i</w:t>
      </w:r>
      <w:r w:rsidRPr="00612DC6">
        <w:t>da stabil struktur både organisatoriskt och finansiellt för arbetslivsforsknin</w:t>
      </w:r>
      <w:r w:rsidRPr="00612DC6">
        <w:t>g</w:t>
      </w:r>
      <w:r w:rsidRPr="00612DC6">
        <w:t>en. Detta bör riksdagen som sin mening ge regeringen till känna.</w:t>
      </w:r>
    </w:p>
    <w:p w:rsidR="00612DC6" w:rsidRPr="00612DC6" w:rsidRDefault="00612DC6">
      <w:pPr>
        <w:pStyle w:val="Normaltindrag"/>
        <w:shd w:val="clear" w:color="000000" w:fill="auto"/>
      </w:pPr>
      <w:r w:rsidRPr="00612DC6">
        <w:t>I Vänsterpartiets budgetmotion för utgiftsområde 14 anslås 80 miljoner kronor till arbetslivsforskning för att upprätthålla den på kort sikt tills en permanent lösning finns. Peng</w:t>
      </w:r>
      <w:r w:rsidRPr="00612DC6">
        <w:t>arna fördelas 2009 med 60 miljoner kronor till FAS och 20 miljoner kronor till Arbetsmiljöverket för att kunna beställa nö</w:t>
      </w:r>
      <w:r w:rsidRPr="00612DC6">
        <w:t>d</w:t>
      </w:r>
      <w:r w:rsidRPr="00612DC6">
        <w:t>vändig forskning.</w:t>
      </w:r>
    </w:p>
    <w:p w:rsidR="00612DC6" w:rsidRPr="00612DC6" w:rsidRDefault="00612DC6">
      <w:pPr>
        <w:pStyle w:val="Rubrik2"/>
        <w:shd w:val="clear" w:color="000000" w:fill="auto"/>
      </w:pPr>
      <w:bookmarkStart w:id="34" w:name="_Toc214344486"/>
      <w:bookmarkStart w:id="35" w:name="_Toc215982307"/>
      <w:r w:rsidRPr="00612DC6">
        <w:t>Professur i juridik och rättsvetenskap i socialt arbete eller socialrätt</w:t>
      </w:r>
      <w:bookmarkEnd w:id="34"/>
      <w:bookmarkEnd w:id="35"/>
    </w:p>
    <w:p w:rsidR="00612DC6" w:rsidRPr="00612DC6" w:rsidRDefault="00612DC6">
      <w:pPr>
        <w:shd w:val="clear" w:color="000000" w:fill="auto"/>
      </w:pPr>
      <w:r w:rsidRPr="00612DC6">
        <w:t>Det blir allt vanligare att juridiska ärenden i första ledet utreds och beslutas av icke-jurister. Allra mest märkbart är detta i välfärdssystemens rättsliga stru</w:t>
      </w:r>
      <w:r w:rsidRPr="00612DC6">
        <w:t>k</w:t>
      </w:r>
      <w:r w:rsidRPr="00612DC6">
        <w:t>turer. Beslut fattas av socionomer inom kommunernas socialtjänst, av han</w:t>
      </w:r>
      <w:r w:rsidRPr="00612DC6">
        <w:t>d</w:t>
      </w:r>
      <w:r w:rsidRPr="00612DC6">
        <w:t>läggare på Försäkringskassan, på Migrationsverket, av lärare på skolor eller av Arbetsförmedlingens tjänstemän, för att bara nämna några exempel. En annan utvecklingstendens är att allt fler privata aktörer är inblandade i såväl faktisk vård, utbildning och omsorg som utredningar och underlag för direkt myndighetsutövning.</w:t>
      </w:r>
    </w:p>
    <w:p w:rsidR="00612DC6" w:rsidRPr="00612DC6" w:rsidRDefault="00612DC6">
      <w:pPr>
        <w:pStyle w:val="Normaltindrag"/>
        <w:shd w:val="clear" w:color="000000" w:fill="auto"/>
      </w:pPr>
      <w:r w:rsidRPr="00612DC6">
        <w:t>För de enskilda människorna, likaväl som för de professionella handlä</w:t>
      </w:r>
      <w:r w:rsidRPr="00612DC6">
        <w:t>g</w:t>
      </w:r>
      <w:r w:rsidRPr="00612DC6">
        <w:t>garna, är det av avgörande betydelse att lagar och rättsregler hanteras på ett riktigt och ändamålsenligt sätt. Rätten som politiskt och samhälleligt styrm</w:t>
      </w:r>
      <w:r w:rsidRPr="00612DC6">
        <w:t>e</w:t>
      </w:r>
      <w:r w:rsidRPr="00612DC6">
        <w:t>del ställer i vårt komplexa välfärdssamhälle omfattande krav på juridiskt kunnande även hos icke-jurister; en handläggande tjänsteman inom t.ex. soc</w:t>
      </w:r>
      <w:r w:rsidRPr="00612DC6">
        <w:t>i</w:t>
      </w:r>
      <w:r w:rsidRPr="00612DC6">
        <w:t>altjänsten kommer att handlägga frågor om barnarätt, avtalsrätt, social- och förvaltningsrätt, försäkringsrätt, processrätt och straffrätt. Dessutom bör hon eller han ha kunskap om internationella konventio</w:t>
      </w:r>
      <w:r w:rsidRPr="00612DC6">
        <w:t>ner och EG-rätten för att kunna fatta korrekta och genomtänkta beslut.</w:t>
      </w:r>
    </w:p>
    <w:p w:rsidR="00612DC6" w:rsidRPr="00612DC6" w:rsidRDefault="00612DC6">
      <w:pPr>
        <w:pStyle w:val="Normaltindrag"/>
        <w:shd w:val="clear" w:color="000000" w:fill="auto"/>
      </w:pPr>
      <w:r w:rsidRPr="00612DC6">
        <w:t>Juridiken i socialpolitiken är följaktligen central för den faktiska han</w:t>
      </w:r>
      <w:r w:rsidRPr="00612DC6">
        <w:t>d</w:t>
      </w:r>
      <w:r w:rsidRPr="00612DC6">
        <w:t>läggningen på myndigheter och hos andra aktörer. Det behövs emellertid mer kunskap och mer forskning – också på detta område är vetenskaplig stringens och metodiskt framtagen kunskap av avgörande betydelse för utvecklingen. Det saknas dock ett samlat grepp över den rättsliga utvecklingen inom vä</w:t>
      </w:r>
      <w:r w:rsidRPr="00612DC6">
        <w:t>l</w:t>
      </w:r>
      <w:r w:rsidRPr="00612DC6">
        <w:t>färdssektorn, och mycket av befintlig forskning sker på de juridiska fakult</w:t>
      </w:r>
      <w:r w:rsidRPr="00612DC6">
        <w:t>e</w:t>
      </w:r>
      <w:r w:rsidRPr="00612DC6">
        <w:t xml:space="preserve">terna. Det är bra, men det innebär svårigheter att få ut forskning till icke-juridiska professioner, t.ex. socionomer. Dessutom finns det </w:t>
      </w:r>
      <w:r w:rsidRPr="00612DC6">
        <w:t>en risk för att det professionsspecifika kunnandet inom socialt arbete inte i tillräcklig grad lyfts in i den rättsvetenskapliga kunskapsutvecklingen.</w:t>
      </w:r>
    </w:p>
    <w:p w:rsidR="00612DC6" w:rsidRPr="00612DC6" w:rsidRDefault="00612DC6">
      <w:pPr>
        <w:pStyle w:val="Normaltindrag"/>
        <w:shd w:val="clear" w:color="000000" w:fill="auto"/>
      </w:pPr>
      <w:r w:rsidRPr="00612DC6">
        <w:t>Institutionen för socialt arbete vid Stockholms universitet är i någon mån ett undantag; där bedrivs rättsvetenskaplig forskning av jurister och socion</w:t>
      </w:r>
      <w:r w:rsidRPr="00612DC6">
        <w:t>o</w:t>
      </w:r>
      <w:r w:rsidRPr="00612DC6">
        <w:t>mer med inriktning mot just socionomutbildningen. Institutionens rättsvete</w:t>
      </w:r>
      <w:r w:rsidRPr="00612DC6">
        <w:t>n</w:t>
      </w:r>
      <w:r w:rsidRPr="00612DC6">
        <w:t>skapliga lektorer och forskare representerar ett brett kunskapsområde inom såväl socialt arbete och socialpolitisk praktik som juridik och rättsvetenskap. För att skapa bättre kontinuitet och en fastare struktur inom forskning och forskarutbildning inom detta kunskapsområde skulle det behövas en professur i juridik och rättsvetenskap inom socialt arbete eller socialrätt vid instituti</w:t>
      </w:r>
      <w:r w:rsidRPr="00612DC6">
        <w:t>o</w:t>
      </w:r>
      <w:r w:rsidRPr="00612DC6">
        <w:t>nen för socialt arbete vid Stockholms universitet</w:t>
      </w:r>
      <w:r w:rsidRPr="00612DC6">
        <w:t xml:space="preserve"> och finansieringen borde ske med medel från FAS. På sikt behöver också den juridiska kompetensen stä</w:t>
      </w:r>
      <w:r w:rsidRPr="00612DC6">
        <w:t>r</w:t>
      </w:r>
      <w:r w:rsidRPr="00612DC6">
        <w:t>kas generellt inom utbildning och forskning inom detta område. Detta bör riksd</w:t>
      </w:r>
      <w:r w:rsidRPr="00612DC6">
        <w:t>a</w:t>
      </w:r>
      <w:r w:rsidRPr="00612DC6">
        <w:t>gen som sin mening ge regeringen till känna.</w:t>
      </w:r>
    </w:p>
    <w:p w:rsidR="00612DC6" w:rsidRPr="00612DC6" w:rsidRDefault="00612DC6">
      <w:pPr>
        <w:pStyle w:val="Rubrik1"/>
        <w:shd w:val="clear" w:color="000000" w:fill="auto"/>
      </w:pPr>
      <w:bookmarkStart w:id="36" w:name="_Toc214344487"/>
      <w:bookmarkStart w:id="37" w:name="_Toc215982308"/>
      <w:r w:rsidRPr="00612DC6">
        <w:t>Utbildningsvetenskaplig forskning</w:t>
      </w:r>
      <w:bookmarkEnd w:id="36"/>
      <w:bookmarkEnd w:id="37"/>
    </w:p>
    <w:p w:rsidR="00612DC6" w:rsidRPr="00612DC6" w:rsidRDefault="00612DC6">
      <w:pPr>
        <w:pStyle w:val="Rubrik2"/>
        <w:shd w:val="clear" w:color="000000" w:fill="auto"/>
        <w:spacing w:before="120"/>
      </w:pPr>
      <w:bookmarkStart w:id="38" w:name="_Toc214344488"/>
      <w:bookmarkStart w:id="39" w:name="_Toc215982309"/>
      <w:r w:rsidRPr="00612DC6">
        <w:t>Lärarutbildningarnas forskningsanknytning</w:t>
      </w:r>
      <w:bookmarkEnd w:id="38"/>
      <w:bookmarkEnd w:id="39"/>
    </w:p>
    <w:p w:rsidR="00612DC6" w:rsidRPr="00612DC6" w:rsidRDefault="00612DC6">
      <w:pPr>
        <w:shd w:val="clear" w:color="000000" w:fill="auto"/>
      </w:pPr>
      <w:r w:rsidRPr="00612DC6">
        <w:t>Ända sedan den högskolereform som 1977 innebar att bl.a. lärarutbildninga</w:t>
      </w:r>
      <w:r w:rsidRPr="00612DC6">
        <w:t>r</w:t>
      </w:r>
      <w:r w:rsidRPr="00612DC6">
        <w:t>na fördes in i högskoleorganisationen har den vetenskapliga grunden och frågor om forskningsanknytningen varit högaktuella frågor. I propositionen om en ny lärarutbildning (prop. 1999/2000:135) hävdas med emfas att lära</w:t>
      </w:r>
      <w:r w:rsidRPr="00612DC6">
        <w:t>r</w:t>
      </w:r>
      <w:r w:rsidRPr="00612DC6">
        <w:t>utbildningen ska ha en vetenskaplig grund. I Högskolverkets utvärderingar av lärarutbildningarna konstateras att det än i dag råder stora brister vad gäller forskningsanknytningen. I den utvärdering som gjordes 2004 (Högskoleve</w:t>
      </w:r>
      <w:r w:rsidRPr="00612DC6">
        <w:t>r</w:t>
      </w:r>
      <w:r w:rsidRPr="00612DC6">
        <w:t>kets rapportserie 2005:17 R) finner bedömarguppen t.ex. att</w:t>
      </w:r>
    </w:p>
    <w:p w:rsidR="00612DC6" w:rsidRPr="00612DC6" w:rsidRDefault="00612DC6">
      <w:pPr>
        <w:pStyle w:val="PunktlistaTankstreck"/>
        <w:shd w:val="clear" w:color="000000" w:fill="auto"/>
        <w:tabs>
          <w:tab w:val="clear" w:pos="360"/>
        </w:tabs>
      </w:pPr>
      <w:r w:rsidRPr="00612DC6">
        <w:t>stu</w:t>
      </w:r>
      <w:r w:rsidRPr="00612DC6">
        <w:t>denternas forskningsmässiga förankring och intresse genomgående är svagt (s. 134),</w:t>
      </w:r>
    </w:p>
    <w:p w:rsidR="00612DC6" w:rsidRPr="00612DC6" w:rsidRDefault="00612DC6">
      <w:pPr>
        <w:pStyle w:val="PunktlistaTankstreck"/>
        <w:shd w:val="clear" w:color="000000" w:fill="auto"/>
        <w:tabs>
          <w:tab w:val="clear" w:pos="360"/>
        </w:tabs>
        <w:spacing w:before="0"/>
      </w:pPr>
      <w:r w:rsidRPr="00612DC6">
        <w:t>forskningsanknytningen får en instrumentell utformning (s. 134),</w:t>
      </w:r>
    </w:p>
    <w:p w:rsidR="00612DC6" w:rsidRPr="00612DC6" w:rsidRDefault="00612DC6">
      <w:pPr>
        <w:pStyle w:val="PunktlistaTankstreck"/>
        <w:shd w:val="clear" w:color="000000" w:fill="auto"/>
        <w:tabs>
          <w:tab w:val="clear" w:pos="360"/>
        </w:tabs>
        <w:spacing w:before="0"/>
      </w:pPr>
      <w:r w:rsidRPr="00612DC6">
        <w:t>utbildningen klarar inte av att synliggöra den funktion som forskning och vetenskaplighet kan ha för att utveckla lärarprofessionalitet (s. 135),</w:t>
      </w:r>
    </w:p>
    <w:p w:rsidR="00612DC6" w:rsidRPr="00612DC6" w:rsidRDefault="00612DC6">
      <w:pPr>
        <w:pStyle w:val="PunktlistaTankstreck"/>
        <w:shd w:val="clear" w:color="000000" w:fill="auto"/>
        <w:tabs>
          <w:tab w:val="clear" w:pos="360"/>
        </w:tabs>
        <w:spacing w:before="0"/>
      </w:pPr>
      <w:r w:rsidRPr="00612DC6">
        <w:t>studenterna i alltför liten utsträckning får träning i att ta till sig andras forskningsresultat (s. 138),</w:t>
      </w:r>
    </w:p>
    <w:p w:rsidR="00612DC6" w:rsidRPr="00612DC6" w:rsidRDefault="00612DC6">
      <w:pPr>
        <w:pStyle w:val="PunktlistaTankstreck"/>
        <w:shd w:val="clear" w:color="000000" w:fill="auto"/>
        <w:tabs>
          <w:tab w:val="clear" w:pos="360"/>
        </w:tabs>
        <w:spacing w:before="0"/>
      </w:pPr>
      <w:r w:rsidRPr="00612DC6">
        <w:t>den litteratur som används aktivt och att (i undervisningen) i flera fall tycks ligga på en ganska elementär nivå (s. 139).</w:t>
      </w:r>
    </w:p>
    <w:p w:rsidR="00612DC6" w:rsidRPr="00612DC6" w:rsidRDefault="00612DC6">
      <w:pPr>
        <w:shd w:val="clear" w:color="000000" w:fill="auto"/>
      </w:pPr>
      <w:r w:rsidRPr="00612DC6">
        <w:t>I den uppföljande utvärdering som Högskoleverket genomförde 2007 (Hö</w:t>
      </w:r>
      <w:r w:rsidRPr="00612DC6">
        <w:t>g</w:t>
      </w:r>
      <w:r w:rsidRPr="00612DC6">
        <w:t>skoleverkets rapportserie 2008:8 R) konstateras att förbättringar har gjorts, men att det fortfarande finns brister i forskningsanknytningen. Det tydligaste måttet är att andelen disputerade lärare fortfarande svarar för en relativt liten andel av undervisningen, särskilt inom det allmänna utbildningsområdet, trots att andelen har ökat vid de flesta lärosäten.</w:t>
      </w:r>
    </w:p>
    <w:p w:rsidR="00612DC6" w:rsidRPr="00612DC6" w:rsidRDefault="00612DC6">
      <w:pPr>
        <w:pStyle w:val="Normaltindrag"/>
        <w:shd w:val="clear" w:color="000000" w:fill="auto"/>
      </w:pPr>
      <w:r w:rsidRPr="00612DC6">
        <w:t>Universiteten och högskolorna har ansvar för att den vetenskapliga gru</w:t>
      </w:r>
      <w:r w:rsidRPr="00612DC6">
        <w:t>n</w:t>
      </w:r>
      <w:r w:rsidRPr="00612DC6">
        <w:t>den kommer till stånd. De ålades också i propositionen om en ny lärarutbil</w:t>
      </w:r>
      <w:r w:rsidRPr="00612DC6">
        <w:t>d</w:t>
      </w:r>
      <w:r w:rsidRPr="00612DC6">
        <w:t>ning att bidra med omfattande medel från befintliga anslag för forskning och forskarutbildning för att klara detta åtagande.</w:t>
      </w:r>
    </w:p>
    <w:p w:rsidR="00612DC6" w:rsidRPr="00612DC6" w:rsidRDefault="00612DC6">
      <w:pPr>
        <w:pStyle w:val="Normaltindrag"/>
        <w:shd w:val="clear" w:color="000000" w:fill="auto"/>
      </w:pPr>
      <w:r w:rsidRPr="00612DC6">
        <w:t>Det är inte klargjort om eller i vilken omfattning sådan omfördelning av medel har skett. Problemet uppmärksammas också i Utredningen om utbil</w:t>
      </w:r>
      <w:r w:rsidRPr="00612DC6">
        <w:t>d</w:t>
      </w:r>
      <w:r w:rsidRPr="00612DC6">
        <w:t>ningsvetenskaplig forskning (SOU 2005:31). Där handlar det om krav på motfinansiering då Vetenskapsrådets utbildningsvetenskapliga kommitté (UVK) tilldelar medel till projekt förlagda till lärosätet. Utredaren konstaterar att medfinansieringen inte fungerat, och slutsatsen blir förvånansvärt nog att medfinansieringskravet därför bör slopas. Vår slutsats är den motsatta. Så länge UVK fortsätter sin verksamhet ska kravet på medfinansiering tillämpas strikt. Detta bör riksdagen som sin mening ge regeringen ti</w:t>
      </w:r>
      <w:r w:rsidRPr="00612DC6">
        <w:t>ll känna.</w:t>
      </w:r>
    </w:p>
    <w:p w:rsidR="00612DC6" w:rsidRPr="00612DC6" w:rsidRDefault="00612DC6">
      <w:pPr>
        <w:pStyle w:val="Normaltindrag"/>
        <w:shd w:val="clear" w:color="000000" w:fill="auto"/>
      </w:pPr>
      <w:r w:rsidRPr="00612DC6">
        <w:t>Det behöver vidare utredas hur forskning och forskarutbildning i anslu</w:t>
      </w:r>
      <w:r w:rsidRPr="00612DC6">
        <w:t>t</w:t>
      </w:r>
      <w:r w:rsidRPr="00612DC6">
        <w:t>ning till lärarutbildning ska utformas och bedrivas samt vilken form av stöd lärosätena behöver för att kunna fullgöra uppdraget. Detta bör riksdagen som sin mening ge regeringen till känna.</w:t>
      </w:r>
    </w:p>
    <w:p w:rsidR="00612DC6" w:rsidRPr="00612DC6" w:rsidRDefault="00612DC6">
      <w:pPr>
        <w:pStyle w:val="Normaltindrag"/>
        <w:shd w:val="clear" w:color="000000" w:fill="auto"/>
      </w:pPr>
      <w:r w:rsidRPr="00612DC6">
        <w:t>Vi menar att det är omöjligt att skapa förutsättningar för utbildningens v</w:t>
      </w:r>
      <w:r w:rsidRPr="00612DC6">
        <w:t>e</w:t>
      </w:r>
      <w:r w:rsidRPr="00612DC6">
        <w:t>tenskapliga bas om lärarutbildningarna inte, på samma sätt som andra instit</w:t>
      </w:r>
      <w:r w:rsidRPr="00612DC6">
        <w:t>u</w:t>
      </w:r>
      <w:r w:rsidRPr="00612DC6">
        <w:t>tioner inom högskola och universitet, i hög grad har forskarutbildade lärare som också har tid för forskning i tjänsten. Därför bör universitet och högsk</w:t>
      </w:r>
      <w:r w:rsidRPr="00612DC6">
        <w:t>o</w:t>
      </w:r>
      <w:r w:rsidRPr="00612DC6">
        <w:t>lor se över den interna fördelningen av de fasta forskningsanslagen, och lära</w:t>
      </w:r>
      <w:r w:rsidRPr="00612DC6">
        <w:t>r</w:t>
      </w:r>
      <w:r w:rsidRPr="00612DC6">
        <w:t>utbildningarnas behov bör prioriteras i samband med fördelningen av det tillskott som nu väntar.</w:t>
      </w:r>
    </w:p>
    <w:p w:rsidR="00612DC6" w:rsidRPr="00612DC6" w:rsidRDefault="00612DC6">
      <w:pPr>
        <w:pStyle w:val="Rubrik2"/>
        <w:shd w:val="clear" w:color="000000" w:fill="auto"/>
      </w:pPr>
      <w:bookmarkStart w:id="40" w:name="_Toc214344489"/>
      <w:bookmarkStart w:id="41" w:name="_Toc215982310"/>
      <w:r w:rsidRPr="00612DC6">
        <w:t>Utbildningsvetenskapliga kommittén</w:t>
      </w:r>
      <w:bookmarkEnd w:id="40"/>
      <w:bookmarkEnd w:id="41"/>
    </w:p>
    <w:p w:rsidR="00612DC6" w:rsidRPr="00612DC6" w:rsidRDefault="00612DC6">
      <w:pPr>
        <w:shd w:val="clear" w:color="000000" w:fill="auto"/>
        <w:tabs>
          <w:tab w:val="left" w:pos="6663"/>
        </w:tabs>
      </w:pPr>
      <w:r w:rsidRPr="00612DC6">
        <w:t>Förutom att det skulle ske en omfördelning av lärosätenas medel för fors</w:t>
      </w:r>
      <w:r w:rsidRPr="00612DC6">
        <w:t>k</w:t>
      </w:r>
      <w:r w:rsidRPr="00612DC6">
        <w:t>ning och forskarutbildning till lärarutbildningsområdet skapades inom Vete</w:t>
      </w:r>
      <w:r w:rsidRPr="00612DC6">
        <w:t>n</w:t>
      </w:r>
      <w:r w:rsidRPr="00612DC6">
        <w:t>skapsrådet, VR, en särskild kommitté för utbildningsvetenskap med uppgift att främja utvecklingen av utbildningsvetenskaplig forskning och forskaru</w:t>
      </w:r>
      <w:r w:rsidRPr="00612DC6">
        <w:t>t</w:t>
      </w:r>
      <w:r w:rsidRPr="00612DC6">
        <w:t>bildning i nära anslutning till lärarutbildningen och med direkt relevans för lärarnas yrkesutövning. Idén var också att denna forskning skulle bedrivas i nätverk som bestod av minst ett universitet och en högskola. Detta krav har enligt utredningen (SOU 2005:31) ej efterlevts. Vår sluts</w:t>
      </w:r>
      <w:r w:rsidRPr="00612DC6">
        <w:t>ats är att detta krav framgent ska tillämpas strikt. Detta bör riksdagen som sin mening ge rege</w:t>
      </w:r>
      <w:r w:rsidRPr="00612DC6">
        <w:t>r</w:t>
      </w:r>
      <w:r w:rsidRPr="00612DC6">
        <w:t>ingen till känna.</w:t>
      </w:r>
    </w:p>
    <w:p w:rsidR="00612DC6" w:rsidRPr="00612DC6" w:rsidRDefault="00612DC6">
      <w:pPr>
        <w:pStyle w:val="Normaltindrag"/>
        <w:shd w:val="clear" w:color="000000" w:fill="auto"/>
      </w:pPr>
      <w:r w:rsidRPr="00612DC6">
        <w:t>Lärosätena tycks inte ha accepterat och därför inte fullföljt kraven på o</w:t>
      </w:r>
      <w:r w:rsidRPr="00612DC6">
        <w:t>m</w:t>
      </w:r>
      <w:r w:rsidRPr="00612DC6">
        <w:t>disponering av medel till det utbildningsvetenskapliga områdets fördel. Ännu mer förvånande är att den kommitté som tillsattes för att bidra till skapandet av lärarutbildningarnas forskningsbas inte tycks ha accepterat sitt uppdrag eller fullföljt det.</w:t>
      </w:r>
    </w:p>
    <w:p w:rsidR="00612DC6" w:rsidRPr="00612DC6" w:rsidRDefault="00612DC6">
      <w:pPr>
        <w:pStyle w:val="Normaltindrag"/>
        <w:shd w:val="clear" w:color="000000" w:fill="auto"/>
      </w:pPr>
      <w:r w:rsidRPr="00612DC6">
        <w:t>Enligt SFS 2000:1 199 16 § ska den forskning och forskarutbildning som UVK ska ge stöd till ”bedrivas i anslutning till lärarutbildning och [som] svara[r] mot behov inom lärarutbildningen och den pedagogiska yrkesver</w:t>
      </w:r>
      <w:r w:rsidRPr="00612DC6">
        <w:t>k</w:t>
      </w:r>
      <w:r w:rsidRPr="00612DC6">
        <w:t>samheten”. Från olika håll har framförts kritik mot att UVK inte har fullföljt detta uppdrag. När nu UVK utretts (SOU 2005:31) förväntade vi oss att få denna kritik belyst. Men betänkandet ger oss ingen sådan information, trolig</w:t>
      </w:r>
      <w:r w:rsidRPr="00612DC6">
        <w:t>t</w:t>
      </w:r>
      <w:r w:rsidRPr="00612DC6">
        <w:t>vis eftersom UVK inte ställt frågan vid utlysning av forskningsmedel och därför inte heller kan redovisa om projekt som tilldelats medel bedrivs vid lärarutbildning och svarar mot behov inom lärarutbildning och den pedag</w:t>
      </w:r>
      <w:r w:rsidRPr="00612DC6">
        <w:t>o</w:t>
      </w:r>
      <w:r w:rsidRPr="00612DC6">
        <w:t>giska yrkesverksamheten.</w:t>
      </w:r>
    </w:p>
    <w:p w:rsidR="00612DC6" w:rsidRPr="00612DC6" w:rsidRDefault="00612DC6">
      <w:pPr>
        <w:pStyle w:val="Normaltindrag"/>
        <w:shd w:val="clear" w:color="000000" w:fill="auto"/>
        <w:rPr>
          <w:szCs w:val="24"/>
          <w:lang w:eastAsia="en-US"/>
        </w:rPr>
      </w:pPr>
      <w:r w:rsidRPr="00612DC6">
        <w:t>Vi anser att det är ett grundläggand</w:t>
      </w:r>
      <w:r w:rsidRPr="00612DC6">
        <w:t>e krav att lärarutbildningen ska vara forskningsanknuten och stå på vetenskaplig grund. Efter att ha tagit del av de utvärderingar som gjorts av lärarutbildning och UVK drar vi slutsatsen att varken lärosäten eller UVK till dags dato i tillräcklig grad gjort sin del i detta. Konsekvensen blir att uppdraget till lärosätena måste förtydligas. UVK måste på ett striktare sätt efterfölja de riktlinjer den har samtidigt som ämnesråden inom VR måste ta ansvar för forskning inom sina områden även om ansö</w:t>
      </w:r>
      <w:r w:rsidRPr="00612DC6">
        <w:t>k</w:t>
      </w:r>
      <w:r w:rsidRPr="00612DC6">
        <w:t>ningarna h</w:t>
      </w:r>
      <w:r w:rsidRPr="00612DC6">
        <w:t>ar anknytning till utbildningsvetenskap. Detsamma gäller andra forskningsfinansiärer som de andra forskningsråden FAS och Formas. Detta bör riksdagen som sin mening ge regeringen till känna.</w:t>
      </w:r>
    </w:p>
    <w:p w:rsidR="00612DC6" w:rsidRPr="00612DC6" w:rsidRDefault="00612DC6">
      <w:pPr>
        <w:pStyle w:val="Normaltindrag"/>
        <w:shd w:val="clear" w:color="000000" w:fill="auto"/>
      </w:pPr>
      <w:r w:rsidRPr="00612DC6">
        <w:t>Dagens organisation är problematisk då VR:s ansvar är grundforskning. Visserligen är en uppdelning i grundforskning och tillämpad forskning i sig inte funktionell; ändå ser vi problem med utbildningsvetenskapens placering inom VR. Möjliga alternativ som redan i dag diskuteras och som bör unde</w:t>
      </w:r>
      <w:r w:rsidRPr="00612DC6">
        <w:t>r</w:t>
      </w:r>
      <w:r w:rsidRPr="00612DC6">
        <w:t>sökas är vad det skulle innebära om utbildningsvetenskap blev ett eget vete</w:t>
      </w:r>
      <w:r w:rsidRPr="00612DC6">
        <w:t>n</w:t>
      </w:r>
      <w:r w:rsidRPr="00612DC6">
        <w:t>skapsområde, om ett nytt forskningsorgan vid sidan av FAS och Formas för utbildningsvetenskap inrättades eller om utbildningsvetenskap borde ingå i något av de redan befintliga forskningsråden på annat sätt än i dag. Det senare föreslås också i betänkandet Forskningsfinansiering – kvalitet och relevans (SOU 2008:30), som har utvärderat den myndighetsorganisation för fors</w:t>
      </w:r>
      <w:r w:rsidRPr="00612DC6">
        <w:t>k</w:t>
      </w:r>
      <w:r w:rsidRPr="00612DC6">
        <w:t>ningsfinansiering som inrättades 2001. Utredaren menar att de</w:t>
      </w:r>
      <w:r w:rsidRPr="00612DC6">
        <w:t>n forskning som finansieras av UVK bör ingå i FAS verksamhet där den kan få en natu</w:t>
      </w:r>
      <w:r w:rsidRPr="00612DC6">
        <w:t>r</w:t>
      </w:r>
      <w:r w:rsidRPr="00612DC6">
        <w:t>lig plats bland mer närliggande samhällsvetenskaper och att det då inte längre behövs någon särskild kommitté för den utbildningsvetenskapliga forsknin</w:t>
      </w:r>
      <w:r w:rsidRPr="00612DC6">
        <w:t>g</w:t>
      </w:r>
      <w:r w:rsidRPr="00612DC6">
        <w:t>en. Med anledning av detta föreslår Vänsterpartiet att FAS får i uppdrag att finansiera den forskning som UVK har ansvar för och att medel för detta överförs från Vetenskapsrådet. Detta bör riksdagen som sin mening ge rege</w:t>
      </w:r>
      <w:r w:rsidRPr="00612DC6">
        <w:t>r</w:t>
      </w:r>
      <w:r w:rsidRPr="00612DC6">
        <w:t>ingen till känna.</w:t>
      </w:r>
    </w:p>
    <w:p w:rsidR="00612DC6" w:rsidRPr="00612DC6" w:rsidRDefault="00612DC6">
      <w:pPr>
        <w:pStyle w:val="Rubrik2"/>
        <w:shd w:val="clear" w:color="000000" w:fill="auto"/>
      </w:pPr>
      <w:bookmarkStart w:id="42" w:name="_Toc214344490"/>
      <w:bookmarkStart w:id="43" w:name="_Toc215982311"/>
      <w:r w:rsidRPr="00612DC6">
        <w:t>Lärares behörighet till forskarutbi</w:t>
      </w:r>
      <w:r w:rsidRPr="00612DC6">
        <w:t>ldningen</w:t>
      </w:r>
      <w:bookmarkEnd w:id="42"/>
      <w:bookmarkEnd w:id="43"/>
    </w:p>
    <w:p w:rsidR="00612DC6" w:rsidRPr="00612DC6" w:rsidRDefault="00612DC6">
      <w:pPr>
        <w:shd w:val="clear" w:color="000000" w:fill="auto"/>
      </w:pPr>
      <w:r w:rsidRPr="00612DC6">
        <w:t>En mycket central tanke i lärarutbildningsreformen 2001 var att stärka lära</w:t>
      </w:r>
      <w:r w:rsidRPr="00612DC6">
        <w:t>r</w:t>
      </w:r>
      <w:r w:rsidRPr="00612DC6">
        <w:t>utbildningens forskningsanknytning och möjliggöra en direkt övergång från professionsutbildning till forskarutbildning, utan kostsamma kompletteringar. Efter reformen har förskollärare, fritidspedagoger och lärare mot de tidigare åren i grundskolan fått sådana möjligheter genom dels tillkomsten av nya forskarutbildningar vid universiteten, dels tillkomsten av forskarskolor som innebär ett samarbete med och uppbyggnad av forskarmiljöer vid högskolorna med lärarutbildning. Den praktiknära ansatsen och underl</w:t>
      </w:r>
      <w:r w:rsidRPr="00612DC6">
        <w:t>ättandet av forska</w:t>
      </w:r>
      <w:r w:rsidRPr="00612DC6">
        <w:t>r</w:t>
      </w:r>
      <w:r w:rsidRPr="00612DC6">
        <w:t>studier har mött stort intresse från lärarna och, under senare år, från alltfler kommuner. Internationellt har Sverige legat i bräschen när det gäller att forskningsanknyta lärarutbildningen. Återgången till en ”mindre avancerad” lärarutbildning utan direkt tillträde till forskarutbildning, och en längre ”ava</w:t>
      </w:r>
      <w:r w:rsidRPr="00612DC6">
        <w:t>n</w:t>
      </w:r>
      <w:r w:rsidRPr="00612DC6">
        <w:t>cerad” har inneburit ett kraftigt bakslag för denna utveckling.</w:t>
      </w:r>
    </w:p>
    <w:p w:rsidR="00612DC6" w:rsidRPr="00612DC6" w:rsidRDefault="00612DC6">
      <w:pPr>
        <w:pStyle w:val="Normaltindrag"/>
        <w:shd w:val="clear" w:color="000000" w:fill="auto"/>
      </w:pPr>
      <w:r w:rsidRPr="00612DC6">
        <w:t xml:space="preserve">Redan i dag är det många studenter som antas till 210-poängsutbildning som kompletterar upp till 240 poäng för att få </w:t>
      </w:r>
      <w:r w:rsidRPr="00612DC6">
        <w:t>större bredd och kompetens i sin behörighet. Vi tror att uppdelningen av lärarutbildningen i examen på grundläggande respektive avancerad nivå ytterligare kan minska hur attraktivt det är att gå 210-poängsutbildningen, om man beaktar de nackdelar det inn</w:t>
      </w:r>
      <w:r w:rsidRPr="00612DC6">
        <w:t>e</w:t>
      </w:r>
      <w:r w:rsidRPr="00612DC6">
        <w:t>bär att inte läsa 240-poängsutbildningen.</w:t>
      </w:r>
    </w:p>
    <w:p w:rsidR="00612DC6" w:rsidRPr="00612DC6" w:rsidRDefault="00612DC6">
      <w:pPr>
        <w:pStyle w:val="Normaltindrag"/>
        <w:shd w:val="clear" w:color="000000" w:fill="auto"/>
      </w:pPr>
      <w:r w:rsidRPr="00612DC6">
        <w:t>Finland lyfts ofta fram som ett föregångsland när det gäller skolan. Kanske är den finska modellen med en lärarutbildning om fyra år påbyggbar med en fyraårig forskarutbildning något som borde lyftas fram. En förlän</w:t>
      </w:r>
      <w:r w:rsidRPr="00612DC6">
        <w:t>gning av lärarutbildningen för undervisning av de yngre barnen och eleverna till 240 poäng skulle innebära att Sverige får en liknande modell. Kanske vore det till och med en bra idé att försöka få till stånd en nordisk modell för lära</w:t>
      </w:r>
      <w:r w:rsidRPr="00612DC6">
        <w:t>r</w:t>
      </w:r>
      <w:r w:rsidRPr="00612DC6">
        <w:t>utbildning.</w:t>
      </w:r>
    </w:p>
    <w:p w:rsidR="00612DC6" w:rsidRPr="00612DC6" w:rsidRDefault="00612DC6">
      <w:pPr>
        <w:pStyle w:val="Normaltindrag"/>
        <w:shd w:val="clear" w:color="000000" w:fill="auto"/>
      </w:pPr>
      <w:r w:rsidRPr="00612DC6">
        <w:t>Förutom att stärka forskningsanknytningen finns det ytterligare argument för att förlänga viss lärarutbildning såsom en ökad flexibilitet, bättre möjli</w:t>
      </w:r>
      <w:r w:rsidRPr="00612DC6">
        <w:t>g</w:t>
      </w:r>
      <w:r w:rsidRPr="00612DC6">
        <w:t>heter till internationellt utbyte, höjd kvalitet i utbildningen och bättre kunsk</w:t>
      </w:r>
      <w:r w:rsidRPr="00612DC6">
        <w:t>a</w:t>
      </w:r>
      <w:r w:rsidRPr="00612DC6">
        <w:t xml:space="preserve">per för de yngre barnen och eleverna. Vi föreslår därför att 210-poängsutbildningen för arbete i förskola, förskoleklass, grundskolans tidigare år, fritidshem samt modersmål förlängs till 240 poäng och därmed tillhör avancerad nivå – endast </w:t>
      </w:r>
      <w:r w:rsidRPr="00612DC6">
        <w:rPr>
          <w:i/>
        </w:rPr>
        <w:t>en</w:t>
      </w:r>
      <w:r w:rsidRPr="00612DC6">
        <w:t xml:space="preserve"> lärarexamen behövs (undantaget yrkeslärare b</w:t>
      </w:r>
      <w:r w:rsidRPr="00612DC6">
        <w:t>e</w:t>
      </w:r>
      <w:r w:rsidRPr="00612DC6">
        <w:t>hålls). Minst 60 poäng av kurserna ska vara på avancerad nivå i syfte att ge behörighet för studier på master- och forskarnivå. Detta bör ges</w:t>
      </w:r>
      <w:r w:rsidRPr="00612DC6">
        <w:t xml:space="preserve"> regeringen till känna.</w:t>
      </w:r>
    </w:p>
    <w:p w:rsidR="00612DC6" w:rsidRPr="00612DC6" w:rsidRDefault="00612DC6">
      <w:pPr>
        <w:pStyle w:val="Normaltindrag"/>
        <w:shd w:val="clear" w:color="000000" w:fill="auto"/>
      </w:pPr>
      <w:r w:rsidRPr="00612DC6">
        <w:t>Detta kommer givetvis att medföra ökade kostnader, och i vår motion 2008/09:Ub455 Utgiftsområde 16 ökar vi anslagen till högskolorna med 120 miljoner kronor 2009 för att den föreslagna förlängningen ska kunna genomföras.</w:t>
      </w:r>
    </w:p>
    <w:p w:rsidR="00612DC6" w:rsidRPr="00612DC6" w:rsidRDefault="00612DC6">
      <w:pPr>
        <w:pStyle w:val="Rubrik2"/>
        <w:shd w:val="clear" w:color="000000" w:fill="auto"/>
      </w:pPr>
      <w:bookmarkStart w:id="44" w:name="_Toc214344491"/>
      <w:bookmarkStart w:id="45" w:name="_Toc215982312"/>
      <w:r w:rsidRPr="00612DC6">
        <w:t>Skolornas huvudmän och den vetenskapliga forskningen</w:t>
      </w:r>
      <w:bookmarkEnd w:id="44"/>
      <w:bookmarkEnd w:id="45"/>
    </w:p>
    <w:p w:rsidR="00612DC6" w:rsidRPr="00612DC6" w:rsidRDefault="00612DC6">
      <w:pPr>
        <w:shd w:val="clear" w:color="000000" w:fill="auto"/>
      </w:pPr>
      <w:r w:rsidRPr="00612DC6">
        <w:t>Vi anser att det är av största vikt att skapa möjligheter för att utveckla den utbildningsvetenskapliga forskningen så att den svarar mot behov inom lära</w:t>
      </w:r>
      <w:r w:rsidRPr="00612DC6">
        <w:t>r</w:t>
      </w:r>
      <w:r w:rsidRPr="00612DC6">
        <w:t>utbildning och pedagogisk yrkesverksamhet i samverkan mellan å ena sidan universitet och högskolor och å andra sidan kommuner och skolor. Det b</w:t>
      </w:r>
      <w:r w:rsidRPr="00612DC6">
        <w:t>e</w:t>
      </w:r>
      <w:r w:rsidRPr="00612DC6">
        <w:t>hövs strukturer som främjar integration mellan forskning, utbildning och pedagogisk verksamhet. Inom socialtjänsten har Socialstyrelsen och komm</w:t>
      </w:r>
      <w:r w:rsidRPr="00612DC6">
        <w:t>u</w:t>
      </w:r>
      <w:r w:rsidRPr="00612DC6">
        <w:t>nerna aktivt verkat för en sådan verksamhetsanknuten kunskapsutveckling. Framgången i att skapa sådana arenor beror främst på att Socialstyrelsen fått regeringens uppdrag att utforma program för en sådan verksamhet. Regeri</w:t>
      </w:r>
      <w:r w:rsidRPr="00612DC6">
        <w:t>n</w:t>
      </w:r>
      <w:r w:rsidRPr="00612DC6">
        <w:t>g</w:t>
      </w:r>
      <w:r w:rsidRPr="00612DC6">
        <w:t>en bör på motsvarande sätt ge Högskolverket i uppdrag att i samverkan med bl.a. Skolutvecklingsmyndigheten och Sveriges Kommuner och Landsting utforma program med mötesplatser för forskning och yrkespraktik och med incitament för forskningsfinansiering från skolornas huvudmän. Detta bör riksdagen som sin mening ge regeringen till känna.</w:t>
      </w:r>
    </w:p>
    <w:p w:rsidR="00612DC6" w:rsidRPr="00612DC6" w:rsidRDefault="00612DC6">
      <w:pPr>
        <w:pStyle w:val="Rubrik1"/>
        <w:shd w:val="clear" w:color="000000" w:fill="auto"/>
      </w:pPr>
      <w:bookmarkStart w:id="46" w:name="_Toc214344492"/>
      <w:bookmarkStart w:id="47" w:name="_Toc215982313"/>
      <w:r w:rsidRPr="00612DC6">
        <w:t>Forskning inom det konstnärliga området – Unga Klara</w:t>
      </w:r>
      <w:bookmarkEnd w:id="46"/>
      <w:bookmarkEnd w:id="47"/>
    </w:p>
    <w:p w:rsidR="00612DC6" w:rsidRPr="00612DC6" w:rsidRDefault="00612DC6">
      <w:pPr>
        <w:shd w:val="clear" w:color="000000" w:fill="auto"/>
      </w:pPr>
      <w:r w:rsidRPr="00612DC6">
        <w:t>Det är positivt att regeringen anslår medel till forskning och utvecklingsarbete inom det konstnärliga området och kulturområdet. Vänsterpartiet menar dock att det behövs ytterligare insatser inom detta område. Kulturens villkor i sa</w:t>
      </w:r>
      <w:r w:rsidRPr="00612DC6">
        <w:t>m</w:t>
      </w:r>
      <w:r w:rsidRPr="00612DC6">
        <w:t>hället säger mycket om vilken civilisation vi lever i. Fri och oberoende kultur kan inte överleva i tvångströjor där man hämtat tankegångarna från diverse varianter av köp- och säljsystem. Inte heller duger det att hänvisa konstnärliga verksamheter till sponsorer eller ”externa intäkter”. Vill vi ha en kultur som är fri, skapande och utforskande? Då måste vi på samhällets alla nivåer rikta investeringarna till kulturens infrastruktur. Det saknas i Sverige i dag en n</w:t>
      </w:r>
      <w:r w:rsidRPr="00612DC6">
        <w:t>a</w:t>
      </w:r>
      <w:r w:rsidRPr="00612DC6">
        <w:t>tionalscen med övergripande ansvar för s</w:t>
      </w:r>
      <w:r w:rsidRPr="00612DC6">
        <w:t>cenkonst för barn och unga. Visse</w:t>
      </w:r>
      <w:r w:rsidRPr="00612DC6">
        <w:t>r</w:t>
      </w:r>
      <w:r w:rsidRPr="00612DC6">
        <w:t>ligen arbetar man på många håll med teater för barn, men ingen institution har ansvaret för utvecklingen av och forskningen runt denna form av scenkonst.</w:t>
      </w:r>
    </w:p>
    <w:p w:rsidR="00612DC6" w:rsidRPr="00612DC6" w:rsidRDefault="00612DC6">
      <w:pPr>
        <w:pStyle w:val="Normaltindrag"/>
        <w:shd w:val="clear" w:color="000000" w:fill="auto"/>
      </w:pPr>
      <w:r w:rsidRPr="00612DC6">
        <w:t>I 30 år har Unga Klara skapat teater för barn och unga, bedrivit forskning och utvecklingsarbete inom ramen för Stockholms stadsteaters verksamhet. De har utbildat rader av teaterarbetare som nu jobbar på olika institutioner runtom i landet, och de har med hårt arbete nått resultat som är uppmärksa</w:t>
      </w:r>
      <w:r w:rsidRPr="00612DC6">
        <w:t>m</w:t>
      </w:r>
      <w:r w:rsidRPr="00612DC6">
        <w:t>mat och uppskattat inte bara i Sverige utan över hela världen. Det handlar alltså om mycket mer än ett kommunalt ansvar. Vänsterpartiet menar att det är hög tid att man tar ett nationellt ansvar för Unga Klaras verksamhet. Det är ett stort ansvar att se till att den behålls inom landet och får fortsätta att u</w:t>
      </w:r>
      <w:r w:rsidRPr="00612DC6">
        <w:t>t</w:t>
      </w:r>
      <w:r w:rsidRPr="00612DC6">
        <w:t>veckla scenkonsten, främst för barn och unga. Som det alltid är med verklig konst för en sådan utveckling också med sig en utveckling av teatern för alla åldrar.</w:t>
      </w:r>
    </w:p>
    <w:p w:rsidR="00612DC6" w:rsidRPr="00612DC6" w:rsidRDefault="00612DC6">
      <w:pPr>
        <w:pStyle w:val="Normaltindrag"/>
        <w:shd w:val="clear" w:color="000000" w:fill="auto"/>
      </w:pPr>
      <w:r w:rsidRPr="00612DC6">
        <w:t>I vårt förslag till budget för kulturp</w:t>
      </w:r>
      <w:r w:rsidRPr="00612DC6">
        <w:t>olitiken (mot. 2008/09:Kr369) har vi därför anslagit 15 miljoner kronor för att göra Unga Klara till en nationell scen för barn- och ungdomsteater. Vi menar också att forskningen och u</w:t>
      </w:r>
      <w:r w:rsidRPr="00612DC6">
        <w:t>t</w:t>
      </w:r>
      <w:r w:rsidRPr="00612DC6">
        <w:t>vecklingsarbetet inom detta område måste få en fastare struktur och att Unga Klara därför också ska få ett nationellt ansvar för forskning och utveckling</w:t>
      </w:r>
      <w:r w:rsidRPr="00612DC6">
        <w:t>s</w:t>
      </w:r>
      <w:r w:rsidRPr="00612DC6">
        <w:t>arbete inom barn- och ungdomsteater och då också tilldelas tillräckliga resu</w:t>
      </w:r>
      <w:r w:rsidRPr="00612DC6">
        <w:t>r</w:t>
      </w:r>
      <w:r w:rsidRPr="00612DC6">
        <w:t>ser för att fullgöra detta uppdrag. Detta bör riksdagen som sin mening ge regeringen till känna.</w:t>
      </w:r>
    </w:p>
    <w:p w:rsidR="00612DC6" w:rsidRPr="00612DC6" w:rsidRDefault="00612DC6">
      <w:pPr>
        <w:pStyle w:val="Rubrik1"/>
        <w:shd w:val="clear" w:color="000000" w:fill="auto"/>
      </w:pPr>
      <w:bookmarkStart w:id="48" w:name="_Toc214344493"/>
      <w:bookmarkStart w:id="49" w:name="_Toc215982314"/>
      <w:r w:rsidRPr="00612DC6">
        <w:t>Forskarutbildningen</w:t>
      </w:r>
      <w:bookmarkEnd w:id="48"/>
      <w:bookmarkEnd w:id="49"/>
    </w:p>
    <w:p w:rsidR="00612DC6" w:rsidRPr="00612DC6" w:rsidRDefault="00612DC6">
      <w:pPr>
        <w:shd w:val="clear" w:color="000000" w:fill="auto"/>
      </w:pPr>
      <w:r w:rsidRPr="00612DC6">
        <w:t>En central fråga för all forskning är vilka som utför forskningen och hur r</w:t>
      </w:r>
      <w:r w:rsidRPr="00612DC6">
        <w:t>e</w:t>
      </w:r>
      <w:r w:rsidRPr="00612DC6">
        <w:t>produktionen av forskare ska säkerställas för att tillgodose framtida behov. Det är därför märkligt att regeringen inte berör forskarutbildningen annat än i allmänna ordalag i propositionen. Hur skapas en attraktiv forskarutbildning som ger doktorander möjlighet att utvecklas till goda forskare? Vänsterpartiet menar att sista steget nu måste tas i den reformering av forskarutbildningen som påbörjades 1969.</w:t>
      </w:r>
    </w:p>
    <w:p w:rsidR="00612DC6" w:rsidRPr="00612DC6" w:rsidRDefault="00612DC6">
      <w:pPr>
        <w:pStyle w:val="Rubrik2"/>
        <w:shd w:val="clear" w:color="000000" w:fill="auto"/>
      </w:pPr>
      <w:bookmarkStart w:id="50" w:name="_Toc214344494"/>
      <w:bookmarkStart w:id="51" w:name="_Toc215982315"/>
      <w:r w:rsidRPr="00612DC6">
        <w:t>Förbjud stipendier på forskarutbildningen</w:t>
      </w:r>
      <w:bookmarkEnd w:id="50"/>
      <w:bookmarkEnd w:id="51"/>
    </w:p>
    <w:p w:rsidR="00612DC6" w:rsidRPr="00612DC6" w:rsidRDefault="00612DC6">
      <w:pPr>
        <w:shd w:val="clear" w:color="000000" w:fill="auto"/>
      </w:pPr>
      <w:r w:rsidRPr="00612DC6">
        <w:t>Att finansiera sina studier på forskarutbildningen med stipendier innebär en rad nackdelar för den enskilde doktoranden. En av de mer allvarliga kons</w:t>
      </w:r>
      <w:r w:rsidRPr="00612DC6">
        <w:t>e</w:t>
      </w:r>
      <w:r w:rsidRPr="00612DC6">
        <w:t>kvenserna är att dessa doktorander inte har rätt till någon inkomstrelaterad ersättning vid sjukdom, föräldraledighet eller arbetslöshet. Dessutom räknas inte stipendiefinansierade studier som överhoppningsbar tid av Försäkring</w:t>
      </w:r>
      <w:r w:rsidRPr="00612DC6">
        <w:t>s</w:t>
      </w:r>
      <w:r w:rsidRPr="00612DC6">
        <w:t>kassan, vilket gör att dessa doktorander inte har någon vilande SGI. Stipend</w:t>
      </w:r>
      <w:r w:rsidRPr="00612DC6">
        <w:t>i</w:t>
      </w:r>
      <w:r w:rsidRPr="00612DC6">
        <w:t>erna räknas inte som pensionsgrundande inkomst. Högskolorna kan inte tec</w:t>
      </w:r>
      <w:r w:rsidRPr="00612DC6">
        <w:t>k</w:t>
      </w:r>
      <w:r w:rsidRPr="00612DC6">
        <w:t>na försäkringar för stipendiater. Stipendier berättigar inte heller till den aut</w:t>
      </w:r>
      <w:r w:rsidRPr="00612DC6">
        <w:t>o</w:t>
      </w:r>
      <w:r w:rsidRPr="00612DC6">
        <w:t xml:space="preserve">matiska övergång till doktorandtjänst, som sker för </w:t>
      </w:r>
      <w:r w:rsidRPr="00612DC6">
        <w:t>doktorander med utbil</w:t>
      </w:r>
      <w:r w:rsidRPr="00612DC6">
        <w:t>d</w:t>
      </w:r>
      <w:r w:rsidRPr="00612DC6">
        <w:t>ningsbidrag när två år återstår av utbildningen.</w:t>
      </w:r>
    </w:p>
    <w:p w:rsidR="00612DC6" w:rsidRPr="00612DC6" w:rsidRDefault="00612DC6">
      <w:pPr>
        <w:pStyle w:val="Normaltindrag"/>
        <w:shd w:val="clear" w:color="000000" w:fill="auto"/>
      </w:pPr>
      <w:r w:rsidRPr="00612DC6">
        <w:t>Den enda regel som finns rörande stipendier är att statliga anslag inte får användas till stipendier. Vi högskolorna finns dock en rad stipendiefonder, och externa medel kan används till stipendier. Höstterminen 2006 var 8 % av de forskarstuderande finansierade med stipendier enligt Högskoleverkets årsrapport 2007 (2007:33 R). Det är ofta utländska doktorander som ges st</w:t>
      </w:r>
      <w:r w:rsidRPr="00612DC6">
        <w:t>i</w:t>
      </w:r>
      <w:r w:rsidRPr="00612DC6">
        <w:t>pendier, och enligt en del högskolors regelverk får stipendier endast ges till utländska studenter.</w:t>
      </w:r>
    </w:p>
    <w:p w:rsidR="00612DC6" w:rsidRPr="00612DC6" w:rsidRDefault="00612DC6">
      <w:pPr>
        <w:pStyle w:val="Normaltindrag"/>
        <w:shd w:val="clear" w:color="000000" w:fill="auto"/>
      </w:pPr>
      <w:r w:rsidRPr="00612DC6">
        <w:t>Vår bestämda mening är däremot att stipendier inte är en acceptabel fina</w:t>
      </w:r>
      <w:r w:rsidRPr="00612DC6">
        <w:t>n</w:t>
      </w:r>
      <w:r w:rsidRPr="00612DC6">
        <w:t>sieringsform för forskarstuderande, dels med hänvisning till den sociala och ekonomiska otrygghet de leder till, dels för att bristen på regler gör det alltför lätt att missbruka dem. Det finns inget att invända mot att stipendier används till särskilda kostnader i samband med forskarstudier såsom resor och utrus</w:t>
      </w:r>
      <w:r w:rsidRPr="00612DC6">
        <w:t>t</w:t>
      </w:r>
      <w:r w:rsidRPr="00612DC6">
        <w:t>ning, däremot ska de inte användas till de forskarstuderandes levnadsomkos</w:t>
      </w:r>
      <w:r w:rsidRPr="00612DC6">
        <w:t>t</w:t>
      </w:r>
      <w:r w:rsidRPr="00612DC6">
        <w:t>nader. Stipendier bör därför förbjudas som studiefinansieringsform inom forskarutbildningen. Enligt beräkningar som gjord</w:t>
      </w:r>
      <w:r w:rsidRPr="00612DC6">
        <w:t>es av Högskoleverket 2006 skulle det kosta 28 miljoner kronor årligen, vilket kan finansieras med de ökade anslagen till universitet och högskolor. Detta bör riksdagen som sin mening ge regeringen till känna.</w:t>
      </w:r>
    </w:p>
    <w:p w:rsidR="00612DC6" w:rsidRPr="00612DC6" w:rsidRDefault="00612DC6">
      <w:pPr>
        <w:pStyle w:val="Rubrik2"/>
        <w:shd w:val="clear" w:color="000000" w:fill="auto"/>
      </w:pPr>
      <w:bookmarkStart w:id="52" w:name="_Toc214344495"/>
      <w:bookmarkStart w:id="53" w:name="_Toc215982316"/>
      <w:r w:rsidRPr="00612DC6">
        <w:t>Fler doktorandtjänster</w:t>
      </w:r>
      <w:bookmarkEnd w:id="52"/>
      <w:bookmarkEnd w:id="53"/>
    </w:p>
    <w:p w:rsidR="00612DC6" w:rsidRPr="00612DC6" w:rsidRDefault="00612DC6">
      <w:pPr>
        <w:shd w:val="clear" w:color="000000" w:fill="auto"/>
      </w:pPr>
      <w:r w:rsidRPr="00612DC6">
        <w:t>Inom ramen för sin utbildning utför forskarstuderande en stor del av den forskning som bedrivs vid universitet och högskolor; de arbetar med andra ord med forskning. Vänsterpartiet anser därför att de bör ha samma ekon</w:t>
      </w:r>
      <w:r w:rsidRPr="00612DC6">
        <w:t>o</w:t>
      </w:r>
      <w:r w:rsidRPr="00612DC6">
        <w:t>miska och sociala trygghet som andra som arbetar. Vi menar vidare att detta också skulle bidra till att skapa en bättre forskarutbildning eftersom det ger möjlighet att ägna sig helt och fullt åt utbildningen och den egna forskningen. Det finns dessutom inga behov av att skapa konstgjord konkurrens bland doktorander genom ekonomiska incitament. Statistiken är också tydlig. De förbättrade ekonomiska förutsättningarna för doktorander under 1990-talet har inneburit minskade studietider och högre examinationsg</w:t>
      </w:r>
      <w:r w:rsidRPr="00612DC6">
        <w:t>rad samtidigt som kvaliteten på avhandlingarna bibehållits.</w:t>
      </w:r>
    </w:p>
    <w:p w:rsidR="00612DC6" w:rsidRPr="00612DC6" w:rsidRDefault="00612DC6">
      <w:pPr>
        <w:pStyle w:val="Normaltindrag"/>
        <w:shd w:val="clear" w:color="000000" w:fill="auto"/>
      </w:pPr>
      <w:r w:rsidRPr="00612DC6">
        <w:t>De svenska forskarutbildningarna, som redan nu har hög kvalitet, kommer att bli än mer attraktiva om de kan erbjuda de studerande en trygg tillvaro under studietiden. Ytterligare en stor fördel med att anställa doktoranderna redan från första dagen på forskarutbildningen är att det kan leda till mer öppenhet i antagningen. Informationen om lediga platser och tjänster kommer att spridas till fler, vilket leder till fler kvalificerade sökande. Det ko</w:t>
      </w:r>
      <w:r w:rsidRPr="00612DC6">
        <w:t>mmer förhoppningsvis även att leda till att fler med utländsk bakgrund och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och anställningen kan därför ses som en åtgärd för att öka forskarutbildades attraktionskraft på ar</w:t>
      </w:r>
      <w:r w:rsidRPr="00612DC6">
        <w:t>betsmarknaden.</w:t>
      </w:r>
    </w:p>
    <w:p w:rsidR="00612DC6" w:rsidRPr="00612DC6" w:rsidRDefault="00612DC6">
      <w:pPr>
        <w:pStyle w:val="Normaltindrag"/>
        <w:shd w:val="clear" w:color="000000" w:fill="auto"/>
      </w:pPr>
      <w:r w:rsidRPr="00612DC6">
        <w:t>År 1986 påbörjades en process som syftade till att omvandla alla utbil</w:t>
      </w:r>
      <w:r w:rsidRPr="00612DC6">
        <w:t>d</w:t>
      </w:r>
      <w:r w:rsidRPr="00612DC6">
        <w:t>ningsbidrag inom forskarutbildningen till doktorandtjänster. Nu är det hög tid att ta sista steget i denna reform och omvandla återstående utbildningsbidrag till tjänster. Enligt beräkningar gjorda av Sveriges universitetslärarförbund (Sulf) skulle det kosta ca 400 miljoner kronor per år att genomföra detta vi</w:t>
      </w:r>
      <w:r w:rsidRPr="00612DC6">
        <w:t>l</w:t>
      </w:r>
      <w:r w:rsidRPr="00612DC6">
        <w:t>ket det finns utrymme för genom de höjda anslagen till universitet och hö</w:t>
      </w:r>
      <w:r w:rsidRPr="00612DC6">
        <w:t>g</w:t>
      </w:r>
      <w:r w:rsidRPr="00612DC6">
        <w:t>skolor. Regeringen bör därför återkomma med ett förslag om förändring av högskoleförordningen som innebär att den som antas t</w:t>
      </w:r>
      <w:r w:rsidRPr="00612DC6">
        <w:t>ill forskarutbildningen också anställs som doktorand. Detta bör riksdagen som sin mening ge rege</w:t>
      </w:r>
      <w:r w:rsidRPr="00612DC6">
        <w:t>r</w:t>
      </w:r>
      <w:r w:rsidRPr="00612DC6">
        <w:t>ingen till känna.</w:t>
      </w:r>
    </w:p>
    <w:p w:rsidR="00612DC6" w:rsidRPr="00612DC6" w:rsidRDefault="00612DC6">
      <w:pPr>
        <w:pStyle w:val="Rubrik1"/>
        <w:shd w:val="clear" w:color="000000" w:fill="auto"/>
      </w:pPr>
      <w:bookmarkStart w:id="54" w:name="_Toc214344496"/>
      <w:bookmarkStart w:id="55" w:name="_Toc215982317"/>
      <w:r w:rsidRPr="00612DC6">
        <w:t>Forskningsbaserad innovation</w:t>
      </w:r>
      <w:bookmarkEnd w:id="54"/>
      <w:bookmarkEnd w:id="55"/>
    </w:p>
    <w:p w:rsidR="00612DC6" w:rsidRPr="00612DC6" w:rsidRDefault="00612DC6">
      <w:pPr>
        <w:shd w:val="clear" w:color="000000" w:fill="auto"/>
      </w:pPr>
      <w:r w:rsidRPr="00612DC6">
        <w:t>I den del i propositionen som behandlar innovation menar regeringen att kommersialiseringen av forskningsresultat måste förbättras. Regeringen för</w:t>
      </w:r>
      <w:r w:rsidRPr="00612DC6">
        <w:t>e</w:t>
      </w:r>
      <w:r w:rsidRPr="00612DC6">
        <w:t>slår därför en ändring av högskolelagen. Högskolan ska få ett nytt up</w:t>
      </w:r>
      <w:r w:rsidRPr="00612DC6">
        <w:t>p</w:t>
      </w:r>
      <w:r w:rsidRPr="00612DC6">
        <w:t>drag att verka för att forskningen kommer till nytta. Det är oklart vad som avses med nytta och vilka konsekvenser detta nya uppdrag till högskolorna får för den forskning som inte direkt är kommersialiserbar. Dessutom kan hävdas att det redan ingår i högskolans uppdrag att samverka med det omgivande samhä</w:t>
      </w:r>
      <w:r w:rsidRPr="00612DC6">
        <w:t>l</w:t>
      </w:r>
      <w:r w:rsidRPr="00612DC6">
        <w:t>let och att informera om sin verksamhet. Riksdagen bör därför avslå regerin</w:t>
      </w:r>
      <w:r w:rsidRPr="00612DC6">
        <w:t>g</w:t>
      </w:r>
      <w:r w:rsidRPr="00612DC6">
        <w:t>ens förslag om ändring av högskolelagen.</w:t>
      </w:r>
    </w:p>
    <w:p w:rsidR="00612DC6" w:rsidRPr="00612DC6" w:rsidRDefault="00612DC6">
      <w:pPr>
        <w:pStyle w:val="Rubrik2"/>
        <w:shd w:val="clear" w:color="000000" w:fill="auto"/>
      </w:pPr>
      <w:bookmarkStart w:id="56" w:name="_Toc214344497"/>
      <w:bookmarkStart w:id="57" w:name="_Toc215982318"/>
      <w:r w:rsidRPr="00612DC6">
        <w:t>Innovationskonto</w:t>
      </w:r>
      <w:r w:rsidRPr="00612DC6">
        <w:t>r</w:t>
      </w:r>
      <w:bookmarkEnd w:id="56"/>
      <w:bookmarkEnd w:id="57"/>
    </w:p>
    <w:p w:rsidR="00612DC6" w:rsidRPr="00612DC6" w:rsidRDefault="00612DC6">
      <w:pPr>
        <w:shd w:val="clear" w:color="000000" w:fill="auto"/>
      </w:pPr>
      <w:r w:rsidRPr="00612DC6">
        <w:t>Regeringen föreslår att 75 miljoner kronor ska användas till innovationsko</w:t>
      </w:r>
      <w:r w:rsidRPr="00612DC6">
        <w:t>n</w:t>
      </w:r>
      <w:r w:rsidRPr="00612DC6">
        <w:t>tor på sju olika lärosäten – Uppsala universitet, Lunds universitet, Umeå un</w:t>
      </w:r>
      <w:r w:rsidRPr="00612DC6">
        <w:t>i</w:t>
      </w:r>
      <w:r w:rsidRPr="00612DC6">
        <w:t>versitet, Linköpings universitet, Kungl. Tekniska högskolan och Chalmers tekniska högskola. Dessa forskningsställen är i stor utsträckning väl försedda med forskningsparker och inkubatorer. Risken är stor att man bygger upp parallella system som endast leder till förvirring och effektivitetsförluster; t.o.m. ordföranden i Sisp/Swedish Incubators &amp; Science Parks) varnar för denna effekt. Däremot har både Karlstads universitet och M</w:t>
      </w:r>
      <w:r w:rsidRPr="00612DC6">
        <w:t>ittuniversitet pekat på möjligheten att t.ex. slå ihop de tre innovationskontoren i Stoc</w:t>
      </w:r>
      <w:r w:rsidRPr="00612DC6">
        <w:t>k</w:t>
      </w:r>
      <w:r w:rsidRPr="00612DC6">
        <w:t>holmsregionen till ett och i stället förlägga varsitt innovationskontor vid Kar</w:t>
      </w:r>
      <w:r w:rsidRPr="00612DC6">
        <w:t>l</w:t>
      </w:r>
      <w:r w:rsidRPr="00612DC6">
        <w:t>stads universitet och Mittuniversitetet. Vänsterpartiet menar att den här frågan tycks illa förberedd och dessutom är försedd med brasklappar om att kontoren även ska hjälpa andra universitet och högskolor. All erfarenhet talar för att dessa kommer att hamna i strykklass ju längre bort från respektive innov</w:t>
      </w:r>
      <w:r w:rsidRPr="00612DC6">
        <w:t>a</w:t>
      </w:r>
      <w:r w:rsidRPr="00612DC6">
        <w:t>tionskontor de ligger. Därför mena</w:t>
      </w:r>
      <w:r w:rsidRPr="00612DC6">
        <w:t>r vi att innovationskontorens placering ska brytas ur propositionen och ses över vad gäller lokalisering. Detta bör riksd</w:t>
      </w:r>
      <w:r w:rsidRPr="00612DC6">
        <w:t>a</w:t>
      </w:r>
      <w:r w:rsidRPr="00612DC6">
        <w:t>gen som sin mening ge regeringen till känna.</w:t>
      </w:r>
    </w:p>
    <w:p w:rsidR="00612DC6" w:rsidRPr="00612DC6" w:rsidRDefault="00612DC6">
      <w:pPr>
        <w:pStyle w:val="Rubrik2"/>
        <w:shd w:val="clear" w:color="000000" w:fill="auto"/>
      </w:pPr>
      <w:bookmarkStart w:id="58" w:name="_Toc214344498"/>
      <w:bookmarkStart w:id="59" w:name="_Toc215982319"/>
      <w:r w:rsidRPr="00612DC6">
        <w:t>Såddfinansiering</w:t>
      </w:r>
      <w:bookmarkEnd w:id="58"/>
      <w:bookmarkEnd w:id="59"/>
    </w:p>
    <w:p w:rsidR="00612DC6" w:rsidRPr="00612DC6" w:rsidRDefault="00612DC6">
      <w:pPr>
        <w:shd w:val="clear" w:color="000000" w:fill="auto"/>
      </w:pPr>
      <w:r w:rsidRPr="00612DC6">
        <w:t>Regeringen föreslår ett ökat anslag på 75 miljoner kronor 2009–2012 till Innovationsbron varav hälften ska användas till såddfinansiering. Som Inn</w:t>
      </w:r>
      <w:r w:rsidRPr="00612DC6">
        <w:t>o</w:t>
      </w:r>
      <w:r w:rsidRPr="00612DC6">
        <w:t>vationsbrons vd påpekar är endast 3 % av den nya satsningen på forskning och innovation destinerad till kommersialisering. Vänsterpartiet har tidigare, med anledning av budgetpropositionen, föreslagit en satsning på såddfinans</w:t>
      </w:r>
      <w:r w:rsidRPr="00612DC6">
        <w:t>i</w:t>
      </w:r>
      <w:r w:rsidRPr="00612DC6">
        <w:t>ering med 50 miljoner kronor per år eftersom kommersialiseringen är en av de svaga länkarna i kedjan från idé till säljbar produkt, särskilt i Sverige.</w:t>
      </w:r>
    </w:p>
    <w:p w:rsidR="00612DC6" w:rsidRPr="00612DC6" w:rsidRDefault="00612DC6">
      <w:pPr>
        <w:pStyle w:val="Rubrik2"/>
        <w:shd w:val="clear" w:color="000000" w:fill="auto"/>
      </w:pPr>
      <w:bookmarkStart w:id="60" w:name="_Toc214344499"/>
      <w:bookmarkStart w:id="61" w:name="_Toc215982320"/>
      <w:r w:rsidRPr="00612DC6">
        <w:t>Små och medelstora företag</w:t>
      </w:r>
      <w:bookmarkEnd w:id="60"/>
      <w:bookmarkEnd w:id="61"/>
    </w:p>
    <w:p w:rsidR="00612DC6" w:rsidRPr="00612DC6" w:rsidRDefault="00612DC6">
      <w:pPr>
        <w:shd w:val="clear" w:color="000000" w:fill="auto"/>
      </w:pPr>
      <w:r w:rsidRPr="00612DC6">
        <w:t>I avsnittet om forskning och utveckling i små och medelstora företag nämner regeringen att Vinnovas program Forska &amp; Väx ska fortsätta. Vi menar att det bör ha särskild uppmärksamhet eftersom Forska &amp; Väx är en viktig byggsten i att skapa hög entreprenöriell aktivitet vilket leder till att företagen vågar exploatera nya rön. Forska och väx-programmet är ett program som kan me</w:t>
      </w:r>
      <w:r w:rsidRPr="00612DC6">
        <w:t>d</w:t>
      </w:r>
      <w:r w:rsidRPr="00612DC6">
        <w:t>verka till resultat. Vänsterpartiet menar att en ökning av medelstilldelningen bör ske för att öka Forska och väx-programmets möjligheter till att finansiera fler projekt. Vi har därför i annan motion anslagit 100 miljoner kronor för 2009, 100 miljoner för 2010 och 100 miljoner för 2011 utöver regeringens förslag.</w:t>
      </w:r>
    </w:p>
    <w:p w:rsidR="00612DC6" w:rsidRPr="00612DC6" w:rsidRDefault="00612DC6">
      <w:pPr>
        <w:pStyle w:val="Rubrik2"/>
        <w:shd w:val="clear" w:color="000000" w:fill="auto"/>
      </w:pPr>
      <w:bookmarkStart w:id="62" w:name="_Toc214344500"/>
      <w:bookmarkStart w:id="63" w:name="_Toc215982321"/>
      <w:r w:rsidRPr="00612DC6">
        <w:t>Skatteavdrag för forskning</w:t>
      </w:r>
      <w:bookmarkEnd w:id="62"/>
      <w:bookmarkEnd w:id="63"/>
    </w:p>
    <w:p w:rsidR="00612DC6" w:rsidRPr="00612DC6" w:rsidRDefault="00612DC6">
      <w:pPr>
        <w:shd w:val="clear" w:color="000000" w:fill="auto"/>
      </w:pPr>
      <w:r w:rsidRPr="00612DC6">
        <w:t>Regeringen nämner att den följer den internationella utvecklingen vad gäller skatteincitament för FoU-investeringar, men har själv inga konkreta förslag. Vänsterpartiet lade däremot fram ett skarpt förslag i samband med budgetpr</w:t>
      </w:r>
      <w:r w:rsidRPr="00612DC6">
        <w:t>o</w:t>
      </w:r>
      <w:r w:rsidRPr="00612DC6">
        <w:t>positionen där vi påpekar att forskning och utveckling är avgörande för fra</w:t>
      </w:r>
      <w:r w:rsidRPr="00612DC6">
        <w:t>m</w:t>
      </w:r>
      <w:r w:rsidRPr="00612DC6">
        <w:t>tida satsningar för att utveckla t.ex. miljö- och energiteknik. Det behövs ök</w:t>
      </w:r>
      <w:r w:rsidRPr="00612DC6">
        <w:t>a</w:t>
      </w:r>
      <w:r w:rsidRPr="00612DC6">
        <w:t>de resurser till alla delar inom FoU, från grundforskning till utveckling av produkter och tjänster. Inom ramen för Vinnova har små och medelstora för</w:t>
      </w:r>
      <w:r w:rsidRPr="00612DC6">
        <w:t>e</w:t>
      </w:r>
      <w:r w:rsidRPr="00612DC6">
        <w:t>tag under några år kunnat få bidrag till behovsidentifiering av, förstudier till och genomförande av FoU-projekt. Intresset har varit mycket stort och ind</w:t>
      </w:r>
      <w:r w:rsidRPr="00612DC6">
        <w:t>i</w:t>
      </w:r>
      <w:r w:rsidRPr="00612DC6">
        <w:t>kerar att här behövs ytterligare insatser.</w:t>
      </w:r>
    </w:p>
    <w:p w:rsidR="00612DC6" w:rsidRPr="00612DC6" w:rsidRDefault="00612DC6">
      <w:pPr>
        <w:pStyle w:val="Normaltindrag"/>
        <w:shd w:val="clear" w:color="000000" w:fill="auto"/>
      </w:pPr>
      <w:r w:rsidRPr="00612DC6">
        <w:t xml:space="preserve">Vi vill </w:t>
      </w:r>
      <w:r w:rsidRPr="00612DC6">
        <w:t>därför utöka möjligheterna genom kreditering på skattekonto. St</w:t>
      </w:r>
      <w:r w:rsidRPr="00612DC6">
        <w:t>ö</w:t>
      </w:r>
      <w:r w:rsidRPr="00612DC6">
        <w:t>det ska avse högst 35 % av företagets kostnader upp till ett tak på 2,8 miljoner kronor. Alla företag med upp till 250 anställda ska omfattas. Den här typen av system är inte ovanligt i andra länder. Vårt grannland Norge har ett sådant skatteavdrag sedan några år tillbaka. Medel finns avsatta i Vänsterpartiets budgetmotion för en ökad satsning på forskning inom små och medelstora företag.</w:t>
      </w:r>
    </w:p>
    <w:p w:rsidR="00612DC6" w:rsidRPr="00612DC6" w:rsidRDefault="00612DC6">
      <w:pPr>
        <w:pStyle w:val="Rubrik2"/>
        <w:shd w:val="clear" w:color="000000" w:fill="auto"/>
      </w:pPr>
      <w:bookmarkStart w:id="64" w:name="_Toc214344501"/>
      <w:bookmarkStart w:id="65" w:name="_Toc215982322"/>
      <w:r w:rsidRPr="00612DC6">
        <w:t>Offentliga aktörer</w:t>
      </w:r>
      <w:bookmarkEnd w:id="64"/>
      <w:bookmarkEnd w:id="65"/>
    </w:p>
    <w:p w:rsidR="00612DC6" w:rsidRPr="00612DC6" w:rsidRDefault="00612DC6">
      <w:pPr>
        <w:shd w:val="clear" w:color="000000" w:fill="auto"/>
      </w:pPr>
      <w:r w:rsidRPr="00612DC6">
        <w:t>Vi delar regeringens uppfattning att det är viktigt att stärka Sveriges förmåga att skapa nya och växande företag genom att bättre utnyttja offentliga sat</w:t>
      </w:r>
      <w:r w:rsidRPr="00612DC6">
        <w:t>s</w:t>
      </w:r>
      <w:r w:rsidRPr="00612DC6">
        <w:t>ningar som görs inom olika områden. Man säger också att det från andra länder finns framgångsrika exempel på hur nya högteknologiska företag u</w:t>
      </w:r>
      <w:r w:rsidRPr="00612DC6">
        <w:t>t</w:t>
      </w:r>
      <w:r w:rsidRPr="00612DC6">
        <w:t>vecklats genom att stora offentliga aktörer riktar en liten del av sina investe</w:t>
      </w:r>
      <w:r w:rsidRPr="00612DC6">
        <w:t>r</w:t>
      </w:r>
      <w:r w:rsidRPr="00612DC6">
        <w:t>ingar till kunskapsutveckling. Regeringen hänvisar här till det framgångsrika forsknings- och innovationsprogrammet SBIR. Vänsterpartiet har under lång tid föreslagit att ett program för att ge mindre underleverantörer del av fors</w:t>
      </w:r>
      <w:r w:rsidRPr="00612DC6">
        <w:t>k</w:t>
      </w:r>
      <w:r w:rsidRPr="00612DC6">
        <w:t xml:space="preserve">nings- och innovationskakan skulle skapas och hälsar med </w:t>
      </w:r>
      <w:r w:rsidRPr="00612DC6">
        <w:t>tillfredsställelse att en utredning nu ska tillsättas. Med tanke på hur långt efter Sverige har hamnat i detta hänseende hoppas vi på en snabb hantering av frågan.</w:t>
      </w:r>
    </w:p>
    <w:p w:rsidR="00612DC6" w:rsidRPr="00612DC6" w:rsidRDefault="00612DC6">
      <w:pPr>
        <w:pStyle w:val="Normaltindrag"/>
        <w:shd w:val="clear" w:color="000000" w:fill="auto"/>
      </w:pPr>
      <w:r w:rsidRPr="00612DC6">
        <w:t>Trots många viktiga konstateranden i propositionen saknas det en samla</w:t>
      </w:r>
      <w:r w:rsidRPr="00612DC6">
        <w:t>n</w:t>
      </w:r>
      <w:r w:rsidRPr="00612DC6">
        <w:t>de kraft på regeringsnivå. Något som t.ex. Finland för länge sedan har konst</w:t>
      </w:r>
      <w:r w:rsidRPr="00612DC6">
        <w:t>a</w:t>
      </w:r>
      <w:r w:rsidRPr="00612DC6">
        <w:t>terat är nödvändigt. Där har man satt till ett forskningspolitiskt råd, med statsministern som ordförande, för att visa allvaret bakom satsningen. En liknande konstruktion tror vi skulle föra upp vikten av forskning och innov</w:t>
      </w:r>
      <w:r w:rsidRPr="00612DC6">
        <w:t>a</w:t>
      </w:r>
      <w:r w:rsidRPr="00612DC6">
        <w:t>tion ytterligare på dagordningen. Det bör ges regeringen till känna.</w:t>
      </w:r>
    </w:p>
    <w:p w:rsidR="00612DC6" w:rsidRPr="00612DC6" w:rsidRDefault="00612DC6">
      <w:pPr>
        <w:pStyle w:val="Normaltindrag"/>
        <w:shd w:val="clear" w:color="000000" w:fill="auto"/>
      </w:pPr>
      <w:r w:rsidRPr="00612DC6">
        <w:t>För att ytterligare sätta fokus på innovationernas betydelse vill Vänsterpa</w:t>
      </w:r>
      <w:r w:rsidRPr="00612DC6">
        <w:t>r</w:t>
      </w:r>
      <w:r w:rsidRPr="00612DC6">
        <w:t>tiet föreslå en årlig innovationspolitisk skrivelse som går igenom de framsteg eller bakslag som görs på områdena FoU, de små och medelstora företagens plats i processen, kommersialiseringen av forskningen, det offentligas bet</w:t>
      </w:r>
      <w:r w:rsidRPr="00612DC6">
        <w:t>y</w:t>
      </w:r>
      <w:r w:rsidRPr="00612DC6">
        <w:t>delse och den enskilda människans betydelse. Det bör ges regeringen till känna.</w:t>
      </w:r>
    </w:p>
    <w:p w:rsidR="00612DC6" w:rsidRPr="00612DC6" w:rsidRDefault="00612DC6">
      <w:pPr>
        <w:pStyle w:val="Rubrik1"/>
        <w:shd w:val="clear" w:color="000000" w:fill="auto"/>
      </w:pPr>
      <w:bookmarkStart w:id="66" w:name="_Toc214344502"/>
      <w:bookmarkStart w:id="67" w:name="_Toc215982323"/>
      <w:r w:rsidRPr="00612DC6">
        <w:t>Vetenskaplig informationsförsörjning och Open Access</w:t>
      </w:r>
      <w:bookmarkEnd w:id="66"/>
      <w:bookmarkEnd w:id="67"/>
    </w:p>
    <w:p w:rsidR="00612DC6" w:rsidRPr="00612DC6" w:rsidRDefault="00612DC6">
      <w:pPr>
        <w:shd w:val="clear" w:color="000000" w:fill="auto"/>
      </w:pPr>
      <w:r w:rsidRPr="00612DC6">
        <w:t>God tillgång till vetenskaplig information i alla former – tryckta såväl som elektroniska – är en basal nödvändighet för universitet och högskolor. Utan denna bas försvåras och försämras både forskning och utbildning. De årliga kostnaderna för de vetenskapliga tidskrifterna, oavsett om de är tryckta eller elektroniska, samt nya prismodeller och nya sätt att saluföra information har kraftigt ökat under senare år och skapar i dag finansiella problem för univers</w:t>
      </w:r>
      <w:r w:rsidRPr="00612DC6">
        <w:t>i</w:t>
      </w:r>
      <w:r w:rsidRPr="00612DC6">
        <w:t>tet och högskolor. Det leder också till att forskningen inte blir fritt tillgänglig.</w:t>
      </w:r>
    </w:p>
    <w:p w:rsidR="00612DC6" w:rsidRPr="00612DC6" w:rsidRDefault="00612DC6">
      <w:pPr>
        <w:pStyle w:val="Normaltindrag"/>
        <w:shd w:val="clear" w:color="000000" w:fill="auto"/>
      </w:pPr>
      <w:r w:rsidRPr="00612DC6">
        <w:t xml:space="preserve">Den vetenskapliga tidskriften har särdrag, som gör att tidskriftsmarknaden inte fungerar som andra marknader. Varje verksam forskare måste publicera sig för att redovisa sina resultat och offentligt registrera sin intellektuella upphovsrätt, för att synas i forskningsvärlden och för att meritera sig. Under första hälften av 1900-talet tog fortfarande vetenskapssamhället självt till stor del hand om forskarnas behov av att </w:t>
      </w:r>
      <w:r w:rsidRPr="00612DC6">
        <w:t>föra ut sina resultat och det var de lärda sällskapen, universiteten och de vetenskapliga föreningarna som publicerade resultaten i sina egna tidskrifter.</w:t>
      </w:r>
    </w:p>
    <w:p w:rsidR="00612DC6" w:rsidRPr="00612DC6" w:rsidRDefault="00612DC6">
      <w:pPr>
        <w:pStyle w:val="Normaltindrag"/>
        <w:shd w:val="clear" w:color="000000" w:fill="auto"/>
      </w:pPr>
      <w:r w:rsidRPr="00612DC6">
        <w:t>Nu är bilden en helt annan. Forskningsvärlden är stadd i snabb förändring. Nya forskningsområden växer fram medan andra fragmentiseras i mindre, mer specialiserade områden. Inom alla områden behövs ett organ för public</w:t>
      </w:r>
      <w:r w:rsidRPr="00612DC6">
        <w:t>e</w:t>
      </w:r>
      <w:r w:rsidRPr="00612DC6">
        <w:t>ring. De kommersiella förlagen har förstått att utnyttja denna stigande efte</w:t>
      </w:r>
      <w:r w:rsidRPr="00612DC6">
        <w:t>r</w:t>
      </w:r>
      <w:r w:rsidRPr="00612DC6">
        <w:t>frågan och har startat nya tidskrifter. De har också haft resurser att satsa på den elektroniska publiceringen, som tog fart under de sista åren av 1900-talet. Resultatet är en kommersialisering av den vetenskapliga tidskriftsmarknaden.</w:t>
      </w:r>
    </w:p>
    <w:p w:rsidR="00612DC6" w:rsidRPr="00612DC6" w:rsidRDefault="00612DC6">
      <w:pPr>
        <w:pStyle w:val="Normaltindrag"/>
        <w:shd w:val="clear" w:color="000000" w:fill="auto"/>
      </w:pPr>
      <w:r w:rsidRPr="00612DC6">
        <w:t xml:space="preserve">En extrem prisökning gällande hela gruppens vetenskapliga tidskrifter har pågått under senare år. Snittpriset för en prenumeration på en vetenskaplig tidskrift ökade med 630 % mellan åren 1975 och </w:t>
      </w:r>
      <w:r w:rsidRPr="00612DC6">
        <w:t>1995, vilket innebär en ö</w:t>
      </w:r>
      <w:r w:rsidRPr="00612DC6">
        <w:t>k</w:t>
      </w:r>
      <w:r w:rsidRPr="00612DC6">
        <w:t>ning från 39 till 284 US-dollar (Tenopir och King, 2000).</w:t>
      </w:r>
    </w:p>
    <w:p w:rsidR="00612DC6" w:rsidRPr="00612DC6" w:rsidRDefault="00612DC6">
      <w:pPr>
        <w:pStyle w:val="Normaltindrag"/>
        <w:shd w:val="clear" w:color="000000" w:fill="auto"/>
      </w:pPr>
      <w:r w:rsidRPr="00612DC6">
        <w:t>Flertalet av de stora vetenskapliga förlagen har än så länge företrädesvis erbjudit hela sin tidskriftsportfölj i elektronisk version; man har alltså inte kunna upphandla valda delar ur ett förlags tidskriftskatalog. Förlagen försöker givetvis maximera sin vinst, bl.a. genom att utan förvarning ändra villkoren för tillgången till de elektroniska tidskrifterna, vilket så gott som alltid inn</w:t>
      </w:r>
      <w:r w:rsidRPr="00612DC6">
        <w:t>e</w:t>
      </w:r>
      <w:r w:rsidRPr="00612DC6">
        <w:t>bär kraftiga prishöjningar.</w:t>
      </w:r>
    </w:p>
    <w:p w:rsidR="00612DC6" w:rsidRPr="00612DC6" w:rsidRDefault="00612DC6">
      <w:pPr>
        <w:pStyle w:val="Normaltindrag"/>
        <w:shd w:val="clear" w:color="000000" w:fill="auto"/>
      </w:pPr>
      <w:r w:rsidRPr="00612DC6">
        <w:t>Vi menar att kvalitetsgranskningen av forskningen och värderingen av densamma inte ensidigt får bli beroende av kommersiella intressen. Tidskri</w:t>
      </w:r>
      <w:r w:rsidRPr="00612DC6">
        <w:t>f</w:t>
      </w:r>
      <w:r w:rsidRPr="00612DC6">
        <w:t>ternas status som kanaler för forskarnas ambitioner bör konkurrensutsättas. Det sker också en positiv utveckling i fråga om Open Access både i Sverige och internationellt. Vid Kungl. biblioteket pågår projektet OpenAcess.se i samarbete med Sveriges universitets- och högskoleförbund, Vetenskapsrådet, Kungl. Vetenskapsakademien och Stiftelsen för kunskaps- och kompetensu</w:t>
      </w:r>
      <w:r w:rsidRPr="00612DC6">
        <w:t>t</w:t>
      </w:r>
      <w:r w:rsidRPr="00612DC6">
        <w:t>veckling. Det europeiska forskningsrådet har antagit riktlinjer om att fors</w:t>
      </w:r>
      <w:r w:rsidRPr="00612DC6">
        <w:t>k</w:t>
      </w:r>
      <w:r w:rsidRPr="00612DC6">
        <w:t xml:space="preserve">ning som finansieras av rådet ska göras fritt tillgänglig, och </w:t>
      </w:r>
      <w:r w:rsidRPr="00612DC6">
        <w:t>ett liknande b</w:t>
      </w:r>
      <w:r w:rsidRPr="00612DC6">
        <w:t>e</w:t>
      </w:r>
      <w:r w:rsidRPr="00612DC6">
        <w:t>slut har fattats av National Institutes of Health i USA. Vänsterpartiet menar att det är rimligt att all offentligt finansierad forskning ska vara fritt tillgän</w:t>
      </w:r>
      <w:r w:rsidRPr="00612DC6">
        <w:t>g</w:t>
      </w:r>
      <w:r w:rsidRPr="00612DC6">
        <w:t>lig. Därför bör det bli ett krav att den forskning som de svenska forskningsr</w:t>
      </w:r>
      <w:r w:rsidRPr="00612DC6">
        <w:t>å</w:t>
      </w:r>
      <w:r w:rsidRPr="00612DC6">
        <w:t>den finansierar ska göras tillgänglig via Open Acess-publicering och att rege</w:t>
      </w:r>
      <w:r w:rsidRPr="00612DC6">
        <w:t>r</w:t>
      </w:r>
      <w:r w:rsidRPr="00612DC6">
        <w:t>ingen bör återkomma till riksdagen med förslag om detta. Detta bör riksdagen som sin mening ge regeringen till känna.</w:t>
      </w:r>
    </w:p>
    <w:p w:rsidR="00612DC6" w:rsidRPr="00612DC6" w:rsidRDefault="00612DC6">
      <w:pPr>
        <w:pStyle w:val="Rubrik1"/>
        <w:shd w:val="clear" w:color="000000" w:fill="auto"/>
      </w:pPr>
      <w:bookmarkStart w:id="68" w:name="_Toc214344503"/>
      <w:bookmarkStart w:id="69" w:name="_Toc215982324"/>
      <w:r w:rsidRPr="00612DC6">
        <w:t>Fördelning av medel i budgetpropositionen</w:t>
      </w:r>
      <w:bookmarkEnd w:id="68"/>
      <w:bookmarkEnd w:id="69"/>
    </w:p>
    <w:p w:rsidR="00612DC6" w:rsidRPr="00612DC6" w:rsidRDefault="00612DC6">
      <w:pPr>
        <w:shd w:val="clear" w:color="000000" w:fill="auto"/>
      </w:pPr>
      <w:r w:rsidRPr="00612DC6">
        <w:t>Till sist vill Vänsterpartiet rikta kritik mot bristerna i regeringens hantering av forskningsanslagen i budgetpropositionen där regeringen redovisade ökningen av forskningsanslagen till universitet och högskolor för 2009 i en ospecific</w:t>
      </w:r>
      <w:r w:rsidRPr="00612DC6">
        <w:t>e</w:t>
      </w:r>
      <w:r w:rsidRPr="00612DC6">
        <w:t>rad post och därmed frångick kravet att budgetpropositionen ska vara ful</w:t>
      </w:r>
      <w:r w:rsidRPr="00612DC6">
        <w:t>l</w:t>
      </w:r>
      <w:r w:rsidRPr="00612DC6">
        <w:t>ständig. Riksdagen har därför inte kunna utöva något inflytande över hur dessa medel ska användas, vilket inte är tillfredsställande ur demokratisk synvinkel.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DC6">
        <w:trPr>
          <w:cantSplit/>
        </w:trPr>
        <w:tc>
          <w:tcPr>
            <w:tcW w:w="3046" w:type="dxa"/>
          </w:tcPr>
          <w:p w:rsidR="00612DC6" w:rsidRPr="00612DC6" w:rsidRDefault="00612DC6">
            <w:pPr>
              <w:pStyle w:val="UnderskriftDatum"/>
              <w:shd w:val="clear" w:color="000000" w:fill="auto"/>
              <w:spacing w:before="240"/>
            </w:pPr>
            <w:r w:rsidRPr="00612DC6">
              <w:t>Stockholm den 13 november 2008</w:t>
            </w:r>
          </w:p>
        </w:tc>
        <w:tc>
          <w:tcPr>
            <w:tcW w:w="3047" w:type="dxa"/>
          </w:tcPr>
          <w:p w:rsidR="00612DC6" w:rsidRPr="00612DC6" w:rsidRDefault="00612DC6">
            <w:pPr>
              <w:pStyle w:val="Underskrifter"/>
              <w:shd w:val="clear" w:color="000000" w:fill="auto"/>
              <w:spacing w:before="240"/>
            </w:pPr>
          </w:p>
        </w:tc>
      </w:tr>
      <w:tr w:rsidR="00000000" w:rsidRPr="00612DC6">
        <w:trPr>
          <w:cantSplit/>
        </w:trPr>
        <w:tc>
          <w:tcPr>
            <w:tcW w:w="3046" w:type="dxa"/>
          </w:tcPr>
          <w:p w:rsidR="00612DC6" w:rsidRPr="00612DC6" w:rsidRDefault="00612DC6">
            <w:pPr>
              <w:pStyle w:val="Underskrifter"/>
              <w:shd w:val="clear" w:color="000000" w:fill="auto"/>
            </w:pPr>
            <w:r w:rsidRPr="00612DC6">
              <w:t>Amineh Kakabaveh (v)</w:t>
            </w:r>
          </w:p>
        </w:tc>
        <w:tc>
          <w:tcPr>
            <w:tcW w:w="3046" w:type="dxa"/>
          </w:tcPr>
          <w:p w:rsidR="00612DC6" w:rsidRPr="00612DC6" w:rsidRDefault="00612DC6">
            <w:pPr>
              <w:pStyle w:val="Underskrifter"/>
              <w:shd w:val="clear" w:color="000000" w:fill="auto"/>
            </w:pPr>
          </w:p>
        </w:tc>
      </w:tr>
      <w:tr w:rsidR="00000000" w:rsidRPr="00612DC6">
        <w:trPr>
          <w:cantSplit/>
        </w:trPr>
        <w:tc>
          <w:tcPr>
            <w:tcW w:w="3046" w:type="dxa"/>
          </w:tcPr>
          <w:p w:rsidR="00612DC6" w:rsidRPr="00612DC6" w:rsidRDefault="00612DC6">
            <w:pPr>
              <w:pStyle w:val="Underskrifter"/>
              <w:shd w:val="clear" w:color="000000" w:fill="auto"/>
            </w:pPr>
            <w:r w:rsidRPr="00612DC6">
              <w:t>Rossana Dinamarca (v)</w:t>
            </w:r>
          </w:p>
        </w:tc>
        <w:tc>
          <w:tcPr>
            <w:tcW w:w="3046" w:type="dxa"/>
          </w:tcPr>
          <w:p w:rsidR="00612DC6" w:rsidRPr="00612DC6" w:rsidRDefault="00612DC6">
            <w:pPr>
              <w:pStyle w:val="Underskrifter"/>
              <w:shd w:val="clear" w:color="000000" w:fill="auto"/>
            </w:pPr>
            <w:r w:rsidRPr="00612DC6">
              <w:t>Siv Holma (v)</w:t>
            </w:r>
          </w:p>
        </w:tc>
      </w:tr>
      <w:tr w:rsidR="00000000" w:rsidRPr="00612DC6">
        <w:trPr>
          <w:cantSplit/>
        </w:trPr>
        <w:tc>
          <w:tcPr>
            <w:tcW w:w="3046" w:type="dxa"/>
          </w:tcPr>
          <w:p w:rsidR="00612DC6" w:rsidRPr="00612DC6" w:rsidRDefault="00612DC6">
            <w:pPr>
              <w:pStyle w:val="Underskrifter"/>
              <w:shd w:val="clear" w:color="000000" w:fill="auto"/>
            </w:pPr>
            <w:r w:rsidRPr="00612DC6">
              <w:t>Elina Linna (v)</w:t>
            </w:r>
          </w:p>
        </w:tc>
        <w:tc>
          <w:tcPr>
            <w:tcW w:w="3046" w:type="dxa"/>
          </w:tcPr>
          <w:p w:rsidR="00612DC6" w:rsidRPr="00612DC6" w:rsidRDefault="00612DC6">
            <w:pPr>
              <w:pStyle w:val="Underskrifter"/>
              <w:shd w:val="clear" w:color="000000" w:fill="auto"/>
            </w:pPr>
            <w:r w:rsidRPr="00612DC6">
              <w:t>Eva Olofsson (v)</w:t>
            </w:r>
          </w:p>
        </w:tc>
      </w:tr>
      <w:tr w:rsidR="00000000" w:rsidRPr="00612DC6">
        <w:trPr>
          <w:cantSplit/>
        </w:trPr>
        <w:tc>
          <w:tcPr>
            <w:tcW w:w="3046" w:type="dxa"/>
          </w:tcPr>
          <w:p w:rsidR="00612DC6" w:rsidRPr="00612DC6" w:rsidRDefault="00612DC6">
            <w:pPr>
              <w:pStyle w:val="Underskrifter"/>
              <w:shd w:val="clear" w:color="000000" w:fill="auto"/>
            </w:pPr>
            <w:r w:rsidRPr="00612DC6">
              <w:t>Lena Olsson (v)</w:t>
            </w:r>
          </w:p>
        </w:tc>
        <w:tc>
          <w:tcPr>
            <w:tcW w:w="3046" w:type="dxa"/>
          </w:tcPr>
          <w:p w:rsidR="00612DC6" w:rsidRPr="00612DC6" w:rsidRDefault="00612DC6">
            <w:pPr>
              <w:pStyle w:val="Underskrifter"/>
              <w:shd w:val="clear" w:color="000000" w:fill="auto"/>
            </w:pPr>
          </w:p>
        </w:tc>
      </w:tr>
    </w:tbl>
    <w:p w:rsidR="00612DC6" w:rsidRPr="00612DC6" w:rsidRDefault="00612DC6">
      <w:pPr>
        <w:pStyle w:val="Normaltindrag"/>
        <w:shd w:val="clear" w:color="000000" w:fill="auto"/>
      </w:pPr>
    </w:p>
    <w:sectPr w:rsidR="00000000" w:rsidRPr="00612D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DC6" w:rsidRPr="00612DC6" w:rsidRDefault="00612DC6">
      <w:r w:rsidRPr="00612DC6">
        <w:separator/>
      </w:r>
    </w:p>
  </w:endnote>
  <w:endnote w:type="continuationSeparator" w:id="0">
    <w:p w:rsidR="00612DC6" w:rsidRPr="00612DC6" w:rsidRDefault="00612DC6">
      <w:r w:rsidRPr="00612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Sidfot"/>
    </w:pPr>
    <w:r w:rsidRPr="00612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262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DC6" w:rsidRDefault="00612DC6">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DC6" w:rsidRDefault="00612DC6">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Sidfot"/>
    </w:pPr>
    <w:r w:rsidRPr="00612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891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DC6" w:rsidRDefault="00612DC6">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DC6" w:rsidRDefault="00612DC6">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Sidfot"/>
    </w:pPr>
    <w:r w:rsidRPr="00612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346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DC6" w:rsidRDefault="00612D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DC6" w:rsidRDefault="00612D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DC6" w:rsidRPr="00612DC6" w:rsidRDefault="00612DC6">
      <w:r w:rsidRPr="00612DC6">
        <w:separator/>
      </w:r>
    </w:p>
  </w:footnote>
  <w:footnote w:type="continuationSeparator" w:id="0">
    <w:p w:rsidR="00612DC6" w:rsidRPr="00612DC6" w:rsidRDefault="00612DC6">
      <w:r w:rsidRPr="00612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Sidhuvud"/>
    </w:pPr>
    <w:r w:rsidRPr="00612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812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DC6" w:rsidRDefault="00612D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DC6" w:rsidRDefault="00612D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Sidhuvud"/>
    </w:pPr>
    <w:r w:rsidRPr="00612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885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DC6" w:rsidRDefault="00612D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DC6" w:rsidRDefault="00612D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DC6" w:rsidRPr="00612DC6" w:rsidRDefault="00612DC6">
    <w:pPr>
      <w:pStyle w:val="FSHNormal"/>
      <w:tabs>
        <w:tab w:val="right" w:pos="5840"/>
      </w:tabs>
    </w:pPr>
    <w:r w:rsidRPr="00612DC6">
      <w:br/>
    </w:r>
    <w:r w:rsidRPr="00612DC6">
      <w:fldChar w:fldCharType="begin" w:fldLock="1"/>
    </w:r>
    <w:r w:rsidRPr="00612DC6">
      <w:instrText xml:space="preserve"> DOCPROPERTY</w:instrText>
    </w:r>
    <w:r w:rsidRPr="00612DC6">
      <w:rPr>
        <w:sz w:val="18"/>
      </w:rPr>
      <w:instrText xml:space="preserve"> "YearUser" *\charformat </w:instrText>
    </w:r>
    <w:r w:rsidRPr="00612DC6">
      <w:fldChar w:fldCharType="separate"/>
    </w:r>
    <w:r w:rsidRPr="00612DC6">
      <w:t>2008/09</w:t>
    </w:r>
    <w:r w:rsidRPr="00612DC6">
      <w:fldChar w:fldCharType="end"/>
    </w:r>
    <w:r w:rsidRPr="00612DC6">
      <w:t xml:space="preserve"> </w:t>
    </w:r>
    <w:r w:rsidRPr="00612DC6">
      <w:tab/>
      <w:t xml:space="preserve">mnr: </w:t>
    </w:r>
    <w:r w:rsidRPr="00612DC6">
      <w:fldChar w:fldCharType="begin" w:fldLock="1"/>
    </w:r>
    <w:r w:rsidRPr="00612DC6">
      <w:instrText xml:space="preserve"> DOCPROPERTY</w:instrText>
    </w:r>
    <w:r w:rsidRPr="00612DC6">
      <w:rPr>
        <w:sz w:val="18"/>
      </w:rPr>
      <w:instrText xml:space="preserve"> "Motionsnummer" *\charformat </w:instrText>
    </w:r>
    <w:r w:rsidRPr="00612DC6">
      <w:fldChar w:fldCharType="separate"/>
    </w:r>
    <w:r w:rsidRPr="00612DC6">
      <w:t>Ub5</w:t>
    </w:r>
    <w:r w:rsidRPr="00612DC6">
      <w:fldChar w:fldCharType="end"/>
    </w:r>
    <w:r w:rsidRPr="00612DC6">
      <w:br/>
    </w:r>
    <w:r w:rsidRPr="00612DC6">
      <w:fldChar w:fldCharType="begin" w:fldLock="1"/>
    </w:r>
    <w:r w:rsidRPr="00612DC6">
      <w:instrText xml:space="preserve"> DOCPROPERTY</w:instrText>
    </w:r>
    <w:r w:rsidRPr="00612DC6">
      <w:rPr>
        <w:sz w:val="18"/>
      </w:rPr>
      <w:instrText xml:space="preserve"> "Samling" *\charformat </w:instrText>
    </w:r>
    <w:r w:rsidRPr="00612DC6">
      <w:fldChar w:fldCharType="end"/>
    </w:r>
    <w:r w:rsidRPr="00612DC6">
      <w:tab/>
      <w:t xml:space="preserve">pnr: </w:t>
    </w:r>
    <w:r w:rsidRPr="00612DC6">
      <w:fldChar w:fldCharType="begin" w:fldLock="1"/>
    </w:r>
    <w:r w:rsidRPr="00612DC6">
      <w:instrText xml:space="preserve"> DOCPROPERTY</w:instrText>
    </w:r>
    <w:r w:rsidRPr="00612DC6">
      <w:rPr>
        <w:sz w:val="18"/>
      </w:rPr>
      <w:instrText xml:space="preserve"> "Partinummer" *\charformat </w:instrText>
    </w:r>
    <w:r w:rsidRPr="00612DC6">
      <w:fldChar w:fldCharType="separate"/>
    </w:r>
    <w:r w:rsidRPr="00612DC6">
      <w:t>v25</w:t>
    </w:r>
    <w:r w:rsidRPr="00612DC6">
      <w:fldChar w:fldCharType="end"/>
    </w:r>
  </w:p>
  <w:p w:rsidR="00612DC6" w:rsidRPr="00612DC6" w:rsidRDefault="00612DC6">
    <w:pPr>
      <w:pStyle w:val="FSHRub1"/>
    </w:pPr>
    <w:r w:rsidRPr="00612DC6">
      <w:t>Motion till riksdagen</w:t>
    </w:r>
    <w:r w:rsidRPr="00612DC6">
      <w:br/>
    </w:r>
    <w:r w:rsidRPr="00612DC6">
      <w:fldChar w:fldCharType="begin" w:fldLock="1"/>
    </w:r>
    <w:r w:rsidRPr="00612DC6">
      <w:instrText xml:space="preserve"> DOCPROPERTY "YearUser" *\charformat </w:instrText>
    </w:r>
    <w:r w:rsidRPr="00612DC6">
      <w:fldChar w:fldCharType="separate"/>
    </w:r>
    <w:r w:rsidRPr="00612DC6">
      <w:t>2008/09</w:t>
    </w:r>
    <w:r w:rsidRPr="00612DC6">
      <w:fldChar w:fldCharType="end"/>
    </w:r>
    <w:r w:rsidRPr="00612DC6">
      <w:t>:</w:t>
    </w:r>
    <w:r w:rsidRPr="00612DC6">
      <w:fldChar w:fldCharType="begin" w:fldLock="1"/>
    </w:r>
    <w:r w:rsidRPr="00612DC6">
      <w:instrText xml:space="preserve"> DOCPROPERTY "Motionsnummer" *\charformat </w:instrText>
    </w:r>
    <w:r w:rsidRPr="00612DC6">
      <w:fldChar w:fldCharType="separate"/>
    </w:r>
    <w:r w:rsidRPr="00612DC6">
      <w:t>Ub5</w:t>
    </w:r>
    <w:r w:rsidRPr="00612DC6">
      <w:fldChar w:fldCharType="end"/>
    </w:r>
  </w:p>
  <w:p w:rsidR="00612DC6" w:rsidRPr="00612DC6" w:rsidRDefault="00612DC6">
    <w:pPr>
      <w:pStyle w:val="FSHNormalS5"/>
    </w:pPr>
    <w:r w:rsidRPr="00612DC6">
      <w:fldChar w:fldCharType="begin" w:fldLock="1"/>
    </w:r>
    <w:r w:rsidRPr="00612DC6">
      <w:instrText xml:space="preserve"> DOCPROPERTY "MotionarText" *\charformat </w:instrText>
    </w:r>
    <w:r w:rsidRPr="00612DC6">
      <w:fldChar w:fldCharType="separate"/>
    </w:r>
    <w:r w:rsidRPr="00612DC6">
      <w:t>av Amineh Kakabaveh m.fl. (v)</w:t>
    </w:r>
    <w:r w:rsidRPr="00612DC6">
      <w:fldChar w:fldCharType="end"/>
    </w:r>
    <w:r w:rsidRPr="00612DC6">
      <w:br/>
    </w:r>
    <w:r w:rsidRPr="00612DC6">
      <w:fldChar w:fldCharType="begin" w:fldLock="1"/>
    </w:r>
    <w:r w:rsidRPr="00612DC6">
      <w:instrText xml:space="preserve"> DOCPROPERTY "SvarFrasKort" *\charformat </w:instrText>
    </w:r>
    <w:r w:rsidRPr="00612DC6">
      <w:fldChar w:fldCharType="separate"/>
    </w:r>
    <w:r w:rsidRPr="00612DC6">
      <w:t>med anledning av prop. 2008/09:50</w:t>
    </w:r>
    <w:r w:rsidRPr="00612DC6">
      <w:fldChar w:fldCharType="end"/>
    </w:r>
  </w:p>
  <w:p w:rsidR="00612DC6" w:rsidRPr="00612DC6" w:rsidRDefault="00612DC6">
    <w:pPr>
      <w:pStyle w:val="FSHTitel"/>
    </w:pPr>
    <w:r w:rsidRPr="00612DC6">
      <w:fldChar w:fldCharType="begin" w:fldLock="1"/>
    </w:r>
    <w:r w:rsidRPr="00612DC6">
      <w:instrText xml:space="preserve"> DOCPROPERTY</w:instrText>
    </w:r>
    <w:r w:rsidRPr="00612DC6">
      <w:rPr>
        <w:sz w:val="18"/>
      </w:rPr>
      <w:instrText xml:space="preserve"> "RubrikSvar" *\charformat </w:instrText>
    </w:r>
    <w:r w:rsidRPr="00612DC6">
      <w:fldChar w:fldCharType="separate"/>
    </w:r>
    <w:r w:rsidRPr="00612DC6">
      <w:t>Ett lyft för forskning och innovation</w:t>
    </w:r>
    <w:r w:rsidRPr="00612DC6">
      <w:fldChar w:fldCharType="end"/>
    </w:r>
  </w:p>
  <w:p w:rsidR="00612DC6" w:rsidRPr="00612DC6" w:rsidRDefault="00612DC6">
    <w:pPr>
      <w:pStyle w:val="Normal00"/>
    </w:pPr>
  </w:p>
  <w:p w:rsidR="00612DC6" w:rsidRPr="00612DC6" w:rsidRDefault="00612D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CB51AC"/>
    <w:multiLevelType w:val="multilevel"/>
    <w:tmpl w:val="737840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546FEB"/>
    <w:multiLevelType w:val="hybridMultilevel"/>
    <w:tmpl w:val="35A2F38C"/>
    <w:lvl w:ilvl="0" w:tplc="F6A0EA96">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B8FE654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166492">
    <w:abstractNumId w:val="8"/>
  </w:num>
  <w:num w:numId="2" w16cid:durableId="705063281">
    <w:abstractNumId w:val="9"/>
  </w:num>
  <w:num w:numId="3" w16cid:durableId="1830054032">
    <w:abstractNumId w:val="8"/>
  </w:num>
  <w:num w:numId="4" w16cid:durableId="788551426">
    <w:abstractNumId w:val="9"/>
  </w:num>
  <w:num w:numId="5" w16cid:durableId="637883066">
    <w:abstractNumId w:val="15"/>
  </w:num>
  <w:num w:numId="6" w16cid:durableId="1826848367">
    <w:abstractNumId w:val="10"/>
  </w:num>
  <w:num w:numId="7" w16cid:durableId="1010374770">
    <w:abstractNumId w:val="12"/>
  </w:num>
  <w:num w:numId="8" w16cid:durableId="224684798">
    <w:abstractNumId w:val="13"/>
  </w:num>
  <w:num w:numId="9" w16cid:durableId="1536963566">
    <w:abstractNumId w:val="8"/>
  </w:num>
  <w:num w:numId="10" w16cid:durableId="1808352864">
    <w:abstractNumId w:val="3"/>
  </w:num>
  <w:num w:numId="11" w16cid:durableId="551960938">
    <w:abstractNumId w:val="2"/>
  </w:num>
  <w:num w:numId="12" w16cid:durableId="1394159360">
    <w:abstractNumId w:val="1"/>
  </w:num>
  <w:num w:numId="13" w16cid:durableId="1411584762">
    <w:abstractNumId w:val="0"/>
  </w:num>
  <w:num w:numId="14" w16cid:durableId="1120419033">
    <w:abstractNumId w:val="9"/>
  </w:num>
  <w:num w:numId="15" w16cid:durableId="211157759">
    <w:abstractNumId w:val="7"/>
  </w:num>
  <w:num w:numId="16" w16cid:durableId="546717970">
    <w:abstractNumId w:val="6"/>
  </w:num>
  <w:num w:numId="17" w16cid:durableId="2122412082">
    <w:abstractNumId w:val="5"/>
  </w:num>
  <w:num w:numId="18" w16cid:durableId="201600400">
    <w:abstractNumId w:val="4"/>
  </w:num>
  <w:num w:numId="19" w16cid:durableId="500587240">
    <w:abstractNumId w:val="14"/>
  </w:num>
  <w:num w:numId="20" w16cid:durableId="787436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30"/>
    <w:docVar w:name="PersonGUIDs" w:val="{B437467D-995B-4FFC-892D-DDBBF38B903F},{E342D5A8-46A1-48DE-8F45-AD50F7AFB7F8},{58872E4A-D687-4B23-B75B-D8E5DB75EE13},{8B923F15-4996-4696-A089-6A5BE8BF8E1B},{C8129375-7C65-4B2D-94A1-2D02B22B4ED0},{5E1F5B3E-DDB9-4605-85F6-1CAF1124E96C}"/>
  </w:docVars>
  <w:rsids>
    <w:rsidRoot w:val="002C678D"/>
    <w:rsid w:val="002C678D"/>
    <w:rsid w:val="00612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532ADA2-CABC-4549-8489-4C04CE8D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character" w:customStyle="1" w:styleId="bold">
    <w:name w:val="bold"/>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237805">
      <w:bodyDiv w:val="1"/>
      <w:marLeft w:val="0"/>
      <w:marRight w:val="0"/>
      <w:marTop w:val="0"/>
      <w:marBottom w:val="0"/>
      <w:divBdr>
        <w:top w:val="none" w:sz="0" w:space="0" w:color="auto"/>
        <w:left w:val="none" w:sz="0" w:space="0" w:color="auto"/>
        <w:bottom w:val="none" w:sz="0" w:space="0" w:color="auto"/>
        <w:right w:val="none" w:sz="0" w:space="0" w:color="auto"/>
      </w:divBdr>
      <w:divsChild>
        <w:div w:id="885750995">
          <w:marLeft w:val="-15"/>
          <w:marRight w:val="-15"/>
          <w:marTop w:val="0"/>
          <w:marBottom w:val="0"/>
          <w:divBdr>
            <w:top w:val="none" w:sz="0" w:space="0" w:color="auto"/>
            <w:left w:val="single" w:sz="6" w:space="0" w:color="DADADA"/>
            <w:bottom w:val="none" w:sz="0" w:space="0" w:color="auto"/>
            <w:right w:val="single" w:sz="6" w:space="0" w:color="DADADA"/>
          </w:divBdr>
          <w:divsChild>
            <w:div w:id="545220680">
              <w:marLeft w:val="0"/>
              <w:marRight w:val="0"/>
              <w:marTop w:val="0"/>
              <w:marBottom w:val="0"/>
              <w:divBdr>
                <w:top w:val="none" w:sz="0" w:space="0" w:color="auto"/>
                <w:left w:val="single" w:sz="48" w:space="0" w:color="FFFFFF"/>
                <w:bottom w:val="none" w:sz="0" w:space="0" w:color="auto"/>
                <w:right w:val="none" w:sz="0" w:space="0" w:color="auto"/>
              </w:divBdr>
              <w:divsChild>
                <w:div w:id="1276985926">
                  <w:marLeft w:val="-15"/>
                  <w:marRight w:val="-15"/>
                  <w:marTop w:val="0"/>
                  <w:marBottom w:val="0"/>
                  <w:divBdr>
                    <w:top w:val="none" w:sz="0" w:space="0" w:color="auto"/>
                    <w:left w:val="single" w:sz="6" w:space="0" w:color="F9C661"/>
                    <w:bottom w:val="none" w:sz="0" w:space="0" w:color="auto"/>
                    <w:right w:val="single" w:sz="6" w:space="0" w:color="DADADA"/>
                  </w:divBdr>
                  <w:divsChild>
                    <w:div w:id="1915580162">
                      <w:marLeft w:val="-30"/>
                      <w:marRight w:val="-45"/>
                      <w:marTop w:val="0"/>
                      <w:marBottom w:val="0"/>
                      <w:divBdr>
                        <w:top w:val="none" w:sz="0" w:space="0" w:color="auto"/>
                        <w:left w:val="none" w:sz="0" w:space="0" w:color="auto"/>
                        <w:bottom w:val="none" w:sz="0" w:space="0" w:color="auto"/>
                        <w:right w:val="none" w:sz="0" w:space="0" w:color="auto"/>
                      </w:divBdr>
                      <w:divsChild>
                        <w:div w:id="20646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52748">
      <w:bodyDiv w:val="1"/>
      <w:marLeft w:val="0"/>
      <w:marRight w:val="0"/>
      <w:marTop w:val="0"/>
      <w:marBottom w:val="0"/>
      <w:divBdr>
        <w:top w:val="none" w:sz="0" w:space="0" w:color="auto"/>
        <w:left w:val="none" w:sz="0" w:space="0" w:color="auto"/>
        <w:bottom w:val="none" w:sz="0" w:space="0" w:color="auto"/>
        <w:right w:val="none" w:sz="0" w:space="0" w:color="auto"/>
      </w:divBdr>
      <w:divsChild>
        <w:div w:id="854927062">
          <w:marLeft w:val="-15"/>
          <w:marRight w:val="-15"/>
          <w:marTop w:val="0"/>
          <w:marBottom w:val="0"/>
          <w:divBdr>
            <w:top w:val="none" w:sz="0" w:space="0" w:color="auto"/>
            <w:left w:val="single" w:sz="6" w:space="0" w:color="DADADA"/>
            <w:bottom w:val="none" w:sz="0" w:space="0" w:color="auto"/>
            <w:right w:val="single" w:sz="6" w:space="0" w:color="DADADA"/>
          </w:divBdr>
          <w:divsChild>
            <w:div w:id="1436514951">
              <w:marLeft w:val="0"/>
              <w:marRight w:val="0"/>
              <w:marTop w:val="0"/>
              <w:marBottom w:val="0"/>
              <w:divBdr>
                <w:top w:val="none" w:sz="0" w:space="0" w:color="auto"/>
                <w:left w:val="single" w:sz="48" w:space="0" w:color="FFFFFF"/>
                <w:bottom w:val="none" w:sz="0" w:space="0" w:color="auto"/>
                <w:right w:val="none" w:sz="0" w:space="0" w:color="auto"/>
              </w:divBdr>
              <w:divsChild>
                <w:div w:id="1615746757">
                  <w:marLeft w:val="-15"/>
                  <w:marRight w:val="-15"/>
                  <w:marTop w:val="0"/>
                  <w:marBottom w:val="0"/>
                  <w:divBdr>
                    <w:top w:val="none" w:sz="0" w:space="0" w:color="auto"/>
                    <w:left w:val="single" w:sz="6" w:space="0" w:color="F9C661"/>
                    <w:bottom w:val="none" w:sz="0" w:space="0" w:color="auto"/>
                    <w:right w:val="single" w:sz="6" w:space="0" w:color="DADADA"/>
                  </w:divBdr>
                  <w:divsChild>
                    <w:div w:id="509638867">
                      <w:marLeft w:val="-30"/>
                      <w:marRight w:val="-45"/>
                      <w:marTop w:val="0"/>
                      <w:marBottom w:val="0"/>
                      <w:divBdr>
                        <w:top w:val="none" w:sz="0" w:space="0" w:color="auto"/>
                        <w:left w:val="none" w:sz="0" w:space="0" w:color="auto"/>
                        <w:bottom w:val="none" w:sz="0" w:space="0" w:color="auto"/>
                        <w:right w:val="none" w:sz="0" w:space="0" w:color="auto"/>
                      </w:divBdr>
                      <w:divsChild>
                        <w:div w:id="8765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10297</Words>
  <Characters>63845</Characters>
  <Application>Microsoft Office Word</Application>
  <DocSecurity>4</DocSecurity>
  <Lines>1100</Lines>
  <Paragraphs>251</Paragraphs>
  <ScaleCrop>false</ScaleCrop>
  <HeadingPairs>
    <vt:vector size="2" baseType="variant">
      <vt:variant>
        <vt:lpstr>Rubrik</vt:lpstr>
      </vt:variant>
      <vt:variant>
        <vt:i4>1</vt:i4>
      </vt:variant>
    </vt:vector>
  </HeadingPairs>
  <TitlesOfParts>
    <vt:vector size="1" baseType="lpstr">
      <vt:lpstr>v025</vt:lpstr>
    </vt:vector>
  </TitlesOfParts>
  <Company>Riksdagen</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v025</dc:title>
  <dc:subject>v025</dc:subject>
  <dc:creator>Riksdagen</dc:creator>
  <cp:keywords>Riksdagen</cp:keywords>
  <dc:description>TKG-ktrl, MSMQ4mb, PersReg-Distribution mm b-&gt;ny fplogga c-&gt;nygamla s-rosen</dc:description>
  <cp:lastModifiedBy>Lars Brink</cp:lastModifiedBy>
  <cp:revision>2</cp:revision>
  <cp:lastPrinted>2008-12-02T12:01:00Z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mot2000_495_2008-10-30</vt:lpwstr>
  </property>
  <property fmtid="{D5CDD505-2E9C-101B-9397-08002B2CF9AE}" pid="3" name="version">
    <vt:lpwstr>mot2000_495_2008-10-30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(v)\Dinamarca, Rossana (v)\Holma, Siv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Rossana Dinamarca (v), Siv Holma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20082009000000000118000000250075</vt:lpwstr>
  </property>
  <property fmtid="{D5CDD505-2E9C-101B-9397-08002B2CF9AE}" pid="47" name="datum">
    <vt:lpwstr>081113</vt:lpwstr>
  </property>
  <property fmtid="{D5CDD505-2E9C-101B-9397-08002B2CF9AE}" pid="48" name="avsändar-e-post">
    <vt:lpwstr>maya.ek@riksdagen.se</vt:lpwstr>
  </property>
  <property fmtid="{D5CDD505-2E9C-101B-9397-08002B2CF9AE}" pid="49" name="id">
    <vt:lpwstr>20082009000000000118000000250075</vt:lpwstr>
  </property>
  <property fmtid="{D5CDD505-2E9C-101B-9397-08002B2CF9AE}" pid="50" name="nummer">
    <vt:lpwstr>5</vt:lpwstr>
  </property>
  <property fmtid="{D5CDD505-2E9C-101B-9397-08002B2CF9AE}" pid="51" name="utskottsbeteckning">
    <vt:lpwstr>Ub</vt:lpwstr>
  </property>
  <property fmtid="{D5CDD505-2E9C-101B-9397-08002B2CF9AE}" pid="52" name="GlobalUID">
    <vt:lpwstr>{8E28C553-DEB9-4025-80DA-1457BB937DB4}</vt:lpwstr>
  </property>
  <property fmtid="{D5CDD505-2E9C-101B-9397-08002B2CF9AE}" pid="53" name="Överföringar">
    <vt:i4>0</vt:i4>
  </property>
  <property fmtid="{D5CDD505-2E9C-101B-9397-08002B2CF9AE}" pid="54" name="Checksum">
    <vt:lpwstr>*0017983995049*</vt:lpwstr>
  </property>
  <property fmtid="{D5CDD505-2E9C-101B-9397-08002B2CF9AE}" pid="55" name="skuggnummer">
    <vt:lpwstr>3703</vt:lpwstr>
  </property>
  <property fmtid="{D5CDD505-2E9C-101B-9397-08002B2CF9AE}" pid="56" name="urixVersion">
    <vt:lpwstr>3.2.0.8</vt:lpwstr>
  </property>
  <property fmtid="{D5CDD505-2E9C-101B-9397-08002B2CF9AE}" pid="57" name="urixOrigin">
    <vt:lpwstr>090401 20:02:01.515</vt:lpwstr>
  </property>
  <property fmtid="{D5CDD505-2E9C-101B-9397-08002B2CF9AE}" pid="58" name="urixGuid">
    <vt:lpwstr>{8164A79D-4BE8-4286-A17A-7769DE227830}</vt:lpwstr>
  </property>
</Properties>
</file>