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501EAC">
        <w:t>3296</w:t>
      </w:r>
      <w:r w:rsidR="002E3B39">
        <w:t xml:space="preserve"> </w:t>
      </w:r>
      <w:r w:rsidR="00501EAC">
        <w:t>Effekten av farmakologisk behandling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501EAC">
                <w:t>02513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Ju2021/02513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c2fab251-55fd-41cc-b480-93b6274d3dc6</RD_Svarsid>
  </documentManagement>
</p:properties>
</file>

<file path=customXml/itemProps1.xml><?xml version="1.0" encoding="utf-8"?>
<ds:datastoreItem xmlns:ds="http://schemas.openxmlformats.org/officeDocument/2006/customXml" ds:itemID="{A8C62393-5F9C-4363-B715-C06288D1593B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3296.docx</dc:title>
  <cp:revision>6</cp:revision>
  <cp:lastPrinted>2020-09-01T07:09:00Z</cp:lastPrinted>
  <dcterms:created xsi:type="dcterms:W3CDTF">2021-06-29T07:11:00Z</dcterms:created>
  <dcterms:modified xsi:type="dcterms:W3CDTF">2021-06-30T08:02:00Z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