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29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ny vapenlag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starkare skydd för civilbefolkningen vid höjd 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Riksbankens verksamhet och förvaltning 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Skärpta krav för svenskt medborgarskap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Bättre migrationsrättsliga regler för forskare och doktorander samt åtgärder för att motverka missbruk av uppehållstillstånd för studier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Polisreformen 2015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ILO:s konvention om avskaffande av våld och trakasserier i arbetslivet och ILO:s konvention om en säker och hälsosam arbetsmiljö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0 tim. 58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29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2026-04-29</SAFIR_Sammantradesdatum_Doc>
    <SAFIR_SammantradeID xmlns="C07A1A6C-0B19-41D9-BDF8-F523BA3921EB">c2748523-c12e-485d-8c42-8f53ae3e7cdd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E99F75E3-EC30-48A2-B22F-0BB2CA881D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29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