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B9A" w:rsidRPr="000068AA" w:rsidRDefault="00196B9A">
      <w:pPr>
        <w:pStyle w:val="Hemstlrubrik"/>
      </w:pPr>
      <w:r w:rsidRPr="000068AA">
        <w:t>Förslag till riksdagsbeslut</w:t>
      </w:r>
    </w:p>
    <w:p w:rsidR="00196B9A" w:rsidRPr="000068AA" w:rsidRDefault="00196B9A">
      <w:pPr>
        <w:pStyle w:val="Hemstlatt"/>
        <w:numPr>
          <w:ilvl w:val="0"/>
          <w:numId w:val="1"/>
        </w:numPr>
      </w:pPr>
      <w:r w:rsidRPr="000068AA">
        <w:t>Riksdagen tillkännager för regeringen som sin mening vad som anförs i motionen om att utreda de samhällsekonomiska fördelarna med nolltaxa respektive halverade avgifter på Öresund</w:t>
      </w:r>
      <w:r w:rsidRPr="000068AA">
        <w:t>s</w:t>
      </w:r>
      <w:r w:rsidRPr="000068AA">
        <w:t>bron.</w:t>
      </w:r>
    </w:p>
    <w:p w:rsidR="00196B9A" w:rsidRPr="000068AA" w:rsidRDefault="00196B9A">
      <w:pPr>
        <w:pStyle w:val="Hemstlatt"/>
        <w:numPr>
          <w:ilvl w:val="0"/>
          <w:numId w:val="1"/>
        </w:numPr>
      </w:pPr>
      <w:r w:rsidRPr="000068AA">
        <w:t>Riksdagen tillkännager för regeringen som sin mening vad som anförs i motionen om att utreda möjligheterna till hel eller delvis skattefinansiering av Öresundsbron.</w:t>
      </w:r>
    </w:p>
    <w:p w:rsidR="00196B9A" w:rsidRPr="000068AA" w:rsidRDefault="00196B9A">
      <w:pPr>
        <w:pStyle w:val="Hemstlatt"/>
        <w:numPr>
          <w:ilvl w:val="0"/>
          <w:numId w:val="1"/>
        </w:numPr>
      </w:pPr>
      <w:r w:rsidRPr="000068AA">
        <w:t>Riksdagen tillkännager för regeringen som sin mening vad som anförs i motionen om att samma finansieringsprincip ska gälla för Öresundsbron som för andra svenska vägar och broar.</w:t>
      </w:r>
    </w:p>
    <w:p w:rsidR="00196B9A" w:rsidRPr="000068AA" w:rsidRDefault="00196B9A">
      <w:pPr>
        <w:pStyle w:val="Hemstlatt"/>
        <w:numPr>
          <w:ilvl w:val="0"/>
          <w:numId w:val="1"/>
        </w:numPr>
      </w:pPr>
      <w:r w:rsidRPr="000068AA">
        <w:t>Riksdagen tillkännager för regeringen som sin mening vad som anförs i motionen om lägre priser på studenternas tågr</w:t>
      </w:r>
      <w:r w:rsidRPr="000068AA">
        <w:t>e</w:t>
      </w:r>
      <w:r w:rsidRPr="000068AA">
        <w:t>sor.</w:t>
      </w:r>
    </w:p>
    <w:p w:rsidR="00196B9A" w:rsidRPr="000068AA" w:rsidRDefault="00196B9A">
      <w:pPr>
        <w:pStyle w:val="Rubrik1"/>
      </w:pPr>
      <w:r w:rsidRPr="000068AA">
        <w:t>Motivering</w:t>
      </w:r>
    </w:p>
    <w:p w:rsidR="00196B9A" w:rsidRPr="000068AA" w:rsidRDefault="00196B9A">
      <w:r w:rsidRPr="000068AA">
        <w:t>Sedan Öresundsbron byggts har integrationen mellan Skåne och Själland utvecklats. Arbetskraftspendlingen har ökat och i dag pendlar ca 14 000 pe</w:t>
      </w:r>
      <w:r w:rsidRPr="000068AA">
        <w:t>r</w:t>
      </w:r>
      <w:r w:rsidRPr="000068AA">
        <w:t>soner om dagen över Sundet. Omkring 30 procent av Malmös folkökning förra året berodde på inflyttning från Danmark. Svenskar som studerar i Danmark med studiemedel har ökat från 3 till 6 procent av alla svenska u</w:t>
      </w:r>
      <w:r w:rsidRPr="000068AA">
        <w:t>t</w:t>
      </w:r>
      <w:r w:rsidRPr="000068AA">
        <w:t>landsstud</w:t>
      </w:r>
      <w:r w:rsidRPr="000068AA">
        <w:t>e</w:t>
      </w:r>
      <w:r w:rsidRPr="000068AA">
        <w:t xml:space="preserve">rande. </w:t>
      </w:r>
    </w:p>
    <w:p w:rsidR="00196B9A" w:rsidRPr="000068AA" w:rsidRDefault="00196B9A">
      <w:pPr>
        <w:pStyle w:val="Normaltindrag"/>
      </w:pPr>
      <w:r w:rsidRPr="000068AA">
        <w:t>Denna utveckling visar på kraften i Öresundsregionen. Goda kommunik</w:t>
      </w:r>
      <w:r w:rsidRPr="000068AA">
        <w:t>a</w:t>
      </w:r>
      <w:r w:rsidRPr="000068AA">
        <w:t>tioner och undanröjandet av handelshinder som tullar och avgifter har en avgörande betydelse för utbytet över gränser. Det är vår övertygelse att denna positiva utveckling skulle bli mycket starkare om ännu ett stort handelshinder avskaffades – de höga broavgifterna för motorfordon och för tåg. För en va</w:t>
      </w:r>
      <w:r w:rsidRPr="000068AA">
        <w:t>n</w:t>
      </w:r>
      <w:r w:rsidRPr="000068AA">
        <w:t xml:space="preserve">lig inkomsttagare är priset för en enkelresa med bil, ca 300  kr, långt över en prisnivå där man utan tvekan reser över för att göra inköp, gå på teater eller besöka vänner. Även rabattpriset för pendlare </w:t>
      </w:r>
      <w:r w:rsidRPr="000068AA">
        <w:t>är högt för en normalinkoms</w:t>
      </w:r>
      <w:r w:rsidRPr="000068AA">
        <w:t>t</w:t>
      </w:r>
      <w:r w:rsidRPr="000068AA">
        <w:lastRenderedPageBreak/>
        <w:t>tagare. Biltrafiken över bron har visserligen visat stigande siffror efter några år långt under förväntade trafikströmmar. Bron trafikeras i dag av ca 15 000 fordon per dygn, men den har en kapacitet för 40 000. Även en tå</w:t>
      </w:r>
      <w:r w:rsidRPr="000068AA">
        <w:t>g</w:t>
      </w:r>
      <w:r w:rsidRPr="000068AA">
        <w:t>resa kostar betydligt mer än motsvarande sträcka i Sverige eller Danmark.</w:t>
      </w:r>
    </w:p>
    <w:p w:rsidR="00196B9A" w:rsidRPr="000068AA" w:rsidRDefault="00196B9A">
      <w:pPr>
        <w:pStyle w:val="Normaltindrag"/>
      </w:pPr>
      <w:r w:rsidRPr="000068AA">
        <w:t>Det begynnande samarbetet mellan svenska och danska universitet och högskolor hämmas också av de höga bropriserna. Under namnet Öresund</w:t>
      </w:r>
      <w:r w:rsidRPr="000068AA">
        <w:t>s</w:t>
      </w:r>
      <w:r w:rsidRPr="000068AA">
        <w:t>universitetet pågår projekt för att utöka utbyte och samarbete mellan studenter och forskare. De olika universiteten och högskolorna har inlett ett omfattande arbete för att underlätta studier bedrivna växelvis på den svenska och den danska sidan av Öresund. En allmän uppfattning bland lärarna och studente</w:t>
      </w:r>
      <w:r w:rsidRPr="000068AA">
        <w:t>r</w:t>
      </w:r>
      <w:r w:rsidRPr="000068AA">
        <w:t>na är att kostnaderna för tågresor för närvarande utgör det största hindret för studentutbyte. Ett månadskort mellan Malmö och Roskilde är ca 500 kr dyr</w:t>
      </w:r>
      <w:r w:rsidRPr="000068AA">
        <w:t>a</w:t>
      </w:r>
      <w:r w:rsidRPr="000068AA">
        <w:t>re än ett månadskort på motsvarande sträcka Malmö–</w:t>
      </w:r>
      <w:r w:rsidRPr="000068AA">
        <w:t>Kristianstad. Ors</w:t>
      </w:r>
      <w:r w:rsidRPr="000068AA">
        <w:t>a</w:t>
      </w:r>
      <w:r w:rsidRPr="000068AA">
        <w:t>ken är att även järnvägen ska bidra till brons finansiering genom avgifter. Målet borde vara att resekostnaderna är desamma oavsett om resan sker i Skåne, på Själland eller mellan Skåne och Själland. Danmark har ett rabatts</w:t>
      </w:r>
      <w:r w:rsidRPr="000068AA">
        <w:t>y</w:t>
      </w:r>
      <w:r w:rsidRPr="000068AA">
        <w:t xml:space="preserve">stem för sina studenters tågresor men inte Sverige. Därför borde Sverige i väntan på allmänt sänkta broavgifter utarbeta studentrabatter för att underlätta för svenska studenter att studera på båda sidor Öresund.       </w:t>
      </w:r>
    </w:p>
    <w:p w:rsidR="00196B9A" w:rsidRPr="000068AA" w:rsidRDefault="00196B9A">
      <w:pPr>
        <w:pStyle w:val="Normaltindrag"/>
      </w:pPr>
      <w:r w:rsidRPr="000068AA">
        <w:t>De försök med blygsamt sänkta avgifter för bilreso</w:t>
      </w:r>
      <w:r w:rsidRPr="000068AA">
        <w:t>r som genomförts har inte oväntat visat att en avgiftssänkning kan vara ekonomiskt försvarbar, eftersom intäkterna vid lägre avgifter ökar. Samma slutsats har olika forskare inom Öresundsuniversitet dragit. Samtidigt är det en begränsning att disku</w:t>
      </w:r>
      <w:r w:rsidRPr="000068AA">
        <w:t>s</w:t>
      </w:r>
      <w:r w:rsidRPr="000068AA">
        <w:t>sionen måste utgå från att bron fullt ut ska betala sina egna kostnader. Sy</w:t>
      </w:r>
      <w:r w:rsidRPr="000068AA">
        <w:t>n</w:t>
      </w:r>
      <w:r w:rsidRPr="000068AA">
        <w:t>punkter på ekonomisk tillväxt i regionen vägs inte in i diskussionen om br</w:t>
      </w:r>
      <w:r w:rsidRPr="000068AA">
        <w:t>o</w:t>
      </w:r>
      <w:r w:rsidRPr="000068AA">
        <w:t>avgifterna för bilar och tåg.</w:t>
      </w:r>
    </w:p>
    <w:p w:rsidR="00196B9A" w:rsidRPr="000068AA" w:rsidRDefault="00196B9A">
      <w:pPr>
        <w:pStyle w:val="Normaltindrag"/>
      </w:pPr>
      <w:r w:rsidRPr="000068AA">
        <w:t>Utgångspunkten är de tidigare riksdagsbesluten i Danmark och Sverige att broinvest</w:t>
      </w:r>
      <w:r w:rsidRPr="000068AA">
        <w:t xml:space="preserve">eringen ska lånefinansieras och att lånen ska betalas av intäkterna, framför allt från biltrafiken men även från tågtrafiken. Brobygget finansieras i en rent företagsekonomisk kalkyl, men inte i en samhällsekonomisk, vilket annars i Sverige brukar vara fallet vid infrastruktursatsningar. </w:t>
      </w:r>
    </w:p>
    <w:p w:rsidR="00196B9A" w:rsidRPr="000068AA" w:rsidRDefault="00196B9A">
      <w:pPr>
        <w:pStyle w:val="Normaltindrag"/>
      </w:pPr>
      <w:r w:rsidRPr="000068AA">
        <w:t>De höga avgifterna på Öresundsbron fungerar uppenbarligen som ett hi</w:t>
      </w:r>
      <w:r w:rsidRPr="000068AA">
        <w:t>n</w:t>
      </w:r>
      <w:r w:rsidRPr="000068AA">
        <w:t xml:space="preserve">der för handel, arbete och turism.  I stället borde man enligt vår mening se på Öresundsbron som på andra väg- och broprojekt inom det egna landet. </w:t>
      </w:r>
    </w:p>
    <w:p w:rsidR="00196B9A" w:rsidRPr="000068AA" w:rsidRDefault="00196B9A">
      <w:pPr>
        <w:pStyle w:val="Normaltindrag"/>
      </w:pPr>
      <w:r w:rsidRPr="000068AA">
        <w:t>Om argumentet för att bygga bron var förväntad integration och ekon</w:t>
      </w:r>
      <w:r w:rsidRPr="000068AA">
        <w:t>o</w:t>
      </w:r>
      <w:r w:rsidRPr="000068AA">
        <w:t>misk tillväxt är det kontraproduktivt att kräva hundraprocentig självfinansi</w:t>
      </w:r>
      <w:r w:rsidRPr="000068AA">
        <w:t>e</w:t>
      </w:r>
      <w:r w:rsidRPr="000068AA">
        <w:t>ring av bron. Inriktningen borde vara att Öresundsbron finansieras på samma sätt som övriga vägar och broar, oavsett vad slutsatsen blir av de nya disku</w:t>
      </w:r>
      <w:r w:rsidRPr="000068AA">
        <w:t>s</w:t>
      </w:r>
      <w:r w:rsidRPr="000068AA">
        <w:t xml:space="preserve">sionerna om alternativa lösningar och vägavgifter. </w:t>
      </w:r>
    </w:p>
    <w:p w:rsidR="00196B9A" w:rsidRPr="000068AA" w:rsidRDefault="00196B9A">
      <w:pPr>
        <w:pStyle w:val="Normaltindrag"/>
      </w:pPr>
      <w:r w:rsidRPr="000068AA">
        <w:t>Vi menar att frågan om avgifter och frågan om omstrukturering av nuv</w:t>
      </w:r>
      <w:r w:rsidRPr="000068AA">
        <w:t>a</w:t>
      </w:r>
      <w:r w:rsidRPr="000068AA">
        <w:t>rande konsortium, Öresundsbrokonsortiet, borde utredas snarast. En ko</w:t>
      </w:r>
      <w:r w:rsidRPr="000068AA">
        <w:t>m</w:t>
      </w:r>
      <w:r w:rsidRPr="000068AA">
        <w:t>mande utredning borde ges ett öppet uppdrag och vara fri att lämna förslag ober</w:t>
      </w:r>
      <w:r w:rsidRPr="000068AA">
        <w:t>o</w:t>
      </w:r>
      <w:r w:rsidRPr="000068AA">
        <w:t>ende av tidigare riksdagsbeslut. I förlängningen kan följa förhandlingar me</w:t>
      </w:r>
      <w:r w:rsidRPr="000068AA">
        <w:t>l</w:t>
      </w:r>
      <w:r w:rsidRPr="000068AA">
        <w:t>lan den svenska och den danska regeringen om att ändra broavtalet.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8AA">
        <w:trPr>
          <w:cantSplit/>
        </w:trPr>
        <w:tc>
          <w:tcPr>
            <w:tcW w:w="3046" w:type="dxa"/>
          </w:tcPr>
          <w:p w:rsidR="00196B9A" w:rsidRPr="000068AA" w:rsidRDefault="00196B9A">
            <w:pPr>
              <w:pStyle w:val="UnderskriftDatum"/>
              <w:spacing w:before="240"/>
            </w:pPr>
            <w:r w:rsidRPr="000068AA">
              <w:t>Stockholm den 28 september 2007</w:t>
            </w:r>
          </w:p>
        </w:tc>
        <w:tc>
          <w:tcPr>
            <w:tcW w:w="3047" w:type="dxa"/>
          </w:tcPr>
          <w:p w:rsidR="00196B9A" w:rsidRPr="000068AA" w:rsidRDefault="00196B9A">
            <w:pPr>
              <w:pStyle w:val="Underskrifter"/>
              <w:spacing w:before="240"/>
            </w:pPr>
          </w:p>
        </w:tc>
      </w:tr>
      <w:tr w:rsidR="00000000" w:rsidRPr="000068AA">
        <w:trPr>
          <w:cantSplit/>
        </w:trPr>
        <w:tc>
          <w:tcPr>
            <w:tcW w:w="3046" w:type="dxa"/>
          </w:tcPr>
          <w:p w:rsidR="00196B9A" w:rsidRPr="000068AA" w:rsidRDefault="00196B9A">
            <w:pPr>
              <w:pStyle w:val="Underskrifter"/>
            </w:pPr>
            <w:r w:rsidRPr="000068AA">
              <w:t>Ulf Nilsson (fp)</w:t>
            </w:r>
          </w:p>
        </w:tc>
        <w:tc>
          <w:tcPr>
            <w:tcW w:w="3046" w:type="dxa"/>
          </w:tcPr>
          <w:p w:rsidR="00196B9A" w:rsidRPr="000068AA" w:rsidRDefault="00196B9A">
            <w:pPr>
              <w:pStyle w:val="Underskrifter"/>
            </w:pPr>
            <w:r w:rsidRPr="000068AA">
              <w:t>Christer Nylander (fp)</w:t>
            </w:r>
          </w:p>
        </w:tc>
      </w:tr>
    </w:tbl>
    <w:p w:rsidR="00196B9A" w:rsidRPr="000068AA" w:rsidRDefault="00196B9A">
      <w:pPr>
        <w:pStyle w:val="Normaltindrag"/>
      </w:pPr>
    </w:p>
    <w:sectPr w:rsidR="00196B9A" w:rsidRPr="000068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B9A" w:rsidRPr="000068AA" w:rsidRDefault="00196B9A">
      <w:r w:rsidRPr="000068AA">
        <w:separator/>
      </w:r>
    </w:p>
  </w:endnote>
  <w:endnote w:type="continuationSeparator" w:id="0">
    <w:p w:rsidR="00196B9A" w:rsidRPr="000068AA" w:rsidRDefault="00196B9A">
      <w:r w:rsidRPr="000068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0068AA">
    <w:pPr>
      <w:pStyle w:val="Sidfot"/>
    </w:pPr>
    <w:r w:rsidRPr="000068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876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B9A" w:rsidRDefault="00196B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B9A" w:rsidRDefault="00196B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0068AA">
    <w:pPr>
      <w:pStyle w:val="Sidfot"/>
    </w:pPr>
    <w:r w:rsidRPr="000068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994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B9A" w:rsidRDefault="00196B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B9A" w:rsidRDefault="00196B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0068AA">
    <w:pPr>
      <w:pStyle w:val="Sidfot"/>
    </w:pPr>
    <w:r w:rsidRPr="000068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488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B9A" w:rsidRDefault="00196B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B9A" w:rsidRDefault="00196B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B9A" w:rsidRPr="000068AA" w:rsidRDefault="00196B9A">
      <w:r w:rsidRPr="000068AA">
        <w:separator/>
      </w:r>
    </w:p>
  </w:footnote>
  <w:footnote w:type="continuationSeparator" w:id="0">
    <w:p w:rsidR="00196B9A" w:rsidRPr="000068AA" w:rsidRDefault="00196B9A">
      <w:r w:rsidRPr="000068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0068AA">
    <w:pPr>
      <w:pStyle w:val="Sidhuvud"/>
    </w:pPr>
    <w:r w:rsidRPr="000068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31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B9A" w:rsidRDefault="00196B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B9A" w:rsidRDefault="00196B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0068AA">
    <w:pPr>
      <w:pStyle w:val="Sidhuvud"/>
    </w:pPr>
    <w:r w:rsidRPr="000068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591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B9A" w:rsidRDefault="00196B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B9A" w:rsidRDefault="00196B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B9A" w:rsidRPr="000068AA" w:rsidRDefault="00196B9A">
    <w:pPr>
      <w:pStyle w:val="FSHNormal"/>
      <w:tabs>
        <w:tab w:val="right" w:pos="5840"/>
      </w:tabs>
    </w:pPr>
    <w:r w:rsidRPr="000068AA">
      <w:br/>
    </w:r>
    <w:r w:rsidRPr="000068AA">
      <w:fldChar w:fldCharType="begin" w:fldLock="1"/>
    </w:r>
    <w:r w:rsidRPr="000068AA">
      <w:instrText xml:space="preserve"> DOCPROPERTY</w:instrText>
    </w:r>
    <w:r w:rsidRPr="000068AA">
      <w:rPr>
        <w:sz w:val="18"/>
      </w:rPr>
      <w:instrText xml:space="preserve"> "YearUser" *\charformat </w:instrText>
    </w:r>
    <w:r w:rsidRPr="000068AA">
      <w:fldChar w:fldCharType="separate"/>
    </w:r>
    <w:r w:rsidRPr="000068AA">
      <w:t>2007/08</w:t>
    </w:r>
    <w:r w:rsidRPr="000068AA">
      <w:fldChar w:fldCharType="end"/>
    </w:r>
    <w:r w:rsidRPr="000068AA">
      <w:t xml:space="preserve"> </w:t>
    </w:r>
    <w:r w:rsidRPr="000068AA">
      <w:tab/>
      <w:t xml:space="preserve">mnr: </w:t>
    </w:r>
    <w:r w:rsidRPr="000068AA">
      <w:fldChar w:fldCharType="begin" w:fldLock="1"/>
    </w:r>
    <w:r w:rsidRPr="000068AA">
      <w:instrText xml:space="preserve"> DOCPROPERTY</w:instrText>
    </w:r>
    <w:r w:rsidRPr="000068AA">
      <w:rPr>
        <w:sz w:val="18"/>
      </w:rPr>
      <w:instrText xml:space="preserve"> "Motionsnummer" *\charformat </w:instrText>
    </w:r>
    <w:r w:rsidRPr="000068AA">
      <w:fldChar w:fldCharType="separate"/>
    </w:r>
    <w:r w:rsidRPr="000068AA">
      <w:t>T522</w:t>
    </w:r>
    <w:r w:rsidRPr="000068AA">
      <w:fldChar w:fldCharType="end"/>
    </w:r>
    <w:r w:rsidRPr="000068AA">
      <w:br/>
    </w:r>
    <w:r w:rsidRPr="000068AA">
      <w:fldChar w:fldCharType="begin" w:fldLock="1"/>
    </w:r>
    <w:r w:rsidRPr="000068AA">
      <w:instrText xml:space="preserve"> DOCPROPERTY</w:instrText>
    </w:r>
    <w:r w:rsidRPr="000068AA">
      <w:rPr>
        <w:sz w:val="18"/>
      </w:rPr>
      <w:instrText xml:space="preserve"> "Samling" *\charformat </w:instrText>
    </w:r>
    <w:r w:rsidRPr="000068AA">
      <w:fldChar w:fldCharType="end"/>
    </w:r>
    <w:r w:rsidRPr="000068AA">
      <w:tab/>
      <w:t xml:space="preserve">pnr: </w:t>
    </w:r>
    <w:r w:rsidRPr="000068AA">
      <w:fldChar w:fldCharType="begin" w:fldLock="1"/>
    </w:r>
    <w:r w:rsidRPr="000068AA">
      <w:instrText xml:space="preserve"> DOCPROPERTY</w:instrText>
    </w:r>
    <w:r w:rsidRPr="000068AA">
      <w:rPr>
        <w:sz w:val="18"/>
      </w:rPr>
      <w:instrText xml:space="preserve"> "Partinummer" *\charformat </w:instrText>
    </w:r>
    <w:r w:rsidRPr="000068AA">
      <w:fldChar w:fldCharType="separate"/>
    </w:r>
    <w:r w:rsidRPr="000068AA">
      <w:t>fp1227</w:t>
    </w:r>
    <w:r w:rsidRPr="000068AA">
      <w:fldChar w:fldCharType="end"/>
    </w:r>
  </w:p>
  <w:p w:rsidR="00196B9A" w:rsidRPr="000068AA" w:rsidRDefault="00196B9A">
    <w:pPr>
      <w:pStyle w:val="FSHRub1"/>
    </w:pPr>
    <w:r w:rsidRPr="000068AA">
      <w:t>Motion till riksdagen</w:t>
    </w:r>
    <w:r w:rsidRPr="000068AA">
      <w:br/>
    </w:r>
    <w:r w:rsidRPr="000068AA">
      <w:fldChar w:fldCharType="begin" w:fldLock="1"/>
    </w:r>
    <w:r w:rsidRPr="000068AA">
      <w:instrText xml:space="preserve"> DOCPROPERTY "YearUser" *\charformat </w:instrText>
    </w:r>
    <w:r w:rsidRPr="000068AA">
      <w:fldChar w:fldCharType="separate"/>
    </w:r>
    <w:r w:rsidRPr="000068AA">
      <w:t>2007/08</w:t>
    </w:r>
    <w:r w:rsidRPr="000068AA">
      <w:fldChar w:fldCharType="end"/>
    </w:r>
    <w:r w:rsidRPr="000068AA">
      <w:t>:</w:t>
    </w:r>
    <w:r w:rsidRPr="000068AA">
      <w:fldChar w:fldCharType="begin" w:fldLock="1"/>
    </w:r>
    <w:r w:rsidRPr="000068AA">
      <w:instrText xml:space="preserve"> DOCPROPERTY "Motionsnummer" *\charformat </w:instrText>
    </w:r>
    <w:r w:rsidRPr="000068AA">
      <w:fldChar w:fldCharType="separate"/>
    </w:r>
    <w:r w:rsidRPr="000068AA">
      <w:t>T522</w:t>
    </w:r>
    <w:r w:rsidRPr="000068AA">
      <w:fldChar w:fldCharType="end"/>
    </w:r>
  </w:p>
  <w:p w:rsidR="00196B9A" w:rsidRPr="000068AA" w:rsidRDefault="00196B9A">
    <w:pPr>
      <w:pStyle w:val="FSHNormalS5"/>
    </w:pPr>
    <w:r w:rsidRPr="000068AA">
      <w:fldChar w:fldCharType="begin" w:fldLock="1"/>
    </w:r>
    <w:r w:rsidRPr="000068AA">
      <w:instrText xml:space="preserve"> DOCPROPERTY "MotionarText" *\charformat </w:instrText>
    </w:r>
    <w:r w:rsidRPr="000068AA">
      <w:fldChar w:fldCharType="separate"/>
    </w:r>
    <w:r w:rsidRPr="000068AA">
      <w:t>av Ulf Nilsson och Christer Nylander (fp)</w:t>
    </w:r>
    <w:r w:rsidRPr="000068AA">
      <w:fldChar w:fldCharType="end"/>
    </w:r>
    <w:r w:rsidRPr="000068AA">
      <w:br/>
    </w:r>
    <w:r w:rsidRPr="000068AA">
      <w:fldChar w:fldCharType="begin" w:fldLock="1"/>
    </w:r>
    <w:r w:rsidRPr="000068AA">
      <w:instrText xml:space="preserve"> DOCPROPERTY "SvarFrasKort" *\charformat </w:instrText>
    </w:r>
    <w:r w:rsidRPr="000068AA">
      <w:fldChar w:fldCharType="end"/>
    </w:r>
  </w:p>
  <w:p w:rsidR="00196B9A" w:rsidRPr="000068AA" w:rsidRDefault="00196B9A">
    <w:pPr>
      <w:pStyle w:val="FSHTitel"/>
    </w:pPr>
    <w:r w:rsidRPr="000068AA">
      <w:fldChar w:fldCharType="begin" w:fldLock="1"/>
    </w:r>
    <w:r w:rsidRPr="000068AA">
      <w:instrText xml:space="preserve"> DOCPROPERTY</w:instrText>
    </w:r>
    <w:r w:rsidRPr="000068AA">
      <w:rPr>
        <w:sz w:val="18"/>
      </w:rPr>
      <w:instrText xml:space="preserve"> "RubrikSvar" *\charformat </w:instrText>
    </w:r>
    <w:r w:rsidRPr="000068AA">
      <w:fldChar w:fldCharType="separate"/>
    </w:r>
    <w:r w:rsidRPr="000068AA">
      <w:t>Avgifterna på Öresundsbron</w:t>
    </w:r>
    <w:r w:rsidRPr="000068AA">
      <w:fldChar w:fldCharType="end"/>
    </w:r>
  </w:p>
  <w:p w:rsidR="00196B9A" w:rsidRPr="000068AA" w:rsidRDefault="00196B9A">
    <w:pPr>
      <w:pStyle w:val="Normal00"/>
    </w:pPr>
  </w:p>
  <w:p w:rsidR="00196B9A" w:rsidRPr="000068AA" w:rsidRDefault="00196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BC2FA3"/>
    <w:multiLevelType w:val="hybridMultilevel"/>
    <w:tmpl w:val="5D9481FC"/>
    <w:lvl w:ilvl="0" w:tplc="4E2C43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FFA28F0">
      <w:start w:val="1"/>
      <w:numFmt w:val="decimal"/>
      <w:lvlText w:val="%1."/>
      <w:lvlJc w:val="left"/>
      <w:pPr>
        <w:tabs>
          <w:tab w:val="num" w:pos="340"/>
        </w:tabs>
        <w:ind w:left="340" w:hanging="340"/>
      </w:pPr>
      <w:rPr>
        <w:rFonts w:cs="Times New Roman"/>
      </w:rPr>
    </w:lvl>
    <w:lvl w:ilvl="1" w:tplc="CA188E80" w:tentative="1">
      <w:start w:val="1"/>
      <w:numFmt w:val="lowerLetter"/>
      <w:lvlText w:val="%2."/>
      <w:lvlJc w:val="left"/>
      <w:pPr>
        <w:tabs>
          <w:tab w:val="num" w:pos="1440"/>
        </w:tabs>
        <w:ind w:left="1440" w:hanging="360"/>
      </w:pPr>
      <w:rPr>
        <w:rFonts w:cs="Times New Roman"/>
      </w:rPr>
    </w:lvl>
    <w:lvl w:ilvl="2" w:tplc="551ED2BC" w:tentative="1">
      <w:start w:val="1"/>
      <w:numFmt w:val="lowerRoman"/>
      <w:lvlText w:val="%3."/>
      <w:lvlJc w:val="right"/>
      <w:pPr>
        <w:tabs>
          <w:tab w:val="num" w:pos="2160"/>
        </w:tabs>
        <w:ind w:left="2160" w:hanging="180"/>
      </w:pPr>
      <w:rPr>
        <w:rFonts w:cs="Times New Roman"/>
      </w:rPr>
    </w:lvl>
    <w:lvl w:ilvl="3" w:tplc="2848A04C" w:tentative="1">
      <w:start w:val="1"/>
      <w:numFmt w:val="decimal"/>
      <w:lvlText w:val="%4."/>
      <w:lvlJc w:val="left"/>
      <w:pPr>
        <w:tabs>
          <w:tab w:val="num" w:pos="2880"/>
        </w:tabs>
        <w:ind w:left="2880" w:hanging="360"/>
      </w:pPr>
      <w:rPr>
        <w:rFonts w:cs="Times New Roman"/>
      </w:rPr>
    </w:lvl>
    <w:lvl w:ilvl="4" w:tplc="2A0C5D40" w:tentative="1">
      <w:start w:val="1"/>
      <w:numFmt w:val="lowerLetter"/>
      <w:lvlText w:val="%5."/>
      <w:lvlJc w:val="left"/>
      <w:pPr>
        <w:tabs>
          <w:tab w:val="num" w:pos="3600"/>
        </w:tabs>
        <w:ind w:left="3600" w:hanging="360"/>
      </w:pPr>
      <w:rPr>
        <w:rFonts w:cs="Times New Roman"/>
      </w:rPr>
    </w:lvl>
    <w:lvl w:ilvl="5" w:tplc="F3D27FA2" w:tentative="1">
      <w:start w:val="1"/>
      <w:numFmt w:val="lowerRoman"/>
      <w:lvlText w:val="%6."/>
      <w:lvlJc w:val="right"/>
      <w:pPr>
        <w:tabs>
          <w:tab w:val="num" w:pos="4320"/>
        </w:tabs>
        <w:ind w:left="4320" w:hanging="180"/>
      </w:pPr>
      <w:rPr>
        <w:rFonts w:cs="Times New Roman"/>
      </w:rPr>
    </w:lvl>
    <w:lvl w:ilvl="6" w:tplc="D5443EDC" w:tentative="1">
      <w:start w:val="1"/>
      <w:numFmt w:val="decimal"/>
      <w:lvlText w:val="%7."/>
      <w:lvlJc w:val="left"/>
      <w:pPr>
        <w:tabs>
          <w:tab w:val="num" w:pos="5040"/>
        </w:tabs>
        <w:ind w:left="5040" w:hanging="360"/>
      </w:pPr>
      <w:rPr>
        <w:rFonts w:cs="Times New Roman"/>
      </w:rPr>
    </w:lvl>
    <w:lvl w:ilvl="7" w:tplc="135AA55C" w:tentative="1">
      <w:start w:val="1"/>
      <w:numFmt w:val="lowerLetter"/>
      <w:lvlText w:val="%8."/>
      <w:lvlJc w:val="left"/>
      <w:pPr>
        <w:tabs>
          <w:tab w:val="num" w:pos="5760"/>
        </w:tabs>
        <w:ind w:left="5760" w:hanging="360"/>
      </w:pPr>
      <w:rPr>
        <w:rFonts w:cs="Times New Roman"/>
      </w:rPr>
    </w:lvl>
    <w:lvl w:ilvl="8" w:tplc="3DD8D2B2" w:tentative="1">
      <w:start w:val="1"/>
      <w:numFmt w:val="lowerRoman"/>
      <w:lvlText w:val="%9."/>
      <w:lvlJc w:val="right"/>
      <w:pPr>
        <w:tabs>
          <w:tab w:val="num" w:pos="6480"/>
        </w:tabs>
        <w:ind w:left="6480" w:hanging="180"/>
      </w:pPr>
      <w:rPr>
        <w:rFonts w:cs="Times New Roman"/>
      </w:rPr>
    </w:lvl>
  </w:abstractNum>
  <w:num w:numId="1" w16cid:durableId="1990936454">
    <w:abstractNumId w:val="8"/>
  </w:num>
  <w:num w:numId="2" w16cid:durableId="516622294">
    <w:abstractNumId w:val="9"/>
  </w:num>
  <w:num w:numId="3" w16cid:durableId="1262647404">
    <w:abstractNumId w:val="8"/>
  </w:num>
  <w:num w:numId="4" w16cid:durableId="531694553">
    <w:abstractNumId w:val="9"/>
  </w:num>
  <w:num w:numId="5" w16cid:durableId="1274484208">
    <w:abstractNumId w:val="14"/>
  </w:num>
  <w:num w:numId="6" w16cid:durableId="1512526688">
    <w:abstractNumId w:val="10"/>
  </w:num>
  <w:num w:numId="7" w16cid:durableId="1292520243">
    <w:abstractNumId w:val="11"/>
  </w:num>
  <w:num w:numId="8" w16cid:durableId="937714915">
    <w:abstractNumId w:val="13"/>
  </w:num>
  <w:num w:numId="9" w16cid:durableId="797339726">
    <w:abstractNumId w:val="8"/>
  </w:num>
  <w:num w:numId="10" w16cid:durableId="532234028">
    <w:abstractNumId w:val="3"/>
  </w:num>
  <w:num w:numId="11" w16cid:durableId="1324428936">
    <w:abstractNumId w:val="2"/>
  </w:num>
  <w:num w:numId="12" w16cid:durableId="1169252564">
    <w:abstractNumId w:val="1"/>
  </w:num>
  <w:num w:numId="13" w16cid:durableId="1780027169">
    <w:abstractNumId w:val="0"/>
  </w:num>
  <w:num w:numId="14" w16cid:durableId="472912997">
    <w:abstractNumId w:val="9"/>
  </w:num>
  <w:num w:numId="15" w16cid:durableId="486170498">
    <w:abstractNumId w:val="7"/>
  </w:num>
  <w:num w:numId="16" w16cid:durableId="1122382038">
    <w:abstractNumId w:val="6"/>
  </w:num>
  <w:num w:numId="17" w16cid:durableId="1047875479">
    <w:abstractNumId w:val="5"/>
  </w:num>
  <w:num w:numId="18" w16cid:durableId="613513805">
    <w:abstractNumId w:val="4"/>
  </w:num>
  <w:num w:numId="19" w16cid:durableId="971984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8417CD8-0795-41DA-86D3-FD31F6F63690},{6D7D8505-D987-4E65-9DE8-D8558CB42100}"/>
  </w:docVars>
  <w:rsids>
    <w:rsidRoot w:val="001407BF"/>
    <w:rsid w:val="000068AA"/>
    <w:rsid w:val="001407BF"/>
    <w:rsid w:val="00196B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86F04-C296-49E9-B465-B428C167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4213</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fp1227</vt:lpstr>
    </vt:vector>
  </TitlesOfParts>
  <Company>Riksdagen</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fp1227</dc:title>
  <dc:subject>fp1227</dc:subject>
  <dc:creator>Riksdagen</dc:creator>
  <cp:keywords>Riksdagen</cp:keywords>
  <dc:description>TKG-ktrl, MSMQ4mb, PersReg-Distribution mm</dc:description>
  <cp:lastModifiedBy>Lars Brink</cp:lastModifiedBy>
  <cp:revision>2</cp:revision>
  <cp:lastPrinted>2007-11-24T12:05:00Z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Avgifterna på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Avgifterna på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Christer Nylander (fp)</vt:lpwstr>
  </property>
  <property fmtid="{D5CDD505-2E9C-101B-9397-08002B2CF9AE}" pid="26" name="MotionarLista">
    <vt:lpwstr>Nilsson, Ulf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20072008000001020112000012270069</vt:lpwstr>
  </property>
  <property fmtid="{D5CDD505-2E9C-101B-9397-08002B2CF9AE}" pid="47" name="datum">
    <vt:lpwstr>070928</vt:lpwstr>
  </property>
  <property fmtid="{D5CDD505-2E9C-101B-9397-08002B2CF9AE}" pid="48" name="avsändar-e-post">
    <vt:lpwstr>hanna.lager@riksdagen.se</vt:lpwstr>
  </property>
  <property fmtid="{D5CDD505-2E9C-101B-9397-08002B2CF9AE}" pid="49" name="id">
    <vt:lpwstr>20072008000001020112000012270069</vt:lpwstr>
  </property>
  <property fmtid="{D5CDD505-2E9C-101B-9397-08002B2CF9AE}" pid="50" name="nummer">
    <vt:lpwstr>522</vt:lpwstr>
  </property>
  <property fmtid="{D5CDD505-2E9C-101B-9397-08002B2CF9AE}" pid="51" name="utskottsbeteckning">
    <vt:lpwstr>T</vt:lpwstr>
  </property>
  <property fmtid="{D5CDD505-2E9C-101B-9397-08002B2CF9AE}" pid="52" name="GlobalUID">
    <vt:lpwstr>{67CD6751-53AB-41C2-A869-6C5FFF1DF4F6}</vt:lpwstr>
  </property>
  <property fmtid="{D5CDD505-2E9C-101B-9397-08002B2CF9AE}" pid="53" name="Överföringar">
    <vt:i4>0</vt:i4>
  </property>
  <property fmtid="{D5CDD505-2E9C-101B-9397-08002B2CF9AE}" pid="54" name="Checksum">
    <vt:lpwstr>*0007019221983*</vt:lpwstr>
  </property>
  <property fmtid="{D5CDD505-2E9C-101B-9397-08002B2CF9AE}" pid="55" name="skuggnummer">
    <vt:lpwstr>3017</vt:lpwstr>
  </property>
  <property fmtid="{D5CDD505-2E9C-101B-9397-08002B2CF9AE}" pid="56" name="urixVersion">
    <vt:lpwstr>3.2.0.8</vt:lpwstr>
  </property>
  <property fmtid="{D5CDD505-2E9C-101B-9397-08002B2CF9AE}" pid="57" name="urixOrigin">
    <vt:lpwstr>080827 13:32:23.098</vt:lpwstr>
  </property>
  <property fmtid="{D5CDD505-2E9C-101B-9397-08002B2CF9AE}" pid="58" name="urixGuid">
    <vt:lpwstr>{35DC4175-74B3-4731-B6BA-357FAFABE413}</vt:lpwstr>
  </property>
</Properties>
</file>