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42294" w:rsidRDefault="00342294">
            <w:pPr>
              <w:pStyle w:val="HuvudRubrik"/>
            </w:pPr>
            <w:bookmarkStart w:id="0" w:name="BetänkandeRubrik"/>
            <w:bookmarkEnd w:id="0"/>
            <w:r>
              <w:t>Socialförsäkringsutskottets betänkande</w:t>
            </w:r>
            <w:r w:rsidR="007243D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04206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42294" w:rsidRDefault="0034229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5pt;height:77.35pt" fillcolor="window">
                                        <v:imagedata r:id="rId6" o:title="" cropright="-75835f"/>
                                      </v:shape>
                                      <o:OLEObject Type="Embed" ProgID="Word.Picture.8" ShapeID="_x0000_i1025" DrawAspect="Content" ObjectID="_182733667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42294" w:rsidRDefault="00342294">
                            <w:pPr>
                              <w:pStyle w:val="Logo"/>
                            </w:pPr>
                            <w:r>
                              <w:object w:dxaOrig="840" w:dyaOrig="1545">
                                <v:shape id="_x0000_i1025" type="#_x0000_t75" style="width:90.55pt;height:77.35pt" fillcolor="window">
                                  <v:imagedata r:id="rId6" o:title="" cropright="-75835f"/>
                                </v:shape>
                                <o:OLEObject Type="Embed" ProgID="Word.Picture.8" ShapeID="_x0000_i1025" DrawAspect="Content" ObjectID="_1827336678" r:id="rId8"/>
                              </w:object>
                            </w:r>
                          </w:p>
                        </w:txbxContent>
                      </v:textbox>
                      <w10:wrap anchorx="page" anchory="page"/>
                    </v:shape>
                  </w:pict>
                </mc:Fallback>
              </mc:AlternateContent>
            </w:r>
          </w:p>
          <w:p w:rsidR="00342294" w:rsidRDefault="00342294">
            <w:pPr>
              <w:pStyle w:val="HuvudRubrikRad2"/>
            </w:pPr>
            <w:bookmarkStart w:id="17" w:name="BetänkandeNr"/>
            <w:bookmarkEnd w:id="17"/>
            <w:r>
              <w:t>1998/99:SfU11</w:t>
            </w:r>
          </w:p>
          <w:p w:rsidR="00342294" w:rsidRDefault="00342294">
            <w:pPr>
              <w:pStyle w:val="BetnkandeRubrik"/>
            </w:pPr>
            <w:bookmarkStart w:id="18" w:name="Huvudrubrik"/>
            <w:bookmarkEnd w:id="18"/>
            <w:r>
              <w:t>Statens invandrarverk och gränskontroll</w:t>
            </w:r>
          </w:p>
        </w:tc>
        <w:tc>
          <w:tcPr>
            <w:tcW w:w="1559" w:type="dxa"/>
            <w:tcBorders>
              <w:bottom w:val="nil"/>
            </w:tcBorders>
          </w:tcPr>
          <w:p w:rsidR="00342294" w:rsidRDefault="0034229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42294" w:rsidRDefault="00342294">
            <w:pPr>
              <w:spacing w:before="40" w:after="900" w:line="280" w:lineRule="exact"/>
              <w:jc w:val="left"/>
              <w:rPr>
                <w:sz w:val="28"/>
              </w:rPr>
            </w:pPr>
          </w:p>
        </w:tc>
        <w:tc>
          <w:tcPr>
            <w:tcW w:w="1559" w:type="dxa"/>
          </w:tcPr>
          <w:p w:rsidR="00342294" w:rsidRDefault="0034229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42294" w:rsidRDefault="00342294">
            <w:pPr>
              <w:spacing w:before="40" w:after="900" w:line="280" w:lineRule="exact"/>
              <w:jc w:val="left"/>
              <w:rPr>
                <w:sz w:val="28"/>
              </w:rPr>
            </w:pPr>
          </w:p>
        </w:tc>
        <w:tc>
          <w:tcPr>
            <w:tcW w:w="1559" w:type="dxa"/>
            <w:tcBorders>
              <w:bottom w:val="single" w:sz="6" w:space="0" w:color="auto"/>
            </w:tcBorders>
          </w:tcPr>
          <w:p w:rsidR="00342294" w:rsidRDefault="00342294">
            <w:pPr>
              <w:pStyle w:val="rtal"/>
            </w:pPr>
            <w:r>
              <w:t>SfU11</w:t>
            </w:r>
          </w:p>
        </w:tc>
      </w:tr>
      <w:tr w:rsidR="00000000">
        <w:tblPrEx>
          <w:tblCellMar>
            <w:top w:w="0" w:type="dxa"/>
            <w:bottom w:w="0" w:type="dxa"/>
          </w:tblCellMar>
        </w:tblPrEx>
        <w:trPr>
          <w:cantSplit/>
          <w:trHeight w:hRule="exact" w:val="660"/>
        </w:trPr>
        <w:tc>
          <w:tcPr>
            <w:tcW w:w="3012" w:type="dxa"/>
          </w:tcPr>
          <w:p w:rsidR="00342294" w:rsidRDefault="00342294">
            <w:pPr>
              <w:pStyle w:val="StatusSida1"/>
            </w:pPr>
          </w:p>
        </w:tc>
        <w:tc>
          <w:tcPr>
            <w:tcW w:w="3012" w:type="dxa"/>
          </w:tcPr>
          <w:p w:rsidR="00342294" w:rsidRDefault="00342294">
            <w:pPr>
              <w:pStyle w:val="UtskriftsdatumSida1"/>
              <w:rPr>
                <w:b/>
                <w:sz w:val="28"/>
              </w:rPr>
            </w:pPr>
          </w:p>
        </w:tc>
        <w:tc>
          <w:tcPr>
            <w:tcW w:w="1559" w:type="dxa"/>
          </w:tcPr>
          <w:p w:rsidR="00342294" w:rsidRDefault="00342294"/>
        </w:tc>
      </w:tr>
    </w:tbl>
    <w:p w:rsidR="00342294" w:rsidRDefault="00342294">
      <w:pPr>
        <w:pStyle w:val="Rubrik1"/>
        <w:spacing w:before="0"/>
      </w:pPr>
      <w:bookmarkStart w:id="19" w:name="_Toc452257022"/>
      <w:r>
        <w:t>Sammanfattning</w:t>
      </w:r>
      <w:bookmarkEnd w:id="19"/>
    </w:p>
    <w:p w:rsidR="00342294" w:rsidRDefault="00342294">
      <w:bookmarkStart w:id="20" w:name="Textstart"/>
      <w:bookmarkEnd w:id="20"/>
      <w:r>
        <w:t>I detta betänkande behandlas regeringens proposition 1998/99:81 Statens invandrarverk och gränskontroll jämte en motion (mp) som väckts med a</w:t>
      </w:r>
      <w:r>
        <w:t>n</w:t>
      </w:r>
      <w:r>
        <w:t>ledning av propositionen.</w:t>
      </w:r>
    </w:p>
    <w:p w:rsidR="00342294" w:rsidRDefault="00342294">
      <w:pPr>
        <w:pStyle w:val="Normaltindrag"/>
      </w:pPr>
      <w:r>
        <w:t>I propositionen föreslås att Invandrarverket ges befogenhet att, efter öve</w:t>
      </w:r>
      <w:r>
        <w:t>r</w:t>
      </w:r>
      <w:r>
        <w:t>enskommelse med polismyndigheten, bistå polisen vid personkontroll i sa</w:t>
      </w:r>
      <w:r>
        <w:t>m</w:t>
      </w:r>
      <w:r>
        <w:t xml:space="preserve">band med inresa och utresa. Förslaget föranleder ändringar utlänningslagen, som föreslås träda i kraft den 1 juli 1999. </w:t>
      </w:r>
    </w:p>
    <w:p w:rsidR="00342294" w:rsidRDefault="00342294">
      <w:pPr>
        <w:pStyle w:val="Normaltindrag"/>
      </w:pPr>
      <w:r>
        <w:t>Utskottet tillstyrker regeringens förslag och avstyrker motionen.</w:t>
      </w:r>
    </w:p>
    <w:p w:rsidR="00342294" w:rsidRDefault="00342294">
      <w:pPr>
        <w:pStyle w:val="Normaltindrag"/>
      </w:pPr>
      <w:r>
        <w:t xml:space="preserve">Till betänkandet har fogats två reservationer (mp) och ett särskilt yttrande (kd).       </w:t>
      </w:r>
    </w:p>
    <w:p w:rsidR="00342294" w:rsidRDefault="00342294">
      <w:pPr>
        <w:pStyle w:val="Rubrik1"/>
      </w:pPr>
      <w:bookmarkStart w:id="21" w:name="_Toc452257023"/>
      <w:r>
        <w:t>Propositionen</w:t>
      </w:r>
      <w:bookmarkEnd w:id="21"/>
    </w:p>
    <w:p w:rsidR="00342294" w:rsidRDefault="00342294">
      <w:r>
        <w:t>I proposition 1998/99:81 Statens invandrarverk och gränskontroll har reg</w:t>
      </w:r>
      <w:r>
        <w:t>e</w:t>
      </w:r>
      <w:r>
        <w:t xml:space="preserve">ringen (Utrikesdepartementet) föreslagit att riksdagen antar regeringens förslag till lag om ändring i utlänningslagen (1989:529).  </w:t>
      </w:r>
    </w:p>
    <w:p w:rsidR="00342294" w:rsidRDefault="00342294">
      <w:r>
        <w:t>Lagförslaget återfinns som bilaga till betänkandet.</w:t>
      </w:r>
    </w:p>
    <w:p w:rsidR="00342294" w:rsidRDefault="00342294">
      <w:pPr>
        <w:pStyle w:val="Rubrik1"/>
      </w:pPr>
      <w:bookmarkStart w:id="22" w:name="_Toc452257024"/>
      <w:r>
        <w:t>Motionen</w:t>
      </w:r>
      <w:bookmarkEnd w:id="22"/>
    </w:p>
    <w:p w:rsidR="00342294" w:rsidRDefault="00342294">
      <w:r>
        <w:t>1998/99:Sf14 av Kerstin-Maria Stalin m.fl. (mp) vari yrkas</w:t>
      </w:r>
    </w:p>
    <w:p w:rsidR="00342294" w:rsidRDefault="00342294">
      <w:pPr>
        <w:pStyle w:val="Normaltindrag"/>
      </w:pPr>
      <w:r>
        <w:t xml:space="preserve">1. att riksdagen som sin mening ger regeringen till känna vad i motionen anförts om Invandrarverkets befogenheter vid gränskontrollen, </w:t>
      </w:r>
    </w:p>
    <w:p w:rsidR="00342294" w:rsidRDefault="00342294">
      <w:pPr>
        <w:pStyle w:val="Normaltindrag"/>
      </w:pPr>
      <w:r>
        <w:t xml:space="preserve">2. att riksdagen som sin mening ger regeringen till känna vad i motionen anförts om direktavvisningar, </w:t>
      </w:r>
    </w:p>
    <w:p w:rsidR="00342294" w:rsidRDefault="00342294">
      <w:pPr>
        <w:pStyle w:val="Normaltindrag"/>
      </w:pPr>
      <w:r>
        <w:t xml:space="preserve">3. att riksdagen som sin mening ger regeringen till känna vad i motionen anförts om beteckningen ”frivilligt återvändande”, </w:t>
      </w:r>
    </w:p>
    <w:p w:rsidR="00342294" w:rsidRDefault="00342294">
      <w:pPr>
        <w:pStyle w:val="Normaltindrag"/>
      </w:pPr>
      <w:r>
        <w:t xml:space="preserve">4. att riksdagen som sin mening ger regeringen till känna vad i motionen anförts om Dublinkonventionen, </w:t>
      </w:r>
    </w:p>
    <w:p w:rsidR="00342294" w:rsidRDefault="00342294">
      <w:pPr>
        <w:pStyle w:val="Normaltindrag"/>
      </w:pPr>
      <w:r>
        <w:t xml:space="preserve">5. att riksdagen som sin mening ger regeringen till känna vad i motionen anförts om familjesplittring, </w:t>
      </w:r>
    </w:p>
    <w:p w:rsidR="00342294" w:rsidRDefault="00342294">
      <w:pPr>
        <w:pStyle w:val="Normaltindrag"/>
      </w:pPr>
      <w:r>
        <w:t xml:space="preserve">6. att riksdagen som sin mening ger regeringen till känna vad i motionen anförts om barnkonventionen, </w:t>
      </w:r>
    </w:p>
    <w:p w:rsidR="00342294" w:rsidRDefault="00342294">
      <w:pPr>
        <w:pStyle w:val="Normaltindrag"/>
      </w:pPr>
      <w:r>
        <w:lastRenderedPageBreak/>
        <w:t xml:space="preserve">7. att riksdagen som sin mening ger regeringen till känna vad i motionen anförts om tvångsmedel. </w:t>
      </w:r>
    </w:p>
    <w:p w:rsidR="00342294" w:rsidRDefault="00342294">
      <w:pPr>
        <w:pStyle w:val="Rubrik1"/>
      </w:pPr>
      <w:bookmarkStart w:id="23" w:name="_Toc452257025"/>
      <w:r>
        <w:t>Utskottet</w:t>
      </w:r>
      <w:bookmarkEnd w:id="23"/>
    </w:p>
    <w:p w:rsidR="00342294" w:rsidRDefault="00342294">
      <w:pPr>
        <w:pStyle w:val="Rubrik2"/>
        <w:spacing w:before="123"/>
      </w:pPr>
      <w:bookmarkStart w:id="24" w:name="_Toc452257026"/>
      <w:r>
        <w:t>Invandrarverket och gränskontrollen</w:t>
      </w:r>
      <w:bookmarkEnd w:id="24"/>
    </w:p>
    <w:p w:rsidR="00342294" w:rsidRDefault="00342294">
      <w:pPr>
        <w:pStyle w:val="Rubrik3"/>
        <w:spacing w:before="123"/>
      </w:pPr>
      <w:bookmarkStart w:id="25" w:name="_Toc452257027"/>
      <w:r>
        <w:t>Gällande regler</w:t>
      </w:r>
      <w:bookmarkEnd w:id="25"/>
      <w:r>
        <w:t xml:space="preserve"> </w:t>
      </w:r>
    </w:p>
    <w:p w:rsidR="00342294" w:rsidRDefault="00342294">
      <w:r>
        <w:t>Enligt utlänningsförordningen (1989:547) får en utlänning inte utan särskilt tillstånd resa in i eller ut ur landet annat än via s.k. passkontrollorter. Direkt inresa från eller utresa till ett annat nordiskt land får dock också ske på s.k. gränsövergång</w:t>
      </w:r>
      <w:r>
        <w:t>s</w:t>
      </w:r>
      <w:r>
        <w:t xml:space="preserve">ställen. </w:t>
      </w:r>
    </w:p>
    <w:p w:rsidR="00342294" w:rsidRDefault="00342294">
      <w:pPr>
        <w:pStyle w:val="Normaltindrag"/>
      </w:pPr>
      <w:r>
        <w:t>En utlänning är enligt 5 kap. 1 § utlänningslagen (1989:529) vid inresa e</w:t>
      </w:r>
      <w:r>
        <w:t>l</w:t>
      </w:r>
      <w:r>
        <w:t>ler utresa skyldig att visa upp sitt pass för polismyndigheten samt lämna de upplysningar och visa upp de handlingar som är av betydelse för bedömnin</w:t>
      </w:r>
      <w:r>
        <w:t>g</w:t>
      </w:r>
      <w:r>
        <w:t xml:space="preserve">en av utlänningens rätt till inresa och vistelse i Sverige. Tullmyndigheten och Kustbevakningen är skyldiga att bistå polisen vid kontrollen av utlänningars inresa och utresa. </w:t>
      </w:r>
    </w:p>
    <w:p w:rsidR="00342294" w:rsidRDefault="00342294">
      <w:pPr>
        <w:pStyle w:val="Normaltindrag"/>
      </w:pPr>
      <w:r>
        <w:t>I samband med inresekontroll får enligt 5 kap. 2 § utlänningslagen en p</w:t>
      </w:r>
      <w:r>
        <w:t>o</w:t>
      </w:r>
      <w:r>
        <w:t>lisman kroppsvisitera en utlänning samt undersöka hans eller hennes bagage m.m. i den utsträckning som det är nödvändigt för att ta reda på utlänningens identitet och re</w:t>
      </w:r>
      <w:r>
        <w:t>s</w:t>
      </w:r>
      <w:r>
        <w:t xml:space="preserve">väg. </w:t>
      </w:r>
    </w:p>
    <w:p w:rsidR="00342294" w:rsidRDefault="00342294">
      <w:pPr>
        <w:pStyle w:val="Normaltindrag"/>
      </w:pPr>
      <w:r>
        <w:t>Om en utlänning vid ankomsten till Sverige eller därefter ansöker om u</w:t>
      </w:r>
      <w:r>
        <w:t>p</w:t>
      </w:r>
      <w:r>
        <w:t xml:space="preserve">pehållstillstånd får enligt 5 kap. 3 § utlänningslagen polismyndigheten ta hand om utlänningens pass eller annan identitetshandling i avvaktan på att han eller hon får tillstånd att vistas här eller lämnar landet. Vidare får enligt 5 kap. 4 § samma lag en utlännings biljett för resan från Sverige under vissa förutsättningar omhändertas av polismyndigheten. </w:t>
      </w:r>
    </w:p>
    <w:p w:rsidR="00342294" w:rsidRDefault="00342294">
      <w:pPr>
        <w:pStyle w:val="Normaltindrag"/>
      </w:pPr>
      <w:r>
        <w:t>Av  5 kap. 5 § utlänningslagen framgår att polismyndigheten får fotograf</w:t>
      </w:r>
      <w:r>
        <w:t>e</w:t>
      </w:r>
      <w:r>
        <w:t>ra en utlänning och, om han eller hon fyllt 14 år, i vissa fall ta fingeravtryck.</w:t>
      </w:r>
    </w:p>
    <w:p w:rsidR="00342294" w:rsidRDefault="00342294">
      <w:pPr>
        <w:pStyle w:val="Normaltindrag"/>
      </w:pPr>
      <w:r>
        <w:t>När en utlänning, som vistas i Sverige, ansöker om uppehållstillstånd skall ansökan enligt 3 kap. 7 § utlänningsförordningen inges till Statens</w:t>
      </w:r>
      <w:r>
        <w:rPr>
          <w:i/>
        </w:rPr>
        <w:t xml:space="preserve"> </w:t>
      </w:r>
      <w:r>
        <w:t>invan</w:t>
      </w:r>
      <w:r>
        <w:t>d</w:t>
      </w:r>
      <w:r>
        <w:t>rarverk, som är central utlänningsmyndighet med ansvar för utlännings-, invandrar- och medborgarskapsfrågor. Invandrarverket har då enligt 5 kap. 3–5 §§ utlänningslagen samma befogenheter som en polismyndighet att omhänderta en utlännings pass eller annan identitetshandling och biljetter samt att fotografera utlänningen och ta fingera</w:t>
      </w:r>
      <w:r>
        <w:t>v</w:t>
      </w:r>
      <w:r>
        <w:t xml:space="preserve">tryck. </w:t>
      </w:r>
    </w:p>
    <w:p w:rsidR="00342294" w:rsidRDefault="00342294">
      <w:pPr>
        <w:pStyle w:val="Normaltindrag"/>
      </w:pPr>
      <w:r>
        <w:t>Om en utlänning vägrar att följa ett beslut som Invandrarverket fattat bl.a. med stöd av 5 kap. 3–5 §§ utlänningslagen får verket enligt 5 kap. 7 § samma lag be</w:t>
      </w:r>
      <w:r>
        <w:t>gära biträde av polismyndigheten för att genomföra besl</w:t>
      </w:r>
      <w:r>
        <w:t>u</w:t>
      </w:r>
      <w:r>
        <w:t>tet.</w:t>
      </w:r>
    </w:p>
    <w:p w:rsidR="00342294" w:rsidRDefault="00342294">
      <w:pPr>
        <w:pStyle w:val="Normaltindrag"/>
      </w:pPr>
      <w:r>
        <w:t>En polismyndighet kan enligt 23 a § polislagen (1984:387) besluta att den som inte är anställd som sådan inom polisväsendet och inte heller är poli</w:t>
      </w:r>
      <w:r>
        <w:t>s</w:t>
      </w:r>
      <w:r>
        <w:t>man kan förordnas att vara passkontrollant. Om inresekontrollen sker under medverkan av en särskilt förordnad passkontrollant skall enligt 5 kap. 2 § utlänningslagen pass och andra handlingar visas upp för denne. Passkontro</w:t>
      </w:r>
      <w:r>
        <w:t>l</w:t>
      </w:r>
      <w:r>
        <w:t>lanten har under sådana omständigheter samma befogenheter som en poli</w:t>
      </w:r>
      <w:r>
        <w:t>s</w:t>
      </w:r>
      <w:r>
        <w:t xml:space="preserve">man att kroppsvisitera en utlänning och undersöka bagage m.m. </w:t>
      </w:r>
    </w:p>
    <w:p w:rsidR="00342294" w:rsidRDefault="00342294">
      <w:pPr>
        <w:pStyle w:val="Rubrik3"/>
      </w:pPr>
      <w:bookmarkStart w:id="26" w:name="_Toc452257028"/>
      <w:r>
        <w:t>Propositionen</w:t>
      </w:r>
      <w:bookmarkEnd w:id="26"/>
      <w:r>
        <w:t xml:space="preserve"> </w:t>
      </w:r>
    </w:p>
    <w:p w:rsidR="00342294" w:rsidRDefault="00342294">
      <w:r>
        <w:t>I propositionen redovisas den samverkan vid gränsen mellan polismyndighet och Invandrarverket som under senare år har bedrivits på flera orter, framför allt i Skåne. Polismyndigheten i Skåne har därvid förordnat personal från Invandrarverket att vara passkontrollanter. Enligt vad som anges i propos</w:t>
      </w:r>
      <w:r>
        <w:t>i</w:t>
      </w:r>
      <w:r>
        <w:t xml:space="preserve">tionen ökade andelen ansökningar vid gränsen under den period projektet pågick. Det totala antalet asylansökningar påverkades dock inte i någon nämnvärd utsträckning. </w:t>
      </w:r>
    </w:p>
    <w:p w:rsidR="00342294" w:rsidRDefault="00342294">
      <w:pPr>
        <w:pStyle w:val="Normaltindrag"/>
      </w:pPr>
      <w:r>
        <w:t>Enligt regeringen framstår det som klart att polismyndigheterna och I</w:t>
      </w:r>
      <w:r>
        <w:t>n</w:t>
      </w:r>
      <w:r>
        <w:t>vandrarverket genom samverkan ytterligare kan förbättra inresekontrollen. För att polismyndigheterna skall ges möjlighet till en långsiktig planering av samarbetet bör Invandrarverket ges en mer permanent roll i gränskontrol</w:t>
      </w:r>
      <w:r>
        <w:t>l</w:t>
      </w:r>
      <w:r>
        <w:t>verksamheten. Det föreslås därför att 5 kap. 1 och 2 §§ utlänningslagen än</w:t>
      </w:r>
      <w:r>
        <w:t>d</w:t>
      </w:r>
      <w:r>
        <w:t>ras så att Invandrarverket får befogenhet att efter överenskommelse med polismyndigheten bistå polisen vid kontrollen av utlännin</w:t>
      </w:r>
      <w:r>
        <w:t>g</w:t>
      </w:r>
      <w:r>
        <w:t>ars in- och utresa.</w:t>
      </w:r>
    </w:p>
    <w:p w:rsidR="00342294" w:rsidRDefault="00342294">
      <w:pPr>
        <w:pStyle w:val="Normaltindrag"/>
      </w:pPr>
      <w:r>
        <w:t xml:space="preserve">I propositionen framhålls att polismyndigheten skall ha kvar </w:t>
      </w:r>
      <w:r>
        <w:t>huvudansv</w:t>
      </w:r>
      <w:r>
        <w:t>a</w:t>
      </w:r>
      <w:r>
        <w:t>ret för gränskontrollen och att Invandrarverkets funktion blir att komplettera polisen vid kontrollen. Invandrarverkets insats skall således ske under pol</w:t>
      </w:r>
      <w:r>
        <w:t>i</w:t>
      </w:r>
      <w:r>
        <w:t>sens ledning. Såväl Invandrarverket som polismyndigheten skall dock kunna ta initiativ till att en överenskommelse träffas. Enligt vad som anges i prop</w:t>
      </w:r>
      <w:r>
        <w:t>o</w:t>
      </w:r>
      <w:r>
        <w:t>sitionen är det mycket viktigt att Invandrarverket kan öka sin närvaro vid gränsen för att medverka till att en större andel ansökningar om uppehållstil</w:t>
      </w:r>
      <w:r>
        <w:t>l</w:t>
      </w:r>
      <w:r>
        <w:t>stånd görs redan i samband med att utlänni</w:t>
      </w:r>
      <w:r>
        <w:t xml:space="preserve">ngen reser in i Sverige. </w:t>
      </w:r>
    </w:p>
    <w:p w:rsidR="00342294" w:rsidRDefault="00342294">
      <w:pPr>
        <w:pStyle w:val="Normaltindrag"/>
      </w:pPr>
      <w:r>
        <w:t>Om Invandrarverket medverkar vid inresekontrollen skall enligt förslaget pass och andra handlingar visas upp för tjänstemannen vid Invan</w:t>
      </w:r>
      <w:r>
        <w:t>d</w:t>
      </w:r>
      <w:r>
        <w:t>rarverket.</w:t>
      </w:r>
    </w:p>
    <w:p w:rsidR="00342294" w:rsidRDefault="00342294">
      <w:pPr>
        <w:pStyle w:val="Normaltindrag"/>
      </w:pPr>
      <w:r>
        <w:t>Ändringarna föreslås träda i kraft den 1 juli 1999.</w:t>
      </w:r>
    </w:p>
    <w:p w:rsidR="00342294" w:rsidRDefault="00342294">
      <w:pPr>
        <w:pStyle w:val="Normaltindrag"/>
      </w:pPr>
      <w:r>
        <w:t>I propositionen görs också bedömningen att Invandrarverket inte bör ges befogenhet att använda tvångsmedel för att genomföra gränskontrollen. Enligt regeringen skulle en sådan befogenhet negativt kunna påverka synen på Invandrarverkets övriga verksamhet. Invandrarverket har visserligen sedan den 1 oktober 1997 enligt de nya reglerna om förvar i 6 kap. utlä</w:t>
      </w:r>
      <w:r>
        <w:t>n</w:t>
      </w:r>
      <w:r>
        <w:t>ningslagen rätt att använda visst tvång, men verket saknar enligt regeringen i princip helt befogenhet att använda tvång utanför förvarslokalerna och deras närmaste omgivningar.</w:t>
      </w:r>
    </w:p>
    <w:p w:rsidR="00342294" w:rsidRDefault="00342294">
      <w:pPr>
        <w:pStyle w:val="Normaltindrag"/>
      </w:pPr>
      <w:r>
        <w:t>Regeringen bedömer vidare att Invandrarverkets åtagande kan ske inom ramen för de befintliga ekonomiska ramarna på anslag A 1 Statens invan</w:t>
      </w:r>
      <w:r>
        <w:t>d</w:t>
      </w:r>
      <w:r>
        <w:t>rarverk samt att kostnaderna för asylmottagandet kan komma att minska till följd av en e</w:t>
      </w:r>
      <w:r>
        <w:t>f</w:t>
      </w:r>
      <w:r>
        <w:t>fektivare handläggning.</w:t>
      </w:r>
    </w:p>
    <w:p w:rsidR="00342294" w:rsidRDefault="00342294">
      <w:pPr>
        <w:pStyle w:val="Normaltindrag"/>
      </w:pPr>
      <w:r>
        <w:t>Det föreslås vidare, som en följd av Tullverkets omorganisation under v</w:t>
      </w:r>
      <w:r>
        <w:t>å</w:t>
      </w:r>
      <w:r>
        <w:t>ren 1999, att i 6 kap. 11 § utlänningslagen ordet ”tullmyndigheten” byts mot ordet ”Tullverket”. Motsvarande ändring föreslås i 5 kap. 1 och 2 §§ samma lag. Även dessa ändringar föreslås träda i kraft den 1 juli 1999.</w:t>
      </w:r>
    </w:p>
    <w:p w:rsidR="00342294" w:rsidRDefault="00342294">
      <w:pPr>
        <w:pStyle w:val="Rubrik3"/>
      </w:pPr>
      <w:bookmarkStart w:id="27" w:name="_Toc452257029"/>
      <w:r>
        <w:t>Motionen</w:t>
      </w:r>
      <w:bookmarkEnd w:id="27"/>
    </w:p>
    <w:p w:rsidR="00342294" w:rsidRDefault="00342294">
      <w:r>
        <w:t>I motion Sf14 av Kerstin-Maria Stalin m.fl. (mp) begärs i yrkande 1 ett til</w:t>
      </w:r>
      <w:r>
        <w:t>l</w:t>
      </w:r>
      <w:r>
        <w:t>kännagivande om Invandrarverkets befogenheter vid gränskontrollen. M</w:t>
      </w:r>
      <w:r>
        <w:t>o</w:t>
      </w:r>
      <w:r>
        <w:t>tionärerna menar att det är viktigt att inte enbart ha det effektiva asylförf</w:t>
      </w:r>
      <w:r>
        <w:t>a</w:t>
      </w:r>
      <w:r>
        <w:t>randet för ögonen. Invandrarverkets personal måste även garantera rättss</w:t>
      </w:r>
      <w:r>
        <w:t>ä</w:t>
      </w:r>
      <w:r>
        <w:t xml:space="preserve">kerheten och vara lyhörd för om en person vill söka asyl. </w:t>
      </w:r>
    </w:p>
    <w:p w:rsidR="00342294" w:rsidRDefault="00342294">
      <w:pPr>
        <w:pStyle w:val="Normaltindrag"/>
      </w:pPr>
      <w:r>
        <w:t>I yrkande 2 begärs ett tillkännagivande om direktavvisningar, som enligt motionärerna är riskabla från rättssäkerhetssynpunkt. Direktavvisningar bör därför endast ske i solkl</w:t>
      </w:r>
      <w:r>
        <w:t>a</w:t>
      </w:r>
      <w:r>
        <w:t xml:space="preserve">ra fall. </w:t>
      </w:r>
    </w:p>
    <w:p w:rsidR="00342294" w:rsidRDefault="00342294">
      <w:pPr>
        <w:pStyle w:val="Normaltindrag"/>
      </w:pPr>
      <w:r>
        <w:t>I yrkande 7 begärs ett tillkännagivande om tvångsmedel. Motionärerna ser det som självklart att Invandrarverket inte skall utrustas med egna polisiära befoge</w:t>
      </w:r>
      <w:r>
        <w:t>n</w:t>
      </w:r>
      <w:r>
        <w:t>heter.</w:t>
      </w:r>
    </w:p>
    <w:p w:rsidR="00342294" w:rsidRDefault="00342294">
      <w:pPr>
        <w:pStyle w:val="R3"/>
      </w:pPr>
      <w:r>
        <w:t xml:space="preserve">Utskottets bedömning  </w:t>
      </w:r>
    </w:p>
    <w:p w:rsidR="00342294" w:rsidRDefault="00342294">
      <w:r>
        <w:t>Utskottet anser i likhet med regeringen att Invandrarverket bör ges befoge</w:t>
      </w:r>
      <w:r>
        <w:t>n</w:t>
      </w:r>
      <w:r>
        <w:t>heter att efter överenskommelse med polismyndigheten bistå polisen vid personkontroll i samband med inresa och utresa. Utskottet delar vidare up</w:t>
      </w:r>
      <w:r>
        <w:t>p</w:t>
      </w:r>
      <w:r>
        <w:t>fattningen att Invandrarverkets insats bör ske under polisens ledning och att verket inte bör ges befogenhet att använda tvångsmedel. Utskottet biträder de föreslagna ändringarna i 5 kap. 1 och 2 §§ utlänningslagen. Motion Sf14 yrkande 7 om att Invandrarverket inte skall utrustas med egna polisiära bef</w:t>
      </w:r>
      <w:r>
        <w:t>o</w:t>
      </w:r>
      <w:r>
        <w:t xml:space="preserve">genheter får anses tillgodosedd med det anförda. </w:t>
      </w:r>
    </w:p>
    <w:p w:rsidR="00342294" w:rsidRDefault="00342294">
      <w:pPr>
        <w:pStyle w:val="Normaltindrag"/>
      </w:pPr>
      <w:r>
        <w:t>Utskottet bi</w:t>
      </w:r>
      <w:r>
        <w:t>träder vidare förslaget om ändring i 6 kap. 11 § utlänningsl</w:t>
      </w:r>
      <w:r>
        <w:t>a</w:t>
      </w:r>
      <w:r>
        <w:t>gen.</w:t>
      </w:r>
    </w:p>
    <w:p w:rsidR="00342294" w:rsidRDefault="00342294">
      <w:pPr>
        <w:pStyle w:val="Normaltindrag"/>
      </w:pPr>
      <w:r>
        <w:t>Vad gäller kraven att personalen måste garantera rättssäkerheten och vara lyhörd för om en person vill söka asyl respektive att direktavvisningar endast skall ske i ”solklara fall” vill utskottet särskilt framhålla att med den nya ordningen kommer Invandrarverkets personal att få kontakt med de asyls</w:t>
      </w:r>
      <w:r>
        <w:t>ö</w:t>
      </w:r>
      <w:r>
        <w:t>kande i ett långt tidigare skede än vad som normalt sker i dag. Det innebär att utredningen kan påbörjas i princip så snart som den sökande har anlänt till Sverige. Detta förhållande är till fördel för den sökande som därmed snabb</w:t>
      </w:r>
      <w:r>
        <w:t>a</w:t>
      </w:r>
      <w:r>
        <w:t>re bör kunna få besked om huruvida han eller hon får stanna i Sverige. U</w:t>
      </w:r>
      <w:r>
        <w:t>t</w:t>
      </w:r>
      <w:r>
        <w:t>skottet avstyrker därmed motion Sf14 yrkandena 1 och 2.</w:t>
      </w:r>
    </w:p>
    <w:p w:rsidR="00342294" w:rsidRDefault="00342294">
      <w:pPr>
        <w:pStyle w:val="Rubrik2"/>
      </w:pPr>
      <w:bookmarkStart w:id="28" w:name="_Toc452257030"/>
      <w:r>
        <w:t>Övriga frågor</w:t>
      </w:r>
      <w:bookmarkEnd w:id="28"/>
      <w:r>
        <w:t xml:space="preserve"> </w:t>
      </w:r>
    </w:p>
    <w:p w:rsidR="00342294" w:rsidRDefault="00342294">
      <w:pPr>
        <w:pStyle w:val="R3"/>
        <w:spacing w:before="123"/>
      </w:pPr>
      <w:r>
        <w:t xml:space="preserve">Motionen </w:t>
      </w:r>
    </w:p>
    <w:p w:rsidR="00342294" w:rsidRDefault="00342294">
      <w:r>
        <w:t>I motion Sf14 av Kerstin-Maria Stalin m.fl. (mp) begärs i yrkande 3 ett til</w:t>
      </w:r>
      <w:r>
        <w:t>l</w:t>
      </w:r>
      <w:r>
        <w:t>kännagivande om beteckningen ”frivilligt återvändande”. Motionärerna framhåller att de enda verkställighetsärenden som numera skall överlämnas till polisen är de som kräver tvångsingripande eller efterlysning. Om inte en person som skall avvisas går under jorden eller tar till våldsamt motstånd så betraktas han eller hon som frivilligt återvändande oavsett omständigh</w:t>
      </w:r>
      <w:r>
        <w:t>e</w:t>
      </w:r>
      <w:r>
        <w:t xml:space="preserve">terna. </w:t>
      </w:r>
    </w:p>
    <w:p w:rsidR="00342294" w:rsidRDefault="00342294">
      <w:pPr>
        <w:pStyle w:val="Normaltindrag"/>
      </w:pPr>
      <w:r>
        <w:t>I yrkande 4 begär motionärerna ett tillkännagivande om Dublinkonventi</w:t>
      </w:r>
      <w:r>
        <w:t>o</w:t>
      </w:r>
      <w:r>
        <w:t>nen. De anser att Sverige bör använda sig av den möjlighet som konventi</w:t>
      </w:r>
      <w:r>
        <w:t>o</w:t>
      </w:r>
      <w:r>
        <w:t>nen anvisar, nämligen att med den sökandes samtycke pröva en asylansökan som framställts även om prövningen inte åligger staten enligt konventionen. Enligt motionärerna borde Sverige se till att t.ex. barnfamiljer som kommit från annat EU-land skall äga rätt att söka uppehållstillstånd i Sverige trots Dublinko</w:t>
      </w:r>
      <w:r>
        <w:t>n</w:t>
      </w:r>
      <w:r>
        <w:t xml:space="preserve">ventionen. </w:t>
      </w:r>
    </w:p>
    <w:p w:rsidR="00342294" w:rsidRDefault="00342294">
      <w:pPr>
        <w:pStyle w:val="Normaltindrag"/>
      </w:pPr>
      <w:r>
        <w:t>I yrkandena 5 och 6 begärs tillkännagivanden om familjesplittring respe</w:t>
      </w:r>
      <w:r>
        <w:t>k</w:t>
      </w:r>
      <w:r>
        <w:t>tive om barnkonventionen. Enligt motionärerna skall en familj aldrig få splittras vid en verkställighet oavsett om familjen har barn eller ej. Vidare bör det utvärderas om portalparagrafen i 1 kap. 1 § utlänningslagen om att beakta barnets bästa har slagit igenom.</w:t>
      </w:r>
    </w:p>
    <w:p w:rsidR="00342294" w:rsidRDefault="00342294">
      <w:pPr>
        <w:pStyle w:val="R3"/>
      </w:pPr>
      <w:r>
        <w:t>Utskottets bedömning</w:t>
      </w:r>
    </w:p>
    <w:p w:rsidR="00342294" w:rsidRDefault="00342294">
      <w:r>
        <w:t>Av 8 kap. 12 § utlänningslagen framgår att vissa beslut, bl.a. en polismy</w:t>
      </w:r>
      <w:r>
        <w:t>n</w:t>
      </w:r>
      <w:r>
        <w:t xml:space="preserve">dighets beslut om avvisning och Invandrarverkets beslut om avvisning med förordnande om omedelbar verkställighet, skall verkställas snarast möjligt. I andra fall skall en utlänning som avvisats lämna landet inom två veckor och en utlänning som har utvisats lämna landet inom fyra veckor efter det att beslutet vann laga kraft. </w:t>
      </w:r>
    </w:p>
    <w:p w:rsidR="00342294" w:rsidRDefault="00342294">
      <w:pPr>
        <w:pStyle w:val="Normaltindrag"/>
      </w:pPr>
      <w:r>
        <w:t>Enligt den nya ordning för verkställighet som gäller fr.o.m. den 1 januari 1999 har huvudansvaret för verkställighet av avvisnings- och utvisningsb</w:t>
      </w:r>
      <w:r>
        <w:t>e</w:t>
      </w:r>
      <w:r>
        <w:t>slut med vissa undantag överförts från polisen till Invandrarverket. Invan</w:t>
      </w:r>
      <w:r>
        <w:t>d</w:t>
      </w:r>
      <w:r>
        <w:t>rarverket har samtidigt fått möjlighet att lämna över ärenden till polismy</w:t>
      </w:r>
      <w:r>
        <w:t>n</w:t>
      </w:r>
      <w:r>
        <w:t>digheten för verkställighet om utlänningen håller sig undan och inte kan anträffas utan polismyndighetens medverkan eller om det kan antas att tvång kommer att behövas för att genomföra verkställigheten (8 kap. 11 och 17 §§ utlä</w:t>
      </w:r>
      <w:r>
        <w:t>n</w:t>
      </w:r>
      <w:r>
        <w:t xml:space="preserve">ningslagen). </w:t>
      </w:r>
    </w:p>
    <w:p w:rsidR="00342294" w:rsidRDefault="00342294">
      <w:pPr>
        <w:pStyle w:val="Normaltindrag"/>
      </w:pPr>
      <w:r>
        <w:t>Även om en person, som fått ett avvisnings- eller utvisningsbeslut, endast motvilligt lämnar landet kan det enligt uts</w:t>
      </w:r>
      <w:r>
        <w:t>kottets mening inte anses som en nackdel ens från den avvisades/utvisades sida att detta kunnat ske utan att ärendet överlämnats till polisen. Utskottet anser inte att det finns skäl för riksdagen att göra något uttalande i denna fråga. Med det anförda avstyrks motion Sf14 yrka</w:t>
      </w:r>
      <w:r>
        <w:t>n</w:t>
      </w:r>
      <w:r>
        <w:t>de 3.</w:t>
      </w:r>
    </w:p>
    <w:p w:rsidR="00342294" w:rsidRDefault="00342294">
      <w:pPr>
        <w:pStyle w:val="Normaltindrag"/>
      </w:pPr>
      <w:r>
        <w:t>Som framhålls i motionen har varje medlemsstat enligt Dublinkonventi</w:t>
      </w:r>
      <w:r>
        <w:t>o</w:t>
      </w:r>
      <w:r>
        <w:t>nen rätt att med den sökandes samtycke pröva en asylansökan som fra</w:t>
      </w:r>
      <w:r>
        <w:t>m</w:t>
      </w:r>
      <w:r>
        <w:t>ställts till den även om prövningen inte åligger medlemsstaten. Inte heller i denna fråga är det enligt utskottets mening påkallat med något uttalande från riksdagens sida. Utskottet avstyrker därför motion Sf14 yrka</w:t>
      </w:r>
      <w:r>
        <w:t>n</w:t>
      </w:r>
      <w:r>
        <w:t xml:space="preserve">de 4. </w:t>
      </w:r>
    </w:p>
    <w:p w:rsidR="00342294" w:rsidRDefault="00342294">
      <w:pPr>
        <w:pStyle w:val="Normaltindrag"/>
      </w:pPr>
      <w:r>
        <w:t>Såvitt gäller yrkandet rörande familjesplittring har utskottet tidigare a</w:t>
      </w:r>
      <w:r>
        <w:t>v</w:t>
      </w:r>
      <w:r>
        <w:t>styrkt ett liknande yrkande (se bet. 1998/99:SfU5 s. 41). Utskottet anförde bl.a. att det var utskottets uppfattning att myndigheterna så långt det på dem ankommer måste försöka undvika att i samband med ett verkställighetsbeslut splittra familjer där det finns barn. Samtidigt påpekade utskottet att poli</w:t>
      </w:r>
      <w:r>
        <w:t>s</w:t>
      </w:r>
      <w:r>
        <w:t xml:space="preserve">myndigheten står inför stora problem när någon av familjemedlemmarna håller sig undan verkställigheten eller när hela familjen inte är möjlig att avvisa till samma land.  </w:t>
      </w:r>
    </w:p>
    <w:p w:rsidR="00342294" w:rsidRDefault="00342294">
      <w:pPr>
        <w:pStyle w:val="Normaltindrag"/>
      </w:pPr>
      <w:r>
        <w:t>Utskottet anser liksom tidigare a</w:t>
      </w:r>
      <w:r>
        <w:t>tt det finns all anledning att undvika f</w:t>
      </w:r>
      <w:r>
        <w:t>a</w:t>
      </w:r>
      <w:r>
        <w:t>miljesplittring i samband med verkställighet av t.ex. ett avvisningsbeslut. Eftersom något uttryckligt förbud mot detta rimligen inte kan föreskrivas avsty</w:t>
      </w:r>
      <w:r>
        <w:t>r</w:t>
      </w:r>
      <w:r>
        <w:t>ker utskottet motion Sf14 yrkande 5.</w:t>
      </w:r>
    </w:p>
    <w:p w:rsidR="00342294" w:rsidRDefault="00342294">
      <w:pPr>
        <w:pStyle w:val="Normaltindrag"/>
      </w:pPr>
      <w:r>
        <w:t>När det gäller kravet att utvärdera den s.k. portalparagrafen erinrar utsko</w:t>
      </w:r>
      <w:r>
        <w:t>t</w:t>
      </w:r>
      <w:r>
        <w:t>tet om att en arbetsgrupp tillsatts inom Utrikesdepartementet bl.a. för att utvärdera tillämpningen av portalbestämmelsen och att detta arbete skall vara avslutat under maj 1999. Utskottet, som anser att det är angeläget att bar</w:t>
      </w:r>
      <w:r>
        <w:t>n</w:t>
      </w:r>
      <w:r>
        <w:t>konventionens bestämmelser får genomslag i tillämpningen av utlänningsl</w:t>
      </w:r>
      <w:r>
        <w:t>a</w:t>
      </w:r>
      <w:r>
        <w:t>gen, anser dock att resultatet av arbetsgruppens arbete bör avvaktas. Motion Sf14 yrka</w:t>
      </w:r>
      <w:r>
        <w:t>n</w:t>
      </w:r>
      <w:r>
        <w:t>de 6 avstyrks därmed.</w:t>
      </w:r>
    </w:p>
    <w:p w:rsidR="00342294" w:rsidRDefault="00342294">
      <w:pPr>
        <w:pStyle w:val="Rubrik2"/>
      </w:pPr>
      <w:bookmarkStart w:id="29" w:name="_Toc452257031"/>
      <w:r>
        <w:t>Hemställan</w:t>
      </w:r>
      <w:bookmarkEnd w:id="29"/>
    </w:p>
    <w:p w:rsidR="00342294" w:rsidRDefault="00342294">
      <w:r>
        <w:t>Utskottet hemställer</w:t>
      </w:r>
    </w:p>
    <w:p w:rsidR="00342294" w:rsidRDefault="00342294">
      <w:pPr>
        <w:pStyle w:val="hembetr"/>
      </w:pPr>
      <w:bookmarkStart w:id="30" w:name="Nästa_Hpunkt"/>
      <w:bookmarkEnd w:id="30"/>
      <w:r>
        <w:t xml:space="preserve">1. beträffande </w:t>
      </w:r>
      <w:r>
        <w:rPr>
          <w:i/>
        </w:rPr>
        <w:t>Invandrarverkets befogenheter vid gränskontroll</w:t>
      </w:r>
    </w:p>
    <w:p w:rsidR="00342294" w:rsidRDefault="00342294">
      <w:pPr>
        <w:pStyle w:val="hemtext"/>
      </w:pPr>
      <w:r>
        <w:t>att riksdagen med avslag på motion 1998/99:Sf14 yrkandena 1, 2 och 7 antar regeringens förslag till lag om ändring i utlänningslagen (1989:529),</w:t>
      </w:r>
    </w:p>
    <w:p w:rsidR="00342294" w:rsidRDefault="00342294">
      <w:pPr>
        <w:pStyle w:val="Reseftermom"/>
      </w:pPr>
      <w:r>
        <w:t>res. 1 (mp)</w:t>
      </w:r>
      <w:bookmarkStart w:id="31" w:name="RESPARTI001"/>
      <w:bookmarkEnd w:id="31"/>
    </w:p>
    <w:p w:rsidR="00342294" w:rsidRDefault="00342294">
      <w:pPr>
        <w:pStyle w:val="hembetr"/>
      </w:pPr>
      <w:r>
        <w:t xml:space="preserve">2. beträffande </w:t>
      </w:r>
      <w:r>
        <w:rPr>
          <w:i/>
        </w:rPr>
        <w:t>övriga frågor</w:t>
      </w:r>
    </w:p>
    <w:p w:rsidR="00342294" w:rsidRDefault="00342294">
      <w:pPr>
        <w:pStyle w:val="hemtext"/>
      </w:pPr>
      <w:r>
        <w:t>att riksdagen avslår motion 1998/99:Sf14 yrkandena 3–6.</w:t>
      </w:r>
    </w:p>
    <w:p w:rsidR="00342294" w:rsidRDefault="00342294">
      <w:pPr>
        <w:pStyle w:val="Reseftermom"/>
      </w:pPr>
      <w:r>
        <w:t>res. 2 (mp)</w:t>
      </w:r>
      <w:bookmarkStart w:id="32" w:name="RESPARTI002"/>
      <w:bookmarkEnd w:id="32"/>
    </w:p>
    <w:p w:rsidR="00342294" w:rsidRDefault="00342294">
      <w:pPr>
        <w:pStyle w:val="Stockholm"/>
      </w:pPr>
      <w:r>
        <w:t>Stockholm den 20 maj 1999</w:t>
      </w:r>
    </w:p>
    <w:p w:rsidR="00342294" w:rsidRDefault="00342294">
      <w:pPr>
        <w:pStyle w:val="Vgnar"/>
      </w:pPr>
      <w:r>
        <w:t>På socialförsäkringsutskottets vägnar</w:t>
      </w:r>
    </w:p>
    <w:p w:rsidR="00342294" w:rsidRDefault="00342294">
      <w:pPr>
        <w:pStyle w:val="Ordfnamn"/>
      </w:pPr>
      <w:bookmarkStart w:id="33" w:name="Ordförande"/>
      <w:bookmarkEnd w:id="33"/>
      <w:r>
        <w:t xml:space="preserve">Berit Andnor </w:t>
      </w:r>
    </w:p>
    <w:p w:rsidR="00342294" w:rsidRDefault="00342294">
      <w:pPr>
        <w:pStyle w:val="Deltagare"/>
      </w:pPr>
      <w:bookmarkStart w:id="34" w:name="Deltagare"/>
      <w:bookmarkEnd w:id="34"/>
      <w:r>
        <w:t>I beslutet har deltagit: Berit Andnor (s), Bo Könberg (fp), Margit Gennser (m), Maud Björnemalm (s), Anita Jönsson (s), Ulla Hoffmann (v), Rose-Marie Frebran (kd), Ulf Kristersson (m), Mariann Ytterberg (s), Gustaf von Essen (m), Lennart Klockare (s), Ronny Olander (s), Carlinge Wisberg (v), Fanny Rizell (kd), Göran Lindblad (m), Kerstin-Maria Stalin (mp) och Ke</w:t>
      </w:r>
      <w:r>
        <w:t>n</w:t>
      </w:r>
      <w:r>
        <w:t>neth Johansson (c).</w:t>
      </w:r>
    </w:p>
    <w:p w:rsidR="00342294" w:rsidRDefault="00342294">
      <w:pPr>
        <w:pStyle w:val="Rubrik1"/>
      </w:pPr>
      <w:bookmarkStart w:id="35" w:name="_Toc452257032"/>
      <w:r>
        <w:t>Reservationer</w:t>
      </w:r>
      <w:bookmarkEnd w:id="35"/>
    </w:p>
    <w:p w:rsidR="00342294" w:rsidRDefault="00342294">
      <w:pPr>
        <w:pStyle w:val="Rubrik2"/>
      </w:pPr>
      <w:bookmarkStart w:id="36" w:name="_Toc452257033"/>
      <w:r>
        <w:t>1. Invandrarverkets befogenheter vid gränskontroll (mom. 1)</w:t>
      </w:r>
      <w:bookmarkEnd w:id="36"/>
    </w:p>
    <w:p w:rsidR="00342294" w:rsidRDefault="00342294">
      <w:r>
        <w:t xml:space="preserve">Kerstin-Maria Stalin (mp) anser </w:t>
      </w:r>
    </w:p>
    <w:p w:rsidR="00342294" w:rsidRDefault="00342294">
      <w:r>
        <w:rPr>
          <w:i/>
        </w:rPr>
        <w:t>dels</w:t>
      </w:r>
      <w:r>
        <w:t xml:space="preserve"> att den del av utskottets yttrande som i avsnittet Invandrarverket och gränskontrollen börjar med ”Utskottet anser” och slutar med "och 2" bort ha följande lydelse:</w:t>
      </w:r>
    </w:p>
    <w:p w:rsidR="00342294" w:rsidRDefault="00342294">
      <w:pPr>
        <w:pStyle w:val="Normaltindrag"/>
        <w:rPr>
          <w:snapToGrid w:val="0"/>
          <w:lang w:eastAsia="sv-SE"/>
        </w:rPr>
      </w:pPr>
      <w:r>
        <w:rPr>
          <w:snapToGrid w:val="0"/>
          <w:lang w:eastAsia="sv-SE"/>
        </w:rPr>
        <w:t xml:space="preserve">Enligt utskottets mening kan regeringens förslag få den positiva effekten att man både undviker en långdragen asylprocess och att en asylsökande som helt klart inte kan komma i fråga för asyl slipper personlig oro och ovisshet. Samtidigt innebär det en risk för att Invandrarverket </w:t>
      </w:r>
      <w:r>
        <w:t>kommer att höja effekt</w:t>
      </w:r>
      <w:r>
        <w:t>i</w:t>
      </w:r>
      <w:r>
        <w:t xml:space="preserve">viteten och att därmed </w:t>
      </w:r>
      <w:r>
        <w:rPr>
          <w:snapToGrid w:val="0"/>
          <w:lang w:eastAsia="sv-SE"/>
        </w:rPr>
        <w:t>fler kommer att bli avvisade. Effektivitet måste dock också innebära att den asylsökande snabbare kan få ett besked om han eller hon får stanna i Sverige. Det är vidare viktigt att Invandrarverkets personal med sin kunskap kan garantera rättssäkerheten och är lyhörd för om en pe</w:t>
      </w:r>
      <w:r>
        <w:rPr>
          <w:snapToGrid w:val="0"/>
          <w:lang w:eastAsia="sv-SE"/>
        </w:rPr>
        <w:t>r</w:t>
      </w:r>
      <w:r>
        <w:rPr>
          <w:snapToGrid w:val="0"/>
          <w:lang w:eastAsia="sv-SE"/>
        </w:rPr>
        <w:t>son vill söka asyl. Direktavvisningar är enligt utskottets mening riskabla från rättssäkerhetssynpunkt och bör endast ske i solklara fall.</w:t>
      </w:r>
    </w:p>
    <w:p w:rsidR="00342294" w:rsidRDefault="00342294">
      <w:pPr>
        <w:pStyle w:val="Normaltindrag"/>
        <w:rPr>
          <w:snapToGrid w:val="0"/>
          <w:lang w:eastAsia="sv-SE"/>
        </w:rPr>
      </w:pPr>
      <w:r>
        <w:rPr>
          <w:snapToGrid w:val="0"/>
          <w:lang w:eastAsia="sv-SE"/>
        </w:rPr>
        <w:t>Utskottet delar uppfattningen att Invandrarverk</w:t>
      </w:r>
      <w:r>
        <w:rPr>
          <w:snapToGrid w:val="0"/>
          <w:lang w:eastAsia="sv-SE"/>
        </w:rPr>
        <w:t xml:space="preserve">et inte bör ges befogenhet att använda tvångsmedel eftersom det skulle kunna innebära att </w:t>
      </w:r>
      <w:r>
        <w:t>verkets pe</w:t>
      </w:r>
      <w:r>
        <w:t>r</w:t>
      </w:r>
      <w:r>
        <w:t xml:space="preserve">sonal genom att </w:t>
      </w:r>
      <w:r>
        <w:rPr>
          <w:snapToGrid w:val="0"/>
          <w:lang w:eastAsia="sv-SE"/>
        </w:rPr>
        <w:t>associeras med polisiär verksamhet förlorar i förtroende gentemot de asylsökande. Enligt utskottets mening är det närmast självklart att Invan</w:t>
      </w:r>
      <w:r>
        <w:rPr>
          <w:snapToGrid w:val="0"/>
          <w:lang w:eastAsia="sv-SE"/>
        </w:rPr>
        <w:t>d</w:t>
      </w:r>
      <w:r>
        <w:rPr>
          <w:snapToGrid w:val="0"/>
          <w:lang w:eastAsia="sv-SE"/>
        </w:rPr>
        <w:t xml:space="preserve">rarverket inte skall utrustas med egna polisiära befogenheter. </w:t>
      </w:r>
    </w:p>
    <w:p w:rsidR="00342294" w:rsidRDefault="00342294">
      <w:pPr>
        <w:pStyle w:val="Normaltindrag"/>
      </w:pPr>
      <w:r>
        <w:t>Vad utskottet anfört bör riksdagen som sin mening ge regeringen till kä</w:t>
      </w:r>
      <w:r>
        <w:t>n</w:t>
      </w:r>
      <w:r>
        <w:t xml:space="preserve">na. </w:t>
      </w:r>
    </w:p>
    <w:p w:rsidR="00342294" w:rsidRDefault="00342294">
      <w:r>
        <w:rPr>
          <w:i/>
        </w:rPr>
        <w:t>dels</w:t>
      </w:r>
      <w:r>
        <w:t xml:space="preserve"> att utskottets hemställan under 1 bort ha följande lydelse: </w:t>
      </w:r>
    </w:p>
    <w:p w:rsidR="00342294" w:rsidRDefault="00342294">
      <w:pPr>
        <w:pStyle w:val="Resklmb"/>
      </w:pPr>
      <w:r>
        <w:t xml:space="preserve">1. beträffande </w:t>
      </w:r>
      <w:r>
        <w:rPr>
          <w:i/>
        </w:rPr>
        <w:t>Invandrarverkets befogenheter vid gränskontroll</w:t>
      </w:r>
    </w:p>
    <w:p w:rsidR="00342294" w:rsidRDefault="00342294">
      <w:pPr>
        <w:pStyle w:val="hemtext"/>
      </w:pPr>
      <w:r>
        <w:t xml:space="preserve">att riksdagen med bifall till motion 1998/99:Sf14 yrkandena 1, 2 och 7 och med anledning av propositionen  </w:t>
      </w:r>
    </w:p>
    <w:p w:rsidR="00342294" w:rsidRDefault="00342294">
      <w:pPr>
        <w:pStyle w:val="hemtext"/>
      </w:pPr>
      <w:r>
        <w:rPr>
          <w:i/>
        </w:rPr>
        <w:t>dels</w:t>
      </w:r>
      <w:r>
        <w:t xml:space="preserve"> antar regeringens förslag till lag om ändring i utlänningslagen (1989:529),</w:t>
      </w:r>
    </w:p>
    <w:p w:rsidR="00342294" w:rsidRDefault="00342294">
      <w:pPr>
        <w:pStyle w:val="hemtext"/>
      </w:pPr>
      <w:r>
        <w:rPr>
          <w:i/>
        </w:rPr>
        <w:t xml:space="preserve">dels </w:t>
      </w:r>
      <w:r>
        <w:t>som sin mening ger regeringen till känna vad utskottet anfört,</w:t>
      </w:r>
    </w:p>
    <w:p w:rsidR="00342294" w:rsidRDefault="00342294">
      <w:pPr>
        <w:pStyle w:val="Rubrik2"/>
      </w:pPr>
      <w:bookmarkStart w:id="37" w:name="_Toc452257034"/>
      <w:r>
        <w:t>2. Övriga frågor (mom. 2)</w:t>
      </w:r>
      <w:bookmarkEnd w:id="37"/>
    </w:p>
    <w:p w:rsidR="00342294" w:rsidRDefault="00342294">
      <w:r>
        <w:t xml:space="preserve">Kerstin-Maria Stalin (mp) anser </w:t>
      </w:r>
    </w:p>
    <w:p w:rsidR="00342294" w:rsidRDefault="00342294">
      <w:r>
        <w:rPr>
          <w:i/>
        </w:rPr>
        <w:t>dels</w:t>
      </w:r>
      <w:r>
        <w:t xml:space="preserve"> att den del av utskottets yttrande som i avsnittet Övriga frågor börjar med ”Av 8 kap. ” och slutar med ”avstyrks därmed” bort ha följande lyde</w:t>
      </w:r>
      <w:r>
        <w:t>l</w:t>
      </w:r>
      <w:r>
        <w:t>se:</w:t>
      </w:r>
    </w:p>
    <w:p w:rsidR="00342294" w:rsidRDefault="00342294">
      <w:pPr>
        <w:pStyle w:val="Normaltindrag"/>
        <w:rPr>
          <w:snapToGrid w:val="0"/>
          <w:lang w:eastAsia="sv-SE"/>
        </w:rPr>
      </w:pPr>
      <w:r>
        <w:rPr>
          <w:snapToGrid w:val="0"/>
          <w:lang w:eastAsia="sv-SE"/>
        </w:rPr>
        <w:t>Huvudansvaret för verkställighet av avvisnings- och utvisningsbeslut har nyligen överförts från polisen till Invandrarverket. Samtidigt fick Invandra</w:t>
      </w:r>
      <w:r>
        <w:rPr>
          <w:snapToGrid w:val="0"/>
          <w:lang w:eastAsia="sv-SE"/>
        </w:rPr>
        <w:t>r</w:t>
      </w:r>
      <w:r>
        <w:rPr>
          <w:snapToGrid w:val="0"/>
          <w:lang w:eastAsia="sv-SE"/>
        </w:rPr>
        <w:t>verket möjlighet att lämna över ärenden till polismyndigheten för verkstä</w:t>
      </w:r>
      <w:r>
        <w:rPr>
          <w:snapToGrid w:val="0"/>
          <w:lang w:eastAsia="sv-SE"/>
        </w:rPr>
        <w:t>l</w:t>
      </w:r>
      <w:r>
        <w:rPr>
          <w:snapToGrid w:val="0"/>
          <w:lang w:eastAsia="sv-SE"/>
        </w:rPr>
        <w:t>lighet om utlänningen håller sig undan och inte kan anträffas utan polismy</w:t>
      </w:r>
      <w:r>
        <w:rPr>
          <w:snapToGrid w:val="0"/>
          <w:lang w:eastAsia="sv-SE"/>
        </w:rPr>
        <w:t>n</w:t>
      </w:r>
      <w:r>
        <w:rPr>
          <w:snapToGrid w:val="0"/>
          <w:lang w:eastAsia="sv-SE"/>
        </w:rPr>
        <w:t>dighetens medverkan eller om det kan antas att tvång kommer att behövas för att genomföra verkställigheten. Utskottet anser det otillfredsställande att en person som kan avvisas utan att gå under jorden eller ta till våldsamt motstånd kommer att betraktas som frivilligt återvändande oavsett de fakti</w:t>
      </w:r>
      <w:r>
        <w:rPr>
          <w:snapToGrid w:val="0"/>
          <w:lang w:eastAsia="sv-SE"/>
        </w:rPr>
        <w:t>s</w:t>
      </w:r>
      <w:r>
        <w:rPr>
          <w:snapToGrid w:val="0"/>
          <w:lang w:eastAsia="sv-SE"/>
        </w:rPr>
        <w:t xml:space="preserve">ka omständigheterna i det enskilda fallet. </w:t>
      </w:r>
    </w:p>
    <w:p w:rsidR="00342294" w:rsidRDefault="00342294">
      <w:pPr>
        <w:pStyle w:val="Normaltindrag"/>
        <w:rPr>
          <w:snapToGrid w:val="0"/>
          <w:lang w:eastAsia="sv-SE"/>
        </w:rPr>
      </w:pPr>
      <w:r>
        <w:rPr>
          <w:snapToGrid w:val="0"/>
          <w:lang w:eastAsia="sv-SE"/>
        </w:rPr>
        <w:t>Enligt utskottets</w:t>
      </w:r>
      <w:r>
        <w:rPr>
          <w:snapToGrid w:val="0"/>
          <w:lang w:eastAsia="sv-SE"/>
        </w:rPr>
        <w:t xml:space="preserve"> mening skapar Dublinkonventionen problem för asyls</w:t>
      </w:r>
      <w:r>
        <w:rPr>
          <w:snapToGrid w:val="0"/>
          <w:lang w:eastAsia="sv-SE"/>
        </w:rPr>
        <w:t>ö</w:t>
      </w:r>
      <w:r>
        <w:rPr>
          <w:snapToGrid w:val="0"/>
          <w:lang w:eastAsia="sv-SE"/>
        </w:rPr>
        <w:t xml:space="preserve">kande som kommit till Sverige via ett annat EU-land. Det kan gälla t.ex. barnfamiljer eller en förälder som kommer för att återförenas med sin familj i Sverige. Utskottet anser att Sverige i större utsträckning än i dag bör tillämpa konventionen och dess möjlighet att pröva en asylansökan i dessa typer av fall, trots att konventionen inte kräver en sådan prövning. </w:t>
      </w:r>
    </w:p>
    <w:p w:rsidR="00342294" w:rsidRDefault="00342294">
      <w:pPr>
        <w:pStyle w:val="Normaltindrag"/>
        <w:rPr>
          <w:snapToGrid w:val="0"/>
          <w:lang w:eastAsia="sv-SE"/>
        </w:rPr>
      </w:pPr>
      <w:r>
        <w:rPr>
          <w:snapToGrid w:val="0"/>
          <w:lang w:eastAsia="sv-SE"/>
        </w:rPr>
        <w:t>Utskottet vill också framhålla att en familj aldrig bör få splittras vid en verkställighet o</w:t>
      </w:r>
      <w:r>
        <w:rPr>
          <w:snapToGrid w:val="0"/>
          <w:lang w:eastAsia="sv-SE"/>
        </w:rPr>
        <w:t>avsett om det finns barn eller ej. I fråga om barnfamiljer är det givet att barnkonventionen skall ha företräde framför behovet av att re</w:t>
      </w:r>
      <w:r>
        <w:rPr>
          <w:snapToGrid w:val="0"/>
          <w:lang w:eastAsia="sv-SE"/>
        </w:rPr>
        <w:t>g</w:t>
      </w:r>
      <w:r>
        <w:rPr>
          <w:snapToGrid w:val="0"/>
          <w:lang w:eastAsia="sv-SE"/>
        </w:rPr>
        <w:t xml:space="preserve">lera invandringen. </w:t>
      </w:r>
    </w:p>
    <w:p w:rsidR="00342294" w:rsidRDefault="00342294">
      <w:pPr>
        <w:pStyle w:val="Normaltindrag"/>
        <w:rPr>
          <w:snapToGrid w:val="0"/>
          <w:lang w:eastAsia="sv-SE"/>
        </w:rPr>
      </w:pPr>
      <w:r>
        <w:rPr>
          <w:snapToGrid w:val="0"/>
          <w:lang w:eastAsia="sv-SE"/>
        </w:rPr>
        <w:t xml:space="preserve">Eftersom det ännu inte går att bedöma om den s.k. portalparagrafen i </w:t>
      </w:r>
      <w:r>
        <w:rPr>
          <w:snapToGrid w:val="0"/>
          <w:lang w:eastAsia="sv-SE"/>
        </w:rPr>
        <w:br/>
        <w:t>1 kap. 1 § utlänningslagen om att beakta barnets bästa har fått genomslag i tillämpning av utlänningslagen anser utskottet att en utvärdering av portalp</w:t>
      </w:r>
      <w:r>
        <w:rPr>
          <w:snapToGrid w:val="0"/>
          <w:lang w:eastAsia="sv-SE"/>
        </w:rPr>
        <w:t>a</w:t>
      </w:r>
      <w:r>
        <w:rPr>
          <w:snapToGrid w:val="0"/>
          <w:lang w:eastAsia="sv-SE"/>
        </w:rPr>
        <w:t>ragrafen bör ske.</w:t>
      </w:r>
    </w:p>
    <w:p w:rsidR="00342294" w:rsidRDefault="00342294">
      <w:pPr>
        <w:pStyle w:val="Normaltindrag"/>
      </w:pPr>
      <w:r>
        <w:t>Vad utskottet anfört bör riksdagen som sin mening ge regeringen till kä</w:t>
      </w:r>
      <w:r>
        <w:t>n</w:t>
      </w:r>
      <w:r>
        <w:t xml:space="preserve">na.  </w:t>
      </w:r>
    </w:p>
    <w:p w:rsidR="00342294" w:rsidRDefault="00342294">
      <w:r>
        <w:rPr>
          <w:i/>
        </w:rPr>
        <w:t>dels</w:t>
      </w:r>
      <w:r>
        <w:t xml:space="preserve"> att utskottets hemställan under 2 bort ha följande lydelse:</w:t>
      </w:r>
    </w:p>
    <w:p w:rsidR="00342294" w:rsidRDefault="00342294">
      <w:pPr>
        <w:pStyle w:val="Resklmb"/>
      </w:pPr>
      <w:r>
        <w:t xml:space="preserve">2. beträffande </w:t>
      </w:r>
      <w:r>
        <w:rPr>
          <w:i/>
        </w:rPr>
        <w:t>övriga frågor</w:t>
      </w:r>
    </w:p>
    <w:p w:rsidR="00342294" w:rsidRDefault="00342294">
      <w:pPr>
        <w:pStyle w:val="hemtext"/>
      </w:pPr>
      <w:r>
        <w:t>att riksdagen med bifall till motion 1998/99:Sf14 yrkandena 3–6 som sin mening ger regeringen till känna vad utskottet anfört.</w:t>
      </w:r>
    </w:p>
    <w:p w:rsidR="00342294" w:rsidRDefault="00342294">
      <w:pPr>
        <w:pStyle w:val="Rubrik1"/>
      </w:pPr>
      <w:bookmarkStart w:id="38" w:name="Nästa_Reservation"/>
      <w:bookmarkStart w:id="39" w:name="_Toc452257035"/>
      <w:bookmarkEnd w:id="38"/>
      <w:r>
        <w:t>Särskilt yttrande</w:t>
      </w:r>
      <w:bookmarkEnd w:id="39"/>
    </w:p>
    <w:p w:rsidR="00342294" w:rsidRDefault="00342294">
      <w:pPr>
        <w:pStyle w:val="Rubrik2"/>
        <w:spacing w:before="123"/>
      </w:pPr>
      <w:bookmarkStart w:id="40" w:name="_Toc452257036"/>
      <w:r>
        <w:t>Familjesplittring</w:t>
      </w:r>
      <w:bookmarkEnd w:id="40"/>
    </w:p>
    <w:p w:rsidR="00342294" w:rsidRDefault="00342294">
      <w:r>
        <w:t xml:space="preserve">Rose-Marie Frebran och Fanny Rizell (båda kd) anför: </w:t>
      </w:r>
    </w:p>
    <w:p w:rsidR="00342294" w:rsidRDefault="00342294">
      <w:r>
        <w:t>Enligt Kristdemokraternas uppfattning är det inte acceptabelt att en avvisning eller en utvisning leder till att familjer splittras. För att förhindra att så sker anser vi dels att en verkställighet bör inhiberas om det finns risk för familje-</w:t>
      </w:r>
      <w:r>
        <w:br/>
      </w:r>
      <w:r>
        <w:t>s</w:t>
      </w:r>
      <w:r>
        <w:t>plittring, dels att det bör införas ett förbud i utlänningslagen mot familje-splittring. Vi menar att detta är nödvändigt för att åstadkomma en mer human flyktingpolitik.</w:t>
      </w:r>
    </w:p>
    <w:p w:rsidR="00342294" w:rsidRDefault="00342294"/>
    <w:p w:rsidR="00342294" w:rsidRDefault="00342294"/>
    <w:p w:rsidR="00342294" w:rsidRDefault="0034229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342294" w:rsidRDefault="00342294">
      <w:pPr>
        <w:pStyle w:val="Normaltindrag"/>
        <w:jc w:val="left"/>
        <w:sectPr w:rsidR="00000000">
          <w:headerReference w:type="default" r:id="rId11"/>
          <w:footerReference w:type="default" r:id="rId12"/>
          <w:pgSz w:w="11906" w:h="16838" w:code="9"/>
          <w:pgMar w:top="567" w:right="4876" w:bottom="4508" w:left="1134" w:header="227" w:footer="227" w:gutter="0"/>
          <w:cols w:space="720"/>
        </w:sectPr>
      </w:pPr>
      <w:r>
        <w:t>I propositionen framlagt lagförslag</w:t>
      </w:r>
      <w:r>
        <w:br w:type="page"/>
      </w:r>
    </w:p>
    <w:p w:rsidR="00342294" w:rsidRDefault="00342294">
      <w:pPr>
        <w:pStyle w:val="Innehll"/>
        <w:outlineLvl w:val="1"/>
      </w:pPr>
      <w:r>
        <w:t>Innehållsförteckning</w:t>
      </w:r>
    </w:p>
    <w:p w:rsidR="00342294" w:rsidRDefault="00342294">
      <w:pPr>
        <w:pStyle w:val="Innehll1"/>
        <w:rPr>
          <w:noProof/>
        </w:rPr>
      </w:pPr>
      <w:r>
        <w:rPr>
          <w:noProof/>
        </w:rPr>
        <w:t>Sammanfattning</w:t>
      </w:r>
      <w:r>
        <w:rPr>
          <w:noProof/>
        </w:rPr>
        <w:tab/>
        <w:t>1</w:t>
      </w:r>
    </w:p>
    <w:p w:rsidR="00342294" w:rsidRDefault="00342294">
      <w:pPr>
        <w:pStyle w:val="Innehll1"/>
        <w:rPr>
          <w:noProof/>
        </w:rPr>
      </w:pPr>
      <w:r>
        <w:rPr>
          <w:noProof/>
        </w:rPr>
        <w:t>Propositionen</w:t>
      </w:r>
      <w:r>
        <w:rPr>
          <w:noProof/>
        </w:rPr>
        <w:tab/>
        <w:t>1</w:t>
      </w:r>
    </w:p>
    <w:p w:rsidR="00342294" w:rsidRDefault="00342294">
      <w:pPr>
        <w:pStyle w:val="Innehll1"/>
        <w:rPr>
          <w:noProof/>
        </w:rPr>
      </w:pPr>
      <w:r>
        <w:rPr>
          <w:noProof/>
        </w:rPr>
        <w:t>Motionen</w:t>
      </w:r>
      <w:r>
        <w:rPr>
          <w:noProof/>
        </w:rPr>
        <w:tab/>
        <w:t>1</w:t>
      </w:r>
    </w:p>
    <w:p w:rsidR="00342294" w:rsidRDefault="00342294">
      <w:pPr>
        <w:pStyle w:val="Innehll1"/>
        <w:rPr>
          <w:noProof/>
        </w:rPr>
      </w:pPr>
      <w:r>
        <w:rPr>
          <w:noProof/>
        </w:rPr>
        <w:t>Utskottet</w:t>
      </w:r>
      <w:r>
        <w:rPr>
          <w:noProof/>
        </w:rPr>
        <w:tab/>
        <w:t>2</w:t>
      </w:r>
    </w:p>
    <w:p w:rsidR="00342294" w:rsidRDefault="00342294">
      <w:pPr>
        <w:pStyle w:val="Innehll2"/>
        <w:rPr>
          <w:noProof/>
        </w:rPr>
      </w:pPr>
      <w:r>
        <w:rPr>
          <w:noProof/>
        </w:rPr>
        <w:t>Invandrarverket och gränskontrollen</w:t>
      </w:r>
      <w:r>
        <w:rPr>
          <w:noProof/>
        </w:rPr>
        <w:tab/>
        <w:t>2</w:t>
      </w:r>
    </w:p>
    <w:p w:rsidR="00342294" w:rsidRDefault="00342294">
      <w:pPr>
        <w:pStyle w:val="Innehll3"/>
        <w:rPr>
          <w:noProof/>
        </w:rPr>
      </w:pPr>
      <w:r>
        <w:rPr>
          <w:noProof/>
        </w:rPr>
        <w:t>Gällande regler</w:t>
      </w:r>
      <w:r>
        <w:rPr>
          <w:noProof/>
        </w:rPr>
        <w:tab/>
        <w:t>2</w:t>
      </w:r>
    </w:p>
    <w:p w:rsidR="00342294" w:rsidRDefault="00342294">
      <w:pPr>
        <w:pStyle w:val="Innehll3"/>
        <w:rPr>
          <w:noProof/>
        </w:rPr>
      </w:pPr>
      <w:r>
        <w:rPr>
          <w:noProof/>
        </w:rPr>
        <w:t>Propositionen</w:t>
      </w:r>
      <w:r>
        <w:rPr>
          <w:noProof/>
        </w:rPr>
        <w:tab/>
        <w:t>3</w:t>
      </w:r>
    </w:p>
    <w:p w:rsidR="00342294" w:rsidRDefault="00342294">
      <w:pPr>
        <w:pStyle w:val="Innehll3"/>
        <w:rPr>
          <w:noProof/>
        </w:rPr>
      </w:pPr>
      <w:r>
        <w:rPr>
          <w:noProof/>
        </w:rPr>
        <w:t>Motionen</w:t>
      </w:r>
      <w:r>
        <w:rPr>
          <w:noProof/>
        </w:rPr>
        <w:tab/>
        <w:t>3</w:t>
      </w:r>
    </w:p>
    <w:p w:rsidR="00342294" w:rsidRDefault="00342294">
      <w:pPr>
        <w:pStyle w:val="Innehll2"/>
        <w:rPr>
          <w:noProof/>
        </w:rPr>
      </w:pPr>
      <w:r>
        <w:rPr>
          <w:noProof/>
        </w:rPr>
        <w:t>Övriga frågor</w:t>
      </w:r>
      <w:r>
        <w:rPr>
          <w:noProof/>
        </w:rPr>
        <w:tab/>
        <w:t>4</w:t>
      </w:r>
    </w:p>
    <w:p w:rsidR="00342294" w:rsidRDefault="00342294">
      <w:pPr>
        <w:pStyle w:val="Innehll2"/>
        <w:rPr>
          <w:noProof/>
        </w:rPr>
      </w:pPr>
      <w:r>
        <w:rPr>
          <w:noProof/>
        </w:rPr>
        <w:t>Hemställan</w:t>
      </w:r>
      <w:r>
        <w:rPr>
          <w:noProof/>
        </w:rPr>
        <w:tab/>
        <w:t>6</w:t>
      </w:r>
    </w:p>
    <w:p w:rsidR="00342294" w:rsidRDefault="00342294">
      <w:pPr>
        <w:pStyle w:val="Innehll1"/>
        <w:rPr>
          <w:noProof/>
        </w:rPr>
      </w:pPr>
      <w:r>
        <w:rPr>
          <w:noProof/>
        </w:rPr>
        <w:t>Reservationer</w:t>
      </w:r>
      <w:r>
        <w:rPr>
          <w:noProof/>
        </w:rPr>
        <w:tab/>
        <w:t>6</w:t>
      </w:r>
    </w:p>
    <w:p w:rsidR="00342294" w:rsidRDefault="00342294">
      <w:pPr>
        <w:pStyle w:val="Innehll2"/>
        <w:rPr>
          <w:noProof/>
        </w:rPr>
      </w:pPr>
      <w:r>
        <w:rPr>
          <w:noProof/>
        </w:rPr>
        <w:t>1. Invandrarverkets befogenheter vid gränskontroll (mom. 1)</w:t>
      </w:r>
      <w:r>
        <w:rPr>
          <w:noProof/>
        </w:rPr>
        <w:tab/>
        <w:t>6</w:t>
      </w:r>
    </w:p>
    <w:p w:rsidR="00342294" w:rsidRDefault="00342294">
      <w:pPr>
        <w:pStyle w:val="Innehll2"/>
        <w:rPr>
          <w:noProof/>
        </w:rPr>
      </w:pPr>
      <w:r>
        <w:rPr>
          <w:noProof/>
        </w:rPr>
        <w:t>2. Övriga frågor (mom. 2)</w:t>
      </w:r>
      <w:r>
        <w:rPr>
          <w:noProof/>
        </w:rPr>
        <w:tab/>
        <w:t>7</w:t>
      </w:r>
    </w:p>
    <w:p w:rsidR="00342294" w:rsidRDefault="00342294">
      <w:pPr>
        <w:pStyle w:val="Innehll1"/>
        <w:rPr>
          <w:noProof/>
        </w:rPr>
      </w:pPr>
      <w:r>
        <w:rPr>
          <w:noProof/>
        </w:rPr>
        <w:t>Särskilt yttrande</w:t>
      </w:r>
      <w:r>
        <w:rPr>
          <w:noProof/>
        </w:rPr>
        <w:tab/>
        <w:t>8</w:t>
      </w:r>
    </w:p>
    <w:p w:rsidR="00342294" w:rsidRDefault="00342294">
      <w:pPr>
        <w:pStyle w:val="Innehll2"/>
        <w:rPr>
          <w:noProof/>
        </w:rPr>
      </w:pPr>
      <w:r>
        <w:rPr>
          <w:noProof/>
        </w:rPr>
        <w:t>Familjesplittring</w:t>
      </w:r>
      <w:r>
        <w:rPr>
          <w:noProof/>
        </w:rPr>
        <w:tab/>
        <w:t>8</w:t>
      </w:r>
    </w:p>
    <w:p w:rsidR="00342294" w:rsidRDefault="00342294"/>
    <w:p w:rsidR="00342294" w:rsidRDefault="00342294">
      <w:pPr>
        <w:pStyle w:val="Tryckort"/>
        <w:framePr w:wrap="around"/>
      </w:pPr>
      <w:r>
        <w:t>Elanders Gotab, Stockholm  1999</w:t>
      </w:r>
    </w:p>
    <w:p w:rsidR="00342294" w:rsidRDefault="00342294">
      <w:pPr>
        <w:pStyle w:val="Normaltindrag"/>
      </w:pPr>
    </w:p>
    <w:sectPr w:rsidR="00342294">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294" w:rsidRDefault="00342294">
      <w:pPr>
        <w:spacing w:before="0" w:line="240" w:lineRule="auto"/>
      </w:pPr>
      <w:r>
        <w:separator/>
      </w:r>
    </w:p>
  </w:endnote>
  <w:endnote w:type="continuationSeparator" w:id="0">
    <w:p w:rsidR="00342294" w:rsidRDefault="003422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294" w:rsidRDefault="0034229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42294" w:rsidRDefault="003422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294" w:rsidRDefault="00342294">
    <w:pPr>
      <w:pStyle w:val="SidfotH"/>
      <w:framePr w:wrap="around"/>
    </w:pPr>
    <w:r>
      <w:fldChar w:fldCharType="begin" w:fldLock="1"/>
    </w:r>
    <w:r>
      <w:instrText xml:space="preserve"> P</w:instrText>
    </w:r>
    <w:r>
      <w:instrText>A</w:instrText>
    </w:r>
    <w:r>
      <w:instrText xml:space="preserve">GE </w:instrText>
    </w:r>
    <w:r>
      <w:fldChar w:fldCharType="separate"/>
    </w:r>
    <w:r>
      <w:rPr>
        <w:noProof/>
      </w:rPr>
      <w:t>9</w:t>
    </w:r>
    <w:r>
      <w:fldChar w:fldCharType="end"/>
    </w:r>
  </w:p>
  <w:p w:rsidR="00342294" w:rsidRDefault="0034229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294" w:rsidRDefault="00342294">
    <w:pPr>
      <w:pStyle w:val="SidfotH"/>
      <w:framePr w:wrap="around"/>
    </w:pPr>
    <w:r>
      <w:fldChar w:fldCharType="begin" w:fldLock="1"/>
    </w:r>
    <w:r>
      <w:instrText xml:space="preserve"> PAGE </w:instrText>
    </w:r>
    <w:r>
      <w:fldChar w:fldCharType="separate"/>
    </w:r>
    <w:r>
      <w:rPr>
        <w:noProof/>
      </w:rPr>
      <w:t>11</w:t>
    </w:r>
    <w:r>
      <w:fldChar w:fldCharType="end"/>
    </w:r>
  </w:p>
  <w:p w:rsidR="00342294" w:rsidRDefault="00342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294" w:rsidRDefault="00342294">
      <w:pPr>
        <w:pStyle w:val="Sidfot"/>
      </w:pPr>
    </w:p>
  </w:footnote>
  <w:footnote w:type="continuationSeparator" w:id="0">
    <w:p w:rsidR="00342294" w:rsidRDefault="0034229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294" w:rsidRDefault="00342294">
    <w:pPr>
      <w:pStyle w:val="SidhuvudKant"/>
      <w:framePr w:w="1985" w:h="2743" w:hRule="exact" w:wrap="around" w:vAnchor="page" w:hAnchor="page" w:x="7372" w:y="568" w:anchorLock="0"/>
      <w:rPr>
        <w:noProof/>
      </w:rPr>
    </w:pPr>
    <w:r>
      <w:rPr>
        <w:noProof/>
      </w:rPr>
      <w:t>1998/99:SfU11</w:t>
    </w:r>
  </w:p>
  <w:p w:rsidR="00342294" w:rsidRDefault="00342294">
    <w:pPr>
      <w:pStyle w:val="SidhuvudKantBilaga"/>
      <w:framePr w:w="1985" w:h="2743" w:hRule="exact" w:wrap="around" w:vAnchor="page" w:hAnchor="page" w:x="7372" w:y="568" w:anchorLock="0"/>
      <w:rPr>
        <w:noProof/>
      </w:rPr>
    </w:pPr>
  </w:p>
  <w:p w:rsidR="00342294" w:rsidRDefault="00342294">
    <w:pPr>
      <w:pStyle w:val="SidhuvudKant"/>
      <w:framePr w:w="1985" w:h="2743" w:hRule="exact" w:wrap="around" w:vAnchor="page" w:hAnchor="page" w:x="7372" w:y="568" w:anchorLock="0"/>
    </w:pPr>
  </w:p>
  <w:p w:rsidR="00342294" w:rsidRDefault="003422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294" w:rsidRDefault="00342294">
    <w:pPr>
      <w:pStyle w:val="SidhuvudKant"/>
      <w:framePr w:w="1985" w:h="2743" w:hRule="exact" w:wrap="around" w:vAnchor="page" w:hAnchor="page" w:x="7372" w:y="568" w:anchorLock="0"/>
      <w:rPr>
        <w:noProof/>
      </w:rPr>
    </w:pPr>
    <w:r>
      <w:rPr>
        <w:noProof/>
      </w:rPr>
      <w:t>1998/99:SfU11</w:t>
    </w:r>
  </w:p>
  <w:p w:rsidR="00342294" w:rsidRDefault="00342294">
    <w:pPr>
      <w:pStyle w:val="SidhuvudKantBilaga"/>
      <w:framePr w:w="1985" w:h="2743" w:hRule="exact" w:wrap="around" w:vAnchor="page" w:hAnchor="page" w:x="7372" w:y="568" w:anchorLock="0"/>
      <w:rPr>
        <w:noProof/>
      </w:rPr>
    </w:pPr>
    <w:r>
      <w:rPr>
        <w:noProof/>
      </w:rPr>
      <w:t>Bilaga</w:t>
    </w:r>
  </w:p>
  <w:p w:rsidR="00342294" w:rsidRDefault="00342294">
    <w:pPr>
      <w:pStyle w:val="SidhuvudKant"/>
      <w:framePr w:w="1985" w:h="2743" w:hRule="exact" w:wrap="around" w:vAnchor="page" w:hAnchor="page" w:x="7372" w:y="568" w:anchorLock="0"/>
    </w:pPr>
  </w:p>
  <w:p w:rsidR="00342294" w:rsidRDefault="003422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294" w:rsidRDefault="00342294">
    <w:pPr>
      <w:pStyle w:val="SidhuvudKant"/>
      <w:framePr w:w="1985" w:h="2743" w:hRule="exact" w:wrap="around" w:vAnchor="page" w:hAnchor="page" w:x="7372" w:y="568" w:anchorLock="0"/>
      <w:rPr>
        <w:noProof/>
      </w:rPr>
    </w:pPr>
    <w:r>
      <w:rPr>
        <w:noProof/>
      </w:rPr>
      <w:t>1998/99:SfU11</w:t>
    </w:r>
  </w:p>
  <w:p w:rsidR="00342294" w:rsidRDefault="00342294">
    <w:pPr>
      <w:pStyle w:val="SidhuvudKantBilaga"/>
      <w:framePr w:w="1985" w:h="2743" w:hRule="exact" w:wrap="around" w:vAnchor="page" w:hAnchor="page" w:x="7372" w:y="568" w:anchorLock="0"/>
      <w:rPr>
        <w:noProof/>
      </w:rPr>
    </w:pPr>
  </w:p>
  <w:p w:rsidR="00342294" w:rsidRDefault="00342294">
    <w:pPr>
      <w:pStyle w:val="SidhuvudKant"/>
      <w:framePr w:w="1985" w:h="2743" w:hRule="exact" w:wrap="around" w:vAnchor="page" w:hAnchor="page" w:x="7372" w:y="568" w:anchorLock="0"/>
    </w:pPr>
  </w:p>
  <w:p w:rsidR="00342294" w:rsidRDefault="0034229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FF3CBE"/>
    <w:rsid w:val="00342294"/>
    <w:rsid w:val="007243DF"/>
    <w:rsid w:val="00FF3C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559FE-C81B-4F50-B600-9429A448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2799</Words>
  <Characters>16741</Characters>
  <Application>Microsoft Office Word</Application>
  <DocSecurity>4</DocSecurity>
  <Lines>341</Lines>
  <Paragraphs>139</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Socialförsäkringsutskottets betänkande</vt:lpstr>
      <vt:lpstr>Sammanfattning</vt:lpstr>
      <vt:lpstr>Propositionen</vt:lpstr>
      <vt:lpstr>Motionen</vt:lpstr>
      <vt:lpstr>Utskottet</vt:lpstr>
      <vt:lpstr>    Invandrarverket och gränskontrollen</vt:lpstr>
      <vt:lpstr>        Gällande regler </vt:lpstr>
      <vt:lpstr>        Propositionen </vt:lpstr>
      <vt:lpstr>        Motionen</vt:lpstr>
      <vt:lpstr>    Övriga frågor </vt:lpstr>
      <vt:lpstr>    Hemställan</vt:lpstr>
      <vt:lpstr>Reservationer</vt:lpstr>
      <vt:lpstr>    1. Invandrarverkets befogenheter vid gränskontroll (mom. 1)</vt:lpstr>
      <vt:lpstr>    2. Övriga frågor (mom. 2)</vt:lpstr>
      <vt:lpstr>Särskilt yttrande</vt:lpstr>
      <vt:lpstr>    Familjesplittring</vt:lpstr>
      <vt:lpstr>    Innehållsförteckning</vt:lpstr>
    </vt:vector>
  </TitlesOfParts>
  <Company>Riksdagen</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1999-05-25T12:21:00Z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