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54" w:type="dxa"/>
        <w:tblInd w:w="58" w:type="dxa"/>
        <w:tblLayout w:type="fixed"/>
        <w:tblCellMar>
          <w:left w:w="70" w:type="dxa"/>
          <w:right w:w="70" w:type="dxa"/>
        </w:tblCellMar>
        <w:tblLook w:val="0000" w:firstRow="0" w:lastRow="0" w:firstColumn="0" w:lastColumn="0" w:noHBand="0" w:noVBand="0"/>
      </w:tblPr>
      <w:tblGrid>
        <w:gridCol w:w="1272"/>
        <w:gridCol w:w="720"/>
        <w:gridCol w:w="900"/>
        <w:gridCol w:w="1440"/>
        <w:gridCol w:w="4822"/>
      </w:tblGrid>
      <w:tr w:rsidR="008F2075" w:rsidRPr="00B27A22" w:rsidTr="008F2075">
        <w:trPr>
          <w:trHeight w:val="348"/>
        </w:trPr>
        <w:tc>
          <w:tcPr>
            <w:tcW w:w="1992" w:type="dxa"/>
            <w:gridSpan w:val="2"/>
            <w:tcBorders>
              <w:top w:val="nil"/>
              <w:left w:val="nil"/>
              <w:bottom w:val="nil"/>
              <w:right w:val="nil"/>
            </w:tcBorders>
            <w:noWrap/>
            <w:vAlign w:val="bottom"/>
          </w:tcPr>
          <w:p w:rsidR="008F2075" w:rsidRPr="00B27A22" w:rsidRDefault="008F2075">
            <w:pPr>
              <w:rPr>
                <w:rFonts w:ascii="Arial" w:hAnsi="Arial" w:cs="Arial"/>
                <w:b/>
                <w:bCs/>
                <w:sz w:val="28"/>
                <w:szCs w:val="28"/>
              </w:rPr>
            </w:pPr>
            <w:r w:rsidRPr="00B27A22">
              <w:rPr>
                <w:rFonts w:ascii="Arial" w:hAnsi="Arial" w:cs="Arial"/>
                <w:b/>
                <w:bCs/>
                <w:sz w:val="28"/>
                <w:szCs w:val="28"/>
              </w:rPr>
              <w:t>JuU</w:t>
            </w:r>
          </w:p>
        </w:tc>
        <w:tc>
          <w:tcPr>
            <w:tcW w:w="7162" w:type="dxa"/>
            <w:gridSpan w:val="3"/>
            <w:tcBorders>
              <w:top w:val="nil"/>
              <w:left w:val="nil"/>
              <w:bottom w:val="nil"/>
              <w:right w:val="nil"/>
            </w:tcBorders>
            <w:noWrap/>
            <w:vAlign w:val="bottom"/>
          </w:tcPr>
          <w:p w:rsidR="008F2075" w:rsidRPr="00B27A22" w:rsidRDefault="008F2075">
            <w:pPr>
              <w:rPr>
                <w:rFonts w:ascii="Arial" w:hAnsi="Arial" w:cs="Arial"/>
                <w:b/>
                <w:bCs/>
                <w:sz w:val="28"/>
                <w:szCs w:val="28"/>
              </w:rPr>
            </w:pPr>
            <w:r w:rsidRPr="00B27A22">
              <w:rPr>
                <w:rFonts w:ascii="Arial" w:hAnsi="Arial" w:cs="Arial"/>
                <w:b/>
                <w:bCs/>
                <w:sz w:val="28"/>
                <w:szCs w:val="28"/>
              </w:rPr>
              <w:t>Inkomna EU-dokument 24 jan - 14 feb 2013</w:t>
            </w:r>
          </w:p>
        </w:tc>
      </w:tr>
      <w:tr w:rsidR="008F2075" w:rsidRPr="00B27A22" w:rsidTr="008F2075">
        <w:trPr>
          <w:trHeight w:val="264"/>
        </w:trPr>
        <w:tc>
          <w:tcPr>
            <w:tcW w:w="1992" w:type="dxa"/>
            <w:gridSpan w:val="2"/>
            <w:tcBorders>
              <w:top w:val="nil"/>
              <w:left w:val="nil"/>
              <w:bottom w:val="nil"/>
              <w:right w:val="nil"/>
            </w:tcBorders>
            <w:noWrap/>
            <w:vAlign w:val="bottom"/>
          </w:tcPr>
          <w:p w:rsidR="008F2075" w:rsidRPr="00B27A22" w:rsidRDefault="008F2075">
            <w:pPr>
              <w:rPr>
                <w:rFonts w:ascii="Arial" w:hAnsi="Arial" w:cs="Arial"/>
                <w:sz w:val="20"/>
                <w:szCs w:val="20"/>
              </w:rPr>
            </w:pPr>
          </w:p>
        </w:tc>
        <w:tc>
          <w:tcPr>
            <w:tcW w:w="2340" w:type="dxa"/>
            <w:gridSpan w:val="2"/>
            <w:tcBorders>
              <w:top w:val="nil"/>
              <w:left w:val="nil"/>
              <w:bottom w:val="nil"/>
              <w:right w:val="nil"/>
            </w:tcBorders>
            <w:noWrap/>
            <w:vAlign w:val="bottom"/>
          </w:tcPr>
          <w:p w:rsidR="008F2075" w:rsidRPr="00B27A22" w:rsidRDefault="008F2075">
            <w:pPr>
              <w:rPr>
                <w:rFonts w:ascii="Arial" w:hAnsi="Arial" w:cs="Arial"/>
                <w:sz w:val="20"/>
                <w:szCs w:val="20"/>
              </w:rPr>
            </w:pPr>
          </w:p>
        </w:tc>
        <w:tc>
          <w:tcPr>
            <w:tcW w:w="4822" w:type="dxa"/>
            <w:tcBorders>
              <w:top w:val="nil"/>
              <w:left w:val="nil"/>
              <w:bottom w:val="nil"/>
              <w:right w:val="nil"/>
            </w:tcBorders>
            <w:noWrap/>
            <w:vAlign w:val="bottom"/>
          </w:tcPr>
          <w:p w:rsidR="008F2075" w:rsidRPr="00B27A22" w:rsidRDefault="008F2075">
            <w:pPr>
              <w:rPr>
                <w:rFonts w:ascii="Arial" w:hAnsi="Arial" w:cs="Arial"/>
                <w:sz w:val="20"/>
                <w:szCs w:val="20"/>
              </w:rPr>
            </w:pPr>
          </w:p>
        </w:tc>
      </w:tr>
      <w:tr w:rsidR="008F2075" w:rsidRPr="00B27A22" w:rsidTr="008F2075">
        <w:trPr>
          <w:trHeight w:val="312"/>
        </w:trPr>
        <w:tc>
          <w:tcPr>
            <w:tcW w:w="9154" w:type="dxa"/>
            <w:gridSpan w:val="5"/>
            <w:tcBorders>
              <w:top w:val="single" w:sz="4" w:space="0" w:color="auto"/>
              <w:left w:val="single" w:sz="4" w:space="0" w:color="auto"/>
              <w:bottom w:val="nil"/>
              <w:right w:val="single" w:sz="4" w:space="0" w:color="auto"/>
            </w:tcBorders>
            <w:noWrap/>
            <w:vAlign w:val="bottom"/>
          </w:tcPr>
          <w:p w:rsidR="008F2075" w:rsidRPr="00B27A22" w:rsidRDefault="008F2075">
            <w:pPr>
              <w:rPr>
                <w:rFonts w:ascii="Arial" w:hAnsi="Arial" w:cs="Arial"/>
                <w:sz w:val="20"/>
                <w:szCs w:val="20"/>
              </w:rPr>
            </w:pPr>
            <w:r w:rsidRPr="00B27A22">
              <w:rPr>
                <w:rFonts w:ascii="Arial" w:hAnsi="Arial" w:cs="Arial"/>
                <w:b/>
                <w:bCs/>
              </w:rPr>
              <w:t>Dokument från EU-kommissionen (KOM, K, SWD)</w:t>
            </w:r>
            <w:r w:rsidRPr="00B27A22">
              <w:rPr>
                <w:rFonts w:ascii="Arial" w:hAnsi="Arial" w:cs="Arial"/>
                <w:sz w:val="20"/>
                <w:szCs w:val="20"/>
              </w:rPr>
              <w:t>  </w:t>
            </w:r>
          </w:p>
        </w:tc>
      </w:tr>
      <w:tr w:rsidR="008F2075" w:rsidRPr="00B27A22" w:rsidTr="008F2075">
        <w:trPr>
          <w:trHeight w:val="264"/>
        </w:trPr>
        <w:tc>
          <w:tcPr>
            <w:tcW w:w="1272" w:type="dxa"/>
            <w:tcBorders>
              <w:top w:val="single" w:sz="4" w:space="0" w:color="auto"/>
              <w:left w:val="single" w:sz="4" w:space="0" w:color="auto"/>
              <w:bottom w:val="single" w:sz="4" w:space="0" w:color="auto"/>
              <w:right w:val="single" w:sz="4" w:space="0" w:color="auto"/>
            </w:tcBorders>
            <w:shd w:val="clear" w:color="auto" w:fill="A9A9A9"/>
            <w:noWrap/>
            <w:vAlign w:val="bottom"/>
          </w:tcPr>
          <w:p w:rsidR="008F2075" w:rsidRPr="00B27A22" w:rsidRDefault="008F2075">
            <w:pPr>
              <w:rPr>
                <w:rFonts w:ascii="Arial" w:hAnsi="Arial" w:cs="Arial"/>
                <w:sz w:val="20"/>
                <w:szCs w:val="20"/>
              </w:rPr>
            </w:pPr>
            <w:r w:rsidRPr="00B27A22">
              <w:rPr>
                <w:rFonts w:ascii="Arial" w:hAnsi="Arial" w:cs="Arial"/>
                <w:sz w:val="20"/>
                <w:szCs w:val="20"/>
              </w:rPr>
              <w:t>Inlämnat</w:t>
            </w:r>
          </w:p>
        </w:tc>
        <w:tc>
          <w:tcPr>
            <w:tcW w:w="1620" w:type="dxa"/>
            <w:gridSpan w:val="2"/>
            <w:tcBorders>
              <w:top w:val="single" w:sz="4" w:space="0" w:color="auto"/>
              <w:left w:val="nil"/>
              <w:bottom w:val="single" w:sz="4" w:space="0" w:color="auto"/>
              <w:right w:val="single" w:sz="4" w:space="0" w:color="auto"/>
            </w:tcBorders>
            <w:shd w:val="clear" w:color="auto" w:fill="A9A9A9"/>
            <w:noWrap/>
            <w:vAlign w:val="bottom"/>
          </w:tcPr>
          <w:p w:rsidR="008F2075" w:rsidRPr="00B27A22" w:rsidRDefault="008F2075">
            <w:pPr>
              <w:rPr>
                <w:rFonts w:ascii="Arial" w:hAnsi="Arial" w:cs="Arial"/>
                <w:sz w:val="20"/>
                <w:szCs w:val="20"/>
              </w:rPr>
            </w:pPr>
            <w:r w:rsidRPr="00B27A22">
              <w:rPr>
                <w:rFonts w:ascii="Arial" w:hAnsi="Arial" w:cs="Arial"/>
                <w:sz w:val="20"/>
                <w:szCs w:val="20"/>
              </w:rPr>
              <w:t>Beteckning</w:t>
            </w:r>
          </w:p>
        </w:tc>
        <w:tc>
          <w:tcPr>
            <w:tcW w:w="6262" w:type="dxa"/>
            <w:gridSpan w:val="2"/>
            <w:tcBorders>
              <w:top w:val="single" w:sz="4" w:space="0" w:color="auto"/>
              <w:left w:val="nil"/>
              <w:bottom w:val="single" w:sz="4" w:space="0" w:color="auto"/>
              <w:right w:val="single" w:sz="4" w:space="0" w:color="auto"/>
            </w:tcBorders>
            <w:shd w:val="clear" w:color="auto" w:fill="A9A9A9"/>
            <w:noWrap/>
            <w:vAlign w:val="bottom"/>
          </w:tcPr>
          <w:p w:rsidR="008F2075" w:rsidRPr="00B27A22" w:rsidRDefault="008F2075">
            <w:pPr>
              <w:rPr>
                <w:rFonts w:ascii="Arial" w:hAnsi="Arial" w:cs="Arial"/>
                <w:sz w:val="20"/>
                <w:szCs w:val="20"/>
              </w:rPr>
            </w:pPr>
            <w:r w:rsidRPr="00B27A22">
              <w:rPr>
                <w:rFonts w:ascii="Arial" w:hAnsi="Arial" w:cs="Arial"/>
                <w:sz w:val="20"/>
                <w:szCs w:val="20"/>
              </w:rPr>
              <w:t>Rubrik</w:t>
            </w:r>
          </w:p>
        </w:tc>
      </w:tr>
      <w:tr w:rsidR="008F2075" w:rsidRPr="00B27A22" w:rsidTr="008F2075">
        <w:trPr>
          <w:trHeight w:val="1056"/>
        </w:trPr>
        <w:tc>
          <w:tcPr>
            <w:tcW w:w="1272" w:type="dxa"/>
            <w:tcBorders>
              <w:top w:val="single" w:sz="4" w:space="0" w:color="A9A9A9"/>
              <w:left w:val="single" w:sz="4" w:space="0" w:color="A9A9A9"/>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2013-02-06</w:t>
            </w:r>
          </w:p>
        </w:tc>
        <w:tc>
          <w:tcPr>
            <w:tcW w:w="1620" w:type="dxa"/>
            <w:gridSpan w:val="2"/>
            <w:tcBorders>
              <w:top w:val="single" w:sz="4" w:space="0" w:color="A9A9A9"/>
              <w:left w:val="nil"/>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KOM(2013) 42</w:t>
            </w:r>
          </w:p>
        </w:tc>
        <w:tc>
          <w:tcPr>
            <w:tcW w:w="6262" w:type="dxa"/>
            <w:gridSpan w:val="2"/>
            <w:tcBorders>
              <w:top w:val="single" w:sz="4" w:space="0" w:color="A9A9A9"/>
              <w:left w:val="nil"/>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 xml:space="preserve">Förslag till Europaparlamentets och rådets direktiv om straffrättsligt skydd av euron och andra valutor mot penningförfalskning och om ersättning av rådets rambeslut 2000/383/RIF </w:t>
            </w:r>
          </w:p>
        </w:tc>
      </w:tr>
      <w:tr w:rsidR="008F2075" w:rsidRPr="00B27A22" w:rsidTr="008F2075">
        <w:trPr>
          <w:trHeight w:val="1584"/>
        </w:trPr>
        <w:tc>
          <w:tcPr>
            <w:tcW w:w="1272" w:type="dxa"/>
            <w:tcBorders>
              <w:top w:val="nil"/>
              <w:left w:val="single" w:sz="4" w:space="0" w:color="A9A9A9"/>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2013-02-06</w:t>
            </w:r>
          </w:p>
        </w:tc>
        <w:tc>
          <w:tcPr>
            <w:tcW w:w="1620" w:type="dxa"/>
            <w:gridSpan w:val="2"/>
            <w:tcBorders>
              <w:top w:val="nil"/>
              <w:left w:val="nil"/>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SWD(2013) 19</w:t>
            </w:r>
          </w:p>
        </w:tc>
        <w:tc>
          <w:tcPr>
            <w:tcW w:w="6262" w:type="dxa"/>
            <w:gridSpan w:val="2"/>
            <w:tcBorders>
              <w:top w:val="nil"/>
              <w:left w:val="nil"/>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Commission staff working paper Impact assessment accompanying the proposal for a Directive of the European Parliament and of the Council on the Protection of the Euro and other currencies against counterfeiting by criminal law, and replacing Council framework decision 2000/383/JHA</w:t>
            </w:r>
          </w:p>
        </w:tc>
      </w:tr>
      <w:tr w:rsidR="008F2075" w:rsidRPr="00B27A22" w:rsidTr="008F2075">
        <w:trPr>
          <w:trHeight w:val="1584"/>
        </w:trPr>
        <w:tc>
          <w:tcPr>
            <w:tcW w:w="1272" w:type="dxa"/>
            <w:tcBorders>
              <w:top w:val="nil"/>
              <w:left w:val="single" w:sz="4" w:space="0" w:color="A9A9A9"/>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2013-02-06</w:t>
            </w:r>
          </w:p>
        </w:tc>
        <w:tc>
          <w:tcPr>
            <w:tcW w:w="1620" w:type="dxa"/>
            <w:gridSpan w:val="2"/>
            <w:tcBorders>
              <w:top w:val="nil"/>
              <w:left w:val="nil"/>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SWD(2013) 20</w:t>
            </w:r>
          </w:p>
        </w:tc>
        <w:tc>
          <w:tcPr>
            <w:tcW w:w="6262" w:type="dxa"/>
            <w:gridSpan w:val="2"/>
            <w:tcBorders>
              <w:top w:val="nil"/>
              <w:left w:val="nil"/>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Arbetsdokument från kommissionen Sammanfattning av konsekvensbedömningen Följedokument till förslag till Europaparlamentets och rådets direktiv om straffrättsligt skydd av euron och andra valutor mot penningförfalskning och om ersättning av rådets rambeslut 2000/383/RIF</w:t>
            </w:r>
          </w:p>
        </w:tc>
      </w:tr>
      <w:tr w:rsidR="008F2075" w:rsidRPr="00B27A22" w:rsidTr="008F2075">
        <w:trPr>
          <w:trHeight w:val="1056"/>
        </w:trPr>
        <w:tc>
          <w:tcPr>
            <w:tcW w:w="1272" w:type="dxa"/>
            <w:tcBorders>
              <w:top w:val="nil"/>
              <w:left w:val="single" w:sz="4" w:space="0" w:color="A9A9A9"/>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2013-02-06</w:t>
            </w:r>
          </w:p>
        </w:tc>
        <w:tc>
          <w:tcPr>
            <w:tcW w:w="1620" w:type="dxa"/>
            <w:gridSpan w:val="2"/>
            <w:tcBorders>
              <w:top w:val="nil"/>
              <w:left w:val="nil"/>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KOM(2013) 45</w:t>
            </w:r>
          </w:p>
        </w:tc>
        <w:tc>
          <w:tcPr>
            <w:tcW w:w="6262" w:type="dxa"/>
            <w:gridSpan w:val="2"/>
            <w:tcBorders>
              <w:top w:val="nil"/>
              <w:left w:val="nil"/>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 xml:space="preserve">Förslag till Europaparlamentets och rådets direktiv om förhindrande av att det finansiella systemet används för penningtvätt och finansiering av terrorism </w:t>
            </w:r>
          </w:p>
        </w:tc>
      </w:tr>
      <w:tr w:rsidR="008F2075" w:rsidRPr="00B27A22" w:rsidTr="008F2075">
        <w:trPr>
          <w:trHeight w:val="2376"/>
        </w:trPr>
        <w:tc>
          <w:tcPr>
            <w:tcW w:w="1272" w:type="dxa"/>
            <w:tcBorders>
              <w:top w:val="nil"/>
              <w:left w:val="single" w:sz="4" w:space="0" w:color="A9A9A9"/>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2013-02-06</w:t>
            </w:r>
          </w:p>
        </w:tc>
        <w:tc>
          <w:tcPr>
            <w:tcW w:w="1620" w:type="dxa"/>
            <w:gridSpan w:val="2"/>
            <w:tcBorders>
              <w:top w:val="nil"/>
              <w:left w:val="nil"/>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SWD(2013) 21</w:t>
            </w:r>
          </w:p>
        </w:tc>
        <w:tc>
          <w:tcPr>
            <w:tcW w:w="6262" w:type="dxa"/>
            <w:gridSpan w:val="2"/>
            <w:tcBorders>
              <w:top w:val="nil"/>
              <w:left w:val="nil"/>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Commission staff working document Impact assessment Accompanying the document Proposal for a Directive of the European Parliament and of the Council on the prevention of the use of the financial system for the purpose of money laundering, including terrorist financing and Proposal for a Regulation of the European Parliament and of the Council on information accompanying transfers of funds</w:t>
            </w:r>
          </w:p>
        </w:tc>
      </w:tr>
      <w:tr w:rsidR="008F2075" w:rsidRPr="00B27A22" w:rsidTr="008F2075">
        <w:trPr>
          <w:trHeight w:val="1848"/>
        </w:trPr>
        <w:tc>
          <w:tcPr>
            <w:tcW w:w="1272" w:type="dxa"/>
            <w:tcBorders>
              <w:top w:val="nil"/>
              <w:left w:val="single" w:sz="4" w:space="0" w:color="A9A9A9"/>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2013-02-06</w:t>
            </w:r>
          </w:p>
        </w:tc>
        <w:tc>
          <w:tcPr>
            <w:tcW w:w="1620" w:type="dxa"/>
            <w:gridSpan w:val="2"/>
            <w:tcBorders>
              <w:top w:val="nil"/>
              <w:left w:val="nil"/>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SWD(2013) 22</w:t>
            </w:r>
          </w:p>
        </w:tc>
        <w:tc>
          <w:tcPr>
            <w:tcW w:w="6262" w:type="dxa"/>
            <w:gridSpan w:val="2"/>
            <w:tcBorders>
              <w:top w:val="nil"/>
              <w:left w:val="nil"/>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 xml:space="preserve">Arbetsdokument från kommissionen Sammanfattning av konsekvensbedömningen Följedokument till förslag till Europaparlamentets och rådets direktiv om förhindrande av att det finansiella systemet används för penningtvätt och finansiering av terrorism och om uppgifter som ska åtfölja överföringar av medel </w:t>
            </w:r>
          </w:p>
        </w:tc>
      </w:tr>
      <w:tr w:rsidR="008F2075" w:rsidRPr="00B27A22" w:rsidTr="008F2075">
        <w:trPr>
          <w:trHeight w:val="792"/>
        </w:trPr>
        <w:tc>
          <w:tcPr>
            <w:tcW w:w="1272" w:type="dxa"/>
            <w:tcBorders>
              <w:top w:val="nil"/>
              <w:left w:val="single" w:sz="4" w:space="0" w:color="A9A9A9"/>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2013-01-31</w:t>
            </w:r>
          </w:p>
        </w:tc>
        <w:tc>
          <w:tcPr>
            <w:tcW w:w="1620" w:type="dxa"/>
            <w:gridSpan w:val="2"/>
            <w:tcBorders>
              <w:top w:val="nil"/>
              <w:left w:val="nil"/>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KOM(2013) 47</w:t>
            </w:r>
          </w:p>
        </w:tc>
        <w:tc>
          <w:tcPr>
            <w:tcW w:w="6262" w:type="dxa"/>
            <w:gridSpan w:val="2"/>
            <w:tcBorders>
              <w:top w:val="nil"/>
              <w:left w:val="nil"/>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Rapport från kommissionen till Europaparlamentet och rådet om Rumäniens framsteg inom ramen för samarbets- och kontrollmekanismen</w:t>
            </w:r>
          </w:p>
        </w:tc>
      </w:tr>
      <w:tr w:rsidR="008F2075" w:rsidRPr="00B27A22" w:rsidTr="008F2075">
        <w:trPr>
          <w:trHeight w:val="264"/>
        </w:trPr>
        <w:tc>
          <w:tcPr>
            <w:tcW w:w="1272" w:type="dxa"/>
            <w:tcBorders>
              <w:top w:val="nil"/>
              <w:left w:val="nil"/>
              <w:bottom w:val="nil"/>
              <w:right w:val="nil"/>
            </w:tcBorders>
            <w:vAlign w:val="center"/>
          </w:tcPr>
          <w:p w:rsidR="008F2075" w:rsidRPr="00B27A22" w:rsidRDefault="008F2075">
            <w:pPr>
              <w:rPr>
                <w:sz w:val="18"/>
                <w:szCs w:val="18"/>
              </w:rPr>
            </w:pPr>
          </w:p>
        </w:tc>
        <w:tc>
          <w:tcPr>
            <w:tcW w:w="1620" w:type="dxa"/>
            <w:gridSpan w:val="2"/>
            <w:tcBorders>
              <w:top w:val="nil"/>
              <w:left w:val="nil"/>
              <w:bottom w:val="nil"/>
              <w:right w:val="nil"/>
            </w:tcBorders>
            <w:vAlign w:val="center"/>
          </w:tcPr>
          <w:p w:rsidR="008F2075" w:rsidRPr="00B27A22" w:rsidRDefault="008F2075">
            <w:pPr>
              <w:rPr>
                <w:sz w:val="18"/>
                <w:szCs w:val="18"/>
              </w:rPr>
            </w:pPr>
          </w:p>
        </w:tc>
        <w:tc>
          <w:tcPr>
            <w:tcW w:w="6262" w:type="dxa"/>
            <w:gridSpan w:val="2"/>
            <w:tcBorders>
              <w:top w:val="nil"/>
              <w:left w:val="nil"/>
              <w:bottom w:val="nil"/>
              <w:right w:val="nil"/>
            </w:tcBorders>
            <w:vAlign w:val="center"/>
          </w:tcPr>
          <w:p w:rsidR="008F2075" w:rsidRPr="00B27A22" w:rsidRDefault="008F2075">
            <w:pPr>
              <w:rPr>
                <w:sz w:val="18"/>
                <w:szCs w:val="18"/>
              </w:rPr>
            </w:pPr>
          </w:p>
        </w:tc>
      </w:tr>
      <w:tr w:rsidR="008F2075" w:rsidRPr="00B27A22" w:rsidTr="008F2075">
        <w:trPr>
          <w:trHeight w:val="312"/>
        </w:trPr>
        <w:tc>
          <w:tcPr>
            <w:tcW w:w="9154" w:type="dxa"/>
            <w:gridSpan w:val="5"/>
            <w:tcBorders>
              <w:top w:val="single" w:sz="4" w:space="0" w:color="auto"/>
              <w:left w:val="single" w:sz="4" w:space="0" w:color="auto"/>
              <w:bottom w:val="single" w:sz="4" w:space="0" w:color="auto"/>
              <w:right w:val="single" w:sz="4" w:space="0" w:color="auto"/>
            </w:tcBorders>
            <w:noWrap/>
            <w:vAlign w:val="bottom"/>
          </w:tcPr>
          <w:p w:rsidR="008F2075" w:rsidRPr="00B27A22" w:rsidRDefault="008F2075">
            <w:pPr>
              <w:rPr>
                <w:rFonts w:ascii="Arial" w:hAnsi="Arial" w:cs="Arial"/>
                <w:sz w:val="20"/>
                <w:szCs w:val="20"/>
              </w:rPr>
            </w:pPr>
            <w:r w:rsidRPr="00B27A22">
              <w:rPr>
                <w:rFonts w:ascii="Arial" w:hAnsi="Arial" w:cs="Arial"/>
                <w:b/>
                <w:bCs/>
              </w:rPr>
              <w:t>Ministerrådet</w:t>
            </w:r>
            <w:r w:rsidRPr="00B27A22">
              <w:rPr>
                <w:rFonts w:ascii="Arial" w:hAnsi="Arial" w:cs="Arial"/>
                <w:sz w:val="20"/>
                <w:szCs w:val="20"/>
              </w:rPr>
              <w:t> </w:t>
            </w:r>
          </w:p>
        </w:tc>
      </w:tr>
      <w:tr w:rsidR="008F2075" w:rsidRPr="00B27A22" w:rsidTr="008F2075">
        <w:trPr>
          <w:trHeight w:val="264"/>
        </w:trPr>
        <w:tc>
          <w:tcPr>
            <w:tcW w:w="1272" w:type="dxa"/>
            <w:tcBorders>
              <w:top w:val="nil"/>
              <w:left w:val="single" w:sz="4" w:space="0" w:color="auto"/>
              <w:bottom w:val="single" w:sz="4" w:space="0" w:color="auto"/>
              <w:right w:val="single" w:sz="4" w:space="0" w:color="auto"/>
            </w:tcBorders>
            <w:shd w:val="clear" w:color="auto" w:fill="A9A9A9"/>
            <w:noWrap/>
            <w:vAlign w:val="bottom"/>
          </w:tcPr>
          <w:p w:rsidR="008F2075" w:rsidRPr="00B27A22" w:rsidRDefault="008F2075">
            <w:pPr>
              <w:rPr>
                <w:rFonts w:ascii="Arial" w:hAnsi="Arial" w:cs="Arial"/>
                <w:sz w:val="20"/>
                <w:szCs w:val="20"/>
              </w:rPr>
            </w:pPr>
            <w:r w:rsidRPr="00B27A22">
              <w:rPr>
                <w:rFonts w:ascii="Arial" w:hAnsi="Arial" w:cs="Arial"/>
                <w:sz w:val="20"/>
                <w:szCs w:val="20"/>
              </w:rPr>
              <w:t>Inlämnat</w:t>
            </w:r>
          </w:p>
        </w:tc>
        <w:tc>
          <w:tcPr>
            <w:tcW w:w="1620" w:type="dxa"/>
            <w:gridSpan w:val="2"/>
            <w:tcBorders>
              <w:top w:val="nil"/>
              <w:left w:val="nil"/>
              <w:bottom w:val="single" w:sz="4" w:space="0" w:color="auto"/>
              <w:right w:val="single" w:sz="4" w:space="0" w:color="auto"/>
            </w:tcBorders>
            <w:shd w:val="clear" w:color="auto" w:fill="A9A9A9"/>
            <w:noWrap/>
            <w:vAlign w:val="bottom"/>
          </w:tcPr>
          <w:p w:rsidR="008F2075" w:rsidRPr="00B27A22" w:rsidRDefault="008F2075">
            <w:pPr>
              <w:rPr>
                <w:rFonts w:ascii="Arial" w:hAnsi="Arial" w:cs="Arial"/>
                <w:sz w:val="20"/>
                <w:szCs w:val="20"/>
              </w:rPr>
            </w:pPr>
            <w:r w:rsidRPr="00B27A22">
              <w:rPr>
                <w:rFonts w:ascii="Arial" w:hAnsi="Arial" w:cs="Arial"/>
                <w:sz w:val="20"/>
                <w:szCs w:val="20"/>
              </w:rPr>
              <w:t>Beteckning</w:t>
            </w:r>
          </w:p>
        </w:tc>
        <w:tc>
          <w:tcPr>
            <w:tcW w:w="6262" w:type="dxa"/>
            <w:gridSpan w:val="2"/>
            <w:tcBorders>
              <w:top w:val="nil"/>
              <w:left w:val="nil"/>
              <w:bottom w:val="single" w:sz="4" w:space="0" w:color="auto"/>
              <w:right w:val="single" w:sz="4" w:space="0" w:color="auto"/>
            </w:tcBorders>
            <w:shd w:val="clear" w:color="auto" w:fill="A9A9A9"/>
            <w:noWrap/>
            <w:vAlign w:val="bottom"/>
          </w:tcPr>
          <w:p w:rsidR="008F2075" w:rsidRPr="00B27A22" w:rsidRDefault="008F2075">
            <w:pPr>
              <w:rPr>
                <w:rFonts w:ascii="Arial" w:hAnsi="Arial" w:cs="Arial"/>
                <w:sz w:val="20"/>
                <w:szCs w:val="20"/>
              </w:rPr>
            </w:pPr>
            <w:r w:rsidRPr="00B27A22">
              <w:rPr>
                <w:rFonts w:ascii="Arial" w:hAnsi="Arial" w:cs="Arial"/>
                <w:sz w:val="20"/>
                <w:szCs w:val="20"/>
              </w:rPr>
              <w:t>Rubrik</w:t>
            </w:r>
          </w:p>
        </w:tc>
      </w:tr>
      <w:tr w:rsidR="008F2075" w:rsidRPr="00B27A22" w:rsidTr="008F2075">
        <w:trPr>
          <w:trHeight w:val="792"/>
        </w:trPr>
        <w:tc>
          <w:tcPr>
            <w:tcW w:w="1272" w:type="dxa"/>
            <w:tcBorders>
              <w:top w:val="single" w:sz="4" w:space="0" w:color="A9A9A9"/>
              <w:left w:val="single" w:sz="4" w:space="0" w:color="A9A9A9"/>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2013-01-31</w:t>
            </w:r>
          </w:p>
        </w:tc>
        <w:tc>
          <w:tcPr>
            <w:tcW w:w="1620" w:type="dxa"/>
            <w:gridSpan w:val="2"/>
            <w:tcBorders>
              <w:top w:val="single" w:sz="4" w:space="0" w:color="A9A9A9"/>
              <w:left w:val="nil"/>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17591/12</w:t>
            </w:r>
          </w:p>
        </w:tc>
        <w:tc>
          <w:tcPr>
            <w:tcW w:w="6262" w:type="dxa"/>
            <w:gridSpan w:val="2"/>
            <w:tcBorders>
              <w:top w:val="single" w:sz="4" w:space="0" w:color="A9A9A9"/>
              <w:left w:val="nil"/>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Pressmeddelande 3213:e mötet i rådet Transport, telekommunikation och energi Bryssel den 20 december 2012</w:t>
            </w:r>
          </w:p>
        </w:tc>
      </w:tr>
      <w:tr w:rsidR="008F2075" w:rsidRPr="00B27A22" w:rsidTr="008F2075">
        <w:trPr>
          <w:trHeight w:val="528"/>
        </w:trPr>
        <w:tc>
          <w:tcPr>
            <w:tcW w:w="1272" w:type="dxa"/>
            <w:tcBorders>
              <w:top w:val="nil"/>
              <w:left w:val="single" w:sz="4" w:space="0" w:color="A9A9A9"/>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2013-01-30</w:t>
            </w:r>
          </w:p>
        </w:tc>
        <w:tc>
          <w:tcPr>
            <w:tcW w:w="1620" w:type="dxa"/>
            <w:gridSpan w:val="2"/>
            <w:tcBorders>
              <w:top w:val="nil"/>
              <w:left w:val="nil"/>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17439/12</w:t>
            </w:r>
          </w:p>
        </w:tc>
        <w:tc>
          <w:tcPr>
            <w:tcW w:w="6262" w:type="dxa"/>
            <w:gridSpan w:val="2"/>
            <w:tcBorders>
              <w:top w:val="nil"/>
              <w:left w:val="nil"/>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Pressmeddelande 3210:e mötet i rådet Allmänna frågor Bryssel den 11 december 2012</w:t>
            </w:r>
          </w:p>
        </w:tc>
      </w:tr>
      <w:tr w:rsidR="008F2075" w:rsidRPr="00B27A22" w:rsidTr="008F2075">
        <w:trPr>
          <w:trHeight w:val="1056"/>
        </w:trPr>
        <w:tc>
          <w:tcPr>
            <w:tcW w:w="1272" w:type="dxa"/>
            <w:tcBorders>
              <w:top w:val="nil"/>
              <w:left w:val="single" w:sz="4" w:space="0" w:color="A9A9A9"/>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lastRenderedPageBreak/>
              <w:t>2013-01-28</w:t>
            </w:r>
          </w:p>
        </w:tc>
        <w:tc>
          <w:tcPr>
            <w:tcW w:w="1620" w:type="dxa"/>
            <w:gridSpan w:val="2"/>
            <w:tcBorders>
              <w:top w:val="nil"/>
              <w:left w:val="nil"/>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Rapport informellt RIF 17-18 januari 2013</w:t>
            </w:r>
          </w:p>
        </w:tc>
        <w:tc>
          <w:tcPr>
            <w:tcW w:w="6262" w:type="dxa"/>
            <w:gridSpan w:val="2"/>
            <w:tcBorders>
              <w:top w:val="nil"/>
              <w:left w:val="nil"/>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Rapport från informellt ministermöte (rättsliga och inrikes frågor) den 17-18 januari 2013 i Dublin</w:t>
            </w:r>
          </w:p>
        </w:tc>
      </w:tr>
      <w:tr w:rsidR="008F2075" w:rsidRPr="00B27A22" w:rsidTr="008F2075">
        <w:trPr>
          <w:trHeight w:val="264"/>
        </w:trPr>
        <w:tc>
          <w:tcPr>
            <w:tcW w:w="1272" w:type="dxa"/>
            <w:tcBorders>
              <w:top w:val="nil"/>
              <w:left w:val="nil"/>
              <w:bottom w:val="nil"/>
              <w:right w:val="nil"/>
            </w:tcBorders>
            <w:noWrap/>
            <w:vAlign w:val="bottom"/>
          </w:tcPr>
          <w:p w:rsidR="008F2075" w:rsidRPr="00B27A22" w:rsidRDefault="008F2075">
            <w:pPr>
              <w:rPr>
                <w:rFonts w:ascii="Arial" w:hAnsi="Arial" w:cs="Arial"/>
                <w:sz w:val="20"/>
                <w:szCs w:val="20"/>
              </w:rPr>
            </w:pPr>
          </w:p>
        </w:tc>
        <w:tc>
          <w:tcPr>
            <w:tcW w:w="1620" w:type="dxa"/>
            <w:gridSpan w:val="2"/>
            <w:tcBorders>
              <w:top w:val="nil"/>
              <w:left w:val="nil"/>
              <w:bottom w:val="nil"/>
              <w:right w:val="nil"/>
            </w:tcBorders>
            <w:noWrap/>
            <w:vAlign w:val="bottom"/>
          </w:tcPr>
          <w:p w:rsidR="008F2075" w:rsidRPr="00B27A22" w:rsidRDefault="008F2075">
            <w:pPr>
              <w:rPr>
                <w:rFonts w:ascii="Arial" w:hAnsi="Arial" w:cs="Arial"/>
                <w:sz w:val="20"/>
                <w:szCs w:val="20"/>
              </w:rPr>
            </w:pPr>
          </w:p>
        </w:tc>
        <w:tc>
          <w:tcPr>
            <w:tcW w:w="6262" w:type="dxa"/>
            <w:gridSpan w:val="2"/>
            <w:tcBorders>
              <w:top w:val="nil"/>
              <w:left w:val="nil"/>
              <w:bottom w:val="nil"/>
              <w:right w:val="nil"/>
            </w:tcBorders>
            <w:noWrap/>
            <w:vAlign w:val="bottom"/>
          </w:tcPr>
          <w:p w:rsidR="008F2075" w:rsidRPr="00B27A22" w:rsidRDefault="008F2075">
            <w:pPr>
              <w:rPr>
                <w:rFonts w:ascii="Arial" w:hAnsi="Arial" w:cs="Arial"/>
                <w:sz w:val="20"/>
                <w:szCs w:val="20"/>
              </w:rPr>
            </w:pPr>
          </w:p>
        </w:tc>
      </w:tr>
      <w:tr w:rsidR="008F2075" w:rsidRPr="00B27A22" w:rsidTr="008F2075">
        <w:trPr>
          <w:trHeight w:val="312"/>
        </w:trPr>
        <w:tc>
          <w:tcPr>
            <w:tcW w:w="2892" w:type="dxa"/>
            <w:gridSpan w:val="3"/>
            <w:tcBorders>
              <w:top w:val="single" w:sz="4" w:space="0" w:color="auto"/>
              <w:left w:val="single" w:sz="4" w:space="0" w:color="auto"/>
              <w:bottom w:val="single" w:sz="4" w:space="0" w:color="auto"/>
              <w:right w:val="nil"/>
            </w:tcBorders>
            <w:noWrap/>
            <w:vAlign w:val="bottom"/>
          </w:tcPr>
          <w:p w:rsidR="008F2075" w:rsidRPr="00B27A22" w:rsidRDefault="008F2075">
            <w:pPr>
              <w:rPr>
                <w:rFonts w:ascii="Arial" w:hAnsi="Arial" w:cs="Arial"/>
                <w:b/>
                <w:bCs/>
              </w:rPr>
            </w:pPr>
            <w:r w:rsidRPr="00B27A22">
              <w:rPr>
                <w:rFonts w:ascii="Arial" w:hAnsi="Arial" w:cs="Arial"/>
                <w:b/>
                <w:bCs/>
              </w:rPr>
              <w:t>Övriga dokument</w:t>
            </w:r>
          </w:p>
        </w:tc>
        <w:tc>
          <w:tcPr>
            <w:tcW w:w="6262" w:type="dxa"/>
            <w:gridSpan w:val="2"/>
            <w:tcBorders>
              <w:top w:val="single" w:sz="4" w:space="0" w:color="auto"/>
              <w:left w:val="nil"/>
              <w:bottom w:val="single" w:sz="4" w:space="0" w:color="auto"/>
              <w:right w:val="single" w:sz="4" w:space="0" w:color="auto"/>
            </w:tcBorders>
            <w:noWrap/>
            <w:vAlign w:val="bottom"/>
          </w:tcPr>
          <w:p w:rsidR="008F2075" w:rsidRPr="00B27A22" w:rsidRDefault="008F2075">
            <w:pPr>
              <w:rPr>
                <w:rFonts w:ascii="Arial" w:hAnsi="Arial" w:cs="Arial"/>
                <w:sz w:val="20"/>
                <w:szCs w:val="20"/>
              </w:rPr>
            </w:pPr>
            <w:r w:rsidRPr="00B27A22">
              <w:rPr>
                <w:rFonts w:ascii="Arial" w:hAnsi="Arial" w:cs="Arial"/>
                <w:sz w:val="20"/>
                <w:szCs w:val="20"/>
              </w:rPr>
              <w:t> </w:t>
            </w:r>
          </w:p>
        </w:tc>
      </w:tr>
      <w:tr w:rsidR="008F2075" w:rsidRPr="00B27A22" w:rsidTr="008F2075">
        <w:trPr>
          <w:trHeight w:val="264"/>
        </w:trPr>
        <w:tc>
          <w:tcPr>
            <w:tcW w:w="1272" w:type="dxa"/>
            <w:tcBorders>
              <w:top w:val="nil"/>
              <w:left w:val="single" w:sz="4" w:space="0" w:color="auto"/>
              <w:bottom w:val="single" w:sz="4" w:space="0" w:color="auto"/>
              <w:right w:val="single" w:sz="4" w:space="0" w:color="auto"/>
            </w:tcBorders>
            <w:shd w:val="clear" w:color="auto" w:fill="A9A9A9"/>
            <w:noWrap/>
            <w:vAlign w:val="bottom"/>
          </w:tcPr>
          <w:p w:rsidR="008F2075" w:rsidRPr="00B27A22" w:rsidRDefault="008F2075">
            <w:pPr>
              <w:rPr>
                <w:rFonts w:ascii="Arial" w:hAnsi="Arial" w:cs="Arial"/>
                <w:sz w:val="20"/>
                <w:szCs w:val="20"/>
              </w:rPr>
            </w:pPr>
            <w:r w:rsidRPr="00B27A22">
              <w:rPr>
                <w:rFonts w:ascii="Arial" w:hAnsi="Arial" w:cs="Arial"/>
                <w:sz w:val="20"/>
                <w:szCs w:val="20"/>
              </w:rPr>
              <w:t>Inlämnat</w:t>
            </w:r>
          </w:p>
        </w:tc>
        <w:tc>
          <w:tcPr>
            <w:tcW w:w="1620" w:type="dxa"/>
            <w:gridSpan w:val="2"/>
            <w:tcBorders>
              <w:top w:val="nil"/>
              <w:left w:val="nil"/>
              <w:bottom w:val="single" w:sz="4" w:space="0" w:color="auto"/>
              <w:right w:val="single" w:sz="4" w:space="0" w:color="auto"/>
            </w:tcBorders>
            <w:shd w:val="clear" w:color="auto" w:fill="A9A9A9"/>
            <w:noWrap/>
            <w:vAlign w:val="bottom"/>
          </w:tcPr>
          <w:p w:rsidR="008F2075" w:rsidRPr="00B27A22" w:rsidRDefault="008F2075">
            <w:pPr>
              <w:rPr>
                <w:rFonts w:ascii="Arial" w:hAnsi="Arial" w:cs="Arial"/>
                <w:sz w:val="20"/>
                <w:szCs w:val="20"/>
              </w:rPr>
            </w:pPr>
            <w:r w:rsidRPr="00B27A22">
              <w:rPr>
                <w:rFonts w:ascii="Arial" w:hAnsi="Arial" w:cs="Arial"/>
                <w:sz w:val="20"/>
                <w:szCs w:val="20"/>
              </w:rPr>
              <w:t>Beteckning</w:t>
            </w:r>
          </w:p>
        </w:tc>
        <w:tc>
          <w:tcPr>
            <w:tcW w:w="6262" w:type="dxa"/>
            <w:gridSpan w:val="2"/>
            <w:tcBorders>
              <w:top w:val="nil"/>
              <w:left w:val="nil"/>
              <w:bottom w:val="single" w:sz="4" w:space="0" w:color="auto"/>
              <w:right w:val="single" w:sz="4" w:space="0" w:color="auto"/>
            </w:tcBorders>
            <w:shd w:val="clear" w:color="auto" w:fill="A9A9A9"/>
            <w:noWrap/>
            <w:vAlign w:val="bottom"/>
          </w:tcPr>
          <w:p w:rsidR="008F2075" w:rsidRPr="00B27A22" w:rsidRDefault="008F2075">
            <w:pPr>
              <w:rPr>
                <w:rFonts w:ascii="Arial" w:hAnsi="Arial" w:cs="Arial"/>
                <w:sz w:val="20"/>
                <w:szCs w:val="20"/>
              </w:rPr>
            </w:pPr>
            <w:r w:rsidRPr="00B27A22">
              <w:rPr>
                <w:rFonts w:ascii="Arial" w:hAnsi="Arial" w:cs="Arial"/>
                <w:sz w:val="20"/>
                <w:szCs w:val="20"/>
              </w:rPr>
              <w:t>Rubrik</w:t>
            </w:r>
          </w:p>
        </w:tc>
      </w:tr>
      <w:tr w:rsidR="008F2075" w:rsidRPr="00B27A22" w:rsidTr="008F2075">
        <w:trPr>
          <w:trHeight w:val="1320"/>
        </w:trPr>
        <w:tc>
          <w:tcPr>
            <w:tcW w:w="1272" w:type="dxa"/>
            <w:tcBorders>
              <w:top w:val="single" w:sz="4" w:space="0" w:color="A9A9A9"/>
              <w:left w:val="single" w:sz="4" w:space="0" w:color="A9A9A9"/>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2013-01-25</w:t>
            </w:r>
          </w:p>
        </w:tc>
        <w:tc>
          <w:tcPr>
            <w:tcW w:w="1620" w:type="dxa"/>
            <w:gridSpan w:val="2"/>
            <w:tcBorders>
              <w:top w:val="single" w:sz="4" w:space="0" w:color="A9A9A9"/>
              <w:left w:val="nil"/>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Dokument antagna av Europaparlamentet 10-13 december 2012</w:t>
            </w:r>
          </w:p>
        </w:tc>
        <w:tc>
          <w:tcPr>
            <w:tcW w:w="6262" w:type="dxa"/>
            <w:gridSpan w:val="2"/>
            <w:tcBorders>
              <w:top w:val="single" w:sz="4" w:space="0" w:color="A9A9A9"/>
              <w:left w:val="nil"/>
              <w:bottom w:val="single" w:sz="4" w:space="0" w:color="A9A9A9"/>
              <w:right w:val="single" w:sz="4" w:space="0" w:color="A9A9A9"/>
            </w:tcBorders>
            <w:vAlign w:val="center"/>
          </w:tcPr>
          <w:p w:rsidR="008F2075" w:rsidRPr="00B27A22" w:rsidRDefault="008F2075">
            <w:pPr>
              <w:rPr>
                <w:rFonts w:ascii="Arial" w:hAnsi="Arial" w:cs="Arial"/>
                <w:sz w:val="20"/>
                <w:szCs w:val="20"/>
              </w:rPr>
            </w:pPr>
            <w:r w:rsidRPr="00B27A22">
              <w:rPr>
                <w:rFonts w:ascii="Arial" w:hAnsi="Arial" w:cs="Arial"/>
                <w:sz w:val="20"/>
                <w:szCs w:val="20"/>
              </w:rPr>
              <w:t>Översändande av dokument som antogs av Europaparlamentet under sammanträdesperioden den 10-13 december 2012</w:t>
            </w:r>
          </w:p>
        </w:tc>
      </w:tr>
    </w:tbl>
    <w:p w:rsidR="008F2075" w:rsidRPr="00B27A22" w:rsidRDefault="008F2075"/>
    <w:sectPr w:rsidR="008F2075" w:rsidRPr="00B27A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075"/>
    <w:rsid w:val="008F2075"/>
    <w:rsid w:val="00B27A22"/>
    <w:rsid w:val="00D341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702BED-8B24-4EA5-A372-E5AFB640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68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2325</Characters>
  <Application>Microsoft Office Word</Application>
  <DocSecurity>4</DocSecurity>
  <Lines>93</Lines>
  <Paragraphs>54</Paragraphs>
  <ScaleCrop>false</ScaleCrop>
  <HeadingPairs>
    <vt:vector size="2" baseType="variant">
      <vt:variant>
        <vt:lpstr>Rubrik</vt:lpstr>
      </vt:variant>
      <vt:variant>
        <vt:i4>1</vt:i4>
      </vt:variant>
    </vt:vector>
  </HeadingPairs>
  <TitlesOfParts>
    <vt:vector size="1" baseType="lpstr">
      <vt:lpstr>JuU</vt:lpstr>
    </vt:vector>
  </TitlesOfParts>
  <Company>Riksdagen</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JuU</dc:title>
  <dc:subject>JuU</dc:subject>
  <dc:creator>Riksdagen</dc:creator>
  <cp:keywords>Riksdagen</cp:keywords>
  <dc:description/>
  <cp:lastModifiedBy>Lars Brink</cp:lastModifiedBy>
  <cp:revision>2</cp:revision>
  <dcterms:created xsi:type="dcterms:W3CDTF">2025-12-17T23:08:00Z</dcterms:created>
  <dcterms:modified xsi:type="dcterms:W3CDTF">2025-12-17T23:08:00Z</dcterms:modified>
</cp:coreProperties>
</file>