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582EF-5FD3-4295-8696-618372E4F83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2B3DDA9-CA40-417C-A220-3E58345FFC3E}"/>
</file>

<file path=customXml/itemProps4.xml><?xml version="1.0" encoding="utf-8"?>
<ds:datastoreItem xmlns:ds="http://schemas.openxmlformats.org/officeDocument/2006/customXml" ds:itemID="{FCA5A77C-DBED-4664-879E-D846C0BCFCB4}"/>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